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7"/>
        <w:adjustRightInd w:val="0"/>
        <w:snapToGrid w:val="0"/>
        <w:spacing w:line="720" w:lineRule="auto"/>
        <w:jc w:val="center"/>
        <w:rPr>
          <w:rFonts w:ascii="黑体" w:hAnsi="黑体" w:eastAsia="黑体" w:cs="Times New Roman"/>
          <w:b/>
          <w:bCs/>
          <w:color w:val="000000" w:themeColor="text1"/>
          <w:sz w:val="36"/>
          <w:szCs w:val="24"/>
          <w14:textFill>
            <w14:solidFill>
              <w14:schemeClr w14:val="tx1"/>
            </w14:solidFill>
          </w14:textFill>
        </w:rPr>
      </w:pPr>
      <w:r>
        <w:rPr>
          <w:rFonts w:hint="eastAsia" w:ascii="Times New Roman" w:hAnsi="Times New Roman" w:eastAsia="宋体" w:cs="Times New Roman"/>
          <w:snapToGrid w:val="0"/>
          <w:color w:val="000000" w:themeColor="text1"/>
          <w:kern w:val="10"/>
          <w:sz w:val="144"/>
          <w:szCs w:val="144"/>
          <w14:textFill>
            <w14:solidFill>
              <w14:schemeClr w14:val="tx1"/>
            </w14:solidFill>
          </w14:textFill>
        </w:rPr>
        <w:t>招 标 文 件</w:t>
      </w:r>
    </w:p>
    <w:p>
      <w:pPr>
        <w:spacing w:line="480" w:lineRule="auto"/>
        <w:ind w:firstLine="1280" w:firstLineChars="400"/>
        <w:rPr>
          <w:rFonts w:hint="eastAsia"/>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u w:val="single"/>
          <w:lang w:val="en-US" w:eastAsia="zh-CN"/>
          <w14:textFill>
            <w14:solidFill>
              <w14:schemeClr w14:val="tx1"/>
            </w14:solidFill>
          </w14:textFill>
        </w:rPr>
        <w:t xml:space="preserve">131 - Zcg . 2019 -         </w:t>
      </w:r>
      <w:r>
        <w:rPr>
          <w:rFonts w:hint="eastAsia"/>
          <w:bCs/>
          <w:color w:val="000000" w:themeColor="text1"/>
          <w:sz w:val="32"/>
          <w:szCs w:val="32"/>
          <w:u w:val="single"/>
          <w14:textFill>
            <w14:solidFill>
              <w14:schemeClr w14:val="tx1"/>
            </w14:solidFill>
          </w14:textFill>
        </w:rPr>
        <w:t xml:space="preserve">             </w:t>
      </w:r>
    </w:p>
    <w:p>
      <w:pPr>
        <w:spacing w:line="480" w:lineRule="auto"/>
        <w:ind w:firstLine="1280" w:firstLineChars="400"/>
        <w:rPr>
          <w:rFonts w:hint="default"/>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采购人</w:t>
      </w:r>
      <w:r>
        <w:rPr>
          <w:rFonts w:hint="eastAsia"/>
          <w:bCs/>
          <w:color w:val="000000" w:themeColor="text1"/>
          <w:sz w:val="32"/>
          <w:szCs w:val="32"/>
          <w:lang w:eastAsia="zh-CN"/>
          <w14:textFill>
            <w14:solidFill>
              <w14:schemeClr w14:val="tx1"/>
            </w14:solidFill>
          </w14:textFill>
        </w:rPr>
        <w:t>：</w:t>
      </w:r>
      <w:r>
        <w:rPr>
          <w:rFonts w:hint="eastAsia"/>
          <w:bCs/>
          <w:color w:val="000000" w:themeColor="text1"/>
          <w:sz w:val="32"/>
          <w:szCs w:val="32"/>
          <w:lang w:val="en-US" w:eastAsia="zh-CN"/>
          <w14:textFill>
            <w14:solidFill>
              <w14:schemeClr w14:val="tx1"/>
            </w14:solidFill>
          </w14:textFill>
        </w:rPr>
        <w:t xml:space="preserve">  </w:t>
      </w:r>
      <w:r>
        <w:rPr>
          <w:rFonts w:hint="eastAsia"/>
          <w:bCs/>
          <w:color w:val="000000" w:themeColor="text1"/>
          <w:sz w:val="32"/>
          <w:szCs w:val="32"/>
          <w:u w:val="single"/>
          <w:lang w:eastAsia="zh-CN"/>
          <w14:textFill>
            <w14:solidFill>
              <w14:schemeClr w14:val="tx1"/>
            </w14:solidFill>
          </w14:textFill>
        </w:rPr>
        <w:t>阳新县公安局</w:t>
      </w:r>
      <w:r>
        <w:rPr>
          <w:rFonts w:hint="eastAsia"/>
          <w:bCs/>
          <w:color w:val="000000" w:themeColor="text1"/>
          <w:sz w:val="32"/>
          <w:szCs w:val="32"/>
          <w:u w:val="single"/>
          <w:lang w:val="en-US" w:eastAsia="zh-CN"/>
          <w14:textFill>
            <w14:solidFill>
              <w14:schemeClr w14:val="tx1"/>
            </w14:solidFill>
          </w14:textFill>
        </w:rPr>
        <w:t xml:space="preserve">                        </w:t>
      </w:r>
    </w:p>
    <w:p>
      <w:pPr>
        <w:spacing w:line="480" w:lineRule="auto"/>
        <w:ind w:firstLine="1280" w:firstLineChars="400"/>
        <w:rPr>
          <w:rFonts w:hint="default"/>
          <w:b w:val="0"/>
          <w:bCs/>
          <w:color w:val="000000" w:themeColor="text1"/>
          <w:sz w:val="32"/>
          <w:szCs w:val="32"/>
          <w:u w:val="thick"/>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b w:val="0"/>
          <w:bCs/>
          <w:color w:val="000000" w:themeColor="text1"/>
          <w:sz w:val="32"/>
          <w:szCs w:val="32"/>
          <w:u w:val="thick"/>
          <w:lang w:eastAsia="zh-CN"/>
          <w14:textFill>
            <w14:solidFill>
              <w14:schemeClr w14:val="tx1"/>
            </w14:solidFill>
          </w14:textFill>
        </w:rPr>
        <w:t>阳新县公安局刑事科学技术实验</w:t>
      </w:r>
      <w:r>
        <w:rPr>
          <w:rFonts w:hint="eastAsia"/>
          <w:b w:val="0"/>
          <w:bCs/>
          <w:color w:val="000000" w:themeColor="text1"/>
          <w:sz w:val="32"/>
          <w:szCs w:val="32"/>
          <w:u w:val="thick"/>
          <w:lang w:val="en-US" w:eastAsia="zh-CN"/>
          <w14:textFill>
            <w14:solidFill>
              <w14:schemeClr w14:val="tx1"/>
            </w14:solidFill>
          </w14:textFill>
        </w:rPr>
        <w:t>室工程</w:t>
      </w:r>
    </w:p>
    <w:p>
      <w:pPr>
        <w:spacing w:line="480" w:lineRule="auto"/>
        <w:ind w:firstLine="1280" w:firstLineChars="400"/>
        <w:rPr>
          <w:rFonts w:hint="default" w:eastAsiaTheme="minorEastAsia"/>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z w:val="32"/>
          <w:szCs w:val="32"/>
          <w:u w:val="single"/>
          <w:lang w:eastAsia="zh-CN"/>
          <w14:textFill>
            <w14:solidFill>
              <w14:schemeClr w14:val="tx1"/>
            </w14:solidFill>
          </w14:textFill>
        </w:rPr>
        <w:t>实验台</w:t>
      </w:r>
      <w:r>
        <w:rPr>
          <w:rFonts w:hint="eastAsia"/>
          <w:bCs/>
          <w:color w:val="000000" w:themeColor="text1"/>
          <w:sz w:val="32"/>
          <w:szCs w:val="32"/>
          <w:u w:val="single"/>
          <w:lang w:val="en-US" w:eastAsia="zh-CN"/>
          <w14:textFill>
            <w14:solidFill>
              <w14:schemeClr w14:val="tx1"/>
            </w14:solidFill>
          </w14:textFill>
        </w:rPr>
        <w:t>设备</w:t>
      </w:r>
      <w:r>
        <w:rPr>
          <w:rFonts w:hint="eastAsia"/>
          <w:bCs/>
          <w:color w:val="000000" w:themeColor="text1"/>
          <w:sz w:val="32"/>
          <w:szCs w:val="32"/>
          <w:u w:val="single"/>
          <w:lang w:eastAsia="zh-CN"/>
          <w14:textFill>
            <w14:solidFill>
              <w14:schemeClr w14:val="tx1"/>
            </w14:solidFill>
          </w14:textFill>
        </w:rPr>
        <w:t>、通风系统、智能物证管理系统</w:t>
      </w:r>
      <w:r>
        <w:rPr>
          <w:rFonts w:hint="eastAsia"/>
          <w:bCs/>
          <w:color w:val="000000" w:themeColor="text1"/>
          <w:sz w:val="32"/>
          <w:szCs w:val="32"/>
          <w:u w:val="single"/>
          <w14:textFill>
            <w14:solidFill>
              <w14:schemeClr w14:val="tx1"/>
            </w14:solidFill>
          </w14:textFill>
        </w:rPr>
        <w:t xml:space="preserve"> </w:t>
      </w:r>
    </w:p>
    <w:p>
      <w:pPr>
        <w:adjustRightInd w:val="0"/>
        <w:snapToGrid w:val="0"/>
        <w:jc w:val="center"/>
        <w:rPr>
          <w:rFonts w:hint="eastAsia"/>
          <w:bCs/>
          <w:color w:val="000000" w:themeColor="text1"/>
          <w:sz w:val="32"/>
          <w:szCs w:val="32"/>
          <w:u w:val="single"/>
          <w14:textFill>
            <w14:solidFill>
              <w14:schemeClr w14:val="tx1"/>
            </w14:solidFill>
          </w14:textFill>
        </w:rPr>
      </w:pPr>
    </w:p>
    <w:p>
      <w:pPr>
        <w:adjustRightInd w:val="0"/>
        <w:snapToGrid w:val="0"/>
        <w:jc w:val="center"/>
        <w:rPr>
          <w:rFonts w:hint="default" w:eastAsiaTheme="minorEastAsia"/>
          <w:bCs/>
          <w:snapToGrid w:val="0"/>
          <w:color w:val="000000" w:themeColor="text1"/>
          <w:kern w:val="0"/>
          <w:position w:val="-98"/>
          <w:sz w:val="56"/>
          <w:szCs w:val="56"/>
          <w:lang w:val="en-US" w:eastAsia="zh-CN"/>
          <w14:textFill>
            <w14:solidFill>
              <w14:schemeClr w14:val="tx1"/>
            </w14:solidFill>
          </w14:textFill>
        </w:rPr>
      </w:pPr>
      <w:r>
        <w:rPr>
          <w:rFonts w:hint="eastAsia"/>
          <w:bCs/>
          <w:snapToGrid w:val="0"/>
          <w:color w:val="000000" w:themeColor="text1"/>
          <w:kern w:val="0"/>
          <w:position w:val="-98"/>
          <w:sz w:val="56"/>
          <w:szCs w:val="56"/>
          <w:lang w:eastAsia="zh-CN"/>
          <w14:textFill>
            <w14:solidFill>
              <w14:schemeClr w14:val="tx1"/>
            </w14:solidFill>
          </w14:textFill>
        </w:rPr>
        <w:t>湖北方圆工程造价咨询有限公司</w:t>
      </w:r>
    </w:p>
    <w:p>
      <w:pPr>
        <w:jc w:val="center"/>
        <w:rPr>
          <w:rFonts w:ascii="黑体" w:hAnsi="黑体" w:eastAsia="黑体"/>
          <w:b/>
          <w:color w:val="000000" w:themeColor="text1"/>
          <w:sz w:val="44"/>
          <w14:textFill>
            <w14:solidFill>
              <w14:schemeClr w14:val="tx1"/>
            </w14:solidFill>
          </w14:textFill>
        </w:rPr>
      </w:pPr>
      <w:r>
        <w:rPr>
          <w:rFonts w:hint="eastAsia"/>
          <w:color w:val="000000" w:themeColor="text1"/>
          <w:sz w:val="32"/>
          <w:szCs w:val="32"/>
          <w:lang w:eastAsia="zh-CN"/>
          <w14:textFill>
            <w14:solidFill>
              <w14:schemeClr w14:val="tx1"/>
            </w14:solidFill>
          </w14:textFill>
        </w:rPr>
        <w:t>二</w:t>
      </w:r>
      <w:r>
        <w:rPr>
          <w:rFonts w:hint="eastAsia"/>
          <w:color w:val="000000" w:themeColor="text1"/>
          <w:sz w:val="32"/>
          <w:szCs w:val="32"/>
          <w:lang w:val="en-US" w:eastAsia="zh-CN"/>
          <w14:textFill>
            <w14:solidFill>
              <w14:schemeClr w14:val="tx1"/>
            </w14:solidFill>
          </w14:textFill>
        </w:rPr>
        <w:t>0一九</w:t>
      </w:r>
      <w:r>
        <w:rPr>
          <w:rFonts w:hint="eastAsia"/>
          <w:color w:val="000000" w:themeColor="text1"/>
          <w:sz w:val="32"/>
          <w:szCs w:val="32"/>
          <w14:textFill>
            <w14:solidFill>
              <w14:schemeClr w14:val="tx1"/>
            </w14:solidFill>
          </w14:textFill>
        </w:rPr>
        <w:t>年</w:t>
      </w:r>
      <w:r>
        <w:rPr>
          <w:rFonts w:hint="eastAsia"/>
          <w:color w:val="000000" w:themeColor="text1"/>
          <w:sz w:val="32"/>
          <w:szCs w:val="32"/>
          <w:lang w:eastAsia="zh-CN"/>
          <w14:textFill>
            <w14:solidFill>
              <w14:schemeClr w14:val="tx1"/>
            </w14:solidFill>
          </w14:textFill>
        </w:rPr>
        <w:t>九</w:t>
      </w:r>
      <w:r>
        <w:rPr>
          <w:rFonts w:hint="eastAsia" w:asciiTheme="minorEastAsia" w:hAnsiTheme="minorEastAsia" w:cstheme="minorEastAsia"/>
          <w:bCs/>
          <w:color w:val="000000" w:themeColor="text1"/>
          <w:sz w:val="32"/>
          <w:szCs w:val="32"/>
          <w14:textFill>
            <w14:solidFill>
              <w14:schemeClr w14:val="tx1"/>
            </w14:solidFill>
          </w14:textFill>
        </w:rPr>
        <w:t>月</w:t>
      </w:r>
    </w:p>
    <w:p>
      <w:pPr>
        <w:rPr>
          <w:color w:val="000000" w:themeColor="text1"/>
          <w14:textFill>
            <w14:solidFill>
              <w14:schemeClr w14:val="tx1"/>
            </w14:solidFill>
          </w14:textFill>
        </w:rPr>
        <w:sectPr>
          <w:headerReference r:id="rId3" w:type="default"/>
          <w:headerReference r:id="rId4" w:type="even"/>
          <w:footerReference r:id="rId5" w:type="even"/>
          <w:pgSz w:w="11906" w:h="16838"/>
          <w:pgMar w:top="3402" w:right="1191" w:bottom="1134" w:left="1191" w:header="680" w:footer="680" w:gutter="0"/>
          <w:pgNumType w:fmt="decimal"/>
          <w:cols w:space="425" w:num="1"/>
          <w:docGrid w:type="lines" w:linePitch="312" w:charSpace="0"/>
        </w:sectPr>
      </w:pPr>
    </w:p>
    <w:p>
      <w:pPr>
        <w:spacing w:beforeLines="100"/>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目   录</w:t>
      </w:r>
    </w:p>
    <w:sdt>
      <w:sdtPr>
        <w:rPr>
          <w:color w:val="000000" w:themeColor="text1"/>
          <w:lang w:val="zh-CN"/>
          <w14:textFill>
            <w14:solidFill>
              <w14:schemeClr w14:val="tx1"/>
            </w14:solidFill>
          </w14:textFill>
        </w:rPr>
        <w:id w:val="1482579200"/>
      </w:sdtPr>
      <w:sdtEndPr>
        <w:rPr>
          <w:b w:val="0"/>
          <w:bCs/>
          <w:color w:val="000000" w:themeColor="text1"/>
          <w:lang w:val="zh-CN"/>
          <w14:textFill>
            <w14:solidFill>
              <w14:schemeClr w14:val="tx1"/>
            </w14:solidFill>
          </w14:textFill>
        </w:rPr>
      </w:sdtEndPr>
      <w:sdtContent>
        <w:p>
          <w:pPr>
            <w:pStyle w:val="12"/>
            <w:tabs>
              <w:tab w:val="left" w:pos="1260"/>
              <w:tab w:val="right" w:leader="dot" w:pos="9514"/>
            </w:tabs>
            <w:rPr>
              <w:color w:val="000000" w:themeColor="text1"/>
              <w:lang w:val="zh-CN"/>
              <w14:textFill>
                <w14:solidFill>
                  <w14:schemeClr w14:val="tx1"/>
                </w14:solidFill>
              </w14:textFill>
            </w:rPr>
          </w:pPr>
        </w:p>
        <w:p>
          <w:pPr>
            <w:pStyle w:val="12"/>
            <w:tabs>
              <w:tab w:val="left" w:pos="1260"/>
              <w:tab w:val="right" w:leader="dot" w:pos="9514"/>
            </w:tabs>
            <w:rPr>
              <w:color w:val="000000" w:themeColor="text1"/>
              <w:lang w:val="zh-CN"/>
              <w14:textFill>
                <w14:solidFill>
                  <w14:schemeClr w14:val="tx1"/>
                </w14:solidFill>
              </w14:textFill>
            </w:rPr>
          </w:pPr>
        </w:p>
        <w:p>
          <w:pPr>
            <w:pStyle w:val="12"/>
            <w:tabs>
              <w:tab w:val="left" w:pos="1260"/>
              <w:tab w:val="right" w:leader="dot" w:pos="9514"/>
            </w:tabs>
            <w:rPr>
              <w:color w:val="000000" w:themeColor="text1"/>
              <w:lang w:val="zh-CN"/>
              <w14:textFill>
                <w14:solidFill>
                  <w14:schemeClr w14:val="tx1"/>
                </w14:solidFill>
              </w14:textFill>
            </w:rPr>
          </w:pPr>
        </w:p>
        <w:p>
          <w:pPr>
            <w:pStyle w:val="12"/>
            <w:tabs>
              <w:tab w:val="left" w:pos="1260"/>
              <w:tab w:val="right" w:leader="dot" w:pos="9514"/>
            </w:tabs>
            <w:rPr>
              <w:rFonts w:hint="default" w:eastAsia="黑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"_Toc495861517"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第一章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投标邀请书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3-4</w:t>
          </w:r>
        </w:p>
        <w:p>
          <w:pPr>
            <w:pStyle w:val="12"/>
            <w:tabs>
              <w:tab w:val="left" w:pos="1260"/>
              <w:tab w:val="right" w:leader="dot" w:pos="9514"/>
            </w:tabs>
            <w:rPr>
              <w:color w:val="000000" w:themeColor="text1"/>
              <w14:textFill>
                <w14:solidFill>
                  <w14:schemeClr w14:val="tx1"/>
                </w14:solidFill>
              </w14:textFill>
            </w:rPr>
          </w:pPr>
        </w:p>
        <w:p>
          <w:pPr>
            <w:pStyle w:val="12"/>
            <w:tabs>
              <w:tab w:val="left" w:pos="1260"/>
              <w:tab w:val="right" w:leader="dot" w:pos="9514"/>
            </w:tabs>
            <w:rPr>
              <w:rFonts w:hint="default" w:eastAsia="黑体" w:asciiTheme="minorHAnsi" w:hAnsiTheme="minorHAnsi"/>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"_Toc495861518"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第二章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5-17</w:t>
          </w:r>
        </w:p>
        <w:p>
          <w:pPr>
            <w:pStyle w:val="12"/>
            <w:tabs>
              <w:tab w:val="left" w:pos="1260"/>
              <w:tab w:val="right" w:leader="dot" w:pos="9514"/>
            </w:tabs>
            <w:rPr>
              <w:color w:val="000000" w:themeColor="text1"/>
              <w14:textFill>
                <w14:solidFill>
                  <w14:schemeClr w14:val="tx1"/>
                </w14:solidFill>
              </w14:textFill>
            </w:rPr>
          </w:pPr>
        </w:p>
        <w:p>
          <w:pPr>
            <w:pStyle w:val="1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"_Toc495861532"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第三章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项目技术</w:t>
          </w:r>
          <w:r>
            <w:rPr>
              <w:rStyle w:val="22"/>
              <w:rFonts w:hint="eastAsia" w:ascii="黑体" w:hAnsi="黑体"/>
              <w:color w:val="000000" w:themeColor="text1"/>
              <w:lang w:eastAsia="zh-CN"/>
              <w14:textFill>
                <w14:solidFill>
                  <w14:schemeClr w14:val="tx1"/>
                </w14:solidFill>
              </w14:textFill>
            </w:rPr>
            <w:t>规格</w:t>
          </w:r>
          <w:r>
            <w:rPr>
              <w:rStyle w:val="22"/>
              <w:rFonts w:hint="eastAsia" w:ascii="黑体" w:hAnsi="黑体"/>
              <w:color w:val="000000" w:themeColor="text1"/>
              <w14:textFill>
                <w14:solidFill>
                  <w14:schemeClr w14:val="tx1"/>
                </w14:solidFill>
              </w14:textFill>
            </w:rPr>
            <w:t>、</w:t>
          </w:r>
          <w:r>
            <w:rPr>
              <w:rStyle w:val="22"/>
              <w:rFonts w:hint="eastAsia" w:ascii="黑体" w:hAnsi="黑体"/>
              <w:color w:val="000000" w:themeColor="text1"/>
              <w:lang w:eastAsia="zh-CN"/>
              <w14:textFill>
                <w14:solidFill>
                  <w14:schemeClr w14:val="tx1"/>
                </w14:solidFill>
              </w14:textFill>
            </w:rPr>
            <w:t>参数</w:t>
          </w:r>
          <w:r>
            <w:rPr>
              <w:rStyle w:val="22"/>
              <w:rFonts w:hint="eastAsia" w:ascii="黑体" w:hAnsi="黑体"/>
              <w:color w:val="000000" w:themeColor="text1"/>
              <w14:textFill>
                <w14:solidFill>
                  <w14:schemeClr w14:val="tx1"/>
                </w14:solidFill>
              </w14:textFill>
            </w:rPr>
            <w:t>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18-42</w:t>
          </w:r>
        </w:p>
        <w:p>
          <w:pPr>
            <w:pStyle w:val="12"/>
            <w:tabs>
              <w:tab w:val="left" w:pos="1260"/>
              <w:tab w:val="right" w:leader="dot" w:pos="9514"/>
            </w:tabs>
            <w:rPr>
              <w:color w:val="000000" w:themeColor="text1"/>
              <w14:textFill>
                <w14:solidFill>
                  <w14:schemeClr w14:val="tx1"/>
                </w14:solidFill>
              </w14:textFill>
            </w:rPr>
          </w:pPr>
        </w:p>
        <w:p>
          <w:pPr>
            <w:pStyle w:val="1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"_Toc495861538"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第四章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资格审查方法及标准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42-43</w:t>
          </w:r>
        </w:p>
        <w:p>
          <w:pPr>
            <w:pStyle w:val="12"/>
            <w:tabs>
              <w:tab w:val="left" w:pos="1260"/>
              <w:tab w:val="right" w:leader="dot" w:pos="9514"/>
            </w:tabs>
            <w:rPr>
              <w:color w:val="000000" w:themeColor="text1"/>
              <w14:textFill>
                <w14:solidFill>
                  <w14:schemeClr w14:val="tx1"/>
                </w14:solidFill>
              </w14:textFill>
            </w:rPr>
          </w:pPr>
        </w:p>
        <w:p>
          <w:pPr>
            <w:pStyle w:val="12"/>
            <w:tabs>
              <w:tab w:val="left" w:pos="1260"/>
              <w:tab w:val="right" w:leader="dot" w:pos="9514"/>
            </w:tabs>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"_Toc495861541"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第五章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评标方法、程序及标准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44-49</w:t>
          </w:r>
        </w:p>
        <w:p>
          <w:pPr>
            <w:pStyle w:val="12"/>
            <w:tabs>
              <w:tab w:val="left" w:pos="1260"/>
              <w:tab w:val="right" w:leader="dot" w:pos="9514"/>
            </w:tabs>
            <w:rPr>
              <w:color w:val="000000" w:themeColor="text1"/>
              <w14:textFill>
                <w14:solidFill>
                  <w14:schemeClr w14:val="tx1"/>
                </w14:solidFill>
              </w14:textFill>
            </w:rPr>
          </w:pPr>
        </w:p>
        <w:p>
          <w:pPr>
            <w:pStyle w:val="1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"_Toc495861545"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第六章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合同书格式（参考）</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50-51</w:t>
          </w:r>
        </w:p>
        <w:p>
          <w:pPr>
            <w:pStyle w:val="12"/>
            <w:tabs>
              <w:tab w:val="left" w:pos="1260"/>
              <w:tab w:val="right" w:leader="dot" w:pos="9514"/>
            </w:tabs>
            <w:rPr>
              <w:color w:val="000000" w:themeColor="text1"/>
              <w14:textFill>
                <w14:solidFill>
                  <w14:schemeClr w14:val="tx1"/>
                </w14:solidFill>
              </w14:textFill>
            </w:rPr>
          </w:pPr>
        </w:p>
        <w:p>
          <w:pPr>
            <w:pStyle w:val="12"/>
            <w:tabs>
              <w:tab w:val="left" w:pos="1260"/>
              <w:tab w:val="right" w:leader="dot" w:pos="9514"/>
            </w:tabs>
            <w:rPr>
              <w:rFonts w:hint="default" w:eastAsia="黑体"/>
              <w:b w:val="0"/>
              <w:iCs w:val="0"/>
              <w:color w:val="000000" w:themeColor="text1"/>
              <w:kern w:val="2"/>
              <w:sz w:val="2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"_Toc495861546" </w:instrText>
          </w:r>
          <w:r>
            <w:rPr>
              <w:color w:val="000000" w:themeColor="text1"/>
              <w14:textFill>
                <w14:solidFill>
                  <w14:schemeClr w14:val="tx1"/>
                </w14:solidFill>
              </w14:textFill>
            </w:rPr>
            <w:fldChar w:fldCharType="separate"/>
          </w:r>
          <w:r>
            <w:rPr>
              <w:rStyle w:val="22"/>
              <w:rFonts w:hint="eastAsia" w:ascii="黑体" w:hAnsi="黑体"/>
              <w:color w:val="000000" w:themeColor="text1"/>
              <w14:textFill>
                <w14:solidFill>
                  <w14:schemeClr w14:val="tx1"/>
                </w14:solidFill>
              </w14:textFill>
            </w:rPr>
            <w:t>第七章</w:t>
          </w:r>
          <w:r>
            <w:rPr>
              <w:rFonts w:eastAsiaTheme="minorEastAsia"/>
              <w:b w:val="0"/>
              <w:iCs w:val="0"/>
              <w:color w:val="000000" w:themeColor="text1"/>
              <w:kern w:val="2"/>
              <w:sz w:val="21"/>
              <w14:textFill>
                <w14:solidFill>
                  <w14:schemeClr w14:val="tx1"/>
                </w14:solidFill>
              </w14:textFill>
            </w:rPr>
            <w:tab/>
          </w:r>
          <w:r>
            <w:rPr>
              <w:rStyle w:val="22"/>
              <w:rFonts w:hint="eastAsia" w:ascii="黑体" w:hAnsi="黑体"/>
              <w:color w:val="000000" w:themeColor="text1"/>
              <w14:textFill>
                <w14:solidFill>
                  <w14:schemeClr w14:val="tx1"/>
                </w14:solidFill>
              </w14:textFill>
            </w:rPr>
            <w:t>投标文件格式（参考）</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52-6</w:t>
          </w:r>
          <w:r>
            <w:rPr>
              <w:rFonts w:hint="default"/>
              <w:color w:val="000000" w:themeColor="text1"/>
              <w:lang w:val="en-US" w:eastAsia="zh-CN"/>
              <w14:textFill>
                <w14:solidFill>
                  <w14:schemeClr w14:val="tx1"/>
                </w14:solidFill>
              </w14:textFill>
            </w:rPr>
            <w:t>9</w:t>
          </w:r>
        </w:p>
        <w:p>
          <w:pPr>
            <w:pStyle w:val="14"/>
            <w:tabs>
              <w:tab w:val="left" w:pos="1870"/>
            </w:tabs>
            <w:rPr>
              <w:rFonts w:asciiTheme="minorHAnsi" w:hAnsiTheme="minorHAnsi"/>
              <w:iCs w:val="0"/>
              <w:color w:val="000000" w:themeColor="text1"/>
              <w:kern w:val="2"/>
              <w:sz w:val="21"/>
              <w14:textFill>
                <w14:solidFill>
                  <w14:schemeClr w14:val="tx1"/>
                </w14:solidFill>
              </w14:textFill>
            </w:rPr>
          </w:pPr>
        </w:p>
        <w:p>
          <w:pPr>
            <w:pStyle w:val="12"/>
            <w:tabs>
              <w:tab w:val="left" w:pos="1260"/>
              <w:tab w:val="right" w:leader="dot" w:pos="9514"/>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r>
            <w:rPr>
              <w:b w:val="0"/>
              <w:bCs/>
              <w:color w:val="000000" w:themeColor="text1"/>
              <w:lang w:val="zh-CN"/>
              <w14:textFill>
                <w14:solidFill>
                  <w14:schemeClr w14:val="tx1"/>
                </w14:solidFill>
              </w14:textFill>
            </w:rPr>
            <w:tab/>
          </w:r>
        </w:p>
      </w:sdtContent>
    </w:sdt>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0" w:name="_Toc495861517"/>
      <w:r>
        <w:rPr>
          <w:rFonts w:hint="eastAsia" w:ascii="黑体" w:hAnsi="黑体" w:eastAsia="黑体"/>
          <w:color w:val="000000" w:themeColor="text1"/>
          <w14:textFill>
            <w14:solidFill>
              <w14:schemeClr w14:val="tx1"/>
            </w14:solidFill>
          </w14:textFill>
        </w:rPr>
        <w:t>投标邀请书</w:t>
      </w:r>
      <w:bookmarkEnd w:id="0"/>
    </w:p>
    <w:p>
      <w:pPr>
        <w:spacing w:line="480" w:lineRule="auto"/>
        <w:ind w:firstLine="480" w:firstLineChars="200"/>
        <w:rPr>
          <w:bCs/>
          <w:color w:val="000000" w:themeColor="text1"/>
          <w:sz w:val="32"/>
          <w:szCs w:val="32"/>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依据</w:t>
      </w:r>
      <w:r>
        <w:rPr>
          <w:rFonts w:hint="eastAsia"/>
          <w:bCs/>
          <w:color w:val="000000" w:themeColor="text1"/>
          <w:sz w:val="32"/>
          <w:szCs w:val="32"/>
          <w:u w:val="single"/>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highlight w:val="none"/>
          <w:u w:val="single"/>
          <w:shd w:val="clear" w:fill="FFFFFF"/>
          <w14:textFill>
            <w14:solidFill>
              <w14:schemeClr w14:val="tx1"/>
            </w14:solidFill>
          </w14:textFill>
        </w:rPr>
        <w:t>阳财采计备[2019]A</w:t>
      </w:r>
      <w:r>
        <w:rPr>
          <w:rFonts w:hint="eastAsia" w:ascii="宋体" w:hAnsi="宋体" w:eastAsia="宋体" w:cs="宋体"/>
          <w:i w:val="0"/>
          <w:caps w:val="0"/>
          <w:color w:val="000000" w:themeColor="text1"/>
          <w:spacing w:val="0"/>
          <w:sz w:val="24"/>
          <w:szCs w:val="24"/>
          <w:highlight w:val="none"/>
          <w:u w:val="single"/>
          <w:shd w:val="clear" w:fill="FFFFFF"/>
          <w:lang w:val="en-US" w:eastAsia="zh-CN"/>
          <w14:textFill>
            <w14:solidFill>
              <w14:schemeClr w14:val="tx1"/>
            </w14:solidFill>
          </w14:textFill>
        </w:rPr>
        <w:t>130</w:t>
      </w:r>
      <w:r>
        <w:rPr>
          <w:rFonts w:hint="eastAsia" w:ascii="宋体" w:hAnsi="宋体" w:eastAsia="宋体" w:cs="宋体"/>
          <w:i w:val="0"/>
          <w:caps w:val="0"/>
          <w:color w:val="000000" w:themeColor="text1"/>
          <w:spacing w:val="0"/>
          <w:sz w:val="24"/>
          <w:szCs w:val="24"/>
          <w:highlight w:val="none"/>
          <w:u w:val="single"/>
          <w:shd w:val="clear" w:fill="FFFFFF"/>
          <w14:textFill>
            <w14:solidFill>
              <w14:schemeClr w14:val="tx1"/>
            </w14:solidFill>
          </w14:textFill>
        </w:rPr>
        <w:t>号备案表</w:t>
      </w:r>
      <w:r>
        <w:rPr>
          <w:rFonts w:hint="eastAsia" w:asciiTheme="minorEastAsia" w:hAnsiTheme="minorEastAsia" w:eastAsiaTheme="minorEastAsia" w:cstheme="minorEastAsia"/>
          <w:color w:val="000000" w:themeColor="text1"/>
          <w:sz w:val="24"/>
          <w:szCs w:val="24"/>
          <w14:textFill>
            <w14:solidFill>
              <w14:schemeClr w14:val="tx1"/>
            </w14:solidFill>
          </w14:textFill>
        </w:rPr>
        <w:t>的要求，</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lang w:eastAsia="zh-CN"/>
          <w14:textFill>
            <w14:solidFill>
              <w14:schemeClr w14:val="tx1"/>
            </w14:solidFill>
          </w14:textFill>
        </w:rPr>
        <w:t>湖北方圆工程造价咨询有限公司</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受</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lang w:eastAsia="zh-CN"/>
          <w14:textFill>
            <w14:solidFill>
              <w14:schemeClr w14:val="tx1"/>
            </w14:solidFill>
          </w14:textFill>
        </w:rPr>
        <w:t>阳新</w:t>
      </w:r>
      <w:r>
        <w:rPr>
          <w:rFonts w:hint="eastAsia" w:asciiTheme="minorEastAsia" w:hAnsiTheme="minorEastAsia" w:cstheme="minorEastAsia"/>
          <w:bCs/>
          <w:color w:val="000000" w:themeColor="text1"/>
          <w:sz w:val="24"/>
          <w:szCs w:val="24"/>
          <w:u w:val="single"/>
          <w:lang w:eastAsia="zh-CN"/>
          <w14:textFill>
            <w14:solidFill>
              <w14:schemeClr w14:val="tx1"/>
            </w14:solidFill>
          </w14:textFill>
        </w:rPr>
        <w:t>县公安局的</w:t>
      </w:r>
      <w:r>
        <w:rPr>
          <w:rFonts w:hint="eastAsia" w:asciiTheme="minorEastAsia" w:hAnsiTheme="minorEastAsia" w:eastAsiaTheme="minorEastAsia" w:cstheme="minorEastAsia"/>
          <w:color w:val="000000" w:themeColor="text1"/>
          <w:sz w:val="24"/>
          <w:szCs w:val="24"/>
          <w14:textFill>
            <w14:solidFill>
              <w14:schemeClr w14:val="tx1"/>
            </w14:solidFill>
          </w14:textFill>
        </w:rPr>
        <w:t>委托，就</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bCs/>
          <w:color w:val="000000" w:themeColor="text1"/>
          <w:sz w:val="24"/>
          <w:szCs w:val="24"/>
          <w:u w:val="single"/>
          <w:lang w:eastAsia="zh-CN"/>
          <w14:textFill>
            <w14:solidFill>
              <w14:schemeClr w14:val="tx1"/>
            </w14:solidFill>
          </w14:textFill>
        </w:rPr>
        <w:t>阳新县公安局刑事科学技术实验</w:t>
      </w:r>
      <w:r>
        <w:rPr>
          <w:rFonts w:hint="eastAsia" w:asciiTheme="minorEastAsia" w:hAnsiTheme="minorEastAsia" w:cstheme="minorEastAsia"/>
          <w:bCs/>
          <w:color w:val="000000" w:themeColor="text1"/>
          <w:sz w:val="24"/>
          <w:szCs w:val="24"/>
          <w:u w:val="single"/>
          <w:lang w:val="en-US" w:eastAsia="zh-CN"/>
          <w14:textFill>
            <w14:solidFill>
              <w14:schemeClr w14:val="tx1"/>
            </w14:solidFill>
          </w14:textFill>
        </w:rPr>
        <w:t>室工程</w:t>
      </w:r>
      <w:r>
        <w:rPr>
          <w:rFonts w:hint="eastAsia" w:asciiTheme="minorEastAsia" w:hAnsiTheme="minorEastAsia" w:cstheme="minorEastAsia"/>
          <w:bCs/>
          <w:color w:val="000000" w:themeColor="text1"/>
          <w:sz w:val="24"/>
          <w:szCs w:val="24"/>
          <w:u w:val="singl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项目进行公开招标采购</w:t>
      </w:r>
      <w:r>
        <w:rPr>
          <w:rFonts w:hint="eastAsia" w:ascii="宋体" w:hAnsi="宋体" w:eastAsia="宋体" w:cs="Times New Roman"/>
          <w:color w:val="000000" w:themeColor="text1"/>
          <w:sz w:val="24"/>
          <w:szCs w:val="24"/>
          <w14:textFill>
            <w14:solidFill>
              <w14:schemeClr w14:val="tx1"/>
            </w14:solidFill>
          </w14:textFill>
        </w:rPr>
        <w:t>，欢迎符合条件的供应商投标。</w:t>
      </w:r>
    </w:p>
    <w:p>
      <w:pPr>
        <w:numPr>
          <w:ilvl w:val="0"/>
          <w:numId w:val="2"/>
        </w:numPr>
        <w:spacing w:line="360" w:lineRule="auto"/>
        <w:ind w:left="490" w:hanging="490"/>
        <w:rPr>
          <w:rFonts w:ascii="宋体" w:hAnsi="宋体" w:eastAsia="宋体" w:cs="Times New Roman"/>
          <w:b/>
          <w:bCs w:val="0"/>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szCs w:val="24"/>
          <w14:textFill>
            <w14:solidFill>
              <w14:schemeClr w14:val="tx1"/>
            </w14:solidFill>
          </w14:textFill>
        </w:rPr>
        <w:t>项目编号：</w:t>
      </w:r>
      <w:r>
        <w:rPr>
          <w:rFonts w:hint="eastAsia"/>
          <w:bCs/>
          <w:color w:val="000000" w:themeColor="text1"/>
          <w:sz w:val="32"/>
          <w:szCs w:val="32"/>
          <w:u w:val="single"/>
          <w:lang w:val="en-US" w:eastAsia="zh-CN"/>
          <w14:textFill>
            <w14:solidFill>
              <w14:schemeClr w14:val="tx1"/>
            </w14:solidFill>
          </w14:textFill>
        </w:rPr>
        <w:t>131 - Zcg . 2019 -</w:t>
      </w:r>
      <w:r>
        <w:rPr>
          <w:rFonts w:hint="eastAsia" w:asciiTheme="majorEastAsia" w:hAnsiTheme="majorEastAsia" w:eastAsiaTheme="majorEastAsia" w:cstheme="majorEastAsia"/>
          <w:b/>
          <w:bCs w:val="0"/>
          <w:color w:val="000000" w:themeColor="text1"/>
          <w:sz w:val="24"/>
          <w:szCs w:val="24"/>
          <w:u w:val="single"/>
          <w:lang w:val="en-US" w:eastAsia="zh-CN"/>
          <w14:textFill>
            <w14:solidFill>
              <w14:schemeClr w14:val="tx1"/>
            </w14:solidFill>
          </w14:textFill>
        </w:rPr>
        <w:t xml:space="preserve">      </w:t>
      </w:r>
    </w:p>
    <w:p>
      <w:pPr>
        <w:numPr>
          <w:ilvl w:val="0"/>
          <w:numId w:val="2"/>
        </w:numPr>
        <w:spacing w:line="360" w:lineRule="auto"/>
        <w:ind w:left="490" w:hanging="490"/>
        <w:rPr>
          <w:rFonts w:ascii="宋体" w:hAnsi="宋体" w:eastAsia="宋体" w:cs="Times New Roman"/>
          <w:b/>
          <w:bCs w:val="0"/>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szCs w:val="24"/>
          <w14:textFill>
            <w14:solidFill>
              <w14:schemeClr w14:val="tx1"/>
            </w14:solidFill>
          </w14:textFill>
        </w:rPr>
        <w:t>项目名称：</w:t>
      </w:r>
      <w:r>
        <w:rPr>
          <w:rFonts w:hint="eastAsia" w:ascii="宋体" w:hAnsi="宋体" w:eastAsia="宋体" w:cs="Times New Roman"/>
          <w:b/>
          <w:bCs w:val="0"/>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b/>
          <w:bCs w:val="0"/>
          <w:color w:val="000000" w:themeColor="text1"/>
          <w:sz w:val="24"/>
          <w:szCs w:val="24"/>
          <w:u w:val="single"/>
          <w:lang w:eastAsia="zh-CN"/>
          <w14:textFill>
            <w14:solidFill>
              <w14:schemeClr w14:val="tx1"/>
            </w14:solidFill>
          </w14:textFill>
        </w:rPr>
        <w:t>阳新县公安局刑事科学技术实验</w:t>
      </w:r>
      <w:r>
        <w:rPr>
          <w:rFonts w:hint="eastAsia" w:asciiTheme="minorEastAsia" w:hAnsiTheme="minorEastAsia" w:cstheme="minorEastAsia"/>
          <w:b/>
          <w:bCs w:val="0"/>
          <w:color w:val="000000" w:themeColor="text1"/>
          <w:sz w:val="24"/>
          <w:szCs w:val="24"/>
          <w:u w:val="single"/>
          <w:lang w:val="en-US" w:eastAsia="zh-CN"/>
          <w14:textFill>
            <w14:solidFill>
              <w14:schemeClr w14:val="tx1"/>
            </w14:solidFill>
          </w14:textFill>
        </w:rPr>
        <w:t>室工程采购</w:t>
      </w:r>
      <w:r>
        <w:rPr>
          <w:rFonts w:hint="eastAsia" w:asciiTheme="minorEastAsia" w:hAnsiTheme="minorEastAsia" w:eastAsiaTheme="minorEastAsia" w:cstheme="minorEastAsia"/>
          <w:b/>
          <w:bCs w:val="0"/>
          <w:color w:val="000000" w:themeColor="text1"/>
          <w:sz w:val="24"/>
          <w:szCs w:val="24"/>
          <w:u w:val="single"/>
          <w14:textFill>
            <w14:solidFill>
              <w14:schemeClr w14:val="tx1"/>
            </w14:solidFill>
          </w14:textFill>
        </w:rPr>
        <w:t>项目</w:t>
      </w:r>
    </w:p>
    <w:p>
      <w:pPr>
        <w:numPr>
          <w:ilvl w:val="0"/>
          <w:numId w:val="2"/>
        </w:numPr>
        <w:spacing w:line="360" w:lineRule="auto"/>
        <w:ind w:left="490" w:hanging="49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color w:val="000000" w:themeColor="text1"/>
          <w:sz w:val="24"/>
          <w:szCs w:val="24"/>
          <w14:textFill>
            <w14:solidFill>
              <w14:schemeClr w14:val="tx1"/>
            </w14:solidFill>
          </w14:textFill>
        </w:rPr>
        <w:t>招标内容</w:t>
      </w:r>
      <w:r>
        <w:rPr>
          <w:rFonts w:hint="eastAsia" w:ascii="宋体" w:hAnsi="宋体" w:eastAsia="宋体" w:cs="Times New Roman"/>
          <w:color w:val="000000" w:themeColor="text1"/>
          <w:sz w:val="24"/>
          <w:szCs w:val="24"/>
          <w14:textFill>
            <w14:solidFill>
              <w14:schemeClr w14:val="tx1"/>
            </w14:solidFill>
          </w14:textFill>
        </w:rPr>
        <w:t>：详见招标文件技术参数和货物清单</w:t>
      </w:r>
    </w:p>
    <w:p>
      <w:pPr>
        <w:widowControl/>
        <w:numPr>
          <w:ilvl w:val="0"/>
          <w:numId w:val="2"/>
        </w:numPr>
        <w:spacing w:line="460" w:lineRule="exact"/>
        <w:ind w:left="420" w:leftChars="0" w:hanging="420" w:firstLineChars="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采购预算：</w:t>
      </w:r>
      <w:r>
        <w:rPr>
          <w:rFonts w:hint="eastAsia" w:ascii="宋体" w:hAnsi="宋体" w:eastAsia="宋体" w:cs="Times New Roman"/>
          <w:b/>
          <w:color w:val="000000" w:themeColor="text1"/>
          <w:sz w:val="24"/>
          <w:szCs w:val="24"/>
          <w:highlight w:val="none"/>
          <w:lang w:eastAsia="zh-CN"/>
          <w14:textFill>
            <w14:solidFill>
              <w14:schemeClr w14:val="tx1"/>
            </w14:solidFill>
          </w14:textFill>
        </w:rPr>
        <w:t>人民币</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110.26万元整</w:t>
      </w:r>
    </w:p>
    <w:p>
      <w:pPr>
        <w:numPr>
          <w:ilvl w:val="0"/>
          <w:numId w:val="2"/>
        </w:numPr>
        <w:spacing w:line="360" w:lineRule="auto"/>
        <w:ind w:left="420" w:leftChars="0" w:hanging="420" w:firstLine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资金来源：</w:t>
      </w:r>
      <w:r>
        <w:rPr>
          <w:rFonts w:hint="eastAsia" w:ascii="宋体" w:hAnsi="宋体" w:eastAsia="宋体" w:cs="Times New Roman"/>
          <w:b/>
          <w:bCs/>
          <w:color w:val="000000" w:themeColor="text1"/>
          <w:sz w:val="24"/>
          <w:szCs w:val="24"/>
          <w:lang w:eastAsia="zh-CN"/>
          <w14:textFill>
            <w14:solidFill>
              <w14:schemeClr w14:val="tx1"/>
            </w14:solidFill>
          </w14:textFill>
        </w:rPr>
        <w:t>政府资金</w:t>
      </w:r>
    </w:p>
    <w:p>
      <w:pPr>
        <w:numPr>
          <w:ilvl w:val="0"/>
          <w:numId w:val="2"/>
        </w:numPr>
        <w:spacing w:line="360" w:lineRule="auto"/>
        <w:ind w:left="420" w:leftChars="0" w:hanging="420" w:firstLine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政府集中采购项目：否</w:t>
      </w:r>
    </w:p>
    <w:p>
      <w:pPr>
        <w:numPr>
          <w:ilvl w:val="0"/>
          <w:numId w:val="2"/>
        </w:numPr>
        <w:spacing w:line="360" w:lineRule="auto"/>
        <w:ind w:left="420" w:leftChars="0" w:hanging="420" w:firstLineChars="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投标人资格要求：</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应具备《政府采购法》第二十二条第一款规定的条件；</w:t>
      </w:r>
    </w:p>
    <w:p>
      <w:pPr>
        <w:numPr>
          <w:ilvl w:val="0"/>
          <w:numId w:val="3"/>
        </w:numPr>
        <w:tabs>
          <w:tab w:val="left" w:pos="896"/>
        </w:tabs>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keepNext w:val="0"/>
        <w:keepLines w:val="0"/>
        <w:pageBreakBefore w:val="0"/>
        <w:numPr>
          <w:ilvl w:val="0"/>
          <w:numId w:val="3"/>
        </w:numPr>
        <w:tabs>
          <w:tab w:val="left" w:pos="896"/>
        </w:tabs>
        <w:kinsoku/>
        <w:wordWrap/>
        <w:overflowPunct/>
        <w:topLinePunct w:val="0"/>
        <w:autoSpaceDE/>
        <w:autoSpaceDN/>
        <w:bidi w:val="0"/>
        <w:adjustRightInd/>
        <w:snapToGrid/>
        <w:spacing w:line="360" w:lineRule="auto"/>
        <w:ind w:left="901" w:leftChars="0" w:hanging="420" w:firstLineChars="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不接受联合体形式的投标。</w:t>
      </w:r>
    </w:p>
    <w:p>
      <w:pPr>
        <w:numPr>
          <w:ilvl w:val="0"/>
          <w:numId w:val="2"/>
        </w:numPr>
        <w:spacing w:line="360" w:lineRule="auto"/>
        <w:ind w:left="490" w:hanging="49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招标文件获取</w:t>
      </w:r>
      <w:r>
        <w:rPr>
          <w:rFonts w:hint="eastAsia" w:ascii="宋体" w:hAnsi="宋体" w:eastAsia="宋体" w:cs="宋体"/>
          <w:b/>
          <w:color w:val="000000" w:themeColor="text1"/>
          <w:kern w:val="0"/>
          <w:sz w:val="24"/>
          <w:szCs w:val="24"/>
          <w14:textFill>
            <w14:solidFill>
              <w14:schemeClr w14:val="tx1"/>
            </w14:solidFill>
          </w14:textFill>
        </w:rPr>
        <w:t>：</w:t>
      </w:r>
    </w:p>
    <w:p>
      <w:pPr>
        <w:widowControl/>
        <w:adjustRightInd w:val="0"/>
        <w:snapToGrid w:val="0"/>
        <w:spacing w:line="360" w:lineRule="auto"/>
        <w:ind w:firstLine="360" w:firstLineChars="150"/>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本项目实行网上下载标书，招标文件与本招标公告同时发布（见招标文件下载），凡自愿参加本项目投标者，</w:t>
      </w:r>
      <w:r>
        <w:rPr>
          <w:rFonts w:hint="eastAsia" w:ascii="宋体" w:hAnsi="宋体" w:eastAsia="宋体" w:cs="Times New Roman"/>
          <w:color w:val="000000" w:themeColor="text1"/>
          <w:sz w:val="24"/>
          <w:szCs w:val="24"/>
          <w:highlight w:val="none"/>
          <w14:textFill>
            <w14:solidFill>
              <w14:schemeClr w14:val="tx1"/>
            </w14:solidFill>
          </w14:textFill>
        </w:rPr>
        <w:t>请于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2019</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27</w:t>
      </w:r>
      <w:r>
        <w:rPr>
          <w:rFonts w:hint="eastAsia" w:ascii="宋体" w:hAnsi="宋体" w:eastAsia="宋体" w:cs="Times New Roman"/>
          <w:color w:val="000000" w:themeColor="text1"/>
          <w:sz w:val="24"/>
          <w:szCs w:val="24"/>
          <w:highlight w:val="none"/>
          <w14:textFill>
            <w14:solidFill>
              <w14:schemeClr w14:val="tx1"/>
            </w14:solidFill>
          </w14:textFill>
        </w:rPr>
        <w:t>日至</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2019</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14:textFill>
            <w14:solidFill>
              <w14:schemeClr w14:val="tx1"/>
            </w14:solidFill>
          </w14:textFill>
        </w:rPr>
        <w:t>前点击项目招标公告中的链接免费下载招标文件，并在投标截止时间前办理所有投标手续并同时递交投标文件。</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投标信息：</w:t>
      </w:r>
    </w:p>
    <w:p>
      <w:pPr>
        <w:spacing w:line="360" w:lineRule="auto"/>
        <w:ind w:firstLine="470" w:firstLineChars="196"/>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w:t>
      </w:r>
      <w:r>
        <w:rPr>
          <w:rFonts w:hint="eastAsia" w:ascii="宋体" w:hAnsi="宋体" w:eastAsia="宋体" w:cs="宋体"/>
          <w:color w:val="000000" w:themeColor="text1"/>
          <w:kern w:val="0"/>
          <w:sz w:val="24"/>
          <w:szCs w:val="24"/>
          <w:highlight w:val="none"/>
          <w14:textFill>
            <w14:solidFill>
              <w14:schemeClr w14:val="tx1"/>
            </w14:solidFill>
          </w14:textFill>
        </w:rPr>
        <w:t>截止时间：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2019</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22</w:t>
      </w: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9时00分</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分开始接收投标文件，拒收逾期送达或者未按招标文件要求密封的投标文件）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投标文件递交地点：阳新县公共资源交易中心</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楼开标大厅（阳新县熊家垴安置小区东侧）</w:t>
      </w:r>
    </w:p>
    <w:p>
      <w:pPr>
        <w:widowControl/>
        <w:spacing w:line="357" w:lineRule="atLeast"/>
        <w:ind w:firstLine="480" w:firstLineChars="200"/>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开标信息：</w:t>
      </w:r>
    </w:p>
    <w:p>
      <w:pPr>
        <w:spacing w:line="360" w:lineRule="auto"/>
        <w:ind w:firstLine="470" w:firstLineChars="196"/>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开标时间</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2019</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22</w:t>
      </w: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9时00分</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pPr>
        <w:spacing w:line="360" w:lineRule="auto"/>
        <w:ind w:firstLine="470" w:firstLineChars="196"/>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开标地点：阳新县公共资源交易中心</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楼开标大厅（阳新县熊家垴安置小区东侧）</w:t>
      </w:r>
    </w:p>
    <w:p>
      <w:pPr>
        <w:numPr>
          <w:ilvl w:val="0"/>
          <w:numId w:val="2"/>
        </w:numPr>
        <w:spacing w:line="360" w:lineRule="auto"/>
        <w:ind w:left="728" w:hanging="72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公告期限：</w:t>
      </w:r>
      <w:r>
        <w:rPr>
          <w:rFonts w:hint="eastAsia" w:ascii="宋体" w:hAnsi="宋体" w:eastAsia="宋体" w:cs="Times New Roman"/>
          <w:color w:val="000000" w:themeColor="text1"/>
          <w:sz w:val="24"/>
          <w:szCs w:val="24"/>
          <w14:textFill>
            <w14:solidFill>
              <w14:schemeClr w14:val="tx1"/>
            </w14:solidFill>
          </w14:textFill>
        </w:rPr>
        <w:t>自公告发布之日起5个工作日。</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质疑：</w:t>
      </w:r>
    </w:p>
    <w:p>
      <w:pPr>
        <w:spacing w:line="360" w:lineRule="auto"/>
        <w:ind w:firstLine="480" w:firstLineChars="200"/>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投标人认为招标文件、招标过程和中标结果使自己的权益受到损害的，可以在知道或者应知其权益受到损害之日起7个工作日内，向提出</w:t>
      </w:r>
      <w:r>
        <w:rPr>
          <w:rFonts w:hint="eastAsia" w:cs="宋体"/>
          <w:color w:val="000000" w:themeColor="text1"/>
          <w:kern w:val="0"/>
          <w:sz w:val="24"/>
          <w:szCs w:val="24"/>
          <w:lang w:val="zh-CN"/>
          <w14:textFill>
            <w14:solidFill>
              <w14:schemeClr w14:val="tx1"/>
            </w14:solidFill>
          </w14:textFill>
        </w:rPr>
        <w:t>书面</w:t>
      </w:r>
      <w:r>
        <w:rPr>
          <w:rFonts w:hint="eastAsia" w:ascii="宋体" w:hAnsi="宋体" w:eastAsia="宋体" w:cs="宋体"/>
          <w:color w:val="000000" w:themeColor="text1"/>
          <w:kern w:val="0"/>
          <w:sz w:val="24"/>
          <w:szCs w:val="24"/>
          <w:lang w:val="zh-CN"/>
          <w14:textFill>
            <w14:solidFill>
              <w14:schemeClr w14:val="tx1"/>
            </w14:solidFill>
          </w14:textFill>
        </w:rPr>
        <w:t>质疑。</w:t>
      </w:r>
      <w:r>
        <w:rPr>
          <w:rFonts w:hint="eastAsia" w:ascii="宋体" w:hAnsi="宋体" w:eastAsia="宋体" w:cs="宋体"/>
          <w:color w:val="000000" w:themeColor="text1"/>
          <w:kern w:val="0"/>
          <w:sz w:val="24"/>
          <w:szCs w:val="24"/>
          <w14:textFill>
            <w14:solidFill>
              <w14:schemeClr w14:val="tx1"/>
            </w14:solidFill>
          </w14:textFill>
        </w:rPr>
        <w:t>质疑时请提交书面质疑函一份（法人代表签字、加盖单位公章。具体要求详见本招标文件“第二章 投标人须知”中的第八条之规定），并附相关证据材料。</w:t>
      </w:r>
    </w:p>
    <w:p>
      <w:pPr>
        <w:numPr>
          <w:ilvl w:val="0"/>
          <w:numId w:val="2"/>
        </w:numPr>
        <w:spacing w:line="360" w:lineRule="auto"/>
        <w:ind w:left="728" w:hanging="728"/>
        <w:rPr>
          <w:rFonts w:ascii="宋体" w:hAnsi="宋体" w:eastAsia="宋体" w:cs="宋体"/>
          <w:b/>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联系方式：</w:t>
      </w:r>
    </w:p>
    <w:p>
      <w:pPr>
        <w:widowControl/>
        <w:spacing w:line="360" w:lineRule="auto"/>
        <w:ind w:firstLine="480"/>
        <w:jc w:val="left"/>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采购</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人</w:t>
      </w: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阳新县公安局</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p>
    <w:p>
      <w:pPr>
        <w:widowControl/>
        <w:spacing w:line="360" w:lineRule="auto"/>
        <w:ind w:firstLine="480"/>
        <w:jc w:val="left"/>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联系人：</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t xml:space="preserve">     陈林    </w:t>
      </w:r>
    </w:p>
    <w:p>
      <w:pPr>
        <w:widowControl/>
        <w:spacing w:line="360" w:lineRule="auto"/>
        <w:ind w:firstLine="480"/>
        <w:jc w:val="left"/>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联系电话：</w:t>
      </w:r>
      <w:r>
        <w:rPr>
          <w:rFonts w:hint="eastAsia" w:ascii="宋体" w:hAnsi="宋体" w:eastAsia="宋体" w:cs="Times New Roman"/>
          <w:b/>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b/>
          <w:color w:val="000000" w:themeColor="text1"/>
          <w:sz w:val="24"/>
          <w:szCs w:val="24"/>
          <w:highlight w:val="none"/>
          <w:u w:val="single"/>
          <w:lang w:val="en-US" w:eastAsia="zh-CN"/>
          <w14:textFill>
            <w14:solidFill>
              <w14:schemeClr w14:val="tx1"/>
            </w14:solidFill>
          </w14:textFill>
        </w:rPr>
        <w:t xml:space="preserve">13872122771  </w:t>
      </w:r>
    </w:p>
    <w:p>
      <w:pPr>
        <w:widowControl/>
        <w:spacing w:line="360" w:lineRule="auto"/>
        <w:ind w:firstLine="48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
          <w:bCs w:val="0"/>
          <w:color w:val="000000" w:themeColor="text1"/>
          <w:sz w:val="24"/>
          <w:szCs w:val="24"/>
          <w:highlight w:val="none"/>
          <w:u w:val="single"/>
          <w:lang w:val="en-US" w:eastAsia="zh-CN"/>
          <w14:textFill>
            <w14:solidFill>
              <w14:schemeClr w14:val="tx1"/>
            </w14:solidFill>
          </w14:textFill>
        </w:rPr>
        <w:t xml:space="preserve">  </w:t>
      </w:r>
      <w:r>
        <w:rPr>
          <w:rFonts w:ascii="Arial" w:hAnsi="Arial" w:eastAsia="宋体" w:cs="Arial"/>
          <w:b/>
          <w:bCs w:val="0"/>
          <w:i w:val="0"/>
          <w:caps w:val="0"/>
          <w:color w:val="333333"/>
          <w:spacing w:val="0"/>
          <w:sz w:val="24"/>
          <w:szCs w:val="24"/>
          <w:u w:val="single"/>
          <w:shd w:val="clear" w:fill="FFFFFF"/>
        </w:rPr>
        <w:t>湖北省黄石市阳新县阳新大道1号</w:t>
      </w:r>
    </w:p>
    <w:p>
      <w:pPr>
        <w:widowControl/>
        <w:spacing w:line="360" w:lineRule="auto"/>
        <w:ind w:firstLine="480"/>
        <w:jc w:val="left"/>
        <w:rPr>
          <w:rFonts w:hint="eastAsia" w:ascii="宋体" w:hAnsi="宋体" w:eastAsia="宋体" w:cs="宋体"/>
          <w:bCs/>
          <w:color w:val="000000" w:themeColor="text1"/>
          <w:kern w:val="0"/>
          <w:sz w:val="24"/>
          <w:szCs w:val="24"/>
          <w14:textFill>
            <w14:solidFill>
              <w14:schemeClr w14:val="tx1"/>
            </w14:solidFill>
          </w14:textFill>
        </w:rPr>
      </w:pP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采购</w:t>
      </w:r>
      <w:r>
        <w:rPr>
          <w:rFonts w:hint="eastAsia" w:ascii="宋体" w:hAnsi="宋体" w:eastAsia="宋体" w:cs="宋体"/>
          <w:bCs/>
          <w:color w:val="000000" w:themeColor="text1"/>
          <w:kern w:val="0"/>
          <w:sz w:val="24"/>
          <w:szCs w:val="24"/>
          <w:lang w:eastAsia="zh-CN"/>
          <w14:textFill>
            <w14:solidFill>
              <w14:schemeClr w14:val="tx1"/>
            </w14:solidFill>
          </w14:textFill>
        </w:rPr>
        <w:t>代理机构</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eastAsia="zh-CN"/>
          <w14:textFill>
            <w14:solidFill>
              <w14:schemeClr w14:val="tx1"/>
            </w14:solidFill>
          </w14:textFill>
        </w:rPr>
        <w:t>湖北方圆工程造价咨询有限公司</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联系人：</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潘泳安</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 xml:space="preserve">    </w:t>
      </w:r>
    </w:p>
    <w:p>
      <w:pPr>
        <w:widowControl/>
        <w:spacing w:line="360" w:lineRule="auto"/>
        <w:ind w:firstLine="480"/>
        <w:jc w:val="left"/>
        <w:rPr>
          <w:rFonts w:hint="eastAsia"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联系电话：</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13297668788</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p>
      <w:pPr>
        <w:widowControl/>
        <w:spacing w:line="360" w:lineRule="auto"/>
        <w:ind w:firstLine="48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地址：</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eastAsia="宋体" w:cs="Times New Roman"/>
          <w:b/>
          <w:color w:val="000000" w:themeColor="text1"/>
          <w:sz w:val="24"/>
          <w:szCs w:val="24"/>
          <w:u w:val="single"/>
          <w:lang w:eastAsia="zh-CN"/>
          <w14:textFill>
            <w14:solidFill>
              <w14:schemeClr w14:val="tx1"/>
            </w14:solidFill>
          </w14:textFill>
        </w:rPr>
        <w:t>阳新县兴国镇熊家垴小区</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1栋25楼2503</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p>
      <w:pPr>
        <w:widowControl/>
        <w:spacing w:line="360" w:lineRule="auto"/>
        <w:jc w:val="left"/>
        <w:rPr>
          <w:rFonts w:hint="eastAsia" w:ascii="宋体" w:hAnsi="宋体" w:eastAsia="宋体" w:cs="Times New Roman"/>
          <w:b/>
          <w:color w:val="000000" w:themeColor="text1"/>
          <w:sz w:val="28"/>
          <w:szCs w:val="28"/>
          <w:highlight w:val="none"/>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 xml:space="preserve">                                   </w:t>
      </w:r>
      <w:r>
        <w:rPr>
          <w:rFonts w:hint="eastAsia" w:ascii="宋体" w:hAnsi="宋体" w:eastAsia="宋体" w:cs="Times New Roman"/>
          <w:b/>
          <w:color w:val="000000" w:themeColor="text1"/>
          <w:sz w:val="28"/>
          <w:szCs w:val="28"/>
          <w:highlight w:val="none"/>
          <w:lang w:val="zh-CN"/>
          <w14:textFill>
            <w14:solidFill>
              <w14:schemeClr w14:val="tx1"/>
            </w14:solidFill>
          </w14:textFill>
        </w:rPr>
        <w:t xml:space="preserve">      </w:t>
      </w:r>
    </w:p>
    <w:p>
      <w:pPr>
        <w:widowControl/>
        <w:spacing w:line="360" w:lineRule="auto"/>
        <w:jc w:val="left"/>
        <w:rPr>
          <w:rFonts w:hint="eastAsia" w:ascii="宋体" w:hAnsi="宋体" w:eastAsia="宋体" w:cs="Times New Roman"/>
          <w:b/>
          <w:color w:val="000000" w:themeColor="text1"/>
          <w:sz w:val="28"/>
          <w:szCs w:val="28"/>
          <w:highlight w:val="none"/>
          <w:lang w:val="zh-CN"/>
          <w14:textFill>
            <w14:solidFill>
              <w14:schemeClr w14:val="tx1"/>
            </w14:solidFill>
          </w14:textFill>
        </w:rPr>
      </w:pPr>
    </w:p>
    <w:p>
      <w:pPr>
        <w:widowControl/>
        <w:spacing w:line="360" w:lineRule="auto"/>
        <w:jc w:val="left"/>
        <w:rPr>
          <w:rFonts w:hint="eastAsia" w:ascii="宋体" w:hAnsi="宋体" w:eastAsia="宋体" w:cs="Times New Roman"/>
          <w:b/>
          <w:color w:val="000000" w:themeColor="text1"/>
          <w:sz w:val="28"/>
          <w:szCs w:val="28"/>
          <w:highlight w:val="none"/>
          <w:lang w:val="zh-CN"/>
          <w14:textFill>
            <w14:solidFill>
              <w14:schemeClr w14:val="tx1"/>
            </w14:solidFill>
          </w14:textFill>
        </w:rPr>
      </w:pPr>
    </w:p>
    <w:p>
      <w:pPr>
        <w:widowControl/>
        <w:spacing w:line="360" w:lineRule="auto"/>
        <w:ind w:firstLine="7280" w:firstLineChars="2600"/>
        <w:jc w:val="left"/>
        <w:rPr>
          <w:rFonts w:hint="eastAsia" w:ascii="宋体" w:hAnsi="宋体" w:eastAsia="宋体" w:cs="Times New Roman"/>
          <w:b/>
          <w:color w:val="000000" w:themeColor="text1"/>
          <w:sz w:val="28"/>
          <w:szCs w:val="28"/>
          <w:highlight w:val="none"/>
          <w:lang w:val="en-US" w:eastAsia="zh-CN"/>
          <w14:textFill>
            <w14:solidFill>
              <w14:schemeClr w14:val="tx1"/>
            </w14:solidFill>
          </w14:textFill>
        </w:rPr>
      </w:pPr>
      <w:bookmarkStart w:id="211" w:name="_GoBack"/>
      <w:bookmarkEnd w:id="211"/>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2019</w:t>
      </w:r>
      <w:r>
        <w:rPr>
          <w:rFonts w:hint="eastAsia" w:ascii="宋体" w:hAnsi="宋体" w:eastAsia="宋体" w:cs="Times New Roman"/>
          <w:b/>
          <w:color w:val="000000" w:themeColor="text1"/>
          <w:sz w:val="28"/>
          <w:szCs w:val="28"/>
          <w:highlight w:val="none"/>
          <w:lang w:val="zh-CN"/>
          <w14:textFill>
            <w14:solidFill>
              <w14:schemeClr w14:val="tx1"/>
            </w14:solidFill>
          </w14:textFill>
        </w:rPr>
        <w:t>年</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9</w:t>
      </w:r>
      <w:r>
        <w:rPr>
          <w:rFonts w:hint="eastAsia" w:ascii="宋体" w:hAnsi="宋体" w:eastAsia="宋体" w:cs="Times New Roman"/>
          <w:b/>
          <w:color w:val="000000" w:themeColor="text1"/>
          <w:sz w:val="28"/>
          <w:szCs w:val="28"/>
          <w:highlight w:val="none"/>
          <w:lang w:val="zh-CN"/>
          <w14:textFill>
            <w14:solidFill>
              <w14:schemeClr w14:val="tx1"/>
            </w14:solidFill>
          </w14:textFill>
        </w:rPr>
        <w:t>月</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27</w:t>
      </w:r>
      <w:r>
        <w:rPr>
          <w:rFonts w:hint="eastAsia" w:ascii="宋体" w:hAnsi="宋体" w:eastAsia="宋体" w:cs="Times New Roman"/>
          <w:b/>
          <w:color w:val="000000" w:themeColor="text1"/>
          <w:sz w:val="28"/>
          <w:szCs w:val="28"/>
          <w:highlight w:val="none"/>
          <w:lang w:val="zh-CN"/>
          <w14:textFill>
            <w14:solidFill>
              <w14:schemeClr w14:val="tx1"/>
            </w14:solidFill>
          </w14:textFill>
        </w:rPr>
        <w:t>日</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 xml:space="preserve"> </w:t>
      </w:r>
    </w:p>
    <w:p>
      <w:pPr>
        <w:widowControl/>
        <w:spacing w:line="360" w:lineRule="auto"/>
        <w:jc w:val="left"/>
        <w:rPr>
          <w:rFonts w:hint="eastAsia" w:ascii="宋体" w:hAnsi="宋体" w:eastAsia="宋体" w:cs="Times New Roman"/>
          <w:b/>
          <w:color w:val="000000" w:themeColor="text1"/>
          <w:sz w:val="28"/>
          <w:szCs w:val="28"/>
          <w:highlight w:val="yellow"/>
          <w:lang w:val="en-US" w:eastAsia="zh-CN"/>
          <w14:textFill>
            <w14:solidFill>
              <w14:schemeClr w14:val="tx1"/>
            </w14:solidFill>
          </w14:textFill>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1" w:name="_Toc495861518"/>
      <w:r>
        <w:rPr>
          <w:rFonts w:hint="eastAsia" w:ascii="黑体" w:hAnsi="黑体" w:eastAsia="黑体"/>
          <w:color w:val="000000" w:themeColor="text1"/>
          <w14:textFill>
            <w14:solidFill>
              <w14:schemeClr w14:val="tx1"/>
            </w14:solidFill>
          </w14:textFill>
        </w:rPr>
        <w:t>投标人须知</w:t>
      </w:r>
      <w:bookmarkEnd w:id="1"/>
    </w:p>
    <w:p>
      <w:pPr>
        <w:keepNext/>
        <w:keepLines/>
        <w:spacing w:line="360" w:lineRule="auto"/>
        <w:jc w:val="center"/>
        <w:outlineLvl w:val="1"/>
        <w:rPr>
          <w:rFonts w:cs="Times New Roman" w:asciiTheme="majorEastAsia" w:hAnsiTheme="majorEastAsia" w:eastAsiaTheme="majorEastAsia"/>
          <w:b/>
          <w:bCs/>
          <w:color w:val="000000" w:themeColor="text1"/>
          <w:sz w:val="32"/>
          <w:szCs w:val="32"/>
          <w:lang w:val="zh-CN"/>
          <w14:textFill>
            <w14:solidFill>
              <w14:schemeClr w14:val="tx1"/>
            </w14:solidFill>
          </w14:textFill>
        </w:rPr>
      </w:pPr>
      <w:bookmarkStart w:id="2" w:name="_Toc494561937"/>
      <w:bookmarkStart w:id="3" w:name="_Toc495861519"/>
      <w:r>
        <w:rPr>
          <w:rFonts w:cs="Times New Roman" w:asciiTheme="majorEastAsia" w:hAnsiTheme="majorEastAsia" w:eastAsiaTheme="majorEastAsia"/>
          <w:b/>
          <w:bCs/>
          <w:color w:val="000000" w:themeColor="text1"/>
          <w:sz w:val="32"/>
          <w:szCs w:val="32"/>
          <w:lang w:val="zh-CN"/>
          <w14:textFill>
            <w14:solidFill>
              <w14:schemeClr w14:val="tx1"/>
            </w14:solidFill>
          </w14:textFill>
        </w:rPr>
        <w:t>投标须知前附表</w:t>
      </w:r>
      <w:bookmarkEnd w:id="2"/>
      <w:bookmarkEnd w:id="3"/>
    </w:p>
    <w:tbl>
      <w:tblPr>
        <w:tblStyle w:val="17"/>
        <w:tblW w:w="99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2357"/>
        <w:gridCol w:w="69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trPr>
        <w:tc>
          <w:tcPr>
            <w:tcW w:w="721"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序号</w:t>
            </w:r>
          </w:p>
        </w:tc>
        <w:tc>
          <w:tcPr>
            <w:tcW w:w="2357"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名  称</w:t>
            </w:r>
          </w:p>
        </w:tc>
        <w:tc>
          <w:tcPr>
            <w:tcW w:w="6902" w:type="dxa"/>
            <w:tcBorders>
              <w:top w:val="single" w:color="auto" w:sz="4" w:space="0"/>
              <w:left w:val="single" w:color="auto" w:sz="4" w:space="0"/>
              <w:bottom w:val="single" w:color="auto" w:sz="4" w:space="0"/>
            </w:tcBorders>
            <w:vAlign w:val="center"/>
          </w:tcPr>
          <w:p>
            <w:pPr>
              <w:spacing w:line="276" w:lineRule="auto"/>
              <w:ind w:left="57" w:right="57" w:firstLine="2880" w:firstLineChars="1200"/>
              <w:jc w:val="both"/>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项目编号</w:t>
            </w:r>
          </w:p>
        </w:tc>
        <w:tc>
          <w:tcPr>
            <w:tcW w:w="6902"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131 - Zcg . 2019 -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项目名称</w:t>
            </w:r>
          </w:p>
        </w:tc>
        <w:tc>
          <w:tcPr>
            <w:tcW w:w="6902"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阳新县公安局刑事科学技术实验</w:t>
            </w:r>
            <w:r>
              <w:rPr>
                <w:rFonts w:hint="eastAsia" w:ascii="宋体" w:hAnsi="宋体" w:eastAsia="宋体" w:cs="宋体"/>
                <w:color w:val="000000" w:themeColor="text1"/>
                <w:kern w:val="0"/>
                <w:sz w:val="24"/>
                <w:szCs w:val="24"/>
                <w:lang w:val="en-US" w:eastAsia="zh-CN"/>
                <w14:textFill>
                  <w14:solidFill>
                    <w14:schemeClr w14:val="tx1"/>
                  </w14:solidFill>
                </w14:textFill>
              </w:rPr>
              <w:t>室工程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项目属性</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采购人</w:t>
            </w:r>
          </w:p>
        </w:tc>
        <w:tc>
          <w:tcPr>
            <w:tcW w:w="6902"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阳新县公安局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yellow"/>
                <w14:textFill>
                  <w14:solidFill>
                    <w14:schemeClr w14:val="tx1"/>
                  </w14:solidFill>
                </w14:textFill>
              </w:rPr>
            </w:pPr>
            <w:r>
              <w:rPr>
                <w:rFonts w:ascii="Times New Roman" w:hAnsi="宋体" w:eastAsia="宋体" w:cs="Times New Roman"/>
                <w:color w:val="000000" w:themeColor="text1"/>
                <w:sz w:val="24"/>
                <w:szCs w:val="24"/>
                <w:highlight w:val="yellow"/>
                <w14:textFill>
                  <w14:solidFill>
                    <w14:schemeClr w14:val="tx1"/>
                  </w14:solidFill>
                </w14:textFill>
              </w:rPr>
              <w:t>投标保证金</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yellow"/>
                <w14:textFill>
                  <w14:solidFill>
                    <w14:schemeClr w14:val="tx1"/>
                  </w14:solidFill>
                </w14:textFill>
              </w:rPr>
            </w:pPr>
            <w:r>
              <w:rPr>
                <w:rFonts w:ascii="Times New Roman" w:hAnsi="宋体" w:eastAsia="宋体" w:cs="Times New Roman"/>
                <w:color w:val="000000" w:themeColor="text1"/>
                <w:sz w:val="24"/>
                <w:szCs w:val="24"/>
                <w:highlight w:val="yellow"/>
                <w14:textFill>
                  <w14:solidFill>
                    <w14:schemeClr w14:val="tx1"/>
                  </w14:solidFill>
                </w14:textFill>
              </w:rPr>
              <w:t>保证金</w:t>
            </w:r>
            <w:r>
              <w:rPr>
                <w:rFonts w:hint="eastAsia" w:ascii="Times New Roman" w:hAnsi="宋体" w:eastAsia="宋体" w:cs="Times New Roman"/>
                <w:color w:val="000000" w:themeColor="text1"/>
                <w:sz w:val="24"/>
                <w:szCs w:val="24"/>
                <w:highlight w:val="yellow"/>
                <w14:textFill>
                  <w14:solidFill>
                    <w14:schemeClr w14:val="tx1"/>
                  </w14:solidFill>
                </w14:textFill>
              </w:rPr>
              <w:t>账户信息</w:t>
            </w:r>
          </w:p>
        </w:tc>
        <w:tc>
          <w:tcPr>
            <w:tcW w:w="6902"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yellow"/>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投标文件份数</w:t>
            </w:r>
          </w:p>
        </w:tc>
        <w:tc>
          <w:tcPr>
            <w:tcW w:w="6902" w:type="dxa"/>
            <w:tcBorders>
              <w:top w:val="single" w:color="auto" w:sz="4" w:space="0"/>
              <w:left w:val="single" w:color="auto" w:sz="4" w:space="0"/>
              <w:bottom w:val="single" w:color="auto" w:sz="4" w:space="0"/>
            </w:tcBorders>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投标有效期</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w:t>
            </w:r>
            <w:r>
              <w:rPr>
                <w:rFonts w:hint="eastAsia" w:ascii="宋体" w:hAnsi="宋体" w:eastAsia="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14:textFill>
                  <w14:solidFill>
                    <w14:schemeClr w14:val="tx1"/>
                  </w14:solidFill>
                </w14:textFill>
              </w:rPr>
              <w:t>资格预审</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投标文件递交时间</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开标时间</w:t>
            </w:r>
            <w:r>
              <w:rPr>
                <w:rFonts w:hint="eastAsia" w:ascii="Times New Roman" w:hAnsi="宋体" w:eastAsia="宋体" w:cs="Times New Roman"/>
                <w:color w:val="000000" w:themeColor="text1"/>
                <w:sz w:val="24"/>
                <w:szCs w:val="24"/>
                <w14:textFill>
                  <w14:solidFill>
                    <w14:schemeClr w14:val="tx1"/>
                  </w14:solidFill>
                </w14:textFill>
              </w:rPr>
              <w:t>、地点</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备选方案</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实物样品</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提交</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902"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不组织</w:t>
            </w:r>
          </w:p>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中标后分包</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7"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评标办法</w:t>
            </w:r>
          </w:p>
        </w:tc>
        <w:tc>
          <w:tcPr>
            <w:tcW w:w="6902"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综合评分法</w:t>
            </w:r>
          </w:p>
          <w:p>
            <w:pPr>
              <w:rPr>
                <w:rFonts w:ascii="Times New Roman" w:hAnsi="Times New Roman" w:eastAsia="宋体" w:cs="Times New Roman"/>
                <w:color w:val="000000" w:themeColor="text1"/>
                <w:sz w:val="24"/>
                <w:szCs w:val="24"/>
                <w:lang w:val="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721"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质疑及提交</w:t>
            </w:r>
          </w:p>
        </w:tc>
        <w:tc>
          <w:tcPr>
            <w:tcW w:w="6902"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详见本章“质疑及提交”要求</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color w:val="000000" w:themeColor="text1"/>
          <w:sz w:val="32"/>
          <w:szCs w:val="32"/>
          <w:lang w:val="zh-CN"/>
          <w14:textFill>
            <w14:solidFill>
              <w14:schemeClr w14:val="tx1"/>
            </w14:solidFill>
          </w14:textFill>
        </w:rPr>
      </w:pPr>
      <w:bookmarkStart w:id="4" w:name="_Toc494561938"/>
      <w:r>
        <w:rPr>
          <w:rFonts w:ascii="黑体" w:hAnsi="黑体" w:eastAsia="黑体" w:cs="Times New Roman"/>
          <w:b/>
          <w:bCs/>
          <w:color w:val="000000" w:themeColor="text1"/>
          <w:sz w:val="32"/>
          <w:szCs w:val="32"/>
          <w:lang w:val="zh-CN"/>
          <w14:textFill>
            <w14:solidFill>
              <w14:schemeClr w14:val="tx1"/>
            </w14:solidFill>
          </w14:textFill>
        </w:rPr>
        <w:br w:type="page"/>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5" w:name="_Toc495861520"/>
      <w:r>
        <w:rPr>
          <w:rFonts w:hint="eastAsia" w:cs="Times New Roman" w:asciiTheme="majorEastAsia" w:hAnsiTheme="majorEastAsia"/>
          <w:bCs w:val="0"/>
          <w:color w:val="000000" w:themeColor="text1"/>
          <w:lang w:val="zh-CN"/>
          <w14:textFill>
            <w14:solidFill>
              <w14:schemeClr w14:val="tx1"/>
            </w14:solidFill>
          </w14:textFill>
        </w:rPr>
        <w:t>说  明</w:t>
      </w:r>
      <w:bookmarkEnd w:id="4"/>
      <w:bookmarkEnd w:id="5"/>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适用范围</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招标文件仅适用于第一章“投标邀请书”中所述项目的货物、工程及服务的采购。</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当事人定义</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“采购人”是指：</w:t>
      </w:r>
      <w:r>
        <w:rPr>
          <w:rFonts w:hint="eastAsia" w:cs="Times New Roman" w:asciiTheme="minorEastAsia" w:hAnsiTheme="minorEastAsia"/>
          <w:color w:val="000000" w:themeColor="text1"/>
          <w:sz w:val="24"/>
          <w:szCs w:val="24"/>
          <w:lang w:val="zh-CN"/>
          <w14:textFill>
            <w14:solidFill>
              <w14:schemeClr w14:val="tx1"/>
            </w14:solidFill>
          </w14:textFill>
        </w:rPr>
        <w:t>详见第一章“投标邀请书”。</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“监管部门”是指：</w:t>
      </w:r>
      <w:r>
        <w:rPr>
          <w:rFonts w:hint="eastAsia" w:cs="Times New Roman" w:asciiTheme="minorEastAsia" w:hAnsiTheme="minorEastAsia"/>
          <w:color w:val="000000" w:themeColor="text1"/>
          <w:sz w:val="24"/>
          <w:szCs w:val="24"/>
          <w:lang w:val="zh-CN"/>
          <w14:textFill>
            <w14:solidFill>
              <w14:schemeClr w14:val="tx1"/>
            </w14:solidFill>
          </w14:textFill>
        </w:rPr>
        <w:t>阳新县政府采购办公室、阳新县公共资源交易监督管理局。</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“采购代理机构”是指：</w:t>
      </w:r>
      <w:r>
        <w:rPr>
          <w:rFonts w:hint="eastAsia" w:ascii="宋体" w:hAnsi="宋体" w:eastAsia="宋体" w:cs="Times New Roman"/>
          <w:b/>
          <w:color w:val="000000" w:themeColor="text1"/>
          <w:sz w:val="24"/>
          <w:szCs w:val="24"/>
          <w:u w:val="single"/>
          <w:lang w:eastAsia="zh-CN"/>
          <w14:textFill>
            <w14:solidFill>
              <w14:schemeClr w14:val="tx1"/>
            </w14:solidFill>
          </w14:textFill>
        </w:rPr>
        <w:t>湖北方圆工程造价咨询有限公司</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“投标人”是指：</w:t>
      </w:r>
      <w:r>
        <w:rPr>
          <w:rFonts w:cs="Helvetica" w:asciiTheme="minorEastAsia" w:hAnsiTheme="minorEastAsia"/>
          <w:color w:val="000000" w:themeColor="text1"/>
          <w:kern w:val="0"/>
          <w:sz w:val="24"/>
          <w:szCs w:val="24"/>
          <w:lang w:val="zh-CN"/>
          <w14:textFill>
            <w14:solidFill>
              <w14:schemeClr w14:val="tx1"/>
            </w14:solidFill>
          </w14:textFill>
        </w:rPr>
        <w:t>响应招标、参加投标竞争的法人、其他组织或者自然人。</w:t>
      </w:r>
    </w:p>
    <w:p>
      <w:pPr>
        <w:numPr>
          <w:ilvl w:val="0"/>
          <w:numId w:val="8"/>
        </w:numPr>
        <w:spacing w:line="360" w:lineRule="auto"/>
        <w:ind w:left="476" w:hanging="47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“合格的投标人”是指：</w:t>
      </w:r>
      <w:r>
        <w:rPr>
          <w:rFonts w:hint="eastAsia" w:cs="Helvetica" w:asciiTheme="minorEastAsia" w:hAnsiTheme="minorEastAsia"/>
          <w:color w:val="000000" w:themeColor="text1"/>
          <w:kern w:val="0"/>
          <w:sz w:val="24"/>
          <w:szCs w:val="24"/>
          <w:lang w:val="zh-CN"/>
          <w14:textFill>
            <w14:solidFill>
              <w14:schemeClr w14:val="tx1"/>
            </w14:solidFill>
          </w14:textFill>
        </w:rPr>
        <w:t>资格审查和符合性审查合格的投标人。</w:t>
      </w:r>
    </w:p>
    <w:p>
      <w:pPr>
        <w:numPr>
          <w:ilvl w:val="0"/>
          <w:numId w:val="8"/>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“中标人”是指：</w:t>
      </w:r>
      <w:r>
        <w:rPr>
          <w:rFonts w:hint="eastAsia" w:cs="Times New Roman" w:asciiTheme="minorEastAsia" w:hAnsiTheme="minorEastAsia"/>
          <w:color w:val="000000" w:themeColor="text1"/>
          <w:sz w:val="24"/>
          <w:szCs w:val="24"/>
          <w:lang w:val="zh-CN"/>
          <w14:textFill>
            <w14:solidFill>
              <w14:schemeClr w14:val="tx1"/>
            </w14:solidFill>
          </w14:textFill>
        </w:rPr>
        <w:t>经评标委员会评审，授予合同的投标人。</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项目属性及定义</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“货物”是指</w:t>
      </w:r>
      <w:r>
        <w:rPr>
          <w:rFonts w:hint="eastAsia" w:cs="Times New Roman" w:asciiTheme="minorEastAsia" w:hAnsiTheme="minorEastAsia"/>
          <w:color w:val="000000" w:themeColor="text1"/>
          <w:sz w:val="24"/>
          <w:szCs w:val="24"/>
          <w:lang w:val="zh-CN"/>
          <w14:textFill>
            <w14:solidFill>
              <w14:schemeClr w14:val="tx1"/>
            </w14:solidFill>
          </w14:textFill>
        </w:rPr>
        <w:t>：各种形态和种类的物品，包括原材料、燃料、设备、产品等。</w:t>
      </w:r>
    </w:p>
    <w:p>
      <w:pPr>
        <w:numPr>
          <w:ilvl w:val="0"/>
          <w:numId w:val="10"/>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“工程”是指</w:t>
      </w:r>
      <w:r>
        <w:rPr>
          <w:rFonts w:hint="eastAsia" w:cs="Times New Roman" w:asciiTheme="minorEastAsia" w:hAnsiTheme="minorEastAsia"/>
          <w:color w:val="000000" w:themeColor="text1"/>
          <w:sz w:val="24"/>
          <w:szCs w:val="24"/>
          <w:lang w:val="zh-CN"/>
          <w14:textFill>
            <w14:solidFill>
              <w14:schemeClr w14:val="tx1"/>
            </w14:solidFill>
          </w14:textFill>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“服务”是指：</w:t>
      </w:r>
      <w:r>
        <w:rPr>
          <w:rFonts w:hint="eastAsia" w:cs="Times New Roman" w:asciiTheme="minorEastAsia" w:hAnsiTheme="minorEastAsia"/>
          <w:color w:val="000000" w:themeColor="text1"/>
          <w:sz w:val="24"/>
          <w:szCs w:val="24"/>
          <w:lang w:val="zh-CN"/>
          <w14:textFill>
            <w14:solidFill>
              <w14:schemeClr w14:val="tx1"/>
            </w14:solidFill>
          </w14:textFill>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cs="Times New Roman" w:asciiTheme="minorEastAsia" w:hAnsiTheme="minorEastAsia"/>
          <w:color w:val="000000" w:themeColor="text1"/>
          <w:sz w:val="24"/>
          <w:szCs w:val="24"/>
          <w:lang w:val="zh-CN"/>
          <w14:textFill>
            <w14:solidFill>
              <w14:schemeClr w14:val="tx1"/>
            </w14:solidFill>
          </w14:textFill>
        </w:rPr>
        <w:t>采购人应当按照财政部制定的《政府采购品目分类目录》确定采购项目属性</w:t>
      </w:r>
      <w:r>
        <w:rPr>
          <w:rFonts w:hint="eastAsia" w:cs="Times New Roman" w:asciiTheme="minorEastAsia" w:hAnsiTheme="minorEastAsia"/>
          <w:color w:val="000000" w:themeColor="text1"/>
          <w:sz w:val="24"/>
          <w:szCs w:val="24"/>
          <w:lang w:val="zh-CN"/>
          <w14:textFill>
            <w14:solidFill>
              <w14:schemeClr w14:val="tx1"/>
            </w14:solidFill>
          </w14:textFill>
        </w:rPr>
        <w:t>。</w:t>
      </w:r>
      <w:r>
        <w:rPr>
          <w:rFonts w:cs="Times New Roman" w:asciiTheme="minorEastAsia" w:hAnsiTheme="minorEastAsia"/>
          <w:color w:val="000000" w:themeColor="text1"/>
          <w:sz w:val="24"/>
          <w:szCs w:val="24"/>
          <w:lang w:val="zh-CN"/>
          <w14:textFill>
            <w14:solidFill>
              <w14:schemeClr w14:val="tx1"/>
            </w14:solidFill>
          </w14:textFill>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投标费用</w:t>
      </w:r>
    </w:p>
    <w:p>
      <w:pPr>
        <w:numPr>
          <w:ilvl w:val="0"/>
          <w:numId w:val="11"/>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投标人应承担所有与准备和参加投标有关的费用。不论投标的结果如何，采购代理机构和采购人均无义务和责任承担这些费用。</w:t>
      </w:r>
    </w:p>
    <w:p>
      <w:pPr>
        <w:pStyle w:val="38"/>
        <w:numPr>
          <w:ilvl w:val="0"/>
          <w:numId w:val="11"/>
        </w:numPr>
        <w:adjustRightInd w:val="0"/>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采购代理服务费</w:t>
      </w:r>
    </w:p>
    <w:p>
      <w:pPr>
        <w:pStyle w:val="38"/>
        <w:ind w:left="420" w:firstLine="0" w:firstLineChars="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经过采购代理机构与采购人协议，规定由中标单位支付。采购代理服务费收费标准如下：</w:t>
      </w:r>
    </w:p>
    <w:p>
      <w:pPr>
        <w:pStyle w:val="38"/>
        <w:ind w:left="420" w:firstLine="0" w:firstLineChars="0"/>
        <w:rPr>
          <w:rFonts w:hint="eastAsia" w:ascii="宋体" w:hAnsi="宋体"/>
          <w:b/>
          <w:color w:val="000000" w:themeColor="text1"/>
          <w:sz w:val="24"/>
          <w:szCs w:val="24"/>
          <w14:textFill>
            <w14:solidFill>
              <w14:schemeClr w14:val="tx1"/>
            </w14:solidFill>
          </w14:textFill>
        </w:rPr>
      </w:pPr>
    </w:p>
    <w:p>
      <w:pPr>
        <w:pStyle w:val="38"/>
        <w:ind w:left="420" w:firstLine="0" w:firstLineChars="0"/>
        <w:rPr>
          <w:rFonts w:ascii="宋体" w:hAnsi="宋体"/>
          <w:color w:val="000000" w:themeColor="text1"/>
          <w:sz w:val="24"/>
          <w:szCs w:val="24"/>
          <w14:textFill>
            <w14:solidFill>
              <w14:schemeClr w14:val="tx1"/>
            </w14:solidFill>
          </w14:textFill>
        </w:rPr>
      </w:pPr>
    </w:p>
    <w:tbl>
      <w:tblPr>
        <w:tblStyle w:val="17"/>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hRbOh1A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7PmCMw+OWvRkvGLtqlgzReyo4sHv03WHcZ+KzpNOjmlr4nvqOq/R1xKVHKlip2rx+WaxOmUm&#10;6Gf7up2v31AnBOXuVuv1svaguSCW0zFhfqeCYyXouSU2FRWOT5iJBZV+Lynl1rOp5+vlYkmYQBOk&#10;LWQKXSRN6Id6FoM18tFYW05gGg4PNrEjlJmoX9FKuL+UlUt2gOOlrqYu0zIqkG+9ZPkcyS1PY80L&#10;BackZ1bRKygRAUKXwdi/qaSrrScGxe6LwSU6BHmm3jzHZIaRnGgry5KhWah8r3Nbhu3nfUX68bq2&#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RnOs0QAAAAkBAAAPAAAAAAAAAAEAIAAAACIAAABk&#10;cnMvZG93bnJldi54bWxQSwECFAAUAAAACACHTuJAYUWzodQBAAClAwAADgAAAAAAAAABACAAAAAg&#10;AQAAZHJzL2Uyb0RvYy54bWxQSwUGAAAAAAYABgBZAQAAZgU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CrxZu3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pV3u74BAAC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招标类型　　　</w:t>
            </w:r>
          </w:p>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中标</w:t>
            </w:r>
            <w:r>
              <w:rPr>
                <w:rFonts w:hint="eastAsia" w:ascii="宋体" w:hAnsi="宋体" w:cs="宋体"/>
                <w:color w:val="000000" w:themeColor="text1"/>
                <w:sz w:val="24"/>
                <w:szCs w:val="24"/>
                <w14:textFill>
                  <w14:solidFill>
                    <w14:schemeClr w14:val="tx1"/>
                  </w14:solidFill>
                </w14:textFill>
              </w:rPr>
              <w:t xml:space="preserve">　　　 </w:t>
            </w:r>
          </w:p>
          <w:p>
            <w:pPr>
              <w:spacing w:line="300" w:lineRule="auto"/>
              <w:ind w:firstLine="1504" w:firstLineChars="627"/>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费率</w:t>
            </w:r>
          </w:p>
          <w:p>
            <w:pPr>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金额（万元）</w:t>
            </w:r>
          </w:p>
        </w:tc>
        <w:tc>
          <w:tcPr>
            <w:tcW w:w="2470"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1000-5000</w:t>
            </w:r>
          </w:p>
        </w:tc>
        <w:tc>
          <w:tcPr>
            <w:tcW w:w="2470"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0.5%</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0.25%</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hint="eastAsia"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5000-1亿</w:t>
            </w:r>
          </w:p>
        </w:tc>
        <w:tc>
          <w:tcPr>
            <w:tcW w:w="2470"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0.25%</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0.1%</w:t>
            </w:r>
          </w:p>
        </w:tc>
        <w:tc>
          <w:tcPr>
            <w:tcW w:w="2148" w:type="dxa"/>
          </w:tcPr>
          <w:p>
            <w:pPr>
              <w:spacing w:line="300" w:lineRule="auto"/>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w:t>
            </w:r>
          </w:p>
        </w:tc>
      </w:tr>
    </w:tbl>
    <w:p>
      <w:pPr>
        <w:pStyle w:val="38"/>
        <w:adjustRightInd w:val="0"/>
        <w:snapToGrid w:val="0"/>
        <w:spacing w:line="300" w:lineRule="auto"/>
        <w:ind w:left="420" w:firstLine="0" w:firstLineChars="0"/>
        <w:rPr>
          <w:rFonts w:ascii="宋体" w:hAnsi="宋体"/>
          <w:color w:val="000000" w:themeColor="text1"/>
          <w:sz w:val="24"/>
          <w:szCs w:val="24"/>
          <w14:textFill>
            <w14:solidFill>
              <w14:schemeClr w14:val="tx1"/>
            </w14:solidFill>
          </w14:textFill>
        </w:rPr>
      </w:pP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6" w:name="_Toc494561939"/>
      <w:bookmarkStart w:id="7" w:name="_Toc272247695"/>
      <w:bookmarkStart w:id="8" w:name="_Toc495861521"/>
      <w:bookmarkStart w:id="9" w:name="_Toc278891592"/>
      <w:r>
        <w:rPr>
          <w:rFonts w:hint="eastAsia" w:cs="Times New Roman" w:asciiTheme="majorEastAsia" w:hAnsiTheme="majorEastAsia"/>
          <w:bCs w:val="0"/>
          <w:color w:val="000000" w:themeColor="text1"/>
          <w:lang w:val="zh-CN"/>
          <w14:textFill>
            <w14:solidFill>
              <w14:schemeClr w14:val="tx1"/>
            </w14:solidFill>
          </w14:textFill>
        </w:rPr>
        <w:t>招标文件</w:t>
      </w:r>
      <w:bookmarkEnd w:id="6"/>
      <w:bookmarkEnd w:id="7"/>
      <w:bookmarkEnd w:id="8"/>
      <w:bookmarkEnd w:id="9"/>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招标文件的构成</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第一章 投标邀请书</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第二章 投标人须知</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第三章 项目技术、服务及商务要求</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第四章 资格审查方法及标准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第五章 评标方法、程序及标准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第六章 合同书格式（参考）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第七章 投标文件格式（参考）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其 他  在招标过程中由采购代理机构发出的修正和补充文件等</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招标文件疑问的提交</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潜在投标人对招标文件有疑问的，可以向采购代理机构提出询问，或在6.2规定的时间前以书面的形式向采购代理机构提交疑问函。</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潜在投标人在项目招标公告期限届满之日起7个工作日内未对招标文件提出疑问的，采购代理机构将视其认同招标文件，在规定的时间后就招标文件内容提出的疑问将不予受理。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招标文件的澄清、修改</w:t>
      </w:r>
    </w:p>
    <w:p>
      <w:pPr>
        <w:numPr>
          <w:ilvl w:val="0"/>
          <w:numId w:val="13"/>
        </w:numPr>
        <w:spacing w:line="360" w:lineRule="auto"/>
        <w:ind w:left="476" w:hanging="47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采购代理机构和采购人可以对已发出的招标文件进行必要的澄清或者修改。</w:t>
      </w:r>
      <w:r>
        <w:rPr>
          <w:rFonts w:hint="eastAsia" w:ascii="Helvetica" w:hAnsi="Helvetica" w:eastAsia="宋体" w:cs="Helvetica"/>
          <w:color w:val="000000" w:themeColor="text1"/>
          <w:kern w:val="0"/>
          <w:sz w:val="24"/>
          <w:szCs w:val="24"/>
          <w:lang w:val="zh-CN"/>
          <w14:textFill>
            <w14:solidFill>
              <w14:schemeClr w14:val="tx1"/>
            </w14:solidFill>
          </w14:textFill>
        </w:rPr>
        <w:t>澄清或者修改将在原公告发布媒体上发布澄清公告。澄清或者修改的内容可能影响投标文件编制的，</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ascii="Helvetica" w:hAnsi="Helvetica" w:eastAsia="宋体" w:cs="Helvetica"/>
          <w:color w:val="000000" w:themeColor="text1"/>
          <w:kern w:val="0"/>
          <w:sz w:val="24"/>
          <w:szCs w:val="24"/>
          <w:lang w:val="zh-CN"/>
          <w14:textFill>
            <w14:solidFill>
              <w14:schemeClr w14:val="tx1"/>
            </w14:solidFill>
          </w14:textFill>
        </w:rPr>
        <w:t>和采购人将在投标截止时间至少</w:t>
      </w:r>
      <w:r>
        <w:rPr>
          <w:rFonts w:hint="eastAsia" w:ascii="宋体" w:hAnsi="宋体" w:eastAsia="宋体" w:cs="Times New Roman"/>
          <w:color w:val="000000" w:themeColor="text1"/>
          <w:sz w:val="24"/>
          <w:szCs w:val="20"/>
          <w:lang w:val="zh-CN"/>
          <w14:textFill>
            <w14:solidFill>
              <w14:schemeClr w14:val="tx1"/>
            </w14:solidFill>
          </w14:textFill>
        </w:rPr>
        <w:t>15</w:t>
      </w:r>
      <w:r>
        <w:rPr>
          <w:rFonts w:hint="eastAsia" w:ascii="Helvetica" w:hAnsi="Helvetica" w:eastAsia="宋体" w:cs="Helvetica"/>
          <w:color w:val="000000" w:themeColor="text1"/>
          <w:kern w:val="0"/>
          <w:sz w:val="24"/>
          <w:szCs w:val="24"/>
          <w:lang w:val="zh-CN"/>
          <w14:textFill>
            <w14:solidFill>
              <w14:schemeClr w14:val="tx1"/>
            </w14:solidFill>
          </w14:textFill>
        </w:rPr>
        <w:t>日前，以书面</w:t>
      </w:r>
      <w:r>
        <w:rPr>
          <w:rFonts w:hint="eastAsia" w:ascii="宋体" w:hAnsi="宋体" w:eastAsia="宋体" w:cs="Times New Roman"/>
          <w:color w:val="000000" w:themeColor="text1"/>
          <w:sz w:val="24"/>
          <w:szCs w:val="20"/>
          <w:lang w:val="zh-CN"/>
          <w14:textFill>
            <w14:solidFill>
              <w14:schemeClr w14:val="tx1"/>
            </w14:solidFill>
          </w14:textFill>
        </w:rPr>
        <w:t>（或网上公告）</w:t>
      </w:r>
      <w:r>
        <w:rPr>
          <w:rFonts w:hint="eastAsia" w:ascii="Helvetica" w:hAnsi="Helvetica" w:eastAsia="宋体" w:cs="Helvetica"/>
          <w:color w:val="000000" w:themeColor="text1"/>
          <w:kern w:val="0"/>
          <w:sz w:val="24"/>
          <w:szCs w:val="24"/>
          <w:lang w:val="zh-CN"/>
          <w14:textFill>
            <w14:solidFill>
              <w14:schemeClr w14:val="tx1"/>
            </w14:solidFill>
          </w14:textFill>
        </w:rPr>
        <w:t>形式通知所有获取招标文件的潜在投标人。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澄清或者修改的内容为招标文件的组成部分，并对潜在投标人具有约束力。</w:t>
      </w:r>
    </w:p>
    <w:p>
      <w:pPr>
        <w:numPr>
          <w:ilvl w:val="0"/>
          <w:numId w:val="7"/>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现场考察</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经采购人允许，潜在投标人可进入项目现场进行考察，但潜在投标人不得因此使采购人承担有关责任和蒙受损失。潜在投标人应自行承担现场考察的全部费用、责任和风险。</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0" w:name="_Toc272247696"/>
      <w:bookmarkStart w:id="11" w:name="_Toc278891593"/>
      <w:bookmarkStart w:id="12" w:name="_Toc495861522"/>
      <w:bookmarkStart w:id="13" w:name="_Toc494561940"/>
      <w:r>
        <w:rPr>
          <w:rFonts w:hint="eastAsia" w:cs="Times New Roman" w:asciiTheme="majorEastAsia" w:hAnsiTheme="majorEastAsia"/>
          <w:bCs w:val="0"/>
          <w:color w:val="000000" w:themeColor="text1"/>
          <w:lang w:val="zh-CN"/>
          <w14:textFill>
            <w14:solidFill>
              <w14:schemeClr w14:val="tx1"/>
            </w14:solidFill>
          </w14:textFill>
        </w:rPr>
        <w:t>投标文件</w:t>
      </w:r>
      <w:bookmarkEnd w:id="10"/>
      <w:bookmarkEnd w:id="11"/>
      <w:bookmarkEnd w:id="12"/>
      <w:bookmarkEnd w:id="13"/>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投标的语言</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投标人提交的投标文件以及投标人与</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Times New Roman" w:asciiTheme="minorEastAsia" w:hAnsiTheme="minorEastAsia"/>
          <w:color w:val="000000" w:themeColor="text1"/>
          <w:sz w:val="24"/>
          <w:szCs w:val="24"/>
          <w:lang w:val="zh-CN"/>
          <w14:textFill>
            <w14:solidFill>
              <w14:schemeClr w14:val="tx1"/>
            </w14:solidFill>
          </w14:textFill>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投标文件的构成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投标人编制的投标文件应包括但不限于下列内容：</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第一部分  资格证明文件</w:t>
      </w:r>
      <w:r>
        <w:rPr>
          <w:rFonts w:hint="eastAsia" w:cs="Times New Roman" w:asciiTheme="minorEastAsia" w:hAnsi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lang w:val="zh-CN"/>
          <w14:textFill>
            <w14:solidFill>
              <w14:schemeClr w14:val="tx1"/>
            </w14:solidFill>
          </w14:textFill>
        </w:rPr>
        <w:t>（详见第七章“投标文件格式”中资格证明文件组成）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第二部分  商务文件</w:t>
      </w:r>
      <w:r>
        <w:rPr>
          <w:rFonts w:hint="eastAsia" w:cs="Times New Roman" w:asciiTheme="minorEastAsia" w:hAnsi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lang w:val="zh-CN"/>
          <w14:textFill>
            <w14:solidFill>
              <w14:schemeClr w14:val="tx1"/>
            </w14:solidFill>
          </w14:textFill>
        </w:rPr>
        <w:t>（详见第七章“投标文件格式”中商务文件组成）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投标文件编制</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如招标文件有分包要求，投标人对招标文件中多个包进行投标的，其投标文件的编制应按每包要求分别装订和封装，并注明对应包号。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投标人应对投标文件中所提供资料的真实性负责，如有虚假，将依法承担相应责任。投标人应自觉接受湖北方圆工程造价咨询有限公司对其中任何资料进一步核实的要求。</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投标文件用纸应统一为A4规格（图纸除外）。</w:t>
      </w:r>
    </w:p>
    <w:p>
      <w:pPr>
        <w:numPr>
          <w:ilvl w:val="0"/>
          <w:numId w:val="15"/>
        </w:numPr>
        <w:spacing w:line="360" w:lineRule="auto"/>
        <w:ind w:left="616" w:hanging="61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eastAsia="宋体" w:cs="Times New Roman"/>
          <w:b/>
          <w:color w:val="000000" w:themeColor="text1"/>
          <w:sz w:val="24"/>
          <w:szCs w:val="20"/>
          <w:lang w:val="zh-CN"/>
          <w14:textFill>
            <w14:solidFill>
              <w14:schemeClr w14:val="tx1"/>
            </w14:solidFill>
          </w14:textFill>
        </w:rPr>
        <w:t>各部分文件及内容详见第七章“投标文件格式”要求。</w:t>
      </w:r>
    </w:p>
    <w:p>
      <w:pPr>
        <w:numPr>
          <w:ilvl w:val="0"/>
          <w:numId w:val="15"/>
        </w:numPr>
        <w:spacing w:line="360" w:lineRule="auto"/>
        <w:ind w:left="616" w:hanging="61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投标报价</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投标人所提供的货物（工程或服务）均以人民币计价。</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《投标报价明细表》填写时应响应下列要求：</w:t>
      </w:r>
    </w:p>
    <w:p>
      <w:pPr>
        <w:numPr>
          <w:ilvl w:val="0"/>
          <w:numId w:val="17"/>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应包括所有根据合同或其他原因由投标人支付的款项、费用</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7"/>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应详细提供《投标报价明细表》和《投标货物、服务清单》等内容，否则按照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每一种规格的货物（工程或服务）只允许有一个报价，否则按照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投标人应对项目招标范围内的全部内容进行报价，不得缺、漏项或只投其中的部分内容的，否则按照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备选方案</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只允许投标人提供一个投标方案，否则按照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7"/>
        </w:numPr>
        <w:spacing w:line="360" w:lineRule="auto"/>
        <w:ind w:left="560" w:hanging="560"/>
        <w:rPr>
          <w:rFonts w:hint="eastAsia"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中标后分包（本项目不允许分包）</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联合体投标（本项目不接受联合体投标）</w:t>
      </w:r>
    </w:p>
    <w:p>
      <w:pPr>
        <w:numPr>
          <w:ilvl w:val="0"/>
          <w:numId w:val="7"/>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资格证明文件</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资格证明文件应真实、合法，并就此承担相应法律责任。</w:t>
      </w:r>
    </w:p>
    <w:p>
      <w:pPr>
        <w:numPr>
          <w:ilvl w:val="0"/>
          <w:numId w:val="0"/>
        </w:numPr>
        <w:spacing w:line="360" w:lineRule="auto"/>
        <w:ind w:leftChars="0"/>
        <w:rPr>
          <w:rFonts w:hint="default" w:cs="Times New Roman" w:asciiTheme="minorEastAsia" w:hAnsiTheme="minorEastAsia"/>
          <w:color w:val="000000" w:themeColor="text1"/>
          <w:sz w:val="24"/>
          <w:szCs w:val="24"/>
          <w:highlight w:val="red"/>
          <w:lang w:val="en-US" w:eastAsia="zh-CN"/>
          <w14:textFill>
            <w14:solidFill>
              <w14:schemeClr w14:val="tx1"/>
            </w14:solidFill>
          </w14:textFill>
        </w:rPr>
      </w:pPr>
      <w:r>
        <w:rPr>
          <w:rFonts w:hint="eastAsia" w:cs="Times New Roman" w:asciiTheme="minorEastAsia" w:hAnsiTheme="minorEastAsia"/>
          <w:b/>
          <w:color w:val="auto"/>
          <w:sz w:val="24"/>
          <w:szCs w:val="24"/>
          <w:highlight w:val="none"/>
          <w:lang w:val="en-US" w:eastAsia="zh-CN"/>
        </w:rPr>
        <w:t>17、</w:t>
      </w:r>
      <w:r>
        <w:rPr>
          <w:rFonts w:hint="eastAsia" w:cs="Times New Roman" w:asciiTheme="minorEastAsia" w:hAnsiTheme="minorEastAsia"/>
          <w:b/>
          <w:color w:val="auto"/>
          <w:sz w:val="24"/>
          <w:szCs w:val="24"/>
          <w:highlight w:val="none"/>
          <w:lang w:val="zh-CN"/>
        </w:rPr>
        <w:t>投标保证金</w:t>
      </w:r>
      <w:r>
        <w:rPr>
          <w:rFonts w:hint="eastAsia" w:cs="Times New Roman" w:asciiTheme="minorEastAsia" w:hAnsiTheme="minorEastAsia"/>
          <w:color w:val="auto"/>
          <w:sz w:val="24"/>
          <w:szCs w:val="24"/>
          <w:highlight w:val="none"/>
          <w:lang w:val="zh-CN"/>
        </w:rPr>
        <w:t>（交纳金额及账户信息详见本章“投标须知前附表”中规定）。不收取投标保证金。</w:t>
      </w:r>
    </w:p>
    <w:p>
      <w:pPr>
        <w:numPr>
          <w:ilvl w:val="0"/>
          <w:numId w:val="0"/>
        </w:numPr>
        <w:spacing w:line="360" w:lineRule="auto"/>
        <w:ind w:leftChars="0"/>
        <w:rPr>
          <w:rFonts w:hint="default" w:cs="Times New Roman" w:asciiTheme="minorEastAsia" w:hAnsiTheme="minorEastAsia"/>
          <w:b/>
          <w:bCs/>
          <w:color w:val="000000" w:themeColor="text1"/>
          <w:sz w:val="24"/>
          <w:szCs w:val="24"/>
          <w:lang w:val="en-US" w:eastAsia="zh-CN"/>
          <w14:textFill>
            <w14:solidFill>
              <w14:schemeClr w14:val="tx1"/>
            </w14:solidFill>
          </w14:textFill>
        </w:rPr>
      </w:pPr>
      <w:r>
        <w:rPr>
          <w:rFonts w:hint="eastAsia" w:cs="Times New Roman" w:asciiTheme="minorEastAsia" w:hAnsiTheme="minorEastAsia"/>
          <w:b/>
          <w:bCs/>
          <w:color w:val="000000" w:themeColor="text1"/>
          <w:sz w:val="24"/>
          <w:szCs w:val="24"/>
          <w:lang w:val="en-US" w:eastAsia="zh-CN"/>
          <w14:textFill>
            <w14:solidFill>
              <w14:schemeClr w14:val="tx1"/>
            </w14:solidFill>
          </w14:textFill>
        </w:rPr>
        <w:t>18.投标有效期</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投标有效期详见本章“投标须知前附表”中规定。</w:t>
      </w:r>
      <w:r>
        <w:rPr>
          <w:rFonts w:cs="Helvetica" w:asciiTheme="minorEastAsia" w:hAnsiTheme="minorEastAsia"/>
          <w:color w:val="000000" w:themeColor="text1"/>
          <w:kern w:val="0"/>
          <w:sz w:val="24"/>
          <w:szCs w:val="24"/>
          <w:lang w:val="zh-CN"/>
          <w14:textFill>
            <w14:solidFill>
              <w14:schemeClr w14:val="tx1"/>
            </w14:solidFill>
          </w14:textFill>
        </w:rPr>
        <w:t>投标文件中承诺的投标有效期应当不少于招标文件中载明的投标有效期</w:t>
      </w:r>
      <w:r>
        <w:rPr>
          <w:rFonts w:hint="eastAsia" w:cs="Helvetica" w:asciiTheme="minorEastAsia" w:hAnsiTheme="minorEastAsia"/>
          <w:color w:val="000000" w:themeColor="text1"/>
          <w:kern w:val="0"/>
          <w:sz w:val="24"/>
          <w:szCs w:val="24"/>
          <w:lang w:val="zh-CN"/>
          <w14:textFill>
            <w14:solidFill>
              <w14:schemeClr w14:val="tx1"/>
            </w14:solidFill>
          </w14:textFill>
        </w:rPr>
        <w:t>。投标有效期不足的，</w:t>
      </w:r>
      <w:r>
        <w:rPr>
          <w:rFonts w:hint="eastAsia" w:cs="Times New Roman" w:asciiTheme="minorEastAsia" w:hAnsiTheme="minorEastAsia"/>
          <w:color w:val="000000" w:themeColor="text1"/>
          <w:sz w:val="24"/>
          <w:szCs w:val="24"/>
          <w:lang w:val="zh-CN"/>
          <w14:textFill>
            <w14:solidFill>
              <w14:schemeClr w14:val="tx1"/>
            </w14:solidFill>
          </w14:textFill>
        </w:rPr>
        <w:t>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9"/>
        </w:numPr>
        <w:spacing w:line="360" w:lineRule="auto"/>
        <w:ind w:left="616" w:hanging="616"/>
        <w:rPr>
          <w:rFonts w:cs="Times New Roman" w:asciiTheme="minorEastAsia" w:hAnsiTheme="minorEastAsia"/>
          <w:color w:val="auto"/>
          <w:sz w:val="24"/>
          <w:szCs w:val="24"/>
          <w:lang w:val="zh-CN"/>
        </w:rPr>
      </w:pPr>
      <w:r>
        <w:rPr>
          <w:rFonts w:hint="eastAsia" w:cs="Times New Roman" w:asciiTheme="minorEastAsia" w:hAnsiTheme="minorEastAsia"/>
          <w:color w:val="auto"/>
          <w:sz w:val="24"/>
          <w:szCs w:val="24"/>
          <w:highlight w:val="none"/>
          <w:shd w:val="clear" w:color="auto" w:fill="auto"/>
          <w:lang w:val="zh-CN"/>
        </w:rPr>
        <w:t>特殊情况下，在原投标有效期截止之前，</w:t>
      </w:r>
      <w:r>
        <w:rPr>
          <w:rFonts w:hint="eastAsia" w:ascii="宋体" w:hAnsi="宋体" w:eastAsia="宋体" w:cs="Times New Roman"/>
          <w:color w:val="auto"/>
          <w:sz w:val="24"/>
          <w:szCs w:val="20"/>
          <w:highlight w:val="none"/>
          <w:shd w:val="clear" w:color="auto" w:fill="auto"/>
          <w:lang w:val="zh-CN"/>
        </w:rPr>
        <w:t>采购代理机构</w:t>
      </w:r>
      <w:r>
        <w:rPr>
          <w:rFonts w:hint="eastAsia" w:cs="Times New Roman" w:asciiTheme="minorEastAsia" w:hAnsiTheme="minorEastAsia"/>
          <w:color w:val="auto"/>
          <w:sz w:val="24"/>
          <w:szCs w:val="24"/>
          <w:highlight w:val="none"/>
          <w:shd w:val="clear" w:color="auto" w:fill="auto"/>
          <w:lang w:val="zh-CN"/>
        </w:rPr>
        <w:t>或采购人可要求投标人延长投标有效期。这种要求与答复均应以书面形式提交。投标人可拒绝</w:t>
      </w:r>
      <w:r>
        <w:rPr>
          <w:rFonts w:hint="eastAsia" w:ascii="宋体" w:hAnsi="宋体" w:eastAsia="宋体" w:cs="Times New Roman"/>
          <w:color w:val="auto"/>
          <w:sz w:val="24"/>
          <w:szCs w:val="20"/>
          <w:highlight w:val="none"/>
          <w:shd w:val="clear" w:color="auto" w:fill="auto"/>
          <w:lang w:val="zh-CN"/>
        </w:rPr>
        <w:t>采购代理机构</w:t>
      </w:r>
      <w:r>
        <w:rPr>
          <w:rFonts w:hint="eastAsia" w:cs="Times New Roman" w:asciiTheme="minorEastAsia" w:hAnsiTheme="minorEastAsia"/>
          <w:color w:val="auto"/>
          <w:sz w:val="24"/>
          <w:szCs w:val="24"/>
          <w:highlight w:val="none"/>
          <w:shd w:val="clear" w:color="auto" w:fill="auto"/>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0"/>
        </w:numPr>
        <w:spacing w:line="360" w:lineRule="auto"/>
        <w:ind w:leftChars="0"/>
        <w:rPr>
          <w:rFonts w:cs="Times New Roman" w:asciiTheme="minorEastAsia" w:hAnsiTheme="minorEastAsia"/>
          <w:b/>
          <w:color w:val="000000" w:themeColor="text1"/>
          <w:sz w:val="24"/>
          <w:szCs w:val="24"/>
          <w:lang w:val="zh-CN"/>
          <w14:textFill>
            <w14:solidFill>
              <w14:schemeClr w14:val="tx1"/>
            </w14:solidFill>
          </w14:textFill>
        </w:rPr>
      </w:pPr>
    </w:p>
    <w:p>
      <w:pPr>
        <w:numPr>
          <w:ilvl w:val="0"/>
          <w:numId w:val="0"/>
        </w:numPr>
        <w:spacing w:line="360" w:lineRule="auto"/>
        <w:ind w:leftChars="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en-US" w:eastAsia="zh-CN"/>
          <w14:textFill>
            <w14:solidFill>
              <w14:schemeClr w14:val="tx1"/>
            </w14:solidFill>
          </w14:textFill>
        </w:rPr>
        <w:t>19、</w:t>
      </w:r>
      <w:r>
        <w:rPr>
          <w:rFonts w:hint="eastAsia" w:cs="Times New Roman" w:asciiTheme="minorEastAsia" w:hAnsiTheme="minorEastAsia"/>
          <w:b/>
          <w:color w:val="000000" w:themeColor="text1"/>
          <w:sz w:val="24"/>
          <w:szCs w:val="24"/>
          <w:lang w:val="zh-CN"/>
          <w14:textFill>
            <w14:solidFill>
              <w14:schemeClr w14:val="tx1"/>
            </w14:solidFill>
          </w14:textFill>
        </w:rPr>
        <w:t>投标文件的数量和签署</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招标文件中要求加盖公章及签字（签章）之处，投标文件正本中应按要求提供加盖公章及签字（签章）的原件，否则按照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20、</w:t>
      </w:r>
      <w:r>
        <w:rPr>
          <w:rFonts w:hint="eastAsia" w:ascii="宋体" w:hAnsi="宋体" w:eastAsia="宋体" w:cs="Times New Roman"/>
          <w:b/>
          <w:color w:val="000000" w:themeColor="text1"/>
          <w:sz w:val="24"/>
          <w:szCs w:val="20"/>
          <w:lang w:val="zh-CN"/>
          <w14:textFill>
            <w14:solidFill>
              <w14:schemeClr w14:val="tx1"/>
            </w14:solidFill>
          </w14:textFill>
        </w:rPr>
        <w:t>投标文件的密封和标记</w:t>
      </w:r>
    </w:p>
    <w:p>
      <w:pPr>
        <w:numPr>
          <w:ilvl w:val="0"/>
          <w:numId w:val="21"/>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投标人应将投标文件第一部分资格证明文件、第二部分商务文件、第三部分技术、服务文件合并一起装订，一起封装。</w:t>
      </w:r>
    </w:p>
    <w:p>
      <w:pPr>
        <w:numPr>
          <w:ilvl w:val="0"/>
          <w:numId w:val="2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投标人应将投标文件</w:t>
      </w:r>
      <w:r>
        <w:rPr>
          <w:rFonts w:hint="eastAsia" w:ascii="宋体" w:hAnsi="宋体" w:eastAsia="宋体" w:cs="Times New Roman"/>
          <w:b/>
          <w:color w:val="000000" w:themeColor="text1"/>
          <w:sz w:val="24"/>
          <w:szCs w:val="20"/>
          <w:lang w:val="zh-CN"/>
          <w14:textFill>
            <w14:solidFill>
              <w14:schemeClr w14:val="tx1"/>
            </w14:solidFill>
          </w14:textFill>
        </w:rPr>
        <w:t>正本和副本</w:t>
      </w:r>
      <w:r>
        <w:rPr>
          <w:rFonts w:hint="eastAsia" w:ascii="宋体" w:hAnsi="宋体" w:eastAsia="宋体" w:cs="Times New Roman"/>
          <w:color w:val="000000" w:themeColor="text1"/>
          <w:sz w:val="24"/>
          <w:szCs w:val="20"/>
          <w:lang w:val="zh-CN"/>
          <w14:textFill>
            <w14:solidFill>
              <w14:schemeClr w14:val="tx1"/>
            </w14:solidFill>
          </w14:textFill>
        </w:rPr>
        <w:t>一起密封装在单独的封包中。</w:t>
      </w:r>
    </w:p>
    <w:p>
      <w:pPr>
        <w:numPr>
          <w:ilvl w:val="0"/>
          <w:numId w:val="2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如果未按要求加写密封、标记或存在错误，采购代理机构对其误投或提前启封概不负责。</w:t>
      </w:r>
    </w:p>
    <w:p>
      <w:pPr>
        <w:numPr>
          <w:ilvl w:val="0"/>
          <w:numId w:val="21"/>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为方便开标时唱标，投标人应将《开标一览表》原件及《交纳投标保证金的银行凭证》（若有交纳保证金要求的）各一份一并</w:t>
      </w:r>
      <w:r>
        <w:rPr>
          <w:rFonts w:hint="eastAsia" w:ascii="宋体" w:hAnsi="宋体" w:eastAsia="宋体" w:cs="Times New Roman"/>
          <w:color w:val="000000" w:themeColor="text1"/>
          <w:spacing w:val="-6"/>
          <w:kern w:val="0"/>
          <w:sz w:val="24"/>
          <w:szCs w:val="20"/>
          <w:lang w:val="zh-CN"/>
          <w14:textFill>
            <w14:solidFill>
              <w14:schemeClr w14:val="tx1"/>
            </w14:solidFill>
          </w14:textFill>
        </w:rPr>
        <w:t>装入一个信封，单独密封提交</w:t>
      </w:r>
      <w:r>
        <w:rPr>
          <w:rFonts w:hint="eastAsia" w:ascii="宋体" w:hAnsi="宋体" w:eastAsia="宋体" w:cs="Times New Roman"/>
          <w:color w:val="000000" w:themeColor="text1"/>
          <w:sz w:val="24"/>
          <w:szCs w:val="20"/>
          <w:lang w:val="zh-CN"/>
          <w14:textFill>
            <w14:solidFill>
              <w14:schemeClr w14:val="tx1"/>
            </w14:solidFill>
          </w14:textFill>
        </w:rPr>
        <w:t>，并在信封上标明“开标一览表”字样。未单独提交或单独提交的上述资料未按照招标文件规定的格式填写完整并签字、盖章的采购人</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numPr>
          <w:ilvl w:val="0"/>
          <w:numId w:val="2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“开标一览表”信封和投标文件的封包上应注明采购项目编号、项目名称、投标内容和有“在（招标文件中规定的开标日期和时间）之前不得启封”的字样，封口处加盖投标人公章。</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21、</w:t>
      </w:r>
      <w:r>
        <w:rPr>
          <w:rFonts w:hint="eastAsia" w:ascii="宋体" w:hAnsi="宋体" w:eastAsia="宋体" w:cs="Times New Roman"/>
          <w:b/>
          <w:color w:val="000000" w:themeColor="text1"/>
          <w:sz w:val="24"/>
          <w:szCs w:val="20"/>
          <w:lang w:val="zh-CN"/>
          <w14:textFill>
            <w14:solidFill>
              <w14:schemeClr w14:val="tx1"/>
            </w14:solidFill>
          </w14:textFill>
        </w:rPr>
        <w:t>投标文件递交</w:t>
      </w:r>
    </w:p>
    <w:p>
      <w:pPr>
        <w:numPr>
          <w:ilvl w:val="0"/>
          <w:numId w:val="22"/>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投标人应在不迟于投标邀请书中规定的投标截止日期和时间将投标文件密封递交至采购人（或代理公司）规定的投标地点。</w:t>
      </w:r>
    </w:p>
    <w:p>
      <w:pPr>
        <w:numPr>
          <w:ilvl w:val="0"/>
          <w:numId w:val="22"/>
        </w:numPr>
        <w:spacing w:line="360" w:lineRule="auto"/>
        <w:ind w:left="616" w:hanging="616"/>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Helvetica" w:hAnsi="Helvetica" w:eastAsia="宋体" w:cs="Helvetica"/>
          <w:b/>
          <w:color w:val="000000" w:themeColor="text1"/>
          <w:kern w:val="0"/>
          <w:sz w:val="24"/>
          <w:szCs w:val="24"/>
          <w:lang w:val="zh-CN"/>
          <w14:textFill>
            <w14:solidFill>
              <w14:schemeClr w14:val="tx1"/>
            </w14:solidFill>
          </w14:textFill>
        </w:rPr>
        <w:t>拒收逾期送达或者未按招标文件要求密封的投标文件。</w:t>
      </w:r>
    </w:p>
    <w:p>
      <w:pPr>
        <w:numPr>
          <w:ilvl w:val="0"/>
          <w:numId w:val="22"/>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Helvetica" w:hAnsi="Helvetica" w:eastAsia="宋体" w:cs="Helvetica"/>
          <w:color w:val="000000" w:themeColor="text1"/>
          <w:kern w:val="0"/>
          <w:sz w:val="24"/>
          <w:szCs w:val="24"/>
          <w:lang w:val="zh-CN"/>
          <w14:textFill>
            <w14:solidFill>
              <w14:schemeClr w14:val="tx1"/>
            </w14:solidFill>
          </w14:textFill>
        </w:rPr>
        <w:t>收到投标文件后，应当如实记载投标文件的送达时间和密封情况，签收保存，并向投标人出具签收回执。</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22、</w:t>
      </w:r>
      <w:r>
        <w:rPr>
          <w:rFonts w:hint="eastAsia" w:ascii="宋体" w:hAnsi="宋体" w:eastAsia="宋体" w:cs="Times New Roman"/>
          <w:b/>
          <w:color w:val="000000" w:themeColor="text1"/>
          <w:sz w:val="24"/>
          <w:szCs w:val="20"/>
          <w:lang w:val="zh-CN"/>
          <w14:textFill>
            <w14:solidFill>
              <w14:schemeClr w14:val="tx1"/>
            </w14:solidFill>
          </w14:textFill>
        </w:rPr>
        <w:t>投标文件的修改和撤回</w:t>
      </w:r>
    </w:p>
    <w:p>
      <w:pPr>
        <w:numPr>
          <w:ilvl w:val="0"/>
          <w:numId w:val="23"/>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投标人在投标截止时间前，可以对所递交的投标文件进行补充、修改或者撤回，并书面通知</w:t>
      </w: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ascii="宋体" w:hAnsi="宋体" w:eastAsia="宋体" w:cs="Times New Roman"/>
          <w:color w:val="000000" w:themeColor="text1"/>
          <w:sz w:val="24"/>
          <w:szCs w:val="20"/>
          <w:lang w:val="zh-CN"/>
          <w14:textFill>
            <w14:solidFill>
              <w14:schemeClr w14:val="tx1"/>
            </w14:solidFill>
          </w14:textFill>
        </w:rPr>
        <w:t>。补充、修改的内容应当按照招标文件要求签署、盖章、密封后，作为投标文件的组成部分。</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投标有效期内投标人不得撤销其投标文件，否则按照本章“投标保证金”的规定其投标保证金不予退还。</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投标人所递交的投标文件无论中标与否不予退还。</w:t>
      </w:r>
    </w:p>
    <w:p>
      <w:pPr>
        <w:pStyle w:val="2"/>
        <w:numPr>
          <w:ilvl w:val="0"/>
          <w:numId w:val="6"/>
        </w:numPr>
        <w:spacing w:before="40" w:after="40" w:line="360" w:lineRule="auto"/>
        <w:ind w:left="658" w:hanging="658"/>
        <w:jc w:val="left"/>
        <w:rPr>
          <w:rFonts w:ascii="宋体" w:hAnsi="宋体" w:eastAsia="宋体" w:cs="Times New Roman"/>
          <w:b/>
          <w:color w:val="000000" w:themeColor="text1"/>
          <w:sz w:val="24"/>
          <w:szCs w:val="20"/>
          <w:lang w:val="zh-CN"/>
          <w14:textFill>
            <w14:solidFill>
              <w14:schemeClr w14:val="tx1"/>
            </w14:solidFill>
          </w14:textFill>
        </w:rPr>
      </w:pPr>
      <w:bookmarkStart w:id="14" w:name="_Toc494561942"/>
      <w:bookmarkStart w:id="15" w:name="_Toc495861523"/>
      <w:bookmarkStart w:id="16" w:name="_Toc278891595"/>
      <w:bookmarkStart w:id="17" w:name="_Toc272247698"/>
      <w:r>
        <w:rPr>
          <w:rFonts w:hint="eastAsia" w:cs="Times New Roman" w:asciiTheme="majorEastAsia" w:hAnsiTheme="majorEastAsia"/>
          <w:bCs w:val="0"/>
          <w:color w:val="000000" w:themeColor="text1"/>
          <w:lang w:val="zh-CN"/>
          <w14:textFill>
            <w14:solidFill>
              <w14:schemeClr w14:val="tx1"/>
            </w14:solidFill>
          </w14:textFill>
        </w:rPr>
        <w:t>开标与评标</w:t>
      </w:r>
      <w:bookmarkEnd w:id="14"/>
      <w:bookmarkEnd w:id="15"/>
      <w:bookmarkEnd w:id="16"/>
      <w:bookmarkEnd w:id="17"/>
    </w:p>
    <w:p>
      <w:pPr>
        <w:pStyle w:val="2"/>
        <w:numPr>
          <w:ilvl w:val="0"/>
          <w:numId w:val="0"/>
        </w:numPr>
        <w:spacing w:before="40" w:after="40" w:line="360" w:lineRule="auto"/>
        <w:ind w:leftChars="0"/>
        <w:jc w:val="left"/>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23、</w:t>
      </w:r>
      <w:r>
        <w:rPr>
          <w:rFonts w:hint="eastAsia" w:ascii="宋体" w:hAnsi="宋体" w:eastAsia="宋体" w:cs="Times New Roman"/>
          <w:b/>
          <w:color w:val="000000" w:themeColor="text1"/>
          <w:sz w:val="24"/>
          <w:szCs w:val="20"/>
          <w:lang w:val="zh-CN"/>
          <w14:textFill>
            <w14:solidFill>
              <w14:schemeClr w14:val="tx1"/>
            </w14:solidFill>
          </w14:textFill>
        </w:rPr>
        <w:t>开标</w:t>
      </w:r>
    </w:p>
    <w:p>
      <w:pPr>
        <w:numPr>
          <w:ilvl w:val="0"/>
          <w:numId w:val="24"/>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000000" w:themeColor="text1"/>
          <w:sz w:val="24"/>
          <w:szCs w:val="20"/>
          <w:lang w:val="zh-CN"/>
          <w14:textFill>
            <w14:solidFill>
              <w14:schemeClr w14:val="tx1"/>
            </w14:solidFill>
          </w14:textFill>
        </w:rPr>
        <w:t>，否则视同认可开标结果。</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投标人法定代表人或其授权代表应携带有效身份证明参加项目开标会，</w:t>
      </w:r>
      <w:r>
        <w:rPr>
          <w:rFonts w:ascii="宋体" w:hAnsi="宋体" w:eastAsia="宋体" w:cs="Times New Roman"/>
          <w:color w:val="000000" w:themeColor="text1"/>
          <w:sz w:val="24"/>
          <w:szCs w:val="20"/>
          <w:lang w:val="zh-CN"/>
          <w14:textFill>
            <w14:solidFill>
              <w14:schemeClr w14:val="tx1"/>
            </w14:solidFill>
          </w14:textFill>
        </w:rPr>
        <w:t>投标人未参加开标的，视同认可开标结果。</w:t>
      </w:r>
      <w:r>
        <w:rPr>
          <w:rFonts w:hint="eastAsia" w:ascii="宋体" w:hAnsi="宋体" w:eastAsia="宋体" w:cs="Times New Roman"/>
          <w:color w:val="000000" w:themeColor="text1"/>
          <w:sz w:val="24"/>
          <w:szCs w:val="20"/>
          <w:lang w:val="zh-CN"/>
          <w14:textFill>
            <w14:solidFill>
              <w14:schemeClr w14:val="tx1"/>
            </w14:solidFill>
          </w14:textFill>
        </w:rPr>
        <w:t>截止</w:t>
      </w:r>
      <w:r>
        <w:rPr>
          <w:rFonts w:hint="eastAsia" w:ascii="宋体" w:hAnsi="宋体" w:eastAsia="宋体" w:cs="宋体"/>
          <w:color w:val="000000" w:themeColor="text1"/>
          <w:kern w:val="0"/>
          <w:sz w:val="24"/>
          <w:szCs w:val="24"/>
          <w14:textFill>
            <w14:solidFill>
              <w14:schemeClr w14:val="tx1"/>
            </w14:solidFill>
          </w14:textFill>
        </w:rPr>
        <w:t>投标文件</w:t>
      </w:r>
      <w:r>
        <w:rPr>
          <w:rFonts w:hint="eastAsia" w:ascii="宋体" w:hAnsi="宋体" w:eastAsia="宋体" w:cs="Times New Roman"/>
          <w:color w:val="000000" w:themeColor="text1"/>
          <w:sz w:val="24"/>
          <w:szCs w:val="20"/>
          <w:lang w:val="zh-CN"/>
          <w14:textFill>
            <w14:solidFill>
              <w14:schemeClr w14:val="tx1"/>
            </w14:solidFill>
          </w14:textFill>
        </w:rPr>
        <w:t>递交时间，投标人不足3家的，不进行开标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开标时，由投标人或其推选的代表检查投标文件的密封情况，经确认无误后由</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工作人员当众拆封，</w:t>
      </w:r>
      <w:r>
        <w:rPr>
          <w:rFonts w:ascii="宋体" w:hAnsi="宋体" w:eastAsia="宋体" w:cs="Times New Roman"/>
          <w:color w:val="000000" w:themeColor="text1"/>
          <w:sz w:val="24"/>
          <w:szCs w:val="20"/>
          <w:lang w:val="zh-CN"/>
          <w14:textFill>
            <w14:solidFill>
              <w14:schemeClr w14:val="tx1"/>
            </w14:solidFill>
          </w14:textFill>
        </w:rPr>
        <w:t>宣布投标人名称、投标价格和招标文件规定的需要宣布的其他内容。</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负责</w:t>
      </w:r>
      <w:r>
        <w:rPr>
          <w:rFonts w:hint="eastAsia" w:ascii="宋体" w:hAnsi="宋体" w:eastAsia="宋体" w:cs="Times New Roman"/>
          <w:color w:val="000000" w:themeColor="text1"/>
          <w:sz w:val="24"/>
          <w:szCs w:val="20"/>
          <w:lang w:val="zh-CN"/>
          <w14:textFill>
            <w14:solidFill>
              <w14:schemeClr w14:val="tx1"/>
            </w14:solidFill>
          </w14:textFill>
        </w:rPr>
        <w:t>对</w:t>
      </w:r>
      <w:r>
        <w:rPr>
          <w:rFonts w:ascii="宋体" w:hAnsi="宋体" w:eastAsia="宋体" w:cs="Times New Roman"/>
          <w:color w:val="000000" w:themeColor="text1"/>
          <w:sz w:val="24"/>
          <w:szCs w:val="20"/>
          <w:lang w:val="zh-CN"/>
          <w14:textFill>
            <w14:solidFill>
              <w14:schemeClr w14:val="tx1"/>
            </w14:solidFill>
          </w14:textFill>
        </w:rPr>
        <w:t>开标过程</w:t>
      </w:r>
      <w:r>
        <w:rPr>
          <w:rFonts w:hint="eastAsia" w:ascii="宋体" w:hAnsi="宋体" w:eastAsia="宋体" w:cs="Times New Roman"/>
          <w:color w:val="000000" w:themeColor="text1"/>
          <w:sz w:val="24"/>
          <w:szCs w:val="20"/>
          <w:lang w:val="zh-CN"/>
          <w14:textFill>
            <w14:solidFill>
              <w14:schemeClr w14:val="tx1"/>
            </w14:solidFill>
          </w14:textFill>
        </w:rPr>
        <w:t>进行</w:t>
      </w:r>
      <w:r>
        <w:rPr>
          <w:rFonts w:ascii="宋体" w:hAnsi="宋体" w:eastAsia="宋体" w:cs="Times New Roman"/>
          <w:color w:val="000000" w:themeColor="text1"/>
          <w:sz w:val="24"/>
          <w:szCs w:val="20"/>
          <w:lang w:val="zh-CN"/>
          <w14:textFill>
            <w14:solidFill>
              <w14:schemeClr w14:val="tx1"/>
            </w14:solidFill>
          </w14:textFill>
        </w:rPr>
        <w:t>记录，由参加开标的各投标人代表和相关工作人员</w:t>
      </w:r>
      <w:r>
        <w:rPr>
          <w:rFonts w:hint="eastAsia" w:ascii="宋体" w:hAnsi="宋体" w:eastAsia="宋体" w:cs="Times New Roman"/>
          <w:color w:val="000000" w:themeColor="text1"/>
          <w:sz w:val="24"/>
          <w:szCs w:val="20"/>
          <w:lang w:val="zh-CN"/>
          <w14:textFill>
            <w14:solidFill>
              <w14:schemeClr w14:val="tx1"/>
            </w14:solidFill>
          </w14:textFill>
        </w:rPr>
        <w:t>对开标记录进行</w:t>
      </w:r>
      <w:r>
        <w:rPr>
          <w:rFonts w:ascii="宋体" w:hAnsi="宋体" w:eastAsia="宋体" w:cs="Times New Roman"/>
          <w:color w:val="000000" w:themeColor="text1"/>
          <w:sz w:val="24"/>
          <w:szCs w:val="20"/>
          <w:lang w:val="zh-CN"/>
          <w14:textFill>
            <w14:solidFill>
              <w14:schemeClr w14:val="tx1"/>
            </w14:solidFill>
          </w14:textFill>
        </w:rPr>
        <w:t>签字确认。</w:t>
      </w:r>
    </w:p>
    <w:p>
      <w:pPr>
        <w:numPr>
          <w:ilvl w:val="0"/>
          <w:numId w:val="2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投标人代表对开标过程和开标记录有疑义，以及认为采购人、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ascii="宋体" w:hAnsi="宋体" w:eastAsia="宋体" w:cs="Times New Roman"/>
          <w:color w:val="000000" w:themeColor="text1"/>
          <w:sz w:val="24"/>
          <w:szCs w:val="20"/>
          <w:lang w:val="zh-CN"/>
          <w14:textFill>
            <w14:solidFill>
              <w14:schemeClr w14:val="tx1"/>
            </w14:solidFill>
          </w14:textFill>
        </w:rPr>
        <w:t>相关工作人员有需要回避的情形的，应当场提出询问或者回避申请。采购人、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hint="eastAsia" w:ascii="宋体" w:hAnsi="宋体" w:eastAsia="宋体" w:cs="Times New Roman"/>
          <w:color w:val="000000" w:themeColor="text1"/>
          <w:sz w:val="24"/>
          <w:szCs w:val="20"/>
          <w:lang w:val="zh-CN"/>
          <w14:textFill>
            <w14:solidFill>
              <w14:schemeClr w14:val="tx1"/>
            </w14:solidFill>
          </w14:textFill>
        </w:rPr>
        <w:t>将</w:t>
      </w:r>
      <w:r>
        <w:rPr>
          <w:rFonts w:ascii="宋体" w:hAnsi="宋体" w:eastAsia="宋体" w:cs="Times New Roman"/>
          <w:color w:val="000000" w:themeColor="text1"/>
          <w:sz w:val="24"/>
          <w:szCs w:val="20"/>
          <w:lang w:val="zh-CN"/>
          <w14:textFill>
            <w14:solidFill>
              <w14:schemeClr w14:val="tx1"/>
            </w14:solidFill>
          </w14:textFill>
        </w:rPr>
        <w:t>及时处理投标人代表提出的询问或者回避申请。</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24、</w:t>
      </w:r>
      <w:r>
        <w:rPr>
          <w:rFonts w:hint="eastAsia" w:ascii="宋体" w:hAnsi="宋体" w:eastAsia="宋体" w:cs="Times New Roman"/>
          <w:b/>
          <w:color w:val="000000" w:themeColor="text1"/>
          <w:sz w:val="24"/>
          <w:szCs w:val="20"/>
          <w:lang w:val="zh-CN"/>
          <w14:textFill>
            <w14:solidFill>
              <w14:schemeClr w14:val="tx1"/>
            </w14:solidFill>
          </w14:textFill>
        </w:rPr>
        <w:t>资格审查</w:t>
      </w:r>
    </w:p>
    <w:p>
      <w:pPr>
        <w:numPr>
          <w:ilvl w:val="0"/>
          <w:numId w:val="25"/>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000000" w:themeColor="text1"/>
          <w:kern w:val="0"/>
          <w:sz w:val="24"/>
          <w:szCs w:val="24"/>
          <w:lang w:val="zh-CN"/>
          <w14:textFill>
            <w14:solidFill>
              <w14:schemeClr w14:val="tx1"/>
            </w14:solidFill>
          </w14:textFill>
        </w:rPr>
        <w:t>合格投标人不足</w:t>
      </w:r>
      <w:r>
        <w:rPr>
          <w:rFonts w:ascii="宋体" w:hAnsi="宋体" w:eastAsia="宋体" w:cs="Helvetica"/>
          <w:color w:val="000000" w:themeColor="text1"/>
          <w:kern w:val="0"/>
          <w:sz w:val="24"/>
          <w:szCs w:val="24"/>
          <w:lang w:val="zh-CN"/>
          <w14:textFill>
            <w14:solidFill>
              <w14:schemeClr w14:val="tx1"/>
            </w14:solidFill>
          </w14:textFill>
        </w:rPr>
        <w:t>3</w:t>
      </w:r>
      <w:r>
        <w:rPr>
          <w:rFonts w:ascii="Helvetica" w:hAnsi="Helvetica" w:eastAsia="宋体" w:cs="Helvetica"/>
          <w:color w:val="000000" w:themeColor="text1"/>
          <w:kern w:val="0"/>
          <w:sz w:val="24"/>
          <w:szCs w:val="24"/>
          <w:lang w:val="zh-CN"/>
          <w14:textFill>
            <w14:solidFill>
              <w14:schemeClr w14:val="tx1"/>
            </w14:solidFill>
          </w14:textFill>
        </w:rPr>
        <w:t>家的，不</w:t>
      </w:r>
      <w:r>
        <w:rPr>
          <w:rFonts w:hint="eastAsia" w:ascii="Helvetica" w:hAnsi="Helvetica" w:eastAsia="宋体" w:cs="Helvetica"/>
          <w:color w:val="000000" w:themeColor="text1"/>
          <w:kern w:val="0"/>
          <w:sz w:val="24"/>
          <w:szCs w:val="24"/>
          <w:lang w:val="zh-CN"/>
          <w14:textFill>
            <w14:solidFill>
              <w14:schemeClr w14:val="tx1"/>
            </w14:solidFill>
          </w14:textFill>
        </w:rPr>
        <w:t>进行</w:t>
      </w:r>
      <w:r>
        <w:rPr>
          <w:rFonts w:ascii="Helvetica" w:hAnsi="Helvetica" w:eastAsia="宋体" w:cs="Helvetica"/>
          <w:color w:val="000000" w:themeColor="text1"/>
          <w:kern w:val="0"/>
          <w:sz w:val="24"/>
          <w:szCs w:val="24"/>
          <w:lang w:val="zh-CN"/>
          <w14:textFill>
            <w14:solidFill>
              <w14:schemeClr w14:val="tx1"/>
            </w14:solidFill>
          </w14:textFill>
        </w:rPr>
        <w:t>评标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5"/>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资格审查详见第四章“资格审查方法及标准”。</w:t>
      </w:r>
    </w:p>
    <w:p>
      <w:pPr>
        <w:numPr>
          <w:ilvl w:val="0"/>
          <w:numId w:val="0"/>
        </w:numPr>
        <w:spacing w:line="360" w:lineRule="auto"/>
        <w:ind w:leftChars="0"/>
        <w:rPr>
          <w:rFonts w:ascii="宋体" w:hAnsi="宋体" w:eastAsia="宋体" w:cs="Times New Roman"/>
          <w:b/>
          <w:color w:val="000000" w:themeColor="text1"/>
          <w:sz w:val="24"/>
          <w:szCs w:val="20"/>
          <w:highlight w:val="none"/>
          <w:lang w:val="zh-CN"/>
          <w14:textFill>
            <w14:solidFill>
              <w14:schemeClr w14:val="tx1"/>
            </w14:solidFill>
          </w14:textFill>
        </w:rPr>
      </w:pPr>
      <w:r>
        <w:rPr>
          <w:rFonts w:hint="eastAsia" w:ascii="宋体" w:hAnsi="宋体" w:eastAsia="宋体" w:cs="Times New Roman"/>
          <w:b/>
          <w:color w:val="000000" w:themeColor="text1"/>
          <w:sz w:val="24"/>
          <w:szCs w:val="20"/>
          <w:highlight w:val="none"/>
          <w:lang w:val="en-US" w:eastAsia="zh-CN"/>
          <w14:textFill>
            <w14:solidFill>
              <w14:schemeClr w14:val="tx1"/>
            </w14:solidFill>
          </w14:textFill>
        </w:rPr>
        <w:t>25、</w:t>
      </w:r>
      <w:r>
        <w:rPr>
          <w:rFonts w:hint="eastAsia" w:ascii="宋体" w:hAnsi="宋体" w:eastAsia="宋体" w:cs="Times New Roman"/>
          <w:b/>
          <w:color w:val="000000" w:themeColor="text1"/>
          <w:sz w:val="24"/>
          <w:szCs w:val="20"/>
          <w:highlight w:val="none"/>
          <w:lang w:val="zh-CN"/>
          <w14:textFill>
            <w14:solidFill>
              <w14:schemeClr w14:val="tx1"/>
            </w14:solidFill>
          </w14:textFill>
        </w:rPr>
        <w:t>评标方法</w:t>
      </w:r>
    </w:p>
    <w:p>
      <w:pPr>
        <w:numPr>
          <w:ilvl w:val="0"/>
          <w:numId w:val="26"/>
        </w:numPr>
        <w:spacing w:line="360" w:lineRule="auto"/>
        <w:ind w:left="616" w:hanging="616"/>
        <w:rPr>
          <w:rFonts w:ascii="宋体" w:hAnsi="宋体" w:eastAsia="宋体" w:cs="Times New Roman"/>
          <w:bCs/>
          <w:color w:val="000000" w:themeColor="text1"/>
          <w:sz w:val="24"/>
          <w:szCs w:val="20"/>
          <w:highlight w:val="none"/>
          <w:lang w:val="zh-CN"/>
          <w14:textFill>
            <w14:solidFill>
              <w14:schemeClr w14:val="tx1"/>
            </w14:solidFill>
          </w14:textFill>
        </w:rPr>
      </w:pPr>
      <w:r>
        <w:rPr>
          <w:rFonts w:hint="eastAsia" w:ascii="宋体" w:hAnsi="宋体" w:eastAsia="宋体" w:cs="Times New Roman"/>
          <w:bCs/>
          <w:color w:val="000000" w:themeColor="text1"/>
          <w:sz w:val="24"/>
          <w:szCs w:val="20"/>
          <w:highlight w:val="none"/>
          <w:lang w:val="zh-CN"/>
          <w14:textFill>
            <w14:solidFill>
              <w14:schemeClr w14:val="tx1"/>
            </w14:solidFill>
          </w14:textFill>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hAnsi="宋体" w:eastAsia="宋体" w:cs="Times New Roman"/>
          <w:bCs/>
          <w:color w:val="000000" w:themeColor="text1"/>
          <w:sz w:val="24"/>
          <w:szCs w:val="20"/>
          <w:highlight w:val="none"/>
          <w:lang w:val="zh-CN"/>
          <w14:textFill>
            <w14:solidFill>
              <w14:schemeClr w14:val="tx1"/>
            </w14:solidFill>
          </w14:textFill>
        </w:rPr>
      </w:pPr>
      <w:r>
        <w:rPr>
          <w:rFonts w:hint="eastAsia" w:ascii="宋体" w:hAnsi="宋体" w:eastAsia="宋体" w:cs="Times New Roman"/>
          <w:bCs/>
          <w:color w:val="000000" w:themeColor="text1"/>
          <w:sz w:val="24"/>
          <w:szCs w:val="20"/>
          <w:highlight w:val="none"/>
          <w:lang w:val="zh-CN"/>
          <w14:textFill>
            <w14:solidFill>
              <w14:schemeClr w14:val="tx1"/>
            </w14:solidFill>
          </w14:textFill>
        </w:rPr>
        <w:t>综合评分法。</w:t>
      </w:r>
      <w:r>
        <w:rPr>
          <w:rFonts w:ascii="宋体" w:hAnsi="宋体" w:eastAsia="宋体" w:cs="Times New Roman"/>
          <w:bCs/>
          <w:color w:val="000000" w:themeColor="text1"/>
          <w:sz w:val="24"/>
          <w:szCs w:val="20"/>
          <w:highlight w:val="none"/>
          <w:lang w:val="zh-CN"/>
          <w14:textFill>
            <w14:solidFill>
              <w14:schemeClr w14:val="tx1"/>
            </w14:solidFill>
          </w14:textFill>
        </w:rPr>
        <w:t>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hAnsi="宋体" w:eastAsia="宋体" w:cs="Times New Roman"/>
          <w:bCs/>
          <w:color w:val="000000" w:themeColor="text1"/>
          <w:sz w:val="24"/>
          <w:szCs w:val="20"/>
          <w:highlight w:val="none"/>
          <w:lang w:val="zh-CN"/>
          <w14:textFill>
            <w14:solidFill>
              <w14:schemeClr w14:val="tx1"/>
            </w14:solidFill>
          </w14:textFill>
        </w:rPr>
      </w:pPr>
      <w:r>
        <w:rPr>
          <w:rFonts w:hint="eastAsia" w:ascii="Helvetica" w:hAnsi="Helvetica" w:eastAsia="宋体" w:cs="Helvetica"/>
          <w:color w:val="000000" w:themeColor="text1"/>
          <w:kern w:val="0"/>
          <w:sz w:val="24"/>
          <w:szCs w:val="24"/>
          <w:highlight w:val="none"/>
          <w:lang w:val="zh-CN"/>
          <w14:textFill>
            <w14:solidFill>
              <w14:schemeClr w14:val="tx1"/>
            </w14:solidFill>
          </w14:textFill>
        </w:rPr>
        <w:t>评标方法详见第五章“评标方法、程序及标准”</w:t>
      </w:r>
      <w:r>
        <w:rPr>
          <w:rFonts w:hint="eastAsia" w:ascii="宋体" w:hAnsi="宋体" w:eastAsia="宋体" w:cs="Times New Roman"/>
          <w:bCs/>
          <w:color w:val="000000" w:themeColor="text1"/>
          <w:sz w:val="24"/>
          <w:szCs w:val="20"/>
          <w:highlight w:val="none"/>
          <w:lang w:val="zh-CN"/>
          <w14:textFill>
            <w14:solidFill>
              <w14:schemeClr w14:val="tx1"/>
            </w14:solidFill>
          </w14:textFill>
        </w:rPr>
        <w:t>。</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26、</w:t>
      </w:r>
      <w:r>
        <w:rPr>
          <w:rFonts w:hint="eastAsia" w:ascii="宋体" w:hAnsi="宋体" w:eastAsia="宋体" w:cs="Times New Roman"/>
          <w:b/>
          <w:color w:val="000000" w:themeColor="text1"/>
          <w:sz w:val="24"/>
          <w:szCs w:val="20"/>
          <w:lang w:val="zh-CN"/>
          <w14:textFill>
            <w14:solidFill>
              <w14:schemeClr w14:val="tx1"/>
            </w14:solidFill>
          </w14:textFill>
        </w:rPr>
        <w:t>评标委员会的组成</w:t>
      </w:r>
    </w:p>
    <w:p>
      <w:pPr>
        <w:numPr>
          <w:ilvl w:val="0"/>
          <w:numId w:val="2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Helvetica"/>
          <w:color w:val="000000" w:themeColor="text1"/>
          <w:kern w:val="0"/>
          <w:sz w:val="24"/>
          <w:szCs w:val="24"/>
          <w:lang w:val="zh-CN"/>
          <w14:textFill>
            <w14:solidFill>
              <w14:schemeClr w14:val="tx1"/>
            </w14:solidFill>
          </w14:textFill>
        </w:rPr>
        <w:t>评标委员会由采购人代表和评审专家组成，成员人数应当为5人</w:t>
      </w:r>
      <w:r>
        <w:rPr>
          <w:rFonts w:hint="eastAsia" w:ascii="宋体" w:hAnsi="宋体" w:eastAsia="宋体" w:cs="Helvetica"/>
          <w:color w:val="000000" w:themeColor="text1"/>
          <w:kern w:val="0"/>
          <w:sz w:val="24"/>
          <w:szCs w:val="24"/>
          <w:lang w:val="zh-CN"/>
          <w14:textFill>
            <w14:solidFill>
              <w14:schemeClr w14:val="tx1"/>
            </w14:solidFill>
          </w14:textFill>
        </w:rPr>
        <w:t>及</w:t>
      </w:r>
      <w:r>
        <w:rPr>
          <w:rFonts w:ascii="宋体" w:hAnsi="宋体" w:eastAsia="宋体" w:cs="Helvetica"/>
          <w:color w:val="000000" w:themeColor="text1"/>
          <w:kern w:val="0"/>
          <w:sz w:val="24"/>
          <w:szCs w:val="24"/>
          <w:lang w:val="zh-CN"/>
          <w14:textFill>
            <w14:solidFill>
              <w14:schemeClr w14:val="tx1"/>
            </w14:solidFill>
          </w14:textFill>
        </w:rPr>
        <w:t>以上单数，其中评审专家不得少于成员总数的三分之二</w:t>
      </w:r>
      <w:r>
        <w:rPr>
          <w:rFonts w:hint="eastAsia" w:ascii="宋体" w:hAnsi="宋体" w:eastAsia="宋体" w:cs="Helvetica"/>
          <w:color w:val="000000" w:themeColor="text1"/>
          <w:kern w:val="0"/>
          <w:sz w:val="24"/>
          <w:szCs w:val="24"/>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采购预算金额在1000万元</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w:t>
      </w:r>
      <w:r>
        <w:rPr>
          <w:rFonts w:hint="eastAsia" w:ascii="宋体" w:hAnsi="宋体" w:eastAsia="宋体" w:cs="Times New Roman"/>
          <w:color w:val="000000" w:themeColor="text1"/>
          <w:sz w:val="24"/>
          <w:szCs w:val="20"/>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技术复杂</w:t>
      </w:r>
      <w:r>
        <w:rPr>
          <w:rFonts w:hint="eastAsia" w:ascii="宋体" w:hAnsi="宋体" w:eastAsia="宋体" w:cs="Times New Roman"/>
          <w:color w:val="000000" w:themeColor="text1"/>
          <w:sz w:val="24"/>
          <w:szCs w:val="20"/>
          <w:lang w:val="zh-CN"/>
          <w14:textFill>
            <w14:solidFill>
              <w14:schemeClr w14:val="tx1"/>
            </w14:solidFill>
          </w14:textFill>
        </w:rPr>
        <w:t>或</w:t>
      </w:r>
      <w:r>
        <w:rPr>
          <w:rFonts w:ascii="宋体" w:hAnsi="宋体" w:eastAsia="宋体" w:cs="Times New Roman"/>
          <w:color w:val="000000" w:themeColor="text1"/>
          <w:sz w:val="24"/>
          <w:szCs w:val="20"/>
          <w:lang w:val="zh-CN"/>
          <w14:textFill>
            <w14:solidFill>
              <w14:schemeClr w14:val="tx1"/>
            </w14:solidFill>
          </w14:textFill>
        </w:rPr>
        <w:t>社会影响较大</w:t>
      </w:r>
      <w:r>
        <w:rPr>
          <w:rFonts w:hint="eastAsia" w:ascii="宋体" w:hAnsi="宋体" w:eastAsia="宋体" w:cs="Times New Roman"/>
          <w:color w:val="000000" w:themeColor="text1"/>
          <w:sz w:val="24"/>
          <w:szCs w:val="20"/>
          <w:lang w:val="zh-CN"/>
          <w14:textFill>
            <w14:solidFill>
              <w14:schemeClr w14:val="tx1"/>
            </w14:solidFill>
          </w14:textFill>
        </w:rPr>
        <w:t>的项目，</w:t>
      </w:r>
      <w:r>
        <w:rPr>
          <w:rFonts w:ascii="宋体" w:hAnsi="宋体" w:eastAsia="宋体" w:cs="Times New Roman"/>
          <w:color w:val="000000" w:themeColor="text1"/>
          <w:sz w:val="24"/>
          <w:szCs w:val="20"/>
          <w:lang w:val="zh-CN"/>
          <w14:textFill>
            <w14:solidFill>
              <w14:schemeClr w14:val="tx1"/>
            </w14:solidFill>
          </w14:textFill>
        </w:rPr>
        <w:t>评标委员会成员人数应当为7人</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以上单数</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27"/>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评标委员会成员依法从政府采购专家库中随机抽取。</w:t>
      </w:r>
      <w:r>
        <w:rPr>
          <w:rFonts w:ascii="宋体" w:hAnsi="宋体" w:eastAsia="宋体" w:cs="Times New Roman"/>
          <w:b/>
          <w:color w:val="000000" w:themeColor="text1"/>
          <w:sz w:val="24"/>
          <w:szCs w:val="20"/>
          <w:lang w:val="zh-CN"/>
          <w14:textFill>
            <w14:solidFill>
              <w14:schemeClr w14:val="tx1"/>
            </w14:solidFill>
          </w14:textFill>
        </w:rPr>
        <w:t>对技术复杂、专业性强的采购项目，通过随机方式难以确定合适评审专家的，经主管预算单位同意，采购人可以自行选定相应专业领域的评审专家。</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27、</w:t>
      </w:r>
      <w:r>
        <w:rPr>
          <w:rFonts w:hint="eastAsia" w:ascii="宋体" w:hAnsi="宋体" w:eastAsia="宋体" w:cs="Times New Roman"/>
          <w:b/>
          <w:color w:val="000000" w:themeColor="text1"/>
          <w:sz w:val="24"/>
          <w:szCs w:val="20"/>
          <w:lang w:val="zh-CN"/>
          <w14:textFill>
            <w14:solidFill>
              <w14:schemeClr w14:val="tx1"/>
            </w14:solidFill>
          </w14:textFill>
        </w:rPr>
        <w:t>评标程序</w:t>
      </w:r>
    </w:p>
    <w:p>
      <w:pPr>
        <w:numPr>
          <w:ilvl w:val="0"/>
          <w:numId w:val="28"/>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评标委员会负责具体评标事务，并独立履行下列职责：</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审查、评价投标文件是否符合招标文件的商务、技术等实质性要求；</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要求投标人对投标文件有关事项作出澄清或者说明；</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对投标文件进行</w:t>
      </w:r>
      <w:r>
        <w:rPr>
          <w:rFonts w:hint="eastAsia" w:ascii="宋体" w:hAnsi="宋体" w:eastAsia="宋体" w:cs="Times New Roman"/>
          <w:color w:val="000000" w:themeColor="text1"/>
          <w:sz w:val="24"/>
          <w:szCs w:val="20"/>
          <w:lang w:val="zh-CN"/>
          <w14:textFill>
            <w14:solidFill>
              <w14:schemeClr w14:val="tx1"/>
            </w14:solidFill>
          </w14:textFill>
        </w:rPr>
        <w:t>综合</w:t>
      </w:r>
      <w:r>
        <w:rPr>
          <w:rFonts w:ascii="宋体" w:hAnsi="宋体" w:eastAsia="宋体" w:cs="Times New Roman"/>
          <w:color w:val="000000" w:themeColor="text1"/>
          <w:sz w:val="24"/>
          <w:szCs w:val="20"/>
          <w:lang w:val="zh-CN"/>
          <w14:textFill>
            <w14:solidFill>
              <w14:schemeClr w14:val="tx1"/>
            </w14:solidFill>
          </w14:textFill>
        </w:rPr>
        <w:t>比较和评价；</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确定中标候选人名单或中标人；</w:t>
      </w:r>
    </w:p>
    <w:p>
      <w:pPr>
        <w:numPr>
          <w:ilvl w:val="0"/>
          <w:numId w:val="29"/>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向采购人、</w:t>
      </w:r>
      <w:r>
        <w:rPr>
          <w:rFonts w:hint="eastAsia" w:ascii="宋体" w:hAnsi="宋体" w:eastAsia="宋体" w:cs="Times New Roman"/>
          <w:color w:val="000000" w:themeColor="text1"/>
          <w:sz w:val="24"/>
          <w:szCs w:val="20"/>
          <w:lang w:val="zh-CN"/>
          <w14:textFill>
            <w14:solidFill>
              <w14:schemeClr w14:val="tx1"/>
            </w14:solidFill>
          </w14:textFill>
        </w:rPr>
        <w:t>采购代理</w:t>
      </w:r>
      <w:r>
        <w:rPr>
          <w:rFonts w:ascii="宋体" w:hAnsi="宋体" w:eastAsia="宋体" w:cs="Times New Roman"/>
          <w:color w:val="000000" w:themeColor="text1"/>
          <w:sz w:val="24"/>
          <w:szCs w:val="20"/>
          <w:lang w:val="zh-CN"/>
          <w14:textFill>
            <w14:solidFill>
              <w14:schemeClr w14:val="tx1"/>
            </w14:solidFill>
          </w14:textFill>
        </w:rPr>
        <w:t>机构或者有关部门报告评标中发现的违法行为。</w:t>
      </w:r>
    </w:p>
    <w:p>
      <w:pPr>
        <w:numPr>
          <w:ilvl w:val="0"/>
          <w:numId w:val="28"/>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评标程序详见第五章“评标方法、程序及标准”。</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8" w:name="_Toc494561943"/>
      <w:bookmarkStart w:id="19" w:name="_Toc495861524"/>
      <w:r>
        <w:rPr>
          <w:rFonts w:hint="eastAsia" w:cs="Times New Roman" w:asciiTheme="majorEastAsia" w:hAnsiTheme="majorEastAsia"/>
          <w:bCs w:val="0"/>
          <w:color w:val="000000" w:themeColor="text1"/>
          <w:lang w:val="zh-CN"/>
          <w14:textFill>
            <w14:solidFill>
              <w14:schemeClr w14:val="tx1"/>
            </w14:solidFill>
          </w14:textFill>
        </w:rPr>
        <w:t>投标人信用信息及查询</w:t>
      </w:r>
      <w:bookmarkEnd w:id="18"/>
      <w:bookmarkEnd w:id="19"/>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28、</w:t>
      </w:r>
      <w:r>
        <w:rPr>
          <w:rFonts w:hint="eastAsia" w:ascii="宋体" w:hAnsi="宋体" w:eastAsia="宋体" w:cs="Times New Roman"/>
          <w:b/>
          <w:color w:val="000000" w:themeColor="text1"/>
          <w:sz w:val="24"/>
          <w:szCs w:val="20"/>
          <w:lang w:val="zh-CN"/>
          <w14:textFill>
            <w14:solidFill>
              <w14:schemeClr w14:val="tx1"/>
            </w14:solidFill>
          </w14:textFill>
        </w:rPr>
        <w:t>信用信息查询渠道及使用规则</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按照《关于在政府采购活动中查询及使用信用记录有关问题的通知》的要求，参与政府采购的投标人，信用记录的查询渠道为“信用中国”网站(www.creditchina.gov.cn)、中国政府采购网(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cs="Helvetica" w:asciiTheme="minorEastAsia" w:hAnsiTheme="minorEastAsia"/>
          <w:color w:val="000000" w:themeColor="text1"/>
          <w:kern w:val="0"/>
          <w:sz w:val="24"/>
          <w:szCs w:val="24"/>
          <w:lang w:val="zh-CN"/>
          <w14:textFill>
            <w14:solidFill>
              <w14:schemeClr w14:val="tx1"/>
            </w14:solidFill>
          </w14:textFill>
        </w:rPr>
        <w:t>www.ccgp.gov.cn</w:t>
      </w:r>
      <w:r>
        <w:rPr>
          <w:rFonts w:hint="eastAsia" w:cs="Helvetica" w:asciiTheme="minorEastAsia" w:hAnsiTheme="minorEastAsia"/>
          <w:color w:val="000000" w:themeColor="text1"/>
          <w:kern w:val="0"/>
          <w:sz w:val="24"/>
          <w:szCs w:val="24"/>
          <w:lang w:val="zh-CN"/>
          <w14:textFill>
            <w14:solidFill>
              <w14:schemeClr w14:val="tx1"/>
            </w14:solidFill>
          </w14:textFill>
        </w:rPr>
        <w:fldChar w:fldCharType="end"/>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列入失信被执行人、重大税收违法案件当事人名单、政府采购严重违法失信行为记录名单的供应商，采购人、采购代理机构</w:t>
      </w:r>
      <w:r>
        <w:rPr>
          <w:rFonts w:hint="eastAsia" w:cs="Helvetica" w:asciiTheme="minorEastAsia" w:hAnsiTheme="minorEastAsia"/>
          <w:b/>
          <w:color w:val="000000" w:themeColor="text1"/>
          <w:kern w:val="0"/>
          <w:sz w:val="24"/>
          <w:szCs w:val="24"/>
          <w:lang w:val="zh-CN"/>
          <w14:textFill>
            <w14:solidFill>
              <w14:schemeClr w14:val="tx1"/>
            </w14:solidFill>
          </w14:textFill>
        </w:rPr>
        <w:t>拒绝</w:t>
      </w:r>
      <w:r>
        <w:rPr>
          <w:rFonts w:hint="eastAsia" w:cs="Helvetica" w:asciiTheme="minorEastAsia" w:hAnsiTheme="minorEastAsia"/>
          <w:color w:val="000000" w:themeColor="text1"/>
          <w:kern w:val="0"/>
          <w:sz w:val="24"/>
          <w:szCs w:val="24"/>
          <w:lang w:val="zh-CN"/>
          <w14:textFill>
            <w14:solidFill>
              <w14:schemeClr w14:val="tx1"/>
            </w14:solidFill>
          </w14:textFill>
        </w:rPr>
        <w:t>其参与政府采购活动。</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投标人的信用记录，最终以评标时的“信用中国”网站发布的信息为准。</w:t>
      </w:r>
    </w:p>
    <w:p>
      <w:pPr>
        <w:numPr>
          <w:ilvl w:val="0"/>
          <w:numId w:val="30"/>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在资格审查与评标工作未同日进行的特殊情形下，</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cs="Helvetica" w:asciiTheme="minorEastAsia" w:hAnsiTheme="minorEastAsia"/>
          <w:color w:val="000000" w:themeColor="text1"/>
          <w:kern w:val="0"/>
          <w:sz w:val="24"/>
          <w:szCs w:val="24"/>
          <w:lang w:val="zh-CN"/>
          <w14:textFill>
            <w14:solidFill>
              <w14:schemeClr w14:val="tx1"/>
            </w14:solidFill>
          </w14:textFill>
        </w:rPr>
        <w:t>工作人员在评标时对投标人的信用信息进行复核，发现评标当日存在不良信用信息的，由评标委员会按照符合性审查不合格作</w:t>
      </w:r>
      <w:r>
        <w:rPr>
          <w:rFonts w:hint="eastAsia" w:cs="Helvetica" w:asciiTheme="minorEastAsia" w:hAnsiTheme="minorEastAsia"/>
          <w:b/>
          <w:color w:val="000000" w:themeColor="text1"/>
          <w:kern w:val="0"/>
          <w:sz w:val="24"/>
          <w:szCs w:val="24"/>
          <w:lang w:val="zh-CN"/>
          <w14:textFill>
            <w14:solidFill>
              <w14:schemeClr w14:val="tx1"/>
            </w14:solidFill>
          </w14:textFill>
        </w:rPr>
        <w:t>无效投标处理</w:t>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0" w:name="_Toc494561944"/>
      <w:bookmarkStart w:id="21" w:name="_Toc495861525"/>
      <w:r>
        <w:rPr>
          <w:rFonts w:cs="Times New Roman" w:asciiTheme="majorEastAsia" w:hAnsiTheme="majorEastAsia"/>
          <w:bCs w:val="0"/>
          <w:color w:val="000000" w:themeColor="text1"/>
          <w:lang w:val="zh-CN"/>
          <w14:textFill>
            <w14:solidFill>
              <w14:schemeClr w14:val="tx1"/>
            </w14:solidFill>
          </w14:textFill>
        </w:rPr>
        <w:t>中标</w:t>
      </w:r>
      <w:r>
        <w:rPr>
          <w:rFonts w:hint="eastAsia" w:cs="Times New Roman" w:asciiTheme="majorEastAsia" w:hAnsiTheme="majorEastAsia"/>
          <w:bCs w:val="0"/>
          <w:color w:val="000000" w:themeColor="text1"/>
          <w:lang w:val="zh-CN"/>
          <w14:textFill>
            <w14:solidFill>
              <w14:schemeClr w14:val="tx1"/>
            </w14:solidFill>
          </w14:textFill>
        </w:rPr>
        <w:t>与</w:t>
      </w:r>
      <w:r>
        <w:rPr>
          <w:rFonts w:cs="Times New Roman" w:asciiTheme="majorEastAsia" w:hAnsiTheme="majorEastAsia"/>
          <w:bCs w:val="0"/>
          <w:color w:val="000000" w:themeColor="text1"/>
          <w:lang w:val="zh-CN"/>
          <w14:textFill>
            <w14:solidFill>
              <w14:schemeClr w14:val="tx1"/>
            </w14:solidFill>
          </w14:textFill>
        </w:rPr>
        <w:t>合同</w:t>
      </w:r>
      <w:bookmarkEnd w:id="20"/>
      <w:bookmarkEnd w:id="21"/>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29、</w:t>
      </w:r>
      <w:r>
        <w:rPr>
          <w:rFonts w:hint="eastAsia" w:ascii="宋体" w:hAnsi="宋体" w:eastAsia="宋体" w:cs="Times New Roman"/>
          <w:b/>
          <w:color w:val="000000" w:themeColor="text1"/>
          <w:sz w:val="24"/>
          <w:szCs w:val="20"/>
          <w:lang w:val="zh-CN"/>
          <w14:textFill>
            <w14:solidFill>
              <w14:schemeClr w14:val="tx1"/>
            </w14:solidFill>
          </w14:textFill>
        </w:rPr>
        <w:t>确定中标人</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采购人收到评标报告</w:t>
      </w:r>
      <w:r>
        <w:rPr>
          <w:rFonts w:ascii="宋体" w:hAnsi="宋体" w:eastAsia="宋体" w:cs="Helvetica"/>
          <w:color w:val="000000" w:themeColor="text1"/>
          <w:kern w:val="0"/>
          <w:sz w:val="24"/>
          <w:szCs w:val="24"/>
          <w:lang w:val="zh-CN"/>
          <w14:textFill>
            <w14:solidFill>
              <w14:schemeClr w14:val="tx1"/>
            </w14:solidFill>
          </w14:textFill>
        </w:rPr>
        <w:t>5个工作日内，</w:t>
      </w:r>
      <w:r>
        <w:rPr>
          <w:rFonts w:hint="eastAsia" w:ascii="宋体" w:hAnsi="宋体" w:eastAsia="宋体" w:cs="Helvetica"/>
          <w:color w:val="000000" w:themeColor="text1"/>
          <w:kern w:val="0"/>
          <w:sz w:val="24"/>
          <w:szCs w:val="24"/>
          <w:lang w:val="zh-CN"/>
          <w14:textFill>
            <w14:solidFill>
              <w14:schemeClr w14:val="tx1"/>
            </w14:solidFill>
          </w14:textFill>
        </w:rPr>
        <w:t>按</w:t>
      </w:r>
      <w:r>
        <w:rPr>
          <w:rFonts w:ascii="宋体" w:hAnsi="宋体" w:eastAsia="宋体" w:cs="Helvetica"/>
          <w:color w:val="000000" w:themeColor="text1"/>
          <w:kern w:val="0"/>
          <w:sz w:val="24"/>
          <w:szCs w:val="24"/>
          <w:lang w:val="zh-CN"/>
          <w14:textFill>
            <w14:solidFill>
              <w14:schemeClr w14:val="tx1"/>
            </w14:solidFill>
          </w14:textFill>
        </w:rPr>
        <w:t>评标报告推荐的中标候选人顺序确定中标人。</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中示候选人并列的：</w:t>
      </w:r>
    </w:p>
    <w:p>
      <w:pPr>
        <w:numPr>
          <w:ilvl w:val="0"/>
          <w:numId w:val="32"/>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采用综合评分法的，评标结果按评审后得分由高到低顺序排列。得分相同的，按投标报价由低到高顺序排列。得分且投标报价相同的，按技术部分由高到低顺序排列。</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中标人的数量有其他规定的，按招标文件相关规定执行。</w:t>
      </w:r>
    </w:p>
    <w:p>
      <w:pPr>
        <w:numPr>
          <w:ilvl w:val="0"/>
          <w:numId w:val="31"/>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1"/>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中标通知书发出后，采购人不得违法改变中标结果，中标人无正当理由不得放弃中标。</w:t>
      </w:r>
    </w:p>
    <w:p>
      <w:pPr>
        <w:numPr>
          <w:ilvl w:val="0"/>
          <w:numId w:val="31"/>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30、</w:t>
      </w:r>
      <w:r>
        <w:rPr>
          <w:rFonts w:hint="eastAsia" w:ascii="宋体" w:hAnsi="宋体" w:eastAsia="宋体" w:cs="Times New Roman"/>
          <w:b/>
          <w:color w:val="000000" w:themeColor="text1"/>
          <w:sz w:val="24"/>
          <w:szCs w:val="20"/>
          <w:lang w:val="zh-CN"/>
          <w14:textFill>
            <w14:solidFill>
              <w14:schemeClr w14:val="tx1"/>
            </w14:solidFill>
          </w14:textFill>
        </w:rPr>
        <w:t>合同授予</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除本章“确定中标人”规定及其他法律规定的情形外，采购人把合同授予被确定为实质上响应招标文件要求且排名第一的中标人。</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31、</w:t>
      </w:r>
      <w:r>
        <w:rPr>
          <w:rFonts w:hint="eastAsia" w:ascii="宋体" w:hAnsi="宋体" w:eastAsia="宋体" w:cs="Times New Roman"/>
          <w:b/>
          <w:color w:val="000000" w:themeColor="text1"/>
          <w:sz w:val="24"/>
          <w:szCs w:val="20"/>
          <w:lang w:val="zh-CN"/>
          <w14:textFill>
            <w14:solidFill>
              <w14:schemeClr w14:val="tx1"/>
            </w14:solidFill>
          </w14:textFill>
        </w:rPr>
        <w:t>合同签订</w:t>
      </w:r>
    </w:p>
    <w:p>
      <w:pPr>
        <w:numPr>
          <w:ilvl w:val="0"/>
          <w:numId w:val="3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bookmarkStart w:id="22" w:name="_Toc278891597"/>
      <w:bookmarkStart w:id="23" w:name="_Toc272247700"/>
      <w:r>
        <w:rPr>
          <w:rFonts w:ascii="宋体" w:hAnsi="宋体" w:eastAsia="宋体" w:cs="Times New Roman"/>
          <w:color w:val="000000" w:themeColor="text1"/>
          <w:sz w:val="24"/>
          <w:szCs w:val="20"/>
          <w:lang w:val="zh-CN"/>
          <w14:textFill>
            <w14:solidFill>
              <w14:schemeClr w14:val="tx1"/>
            </w14:solidFill>
          </w14:textFill>
        </w:rPr>
        <w:t>采购人应当自中标通知书发出之日起30日内，按照招标文件</w:t>
      </w:r>
      <w:r>
        <w:rPr>
          <w:rFonts w:hint="eastAsia" w:ascii="宋体" w:hAnsi="宋体" w:eastAsia="宋体" w:cs="Times New Roman"/>
          <w:color w:val="000000" w:themeColor="text1"/>
          <w:sz w:val="24"/>
          <w:szCs w:val="20"/>
          <w:lang w:val="zh-CN"/>
          <w14:textFill>
            <w14:solidFill>
              <w14:schemeClr w14:val="tx1"/>
            </w14:solidFill>
          </w14:textFill>
        </w:rPr>
        <w:t>规定</w:t>
      </w:r>
      <w:r>
        <w:rPr>
          <w:rFonts w:ascii="宋体" w:hAnsi="宋体" w:eastAsia="宋体" w:cs="Times New Roman"/>
          <w:color w:val="000000" w:themeColor="text1"/>
          <w:sz w:val="24"/>
          <w:szCs w:val="20"/>
          <w:lang w:val="zh-CN"/>
          <w14:textFill>
            <w14:solidFill>
              <w14:schemeClr w14:val="tx1"/>
            </w14:solidFill>
          </w14:textFill>
        </w:rPr>
        <w:t>和中标人投标文件的</w:t>
      </w:r>
      <w:r>
        <w:rPr>
          <w:rFonts w:hint="eastAsia" w:ascii="宋体" w:hAnsi="宋体" w:eastAsia="宋体" w:cs="Times New Roman"/>
          <w:color w:val="000000" w:themeColor="text1"/>
          <w:sz w:val="24"/>
          <w:szCs w:val="20"/>
          <w:lang w:val="zh-CN"/>
          <w14:textFill>
            <w14:solidFill>
              <w14:schemeClr w14:val="tx1"/>
            </w14:solidFill>
          </w14:textFill>
        </w:rPr>
        <w:t>承诺</w:t>
      </w:r>
      <w:r>
        <w:rPr>
          <w:rFonts w:ascii="宋体" w:hAnsi="宋体" w:eastAsia="宋体" w:cs="Times New Roman"/>
          <w:color w:val="000000" w:themeColor="text1"/>
          <w:sz w:val="24"/>
          <w:szCs w:val="20"/>
          <w:lang w:val="zh-CN"/>
          <w14:textFill>
            <w14:solidFill>
              <w14:schemeClr w14:val="tx1"/>
            </w14:solidFill>
          </w14:textFill>
        </w:rPr>
        <w:t>，与中标人签订书面合同。所签订的合同不得对招标文件确定的事项和中标人投标文件作实质性修改。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采购人不得向中标人提出任何不合理的要求作为签订合同的条件。</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采购人应当加强对中标人的履约管理，并按照采购合同约定，及时向中标人支付采购资金。对于中标人违反采购合同约定的行为，采购人应当及时处理，依法追究其违约责任。</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4" w:name="_Toc495861526"/>
      <w:bookmarkStart w:id="25" w:name="_Toc494561945"/>
      <w:r>
        <w:rPr>
          <w:rFonts w:hint="eastAsia" w:cs="Times New Roman" w:asciiTheme="majorEastAsia" w:hAnsiTheme="majorEastAsia"/>
          <w:bCs w:val="0"/>
          <w:color w:val="000000" w:themeColor="text1"/>
          <w:lang w:val="zh-CN"/>
          <w14:textFill>
            <w14:solidFill>
              <w14:schemeClr w14:val="tx1"/>
            </w14:solidFill>
          </w14:textFill>
        </w:rPr>
        <w:t>采购信息公告</w:t>
      </w:r>
      <w:bookmarkEnd w:id="24"/>
      <w:bookmarkEnd w:id="25"/>
    </w:p>
    <w:p>
      <w:pPr>
        <w:numPr>
          <w:ilvl w:val="0"/>
          <w:numId w:val="0"/>
        </w:numPr>
        <w:spacing w:line="360" w:lineRule="auto"/>
        <w:ind w:leftChars="0"/>
        <w:rPr>
          <w:rFonts w:ascii="宋体" w:hAnsi="宋体" w:eastAsia="宋体" w:cs="Helvetica"/>
          <w:b/>
          <w:color w:val="000000" w:themeColor="text1"/>
          <w:kern w:val="0"/>
          <w:sz w:val="24"/>
          <w:szCs w:val="24"/>
          <w:lang w:val="zh-CN"/>
          <w14:textFill>
            <w14:solidFill>
              <w14:schemeClr w14:val="tx1"/>
            </w14:solidFill>
          </w14:textFill>
        </w:rPr>
      </w:pPr>
      <w:r>
        <w:rPr>
          <w:rFonts w:hint="eastAsia" w:ascii="宋体" w:hAnsi="宋体" w:eastAsia="宋体" w:cs="Helvetica"/>
          <w:b/>
          <w:color w:val="000000" w:themeColor="text1"/>
          <w:kern w:val="0"/>
          <w:sz w:val="24"/>
          <w:szCs w:val="24"/>
          <w:lang w:val="en-US" w:eastAsia="zh-CN"/>
          <w14:textFill>
            <w14:solidFill>
              <w14:schemeClr w14:val="tx1"/>
            </w14:solidFill>
          </w14:textFill>
        </w:rPr>
        <w:t>32、</w:t>
      </w:r>
      <w:r>
        <w:rPr>
          <w:rFonts w:hint="eastAsia" w:ascii="宋体" w:hAnsi="宋体" w:eastAsia="宋体" w:cs="Helvetica"/>
          <w:b/>
          <w:color w:val="000000" w:themeColor="text1"/>
          <w:kern w:val="0"/>
          <w:sz w:val="24"/>
          <w:szCs w:val="24"/>
          <w:lang w:val="zh-CN"/>
          <w14:textFill>
            <w14:solidFill>
              <w14:schemeClr w14:val="tx1"/>
            </w14:solidFill>
          </w14:textFill>
        </w:rPr>
        <w:t>公告的媒体及规定</w:t>
      </w:r>
    </w:p>
    <w:p>
      <w:pPr>
        <w:numPr>
          <w:ilvl w:val="0"/>
          <w:numId w:val="34"/>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Helvetica" w:asciiTheme="minorEastAsia" w:hAnsiTheme="minorEastAsia"/>
          <w:color w:val="000000" w:themeColor="text1"/>
          <w:kern w:val="0"/>
          <w:sz w:val="24"/>
          <w:szCs w:val="24"/>
          <w:lang w:val="zh-CN"/>
          <w14:textFill>
            <w14:solidFill>
              <w14:schemeClr w14:val="tx1"/>
            </w14:solidFill>
          </w14:textFill>
        </w:rPr>
        <w:t>在招标活动中的公告、补充、更正、结果等采购信息均依法在政府采购监管部门指定媒体上（中国湖北政府采购网http://www.ccgp-hubei.gov.cn/）发布。</w:t>
      </w:r>
    </w:p>
    <w:p>
      <w:pPr>
        <w:numPr>
          <w:ilvl w:val="0"/>
          <w:numId w:val="34"/>
        </w:numPr>
        <w:tabs>
          <w:tab w:val="left" w:pos="616"/>
        </w:tabs>
        <w:spacing w:line="360" w:lineRule="auto"/>
        <w:ind w:left="616" w:hanging="616"/>
        <w:rPr>
          <w:rFonts w:cs="Helvetica" w:asciiTheme="minorEastAsia" w:hAnsiTheme="minorEastAsia"/>
          <w:b/>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采购代理机构</w:t>
      </w:r>
      <w:r>
        <w:rPr>
          <w:rFonts w:hint="eastAsia" w:cs="Helvetica" w:asciiTheme="minorEastAsia" w:hAnsiTheme="minorEastAsia"/>
          <w:color w:val="000000" w:themeColor="text1"/>
          <w:kern w:val="0"/>
          <w:sz w:val="24"/>
          <w:szCs w:val="24"/>
          <w:lang w:val="zh-CN"/>
          <w14:textFill>
            <w14:solidFill>
              <w14:schemeClr w14:val="tx1"/>
            </w14:solidFill>
          </w14:textFill>
        </w:rPr>
        <w:t>在自</w:t>
      </w:r>
      <w:r>
        <w:rPr>
          <w:rFonts w:cs="Helvetica" w:asciiTheme="minorEastAsia" w:hAnsiTheme="minorEastAsia"/>
          <w:color w:val="000000" w:themeColor="text1"/>
          <w:kern w:val="0"/>
          <w:sz w:val="24"/>
          <w:szCs w:val="24"/>
          <w:lang w:val="zh-CN"/>
          <w14:textFill>
            <w14:solidFill>
              <w14:schemeClr w14:val="tx1"/>
            </w14:solidFill>
          </w14:textFill>
        </w:rPr>
        <w:t>中标人确定之日起2个工作日内，</w:t>
      </w:r>
      <w:r>
        <w:rPr>
          <w:rFonts w:hint="eastAsia" w:cs="Helvetica" w:asciiTheme="minorEastAsia" w:hAnsiTheme="minorEastAsia"/>
          <w:color w:val="000000" w:themeColor="text1"/>
          <w:kern w:val="0"/>
          <w:sz w:val="24"/>
          <w:szCs w:val="24"/>
          <w:lang w:val="zh-CN"/>
          <w14:textFill>
            <w14:solidFill>
              <w14:schemeClr w14:val="tx1"/>
            </w14:solidFill>
          </w14:textFill>
        </w:rPr>
        <w:t>在政府采购监管部门指定媒体上</w:t>
      </w:r>
      <w:r>
        <w:rPr>
          <w:rFonts w:cs="Helvetica" w:asciiTheme="minorEastAsia" w:hAnsiTheme="minorEastAsia"/>
          <w:color w:val="000000" w:themeColor="text1"/>
          <w:kern w:val="0"/>
          <w:sz w:val="24"/>
          <w:szCs w:val="24"/>
          <w:lang w:val="zh-CN"/>
          <w14:textFill>
            <w14:solidFill>
              <w14:schemeClr w14:val="tx1"/>
            </w14:solidFill>
          </w14:textFill>
        </w:rPr>
        <w:t>公告中标结果</w:t>
      </w:r>
      <w:r>
        <w:rPr>
          <w:rFonts w:hint="eastAsia"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b/>
          <w:color w:val="000000" w:themeColor="text1"/>
          <w:kern w:val="0"/>
          <w:sz w:val="24"/>
          <w:szCs w:val="24"/>
          <w:lang w:val="zh-CN"/>
          <w14:textFill>
            <w14:solidFill>
              <w14:schemeClr w14:val="tx1"/>
            </w14:solidFill>
          </w14:textFill>
        </w:rPr>
        <w:t>中标公告的公示期为1个工作日。</w:t>
      </w:r>
    </w:p>
    <w:p>
      <w:pPr>
        <w:numPr>
          <w:ilvl w:val="0"/>
          <w:numId w:val="34"/>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资格审查未通过的投标人可在结果公告质疑有效期内按公告中的联系方式获知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w:t>
      </w:r>
      <w:r>
        <w:rPr>
          <w:rFonts w:hint="eastAsia" w:cs="Helvetica" w:asciiTheme="minorEastAsia" w:hAnsiTheme="minorEastAsia"/>
          <w:color w:val="000000" w:themeColor="text1"/>
          <w:kern w:val="0"/>
          <w:sz w:val="24"/>
          <w:szCs w:val="24"/>
          <w:lang w:val="zh-CN"/>
          <w14:textFill>
            <w14:solidFill>
              <w14:schemeClr w14:val="tx1"/>
            </w14:solidFill>
          </w14:textFill>
        </w:rPr>
        <w:t>资格审查情况</w:t>
      </w:r>
      <w:r>
        <w:rPr>
          <w:rFonts w:cs="Helvetica" w:asciiTheme="minorEastAsia" w:hAnsiTheme="minorEastAsia"/>
          <w:color w:val="000000" w:themeColor="text1"/>
          <w:kern w:val="0"/>
          <w:sz w:val="24"/>
          <w:szCs w:val="24"/>
          <w:lang w:val="zh-CN"/>
          <w14:textFill>
            <w14:solidFill>
              <w14:schemeClr w14:val="tx1"/>
            </w14:solidFill>
          </w14:textFill>
        </w:rPr>
        <w:t>。</w:t>
      </w:r>
    </w:p>
    <w:p>
      <w:pPr>
        <w:numPr>
          <w:ilvl w:val="0"/>
          <w:numId w:val="34"/>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cs="Helvetica" w:asciiTheme="minorEastAsia" w:hAnsiTheme="minorEastAsia"/>
          <w:color w:val="000000" w:themeColor="text1"/>
          <w:kern w:val="0"/>
          <w:sz w:val="24"/>
          <w:szCs w:val="24"/>
          <w:lang w:val="zh-CN"/>
          <w14:textFill>
            <w14:solidFill>
              <w14:schemeClr w14:val="tx1"/>
            </w14:solidFill>
          </w14:textFill>
        </w:rPr>
        <w:t>采用综合评分法评审的</w:t>
      </w:r>
      <w:r>
        <w:rPr>
          <w:rFonts w:hint="eastAsia" w:cs="Helvetica" w:asciiTheme="minorEastAsia" w:hAnsiTheme="minorEastAsia"/>
          <w:color w:val="000000" w:themeColor="text1"/>
          <w:kern w:val="0"/>
          <w:sz w:val="24"/>
          <w:szCs w:val="24"/>
          <w:lang w:val="zh-CN"/>
          <w14:textFill>
            <w14:solidFill>
              <w14:schemeClr w14:val="tx1"/>
            </w14:solidFill>
          </w14:textFill>
        </w:rPr>
        <w:t>项目</w:t>
      </w:r>
      <w:r>
        <w:rPr>
          <w:rFonts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color w:val="000000" w:themeColor="text1"/>
          <w:kern w:val="0"/>
          <w:sz w:val="24"/>
          <w:szCs w:val="24"/>
          <w:lang w:val="zh-CN"/>
          <w14:textFill>
            <w14:solidFill>
              <w14:schemeClr w14:val="tx1"/>
            </w14:solidFill>
          </w14:textFill>
        </w:rPr>
        <w:t>未中标人可在结果公告质疑有效期内按公告中的联系方式获知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的评审得分与排序。</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6" w:name="_Toc495861527"/>
      <w:bookmarkStart w:id="27" w:name="_Toc494561946"/>
      <w:r>
        <w:rPr>
          <w:rFonts w:hint="eastAsia" w:cs="Times New Roman" w:asciiTheme="majorEastAsia" w:hAnsiTheme="majorEastAsia"/>
          <w:bCs w:val="0"/>
          <w:color w:val="000000" w:themeColor="text1"/>
          <w:lang w:val="zh-CN"/>
          <w14:textFill>
            <w14:solidFill>
              <w14:schemeClr w14:val="tx1"/>
            </w14:solidFill>
          </w14:textFill>
        </w:rPr>
        <w:t>质疑</w:t>
      </w:r>
      <w:bookmarkEnd w:id="22"/>
      <w:bookmarkEnd w:id="23"/>
      <w:r>
        <w:rPr>
          <w:rFonts w:hint="eastAsia" w:cs="Times New Roman" w:asciiTheme="majorEastAsia" w:hAnsiTheme="majorEastAsia"/>
          <w:bCs w:val="0"/>
          <w:color w:val="000000" w:themeColor="text1"/>
          <w:lang w:val="zh-CN"/>
          <w14:textFill>
            <w14:solidFill>
              <w14:schemeClr w14:val="tx1"/>
            </w14:solidFill>
          </w14:textFill>
        </w:rPr>
        <w:t>及提交</w:t>
      </w:r>
      <w:bookmarkEnd w:id="26"/>
      <w:bookmarkEnd w:id="27"/>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33、</w:t>
      </w:r>
      <w:r>
        <w:rPr>
          <w:rFonts w:hint="eastAsia" w:ascii="宋体" w:hAnsi="宋体" w:eastAsia="宋体" w:cs="Times New Roman"/>
          <w:b/>
          <w:color w:val="000000" w:themeColor="text1"/>
          <w:sz w:val="24"/>
          <w:szCs w:val="20"/>
          <w:lang w:val="zh-CN"/>
          <w14:textFill>
            <w14:solidFill>
              <w14:schemeClr w14:val="tx1"/>
            </w14:solidFill>
          </w14:textFill>
        </w:rPr>
        <w:t>质疑提交</w:t>
      </w:r>
    </w:p>
    <w:p>
      <w:pPr>
        <w:autoSpaceDE w:val="0"/>
        <w:autoSpaceDN w:val="0"/>
        <w:adjustRightInd w:val="0"/>
        <w:snapToGrid w:val="0"/>
        <w:spacing w:line="300" w:lineRule="auto"/>
        <w:ind w:left="420" w:right="32" w:firstLine="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投标人认为招标文件、招标过程和中标结果使自己的权益受到损害的，可以在知道或者应知其权益受到损害之日起7个工作日内，</w:t>
      </w:r>
      <w:r>
        <w:rPr>
          <w:rFonts w:ascii="宋体" w:hAnsi="宋体" w:eastAsia="宋体" w:cs="Times New Roman"/>
          <w:color w:val="000000" w:themeColor="text1"/>
          <w:sz w:val="24"/>
          <w:szCs w:val="20"/>
          <w:lang w:val="zh-CN"/>
          <w14:textFill>
            <w14:solidFill>
              <w14:schemeClr w14:val="tx1"/>
            </w14:solidFill>
          </w14:textFill>
        </w:rPr>
        <w:t>向</w:t>
      </w:r>
      <w:r>
        <w:rPr>
          <w:rFonts w:hint="eastAsia" w:ascii="宋体" w:hAnsi="宋体" w:eastAsia="宋体" w:cs="Times New Roman"/>
          <w:color w:val="000000" w:themeColor="text1"/>
          <w:sz w:val="24"/>
          <w:szCs w:val="20"/>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提出</w:t>
      </w:r>
      <w:r>
        <w:rPr>
          <w:rFonts w:hint="eastAsia" w:ascii="宋体" w:hAnsi="宋体" w:eastAsia="宋体" w:cs="Times New Roman"/>
          <w:color w:val="000000" w:themeColor="text1"/>
          <w:sz w:val="24"/>
          <w:szCs w:val="20"/>
          <w:lang w:val="zh-CN"/>
          <w14:textFill>
            <w14:solidFill>
              <w14:schemeClr w14:val="tx1"/>
            </w14:solidFill>
          </w14:textFill>
        </w:rPr>
        <w:t>书面</w:t>
      </w:r>
      <w:r>
        <w:rPr>
          <w:rFonts w:ascii="宋体" w:hAnsi="宋体" w:eastAsia="宋体" w:cs="Times New Roman"/>
          <w:color w:val="000000" w:themeColor="text1"/>
          <w:sz w:val="24"/>
          <w:szCs w:val="20"/>
          <w:lang w:val="zh-CN"/>
          <w14:textFill>
            <w14:solidFill>
              <w14:schemeClr w14:val="tx1"/>
            </w14:solidFill>
          </w14:textFill>
        </w:rPr>
        <w:t>质疑</w:t>
      </w:r>
      <w:r>
        <w:rPr>
          <w:rFonts w:hint="eastAsia" w:ascii="宋体" w:hAnsi="宋体" w:eastAsia="宋体" w:cs="Times New Roman"/>
          <w:color w:val="000000" w:themeColor="text1"/>
          <w:sz w:val="24"/>
          <w:szCs w:val="20"/>
          <w:lang w:val="zh-CN"/>
          <w14:textFill>
            <w14:solidFill>
              <w14:schemeClr w14:val="tx1"/>
            </w14:solidFill>
          </w14:textFill>
        </w:rPr>
        <w:t>，质疑提出时间以收到之日为准。</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34、</w:t>
      </w:r>
      <w:r>
        <w:rPr>
          <w:rFonts w:hint="eastAsia" w:ascii="宋体" w:hAnsi="宋体" w:eastAsia="宋体" w:cs="Times New Roman"/>
          <w:b/>
          <w:color w:val="000000" w:themeColor="text1"/>
          <w:sz w:val="24"/>
          <w:szCs w:val="20"/>
          <w:lang w:val="zh-CN"/>
          <w14:textFill>
            <w14:solidFill>
              <w14:schemeClr w14:val="tx1"/>
            </w14:solidFill>
          </w14:textFill>
        </w:rPr>
        <w:t>投标人</w:t>
      </w:r>
      <w:r>
        <w:rPr>
          <w:rFonts w:ascii="宋体" w:hAnsi="宋体" w:eastAsia="宋体" w:cs="Times New Roman"/>
          <w:b/>
          <w:color w:val="000000" w:themeColor="text1"/>
          <w:sz w:val="24"/>
          <w:szCs w:val="20"/>
          <w:lang w:val="zh-CN"/>
          <w14:textFill>
            <w14:solidFill>
              <w14:schemeClr w14:val="tx1"/>
            </w14:solidFill>
          </w14:textFill>
        </w:rPr>
        <w:t>应知其权益受到损害之日是指：</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对可以质疑的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文件提出质疑的，为收到</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文件之日或者</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文件公告期限届满之日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过程提出质疑的，为各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程序环节结束之日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对中标结果提出质疑的，为中标公告期限届满之日。</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35、</w:t>
      </w:r>
      <w:r>
        <w:rPr>
          <w:rFonts w:hint="eastAsia" w:ascii="宋体" w:hAnsi="宋体" w:eastAsia="宋体" w:cs="Times New Roman"/>
          <w:b/>
          <w:color w:val="000000" w:themeColor="text1"/>
          <w:sz w:val="24"/>
          <w:szCs w:val="20"/>
          <w:lang w:val="zh-CN"/>
          <w14:textFill>
            <w14:solidFill>
              <w14:schemeClr w14:val="tx1"/>
            </w14:solidFill>
          </w14:textFill>
        </w:rPr>
        <w:t>质疑书应当包括下列主要内容：</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质疑人的名称、地址、联系人及联系电话等；</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被质疑人的名称、地址、联系人及联系电话等；</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质疑项目名称及编号、质疑事项和明确的请求；</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质疑事项的事实根据、法律依据及其他必要的证明材料；</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提出质疑的日期；</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法人授权委托书（质疑人或法人委托代理人办理质疑事务的，应当提供授权委托书，授权委托书应当载明委托代理的具体权限和事项）。</w:t>
      </w:r>
    </w:p>
    <w:p>
      <w:pPr>
        <w:numPr>
          <w:ilvl w:val="0"/>
          <w:numId w:val="0"/>
        </w:numPr>
        <w:spacing w:line="360" w:lineRule="auto"/>
        <w:ind w:leftChars="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en-US" w:eastAsia="zh-CN"/>
          <w14:textFill>
            <w14:solidFill>
              <w14:schemeClr w14:val="tx1"/>
            </w14:solidFill>
          </w14:textFill>
        </w:rPr>
        <w:t>36、</w:t>
      </w:r>
      <w:r>
        <w:rPr>
          <w:rFonts w:hint="eastAsia" w:ascii="宋体" w:hAnsi="宋体" w:eastAsia="宋体" w:cs="Times New Roman"/>
          <w:b/>
          <w:color w:val="000000" w:themeColor="text1"/>
          <w:sz w:val="24"/>
          <w:szCs w:val="20"/>
          <w:lang w:val="zh-CN"/>
          <w14:textFill>
            <w14:solidFill>
              <w14:schemeClr w14:val="tx1"/>
            </w14:solidFill>
          </w14:textFill>
        </w:rPr>
        <w:t>不予受理的情形</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投标人未按本章“质疑及提交”规定的时限、内容及方式进行质疑的，采购人（或代理公司）不予受理。</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8" w:name="_Toc494561947"/>
      <w:bookmarkStart w:id="29" w:name="_Toc495861528"/>
      <w:r>
        <w:rPr>
          <w:rFonts w:hint="eastAsia" w:cs="Times New Roman" w:asciiTheme="majorEastAsia" w:hAnsiTheme="majorEastAsia"/>
          <w:bCs w:val="0"/>
          <w:color w:val="000000" w:themeColor="text1"/>
          <w:lang w:val="zh-CN"/>
          <w14:textFill>
            <w14:solidFill>
              <w14:schemeClr w14:val="tx1"/>
            </w14:solidFill>
          </w14:textFill>
        </w:rPr>
        <w:t>相关条文解读</w:t>
      </w:r>
      <w:bookmarkEnd w:id="28"/>
      <w:bookmarkEnd w:id="29"/>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37、</w:t>
      </w:r>
      <w:r>
        <w:rPr>
          <w:rFonts w:hint="eastAsia" w:ascii="宋体" w:hAnsi="宋体" w:eastAsia="宋体" w:cs="Times New Roman"/>
          <w:color w:val="000000" w:themeColor="text1"/>
          <w:sz w:val="24"/>
          <w:szCs w:val="20"/>
          <w:lang w:val="zh-CN"/>
          <w14:textFill>
            <w14:solidFill>
              <w14:schemeClr w14:val="tx1"/>
            </w14:solidFill>
          </w14:textFill>
        </w:rPr>
        <w:t>政府采购法第二十二条第一款第五项所称重大违法记录，是指供应商因违法经营受到刑事处罚或者责令停产停业、吊销许可证或者执照、较大数额罚款等行政处罚。</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38、</w:t>
      </w:r>
      <w:r>
        <w:rPr>
          <w:rFonts w:hint="eastAsia" w:ascii="宋体" w:hAnsi="宋体" w:eastAsia="宋体" w:cs="Times New Roman"/>
          <w:color w:val="000000" w:themeColor="text1"/>
          <w:sz w:val="24"/>
          <w:szCs w:val="20"/>
          <w:lang w:val="zh-CN"/>
          <w14:textFill>
            <w14:solidFill>
              <w14:schemeClr w14:val="tx1"/>
            </w14:solidFill>
          </w14:textFill>
        </w:rPr>
        <w:t>按照财政部《关于规范政府采购行政处罚有关问题的通知》的规定，</w:t>
      </w:r>
      <w:r>
        <w:rPr>
          <w:rFonts w:ascii="宋体" w:hAnsi="宋体" w:eastAsia="宋体" w:cs="Times New Roman"/>
          <w:color w:val="000000" w:themeColor="text1"/>
          <w:sz w:val="24"/>
          <w:szCs w:val="20"/>
          <w:lang w:val="zh-CN"/>
          <w14:textFill>
            <w14:solidFill>
              <w14:schemeClr w14:val="tx1"/>
            </w14:solidFill>
          </w14:textFill>
        </w:rPr>
        <w:t>各级人民政府财政部门依法对参加政府采购活动的供应商作出的禁止参加政府采购活动等行政处罚决定在全国范围内生效。</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39、</w:t>
      </w:r>
      <w:r>
        <w:rPr>
          <w:rFonts w:hint="eastAsia" w:ascii="宋体" w:hAnsi="宋体" w:eastAsia="宋体" w:cs="Times New Roman"/>
          <w:color w:val="000000" w:themeColor="text1"/>
          <w:sz w:val="24"/>
          <w:szCs w:val="20"/>
          <w:lang w:val="zh-CN"/>
          <w14:textFill>
            <w14:solidFill>
              <w14:schemeClr w14:val="tx1"/>
            </w14:solidFill>
          </w14:textFill>
        </w:rPr>
        <w:t>供应商在参加政府采购活动前3年内因违法经营被禁止在一定期限内参加政府采购活动，期限届满的，可以参加政府采购活动。</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40、</w:t>
      </w:r>
      <w:r>
        <w:rPr>
          <w:rFonts w:hint="eastAsia" w:ascii="宋体" w:hAnsi="宋体" w:eastAsia="宋体" w:cs="Times New Roman"/>
          <w:color w:val="000000" w:themeColor="text1"/>
          <w:sz w:val="24"/>
          <w:szCs w:val="20"/>
          <w:lang w:val="zh-CN"/>
          <w14:textFill>
            <w14:solidFill>
              <w14:schemeClr w14:val="tx1"/>
            </w14:solidFill>
          </w14:textFill>
        </w:rPr>
        <w:t>根据财政部《政府采购法实施条例》释义中关于供应商资格条件的解释，对于银行、保险、石油石化、电力、电信等有行业特殊情况的，采购人和采购代理机构允许其分支机构参与投标。</w:t>
      </w:r>
    </w:p>
    <w:p>
      <w:pPr>
        <w:pStyle w:val="2"/>
        <w:numPr>
          <w:ilvl w:val="0"/>
          <w:numId w:val="6"/>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30" w:name="_Toc494561948"/>
      <w:bookmarkStart w:id="31" w:name="_Toc495861529"/>
      <w:r>
        <w:rPr>
          <w:rFonts w:hint="eastAsia" w:cs="Times New Roman" w:asciiTheme="majorEastAsia" w:hAnsiTheme="majorEastAsia"/>
          <w:bCs w:val="0"/>
          <w:color w:val="000000" w:themeColor="text1"/>
          <w:lang w:val="zh-CN"/>
          <w14:textFill>
            <w14:solidFill>
              <w14:schemeClr w14:val="tx1"/>
            </w14:solidFill>
          </w14:textFill>
        </w:rPr>
        <w:t>其他注意事项</w:t>
      </w:r>
      <w:bookmarkEnd w:id="30"/>
      <w:bookmarkEnd w:id="31"/>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41、</w:t>
      </w:r>
      <w:r>
        <w:rPr>
          <w:rFonts w:hint="eastAsia" w:ascii="宋体" w:hAnsi="宋体" w:eastAsia="宋体" w:cs="Times New Roman"/>
          <w:color w:val="000000" w:themeColor="text1"/>
          <w:sz w:val="24"/>
          <w:szCs w:val="20"/>
          <w:lang w:val="zh-CN"/>
          <w14:textFill>
            <w14:solidFill>
              <w14:schemeClr w14:val="tx1"/>
            </w14:solidFill>
          </w14:textFill>
        </w:rPr>
        <w:t>单位负责人为同一人或者存在直接控股、管理关系的不同供应商，不得参加同一合同项下的政府采购活动。</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42、</w:t>
      </w:r>
      <w:r>
        <w:rPr>
          <w:rFonts w:hint="eastAsia" w:ascii="宋体" w:hAnsi="宋体" w:eastAsia="宋体" w:cs="Times New Roman"/>
          <w:color w:val="000000" w:themeColor="text1"/>
          <w:sz w:val="24"/>
          <w:szCs w:val="20"/>
          <w:lang w:val="zh-CN"/>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2"/>
        <w:numPr>
          <w:ilvl w:val="0"/>
          <w:numId w:val="6"/>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2" w:name="_Toc495861530"/>
      <w:bookmarkStart w:id="33" w:name="_Toc278891598"/>
      <w:bookmarkStart w:id="34" w:name="_Toc272247701"/>
      <w:bookmarkStart w:id="35" w:name="_Toc494561949"/>
      <w:r>
        <w:rPr>
          <w:rFonts w:hint="eastAsia" w:cs="Times New Roman" w:asciiTheme="majorEastAsia" w:hAnsiTheme="majorEastAsia"/>
          <w:bCs w:val="0"/>
          <w:color w:val="000000" w:themeColor="text1"/>
          <w:lang w:val="zh-CN"/>
          <w14:textFill>
            <w14:solidFill>
              <w14:schemeClr w14:val="tx1"/>
            </w14:solidFill>
          </w14:textFill>
        </w:rPr>
        <w:t>适用法律</w:t>
      </w:r>
      <w:bookmarkEnd w:id="32"/>
      <w:bookmarkEnd w:id="33"/>
      <w:bookmarkEnd w:id="34"/>
      <w:bookmarkEnd w:id="35"/>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43、</w:t>
      </w:r>
      <w:r>
        <w:rPr>
          <w:rFonts w:hint="eastAsia" w:ascii="宋体" w:hAnsi="宋体" w:eastAsia="宋体" w:cs="Times New Roman"/>
          <w:color w:val="000000" w:themeColor="text1"/>
          <w:sz w:val="24"/>
          <w:szCs w:val="20"/>
          <w:lang w:val="zh-CN"/>
          <w14:textFill>
            <w14:solidFill>
              <w14:schemeClr w14:val="tx1"/>
            </w14:solidFill>
          </w14:textFill>
        </w:rPr>
        <w:t>采购人、采购代理机构及投标人的一切招标投标活动均适用《政府采购法》、《政府采购法实施条例》、</w:t>
      </w:r>
      <w:r>
        <w:rPr>
          <w:rFonts w:ascii="宋体" w:hAnsi="宋体" w:eastAsia="宋体" w:cs="Times New Roman"/>
          <w:color w:val="000000" w:themeColor="text1"/>
          <w:sz w:val="24"/>
          <w:szCs w:val="20"/>
          <w:lang w:val="zh-CN"/>
          <w14:textFill>
            <w14:solidFill>
              <w14:schemeClr w14:val="tx1"/>
            </w14:solidFill>
          </w14:textFill>
        </w:rPr>
        <w:t>《政府采购货物和服务招标投标管理办法》</w:t>
      </w:r>
      <w:r>
        <w:rPr>
          <w:rFonts w:hint="eastAsia" w:ascii="宋体" w:hAnsi="宋体" w:eastAsia="宋体" w:cs="Times New Roman"/>
          <w:color w:val="000000" w:themeColor="text1"/>
          <w:sz w:val="24"/>
          <w:szCs w:val="20"/>
          <w:lang w:val="zh-CN"/>
          <w14:textFill>
            <w14:solidFill>
              <w14:schemeClr w14:val="tx1"/>
            </w14:solidFill>
          </w14:textFill>
        </w:rPr>
        <w:t>及相关法律法规。</w:t>
      </w:r>
    </w:p>
    <w:p>
      <w:pPr>
        <w:numPr>
          <w:ilvl w:val="0"/>
          <w:numId w:val="0"/>
        </w:numPr>
        <w:spacing w:line="360" w:lineRule="auto"/>
        <w:ind w:leftChars="0"/>
        <w:rPr>
          <w:rFonts w:ascii="宋体" w:hAnsi="宋体" w:eastAsia="宋体" w:cs="Times New Roman"/>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en-US" w:eastAsia="zh-CN"/>
          <w14:textFill>
            <w14:solidFill>
              <w14:schemeClr w14:val="tx1"/>
            </w14:solidFill>
          </w14:textFill>
        </w:rPr>
        <w:t>44、</w:t>
      </w:r>
      <w:r>
        <w:rPr>
          <w:rFonts w:ascii="Helvetica" w:hAnsi="Helvetica" w:eastAsia="宋体" w:cs="Helvetica"/>
          <w:color w:val="000000" w:themeColor="text1"/>
          <w:kern w:val="0"/>
          <w:sz w:val="24"/>
          <w:szCs w:val="24"/>
          <w:lang w:val="zh-CN"/>
          <w14:textFill>
            <w14:solidFill>
              <w14:schemeClr w14:val="tx1"/>
            </w14:solidFill>
          </w14:textFill>
        </w:rPr>
        <w:t>政府采购合同的履行、违约责任和解决争议的方法等适用《合同法》。</w:t>
      </w:r>
    </w:p>
    <w:p>
      <w:pPr>
        <w:pStyle w:val="2"/>
        <w:numPr>
          <w:ilvl w:val="0"/>
          <w:numId w:val="6"/>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6" w:name="_Toc495861531"/>
      <w:bookmarkStart w:id="37" w:name="_Toc494561950"/>
      <w:bookmarkStart w:id="38" w:name="_Toc278891599"/>
      <w:bookmarkStart w:id="39" w:name="_Toc272247702"/>
      <w:r>
        <w:rPr>
          <w:rFonts w:hint="eastAsia" w:cs="Times New Roman" w:asciiTheme="majorEastAsia" w:hAnsiTheme="majorEastAsia"/>
          <w:bCs w:val="0"/>
          <w:color w:val="000000" w:themeColor="text1"/>
          <w:lang w:val="zh-CN"/>
          <w14:textFill>
            <w14:solidFill>
              <w14:schemeClr w14:val="tx1"/>
            </w14:solidFill>
          </w14:textFill>
        </w:rPr>
        <w:t>招标文件的解释权</w:t>
      </w:r>
      <w:bookmarkEnd w:id="36"/>
      <w:bookmarkEnd w:id="37"/>
      <w:bookmarkEnd w:id="38"/>
      <w:bookmarkEnd w:id="39"/>
    </w:p>
    <w:p>
      <w:pPr>
        <w:numPr>
          <w:ilvl w:val="0"/>
          <w:numId w:val="0"/>
        </w:numPr>
        <w:spacing w:line="360" w:lineRule="auto"/>
        <w:ind w:leftChars="0"/>
        <w:rPr>
          <w:color w:val="000000" w:themeColor="text1"/>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45、</w:t>
      </w:r>
      <w:r>
        <w:rPr>
          <w:rFonts w:hint="eastAsia" w:ascii="宋体" w:hAnsi="宋体" w:eastAsia="宋体" w:cs="Times New Roman"/>
          <w:color w:val="000000" w:themeColor="text1"/>
          <w:sz w:val="24"/>
          <w:szCs w:val="20"/>
          <w:lang w:val="zh-CN"/>
          <w14:textFill>
            <w14:solidFill>
              <w14:schemeClr w14:val="tx1"/>
            </w14:solidFill>
          </w14:textFill>
        </w:rPr>
        <w:t>招标文件的最终解释权为采购人、采购代理机构所有。</w:t>
      </w: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40" w:name="_Toc495861532"/>
      <w:r>
        <w:rPr>
          <w:rFonts w:hint="eastAsia" w:ascii="黑体" w:hAnsi="黑体" w:eastAsia="黑体"/>
          <w:color w:val="000000" w:themeColor="text1"/>
          <w14:textFill>
            <w14:solidFill>
              <w14:schemeClr w14:val="tx1"/>
            </w14:solidFill>
          </w14:textFill>
        </w:rPr>
        <w:t>项目技术</w:t>
      </w:r>
      <w:r>
        <w:rPr>
          <w:rFonts w:hint="eastAsia" w:ascii="黑体" w:hAnsi="黑体" w:eastAsia="黑体"/>
          <w:color w:val="000000" w:themeColor="text1"/>
          <w:lang w:eastAsia="zh-CN"/>
          <w14:textFill>
            <w14:solidFill>
              <w14:schemeClr w14:val="tx1"/>
            </w14:solidFill>
          </w14:textFill>
        </w:rPr>
        <w:t>规格</w:t>
      </w:r>
      <w:r>
        <w:rPr>
          <w:rFonts w:hint="eastAsia" w:ascii="黑体" w:hAnsi="黑体" w:eastAsia="黑体"/>
          <w:color w:val="000000" w:themeColor="text1"/>
          <w14:textFill>
            <w14:solidFill>
              <w14:schemeClr w14:val="tx1"/>
            </w14:solidFill>
          </w14:textFill>
        </w:rPr>
        <w:t>、</w:t>
      </w:r>
      <w:r>
        <w:rPr>
          <w:rFonts w:hint="eastAsia" w:ascii="黑体" w:hAnsi="黑体" w:eastAsia="黑体"/>
          <w:color w:val="000000" w:themeColor="text1"/>
          <w:lang w:eastAsia="zh-CN"/>
          <w14:textFill>
            <w14:solidFill>
              <w14:schemeClr w14:val="tx1"/>
            </w14:solidFill>
          </w14:textFill>
        </w:rPr>
        <w:t>参数</w:t>
      </w:r>
      <w:r>
        <w:rPr>
          <w:rFonts w:hint="eastAsia" w:ascii="黑体" w:hAnsi="黑体" w:eastAsia="黑体"/>
          <w:color w:val="000000" w:themeColor="text1"/>
          <w14:textFill>
            <w14:solidFill>
              <w14:schemeClr w14:val="tx1"/>
            </w14:solidFill>
          </w14:textFill>
        </w:rPr>
        <w:t>及要求</w:t>
      </w:r>
      <w:bookmarkEnd w:id="40"/>
    </w:p>
    <w:p>
      <w:pPr>
        <w:pStyle w:val="2"/>
        <w:numPr>
          <w:ilvl w:val="0"/>
          <w:numId w:val="0"/>
        </w:numPr>
        <w:spacing w:before="40" w:after="40" w:line="360" w:lineRule="auto"/>
        <w:ind w:leftChars="0"/>
        <w:jc w:val="left"/>
        <w:rPr>
          <w:rFonts w:hint="eastAsia" w:cs="Times New Roman" w:asciiTheme="majorEastAsia" w:hAnsiTheme="majorEastAsia"/>
          <w:bCs w:val="0"/>
          <w:color w:val="000000" w:themeColor="text1"/>
          <w:lang w:val="zh-CN"/>
          <w14:textFill>
            <w14:solidFill>
              <w14:schemeClr w14:val="tx1"/>
            </w14:solidFill>
          </w14:textFill>
        </w:rPr>
      </w:pPr>
      <w:bookmarkStart w:id="41" w:name="_Toc494561953"/>
      <w:bookmarkStart w:id="42" w:name="_Toc495861534"/>
      <w:bookmarkStart w:id="43" w:name="_Toc338065594"/>
      <w:bookmarkStart w:id="44" w:name="_Toc339378680"/>
      <w:r>
        <w:rPr>
          <w:rFonts w:hint="eastAsia" w:cs="Times New Roman" w:asciiTheme="majorEastAsia" w:hAnsiTheme="majorEastAsia"/>
          <w:bCs w:val="0"/>
          <w:color w:val="000000" w:themeColor="text1"/>
          <w:lang w:val="zh-CN"/>
          <w14:textFill>
            <w14:solidFill>
              <w14:schemeClr w14:val="tx1"/>
            </w14:solidFill>
          </w14:textFill>
        </w:rPr>
        <w:t>一、项目产品技术规格、参数要求</w:t>
      </w:r>
    </w:p>
    <w:tbl>
      <w:tblPr>
        <w:tblStyle w:val="18"/>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905"/>
        <w:gridCol w:w="977"/>
        <w:gridCol w:w="1028"/>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 w:type="dxa"/>
            <w:vAlign w:val="center"/>
          </w:tcPr>
          <w:p>
            <w:pPr>
              <w:pStyle w:val="2"/>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序号</w:t>
            </w:r>
          </w:p>
        </w:tc>
        <w:tc>
          <w:tcPr>
            <w:tcW w:w="4905" w:type="dxa"/>
            <w:vAlign w:val="center"/>
          </w:tcPr>
          <w:p>
            <w:pPr>
              <w:pStyle w:val="2"/>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货物名称（类别）</w:t>
            </w:r>
          </w:p>
        </w:tc>
        <w:tc>
          <w:tcPr>
            <w:tcW w:w="977" w:type="dxa"/>
            <w:vAlign w:val="center"/>
          </w:tcPr>
          <w:p>
            <w:pPr>
              <w:pStyle w:val="2"/>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单位</w:t>
            </w:r>
          </w:p>
        </w:tc>
        <w:tc>
          <w:tcPr>
            <w:tcW w:w="1028" w:type="dxa"/>
            <w:vAlign w:val="center"/>
          </w:tcPr>
          <w:p>
            <w:pPr>
              <w:pStyle w:val="2"/>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数量</w:t>
            </w:r>
          </w:p>
        </w:tc>
        <w:tc>
          <w:tcPr>
            <w:tcW w:w="1845" w:type="dxa"/>
            <w:vAlign w:val="center"/>
          </w:tcPr>
          <w:p>
            <w:pPr>
              <w:pStyle w:val="2"/>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985" w:type="dxa"/>
            <w:vAlign w:val="center"/>
          </w:tcPr>
          <w:p>
            <w:pPr>
              <w:pStyle w:val="2"/>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w:t>
            </w:r>
          </w:p>
        </w:tc>
        <w:tc>
          <w:tcPr>
            <w:tcW w:w="4905" w:type="dxa"/>
            <w:vAlign w:val="center"/>
          </w:tcPr>
          <w:p>
            <w:pPr>
              <w:pStyle w:val="2"/>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刑事科学技术实验室工程</w:t>
            </w:r>
          </w:p>
        </w:tc>
        <w:tc>
          <w:tcPr>
            <w:tcW w:w="977" w:type="dxa"/>
            <w:vAlign w:val="center"/>
          </w:tcPr>
          <w:p>
            <w:pPr>
              <w:pStyle w:val="2"/>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批</w:t>
            </w:r>
          </w:p>
        </w:tc>
        <w:tc>
          <w:tcPr>
            <w:tcW w:w="1028" w:type="dxa"/>
            <w:vAlign w:val="center"/>
          </w:tcPr>
          <w:p>
            <w:pPr>
              <w:pStyle w:val="2"/>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w:t>
            </w:r>
          </w:p>
        </w:tc>
        <w:tc>
          <w:tcPr>
            <w:tcW w:w="1845" w:type="dxa"/>
            <w:vAlign w:val="center"/>
          </w:tcPr>
          <w:p>
            <w:pPr>
              <w:pStyle w:val="2"/>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详见清单</w:t>
            </w:r>
          </w:p>
        </w:tc>
      </w:tr>
    </w:tbl>
    <w:p>
      <w:pPr>
        <w:rPr>
          <w:rFonts w:hint="eastAsia"/>
          <w:lang w:eastAsia="zh-CN"/>
        </w:rPr>
      </w:pPr>
    </w:p>
    <w:p>
      <w:pPr>
        <w:pStyle w:val="2"/>
        <w:numPr>
          <w:ilvl w:val="0"/>
          <w:numId w:val="0"/>
        </w:numPr>
        <w:spacing w:before="40" w:after="40" w:line="360" w:lineRule="auto"/>
        <w:ind w:leftChars="0"/>
        <w:jc w:val="left"/>
        <w:rPr>
          <w:rFonts w:hint="eastAsia" w:cs="Times New Roman" w:asciiTheme="majorEastAsia" w:hAnsiTheme="majorEastAsia"/>
          <w:bCs w:val="0"/>
          <w:color w:val="000000" w:themeColor="text1"/>
          <w:lang w:val="zh-CN" w:eastAsia="zh-CN"/>
          <w14:textFill>
            <w14:solidFill>
              <w14:schemeClr w14:val="tx1"/>
            </w14:solidFill>
          </w14:textFill>
        </w:rPr>
      </w:pPr>
      <w:r>
        <w:rPr>
          <w:rFonts w:hint="eastAsia" w:cs="Times New Roman" w:asciiTheme="majorEastAsia" w:hAnsiTheme="majorEastAsia"/>
          <w:bCs w:val="0"/>
          <w:color w:val="000000" w:themeColor="text1"/>
          <w:lang w:val="zh-CN" w:eastAsia="zh-CN"/>
          <w14:textFill>
            <w14:solidFill>
              <w14:schemeClr w14:val="tx1"/>
            </w14:solidFill>
          </w14:textFill>
        </w:rPr>
        <w:t>二、技术参数需求</w:t>
      </w:r>
    </w:p>
    <w:p>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bCs/>
          <w:color w:val="000000"/>
          <w:sz w:val="24"/>
          <w:szCs w:val="24"/>
          <w:highlight w:val="none"/>
        </w:rPr>
        <w:t>内容：含</w:t>
      </w:r>
      <w:r>
        <w:rPr>
          <w:rFonts w:hint="eastAsia" w:ascii="宋体" w:hAnsi="宋体" w:eastAsia="宋体" w:cs="宋体"/>
          <w:kern w:val="0"/>
          <w:sz w:val="24"/>
          <w:szCs w:val="24"/>
          <w:highlight w:val="none"/>
        </w:rPr>
        <w:t>实验室</w:t>
      </w:r>
      <w:r>
        <w:rPr>
          <w:rFonts w:hint="eastAsia" w:ascii="宋体" w:hAnsi="宋体" w:eastAsia="宋体" w:cs="宋体"/>
          <w:bCs/>
          <w:color w:val="000000"/>
          <w:sz w:val="24"/>
          <w:szCs w:val="24"/>
          <w:highlight w:val="none"/>
        </w:rPr>
        <w:t>物证管理</w:t>
      </w:r>
      <w:r>
        <w:rPr>
          <w:rFonts w:hint="eastAsia" w:ascii="宋体" w:hAnsi="宋体" w:eastAsia="宋体" w:cs="宋体"/>
          <w:kern w:val="0"/>
          <w:sz w:val="24"/>
          <w:szCs w:val="24"/>
          <w:highlight w:val="none"/>
        </w:rPr>
        <w:t>系统、</w:t>
      </w:r>
      <w:r>
        <w:rPr>
          <w:rFonts w:hint="eastAsia" w:ascii="宋体" w:hAnsi="宋体" w:eastAsia="宋体" w:cs="宋体"/>
          <w:bCs/>
          <w:color w:val="000000"/>
          <w:sz w:val="24"/>
          <w:szCs w:val="24"/>
          <w:highlight w:val="none"/>
        </w:rPr>
        <w:t>实验室通风系统专业终端设备及通风系统工程、实验室基础配套专业设备、</w:t>
      </w:r>
      <w:r>
        <w:rPr>
          <w:rFonts w:hint="eastAsia" w:ascii="宋体" w:hAnsi="宋体" w:eastAsia="宋体" w:cs="宋体"/>
          <w:kern w:val="0"/>
          <w:sz w:val="24"/>
          <w:szCs w:val="24"/>
          <w:highlight w:val="none"/>
        </w:rPr>
        <w:t>其他相关设备</w:t>
      </w:r>
      <w:r>
        <w:rPr>
          <w:rFonts w:hint="eastAsia" w:ascii="宋体" w:hAnsi="宋体" w:eastAsia="宋体" w:cs="宋体"/>
          <w:bCs/>
          <w:color w:val="000000"/>
          <w:sz w:val="24"/>
          <w:szCs w:val="24"/>
          <w:highlight w:val="none"/>
        </w:rPr>
        <w:t>及各专业实验室建设等工程图纸范围内的建设工程及招标文件要求范围内的所有内容。</w:t>
      </w:r>
    </w:p>
    <w:p>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建设目标：本项目旨在建设成为规范、节能环保、环境优美，以及国内公安系统检验鉴定和实验室技术交流合作的窗口与名片。为此，必须使实验室在达到公安部重点司法鉴定机构实验室的要求的同时，达到CNAS国家实验室认可的要求。</w:t>
      </w:r>
      <w:r>
        <w:rPr>
          <w:rFonts w:hint="eastAsia" w:ascii="宋体" w:hAnsi="宋体" w:eastAsia="宋体" w:cs="宋体"/>
          <w:b/>
          <w:bCs w:val="0"/>
          <w:color w:val="000000"/>
          <w:sz w:val="24"/>
          <w:szCs w:val="24"/>
          <w:highlight w:val="none"/>
          <w:lang w:val="en-US" w:eastAsia="zh-CN"/>
        </w:rPr>
        <w:t>为保障工程质量及建设要求，以下质量要求均需满足，</w:t>
      </w:r>
      <w:r>
        <w:rPr>
          <w:rFonts w:hint="eastAsia" w:ascii="宋体" w:hAnsi="宋体" w:eastAsia="宋体" w:cs="宋体"/>
          <w:b/>
          <w:bCs w:val="0"/>
          <w:color w:val="000000"/>
          <w:sz w:val="24"/>
          <w:szCs w:val="24"/>
          <w:highlight w:val="none"/>
        </w:rPr>
        <w:t>否则视为不响应招标文件而被拒绝。</w:t>
      </w:r>
    </w:p>
    <w:p>
      <w:pPr>
        <w:autoSpaceDE w:val="0"/>
        <w:autoSpaceDN w:val="0"/>
        <w:adjustRightInd w:val="0"/>
        <w:spacing w:line="360" w:lineRule="auto"/>
        <w:ind w:firstLine="468" w:firstLineChars="195"/>
        <w:jc w:val="left"/>
        <w:rPr>
          <w:rFonts w:hint="eastAsia" w:ascii="宋体" w:hAnsi="宋体" w:eastAsia="宋体" w:cs="宋体"/>
          <w:sz w:val="24"/>
          <w:szCs w:val="24"/>
          <w:highlight w:val="none"/>
          <w:lang w:val="zh-CN"/>
        </w:rPr>
      </w:pPr>
      <w:r>
        <w:rPr>
          <w:rFonts w:hint="eastAsia" w:ascii="宋体" w:hAnsi="宋体" w:eastAsia="宋体" w:cs="宋体"/>
          <w:bCs/>
          <w:color w:val="000000"/>
          <w:sz w:val="24"/>
          <w:szCs w:val="24"/>
          <w:highlight w:val="none"/>
          <w:lang w:val="en-GB"/>
        </w:rPr>
        <w:t>★</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1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fldChar w:fldCharType="end"/>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投标人所投</w:t>
      </w:r>
      <w:r>
        <w:rPr>
          <w:rFonts w:hint="eastAsia" w:ascii="宋体" w:hAnsi="宋体" w:eastAsia="宋体" w:cs="宋体"/>
          <w:sz w:val="24"/>
          <w:szCs w:val="24"/>
          <w:highlight w:val="none"/>
          <w:lang w:val="zh-CN"/>
        </w:rPr>
        <w:t>智能管理系统物证保管柜提供国家塑料机械产品质量监督检验中心出具的检验报告</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加盖生产厂家鲜章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须在</w:t>
      </w:r>
      <w:r>
        <w:rPr>
          <w:rFonts w:hint="eastAsia" w:ascii="宋体" w:hAnsi="宋体" w:eastAsia="宋体" w:cs="宋体"/>
          <w:sz w:val="24"/>
          <w:szCs w:val="24"/>
          <w:highlight w:val="none"/>
          <w:lang w:val="zh-CN"/>
        </w:rPr>
        <w:t>有效期内。投标人所投“智能物证保全综合管理系统”、“智能型物证柜”、“物证工作受理台”、“门禁管理系统及抓拍系统”产品或功能均须提供公安部刑事技术产品质量监督检验中心出具的检测报告</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加盖生产厂家鲜章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制造商家</w:t>
      </w:r>
      <w:r>
        <w:rPr>
          <w:rFonts w:hint="eastAsia" w:ascii="宋体" w:hAnsi="宋体" w:eastAsia="宋体" w:cs="宋体"/>
          <w:sz w:val="24"/>
          <w:szCs w:val="24"/>
          <w:highlight w:val="none"/>
          <w:lang w:val="zh-CN"/>
        </w:rPr>
        <w:t>出具的授权书原件（</w:t>
      </w:r>
      <w:r>
        <w:rPr>
          <w:rFonts w:hint="eastAsia" w:ascii="宋体" w:hAnsi="宋体" w:eastAsia="宋体" w:cs="宋体"/>
          <w:sz w:val="24"/>
          <w:szCs w:val="24"/>
          <w:highlight w:val="none"/>
        </w:rPr>
        <w:t>含制造商营业执照复印件盖鲜章</w:t>
      </w:r>
      <w:r>
        <w:rPr>
          <w:rFonts w:hint="eastAsia" w:ascii="宋体" w:hAnsi="宋体" w:eastAsia="宋体" w:cs="宋体"/>
          <w:sz w:val="24"/>
          <w:szCs w:val="24"/>
          <w:highlight w:val="none"/>
          <w:lang w:val="zh-CN"/>
        </w:rPr>
        <w:t>），</w:t>
      </w:r>
      <w:r>
        <w:rPr>
          <w:rFonts w:hint="eastAsia" w:ascii="宋体" w:hAnsi="宋体" w:eastAsia="宋体" w:cs="宋体"/>
          <w:b/>
          <w:bCs/>
          <w:sz w:val="24"/>
          <w:szCs w:val="24"/>
          <w:highlight w:val="none"/>
          <w:lang w:val="en-US" w:eastAsia="zh-CN"/>
        </w:rPr>
        <w:t>承诺物证保全系统与全国公安现勘信息系统进行数据对接。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Cs/>
          <w:color w:val="000000"/>
          <w:sz w:val="24"/>
          <w:szCs w:val="24"/>
          <w:highlight w:val="none"/>
          <w:lang w:val="en-GB"/>
        </w:rPr>
        <w:t>★</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2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zh-CN"/>
        </w:rPr>
        <w:t>②</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供应商须</w:t>
      </w:r>
      <w:r>
        <w:rPr>
          <w:rFonts w:hint="eastAsia" w:ascii="宋体" w:hAnsi="宋体" w:eastAsia="宋体" w:cs="宋体"/>
          <w:sz w:val="24"/>
          <w:szCs w:val="24"/>
          <w:highlight w:val="none"/>
          <w:lang w:val="zh-CN"/>
        </w:rPr>
        <w:t>提供满足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zh-CN"/>
        </w:rPr>
        <w:t>技术要求的实验台面</w:t>
      </w:r>
      <w:r>
        <w:rPr>
          <w:rFonts w:hint="eastAsia" w:ascii="宋体" w:hAnsi="宋体" w:eastAsia="宋体" w:cs="宋体"/>
          <w:sz w:val="24"/>
          <w:szCs w:val="24"/>
          <w:highlight w:val="none"/>
        </w:rPr>
        <w:t>制造商家</w:t>
      </w:r>
      <w:r>
        <w:rPr>
          <w:rFonts w:hint="eastAsia" w:ascii="宋体" w:hAnsi="宋体" w:eastAsia="宋体" w:cs="宋体"/>
          <w:sz w:val="24"/>
          <w:szCs w:val="24"/>
          <w:highlight w:val="none"/>
          <w:lang w:val="zh-CN"/>
        </w:rPr>
        <w:t>出具的授权书原件（</w:t>
      </w:r>
      <w:r>
        <w:rPr>
          <w:rFonts w:hint="eastAsia" w:ascii="宋体" w:hAnsi="宋体" w:eastAsia="宋体" w:cs="宋体"/>
          <w:sz w:val="24"/>
          <w:szCs w:val="24"/>
          <w:highlight w:val="none"/>
        </w:rPr>
        <w:t>含制造商营业执照复印件盖鲜章</w:t>
      </w:r>
      <w:r>
        <w:rPr>
          <w:rFonts w:hint="eastAsia" w:ascii="宋体" w:hAnsi="宋体" w:eastAsia="宋体" w:cs="宋体"/>
          <w:sz w:val="24"/>
          <w:szCs w:val="24"/>
          <w:highlight w:val="none"/>
          <w:lang w:val="zh-CN"/>
        </w:rPr>
        <w:t>）、检测报告（</w:t>
      </w:r>
      <w:r>
        <w:rPr>
          <w:rFonts w:hint="eastAsia" w:ascii="宋体" w:hAnsi="宋体" w:eastAsia="宋体" w:cs="宋体"/>
          <w:sz w:val="24"/>
          <w:szCs w:val="24"/>
          <w:highlight w:val="none"/>
        </w:rPr>
        <w:t>含台面生产厂家的材料结构数据说明、由独立的第三方机构出具的 EBC 相关证明文件、实验室台面板的 SEFA3.0 的测试报告、台面板绿色环保 PEFC 认证报告、台面甲醛释放量检测第三方检测报告）</w:t>
      </w:r>
      <w:r>
        <w:rPr>
          <w:rFonts w:hint="eastAsia" w:ascii="宋体" w:hAnsi="宋体" w:eastAsia="宋体" w:cs="宋体"/>
          <w:sz w:val="24"/>
          <w:szCs w:val="24"/>
          <w:highlight w:val="none"/>
          <w:lang w:val="zh-CN"/>
        </w:rPr>
        <w:t>复印件（加盖厂家鲜章）及投标台面样品（</w:t>
      </w:r>
      <w:r>
        <w:rPr>
          <w:rFonts w:hint="eastAsia" w:ascii="宋体" w:hAnsi="宋体" w:eastAsia="宋体" w:cs="宋体"/>
          <w:sz w:val="24"/>
          <w:szCs w:val="24"/>
          <w:highlight w:val="none"/>
        </w:rPr>
        <w:t>样品</w:t>
      </w:r>
      <w:r>
        <w:rPr>
          <w:rFonts w:hint="eastAsia" w:ascii="宋体" w:hAnsi="宋体" w:eastAsia="宋体" w:cs="宋体"/>
          <w:sz w:val="24"/>
          <w:szCs w:val="24"/>
          <w:highlight w:val="none"/>
          <w:lang w:val="zh-CN"/>
        </w:rPr>
        <w:t>需注明采购项目名称、</w:t>
      </w:r>
      <w:r>
        <w:rPr>
          <w:rFonts w:hint="eastAsia" w:ascii="宋体" w:hAnsi="宋体" w:eastAsia="宋体" w:cs="宋体"/>
          <w:sz w:val="24"/>
          <w:szCs w:val="24"/>
          <w:highlight w:val="none"/>
        </w:rPr>
        <w:t>样品品牌、产地、</w:t>
      </w: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rPr>
        <w:t>加盖生产厂家鲜章</w:t>
      </w:r>
      <w:r>
        <w:rPr>
          <w:rFonts w:hint="eastAsia" w:ascii="宋体" w:hAnsi="宋体" w:eastAsia="宋体" w:cs="宋体"/>
          <w:sz w:val="24"/>
          <w:szCs w:val="24"/>
          <w:highlight w:val="none"/>
          <w:lang w:val="zh-CN"/>
        </w:rPr>
        <w:t>））实物</w:t>
      </w:r>
      <w:r>
        <w:rPr>
          <w:rFonts w:hint="eastAsia" w:ascii="宋体" w:hAnsi="宋体" w:eastAsia="宋体" w:cs="宋体"/>
          <w:sz w:val="24"/>
          <w:szCs w:val="24"/>
          <w:highlight w:val="none"/>
        </w:rPr>
        <w:t>1块</w:t>
      </w:r>
      <w:r>
        <w:rPr>
          <w:rFonts w:hint="eastAsia" w:ascii="宋体" w:hAnsi="宋体" w:eastAsia="宋体" w:cs="宋体"/>
          <w:sz w:val="24"/>
          <w:szCs w:val="24"/>
          <w:highlight w:val="none"/>
          <w:lang w:val="zh-CN"/>
        </w:rPr>
        <w:t>；</w:t>
      </w:r>
    </w:p>
    <w:p>
      <w:pPr>
        <w:spacing w:line="360" w:lineRule="auto"/>
        <w:ind w:right="-247" w:rightChars="-118" w:firstLine="523" w:firstLineChars="218"/>
        <w:jc w:val="left"/>
        <w:rPr>
          <w:rFonts w:hint="eastAsia" w:ascii="宋体" w:hAnsi="宋体" w:eastAsia="宋体" w:cs="宋体"/>
          <w:bCs/>
          <w:color w:val="000000"/>
          <w:sz w:val="24"/>
          <w:szCs w:val="24"/>
          <w:highlight w:val="none"/>
        </w:rPr>
      </w:pPr>
      <w:r>
        <w:rPr>
          <w:rFonts w:hint="eastAsia" w:ascii="宋体" w:hAnsi="宋体" w:eastAsia="宋体" w:cs="宋体"/>
          <w:kern w:val="0"/>
          <w:sz w:val="24"/>
          <w:szCs w:val="24"/>
          <w:highlight w:val="none"/>
        </w:rPr>
        <w:t>关于招标范围的详细说明见“技术</w:t>
      </w:r>
      <w:r>
        <w:rPr>
          <w:rFonts w:hint="eastAsia" w:ascii="宋体" w:hAnsi="宋体" w:eastAsia="宋体" w:cs="宋体"/>
          <w:kern w:val="0"/>
          <w:sz w:val="24"/>
          <w:szCs w:val="24"/>
          <w:highlight w:val="none"/>
          <w:lang w:eastAsia="zh-CN"/>
        </w:rPr>
        <w:t>规格、参数及</w:t>
      </w:r>
      <w:r>
        <w:rPr>
          <w:rFonts w:hint="eastAsia" w:ascii="宋体" w:hAnsi="宋体" w:eastAsia="宋体" w:cs="宋体"/>
          <w:kern w:val="0"/>
          <w:sz w:val="24"/>
          <w:szCs w:val="24"/>
          <w:highlight w:val="none"/>
        </w:rPr>
        <w:t>要求”。</w:t>
      </w:r>
    </w:p>
    <w:p>
      <w:pPr>
        <w:spacing w:line="360" w:lineRule="auto"/>
        <w:ind w:right="-247" w:rightChars="-118" w:firstLine="523" w:firstLineChars="218"/>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1.实验台总体性能及技术说明</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1.1实验室专用设备的材料及其配套件性能、技术及其安装位置满足</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采购人提供的有关文件和设计图纸要求。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1.1.1实验室设备总体框架采用框架结构，外形尺寸：长、宽、高的误差≤2mm；邻边垂直度：台面对角线、框架对角线1000mm的误差≤2mm，2000mm的误差≤3mm，3000mm的误差≤3mm；地脚平稳性：误差≤1mm。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1.1.2预留孔或钻孔位置符合规定要求。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1.1.3切割、钻孔和倒角后应去毛刺，各种配件安装应严密、平整、端正、牢固。金属配件应做除锈和防腐处理。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1.1.4实验室等级钢制设备颜色：实验室等级钢制设备颜色可由采购人根据设备制造商的标准色卡统一选择。</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1.2实验室等级钢制设备钢材表面处理要求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1.2.1所有钢制柜体或钢结构部件表面经静电环氧树脂粉末喷涂处理，涂层平整光滑，不允许有喷涂层脱落、鼓泡、凹陷、压痕以及表面划伤、麻点、裂痕、崩角和刃口等。钢板内外均进行环氧树脂喷涂，防止腐蚀由内而外发生。</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1.2.2预处理：脱脂、水洗、酸洗、水洗中和、磷化、水洗等处理技术过程。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1.2.3表面喷涂：环氧树酯粉末静电喷涂，涂层厚度≥50μm，在180度高温烘箱内固成光滑表面。</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1.2.4喷涂后的金属表面抗一定的化学物质，能达到如下性能：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附着性能：用划刻刀交叉刻画（1.6mm X 1.6mm），没有掉落；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防腐性能：盐喷实验≥200小时；</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磨损性能：Taber磨损实验100次循环不超过5.5mg；</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硬度性能：表面硬度相当于甚至好于4H铅笔；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防潮性能：华氏100度、饱和湿度情况下，可以抵抗1000小时的暴露；</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湿度性能：热水45度角冲淋5分钟没有变化。水持续浸湿100小时没有变化。</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1.3最大荷重（实验室钢制设备能承受以下最大荷重而不变形或影响使用）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落地式底柜 柜体荷重性能检测：≥700公斤；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落地式底柜 柜体集中荷重性能检测：≥80公斤；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框架式底座 框架荷重性能检测：≥270公斤；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门片及铰链荷重性能检测：≥90公斤；</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抽屉开启荷重性能检测：≥40公斤，抽屉开关4万次；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底柜层板及试剂架层板荷重性能检测：≥190公斤/平方米，根据层板面积最高至50公斤。</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1.4材质要求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1.4.1钢材：符合优质冷轧钢板SPCC等级或同质量标准冷轧钢板（SPCC--表示一般用冷轧碳素钢薄板及钢带，相当于中国Q195-215A牌号）；</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1.4.2柜体：每一个柜体的面板、挡板和外角柱都是取自同一块相同等级冷轧钢板；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1.4.3柜体钢材基本厚度应达到或优于以下标准：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1.4.3.1方管工作台类产品整体结构采用≥3mm厚方管焊接，承载部位连接件≥3mm厚冷板加工；</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1.4.3.2钢门内部钢板，前、后封板、搁板、顶部封板厚度≥1.0mm；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1.4.3.3钢柜上部、后部、底部和基座钢板、钢柜后背板、组件紧固板、玻璃门外框钢板、垂直衬板，钢门外部钢板和检修孔封板厚度≥1.2mm；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1.4.3.4钢柜上部支撑件，连接挡板，角撑板，桌脚，支架、桌脚连接件和延伸架厚度≥1.5mm；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1.4.4台面及相关要求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1.4.4.1台面：除特殊要求外，按技术文件规定，使用厚13mm或以上（四周加厚至26mm)台面板材制作（颜色可由采购人根据板材制造商的标准色卡选定）且须满足以下六点要求并须提供厂家授权书原件及检测报告复印件（加盖鲜章）。</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★1).台面板必须以三维木质纤维和热固性树脂为基材，不采用牛皮纸为基材结构，不弯曲不变性，台面表面采用EBC电子束固化技术，表面光滑细腻，抗菌耐磨。台面需提供由SGS出具的EBC技术的使用证明；</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★2).台面板需依据GB/T17657-2013测试标准，提供至少41种化学试剂报告，其中至少包含硫酸98%。硝酸85%，盐酸37%，氢氧化钠40%，二氯甲烷，甲醇，丙酮等化学物，测试结果为5级；</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★3).台面板需提供SEFA3.0测试报告；</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为保证实验室空气质量及工作人员安全，台面板需提供绿色卫士黄金认证证书，要求其中TVOC挥发性有机物测试标准最大允许预测浓度为0.22mg/m³，总醛最大允许预测浓度为0.043ppm，4-苯基环乙烯最大预测浓度为6.5ug/m³；</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★5).提供中国化学建筑材料中心提供的甲醛报告，要求采用GB18580-2017 标准 ，结果为：未检出，即小于0.01mg/m3；</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★6).台面板安全，绿色环保需提供ISEGA报告；</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1.4.4.2靠墙台面后侧挡水条：同台面材料，高100mm（±1.5%）。台面外侧上缘采用圆弧或斜边不刮手处理；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1.4.4.3抽屉：抽屉本体和面板板厚度为≥1.0mm冷轧钢板；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1.4.4.4底柜活动层板：厚度≥1.0mm冷轧钢板；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1.4.4.5试剂架：钢材厚度应达到1.2mm；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1.4.4.6试剂架层板：上固定层板采用厚10mm及以上钢化玻璃制作，层板下方具钢制托架以确保层板承重能力；层板外侧上缘采用圆弧或斜边不刮手处理；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1.4.4.7试剂架层板护栏：下活动层板外缘均应加设有椭圆带托底边高强度铝合金型材制作的护栏；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1.4.4.8功能柱：厚度为≥1.2mm优质冷轧钢板；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1.4.4.9钢制水平布线管线槽（不靠墙的仪器台用）：厚度为1.2mm优质冷轧钢板。</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1.5结构及性能要求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1.5.1柜体：柜体单元为吊装式或落地移动式结构，可以单独站立或多单元组合使用；柜体深度≥520mm，高度(含调整脚及台面厚度) 除有特别说明外，为850mm (±2%)。</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1.5.2背板：底柜后方应具备容易拆装的活动背板。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1.5.3服务通道：中央台背对背柜体中间空档及靠边桌柜体与墙面中间空档有一个服务通道距离，用来布设电、水、气管路，隐藏式设计。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1.5.4底柜：所有底柜正面应为平装嵌入式结构设计，如各端面板(如门板、抽屉)，上/侧/底部柜体边框以及垂直支柱都必须在同一水平面不可有突出，所有钣金的表面接缝均应满焊，焊接处均应打磨平整以保持为连续的平滑表面。柜体内有层板上下调节孔，每个底柜设活动层板一块。</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1.5.5所有部件不得于安装现场焊接加工，以避免破坏表面环氧树脂涂层。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1.5.6所有双开门款式底柜两片门间无中央垂直支柱阻挡。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1.5.7座位空间：其上以横档连接，如果有安装键盘需求则以水平键盘抽屉式连接件与两侧柜体单元上端连接，其下方空档应以可拆装式封板遮挡。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1.5.8装饰封板：中央桌背对背柜体中间空档，底柜与底柜之间，不靠墙的仪器桌柜体后侧，及靠边桌柜体与墙面中间空档的外侧，须使用钢制装饰封板遮盖，封板的颜色应与柜体相同，不得在现场直接以其它材料加工制作装饰封板；所有装饰封板为可拆装式设计，其组装螺丝不可外露。</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1.5.9抽屉：抽屉面板为双层结构，夹层内具消音材料。抽屉底部和四面抽墙为单片钢板一体成形设计，厚度1.0mm。抽屉配置缓冲垫，以避免与柜体钢板碰撞；抽屉能抽出≥330mm；抽屉设计应方便拆卸。</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1.5.10门板：门板为双层结构，夹层内具消音材料；门板配置门扣组及缓冲垫；门板能开关顺畅达180度。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1.5.11底柜活动层板：层板边缘应平顺不割手；层板上下调节间距每格应≤20mm。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1.5.12钢制水电管道功能立柱：功能柱共有二种：可移动型、固定型，可移动型功能柱配套用于移动式实验台，其他实验台使用固定型功能柱。功能立柱应为本体与面板组合可拆装式设计，其组装螺丝不可外露（可以孔塞遮蔽）；功能立柱应有足够的内部空间及必要的开孔，以便通过及容纳实验台需要的公用管线及相关配件，管线槽内的强电/弱电/水/气等应具各自独立的区隔。功能立柱尺寸有两种，分别为（mm×mm）400×200，300×150，高度为2000mm(配合现场吊顶高度调整)。配备可方便启闭的检修门，根据需要选择配置透明可视观察窗。</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1.5.13钢制水平布线管线槽(不靠墙的仪器台用)：水平布线管线槽应为本体与面板组合可拆装式设计，在外观可视面上没有裸露的螺钉，在内部或遮挡的螺钉没有孔塞；水平布线管线槽应有足够的内部空间及必要的开孔，以便通过及容纳仪器台需要的公用系统管线及相关配件，管线槽内的强电/弱电等应具各自独立的区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1.5.14试剂架：采用台面安装式设计，以方便配置增减拆装；按需求配置单面型或双面型两种式样以方便边台及中央台使用试剂架；试剂架立柱具整排挂孔供活动层板悬挂用，层板上下调节间距每格应≤30mm；试剂架分上下2层，上层板为固定式，下层板为高低可调活动式；下活动钢制层板边缘应平顺不割手；试剂架立柱内侧应按要求配置插座安装孔，立柱内夹层应有足够空间供插座配线隐藏铺设。</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1.6五金配件</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1.6.1合页：采用厚2.0mm及以上的编号304#不锈钢材质，开启角度≥180度，5节式，由模具加工，确保每个合页的同一性， 承重≥55kg。1200mm高度以下的柜子采用2个合页，超过1200mm高度柜子则采用3个合页。用6个不锈钢螺丝来固定每个合页。</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1.6.2滑轨：抽屉采用厚2.0mm及以上钢制高承载导轨，为冷轧钢板模具冲压成型制作，自闭结构设计，表面经环氧树酯粉末静电喷涂，当抽屉关到末端时有自闭功能，滑轨抽屉能抽出至少330mm；抽屉的滚轮采用尼龙包边的滚球轴承。不得使用三节导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1.6.3把手：采用高强度铝合金把手；把手须以不锈钢螺丝固定，抽屉宽度超过600mm及以上时应配置两只把手。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1.6.4地脚：镀锌钢地脚，可根据室内地坪适当调整柜体0-35mm的高度。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1.6.5门扣组：采用塑料材质的滚轮，不锈钢材质的滚轮支架；须以不锈钢螺丝与柜体及门板固定。</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1.6.6层板支撑扣：采用厚1.2mm及以上的钢板镀锌或不锈钢材质。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1.6.7螺丝：除有特别说明者外，合页安装处为304不锈钢材质平头螺钉。其它部位为钢质尖头镀锌自攻螺丝。</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1.6.8抽屉滑轨、门及柜体合页加强件和 L 型前脚撑板为钢制厚度≥2.0mm。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1.6.9抽屉抽头：≥19mm厚，双层结构，抽头内装隔音材料，并在安装前内部也进行喷涂处理。抽屉内部安装橡胶缓冲垫。</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1.6.10门缝条：所有双开式门片间须装设门缝条，安装时以不锈钢螺丝与门片锁合。</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1.6.11台面：13mm及以上厚度实心理化板台面；</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1.6.12水龙头：实验室专用水龙头；</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1.6.13水槽：实验室专用水槽，高分子PP材质，颜色为黑色，表面光滑，各角落平整，底部向落水头处倾斜，并能与台面板紧密结合；配套高分子PP下水器、滤片、阻水盖、PP去水提笼；除有特殊说明者外，所有水槽，杯槽下水处均应配备聚丙烯材质存水弯防臭装置，规格根据实际需要选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1.6.14水槽安装方式：台下盆式，并安装承重托架，水槽安装强度必须能使水槽在满水位时连续支撑24小时而无任何下垂脱落情况；</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1.6.15水槽台的高度要求与实验台同高；</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1.6.16每个框架单元应配备4个镀锌钢螺杆调整脚，以支撑柜体及调节水平，柜体底部离地板距离应≥10mm以隔离地面潮气；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配滴水架，PP材质基材，PP材质滴水棒，抗化学腐蚀，抑菌、易清洁、耐潮湿，利于器皿的自然干燥；</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1.7紧急喷淋装置</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规格：落地式;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主体材质：主体不锈钢结构，高亮度环氧树脂涂层；冲淋器SUS304不锈钢入水管、不锈钢球阀开关、不锈钢拉杆、不锈钢冲淋头；</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阀门：拉杆式开关，实现开启和锁定一次完成；</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供水口：G1″接口。</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1.8万向排气罩</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规格：标准；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材质：移动风罩为聚丙烯材质，排气罩直管采用铝合金制造，铝合金表面做阳极处理达到耐腐蚀要求，所有管段均应以聚丙烯材质的旋转关节连结，移动风罩管体内与气流直接接触的金属零件，均为不锈钢耐蚀材料；</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节活动臂罩口：圆形碗状，直径350mm(±30mm)，低压降（300pa），低噪音（36-57dBA），可360度旋转调节方向，易折卸、重组及清洗关节密封圈，移动风罩管径为∮75mm(±5%以内)，风量可在110～240m3/h范围内调节，以及风压(压损)小于300Pa；移动风罩有效工作半径应≥914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关节：均以固定旋钮予以迫紧锁合并确保气密；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风量调节：内建的手动蝶阀，可调节风量；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安装：吊顶安装，移动风罩应附有管径相匹配的固定基座，固定基座应搭配抽气罩管体颜色以环氧树酯粉末静电喷涂，长度与现场配合；于固定基座上应各提供一个排风接口及抽气接口，排风接口与排风管道衔接，抽气接口与移动风罩衔接，排风接口应为法兰型接口，抽气接口配合移动风罩设计；固定基座的结构与固定方式应能确保移动风罩安装及使用时的稳定与牢靠；现场排风管道应提供一安装接口以连接移动风罩固定基座排风接口，接口管径与现场相匹配。</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1.9原子吸收罩</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规格：罩口尺寸为（长×宽，mm）400×400；</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材质：全部采用厚1.2mm及以上304#不锈钢制作；</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导风管：采用1.0mm以上304#不锈钢制作，上配手动调节阀，开启度0-180度，可调节风量；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接口：于固定风罩上方直管段处须预留内建式手动调风碟阀及排风接口，排风接口与排风管道衔接，排风接口应为法兰型接口；现场排风管道应提供一适当尺寸的安装接口以连接固定风罩的排风接口；</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风量：300-600m3/h，排风接口管径应配合风量设计，须保证管内风速≤6m/s；</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安装：吊顶安装，吊臂可伸缩。</w:t>
      </w:r>
    </w:p>
    <w:p>
      <w:pPr>
        <w:spacing w:line="360" w:lineRule="auto"/>
        <w:ind w:right="-247" w:rightChars="-118" w:firstLine="523" w:firstLineChars="218"/>
        <w:outlineLvl w:val="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1.10、实验室物证柜及排风试剂柜要求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除特别说明外，主要部分为符合优质冷轧钢板SPCC或其他大型钢厂同等级、同质量标准的冷轧钢板，厚度≥1.2mm;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所有钣金的表面接缝均应满焊，焊接处均应打磨平整以保持为连续的平滑表面；所有钣金部件不得于安装现场焊接加工，以避免破坏表面环氧树酯涂层；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材质：整体采用≥1.2mm优质冷轧钢板。材料为:优质冷轧钢板;相当于SPCC或其他大型钢厂同等级、同质量标准的钢板；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柜门：上部为5mm透明玻璃，下部为实门；玻璃门外框为钢质，玻璃卡槽为PVC材质，对扣夹紧，外表面不见螺丝。下部实门为双层对扣结构；</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侧板：为双层对扣结构，增强柜体承重力，外侧无焊接、打磨点，柜体内部平整，无凹凸死角现象；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隔板：柜体上部两层层板，下部一层层板，层板托为尼龙塑料承重性强并且有效耐酸碱腐蚀；前、后加强筋上每隔12.3mm有隔板调节孔；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拉手：隐藏式带锁具拉手，不突出，同柜门同一平面，美观实用便于管理；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抽气口：柜体顶部带￠95mm排风孔，排风量为Q=150m3/h，下部后背板设置进风百页，更美观实用；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地脚：镀锌钢地脚，承重，防潮，防锈，防滑，抑菌，耐腐蚀，可根据室内地坪适当调整柜体0-35mm的高度；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拉门把手：外露式铝合金把手；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合页：304#不锈钢，5节式；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门吸：可调整高度式，铁镀锌门吸。</w:t>
      </w:r>
    </w:p>
    <w:p>
      <w:pPr>
        <w:spacing w:line="360" w:lineRule="auto"/>
        <w:ind w:right="-247" w:rightChars="-118"/>
        <w:jc w:val="left"/>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2、实验室通风设备及系统技术说明</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2.1实验室专用通风设备的材料及其配套件性能、技术及其安装位置满足采购人提供的有关文件和设计图要求：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2.1.1主要部分为优质冷轧钢板SPCC标准≥1.2mm厚冷轧钢板；钢材表面处理满足以下要求：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2.1.1.1所有钢制柜体或钢结构部件表面必须经静电环氧树脂粉末喷涂处理，涂层平整光滑，不允许有喷涂层脱落、鼓泡、凹陷、压痕以及表面划伤、麻点、裂痕、崩角和刃口等。钢板内外均进行环氧树脂喷涂，防止腐蚀由内而外发生。</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2.1.1.2预处理：脱脂、水洗、酸洗、水洗中和、磷化、水洗等过程或纳米陶瓷前处理技术。</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2.1.1.3表面喷涂：静电环氧树脂粉末喷涂处理，涂层厚度≥50μm，在180度高温烘箱内固成光滑表面。</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2.1.1.4喷涂后的金属表面抗一定的化学物质，能达到如下性能：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附着性能：用划刻刀交叉刻画（1.6mm X 1.6mm），没有掉落；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防腐性能：盐喷实验≥200小时；</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磨损性能：Taber磨损实验100次循环不超过5.5mg；</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硬度性能：表面硬度相当于甚至好于4H铅笔；</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防潮性能：华氏100度、饱和湿度情况下，可以抵抗1000小时的暴露；</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湿度性能：热水45度角冲淋5分钟没有变化。水持续浸湿100小时没有变化。</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2.1.2所有钣金的表面接缝均应满焊，焊接处均应打磨平整以保持为连续的平滑表面；所有钣金部件不得于安装现场焊接加工，以避免破坏表面环氧树脂涂层；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2.1.3五金配件要求：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2.1.3.1合页：采用厚2.0mm及以上的编号304#不锈钢材质，开启角度≥180度，5节式，由模具加工，确保每个合页的同一性， 承重≥55kg。1200mm高度以下的柜子采用2个合页，超过1200mm高度柜子则采用3个合页。用6个不锈钢螺丝来固定每个合页。</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2.1.3.2把手：采用高强度铝合金把手；把手须以不锈钢螺丝固定，抽屉宽度超过600mm及以上时应配置两只把手。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2.1.3.3地脚：镀锌钢地脚，可根据室内地坪适当调整柜体0-35mm的高度。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2.1.3.4门扣组：采用塑料材质的滚轮，不锈钢材质的滚轮支架；须以不锈钢螺丝与柜体及门板固定。</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2.1.3.5层板支撑扣：采用厚1.2mm及以上的钢板镀锌或不锈钢材质。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2.1.3.6螺丝：除有特别说明者外，合页安装处为平头普通螺钉，304不锈钢材质。其它部位为钢质尖头镀锌自攻螺丝。</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2.1.3.7门及柜体合页加强件和 L 型前脚撑板为钢制厚度≥2.0mm。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2.1.4底柜柜体要求：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2.1.4.1每一个柜体的面板、挡板和外角柱都是取自同一块相同等级冷轧钢板。</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2.1.4.2柜体钢材基本厚度应达到或优于以下标准：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2.1.4.2.1方管工作台类产品整体结构采用≥3mm厚方管焊接，承载部位连接件≥3mm厚冷板加工；</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2.1.4.2.2钢门内部钢板，前、后封板、搁板、顶部封板厚度≥1.0mm；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2.1.4.2.3钢柜上部、后部、底部和基座钢板、钢柜后背板、组件紧固板、玻璃门外框钢板、垂直衬板，钢门外部钢板和检修孔封板厚度≥1.2mm；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2.1.4.2.4钢柜上部支撑件，连接挡板，角撑板，桌脚，支架、桌脚连接件和延伸架厚度≥1.5mm；</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2.1.4.2.5门板：门板为双层结构，夹层内具消音材料；门板配置门扣组及缓冲垫；门板能开关顺畅达180度。</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实验室变风量通风柜实验室专用排风设备，在排风控制系统接口提供一个足够、稳定、实时与正确的排风量后，以及实验室环境气流组织在通风柜调节门开口处所造成的交叉气流速度符合相关标准规定的情况下，其通风性能特征要满足以下几点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2.2.1维持通风柜捕捉及排除污染的能力；</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2.2.2专用通风柜等定风量设备的排风量能维持在设定值的正负10%内。</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2.3设备排风量：除有特殊说明者外，根据相关国际及国标要求，各设备排风量除特别标注者外，设计原则如下：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1200mm台式变风量通风柜的最小排风量为250CMH，最大排风量为1300CMH；</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1500mm台式变风量通风柜的最小排风量为300CMH，最大排风量为1500CMH；</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1800mm台式变风量通风柜的最小排风量为350CMH，最大排风量为1800CMH；</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以上通风柜按平均面风速0.5m/s为排风量设计的计算依据。(以上通风柜排风量根据各自产品的调节门开口尺寸计算，但调节门最大开启高度不得低于700mm，且总风量不得高于系统允许容量)。</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符合《机械行业标准》JB/T 6412-1999通风柜和《中华人民共和国建设部实验室变风量通风柜标准》JGT222-2007。</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2.1.1本项目通风柜为变风量型，应能有效地配合VAV排风系统进行操作。</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2.1.2主体结构：双层全钢，自支撑坚固构造。外层为钢板，内层为抗腐蚀内衬材料。两层之间为全钢框架、全钢固定件和公用设备管道、配件等。</w:t>
      </w:r>
    </w:p>
    <w:p>
      <w:pPr>
        <w:spacing w:line="360" w:lineRule="auto"/>
        <w:ind w:right="-247" w:rightChars="-118" w:firstLine="523" w:firstLineChars="218"/>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2.1.3通风柜工作台面：</w:t>
      </w:r>
      <w:r>
        <w:rPr>
          <w:rFonts w:hint="eastAsia" w:ascii="宋体" w:hAnsi="宋体" w:eastAsia="宋体" w:cs="宋体"/>
          <w:b/>
          <w:color w:val="000000"/>
          <w:sz w:val="24"/>
          <w:szCs w:val="24"/>
          <w:highlight w:val="none"/>
        </w:rPr>
        <w:t>采用20厚一体成型高温烧制实验室工业碟型陶瓷台面，见截面采用同色低温上釉，或者釉料与胚体经高温一体烧结而成，表面釉面颜色和胚体颜色一致的实验室专用同色透芯陶瓷台面，台面表面耐高温、耐腐蚀、耐磨、不脱色、不变色、美观大方。</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1、耐酸碱腐蚀：台面可抵御（除氢氟酸等同类型化学试剂）任何强酸强碱及有机溶剂腐蚀。要求参照 GB/T 9274-1988(2004）标准，提供抗化学和污染性能的检测报告（含提供盖玻璃片的检测报告），要求包含对含有98%硫酸、37%盐酸、65%氢氧化钾、王水、甲苯、草酸、正辛烷、99%冰醋酸、六次甲基四氨缓蚀剂、亚甲蓝、氢氧化铵、硫酸铜、正乙烷等多种化学试剂的测试，且检测结果均为表面无变化。须在投标文件中提供通过符合上述参数第三方出具的检测报告并加盖公章。</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2、耐高温：陶瓷台面为A级不燃材料，陶瓷台面燃烧性能为A1级，燃烧热值小于0，持续燃烧时间为0。参照GB/T26696-2011标准测试，耐高温不低于1350℃。</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3、不含甲醛：实验室环境需要台面不含甲醛，要求参照 GB 18580-2001标准。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4、抗细菌：陶瓷台面表面不吸附细菌，要求参照JC/T897-2014《抗菌陶瓷制品抗菌性能》检测，要求肺炎克雷伯氏菌抗菌率≥90%，粪肠球菌抗菌率≥90%。</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5、洛氏硬度：参照GB/T26696-2011标准，要求洛氏硬度不低于59HRC。</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6、线性热膨胀系数：参照GB/T4100-2015附录G有釉砖标准，线性热膨胀系数≤5.0×10-6/℃-1。</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7、断裂模数：参照GB/T3810.4-2016标准，断裂模数平均值≥49MPa，单个值≥47MPa。</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8、为保证仪器承重安全，台面性能必须满足承重测试要求，台面抗破坏性载荷48小时不低于400kg。</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9、断裂模数：参照GB/T3810.4-2016标准，断裂模数平均值≥49MPa，单个值≥47MPa。</w:t>
      </w:r>
    </w:p>
    <w:p>
      <w:pPr>
        <w:spacing w:line="360" w:lineRule="auto"/>
        <w:ind w:right="-247" w:rightChars="-118" w:firstLine="523" w:firstLineChars="218"/>
        <w:rPr>
          <w:rFonts w:hint="eastAsia" w:ascii="宋体" w:hAnsi="宋体" w:eastAsia="宋体" w:cs="宋体"/>
          <w:b/>
          <w:bCs w:val="0"/>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
          <w:bCs w:val="0"/>
          <w:color w:val="000000"/>
          <w:sz w:val="24"/>
          <w:szCs w:val="24"/>
          <w:highlight w:val="none"/>
        </w:rPr>
        <w:t>须在投标文件中提供通过符合上述参数第三方出具的检测报告并加盖公章</w:t>
      </w:r>
      <w:r>
        <w:rPr>
          <w:rFonts w:hint="eastAsia" w:ascii="宋体" w:hAnsi="宋体" w:eastAsia="宋体" w:cs="宋体"/>
          <w:b/>
          <w:bCs w:val="0"/>
          <w:color w:val="000000"/>
          <w:sz w:val="24"/>
          <w:szCs w:val="24"/>
          <w:highlight w:val="none"/>
          <w:lang w:eastAsia="zh-CN"/>
        </w:rPr>
        <w:t>，通风柜</w:t>
      </w:r>
      <w:r>
        <w:rPr>
          <w:rFonts w:hint="eastAsia" w:ascii="宋体" w:hAnsi="宋体" w:eastAsia="宋体" w:cs="宋体"/>
          <w:b/>
          <w:bCs w:val="0"/>
          <w:color w:val="000000"/>
          <w:sz w:val="24"/>
          <w:szCs w:val="24"/>
          <w:highlight w:val="none"/>
          <w:lang w:val="zh-CN" w:eastAsia="zh-CN"/>
        </w:rPr>
        <w:t>台面</w:t>
      </w:r>
      <w:r>
        <w:rPr>
          <w:rFonts w:hint="eastAsia" w:ascii="宋体" w:hAnsi="宋体" w:eastAsia="宋体" w:cs="宋体"/>
          <w:b/>
          <w:bCs w:val="0"/>
          <w:color w:val="000000"/>
          <w:sz w:val="24"/>
          <w:szCs w:val="24"/>
          <w:highlight w:val="none"/>
          <w:lang w:val="en-US" w:eastAsia="zh-CN"/>
        </w:rPr>
        <w:t>制造商家</w:t>
      </w:r>
      <w:r>
        <w:rPr>
          <w:rFonts w:hint="eastAsia" w:ascii="宋体" w:hAnsi="宋体" w:eastAsia="宋体" w:cs="宋体"/>
          <w:b/>
          <w:bCs w:val="0"/>
          <w:color w:val="000000"/>
          <w:sz w:val="24"/>
          <w:szCs w:val="24"/>
          <w:highlight w:val="none"/>
          <w:lang w:val="zh-CN" w:eastAsia="zh-CN"/>
        </w:rPr>
        <w:t>出具的授权书原件（</w:t>
      </w:r>
      <w:r>
        <w:rPr>
          <w:rFonts w:hint="eastAsia" w:ascii="宋体" w:hAnsi="宋体" w:eastAsia="宋体" w:cs="宋体"/>
          <w:b/>
          <w:bCs w:val="0"/>
          <w:color w:val="000000"/>
          <w:sz w:val="24"/>
          <w:szCs w:val="24"/>
          <w:highlight w:val="none"/>
          <w:lang w:val="en-US" w:eastAsia="zh-CN"/>
        </w:rPr>
        <w:t>含制造商营业执照复印件盖鲜章</w:t>
      </w:r>
      <w:r>
        <w:rPr>
          <w:rFonts w:hint="eastAsia" w:ascii="宋体" w:hAnsi="宋体" w:eastAsia="宋体" w:cs="宋体"/>
          <w:b/>
          <w:bCs w:val="0"/>
          <w:color w:val="000000"/>
          <w:sz w:val="24"/>
          <w:szCs w:val="24"/>
          <w:highlight w:val="none"/>
          <w:lang w:val="zh-CN" w:eastAsia="zh-CN"/>
        </w:rPr>
        <w:t>）。</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2.1.4通风柜配有一次性成型实验室专用PP水槽，耐酸碱、耐腐蚀。</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2.1.5移门：</w:t>
      </w:r>
      <w:r>
        <w:rPr>
          <w:rFonts w:hint="eastAsia" w:ascii="宋体" w:hAnsi="宋体" w:eastAsia="宋体" w:cs="宋体"/>
          <w:b/>
          <w:color w:val="000000"/>
          <w:sz w:val="24"/>
          <w:szCs w:val="24"/>
          <w:highlight w:val="none"/>
        </w:rPr>
        <w:t>移门传动系统为同步带系统，非钢丝绳系统。</w:t>
      </w:r>
      <w:r>
        <w:rPr>
          <w:rFonts w:hint="eastAsia" w:ascii="宋体" w:hAnsi="宋体" w:eastAsia="宋体" w:cs="宋体"/>
          <w:bCs/>
          <w:color w:val="000000"/>
          <w:sz w:val="24"/>
          <w:szCs w:val="24"/>
          <w:highlight w:val="none"/>
        </w:rPr>
        <w:t>使用厚度≥6mm的浮法安全玻璃；滑轨为抗腐蚀PVC材质，移门能够轻松上下移动；移门的关、闭有橡胶缓冲装置；密封条为70硬度 PVC，防止气体泄露，并能阻挡液体流出柜体；移门拉手和移门同宽，材质是不锈钢材料制成。</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全钢制结构，智能数控通风柜：</w:t>
      </w:r>
      <w:r>
        <w:rPr>
          <w:rFonts w:hint="eastAsia" w:ascii="宋体" w:hAnsi="宋体" w:eastAsia="宋体" w:cs="宋体"/>
          <w:b/>
          <w:color w:val="000000"/>
          <w:sz w:val="24"/>
          <w:szCs w:val="24"/>
          <w:highlight w:val="none"/>
        </w:rPr>
        <w:t>数控电动调节门</w:t>
      </w:r>
      <w:r>
        <w:rPr>
          <w:rFonts w:hint="eastAsia" w:ascii="宋体" w:hAnsi="宋体" w:eastAsia="宋体" w:cs="宋体"/>
          <w:bCs/>
          <w:color w:val="000000"/>
          <w:sz w:val="24"/>
          <w:szCs w:val="24"/>
          <w:highlight w:val="none"/>
        </w:rPr>
        <w:t>，自由升降调节门，可无级别定位。工作台面前沿安装孔网导风槽，利于形成上升型的气流，并对拉门内壁密集污染气流区起到清导作用。</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2.1.6所有通风柜的内衬材料为≥6mm厚Poly resin材料或≥6mm厚的阻燃材料，性能符合我国相关标准或UL或NFPA规格的其它内衬材料（阻燃性能符合NFPA45规范，通过UL723或ASTM E84-80测定且展焰性&lt;25）。导流板必须与内衬为同一材料，引导通风柜气体排除柜外。内衬材料表面光滑。内壁要求无任何连接螺钉外露，减少腐蚀点。</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2.1.7底柜柜体：每个柜体均应为完整独立的落地型全钢制柜体设计，除有特别说明者外，每台通风柜配置两只双开门款式底柜单元，或一只拥有两个独立区隔(各区隔配置双开门)的四门柜体单元。根据需要底柜可定制垃圾柜或设置废液收集装置，并有排风设计；底柜后方应具备容易拆装的活动背板，踼脚板凹入部分位于柜体下方正面，踼脚板表面加装踢脚线装饰板及护角将踼脚板与地面空隙遮盖。</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2.1.8通风柜里面的配件（龙头喷嘴）为黄铜材质，外面环氧树脂喷涂。从阀门到出口处管路：水、气体和真空管道为铜管。</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2.1.9远程控制手柄：尼龙十字型把手，由不同颜色的尼龙指示钮标识。</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2.1.10通风柜照明：两个荧光灯管，快速启动类型。镇流器安装在通风柜外部。照明罩内部白色，高反射的塑料材质。照明装置上面有安全玻璃面板并且和柜体密封。照明装置包括灯管。照度800Lu×。</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2.1.11电气设施安装在通风柜的外侧立柱上。带开关型插座，产品出厂前插座预先与通风柜接线盒连接，现场再与供电设施连接。同时立柱上安装有漏电保护装置。通风柜外侧立柱上安装有灯开关，灯电源取至主回路下装有熔断保护的支路。插座：不少于 4 个多功能插座。三线接地插座，220V，≥16A。</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2.1.12下降式旁通设计：低阻，1.25mm钢板进风腔体。进风从腔体上方进入，然后进入通风柜内。同时在通风柜内发生事情时，气体尘埃不会直接冲出进风腔体。具有上下排风功能。</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2.1.13外部连接装置都需抗化学腐蚀，非金属材料。</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2.1.14排风口为矩形底部带圆弧设计，1.2mm冷轧钢板环氧树脂漆喷涂；移门采用全钢驱动型系统。所有材质防腐处理。移门导向装置由抗腐蚀的聚氯乙稀或相近材质构成。</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2.1.15性能要求：</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2.1.15.1表面平均面风速：通风柜的表面平均风速应为设计值的±10%以内且可以调节(本项目各通风柜面风速设计值为0.5m/s)；</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2.1.15.2面风速均匀度：通风柜的面风速应分布均匀，各测量点的最大值、最小值与算术平均值的偏差应小于±15%；(检测内容包括在调节门半开及全开状况下检测)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2.1.15.3通风柜风压(压损)：应小于70Pa；</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2.1.15.4视烟雾流动显示：须无烟雾泄漏逸散出柜外，柜内无涡流死角且能平顺的将烟雾排出；【检测内容包括在调节门静态(全开)及动态(全闭至全开)工作状况下检测)】</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2.1.15.5 SF6六氟化硫示踪气体浓度控制：浓度控制等级小于0.05ppm，检测内容包括静态检测，动态检测及调节门周边检漏测试。</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2.1.15.6测试环境：在0.5m/s面风速条件下，SF6追踪气体以4L/min的速度从视窗开口处（仅仅视窗后15厘米）被释放在操作区内，SF6探测器被安装在人体模型上来模拟操作员的呼吸。一个交叉速度指针被安装在人体模型的后背,用于检查测试过程中交叉速度指针对测试结果的影响。</w:t>
      </w:r>
    </w:p>
    <w:p>
      <w:pPr>
        <w:spacing w:line="360" w:lineRule="auto"/>
        <w:ind w:right="-247" w:rightChars="-118" w:firstLine="523" w:firstLineChars="218"/>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实验室通风柜智能通风系统[台式通风柜监控器、通风柜面风速传感器、通风柜位移传感器、变风量排风文丘里阀（含执行器）]。</w:t>
      </w:r>
    </w:p>
    <w:p>
      <w:pPr>
        <w:spacing w:line="360" w:lineRule="auto"/>
        <w:ind w:right="-247" w:rightChars="-118" w:firstLine="523" w:firstLineChars="218"/>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3、采用实验室专用通风柜智能通风系统</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eastAsia="宋体" w:cs="宋体"/>
          <w:bCs/>
          <w:color w:val="000000"/>
          <w:sz w:val="24"/>
          <w:szCs w:val="24"/>
          <w:highlight w:val="none"/>
          <w:lang w:val="en-GB"/>
        </w:rPr>
        <w:t>本次通风柜采用变风量控制系统，系统的组成由调节门拉绳传感器，变风量风阀及通风柜的监控面板组成，其各个组成部分的功能基本包含以下必须要素：</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1、变风量控制技术要求</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1.1快速反映：指当由于外界因素影响导致风量变化，VAV风阀的执行机构必须在3秒内响应并迅速的调整，并将风量重新控制在设计值范围内。</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1.2精确控制：指当执行机构依据控制器发出的指令动作时，通过VAV的风量与设计的风量之间的偏差不应超过5%。</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1.3压力无关：指当由于风管内因其他风阀的风量发生变化而导致风管的静压发生变化时,不影响到当前这只VAV风阀的通风风量.</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1.4一一对应：通风柜的调节门高度需要具备与通风柜的排风风量进行一一对应的关系，即通风柜的调节门在任意的一个位置仅有唯一的排风数值与其对应，并且对应的关系并不随着风风管内的静压变化而变化。</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1.5采用位移传感器风量测量调节系统，调节窗动作时，由位移传感器迅速调节变风量阀至设定位置，维持通风柜恒定面风速。当移门不上下移动时，由位移传感器控制通风柜的排风量。</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2、每台通风柜配置一套先进的VAV控制系统</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2.1该控制系统保证通风柜调节门在任意位置下通风柜面风速迅速稳定到设定值，一般为0.5m/s。</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2.2该系统包括一个调节窗位移传感器，一个带流量测量的PPS或其他满足实验室防腐要求材质的变风量蝶阀、一个带压差变送器的监控面板。</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2.3系统应具有以下功能特性</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2.3.1自动调节以恒定不同状态下的安全面风速设定要求</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2.3.2实时显示排风量</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2.3.3实时测量通风柜排风量，实现闭环控制。可输出实际排风流量，支持房间流量准确控制</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2.3.4支持显示当前变风量阀门状态以提醒用户通风柜使用状态</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2.3.5不安全的条件下，声音及显示报警</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2.3.6通风柜需按国际标准保证安全最低排风量</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2.3.7支持就地操作</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2.4其他应具备的要求</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2.4.1★变风量控制系统包括传感器、控制模块、阀门调节机构等均应采用同一厂家同一品牌产品，以保持控制完整性以及维护可靠性。</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2.4.2不允许原生产厂家之外的供应商更换及组合系统内产品。</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2.4.3通风柜位移传感器和变风量阀应可适用于大多数施工条件以及建筑标准，以及适应不同标准、规格的通风柜结构。</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2.4.4传感器应易于安装，且不会因为长期使用发生精度漂移，避免定期校核，从而降低维护的复杂性。</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3、通风柜的变风量控制系统：本次部分通风柜采用变风量控制系统，系统的组成由调节门拉绳传感器，变风量风阀及通风柜的监控面板组成，其各个组成部分的功能基本包含以下必须要素：</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3.1通风柜监控面板：</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3.1.1具有液晶显示面板，可实时显示当前通风柜面风速或排风风量。</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3.1.2所有参数均可就地设置，液晶显示屏应有调整相应指示，且进入界面应设置密码保护避免误操作。</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3.1.3具有一键“消音”按钮。</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3.1.4可通过监控面板控制通风柜照明开关。</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3.1.5具有电源开关按钮。</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3.1.6具有4个可编程的功能按键，可自定义功能。默认功能为日夜切换模式及上下按键。</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3.1.7日夜切换模式可设置待机及夜间模式运行，可手动将通风柜切换至待机运行降低能耗。</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3.1.8上下按键可配合系统升级，升级为自动门高系统控制按键，可通过监控面板控制通风柜调节窗的升降及停止。</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3.1.9可设置通风柜“最小排风风量”一键按钮。</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3.1.10可设置紧急排风按键，紧急情况下，通过此按键实现最大排风操作。</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3.1.11通过液晶显示安全/危险运行状态，可设定面风速低于安全值时报警。</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3.1.12面板集成控制器功能，配置即拔即插型压差变送器。</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3.1.13面板集成控制器功能，可配置串行通信协议通讯模块。</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3.2调节门拉绳传感器</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3.2.1高精度电阻制造而成，测量精度±0.2%</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3.2.2测量范围0-1M</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3.2.3响应时间＜1ms3.2.4模拟输出0-5VDC信号</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3、3变风量排风阀3.3.1阀体应采用PPS或其他满足实验室防腐要求材质，变风量蝶阀阀体采用高温挤压一次成型满足实验室防火要求。</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3.3.2执行器驱动方式：带反馈电位计直接驱动，高速速电动执行器90度全行程≤3秒，数字驱动，无磁滞。</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3.3.3带风量测量管，免清洗，免维护，风量控制精度小于设定风量的±5％。</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3.3.4采用皮托管测量监控原理，带压差变送器，风量与调节门一一对应关系。</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eastAsia="宋体" w:cs="宋体"/>
          <w:bCs/>
          <w:color w:val="000000"/>
          <w:sz w:val="24"/>
          <w:szCs w:val="24"/>
          <w:highlight w:val="none"/>
          <w:lang w:val="en-GB"/>
        </w:rPr>
        <w:t>★</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GB"/>
        </w:rPr>
        <w:t>3.3.5压力无关特性：当风管内静压值发生变化时，在3秒内，能自动调节至所需求的风量值，其误差范围应在±5%之内），而不受风管内静压变化而有所变化（适用于变化范围在</w:t>
      </w:r>
      <w:r>
        <w:rPr>
          <w:rFonts w:hint="eastAsia" w:ascii="宋体" w:hAnsi="宋体" w:eastAsia="宋体" w:cs="宋体"/>
          <w:bCs/>
          <w:color w:val="000000"/>
          <w:sz w:val="24"/>
          <w:szCs w:val="24"/>
          <w:highlight w:val="none"/>
        </w:rPr>
        <w:t>8</w:t>
      </w:r>
      <w:r>
        <w:rPr>
          <w:rFonts w:hint="eastAsia" w:ascii="宋体" w:hAnsi="宋体" w:eastAsia="宋体" w:cs="宋体"/>
          <w:bCs/>
          <w:color w:val="000000"/>
          <w:sz w:val="24"/>
          <w:szCs w:val="24"/>
          <w:highlight w:val="none"/>
          <w:lang w:val="en-GB"/>
        </w:rPr>
        <w:t>-</w:t>
      </w:r>
      <w:r>
        <w:rPr>
          <w:rFonts w:hint="eastAsia" w:ascii="宋体" w:hAnsi="宋体" w:eastAsia="宋体" w:cs="宋体"/>
          <w:bCs/>
          <w:color w:val="000000"/>
          <w:sz w:val="24"/>
          <w:szCs w:val="24"/>
          <w:highlight w:val="none"/>
        </w:rPr>
        <w:t>8</w:t>
      </w:r>
      <w:r>
        <w:rPr>
          <w:rFonts w:hint="eastAsia" w:ascii="宋体" w:hAnsi="宋体" w:eastAsia="宋体" w:cs="宋体"/>
          <w:bCs/>
          <w:color w:val="000000"/>
          <w:sz w:val="24"/>
          <w:szCs w:val="24"/>
          <w:highlight w:val="none"/>
          <w:lang w:val="en-GB"/>
        </w:rPr>
        <w:t>00Pa之内）。</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eastAsia="宋体" w:cs="宋体"/>
          <w:bCs/>
          <w:color w:val="000000"/>
          <w:sz w:val="24"/>
          <w:szCs w:val="24"/>
          <w:highlight w:val="none"/>
          <w:lang w:val="en-GB"/>
        </w:rPr>
        <w:t>★</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4</w:t>
      </w:r>
      <w:r>
        <w:rPr>
          <w:rFonts w:hint="eastAsia" w:ascii="宋体" w:hAnsi="宋体" w:eastAsia="宋体" w:cs="宋体"/>
          <w:bCs/>
          <w:color w:val="000000"/>
          <w:sz w:val="24"/>
          <w:szCs w:val="24"/>
          <w:highlight w:val="none"/>
          <w:lang w:val="en-GB"/>
        </w:rPr>
        <w:t>.对所提供的流量测量阀，应符合GB8624-2012 B1级防火标准。</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bookmarkStart w:id="45" w:name="_Hlk9263779"/>
      <w:r>
        <w:rPr>
          <w:rFonts w:hint="eastAsia" w:ascii="宋体" w:hAnsi="宋体" w:eastAsia="宋体" w:cs="宋体"/>
          <w:bCs/>
          <w:color w:val="000000"/>
          <w:sz w:val="24"/>
          <w:szCs w:val="24"/>
          <w:highlight w:val="none"/>
          <w:lang w:val="en-GB"/>
        </w:rPr>
        <w:t>★</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5</w:t>
      </w:r>
      <w:r>
        <w:rPr>
          <w:rFonts w:hint="eastAsia" w:ascii="宋体" w:hAnsi="宋体" w:eastAsia="宋体" w:cs="宋体"/>
          <w:bCs/>
          <w:color w:val="000000"/>
          <w:sz w:val="24"/>
          <w:szCs w:val="24"/>
          <w:highlight w:val="none"/>
          <w:lang w:val="en-GB"/>
        </w:rPr>
        <w:t>.通风柜变风量控制系统中变风量阀所带的流量测量管，须提供该投标品牌流量测量管的</w:t>
      </w:r>
      <w:r>
        <w:rPr>
          <w:rFonts w:hint="eastAsia" w:ascii="宋体" w:hAnsi="宋体" w:eastAsia="宋体" w:cs="宋体"/>
          <w:bCs/>
          <w:color w:val="000000"/>
          <w:sz w:val="24"/>
          <w:szCs w:val="24"/>
          <w:highlight w:val="none"/>
        </w:rPr>
        <w:t>彩页资料或官网技术资料</w:t>
      </w:r>
      <w:r>
        <w:rPr>
          <w:rFonts w:hint="eastAsia" w:ascii="宋体" w:hAnsi="宋体" w:eastAsia="宋体" w:cs="宋体"/>
          <w:bCs/>
          <w:color w:val="000000"/>
          <w:sz w:val="24"/>
          <w:szCs w:val="24"/>
          <w:highlight w:val="none"/>
          <w:lang w:val="en-GB"/>
        </w:rPr>
        <w:t>加盖公章。</w:t>
      </w:r>
    </w:p>
    <w:bookmarkEnd w:id="45"/>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eastAsia="宋体" w:cs="宋体"/>
          <w:bCs/>
          <w:color w:val="000000"/>
          <w:sz w:val="24"/>
          <w:szCs w:val="24"/>
          <w:highlight w:val="none"/>
          <w:lang w:val="en-GB"/>
        </w:rPr>
        <w:t>★</w:t>
      </w:r>
      <w:r>
        <w:rPr>
          <w:rFonts w:hint="eastAsia" w:ascii="宋体"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6</w:t>
      </w:r>
      <w:r>
        <w:rPr>
          <w:rFonts w:hint="eastAsia" w:ascii="宋体" w:hAnsi="宋体" w:eastAsia="宋体" w:cs="宋体"/>
          <w:bCs/>
          <w:color w:val="000000"/>
          <w:sz w:val="24"/>
          <w:szCs w:val="24"/>
          <w:highlight w:val="none"/>
          <w:lang w:val="en-GB"/>
        </w:rPr>
        <w:t>.电磁兼容性满足GB/T 18268.1-2010、GB/T2433.1-2008,GB/T2423.2-2008标准。</w:t>
      </w:r>
    </w:p>
    <w:p>
      <w:pPr>
        <w:spacing w:line="360" w:lineRule="auto"/>
        <w:ind w:right="-247" w:rightChars="-118" w:firstLine="523" w:firstLineChars="218"/>
        <w:rPr>
          <w:rFonts w:hint="eastAsia" w:ascii="宋体" w:hAnsi="宋体" w:eastAsia="宋体" w:cs="宋体"/>
          <w:bCs/>
          <w:color w:val="000000"/>
          <w:sz w:val="24"/>
          <w:szCs w:val="24"/>
          <w:highlight w:val="none"/>
          <w:lang w:val="en-GB"/>
        </w:rPr>
      </w:pPr>
      <w:r>
        <w:rPr>
          <w:rFonts w:hint="eastAsia" w:ascii="宋体" w:hAnsi="宋体" w:eastAsia="宋体" w:cs="宋体"/>
          <w:bCs/>
          <w:color w:val="000000"/>
          <w:sz w:val="24"/>
          <w:szCs w:val="24"/>
          <w:highlight w:val="none"/>
          <w:lang w:val="en-GB"/>
        </w:rPr>
        <w:t>提供第三方检测机构出具的电磁兼容性检测报告并加盖公章。</w:t>
      </w:r>
    </w:p>
    <w:p>
      <w:pPr>
        <w:spacing w:line="360" w:lineRule="auto"/>
        <w:ind w:right="-247" w:rightChars="-118" w:firstLine="523" w:firstLineChars="218"/>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、物证管理系统技术要求：</w:t>
      </w:r>
    </w:p>
    <w:p>
      <w:pPr>
        <w:autoSpaceDE w:val="0"/>
        <w:autoSpaceDN w:val="0"/>
        <w:adjustRightInd w:val="0"/>
        <w:spacing w:line="360" w:lineRule="auto"/>
        <w:ind w:right="-247" w:rightChars="-118"/>
        <w:jc w:val="left"/>
        <w:outlineLvl w:val="2"/>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物证库管理：</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选择单位、选择物证分区、物证室进行物证库信息登记；</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可直接新建物证分区，输入单位、分区名称、分区编号、温度上下限、湿度上下限、备注，完成物证分区的新建；</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可直接新建物证室，选择单位、物证分区、输入物证室名称、物证室编号、备注，完成物证室的新建；</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新建物证柜，选择分区、选择物证室、输入物证柜名称、物证柜编号、物证柜位置（组）、物证柜位置（列）、物证柜节数、物证柜层数、抽屉数、横向格数、纵向格数、备注、是否固定列，完成物证柜的登记；</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在完成物证柜的维护并保存后，也可继续增加抽屉；</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可查看物证分区库容情况，维护物证分区；</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可查看物证室的情况，可查看物证室内的物证柜，维护物证柜、层、节、格、抽屉；</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对已经使用的物证存储单位不可进行修改；</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可查询物证区—&gt;物证室—&gt;物证柜下设存储单元内的物证，点击物证室的存储单元，可用图片的方式直接展示存放的物证。</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可按不同的维度，通过系统界面、柱状图、excel表格等方式，对物证信息进行统计查询；</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可按单位查询统计所有存储分区的库容使用情况，已使用(格)、空闲(格)、总库容(格)；</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可按年、按季度、按月、按天、对选择时间、选择单位，统计出所有存储物证的数量情况；</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可选择单位、统计各个出物证类别的物证数量；</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可选择时间、选择用户，统计物证的出入库情况；如果用户为空，则默认选择了所有的用户；</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可选择时间、选择单位、统计所有物证的出库用途及数量；</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可选择时间、选择单位、统计所有物证的物证送检情况；</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可选择单位、选择时间、选择十类案件或八类命案的案件类别，统计各案件类别下的的物证数量统计；</w:t>
      </w:r>
    </w:p>
    <w:p>
      <w:pPr>
        <w:numPr>
          <w:ilvl w:val="0"/>
          <w:numId w:val="37"/>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可根据保管申请编号、案事件名称 物证编号、发案时间、物证类别、物证名称、提交时间、案件编号、发案地点、几何特性、案件类别、时限要求、主要特征等查询条件，进行物证查询。</w:t>
      </w:r>
    </w:p>
    <w:p>
      <w:pPr>
        <w:autoSpaceDE w:val="0"/>
        <w:autoSpaceDN w:val="0"/>
        <w:adjustRightInd w:val="0"/>
        <w:spacing w:line="360" w:lineRule="auto"/>
        <w:ind w:right="-247" w:rightChars="-118"/>
        <w:jc w:val="left"/>
        <w:outlineLvl w:val="2"/>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系统管理：</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输入用户姓名、账号、密码、用户单位、身份证、电话号、状态、备注信息，完成用户的新增；</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可对新增的用户权限角色、采集用户指纹、修改用户基本信息、删除等操作</w:t>
      </w:r>
      <w:r>
        <w:rPr>
          <w:rFonts w:hint="eastAsia" w:ascii="宋体" w:hAnsi="宋体" w:eastAsia="宋体" w:cs="宋体"/>
          <w:color w:val="000000"/>
          <w:sz w:val="24"/>
          <w:szCs w:val="24"/>
          <w:highlight w:val="none"/>
          <w:lang w:eastAsia="zh-CN"/>
        </w:rPr>
        <w:t>；</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输入单位名称、简称、文书代号、行政区划、科室标识、地址、电话、上级单位、是否有下级单位、状态、备注，完成单位的新增；</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可对新增的单位进行信息修改、删除操作；</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可查询系统的访问日志，含操作模块、访问时间、访问人、操作描述、IP地址</w:t>
      </w:r>
      <w:r>
        <w:rPr>
          <w:rFonts w:hint="eastAsia" w:ascii="宋体" w:hAnsi="宋体" w:eastAsia="宋体" w:cs="宋体"/>
          <w:color w:val="000000"/>
          <w:sz w:val="24"/>
          <w:szCs w:val="24"/>
          <w:highlight w:val="none"/>
          <w:lang w:eastAsia="zh-CN"/>
        </w:rPr>
        <w:t>；</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可选择时间区间，对系统的日志进行删除操作；</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可维护系统的数据字典，可新增一级字典，也可维护多级字典；</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可对数据字典的名称、说明、字典拼英、显示顺序、是否有子字典、状态、备注进行修改；</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可新增客户端，控制物证库，输入物证室、客户端名称、客户端MAC、IP地址、端口、同步时间、温度上下限、湿度上下限、状态，完成客户端的新增；</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可对新增的客户端进行信息修改、删除操作；</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可新增系统信息，输入中文参数名称、英文参数名称、参数值、默认值、备注完成系统信息的新增；</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可对新增的系统信息进行信息修改、删除操作；</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可对物证保管中的规定和规章制度的文件进行上传及删除，选择类别、选择本地文件，完成文件上传；</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输入标签规格（长、宽）、上方字体坐标、字体大小、条码的坐标、条码的大小、下发编号的坐标、编号的大小、字的内容、状态，完成RFID打印机配置参数的设置；</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可对参数进行修改，可维护多个打印机配置参数，但同一时间只能启用一种配置使用。</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系统集成要求：物证保全管理系统作为案件物证的保全管理系统，为确保数据统一及安全，系统应支持物证信息导入导出，与其他系统连接后，可实现跨系统间的物证信息更新及调取。</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程视频监控，非法物证出库门禁报警及图片抓拍，大容量硬盘机数据保存，实物物证三维扫描，平面物证高清拍摄，出门物证门禁记录，物证RFID录入，自动打印物证信息及条码，借出物证到期自动催还，物证柜智能自动控制及语音提示，大屏幕集成集中显示所有信息及实时图像。</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案件和物证的权限管理、电子标签读写录入、物证出入库移交、上架保存、审核签收、位置定位、案件及物证统计、数据导出、信息打印、信息查询及历史查询、柜体自动打开存放位置、借出及催还、物证报警处理、物证销毁、物证号条形码EPC码一码管理、物证无序存放有序管理。</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物证PDA盘库：物证的快速盘库及错位报警。 </w:t>
      </w:r>
    </w:p>
    <w:p>
      <w:pPr>
        <w:numPr>
          <w:ilvl w:val="0"/>
          <w:numId w:val="38"/>
        </w:num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物证管理系统软件运行于公安网，与全国公安机关现场勘验信息系统无缝对接。</w:t>
      </w:r>
    </w:p>
    <w:p>
      <w:pPr>
        <w:spacing w:line="360" w:lineRule="auto"/>
        <w:ind w:left="42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（需提供公安部刑事技术产品质量监督检验中心检验报告）</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本项目为特种工程，投标人需为《公安部物证鉴定中心》物证保全装备定点单位</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如是代理商需提供定点单位针对本项目产品供应的授权委托书，定点单位需监督代理商所投商品后期供货，确保代理商中标后所供产品附合招标要求；项目完工后需持有定点单位开据产品出厂证明。</w:t>
      </w:r>
    </w:p>
    <w:p>
      <w:pPr>
        <w:spacing w:line="360" w:lineRule="auto"/>
        <w:rPr>
          <w:rFonts w:hint="eastAsia" w:ascii="宋体" w:hAnsi="宋体" w:eastAsia="宋体" w:cs="宋体"/>
          <w:sz w:val="24"/>
          <w:szCs w:val="24"/>
          <w:highlight w:val="none"/>
        </w:rPr>
      </w:pPr>
    </w:p>
    <w:p>
      <w:pPr>
        <w:spacing w:line="360" w:lineRule="auto"/>
        <w:outlineLvl w:val="2"/>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红外抓拍系统：</w:t>
      </w:r>
    </w:p>
    <w:p>
      <w:pPr>
        <w:numPr>
          <w:ilvl w:val="0"/>
          <w:numId w:val="39"/>
        </w:numPr>
        <w:spacing w:line="360" w:lineRule="auto"/>
        <w:ind w:lef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每一物证上都贴有RFID电子标签，每天出库的物证都会由门禁对其电子身份记录备案，经过管理人员登记和办理合法的手续方可出库，否则会报警和抓拍图片并在屏幕上显示出来所报警的物证，并记录数据库中永久保存，以后方便历史数据查询。</w:t>
      </w:r>
    </w:p>
    <w:p>
      <w:pPr>
        <w:numPr>
          <w:ilvl w:val="0"/>
          <w:numId w:val="39"/>
        </w:numPr>
        <w:spacing w:line="360" w:lineRule="auto"/>
        <w:ind w:left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记录每天进出物证室人员数量并抓拍图片。</w:t>
      </w:r>
    </w:p>
    <w:p>
      <w:pPr>
        <w:spacing w:line="360" w:lineRule="auto"/>
        <w:ind w:left="42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需通过公安部刑事技术产品质量监督检验中心检验合格</w:t>
      </w:r>
      <w:r>
        <w:rPr>
          <w:rFonts w:hint="eastAsia" w:ascii="宋体" w:hAnsi="宋体" w:eastAsia="宋体" w:cs="宋体"/>
          <w:bCs/>
          <w:sz w:val="24"/>
          <w:szCs w:val="24"/>
          <w:highlight w:val="none"/>
          <w:lang w:eastAsia="zh-CN"/>
        </w:rPr>
        <w:t>）</w:t>
      </w:r>
    </w:p>
    <w:p>
      <w:pPr>
        <w:spacing w:line="360" w:lineRule="auto"/>
        <w:ind w:left="420"/>
        <w:rPr>
          <w:rFonts w:hint="eastAsia" w:ascii="宋体" w:hAnsi="宋体" w:eastAsia="宋体" w:cs="宋体"/>
          <w:bCs/>
          <w:sz w:val="24"/>
          <w:szCs w:val="24"/>
          <w:highlight w:val="none"/>
          <w:lang w:eastAsia="zh-CN"/>
        </w:rPr>
      </w:pPr>
    </w:p>
    <w:p>
      <w:pPr>
        <w:spacing w:line="360" w:lineRule="auto"/>
        <w:outlineLvl w:val="2"/>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监控系统：</w:t>
      </w:r>
    </w:p>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固定监控，根据需要安装固定监控器，将监控信息保存到硬盘机。</w:t>
      </w:r>
    </w:p>
    <w:p>
      <w:pPr>
        <w:spacing w:line="360" w:lineRule="auto"/>
        <w:rPr>
          <w:rFonts w:hint="eastAsia" w:ascii="宋体" w:hAnsi="宋体" w:eastAsia="宋体" w:cs="宋体"/>
          <w:bCs/>
          <w:sz w:val="24"/>
          <w:szCs w:val="24"/>
          <w:highlight w:val="none"/>
        </w:rPr>
      </w:pPr>
    </w:p>
    <w:p>
      <w:pPr>
        <w:spacing w:line="360" w:lineRule="auto"/>
        <w:outlineLvl w:val="2"/>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智能物证柜：</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材料、加工及其工艺必须达到以下标准</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GB/T13667.3-92 国家标准</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GB699 优质碳素结构钢技术条件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GB710 优质碳素结构钢薄钢板技术条件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GB711 优质碳素结构钢热轧厚钢板技术条件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GB1720 漆膜附着力测定法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GB1804 公差与配合 未注公差尺寸的极限偏差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GB4357 碳素弹簧钢丝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GB8162 结构用无缝管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GB9439 灰铁铸件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ZB G51035 C04-2 各色醇酸磁漆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ZB G51043 A04-9 各色氧基烘干磁漆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ZB G51095 H06-19 铁红、锌黄环氧酯底漆 </w:t>
      </w:r>
    </w:p>
    <w:p>
      <w:pPr>
        <w:numPr>
          <w:ilvl w:val="0"/>
          <w:numId w:val="4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HG 2239 H06-2 铁红、锌黄、铁黑环氧酯底漆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结构要求</w:t>
      </w:r>
    </w:p>
    <w:p>
      <w:pPr>
        <w:numPr>
          <w:ilvl w:val="0"/>
          <w:numId w:val="4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物证保存柜为装配组合式结构，配有一套手动运行结构。主要由立柱、搁板、挂板、侧面板、底盘系统、防尘系统、传动系统、路轨等零部件组合而成；搁板能沿立柱的垂直方向调整高度。 </w:t>
      </w:r>
    </w:p>
    <w:p>
      <w:pPr>
        <w:numPr>
          <w:ilvl w:val="0"/>
          <w:numId w:val="4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安装传动机构、防倒装置等；每列加装防倒和制动装置；边架装有整体闭合锁具；</w:t>
      </w:r>
    </w:p>
    <w:p>
      <w:pPr>
        <w:numPr>
          <w:ilvl w:val="0"/>
          <w:numId w:val="4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密封采用专用磁性密封装置，安装牢固，不得脱落。防尘、防鼠、防潮和防火。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承载能力（每层承重80KG）</w:t>
      </w:r>
    </w:p>
    <w:p>
      <w:pPr>
        <w:numPr>
          <w:ilvl w:val="0"/>
          <w:numId w:val="42"/>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每块隔板施以100 kg均匀负荷，经24小时连续试验后，最大绕度不大于2mm，卸载后自动恢复。</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）制造加工</w:t>
      </w:r>
    </w:p>
    <w:p>
      <w:pPr>
        <w:numPr>
          <w:ilvl w:val="0"/>
          <w:numId w:val="4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所有钣金件，机加工后打磨毛刺、无裂缝、无伤痕。 </w:t>
      </w:r>
    </w:p>
    <w:p>
      <w:pPr>
        <w:numPr>
          <w:ilvl w:val="0"/>
          <w:numId w:val="4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所有焊接件，焊接牢固，焊痕光滑、平整。 </w:t>
      </w:r>
    </w:p>
    <w:p>
      <w:pPr>
        <w:numPr>
          <w:ilvl w:val="0"/>
          <w:numId w:val="4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在一个组合之间的产品零部件保持互换性。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）材料要求</w:t>
      </w:r>
    </w:p>
    <w:p>
      <w:pPr>
        <w:numPr>
          <w:ilvl w:val="0"/>
          <w:numId w:val="44"/>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底盘，</w:t>
      </w:r>
      <w:r>
        <w:rPr>
          <w:rFonts w:hint="eastAsia" w:ascii="宋体" w:hAnsi="宋体" w:eastAsia="宋体" w:cs="宋体"/>
          <w:bCs/>
          <w:sz w:val="24"/>
          <w:szCs w:val="24"/>
          <w:highlight w:val="none"/>
        </w:rPr>
        <w:t>采用整体式底盘，门轴选用销钉的直径为6mm*30mm，底盘与立柱连接采用的螺栓为M10*55mm。</w:t>
      </w:r>
      <w:r>
        <w:rPr>
          <w:rFonts w:hint="eastAsia" w:ascii="宋体" w:hAnsi="宋体" w:eastAsia="宋体" w:cs="宋体"/>
          <w:sz w:val="24"/>
          <w:szCs w:val="24"/>
          <w:highlight w:val="none"/>
        </w:rPr>
        <w:t>轴承瓦座有油封装置，可防尘、防油风干。根据库房位置长度和物证保存柜列宽，底盘采用整体焊接，钢性强，不变形，表面经氧化防锈处理。</w:t>
      </w:r>
    </w:p>
    <w:p>
      <w:pPr>
        <w:numPr>
          <w:ilvl w:val="0"/>
          <w:numId w:val="4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立柱结实、坚固、设计新颖，安装规范，层数和间距自由调整，表面喷塑。</w:t>
      </w:r>
    </w:p>
    <w:p>
      <w:pPr>
        <w:numPr>
          <w:ilvl w:val="0"/>
          <w:numId w:val="4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侧板，门板平整，表面亚光喷塑。</w:t>
      </w:r>
    </w:p>
    <w:p>
      <w:pPr>
        <w:numPr>
          <w:ilvl w:val="0"/>
          <w:numId w:val="4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防尘板，每列的接触面均有缓冲及密封装置，具有良好的防震、防尘、防鼠、防潮、防火功能。</w:t>
      </w:r>
    </w:p>
    <w:p>
      <w:pPr>
        <w:numPr>
          <w:ilvl w:val="0"/>
          <w:numId w:val="4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传动轴，精密的链轮结构，足够的传动比使手摇非常省力，运行平稳，性能稳定。传动手柄造型美观大方，手感舒适。</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）传动装置</w:t>
      </w:r>
    </w:p>
    <w:p>
      <w:pPr>
        <w:numPr>
          <w:ilvl w:val="0"/>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传动机构：</w:t>
      </w:r>
      <w:r>
        <w:rPr>
          <w:rFonts w:hint="eastAsia" w:ascii="宋体" w:hAnsi="宋体" w:eastAsia="宋体" w:cs="宋体"/>
          <w:bCs/>
          <w:sz w:val="24"/>
          <w:szCs w:val="24"/>
          <w:highlight w:val="none"/>
        </w:rPr>
        <w:t>传动系统采用链条、双排列可调心滚动轴承，滚动轮采用高强度铸铁材料，传动轴采用45#优质结构钢，导轨为45#方钢，中间双传动。传动机构转动灵活、平稳、强劲有力、不得有失灵现象。</w:t>
      </w:r>
    </w:p>
    <w:p>
      <w:pPr>
        <w:numPr>
          <w:ilvl w:val="0"/>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传动部件：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手柄：采用可折叠式手柄，可自动挂档，停用后可自动停于垂直位置，摇动轻便，手柄摇力不大于11.5N（三节标准列，每加一节，摇力增加不超过4N）。手柄折叠后要避免通道障碍，摇动任意一列架体均不会带动其它手摇柄转动。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传动轴：采用Φ20　45#钢，加工精度3.2，经热处理调质HB220～290。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链轮：采用45#钢，引用GB1244-84（3R齿型）标准，经锻压加工成型，回火去除应力，加工车、滚齿、插键槽、去毛齿、齿部经高频淬火HRC60-62。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轴承：精密优质P204轴承。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链条：FR420，链条破断力≥1800kg。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滚轮：精密球墨铸铁轮HT20-40。 </w:t>
      </w:r>
    </w:p>
    <w:p>
      <w:pPr>
        <w:numPr>
          <w:ilvl w:val="1"/>
          <w:numId w:val="4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连接管：采用优质无缝钢管，表面镀锌防腐处理。</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）载重性能要求</w:t>
      </w:r>
    </w:p>
    <w:p>
      <w:pPr>
        <w:numPr>
          <w:ilvl w:val="0"/>
          <w:numId w:val="46"/>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搁板单面均布载重80kg，双面均布载重160 kg，最大挠度为3mm, 要求搁板中间加筋，以增强强度，永久不变形。</w:t>
      </w:r>
    </w:p>
    <w:p>
      <w:pPr>
        <w:numPr>
          <w:ilvl w:val="0"/>
          <w:numId w:val="4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标准节在全负载（每块单面搁板均布载重80kg）的情况下，架体、立柱没有明显变形，架体不会产生倾倒现象。 </w:t>
      </w:r>
    </w:p>
    <w:p>
      <w:pPr>
        <w:numPr>
          <w:ilvl w:val="0"/>
          <w:numId w:val="4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全负载的情况下，各列手动操纵下运行自如，没有阻滞现象。每标准节手动摇力小于11.5N。 </w:t>
      </w:r>
    </w:p>
    <w:p>
      <w:pPr>
        <w:numPr>
          <w:ilvl w:val="0"/>
          <w:numId w:val="4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在受全部载荷1/20外力（沿X、Y轴两个方向的水平外力）的作用反复100次后，取消外力，架体所产生的倾斜不大于总高的2%，支架、立柱没有明显的变形。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）表面喷涂材料要求</w:t>
      </w:r>
    </w:p>
    <w:p>
      <w:pPr>
        <w:numPr>
          <w:ilvl w:val="0"/>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除油、去锈处理工艺：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工件表面的油污、锈斑及氧化层，经化学法清除脱脂后，没有油脂、浮浊液等污物，其表面被水完全浸湿。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酸洗后的工件，没有目视可见的氧化物、锈斑等腐蚀现象，其表面色泽基本均匀。 </w:t>
      </w:r>
    </w:p>
    <w:p>
      <w:pPr>
        <w:numPr>
          <w:ilvl w:val="0"/>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磷化处理工艺：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"http://baike.baidu.com/view/439963.htm"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磷化</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处理主要采用浸渍法进行。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磷化处理以锌钙的磷酸二氢盐为主要成份溶液，经磷化槽液的配制、调整，按工艺规程要求进行。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磷化后的工件，采用流动水彻底清洗，提高工件表面的清洗质量，同时采用热的络酸溶液作封闭处理。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工件经磷化、水洗后，采用烘干机处理干燥后方可喷塑。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经磷化处理后的工件与喷塑时间相隔一般不超过24小时。 </w:t>
      </w:r>
    </w:p>
    <w:p>
      <w:pPr>
        <w:numPr>
          <w:ilvl w:val="2"/>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磷化膜外观： </w:t>
      </w:r>
    </w:p>
    <w:p>
      <w:pPr>
        <w:numPr>
          <w:ilvl w:val="0"/>
          <w:numId w:val="48"/>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磷化后工件的颜色为灰色，膜层结晶致密，连续和均匀。 </w:t>
      </w:r>
    </w:p>
    <w:p>
      <w:pPr>
        <w:numPr>
          <w:ilvl w:val="0"/>
          <w:numId w:val="48"/>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膜层厚度一般控制为5毫米。 </w:t>
      </w:r>
    </w:p>
    <w:p>
      <w:pPr>
        <w:numPr>
          <w:ilvl w:val="0"/>
          <w:numId w:val="48"/>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磷化表面检验，采用检验溶液，观察滴液从天兰色变为淡黄色或淡红色，并在规定时间内不变色。成品入库转入喷塑工序。 </w:t>
      </w:r>
    </w:p>
    <w:p>
      <w:pPr>
        <w:numPr>
          <w:ilvl w:val="0"/>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静电喷塑技术工艺：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塑粉经高频、高压静电设备喷涂固化成膜。固化温度控制在180℃，时间控制在10~15分钟范围内。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颜色要求，色泽一致，塑面均匀光滑、无划伤。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检验标准：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厚度：60—70微米 按磁性测厚仪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附着力：不低于2级 按GB-1720-79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抗冲击：60kg/cm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 xml:space="preserve"> 按GB-1732-79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光泽：﹥85% 按GB-1734-79 </w:t>
      </w:r>
    </w:p>
    <w:p>
      <w:pPr>
        <w:numPr>
          <w:ilvl w:val="1"/>
          <w:numId w:val="4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外观：没有可见的流痕、渍痕、气泡。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）外观质量</w:t>
      </w:r>
    </w:p>
    <w:p>
      <w:pPr>
        <w:numPr>
          <w:ilvl w:val="0"/>
          <w:numId w:val="4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组装后的产品外观平整，无波纹、流痕、起泡、污点等可见性缺陷。架体及配件采用静电亚光喷塑处理，表面涂饰平整光滑，色泽均匀一致，漆面均匀光滑、无划伤。密集架各零件、组合件、面光滑、平整，没有尖角、凸起。</w:t>
      </w:r>
    </w:p>
    <w:p>
      <w:pPr>
        <w:numPr>
          <w:ilvl w:val="0"/>
          <w:numId w:val="4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焊接部件焊接牢固，焊痕表面光滑均匀。</w:t>
      </w:r>
    </w:p>
    <w:p>
      <w:pPr>
        <w:numPr>
          <w:ilvl w:val="0"/>
          <w:numId w:val="4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产品具有防震、防倒、防尘及防鼠装置，边列装有锁具。</w:t>
      </w:r>
    </w:p>
    <w:p>
      <w:pPr>
        <w:numPr>
          <w:ilvl w:val="0"/>
          <w:numId w:val="4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传动装置采用手动，传动机构转动灵活、平稳、轻盈，不得有失灵现象。</w:t>
      </w:r>
    </w:p>
    <w:p>
      <w:pPr>
        <w:numPr>
          <w:ilvl w:val="0"/>
          <w:numId w:val="49"/>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安装工艺：导轨安装平整美观，安装完成后，在全负载情况下运行自如，不会出现阻滞现象。</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）安装质量</w:t>
      </w:r>
    </w:p>
    <w:p>
      <w:pPr>
        <w:numPr>
          <w:ilvl w:val="0"/>
          <w:numId w:val="5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物证保存柜轨道：轨道安装前的相关地面找平及安装后的轨道填缝密实由中标人处理。轨道安装后，在任意1m长度内，水平平整度偏差不大于1mm，全长不大于4mm，轨道之间对应点的水平偏差不大于1mm，每两条轨平行偏差不大于1.5mm。</w:t>
      </w:r>
    </w:p>
    <w:p>
      <w:pPr>
        <w:numPr>
          <w:ilvl w:val="0"/>
          <w:numId w:val="5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物证保存柜外观：安装调试后，要达到横平竖直；架体摇动轻便无阻力和响声；架体干净整洁，表面涂饰平整光滑、色泽均匀一致。</w:t>
      </w:r>
    </w:p>
    <w:p>
      <w:pPr>
        <w:numPr>
          <w:ilvl w:val="0"/>
          <w:numId w:val="5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架体平行度：±1-2毫米/列。</w:t>
      </w:r>
    </w:p>
    <w:p>
      <w:pPr>
        <w:numPr>
          <w:ilvl w:val="0"/>
          <w:numId w:val="5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架体垂直度：±1-2毫米/列。</w:t>
      </w:r>
    </w:p>
    <w:p>
      <w:pPr>
        <w:numPr>
          <w:ilvl w:val="0"/>
          <w:numId w:val="5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架体纵向同步度：±1-2毫米/列。</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11</w:t>
      </w:r>
      <w:r>
        <w:rPr>
          <w:rFonts w:hint="eastAsia" w:ascii="宋体" w:hAnsi="宋体" w:eastAsia="宋体" w:cs="宋体"/>
          <w:b/>
          <w:sz w:val="24"/>
          <w:szCs w:val="24"/>
          <w:highlight w:val="none"/>
        </w:rPr>
        <w:t>） 智能物证柜参数表</w:t>
      </w:r>
    </w:p>
    <w:tbl>
      <w:tblPr>
        <w:tblStyle w:val="17"/>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662"/>
        <w:gridCol w:w="833"/>
        <w:gridCol w:w="1494"/>
        <w:gridCol w:w="1613"/>
        <w:gridCol w:w="107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047" w:type="dxa"/>
            <w:vAlign w:val="center"/>
          </w:tcPr>
          <w:p>
            <w:pPr>
              <w:spacing w:line="360" w:lineRule="auto"/>
              <w:jc w:val="center"/>
              <w:rPr>
                <w:rFonts w:hint="eastAsia" w:ascii="宋体" w:hAnsi="宋体" w:eastAsia="宋体" w:cs="宋体"/>
                <w:b/>
                <w:caps/>
                <w:sz w:val="24"/>
                <w:szCs w:val="24"/>
                <w:highlight w:val="none"/>
              </w:rPr>
            </w:pPr>
            <w:r>
              <w:rPr>
                <w:rFonts w:hint="eastAsia" w:ascii="宋体" w:hAnsi="宋体" w:eastAsia="宋体" w:cs="宋体"/>
                <w:b/>
                <w:caps/>
                <w:sz w:val="24"/>
                <w:szCs w:val="24"/>
                <w:highlight w:val="none"/>
              </w:rPr>
              <w:t>名称</w:t>
            </w:r>
          </w:p>
        </w:tc>
        <w:tc>
          <w:tcPr>
            <w:tcW w:w="1495" w:type="dxa"/>
            <w:gridSpan w:val="2"/>
            <w:vAlign w:val="center"/>
          </w:tcPr>
          <w:p>
            <w:pPr>
              <w:spacing w:line="360" w:lineRule="auto"/>
              <w:jc w:val="center"/>
              <w:rPr>
                <w:rFonts w:hint="eastAsia" w:ascii="宋体" w:hAnsi="宋体" w:eastAsia="宋体" w:cs="宋体"/>
                <w:b/>
                <w:caps/>
                <w:sz w:val="24"/>
                <w:szCs w:val="24"/>
                <w:highlight w:val="none"/>
              </w:rPr>
            </w:pPr>
            <w:r>
              <w:rPr>
                <w:rFonts w:hint="eastAsia" w:ascii="宋体" w:hAnsi="宋体" w:eastAsia="宋体" w:cs="宋体"/>
                <w:b/>
                <w:caps/>
                <w:sz w:val="24"/>
                <w:szCs w:val="24"/>
                <w:highlight w:val="none"/>
              </w:rPr>
              <w:t>配置</w:t>
            </w:r>
          </w:p>
        </w:tc>
        <w:tc>
          <w:tcPr>
            <w:tcW w:w="1494" w:type="dxa"/>
            <w:vAlign w:val="center"/>
          </w:tcPr>
          <w:p>
            <w:pPr>
              <w:spacing w:line="360" w:lineRule="auto"/>
              <w:jc w:val="center"/>
              <w:rPr>
                <w:rFonts w:hint="eastAsia" w:ascii="宋体" w:hAnsi="宋体" w:eastAsia="宋体" w:cs="宋体"/>
                <w:b/>
                <w:caps/>
                <w:sz w:val="24"/>
                <w:szCs w:val="24"/>
                <w:highlight w:val="none"/>
              </w:rPr>
            </w:pPr>
            <w:r>
              <w:rPr>
                <w:rFonts w:hint="eastAsia" w:ascii="宋体" w:hAnsi="宋体" w:eastAsia="宋体" w:cs="宋体"/>
                <w:b/>
                <w:caps/>
                <w:sz w:val="24"/>
                <w:szCs w:val="24"/>
                <w:highlight w:val="none"/>
              </w:rPr>
              <w:t>材料规格</w:t>
            </w:r>
          </w:p>
        </w:tc>
        <w:tc>
          <w:tcPr>
            <w:tcW w:w="1613" w:type="dxa"/>
            <w:vAlign w:val="center"/>
          </w:tcPr>
          <w:p>
            <w:pPr>
              <w:spacing w:line="360" w:lineRule="auto"/>
              <w:jc w:val="center"/>
              <w:rPr>
                <w:rFonts w:hint="eastAsia" w:ascii="宋体" w:hAnsi="宋体" w:eastAsia="宋体" w:cs="宋体"/>
                <w:b/>
                <w:caps/>
                <w:sz w:val="24"/>
                <w:szCs w:val="24"/>
                <w:highlight w:val="none"/>
              </w:rPr>
            </w:pPr>
            <w:r>
              <w:rPr>
                <w:rFonts w:hint="eastAsia" w:ascii="宋体" w:hAnsi="宋体" w:eastAsia="宋体" w:cs="宋体"/>
                <w:b/>
                <w:caps/>
                <w:sz w:val="24"/>
                <w:szCs w:val="24"/>
                <w:highlight w:val="none"/>
              </w:rPr>
              <w:t>技术参数</w:t>
            </w:r>
          </w:p>
        </w:tc>
        <w:tc>
          <w:tcPr>
            <w:tcW w:w="1077" w:type="dxa"/>
            <w:vAlign w:val="center"/>
          </w:tcPr>
          <w:p>
            <w:pPr>
              <w:spacing w:line="360" w:lineRule="auto"/>
              <w:jc w:val="center"/>
              <w:rPr>
                <w:rFonts w:hint="eastAsia" w:ascii="宋体" w:hAnsi="宋体" w:eastAsia="宋体" w:cs="宋体"/>
                <w:b/>
                <w:caps/>
                <w:sz w:val="24"/>
                <w:szCs w:val="24"/>
                <w:highlight w:val="none"/>
              </w:rPr>
            </w:pPr>
            <w:r>
              <w:rPr>
                <w:rFonts w:hint="eastAsia" w:ascii="宋体" w:hAnsi="宋体" w:eastAsia="宋体" w:cs="宋体"/>
                <w:b/>
                <w:caps/>
                <w:sz w:val="24"/>
                <w:szCs w:val="24"/>
                <w:highlight w:val="none"/>
              </w:rPr>
              <w:t>采用标准</w:t>
            </w:r>
          </w:p>
        </w:tc>
        <w:tc>
          <w:tcPr>
            <w:tcW w:w="2545" w:type="dxa"/>
            <w:vAlign w:val="center"/>
          </w:tcPr>
          <w:p>
            <w:pPr>
              <w:spacing w:line="360" w:lineRule="auto"/>
              <w:jc w:val="center"/>
              <w:rPr>
                <w:rFonts w:hint="eastAsia" w:ascii="宋体" w:hAnsi="宋体" w:eastAsia="宋体" w:cs="宋体"/>
                <w:b/>
                <w:caps/>
                <w:sz w:val="24"/>
                <w:szCs w:val="24"/>
                <w:highlight w:val="none"/>
              </w:rPr>
            </w:pPr>
            <w:r>
              <w:rPr>
                <w:rFonts w:hint="eastAsia" w:ascii="宋体" w:hAnsi="宋体" w:eastAsia="宋体" w:cs="宋体"/>
                <w:b/>
                <w:caps/>
                <w:sz w:val="24"/>
                <w:szCs w:val="24"/>
                <w:highlight w:val="none"/>
              </w:rPr>
              <w:t>性能说明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轨道</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轨道座</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热轧钢板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GB711</w:t>
            </w: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表面静电喷塑，镀锌方钢，喷塑前须严格去油除锈和磷化处理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047" w:type="dxa"/>
            <w:vMerge w:val="continue"/>
            <w:vAlign w:val="center"/>
          </w:tcPr>
          <w:p>
            <w:pPr>
              <w:spacing w:line="360" w:lineRule="auto"/>
              <w:ind w:firstLine="480"/>
              <w:rPr>
                <w:rFonts w:hint="eastAsia" w:ascii="宋体" w:hAnsi="宋体" w:eastAsia="宋体" w:cs="宋体"/>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轨道</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25×25</w:t>
            </w:r>
          </w:p>
        </w:tc>
        <w:tc>
          <w:tcPr>
            <w:tcW w:w="1613"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实心</w:t>
            </w:r>
            <w:r>
              <w:rPr>
                <w:rFonts w:hint="eastAsia" w:ascii="宋体" w:hAnsi="宋体" w:eastAsia="宋体" w:cs="宋体"/>
                <w:caps/>
                <w:sz w:val="24"/>
                <w:szCs w:val="24"/>
                <w:highlight w:val="none"/>
              </w:rPr>
              <w:t>方钢</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GB699</w:t>
            </w:r>
          </w:p>
        </w:tc>
        <w:tc>
          <w:tcPr>
            <w:tcW w:w="2545" w:type="dxa"/>
            <w:vMerge w:val="continue"/>
            <w:vAlign w:val="center"/>
          </w:tcPr>
          <w:p>
            <w:pPr>
              <w:spacing w:line="360" w:lineRule="auto"/>
              <w:ind w:firstLine="48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047"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底盘</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底梁、轴承档、夹紧块</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热轧钢板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GB711</w:t>
            </w:r>
          </w:p>
        </w:tc>
        <w:tc>
          <w:tcPr>
            <w:tcW w:w="2545"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底盘采用整体焊接，刚性足，不变形，表面喷塑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架体</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立柱</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GB711</w:t>
            </w: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架体结实、坚固、层数和间距可自由调整，表面亚光喷塑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搁板</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GB711</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挂板</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GB711</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搁棒</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GB710</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门面</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门框</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GB710</w:t>
            </w: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表面平整，亚光喷塑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门板</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GB710</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定位模块</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ABS</w:t>
            </w:r>
          </w:p>
        </w:tc>
        <w:tc>
          <w:tcPr>
            <w:tcW w:w="1613" w:type="dxa"/>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sz w:val="24"/>
                <w:szCs w:val="24"/>
                <w:highlight w:val="none"/>
              </w:rPr>
            </w:pP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047"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侧面板</w:t>
            </w:r>
          </w:p>
        </w:tc>
        <w:tc>
          <w:tcPr>
            <w:tcW w:w="1495" w:type="dxa"/>
            <w:gridSpan w:val="2"/>
            <w:vAlign w:val="center"/>
          </w:tcPr>
          <w:p>
            <w:pPr>
              <w:spacing w:line="360" w:lineRule="auto"/>
              <w:rPr>
                <w:rFonts w:hint="eastAsia" w:ascii="宋体" w:hAnsi="宋体" w:eastAsia="宋体" w:cs="宋体"/>
                <w:caps/>
                <w:sz w:val="24"/>
                <w:szCs w:val="24"/>
                <w:highlight w:val="none"/>
              </w:rPr>
            </w:pP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GB710</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传动</w:t>
            </w:r>
          </w:p>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机构</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轴承</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P204</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双排滚珠</w:t>
            </w:r>
          </w:p>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调心轴承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GB1285</w:t>
            </w:r>
          </w:p>
        </w:tc>
        <w:tc>
          <w:tcPr>
            <w:tcW w:w="2545"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要求高精密度，方向灵活，材料质量好，耐压及耐磨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beforeLines="30" w:afterLines="30"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传动轴</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Ø20</w:t>
            </w:r>
          </w:p>
        </w:tc>
        <w:tc>
          <w:tcPr>
            <w:tcW w:w="1613" w:type="dxa"/>
            <w:vAlign w:val="center"/>
          </w:tcPr>
          <w:p>
            <w:pPr>
              <w:spacing w:beforeLines="30" w:afterLines="30"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45#钢</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GB699</w:t>
            </w: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要求传动机构配合精度高，定位可靠。传动轻便灵活，摇力轻，运行平衡，性能须达到和超过国家标准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beforeLines="30" w:afterLines="30"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连接钢管</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Ø25*25</w:t>
            </w:r>
          </w:p>
        </w:tc>
        <w:tc>
          <w:tcPr>
            <w:tcW w:w="1613" w:type="dxa"/>
            <w:vAlign w:val="center"/>
          </w:tcPr>
          <w:p>
            <w:pPr>
              <w:spacing w:beforeLines="30" w:afterLines="30"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无缝钢管</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GB699</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铁滚轮</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HT20-40</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铸铁</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GB9439</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链轮</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ZG45</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滚轮精制</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GB1135</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链条</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FR420</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Ø8.5节距12.7</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GB1244</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662"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摇手体总成</w:t>
            </w:r>
          </w:p>
        </w:tc>
        <w:tc>
          <w:tcPr>
            <w:tcW w:w="83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摇手体</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ZG45</w:t>
            </w:r>
          </w:p>
        </w:tc>
        <w:tc>
          <w:tcPr>
            <w:tcW w:w="1613"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双向超越离合器结构</w:t>
            </w:r>
          </w:p>
        </w:tc>
        <w:tc>
          <w:tcPr>
            <w:tcW w:w="1077" w:type="dxa"/>
            <w:vAlign w:val="center"/>
          </w:tcPr>
          <w:p>
            <w:pPr>
              <w:spacing w:line="360" w:lineRule="auto"/>
              <w:rPr>
                <w:rFonts w:hint="eastAsia" w:ascii="宋体" w:hAnsi="宋体" w:eastAsia="宋体" w:cs="宋体"/>
                <w:sz w:val="24"/>
                <w:szCs w:val="24"/>
                <w:highlight w:val="none"/>
              </w:rPr>
            </w:pP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造型美观大方，手感舒适，把手为折叠式，可避免通道障碍，摇动任意一列不会带动其它把手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662" w:type="dxa"/>
            <w:vMerge w:val="continue"/>
            <w:vAlign w:val="center"/>
          </w:tcPr>
          <w:p>
            <w:pPr>
              <w:spacing w:line="360" w:lineRule="auto"/>
              <w:rPr>
                <w:rFonts w:hint="eastAsia" w:ascii="宋体" w:hAnsi="宋体" w:eastAsia="宋体" w:cs="宋体"/>
                <w:caps/>
                <w:sz w:val="24"/>
                <w:szCs w:val="24"/>
                <w:highlight w:val="none"/>
              </w:rPr>
            </w:pPr>
          </w:p>
        </w:tc>
        <w:tc>
          <w:tcPr>
            <w:tcW w:w="83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滚珠</w:t>
            </w:r>
          </w:p>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轴承</w:t>
            </w:r>
          </w:p>
        </w:tc>
        <w:tc>
          <w:tcPr>
            <w:tcW w:w="1494" w:type="dxa"/>
            <w:vAlign w:val="center"/>
          </w:tcPr>
          <w:p>
            <w:pPr>
              <w:spacing w:line="360" w:lineRule="auto"/>
              <w:rPr>
                <w:rFonts w:hint="eastAsia" w:ascii="宋体" w:hAnsi="宋体" w:eastAsia="宋体" w:cs="宋体"/>
                <w:caps/>
                <w:sz w:val="24"/>
                <w:szCs w:val="24"/>
                <w:highlight w:val="none"/>
              </w:rPr>
            </w:pPr>
          </w:p>
        </w:tc>
        <w:tc>
          <w:tcPr>
            <w:tcW w:w="1613" w:type="dxa"/>
            <w:vMerge w:val="continue"/>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caps/>
                <w:sz w:val="24"/>
                <w:szCs w:val="24"/>
                <w:highlight w:val="none"/>
              </w:rPr>
            </w:pP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制动</w:t>
            </w:r>
          </w:p>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装置</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侧列锁定装置</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808锁</w:t>
            </w:r>
          </w:p>
        </w:tc>
        <w:tc>
          <w:tcPr>
            <w:tcW w:w="1613" w:type="dxa"/>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caps/>
                <w:sz w:val="24"/>
                <w:szCs w:val="24"/>
                <w:highlight w:val="none"/>
              </w:rPr>
            </w:pP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每列均装有制动装置，磁性密封条，操作方便，制动可靠，使用存取安全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中列制动装置</w:t>
            </w:r>
          </w:p>
        </w:tc>
        <w:tc>
          <w:tcPr>
            <w:tcW w:w="1494" w:type="dxa"/>
            <w:vAlign w:val="center"/>
          </w:tcPr>
          <w:p>
            <w:pPr>
              <w:spacing w:line="360" w:lineRule="auto"/>
              <w:rPr>
                <w:rFonts w:hint="eastAsia" w:ascii="宋体" w:hAnsi="宋体" w:eastAsia="宋体" w:cs="宋体"/>
                <w:sz w:val="24"/>
                <w:szCs w:val="24"/>
                <w:highlight w:val="none"/>
              </w:rPr>
            </w:pPr>
          </w:p>
        </w:tc>
        <w:tc>
          <w:tcPr>
            <w:tcW w:w="1613" w:type="dxa"/>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caps/>
                <w:sz w:val="24"/>
                <w:szCs w:val="24"/>
                <w:highlight w:val="none"/>
              </w:rPr>
            </w:pP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防护</w:t>
            </w:r>
          </w:p>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装置</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防震、防尘装置</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磁性冰箱门吸条</w:t>
            </w:r>
          </w:p>
        </w:tc>
        <w:tc>
          <w:tcPr>
            <w:tcW w:w="1077" w:type="dxa"/>
            <w:vAlign w:val="center"/>
          </w:tcPr>
          <w:p>
            <w:pPr>
              <w:spacing w:line="360" w:lineRule="auto"/>
              <w:rPr>
                <w:rFonts w:hint="eastAsia" w:ascii="宋体" w:hAnsi="宋体" w:eastAsia="宋体" w:cs="宋体"/>
                <w:caps/>
                <w:sz w:val="24"/>
                <w:szCs w:val="24"/>
                <w:highlight w:val="none"/>
              </w:rPr>
            </w:pP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每列的接触面均有缓冲及密封装置，具有良好的防震、防尘、防光、防潮、防火功能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防尘板、顶板</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GB710</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防鼠板</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冷轧钢板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GB710</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防倾倒装置</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3.0mm</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热轧钢板</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GB711</w:t>
            </w: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47"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表面</w:t>
            </w:r>
          </w:p>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处理</w:t>
            </w: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前处理药剂</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Zn系磷化</w:t>
            </w:r>
          </w:p>
        </w:tc>
        <w:tc>
          <w:tcPr>
            <w:tcW w:w="1613" w:type="dxa"/>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Q/SYP.J02.01-1999</w:t>
            </w:r>
          </w:p>
        </w:tc>
        <w:tc>
          <w:tcPr>
            <w:tcW w:w="2545" w:type="dxa"/>
            <w:vMerge w:val="restart"/>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表面经去油—除锈—表调—磷化—清洗—钝化等十三道工序加工而成。亚光静电喷塑，高温塑化而成，防锈蚀性能卓越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表面喷塑</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环氧型聚脂混合物</w:t>
            </w:r>
          </w:p>
        </w:tc>
        <w:tc>
          <w:tcPr>
            <w:tcW w:w="1613" w:type="dxa"/>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sz w:val="24"/>
                <w:szCs w:val="24"/>
                <w:highlight w:val="none"/>
              </w:rPr>
            </w:pP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47" w:type="dxa"/>
            <w:vMerge w:val="continue"/>
            <w:vAlign w:val="center"/>
          </w:tcPr>
          <w:p>
            <w:pPr>
              <w:spacing w:line="360" w:lineRule="auto"/>
              <w:rPr>
                <w:rFonts w:hint="eastAsia" w:ascii="宋体" w:hAnsi="宋体" w:eastAsia="宋体" w:cs="宋体"/>
                <w:caps/>
                <w:sz w:val="24"/>
                <w:szCs w:val="24"/>
                <w:highlight w:val="none"/>
              </w:rPr>
            </w:pPr>
          </w:p>
        </w:tc>
        <w:tc>
          <w:tcPr>
            <w:tcW w:w="1495" w:type="dxa"/>
            <w:gridSpan w:val="2"/>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纯水洗</w:t>
            </w: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电导率≤10μs</w:t>
            </w:r>
          </w:p>
        </w:tc>
        <w:tc>
          <w:tcPr>
            <w:tcW w:w="1613" w:type="dxa"/>
            <w:vAlign w:val="center"/>
          </w:tcPr>
          <w:p>
            <w:pPr>
              <w:spacing w:line="360" w:lineRule="auto"/>
              <w:rPr>
                <w:rFonts w:hint="eastAsia" w:ascii="宋体" w:hAnsi="宋体" w:eastAsia="宋体" w:cs="宋体"/>
                <w:caps/>
                <w:sz w:val="24"/>
                <w:szCs w:val="24"/>
                <w:highlight w:val="none"/>
              </w:rPr>
            </w:pPr>
          </w:p>
        </w:tc>
        <w:tc>
          <w:tcPr>
            <w:tcW w:w="1077" w:type="dxa"/>
            <w:vAlign w:val="center"/>
          </w:tcPr>
          <w:p>
            <w:pPr>
              <w:spacing w:line="360" w:lineRule="auto"/>
              <w:rPr>
                <w:rFonts w:hint="eastAsia" w:ascii="宋体" w:hAnsi="宋体" w:eastAsia="宋体" w:cs="宋体"/>
                <w:sz w:val="24"/>
                <w:szCs w:val="24"/>
                <w:highlight w:val="none"/>
              </w:rPr>
            </w:pPr>
          </w:p>
        </w:tc>
        <w:tc>
          <w:tcPr>
            <w:tcW w:w="2545" w:type="dxa"/>
            <w:vMerge w:val="continue"/>
            <w:vAlign w:val="center"/>
          </w:tcPr>
          <w:p>
            <w:pPr>
              <w:spacing w:line="360" w:lineRule="auto"/>
              <w:rPr>
                <w:rFonts w:hint="eastAsia" w:ascii="宋体" w:hAnsi="宋体" w:eastAsia="宋体" w:cs="宋体"/>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47"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紧固件</w:t>
            </w:r>
          </w:p>
        </w:tc>
        <w:tc>
          <w:tcPr>
            <w:tcW w:w="1495" w:type="dxa"/>
            <w:gridSpan w:val="2"/>
            <w:vAlign w:val="center"/>
          </w:tcPr>
          <w:p>
            <w:pPr>
              <w:spacing w:line="360" w:lineRule="auto"/>
              <w:rPr>
                <w:rFonts w:hint="eastAsia" w:ascii="宋体" w:hAnsi="宋体" w:eastAsia="宋体" w:cs="宋体"/>
                <w:caps/>
                <w:sz w:val="24"/>
                <w:szCs w:val="24"/>
                <w:highlight w:val="none"/>
              </w:rPr>
            </w:pPr>
          </w:p>
        </w:tc>
        <w:tc>
          <w:tcPr>
            <w:tcW w:w="149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45# Q235A</w:t>
            </w:r>
          </w:p>
        </w:tc>
        <w:tc>
          <w:tcPr>
            <w:tcW w:w="1613" w:type="dxa"/>
            <w:vAlign w:val="center"/>
          </w:tcPr>
          <w:p>
            <w:pPr>
              <w:spacing w:line="360" w:lineRule="auto"/>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国际</w:t>
            </w:r>
          </w:p>
        </w:tc>
        <w:tc>
          <w:tcPr>
            <w:tcW w:w="1077"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GB5782</w:t>
            </w:r>
          </w:p>
        </w:tc>
        <w:tc>
          <w:tcPr>
            <w:tcW w:w="2545" w:type="dxa"/>
            <w:vAlign w:val="center"/>
          </w:tcPr>
          <w:p>
            <w:pPr>
              <w:spacing w:line="360" w:lineRule="auto"/>
              <w:rPr>
                <w:rFonts w:hint="eastAsia" w:ascii="宋体" w:hAnsi="宋体" w:eastAsia="宋体" w:cs="宋体"/>
                <w:caps/>
                <w:sz w:val="24"/>
                <w:szCs w:val="24"/>
                <w:highlight w:val="none"/>
              </w:rPr>
            </w:pPr>
          </w:p>
        </w:tc>
      </w:tr>
    </w:tbl>
    <w:p>
      <w:pPr>
        <w:spacing w:line="360" w:lineRule="auto"/>
        <w:ind w:left="420"/>
        <w:rPr>
          <w:rFonts w:hint="eastAsia" w:ascii="宋体" w:hAnsi="宋体" w:eastAsia="宋体" w:cs="宋体"/>
          <w:bCs/>
          <w:color w:val="000000"/>
          <w:sz w:val="24"/>
          <w:szCs w:val="24"/>
          <w:highlight w:val="none"/>
          <w:lang w:val="zh-CN"/>
        </w:rPr>
      </w:pPr>
    </w:p>
    <w:p>
      <w:pPr>
        <w:spacing w:line="360" w:lineRule="auto"/>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rPr>
        <w:t>★</w:t>
      </w:r>
      <w:r>
        <w:rPr>
          <w:rFonts w:hint="eastAsia" w:ascii="宋体"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zh-CN"/>
        </w:rPr>
        <w:t>智能管理系统物证保管柜提供国家塑料机械产品质量监督检验中心出具的检验报告</w:t>
      </w:r>
      <w:r>
        <w:rPr>
          <w:rFonts w:hint="eastAsia" w:ascii="宋体" w:hAnsi="宋体" w:eastAsia="宋体" w:cs="宋体"/>
          <w:bCs/>
          <w:color w:val="000000"/>
          <w:sz w:val="24"/>
          <w:szCs w:val="24"/>
          <w:highlight w:val="none"/>
        </w:rPr>
        <w:t>复印件</w:t>
      </w:r>
      <w:r>
        <w:rPr>
          <w:rFonts w:hint="eastAsia" w:ascii="宋体" w:hAnsi="宋体" w:eastAsia="宋体" w:cs="宋体"/>
          <w:bCs/>
          <w:color w:val="000000"/>
          <w:sz w:val="24"/>
          <w:szCs w:val="24"/>
          <w:highlight w:val="none"/>
          <w:lang w:val="zh-CN"/>
        </w:rPr>
        <w:t>（</w:t>
      </w:r>
      <w:r>
        <w:rPr>
          <w:rFonts w:hint="eastAsia" w:ascii="宋体" w:hAnsi="宋体" w:eastAsia="宋体" w:cs="宋体"/>
          <w:bCs/>
          <w:color w:val="000000"/>
          <w:sz w:val="24"/>
          <w:szCs w:val="24"/>
          <w:highlight w:val="none"/>
        </w:rPr>
        <w:t>加盖生产厂家鲜章</w:t>
      </w:r>
      <w:r>
        <w:rPr>
          <w:rFonts w:hint="eastAsia" w:ascii="宋体" w:hAnsi="宋体" w:eastAsia="宋体" w:cs="宋体"/>
          <w:bCs/>
          <w:color w:val="000000"/>
          <w:sz w:val="24"/>
          <w:szCs w:val="24"/>
          <w:highlight w:val="none"/>
          <w:lang w:val="zh-CN"/>
        </w:rPr>
        <w:t>），</w:t>
      </w:r>
      <w:r>
        <w:rPr>
          <w:rFonts w:hint="eastAsia" w:ascii="宋体" w:hAnsi="宋体" w:eastAsia="宋体" w:cs="宋体"/>
          <w:bCs/>
          <w:color w:val="000000"/>
          <w:sz w:val="24"/>
          <w:szCs w:val="24"/>
          <w:highlight w:val="none"/>
          <w:lang w:val="en-US" w:eastAsia="zh-CN"/>
        </w:rPr>
        <w:t>须在</w:t>
      </w:r>
      <w:r>
        <w:rPr>
          <w:rFonts w:hint="eastAsia" w:ascii="宋体" w:hAnsi="宋体" w:eastAsia="宋体" w:cs="宋体"/>
          <w:bCs/>
          <w:color w:val="000000"/>
          <w:sz w:val="24"/>
          <w:szCs w:val="24"/>
          <w:highlight w:val="none"/>
          <w:lang w:val="zh-CN"/>
        </w:rPr>
        <w:t>有效期内。</w:t>
      </w:r>
    </w:p>
    <w:p>
      <w:pPr>
        <w:spacing w:line="360" w:lineRule="auto"/>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rPr>
        <w:t>★</w:t>
      </w:r>
      <w:r>
        <w:rPr>
          <w:rFonts w:hint="eastAsia" w:ascii="宋体" w:hAnsi="宋体" w:cs="宋体"/>
          <w:bCs/>
          <w:color w:val="000000"/>
          <w:sz w:val="24"/>
          <w:szCs w:val="24"/>
          <w:highlight w:val="none"/>
          <w:lang w:val="en-US" w:eastAsia="zh-CN"/>
        </w:rPr>
        <w:t>6</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zh-CN"/>
        </w:rPr>
        <w:t>投标人所投“智能物证保全综合管理系统”、“智能型物证柜”、“物证工作受理台”、“物证360度扫描及三维图形建模”、“门禁管理系统及抓拍系统”产品或功能均须提供公安部刑事技术产品质量监督检验中心出具的检测报告</w:t>
      </w:r>
      <w:r>
        <w:rPr>
          <w:rFonts w:hint="eastAsia" w:ascii="宋体" w:hAnsi="宋体" w:eastAsia="宋体" w:cs="宋体"/>
          <w:bCs/>
          <w:color w:val="000000"/>
          <w:sz w:val="24"/>
          <w:szCs w:val="24"/>
          <w:highlight w:val="none"/>
        </w:rPr>
        <w:t>复印件</w:t>
      </w:r>
      <w:r>
        <w:rPr>
          <w:rFonts w:hint="eastAsia" w:ascii="宋体" w:hAnsi="宋体" w:eastAsia="宋体" w:cs="宋体"/>
          <w:bCs/>
          <w:color w:val="000000"/>
          <w:sz w:val="24"/>
          <w:szCs w:val="24"/>
          <w:highlight w:val="none"/>
          <w:lang w:val="zh-CN"/>
        </w:rPr>
        <w:t>；（</w:t>
      </w:r>
      <w:r>
        <w:rPr>
          <w:rFonts w:hint="eastAsia" w:ascii="宋体" w:hAnsi="宋体" w:eastAsia="宋体" w:cs="宋体"/>
          <w:bCs/>
          <w:color w:val="000000"/>
          <w:sz w:val="24"/>
          <w:szCs w:val="24"/>
          <w:highlight w:val="none"/>
        </w:rPr>
        <w:t>加盖生产厂家鲜章</w:t>
      </w:r>
      <w:r>
        <w:rPr>
          <w:rFonts w:hint="eastAsia" w:ascii="宋体" w:hAnsi="宋体" w:eastAsia="宋体" w:cs="宋体"/>
          <w:bCs/>
          <w:color w:val="000000"/>
          <w:sz w:val="24"/>
          <w:szCs w:val="24"/>
          <w:highlight w:val="none"/>
          <w:lang w:val="zh-CN"/>
        </w:rPr>
        <w:t>）；</w:t>
      </w:r>
    </w:p>
    <w:p>
      <w:pPr>
        <w:spacing w:line="360" w:lineRule="auto"/>
        <w:rPr>
          <w:rFonts w:hint="eastAsia" w:ascii="宋体" w:hAnsi="宋体" w:eastAsia="宋体" w:cs="宋体"/>
          <w:bCs/>
          <w:sz w:val="24"/>
          <w:szCs w:val="24"/>
          <w:highlight w:val="none"/>
        </w:rPr>
      </w:pPr>
      <w:r>
        <w:rPr>
          <w:rFonts w:hint="eastAsia" w:ascii="宋体" w:hAnsi="宋体" w:eastAsia="宋体" w:cs="宋体"/>
          <w:bCs/>
          <w:color w:val="000000"/>
          <w:sz w:val="24"/>
          <w:szCs w:val="24"/>
          <w:highlight w:val="none"/>
        </w:rPr>
        <w:t>★</w:t>
      </w:r>
      <w:r>
        <w:rPr>
          <w:rFonts w:hint="eastAsia" w:ascii="宋体" w:hAnsi="宋体" w:cs="宋体"/>
          <w:bCs/>
          <w:color w:val="000000"/>
          <w:sz w:val="24"/>
          <w:szCs w:val="24"/>
          <w:highlight w:val="none"/>
          <w:lang w:val="en-US" w:eastAsia="zh-CN"/>
        </w:rPr>
        <w:t>7</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承诺物证保全系统与全国公安现勘信息系统进行数据对接；</w:t>
      </w:r>
    </w:p>
    <w:p>
      <w:pPr>
        <w:numPr>
          <w:ilvl w:val="0"/>
          <w:numId w:val="0"/>
        </w:numPr>
        <w:spacing w:line="360" w:lineRule="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5、</w:t>
      </w:r>
      <w:r>
        <w:rPr>
          <w:rFonts w:hint="eastAsia" w:ascii="宋体" w:hAnsi="宋体" w:eastAsia="宋体" w:cs="宋体"/>
          <w:b/>
          <w:sz w:val="24"/>
          <w:szCs w:val="24"/>
          <w:highlight w:val="none"/>
        </w:rPr>
        <w:t>投标样品</w:t>
      </w:r>
    </w:p>
    <w:p>
      <w:pPr>
        <w:autoSpaceDE w:val="0"/>
        <w:autoSpaceDN w:val="0"/>
        <w:adjustRightInd w:val="0"/>
        <w:spacing w:line="360" w:lineRule="auto"/>
        <w:ind w:right="-247" w:rightChars="-118"/>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投标人在招标会上应提供以</w:t>
      </w:r>
      <w:r>
        <w:rPr>
          <w:rFonts w:hint="eastAsia" w:ascii="宋体" w:hAnsi="宋体" w:eastAsia="宋体" w:cs="宋体"/>
          <w:color w:val="000000"/>
          <w:sz w:val="24"/>
          <w:szCs w:val="24"/>
          <w:highlight w:val="none"/>
          <w:lang w:eastAsia="zh-CN"/>
        </w:rPr>
        <w:t>下</w:t>
      </w:r>
      <w:r>
        <w:rPr>
          <w:rFonts w:hint="eastAsia" w:ascii="宋体" w:hAnsi="宋体" w:eastAsia="宋体" w:cs="宋体"/>
          <w:color w:val="000000"/>
          <w:sz w:val="24"/>
          <w:szCs w:val="24"/>
          <w:highlight w:val="none"/>
        </w:rPr>
        <w:t>样品，未提供或样品信息提供不全，技术部分为0分，投标样品仅作为验收依据之一，最终验收以招标文件为准。</w:t>
      </w:r>
    </w:p>
    <w:tbl>
      <w:tblPr>
        <w:tblStyle w:val="17"/>
        <w:tblpPr w:leftFromText="180" w:rightFromText="180" w:vertAnchor="text" w:horzAnchor="page" w:tblpX="1740" w:tblpY="63"/>
        <w:tblOverlap w:val="never"/>
        <w:tblW w:w="9360" w:type="dxa"/>
        <w:tblInd w:w="0" w:type="dxa"/>
        <w:tblLayout w:type="fixed"/>
        <w:tblCellMar>
          <w:top w:w="0" w:type="dxa"/>
          <w:left w:w="108" w:type="dxa"/>
          <w:bottom w:w="0" w:type="dxa"/>
          <w:right w:w="108" w:type="dxa"/>
        </w:tblCellMar>
      </w:tblPr>
      <w:tblGrid>
        <w:gridCol w:w="708"/>
        <w:gridCol w:w="2185"/>
        <w:gridCol w:w="1534"/>
        <w:gridCol w:w="2090"/>
        <w:gridCol w:w="2843"/>
      </w:tblGrid>
      <w:tr>
        <w:tblPrEx>
          <w:tblLayout w:type="fixed"/>
          <w:tblCellMar>
            <w:top w:w="0" w:type="dxa"/>
            <w:left w:w="108" w:type="dxa"/>
            <w:bottom w:w="0" w:type="dxa"/>
            <w:right w:w="108" w:type="dxa"/>
          </w:tblCellMar>
        </w:tblPrEx>
        <w:trPr>
          <w:trHeight w:val="477" w:hRule="atLeast"/>
        </w:trPr>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样品名称</w:t>
            </w:r>
          </w:p>
        </w:tc>
        <w:tc>
          <w:tcPr>
            <w:tcW w:w="1534"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2090"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尺寸</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Layout w:type="fixed"/>
          <w:tblCellMar>
            <w:top w:w="0" w:type="dxa"/>
            <w:left w:w="108" w:type="dxa"/>
            <w:bottom w:w="0" w:type="dxa"/>
            <w:right w:w="108" w:type="dxa"/>
          </w:tblCellMar>
        </w:tblPrEx>
        <w:trPr>
          <w:trHeight w:val="2231" w:hRule="atLeast"/>
        </w:trPr>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实验</w:t>
            </w:r>
            <w:r>
              <w:rPr>
                <w:rFonts w:hint="eastAsia" w:ascii="宋体" w:hAnsi="宋体" w:eastAsia="宋体" w:cs="宋体"/>
                <w:sz w:val="24"/>
                <w:szCs w:val="24"/>
                <w:highlight w:val="none"/>
                <w:lang w:eastAsia="zh-CN"/>
              </w:rPr>
              <w:t>台</w:t>
            </w:r>
            <w:r>
              <w:rPr>
                <w:rFonts w:hint="eastAsia" w:ascii="宋体" w:hAnsi="宋体" w:eastAsia="宋体" w:cs="宋体"/>
                <w:sz w:val="24"/>
                <w:szCs w:val="24"/>
                <w:highlight w:val="none"/>
              </w:rPr>
              <w:t>台面小样</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1块</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100mm×100mm×13mm</w:t>
            </w:r>
          </w:p>
        </w:tc>
        <w:tc>
          <w:tcPr>
            <w:tcW w:w="2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样品技术参数按照招标文件执行；样品</w:t>
            </w:r>
            <w:r>
              <w:rPr>
                <w:rFonts w:hint="eastAsia" w:ascii="宋体" w:hAnsi="宋体" w:eastAsia="宋体" w:cs="宋体"/>
                <w:sz w:val="24"/>
                <w:szCs w:val="24"/>
                <w:highlight w:val="none"/>
                <w:lang w:val="zh-CN"/>
              </w:rPr>
              <w:t>需注明采购项目名称、</w:t>
            </w:r>
            <w:r>
              <w:rPr>
                <w:rFonts w:hint="eastAsia" w:ascii="宋体" w:hAnsi="宋体" w:eastAsia="宋体" w:cs="宋体"/>
                <w:sz w:val="24"/>
                <w:szCs w:val="24"/>
                <w:highlight w:val="none"/>
              </w:rPr>
              <w:t>样品品牌、产地、</w:t>
            </w: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rPr>
              <w:t>加盖生产厂家鲜章</w:t>
            </w:r>
            <w:r>
              <w:rPr>
                <w:rFonts w:hint="eastAsia" w:ascii="宋体" w:hAnsi="宋体" w:eastAsia="宋体" w:cs="宋体"/>
                <w:sz w:val="24"/>
                <w:szCs w:val="24"/>
                <w:highlight w:val="none"/>
                <w:lang w:val="zh-CN"/>
              </w:rPr>
              <w:t>）</w:t>
            </w:r>
          </w:p>
        </w:tc>
      </w:tr>
      <w:tr>
        <w:tblPrEx>
          <w:tblLayout w:type="fixed"/>
          <w:tblCellMar>
            <w:top w:w="0" w:type="dxa"/>
            <w:left w:w="108" w:type="dxa"/>
            <w:bottom w:w="0" w:type="dxa"/>
            <w:right w:w="108" w:type="dxa"/>
          </w:tblCellMar>
        </w:tblPrEx>
        <w:trPr>
          <w:trHeight w:val="2231" w:hRule="atLeast"/>
        </w:trPr>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通风柜台面</w:t>
            </w:r>
            <w:r>
              <w:rPr>
                <w:rFonts w:hint="eastAsia" w:ascii="宋体" w:hAnsi="宋体" w:eastAsia="宋体" w:cs="宋体"/>
                <w:sz w:val="24"/>
                <w:szCs w:val="24"/>
                <w:highlight w:val="none"/>
              </w:rPr>
              <w:t>小样</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1块</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sz w:val="24"/>
                <w:szCs w:val="24"/>
                <w:highlight w:val="none"/>
                <w:lang w:val="en-US"/>
              </w:rPr>
            </w:pPr>
            <w:r>
              <w:rPr>
                <w:rFonts w:hint="default" w:ascii="宋体" w:hAnsi="宋体" w:eastAsia="宋体" w:cs="宋体"/>
                <w:sz w:val="24"/>
                <w:szCs w:val="24"/>
                <w:highlight w:val="none"/>
                <w:lang w:val="en-US"/>
              </w:rPr>
              <w:t>100mm</w:t>
            </w:r>
            <w:r>
              <w:rPr>
                <w:rFonts w:hint="eastAsia" w:ascii="宋体" w:hAnsi="宋体" w:eastAsia="宋体" w:cs="宋体"/>
                <w:sz w:val="24"/>
                <w:szCs w:val="24"/>
                <w:highlight w:val="none"/>
              </w:rPr>
              <w:t>×</w:t>
            </w:r>
            <w:r>
              <w:rPr>
                <w:rFonts w:hint="default" w:ascii="宋体" w:hAnsi="宋体" w:eastAsia="宋体" w:cs="宋体"/>
                <w:sz w:val="24"/>
                <w:szCs w:val="24"/>
                <w:highlight w:val="none"/>
                <w:lang w:val="en-US"/>
              </w:rPr>
              <w:t>100mm</w:t>
            </w:r>
            <w:r>
              <w:rPr>
                <w:rFonts w:hint="eastAsia" w:ascii="宋体" w:hAnsi="宋体" w:eastAsia="宋体" w:cs="宋体"/>
                <w:sz w:val="24"/>
                <w:szCs w:val="24"/>
                <w:highlight w:val="none"/>
              </w:rPr>
              <w:t>×</w:t>
            </w:r>
            <w:r>
              <w:rPr>
                <w:rFonts w:hint="default" w:ascii="宋体" w:hAnsi="宋体" w:eastAsia="宋体" w:cs="宋体"/>
                <w:sz w:val="24"/>
                <w:szCs w:val="24"/>
                <w:highlight w:val="none"/>
                <w:lang w:val="en-US"/>
              </w:rPr>
              <w:t>20mm</w:t>
            </w:r>
          </w:p>
        </w:tc>
        <w:tc>
          <w:tcPr>
            <w:tcW w:w="2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样品技术参数按照招标文件执行；样品</w:t>
            </w:r>
            <w:r>
              <w:rPr>
                <w:rFonts w:hint="eastAsia" w:ascii="宋体" w:hAnsi="宋体" w:eastAsia="宋体" w:cs="宋体"/>
                <w:sz w:val="24"/>
                <w:szCs w:val="24"/>
                <w:highlight w:val="none"/>
                <w:lang w:val="zh-CN"/>
              </w:rPr>
              <w:t>需注明采购项目名称、</w:t>
            </w:r>
            <w:r>
              <w:rPr>
                <w:rFonts w:hint="eastAsia" w:ascii="宋体" w:hAnsi="宋体" w:eastAsia="宋体" w:cs="宋体"/>
                <w:sz w:val="24"/>
                <w:szCs w:val="24"/>
                <w:highlight w:val="none"/>
              </w:rPr>
              <w:t>样品品牌、产地、</w:t>
            </w: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rPr>
              <w:t>加盖生产厂家鲜章</w:t>
            </w:r>
            <w:r>
              <w:rPr>
                <w:rFonts w:hint="eastAsia" w:ascii="宋体" w:hAnsi="宋体" w:eastAsia="宋体" w:cs="宋体"/>
                <w:sz w:val="24"/>
                <w:szCs w:val="24"/>
                <w:highlight w:val="none"/>
                <w:lang w:val="zh-CN"/>
              </w:rPr>
              <w:t>）</w:t>
            </w:r>
          </w:p>
        </w:tc>
      </w:tr>
    </w:tbl>
    <w:p>
      <w:pPr>
        <w:spacing w:line="480" w:lineRule="exact"/>
        <w:rPr>
          <w:rFonts w:hint="eastAsia" w:ascii="宋体" w:hAnsi="宋体" w:eastAsia="宋体" w:cs="宋体"/>
          <w:b/>
          <w:color w:val="000000" w:themeColor="text1"/>
          <w:sz w:val="24"/>
          <w:szCs w:val="24"/>
          <w:shd w:val="clear" w:color="auto" w:fill="FFFFFF"/>
          <w:lang w:eastAsia="zh-CN"/>
          <w14:textFill>
            <w14:solidFill>
              <w14:schemeClr w14:val="tx1"/>
            </w14:solidFill>
          </w14:textFill>
        </w:rPr>
      </w:pPr>
    </w:p>
    <w:p>
      <w:pPr>
        <w:spacing w:line="480" w:lineRule="exact"/>
        <w:rPr>
          <w:rFonts w:hint="eastAsia"/>
          <w:lang w:eastAsia="zh-CN"/>
        </w:rPr>
      </w:pPr>
      <w:r>
        <w:rPr>
          <w:rFonts w:hint="eastAsia" w:ascii="宋体" w:hAnsi="宋体" w:eastAsia="宋体" w:cs="宋体"/>
          <w:b/>
          <w:color w:val="000000" w:themeColor="text1"/>
          <w:sz w:val="24"/>
          <w:szCs w:val="24"/>
          <w:shd w:val="clear" w:color="auto" w:fill="FFFFFF"/>
          <w:lang w:eastAsia="zh-CN"/>
          <w14:textFill>
            <w14:solidFill>
              <w14:schemeClr w14:val="tx1"/>
            </w14:solidFill>
          </w14:textFill>
        </w:rPr>
        <w:t>说明：以上技术参数中标注</w:t>
      </w:r>
      <w:r>
        <w:rPr>
          <w:rFonts w:hint="eastAsia" w:ascii="仿宋_GB2312" w:hAnsi="楷体" w:eastAsia="仿宋_GB2312" w:cs="楷体"/>
          <w:b/>
          <w:color w:val="000000" w:themeColor="text1"/>
          <w:kern w:val="0"/>
          <w:sz w:val="24"/>
          <w14:textFill>
            <w14:solidFill>
              <w14:schemeClr w14:val="tx1"/>
            </w14:solidFill>
          </w14:textFill>
        </w:rPr>
        <w:t>★</w:t>
      </w:r>
      <w:r>
        <w:rPr>
          <w:rFonts w:hint="eastAsia" w:ascii="仿宋_GB2312" w:hAnsi="楷体" w:eastAsia="仿宋_GB2312" w:cs="楷体"/>
          <w:b/>
          <w:color w:val="000000" w:themeColor="text1"/>
          <w:kern w:val="0"/>
          <w:sz w:val="24"/>
          <w:lang w:eastAsia="zh-CN"/>
          <w14:textFill>
            <w14:solidFill>
              <w14:schemeClr w14:val="tx1"/>
            </w14:solidFill>
          </w14:textFill>
        </w:rPr>
        <w:t>内容必须满足，否则将作无效投标处理。</w:t>
      </w:r>
    </w:p>
    <w:p>
      <w:pPr>
        <w:spacing w:line="480" w:lineRule="exact"/>
        <w:rPr>
          <w:rFonts w:hint="eastAsia" w:ascii="宋体" w:hAnsi="宋体" w:eastAsia="宋体" w:cs="宋体"/>
          <w:b/>
          <w:color w:val="000000" w:themeColor="text1"/>
          <w:sz w:val="24"/>
          <w:szCs w:val="24"/>
          <w:highlight w:val="none"/>
          <w:shd w:val="clear" w:color="auto" w:fill="FFFFFF"/>
          <w14:textFill>
            <w14:solidFill>
              <w14:schemeClr w14:val="tx1"/>
            </w14:solidFill>
          </w14:textFill>
        </w:rPr>
      </w:pPr>
    </w:p>
    <w:p>
      <w:pPr>
        <w:spacing w:line="480" w:lineRule="exact"/>
        <w:rPr>
          <w:rFonts w:hint="eastAsia" w:ascii="宋体" w:hAnsi="宋体" w:eastAsia="宋体" w:cs="宋体"/>
          <w:b/>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其他要求</w:t>
      </w:r>
      <w:r>
        <w:rPr>
          <w:rFonts w:hint="eastAsia" w:ascii="宋体" w:hAnsi="宋体" w:eastAsia="宋体" w:cs="宋体"/>
          <w:b/>
          <w:color w:val="000000" w:themeColor="text1"/>
          <w:sz w:val="24"/>
          <w:szCs w:val="24"/>
          <w:highlight w:val="none"/>
          <w:shd w:val="clear" w:color="auto" w:fill="FFFFFF"/>
          <w:lang w:eastAsia="zh-CN"/>
          <w14:textFill>
            <w14:solidFill>
              <w14:schemeClr w14:val="tx1"/>
            </w14:solidFill>
          </w14:textFill>
        </w:rPr>
        <w:t>：</w:t>
      </w:r>
    </w:p>
    <w:p>
      <w:pPr>
        <w:spacing w:line="480" w:lineRule="exact"/>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1、交付使用时间及地点</w:t>
      </w:r>
    </w:p>
    <w:p>
      <w:pPr>
        <w:spacing w:line="480" w:lineRule="exact"/>
        <w:rPr>
          <w:rFonts w:hint="default" w:ascii="宋体" w:hAnsi="宋体" w:eastAsia="宋体" w:cs="宋体"/>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 xml:space="preserve">   1.1交付时间：</w:t>
      </w:r>
      <w:r>
        <w:rPr>
          <w:rFonts w:hint="eastAsia" w:ascii="宋体" w:hAnsi="宋体" w:eastAsia="宋体" w:cs="宋体"/>
          <w:bCs/>
          <w:color w:val="000000" w:themeColor="text1"/>
          <w:sz w:val="24"/>
          <w:szCs w:val="24"/>
          <w:highlight w:val="none"/>
          <w:shd w:val="clear" w:color="auto" w:fill="FFFFFF"/>
          <w:lang w:val="en-US" w:eastAsia="zh-CN"/>
          <w14:textFill>
            <w14:solidFill>
              <w14:schemeClr w14:val="tx1"/>
            </w14:solidFill>
          </w14:textFill>
        </w:rPr>
        <w:t>合同签订日起的45个日历日内</w:t>
      </w:r>
    </w:p>
    <w:p>
      <w:pPr>
        <w:spacing w:line="480" w:lineRule="exact"/>
        <w:rPr>
          <w:rFonts w:hint="eastAsia" w:ascii="宋体" w:hAnsi="宋体" w:eastAsia="宋体" w:cs="宋体"/>
          <w:bCs/>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 xml:space="preserve">   1.2交付地点：</w:t>
      </w:r>
      <w:r>
        <w:rPr>
          <w:rFonts w:hint="eastAsia" w:ascii="宋体" w:hAnsi="宋体" w:eastAsia="宋体" w:cs="宋体"/>
          <w:bCs/>
          <w:color w:val="000000" w:themeColor="text1"/>
          <w:sz w:val="24"/>
          <w:szCs w:val="24"/>
          <w:highlight w:val="none"/>
          <w:shd w:val="clear" w:color="auto" w:fill="FFFFFF"/>
          <w:lang w:eastAsia="zh-CN"/>
          <w14:textFill>
            <w14:solidFill>
              <w14:schemeClr w14:val="tx1"/>
            </w14:solidFill>
          </w14:textFill>
        </w:rPr>
        <w:t>阳新县公安局</w:t>
      </w:r>
    </w:p>
    <w:p>
      <w:pPr>
        <w:spacing w:line="480" w:lineRule="exact"/>
        <w:ind w:left="1560" w:hanging="1560" w:hangingChars="650"/>
        <w:rPr>
          <w:rFonts w:hint="default" w:ascii="宋体" w:hAnsi="宋体" w:cs="宋体" w:eastAsiaTheme="minorEastAsia"/>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2、付款方式</w:t>
      </w:r>
      <w:r>
        <w:rPr>
          <w:rFonts w:hint="eastAsia" w:ascii="宋体" w:hAnsi="宋体" w:eastAsia="宋体" w:cs="宋体"/>
          <w:bCs/>
          <w:color w:val="000000" w:themeColor="text1"/>
          <w:sz w:val="24"/>
          <w:szCs w:val="24"/>
          <w:highlight w:val="none"/>
          <w:shd w:val="clear" w:color="auto" w:fill="FFFFFF"/>
          <w:lang w:eastAsia="zh-CN"/>
          <w14:textFill>
            <w14:solidFill>
              <w14:schemeClr w14:val="tx1"/>
            </w14:solidFill>
          </w14:textFill>
        </w:rPr>
        <w:t>：第一次完工验收合格审计后付70%，如果保质期内不出现质量问题第二年付20%,第三年付10%。</w:t>
      </w:r>
      <w:r>
        <w:rPr>
          <w:rFonts w:hint="eastAsia" w:ascii="宋体" w:hAnsi="宋体" w:eastAsia="宋体" w:cs="宋体"/>
          <w:bCs/>
          <w:color w:val="000000" w:themeColor="text1"/>
          <w:sz w:val="24"/>
          <w:szCs w:val="24"/>
          <w:highlight w:val="none"/>
          <w:shd w:val="clear" w:color="auto" w:fill="FFFFFF"/>
          <w:lang w:val="en-US" w:eastAsia="zh-CN"/>
          <w14:textFill>
            <w14:solidFill>
              <w14:schemeClr w14:val="tx1"/>
            </w14:solidFill>
          </w14:textFill>
        </w:rPr>
        <w:t xml:space="preserve"> </w:t>
      </w:r>
    </w:p>
    <w:p>
      <w:pPr>
        <w:spacing w:line="480" w:lineRule="exact"/>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3、验收</w:t>
      </w:r>
    </w:p>
    <w:p>
      <w:pPr>
        <w:spacing w:line="480" w:lineRule="exact"/>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 xml:space="preserve">    3.1由采购单位和投标人代表按投标文件和合同要求对货物参数规格、数量等进行验收。</w:t>
      </w:r>
    </w:p>
    <w:p>
      <w:pPr>
        <w:spacing w:line="480" w:lineRule="exact"/>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 xml:space="preserve">    3.2中标人应允许采购人的工作人员参与系统的安装、测试、诊断及解决问题等各项工作，并提供相关的现场培训。</w:t>
      </w:r>
    </w:p>
    <w:p>
      <w:pPr>
        <w:spacing w:line="480" w:lineRule="exact"/>
        <w:ind w:firstLine="480" w:firstLineChars="200"/>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lang w:val="en-US" w:eastAsia="zh-CN"/>
          <w14:textFill>
            <w14:solidFill>
              <w14:schemeClr w14:val="tx1"/>
            </w14:solidFill>
          </w14:textFill>
        </w:rPr>
        <w:t>3.3</w:t>
      </w: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中标人在验收前必须递交书面的验收方案，并报采购人认可后以其为依据，方可开始验收工作。在由采购人确认：产品投标书提供的技术数据经核验证实是真实的。在调试期内所暴露的问题已获得令采购人满意的解决。所要求的资料、备件等已按规定数量移交完毕后进行验收签字。</w:t>
      </w:r>
    </w:p>
    <w:p>
      <w:pPr>
        <w:spacing w:line="480" w:lineRule="exact"/>
        <w:rPr>
          <w:rFonts w:hint="eastAsia" w:ascii="宋体" w:hAnsi="宋体" w:eastAsia="宋体" w:cs="宋体"/>
          <w:bCs/>
          <w:color w:val="000000" w:themeColor="text1"/>
          <w:sz w:val="24"/>
          <w:szCs w:val="24"/>
          <w:shd w:val="clear" w:color="auto" w:fill="FFFFFF"/>
          <w14:textFill>
            <w14:solidFill>
              <w14:schemeClr w14:val="tx1"/>
            </w14:solidFill>
          </w14:textFill>
        </w:rPr>
      </w:pPr>
      <w:r>
        <w:rPr>
          <w:rFonts w:hint="eastAsia" w:ascii="宋体" w:hAnsi="宋体" w:eastAsia="宋体" w:cs="宋体"/>
          <w:bCs/>
          <w:color w:val="000000" w:themeColor="text1"/>
          <w:sz w:val="24"/>
          <w:szCs w:val="24"/>
          <w:shd w:val="clear" w:color="auto" w:fill="FFFFFF"/>
          <w14:textFill>
            <w14:solidFill>
              <w14:schemeClr w14:val="tx1"/>
            </w14:solidFill>
          </w14:textFill>
        </w:rPr>
        <w:t>4、售后服务</w:t>
      </w:r>
    </w:p>
    <w:p>
      <w:pPr>
        <w:spacing w:line="480" w:lineRule="exact"/>
        <w:rPr>
          <w:rFonts w:hint="default" w:ascii="宋体" w:hAnsi="宋体" w:eastAsia="宋体" w:cs="宋体"/>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 xml:space="preserve">   4.1质保期：</w:t>
      </w:r>
      <w:r>
        <w:rPr>
          <w:rFonts w:hint="eastAsia" w:ascii="宋体" w:hAnsi="宋体" w:eastAsia="宋体" w:cs="宋体"/>
          <w:bCs/>
          <w:color w:val="000000" w:themeColor="text1"/>
          <w:sz w:val="24"/>
          <w:szCs w:val="24"/>
          <w:highlight w:val="none"/>
          <w:shd w:val="clear" w:color="auto" w:fill="FFFFFF"/>
          <w:lang w:val="en-US" w:eastAsia="zh-CN"/>
          <w14:textFill>
            <w14:solidFill>
              <w14:schemeClr w14:val="tx1"/>
            </w14:solidFill>
          </w14:textFill>
        </w:rPr>
        <w:t>所有设备产品的售后质保期为五</w:t>
      </w:r>
      <w:r>
        <w:rPr>
          <w:rFonts w:hint="eastAsia" w:ascii="宋体" w:hAnsi="宋体" w:eastAsia="宋体" w:cs="宋体"/>
          <w:bCs/>
          <w:color w:val="000000" w:themeColor="text1"/>
          <w:sz w:val="24"/>
          <w:szCs w:val="24"/>
          <w:highlight w:val="none"/>
          <w:shd w:val="clear" w:color="auto" w:fill="FFFFFF"/>
          <w:lang w:eastAsia="zh-CN"/>
          <w14:textFill>
            <w14:solidFill>
              <w14:schemeClr w14:val="tx1"/>
            </w14:solidFill>
          </w14:textFill>
        </w:rPr>
        <w:t>年。</w:t>
      </w:r>
    </w:p>
    <w:p>
      <w:pPr>
        <w:spacing w:line="480" w:lineRule="exact"/>
        <w:rPr>
          <w:rFonts w:hint="eastAsia" w:ascii="宋体" w:hAnsi="宋体" w:eastAsia="宋体" w:cs="宋体"/>
          <w:bCs/>
          <w:color w:val="000000" w:themeColor="text1"/>
          <w:sz w:val="24"/>
          <w:szCs w:val="24"/>
          <w:shd w:val="clear" w:color="auto" w:fill="FFFFFF"/>
          <w14:textFill>
            <w14:solidFill>
              <w14:schemeClr w14:val="tx1"/>
            </w14:solidFill>
          </w14:textFill>
        </w:rPr>
      </w:pPr>
      <w:r>
        <w:rPr>
          <w:rFonts w:hint="eastAsia" w:ascii="宋体" w:hAnsi="宋体" w:eastAsia="宋体" w:cs="宋体"/>
          <w:bCs/>
          <w:color w:val="000000" w:themeColor="text1"/>
          <w:sz w:val="24"/>
          <w:szCs w:val="24"/>
          <w:shd w:val="clear" w:color="auto" w:fill="FFFFFF"/>
          <w14:textFill>
            <w14:solidFill>
              <w14:schemeClr w14:val="tx1"/>
            </w14:solidFill>
          </w14:textFill>
        </w:rPr>
        <w:t xml:space="preserve">   4.2质保期由买卖双方签署验收合格证书并办理项目移交之日起计算。</w:t>
      </w:r>
    </w:p>
    <w:p>
      <w:pPr>
        <w:spacing w:line="480" w:lineRule="exact"/>
        <w:ind w:left="720" w:hanging="720" w:hangingChars="300"/>
        <w:rPr>
          <w:rFonts w:hint="eastAsia" w:ascii="宋体" w:hAnsi="宋体" w:eastAsia="宋体" w:cs="宋体"/>
          <w:bCs/>
          <w:color w:val="000000" w:themeColor="text1"/>
          <w:sz w:val="24"/>
          <w:szCs w:val="24"/>
          <w:shd w:val="clear" w:color="auto" w:fill="FFFFFF"/>
          <w14:textFill>
            <w14:solidFill>
              <w14:schemeClr w14:val="tx1"/>
            </w14:solidFill>
          </w14:textFill>
        </w:rPr>
      </w:pPr>
      <w:r>
        <w:rPr>
          <w:rFonts w:hint="eastAsia" w:ascii="宋体" w:hAnsi="宋体" w:eastAsia="宋体" w:cs="宋体"/>
          <w:bCs/>
          <w:color w:val="000000" w:themeColor="text1"/>
          <w:sz w:val="24"/>
          <w:szCs w:val="24"/>
          <w:shd w:val="clear" w:color="auto" w:fill="FFFFFF"/>
          <w14:textFill>
            <w14:solidFill>
              <w14:schemeClr w14:val="tx1"/>
            </w14:solidFill>
          </w14:textFill>
        </w:rPr>
        <w:t xml:space="preserve">   4.3设备出现故障，投标人必须在</w:t>
      </w:r>
      <w:r>
        <w:rPr>
          <w:rFonts w:hint="eastAsia" w:ascii="宋体" w:hAnsi="宋体" w:eastAsia="宋体" w:cs="宋体"/>
          <w:bCs/>
          <w:color w:val="000000" w:themeColor="text1"/>
          <w:sz w:val="24"/>
          <w:szCs w:val="24"/>
          <w:shd w:val="clear" w:color="auto" w:fill="FFFFFF"/>
          <w:lang w:val="en-US" w:eastAsia="zh-CN"/>
          <w14:textFill>
            <w14:solidFill>
              <w14:schemeClr w14:val="tx1"/>
            </w14:solidFill>
          </w14:textFill>
        </w:rPr>
        <w:t>48小时</w:t>
      </w:r>
      <w:r>
        <w:rPr>
          <w:rFonts w:hint="eastAsia" w:ascii="宋体" w:hAnsi="宋体" w:eastAsia="宋体" w:cs="宋体"/>
          <w:bCs/>
          <w:color w:val="000000" w:themeColor="text1"/>
          <w:sz w:val="24"/>
          <w:szCs w:val="24"/>
          <w:shd w:val="clear" w:color="auto" w:fill="FFFFFF"/>
          <w14:textFill>
            <w14:solidFill>
              <w14:schemeClr w14:val="tx1"/>
            </w14:solidFill>
          </w14:textFill>
        </w:rPr>
        <w:t>内到达故障现场，如因售后服务不及时而造成损失，投标人必须承担由此产生的一切损失。</w:t>
      </w:r>
    </w:p>
    <w:p>
      <w:pPr>
        <w:spacing w:line="480" w:lineRule="exact"/>
        <w:ind w:left="960" w:hanging="960" w:hangingChars="400"/>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pPr>
    </w:p>
    <w:bookmarkEnd w:id="41"/>
    <w:bookmarkEnd w:id="42"/>
    <w:bookmarkEnd w:id="43"/>
    <w:bookmarkEnd w:id="44"/>
    <w:p>
      <w:pPr>
        <w:pStyle w:val="3"/>
        <w:numPr>
          <w:ilvl w:val="0"/>
          <w:numId w:val="0"/>
        </w:numPr>
        <w:ind w:firstLine="1760" w:firstLineChars="400"/>
        <w:jc w:val="both"/>
        <w:rPr>
          <w:rFonts w:hint="eastAsia" w:ascii="黑体" w:hAnsi="黑体" w:eastAsia="黑体"/>
          <w:color w:val="000000" w:themeColor="text1"/>
          <w:lang w:val="en-US" w:eastAsia="zh-CN"/>
          <w14:textFill>
            <w14:solidFill>
              <w14:schemeClr w14:val="tx1"/>
            </w14:solidFill>
          </w14:textFill>
        </w:rPr>
      </w:pPr>
      <w:bookmarkStart w:id="46" w:name="_Toc495861538"/>
    </w:p>
    <w:p>
      <w:pPr>
        <w:pStyle w:val="3"/>
        <w:numPr>
          <w:ilvl w:val="0"/>
          <w:numId w:val="0"/>
        </w:numPr>
        <w:spacing w:before="0" w:after="0" w:line="240" w:lineRule="auto"/>
        <w:ind w:firstLine="2200" w:firstLineChars="500"/>
        <w:jc w:val="both"/>
        <w:rPr>
          <w:rFonts w:hint="eastAsia" w:ascii="黑体" w:hAnsi="黑体" w:eastAsia="黑体"/>
          <w:color w:val="000000" w:themeColor="text1"/>
          <w:lang w:val="en-US" w:eastAsia="zh-CN"/>
          <w14:textFill>
            <w14:solidFill>
              <w14:schemeClr w14:val="tx1"/>
            </w14:solidFill>
          </w14:textFill>
        </w:rPr>
      </w:pPr>
    </w:p>
    <w:p>
      <w:pPr>
        <w:pStyle w:val="3"/>
        <w:numPr>
          <w:ilvl w:val="0"/>
          <w:numId w:val="0"/>
        </w:numPr>
        <w:spacing w:before="0" w:after="0" w:line="240" w:lineRule="auto"/>
        <w:ind w:firstLine="2200" w:firstLineChars="500"/>
        <w:jc w:val="both"/>
        <w:rPr>
          <w:rFonts w:hint="eastAsia" w:ascii="黑体" w:hAnsi="黑体" w:eastAsia="黑体"/>
          <w:color w:val="000000" w:themeColor="text1"/>
          <w:lang w:val="en-US" w:eastAsia="zh-CN"/>
          <w14:textFill>
            <w14:solidFill>
              <w14:schemeClr w14:val="tx1"/>
            </w14:solidFill>
          </w14:textFill>
        </w:rPr>
      </w:pPr>
    </w:p>
    <w:p>
      <w:pPr>
        <w:pStyle w:val="3"/>
        <w:numPr>
          <w:ilvl w:val="0"/>
          <w:numId w:val="0"/>
        </w:numPr>
        <w:spacing w:before="0" w:after="0" w:line="240" w:lineRule="auto"/>
        <w:ind w:firstLine="2200" w:firstLineChars="500"/>
        <w:jc w:val="both"/>
        <w:rPr>
          <w:rFonts w:hint="eastAsia" w:ascii="黑体" w:hAnsi="黑体" w:eastAsia="黑体"/>
          <w:color w:val="000000" w:themeColor="text1"/>
          <w:lang w:val="en-US" w:eastAsia="zh-CN"/>
          <w14:textFill>
            <w14:solidFill>
              <w14:schemeClr w14:val="tx1"/>
            </w14:solidFill>
          </w14:textFill>
        </w:rPr>
      </w:pPr>
    </w:p>
    <w:p>
      <w:pPr>
        <w:pStyle w:val="3"/>
        <w:numPr>
          <w:ilvl w:val="0"/>
          <w:numId w:val="0"/>
        </w:numPr>
        <w:spacing w:before="0" w:after="0" w:line="240" w:lineRule="auto"/>
        <w:ind w:firstLine="2200" w:firstLineChars="500"/>
        <w:jc w:val="both"/>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第四章  </w:t>
      </w:r>
      <w:r>
        <w:rPr>
          <w:rFonts w:hint="eastAsia" w:ascii="黑体" w:hAnsi="黑体" w:eastAsia="黑体"/>
          <w:color w:val="000000" w:themeColor="text1"/>
          <w14:textFill>
            <w14:solidFill>
              <w14:schemeClr w14:val="tx1"/>
            </w14:solidFill>
          </w14:textFill>
        </w:rPr>
        <w:t>资格审查方法及标准</w:t>
      </w:r>
      <w:bookmarkEnd w:id="46"/>
    </w:p>
    <w:p>
      <w:pPr>
        <w:spacing w:line="360" w:lineRule="auto"/>
        <w:ind w:firstLine="420"/>
        <w:rPr>
          <w:rFonts w:hint="eastAsia" w:ascii="宋体" w:hAnsi="宋体" w:eastAsia="宋体" w:cs="Times New Roman"/>
          <w:bCs/>
          <w:color w:val="000000" w:themeColor="text1"/>
          <w:sz w:val="24"/>
          <w:szCs w:val="20"/>
          <w:lang w:val="zh-CN"/>
          <w14:textFill>
            <w14:solidFill>
              <w14:schemeClr w14:val="tx1"/>
            </w14:solidFill>
          </w14:textFill>
        </w:rPr>
      </w:pPr>
    </w:p>
    <w:p>
      <w:pPr>
        <w:spacing w:line="360" w:lineRule="auto"/>
        <w:ind w:firstLine="420"/>
        <w:rPr>
          <w:rFonts w:hint="eastAsia" w:ascii="宋体" w:hAnsi="宋体" w:eastAsia="宋体" w:cs="Times New Roman"/>
          <w:bCs/>
          <w:color w:val="000000" w:themeColor="text1"/>
          <w:sz w:val="24"/>
          <w:szCs w:val="20"/>
          <w:lang w:val="zh-CN"/>
          <w14:textFill>
            <w14:solidFill>
              <w14:schemeClr w14:val="tx1"/>
            </w14:solidFill>
          </w14:textFill>
        </w:rPr>
      </w:pPr>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根据《政府采购法》、《政府采购法实施条例》、《政府采购货物和服务招标投标管理办法》等相关法律法规确定以下资格审查方法及标准。</w:t>
      </w:r>
    </w:p>
    <w:p>
      <w:pPr>
        <w:pStyle w:val="2"/>
        <w:numPr>
          <w:ilvl w:val="0"/>
          <w:numId w:val="51"/>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7" w:name="_Toc494561958"/>
      <w:bookmarkStart w:id="48" w:name="_Toc495861539"/>
      <w:r>
        <w:rPr>
          <w:rFonts w:hint="eastAsia" w:cs="Times New Roman" w:asciiTheme="majorEastAsia" w:hAnsiTheme="majorEastAsia"/>
          <w:bCs w:val="0"/>
          <w:color w:val="000000" w:themeColor="text1"/>
          <w:sz w:val="30"/>
          <w:szCs w:val="30"/>
          <w:lang w:val="zh-CN"/>
          <w14:textFill>
            <w14:solidFill>
              <w14:schemeClr w14:val="tx1"/>
            </w14:solidFill>
          </w14:textFill>
        </w:rPr>
        <w:t>资格审查方法</w:t>
      </w:r>
      <w:bookmarkEnd w:id="47"/>
      <w:bookmarkEnd w:id="48"/>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公开招标采购项目开标结束后，采购人、采购代理机构成立资格审查小组，依据法律、法规及招标文件的规定，对投标人的资格进行审查，以确定投标人资格是否合格。</w:t>
      </w:r>
    </w:p>
    <w:p>
      <w:pPr>
        <w:pStyle w:val="2"/>
        <w:numPr>
          <w:ilvl w:val="0"/>
          <w:numId w:val="51"/>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9" w:name="_Toc495861540"/>
      <w:bookmarkStart w:id="50" w:name="_Toc494561959"/>
      <w:r>
        <w:rPr>
          <w:rFonts w:hint="eastAsia" w:cs="Times New Roman" w:asciiTheme="majorEastAsia" w:hAnsiTheme="majorEastAsia"/>
          <w:bCs w:val="0"/>
          <w:color w:val="000000" w:themeColor="text1"/>
          <w:sz w:val="30"/>
          <w:szCs w:val="30"/>
          <w:lang w:val="zh-CN"/>
          <w14:textFill>
            <w14:solidFill>
              <w14:schemeClr w14:val="tx1"/>
            </w14:solidFill>
          </w14:textFill>
        </w:rPr>
        <w:t>资格审查标准</w:t>
      </w:r>
      <w:bookmarkEnd w:id="49"/>
      <w:bookmarkEnd w:id="50"/>
    </w:p>
    <w:p>
      <w:pPr>
        <w:numPr>
          <w:ilvl w:val="0"/>
          <w:numId w:val="52"/>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14:textFill>
            <w14:solidFill>
              <w14:schemeClr w14:val="tx1"/>
            </w14:solidFill>
          </w14:textFill>
        </w:rPr>
        <w:t>无效投标处理：</w:t>
      </w:r>
    </w:p>
    <w:p>
      <w:pPr>
        <w:pStyle w:val="27"/>
        <w:numPr>
          <w:ilvl w:val="0"/>
          <w:numId w:val="5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应具备《政府采购法》第二十二条第一款规定的条件，</w:t>
      </w:r>
      <w:r>
        <w:rPr>
          <w:rFonts w:hint="eastAsia" w:hAnsi="宋体"/>
          <w:color w:val="000000" w:themeColor="text1"/>
          <w:sz w:val="24"/>
          <w:szCs w:val="24"/>
          <w14:textFill>
            <w14:solidFill>
              <w14:schemeClr w14:val="tx1"/>
            </w14:solidFill>
          </w14:textFill>
        </w:rPr>
        <w:t>提供下列材料</w:t>
      </w:r>
      <w:r>
        <w:rPr>
          <w:rFonts w:hint="eastAsia" w:ascii="宋体" w:hAnsi="宋体" w:eastAsia="宋体" w:cs="Times New Roman"/>
          <w:color w:val="000000" w:themeColor="text1"/>
          <w:sz w:val="24"/>
          <w:szCs w:val="24"/>
          <w:lang w:val="zh-CN"/>
          <w14:textFill>
            <w14:solidFill>
              <w14:schemeClr w14:val="tx1"/>
            </w14:solidFill>
          </w14:textFill>
        </w:rPr>
        <w:t>：</w:t>
      </w:r>
    </w:p>
    <w:p>
      <w:pPr>
        <w:pStyle w:val="27"/>
        <w:numPr>
          <w:ilvl w:val="0"/>
          <w:numId w:val="54"/>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法人或者其他组织的营业执照等证明文件，自然人的身份证明；</w:t>
      </w:r>
    </w:p>
    <w:p>
      <w:pPr>
        <w:pStyle w:val="27"/>
        <w:numPr>
          <w:ilvl w:val="0"/>
          <w:numId w:val="54"/>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财务状况报告，依法缴纳税收和社会保障资金的相关材料；</w:t>
      </w:r>
    </w:p>
    <w:p>
      <w:pPr>
        <w:pStyle w:val="27"/>
        <w:numPr>
          <w:ilvl w:val="0"/>
          <w:numId w:val="54"/>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具备履行合同所必需的设备和专业技术能力的证明材料；</w:t>
      </w:r>
    </w:p>
    <w:p>
      <w:pPr>
        <w:pStyle w:val="27"/>
        <w:numPr>
          <w:ilvl w:val="0"/>
          <w:numId w:val="54"/>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参加政府采购活动前3年内在经营活动中没有重大违法记录的书面声明；</w:t>
      </w:r>
    </w:p>
    <w:p>
      <w:pPr>
        <w:pStyle w:val="27"/>
        <w:numPr>
          <w:ilvl w:val="0"/>
          <w:numId w:val="54"/>
        </w:numPr>
        <w:tabs>
          <w:tab w:val="left" w:pos="1036"/>
        </w:tabs>
        <w:spacing w:line="360" w:lineRule="auto"/>
        <w:ind w:left="1036" w:hanging="616"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具备法律、行政法规规定的其他条件的证明材料。</w:t>
      </w:r>
    </w:p>
    <w:p>
      <w:pPr>
        <w:pStyle w:val="27"/>
        <w:numPr>
          <w:ilvl w:val="0"/>
          <w:numId w:val="5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未被“信用中国”网站(www.creditchina.gov.cn)列入失信被执行人、重大税收违法案件当事人名单、政府采购严重违法失信行为记录名单的书面申明及该网站查询结果页面截图；</w:t>
      </w:r>
    </w:p>
    <w:p>
      <w:pPr>
        <w:pStyle w:val="27"/>
        <w:numPr>
          <w:ilvl w:val="0"/>
          <w:numId w:val="5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招标文件第一章“投标人资格要求”中有特殊要求的，投标人应提供其符合特殊要求的证明材料或者情况说明；</w:t>
      </w:r>
    </w:p>
    <w:p>
      <w:pPr>
        <w:pStyle w:val="27"/>
        <w:numPr>
          <w:ilvl w:val="0"/>
          <w:numId w:val="5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不符合联合体投标相关规定和要求的；</w:t>
      </w:r>
    </w:p>
    <w:p>
      <w:pPr>
        <w:pStyle w:val="27"/>
        <w:numPr>
          <w:ilvl w:val="0"/>
          <w:numId w:val="5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投标人认为需提供的其它相关资格证明材料；</w:t>
      </w:r>
    </w:p>
    <w:p>
      <w:pPr>
        <w:pStyle w:val="27"/>
        <w:numPr>
          <w:ilvl w:val="0"/>
          <w:numId w:val="5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资格证明文件复印件需加盖单位公章。</w:t>
      </w:r>
    </w:p>
    <w:p>
      <w:pPr>
        <w:numPr>
          <w:ilvl w:val="0"/>
          <w:numId w:val="52"/>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确定资格审查合格投标人</w:t>
      </w:r>
    </w:p>
    <w:p>
      <w:pPr>
        <w:pStyle w:val="27"/>
        <w:numPr>
          <w:ilvl w:val="0"/>
          <w:numId w:val="55"/>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14:textFill>
            <w14:solidFill>
              <w14:schemeClr w14:val="tx1"/>
            </w14:solidFill>
          </w14:textFill>
        </w:rPr>
        <w:t>形成书面的资格审查报告。</w:t>
      </w:r>
    </w:p>
    <w:p>
      <w:pPr>
        <w:pStyle w:val="27"/>
        <w:numPr>
          <w:ilvl w:val="0"/>
          <w:numId w:val="55"/>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资格审查合格投标人不足3家的，不进行评标。</w:t>
      </w:r>
    </w:p>
    <w:p>
      <w:pPr>
        <w:pStyle w:val="27"/>
        <w:numPr>
          <w:ilvl w:val="0"/>
          <w:numId w:val="55"/>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资格审查未通过的投标人可在结果公告质疑有效期内按公告中的联系方式获知</w:t>
      </w:r>
      <w:r>
        <w:rPr>
          <w:rFonts w:ascii="宋体" w:hAnsi="宋体" w:eastAsia="宋体" w:cs="Times New Roman"/>
          <w:color w:val="000000" w:themeColor="text1"/>
          <w:sz w:val="24"/>
          <w:szCs w:val="24"/>
          <w:lang w:val="zh-CN"/>
          <w14:textFill>
            <w14:solidFill>
              <w14:schemeClr w14:val="tx1"/>
            </w14:solidFill>
          </w14:textFill>
        </w:rPr>
        <w:t>本</w:t>
      </w:r>
      <w:r>
        <w:rPr>
          <w:rFonts w:hint="eastAsia" w:ascii="宋体" w:hAnsi="宋体" w:eastAsia="宋体" w:cs="Times New Roman"/>
          <w:color w:val="000000" w:themeColor="text1"/>
          <w:sz w:val="24"/>
          <w:szCs w:val="24"/>
          <w:lang w:val="zh-CN"/>
          <w14:textFill>
            <w14:solidFill>
              <w14:schemeClr w14:val="tx1"/>
            </w14:solidFill>
          </w14:textFill>
        </w:rPr>
        <w:t>单位</w:t>
      </w:r>
      <w:r>
        <w:rPr>
          <w:rFonts w:ascii="宋体" w:hAnsi="宋体" w:eastAsia="宋体" w:cs="Times New Roman"/>
          <w:color w:val="000000" w:themeColor="text1"/>
          <w:sz w:val="24"/>
          <w:szCs w:val="24"/>
          <w:lang w:val="zh-CN"/>
          <w14:textFill>
            <w14:solidFill>
              <w14:schemeClr w14:val="tx1"/>
            </w14:solidFill>
          </w14:textFill>
        </w:rPr>
        <w:t>的</w:t>
      </w:r>
      <w:r>
        <w:rPr>
          <w:rFonts w:hint="eastAsia" w:ascii="宋体" w:hAnsi="宋体" w:eastAsia="宋体" w:cs="Times New Roman"/>
          <w:color w:val="000000" w:themeColor="text1"/>
          <w:sz w:val="24"/>
          <w:szCs w:val="24"/>
          <w:lang w:val="zh-CN"/>
          <w14:textFill>
            <w14:solidFill>
              <w14:schemeClr w14:val="tx1"/>
            </w14:solidFill>
          </w14:textFill>
        </w:rPr>
        <w:t>资格审查情况。</w:t>
      </w:r>
    </w:p>
    <w:p>
      <w:pPr>
        <w:pStyle w:val="27"/>
        <w:numPr>
          <w:ilvl w:val="0"/>
          <w:numId w:val="55"/>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14:textFill>
            <w14:solidFill>
              <w14:schemeClr w14:val="tx1"/>
            </w14:solidFill>
          </w14:textFill>
        </w:rPr>
        <w:t>拒绝</w:t>
      </w:r>
      <w:r>
        <w:rPr>
          <w:rFonts w:hint="eastAsia" w:ascii="宋体" w:hAnsi="宋体" w:eastAsia="宋体" w:cs="Times New Roman"/>
          <w:color w:val="000000" w:themeColor="text1"/>
          <w:sz w:val="24"/>
          <w:szCs w:val="24"/>
          <w:lang w:val="zh-CN"/>
          <w14:textFill>
            <w14:solidFill>
              <w14:schemeClr w14:val="tx1"/>
            </w14:solidFill>
          </w14:textFill>
        </w:rPr>
        <w:t>其投标。</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ind w:leftChars="0" w:firstLine="1760" w:firstLineChars="400"/>
        <w:jc w:val="both"/>
        <w:rPr>
          <w:rFonts w:ascii="黑体" w:hAnsi="黑体" w:eastAsia="黑体"/>
          <w:color w:val="000000" w:themeColor="text1"/>
          <w14:textFill>
            <w14:solidFill>
              <w14:schemeClr w14:val="tx1"/>
            </w14:solidFill>
          </w14:textFill>
        </w:rPr>
      </w:pPr>
      <w:bookmarkStart w:id="51" w:name="_Toc495861541"/>
      <w:r>
        <w:rPr>
          <w:rFonts w:hint="eastAsia" w:ascii="黑体" w:hAnsi="黑体" w:eastAsia="黑体"/>
          <w:color w:val="000000" w:themeColor="text1"/>
          <w:lang w:val="en-US" w:eastAsia="zh-CN"/>
          <w14:textFill>
            <w14:solidFill>
              <w14:schemeClr w14:val="tx1"/>
            </w14:solidFill>
          </w14:textFill>
        </w:rPr>
        <w:t xml:space="preserve">第五章    </w:t>
      </w:r>
      <w:r>
        <w:rPr>
          <w:rFonts w:hint="eastAsia" w:ascii="黑体" w:hAnsi="黑体" w:eastAsia="黑体"/>
          <w:color w:val="000000" w:themeColor="text1"/>
          <w14:textFill>
            <w14:solidFill>
              <w14:schemeClr w14:val="tx1"/>
            </w14:solidFill>
          </w14:textFill>
        </w:rPr>
        <w:t>评标方法、程序及标准</w:t>
      </w:r>
      <w:bookmarkEnd w:id="51"/>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根据《政府采购法》、《政府采购法实施条例》、《政府采购货物和服务招标投标管理办法》等相关法律法规确定以下评标办法、程序及标准。</w:t>
      </w:r>
    </w:p>
    <w:p>
      <w:pPr>
        <w:pStyle w:val="2"/>
        <w:numPr>
          <w:ilvl w:val="0"/>
          <w:numId w:val="56"/>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2" w:name="_Toc272247708"/>
      <w:bookmarkStart w:id="53" w:name="_Toc278891605"/>
      <w:bookmarkStart w:id="54" w:name="_Toc495861542"/>
      <w:bookmarkStart w:id="55" w:name="_Toc494561961"/>
      <w:r>
        <w:rPr>
          <w:rFonts w:hint="eastAsia" w:cs="Times New Roman" w:asciiTheme="majorEastAsia" w:hAnsiTheme="majorEastAsia"/>
          <w:bCs w:val="0"/>
          <w:color w:val="000000" w:themeColor="text1"/>
          <w:sz w:val="30"/>
          <w:szCs w:val="30"/>
          <w:lang w:val="zh-CN"/>
          <w14:textFill>
            <w14:solidFill>
              <w14:schemeClr w14:val="tx1"/>
            </w14:solidFill>
          </w14:textFill>
        </w:rPr>
        <w:t>评标</w:t>
      </w:r>
      <w:bookmarkEnd w:id="52"/>
      <w:bookmarkEnd w:id="53"/>
      <w:r>
        <w:rPr>
          <w:rFonts w:hint="eastAsia" w:cs="Times New Roman" w:asciiTheme="majorEastAsia" w:hAnsiTheme="majorEastAsia"/>
          <w:bCs w:val="0"/>
          <w:color w:val="000000" w:themeColor="text1"/>
          <w:sz w:val="30"/>
          <w:szCs w:val="30"/>
          <w:lang w:val="zh-CN"/>
          <w14:textFill>
            <w14:solidFill>
              <w14:schemeClr w14:val="tx1"/>
            </w14:solidFill>
          </w14:textFill>
        </w:rPr>
        <w:t>方法</w:t>
      </w:r>
      <w:bookmarkEnd w:id="54"/>
      <w:bookmarkEnd w:id="55"/>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本项目评标采用综合评分法，</w:t>
      </w:r>
      <w:r>
        <w:rPr>
          <w:rFonts w:ascii="宋体" w:hAnsi="宋体" w:eastAsia="宋体" w:cs="Times New Roman"/>
          <w:bCs/>
          <w:color w:val="000000" w:themeColor="text1"/>
          <w:sz w:val="24"/>
          <w:szCs w:val="20"/>
          <w:lang w:val="zh-CN"/>
          <w14:textFill>
            <w14:solidFill>
              <w14:schemeClr w14:val="tx1"/>
            </w14:solidFill>
          </w14:textFill>
        </w:rPr>
        <w:t>是指投标文件满足招标文件全部实质性要求，且按照评审因素的量化指标评审得分最高的投标人为中标候选人的评标方法。</w:t>
      </w:r>
    </w:p>
    <w:p>
      <w:pPr>
        <w:pStyle w:val="2"/>
        <w:numPr>
          <w:ilvl w:val="0"/>
          <w:numId w:val="56"/>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6" w:name="_Toc278891606"/>
      <w:bookmarkStart w:id="57" w:name="_Toc272247709"/>
      <w:bookmarkStart w:id="58" w:name="_Toc495861543"/>
      <w:bookmarkStart w:id="59" w:name="_Toc494561962"/>
      <w:r>
        <w:rPr>
          <w:rFonts w:hint="eastAsia" w:cs="Times New Roman" w:asciiTheme="majorEastAsia" w:hAnsiTheme="majorEastAsia"/>
          <w:bCs w:val="0"/>
          <w:color w:val="000000" w:themeColor="text1"/>
          <w:sz w:val="30"/>
          <w:szCs w:val="30"/>
          <w:lang w:val="zh-CN"/>
          <w14:textFill>
            <w14:solidFill>
              <w14:schemeClr w14:val="tx1"/>
            </w14:solidFill>
          </w14:textFill>
        </w:rPr>
        <w:t>评标程序</w:t>
      </w:r>
      <w:bookmarkEnd w:id="56"/>
      <w:bookmarkEnd w:id="57"/>
      <w:r>
        <w:rPr>
          <w:rFonts w:hint="eastAsia" w:cs="Times New Roman" w:asciiTheme="majorEastAsia" w:hAnsiTheme="majorEastAsia"/>
          <w:bCs w:val="0"/>
          <w:color w:val="000000" w:themeColor="text1"/>
          <w:sz w:val="30"/>
          <w:szCs w:val="30"/>
          <w:lang w:val="zh-CN"/>
          <w14:textFill>
            <w14:solidFill>
              <w14:schemeClr w14:val="tx1"/>
            </w14:solidFill>
          </w14:textFill>
        </w:rPr>
        <w:t>及标准</w:t>
      </w:r>
      <w:bookmarkEnd w:id="58"/>
      <w:bookmarkEnd w:id="59"/>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评标委员会按以下工作程序进行评标：</w:t>
      </w:r>
      <w:r>
        <w:rPr>
          <w:rFonts w:hint="eastAsia" w:ascii="宋体" w:hAnsi="宋体" w:eastAsia="宋体" w:cs="Times New Roman"/>
          <w:color w:val="000000" w:themeColor="text1"/>
          <w:sz w:val="24"/>
          <w:szCs w:val="20"/>
          <w:lang w:val="zh-CN"/>
          <w14:textFill>
            <w14:solidFill>
              <w14:schemeClr w14:val="tx1"/>
            </w14:solidFill>
          </w14:textFill>
        </w:rPr>
        <w:t>符合性审查、澄清有关问题、综合比较和评价、确定中标候选人名单。</w:t>
      </w:r>
    </w:p>
    <w:p>
      <w:pPr>
        <w:numPr>
          <w:ilvl w:val="0"/>
          <w:numId w:val="57"/>
        </w:numPr>
        <w:ind w:left="1311" w:leftChars="154" w:hanging="988" w:hangingChars="353"/>
        <w:rPr>
          <w:rFonts w:ascii="宋体" w:hAnsi="宋体" w:eastAsia="宋体" w:cs="Times New Roman"/>
          <w:strike/>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符合性审查</w:t>
      </w:r>
    </w:p>
    <w:p>
      <w:pPr>
        <w:spacing w:line="360" w:lineRule="auto"/>
        <w:ind w:firstLine="470" w:firstLineChars="196"/>
        <w:rPr>
          <w:rFonts w:ascii="宋体" w:hAnsi="宋体" w:eastAsia="宋体" w:cs="Times New Roman"/>
          <w:bCs/>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评标委员会应当对符合资格的投标人的投标文件进行符合性审查，以确定其是否满足招标文件的实质性要求。</w:t>
      </w:r>
      <w:r>
        <w:rPr>
          <w:rFonts w:hint="eastAsia" w:ascii="宋体" w:hAnsi="宋体" w:eastAsia="宋体" w:cs="Times New Roman"/>
          <w:bCs/>
          <w:color w:val="000000" w:themeColor="text1"/>
          <w:sz w:val="24"/>
          <w:szCs w:val="20"/>
          <w:lang w:val="zh-CN"/>
          <w14:textFill>
            <w14:solidFill>
              <w14:schemeClr w14:val="tx1"/>
            </w14:solidFill>
          </w14:textFill>
        </w:rPr>
        <w:t>符合性审查出现下列情形之一的投标按照</w:t>
      </w:r>
      <w:r>
        <w:rPr>
          <w:rFonts w:hint="eastAsia" w:ascii="宋体" w:hAnsi="宋体" w:eastAsia="宋体" w:cs="Times New Roman"/>
          <w:b/>
          <w:bCs/>
          <w:color w:val="000000" w:themeColor="text1"/>
          <w:sz w:val="24"/>
          <w:szCs w:val="20"/>
          <w:lang w:val="zh-CN"/>
          <w14:textFill>
            <w14:solidFill>
              <w14:schemeClr w14:val="tx1"/>
            </w14:solidFill>
          </w14:textFill>
        </w:rPr>
        <w:t>无效投标处理</w:t>
      </w:r>
      <w:r>
        <w:rPr>
          <w:rFonts w:hint="eastAsia" w:ascii="宋体" w:hAnsi="宋体" w:eastAsia="宋体" w:cs="Times New Roman"/>
          <w:bCs/>
          <w:color w:val="000000" w:themeColor="text1"/>
          <w:sz w:val="24"/>
          <w:szCs w:val="20"/>
          <w:lang w:val="zh-CN"/>
          <w14:textFill>
            <w14:solidFill>
              <w14:schemeClr w14:val="tx1"/>
            </w14:solidFill>
          </w14:textFill>
        </w:rPr>
        <w:t>：</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投标总报价超过项目（分包）预算金额或最高限价的；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《投标书》、《法定代表人授权书》、《开标一览表》、《投标报价明细表》未提供或不符合招标文件要求的；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工期（服务期限）、质保期不符合招标文件要求的；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投标保证金的交纳不符合招标文件要求的；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出现两个或两个以上不同报价的；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出现两个或两个以上投标方案的（招标文件中要求提供备选方案的除外）；</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投标报价存在缺项、漏项的；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投标有效期不足的；</w:t>
      </w:r>
    </w:p>
    <w:p>
      <w:pPr>
        <w:numPr>
          <w:ilvl w:val="0"/>
          <w:numId w:val="58"/>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无法定代表人签字（签章）或签字（签章）人无法定代表人有效授权的；</w:t>
      </w:r>
    </w:p>
    <w:p>
      <w:pPr>
        <w:numPr>
          <w:ilvl w:val="0"/>
          <w:numId w:val="58"/>
        </w:numPr>
        <w:tabs>
          <w:tab w:val="left" w:pos="75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正本未按要求提供加盖公章及签字（签章）原件的；</w:t>
      </w:r>
    </w:p>
    <w:p>
      <w:pPr>
        <w:numPr>
          <w:ilvl w:val="0"/>
          <w:numId w:val="58"/>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不满足招标文件第三章“项目技术、服务和商务要求”中“★”号条款要求的；</w:t>
      </w:r>
    </w:p>
    <w:p>
      <w:pPr>
        <w:numPr>
          <w:ilvl w:val="0"/>
          <w:numId w:val="58"/>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含有采购人不能接受的附加条件的</w:t>
      </w:r>
      <w:r>
        <w:rPr>
          <w:rFonts w:hint="eastAsia" w:ascii="Times New Roman" w:hAnsi="宋体" w:eastAsia="宋体" w:cs="Times New Roman"/>
          <w:color w:val="000000" w:themeColor="text1"/>
          <w:sz w:val="24"/>
          <w:szCs w:val="24"/>
          <w:lang w:val="zh-CN"/>
          <w14:textFill>
            <w14:solidFill>
              <w14:schemeClr w14:val="tx1"/>
            </w14:solidFill>
          </w14:textFill>
        </w:rPr>
        <w:t>；</w:t>
      </w:r>
    </w:p>
    <w:p>
      <w:pPr>
        <w:numPr>
          <w:ilvl w:val="0"/>
          <w:numId w:val="58"/>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法律、法规</w:t>
      </w:r>
      <w:r>
        <w:rPr>
          <w:rFonts w:hint="eastAsia" w:ascii="Times New Roman" w:hAnsi="宋体" w:eastAsia="宋体" w:cs="Times New Roman"/>
          <w:color w:val="000000" w:themeColor="text1"/>
          <w:sz w:val="24"/>
          <w:szCs w:val="24"/>
          <w:lang w:val="zh-CN"/>
          <w14:textFill>
            <w14:solidFill>
              <w14:schemeClr w14:val="tx1"/>
            </w14:solidFill>
          </w14:textFill>
        </w:rPr>
        <w:t>和招标文件</w:t>
      </w:r>
      <w:r>
        <w:rPr>
          <w:rFonts w:ascii="Times New Roman" w:hAnsi="宋体" w:eastAsia="宋体" w:cs="Times New Roman"/>
          <w:color w:val="000000" w:themeColor="text1"/>
          <w:sz w:val="24"/>
          <w:szCs w:val="24"/>
          <w:lang w:val="zh-CN"/>
          <w14:textFill>
            <w14:solidFill>
              <w14:schemeClr w14:val="tx1"/>
            </w14:solidFill>
          </w14:textFill>
        </w:rPr>
        <w:t>规定的其他</w:t>
      </w:r>
      <w:r>
        <w:rPr>
          <w:rFonts w:hint="eastAsia" w:ascii="Times New Roman" w:hAnsi="宋体" w:eastAsia="宋体" w:cs="Times New Roman"/>
          <w:color w:val="000000" w:themeColor="text1"/>
          <w:sz w:val="24"/>
          <w:szCs w:val="24"/>
          <w:lang w:val="zh-CN"/>
          <w14:textFill>
            <w14:solidFill>
              <w14:schemeClr w14:val="tx1"/>
            </w14:solidFill>
          </w14:textFill>
        </w:rPr>
        <w:t>无效投标</w:t>
      </w:r>
      <w:r>
        <w:rPr>
          <w:rFonts w:ascii="Times New Roman" w:hAnsi="宋体" w:eastAsia="宋体" w:cs="Times New Roman"/>
          <w:color w:val="000000" w:themeColor="text1"/>
          <w:sz w:val="24"/>
          <w:szCs w:val="24"/>
          <w:lang w:val="zh-CN"/>
          <w14:textFill>
            <w14:solidFill>
              <w14:schemeClr w14:val="tx1"/>
            </w14:solidFill>
          </w14:textFill>
        </w:rPr>
        <w:t>情形。</w:t>
      </w:r>
    </w:p>
    <w:p>
      <w:pPr>
        <w:numPr>
          <w:ilvl w:val="0"/>
          <w:numId w:val="57"/>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澄清有关问题</w:t>
      </w:r>
    </w:p>
    <w:p>
      <w:pPr>
        <w:numPr>
          <w:ilvl w:val="0"/>
          <w:numId w:val="59"/>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评标期间，</w:t>
      </w:r>
      <w:r>
        <w:rPr>
          <w:rFonts w:ascii="Helvetica" w:hAnsi="Helvetica" w:eastAsia="宋体" w:cs="Helvetica"/>
          <w:color w:val="000000" w:themeColor="text1"/>
          <w:kern w:val="0"/>
          <w:sz w:val="24"/>
          <w:szCs w:val="24"/>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numPr>
          <w:ilvl w:val="0"/>
          <w:numId w:val="59"/>
        </w:numPr>
        <w:tabs>
          <w:tab w:val="left" w:pos="616"/>
        </w:tabs>
        <w:spacing w:line="360" w:lineRule="auto"/>
        <w:ind w:left="10" w:leftChars="5" w:firstLine="237" w:firstLineChars="99"/>
        <w:rPr>
          <w:rFonts w:ascii="宋体" w:hAnsi="宋体" w:eastAsia="宋体" w:cs="Times New Roman"/>
          <w:bCs/>
          <w:strike/>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投标人应按照评标委员会要求的澄清内容在规定时间内做出澄清。</w:t>
      </w:r>
      <w:r>
        <w:rPr>
          <w:rFonts w:ascii="宋体" w:hAnsi="宋体" w:eastAsia="宋体" w:cs="Times New Roman"/>
          <w:color w:val="000000" w:themeColor="text1"/>
          <w:sz w:val="24"/>
          <w:szCs w:val="20"/>
          <w:lang w:val="zh-CN"/>
          <w14:textFill>
            <w14:solidFill>
              <w14:schemeClr w14:val="tx1"/>
            </w14:solidFill>
          </w14:textFill>
        </w:rPr>
        <w:t>投标文件报价出现前后不一致的</w:t>
      </w:r>
      <w:r>
        <w:rPr>
          <w:rFonts w:hint="eastAsia" w:ascii="宋体" w:hAnsi="宋体" w:eastAsia="宋体" w:cs="Times New Roman"/>
          <w:color w:val="000000" w:themeColor="text1"/>
          <w:sz w:val="24"/>
          <w:szCs w:val="20"/>
          <w:lang w:val="zh-CN"/>
          <w14:textFill>
            <w14:solidFill>
              <w14:schemeClr w14:val="tx1"/>
            </w14:solidFill>
          </w14:textFill>
        </w:rPr>
        <w:t>，按照本节第3</w:t>
      </w:r>
      <w:r>
        <w:rPr>
          <w:rFonts w:hint="eastAsia" w:ascii="宋体" w:hAnsi="宋体" w:eastAsia="宋体" w:cs="Times New Roman"/>
          <w:bCs/>
          <w:color w:val="000000" w:themeColor="text1"/>
          <w:sz w:val="24"/>
          <w:szCs w:val="20"/>
          <w:lang w:val="zh-CN"/>
          <w14:textFill>
            <w14:solidFill>
              <w14:schemeClr w14:val="tx1"/>
            </w14:solidFill>
          </w14:textFill>
        </w:rPr>
        <w:t>条规定进行修正，</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投标人的澄清、说明或者补正不得超出投标文件的范围或者改变投标文件的实质性内容。</w:t>
      </w:r>
    </w:p>
    <w:p>
      <w:pPr>
        <w:numPr>
          <w:ilvl w:val="0"/>
          <w:numId w:val="59"/>
        </w:numPr>
        <w:tabs>
          <w:tab w:val="left" w:pos="616"/>
        </w:tabs>
        <w:spacing w:line="360" w:lineRule="auto"/>
        <w:ind w:left="10" w:leftChars="5" w:firstLine="237" w:firstLineChars="99"/>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投标文件报价出现前后不一致的，按照下列规定修正：</w:t>
      </w:r>
    </w:p>
    <w:p>
      <w:pPr>
        <w:numPr>
          <w:ilvl w:val="0"/>
          <w:numId w:val="60"/>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投标文件中开标一览表内容与投标文件中相应内容不一致的，以开标一览表为准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60"/>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大写金额和小写金额不一致的，以大写金额为准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60"/>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单价金额小数点或者百分比有明显错位的，以开标一览表的总价为准，并修改单价</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60"/>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总价金额与按单价汇总金额不一致的，以单价金额计算结果为准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60"/>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同时出现两种以上不一致的，按照前款规定的顺序修正</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60"/>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修正后的报价按照</w:t>
      </w:r>
      <w:r>
        <w:rPr>
          <w:rFonts w:hint="eastAsia" w:ascii="宋体" w:hAnsi="宋体" w:eastAsia="宋体" w:cs="Times New Roman"/>
          <w:color w:val="000000" w:themeColor="text1"/>
          <w:sz w:val="24"/>
          <w:szCs w:val="24"/>
          <w:lang w:val="zh-CN"/>
          <w14:textFill>
            <w14:solidFill>
              <w14:schemeClr w14:val="tx1"/>
            </w14:solidFill>
          </w14:textFill>
        </w:rPr>
        <w:t>本节第4条规定</w:t>
      </w:r>
      <w:r>
        <w:rPr>
          <w:rFonts w:ascii="宋体" w:hAnsi="宋体" w:eastAsia="宋体" w:cs="Times New Roman"/>
          <w:color w:val="000000" w:themeColor="text1"/>
          <w:sz w:val="24"/>
          <w:szCs w:val="24"/>
          <w:lang w:val="zh-CN"/>
          <w14:textFill>
            <w14:solidFill>
              <w14:schemeClr w14:val="tx1"/>
            </w14:solidFill>
          </w14:textFill>
        </w:rPr>
        <w:t>经投标人确认后产生约束力，投标人不确认的，</w:t>
      </w:r>
      <w:r>
        <w:rPr>
          <w:rFonts w:hint="eastAsia" w:ascii="宋体" w:hAnsi="宋体" w:eastAsia="宋体" w:cs="Times New Roman"/>
          <w:color w:val="000000" w:themeColor="text1"/>
          <w:sz w:val="24"/>
          <w:szCs w:val="24"/>
          <w:lang w:val="zh-CN"/>
          <w14:textFill>
            <w14:solidFill>
              <w14:schemeClr w14:val="tx1"/>
            </w14:solidFill>
          </w14:textFill>
        </w:rPr>
        <w:t>按照</w:t>
      </w:r>
      <w:r>
        <w:rPr>
          <w:rFonts w:ascii="宋体" w:hAnsi="宋体" w:eastAsia="宋体" w:cs="Times New Roman"/>
          <w:b/>
          <w:color w:val="000000" w:themeColor="text1"/>
          <w:sz w:val="24"/>
          <w:szCs w:val="24"/>
          <w:lang w:val="zh-CN"/>
          <w14:textFill>
            <w14:solidFill>
              <w14:schemeClr w14:val="tx1"/>
            </w14:solidFill>
          </w14:textFill>
        </w:rPr>
        <w:t>无效</w:t>
      </w:r>
      <w:r>
        <w:rPr>
          <w:rFonts w:hint="eastAsia" w:ascii="宋体" w:hAnsi="宋体" w:eastAsia="宋体" w:cs="Times New Roman"/>
          <w:b/>
          <w:color w:val="000000" w:themeColor="text1"/>
          <w:sz w:val="24"/>
          <w:szCs w:val="24"/>
          <w:lang w:val="zh-CN"/>
          <w14:textFill>
            <w14:solidFill>
              <w14:schemeClr w14:val="tx1"/>
            </w14:solidFill>
          </w14:textFill>
        </w:rPr>
        <w:t>投标处理</w:t>
      </w:r>
      <w:r>
        <w:rPr>
          <w:rFonts w:ascii="宋体" w:hAnsi="宋体" w:eastAsia="宋体" w:cs="Times New Roman"/>
          <w:color w:val="000000" w:themeColor="text1"/>
          <w:sz w:val="24"/>
          <w:szCs w:val="24"/>
          <w:lang w:val="zh-CN"/>
          <w14:textFill>
            <w14:solidFill>
              <w14:schemeClr w14:val="tx1"/>
            </w14:solidFill>
          </w14:textFill>
        </w:rPr>
        <w:t>。</w:t>
      </w:r>
    </w:p>
    <w:p>
      <w:pPr>
        <w:numPr>
          <w:ilvl w:val="0"/>
          <w:numId w:val="59"/>
        </w:numPr>
        <w:tabs>
          <w:tab w:val="left" w:pos="616"/>
        </w:tabs>
        <w:spacing w:line="360" w:lineRule="auto"/>
        <w:ind w:left="10" w:leftChars="5" w:firstLine="237" w:firstLineChars="99"/>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投标人的</w:t>
      </w:r>
      <w:r>
        <w:rPr>
          <w:rFonts w:ascii="Helvetica" w:hAnsi="Helvetica" w:eastAsia="宋体" w:cs="Helvetica"/>
          <w:color w:val="000000" w:themeColor="text1"/>
          <w:kern w:val="0"/>
          <w:sz w:val="24"/>
          <w:szCs w:val="24"/>
          <w:lang w:val="zh-CN"/>
          <w14:textFill>
            <w14:solidFill>
              <w14:schemeClr w14:val="tx1"/>
            </w14:solidFill>
          </w14:textFill>
        </w:rPr>
        <w:t>澄清、说明或者补正</w:t>
      </w:r>
      <w:r>
        <w:rPr>
          <w:rFonts w:hint="eastAsia" w:ascii="宋体" w:hAnsi="宋体" w:eastAsia="宋体" w:cs="Times New Roman"/>
          <w:color w:val="000000" w:themeColor="text1"/>
          <w:sz w:val="24"/>
          <w:szCs w:val="20"/>
          <w:lang w:val="zh-CN"/>
          <w14:textFill>
            <w14:solidFill>
              <w14:schemeClr w14:val="tx1"/>
            </w14:solidFill>
          </w14:textFill>
        </w:rPr>
        <w:t>是其投标文件的有效组成部分。</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投标人的澄清、说明或者补正应当采用书面形式，并加盖公章，或者由法定代表人或其授权的代表签字。</w:t>
      </w:r>
    </w:p>
    <w:p>
      <w:pPr>
        <w:numPr>
          <w:ilvl w:val="0"/>
          <w:numId w:val="57"/>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综合比较与评价</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评标委员会应当按照</w:t>
      </w:r>
      <w:r>
        <w:rPr>
          <w:rFonts w:hint="eastAsia" w:ascii="宋体" w:hAnsi="宋体" w:eastAsia="宋体" w:cs="Times New Roman"/>
          <w:bCs/>
          <w:color w:val="000000" w:themeColor="text1"/>
          <w:sz w:val="24"/>
          <w:szCs w:val="20"/>
          <w:lang w:val="zh-CN"/>
          <w14:textFill>
            <w14:solidFill>
              <w14:schemeClr w14:val="tx1"/>
            </w14:solidFill>
          </w14:textFill>
        </w:rPr>
        <w:t>本章</w:t>
      </w:r>
      <w:r>
        <w:rPr>
          <w:rFonts w:ascii="宋体" w:hAnsi="宋体" w:eastAsia="宋体" w:cs="Times New Roman"/>
          <w:bCs/>
          <w:color w:val="000000" w:themeColor="text1"/>
          <w:sz w:val="24"/>
          <w:szCs w:val="20"/>
          <w:lang w:val="zh-CN"/>
          <w14:textFill>
            <w14:solidFill>
              <w14:schemeClr w14:val="tx1"/>
            </w14:solidFill>
          </w14:textFill>
        </w:rPr>
        <w:t>中规定的</w:t>
      </w:r>
      <w:r>
        <w:rPr>
          <w:rFonts w:hint="eastAsia" w:ascii="宋体" w:hAnsi="宋体" w:eastAsia="宋体" w:cs="Times New Roman"/>
          <w:bCs/>
          <w:color w:val="000000" w:themeColor="text1"/>
          <w:sz w:val="24"/>
          <w:szCs w:val="20"/>
          <w:lang w:val="zh-CN"/>
          <w14:textFill>
            <w14:solidFill>
              <w14:schemeClr w14:val="tx1"/>
            </w14:solidFill>
          </w14:textFill>
        </w:rPr>
        <w:t>评标方法和标准</w:t>
      </w:r>
      <w:r>
        <w:rPr>
          <w:rFonts w:ascii="宋体" w:hAnsi="宋体" w:eastAsia="宋体" w:cs="Times New Roman"/>
          <w:bCs/>
          <w:color w:val="000000" w:themeColor="text1"/>
          <w:sz w:val="24"/>
          <w:szCs w:val="20"/>
          <w:lang w:val="zh-CN"/>
          <w14:textFill>
            <w14:solidFill>
              <w14:schemeClr w14:val="tx1"/>
            </w14:solidFill>
          </w14:textFill>
        </w:rPr>
        <w:t>，对符合性审查合格的投标文件进行商务和技术</w:t>
      </w:r>
      <w:r>
        <w:rPr>
          <w:rFonts w:hint="eastAsia" w:ascii="宋体" w:hAnsi="宋体" w:eastAsia="宋体" w:cs="Times New Roman"/>
          <w:bCs/>
          <w:color w:val="000000" w:themeColor="text1"/>
          <w:sz w:val="24"/>
          <w:szCs w:val="20"/>
          <w:lang w:val="zh-CN"/>
          <w14:textFill>
            <w14:solidFill>
              <w14:schemeClr w14:val="tx1"/>
            </w14:solidFill>
          </w14:textFill>
        </w:rPr>
        <w:t>、服务</w:t>
      </w:r>
      <w:r>
        <w:rPr>
          <w:rFonts w:ascii="宋体" w:hAnsi="宋体" w:eastAsia="宋体" w:cs="Times New Roman"/>
          <w:bCs/>
          <w:color w:val="000000" w:themeColor="text1"/>
          <w:sz w:val="24"/>
          <w:szCs w:val="20"/>
          <w:lang w:val="zh-CN"/>
          <w14:textFill>
            <w14:solidFill>
              <w14:schemeClr w14:val="tx1"/>
            </w14:solidFill>
          </w14:textFill>
        </w:rPr>
        <w:t>评估，综合比较与评价。</w:t>
      </w:r>
    </w:p>
    <w:p>
      <w:pPr>
        <w:numPr>
          <w:ilvl w:val="0"/>
          <w:numId w:val="61"/>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商务评议</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评标委员会对符合性审查合格的投标文件进行评议，并依据本章“评审因素及评分标准”中的商务评议进行综合比较和评分。</w:t>
      </w:r>
    </w:p>
    <w:p>
      <w:pPr>
        <w:numPr>
          <w:ilvl w:val="0"/>
          <w:numId w:val="61"/>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技术、服务评议</w:t>
      </w:r>
    </w:p>
    <w:p>
      <w:pPr>
        <w:spacing w:line="360" w:lineRule="auto"/>
        <w:ind w:firstLine="480" w:firstLineChars="200"/>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评标委员会对符合性审查合格的投标文件进行评议，并依据本章“评审因素及评分标准”中的技术、服务评议进行综合比较和评分。</w:t>
      </w:r>
    </w:p>
    <w:p>
      <w:pPr>
        <w:numPr>
          <w:ilvl w:val="0"/>
          <w:numId w:val="61"/>
        </w:numPr>
        <w:tabs>
          <w:tab w:val="left" w:pos="616"/>
        </w:tabs>
        <w:spacing w:line="360" w:lineRule="auto"/>
        <w:ind w:left="10" w:leftChars="5" w:firstLine="237" w:firstLineChars="99"/>
        <w:rPr>
          <w:rFonts w:ascii="宋体" w:hAnsi="宋体" w:eastAsia="宋体" w:cs="Times New Roman"/>
          <w:b/>
          <w:bCs/>
          <w:color w:val="000000" w:themeColor="text1"/>
          <w:sz w:val="24"/>
          <w:szCs w:val="20"/>
          <w:highlight w:val="none"/>
          <w:lang w:val="zh-CN"/>
          <w14:textFill>
            <w14:solidFill>
              <w14:schemeClr w14:val="tx1"/>
            </w14:solidFill>
          </w14:textFill>
        </w:rPr>
      </w:pPr>
      <w:r>
        <w:rPr>
          <w:rFonts w:hint="eastAsia" w:ascii="宋体" w:hAnsi="宋体" w:eastAsia="宋体" w:cs="Times New Roman"/>
          <w:b/>
          <w:bCs/>
          <w:color w:val="000000" w:themeColor="text1"/>
          <w:sz w:val="24"/>
          <w:szCs w:val="20"/>
          <w:highlight w:val="none"/>
          <w:lang w:val="zh-CN"/>
          <w14:textFill>
            <w14:solidFill>
              <w14:schemeClr w14:val="tx1"/>
            </w14:solidFill>
          </w14:textFill>
        </w:rPr>
        <w:t>价格评议</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评标委员会对符合性审查合格的投标文件进行价格评议（</w:t>
      </w:r>
      <w:r>
        <w:rPr>
          <w:rFonts w:hint="eastAsia" w:ascii="宋体" w:hAnsi="宋体" w:eastAsia="宋体" w:cs="Times New Roman"/>
          <w:bCs/>
          <w:color w:val="000000" w:themeColor="text1"/>
          <w:sz w:val="24"/>
          <w:szCs w:val="21"/>
          <w:highlight w:val="none"/>
          <w:lang w:val="zh-CN"/>
          <w14:textFill>
            <w14:solidFill>
              <w14:schemeClr w14:val="tx1"/>
            </w14:solidFill>
          </w14:textFill>
        </w:rPr>
        <w:t>执行国家统一定价标准和采用固定价格采购的项目，其价格不列为评审因素</w:t>
      </w:r>
      <w:r>
        <w:rPr>
          <w:rFonts w:hint="eastAsia" w:ascii="宋体" w:hAnsi="宋体" w:eastAsia="宋体" w:cs="Times New Roman"/>
          <w:bCs/>
          <w:color w:val="000000" w:themeColor="text1"/>
          <w:sz w:val="24"/>
          <w:szCs w:val="24"/>
          <w:highlight w:val="none"/>
          <w14:textFill>
            <w14:solidFill>
              <w14:schemeClr w14:val="tx1"/>
            </w14:solidFill>
          </w14:textFill>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62"/>
        </w:numPr>
        <w:adjustRightInd w:val="0"/>
        <w:spacing w:line="360" w:lineRule="auto"/>
        <w:ind w:left="742" w:hanging="493"/>
        <w:rPr>
          <w:rFonts w:ascii="宋体" w:hAnsi="宋体" w:eastAsia="宋体" w:cs="Times New Roman"/>
          <w:bCs/>
          <w:color w:val="000000" w:themeColor="text1"/>
          <w:sz w:val="24"/>
          <w:szCs w:val="21"/>
          <w:highlight w:val="none"/>
          <w:lang w:val="zh-CN"/>
          <w14:textFill>
            <w14:solidFill>
              <w14:schemeClr w14:val="tx1"/>
            </w14:solidFill>
          </w14:textFill>
        </w:rPr>
      </w:pPr>
      <w:r>
        <w:rPr>
          <w:rFonts w:hint="eastAsia" w:ascii="宋体" w:hAnsi="宋体" w:eastAsia="宋体" w:cs="Times New Roman"/>
          <w:b/>
          <w:color w:val="000000" w:themeColor="text1"/>
          <w:sz w:val="24"/>
          <w:szCs w:val="24"/>
          <w:highlight w:val="none"/>
          <w:lang w:val="zh-CN"/>
          <w14:textFill>
            <w14:solidFill>
              <w14:schemeClr w14:val="tx1"/>
            </w14:solidFill>
          </w14:textFill>
        </w:rPr>
        <w:t>报价合理性说明：</w:t>
      </w:r>
      <w:r>
        <w:rPr>
          <w:rFonts w:hint="eastAsia" w:ascii="宋体" w:hAnsi="宋体" w:eastAsia="宋体" w:cs="Times New Roman"/>
          <w:b w:val="0"/>
          <w:bCs/>
          <w:color w:val="000000" w:themeColor="text1"/>
          <w:sz w:val="24"/>
          <w:szCs w:val="24"/>
          <w:highlight w:val="none"/>
          <w:lang w:val="zh-CN"/>
          <w14:textFill>
            <w14:solidFill>
              <w14:schemeClr w14:val="tx1"/>
            </w14:solidFill>
          </w14:textFill>
        </w:rPr>
        <w:t>为保证产品质量，</w:t>
      </w:r>
      <w:r>
        <w:rPr>
          <w:rFonts w:ascii="宋体" w:hAnsi="宋体" w:eastAsia="宋体" w:cs="Helvetica"/>
          <w:color w:val="000000" w:themeColor="text1"/>
          <w:kern w:val="0"/>
          <w:sz w:val="24"/>
          <w:szCs w:val="24"/>
          <w:highlight w:val="none"/>
          <w:lang w:val="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000000" w:themeColor="text1"/>
          <w:kern w:val="0"/>
          <w:sz w:val="24"/>
          <w:szCs w:val="24"/>
          <w:highlight w:val="none"/>
          <w:lang w:val="zh-CN"/>
          <w14:textFill>
            <w14:solidFill>
              <w14:schemeClr w14:val="tx1"/>
            </w14:solidFill>
          </w14:textFill>
        </w:rPr>
        <w:t>应当将其作为</w:t>
      </w:r>
      <w:r>
        <w:rPr>
          <w:rFonts w:ascii="宋体" w:hAnsi="宋体" w:eastAsia="宋体" w:cs="Helvetica"/>
          <w:b/>
          <w:color w:val="000000" w:themeColor="text1"/>
          <w:kern w:val="0"/>
          <w:sz w:val="24"/>
          <w:szCs w:val="24"/>
          <w:highlight w:val="none"/>
          <w:lang w:val="zh-CN"/>
          <w14:textFill>
            <w14:solidFill>
              <w14:schemeClr w14:val="tx1"/>
            </w14:solidFill>
          </w14:textFill>
        </w:rPr>
        <w:t>无效投标处理</w:t>
      </w:r>
      <w:r>
        <w:rPr>
          <w:rFonts w:ascii="宋体" w:hAnsi="宋体" w:eastAsia="宋体" w:cs="Helvetica"/>
          <w:color w:val="000000" w:themeColor="text1"/>
          <w:kern w:val="0"/>
          <w:sz w:val="24"/>
          <w:szCs w:val="24"/>
          <w:highlight w:val="none"/>
          <w:lang w:val="zh-CN"/>
          <w14:textFill>
            <w14:solidFill>
              <w14:schemeClr w14:val="tx1"/>
            </w14:solidFill>
          </w14:textFill>
        </w:rPr>
        <w:t>。</w:t>
      </w:r>
    </w:p>
    <w:p>
      <w:pPr>
        <w:numPr>
          <w:ilvl w:val="0"/>
          <w:numId w:val="61"/>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相同品牌处理原则</w:t>
      </w:r>
    </w:p>
    <w:p>
      <w:pPr>
        <w:numPr>
          <w:ilvl w:val="0"/>
          <w:numId w:val="63"/>
        </w:numPr>
        <w:adjustRightInd w:val="0"/>
        <w:spacing w:line="360" w:lineRule="auto"/>
        <w:ind w:left="756" w:hanging="507"/>
        <w:rPr>
          <w:rFonts w:hint="eastAsia" w:ascii="Helvetica" w:hAnsi="Helvetica" w:eastAsia="宋体" w:cs="Helvetica"/>
          <w:b w:val="0"/>
          <w:bCs w:val="0"/>
          <w:color w:val="000000" w:themeColor="text1"/>
          <w:kern w:val="0"/>
          <w:sz w:val="24"/>
          <w:szCs w:val="24"/>
          <w:lang w:val="zh-CN" w:eastAsia="zh-CN" w:bidi="ar-SA"/>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采购代理机构对各这个评委的总分进行复核。各项统计学科建设均精确到小数点后位。</w:t>
      </w:r>
    </w:p>
    <w:p>
      <w:pPr>
        <w:numPr>
          <w:ilvl w:val="0"/>
          <w:numId w:val="63"/>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b w:val="0"/>
          <w:bCs w:val="0"/>
          <w:color w:val="000000" w:themeColor="text1"/>
          <w:kern w:val="0"/>
          <w:sz w:val="24"/>
          <w:szCs w:val="24"/>
          <w:lang w:val="zh-CN" w:eastAsia="zh-CN" w:bidi="ar-SA"/>
          <w14:textFill>
            <w14:solidFill>
              <w14:schemeClr w14:val="tx1"/>
            </w14:solidFill>
          </w14:textFill>
        </w:rPr>
        <w:t>各投标人的最终得分为评委所评定分数的算术平均值。</w:t>
      </w:r>
    </w:p>
    <w:p>
      <w:pPr>
        <w:numPr>
          <w:ilvl w:val="0"/>
          <w:numId w:val="57"/>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推荐中标候选人名单或确定中标人</w:t>
      </w:r>
    </w:p>
    <w:p>
      <w:pPr>
        <w:numPr>
          <w:ilvl w:val="0"/>
          <w:numId w:val="6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评标委员会按照招标文件确定的评标方法、程序及标准，对投标文件进行评审。</w:t>
      </w:r>
      <w:r>
        <w:rPr>
          <w:rFonts w:ascii="Helvetica" w:hAnsi="Helvetica" w:eastAsia="宋体" w:cs="Helvetica"/>
          <w:color w:val="000000" w:themeColor="text1"/>
          <w:kern w:val="0"/>
          <w:sz w:val="24"/>
          <w:szCs w:val="24"/>
          <w:lang w:val="zh-CN"/>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评标委员会依据评标结果，按各投标人的评审后得分由高到低的顺序向采购人推荐得分前三名的进入中标候选人名单，并形成书面的评标报告。</w:t>
      </w:r>
    </w:p>
    <w:p>
      <w:pPr>
        <w:numPr>
          <w:ilvl w:val="0"/>
          <w:numId w:val="6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中标候选人并列的，</w:t>
      </w:r>
      <w:r>
        <w:rPr>
          <w:rFonts w:ascii="Helvetica" w:hAnsi="Helvetica" w:eastAsia="宋体" w:cs="Helvetica"/>
          <w:color w:val="000000" w:themeColor="text1"/>
          <w:kern w:val="0"/>
          <w:sz w:val="24"/>
          <w:szCs w:val="24"/>
          <w:lang w:val="zh-CN"/>
          <w14:textFill>
            <w14:solidFill>
              <w14:schemeClr w14:val="tx1"/>
            </w14:solidFill>
          </w14:textFill>
        </w:rPr>
        <w:t>由采购人</w:t>
      </w:r>
      <w:r>
        <w:rPr>
          <w:rFonts w:hint="eastAsia" w:ascii="Helvetica" w:hAnsi="Helvetica" w:eastAsia="宋体" w:cs="Helvetica"/>
          <w:color w:val="000000" w:themeColor="text1"/>
          <w:kern w:val="0"/>
          <w:sz w:val="24"/>
          <w:szCs w:val="24"/>
          <w:lang w:val="zh-CN"/>
          <w14:textFill>
            <w14:solidFill>
              <w14:schemeClr w14:val="tx1"/>
            </w14:solidFill>
          </w14:textFill>
        </w:rPr>
        <w:t>确定</w:t>
      </w:r>
      <w:r>
        <w:rPr>
          <w:rFonts w:ascii="Helvetica" w:hAnsi="Helvetica" w:eastAsia="宋体" w:cs="Helvetica"/>
          <w:color w:val="000000" w:themeColor="text1"/>
          <w:kern w:val="0"/>
          <w:sz w:val="24"/>
          <w:szCs w:val="24"/>
          <w:lang w:val="zh-CN"/>
          <w14:textFill>
            <w14:solidFill>
              <w14:schemeClr w14:val="tx1"/>
            </w14:solidFill>
          </w14:textFill>
        </w:rPr>
        <w:t>或者采购人委托评标委员会</w:t>
      </w:r>
      <w:r>
        <w:rPr>
          <w:rFonts w:hint="eastAsia" w:ascii="Helvetica" w:hAnsi="Helvetica" w:eastAsia="宋体" w:cs="Helvetica"/>
          <w:color w:val="000000" w:themeColor="text1"/>
          <w:kern w:val="0"/>
          <w:sz w:val="24"/>
          <w:szCs w:val="24"/>
          <w:lang w:val="zh-CN"/>
          <w14:textFill>
            <w14:solidFill>
              <w14:schemeClr w14:val="tx1"/>
            </w14:solidFill>
          </w14:textFill>
        </w:rPr>
        <w:t>以投票方式</w:t>
      </w:r>
      <w:r>
        <w:rPr>
          <w:rFonts w:ascii="Helvetica" w:hAnsi="Helvetica" w:eastAsia="宋体" w:cs="Helvetica"/>
          <w:color w:val="000000" w:themeColor="text1"/>
          <w:kern w:val="0"/>
          <w:sz w:val="24"/>
          <w:szCs w:val="24"/>
          <w:lang w:val="zh-CN"/>
          <w14:textFill>
            <w14:solidFill>
              <w14:schemeClr w14:val="tx1"/>
            </w14:solidFill>
          </w14:textFill>
        </w:rPr>
        <w:t>确定中标人。</w:t>
      </w:r>
    </w:p>
    <w:p>
      <w:pPr>
        <w:numPr>
          <w:ilvl w:val="0"/>
          <w:numId w:val="6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评标委员会应当在评标报告上签字，对自己的评审意见承担法律责任。对评标报告有异议的，应当在评标报告上签署不同意见，并说明理由，否则视为同意评标报告。</w:t>
      </w:r>
    </w:p>
    <w:p>
      <w:pPr>
        <w:numPr>
          <w:ilvl w:val="0"/>
          <w:numId w:val="6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中标人的数量有其他规定的，应在此处明确方法、中标比例等。</w:t>
      </w:r>
    </w:p>
    <w:p>
      <w:pPr>
        <w:pStyle w:val="2"/>
        <w:numPr>
          <w:ilvl w:val="0"/>
          <w:numId w:val="56"/>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60" w:name="_Toc494561963"/>
      <w:bookmarkStart w:id="61" w:name="_Toc495861544"/>
      <w:r>
        <w:rPr>
          <w:rFonts w:hint="eastAsia" w:cs="Times New Roman" w:asciiTheme="majorEastAsia" w:hAnsiTheme="majorEastAsia"/>
          <w:bCs w:val="0"/>
          <w:color w:val="000000" w:themeColor="text1"/>
          <w:sz w:val="30"/>
          <w:szCs w:val="30"/>
          <w:lang w:val="zh-CN"/>
          <w14:textFill>
            <w14:solidFill>
              <w14:schemeClr w14:val="tx1"/>
            </w14:solidFill>
          </w14:textFill>
        </w:rPr>
        <w:t>评审因素及评分标准</w:t>
      </w:r>
      <w:bookmarkEnd w:id="60"/>
      <w:bookmarkEnd w:id="61"/>
    </w:p>
    <w:tbl>
      <w:tblPr>
        <w:tblStyle w:val="1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7952"/>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10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pacing w:line="360" w:lineRule="auto"/>
              <w:rPr>
                <w:rFonts w:ascii="宋体" w:cs="宋体"/>
                <w:bCs/>
                <w:color w:val="auto"/>
                <w:sz w:val="21"/>
                <w:szCs w:val="21"/>
              </w:rPr>
            </w:pPr>
            <w:r>
              <w:rPr>
                <w:rFonts w:hint="eastAsia" w:ascii="宋体" w:hAnsi="宋体" w:cs="宋体"/>
                <w:bCs/>
                <w:color w:val="auto"/>
                <w:sz w:val="21"/>
                <w:szCs w:val="21"/>
              </w:rPr>
              <w:t>细则</w:t>
            </w:r>
          </w:p>
          <w:p>
            <w:pPr>
              <w:spacing w:line="360" w:lineRule="auto"/>
              <w:rPr>
                <w:rFonts w:ascii="宋体" w:cs="宋体"/>
                <w:bCs/>
                <w:color w:val="auto"/>
                <w:sz w:val="21"/>
                <w:szCs w:val="21"/>
              </w:rPr>
            </w:pPr>
            <w:r>
              <w:rPr>
                <w:rFonts w:hint="eastAsia" w:ascii="宋体" w:hAnsi="宋体" w:cs="宋体"/>
                <w:bCs/>
                <w:color w:val="auto"/>
                <w:sz w:val="21"/>
                <w:szCs w:val="21"/>
              </w:rPr>
              <w:t>项目</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bCs/>
                <w:color w:val="auto"/>
                <w:sz w:val="21"/>
                <w:szCs w:val="21"/>
              </w:rPr>
            </w:pPr>
            <w:r>
              <w:rPr>
                <w:rFonts w:hint="eastAsia" w:ascii="宋体" w:hAnsi="宋体" w:cs="宋体"/>
                <w:bCs/>
                <w:color w:val="auto"/>
                <w:sz w:val="21"/>
                <w:szCs w:val="21"/>
              </w:rPr>
              <w:t>分值细则</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bCs/>
                <w:color w:val="auto"/>
                <w:sz w:val="21"/>
                <w:szCs w:val="21"/>
              </w:rPr>
            </w:pPr>
            <w:r>
              <w:rPr>
                <w:rFonts w:hint="eastAsia" w:ascii="宋体" w:hAnsi="宋体" w:cs="宋体"/>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hAnsi="宋体" w:cs="宋体"/>
                <w:color w:val="auto"/>
                <w:sz w:val="21"/>
                <w:szCs w:val="21"/>
              </w:rPr>
              <w:t>价格分（30分）</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pStyle w:val="39"/>
              <w:ind w:left="0" w:leftChars="0" w:firstLine="0" w:firstLineChars="0"/>
              <w:rPr>
                <w:color w:val="auto"/>
                <w:sz w:val="21"/>
                <w:szCs w:val="21"/>
              </w:rPr>
            </w:pPr>
            <w:r>
              <w:rPr>
                <w:rFonts w:hint="eastAsia"/>
                <w:color w:val="auto"/>
                <w:sz w:val="2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hAnsi="宋体" w:cs="宋体"/>
                <w:b/>
                <w:bCs/>
                <w:color w:val="auto"/>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宋体" w:hAnsi="宋体" w:cs="宋体"/>
                <w:color w:val="auto"/>
                <w:sz w:val="21"/>
                <w:szCs w:val="21"/>
              </w:rPr>
            </w:pPr>
            <w:r>
              <w:rPr>
                <w:rFonts w:hint="eastAsia" w:ascii="宋体" w:hAnsi="宋体" w:cs="宋体"/>
                <w:color w:val="auto"/>
                <w:sz w:val="21"/>
                <w:szCs w:val="21"/>
              </w:rPr>
              <w:t>技术分</w:t>
            </w:r>
          </w:p>
          <w:p>
            <w:pPr>
              <w:spacing w:line="360" w:lineRule="auto"/>
              <w:jc w:val="center"/>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50</w:t>
            </w:r>
            <w:r>
              <w:rPr>
                <w:rFonts w:hint="eastAsia" w:ascii="宋体" w:hAnsi="宋体" w:cs="宋体"/>
                <w:color w:val="auto"/>
                <w:sz w:val="21"/>
                <w:szCs w:val="21"/>
              </w:rPr>
              <w:t>分）</w:t>
            </w:r>
          </w:p>
        </w:tc>
        <w:tc>
          <w:tcPr>
            <w:tcW w:w="7952" w:type="dxa"/>
            <w:tcBorders>
              <w:top w:val="single" w:color="auto" w:sz="4" w:space="0"/>
              <w:left w:val="single" w:color="auto" w:sz="4" w:space="0"/>
              <w:right w:val="single" w:color="auto" w:sz="4" w:space="0"/>
            </w:tcBorders>
            <w:noWrap w:val="0"/>
            <w:vAlign w:val="center"/>
          </w:tcPr>
          <w:p>
            <w:pPr>
              <w:pStyle w:val="2"/>
              <w:spacing w:before="0" w:after="0" w:line="240" w:lineRule="auto"/>
              <w:rPr>
                <w:rFonts w:hint="eastAsia" w:ascii="宋体" w:hAnsi="宋体" w:eastAsia="宋体" w:cs="宋体"/>
                <w:b/>
                <w:bCs/>
                <w:sz w:val="24"/>
                <w:szCs w:val="24"/>
                <w:lang w:eastAsia="zh-CN"/>
              </w:rPr>
            </w:pPr>
            <w:r>
              <w:rPr>
                <w:rFonts w:hint="eastAsia"/>
                <w:color w:val="auto"/>
                <w:sz w:val="21"/>
                <w:szCs w:val="21"/>
                <w:lang w:eastAsia="zh-CN"/>
              </w:rPr>
              <w:t>技术参数完全满足招标文件技术参数要求的得</w:t>
            </w:r>
            <w:r>
              <w:rPr>
                <w:rFonts w:hint="eastAsia"/>
                <w:color w:val="auto"/>
                <w:sz w:val="21"/>
                <w:szCs w:val="21"/>
                <w:lang w:val="en-US" w:eastAsia="zh-CN"/>
              </w:rPr>
              <w:t>50</w:t>
            </w:r>
            <w:r>
              <w:rPr>
                <w:rFonts w:hint="eastAsia"/>
                <w:color w:val="auto"/>
                <w:sz w:val="21"/>
                <w:szCs w:val="21"/>
                <w:lang w:eastAsia="zh-CN"/>
              </w:rPr>
              <w:t>分，</w:t>
            </w:r>
            <w:r>
              <w:rPr>
                <w:rFonts w:hint="eastAsia" w:ascii="宋体" w:hAnsi="宋体" w:cs="宋体"/>
                <w:color w:val="auto"/>
                <w:kern w:val="1"/>
                <w:sz w:val="21"/>
                <w:szCs w:val="21"/>
                <w:lang w:eastAsia="zh-CN"/>
              </w:rPr>
              <w:t>以下</w:t>
            </w:r>
            <w:r>
              <w:rPr>
                <w:rFonts w:hint="eastAsia"/>
                <w:color w:val="auto"/>
                <w:sz w:val="21"/>
                <w:szCs w:val="21"/>
              </w:rPr>
              <w:t>任一项不符合则</w:t>
            </w:r>
            <w:r>
              <w:rPr>
                <w:rFonts w:hint="eastAsia"/>
                <w:b/>
                <w:bCs/>
                <w:color w:val="auto"/>
                <w:sz w:val="21"/>
                <w:szCs w:val="21"/>
              </w:rPr>
              <w:t>扣</w:t>
            </w:r>
            <w:r>
              <w:rPr>
                <w:rFonts w:hint="eastAsia"/>
                <w:b/>
                <w:bCs/>
                <w:color w:val="auto"/>
                <w:sz w:val="21"/>
                <w:szCs w:val="21"/>
                <w:lang w:val="en-US" w:eastAsia="zh-CN"/>
              </w:rPr>
              <w:t>2.5</w:t>
            </w:r>
            <w:r>
              <w:rPr>
                <w:rFonts w:hint="eastAsia"/>
                <w:b/>
                <w:bCs/>
                <w:color w:val="auto"/>
                <w:sz w:val="21"/>
                <w:szCs w:val="21"/>
              </w:rPr>
              <w:t>分</w:t>
            </w:r>
            <w:r>
              <w:rPr>
                <w:rFonts w:hint="eastAsia"/>
                <w:b/>
                <w:bCs/>
                <w:color w:val="auto"/>
                <w:sz w:val="21"/>
                <w:szCs w:val="21"/>
                <w:lang w:eastAsia="zh-CN"/>
              </w:rPr>
              <w:t>，超过二十项属无效投标（</w:t>
            </w:r>
            <w:r>
              <w:rPr>
                <w:rFonts w:hint="eastAsia"/>
                <w:b/>
                <w:bCs/>
                <w:color w:val="auto"/>
                <w:sz w:val="21"/>
                <w:szCs w:val="21"/>
                <w:lang w:val="en-US" w:eastAsia="zh-CN"/>
              </w:rPr>
              <w:t>提供有效证明材料，并加盖公章</w:t>
            </w:r>
            <w:r>
              <w:rPr>
                <w:rFonts w:hint="eastAsia"/>
                <w:b/>
                <w:bCs/>
                <w:color w:val="auto"/>
                <w:sz w:val="21"/>
                <w:szCs w:val="21"/>
                <w:lang w:eastAsia="zh-CN"/>
              </w:rPr>
              <w:t>）</w:t>
            </w:r>
            <w:r>
              <w:rPr>
                <w:rFonts w:hint="eastAsia"/>
                <w:b/>
                <w:bCs/>
                <w:color w:val="auto"/>
                <w:sz w:val="21"/>
                <w:szCs w:val="21"/>
              </w:rPr>
              <w:t>。</w:t>
            </w:r>
          </w:p>
          <w:p>
            <w:pPr>
              <w:numPr>
                <w:ilvl w:val="0"/>
                <w:numId w:val="65"/>
              </w:num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实验台</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钢材：符合优质冷轧钢板SPCC等级或同质量标准冷轧钢板（SPCC--表示一般用冷轧碳素钢薄板及钢带，相当于中国Q195-215A牌号）；</w:t>
            </w:r>
          </w:p>
          <w:p>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抽屉：抽屉本体和面板板厚度为≥1.0mm冷轧钢板；</w:t>
            </w:r>
          </w:p>
          <w:p>
            <w:pPr>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试剂架层板：上固定层板采用厚10mm及以上钢化玻璃制作，层板下方具钢制托架以确保层板承重能力；层板外侧上缘采用圆弧或斜边不刮手处理；</w:t>
            </w:r>
          </w:p>
          <w:p>
            <w:pPr>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门板：门板为双层结构，夹层内具消音材料；门板配置门扣组及缓冲垫；门板能开关顺畅达180度。</w:t>
            </w:r>
          </w:p>
          <w:p>
            <w:pP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bCs/>
                <w:color w:val="000000"/>
                <w:sz w:val="21"/>
                <w:szCs w:val="21"/>
                <w:highlight w:val="none"/>
              </w:rPr>
              <w:t>五金配件</w:t>
            </w:r>
            <w:r>
              <w:rPr>
                <w:rFonts w:hint="eastAsia" w:ascii="宋体" w:hAnsi="宋体" w:eastAsia="宋体" w:cs="宋体"/>
                <w:sz w:val="21"/>
                <w:szCs w:val="21"/>
              </w:rPr>
              <w:t>合页：采用厚2.0mm及以上的编号304#不锈钢材质，开启角度≥180度，5节式，由模具加工，确保每个合页的同一性， 承重≥55kg。1200mm高度以下的柜子采用2个合页，超过1200mm高度柜子则采用3个合页。用6个不锈钢螺丝来固定每个合页。</w:t>
            </w:r>
          </w:p>
          <w:p>
            <w:pPr>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滑轨：抽屉采用厚2.0mm及以上钢制高承载导轨，为冷轧钢板模具冲压成型制作，自闭结构设计，表面经环氧树酯粉末静电喷涂，当抽屉关到末端时有自闭功能，滑轨抽屉能抽出至少330mm；抽屉的滚轮采用尼龙包边的滚球轴承。不得使用三节导轨。</w:t>
            </w:r>
          </w:p>
          <w:p>
            <w:pPr>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水槽：实验室专用水槽，高分子PP材质，颜色为黑色，表面光滑，各角落平整，底部向落水头处倾斜，并能与台面板紧密结合；配套高分子PP下水器、滤片、阻水盖、PP去水提笼；除有特殊说明者外，所有水槽，杯槽下水处均应配备聚丙烯材质存水弯防臭装置，规格根据实际需要选用；</w:t>
            </w:r>
          </w:p>
          <w:p>
            <w:pPr>
              <w:numPr>
                <w:ilvl w:val="0"/>
                <w:numId w:val="65"/>
              </w:numPr>
              <w:ind w:left="0" w:leftChars="0" w:firstLine="0" w:firstLineChars="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万向排气罩</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t>材质：移动风罩为聚丙烯材质，排气罩直管采用铝合金制造，铝合金表面做阳极处理达到耐腐蚀要求，所有管段均应以聚丙烯材质的旋转关节连结，移动风罩管体内与气流直接接触的金属零件，均为不锈钢耐蚀材料；</w:t>
            </w:r>
          </w:p>
          <w:p>
            <w:pP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物证柜</w:t>
            </w:r>
          </w:p>
          <w:p>
            <w:pPr>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材质：整体采用≥1.2mm优质冷轧钢板。材料为:优质冷轧钢板;相当于SPCC或其他大型钢厂同等级、同质量标准的钢板；</w:t>
            </w:r>
          </w:p>
          <w:p>
            <w:pPr>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柜门：上部为5mm透明玻璃，下部为实门；玻璃门外框为钢质，玻璃卡槽为PVC材质，对扣夹紧，外表面不见螺丝。下部实门为双层对扣结构；</w:t>
            </w:r>
          </w:p>
          <w:p>
            <w:pPr>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合页：304#不锈钢，5节式；</w:t>
            </w:r>
          </w:p>
          <w:p>
            <w:pP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通风柜：</w:t>
            </w:r>
          </w:p>
          <w:p>
            <w:pPr>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主要部分为优质冷轧钢板SPCC标准≥1.2mm厚冷轧钢板；钢材表面处理满足以下要求：</w:t>
            </w:r>
          </w:p>
          <w:p>
            <w:pPr>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所有钢制柜体或钢结构部件表面必须经静电环氧树脂粉末喷涂处理，涂层平整光滑，不允许有喷涂层脱落、鼓泡、凹陷、压痕以及表面划伤、麻点、裂痕、崩角和刃口等。钢板内外均进行环氧树脂喷涂，防止腐蚀由内而外发生。</w:t>
            </w:r>
          </w:p>
          <w:p>
            <w:pPr>
              <w:rPr>
                <w:rFonts w:hint="eastAsia" w:ascii="宋体" w:hAnsi="宋体" w:eastAsia="宋体" w:cs="宋体"/>
                <w:sz w:val="21"/>
                <w:szCs w:val="21"/>
              </w:rPr>
            </w:pPr>
            <w:r>
              <w:rPr>
                <w:rFonts w:hint="eastAsia" w:ascii="宋体" w:hAnsi="宋体" w:eastAsia="宋体" w:cs="宋体"/>
                <w:sz w:val="21"/>
                <w:szCs w:val="21"/>
                <w:lang w:val="en-US" w:eastAsia="zh-CN"/>
              </w:rPr>
              <w:t>4.3</w:t>
            </w:r>
            <w:r>
              <w:rPr>
                <w:rFonts w:hint="eastAsia" w:ascii="宋体" w:hAnsi="宋体" w:eastAsia="宋体" w:cs="宋体"/>
                <w:sz w:val="21"/>
                <w:szCs w:val="21"/>
              </w:rPr>
              <w:t>预处理：脱脂、水洗、酸洗、水洗中和、磷化、水洗等过程或纳米陶瓷前处理技术。</w:t>
            </w:r>
          </w:p>
          <w:p>
            <w:pPr>
              <w:rPr>
                <w:rFonts w:hint="eastAsia" w:ascii="宋体" w:hAnsi="宋体" w:eastAsia="宋体" w:cs="宋体"/>
                <w:sz w:val="21"/>
                <w:szCs w:val="21"/>
              </w:rPr>
            </w:pPr>
            <w:r>
              <w:rPr>
                <w:rFonts w:hint="eastAsia" w:ascii="宋体" w:hAnsi="宋体" w:eastAsia="宋体" w:cs="宋体"/>
                <w:sz w:val="21"/>
                <w:szCs w:val="21"/>
                <w:lang w:val="en-US" w:eastAsia="zh-CN"/>
              </w:rPr>
              <w:t>4.4</w:t>
            </w:r>
            <w:r>
              <w:rPr>
                <w:rFonts w:hint="eastAsia" w:ascii="宋体" w:hAnsi="宋体" w:eastAsia="宋体" w:cs="宋体"/>
                <w:sz w:val="21"/>
                <w:szCs w:val="21"/>
              </w:rPr>
              <w:t>表面喷涂：静电环氧树脂粉末喷涂处理，涂层厚度≥50μm，在180度高温烘箱内固成光滑表面。</w:t>
            </w:r>
          </w:p>
          <w:p>
            <w:pPr>
              <w:rPr>
                <w:rFonts w:hint="eastAsia" w:ascii="宋体" w:hAnsi="宋体" w:eastAsia="宋体" w:cs="宋体"/>
                <w:sz w:val="21"/>
                <w:szCs w:val="21"/>
              </w:rPr>
            </w:pPr>
            <w:r>
              <w:rPr>
                <w:rFonts w:hint="eastAsia" w:ascii="宋体" w:hAnsi="宋体" w:eastAsia="宋体" w:cs="宋体"/>
                <w:sz w:val="21"/>
                <w:szCs w:val="21"/>
                <w:lang w:val="en-US" w:eastAsia="zh-CN"/>
              </w:rPr>
              <w:t>4.5</w:t>
            </w:r>
            <w:r>
              <w:rPr>
                <w:rFonts w:hint="eastAsia" w:ascii="宋体" w:hAnsi="宋体" w:eastAsia="宋体" w:cs="宋体"/>
                <w:sz w:val="21"/>
                <w:szCs w:val="21"/>
              </w:rPr>
              <w:t>喷涂后的金属表面抗一定的化学物质，能达到如下性能：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附着性能：用划刻刀交叉刻画（1.6mm X 1.6mm），没有掉落；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防腐性能：盐喷实验≥200小时；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磨损性能：Taber磨损实验100次循环不超过5.5mg；</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硬度性能：表面硬度相当于甚至好于4H铅笔；</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防潮性能：华氏100度、饱和湿度情况下，可以抵抗1000小时的暴露；</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湿度性能：热水45度角冲淋5分钟没有变化。水持续浸湿100小时没有变化。</w:t>
            </w:r>
          </w:p>
          <w:p>
            <w:pPr>
              <w:rPr>
                <w:rFonts w:hint="eastAsia" w:ascii="宋体" w:hAnsi="宋体" w:eastAsia="宋体" w:cs="宋体"/>
                <w:sz w:val="21"/>
                <w:szCs w:val="21"/>
              </w:rPr>
            </w:pPr>
            <w:r>
              <w:rPr>
                <w:rFonts w:hint="eastAsia" w:ascii="宋体" w:hAnsi="宋体" w:eastAsia="宋体" w:cs="宋体"/>
                <w:sz w:val="21"/>
                <w:szCs w:val="21"/>
                <w:lang w:val="en-US" w:eastAsia="zh-CN"/>
              </w:rPr>
              <w:t>4.6</w:t>
            </w:r>
            <w:r>
              <w:rPr>
                <w:rFonts w:hint="eastAsia" w:ascii="宋体" w:hAnsi="宋体" w:eastAsia="宋体" w:cs="宋体"/>
                <w:sz w:val="21"/>
                <w:szCs w:val="21"/>
              </w:rPr>
              <w:t>合页：采用厚2.0mm及以上的编号304#不锈钢材质，开启角度≥180度，5节式，由模具加工，确保每个合页的同一性， 承重≥55kg。1200mm高度以下的柜子采用2个合页，超过1200mm高度柜子则采用3个合页。用6个不锈钢螺丝来固定每个合页。</w:t>
            </w:r>
          </w:p>
          <w:p>
            <w:pPr>
              <w:rPr>
                <w:rFonts w:hint="eastAsia" w:ascii="宋体" w:hAnsi="宋体" w:eastAsia="宋体" w:cs="宋体"/>
                <w:sz w:val="21"/>
                <w:szCs w:val="21"/>
              </w:rPr>
            </w:pPr>
            <w:r>
              <w:rPr>
                <w:rFonts w:hint="eastAsia" w:ascii="宋体" w:hAnsi="宋体" w:eastAsia="宋体" w:cs="宋体"/>
                <w:sz w:val="21"/>
                <w:szCs w:val="21"/>
                <w:lang w:val="en-US" w:eastAsia="zh-CN"/>
              </w:rPr>
              <w:t>4.7</w:t>
            </w:r>
            <w:r>
              <w:rPr>
                <w:rFonts w:hint="eastAsia" w:ascii="宋体" w:hAnsi="宋体" w:eastAsia="宋体" w:cs="宋体"/>
                <w:sz w:val="21"/>
                <w:szCs w:val="21"/>
              </w:rPr>
              <w:t>移门：移门传动系统为同步带系统，非钢丝绳系统。使用厚度≥6mm的浮法安全玻璃；滑轨为抗腐蚀PVC材质，移门能够轻松上下移动；移门的关、闭有橡胶缓冲装置；密封条为70硬度 PVC，防止气体泄露，并能阻挡液体流出柜体；移门拉手和移门同宽，材质是不锈钢材料制成。</w:t>
            </w:r>
          </w:p>
          <w:p>
            <w:pP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lang w:eastAsia="zh-CN"/>
              </w:rPr>
              <w:t>物证管理系统</w:t>
            </w:r>
          </w:p>
          <w:p>
            <w:pPr>
              <w:rPr>
                <w:rFonts w:hint="eastAsia" w:ascii="宋体" w:hAnsi="宋体" w:eastAsia="宋体" w:cs="宋体"/>
                <w:sz w:val="21"/>
                <w:szCs w:val="21"/>
              </w:rPr>
            </w:pPr>
            <w:r>
              <w:rPr>
                <w:rFonts w:hint="eastAsia" w:ascii="宋体" w:hAnsi="宋体" w:eastAsia="宋体" w:cs="宋体"/>
                <w:sz w:val="21"/>
                <w:szCs w:val="21"/>
                <w:lang w:val="en-US" w:eastAsia="zh-CN"/>
              </w:rPr>
              <w:t>5.1物证库管理：</w:t>
            </w:r>
            <w:r>
              <w:rPr>
                <w:rFonts w:hint="eastAsia" w:ascii="宋体" w:hAnsi="宋体" w:eastAsia="宋体" w:cs="宋体"/>
                <w:sz w:val="21"/>
                <w:szCs w:val="21"/>
              </w:rPr>
              <w:t>可新建物证柜，选择分区、选择物证室、输入物证柜名称、物证柜编号、物证柜位置（组）、物证柜位置（列）、物证柜节数、物证柜层数、抽屉数、横向格数、纵向格数、备注、是否固定列，完成物证柜的登记；</w:t>
            </w:r>
          </w:p>
          <w:p>
            <w:pPr>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可按年、按季度、按月、按天、对选择时间、选择单位，统计出所有存储物证的数量情况；</w:t>
            </w:r>
          </w:p>
          <w:p>
            <w:pPr>
              <w:rPr>
                <w:rFonts w:hint="eastAsia" w:ascii="宋体" w:hAnsi="宋体" w:eastAsia="宋体" w:cs="宋体"/>
                <w:sz w:val="21"/>
                <w:szCs w:val="21"/>
              </w:rPr>
            </w:pPr>
            <w:r>
              <w:rPr>
                <w:rFonts w:hint="eastAsia" w:ascii="宋体" w:hAnsi="宋体" w:eastAsia="宋体" w:cs="宋体"/>
                <w:sz w:val="21"/>
                <w:szCs w:val="21"/>
              </w:rPr>
              <w:t>系统管理</w:t>
            </w:r>
            <w:r>
              <w:rPr>
                <w:rFonts w:hint="eastAsia" w:ascii="宋体" w:hAnsi="宋体" w:eastAsia="宋体" w:cs="宋体"/>
                <w:sz w:val="21"/>
                <w:szCs w:val="21"/>
                <w:lang w:eastAsia="zh-CN"/>
              </w:rPr>
              <w:t>：</w:t>
            </w:r>
            <w:r>
              <w:rPr>
                <w:rFonts w:hint="eastAsia" w:ascii="宋体" w:hAnsi="宋体" w:eastAsia="宋体" w:cs="宋体"/>
                <w:sz w:val="21"/>
                <w:szCs w:val="21"/>
              </w:rPr>
              <w:t>全程视频监控，非法物证出库门禁报警及图片抓拍，大容量硬盘机数据保存，实物物证三维扫描，平面物证高清拍摄，出门物证门禁记录，物证RFID录入，自动打印物证信息及条码，借出物证到期自动催还，物证柜智能自动</w:t>
            </w:r>
          </w:p>
          <w:p>
            <w:pPr>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案件和物证的权限管理、电子标签读写录入、物证出入库移交、上架保存、审核签收、位置定位、案件及物证统计、数据导出、信息打印、信息查询及历史查询、柜体自动打开存放位置、借出及催还、物证报警处理、物证销毁、物证号条形码EPC码一码管理、物证无序存放有序管理。</w:t>
            </w: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红外抓拍系统：</w:t>
            </w:r>
          </w:p>
          <w:p>
            <w:pPr>
              <w:rPr>
                <w:rFonts w:hint="eastAsia" w:ascii="宋体" w:hAnsi="宋体" w:eastAsia="宋体" w:cs="宋体"/>
                <w:sz w:val="21"/>
                <w:szCs w:val="21"/>
              </w:rPr>
            </w:pPr>
            <w:r>
              <w:rPr>
                <w:rFonts w:hint="eastAsia" w:ascii="宋体" w:hAnsi="宋体" w:eastAsia="宋体" w:cs="宋体"/>
                <w:sz w:val="21"/>
                <w:szCs w:val="21"/>
              </w:rPr>
              <w:t>每一物证上都贴有RFID电子标签，每天出库的物证都会由门禁对其电子身份记录备案，经过管理人员登记和办理合法的手续方可出库，否则会报警和抓拍图片并在屏幕上显示出来所报警的物证，并记录数据库中永久保存，以后方便历史数据查询。</w:t>
            </w: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智能物证柜</w:t>
            </w:r>
          </w:p>
          <w:p>
            <w:pPr>
              <w:rPr>
                <w:rFonts w:hint="eastAsia" w:ascii="宋体" w:hAnsi="宋体" w:eastAsia="宋体" w:cs="宋体"/>
                <w:sz w:val="21"/>
                <w:szCs w:val="21"/>
              </w:rPr>
            </w:pPr>
            <w:r>
              <w:rPr>
                <w:rFonts w:hint="eastAsia" w:ascii="宋体" w:hAnsi="宋体" w:eastAsia="宋体" w:cs="宋体"/>
                <w:sz w:val="21"/>
                <w:szCs w:val="21"/>
                <w:lang w:val="en-US" w:eastAsia="zh-CN"/>
              </w:rPr>
              <w:t>7.1</w:t>
            </w:r>
            <w:r>
              <w:rPr>
                <w:rFonts w:hint="eastAsia" w:ascii="宋体" w:hAnsi="宋体" w:eastAsia="宋体" w:cs="宋体"/>
                <w:sz w:val="21"/>
                <w:szCs w:val="21"/>
              </w:rPr>
              <w:t>结构要求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物证保存柜为装配组合式结构，配有一套手动运行结构。主要由立柱、搁板、挂板、侧面板、底盘系统、防尘系统、传动系统、路轨等零部件组合而成；搁板能沿立柱的垂直方向调整高度。 </w:t>
            </w:r>
          </w:p>
          <w:p>
            <w:pPr>
              <w:rPr>
                <w:rFonts w:hint="eastAsia" w:ascii="宋体" w:hAnsi="宋体" w:eastAsia="宋体" w:cs="宋体"/>
                <w:sz w:val="21"/>
                <w:szCs w:val="21"/>
              </w:rPr>
            </w:pPr>
            <w:r>
              <w:rPr>
                <w:rFonts w:hint="eastAsia" w:ascii="宋体" w:hAnsi="宋体" w:eastAsia="宋体" w:cs="宋体"/>
                <w:sz w:val="21"/>
                <w:szCs w:val="21"/>
                <w:lang w:val="en-US" w:eastAsia="zh-CN"/>
              </w:rPr>
              <w:t>7.2</w:t>
            </w:r>
            <w:r>
              <w:rPr>
                <w:rFonts w:hint="eastAsia" w:ascii="宋体" w:hAnsi="宋体" w:eastAsia="宋体" w:cs="宋体"/>
                <w:sz w:val="21"/>
                <w:szCs w:val="21"/>
              </w:rPr>
              <w:t>承载能力（每层承重80KG）</w:t>
            </w:r>
          </w:p>
          <w:p>
            <w:pPr>
              <w:rPr>
                <w:rFonts w:hint="eastAsia" w:ascii="宋体" w:hAnsi="宋体" w:eastAsia="宋体" w:cs="宋体"/>
                <w:sz w:val="21"/>
                <w:szCs w:val="21"/>
              </w:rPr>
            </w:pPr>
            <w:r>
              <w:rPr>
                <w:rFonts w:hint="eastAsia" w:ascii="宋体" w:hAnsi="宋体" w:eastAsia="宋体" w:cs="宋体"/>
                <w:sz w:val="21"/>
                <w:szCs w:val="21"/>
              </w:rPr>
              <w:t>每块隔板施以100 kg均匀负荷，经24小时连续试验后，最大绕度不大于2mm，卸载后自动恢复。</w:t>
            </w:r>
          </w:p>
          <w:p>
            <w:pPr>
              <w:rPr>
                <w:rFonts w:hint="eastAsia" w:ascii="宋体" w:hAnsi="宋体" w:eastAsia="宋体" w:cs="宋体"/>
                <w:sz w:val="21"/>
                <w:szCs w:val="21"/>
              </w:rPr>
            </w:pPr>
            <w:r>
              <w:rPr>
                <w:rFonts w:hint="eastAsia" w:ascii="宋体" w:hAnsi="宋体" w:eastAsia="宋体" w:cs="宋体"/>
                <w:sz w:val="21"/>
                <w:szCs w:val="21"/>
                <w:lang w:val="en-US" w:eastAsia="zh-CN"/>
              </w:rPr>
              <w:t>7.3</w:t>
            </w:r>
            <w:r>
              <w:rPr>
                <w:rFonts w:hint="eastAsia" w:ascii="宋体" w:hAnsi="宋体" w:eastAsia="宋体" w:cs="宋体"/>
                <w:sz w:val="21"/>
                <w:szCs w:val="21"/>
              </w:rPr>
              <w:t>材料要求</w:t>
            </w:r>
          </w:p>
          <w:p>
            <w:pPr>
              <w:jc w:val="left"/>
              <w:rPr>
                <w:rFonts w:ascii="宋体" w:cs="宋体"/>
                <w:color w:val="auto"/>
                <w:sz w:val="21"/>
                <w:szCs w:val="21"/>
              </w:rPr>
            </w:pPr>
            <w:r>
              <w:rPr>
                <w:rFonts w:hint="eastAsia" w:ascii="宋体" w:hAnsi="宋体" w:eastAsia="宋体" w:cs="宋体"/>
                <w:sz w:val="21"/>
                <w:szCs w:val="21"/>
              </w:rPr>
              <w:t>底盘，采用整体式底盘，门轴选用销钉的直径为6mm*30mm，底盘与立柱连接采用的螺栓为M10*55mm。轴承瓦座有油封装置，可防尘、防油风干。根据库房位置长度和物证保存柜列宽，底盘采用整体焊接，钢性强，不变形，表面经氧化防锈处理</w:t>
            </w:r>
            <w:r>
              <w:rPr>
                <w:rFonts w:hint="eastAsia" w:ascii="宋体" w:hAnsi="宋体" w:eastAsia="宋体" w:cs="宋体"/>
                <w:sz w:val="24"/>
                <w:szCs w:val="24"/>
              </w:rPr>
              <w:t>。</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hAnsi="宋体" w:cs="宋体"/>
                <w:b/>
                <w:bCs/>
                <w:color w:val="auto"/>
                <w:sz w:val="21"/>
                <w:szCs w:val="21"/>
                <w:lang w:val="en-US" w:eastAsia="zh-CN"/>
              </w:rPr>
              <w:t>5</w:t>
            </w:r>
            <w:r>
              <w:rPr>
                <w:rFonts w:hint="eastAsia" w:ascii="宋体" w:hAnsi="宋体" w:cs="宋体"/>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color w:val="auto"/>
                <w:sz w:val="21"/>
                <w:szCs w:val="21"/>
              </w:rPr>
            </w:pPr>
            <w:r>
              <w:rPr>
                <w:rFonts w:hint="eastAsia" w:ascii="宋体" w:cs="宋体"/>
                <w:color w:val="auto"/>
                <w:sz w:val="21"/>
                <w:szCs w:val="21"/>
              </w:rPr>
              <w:t>商务</w:t>
            </w:r>
            <w:r>
              <w:rPr>
                <w:rFonts w:hint="eastAsia" w:ascii="宋体" w:cs="宋体"/>
                <w:color w:val="auto"/>
                <w:sz w:val="21"/>
                <w:szCs w:val="21"/>
                <w:lang w:eastAsia="zh-CN"/>
              </w:rPr>
              <w:t>及售后</w:t>
            </w:r>
            <w:r>
              <w:rPr>
                <w:rFonts w:hint="eastAsia" w:ascii="宋体" w:cs="宋体"/>
                <w:color w:val="auto"/>
                <w:sz w:val="21"/>
                <w:szCs w:val="21"/>
              </w:rPr>
              <w:t>（</w:t>
            </w:r>
            <w:r>
              <w:rPr>
                <w:rFonts w:hint="eastAsia" w:ascii="宋体" w:cs="宋体"/>
                <w:color w:val="auto"/>
                <w:sz w:val="21"/>
                <w:szCs w:val="21"/>
                <w:lang w:val="en-US" w:eastAsia="zh-CN"/>
              </w:rPr>
              <w:t>20</w:t>
            </w:r>
            <w:r>
              <w:rPr>
                <w:rFonts w:hint="eastAsia" w:ascii="宋体" w:cs="宋体"/>
                <w:color w:val="auto"/>
                <w:sz w:val="21"/>
                <w:szCs w:val="21"/>
              </w:rPr>
              <w:t>分）</w:t>
            </w:r>
          </w:p>
        </w:tc>
        <w:tc>
          <w:tcPr>
            <w:tcW w:w="79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90" w:lineRule="exact"/>
              <w:rPr>
                <w:rFonts w:ascii="宋体" w:hAnsi="宋体" w:cs="宋体"/>
                <w:bCs/>
                <w:color w:val="auto"/>
              </w:rPr>
            </w:pPr>
            <w:r>
              <w:rPr>
                <w:rFonts w:hint="default" w:ascii="宋体" w:hAnsi="宋体" w:cs="宋体"/>
                <w:color w:val="auto"/>
                <w:sz w:val="21"/>
                <w:szCs w:val="21"/>
                <w:lang w:val="en-US" w:eastAsia="zh-CN"/>
              </w:rPr>
              <w:t>1</w:t>
            </w:r>
            <w:r>
              <w:rPr>
                <w:rFonts w:hint="eastAsia" w:ascii="宋体" w:hAnsi="宋体" w:cs="宋体"/>
                <w:color w:val="auto"/>
                <w:sz w:val="21"/>
                <w:szCs w:val="21"/>
                <w:lang w:val="en-US" w:eastAsia="zh-CN"/>
              </w:rPr>
              <w:t>、须</w:t>
            </w:r>
            <w:r>
              <w:rPr>
                <w:rFonts w:hint="eastAsia" w:ascii="宋体" w:hAnsi="宋体" w:cs="宋体"/>
                <w:color w:val="auto"/>
                <w:sz w:val="21"/>
                <w:szCs w:val="21"/>
                <w:lang w:eastAsia="zh-CN"/>
              </w:rPr>
              <w:t>提供</w:t>
            </w:r>
            <w:r>
              <w:rPr>
                <w:rFonts w:hint="eastAsia" w:ascii="宋体" w:hAnsi="宋体" w:cs="宋体"/>
                <w:color w:val="auto"/>
                <w:sz w:val="21"/>
                <w:szCs w:val="21"/>
                <w:lang w:val="en-US" w:eastAsia="zh-CN"/>
              </w:rPr>
              <w:t>近五年</w:t>
            </w:r>
            <w:r>
              <w:rPr>
                <w:rFonts w:hint="eastAsia" w:ascii="宋体" w:hAnsi="宋体" w:cs="宋体"/>
                <w:color w:val="auto"/>
                <w:sz w:val="21"/>
                <w:szCs w:val="21"/>
                <w:lang w:eastAsia="zh-CN"/>
              </w:rPr>
              <w:t>以来</w:t>
            </w:r>
            <w:r>
              <w:rPr>
                <w:rFonts w:hint="eastAsia" w:ascii="宋体" w:hAnsi="宋体" w:cs="宋体"/>
                <w:bCs/>
                <w:color w:val="auto"/>
              </w:rPr>
              <w:t>参与政府采购项目类似业绩</w:t>
            </w:r>
            <w:r>
              <w:rPr>
                <w:rFonts w:hint="eastAsia" w:ascii="宋体" w:hAnsi="宋体" w:cs="宋体"/>
                <w:bCs/>
                <w:color w:val="auto"/>
                <w:lang w:val="en-US" w:eastAsia="zh-CN"/>
              </w:rPr>
              <w:t>,</w:t>
            </w:r>
            <w:r>
              <w:rPr>
                <w:rFonts w:hint="eastAsia" w:ascii="宋体" w:hAnsi="宋体" w:cs="宋体"/>
                <w:bCs/>
                <w:color w:val="auto"/>
              </w:rPr>
              <w:t>专指公安系统刑事科学实验室建设项目(需含实验室设备、通风系统等综合项目)</w:t>
            </w:r>
            <w:r>
              <w:rPr>
                <w:rFonts w:hint="eastAsia" w:ascii="宋体" w:hAnsi="宋体" w:cs="宋体"/>
                <w:color w:val="auto"/>
                <w:sz w:val="21"/>
                <w:szCs w:val="21"/>
                <w:lang w:eastAsia="zh-CN"/>
              </w:rPr>
              <w:t xml:space="preserve">以上类似项目业绩，每份得2 分，最多得 </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 xml:space="preserve"> 分。</w:t>
            </w:r>
            <w:r>
              <w:rPr>
                <w:rFonts w:hint="eastAsia" w:ascii="宋体" w:hAnsi="宋体" w:cs="宋体"/>
                <w:bCs/>
                <w:color w:val="auto"/>
              </w:rPr>
              <w:t>（提供原件，不提供不得分；原件及投标文件中需附实验室建设合同和中标通知书、中标公告的政府采购官方网站的打印件加盖公章）。</w:t>
            </w:r>
          </w:p>
          <w:p>
            <w:pPr>
              <w:numPr>
                <w:ilvl w:val="0"/>
                <w:numId w:val="0"/>
              </w:numPr>
              <w:spacing w:line="360" w:lineRule="exact"/>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2、根据</w:t>
            </w:r>
            <w:r>
              <w:rPr>
                <w:rFonts w:hint="eastAsia" w:ascii="宋体" w:hAnsi="宋体" w:cs="宋体"/>
                <w:color w:val="auto"/>
                <w:sz w:val="21"/>
                <w:szCs w:val="21"/>
                <w:lang w:eastAsia="zh-CN"/>
              </w:rPr>
              <w:t>提供产品单件图及实验室效果图</w:t>
            </w:r>
            <w:r>
              <w:rPr>
                <w:rFonts w:hint="eastAsia" w:ascii="宋体" w:hAnsi="宋体" w:cs="宋体"/>
                <w:color w:val="auto"/>
                <w:sz w:val="21"/>
                <w:szCs w:val="21"/>
                <w:lang w:val="en-US" w:eastAsia="zh-CN"/>
              </w:rPr>
              <w:t>相应打分</w:t>
            </w:r>
            <w:r>
              <w:rPr>
                <w:rFonts w:hint="eastAsia" w:ascii="宋体" w:hAnsi="宋体" w:cs="宋体"/>
                <w:color w:val="auto"/>
                <w:sz w:val="21"/>
                <w:szCs w:val="21"/>
                <w:lang w:eastAsia="zh-CN"/>
              </w:rPr>
              <w:t>，最多得</w:t>
            </w: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分；</w:t>
            </w:r>
          </w:p>
          <w:p>
            <w:pPr>
              <w:numPr>
                <w:ilvl w:val="0"/>
                <w:numId w:val="0"/>
              </w:numPr>
              <w:spacing w:line="360" w:lineRule="exact"/>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交货期每提前一天加 0.5 分，最多得 2 分；</w:t>
            </w:r>
          </w:p>
          <w:p>
            <w:pPr>
              <w:numPr>
                <w:ilvl w:val="0"/>
                <w:numId w:val="0"/>
              </w:numPr>
              <w:spacing w:line="360" w:lineRule="exact"/>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质保期在招标文件规定的基础上质保期每增加一年得 1 分，最多得</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分；</w:t>
            </w:r>
          </w:p>
          <w:p>
            <w:pPr>
              <w:numPr>
                <w:ilvl w:val="0"/>
                <w:numId w:val="0"/>
              </w:numPr>
              <w:spacing w:line="360" w:lineRule="exact"/>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响应时间及时，承诺 24 小时内上门服务的得</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分；</w:t>
            </w:r>
          </w:p>
          <w:p>
            <w:pPr>
              <w:numPr>
                <w:ilvl w:val="0"/>
                <w:numId w:val="0"/>
              </w:numPr>
              <w:spacing w:line="360" w:lineRule="exact"/>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6、根据</w:t>
            </w:r>
            <w:r>
              <w:rPr>
                <w:rFonts w:hint="eastAsia" w:ascii="宋体" w:hAnsi="宋体" w:cs="宋体"/>
                <w:color w:val="auto"/>
                <w:sz w:val="21"/>
                <w:szCs w:val="21"/>
                <w:lang w:eastAsia="zh-CN"/>
              </w:rPr>
              <w:t>提供培训方案和产品维护方案</w:t>
            </w:r>
            <w:r>
              <w:rPr>
                <w:rFonts w:hint="eastAsia" w:ascii="宋体" w:hAnsi="宋体" w:cs="宋体"/>
                <w:color w:val="auto"/>
                <w:sz w:val="21"/>
                <w:szCs w:val="21"/>
                <w:lang w:val="en-US" w:eastAsia="zh-CN"/>
              </w:rPr>
              <w:t>相应打分</w:t>
            </w:r>
            <w:r>
              <w:rPr>
                <w:rFonts w:hint="eastAsia" w:ascii="宋体" w:hAnsi="宋体" w:cs="宋体"/>
                <w:color w:val="auto"/>
                <w:sz w:val="21"/>
                <w:szCs w:val="21"/>
                <w:lang w:eastAsia="zh-CN"/>
              </w:rPr>
              <w:t xml:space="preserve">，最多得 </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 xml:space="preserve"> 分。</w:t>
            </w:r>
          </w:p>
          <w:p>
            <w:pPr>
              <w:numPr>
                <w:ilvl w:val="0"/>
                <w:numId w:val="0"/>
              </w:numPr>
              <w:spacing w:line="360" w:lineRule="exact"/>
              <w:ind w:leftChars="0"/>
              <w:rPr>
                <w:rFonts w:hint="eastAsia" w:ascii="宋体" w:hAnsi="宋体" w:cs="宋体"/>
                <w:color w:val="auto"/>
                <w:sz w:val="21"/>
                <w:szCs w:val="21"/>
                <w:lang w:val="en-US" w:eastAsia="zh-CN"/>
              </w:rPr>
            </w:pPr>
          </w:p>
          <w:p>
            <w:pPr>
              <w:numPr>
                <w:ilvl w:val="0"/>
                <w:numId w:val="0"/>
              </w:numPr>
              <w:spacing w:line="360" w:lineRule="exact"/>
              <w:ind w:leftChars="0"/>
              <w:rPr>
                <w:rFonts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陶瓷台面厂家需提供至少30年质保承诺，提供承诺函并加盖台面生产厂家公章得</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分，</w:t>
            </w:r>
            <w:r>
              <w:rPr>
                <w:rFonts w:hint="eastAsia" w:ascii="宋体" w:hAnsi="宋体" w:cs="宋体"/>
                <w:color w:val="auto"/>
                <w:sz w:val="21"/>
                <w:szCs w:val="21"/>
                <w:lang w:val="en-US" w:eastAsia="zh-CN"/>
              </w:rPr>
              <w:t>不提供不得分</w:t>
            </w:r>
            <w:r>
              <w:rPr>
                <w:rFonts w:hint="eastAsia" w:ascii="宋体" w:hAnsi="宋体" w:cs="宋体"/>
                <w:color w:val="auto"/>
                <w:sz w:val="21"/>
                <w:szCs w:val="21"/>
                <w:lang w:eastAsia="zh-CN"/>
              </w:rPr>
              <w:t>。</w:t>
            </w:r>
          </w:p>
        </w:tc>
        <w:tc>
          <w:tcPr>
            <w:tcW w:w="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color w:val="auto"/>
                <w:sz w:val="21"/>
                <w:szCs w:val="21"/>
              </w:rPr>
            </w:pPr>
            <w:r>
              <w:rPr>
                <w:rFonts w:hint="eastAsia" w:ascii="宋体" w:cs="宋体"/>
                <w:b/>
                <w:bCs/>
                <w:color w:val="auto"/>
                <w:sz w:val="21"/>
                <w:szCs w:val="21"/>
                <w:lang w:val="en-US" w:eastAsia="zh-CN"/>
              </w:rPr>
              <w:t>20</w:t>
            </w:r>
            <w:r>
              <w:rPr>
                <w:rFonts w:hint="eastAsia" w:ascii="宋体" w:cs="宋体"/>
                <w:b/>
                <w:bCs/>
                <w:color w:val="auto"/>
                <w:sz w:val="21"/>
                <w:szCs w:val="21"/>
              </w:rPr>
              <w:t>分</w:t>
            </w:r>
          </w:p>
        </w:tc>
      </w:tr>
    </w:tbl>
    <w:p>
      <w:pPr>
        <w:rPr>
          <w:color w:val="000000" w:themeColor="text1"/>
          <w:highlight w:val="yellow"/>
          <w14:textFill>
            <w14:solidFill>
              <w14:schemeClr w14:val="tx1"/>
            </w14:solidFill>
          </w14:textFill>
        </w:rPr>
      </w:pPr>
    </w:p>
    <w:p>
      <w:pPr>
        <w:rPr>
          <w:rFonts w:hint="eastAsia"/>
          <w:b/>
          <w:bCs/>
          <w:color w:val="FF0000"/>
          <w:sz w:val="32"/>
          <w:szCs w:val="32"/>
          <w:lang w:val="en-US" w:eastAsia="zh-CN"/>
        </w:rPr>
      </w:pPr>
    </w:p>
    <w:p>
      <w:pPr>
        <w:rPr>
          <w:rFonts w:hint="eastAsia"/>
          <w:b/>
          <w:bCs/>
          <w:color w:val="FF0000"/>
          <w:sz w:val="32"/>
          <w:szCs w:val="32"/>
          <w:lang w:val="en-US" w:eastAsia="zh-CN"/>
        </w:rPr>
      </w:pPr>
    </w:p>
    <w:p>
      <w:pPr>
        <w:rPr>
          <w:rFonts w:hint="eastAsia"/>
          <w:b/>
          <w:bCs/>
          <w:color w:val="FF0000"/>
          <w:sz w:val="32"/>
          <w:szCs w:val="32"/>
          <w:highlight w:val="yellow"/>
          <w:lang w:val="zh-CN"/>
        </w:rPr>
      </w:pPr>
      <w:r>
        <w:rPr>
          <w:rFonts w:hint="eastAsia"/>
          <w:b/>
          <w:bCs/>
          <w:color w:val="FF0000"/>
          <w:sz w:val="32"/>
          <w:szCs w:val="32"/>
          <w:lang w:val="en-US" w:eastAsia="zh-CN"/>
        </w:rPr>
        <w:t>注：</w:t>
      </w:r>
      <w:r>
        <w:rPr>
          <w:rFonts w:hint="eastAsia"/>
          <w:b/>
          <w:bCs/>
          <w:color w:val="FF0000"/>
          <w:sz w:val="32"/>
          <w:szCs w:val="32"/>
          <w:lang w:eastAsia="zh-CN"/>
        </w:rPr>
        <w:t>带★号标志为重要参数</w:t>
      </w:r>
      <w:r>
        <w:rPr>
          <w:rFonts w:hint="eastAsia"/>
          <w:b/>
          <w:bCs/>
          <w:color w:val="FF0000"/>
          <w:sz w:val="32"/>
          <w:szCs w:val="32"/>
        </w:rPr>
        <w:t>，任</w:t>
      </w:r>
      <w:r>
        <w:rPr>
          <w:rFonts w:hint="eastAsia"/>
          <w:b/>
          <w:bCs/>
          <w:color w:val="FF0000"/>
          <w:sz w:val="32"/>
          <w:szCs w:val="32"/>
          <w:lang w:val="en-US" w:eastAsia="zh-CN"/>
        </w:rPr>
        <w:t>意</w:t>
      </w:r>
      <w:r>
        <w:rPr>
          <w:rFonts w:hint="eastAsia"/>
          <w:b/>
          <w:bCs/>
          <w:color w:val="FF0000"/>
          <w:sz w:val="32"/>
          <w:szCs w:val="32"/>
        </w:rPr>
        <w:t>一项不符合</w:t>
      </w:r>
      <w:r>
        <w:rPr>
          <w:rFonts w:hint="eastAsia"/>
          <w:b/>
          <w:bCs/>
          <w:color w:val="FF0000"/>
          <w:sz w:val="32"/>
          <w:szCs w:val="32"/>
          <w:lang w:eastAsia="zh-CN"/>
        </w:rPr>
        <w:t>属无效投标</w:t>
      </w:r>
      <w:r>
        <w:rPr>
          <w:rFonts w:hint="eastAsia"/>
          <w:b/>
          <w:bCs/>
          <w:color w:val="FF0000"/>
          <w:sz w:val="32"/>
          <w:szCs w:val="32"/>
        </w:rPr>
        <w:t>。</w:t>
      </w:r>
    </w:p>
    <w:p>
      <w:pPr>
        <w:rPr>
          <w:rFonts w:hint="eastAsia"/>
          <w:color w:val="000000" w:themeColor="text1"/>
          <w:highlight w:val="yellow"/>
          <w:lang w:val="zh-CN"/>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ind w:leftChars="0" w:firstLine="2200" w:firstLineChars="500"/>
        <w:jc w:val="both"/>
        <w:rPr>
          <w:rFonts w:ascii="黑体" w:hAnsi="黑体" w:eastAsia="黑体"/>
          <w:color w:val="000000" w:themeColor="text1"/>
          <w14:textFill>
            <w14:solidFill>
              <w14:schemeClr w14:val="tx1"/>
            </w14:solidFill>
          </w14:textFill>
        </w:rPr>
      </w:pPr>
      <w:bookmarkStart w:id="62" w:name="_Toc495861545"/>
      <w:bookmarkStart w:id="63" w:name="_Toc494665546"/>
      <w:bookmarkStart w:id="64" w:name="_Toc494745310"/>
      <w:bookmarkStart w:id="65" w:name="_Toc494665943"/>
      <w:bookmarkStart w:id="66" w:name="_Toc494702263"/>
      <w:bookmarkStart w:id="67" w:name="_Toc494664993"/>
      <w:bookmarkStart w:id="68" w:name="_Toc494721093"/>
      <w:r>
        <w:rPr>
          <w:rFonts w:hint="eastAsia" w:ascii="黑体" w:hAnsi="黑体" w:eastAsia="黑体"/>
          <w:color w:val="000000" w:themeColor="text1"/>
          <w:lang w:val="en-US" w:eastAsia="zh-CN"/>
          <w14:textFill>
            <w14:solidFill>
              <w14:schemeClr w14:val="tx1"/>
            </w14:solidFill>
          </w14:textFill>
        </w:rPr>
        <w:t xml:space="preserve">第六章   </w:t>
      </w:r>
      <w:r>
        <w:rPr>
          <w:rFonts w:hint="eastAsia" w:ascii="黑体" w:hAnsi="黑体" w:eastAsia="黑体"/>
          <w:color w:val="000000" w:themeColor="text1"/>
          <w14:textFill>
            <w14:solidFill>
              <w14:schemeClr w14:val="tx1"/>
            </w14:solidFill>
          </w14:textFill>
        </w:rPr>
        <w:t>合同书格式（参考）</w:t>
      </w:r>
      <w:bookmarkEnd w:id="62"/>
      <w:bookmarkEnd w:id="63"/>
      <w:bookmarkEnd w:id="64"/>
      <w:bookmarkEnd w:id="65"/>
      <w:bookmarkEnd w:id="66"/>
      <w:bookmarkEnd w:id="67"/>
      <w:bookmarkEnd w:id="68"/>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000000" w:themeColor="text1"/>
          <w:kern w:val="0"/>
          <w:sz w:val="36"/>
          <w:szCs w:val="36"/>
          <w14:textFill>
            <w14:solidFill>
              <w14:schemeClr w14:val="tx1"/>
            </w14:solidFill>
          </w14:textFill>
        </w:rPr>
      </w:pPr>
      <w:r>
        <w:rPr>
          <w:rFonts w:hint="eastAsia" w:ascii="宋体" w:hAnsi="宋体" w:eastAsia="宋体" w:cs="Times New Roman"/>
          <w:b/>
          <w:color w:val="000000" w:themeColor="text1"/>
          <w:kern w:val="0"/>
          <w:sz w:val="36"/>
          <w:szCs w:val="36"/>
          <w14:textFill>
            <w14:solidFill>
              <w14:schemeClr w14:val="tx1"/>
            </w14:solidFill>
          </w14:textFill>
        </w:rPr>
        <w:t>合   同   书</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项目名称：</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合同编号：</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签订日期：</w:t>
      </w:r>
    </w:p>
    <w:p>
      <w:pPr>
        <w:spacing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签订合同地点：</w:t>
      </w:r>
    </w:p>
    <w:p>
      <w:pPr>
        <w:spacing w:beforeLines="25" w:line="360" w:lineRule="auto"/>
        <w:ind w:firstLine="480" w:firstLineChars="200"/>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本合同由</w:t>
      </w:r>
      <w:r>
        <w:rPr>
          <w:rFonts w:hint="eastAsia" w:ascii="Helvetica" w:hAnsi="Helvetica" w:eastAsia="宋体" w:cs="Helvetica"/>
          <w:color w:val="000000" w:themeColor="text1"/>
          <w:kern w:val="0"/>
          <w:sz w:val="24"/>
          <w:szCs w:val="24"/>
          <w:u w:val="single"/>
          <w:lang w:val="zh-CN"/>
          <w14:textFill>
            <w14:solidFill>
              <w14:schemeClr w14:val="tx1"/>
            </w14:solidFill>
          </w14:textFill>
        </w:rPr>
        <w:t>（采购人）</w:t>
      </w:r>
      <w:r>
        <w:rPr>
          <w:rFonts w:hint="eastAsia" w:ascii="Helvetica" w:hAnsi="Helvetica" w:eastAsia="宋体" w:cs="Helvetica"/>
          <w:color w:val="000000" w:themeColor="text1"/>
          <w:kern w:val="0"/>
          <w:sz w:val="24"/>
          <w:szCs w:val="24"/>
          <w:lang w:val="zh-CN"/>
          <w14:textFill>
            <w14:solidFill>
              <w14:schemeClr w14:val="tx1"/>
            </w14:solidFill>
          </w14:textFill>
        </w:rPr>
        <w:t>（以下简称“甲方”）与</w:t>
      </w:r>
      <w:r>
        <w:rPr>
          <w:rFonts w:hint="eastAsia" w:ascii="Helvetica" w:hAnsi="Helvetica" w:eastAsia="宋体" w:cs="Helvetica"/>
          <w:color w:val="000000" w:themeColor="text1"/>
          <w:kern w:val="0"/>
          <w:sz w:val="24"/>
          <w:szCs w:val="24"/>
          <w:u w:val="single"/>
          <w:lang w:val="zh-CN"/>
          <w14:textFill>
            <w14:solidFill>
              <w14:schemeClr w14:val="tx1"/>
            </w14:solidFill>
          </w14:textFill>
        </w:rPr>
        <w:t>（中标人）</w:t>
      </w:r>
      <w:r>
        <w:rPr>
          <w:rFonts w:hint="eastAsia" w:ascii="Helvetica" w:hAnsi="Helvetica" w:eastAsia="宋体" w:cs="Helvetica"/>
          <w:color w:val="000000" w:themeColor="text1"/>
          <w:kern w:val="0"/>
          <w:sz w:val="24"/>
          <w:szCs w:val="24"/>
          <w:lang w:val="zh-CN"/>
          <w14:textFill>
            <w14:solidFill>
              <w14:schemeClr w14:val="tx1"/>
            </w14:solidFill>
          </w14:textFill>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color w:val="000000" w:themeColor="text1"/>
          <w:kern w:val="0"/>
          <w:sz w:val="24"/>
          <w:szCs w:val="20"/>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经双方协商，同意按下列条文执行：</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本合同甲、乙双方应遵守国家颁布的《中华人民共和国合同法》、《中华人民共和国政府采购法》，并各自履行应负的全部责任和义务。</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甲方保证按合同条款规定的时间和方式付给乙方到期应付的合同款，并承担应负的责任和义务。</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乙方保证按合同条款规定的内容和工期（服务期限）向甲方提供合格的货物（工程或服务），并承担应负的责任和义务。</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合同文件。下列文件为本合同不可分割的部分：</w:t>
      </w:r>
    </w:p>
    <w:p>
      <w:pPr>
        <w:numPr>
          <w:ilvl w:val="0"/>
          <w:numId w:val="67"/>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招标文件（项目编号：</w:t>
      </w:r>
      <w:r>
        <w:rPr>
          <w:rFonts w:hint="eastAsia" w:ascii="宋体" w:hAnsi="宋体" w:eastAsia="宋体" w:cs="Times New Roman"/>
          <w:color w:val="000000" w:themeColor="text1"/>
          <w:kern w:val="0"/>
          <w:sz w:val="24"/>
          <w:szCs w:val="20"/>
          <w:u w:val="single"/>
          <w:lang w:val="zh-CN"/>
          <w14:textFill>
            <w14:solidFill>
              <w14:schemeClr w14:val="tx1"/>
            </w14:solidFill>
          </w14:textFill>
        </w:rPr>
        <w:t>　　            　</w:t>
      </w:r>
      <w:r>
        <w:rPr>
          <w:rFonts w:hint="eastAsia" w:ascii="宋体" w:hAnsi="宋体" w:eastAsia="宋体" w:cs="Times New Roman"/>
          <w:color w:val="000000" w:themeColor="text1"/>
          <w:kern w:val="0"/>
          <w:sz w:val="24"/>
          <w:szCs w:val="20"/>
          <w:lang w:val="zh-CN"/>
          <w14:textFill>
            <w14:solidFill>
              <w14:schemeClr w14:val="tx1"/>
            </w14:solidFill>
          </w14:textFill>
        </w:rPr>
        <w:t>）；</w:t>
      </w:r>
    </w:p>
    <w:p>
      <w:pPr>
        <w:numPr>
          <w:ilvl w:val="0"/>
          <w:numId w:val="67"/>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中标的投标文件；</w:t>
      </w:r>
    </w:p>
    <w:p>
      <w:pPr>
        <w:numPr>
          <w:ilvl w:val="0"/>
          <w:numId w:val="67"/>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合同书；</w:t>
      </w:r>
    </w:p>
    <w:p>
      <w:pPr>
        <w:numPr>
          <w:ilvl w:val="0"/>
          <w:numId w:val="67"/>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合同条款；</w:t>
      </w:r>
    </w:p>
    <w:p>
      <w:pPr>
        <w:numPr>
          <w:ilvl w:val="0"/>
          <w:numId w:val="67"/>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采购代理机构发出的中标通知书；</w:t>
      </w:r>
    </w:p>
    <w:p>
      <w:pPr>
        <w:numPr>
          <w:ilvl w:val="0"/>
          <w:numId w:val="67"/>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附件；</w:t>
      </w:r>
    </w:p>
    <w:p>
      <w:pPr>
        <w:numPr>
          <w:ilvl w:val="0"/>
          <w:numId w:val="68"/>
        </w:numPr>
        <w:spacing w:beforeLines="25" w:line="360" w:lineRule="auto"/>
        <w:ind w:left="1358" w:hanging="72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甲方</w:t>
      </w:r>
      <w:r>
        <w:rPr>
          <w:rFonts w:hint="eastAsia" w:ascii="宋体" w:hAnsi="宋体" w:eastAsia="宋体" w:cs="Times New Roman"/>
          <w:color w:val="000000" w:themeColor="text1"/>
          <w:sz w:val="24"/>
          <w:szCs w:val="20"/>
          <w:lang w:val="zh-CN"/>
          <w14:textFill>
            <w14:solidFill>
              <w14:schemeClr w14:val="tx1"/>
            </w14:solidFill>
          </w14:textFill>
        </w:rPr>
        <w:t>在招标期间发布的所有补充通知；</w:t>
      </w:r>
    </w:p>
    <w:p>
      <w:pPr>
        <w:numPr>
          <w:ilvl w:val="0"/>
          <w:numId w:val="68"/>
        </w:numPr>
        <w:spacing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乙方在投标期内补充的所有书面文件；</w:t>
      </w:r>
    </w:p>
    <w:p>
      <w:pPr>
        <w:numPr>
          <w:ilvl w:val="0"/>
          <w:numId w:val="68"/>
        </w:numPr>
        <w:spacing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乙方在投标时随同投标文件一起递送的资料及附图；</w:t>
      </w:r>
    </w:p>
    <w:p>
      <w:pPr>
        <w:numPr>
          <w:ilvl w:val="0"/>
          <w:numId w:val="68"/>
        </w:numPr>
        <w:spacing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在商洽本合同时，双方澄清、确认并共同签字的补充文件、技术协议。</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合同范围和条件。本合同的范围和条件应与上述规定的合同文件内容相一致。</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货物（工程或服务）及数量。本合同所提供的货物（工程或服务）及数量详见招标文件的要求及乙方投标文件中的承诺。</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付款条件。本合同的付款条件按招标文件规定执行。</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合同金额。合同总金额见合同书，分项价格在乙方的投标报价表中有明确规定。</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工期和交货（服务）地点。本合同中货物（工程或服务）的工期、交货（服务）地点在招标文件中有明确规定。</w:t>
      </w:r>
    </w:p>
    <w:p>
      <w:pPr>
        <w:numPr>
          <w:ilvl w:val="3"/>
          <w:numId w:val="66"/>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合同生效。本合同经甲、乙双方授权代表签字和加盖公章（或合同专用章）后生效。如招标申请公证的，合同需经公证机构公证后生效。</w:t>
      </w:r>
    </w:p>
    <w:p>
      <w:pPr>
        <w:numPr>
          <w:ilvl w:val="3"/>
          <w:numId w:val="66"/>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合同的份数。本合同正本一式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份；副本一式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w:t>
      </w:r>
    </w:p>
    <w:p>
      <w:pPr>
        <w:numPr>
          <w:ilvl w:val="3"/>
          <w:numId w:val="66"/>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合同的失效。本合同在合同价款全部结清后失效。</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　　方：</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乙　　方：</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单位名称（盖章）：</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单位名称（盖章）：</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单位地址：</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单位地址：</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法人代表授权人(签字)：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法人代表授权人(签字)：</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联 系 人：</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联 系 人：</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电　　话：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电　　话：</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传　　真：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传　　真：</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邮政编码：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邮政编码：</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开户银行：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开户银行：</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帐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帐　　号：</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税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税　　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ind w:leftChars="0" w:firstLine="1760" w:firstLineChars="400"/>
        <w:jc w:val="both"/>
        <w:rPr>
          <w:rFonts w:ascii="黑体" w:hAnsi="黑体" w:eastAsia="黑体"/>
          <w:color w:val="000000" w:themeColor="text1"/>
          <w14:textFill>
            <w14:solidFill>
              <w14:schemeClr w14:val="tx1"/>
            </w14:solidFill>
          </w14:textFill>
        </w:rPr>
      </w:pPr>
      <w:bookmarkStart w:id="69" w:name="_Toc494665547"/>
      <w:bookmarkStart w:id="70" w:name="_Toc495861546"/>
      <w:bookmarkStart w:id="71" w:name="_Toc494664994"/>
      <w:bookmarkStart w:id="72" w:name="_Toc494702264"/>
      <w:bookmarkStart w:id="73" w:name="_Toc494745311"/>
      <w:bookmarkStart w:id="74" w:name="_Toc494721094"/>
      <w:bookmarkStart w:id="75" w:name="_Toc494665944"/>
      <w:r>
        <w:rPr>
          <w:rFonts w:hint="eastAsia" w:ascii="黑体" w:hAnsi="黑体" w:eastAsia="黑体"/>
          <w:color w:val="000000" w:themeColor="text1"/>
          <w:lang w:val="en-US" w:eastAsia="zh-CN"/>
          <w14:textFill>
            <w14:solidFill>
              <w14:schemeClr w14:val="tx1"/>
            </w14:solidFill>
          </w14:textFill>
        </w:rPr>
        <w:t xml:space="preserve">第七章  </w:t>
      </w:r>
      <w:r>
        <w:rPr>
          <w:rFonts w:hint="eastAsia" w:ascii="黑体" w:hAnsi="黑体" w:eastAsia="黑体"/>
          <w:color w:val="000000" w:themeColor="text1"/>
          <w14:textFill>
            <w14:solidFill>
              <w14:schemeClr w14:val="tx1"/>
            </w14:solidFill>
          </w14:textFill>
        </w:rPr>
        <w:t>投标文件格式（参考）</w:t>
      </w:r>
      <w:bookmarkEnd w:id="69"/>
      <w:bookmarkEnd w:id="70"/>
      <w:bookmarkEnd w:id="71"/>
      <w:bookmarkEnd w:id="72"/>
      <w:bookmarkEnd w:id="73"/>
      <w:bookmarkEnd w:id="74"/>
      <w:bookmarkEnd w:id="75"/>
    </w:p>
    <w:p>
      <w:pPr>
        <w:spacing w:afterLines="250"/>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阳新县县级政府采购</w:t>
      </w:r>
    </w:p>
    <w:p>
      <w:pPr>
        <w:spacing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spacing w:afterLines="200"/>
        <w:jc w:val="center"/>
        <w:rPr>
          <w:rFonts w:ascii="黑体" w:hAnsi="黑体" w:eastAsia="黑体"/>
          <w:b/>
          <w:color w:val="000000" w:themeColor="text1"/>
          <w:sz w:val="144"/>
          <w:szCs w:val="144"/>
          <w14:textFill>
            <w14:solidFill>
              <w14:schemeClr w14:val="tx1"/>
            </w14:solidFill>
          </w14:textFill>
        </w:rPr>
      </w:pPr>
    </w:p>
    <w:p>
      <w:pPr>
        <w:pStyle w:val="2"/>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76" w:name="_Toc494745312"/>
      <w:bookmarkStart w:id="77" w:name="_Toc495861547"/>
      <w:bookmarkStart w:id="78" w:name="_Toc494702265"/>
      <w:bookmarkStart w:id="79" w:name="_Toc494665548"/>
      <w:bookmarkStart w:id="80" w:name="_Toc494721095"/>
      <w:bookmarkStart w:id="81" w:name="_Toc494664995"/>
      <w:bookmarkStart w:id="82" w:name="_Toc494665945"/>
      <w:r>
        <w:rPr>
          <w:rFonts w:hint="eastAsia" w:cs="Times New Roman" w:asciiTheme="majorEastAsia" w:hAnsiTheme="majorEastAsia"/>
          <w:bCs w:val="0"/>
          <w:color w:val="000000" w:themeColor="text1"/>
          <w:sz w:val="44"/>
          <w:szCs w:val="44"/>
          <w:lang w:val="zh-CN"/>
          <w14:textFill>
            <w14:solidFill>
              <w14:schemeClr w14:val="tx1"/>
            </w14:solidFill>
          </w14:textFill>
        </w:rPr>
        <w:t>第一部分 资格证明文件</w:t>
      </w:r>
      <w:bookmarkEnd w:id="76"/>
      <w:bookmarkEnd w:id="77"/>
      <w:bookmarkEnd w:id="78"/>
      <w:bookmarkEnd w:id="79"/>
      <w:bookmarkEnd w:id="80"/>
      <w:bookmarkEnd w:id="81"/>
      <w:bookmarkEnd w:id="82"/>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right="1287" w:rightChars="613"/>
        <w:jc w:val="center"/>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 xml:space="preserve">   投标人（盖章）</w:t>
      </w:r>
    </w:p>
    <w:p>
      <w:pPr>
        <w:spacing w:line="360" w:lineRule="auto"/>
        <w:ind w:left="1971" w:leftChars="939" w:right="1287" w:rightChars="613" w:firstLine="1104" w:firstLineChars="345"/>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83" w:name="_Toc494665549"/>
      <w:bookmarkStart w:id="84" w:name="_Toc494664996"/>
      <w:bookmarkStart w:id="85" w:name="_Toc494665946"/>
      <w:bookmarkStart w:id="86" w:name="_Toc494745313"/>
      <w:bookmarkStart w:id="87" w:name="_Toc494702266"/>
      <w:bookmarkStart w:id="88" w:name="_Toc494721096"/>
      <w:r>
        <w:rPr>
          <w:rFonts w:hint="eastAsia" w:ascii="黑体" w:hAnsi="黑体" w:eastAsia="黑体" w:cs="Times New Roman"/>
          <w:b/>
          <w:color w:val="000000" w:themeColor="text1"/>
          <w:sz w:val="36"/>
          <w:szCs w:val="36"/>
          <w14:textFill>
            <w14:solidFill>
              <w14:schemeClr w14:val="tx1"/>
            </w14:solidFill>
          </w14:textFill>
        </w:rPr>
        <w:t>资格证明文件组成</w:t>
      </w:r>
      <w:bookmarkEnd w:id="83"/>
      <w:bookmarkEnd w:id="84"/>
      <w:bookmarkEnd w:id="85"/>
      <w:bookmarkEnd w:id="86"/>
      <w:bookmarkEnd w:id="87"/>
      <w:bookmarkEnd w:id="88"/>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由各投标人根据参考格式要求自行编写。目录清晰、内容详尽、易于理解和审查。具体内容应包括但不限于以下内容：</w:t>
      </w:r>
    </w:p>
    <w:p>
      <w:pPr>
        <w:numPr>
          <w:ilvl w:val="0"/>
          <w:numId w:val="69"/>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资格证明文件目录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69"/>
        </w:numPr>
        <w:autoSpaceDE w:val="0"/>
        <w:autoSpaceDN w:val="0"/>
        <w:adjustRightInd w:val="0"/>
        <w:spacing w:line="360" w:lineRule="auto"/>
        <w:ind w:left="490" w:hanging="370"/>
        <w:rPr>
          <w:rFonts w:ascii="宋体" w:hAnsi="宋体" w:eastAsia="宋体" w:cs="Times New Roman"/>
          <w:b/>
          <w:color w:val="000000" w:themeColor="text1"/>
          <w:kern w:val="0"/>
          <w:sz w:val="24"/>
          <w:szCs w:val="32"/>
          <w14:textFill>
            <w14:solidFill>
              <w14:schemeClr w14:val="tx1"/>
            </w14:solidFill>
          </w14:textFill>
        </w:rPr>
      </w:pPr>
      <w:r>
        <w:rPr>
          <w:rFonts w:hint="eastAsia" w:ascii="宋体" w:hAnsi="宋体"/>
          <w:color w:val="000000" w:themeColor="text1"/>
          <w:kern w:val="0"/>
          <w:sz w:val="24"/>
          <w:szCs w:val="32"/>
          <w14:textFill>
            <w14:solidFill>
              <w14:schemeClr w14:val="tx1"/>
            </w14:solidFill>
          </w14:textFill>
        </w:rPr>
        <w:t>应具备《政府采购法》第二十二条第一款规定的条件，提供下列材料：</w:t>
      </w:r>
    </w:p>
    <w:p>
      <w:pPr>
        <w:pStyle w:val="27"/>
        <w:numPr>
          <w:ilvl w:val="0"/>
          <w:numId w:val="70"/>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法人或者其他组织的营业执照等证明文件，自然人的身份证明；</w:t>
      </w:r>
    </w:p>
    <w:p>
      <w:pPr>
        <w:pStyle w:val="27"/>
        <w:numPr>
          <w:ilvl w:val="0"/>
          <w:numId w:val="70"/>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财务状况报告，依法缴纳税收和社会保障资金的相关材料；</w:t>
      </w:r>
    </w:p>
    <w:p>
      <w:pPr>
        <w:pStyle w:val="27"/>
        <w:numPr>
          <w:ilvl w:val="0"/>
          <w:numId w:val="70"/>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具备履行合同所必需的设备和专业技术能力的证明材料；</w:t>
      </w:r>
    </w:p>
    <w:p>
      <w:pPr>
        <w:pStyle w:val="27"/>
        <w:numPr>
          <w:ilvl w:val="0"/>
          <w:numId w:val="70"/>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参加政府采购活动前3年内在经营活动中没有重大违法记录的书面声明；</w:t>
      </w:r>
    </w:p>
    <w:p>
      <w:pPr>
        <w:pStyle w:val="27"/>
        <w:numPr>
          <w:ilvl w:val="0"/>
          <w:numId w:val="70"/>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具备法律、行政法规规定的其他条件的证明材料；</w:t>
      </w:r>
    </w:p>
    <w:p>
      <w:pPr>
        <w:numPr>
          <w:ilvl w:val="0"/>
          <w:numId w:val="6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未被“信用中国”网站(www.creditchina.gov.cn)列入失信被执行人、重大税收违法案件当事人名单、政府采购严重违法失信行为记录名单的书面申明及该网站查询结果页面截图；</w:t>
      </w:r>
    </w:p>
    <w:p>
      <w:pPr>
        <w:numPr>
          <w:ilvl w:val="0"/>
          <w:numId w:val="6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招标文件第一章“投标人资格要求”中有特殊要求的，投标人应提供其符合特殊要求的证明材料或者情况说明；</w:t>
      </w:r>
    </w:p>
    <w:p>
      <w:pPr>
        <w:numPr>
          <w:ilvl w:val="0"/>
          <w:numId w:val="69"/>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投标人认为需提供的其它相关资格证明材料。</w:t>
      </w: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spacing w:beforeLines="100" w:afterLines="250"/>
        <w:jc w:val="center"/>
        <w:rPr>
          <w:rFonts w:hint="eastAsia" w:ascii="黑体" w:hAnsi="黑体" w:eastAsia="黑体"/>
          <w:b/>
          <w:color w:val="000000" w:themeColor="text1"/>
          <w:sz w:val="72"/>
          <w:szCs w:val="72"/>
          <w14:textFill>
            <w14:solidFill>
              <w14:schemeClr w14:val="tx1"/>
            </w14:solidFill>
          </w14:textFill>
        </w:rPr>
      </w:pPr>
    </w:p>
    <w:p>
      <w:pPr>
        <w:spacing w:beforeLines="100" w:afterLines="250"/>
        <w:jc w:val="center"/>
        <w:rPr>
          <w:rFonts w:hint="eastAsia" w:ascii="黑体" w:hAnsi="黑体" w:eastAsia="黑体"/>
          <w:b/>
          <w:color w:val="000000" w:themeColor="text1"/>
          <w:sz w:val="72"/>
          <w:szCs w:val="72"/>
          <w14:textFill>
            <w14:solidFill>
              <w14:schemeClr w14:val="tx1"/>
            </w14:solidFill>
          </w14:textFill>
        </w:rPr>
      </w:pPr>
    </w:p>
    <w:p>
      <w:pPr>
        <w:spacing w:beforeLines="100" w:afterLines="250"/>
        <w:jc w:val="center"/>
        <w:rPr>
          <w:rFonts w:hint="eastAsia" w:ascii="黑体" w:hAnsi="黑体" w:eastAsia="黑体"/>
          <w:b/>
          <w:color w:val="000000" w:themeColor="text1"/>
          <w:sz w:val="72"/>
          <w:szCs w:val="72"/>
          <w14:textFill>
            <w14:solidFill>
              <w14:schemeClr w14:val="tx1"/>
            </w14:solidFill>
          </w14:textFill>
        </w:rPr>
      </w:pPr>
    </w:p>
    <w:p>
      <w:pPr>
        <w:spacing w:beforeLines="10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2"/>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89" w:name="_Toc494721097"/>
      <w:bookmarkStart w:id="90" w:name="_Toc494664997"/>
      <w:bookmarkStart w:id="91" w:name="_Toc494665947"/>
      <w:bookmarkStart w:id="92" w:name="_Toc494665550"/>
      <w:bookmarkStart w:id="93" w:name="_Toc494702267"/>
      <w:bookmarkStart w:id="94" w:name="_Toc495861548"/>
      <w:bookmarkStart w:id="95" w:name="_Toc494745314"/>
    </w:p>
    <w:p>
      <w:pPr>
        <w:pStyle w:val="2"/>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2"/>
        <w:spacing w:before="340" w:after="480" w:line="360" w:lineRule="auto"/>
        <w:ind w:firstLine="3080" w:firstLineChars="700"/>
        <w:jc w:val="both"/>
        <w:rPr>
          <w:rFonts w:cs="Times New Roman" w:asciiTheme="majorEastAsia" w:hAnsiTheme="majorEastAsia"/>
          <w:bCs w:val="0"/>
          <w:color w:val="000000" w:themeColor="text1"/>
          <w:sz w:val="44"/>
          <w:szCs w:val="44"/>
          <w:lang w:val="zh-CN"/>
          <w14:textFill>
            <w14:solidFill>
              <w14:schemeClr w14:val="tx1"/>
            </w14:solidFill>
          </w14:textFill>
        </w:rPr>
      </w:pPr>
      <w:r>
        <w:rPr>
          <w:rFonts w:hint="eastAsia" w:cs="Times New Roman" w:asciiTheme="majorEastAsia" w:hAnsiTheme="majorEastAsia"/>
          <w:bCs w:val="0"/>
          <w:color w:val="000000" w:themeColor="text1"/>
          <w:sz w:val="44"/>
          <w:szCs w:val="44"/>
          <w:lang w:val="zh-CN"/>
          <w14:textFill>
            <w14:solidFill>
              <w14:schemeClr w14:val="tx1"/>
            </w14:solidFill>
          </w14:textFill>
        </w:rPr>
        <w:t>第二部分 商务文件</w:t>
      </w:r>
      <w:bookmarkEnd w:id="89"/>
      <w:bookmarkEnd w:id="90"/>
      <w:bookmarkEnd w:id="91"/>
      <w:bookmarkEnd w:id="92"/>
      <w:bookmarkEnd w:id="93"/>
      <w:bookmarkEnd w:id="94"/>
      <w:bookmarkEnd w:id="95"/>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96" w:name="_Toc494665948"/>
      <w:bookmarkStart w:id="97" w:name="_Toc494745315"/>
      <w:bookmarkStart w:id="98" w:name="_Toc494721098"/>
      <w:bookmarkStart w:id="99" w:name="_Toc494665551"/>
      <w:bookmarkStart w:id="100" w:name="_Toc494702268"/>
      <w:bookmarkStart w:id="101" w:name="_Toc494664998"/>
      <w:r>
        <w:rPr>
          <w:rFonts w:hint="eastAsia" w:ascii="黑体" w:hAnsi="黑体" w:eastAsia="黑体" w:cs="Times New Roman"/>
          <w:b/>
          <w:color w:val="000000" w:themeColor="text1"/>
          <w:sz w:val="36"/>
          <w:szCs w:val="36"/>
          <w14:textFill>
            <w14:solidFill>
              <w14:schemeClr w14:val="tx1"/>
            </w14:solidFill>
          </w14:textFill>
        </w:rPr>
        <w:t>商务文件组成</w:t>
      </w:r>
      <w:bookmarkEnd w:id="96"/>
      <w:bookmarkEnd w:id="97"/>
      <w:bookmarkEnd w:id="98"/>
      <w:bookmarkEnd w:id="99"/>
      <w:bookmarkEnd w:id="100"/>
      <w:bookmarkEnd w:id="101"/>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由各投标人根据参考格式要求自行编写。目录清晰、内容详尽、易于理解和评审并富有建设性的商务方案在评标时具有优势。具体内容应包括但不限于以下内容：</w:t>
      </w:r>
    </w:p>
    <w:p>
      <w:pPr>
        <w:numPr>
          <w:ilvl w:val="0"/>
          <w:numId w:val="7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商务文件目录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7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投标书（附件一）；</w:t>
      </w:r>
    </w:p>
    <w:p>
      <w:pPr>
        <w:numPr>
          <w:ilvl w:val="0"/>
          <w:numId w:val="71"/>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开标一览表（附件</w:t>
      </w:r>
      <w:r>
        <w:rPr>
          <w:rFonts w:hint="eastAsia" w:ascii="宋体" w:hAnsi="宋体" w:eastAsia="宋体" w:cs="Courier New"/>
          <w:color w:val="000000" w:themeColor="text1"/>
          <w:sz w:val="24"/>
          <w:szCs w:val="24"/>
          <w:lang w:eastAsia="zh-CN"/>
          <w14:textFill>
            <w14:solidFill>
              <w14:schemeClr w14:val="tx1"/>
            </w14:solidFill>
          </w14:textFill>
        </w:rPr>
        <w:t>二</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投标报价明细表（附件</w:t>
      </w:r>
      <w:r>
        <w:rPr>
          <w:rFonts w:hint="eastAsia" w:ascii="宋体" w:hAnsi="宋体" w:eastAsia="宋体" w:cs="Courier New"/>
          <w:color w:val="000000" w:themeColor="text1"/>
          <w:sz w:val="24"/>
          <w:szCs w:val="24"/>
          <w:lang w:eastAsia="zh-CN"/>
          <w14:textFill>
            <w14:solidFill>
              <w14:schemeClr w14:val="tx1"/>
            </w14:solidFill>
          </w14:textFill>
        </w:rPr>
        <w:t>三</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交纳投标保证金的银行凭证（附件</w:t>
      </w:r>
      <w:r>
        <w:rPr>
          <w:rFonts w:hint="eastAsia" w:ascii="宋体" w:hAnsi="宋体" w:eastAsia="宋体" w:cs="Courier New"/>
          <w:color w:val="000000" w:themeColor="text1"/>
          <w:sz w:val="24"/>
          <w:szCs w:val="24"/>
          <w:lang w:eastAsia="zh-CN"/>
          <w14:textFill>
            <w14:solidFill>
              <w14:schemeClr w14:val="tx1"/>
            </w14:solidFill>
          </w14:textFill>
        </w:rPr>
        <w:t>四</w:t>
      </w:r>
      <w:r>
        <w:rPr>
          <w:rFonts w:hint="eastAsia" w:ascii="宋体" w:hAnsi="宋体" w:eastAsia="宋体" w:cs="Courier New"/>
          <w:color w:val="000000" w:themeColor="text1"/>
          <w:sz w:val="24"/>
          <w:szCs w:val="24"/>
          <w14:textFill>
            <w14:solidFill>
              <w14:schemeClr w14:val="tx1"/>
            </w14:solidFill>
          </w14:textFill>
        </w:rPr>
        <w:t>，适用招标文件有交纳要求的应当提供）；</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法定代表人授权书（附件</w:t>
      </w:r>
      <w:r>
        <w:rPr>
          <w:rFonts w:hint="eastAsia" w:ascii="宋体" w:hAnsi="宋体" w:eastAsia="宋体" w:cs="Courier New"/>
          <w:color w:val="000000" w:themeColor="text1"/>
          <w:sz w:val="24"/>
          <w:szCs w:val="24"/>
          <w:lang w:eastAsia="zh-CN"/>
          <w14:textFill>
            <w14:solidFill>
              <w14:schemeClr w14:val="tx1"/>
            </w14:solidFill>
          </w14:textFill>
        </w:rPr>
        <w:t>五</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投标人的资格声明（附件</w:t>
      </w:r>
      <w:r>
        <w:rPr>
          <w:rFonts w:hint="eastAsia" w:ascii="宋体" w:hAnsi="宋体" w:eastAsia="宋体" w:cs="Courier New"/>
          <w:color w:val="000000" w:themeColor="text1"/>
          <w:sz w:val="24"/>
          <w:szCs w:val="24"/>
          <w:lang w:eastAsia="zh-CN"/>
          <w14:textFill>
            <w14:solidFill>
              <w14:schemeClr w14:val="tx1"/>
            </w14:solidFill>
          </w14:textFill>
        </w:rPr>
        <w:t>六</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项目负责人、技术负责人简历表（附件</w:t>
      </w:r>
      <w:r>
        <w:rPr>
          <w:rFonts w:hint="eastAsia" w:ascii="宋体" w:hAnsi="宋体" w:eastAsia="宋体" w:cs="Courier New"/>
          <w:color w:val="000000" w:themeColor="text1"/>
          <w:sz w:val="24"/>
          <w:szCs w:val="24"/>
          <w:lang w:eastAsia="zh-CN"/>
          <w14:textFill>
            <w14:solidFill>
              <w14:schemeClr w14:val="tx1"/>
            </w14:solidFill>
          </w14:textFill>
        </w:rPr>
        <w:t>七</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项目班子成员情况表（附件</w:t>
      </w:r>
      <w:r>
        <w:rPr>
          <w:rFonts w:hint="eastAsia" w:ascii="宋体" w:hAnsi="宋体" w:eastAsia="宋体" w:cs="Courier New"/>
          <w:color w:val="000000" w:themeColor="text1"/>
          <w:sz w:val="24"/>
          <w:szCs w:val="24"/>
          <w:lang w:eastAsia="zh-CN"/>
          <w14:textFill>
            <w14:solidFill>
              <w14:schemeClr w14:val="tx1"/>
            </w14:solidFill>
          </w14:textFill>
        </w:rPr>
        <w:t>八</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投标人类似项目业绩表（附件</w:t>
      </w:r>
      <w:r>
        <w:rPr>
          <w:rFonts w:hint="eastAsia" w:ascii="宋体" w:hAnsi="宋体" w:eastAsia="宋体" w:cs="Courier New"/>
          <w:color w:val="000000" w:themeColor="text1"/>
          <w:sz w:val="24"/>
          <w:szCs w:val="24"/>
          <w:lang w:eastAsia="zh-CN"/>
          <w14:textFill>
            <w14:solidFill>
              <w14:schemeClr w14:val="tx1"/>
            </w14:solidFill>
          </w14:textFill>
        </w:rPr>
        <w:t>九</w:t>
      </w:r>
      <w:r>
        <w:rPr>
          <w:rFonts w:hint="eastAsia" w:ascii="宋体" w:hAnsi="宋体" w:eastAsia="宋体" w:cs="Courier New"/>
          <w:color w:val="000000" w:themeColor="text1"/>
          <w:sz w:val="24"/>
          <w:szCs w:val="24"/>
          <w14:textFill>
            <w14:solidFill>
              <w14:schemeClr w14:val="tx1"/>
            </w14:solidFill>
          </w14:textFill>
        </w:rPr>
        <w:t>）；</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招标文件要求提供或投标人认为需提供的其它资料；</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符合性审查对照表（附件十）；</w:t>
      </w:r>
    </w:p>
    <w:p>
      <w:pPr>
        <w:numPr>
          <w:ilvl w:val="0"/>
          <w:numId w:val="71"/>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商务要求响应、偏离说明表（附件十</w:t>
      </w:r>
      <w:r>
        <w:rPr>
          <w:rFonts w:hint="eastAsia" w:ascii="宋体" w:hAnsi="宋体" w:eastAsia="宋体" w:cs="Courier New"/>
          <w:color w:val="000000" w:themeColor="text1"/>
          <w:sz w:val="24"/>
          <w:szCs w:val="24"/>
          <w:lang w:eastAsia="zh-CN"/>
          <w14:textFill>
            <w14:solidFill>
              <w14:schemeClr w14:val="tx1"/>
            </w14:solidFill>
          </w14:textFill>
        </w:rPr>
        <w:t>一</w:t>
      </w:r>
      <w:r>
        <w:rPr>
          <w:rFonts w:hint="eastAsia" w:ascii="宋体" w:hAnsi="宋体" w:eastAsia="宋体" w:cs="Courier New"/>
          <w:color w:val="000000" w:themeColor="text1"/>
          <w:sz w:val="24"/>
          <w:szCs w:val="24"/>
          <w14:textFill>
            <w14:solidFill>
              <w14:schemeClr w14:val="tx1"/>
            </w14:solidFill>
          </w14:textFill>
        </w:rPr>
        <w:t>）；</w:t>
      </w:r>
    </w:p>
    <w:p>
      <w:pPr>
        <w:spacing w:line="440" w:lineRule="exact"/>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pStyle w:val="2"/>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pStyle w:val="2"/>
        <w:rPr>
          <w:rFonts w:hint="eastAsia"/>
        </w:rPr>
      </w:pPr>
    </w:p>
    <w:p>
      <w:pPr>
        <w:pStyle w:val="2"/>
        <w:rPr>
          <w:rFonts w:hint="eastAsia"/>
        </w:rPr>
      </w:pPr>
    </w:p>
    <w:p>
      <w:pPr>
        <w:spacing w:line="440" w:lineRule="exact"/>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spacing w:line="440" w:lineRule="exact"/>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p>
      <w:pPr>
        <w:spacing w:beforeLines="10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2"/>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102" w:name="_Toc494745316"/>
      <w:bookmarkStart w:id="103" w:name="_Toc494721099"/>
      <w:bookmarkStart w:id="104" w:name="_Toc494665949"/>
      <w:bookmarkStart w:id="105" w:name="_Toc494665552"/>
      <w:bookmarkStart w:id="106" w:name="_Toc494702269"/>
      <w:bookmarkStart w:id="107" w:name="_Toc495861549"/>
      <w:bookmarkStart w:id="108" w:name="_Toc494664999"/>
    </w:p>
    <w:p>
      <w:pPr>
        <w:pStyle w:val="2"/>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2"/>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r>
        <w:rPr>
          <w:rFonts w:hint="eastAsia" w:cs="Times New Roman" w:asciiTheme="majorEastAsia" w:hAnsiTheme="majorEastAsia"/>
          <w:bCs w:val="0"/>
          <w:color w:val="000000" w:themeColor="text1"/>
          <w:sz w:val="44"/>
          <w:szCs w:val="44"/>
          <w:lang w:val="zh-CN"/>
          <w14:textFill>
            <w14:solidFill>
              <w14:schemeClr w14:val="tx1"/>
            </w14:solidFill>
          </w14:textFill>
        </w:rPr>
        <w:t>第三部分 技术、服务文件</w:t>
      </w:r>
      <w:bookmarkEnd w:id="102"/>
      <w:bookmarkEnd w:id="103"/>
      <w:bookmarkEnd w:id="104"/>
      <w:bookmarkEnd w:id="105"/>
      <w:bookmarkEnd w:id="106"/>
      <w:bookmarkEnd w:id="107"/>
      <w:bookmarkEnd w:id="108"/>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二0一</w:t>
      </w:r>
      <w:r>
        <w:rPr>
          <w:rFonts w:hint="eastAsia" w:ascii="宋体" w:hAnsi="宋体"/>
          <w:b/>
          <w:color w:val="000000" w:themeColor="text1"/>
          <w:sz w:val="36"/>
          <w:szCs w:val="36"/>
          <w14:textFill>
            <w14:solidFill>
              <w14:schemeClr w14:val="tx1"/>
            </w14:solidFill>
          </w14:textFill>
        </w:rPr>
        <w:t xml:space="preserve">  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109" w:name="_Toc494745317"/>
      <w:bookmarkStart w:id="110" w:name="_Toc494665000"/>
      <w:bookmarkStart w:id="111" w:name="_Toc494665553"/>
      <w:bookmarkStart w:id="112" w:name="_Toc494665950"/>
      <w:bookmarkStart w:id="113" w:name="_Toc494702270"/>
      <w:bookmarkStart w:id="114" w:name="_Toc494721100"/>
      <w:r>
        <w:rPr>
          <w:rFonts w:hint="eastAsia" w:ascii="黑体" w:hAnsi="黑体" w:eastAsia="黑体" w:cs="Times New Roman"/>
          <w:b/>
          <w:bCs/>
          <w:color w:val="000000" w:themeColor="text1"/>
          <w:sz w:val="36"/>
          <w:szCs w:val="36"/>
          <w:lang w:val="zh-CN"/>
          <w14:textFill>
            <w14:solidFill>
              <w14:schemeClr w14:val="tx1"/>
            </w14:solidFill>
          </w14:textFill>
        </w:rPr>
        <w:t>技术</w:t>
      </w:r>
      <w:r>
        <w:rPr>
          <w:rFonts w:hint="eastAsia" w:ascii="黑体" w:hAnsi="黑体" w:eastAsia="黑体" w:cs="Times New Roman"/>
          <w:b/>
          <w:color w:val="000000" w:themeColor="text1"/>
          <w:sz w:val="36"/>
          <w:szCs w:val="36"/>
          <w14:textFill>
            <w14:solidFill>
              <w14:schemeClr w14:val="tx1"/>
            </w14:solidFill>
          </w14:textFill>
        </w:rPr>
        <w:t>、服务文件组成</w:t>
      </w:r>
      <w:bookmarkEnd w:id="109"/>
      <w:bookmarkEnd w:id="110"/>
      <w:bookmarkEnd w:id="111"/>
      <w:bookmarkEnd w:id="112"/>
      <w:bookmarkEnd w:id="113"/>
      <w:bookmarkEnd w:id="114"/>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由各投标人根据参考格式要求自行编写。目录清晰、内容详尽、易于理解和评审并富有建设性的技术、服务方案在评标时具有优势。具体内容应包括但不限于以下内容：</w:t>
      </w:r>
    </w:p>
    <w:p>
      <w:pPr>
        <w:numPr>
          <w:ilvl w:val="0"/>
          <w:numId w:val="72"/>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技术、服务文件目录（目录应涵盖下述所有资料，页码清晰以便查阅）；</w:t>
      </w:r>
    </w:p>
    <w:p>
      <w:pPr>
        <w:numPr>
          <w:ilvl w:val="0"/>
          <w:numId w:val="72"/>
        </w:numPr>
        <w:autoSpaceDE w:val="0"/>
        <w:autoSpaceDN w:val="0"/>
        <w:adjustRightInd w:val="0"/>
        <w:spacing w:line="360" w:lineRule="auto"/>
        <w:ind w:left="488" w:hanging="369"/>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投标货物（工程或服务）介绍，项目建设（服务）方案；</w:t>
      </w:r>
    </w:p>
    <w:p>
      <w:pPr>
        <w:numPr>
          <w:ilvl w:val="0"/>
          <w:numId w:val="72"/>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技术、服务要求响应、偏离说明表（附件十</w:t>
      </w:r>
      <w:r>
        <w:rPr>
          <w:rFonts w:hint="eastAsia" w:ascii="宋体" w:hAnsi="宋体" w:eastAsia="宋体" w:cs="Times New Roman"/>
          <w:color w:val="000000" w:themeColor="text1"/>
          <w:kern w:val="0"/>
          <w:sz w:val="24"/>
          <w:szCs w:val="32"/>
          <w:lang w:eastAsia="zh-CN"/>
          <w14:textFill>
            <w14:solidFill>
              <w14:schemeClr w14:val="tx1"/>
            </w14:solidFill>
          </w14:textFill>
        </w:rPr>
        <w:t>二</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72"/>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招标文件要求提供或投标人认为需提供的其它资料。</w:t>
      </w:r>
    </w:p>
    <w:p>
      <w:pPr>
        <w:autoSpaceDE w:val="0"/>
        <w:autoSpaceDN w:val="0"/>
        <w:adjustRightInd w:val="0"/>
        <w:spacing w:line="360" w:lineRule="auto"/>
        <w:rPr>
          <w:rFonts w:ascii="宋体" w:hAnsi="宋体" w:eastAsia="宋体" w:cs="Times New Roman"/>
          <w:color w:val="000000" w:themeColor="text1"/>
          <w:kern w:val="0"/>
          <w:sz w:val="24"/>
          <w:szCs w:val="32"/>
          <w14:textFill>
            <w14:solidFill>
              <w14:schemeClr w14:val="tx1"/>
            </w14:solidFill>
          </w14:textFill>
        </w:rPr>
      </w:pPr>
    </w:p>
    <w:p>
      <w:pPr>
        <w:autoSpaceDE w:val="0"/>
        <w:autoSpaceDN w:val="0"/>
        <w:adjustRightInd w:val="0"/>
        <w:spacing w:line="360" w:lineRule="auto"/>
        <w:ind w:left="715" w:leftChars="-6" w:hanging="727" w:hangingChars="303"/>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15" w:name="_Toc494702271"/>
      <w:bookmarkStart w:id="116" w:name="_Toc494665554"/>
      <w:bookmarkStart w:id="117" w:name="_Toc494721101"/>
      <w:bookmarkStart w:id="118" w:name="_Toc236473298"/>
      <w:bookmarkStart w:id="119" w:name="_Toc494665001"/>
      <w:bookmarkStart w:id="120" w:name="_Toc494665951"/>
      <w:bookmarkStart w:id="121" w:name="_Toc238276242"/>
      <w:bookmarkStart w:id="122" w:name="_Toc494745318"/>
      <w:bookmarkStart w:id="123" w:name="_Toc495861550"/>
      <w:r>
        <w:rPr>
          <w:rFonts w:hint="eastAsia" w:ascii="宋体" w:hAnsi="宋体" w:eastAsia="宋体"/>
          <w:color w:val="000000" w:themeColor="text1"/>
          <w14:textFill>
            <w14:solidFill>
              <w14:schemeClr w14:val="tx1"/>
            </w14:solidFill>
          </w14:textFill>
        </w:rPr>
        <w:t>投标书</w:t>
      </w:r>
      <w:bookmarkEnd w:id="115"/>
      <w:bookmarkEnd w:id="116"/>
      <w:bookmarkEnd w:id="117"/>
      <w:bookmarkEnd w:id="118"/>
      <w:bookmarkEnd w:id="119"/>
      <w:bookmarkEnd w:id="120"/>
      <w:bookmarkEnd w:id="121"/>
      <w:bookmarkEnd w:id="122"/>
      <w:bookmarkEnd w:id="123"/>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依据贵方___</w:t>
      </w:r>
      <w:r>
        <w:rPr>
          <w:rFonts w:hint="eastAsia" w:asciiTheme="minorEastAsia" w:hAnsiTheme="minorEastAsia"/>
          <w:color w:val="000000" w:themeColor="text1"/>
          <w:sz w:val="24"/>
          <w:szCs w:val="24"/>
          <w:u w:val="single"/>
          <w14:textFill>
            <w14:solidFill>
              <w14:schemeClr w14:val="tx1"/>
            </w14:solidFill>
          </w14:textFill>
        </w:rPr>
        <w:t xml:space="preserve">  _</w:t>
      </w:r>
      <w:r>
        <w:rPr>
          <w:rFonts w:hint="eastAsia" w:asciiTheme="minorEastAsia" w:hAnsiTheme="minorEastAsia"/>
          <w:color w:val="000000" w:themeColor="text1"/>
          <w:sz w:val="24"/>
          <w:szCs w:val="24"/>
          <w14:textFill>
            <w14:solidFill>
              <w14:schemeClr w14:val="tx1"/>
            </w14:solidFill>
          </w14:textFill>
        </w:rPr>
        <w:t>项目（项目编号：_____）招标的投标邀请，我方代表</w:t>
      </w:r>
      <w:r>
        <w:rPr>
          <w:rFonts w:hint="eastAsia" w:asciiTheme="minorEastAsia" w:hAnsiTheme="minorEastAsia"/>
          <w:color w:val="000000" w:themeColor="text1"/>
          <w:sz w:val="24"/>
          <w:szCs w:val="24"/>
          <w:u w:val="single"/>
          <w14:textFill>
            <w14:solidFill>
              <w14:schemeClr w14:val="tx1"/>
            </w14:solidFill>
          </w14:textFill>
        </w:rPr>
        <w:t>（姓名、职务）</w:t>
      </w:r>
      <w:r>
        <w:rPr>
          <w:rFonts w:hint="eastAsia" w:asciiTheme="minorEastAsia" w:hAnsiTheme="minorEastAsia"/>
          <w:color w:val="000000" w:themeColor="text1"/>
          <w:sz w:val="24"/>
          <w:szCs w:val="24"/>
          <w14:textFill>
            <w14:solidFill>
              <w14:schemeClr w14:val="tx1"/>
            </w14:solidFill>
          </w14:textFill>
        </w:rPr>
        <w:t>经正式授权并代表投标人</w:t>
      </w:r>
      <w:r>
        <w:rPr>
          <w:rFonts w:hint="eastAsia" w:asciiTheme="minorEastAsia" w:hAnsiTheme="minorEastAsia"/>
          <w:color w:val="000000" w:themeColor="text1"/>
          <w:sz w:val="24"/>
          <w:szCs w:val="24"/>
          <w:u w:val="single"/>
          <w14:textFill>
            <w14:solidFill>
              <w14:schemeClr w14:val="tx1"/>
            </w14:solidFill>
          </w14:textFill>
        </w:rPr>
        <w:t>（投标人全称 ）</w:t>
      </w:r>
      <w:r>
        <w:rPr>
          <w:rFonts w:hint="eastAsia" w:asciiTheme="minorEastAsia" w:hAnsiTheme="minorEastAsia"/>
          <w:color w:val="000000" w:themeColor="text1"/>
          <w:sz w:val="24"/>
          <w:szCs w:val="24"/>
          <w14:textFill>
            <w14:solidFill>
              <w14:schemeClr w14:val="tx1"/>
            </w14:solidFill>
          </w14:textFill>
        </w:rPr>
        <w:t>提交</w:t>
      </w:r>
      <w:r>
        <w:rPr>
          <w:rFonts w:hint="eastAsia" w:ascii="宋体" w:hAnsi="宋体"/>
          <w:color w:val="000000" w:themeColor="text1"/>
          <w:kern w:val="0"/>
          <w:sz w:val="24"/>
          <w14:textFill>
            <w14:solidFill>
              <w14:schemeClr w14:val="tx1"/>
            </w14:solidFill>
          </w14:textFill>
        </w:rPr>
        <w:t>“开标一览表”信封和下述文件正本份，副本份。</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1.资格证明文件； </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2.商务文件；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3.技术、服务文件。</w:t>
      </w:r>
    </w:p>
    <w:p>
      <w:pPr>
        <w:spacing w:line="360" w:lineRule="auto"/>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在此，我方宣布同意如下：</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1．《开标一览表》中规定的应提交和交付的</w:t>
      </w:r>
      <w:r>
        <w:rPr>
          <w:rFonts w:hint="eastAsia" w:asciiTheme="minorEastAsia" w:hAnsiTheme="minorEastAsia"/>
          <w:color w:val="000000" w:themeColor="text1"/>
          <w:sz w:val="24"/>
          <w:szCs w:val="24"/>
          <w:u w:val="single"/>
          <w14:textFill>
            <w14:solidFill>
              <w14:schemeClr w14:val="tx1"/>
            </w14:solidFill>
          </w14:textFill>
        </w:rPr>
        <w:t xml:space="preserve">  （包号）  </w:t>
      </w:r>
      <w:r>
        <w:rPr>
          <w:rFonts w:hint="eastAsia" w:asciiTheme="minorEastAsia" w:hAnsiTheme="minorEastAsia"/>
          <w:color w:val="000000" w:themeColor="text1"/>
          <w:sz w:val="24"/>
          <w:szCs w:val="24"/>
          <w14:textFill>
            <w14:solidFill>
              <w14:schemeClr w14:val="tx1"/>
            </w14:solidFill>
          </w14:textFill>
        </w:rPr>
        <w:t>货物（工程或服务）投标总价为</w:t>
      </w:r>
      <w:r>
        <w:rPr>
          <w:rFonts w:hint="eastAsia" w:asciiTheme="minorEastAsia" w:hAnsiTheme="minorEastAsia"/>
          <w:color w:val="000000" w:themeColor="text1"/>
          <w:sz w:val="24"/>
          <w:szCs w:val="24"/>
          <w:u w:val="single"/>
          <w14:textFill>
            <w14:solidFill>
              <w14:schemeClr w14:val="tx1"/>
            </w14:solidFill>
          </w14:textFill>
        </w:rPr>
        <w:t>（注明币种，并用大写和小写表述投标总价）</w:t>
      </w:r>
      <w:r>
        <w:rPr>
          <w:rFonts w:hint="eastAsia" w:asciiTheme="minorEastAsia" w:hAnsiTheme="minorEastAsia"/>
          <w:color w:val="000000" w:themeColor="text1"/>
          <w:sz w:val="24"/>
          <w:szCs w:val="24"/>
          <w14:textFill>
            <w14:solidFill>
              <w14:schemeClr w14:val="tx1"/>
            </w14:solidFill>
          </w14:textFill>
        </w:rPr>
        <w:t>；</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2．按招标文件的约定履行合同责任和义务；</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3．已详细审查全部招标文件，包括</w:t>
      </w:r>
      <w:r>
        <w:rPr>
          <w:rFonts w:hint="eastAsia" w:asciiTheme="minorEastAsia" w:hAnsiTheme="minorEastAsia"/>
          <w:color w:val="000000" w:themeColor="text1"/>
          <w:sz w:val="24"/>
          <w:szCs w:val="24"/>
          <w:u w:val="single"/>
          <w14:textFill>
            <w14:solidFill>
              <w14:schemeClr w14:val="tx1"/>
            </w14:solidFill>
          </w14:textFill>
        </w:rPr>
        <w:t>（修正或补充文件）（如果有的话）</w:t>
      </w:r>
      <w:r>
        <w:rPr>
          <w:rFonts w:hint="eastAsia" w:asciiTheme="minorEastAsia" w:hAnsiTheme="minorEastAsia"/>
          <w:color w:val="000000" w:themeColor="text1"/>
          <w:sz w:val="24"/>
          <w:szCs w:val="24"/>
          <w14:textFill>
            <w14:solidFill>
              <w14:schemeClr w14:val="tx1"/>
            </w14:solidFill>
          </w14:textFill>
        </w:rPr>
        <w:t>，对此无异议；</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4．投标有效期为自</w:t>
      </w:r>
      <w:r>
        <w:rPr>
          <w:rFonts w:hint="eastAsia" w:ascii="宋体" w:hAnsi="宋体"/>
          <w:color w:val="000000" w:themeColor="text1"/>
          <w:kern w:val="0"/>
          <w:sz w:val="24"/>
          <w14:textFill>
            <w14:solidFill>
              <w14:schemeClr w14:val="tx1"/>
            </w14:solidFill>
          </w14:textFill>
        </w:rPr>
        <w:t>递交投标文件截止之日</w:t>
      </w:r>
      <w:r>
        <w:rPr>
          <w:rFonts w:hint="eastAsia" w:asciiTheme="minorEastAsia" w:hAnsiTheme="minorEastAsia"/>
          <w:color w:val="000000" w:themeColor="text1"/>
          <w:sz w:val="24"/>
          <w:szCs w:val="24"/>
          <w14:textFill>
            <w14:solidFill>
              <w14:schemeClr w14:val="tx1"/>
            </w14:solidFill>
          </w14:textFill>
        </w:rPr>
        <w:t>起，共个日历日；</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5．接受招标文件关于不予退还投标保证金的约定；</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6．提供按照贵方可能要求的与投标有关的一切数据或资料；</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000000" w:themeColor="text1"/>
          <w:kern w:val="0"/>
          <w:sz w:val="24"/>
          <w:szCs w:val="24"/>
          <w14:textFill>
            <w14:solidFill>
              <w14:schemeClr w14:val="tx1"/>
            </w14:solidFill>
          </w14:textFill>
        </w:rPr>
      </w:pP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  址：</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电话/传真：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电子邮件：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投标人(公章)：</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投标人授权代表（签字）：</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日    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开户银行：</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帐号/行号：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24" w:name="_Toc495861554"/>
      <w:bookmarkStart w:id="125" w:name="_Toc494665005"/>
      <w:bookmarkStart w:id="126" w:name="_Toc494665955"/>
      <w:bookmarkStart w:id="127" w:name="_Toc494721105"/>
      <w:bookmarkStart w:id="128" w:name="_Toc494702275"/>
      <w:bookmarkStart w:id="129" w:name="_Toc494745322"/>
      <w:bookmarkStart w:id="130" w:name="_Toc494577410"/>
      <w:bookmarkStart w:id="131" w:name="_Toc494665558"/>
      <w:r>
        <w:rPr>
          <w:rFonts w:hint="eastAsia" w:ascii="宋体" w:hAnsi="宋体" w:eastAsia="宋体"/>
          <w:color w:val="000000" w:themeColor="text1"/>
          <w14:textFill>
            <w14:solidFill>
              <w14:schemeClr w14:val="tx1"/>
            </w14:solidFill>
          </w14:textFill>
        </w:rPr>
        <w:t>开标一览表</w:t>
      </w:r>
      <w:bookmarkEnd w:id="124"/>
      <w:bookmarkEnd w:id="125"/>
      <w:bookmarkEnd w:id="126"/>
      <w:bookmarkEnd w:id="127"/>
      <w:bookmarkEnd w:id="128"/>
      <w:bookmarkEnd w:id="129"/>
      <w:bookmarkEnd w:id="130"/>
      <w:bookmarkEnd w:id="131"/>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7"/>
        <w:gridCol w:w="927"/>
        <w:gridCol w:w="1972"/>
        <w:gridCol w:w="1719"/>
        <w:gridCol w:w="16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37"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项目名称</w:t>
            </w:r>
          </w:p>
        </w:tc>
        <w:tc>
          <w:tcPr>
            <w:tcW w:w="927"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数量</w:t>
            </w:r>
          </w:p>
        </w:tc>
        <w:tc>
          <w:tcPr>
            <w:tcW w:w="1972"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投标报价（元）</w:t>
            </w:r>
          </w:p>
        </w:tc>
        <w:tc>
          <w:tcPr>
            <w:tcW w:w="17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hint="eastAsia"/>
                <w:lang w:eastAsia="zh-CN"/>
              </w:rPr>
            </w:pPr>
            <w:r>
              <w:rPr>
                <w:rFonts w:hint="eastAsia"/>
                <w:lang w:eastAsia="zh-CN"/>
              </w:rPr>
              <w:t>交货期</w:t>
            </w:r>
          </w:p>
          <w:p>
            <w:pPr>
              <w:spacing w:line="360" w:lineRule="auto"/>
              <w:ind w:left="-50" w:leftChars="-24" w:right="-65" w:rightChars="-31"/>
              <w:jc w:val="center"/>
              <w:rPr>
                <w:rFonts w:hint="eastAsia"/>
                <w:lang w:eastAsia="zh-CN"/>
              </w:rPr>
            </w:pPr>
            <w:r>
              <w:rPr>
                <w:rFonts w:hint="eastAsia" w:asciiTheme="minorHAnsi" w:hAnsiTheme="minorHAnsi" w:eastAsiaTheme="minorEastAsia" w:cstheme="minorBidi"/>
                <w:b w:val="0"/>
                <w:bCs w:val="0"/>
                <w:kern w:val="2"/>
                <w:sz w:val="21"/>
                <w:szCs w:val="22"/>
                <w:lang w:val="en-US" w:eastAsia="zh-CN" w:bidi="ar-SA"/>
              </w:rPr>
              <w:t>（单位：日历天）</w:t>
            </w:r>
          </w:p>
        </w:tc>
        <w:tc>
          <w:tcPr>
            <w:tcW w:w="1692"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质保期</w:t>
            </w:r>
          </w:p>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3237"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92"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3237" w:type="dxa"/>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投标报价（大写）</w:t>
            </w:r>
          </w:p>
        </w:tc>
        <w:tc>
          <w:tcPr>
            <w:tcW w:w="6310" w:type="dxa"/>
            <w:gridSpan w:val="4"/>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宋体"/>
                <w:color w:val="000000" w:themeColor="text1"/>
                <w:kern w:val="0"/>
                <w:sz w:val="24"/>
                <w:szCs w:val="24"/>
                <w:lang w:val="zh-CN"/>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单位为元。</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3．为方便开标时唱标，投标人应另附《开标一览表》</w:t>
      </w:r>
      <w:r>
        <w:rPr>
          <w:rFonts w:hint="eastAsia" w:ascii="宋体" w:hAnsi="宋体" w:eastAsia="宋体" w:cs="Times New Roman"/>
          <w:color w:val="000000" w:themeColor="text1"/>
          <w:spacing w:val="-6"/>
          <w:kern w:val="0"/>
          <w:sz w:val="24"/>
          <w:szCs w:val="24"/>
          <w14:textFill>
            <w14:solidFill>
              <w14:schemeClr w14:val="tx1"/>
            </w14:solidFill>
          </w14:textFill>
        </w:rPr>
        <w:t>单独密封提交</w:t>
      </w:r>
      <w:r>
        <w:rPr>
          <w:rFonts w:hint="eastAsia" w:ascii="宋体" w:hAnsi="宋体" w:eastAsia="宋体" w:cs="Times New Roman"/>
          <w:color w:val="000000" w:themeColor="text1"/>
          <w:sz w:val="24"/>
          <w:szCs w:val="24"/>
          <w14:textFill>
            <w14:solidFill>
              <w14:schemeClr w14:val="tx1"/>
            </w14:solidFill>
          </w14:textFill>
        </w:rPr>
        <w:t>，并在信封上标明“开标一览表”字样。未单独提交或单独提交的上述资料未按照招标文件规定的格式填写完整并签字、盖章</w:t>
      </w:r>
      <w:r>
        <w:rPr>
          <w:rFonts w:hint="eastAsia" w:ascii="宋体" w:hAnsi="宋体" w:eastAsia="宋体" w:cs="Times New Roman"/>
          <w:color w:val="000000" w:themeColor="text1"/>
          <w:sz w:val="24"/>
          <w:szCs w:val="20"/>
          <w:lang w:val="zh-CN"/>
          <w14:textFill>
            <w14:solidFill>
              <w14:schemeClr w14:val="tx1"/>
            </w14:solidFill>
          </w14:textFill>
        </w:rPr>
        <w:t>的集中采购机构</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 本表应按要求由投标人法人授权代表签字，并加盖投标单位公章，否则将被视为非响应性投标，将按照</w:t>
      </w:r>
      <w:r>
        <w:rPr>
          <w:rFonts w:hint="eastAsia" w:ascii="宋体" w:hAnsi="宋体" w:eastAsia="宋体" w:cs="Times New Roman"/>
          <w:b/>
          <w:color w:val="000000" w:themeColor="text1"/>
          <w:sz w:val="24"/>
          <w:szCs w:val="24"/>
          <w14:textFill>
            <w14:solidFill>
              <w14:schemeClr w14:val="tx1"/>
            </w14:solidFill>
          </w14:textFill>
        </w:rPr>
        <w:t>无效投标处理</w:t>
      </w:r>
      <w:r>
        <w:rPr>
          <w:rFonts w:hint="eastAsia" w:ascii="宋体" w:hAnsi="宋体" w:eastAsia="宋体" w:cs="Times New Roman"/>
          <w:color w:val="000000" w:themeColor="text1"/>
          <w:sz w:val="24"/>
          <w:szCs w:val="24"/>
          <w14:textFill>
            <w14:solidFill>
              <w14:schemeClr w14:val="tx1"/>
            </w14:solidFill>
          </w14:textFill>
        </w:rPr>
        <w:t>。</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32" w:name="_Toc495861555"/>
      <w:bookmarkStart w:id="133" w:name="_Toc494702276"/>
      <w:bookmarkStart w:id="134" w:name="_Toc494577411"/>
      <w:bookmarkStart w:id="135" w:name="_Toc494665956"/>
      <w:bookmarkStart w:id="136" w:name="_Toc494721106"/>
      <w:bookmarkStart w:id="137" w:name="_Toc494665559"/>
      <w:bookmarkStart w:id="138" w:name="_Toc494665006"/>
      <w:bookmarkStart w:id="139" w:name="_Toc494745323"/>
      <w:r>
        <w:rPr>
          <w:rFonts w:hint="eastAsia" w:ascii="宋体" w:hAnsi="宋体" w:eastAsia="宋体"/>
          <w:color w:val="000000" w:themeColor="text1"/>
          <w14:textFill>
            <w14:solidFill>
              <w14:schemeClr w14:val="tx1"/>
            </w14:solidFill>
          </w14:textFill>
        </w:rPr>
        <w:t>投标报价明细表</w:t>
      </w:r>
      <w:bookmarkEnd w:id="132"/>
      <w:bookmarkEnd w:id="133"/>
      <w:bookmarkEnd w:id="134"/>
      <w:bookmarkEnd w:id="135"/>
      <w:bookmarkEnd w:id="136"/>
      <w:bookmarkEnd w:id="137"/>
      <w:bookmarkEnd w:id="138"/>
      <w:bookmarkEnd w:id="139"/>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838"/>
        <w:gridCol w:w="838"/>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134" w:type="dxa"/>
            <w:shd w:val="clear" w:color="auto" w:fill="D8D8D8" w:themeFill="background1" w:themeFillShade="D9"/>
            <w:vAlign w:val="center"/>
          </w:tcPr>
          <w:p>
            <w:pPr>
              <w:ind w:left="-48" w:leftChars="-23"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838" w:type="dxa"/>
            <w:shd w:val="clear" w:color="auto" w:fill="D8D8D8" w:themeFill="background1" w:themeFillShade="D9"/>
            <w:vAlign w:val="center"/>
          </w:tcPr>
          <w:p>
            <w:pPr>
              <w:spacing w:line="360" w:lineRule="auto"/>
              <w:ind w:left="-48" w:leftChars="-23"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单位</w:t>
            </w:r>
          </w:p>
        </w:tc>
        <w:tc>
          <w:tcPr>
            <w:tcW w:w="838" w:type="dxa"/>
            <w:shd w:val="clear" w:color="auto" w:fill="D8D8D8" w:themeFill="background1" w:themeFillShade="D9"/>
            <w:vAlign w:val="center"/>
          </w:tcPr>
          <w:p>
            <w:pPr>
              <w:spacing w:line="360" w:lineRule="auto"/>
              <w:ind w:left="-23" w:leftChars="-11" w:right="-65" w:rightChars="-31"/>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w:t>
            </w:r>
          </w:p>
        </w:tc>
        <w:tc>
          <w:tcPr>
            <w:tcW w:w="1357" w:type="dxa"/>
            <w:shd w:val="clear" w:color="auto" w:fill="D8D8D8" w:themeFill="background1" w:themeFillShade="D9"/>
            <w:vAlign w:val="center"/>
          </w:tcPr>
          <w:p>
            <w:pPr>
              <w:spacing w:line="360" w:lineRule="auto"/>
              <w:ind w:left="-23" w:leftChars="-11" w:right="-65" w:rightChars="-31"/>
              <w:jc w:val="center"/>
              <w:rPr>
                <w:rFonts w:hint="eastAsia" w:ascii="宋体" w:hAnsi="宋体" w:cs="宋体" w:eastAsiaTheme="minorEastAsia"/>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83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73" w:type="dxa"/>
            <w:gridSpan w:val="6"/>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说明：1．所有价格均用人民币表示，单位为元。</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2．报价明细表合计应与《开标一览表》中的投标总报价一致。</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3．未提供详细的货物（工程或服务）报价明细</w:t>
      </w:r>
      <w:r>
        <w:rPr>
          <w:rFonts w:hint="eastAsia" w:ascii="宋体" w:hAnsi="宋体" w:cs="Corbe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导致的后果由投标人自行承担。</w:t>
      </w: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40" w:name="_Toc494745326"/>
      <w:bookmarkStart w:id="141" w:name="_Toc494665562"/>
      <w:bookmarkStart w:id="142" w:name="_Toc494665009"/>
      <w:bookmarkStart w:id="143" w:name="_Toc494702279"/>
      <w:bookmarkStart w:id="144" w:name="_Toc495861558"/>
      <w:bookmarkStart w:id="145" w:name="_Toc494665959"/>
      <w:bookmarkStart w:id="146" w:name="_Toc494721109"/>
      <w:r>
        <w:rPr>
          <w:rFonts w:hint="eastAsia" w:ascii="宋体" w:hAnsi="宋体" w:eastAsia="宋体"/>
          <w:color w:val="000000" w:themeColor="text1"/>
          <w14:textFill>
            <w14:solidFill>
              <w14:schemeClr w14:val="tx1"/>
            </w14:solidFill>
          </w14:textFill>
        </w:rPr>
        <w:t>交纳投标保证金的银行凭证</w:t>
      </w:r>
      <w:bookmarkEnd w:id="140"/>
      <w:bookmarkEnd w:id="141"/>
      <w:bookmarkEnd w:id="142"/>
      <w:bookmarkEnd w:id="143"/>
      <w:bookmarkEnd w:id="144"/>
      <w:bookmarkEnd w:id="145"/>
      <w:bookmarkEnd w:id="146"/>
    </w:p>
    <w:p>
      <w:pPr>
        <w:spacing w:line="480" w:lineRule="auto"/>
        <w:rPr>
          <w:rFonts w:ascii="宋体" w:hAnsi="宋体" w:cs="Courier New"/>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9" w:firstLineChars="204"/>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u w:val="single"/>
          <w:lang w:val="zh-CN"/>
          <w14:textFill>
            <w14:solidFill>
              <w14:schemeClr w14:val="tx1"/>
            </w14:solidFill>
          </w14:textFill>
        </w:rPr>
        <w:t xml:space="preserve">  （投标人全称）  </w:t>
      </w:r>
      <w:r>
        <w:rPr>
          <w:rFonts w:hint="eastAsia" w:ascii="宋体" w:hAnsi="宋体" w:eastAsia="宋体" w:cs="Times New Roman"/>
          <w:color w:val="000000" w:themeColor="text1"/>
          <w:sz w:val="24"/>
          <w:szCs w:val="21"/>
          <w:lang w:val="zh-CN"/>
          <w14:textFill>
            <w14:solidFill>
              <w14:schemeClr w14:val="tx1"/>
            </w14:solidFill>
          </w14:textFill>
        </w:rPr>
        <w:t>参加贵方组织的__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项目（项目编号：______）的政府采购活动。按招标文件的规定，已递交人民币（大写）__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万元的投标保证金。</w:t>
      </w:r>
    </w:p>
    <w:tbl>
      <w:tblPr>
        <w:tblStyle w:val="17"/>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投标人</w:t>
            </w: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全  称</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地  址</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邮  编</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联 系 人</w:t>
            </w:r>
          </w:p>
        </w:tc>
        <w:tc>
          <w:tcPr>
            <w:tcW w:w="2160" w:type="dxa"/>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440"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联系电话</w:t>
            </w:r>
          </w:p>
        </w:tc>
        <w:tc>
          <w:tcPr>
            <w:tcW w:w="3523" w:type="dxa"/>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开 户 银 行</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14:textFill>
                  <w14:solidFill>
                    <w14:schemeClr w14:val="tx1"/>
                  </w14:solidFill>
                </w14:textFill>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帐  号</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14:textFill>
                  <w14:solidFill>
                    <w14:schemeClr w14:val="tx1"/>
                  </w14:solidFill>
                </w14:textFill>
              </w:rPr>
            </w:pPr>
          </w:p>
        </w:tc>
      </w:tr>
    </w:tbl>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tbl>
      <w:tblPr>
        <w:tblStyle w:val="17"/>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粘贴转帐、电汇或网上银行凭证（清晰影印件）</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ind w:left="110" w:leftChars="38" w:hanging="31" w:hangingChars="13"/>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注：在交款凭证备注中说明项目编号及开标时间</w:t>
            </w:r>
          </w:p>
        </w:tc>
      </w:tr>
    </w:tbl>
    <w:p>
      <w:pPr>
        <w:spacing w:line="360" w:lineRule="auto"/>
        <w:ind w:left="720" w:hanging="720" w:hangingChars="3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说明：投标人应认真填写银行信息，与转帐或电汇银行凭证的相关信息一致，集中采购机构将依据此凭证信息查退投标保证金。</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288" w:hanging="1288"/>
        <w:rPr>
          <w:rFonts w:ascii="宋体" w:hAnsi="宋体" w:eastAsia="宋体"/>
          <w:color w:val="000000" w:themeColor="text1"/>
          <w14:textFill>
            <w14:solidFill>
              <w14:schemeClr w14:val="tx1"/>
            </w14:solidFill>
          </w14:textFill>
        </w:rPr>
      </w:pPr>
      <w:bookmarkStart w:id="147" w:name="_Toc494665010"/>
      <w:bookmarkStart w:id="148" w:name="_Toc494721110"/>
      <w:bookmarkStart w:id="149" w:name="_Toc494665960"/>
      <w:bookmarkStart w:id="150" w:name="_Toc494665563"/>
      <w:bookmarkStart w:id="151" w:name="_Toc236473303"/>
      <w:bookmarkStart w:id="152" w:name="_Toc238276247"/>
      <w:bookmarkStart w:id="153" w:name="_Toc494702280"/>
      <w:bookmarkStart w:id="154" w:name="_Toc494745327"/>
      <w:bookmarkStart w:id="155" w:name="_Toc495861559"/>
      <w:r>
        <w:rPr>
          <w:rFonts w:hint="eastAsia" w:ascii="宋体" w:hAnsi="宋体" w:eastAsia="宋体"/>
          <w:color w:val="000000" w:themeColor="text1"/>
          <w14:textFill>
            <w14:solidFill>
              <w14:schemeClr w14:val="tx1"/>
            </w14:solidFill>
          </w14:textFill>
        </w:rPr>
        <w:t>法定代表人授权书</w:t>
      </w:r>
      <w:bookmarkEnd w:id="147"/>
      <w:bookmarkEnd w:id="148"/>
      <w:bookmarkEnd w:id="149"/>
      <w:bookmarkEnd w:id="150"/>
      <w:bookmarkEnd w:id="151"/>
      <w:bookmarkEnd w:id="152"/>
      <w:bookmarkEnd w:id="153"/>
      <w:bookmarkEnd w:id="154"/>
      <w:bookmarkEnd w:id="155"/>
    </w:p>
    <w:p>
      <w:pPr>
        <w:spacing w:line="480" w:lineRule="auto"/>
        <w:rPr>
          <w:rFonts w:ascii="宋体" w:hAnsi="宋体" w:eastAsia="宋体" w:cs="Times New Roman"/>
          <w:b/>
          <w:color w:val="000000" w:themeColor="text1"/>
          <w:sz w:val="24"/>
          <w:szCs w:val="24"/>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兹授权</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同志为我单位参加贵方组织的</w:t>
      </w:r>
      <w:r>
        <w:rPr>
          <w:rFonts w:hint="eastAsia" w:ascii="Times New Roman" w:hAnsi="宋体" w:eastAsia="宋体" w:cs="Times New Roman"/>
          <w:color w:val="000000" w:themeColor="text1"/>
          <w:sz w:val="24"/>
          <w:szCs w:val="24"/>
          <w14:textFill>
            <w14:solidFill>
              <w14:schemeClr w14:val="tx1"/>
            </w14:solidFill>
          </w14:textFill>
        </w:rPr>
        <w:t>____项目（项目编号：______）</w:t>
      </w:r>
      <w:r>
        <w:rPr>
          <w:rFonts w:hint="eastAsia" w:ascii="宋体" w:hAnsi="宋体" w:eastAsia="宋体" w:cs="Times New Roman"/>
          <w:color w:val="000000" w:themeColor="text1"/>
          <w:sz w:val="24"/>
          <w:szCs w:val="24"/>
          <w14:textFill>
            <w14:solidFill>
              <w14:schemeClr w14:val="tx1"/>
            </w14:solidFill>
          </w14:textFill>
        </w:rPr>
        <w:t>采购活动的投标人授权代表，全权代表我公司处理在</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项目采购活动中的一切事宜。代理期限从</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日起至</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 xml:space="preserve">日止。 </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被授权代表无转委托权。</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授权单位（公章）：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法定代表人（签字或盖章）</w:t>
      </w:r>
      <w:r>
        <w:rPr>
          <w:rFonts w:hint="eastAsia" w:hAnsi="宋体"/>
          <w:b/>
          <w:bCs/>
          <w:color w:val="000000" w:themeColor="text1"/>
          <w:sz w:val="24"/>
          <w14:textFill>
            <w14:solidFill>
              <w14:schemeClr w14:val="tx1"/>
            </w14:solidFill>
          </w14:textFill>
        </w:rPr>
        <w:t>：</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签发日期：</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日</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投标人授权代表单位名称：</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职务： 性别：</w:t>
      </w:r>
    </w:p>
    <w:p>
      <w:pPr>
        <w:spacing w:line="360" w:lineRule="auto"/>
        <w:ind w:firstLine="480" w:firstLineChars="20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身份证号码：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p>
    <w:tbl>
      <w:tblPr>
        <w:tblStyle w:val="17"/>
        <w:tblW w:w="9532" w:type="dxa"/>
        <w:jc w:val="center"/>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粘贴被授权人身份证（清晰影印件）</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56" w:name="_Toc494665564"/>
      <w:bookmarkStart w:id="157" w:name="_Toc494665961"/>
      <w:bookmarkStart w:id="158" w:name="_Toc494721111"/>
      <w:bookmarkStart w:id="159" w:name="_Toc495861560"/>
      <w:bookmarkStart w:id="160" w:name="_Toc494665011"/>
      <w:bookmarkStart w:id="161" w:name="_Toc236473304"/>
      <w:bookmarkStart w:id="162" w:name="_Toc494702281"/>
      <w:bookmarkStart w:id="163" w:name="_Toc238276248"/>
      <w:bookmarkStart w:id="164" w:name="_Toc494745328"/>
      <w:r>
        <w:rPr>
          <w:rFonts w:hint="eastAsia" w:ascii="宋体" w:hAnsi="宋体" w:eastAsia="宋体"/>
          <w:color w:val="000000" w:themeColor="text1"/>
          <w14:textFill>
            <w14:solidFill>
              <w14:schemeClr w14:val="tx1"/>
            </w14:solidFill>
          </w14:textFill>
        </w:rPr>
        <w:t>投标人的资格声明</w:t>
      </w:r>
      <w:bookmarkEnd w:id="156"/>
      <w:bookmarkEnd w:id="157"/>
      <w:bookmarkEnd w:id="158"/>
      <w:bookmarkEnd w:id="159"/>
      <w:bookmarkEnd w:id="160"/>
      <w:bookmarkEnd w:id="161"/>
      <w:bookmarkEnd w:id="162"/>
      <w:bookmarkEnd w:id="163"/>
      <w:bookmarkEnd w:id="164"/>
    </w:p>
    <w:p>
      <w:pPr>
        <w:spacing w:line="360" w:lineRule="auto"/>
        <w:ind w:left="1078" w:hanging="1077" w:hangingChars="449"/>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1．名称及基本情况：</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（2）地址：     邮编：</w:t>
      </w:r>
    </w:p>
    <w:p>
      <w:pPr>
        <w:spacing w:line="360" w:lineRule="exact"/>
        <w:ind w:firstLine="840" w:firstLineChars="35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     传真：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（3）成立或注册日期：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（4）单位性质：</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（5）法定代表人或主要负责人：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（6）员工人数：</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（7）注册资本：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（8）实收资本：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（9）上年末资产负债表：</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1）固定资产</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原   值：    净   值： </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2）流动资金：</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3）长期负债：</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4）短期负债：</w:t>
      </w:r>
    </w:p>
    <w:p>
      <w:pPr>
        <w:spacing w:line="360" w:lineRule="exact"/>
        <w:ind w:firstLine="475" w:firstLineChars="19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w:t>
      </w:r>
      <w:r>
        <w:rPr>
          <w:rFonts w:hint="eastAsia" w:ascii="Times New Roman" w:hAnsi="宋体" w:eastAsia="宋体" w:cs="Times New Roman"/>
          <w:b/>
          <w:color w:val="000000" w:themeColor="text1"/>
          <w:sz w:val="24"/>
          <w:szCs w:val="24"/>
          <w14:textFill>
            <w14:solidFill>
              <w14:schemeClr w14:val="tx1"/>
            </w14:solidFill>
          </w14:textFill>
        </w:rPr>
        <w:t>（公章）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法定代表人（签字或盖章）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电    话：</w:t>
      </w:r>
    </w:p>
    <w:p>
      <w:pPr>
        <w:spacing w:line="360" w:lineRule="auto"/>
        <w:ind w:left="504" w:leftChars="240"/>
        <w:rPr>
          <w:rFonts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传    真：</w:t>
      </w:r>
    </w:p>
    <w:p>
      <w:pPr>
        <w:spacing w:line="360" w:lineRule="auto"/>
        <w:ind w:left="504" w:leftChars="240"/>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日    期：年月 日</w:t>
      </w:r>
    </w:p>
    <w:p>
      <w:pPr>
        <w:pStyle w:val="2"/>
        <w:rPr>
          <w:rFonts w:hint="eastAsia" w:ascii="宋体" w:hAnsi="宋体" w:eastAsia="宋体" w:cs="Times New Roman"/>
          <w:b/>
          <w:color w:val="000000" w:themeColor="text1"/>
          <w:sz w:val="24"/>
          <w:szCs w:val="24"/>
          <w14:textFill>
            <w14:solidFill>
              <w14:schemeClr w14:val="tx1"/>
            </w14:solidFill>
          </w14:textFill>
        </w:rPr>
      </w:pPr>
    </w:p>
    <w:p>
      <w:pPr>
        <w:rPr>
          <w:rFonts w:hint="eastAsia" w:ascii="宋体" w:hAnsi="宋体" w:eastAsia="宋体" w:cs="Times New Roman"/>
          <w:b/>
          <w:color w:val="000000" w:themeColor="text1"/>
          <w:sz w:val="24"/>
          <w:szCs w:val="24"/>
          <w14:textFill>
            <w14:solidFill>
              <w14:schemeClr w14:val="tx1"/>
            </w14:solidFill>
          </w14:textFill>
        </w:rPr>
      </w:pPr>
    </w:p>
    <w:p>
      <w:pPr>
        <w:pStyle w:val="2"/>
        <w:rPr>
          <w:rFonts w:hint="eastAsia" w:ascii="宋体" w:hAnsi="宋体" w:eastAsia="宋体" w:cs="Times New Roman"/>
          <w:b/>
          <w:color w:val="000000" w:themeColor="text1"/>
          <w:sz w:val="24"/>
          <w:szCs w:val="24"/>
          <w14:textFill>
            <w14:solidFill>
              <w14:schemeClr w14:val="tx1"/>
            </w14:solidFill>
          </w14:textFill>
        </w:rPr>
      </w:pPr>
    </w:p>
    <w:p>
      <w:pPr>
        <w:rPr>
          <w:rFonts w:hint="eastAsia" w:ascii="宋体" w:hAnsi="宋体" w:eastAsia="宋体" w:cs="Times New Roman"/>
          <w:b/>
          <w:color w:val="000000" w:themeColor="text1"/>
          <w:sz w:val="24"/>
          <w:szCs w:val="24"/>
          <w14:textFill>
            <w14:solidFill>
              <w14:schemeClr w14:val="tx1"/>
            </w14:solidFill>
          </w14:textFill>
        </w:rPr>
      </w:pPr>
    </w:p>
    <w:p>
      <w:pPr>
        <w:pStyle w:val="2"/>
      </w:pP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65" w:name="_Toc494702282"/>
      <w:bookmarkStart w:id="166" w:name="_Toc494665962"/>
      <w:bookmarkStart w:id="167" w:name="_Toc494721112"/>
      <w:bookmarkStart w:id="168" w:name="_Toc494745329"/>
      <w:bookmarkStart w:id="169" w:name="_Toc494665565"/>
      <w:bookmarkStart w:id="170" w:name="_Toc494665012"/>
      <w:bookmarkStart w:id="171" w:name="_Toc495861561"/>
      <w:r>
        <w:rPr>
          <w:rFonts w:hint="eastAsia" w:ascii="宋体" w:hAnsi="宋体" w:eastAsia="宋体"/>
          <w:color w:val="000000" w:themeColor="text1"/>
          <w14:textFill>
            <w14:solidFill>
              <w14:schemeClr w14:val="tx1"/>
            </w14:solidFill>
          </w14:textFill>
        </w:rPr>
        <w:t>项目负责人、技术负责人简历表</w:t>
      </w:r>
      <w:bookmarkEnd w:id="165"/>
      <w:bookmarkEnd w:id="166"/>
      <w:bookmarkEnd w:id="167"/>
      <w:bookmarkEnd w:id="168"/>
      <w:bookmarkEnd w:id="169"/>
      <w:bookmarkEnd w:id="170"/>
      <w:bookmarkEnd w:id="171"/>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352" w:type="dxa"/>
        <w:jc w:val="center"/>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参加工作</w:t>
            </w:r>
          </w:p>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72" w:name="_Toc494665566"/>
      <w:bookmarkStart w:id="173" w:name="_Toc236473307"/>
      <w:bookmarkStart w:id="174" w:name="_Toc238276251"/>
      <w:bookmarkStart w:id="175" w:name="_Toc494702283"/>
      <w:bookmarkStart w:id="176" w:name="_Toc494745330"/>
      <w:bookmarkStart w:id="177" w:name="_Toc494665963"/>
      <w:bookmarkStart w:id="178" w:name="_Toc495861562"/>
      <w:bookmarkStart w:id="179" w:name="_Toc494721113"/>
      <w:bookmarkStart w:id="180" w:name="_Toc494665013"/>
      <w:r>
        <w:rPr>
          <w:rFonts w:hint="eastAsia" w:ascii="宋体" w:hAnsi="宋体" w:eastAsia="宋体"/>
          <w:color w:val="000000" w:themeColor="text1"/>
          <w14:textFill>
            <w14:solidFill>
              <w14:schemeClr w14:val="tx1"/>
            </w14:solidFill>
          </w14:textFill>
        </w:rPr>
        <w:t>项目班子成员情况表</w:t>
      </w:r>
      <w:bookmarkEnd w:id="172"/>
      <w:bookmarkEnd w:id="173"/>
      <w:bookmarkEnd w:id="174"/>
      <w:bookmarkEnd w:id="175"/>
      <w:bookmarkEnd w:id="176"/>
      <w:bookmarkEnd w:id="177"/>
      <w:bookmarkEnd w:id="178"/>
      <w:bookmarkEnd w:id="179"/>
      <w:bookmarkEnd w:id="180"/>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w:t>
      </w:r>
      <w:r>
        <w:rPr>
          <w:rFonts w:hint="eastAsia" w:ascii="宋体" w:hAnsi="宋体" w:eastAsia="宋体" w:cs="Corbel"/>
          <w:color w:val="000000" w:themeColor="text1"/>
          <w:sz w:val="24"/>
          <w:szCs w:val="21"/>
          <w:lang w:val="zh-CN"/>
          <w14:textFill>
            <w14:solidFill>
              <w14:schemeClr w14:val="tx1"/>
            </w14:solidFill>
          </w14:textFill>
        </w:rPr>
        <w:t>未按照要求详细完整填写此表，</w:t>
      </w:r>
      <w:r>
        <w:rPr>
          <w:rFonts w:hint="eastAsia" w:ascii="宋体" w:hAnsi="宋体" w:eastAsia="宋体" w:cs="Times New Roman"/>
          <w:color w:val="000000" w:themeColor="text1"/>
          <w:sz w:val="24"/>
          <w:szCs w:val="21"/>
          <w:lang w:val="zh-CN"/>
          <w14:textFill>
            <w14:solidFill>
              <w14:schemeClr w14:val="tx1"/>
            </w14:solidFill>
          </w14:textFill>
        </w:rPr>
        <w:t>导致的后果由投标人自行承担。</w:t>
      </w: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81" w:name="_Toc494665964"/>
      <w:bookmarkStart w:id="182" w:name="_Toc238276256"/>
      <w:bookmarkStart w:id="183" w:name="_Toc494721114"/>
      <w:bookmarkStart w:id="184" w:name="_Toc236473312"/>
      <w:bookmarkStart w:id="185" w:name="_Toc494665014"/>
      <w:bookmarkStart w:id="186" w:name="_Toc494745331"/>
      <w:bookmarkStart w:id="187" w:name="_Toc494702284"/>
      <w:bookmarkStart w:id="188" w:name="_Toc495861563"/>
      <w:bookmarkStart w:id="189" w:name="_Toc494665567"/>
      <w:r>
        <w:rPr>
          <w:rFonts w:hint="eastAsia" w:ascii="宋体" w:hAnsi="宋体" w:eastAsia="宋体"/>
          <w:color w:val="000000" w:themeColor="text1"/>
          <w14:textFill>
            <w14:solidFill>
              <w14:schemeClr w14:val="tx1"/>
            </w14:solidFill>
          </w14:textFill>
        </w:rPr>
        <w:t>投标人类似项目业绩表</w:t>
      </w:r>
      <w:bookmarkEnd w:id="181"/>
      <w:bookmarkEnd w:id="182"/>
      <w:bookmarkEnd w:id="183"/>
      <w:bookmarkEnd w:id="184"/>
      <w:bookmarkEnd w:id="185"/>
      <w:bookmarkEnd w:id="186"/>
      <w:bookmarkEnd w:id="187"/>
      <w:bookmarkEnd w:id="188"/>
      <w:bookmarkEnd w:id="189"/>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420"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项目单位联系人姓名及联系方式</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项目金额</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项目负责人姓名</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项目时间</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项目内容</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说明：1．每个合同应单独附表，并附上相关证明材料，</w:t>
      </w:r>
      <w:r>
        <w:rPr>
          <w:rFonts w:hint="eastAsia" w:ascii="宋体" w:hAnsi="宋体" w:eastAsia="宋体" w:cs="Corbel"/>
          <w:color w:val="000000" w:themeColor="text1"/>
          <w:sz w:val="24"/>
          <w:szCs w:val="24"/>
          <w14:textFill>
            <w14:solidFill>
              <w14:schemeClr w14:val="tx1"/>
            </w14:solidFill>
          </w14:textFill>
        </w:rPr>
        <w:t>未按照要求详细完整填写此表，</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2．项目内容请详细说明所承担的具体工作内容等。</w:t>
      </w: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90" w:name="_Toc494665015"/>
      <w:bookmarkStart w:id="191" w:name="_Toc495861564"/>
      <w:bookmarkStart w:id="192" w:name="_Toc494702285"/>
      <w:bookmarkStart w:id="193" w:name="_Toc494665965"/>
      <w:bookmarkStart w:id="194" w:name="_Toc494665568"/>
      <w:bookmarkStart w:id="195" w:name="_Toc494721115"/>
      <w:bookmarkStart w:id="196" w:name="_Toc494745332"/>
      <w:r>
        <w:rPr>
          <w:rFonts w:hint="eastAsia" w:ascii="宋体" w:hAnsi="宋体" w:eastAsia="宋体"/>
          <w:color w:val="000000" w:themeColor="text1"/>
          <w14:textFill>
            <w14:solidFill>
              <w14:schemeClr w14:val="tx1"/>
            </w14:solidFill>
          </w14:textFill>
        </w:rPr>
        <w:t>符合性审查对照表</w:t>
      </w:r>
      <w:bookmarkEnd w:id="190"/>
      <w:bookmarkEnd w:id="191"/>
      <w:bookmarkEnd w:id="192"/>
      <w:bookmarkEnd w:id="193"/>
      <w:bookmarkEnd w:id="194"/>
      <w:bookmarkEnd w:id="195"/>
      <w:bookmarkEnd w:id="19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符合性审查条款</w:t>
            </w:r>
          </w:p>
        </w:tc>
        <w:tc>
          <w:tcPr>
            <w:tcW w:w="275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02"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Corbel"/>
          <w:color w:val="000000" w:themeColor="text1"/>
          <w:sz w:val="24"/>
          <w:szCs w:val="24"/>
          <w14:textFill>
            <w14:solidFill>
              <w14:schemeClr w14:val="tx1"/>
            </w14:solidFill>
          </w14:textFill>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投标人</w:t>
      </w:r>
      <w:r>
        <w:rPr>
          <w:rFonts w:hint="eastAsia" w:ascii="宋体" w:hAnsi="宋体" w:eastAsia="宋体" w:cs="Corbel"/>
          <w:color w:val="000000" w:themeColor="text1"/>
          <w:sz w:val="24"/>
          <w:szCs w:val="24"/>
          <w14:textFill>
            <w14:solidFill>
              <w14:schemeClr w14:val="tx1"/>
            </w14:solidFill>
          </w14:textFill>
        </w:rPr>
        <w:t>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197" w:name="_Toc494665569"/>
      <w:bookmarkStart w:id="198" w:name="_Toc494702286"/>
      <w:bookmarkStart w:id="199" w:name="_Toc494665966"/>
      <w:bookmarkStart w:id="200" w:name="_Toc494665016"/>
      <w:bookmarkStart w:id="201" w:name="_Toc494745333"/>
      <w:bookmarkStart w:id="202" w:name="_Toc494721116"/>
      <w:bookmarkStart w:id="203" w:name="_Toc495861565"/>
      <w:r>
        <w:rPr>
          <w:rFonts w:hint="eastAsia" w:ascii="宋体" w:hAnsi="宋体" w:eastAsia="宋体"/>
          <w:color w:val="000000" w:themeColor="text1"/>
          <w14:textFill>
            <w14:solidFill>
              <w14:schemeClr w14:val="tx1"/>
            </w14:solidFill>
          </w14:textFill>
        </w:rPr>
        <w:t>商务要求响应、偏离说明表</w:t>
      </w:r>
      <w:bookmarkEnd w:id="197"/>
      <w:bookmarkEnd w:id="198"/>
      <w:bookmarkEnd w:id="199"/>
      <w:bookmarkEnd w:id="200"/>
      <w:bookmarkEnd w:id="201"/>
      <w:bookmarkEnd w:id="202"/>
      <w:bookmarkEnd w:id="203"/>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w:t>
      </w:r>
      <w:r>
        <w:rPr>
          <w:rFonts w:hint="eastAsia" w:ascii="宋体" w:hAnsi="宋体" w:eastAsia="宋体" w:cs="Times New Roman"/>
          <w:color w:val="000000" w:themeColor="text1"/>
          <w:sz w:val="24"/>
          <w:szCs w:val="24"/>
          <w14:textFill>
            <w14:solidFill>
              <w14:schemeClr w14:val="tx1"/>
            </w14:solidFill>
          </w14:textFill>
        </w:rPr>
        <w:t>提供</w:t>
      </w:r>
      <w:r>
        <w:rPr>
          <w:rFonts w:hint="eastAsia" w:ascii="宋体" w:hAnsi="宋体" w:eastAsia="宋体" w:cs="Corbel"/>
          <w:color w:val="000000" w:themeColor="text1"/>
          <w:sz w:val="24"/>
          <w:szCs w:val="24"/>
          <w14:textFill>
            <w14:solidFill>
              <w14:schemeClr w14:val="tx1"/>
            </w14:solidFill>
          </w14:textFill>
        </w:rPr>
        <w:t>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adjustRightInd w:val="0"/>
        <w:snapToGrid w:val="0"/>
        <w:spacing w:line="360" w:lineRule="auto"/>
        <w:ind w:left="781" w:leftChars="258" w:hanging="240" w:hangingChars="100"/>
        <w:rPr>
          <w:rFonts w:ascii="宋体" w:hAnsi="宋体" w:eastAsia="宋体" w:cs="Corbel"/>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numPr>
          <w:ilvl w:val="0"/>
          <w:numId w:val="73"/>
        </w:numPr>
        <w:spacing w:before="100" w:beforeAutospacing="1" w:afterLines="50" w:line="360" w:lineRule="auto"/>
        <w:ind w:left="1610" w:hanging="1610"/>
        <w:rPr>
          <w:rFonts w:ascii="宋体" w:hAnsi="宋体" w:eastAsia="宋体"/>
          <w:color w:val="000000" w:themeColor="text1"/>
          <w14:textFill>
            <w14:solidFill>
              <w14:schemeClr w14:val="tx1"/>
            </w14:solidFill>
          </w14:textFill>
        </w:rPr>
      </w:pPr>
      <w:bookmarkStart w:id="204" w:name="_Toc495861568"/>
      <w:bookmarkStart w:id="205" w:name="_Toc494745336"/>
      <w:bookmarkStart w:id="206" w:name="_Toc494702289"/>
      <w:bookmarkStart w:id="207" w:name="_Toc494721119"/>
      <w:bookmarkStart w:id="208" w:name="_Toc494665969"/>
      <w:bookmarkStart w:id="209" w:name="_Toc494665572"/>
      <w:bookmarkStart w:id="210" w:name="_Toc494665019"/>
      <w:r>
        <w:rPr>
          <w:rFonts w:hint="eastAsia" w:ascii="宋体" w:hAnsi="宋体" w:eastAsia="宋体"/>
          <w:color w:val="000000" w:themeColor="text1"/>
          <w14:textFill>
            <w14:solidFill>
              <w14:schemeClr w14:val="tx1"/>
            </w14:solidFill>
          </w14:textFill>
        </w:rPr>
        <w:t>技术、服务要求响应、偏离说明表</w:t>
      </w:r>
      <w:bookmarkEnd w:id="204"/>
      <w:bookmarkEnd w:id="205"/>
      <w:bookmarkEnd w:id="206"/>
      <w:bookmarkEnd w:id="207"/>
      <w:bookmarkEnd w:id="208"/>
      <w:bookmarkEnd w:id="209"/>
      <w:bookmarkEnd w:id="210"/>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1"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sectPr>
      <w:headerReference r:id="rId6" w:type="default"/>
      <w:footerReference r:id="rId7" w:type="default"/>
      <w:pgSz w:w="11906" w:h="16838"/>
      <w:pgMar w:top="1134" w:right="1191" w:bottom="1134" w:left="1191"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u w:val="single"/>
      </w:rPr>
      <w:t xml:space="preserve"> </w:t>
    </w:r>
    <w:r>
      <w:rPr>
        <w:rFonts w:hint="eastAsia" w:asciiTheme="minorEastAsia" w:hAnsiTheme="minorEastAsia"/>
        <w:u w:val="single"/>
        <w:lang w:eastAsia="zh-CN"/>
      </w:rPr>
      <w:t>湖北方圆工程造价咨询有限公司</w:t>
    </w:r>
    <w:r>
      <w:rPr>
        <w:rFonts w:hint="eastAsia" w:asciiTheme="minorEastAsia" w:hAnsiTheme="minorEastAsia"/>
        <w:u w:val="single"/>
      </w:rPr>
      <w:t xml:space="preserve"> </w:t>
    </w:r>
    <w:r>
      <w:rPr>
        <w:rFonts w:hint="eastAsia" w:asciiTheme="minorEastAsia" w:hAnsiTheme="minorEastAsia"/>
      </w:rPr>
      <w:t>制</w:t>
    </w:r>
  </w:p>
  <w:p>
    <w:pPr>
      <w:pStyle w:val="10"/>
      <w:pBdr>
        <w:top w:val="single" w:color="000000" w:themeColor="text1" w:sz="4" w:space="1"/>
      </w:pBdr>
      <w:tabs>
        <w:tab w:val="clear" w:pos="4153"/>
        <w:tab w:val="clear" w:pos="8306"/>
      </w:tabs>
      <w:ind w:right="-9"/>
      <w:jc w:val="center"/>
      <w:rPr>
        <w:rFonts w:asciiTheme="minorEastAsia" w:hAnsiTheme="minorEastAsia"/>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28</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28</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000000" w:themeColor="text1" w:sz="0" w:space="1"/>
      </w:pBdr>
      <w:tabs>
        <w:tab w:val="clear" w:pos="4153"/>
      </w:tabs>
      <w:jc w:val="left"/>
      <w:rPr>
        <w:rFonts w:hint="default"/>
        <w:b/>
        <w:lang w:val="en-US"/>
      </w:rPr>
    </w:pPr>
    <w:r>
      <w:rPr>
        <w:rFonts w:hint="eastAsia"/>
        <w:b/>
      </w:rPr>
      <w:t>项目名称</w:t>
    </w:r>
    <w:r>
      <w:rPr>
        <w:rFonts w:hint="eastAsia" w:asciiTheme="minorEastAsia" w:hAnsiTheme="minorEastAsia"/>
        <w:b/>
      </w:rPr>
      <w:t xml:space="preserve">： </w:t>
    </w:r>
    <w:r>
      <w:rPr>
        <w:rFonts w:hint="eastAsia" w:asciiTheme="minorEastAsia" w:hAnsiTheme="minorEastAsia"/>
        <w:b/>
        <w:u w:val="single"/>
      </w:rPr>
      <w:t xml:space="preserve"> </w:t>
    </w:r>
    <w:r>
      <w:rPr>
        <w:rFonts w:hint="eastAsia" w:asciiTheme="minorEastAsia" w:hAnsiTheme="minorEastAsia" w:cstheme="minorEastAsia"/>
        <w:b/>
        <w:bCs w:val="0"/>
        <w:color w:val="000000" w:themeColor="text1"/>
        <w:sz w:val="18"/>
        <w:szCs w:val="18"/>
        <w:u w:val="single"/>
        <w:lang w:eastAsia="zh-CN"/>
        <w14:textFill>
          <w14:solidFill>
            <w14:schemeClr w14:val="tx1"/>
          </w14:solidFill>
        </w14:textFill>
      </w:rPr>
      <w:t>阳新县公安局刑事科学技术实验</w:t>
    </w:r>
    <w:r>
      <w:rPr>
        <w:rFonts w:hint="eastAsia" w:asciiTheme="minorEastAsia" w:hAnsiTheme="minorEastAsia" w:cstheme="minorEastAsia"/>
        <w:b/>
        <w:bCs w:val="0"/>
        <w:color w:val="000000" w:themeColor="text1"/>
        <w:sz w:val="18"/>
        <w:szCs w:val="18"/>
        <w:u w:val="single"/>
        <w:lang w:val="en-US" w:eastAsia="zh-CN"/>
        <w14:textFill>
          <w14:solidFill>
            <w14:schemeClr w14:val="tx1"/>
          </w14:solidFill>
        </w14:textFill>
      </w:rPr>
      <w:t>室工程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F8F14"/>
    <w:multiLevelType w:val="singleLevel"/>
    <w:tmpl w:val="842F8F14"/>
    <w:lvl w:ilvl="0" w:tentative="0">
      <w:start w:val="1"/>
      <w:numFmt w:val="decimal"/>
      <w:suff w:val="nothing"/>
      <w:lvlText w:val="（%1）"/>
      <w:lvlJc w:val="left"/>
    </w:lvl>
  </w:abstractNum>
  <w:abstractNum w:abstractNumId="1">
    <w:nsid w:val="A52D3836"/>
    <w:multiLevelType w:val="singleLevel"/>
    <w:tmpl w:val="A52D3836"/>
    <w:lvl w:ilvl="0" w:tentative="0">
      <w:start w:val="1"/>
      <w:numFmt w:val="decimal"/>
      <w:suff w:val="nothing"/>
      <w:lvlText w:val="（%1）"/>
      <w:lvlJc w:val="left"/>
    </w:lvl>
  </w:abstractNum>
  <w:abstractNum w:abstractNumId="2">
    <w:nsid w:val="AB27DCE4"/>
    <w:multiLevelType w:val="singleLevel"/>
    <w:tmpl w:val="AB27DCE4"/>
    <w:lvl w:ilvl="0" w:tentative="0">
      <w:start w:val="1"/>
      <w:numFmt w:val="decimal"/>
      <w:suff w:val="nothing"/>
      <w:lvlText w:val="（%1）"/>
      <w:lvlJc w:val="left"/>
    </w:lvl>
  </w:abstractNum>
  <w:abstractNum w:abstractNumId="3">
    <w:nsid w:val="ACD88A12"/>
    <w:multiLevelType w:val="singleLevel"/>
    <w:tmpl w:val="ACD88A12"/>
    <w:lvl w:ilvl="0" w:tentative="0">
      <w:start w:val="1"/>
      <w:numFmt w:val="decimal"/>
      <w:suff w:val="nothing"/>
      <w:lvlText w:val="%1、"/>
      <w:lvlJc w:val="left"/>
    </w:lvl>
  </w:abstractNum>
  <w:abstractNum w:abstractNumId="4">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0">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3">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6">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7">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D2306BF"/>
    <w:multiLevelType w:val="multilevel"/>
    <w:tmpl w:val="1D2306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0">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1">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2">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3">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4">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5">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C405191"/>
    <w:multiLevelType w:val="multilevel"/>
    <w:tmpl w:val="2C405191"/>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2">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35B622B"/>
    <w:multiLevelType w:val="multilevel"/>
    <w:tmpl w:val="335B622B"/>
    <w:lvl w:ilvl="0" w:tentative="0">
      <w:start w:val="1"/>
      <w:numFmt w:val="decimal"/>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429564A"/>
    <w:multiLevelType w:val="multilevel"/>
    <w:tmpl w:val="3429564A"/>
    <w:lvl w:ilvl="0" w:tentative="0">
      <w:start w:val="1"/>
      <w:numFmt w:val="decimal"/>
      <w:lvlText w:val="%1."/>
      <w:lvlJc w:val="left"/>
      <w:pPr>
        <w:ind w:left="420" w:hanging="420"/>
      </w:pPr>
    </w:lvl>
    <w:lvl w:ilvl="1" w:tentative="0">
      <w:start w:val="1"/>
      <w:numFmt w:val="upperLetter"/>
      <w:lvlText w:val="%2."/>
      <w:lvlJc w:val="left"/>
      <w:pPr>
        <w:ind w:left="840" w:hanging="420"/>
      </w:pPr>
    </w:lvl>
    <w:lvl w:ilvl="2" w:tentative="0">
      <w:start w:val="3"/>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37B308FA"/>
    <w:multiLevelType w:val="multilevel"/>
    <w:tmpl w:val="37B308FA"/>
    <w:lvl w:ilvl="0" w:tentative="0">
      <w:start w:val="1"/>
      <w:numFmt w:val="decimal"/>
      <w:lvlText w:val="%1."/>
      <w:lvlJc w:val="left"/>
      <w:pPr>
        <w:ind w:left="420" w:hanging="420"/>
      </w:pPr>
    </w:lvl>
    <w:lvl w:ilvl="1" w:tentative="0">
      <w:start w:val="1"/>
      <w:numFmt w:val="upperLetter"/>
      <w:lvlText w:val="%2."/>
      <w:lvlJc w:val="left"/>
      <w:pPr>
        <w:ind w:left="840" w:hanging="420"/>
      </w:pPr>
    </w:lvl>
    <w:lvl w:ilvl="2" w:tentative="0">
      <w:start w:val="3"/>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7B3134B"/>
    <w:multiLevelType w:val="multilevel"/>
    <w:tmpl w:val="37B313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8AE288D"/>
    <w:multiLevelType w:val="multilevel"/>
    <w:tmpl w:val="38AE28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3">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4">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5">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8">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5">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6">
    <w:nsid w:val="5FF62792"/>
    <w:multiLevelType w:val="multilevel"/>
    <w:tmpl w:val="5FF627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2314DD6"/>
    <w:multiLevelType w:val="multilevel"/>
    <w:tmpl w:val="62314D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0">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4EC6B0E"/>
    <w:multiLevelType w:val="multilevel"/>
    <w:tmpl w:val="64EC6B0E"/>
    <w:lvl w:ilvl="0" w:tentative="0">
      <w:start w:val="1"/>
      <w:numFmt w:val="decimal"/>
      <w:lvlText w:val="%1."/>
      <w:lvlJc w:val="left"/>
      <w:pPr>
        <w:ind w:left="420" w:hanging="420"/>
      </w:pPr>
    </w:lvl>
    <w:lvl w:ilvl="1" w:tentative="0">
      <w:start w:val="1"/>
      <w:numFmt w:val="upperLetter"/>
      <w:lvlText w:val="%2."/>
      <w:lvlJc w:val="left"/>
      <w:pPr>
        <w:ind w:left="840" w:hanging="420"/>
      </w:pPr>
    </w:lvl>
    <w:lvl w:ilvl="2" w:tentative="0">
      <w:start w:val="3"/>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4">
    <w:nsid w:val="71552BE6"/>
    <w:multiLevelType w:val="multilevel"/>
    <w:tmpl w:val="71552BE6"/>
    <w:lvl w:ilvl="0" w:tentative="0">
      <w:start w:val="1"/>
      <w:numFmt w:val="decimal"/>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8">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9">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2">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8"/>
  </w:num>
  <w:num w:numId="2">
    <w:abstractNumId w:val="6"/>
  </w:num>
  <w:num w:numId="3">
    <w:abstractNumId w:val="21"/>
  </w:num>
  <w:num w:numId="4">
    <w:abstractNumId w:val="32"/>
  </w:num>
  <w:num w:numId="5">
    <w:abstractNumId w:val="51"/>
  </w:num>
  <w:num w:numId="6">
    <w:abstractNumId w:val="7"/>
  </w:num>
  <w:num w:numId="7">
    <w:abstractNumId w:val="45"/>
  </w:num>
  <w:num w:numId="8">
    <w:abstractNumId w:val="17"/>
  </w:num>
  <w:num w:numId="9">
    <w:abstractNumId w:val="10"/>
  </w:num>
  <w:num w:numId="10">
    <w:abstractNumId w:val="59"/>
  </w:num>
  <w:num w:numId="11">
    <w:abstractNumId w:val="38"/>
  </w:num>
  <w:num w:numId="12">
    <w:abstractNumId w:val="54"/>
  </w:num>
  <w:num w:numId="13">
    <w:abstractNumId w:val="31"/>
  </w:num>
  <w:num w:numId="14">
    <w:abstractNumId w:val="9"/>
  </w:num>
  <w:num w:numId="15">
    <w:abstractNumId w:val="25"/>
  </w:num>
  <w:num w:numId="16">
    <w:abstractNumId w:val="26"/>
  </w:num>
  <w:num w:numId="17">
    <w:abstractNumId w:val="12"/>
  </w:num>
  <w:num w:numId="18">
    <w:abstractNumId w:val="69"/>
  </w:num>
  <w:num w:numId="19">
    <w:abstractNumId w:val="13"/>
  </w:num>
  <w:num w:numId="20">
    <w:abstractNumId w:val="30"/>
  </w:num>
  <w:num w:numId="21">
    <w:abstractNumId w:val="41"/>
  </w:num>
  <w:num w:numId="22">
    <w:abstractNumId w:val="44"/>
  </w:num>
  <w:num w:numId="23">
    <w:abstractNumId w:val="72"/>
  </w:num>
  <w:num w:numId="24">
    <w:abstractNumId w:val="52"/>
  </w:num>
  <w:num w:numId="25">
    <w:abstractNumId w:val="65"/>
  </w:num>
  <w:num w:numId="26">
    <w:abstractNumId w:val="70"/>
  </w:num>
  <w:num w:numId="27">
    <w:abstractNumId w:val="50"/>
  </w:num>
  <w:num w:numId="28">
    <w:abstractNumId w:val="11"/>
  </w:num>
  <w:num w:numId="29">
    <w:abstractNumId w:val="23"/>
  </w:num>
  <w:num w:numId="30">
    <w:abstractNumId w:val="66"/>
  </w:num>
  <w:num w:numId="31">
    <w:abstractNumId w:val="60"/>
  </w:num>
  <w:num w:numId="32">
    <w:abstractNumId w:val="43"/>
  </w:num>
  <w:num w:numId="33">
    <w:abstractNumId w:val="57"/>
  </w:num>
  <w:num w:numId="34">
    <w:abstractNumId w:val="28"/>
  </w:num>
  <w:num w:numId="35">
    <w:abstractNumId w:val="62"/>
  </w:num>
  <w:num w:numId="36">
    <w:abstractNumId w:val="5"/>
  </w:num>
  <w:num w:numId="37">
    <w:abstractNumId w:val="1"/>
  </w:num>
  <w:num w:numId="38">
    <w:abstractNumId w:val="0"/>
  </w:num>
  <w:num w:numId="39">
    <w:abstractNumId w:val="2"/>
  </w:num>
  <w:num w:numId="40">
    <w:abstractNumId w:val="18"/>
  </w:num>
  <w:num w:numId="41">
    <w:abstractNumId w:val="39"/>
  </w:num>
  <w:num w:numId="42">
    <w:abstractNumId w:val="56"/>
  </w:num>
  <w:num w:numId="43">
    <w:abstractNumId w:val="58"/>
  </w:num>
  <w:num w:numId="44">
    <w:abstractNumId w:val="37"/>
  </w:num>
  <w:num w:numId="45">
    <w:abstractNumId w:val="64"/>
  </w:num>
  <w:num w:numId="46">
    <w:abstractNumId w:val="33"/>
  </w:num>
  <w:num w:numId="47">
    <w:abstractNumId w:val="36"/>
  </w:num>
  <w:num w:numId="48">
    <w:abstractNumId w:val="27"/>
  </w:num>
  <w:num w:numId="49">
    <w:abstractNumId w:val="34"/>
  </w:num>
  <w:num w:numId="50">
    <w:abstractNumId w:val="61"/>
  </w:num>
  <w:num w:numId="51">
    <w:abstractNumId w:val="53"/>
  </w:num>
  <w:num w:numId="52">
    <w:abstractNumId w:val="29"/>
  </w:num>
  <w:num w:numId="53">
    <w:abstractNumId w:val="49"/>
  </w:num>
  <w:num w:numId="54">
    <w:abstractNumId w:val="35"/>
  </w:num>
  <w:num w:numId="55">
    <w:abstractNumId w:val="46"/>
  </w:num>
  <w:num w:numId="56">
    <w:abstractNumId w:val="40"/>
  </w:num>
  <w:num w:numId="57">
    <w:abstractNumId w:val="20"/>
  </w:num>
  <w:num w:numId="58">
    <w:abstractNumId w:val="55"/>
  </w:num>
  <w:num w:numId="59">
    <w:abstractNumId w:val="73"/>
  </w:num>
  <w:num w:numId="60">
    <w:abstractNumId w:val="22"/>
  </w:num>
  <w:num w:numId="61">
    <w:abstractNumId w:val="19"/>
  </w:num>
  <w:num w:numId="62">
    <w:abstractNumId w:val="4"/>
  </w:num>
  <w:num w:numId="63">
    <w:abstractNumId w:val="16"/>
  </w:num>
  <w:num w:numId="64">
    <w:abstractNumId w:val="71"/>
  </w:num>
  <w:num w:numId="65">
    <w:abstractNumId w:val="3"/>
  </w:num>
  <w:num w:numId="66">
    <w:abstractNumId w:val="63"/>
  </w:num>
  <w:num w:numId="67">
    <w:abstractNumId w:val="47"/>
  </w:num>
  <w:num w:numId="68">
    <w:abstractNumId w:val="15"/>
  </w:num>
  <w:num w:numId="69">
    <w:abstractNumId w:val="24"/>
  </w:num>
  <w:num w:numId="70">
    <w:abstractNumId w:val="67"/>
  </w:num>
  <w:num w:numId="71">
    <w:abstractNumId w:val="42"/>
  </w:num>
  <w:num w:numId="72">
    <w:abstractNumId w:val="68"/>
  </w:num>
  <w:num w:numId="73">
    <w:abstractNumId w:val="14"/>
  </w:num>
  <w:num w:numId="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6562"/>
    <w:rsid w:val="00017BE8"/>
    <w:rsid w:val="00020344"/>
    <w:rsid w:val="00040B72"/>
    <w:rsid w:val="00046CAA"/>
    <w:rsid w:val="000658A4"/>
    <w:rsid w:val="00075213"/>
    <w:rsid w:val="00077E85"/>
    <w:rsid w:val="000812D6"/>
    <w:rsid w:val="00081EFC"/>
    <w:rsid w:val="000855FE"/>
    <w:rsid w:val="00092450"/>
    <w:rsid w:val="00095415"/>
    <w:rsid w:val="000B1EA5"/>
    <w:rsid w:val="000B3053"/>
    <w:rsid w:val="000B42CE"/>
    <w:rsid w:val="000C1DBB"/>
    <w:rsid w:val="000C2224"/>
    <w:rsid w:val="000C46E9"/>
    <w:rsid w:val="000D274B"/>
    <w:rsid w:val="000E0271"/>
    <w:rsid w:val="000E36E2"/>
    <w:rsid w:val="000E39CC"/>
    <w:rsid w:val="000E4686"/>
    <w:rsid w:val="000F64E0"/>
    <w:rsid w:val="00100585"/>
    <w:rsid w:val="00105BC5"/>
    <w:rsid w:val="00122C84"/>
    <w:rsid w:val="00133220"/>
    <w:rsid w:val="001338E8"/>
    <w:rsid w:val="001545D0"/>
    <w:rsid w:val="00156EA3"/>
    <w:rsid w:val="001641C9"/>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470"/>
    <w:rsid w:val="00222B0D"/>
    <w:rsid w:val="00223408"/>
    <w:rsid w:val="002334D5"/>
    <w:rsid w:val="00236772"/>
    <w:rsid w:val="002426EA"/>
    <w:rsid w:val="002446C6"/>
    <w:rsid w:val="0026342E"/>
    <w:rsid w:val="00276CFD"/>
    <w:rsid w:val="00277541"/>
    <w:rsid w:val="00293211"/>
    <w:rsid w:val="00295F64"/>
    <w:rsid w:val="002B7581"/>
    <w:rsid w:val="002C38E4"/>
    <w:rsid w:val="002C7FA6"/>
    <w:rsid w:val="002D07BB"/>
    <w:rsid w:val="002D412B"/>
    <w:rsid w:val="00310B7E"/>
    <w:rsid w:val="00310F98"/>
    <w:rsid w:val="00314B08"/>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3221"/>
    <w:rsid w:val="00393E94"/>
    <w:rsid w:val="003B0D5A"/>
    <w:rsid w:val="003B4F8E"/>
    <w:rsid w:val="003B718F"/>
    <w:rsid w:val="003B7A0D"/>
    <w:rsid w:val="003C2008"/>
    <w:rsid w:val="003C2241"/>
    <w:rsid w:val="003C6083"/>
    <w:rsid w:val="003D1759"/>
    <w:rsid w:val="003D5E80"/>
    <w:rsid w:val="003F2B92"/>
    <w:rsid w:val="003F3007"/>
    <w:rsid w:val="0040329E"/>
    <w:rsid w:val="0040679C"/>
    <w:rsid w:val="00406BC4"/>
    <w:rsid w:val="004110F8"/>
    <w:rsid w:val="00414A80"/>
    <w:rsid w:val="004161BA"/>
    <w:rsid w:val="004349F3"/>
    <w:rsid w:val="0043503C"/>
    <w:rsid w:val="00436CC2"/>
    <w:rsid w:val="004475F1"/>
    <w:rsid w:val="00457308"/>
    <w:rsid w:val="004605F3"/>
    <w:rsid w:val="00461A6F"/>
    <w:rsid w:val="00461DFE"/>
    <w:rsid w:val="00476E59"/>
    <w:rsid w:val="004871A8"/>
    <w:rsid w:val="004A4F81"/>
    <w:rsid w:val="004B0CC2"/>
    <w:rsid w:val="004B118F"/>
    <w:rsid w:val="004B4BED"/>
    <w:rsid w:val="004C1027"/>
    <w:rsid w:val="004C62F7"/>
    <w:rsid w:val="004C750B"/>
    <w:rsid w:val="004D548F"/>
    <w:rsid w:val="004E00F2"/>
    <w:rsid w:val="004E40B4"/>
    <w:rsid w:val="004E48AF"/>
    <w:rsid w:val="004E5A44"/>
    <w:rsid w:val="004F21F4"/>
    <w:rsid w:val="004F43AD"/>
    <w:rsid w:val="005025B6"/>
    <w:rsid w:val="00511E96"/>
    <w:rsid w:val="005130B9"/>
    <w:rsid w:val="00522A02"/>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D6D24"/>
    <w:rsid w:val="005E3CD4"/>
    <w:rsid w:val="005F1588"/>
    <w:rsid w:val="005F2449"/>
    <w:rsid w:val="00601112"/>
    <w:rsid w:val="00601990"/>
    <w:rsid w:val="00605C0D"/>
    <w:rsid w:val="00623CBB"/>
    <w:rsid w:val="006302AC"/>
    <w:rsid w:val="006440C5"/>
    <w:rsid w:val="00651541"/>
    <w:rsid w:val="00663B35"/>
    <w:rsid w:val="00666B23"/>
    <w:rsid w:val="0067786F"/>
    <w:rsid w:val="00680A96"/>
    <w:rsid w:val="00690659"/>
    <w:rsid w:val="006A6C1D"/>
    <w:rsid w:val="006A6C51"/>
    <w:rsid w:val="006A7A3D"/>
    <w:rsid w:val="006C0B5F"/>
    <w:rsid w:val="006C0B7B"/>
    <w:rsid w:val="006C0E7F"/>
    <w:rsid w:val="006C1AF1"/>
    <w:rsid w:val="006C6FDC"/>
    <w:rsid w:val="006D1D6E"/>
    <w:rsid w:val="006F0D07"/>
    <w:rsid w:val="007137B9"/>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053D"/>
    <w:rsid w:val="007D72CF"/>
    <w:rsid w:val="007E3D3C"/>
    <w:rsid w:val="007F504A"/>
    <w:rsid w:val="007F6863"/>
    <w:rsid w:val="007F6F97"/>
    <w:rsid w:val="00802536"/>
    <w:rsid w:val="00804419"/>
    <w:rsid w:val="00804DF3"/>
    <w:rsid w:val="0081114F"/>
    <w:rsid w:val="00816910"/>
    <w:rsid w:val="00820E08"/>
    <w:rsid w:val="0082486D"/>
    <w:rsid w:val="008456E3"/>
    <w:rsid w:val="00863EDD"/>
    <w:rsid w:val="00876E59"/>
    <w:rsid w:val="00877211"/>
    <w:rsid w:val="0088586B"/>
    <w:rsid w:val="00886939"/>
    <w:rsid w:val="008879F9"/>
    <w:rsid w:val="008966BE"/>
    <w:rsid w:val="008A30BA"/>
    <w:rsid w:val="008A4B94"/>
    <w:rsid w:val="008B4F32"/>
    <w:rsid w:val="008B5601"/>
    <w:rsid w:val="008B6529"/>
    <w:rsid w:val="008D35F1"/>
    <w:rsid w:val="008D3612"/>
    <w:rsid w:val="008D5777"/>
    <w:rsid w:val="008D7D59"/>
    <w:rsid w:val="008E2203"/>
    <w:rsid w:val="008F1B81"/>
    <w:rsid w:val="008F3383"/>
    <w:rsid w:val="009020C7"/>
    <w:rsid w:val="0090240A"/>
    <w:rsid w:val="00903A2D"/>
    <w:rsid w:val="00907388"/>
    <w:rsid w:val="00914F14"/>
    <w:rsid w:val="00933750"/>
    <w:rsid w:val="00935E05"/>
    <w:rsid w:val="0093723A"/>
    <w:rsid w:val="009402E6"/>
    <w:rsid w:val="00943BAC"/>
    <w:rsid w:val="00943F98"/>
    <w:rsid w:val="00947542"/>
    <w:rsid w:val="00954A2F"/>
    <w:rsid w:val="00956AAC"/>
    <w:rsid w:val="00967D22"/>
    <w:rsid w:val="0097080D"/>
    <w:rsid w:val="009714FE"/>
    <w:rsid w:val="00973398"/>
    <w:rsid w:val="00982AD3"/>
    <w:rsid w:val="009849C0"/>
    <w:rsid w:val="0098774A"/>
    <w:rsid w:val="009944A9"/>
    <w:rsid w:val="00996DEE"/>
    <w:rsid w:val="009B11C0"/>
    <w:rsid w:val="009B3048"/>
    <w:rsid w:val="009B3424"/>
    <w:rsid w:val="009C51EF"/>
    <w:rsid w:val="009D36C0"/>
    <w:rsid w:val="009E04AF"/>
    <w:rsid w:val="009F522E"/>
    <w:rsid w:val="00A05AF5"/>
    <w:rsid w:val="00A0777C"/>
    <w:rsid w:val="00A30AE5"/>
    <w:rsid w:val="00A30DFD"/>
    <w:rsid w:val="00A33A80"/>
    <w:rsid w:val="00A3568F"/>
    <w:rsid w:val="00A36FFA"/>
    <w:rsid w:val="00A40BC9"/>
    <w:rsid w:val="00A46DEF"/>
    <w:rsid w:val="00A51D8F"/>
    <w:rsid w:val="00A52A2B"/>
    <w:rsid w:val="00A62860"/>
    <w:rsid w:val="00A678FB"/>
    <w:rsid w:val="00A813D2"/>
    <w:rsid w:val="00A879DB"/>
    <w:rsid w:val="00AB2B17"/>
    <w:rsid w:val="00AB3343"/>
    <w:rsid w:val="00AB5743"/>
    <w:rsid w:val="00AC399F"/>
    <w:rsid w:val="00AC584B"/>
    <w:rsid w:val="00AD029C"/>
    <w:rsid w:val="00AD18FC"/>
    <w:rsid w:val="00AD1A55"/>
    <w:rsid w:val="00AD52A3"/>
    <w:rsid w:val="00AD634F"/>
    <w:rsid w:val="00AD7568"/>
    <w:rsid w:val="00AE02A5"/>
    <w:rsid w:val="00AF18BF"/>
    <w:rsid w:val="00B002B6"/>
    <w:rsid w:val="00B0070A"/>
    <w:rsid w:val="00B161F2"/>
    <w:rsid w:val="00B20FD9"/>
    <w:rsid w:val="00B36D9B"/>
    <w:rsid w:val="00B52520"/>
    <w:rsid w:val="00B67CCB"/>
    <w:rsid w:val="00B73233"/>
    <w:rsid w:val="00B84A3B"/>
    <w:rsid w:val="00B956F2"/>
    <w:rsid w:val="00BA438A"/>
    <w:rsid w:val="00BA4681"/>
    <w:rsid w:val="00BB78CC"/>
    <w:rsid w:val="00BC386C"/>
    <w:rsid w:val="00BC3AA1"/>
    <w:rsid w:val="00BD0C54"/>
    <w:rsid w:val="00BD2144"/>
    <w:rsid w:val="00BD62C1"/>
    <w:rsid w:val="00BD681B"/>
    <w:rsid w:val="00BE3563"/>
    <w:rsid w:val="00BF5732"/>
    <w:rsid w:val="00C0090E"/>
    <w:rsid w:val="00C0257A"/>
    <w:rsid w:val="00C040D1"/>
    <w:rsid w:val="00C139A6"/>
    <w:rsid w:val="00C1592E"/>
    <w:rsid w:val="00C37FEA"/>
    <w:rsid w:val="00C4038F"/>
    <w:rsid w:val="00C469B0"/>
    <w:rsid w:val="00C52140"/>
    <w:rsid w:val="00C64D3E"/>
    <w:rsid w:val="00C6643D"/>
    <w:rsid w:val="00C6680F"/>
    <w:rsid w:val="00C66ACC"/>
    <w:rsid w:val="00C72415"/>
    <w:rsid w:val="00C77E82"/>
    <w:rsid w:val="00C8468C"/>
    <w:rsid w:val="00C9289E"/>
    <w:rsid w:val="00C92F51"/>
    <w:rsid w:val="00CA0EE5"/>
    <w:rsid w:val="00CA0F95"/>
    <w:rsid w:val="00CB10F9"/>
    <w:rsid w:val="00CB3DF8"/>
    <w:rsid w:val="00CB413B"/>
    <w:rsid w:val="00CF76A5"/>
    <w:rsid w:val="00D123DC"/>
    <w:rsid w:val="00D14987"/>
    <w:rsid w:val="00D14E3A"/>
    <w:rsid w:val="00D204F5"/>
    <w:rsid w:val="00D32F66"/>
    <w:rsid w:val="00D5042D"/>
    <w:rsid w:val="00D63B74"/>
    <w:rsid w:val="00D64AB9"/>
    <w:rsid w:val="00D7177A"/>
    <w:rsid w:val="00D90694"/>
    <w:rsid w:val="00D9318A"/>
    <w:rsid w:val="00D94CD4"/>
    <w:rsid w:val="00DA4143"/>
    <w:rsid w:val="00DB00B6"/>
    <w:rsid w:val="00DB3C8A"/>
    <w:rsid w:val="00DC4938"/>
    <w:rsid w:val="00DD3AD9"/>
    <w:rsid w:val="00DD6657"/>
    <w:rsid w:val="00DE4A9E"/>
    <w:rsid w:val="00E02B75"/>
    <w:rsid w:val="00E05B42"/>
    <w:rsid w:val="00E14D3C"/>
    <w:rsid w:val="00E15A50"/>
    <w:rsid w:val="00E22388"/>
    <w:rsid w:val="00E2369D"/>
    <w:rsid w:val="00E32C21"/>
    <w:rsid w:val="00E34D2C"/>
    <w:rsid w:val="00E3763E"/>
    <w:rsid w:val="00E41743"/>
    <w:rsid w:val="00E46441"/>
    <w:rsid w:val="00E54453"/>
    <w:rsid w:val="00E54FFA"/>
    <w:rsid w:val="00E71EB0"/>
    <w:rsid w:val="00E971BC"/>
    <w:rsid w:val="00EA0C6D"/>
    <w:rsid w:val="00EB1E3A"/>
    <w:rsid w:val="00EB4033"/>
    <w:rsid w:val="00ED0545"/>
    <w:rsid w:val="00EE3C83"/>
    <w:rsid w:val="00EE715C"/>
    <w:rsid w:val="00F04B4C"/>
    <w:rsid w:val="00F05FC4"/>
    <w:rsid w:val="00F152FA"/>
    <w:rsid w:val="00F17360"/>
    <w:rsid w:val="00F242DA"/>
    <w:rsid w:val="00F24BF3"/>
    <w:rsid w:val="00F30B5D"/>
    <w:rsid w:val="00F42684"/>
    <w:rsid w:val="00F47226"/>
    <w:rsid w:val="00F5567D"/>
    <w:rsid w:val="00F63420"/>
    <w:rsid w:val="00F71D83"/>
    <w:rsid w:val="00FB2B31"/>
    <w:rsid w:val="00FC2E73"/>
    <w:rsid w:val="00FD44A8"/>
    <w:rsid w:val="00FE2024"/>
    <w:rsid w:val="00FE51C1"/>
    <w:rsid w:val="00FF4FBA"/>
    <w:rsid w:val="00FF6E00"/>
    <w:rsid w:val="012D7962"/>
    <w:rsid w:val="018363D0"/>
    <w:rsid w:val="018972FF"/>
    <w:rsid w:val="01B72388"/>
    <w:rsid w:val="02A07873"/>
    <w:rsid w:val="02E522BB"/>
    <w:rsid w:val="050B006E"/>
    <w:rsid w:val="05F93A3C"/>
    <w:rsid w:val="070A7F7A"/>
    <w:rsid w:val="07694D6D"/>
    <w:rsid w:val="08921F73"/>
    <w:rsid w:val="0B6A5862"/>
    <w:rsid w:val="0BAA19FC"/>
    <w:rsid w:val="0F252B65"/>
    <w:rsid w:val="0FF022A4"/>
    <w:rsid w:val="10A30F52"/>
    <w:rsid w:val="10D96975"/>
    <w:rsid w:val="1141553F"/>
    <w:rsid w:val="11923040"/>
    <w:rsid w:val="14966149"/>
    <w:rsid w:val="159A33B0"/>
    <w:rsid w:val="15A300C5"/>
    <w:rsid w:val="17C17D01"/>
    <w:rsid w:val="1B613E58"/>
    <w:rsid w:val="1C844CF0"/>
    <w:rsid w:val="1CC57AE8"/>
    <w:rsid w:val="1DE53A01"/>
    <w:rsid w:val="1E0235C9"/>
    <w:rsid w:val="1EE67DF4"/>
    <w:rsid w:val="1F2A33C6"/>
    <w:rsid w:val="1F413811"/>
    <w:rsid w:val="1F5D39B2"/>
    <w:rsid w:val="215D175B"/>
    <w:rsid w:val="22532669"/>
    <w:rsid w:val="243D1ECA"/>
    <w:rsid w:val="25102575"/>
    <w:rsid w:val="26F855C1"/>
    <w:rsid w:val="2768453E"/>
    <w:rsid w:val="27E77FD4"/>
    <w:rsid w:val="280D28FB"/>
    <w:rsid w:val="2890244C"/>
    <w:rsid w:val="28D456DB"/>
    <w:rsid w:val="2B7605CD"/>
    <w:rsid w:val="2B9D2441"/>
    <w:rsid w:val="2C5D5F31"/>
    <w:rsid w:val="2D5A3640"/>
    <w:rsid w:val="2EDC6154"/>
    <w:rsid w:val="2EFC2922"/>
    <w:rsid w:val="31614F93"/>
    <w:rsid w:val="339972F1"/>
    <w:rsid w:val="34F56280"/>
    <w:rsid w:val="350C4B48"/>
    <w:rsid w:val="377A05B5"/>
    <w:rsid w:val="384D34A1"/>
    <w:rsid w:val="3A7910CF"/>
    <w:rsid w:val="3C56239B"/>
    <w:rsid w:val="3DC42E0B"/>
    <w:rsid w:val="3ED94AF2"/>
    <w:rsid w:val="3F19295E"/>
    <w:rsid w:val="3FB97790"/>
    <w:rsid w:val="41C32F69"/>
    <w:rsid w:val="43453BA3"/>
    <w:rsid w:val="43E93F8A"/>
    <w:rsid w:val="447D1039"/>
    <w:rsid w:val="44907FC6"/>
    <w:rsid w:val="458E3500"/>
    <w:rsid w:val="46594F38"/>
    <w:rsid w:val="493975D9"/>
    <w:rsid w:val="49442676"/>
    <w:rsid w:val="4C3B2010"/>
    <w:rsid w:val="4C711B45"/>
    <w:rsid w:val="4CC91B32"/>
    <w:rsid w:val="4D512B15"/>
    <w:rsid w:val="4DC7103E"/>
    <w:rsid w:val="4DCB575A"/>
    <w:rsid w:val="4F766DC2"/>
    <w:rsid w:val="50DE1606"/>
    <w:rsid w:val="51974978"/>
    <w:rsid w:val="54022C2E"/>
    <w:rsid w:val="55240888"/>
    <w:rsid w:val="55332380"/>
    <w:rsid w:val="57A416CE"/>
    <w:rsid w:val="57A44478"/>
    <w:rsid w:val="591955CE"/>
    <w:rsid w:val="5BAF4257"/>
    <w:rsid w:val="5D6F3A7E"/>
    <w:rsid w:val="5F01496B"/>
    <w:rsid w:val="5F1F21DD"/>
    <w:rsid w:val="611B2D12"/>
    <w:rsid w:val="611D2E9A"/>
    <w:rsid w:val="627764B0"/>
    <w:rsid w:val="62BA53EE"/>
    <w:rsid w:val="63604C7F"/>
    <w:rsid w:val="6460280C"/>
    <w:rsid w:val="64DD524F"/>
    <w:rsid w:val="663A275D"/>
    <w:rsid w:val="67577F6B"/>
    <w:rsid w:val="69C530BD"/>
    <w:rsid w:val="69C72D38"/>
    <w:rsid w:val="6A8F0B72"/>
    <w:rsid w:val="6AD1573B"/>
    <w:rsid w:val="6C55245B"/>
    <w:rsid w:val="6D1E19C3"/>
    <w:rsid w:val="6E726A6E"/>
    <w:rsid w:val="6FDA45DC"/>
    <w:rsid w:val="70501580"/>
    <w:rsid w:val="70E47A83"/>
    <w:rsid w:val="720D4679"/>
    <w:rsid w:val="733D522B"/>
    <w:rsid w:val="74092DF4"/>
    <w:rsid w:val="74695778"/>
    <w:rsid w:val="77604600"/>
    <w:rsid w:val="78704687"/>
    <w:rsid w:val="78C617E4"/>
    <w:rsid w:val="79506FD2"/>
    <w:rsid w:val="7A6947D7"/>
    <w:rsid w:val="7B831C6D"/>
    <w:rsid w:val="7B8D059C"/>
    <w:rsid w:val="7D883202"/>
    <w:rsid w:val="7DD028FD"/>
    <w:rsid w:val="7DDD069B"/>
    <w:rsid w:val="7E2F5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36"/>
    <w:qFormat/>
    <w:uiPriority w:val="0"/>
    <w:pPr>
      <w:ind w:firstLine="420"/>
    </w:pPr>
  </w:style>
  <w:style w:type="paragraph" w:styleId="5">
    <w:name w:val="annotation text"/>
    <w:basedOn w:val="1"/>
    <w:link w:val="30"/>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33"/>
    <w:qFormat/>
    <w:uiPriority w:val="0"/>
    <w:rPr>
      <w:rFonts w:ascii="宋体" w:hAnsi="Courier New" w:cs="Courier New"/>
      <w:szCs w:val="21"/>
    </w:rPr>
  </w:style>
  <w:style w:type="paragraph" w:styleId="8">
    <w:name w:val="endnote text"/>
    <w:basedOn w:val="1"/>
    <w:link w:val="32"/>
    <w:unhideWhenUsed/>
    <w:qFormat/>
    <w:uiPriority w:val="99"/>
    <w:pPr>
      <w:snapToGrid w:val="0"/>
      <w:jc w:val="left"/>
    </w:pPr>
  </w:style>
  <w:style w:type="paragraph" w:styleId="9">
    <w:name w:val="Balloon Text"/>
    <w:basedOn w:val="1"/>
    <w:link w:val="26"/>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3"/>
    <w:next w:val="3"/>
    <w:unhideWhenUsed/>
    <w:qFormat/>
    <w:uiPriority w:val="39"/>
    <w:pPr>
      <w:widowControl/>
      <w:spacing w:line="440" w:lineRule="exact"/>
      <w:jc w:val="left"/>
    </w:pPr>
    <w:rPr>
      <w:rFonts w:eastAsia="黑体"/>
      <w:b/>
      <w:i w:val="0"/>
      <w:kern w:val="0"/>
      <w:sz w:val="28"/>
    </w:rPr>
  </w:style>
  <w:style w:type="paragraph" w:customStyle="1" w:styleId="13">
    <w:name w:val="引用1"/>
    <w:basedOn w:val="1"/>
    <w:next w:val="1"/>
    <w:link w:val="35"/>
    <w:qFormat/>
    <w:uiPriority w:val="29"/>
    <w:rPr>
      <w:i/>
      <w:iCs/>
      <w:color w:val="000000" w:themeColor="text1"/>
      <w14:textFill>
        <w14:solidFill>
          <w14:schemeClr w14:val="tx1"/>
        </w14:solidFill>
      </w14:textFill>
    </w:rPr>
  </w:style>
  <w:style w:type="paragraph" w:styleId="14">
    <w:name w:val="toc 2"/>
    <w:basedOn w:val="13"/>
    <w:next w:val="2"/>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7"/>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qFormat/>
    <w:uiPriority w:val="22"/>
    <w:rPr>
      <w:b/>
    </w:rPr>
  </w:style>
  <w:style w:type="character" w:styleId="21">
    <w:name w:val="endnote reference"/>
    <w:basedOn w:val="19"/>
    <w:unhideWhenUsed/>
    <w:qFormat/>
    <w:uiPriority w:val="99"/>
    <w:rPr>
      <w:vertAlign w:val="superscript"/>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qFormat/>
    <w:uiPriority w:val="99"/>
    <w:rPr>
      <w:sz w:val="21"/>
    </w:rPr>
  </w:style>
  <w:style w:type="character" w:customStyle="1" w:styleId="24">
    <w:name w:val="页眉 Char"/>
    <w:basedOn w:val="19"/>
    <w:link w:val="11"/>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批注框文本 Char"/>
    <w:basedOn w:val="19"/>
    <w:link w:val="9"/>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Char"/>
    <w:basedOn w:val="19"/>
    <w:link w:val="3"/>
    <w:qFormat/>
    <w:uiPriority w:val="9"/>
    <w:rPr>
      <w:b/>
      <w:bCs/>
      <w:kern w:val="44"/>
      <w:sz w:val="44"/>
      <w:szCs w:val="44"/>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文字 Char"/>
    <w:basedOn w:val="19"/>
    <w:link w:val="5"/>
    <w:qFormat/>
    <w:uiPriority w:val="99"/>
  </w:style>
  <w:style w:type="character" w:customStyle="1" w:styleId="31">
    <w:name w:val="标题 2 Char"/>
    <w:basedOn w:val="19"/>
    <w:link w:val="2"/>
    <w:qFormat/>
    <w:uiPriority w:val="9"/>
    <w:rPr>
      <w:rFonts w:asciiTheme="majorHAnsi" w:hAnsiTheme="majorHAnsi" w:eastAsiaTheme="majorEastAsia" w:cstheme="majorBidi"/>
      <w:b/>
      <w:bCs/>
      <w:sz w:val="32"/>
      <w:szCs w:val="32"/>
    </w:rPr>
  </w:style>
  <w:style w:type="character" w:customStyle="1" w:styleId="32">
    <w:name w:val="尾注文本 Char"/>
    <w:basedOn w:val="19"/>
    <w:link w:val="8"/>
    <w:semiHidden/>
    <w:qFormat/>
    <w:uiPriority w:val="99"/>
  </w:style>
  <w:style w:type="character" w:customStyle="1" w:styleId="33">
    <w:name w:val="纯文本 Char"/>
    <w:link w:val="7"/>
    <w:qFormat/>
    <w:uiPriority w:val="0"/>
    <w:rPr>
      <w:rFonts w:ascii="宋体" w:hAnsi="Courier New" w:cs="Courier New"/>
      <w:szCs w:val="21"/>
    </w:rPr>
  </w:style>
  <w:style w:type="character" w:customStyle="1" w:styleId="34">
    <w:name w:val="纯文本 Char1"/>
    <w:basedOn w:val="19"/>
    <w:semiHidden/>
    <w:qFormat/>
    <w:uiPriority w:val="99"/>
    <w:rPr>
      <w:rFonts w:ascii="宋体" w:hAnsi="Courier New" w:eastAsia="宋体" w:cs="Courier New"/>
      <w:szCs w:val="21"/>
    </w:rPr>
  </w:style>
  <w:style w:type="character" w:customStyle="1" w:styleId="35">
    <w:name w:val="引用 Char"/>
    <w:basedOn w:val="19"/>
    <w:link w:val="13"/>
    <w:qFormat/>
    <w:uiPriority w:val="29"/>
    <w:rPr>
      <w:i/>
      <w:iCs/>
      <w:color w:val="000000" w:themeColor="text1"/>
      <w14:textFill>
        <w14:solidFill>
          <w14:schemeClr w14:val="tx1"/>
        </w14:solidFill>
      </w14:textFill>
    </w:rPr>
  </w:style>
  <w:style w:type="character" w:customStyle="1" w:styleId="36">
    <w:name w:val="正文缩进 Char"/>
    <w:link w:val="4"/>
    <w:qFormat/>
    <w:uiPriority w:val="0"/>
  </w:style>
  <w:style w:type="character" w:customStyle="1" w:styleId="37">
    <w:name w:val="批注主题 Char"/>
    <w:basedOn w:val="30"/>
    <w:link w:val="16"/>
    <w:semiHidden/>
    <w:qFormat/>
    <w:uiPriority w:val="99"/>
    <w:rPr>
      <w:b/>
      <w:bCs/>
    </w:rPr>
  </w:style>
  <w:style w:type="paragraph" w:styleId="38">
    <w:name w:val="List Paragraph"/>
    <w:basedOn w:val="1"/>
    <w:unhideWhenUsed/>
    <w:qFormat/>
    <w:uiPriority w:val="99"/>
    <w:pPr>
      <w:ind w:firstLine="420" w:firstLineChars="200"/>
    </w:pPr>
  </w:style>
  <w:style w:type="paragraph" w:customStyle="1" w:styleId="39">
    <w:name w:val="列出段落3"/>
    <w:basedOn w:val="1"/>
    <w:qFormat/>
    <w:uiPriority w:val="0"/>
    <w:pPr>
      <w:ind w:firstLine="420" w:firstLineChars="200"/>
    </w:pPr>
  </w:style>
  <w:style w:type="character" w:customStyle="1" w:styleId="40">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B2007-8F8E-4E01-B664-C8BADE52663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4918</Words>
  <Characters>28038</Characters>
  <Lines>233</Lines>
  <Paragraphs>65</Paragraphs>
  <TotalTime>2</TotalTime>
  <ScaleCrop>false</ScaleCrop>
  <LinksUpToDate>false</LinksUpToDate>
  <CharactersWithSpaces>32891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婷婷 Sydney</cp:lastModifiedBy>
  <cp:lastPrinted>2019-09-23T08:22:00Z</cp:lastPrinted>
  <dcterms:modified xsi:type="dcterms:W3CDTF">2019-09-27T04:53:52Z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