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936" w:afterLines="300"/>
        <w:jc w:val="center"/>
        <w:rPr>
          <w:rFonts w:ascii="黑体" w:hAnsi="黑体" w:eastAsia="黑体"/>
          <w:b/>
          <w:sz w:val="52"/>
          <w:szCs w:val="52"/>
        </w:rPr>
      </w:pPr>
      <w:r>
        <w:rPr>
          <w:rFonts w:hint="eastAsia" w:ascii="黑体" w:hAnsi="黑体" w:eastAsia="黑体"/>
          <w:b/>
          <w:sz w:val="52"/>
          <w:szCs w:val="52"/>
        </w:rPr>
        <w:t>阳新县县级政府采购</w:t>
      </w:r>
    </w:p>
    <w:p>
      <w:pPr>
        <w:spacing w:after="936" w:afterLines="300"/>
        <w:jc w:val="center"/>
        <w:rPr>
          <w:rFonts w:ascii="黑体" w:hAnsi="黑体" w:eastAsia="黑体"/>
          <w:b/>
          <w:sz w:val="52"/>
          <w:szCs w:val="52"/>
        </w:rPr>
      </w:pPr>
    </w:p>
    <w:p>
      <w:pPr>
        <w:spacing w:after="936" w:afterLines="300"/>
        <w:jc w:val="center"/>
        <w:rPr>
          <w:rFonts w:ascii="黑体" w:hAnsi="黑体" w:eastAsia="黑体"/>
          <w:b/>
          <w:sz w:val="144"/>
          <w:szCs w:val="144"/>
        </w:rPr>
      </w:pPr>
      <w:r>
        <w:rPr>
          <w:rFonts w:hint="eastAsia" w:ascii="黑体" w:hAnsi="黑体" w:eastAsia="黑体"/>
          <w:b/>
          <w:sz w:val="144"/>
          <w:szCs w:val="144"/>
        </w:rPr>
        <w:t>招 标 文 件</w:t>
      </w:r>
    </w:p>
    <w:p>
      <w:pPr>
        <w:spacing w:line="360" w:lineRule="auto"/>
        <w:ind w:left="2055" w:leftChars="619" w:right="1306" w:rightChars="622" w:hanging="755" w:hangingChars="209"/>
        <w:jc w:val="center"/>
        <w:rPr>
          <w:rFonts w:ascii="黑体" w:hAnsi="黑体" w:eastAsia="黑体" w:cs="Times New Roman"/>
          <w:b/>
          <w:bCs/>
          <w:sz w:val="36"/>
          <w:szCs w:val="24"/>
        </w:rPr>
      </w:pPr>
    </w:p>
    <w:p>
      <w:pPr>
        <w:spacing w:line="360" w:lineRule="auto"/>
        <w:ind w:left="2055" w:leftChars="619" w:right="1306" w:rightChars="622" w:hanging="755" w:hangingChars="209"/>
        <w:rPr>
          <w:rFonts w:ascii="黑体" w:hAnsi="黑体" w:eastAsia="黑体" w:cs="Times New Roman"/>
          <w:b/>
          <w:bCs/>
          <w:sz w:val="36"/>
          <w:szCs w:val="24"/>
        </w:rPr>
      </w:pPr>
    </w:p>
    <w:p>
      <w:pPr>
        <w:spacing w:line="600" w:lineRule="exact"/>
        <w:ind w:firstLine="1438" w:firstLineChars="398"/>
        <w:rPr>
          <w:rFonts w:ascii="仿宋_GB2312" w:eastAsia="仿宋_GB2312"/>
          <w:b/>
          <w:sz w:val="36"/>
          <w:szCs w:val="36"/>
        </w:rPr>
      </w:pPr>
      <w:r>
        <w:rPr>
          <w:rFonts w:hint="eastAsia" w:ascii="仿宋_GB2312" w:eastAsia="仿宋_GB2312"/>
          <w:b/>
          <w:sz w:val="36"/>
          <w:szCs w:val="36"/>
        </w:rPr>
        <w:t>招标编号：</w:t>
      </w:r>
      <w:r>
        <w:rPr>
          <w:rFonts w:hint="eastAsia" w:ascii="仿宋_GB2312" w:hAnsi="宋体" w:eastAsia="仿宋_GB2312" w:cs="宋体"/>
          <w:b/>
          <w:kern w:val="0"/>
          <w:sz w:val="36"/>
          <w:szCs w:val="36"/>
        </w:rPr>
        <w:t xml:space="preserve">131-2019CG-167   </w:t>
      </w:r>
    </w:p>
    <w:p>
      <w:pPr>
        <w:spacing w:line="600" w:lineRule="exact"/>
        <w:ind w:firstLine="1265" w:firstLineChars="350"/>
        <w:rPr>
          <w:rFonts w:ascii="仿宋_GB2312" w:eastAsia="仿宋_GB2312"/>
          <w:b/>
          <w:sz w:val="36"/>
          <w:szCs w:val="36"/>
        </w:rPr>
      </w:pPr>
      <w:r>
        <w:rPr>
          <w:rFonts w:hint="eastAsia" w:ascii="仿宋_GB2312" w:eastAsia="仿宋_GB2312"/>
          <w:b/>
          <w:sz w:val="36"/>
          <w:szCs w:val="36"/>
        </w:rPr>
        <w:t xml:space="preserve"> 采 购 人：阳新县疾病预防控制中心</w:t>
      </w:r>
    </w:p>
    <w:p>
      <w:pPr>
        <w:spacing w:line="600" w:lineRule="exact"/>
        <w:ind w:left="3458" w:leftChars="700" w:hanging="1988" w:hangingChars="550"/>
        <w:rPr>
          <w:rFonts w:ascii="仿宋_GB2312" w:eastAsia="仿宋_GB2312"/>
          <w:b/>
          <w:sz w:val="36"/>
          <w:szCs w:val="36"/>
        </w:rPr>
      </w:pPr>
      <w:r>
        <w:rPr>
          <w:rFonts w:hint="eastAsia" w:ascii="仿宋_GB2312" w:eastAsia="仿宋_GB2312"/>
          <w:b/>
          <w:sz w:val="36"/>
          <w:szCs w:val="36"/>
        </w:rPr>
        <w:t>项目名称：</w:t>
      </w:r>
      <w:bookmarkStart w:id="330" w:name="_GoBack"/>
      <w:r>
        <w:rPr>
          <w:rFonts w:hint="eastAsia" w:ascii="仿宋_GB2312" w:eastAsia="仿宋_GB2312"/>
          <w:b/>
          <w:sz w:val="36"/>
          <w:szCs w:val="36"/>
        </w:rPr>
        <w:t>阳新县疾病预防控制中心全数字彩色多普勒超声诊断仪采购项目</w:t>
      </w:r>
      <w:bookmarkEnd w:id="330"/>
    </w:p>
    <w:p>
      <w:pPr>
        <w:spacing w:line="600" w:lineRule="exact"/>
        <w:ind w:left="3458" w:leftChars="700" w:hanging="1988" w:hangingChars="550"/>
        <w:rPr>
          <w:rFonts w:ascii="仿宋_GB2312" w:eastAsia="仿宋_GB2312"/>
          <w:b/>
          <w:sz w:val="36"/>
          <w:szCs w:val="36"/>
        </w:rPr>
      </w:pPr>
      <w:r>
        <w:rPr>
          <w:rFonts w:hint="eastAsia" w:ascii="仿宋_GB2312" w:eastAsia="仿宋_GB2312"/>
          <w:b/>
          <w:sz w:val="36"/>
          <w:szCs w:val="36"/>
        </w:rPr>
        <w:t>采购内容：全数字彩色多普勒超声诊断仪一套</w:t>
      </w:r>
    </w:p>
    <w:p>
      <w:pPr>
        <w:tabs>
          <w:tab w:val="left" w:pos="7939"/>
        </w:tabs>
        <w:spacing w:line="360" w:lineRule="auto"/>
        <w:jc w:val="center"/>
        <w:rPr>
          <w:rFonts w:ascii="黑体" w:hAnsi="黑体" w:eastAsia="黑体"/>
          <w:b/>
          <w:sz w:val="72"/>
          <w:szCs w:val="72"/>
        </w:rPr>
      </w:pPr>
    </w:p>
    <w:p>
      <w:pPr>
        <w:tabs>
          <w:tab w:val="left" w:pos="7939"/>
        </w:tabs>
        <w:spacing w:line="360" w:lineRule="auto"/>
        <w:jc w:val="center"/>
        <w:rPr>
          <w:rFonts w:ascii="黑体" w:hAnsi="黑体" w:eastAsia="黑体"/>
          <w:b/>
          <w:sz w:val="72"/>
          <w:szCs w:val="72"/>
        </w:rPr>
      </w:pPr>
      <w:r>
        <w:rPr>
          <w:rFonts w:hint="eastAsia" w:ascii="黑体" w:hAnsi="黑体" w:eastAsia="黑体"/>
          <w:b/>
          <w:sz w:val="72"/>
          <w:szCs w:val="72"/>
        </w:rPr>
        <w:t>湖北佰誉工程咨询有限公司</w:t>
      </w:r>
    </w:p>
    <w:p>
      <w:pPr>
        <w:jc w:val="center"/>
        <w:rPr>
          <w:rFonts w:ascii="黑体" w:hAnsi="黑体" w:eastAsia="黑体"/>
          <w:b/>
          <w:sz w:val="44"/>
        </w:rPr>
      </w:pPr>
      <w:r>
        <w:rPr>
          <w:rFonts w:hint="eastAsia" w:ascii="黑体" w:hAnsi="黑体" w:eastAsia="黑体" w:cs="Times New Roman"/>
          <w:b/>
          <w:bCs/>
          <w:sz w:val="36"/>
          <w:szCs w:val="24"/>
          <w:u w:val="single"/>
        </w:rPr>
        <w:t xml:space="preserve"> 2019  </w:t>
      </w:r>
      <w:r>
        <w:rPr>
          <w:rFonts w:hint="eastAsia" w:ascii="黑体" w:hAnsi="黑体" w:eastAsia="黑体"/>
          <w:b/>
          <w:sz w:val="44"/>
        </w:rPr>
        <w:t>年</w:t>
      </w:r>
      <w:r>
        <w:rPr>
          <w:rFonts w:hint="eastAsia" w:ascii="黑体" w:hAnsi="黑体" w:eastAsia="黑体" w:cs="Times New Roman"/>
          <w:b/>
          <w:bCs/>
          <w:sz w:val="36"/>
          <w:szCs w:val="24"/>
          <w:u w:val="single"/>
        </w:rPr>
        <w:t xml:space="preserve"> 10  </w:t>
      </w:r>
      <w:r>
        <w:rPr>
          <w:rFonts w:hint="eastAsia" w:ascii="黑体" w:hAnsi="黑体" w:eastAsia="黑体"/>
          <w:b/>
          <w:sz w:val="44"/>
        </w:rPr>
        <w:t>月</w:t>
      </w:r>
    </w:p>
    <w:p>
      <w:pPr>
        <w:sectPr>
          <w:headerReference r:id="rId3" w:type="default"/>
          <w:footerReference r:id="rId5" w:type="default"/>
          <w:headerReference r:id="rId4" w:type="even"/>
          <w:footerReference r:id="rId6" w:type="even"/>
          <w:pgSz w:w="11906" w:h="16838"/>
          <w:pgMar w:top="1134" w:right="1191" w:bottom="1134" w:left="1191" w:header="680" w:footer="680" w:gutter="0"/>
          <w:cols w:space="425" w:num="1"/>
          <w:docGrid w:type="lines" w:linePitch="312" w:charSpace="0"/>
        </w:sectPr>
      </w:pPr>
    </w:p>
    <w:sdt>
      <w:sdtPr>
        <w:rPr>
          <w:rFonts w:asciiTheme="minorHAnsi" w:hAnsiTheme="minorHAnsi" w:eastAsiaTheme="minorEastAsia" w:cstheme="minorBidi"/>
          <w:b w:val="0"/>
          <w:bCs w:val="0"/>
          <w:color w:val="auto"/>
          <w:kern w:val="2"/>
          <w:sz w:val="21"/>
          <w:szCs w:val="22"/>
          <w:lang w:val="zh-CN"/>
        </w:rPr>
        <w:id w:val="195952752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39"/>
            <w:jc w:val="center"/>
            <w:rPr>
              <w:color w:val="auto"/>
            </w:rPr>
          </w:pPr>
          <w:r>
            <w:rPr>
              <w:color w:val="auto"/>
              <w:lang w:val="zh-CN"/>
            </w:rPr>
            <w:t>目录</w:t>
          </w:r>
        </w:p>
        <w:p>
          <w:pPr>
            <w:pStyle w:val="12"/>
            <w:tabs>
              <w:tab w:val="left" w:pos="1260"/>
              <w:tab w:val="right" w:leader="dot" w:pos="9514"/>
            </w:tabs>
            <w:rPr>
              <w:rFonts w:eastAsiaTheme="minorEastAsia"/>
              <w:b w:val="0"/>
              <w:iCs w:val="0"/>
              <w:color w:val="auto"/>
              <w:kern w:val="2"/>
              <w:sz w:val="21"/>
            </w:rPr>
          </w:pPr>
          <w:r>
            <w:rPr>
              <w:b w:val="0"/>
              <w:iCs w:val="0"/>
            </w:rPr>
            <w:fldChar w:fldCharType="begin"/>
          </w:r>
          <w:r>
            <w:rPr>
              <w:b w:val="0"/>
              <w:iCs w:val="0"/>
            </w:rPr>
            <w:instrText xml:space="preserve"> TOC \o "1-3" \h \z \u </w:instrText>
          </w:r>
          <w:r>
            <w:rPr>
              <w:b w:val="0"/>
              <w:iCs w:val="0"/>
            </w:rPr>
            <w:fldChar w:fldCharType="separate"/>
          </w:r>
          <w:r>
            <w:fldChar w:fldCharType="begin"/>
          </w:r>
          <w:r>
            <w:instrText xml:space="preserve"> HYPERLINK \l "_Toc509323114" </w:instrText>
          </w:r>
          <w:r>
            <w:fldChar w:fldCharType="separate"/>
          </w:r>
          <w:r>
            <w:rPr>
              <w:rStyle w:val="21"/>
              <w:rFonts w:hint="eastAsia" w:ascii="黑体" w:hAnsi="黑体"/>
            </w:rPr>
            <w:t>第一章</w:t>
          </w:r>
          <w:r>
            <w:rPr>
              <w:rFonts w:eastAsiaTheme="minorEastAsia"/>
              <w:b w:val="0"/>
              <w:iCs w:val="0"/>
              <w:color w:val="auto"/>
              <w:kern w:val="2"/>
              <w:sz w:val="21"/>
            </w:rPr>
            <w:tab/>
          </w:r>
          <w:r>
            <w:rPr>
              <w:rStyle w:val="21"/>
              <w:rFonts w:hint="eastAsia" w:ascii="黑体" w:hAnsi="黑体"/>
            </w:rPr>
            <w:t>投标邀请书</w:t>
          </w:r>
          <w:r>
            <w:tab/>
          </w:r>
          <w:r>
            <w:fldChar w:fldCharType="begin"/>
          </w:r>
          <w:r>
            <w:instrText xml:space="preserve"> PAGEREF _Toc509323114 \h </w:instrText>
          </w:r>
          <w:r>
            <w:fldChar w:fldCharType="separate"/>
          </w:r>
          <w:r>
            <w:t>4</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"_Toc509323115" </w:instrText>
          </w:r>
          <w:r>
            <w:fldChar w:fldCharType="separate"/>
          </w:r>
          <w:r>
            <w:rPr>
              <w:rStyle w:val="21"/>
              <w:rFonts w:hint="eastAsia" w:ascii="黑体" w:hAnsi="黑体"/>
            </w:rPr>
            <w:t>第二章</w:t>
          </w:r>
          <w:r>
            <w:rPr>
              <w:rFonts w:eastAsiaTheme="minorEastAsia"/>
              <w:b w:val="0"/>
              <w:iCs w:val="0"/>
              <w:color w:val="auto"/>
              <w:kern w:val="2"/>
              <w:sz w:val="21"/>
            </w:rPr>
            <w:tab/>
          </w:r>
          <w:r>
            <w:rPr>
              <w:rStyle w:val="21"/>
              <w:rFonts w:hint="eastAsia" w:ascii="黑体" w:hAnsi="黑体"/>
            </w:rPr>
            <w:t>投标人须知</w:t>
          </w:r>
          <w:r>
            <w:tab/>
          </w:r>
          <w:r>
            <w:fldChar w:fldCharType="begin"/>
          </w:r>
          <w:r>
            <w:instrText xml:space="preserve"> PAGEREF _Toc509323115 \h </w:instrText>
          </w:r>
          <w:r>
            <w:fldChar w:fldCharType="separate"/>
          </w:r>
          <w:r>
            <w:t>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"_Toc509323116" </w:instrText>
          </w:r>
          <w:r>
            <w:fldChar w:fldCharType="separate"/>
          </w:r>
          <w:r>
            <w:rPr>
              <w:rStyle w:val="21"/>
              <w:rFonts w:hint="eastAsia" w:cs="Times New Roman" w:asciiTheme="majorEastAsia" w:hAnsiTheme="majorEastAsia" w:eastAsiaTheme="majorEastAsia"/>
              <w:b/>
              <w:bCs/>
              <w:lang w:val="zh-CN"/>
            </w:rPr>
            <w:t>投标须知前附表</w:t>
          </w:r>
          <w:r>
            <w:tab/>
          </w:r>
          <w:r>
            <w:fldChar w:fldCharType="begin"/>
          </w:r>
          <w:r>
            <w:instrText xml:space="preserve"> PAGEREF _Toc509323116 \h </w:instrText>
          </w:r>
          <w:r>
            <w:fldChar w:fldCharType="separate"/>
          </w:r>
          <w:r>
            <w:t>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"_Toc509323117" </w:instrText>
          </w:r>
          <w:r>
            <w:fldChar w:fldCharType="separate"/>
          </w:r>
          <w:r>
            <w:rPr>
              <w:rStyle w:val="21"/>
              <w:rFonts w:hint="eastAsia" w:cs="Times New Roman" w:asciiTheme="majorEastAsia" w:hAnsiTheme="majorEastAsia"/>
              <w:lang w:val="zh-CN"/>
            </w:rPr>
            <w:t>一、</w:t>
          </w:r>
          <w:r>
            <w:rPr>
              <w:rFonts w:asciiTheme="minorHAnsi" w:hAnsiTheme="minorHAnsi"/>
              <w:iCs w:val="0"/>
              <w:color w:val="auto"/>
              <w:kern w:val="2"/>
              <w:sz w:val="21"/>
            </w:rPr>
            <w:tab/>
          </w:r>
          <w:r>
            <w:rPr>
              <w:rStyle w:val="21"/>
              <w:rFonts w:hint="eastAsia" w:cs="Times New Roman" w:asciiTheme="majorEastAsia" w:hAnsiTheme="majorEastAsia"/>
              <w:lang w:val="zh-CN"/>
            </w:rPr>
            <w:t>说</w:t>
          </w:r>
          <w:r>
            <w:rPr>
              <w:rStyle w:val="21"/>
              <w:rFonts w:cs="Times New Roman" w:asciiTheme="majorEastAsia" w:hAnsiTheme="majorEastAsia"/>
              <w:lang w:val="zh-CN"/>
            </w:rPr>
            <w:t xml:space="preserve">  </w:t>
          </w:r>
          <w:r>
            <w:rPr>
              <w:rStyle w:val="21"/>
              <w:rFonts w:hint="eastAsia" w:cs="Times New Roman" w:asciiTheme="majorEastAsia" w:hAnsiTheme="majorEastAsia"/>
              <w:lang w:val="zh-CN"/>
            </w:rPr>
            <w:t>明</w:t>
          </w:r>
          <w:r>
            <w:tab/>
          </w:r>
          <w:r>
            <w:fldChar w:fldCharType="begin"/>
          </w:r>
          <w:r>
            <w:instrText xml:space="preserve"> PAGEREF _Toc509323117 \h </w:instrText>
          </w:r>
          <w:r>
            <w:fldChar w:fldCharType="separate"/>
          </w:r>
          <w:r>
            <w:t>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"_Toc509323118" </w:instrText>
          </w:r>
          <w:r>
            <w:fldChar w:fldCharType="separate"/>
          </w:r>
          <w:r>
            <w:rPr>
              <w:rStyle w:val="21"/>
              <w:rFonts w:hint="eastAsia" w:cs="Times New Roman" w:asciiTheme="majorEastAsia" w:hAnsiTheme="majorEastAsia"/>
              <w:lang w:val="zh-CN"/>
            </w:rPr>
            <w:t>二、</w:t>
          </w:r>
          <w:r>
            <w:rPr>
              <w:rFonts w:asciiTheme="minorHAnsi" w:hAnsiTheme="minorHAnsi"/>
              <w:iCs w:val="0"/>
              <w:color w:val="auto"/>
              <w:kern w:val="2"/>
              <w:sz w:val="21"/>
            </w:rPr>
            <w:tab/>
          </w:r>
          <w:r>
            <w:rPr>
              <w:rStyle w:val="21"/>
              <w:rFonts w:hint="eastAsia" w:cs="Times New Roman" w:asciiTheme="majorEastAsia" w:hAnsiTheme="majorEastAsia"/>
              <w:lang w:val="zh-CN"/>
            </w:rPr>
            <w:t>招标文件</w:t>
          </w:r>
          <w:r>
            <w:tab/>
          </w:r>
          <w:r>
            <w:fldChar w:fldCharType="begin"/>
          </w:r>
          <w:r>
            <w:instrText xml:space="preserve"> PAGEREF _Toc509323118 \h </w:instrText>
          </w:r>
          <w:r>
            <w:fldChar w:fldCharType="separate"/>
          </w:r>
          <w:r>
            <w:t>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"_Toc509323119" </w:instrText>
          </w:r>
          <w:r>
            <w:fldChar w:fldCharType="separate"/>
          </w:r>
          <w:r>
            <w:rPr>
              <w:rStyle w:val="21"/>
              <w:rFonts w:hint="eastAsia" w:cs="Times New Roman" w:asciiTheme="majorEastAsia" w:hAnsiTheme="majorEastAsia"/>
              <w:lang w:val="zh-CN"/>
            </w:rPr>
            <w:t>三、</w:t>
          </w:r>
          <w:r>
            <w:rPr>
              <w:rFonts w:asciiTheme="minorHAnsi" w:hAnsiTheme="minorHAnsi"/>
              <w:iCs w:val="0"/>
              <w:color w:val="auto"/>
              <w:kern w:val="2"/>
              <w:sz w:val="21"/>
            </w:rPr>
            <w:tab/>
          </w:r>
          <w:r>
            <w:rPr>
              <w:rStyle w:val="21"/>
              <w:rFonts w:hint="eastAsia" w:cs="Times New Roman" w:asciiTheme="majorEastAsia" w:hAnsiTheme="majorEastAsia"/>
              <w:lang w:val="zh-CN"/>
            </w:rPr>
            <w:t>投标文件</w:t>
          </w:r>
          <w:r>
            <w:tab/>
          </w:r>
          <w:r>
            <w:fldChar w:fldCharType="begin"/>
          </w:r>
          <w:r>
            <w:instrText xml:space="preserve"> PAGEREF _Toc509323119 \h </w:instrText>
          </w:r>
          <w:r>
            <w:fldChar w:fldCharType="separate"/>
          </w:r>
          <w:r>
            <w:t>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"_Toc509323120" </w:instrText>
          </w:r>
          <w:r>
            <w:fldChar w:fldCharType="separate"/>
          </w:r>
          <w:r>
            <w:rPr>
              <w:rStyle w:val="21"/>
              <w:rFonts w:hint="eastAsia" w:cs="Times New Roman" w:asciiTheme="majorEastAsia" w:hAnsiTheme="majorEastAsia"/>
              <w:lang w:val="zh-CN"/>
            </w:rPr>
            <w:t>四、</w:t>
          </w:r>
          <w:r>
            <w:rPr>
              <w:rFonts w:asciiTheme="minorHAnsi" w:hAnsiTheme="minorHAnsi"/>
              <w:iCs w:val="0"/>
              <w:color w:val="auto"/>
              <w:kern w:val="2"/>
              <w:sz w:val="21"/>
            </w:rPr>
            <w:tab/>
          </w:r>
          <w:r>
            <w:rPr>
              <w:rStyle w:val="21"/>
              <w:rFonts w:hint="eastAsia" w:cs="Times New Roman" w:asciiTheme="majorEastAsia" w:hAnsiTheme="majorEastAsia"/>
              <w:lang w:val="zh-CN"/>
            </w:rPr>
            <w:t>开标与评标</w:t>
          </w:r>
          <w:r>
            <w:tab/>
          </w:r>
          <w:r>
            <w:fldChar w:fldCharType="begin"/>
          </w:r>
          <w:r>
            <w:instrText xml:space="preserve"> PAGEREF _Toc509323120 \h </w:instrText>
          </w:r>
          <w:r>
            <w:fldChar w:fldCharType="separate"/>
          </w:r>
          <w:r>
            <w:t>14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"_Toc509323121" </w:instrText>
          </w:r>
          <w:r>
            <w:fldChar w:fldCharType="separate"/>
          </w:r>
          <w:r>
            <w:rPr>
              <w:rStyle w:val="21"/>
              <w:rFonts w:hint="eastAsia" w:cs="Times New Roman" w:asciiTheme="majorEastAsia" w:hAnsiTheme="majorEastAsia"/>
              <w:lang w:val="zh-CN"/>
            </w:rPr>
            <w:t>五、</w:t>
          </w:r>
          <w:r>
            <w:rPr>
              <w:rFonts w:asciiTheme="minorHAnsi" w:hAnsiTheme="minorHAnsi"/>
              <w:iCs w:val="0"/>
              <w:color w:val="auto"/>
              <w:kern w:val="2"/>
              <w:sz w:val="21"/>
            </w:rPr>
            <w:tab/>
          </w:r>
          <w:r>
            <w:rPr>
              <w:rStyle w:val="21"/>
              <w:rFonts w:hint="eastAsia" w:cs="Times New Roman" w:asciiTheme="majorEastAsia" w:hAnsiTheme="majorEastAsia"/>
              <w:lang w:val="zh-CN"/>
            </w:rPr>
            <w:t>投标人信用信息及查询</w:t>
          </w:r>
          <w:r>
            <w:tab/>
          </w:r>
          <w:r>
            <w:fldChar w:fldCharType="begin"/>
          </w:r>
          <w:r>
            <w:instrText xml:space="preserve"> PAGEREF _Toc509323121 \h </w:instrText>
          </w:r>
          <w:r>
            <w:fldChar w:fldCharType="separate"/>
          </w:r>
          <w:r>
            <w:t>16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"_Toc509323122" </w:instrText>
          </w:r>
          <w:r>
            <w:fldChar w:fldCharType="separate"/>
          </w:r>
          <w:r>
            <w:rPr>
              <w:rStyle w:val="21"/>
              <w:rFonts w:hint="eastAsia" w:cs="Times New Roman" w:asciiTheme="majorEastAsia" w:hAnsiTheme="majorEastAsia"/>
              <w:lang w:val="zh-CN"/>
            </w:rPr>
            <w:t>六、</w:t>
          </w:r>
          <w:r>
            <w:rPr>
              <w:rFonts w:asciiTheme="minorHAnsi" w:hAnsiTheme="minorHAnsi"/>
              <w:iCs w:val="0"/>
              <w:color w:val="auto"/>
              <w:kern w:val="2"/>
              <w:sz w:val="21"/>
            </w:rPr>
            <w:tab/>
          </w:r>
          <w:r>
            <w:rPr>
              <w:rStyle w:val="21"/>
              <w:rFonts w:hint="eastAsia" w:cs="Times New Roman" w:asciiTheme="majorEastAsia" w:hAnsiTheme="majorEastAsia"/>
              <w:lang w:val="zh-CN"/>
            </w:rPr>
            <w:t>中标与合同</w:t>
          </w:r>
          <w:r>
            <w:tab/>
          </w:r>
          <w:r>
            <w:fldChar w:fldCharType="begin"/>
          </w:r>
          <w:r>
            <w:instrText xml:space="preserve"> PAGEREF _Toc509323122 \h </w:instrText>
          </w:r>
          <w:r>
            <w:fldChar w:fldCharType="separate"/>
          </w:r>
          <w:r>
            <w:t>16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"_Toc509323123" </w:instrText>
          </w:r>
          <w:r>
            <w:fldChar w:fldCharType="separate"/>
          </w:r>
          <w:r>
            <w:rPr>
              <w:rStyle w:val="21"/>
              <w:rFonts w:hint="eastAsia" w:cs="Times New Roman" w:asciiTheme="majorEastAsia" w:hAnsiTheme="majorEastAsia"/>
              <w:lang w:val="zh-CN"/>
            </w:rPr>
            <w:t>七、</w:t>
          </w:r>
          <w:r>
            <w:rPr>
              <w:rFonts w:asciiTheme="minorHAnsi" w:hAnsiTheme="minorHAnsi"/>
              <w:iCs w:val="0"/>
              <w:color w:val="auto"/>
              <w:kern w:val="2"/>
              <w:sz w:val="21"/>
            </w:rPr>
            <w:tab/>
          </w:r>
          <w:r>
            <w:rPr>
              <w:rStyle w:val="21"/>
              <w:rFonts w:hint="eastAsia" w:cs="Times New Roman" w:asciiTheme="majorEastAsia" w:hAnsiTheme="majorEastAsia"/>
              <w:lang w:val="zh-CN"/>
            </w:rPr>
            <w:t>采购信息公告</w:t>
          </w:r>
          <w:r>
            <w:tab/>
          </w:r>
          <w:r>
            <w:fldChar w:fldCharType="begin"/>
          </w:r>
          <w:r>
            <w:instrText xml:space="preserve"> PAGEREF _Toc509323123 \h </w:instrText>
          </w:r>
          <w:r>
            <w:fldChar w:fldCharType="separate"/>
          </w:r>
          <w:r>
            <w:t>17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"_Toc509323124" </w:instrText>
          </w:r>
          <w:r>
            <w:fldChar w:fldCharType="separate"/>
          </w:r>
          <w:r>
            <w:rPr>
              <w:rStyle w:val="21"/>
              <w:rFonts w:hint="eastAsia" w:cs="Times New Roman" w:asciiTheme="majorEastAsia" w:hAnsiTheme="majorEastAsia"/>
              <w:lang w:val="zh-CN"/>
            </w:rPr>
            <w:t>八、</w:t>
          </w:r>
          <w:r>
            <w:rPr>
              <w:rFonts w:asciiTheme="minorHAnsi" w:hAnsiTheme="minorHAnsi"/>
              <w:iCs w:val="0"/>
              <w:color w:val="auto"/>
              <w:kern w:val="2"/>
              <w:sz w:val="21"/>
            </w:rPr>
            <w:tab/>
          </w:r>
          <w:r>
            <w:rPr>
              <w:rStyle w:val="21"/>
              <w:rFonts w:hint="eastAsia" w:cs="Times New Roman" w:asciiTheme="majorEastAsia" w:hAnsiTheme="majorEastAsia"/>
              <w:lang w:val="zh-CN"/>
            </w:rPr>
            <w:t>质疑及提交</w:t>
          </w:r>
          <w:r>
            <w:tab/>
          </w:r>
          <w:r>
            <w:fldChar w:fldCharType="begin"/>
          </w:r>
          <w:r>
            <w:instrText xml:space="preserve"> PAGEREF _Toc509323124 \h </w:instrText>
          </w:r>
          <w:r>
            <w:fldChar w:fldCharType="separate"/>
          </w:r>
          <w:r>
            <w:t>18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"_Toc509323125" </w:instrText>
          </w:r>
          <w:r>
            <w:fldChar w:fldCharType="separate"/>
          </w:r>
          <w:r>
            <w:rPr>
              <w:rStyle w:val="21"/>
              <w:rFonts w:hint="eastAsia" w:cs="Times New Roman" w:asciiTheme="majorEastAsia" w:hAnsiTheme="majorEastAsia"/>
              <w:lang w:val="zh-CN"/>
            </w:rPr>
            <w:t>九、</w:t>
          </w:r>
          <w:r>
            <w:rPr>
              <w:rFonts w:asciiTheme="minorHAnsi" w:hAnsiTheme="minorHAnsi"/>
              <w:iCs w:val="0"/>
              <w:color w:val="auto"/>
              <w:kern w:val="2"/>
              <w:sz w:val="21"/>
            </w:rPr>
            <w:tab/>
          </w:r>
          <w:r>
            <w:rPr>
              <w:rStyle w:val="21"/>
              <w:rFonts w:hint="eastAsia" w:cs="Times New Roman" w:asciiTheme="majorEastAsia" w:hAnsiTheme="majorEastAsia"/>
              <w:lang w:val="zh-CN"/>
            </w:rPr>
            <w:t>相关条文解读</w:t>
          </w:r>
          <w:r>
            <w:tab/>
          </w:r>
          <w:r>
            <w:fldChar w:fldCharType="begin"/>
          </w:r>
          <w:r>
            <w:instrText xml:space="preserve"> PAGEREF _Toc509323125 \h </w:instrText>
          </w:r>
          <w:r>
            <w:fldChar w:fldCharType="separate"/>
          </w:r>
          <w:r>
            <w:t>18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"_Toc509323126" </w:instrText>
          </w:r>
          <w:r>
            <w:fldChar w:fldCharType="separate"/>
          </w:r>
          <w:r>
            <w:rPr>
              <w:rStyle w:val="21"/>
              <w:rFonts w:hint="eastAsia" w:cs="Times New Roman" w:asciiTheme="majorEastAsia" w:hAnsiTheme="majorEastAsia"/>
              <w:lang w:val="zh-CN"/>
            </w:rPr>
            <w:t>十、</w:t>
          </w:r>
          <w:r>
            <w:rPr>
              <w:rFonts w:asciiTheme="minorHAnsi" w:hAnsiTheme="minorHAnsi"/>
              <w:iCs w:val="0"/>
              <w:color w:val="auto"/>
              <w:kern w:val="2"/>
              <w:sz w:val="21"/>
            </w:rPr>
            <w:tab/>
          </w:r>
          <w:r>
            <w:rPr>
              <w:rStyle w:val="21"/>
              <w:rFonts w:hint="eastAsia" w:cs="Times New Roman" w:asciiTheme="majorEastAsia" w:hAnsiTheme="majorEastAsia"/>
              <w:lang w:val="zh-CN"/>
            </w:rPr>
            <w:t>其他注意事项</w:t>
          </w:r>
          <w:r>
            <w:tab/>
          </w:r>
          <w:r>
            <w:fldChar w:fldCharType="begin"/>
          </w:r>
          <w:r>
            <w:instrText xml:space="preserve"> PAGEREF _Toc509323126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"_Toc509323127" </w:instrText>
          </w:r>
          <w:r>
            <w:fldChar w:fldCharType="separate"/>
          </w:r>
          <w:r>
            <w:rPr>
              <w:rStyle w:val="21"/>
              <w:rFonts w:hint="eastAsia" w:cs="Times New Roman" w:asciiTheme="majorEastAsia" w:hAnsiTheme="majorEastAsia"/>
              <w:lang w:val="zh-CN"/>
            </w:rPr>
            <w:t>十一、</w:t>
          </w:r>
          <w:r>
            <w:rPr>
              <w:rFonts w:asciiTheme="minorHAnsi" w:hAnsiTheme="minorHAnsi"/>
              <w:iCs w:val="0"/>
              <w:color w:val="auto"/>
              <w:kern w:val="2"/>
              <w:sz w:val="21"/>
            </w:rPr>
            <w:tab/>
          </w:r>
          <w:r>
            <w:rPr>
              <w:rStyle w:val="21"/>
              <w:rFonts w:hint="eastAsia" w:cs="Times New Roman" w:asciiTheme="majorEastAsia" w:hAnsiTheme="majorEastAsia"/>
              <w:lang w:val="zh-CN"/>
            </w:rPr>
            <w:t>适用法律</w:t>
          </w:r>
          <w:r>
            <w:tab/>
          </w:r>
          <w:r>
            <w:fldChar w:fldCharType="begin"/>
          </w:r>
          <w:r>
            <w:instrText xml:space="preserve"> PAGEREF _Toc509323127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"_Toc509323128" </w:instrText>
          </w:r>
          <w:r>
            <w:fldChar w:fldCharType="separate"/>
          </w:r>
          <w:r>
            <w:rPr>
              <w:rStyle w:val="21"/>
              <w:rFonts w:hint="eastAsia" w:cs="Times New Roman" w:asciiTheme="majorEastAsia" w:hAnsiTheme="majorEastAsia"/>
              <w:lang w:val="zh-CN"/>
            </w:rPr>
            <w:t>十二、</w:t>
          </w:r>
          <w:r>
            <w:rPr>
              <w:rFonts w:asciiTheme="minorHAnsi" w:hAnsiTheme="minorHAnsi"/>
              <w:iCs w:val="0"/>
              <w:color w:val="auto"/>
              <w:kern w:val="2"/>
              <w:sz w:val="21"/>
            </w:rPr>
            <w:tab/>
          </w:r>
          <w:r>
            <w:rPr>
              <w:rStyle w:val="21"/>
              <w:rFonts w:hint="eastAsia" w:cs="Times New Roman" w:asciiTheme="majorEastAsia" w:hAnsiTheme="majorEastAsia"/>
              <w:lang w:val="zh-CN"/>
            </w:rPr>
            <w:t>招标文件的解释权</w:t>
          </w:r>
          <w:r>
            <w:tab/>
          </w:r>
          <w:r>
            <w:fldChar w:fldCharType="begin"/>
          </w:r>
          <w:r>
            <w:instrText xml:space="preserve"> PAGEREF _Toc509323128 \h </w:instrText>
          </w:r>
          <w:r>
            <w:fldChar w:fldCharType="separate"/>
          </w:r>
          <w:r>
            <w:t>19</w:t>
          </w:r>
          <w:r>
            <w:fldChar w:fldCharType="end"/>
          </w:r>
          <w:r>
            <w:fldChar w:fldCharType="end"/>
          </w:r>
        </w:p>
        <w:p>
          <w:pPr>
            <w:pStyle w:val="12"/>
            <w:tabs>
              <w:tab w:val="right" w:leader="dot" w:pos="9514"/>
            </w:tabs>
            <w:rPr>
              <w:rFonts w:eastAsiaTheme="minorEastAsia"/>
              <w:b w:val="0"/>
              <w:iCs w:val="0"/>
              <w:color w:val="auto"/>
              <w:kern w:val="2"/>
              <w:sz w:val="21"/>
            </w:rPr>
          </w:pPr>
          <w:r>
            <w:fldChar w:fldCharType="begin"/>
          </w:r>
          <w:r>
            <w:instrText xml:space="preserve"> HYPERLINK \l "_Toc509323129" </w:instrText>
          </w:r>
          <w:r>
            <w:fldChar w:fldCharType="separate"/>
          </w:r>
          <w:r>
            <w:rPr>
              <w:rStyle w:val="21"/>
              <w:rFonts w:hint="eastAsia" w:ascii="黑体" w:hAnsi="黑体"/>
            </w:rPr>
            <w:t>第三章</w:t>
          </w:r>
          <w:r>
            <w:rPr>
              <w:rStyle w:val="21"/>
              <w:rFonts w:ascii="黑体" w:hAnsi="黑体"/>
            </w:rPr>
            <w:t xml:space="preserve"> </w:t>
          </w:r>
          <w:r>
            <w:rPr>
              <w:rStyle w:val="21"/>
              <w:rFonts w:hint="eastAsia" w:ascii="黑体" w:hAnsi="黑体"/>
            </w:rPr>
            <w:t>项目技术、服务及商务要求</w:t>
          </w:r>
          <w:r>
            <w:tab/>
          </w:r>
          <w:r>
            <w:fldChar w:fldCharType="begin"/>
          </w:r>
          <w:r>
            <w:instrText xml:space="preserve"> PAGEREF _Toc509323129 \h </w:instrText>
          </w:r>
          <w:r>
            <w:fldChar w:fldCharType="separate"/>
          </w:r>
          <w:r>
            <w:t>20</w:t>
          </w:r>
          <w:r>
            <w:fldChar w:fldCharType="end"/>
          </w:r>
          <w:r>
            <w:fldChar w:fldCharType="end"/>
          </w:r>
        </w:p>
        <w:p>
          <w:pPr>
            <w:pStyle w:val="12"/>
            <w:tabs>
              <w:tab w:val="right" w:leader="dot" w:pos="9514"/>
            </w:tabs>
            <w:rPr>
              <w:rFonts w:eastAsiaTheme="minorEastAsia"/>
              <w:b w:val="0"/>
              <w:iCs w:val="0"/>
              <w:color w:val="auto"/>
              <w:kern w:val="2"/>
              <w:sz w:val="21"/>
            </w:rPr>
          </w:pPr>
          <w:r>
            <w:fldChar w:fldCharType="begin"/>
          </w:r>
          <w:r>
            <w:instrText xml:space="preserve"> HYPERLINK \l "_Toc509323130" </w:instrText>
          </w:r>
          <w:r>
            <w:fldChar w:fldCharType="separate"/>
          </w:r>
          <w:r>
            <w:rPr>
              <w:rStyle w:val="21"/>
              <w:rFonts w:hint="eastAsia" w:ascii="黑体" w:hAnsi="黑体"/>
            </w:rPr>
            <w:t>第四章</w:t>
          </w:r>
          <w:r>
            <w:rPr>
              <w:rStyle w:val="21"/>
              <w:rFonts w:ascii="黑体" w:hAnsi="黑体"/>
            </w:rPr>
            <w:t xml:space="preserve"> </w:t>
          </w:r>
          <w:r>
            <w:rPr>
              <w:rStyle w:val="21"/>
              <w:rFonts w:hint="eastAsia" w:ascii="黑体" w:hAnsi="黑体"/>
            </w:rPr>
            <w:t>资格审查方法及标准</w:t>
          </w:r>
          <w:r>
            <w:tab/>
          </w:r>
          <w:r>
            <w:fldChar w:fldCharType="begin"/>
          </w:r>
          <w:r>
            <w:instrText xml:space="preserve"> PAGEREF _Toc509323130 \h </w:instrText>
          </w:r>
          <w:r>
            <w:fldChar w:fldCharType="separate"/>
          </w:r>
          <w:r>
            <w:t>25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"_Toc509323131" </w:instrText>
          </w:r>
          <w:r>
            <w:fldChar w:fldCharType="separate"/>
          </w:r>
          <w:r>
            <w:rPr>
              <w:rStyle w:val="21"/>
              <w:rFonts w:hint="eastAsia" w:cs="Times New Roman" w:asciiTheme="majorEastAsia" w:hAnsiTheme="majorEastAsia"/>
              <w:lang w:val="zh-CN"/>
            </w:rPr>
            <w:t>一、</w:t>
          </w:r>
          <w:r>
            <w:rPr>
              <w:rFonts w:asciiTheme="minorHAnsi" w:hAnsiTheme="minorHAnsi"/>
              <w:iCs w:val="0"/>
              <w:color w:val="auto"/>
              <w:kern w:val="2"/>
              <w:sz w:val="21"/>
            </w:rPr>
            <w:tab/>
          </w:r>
          <w:r>
            <w:rPr>
              <w:rStyle w:val="21"/>
              <w:rFonts w:hint="eastAsia" w:cs="Times New Roman" w:asciiTheme="majorEastAsia" w:hAnsiTheme="majorEastAsia"/>
              <w:lang w:val="zh-CN"/>
            </w:rPr>
            <w:t>资格审查方法</w:t>
          </w:r>
          <w:r>
            <w:tab/>
          </w:r>
          <w:r>
            <w:fldChar w:fldCharType="begin"/>
          </w:r>
          <w:r>
            <w:instrText xml:space="preserve"> PAGEREF _Toc509323131 \h </w:instrText>
          </w:r>
          <w:r>
            <w:fldChar w:fldCharType="separate"/>
          </w:r>
          <w:r>
            <w:t>25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"_Toc509323132" </w:instrText>
          </w:r>
          <w:r>
            <w:fldChar w:fldCharType="separate"/>
          </w:r>
          <w:r>
            <w:rPr>
              <w:rStyle w:val="21"/>
              <w:rFonts w:hint="eastAsia" w:cs="Times New Roman" w:asciiTheme="majorEastAsia" w:hAnsiTheme="majorEastAsia"/>
              <w:lang w:val="zh-CN"/>
            </w:rPr>
            <w:t>二、</w:t>
          </w:r>
          <w:r>
            <w:rPr>
              <w:rFonts w:asciiTheme="minorHAnsi" w:hAnsiTheme="minorHAnsi"/>
              <w:iCs w:val="0"/>
              <w:color w:val="auto"/>
              <w:kern w:val="2"/>
              <w:sz w:val="21"/>
            </w:rPr>
            <w:tab/>
          </w:r>
          <w:r>
            <w:rPr>
              <w:rStyle w:val="21"/>
              <w:rFonts w:hint="eastAsia" w:cs="Times New Roman" w:asciiTheme="majorEastAsia" w:hAnsiTheme="majorEastAsia"/>
              <w:lang w:val="zh-CN"/>
            </w:rPr>
            <w:t>资格审查标准</w:t>
          </w:r>
          <w:r>
            <w:tab/>
          </w:r>
          <w:r>
            <w:fldChar w:fldCharType="begin"/>
          </w:r>
          <w:r>
            <w:instrText xml:space="preserve"> PAGEREF _Toc509323132 \h </w:instrText>
          </w:r>
          <w:r>
            <w:fldChar w:fldCharType="separate"/>
          </w:r>
          <w:r>
            <w:t>25</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"_Toc509323133" </w:instrText>
          </w:r>
          <w:r>
            <w:fldChar w:fldCharType="separate"/>
          </w:r>
          <w:r>
            <w:rPr>
              <w:rStyle w:val="21"/>
              <w:rFonts w:hint="eastAsia" w:ascii="黑体" w:hAnsi="黑体"/>
            </w:rPr>
            <w:t>第五章</w:t>
          </w:r>
          <w:r>
            <w:rPr>
              <w:rFonts w:eastAsiaTheme="minorEastAsia"/>
              <w:b w:val="0"/>
              <w:iCs w:val="0"/>
              <w:color w:val="auto"/>
              <w:kern w:val="2"/>
              <w:sz w:val="21"/>
            </w:rPr>
            <w:tab/>
          </w:r>
          <w:r>
            <w:rPr>
              <w:rStyle w:val="21"/>
              <w:rFonts w:hint="eastAsia" w:ascii="黑体" w:hAnsi="黑体"/>
            </w:rPr>
            <w:t>评标方法、程序及标准</w:t>
          </w:r>
          <w:r>
            <w:tab/>
          </w:r>
          <w:r>
            <w:fldChar w:fldCharType="begin"/>
          </w:r>
          <w:r>
            <w:instrText xml:space="preserve"> PAGEREF _Toc509323133 \h </w:instrText>
          </w:r>
          <w:r>
            <w:fldChar w:fldCharType="separate"/>
          </w:r>
          <w:r>
            <w:t>27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"_Toc509323134" </w:instrText>
          </w:r>
          <w:r>
            <w:fldChar w:fldCharType="separate"/>
          </w:r>
          <w:r>
            <w:rPr>
              <w:rStyle w:val="21"/>
              <w:rFonts w:hint="eastAsia" w:cs="Times New Roman" w:asciiTheme="majorEastAsia" w:hAnsiTheme="majorEastAsia"/>
              <w:lang w:val="zh-CN"/>
            </w:rPr>
            <w:t>一、</w:t>
          </w:r>
          <w:r>
            <w:rPr>
              <w:rFonts w:asciiTheme="minorHAnsi" w:hAnsiTheme="minorHAnsi"/>
              <w:iCs w:val="0"/>
              <w:color w:val="auto"/>
              <w:kern w:val="2"/>
              <w:sz w:val="21"/>
            </w:rPr>
            <w:tab/>
          </w:r>
          <w:r>
            <w:rPr>
              <w:rStyle w:val="21"/>
              <w:rFonts w:hint="eastAsia" w:cs="Times New Roman" w:asciiTheme="majorEastAsia" w:hAnsiTheme="majorEastAsia"/>
              <w:lang w:val="zh-CN"/>
            </w:rPr>
            <w:t>评标方法</w:t>
          </w:r>
          <w:r>
            <w:tab/>
          </w:r>
          <w:r>
            <w:fldChar w:fldCharType="begin"/>
          </w:r>
          <w:r>
            <w:instrText xml:space="preserve"> PAGEREF _Toc509323134 \h </w:instrText>
          </w:r>
          <w:r>
            <w:fldChar w:fldCharType="separate"/>
          </w:r>
          <w:r>
            <w:t>27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"_Toc509323135" </w:instrText>
          </w:r>
          <w:r>
            <w:fldChar w:fldCharType="separate"/>
          </w:r>
          <w:r>
            <w:rPr>
              <w:rStyle w:val="21"/>
              <w:rFonts w:hint="eastAsia" w:cs="Times New Roman" w:asciiTheme="majorEastAsia" w:hAnsiTheme="majorEastAsia"/>
              <w:lang w:val="zh-CN"/>
            </w:rPr>
            <w:t>二、</w:t>
          </w:r>
          <w:r>
            <w:rPr>
              <w:rFonts w:asciiTheme="minorHAnsi" w:hAnsiTheme="minorHAnsi"/>
              <w:iCs w:val="0"/>
              <w:color w:val="auto"/>
              <w:kern w:val="2"/>
              <w:sz w:val="21"/>
            </w:rPr>
            <w:tab/>
          </w:r>
          <w:r>
            <w:rPr>
              <w:rStyle w:val="21"/>
              <w:rFonts w:hint="eastAsia" w:cs="Times New Roman" w:asciiTheme="majorEastAsia" w:hAnsiTheme="majorEastAsia"/>
              <w:lang w:val="zh-CN"/>
            </w:rPr>
            <w:t>评标程序及标准</w:t>
          </w:r>
          <w:r>
            <w:tab/>
          </w:r>
          <w:r>
            <w:fldChar w:fldCharType="begin"/>
          </w:r>
          <w:r>
            <w:instrText xml:space="preserve"> PAGEREF _Toc509323135 \h </w:instrText>
          </w:r>
          <w:r>
            <w:fldChar w:fldCharType="separate"/>
          </w:r>
          <w:r>
            <w:t>27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"_Toc509323136" </w:instrText>
          </w:r>
          <w:r>
            <w:fldChar w:fldCharType="separate"/>
          </w:r>
          <w:r>
            <w:rPr>
              <w:rStyle w:val="21"/>
              <w:rFonts w:hint="eastAsia" w:cs="Times New Roman" w:asciiTheme="majorEastAsia" w:hAnsiTheme="majorEastAsia"/>
              <w:lang w:val="zh-CN"/>
            </w:rPr>
            <w:t>三、</w:t>
          </w:r>
          <w:r>
            <w:rPr>
              <w:rFonts w:asciiTheme="minorHAnsi" w:hAnsiTheme="minorHAnsi"/>
              <w:iCs w:val="0"/>
              <w:color w:val="auto"/>
              <w:kern w:val="2"/>
              <w:sz w:val="21"/>
            </w:rPr>
            <w:tab/>
          </w:r>
          <w:r>
            <w:rPr>
              <w:rStyle w:val="21"/>
              <w:rFonts w:hint="eastAsia" w:cs="Times New Roman" w:asciiTheme="majorEastAsia" w:hAnsiTheme="majorEastAsia"/>
              <w:lang w:val="zh-CN"/>
            </w:rPr>
            <w:t>评审因素及评分标准</w:t>
          </w:r>
          <w:r>
            <w:tab/>
          </w:r>
          <w:r>
            <w:fldChar w:fldCharType="begin"/>
          </w:r>
          <w:r>
            <w:instrText xml:space="preserve"> PAGEREF _Toc509323136 \h </w:instrText>
          </w:r>
          <w:r>
            <w:fldChar w:fldCharType="separate"/>
          </w:r>
          <w:r>
            <w:t>31</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"_Toc509323137" </w:instrText>
          </w:r>
          <w:r>
            <w:fldChar w:fldCharType="separate"/>
          </w:r>
          <w:r>
            <w:rPr>
              <w:rStyle w:val="21"/>
              <w:rFonts w:hint="eastAsia" w:ascii="黑体" w:hAnsi="黑体"/>
            </w:rPr>
            <w:t>第六章</w:t>
          </w:r>
          <w:r>
            <w:rPr>
              <w:rFonts w:eastAsiaTheme="minorEastAsia"/>
              <w:b w:val="0"/>
              <w:iCs w:val="0"/>
              <w:color w:val="auto"/>
              <w:kern w:val="2"/>
              <w:sz w:val="21"/>
            </w:rPr>
            <w:tab/>
          </w:r>
          <w:r>
            <w:rPr>
              <w:rStyle w:val="21"/>
              <w:rFonts w:hint="eastAsia" w:ascii="黑体" w:hAnsi="黑体"/>
            </w:rPr>
            <w:t>合同书格式（参考）</w:t>
          </w:r>
          <w:r>
            <w:tab/>
          </w:r>
          <w:r>
            <w:fldChar w:fldCharType="begin"/>
          </w:r>
          <w:r>
            <w:instrText xml:space="preserve"> PAGEREF _Toc509323137 \h </w:instrText>
          </w:r>
          <w:r>
            <w:fldChar w:fldCharType="separate"/>
          </w:r>
          <w:r>
            <w:t>33</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"_Toc509323138" </w:instrText>
          </w:r>
          <w:r>
            <w:fldChar w:fldCharType="separate"/>
          </w:r>
          <w:r>
            <w:rPr>
              <w:rStyle w:val="21"/>
              <w:rFonts w:hint="eastAsia" w:ascii="黑体" w:hAnsi="黑体"/>
            </w:rPr>
            <w:t>第七章</w:t>
          </w:r>
          <w:r>
            <w:rPr>
              <w:rFonts w:eastAsiaTheme="minorEastAsia"/>
              <w:b w:val="0"/>
              <w:iCs w:val="0"/>
              <w:color w:val="auto"/>
              <w:kern w:val="2"/>
              <w:sz w:val="21"/>
            </w:rPr>
            <w:tab/>
          </w:r>
          <w:r>
            <w:rPr>
              <w:rStyle w:val="21"/>
              <w:rFonts w:hint="eastAsia" w:ascii="黑体" w:hAnsi="黑体"/>
            </w:rPr>
            <w:t>投标文件格式（参考）</w:t>
          </w:r>
          <w:r>
            <w:tab/>
          </w:r>
          <w:r>
            <w:fldChar w:fldCharType="begin"/>
          </w:r>
          <w:r>
            <w:instrText xml:space="preserve"> PAGEREF _Toc509323138 \h </w:instrText>
          </w:r>
          <w:r>
            <w:fldChar w:fldCharType="separate"/>
          </w:r>
          <w:r>
            <w:t>35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"_Toc509323139" </w:instrText>
          </w:r>
          <w:r>
            <w:fldChar w:fldCharType="separate"/>
          </w:r>
          <w:r>
            <w:rPr>
              <w:rStyle w:val="21"/>
              <w:rFonts w:hint="eastAsia" w:cs="Times New Roman" w:asciiTheme="majorEastAsia" w:hAnsiTheme="majorEastAsia"/>
              <w:lang w:val="zh-CN"/>
            </w:rPr>
            <w:t>第一部分</w:t>
          </w:r>
          <w:r>
            <w:rPr>
              <w:rStyle w:val="21"/>
              <w:rFonts w:cs="Times New Roman" w:asciiTheme="majorEastAsia" w:hAnsiTheme="majorEastAsia"/>
              <w:lang w:val="zh-CN"/>
            </w:rPr>
            <w:t xml:space="preserve"> </w:t>
          </w:r>
          <w:r>
            <w:rPr>
              <w:rStyle w:val="21"/>
              <w:rFonts w:hint="eastAsia" w:cs="Times New Roman" w:asciiTheme="majorEastAsia" w:hAnsiTheme="majorEastAsia"/>
              <w:lang w:val="zh-CN"/>
            </w:rPr>
            <w:t>资格证明文件</w:t>
          </w:r>
          <w:r>
            <w:tab/>
          </w:r>
          <w:r>
            <w:fldChar w:fldCharType="begin"/>
          </w:r>
          <w:r>
            <w:instrText xml:space="preserve"> PAGEREF _Toc509323139 \h </w:instrText>
          </w:r>
          <w:r>
            <w:fldChar w:fldCharType="separate"/>
          </w:r>
          <w:r>
            <w:t>35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"_Toc509323140" </w:instrText>
          </w:r>
          <w:r>
            <w:fldChar w:fldCharType="separate"/>
          </w:r>
          <w:r>
            <w:rPr>
              <w:rStyle w:val="21"/>
              <w:rFonts w:hint="eastAsia" w:cs="Times New Roman" w:asciiTheme="majorEastAsia" w:hAnsiTheme="majorEastAsia"/>
              <w:lang w:val="zh-CN"/>
            </w:rPr>
            <w:t>第二部分</w:t>
          </w:r>
          <w:r>
            <w:rPr>
              <w:rStyle w:val="21"/>
              <w:rFonts w:cs="Times New Roman" w:asciiTheme="majorEastAsia" w:hAnsiTheme="majorEastAsia"/>
              <w:lang w:val="zh-CN"/>
            </w:rPr>
            <w:t xml:space="preserve"> </w:t>
          </w:r>
          <w:r>
            <w:rPr>
              <w:rStyle w:val="21"/>
              <w:rFonts w:hint="eastAsia" w:cs="Times New Roman" w:asciiTheme="majorEastAsia" w:hAnsiTheme="majorEastAsia"/>
              <w:lang w:val="zh-CN"/>
            </w:rPr>
            <w:t>商务文件</w:t>
          </w:r>
          <w:r>
            <w:tab/>
          </w:r>
          <w:r>
            <w:fldChar w:fldCharType="begin"/>
          </w:r>
          <w:r>
            <w:instrText xml:space="preserve"> PAGEREF _Toc509323140 \h </w:instrText>
          </w:r>
          <w:r>
            <w:fldChar w:fldCharType="separate"/>
          </w:r>
          <w:r>
            <w:t>37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"_Toc509323141" </w:instrText>
          </w:r>
          <w:r>
            <w:fldChar w:fldCharType="separate"/>
          </w:r>
          <w:r>
            <w:rPr>
              <w:rStyle w:val="21"/>
              <w:rFonts w:hint="eastAsia" w:cs="Times New Roman" w:asciiTheme="majorEastAsia" w:hAnsiTheme="majorEastAsia"/>
              <w:lang w:val="zh-CN"/>
            </w:rPr>
            <w:t>第三部分</w:t>
          </w:r>
          <w:r>
            <w:rPr>
              <w:rStyle w:val="21"/>
              <w:rFonts w:cs="Times New Roman" w:asciiTheme="majorEastAsia" w:hAnsiTheme="majorEastAsia"/>
              <w:lang w:val="zh-CN"/>
            </w:rPr>
            <w:t xml:space="preserve"> </w:t>
          </w:r>
          <w:r>
            <w:rPr>
              <w:rStyle w:val="21"/>
              <w:rFonts w:hint="eastAsia" w:cs="Times New Roman" w:asciiTheme="majorEastAsia" w:hAnsiTheme="majorEastAsia"/>
              <w:lang w:val="zh-CN"/>
            </w:rPr>
            <w:t>技术、服务文件</w:t>
          </w:r>
          <w:r>
            <w:tab/>
          </w:r>
          <w:r>
            <w:fldChar w:fldCharType="begin"/>
          </w:r>
          <w:r>
            <w:instrText xml:space="preserve"> PAGEREF _Toc509323141 \h </w:instrText>
          </w:r>
          <w:r>
            <w:fldChar w:fldCharType="separate"/>
          </w:r>
          <w:r>
            <w:t>39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"_Toc509323142" </w:instrText>
          </w:r>
          <w:r>
            <w:fldChar w:fldCharType="separate"/>
          </w:r>
          <w:r>
            <w:rPr>
              <w:rStyle w:val="21"/>
              <w:rFonts w:hint="eastAsia" w:eastAsia="宋体"/>
            </w:rPr>
            <w:t>附件一、</w:t>
          </w:r>
          <w:r>
            <w:rPr>
              <w:rFonts w:asciiTheme="minorHAnsi" w:hAnsiTheme="minorHAnsi"/>
              <w:iCs w:val="0"/>
              <w:color w:val="auto"/>
              <w:kern w:val="2"/>
              <w:sz w:val="21"/>
            </w:rPr>
            <w:tab/>
          </w:r>
          <w:r>
            <w:rPr>
              <w:rStyle w:val="21"/>
              <w:rFonts w:hint="eastAsia" w:eastAsia="宋体"/>
            </w:rPr>
            <w:t>投标书</w:t>
          </w:r>
          <w:r>
            <w:tab/>
          </w:r>
          <w:r>
            <w:fldChar w:fldCharType="begin"/>
          </w:r>
          <w:r>
            <w:instrText xml:space="preserve"> PAGEREF _Toc509323142 \h </w:instrText>
          </w:r>
          <w:r>
            <w:fldChar w:fldCharType="separate"/>
          </w:r>
          <w:r>
            <w:t>41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"_Toc509323143" </w:instrText>
          </w:r>
          <w:r>
            <w:fldChar w:fldCharType="separate"/>
          </w:r>
          <w:r>
            <w:rPr>
              <w:rStyle w:val="21"/>
              <w:rFonts w:hint="eastAsia" w:eastAsia="宋体"/>
            </w:rPr>
            <w:t>附件二、</w:t>
          </w:r>
          <w:r>
            <w:rPr>
              <w:rFonts w:asciiTheme="minorHAnsi" w:hAnsiTheme="minorHAnsi"/>
              <w:iCs w:val="0"/>
              <w:color w:val="auto"/>
              <w:kern w:val="2"/>
              <w:sz w:val="21"/>
            </w:rPr>
            <w:tab/>
          </w:r>
          <w:r>
            <w:rPr>
              <w:rStyle w:val="21"/>
              <w:rFonts w:hint="eastAsia" w:eastAsia="宋体"/>
            </w:rPr>
            <w:t>制造商中小企业声明函</w:t>
          </w:r>
          <w:r>
            <w:tab/>
          </w:r>
          <w:r>
            <w:fldChar w:fldCharType="begin"/>
          </w:r>
          <w:r>
            <w:instrText xml:space="preserve"> PAGEREF _Toc509323143 \h </w:instrText>
          </w:r>
          <w:r>
            <w:fldChar w:fldCharType="separate"/>
          </w:r>
          <w:r>
            <w:t>42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"_Toc509323144" </w:instrText>
          </w:r>
          <w:r>
            <w:fldChar w:fldCharType="separate"/>
          </w:r>
          <w:r>
            <w:rPr>
              <w:rStyle w:val="21"/>
              <w:rFonts w:hint="eastAsia" w:eastAsia="宋体"/>
            </w:rPr>
            <w:t>附件三、</w:t>
          </w:r>
          <w:r>
            <w:rPr>
              <w:rFonts w:asciiTheme="minorHAnsi" w:hAnsiTheme="minorHAnsi"/>
              <w:iCs w:val="0"/>
              <w:color w:val="auto"/>
              <w:kern w:val="2"/>
              <w:sz w:val="21"/>
            </w:rPr>
            <w:tab/>
          </w:r>
          <w:r>
            <w:rPr>
              <w:rStyle w:val="21"/>
              <w:rFonts w:hint="eastAsia" w:eastAsia="宋体"/>
            </w:rPr>
            <w:t>中小企业声明函</w:t>
          </w:r>
          <w:r>
            <w:tab/>
          </w:r>
          <w:r>
            <w:fldChar w:fldCharType="begin"/>
          </w:r>
          <w:r>
            <w:instrText xml:space="preserve"> PAGEREF _Toc509323144 \h </w:instrText>
          </w:r>
          <w:r>
            <w:fldChar w:fldCharType="separate"/>
          </w:r>
          <w:r>
            <w:t>43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"_Toc509323145" </w:instrText>
          </w:r>
          <w:r>
            <w:fldChar w:fldCharType="separate"/>
          </w:r>
          <w:r>
            <w:rPr>
              <w:rStyle w:val="21"/>
              <w:rFonts w:hint="eastAsia" w:eastAsia="宋体"/>
            </w:rPr>
            <w:t>附件四、</w:t>
          </w:r>
          <w:r>
            <w:rPr>
              <w:rFonts w:asciiTheme="minorHAnsi" w:hAnsiTheme="minorHAnsi"/>
              <w:iCs w:val="0"/>
              <w:color w:val="auto"/>
              <w:kern w:val="2"/>
              <w:sz w:val="21"/>
            </w:rPr>
            <w:tab/>
          </w:r>
          <w:r>
            <w:rPr>
              <w:rStyle w:val="21"/>
              <w:rFonts w:hint="eastAsia" w:eastAsia="宋体"/>
            </w:rPr>
            <w:t>残疾人福利性单位声明函</w:t>
          </w:r>
          <w:r>
            <w:tab/>
          </w:r>
          <w:r>
            <w:fldChar w:fldCharType="begin"/>
          </w:r>
          <w:r>
            <w:instrText xml:space="preserve"> PAGEREF _Toc509323145 \h </w:instrText>
          </w:r>
          <w:r>
            <w:fldChar w:fldCharType="separate"/>
          </w:r>
          <w:r>
            <w:t>46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"_Toc509323146" </w:instrText>
          </w:r>
          <w:r>
            <w:fldChar w:fldCharType="separate"/>
          </w:r>
          <w:r>
            <w:rPr>
              <w:rStyle w:val="21"/>
              <w:rFonts w:hint="eastAsia" w:eastAsia="宋体"/>
            </w:rPr>
            <w:t>附件五、</w:t>
          </w:r>
          <w:r>
            <w:rPr>
              <w:rFonts w:asciiTheme="minorHAnsi" w:hAnsiTheme="minorHAnsi"/>
              <w:iCs w:val="0"/>
              <w:color w:val="auto"/>
              <w:kern w:val="2"/>
              <w:sz w:val="21"/>
            </w:rPr>
            <w:tab/>
          </w:r>
          <w:r>
            <w:rPr>
              <w:rStyle w:val="21"/>
              <w:rFonts w:hint="eastAsia" w:eastAsia="宋体"/>
            </w:rPr>
            <w:t>开标一览表</w:t>
          </w:r>
          <w:r>
            <w:tab/>
          </w:r>
          <w:r>
            <w:fldChar w:fldCharType="begin"/>
          </w:r>
          <w:r>
            <w:instrText xml:space="preserve"> PAGEREF _Toc509323146 \h </w:instrText>
          </w:r>
          <w:r>
            <w:fldChar w:fldCharType="separate"/>
          </w:r>
          <w:r>
            <w:t>49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"_Toc509323147" </w:instrText>
          </w:r>
          <w:r>
            <w:fldChar w:fldCharType="separate"/>
          </w:r>
          <w:r>
            <w:rPr>
              <w:rStyle w:val="21"/>
              <w:rFonts w:hint="eastAsia" w:eastAsia="宋体"/>
            </w:rPr>
            <w:t>附件六、</w:t>
          </w:r>
          <w:r>
            <w:rPr>
              <w:rFonts w:asciiTheme="minorHAnsi" w:hAnsiTheme="minorHAnsi"/>
              <w:iCs w:val="0"/>
              <w:color w:val="auto"/>
              <w:kern w:val="2"/>
              <w:sz w:val="21"/>
            </w:rPr>
            <w:tab/>
          </w:r>
          <w:r>
            <w:rPr>
              <w:rStyle w:val="21"/>
              <w:rFonts w:hint="eastAsia" w:eastAsia="宋体"/>
            </w:rPr>
            <w:t>投标报价明细表</w:t>
          </w:r>
          <w:r>
            <w:tab/>
          </w:r>
          <w:r>
            <w:fldChar w:fldCharType="begin"/>
          </w:r>
          <w:r>
            <w:instrText xml:space="preserve"> PAGEREF _Toc509323147 \h </w:instrText>
          </w:r>
          <w:r>
            <w:fldChar w:fldCharType="separate"/>
          </w:r>
          <w:r>
            <w:t>50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"_Toc509323148" </w:instrText>
          </w:r>
          <w:r>
            <w:fldChar w:fldCharType="separate"/>
          </w:r>
          <w:r>
            <w:rPr>
              <w:rStyle w:val="21"/>
              <w:rFonts w:hint="eastAsia" w:eastAsia="宋体"/>
            </w:rPr>
            <w:t>附件七、</w:t>
          </w:r>
          <w:r>
            <w:rPr>
              <w:rFonts w:asciiTheme="minorHAnsi" w:hAnsiTheme="minorHAnsi"/>
              <w:iCs w:val="0"/>
              <w:color w:val="auto"/>
              <w:kern w:val="2"/>
              <w:sz w:val="21"/>
            </w:rPr>
            <w:tab/>
          </w:r>
          <w:r>
            <w:rPr>
              <w:rStyle w:val="21"/>
              <w:rFonts w:hint="eastAsia" w:eastAsia="宋体"/>
            </w:rPr>
            <w:t>小型和微型企业、监狱企业、残疾人福利性单位货物汇总表</w:t>
          </w:r>
          <w:r>
            <w:tab/>
          </w:r>
          <w:r>
            <w:fldChar w:fldCharType="begin"/>
          </w:r>
          <w:r>
            <w:instrText xml:space="preserve"> PAGEREF _Toc509323148 \h </w:instrText>
          </w:r>
          <w:r>
            <w:fldChar w:fldCharType="separate"/>
          </w:r>
          <w:r>
            <w:t>51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"_Toc509323149" </w:instrText>
          </w:r>
          <w:r>
            <w:fldChar w:fldCharType="separate"/>
          </w:r>
          <w:r>
            <w:rPr>
              <w:rStyle w:val="21"/>
              <w:rFonts w:hint="eastAsia" w:eastAsia="宋体"/>
            </w:rPr>
            <w:t>附件八、</w:t>
          </w:r>
          <w:r>
            <w:rPr>
              <w:rFonts w:asciiTheme="minorHAnsi" w:hAnsiTheme="minorHAnsi"/>
              <w:iCs w:val="0"/>
              <w:color w:val="auto"/>
              <w:kern w:val="2"/>
              <w:sz w:val="21"/>
            </w:rPr>
            <w:tab/>
          </w:r>
          <w:r>
            <w:rPr>
              <w:rStyle w:val="21"/>
              <w:rFonts w:hint="eastAsia" w:eastAsia="宋体"/>
            </w:rPr>
            <w:t>投标货物（工程或服务）清单</w:t>
          </w:r>
          <w:r>
            <w:tab/>
          </w:r>
          <w:r>
            <w:fldChar w:fldCharType="begin"/>
          </w:r>
          <w:r>
            <w:instrText xml:space="preserve"> PAGEREF _Toc509323149 \h </w:instrText>
          </w:r>
          <w:r>
            <w:fldChar w:fldCharType="separate"/>
          </w:r>
          <w:r>
            <w:t>52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"_Toc509323150" </w:instrText>
          </w:r>
          <w:r>
            <w:fldChar w:fldCharType="separate"/>
          </w:r>
          <w:r>
            <w:rPr>
              <w:rStyle w:val="21"/>
              <w:rFonts w:hint="eastAsia" w:eastAsia="宋体"/>
            </w:rPr>
            <w:t>附件九、</w:t>
          </w:r>
          <w:r>
            <w:rPr>
              <w:rFonts w:asciiTheme="minorHAnsi" w:hAnsiTheme="minorHAnsi"/>
              <w:iCs w:val="0"/>
              <w:color w:val="auto"/>
              <w:kern w:val="2"/>
              <w:sz w:val="21"/>
            </w:rPr>
            <w:tab/>
          </w:r>
          <w:r>
            <w:rPr>
              <w:rStyle w:val="21"/>
              <w:rFonts w:hint="eastAsia" w:eastAsia="宋体"/>
            </w:rPr>
            <w:t>交纳投标保证金的银行凭证</w:t>
          </w:r>
          <w:r>
            <w:tab/>
          </w:r>
          <w:r>
            <w:fldChar w:fldCharType="begin"/>
          </w:r>
          <w:r>
            <w:instrText xml:space="preserve"> PAGEREF _Toc509323150 \h </w:instrText>
          </w:r>
          <w:r>
            <w:fldChar w:fldCharType="separate"/>
          </w:r>
          <w:r>
            <w:t>53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"_Toc509323151" </w:instrText>
          </w:r>
          <w:r>
            <w:fldChar w:fldCharType="separate"/>
          </w:r>
          <w:r>
            <w:rPr>
              <w:rStyle w:val="21"/>
              <w:rFonts w:hint="eastAsia" w:eastAsia="宋体"/>
            </w:rPr>
            <w:t>附件十、</w:t>
          </w:r>
          <w:r>
            <w:rPr>
              <w:rFonts w:asciiTheme="minorHAnsi" w:hAnsiTheme="minorHAnsi"/>
              <w:iCs w:val="0"/>
              <w:color w:val="auto"/>
              <w:kern w:val="2"/>
              <w:sz w:val="21"/>
            </w:rPr>
            <w:tab/>
          </w:r>
          <w:r>
            <w:rPr>
              <w:rStyle w:val="21"/>
              <w:rFonts w:hint="eastAsia" w:eastAsia="宋体"/>
            </w:rPr>
            <w:t>法定代表人授权书</w:t>
          </w:r>
          <w:r>
            <w:tab/>
          </w:r>
          <w:r>
            <w:fldChar w:fldCharType="begin"/>
          </w:r>
          <w:r>
            <w:instrText xml:space="preserve"> PAGEREF _Toc509323151 \h </w:instrText>
          </w:r>
          <w:r>
            <w:fldChar w:fldCharType="separate"/>
          </w:r>
          <w:r>
            <w:t>54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"_Toc509323152" </w:instrText>
          </w:r>
          <w:r>
            <w:fldChar w:fldCharType="separate"/>
          </w:r>
          <w:r>
            <w:rPr>
              <w:rStyle w:val="21"/>
              <w:rFonts w:hint="eastAsia" w:eastAsia="宋体"/>
            </w:rPr>
            <w:t>附件十一、</w:t>
          </w:r>
          <w:r>
            <w:rPr>
              <w:rFonts w:asciiTheme="minorHAnsi" w:hAnsiTheme="minorHAnsi"/>
              <w:iCs w:val="0"/>
              <w:color w:val="auto"/>
              <w:kern w:val="2"/>
              <w:sz w:val="21"/>
            </w:rPr>
            <w:tab/>
          </w:r>
          <w:r>
            <w:rPr>
              <w:rStyle w:val="21"/>
              <w:rFonts w:hint="eastAsia" w:eastAsia="宋体"/>
            </w:rPr>
            <w:t>投标人的资格声明</w:t>
          </w:r>
          <w:r>
            <w:tab/>
          </w:r>
          <w:r>
            <w:fldChar w:fldCharType="begin"/>
          </w:r>
          <w:r>
            <w:instrText xml:space="preserve"> PAGEREF _Toc509323152 \h </w:instrText>
          </w:r>
          <w:r>
            <w:fldChar w:fldCharType="separate"/>
          </w:r>
          <w:r>
            <w:t>55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"_Toc509323153" </w:instrText>
          </w:r>
          <w:r>
            <w:fldChar w:fldCharType="separate"/>
          </w:r>
          <w:r>
            <w:rPr>
              <w:rStyle w:val="21"/>
              <w:rFonts w:hint="eastAsia" w:eastAsia="宋体"/>
            </w:rPr>
            <w:t>附件十二、</w:t>
          </w:r>
          <w:r>
            <w:rPr>
              <w:rFonts w:asciiTheme="minorHAnsi" w:hAnsiTheme="minorHAnsi"/>
              <w:iCs w:val="0"/>
              <w:color w:val="auto"/>
              <w:kern w:val="2"/>
              <w:sz w:val="21"/>
            </w:rPr>
            <w:tab/>
          </w:r>
          <w:r>
            <w:rPr>
              <w:rStyle w:val="21"/>
              <w:rFonts w:hint="eastAsia" w:eastAsia="宋体"/>
            </w:rPr>
            <w:t>项目负责人、技术负责人简历表</w:t>
          </w:r>
          <w:r>
            <w:tab/>
          </w:r>
          <w:r>
            <w:fldChar w:fldCharType="begin"/>
          </w:r>
          <w:r>
            <w:instrText xml:space="preserve"> PAGEREF _Toc509323153 \h </w:instrText>
          </w:r>
          <w:r>
            <w:fldChar w:fldCharType="separate"/>
          </w:r>
          <w:r>
            <w:t>56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"_Toc509323154" </w:instrText>
          </w:r>
          <w:r>
            <w:fldChar w:fldCharType="separate"/>
          </w:r>
          <w:r>
            <w:rPr>
              <w:rStyle w:val="21"/>
              <w:rFonts w:hint="eastAsia" w:eastAsia="宋体"/>
            </w:rPr>
            <w:t>附件十三、</w:t>
          </w:r>
          <w:r>
            <w:rPr>
              <w:rFonts w:asciiTheme="minorHAnsi" w:hAnsiTheme="minorHAnsi"/>
              <w:iCs w:val="0"/>
              <w:color w:val="auto"/>
              <w:kern w:val="2"/>
              <w:sz w:val="21"/>
            </w:rPr>
            <w:tab/>
          </w:r>
          <w:r>
            <w:rPr>
              <w:rStyle w:val="21"/>
              <w:rFonts w:hint="eastAsia" w:eastAsia="宋体"/>
            </w:rPr>
            <w:t>项目班子成员情况表</w:t>
          </w:r>
          <w:r>
            <w:tab/>
          </w:r>
          <w:r>
            <w:fldChar w:fldCharType="begin"/>
          </w:r>
          <w:r>
            <w:instrText xml:space="preserve"> PAGEREF _Toc509323154 \h </w:instrText>
          </w:r>
          <w:r>
            <w:fldChar w:fldCharType="separate"/>
          </w:r>
          <w:r>
            <w:t>57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"_Toc509323155" </w:instrText>
          </w:r>
          <w:r>
            <w:fldChar w:fldCharType="separate"/>
          </w:r>
          <w:r>
            <w:rPr>
              <w:rStyle w:val="21"/>
              <w:rFonts w:hint="eastAsia" w:eastAsia="宋体"/>
            </w:rPr>
            <w:t>附件十四、</w:t>
          </w:r>
          <w:r>
            <w:rPr>
              <w:rFonts w:asciiTheme="minorHAnsi" w:hAnsiTheme="minorHAnsi"/>
              <w:iCs w:val="0"/>
              <w:color w:val="auto"/>
              <w:kern w:val="2"/>
              <w:sz w:val="21"/>
            </w:rPr>
            <w:tab/>
          </w:r>
          <w:r>
            <w:rPr>
              <w:rStyle w:val="21"/>
              <w:rFonts w:hint="eastAsia" w:eastAsia="宋体"/>
            </w:rPr>
            <w:t>投标人类似项目业绩表</w:t>
          </w:r>
          <w:r>
            <w:tab/>
          </w:r>
          <w:r>
            <w:fldChar w:fldCharType="begin"/>
          </w:r>
          <w:r>
            <w:instrText xml:space="preserve"> PAGEREF _Toc509323155 \h </w:instrText>
          </w:r>
          <w:r>
            <w:fldChar w:fldCharType="separate"/>
          </w:r>
          <w:r>
            <w:t>58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"_Toc509323156" </w:instrText>
          </w:r>
          <w:r>
            <w:fldChar w:fldCharType="separate"/>
          </w:r>
          <w:r>
            <w:rPr>
              <w:rStyle w:val="21"/>
              <w:rFonts w:hint="eastAsia" w:eastAsia="宋体"/>
            </w:rPr>
            <w:t>附件十五、</w:t>
          </w:r>
          <w:r>
            <w:rPr>
              <w:rFonts w:asciiTheme="minorHAnsi" w:hAnsiTheme="minorHAnsi"/>
              <w:iCs w:val="0"/>
              <w:color w:val="auto"/>
              <w:kern w:val="2"/>
              <w:sz w:val="21"/>
            </w:rPr>
            <w:tab/>
          </w:r>
          <w:r>
            <w:rPr>
              <w:rStyle w:val="21"/>
              <w:rFonts w:hint="eastAsia" w:eastAsia="宋体"/>
            </w:rPr>
            <w:t>符合性审查对照表</w:t>
          </w:r>
          <w:r>
            <w:tab/>
          </w:r>
          <w:r>
            <w:fldChar w:fldCharType="begin"/>
          </w:r>
          <w:r>
            <w:instrText xml:space="preserve"> PAGEREF _Toc509323156 \h </w:instrText>
          </w:r>
          <w:r>
            <w:fldChar w:fldCharType="separate"/>
          </w:r>
          <w:r>
            <w:t>59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"_Toc509323157" </w:instrText>
          </w:r>
          <w:r>
            <w:fldChar w:fldCharType="separate"/>
          </w:r>
          <w:r>
            <w:rPr>
              <w:rStyle w:val="21"/>
              <w:rFonts w:hint="eastAsia" w:eastAsia="宋体"/>
            </w:rPr>
            <w:t>附件十六：商务要求响应、偏离说明表</w:t>
          </w:r>
          <w:r>
            <w:tab/>
          </w:r>
          <w:r>
            <w:fldChar w:fldCharType="begin"/>
          </w:r>
          <w:r>
            <w:instrText xml:space="preserve"> PAGEREF _Toc509323157 \h </w:instrText>
          </w:r>
          <w:r>
            <w:fldChar w:fldCharType="separate"/>
          </w:r>
          <w:r>
            <w:t>60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"_Toc509323158" </w:instrText>
          </w:r>
          <w:r>
            <w:fldChar w:fldCharType="separate"/>
          </w:r>
          <w:r>
            <w:rPr>
              <w:rStyle w:val="21"/>
              <w:rFonts w:hint="eastAsia" w:eastAsia="宋体"/>
            </w:rPr>
            <w:t>附件十七：商务要求“★”号条款响应、偏离说明表</w:t>
          </w:r>
          <w:r>
            <w:tab/>
          </w:r>
          <w:r>
            <w:fldChar w:fldCharType="begin"/>
          </w:r>
          <w:r>
            <w:instrText xml:space="preserve"> PAGEREF _Toc509323158 \h </w:instrText>
          </w:r>
          <w:r>
            <w:fldChar w:fldCharType="separate"/>
          </w:r>
          <w:r>
            <w:t>61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"_Toc509323159" </w:instrText>
          </w:r>
          <w:r>
            <w:fldChar w:fldCharType="separate"/>
          </w:r>
          <w:r>
            <w:rPr>
              <w:rStyle w:val="21"/>
              <w:rFonts w:hint="eastAsia" w:eastAsia="宋体"/>
            </w:rPr>
            <w:t>附件十八：商务评议对照表</w:t>
          </w:r>
          <w:r>
            <w:tab/>
          </w:r>
          <w:r>
            <w:fldChar w:fldCharType="begin"/>
          </w:r>
          <w:r>
            <w:instrText xml:space="preserve"> PAGEREF _Toc509323159 \h </w:instrText>
          </w:r>
          <w:r>
            <w:fldChar w:fldCharType="separate"/>
          </w:r>
          <w:r>
            <w:t>62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"_Toc509323160" </w:instrText>
          </w:r>
          <w:r>
            <w:fldChar w:fldCharType="separate"/>
          </w:r>
          <w:r>
            <w:rPr>
              <w:rStyle w:val="21"/>
              <w:rFonts w:hint="eastAsia" w:eastAsia="宋体"/>
            </w:rPr>
            <w:t>附件十九：技术、服务要求响应、偏离说明表</w:t>
          </w:r>
          <w:r>
            <w:tab/>
          </w:r>
          <w:r>
            <w:fldChar w:fldCharType="begin"/>
          </w:r>
          <w:r>
            <w:instrText xml:space="preserve"> PAGEREF _Toc509323160 \h </w:instrText>
          </w:r>
          <w:r>
            <w:fldChar w:fldCharType="separate"/>
          </w:r>
          <w:r>
            <w:t>63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"_Toc509323161" </w:instrText>
          </w:r>
          <w:r>
            <w:fldChar w:fldCharType="separate"/>
          </w:r>
          <w:r>
            <w:rPr>
              <w:rStyle w:val="21"/>
              <w:rFonts w:hint="eastAsia" w:eastAsia="宋体"/>
            </w:rPr>
            <w:t>附件二十：技术、服务要求“★”号条款响应、偏离说明表</w:t>
          </w:r>
          <w:r>
            <w:tab/>
          </w:r>
          <w:r>
            <w:fldChar w:fldCharType="begin"/>
          </w:r>
          <w:r>
            <w:instrText xml:space="preserve"> PAGEREF _Toc509323161 \h </w:instrText>
          </w:r>
          <w:r>
            <w:fldChar w:fldCharType="separate"/>
          </w:r>
          <w:r>
            <w:t>64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"_Toc509323162" </w:instrText>
          </w:r>
          <w:r>
            <w:fldChar w:fldCharType="separate"/>
          </w:r>
          <w:r>
            <w:rPr>
              <w:rStyle w:val="21"/>
              <w:rFonts w:hint="eastAsia" w:eastAsia="宋体"/>
            </w:rPr>
            <w:t>附件二十一：技术、服务评议对照表</w:t>
          </w:r>
          <w:r>
            <w:tab/>
          </w:r>
          <w:r>
            <w:fldChar w:fldCharType="begin"/>
          </w:r>
          <w:r>
            <w:instrText xml:space="preserve"> PAGEREF _Toc509323162 \h </w:instrText>
          </w:r>
          <w:r>
            <w:fldChar w:fldCharType="separate"/>
          </w:r>
          <w:r>
            <w:t>65</w:t>
          </w:r>
          <w:r>
            <w:fldChar w:fldCharType="end"/>
          </w:r>
          <w:r>
            <w:fldChar w:fldCharType="end"/>
          </w:r>
        </w:p>
        <w:p>
          <w:r>
            <w:rPr>
              <w:rFonts w:eastAsia="黑体"/>
              <w:b/>
              <w:iCs/>
              <w:color w:val="000000" w:themeColor="text1"/>
              <w:kern w:val="0"/>
              <w:sz w:val="28"/>
            </w:rPr>
            <w:fldChar w:fldCharType="end"/>
          </w:r>
        </w:p>
      </w:sdtContent>
    </w:sdt>
    <w:sdt>
      <w:sdtPr>
        <w:rPr>
          <w:color w:val="auto"/>
          <w:lang w:val="zh-CN"/>
        </w:rPr>
        <w:id w:val="1482579200"/>
      </w:sdtPr>
      <w:sdtEndPr>
        <w:rPr>
          <w:b w:val="0"/>
          <w:bCs/>
          <w:color w:val="auto"/>
          <w:lang w:val="zh-CN"/>
        </w:rPr>
      </w:sdtEndPr>
      <w:sdtContent>
        <w:p>
          <w:pPr>
            <w:pStyle w:val="12"/>
            <w:tabs>
              <w:tab w:val="left" w:pos="1260"/>
              <w:tab w:val="right" w:leader="dot" w:pos="9514"/>
            </w:tabs>
            <w:rPr>
              <w:color w:val="auto"/>
            </w:rPr>
          </w:pPr>
          <w:r>
            <w:rPr>
              <w:b w:val="0"/>
              <w:bCs/>
              <w:color w:val="auto"/>
              <w:lang w:val="zh-CN"/>
            </w:rPr>
            <w:tab/>
          </w:r>
        </w:p>
      </w:sdtContent>
    </w:sdt>
    <w:p>
      <w:r>
        <w:br w:type="page"/>
      </w:r>
    </w:p>
    <w:p>
      <w:pPr>
        <w:pStyle w:val="2"/>
        <w:numPr>
          <w:ilvl w:val="0"/>
          <w:numId w:val="1"/>
        </w:numPr>
        <w:spacing w:before="240" w:after="120"/>
        <w:ind w:left="883" w:hanging="880" w:hangingChars="200"/>
        <w:jc w:val="center"/>
        <w:rPr>
          <w:rFonts w:ascii="黑体" w:hAnsi="黑体" w:eastAsia="黑体"/>
        </w:rPr>
      </w:pPr>
      <w:bookmarkStart w:id="0" w:name="_Toc495861517"/>
      <w:bookmarkStart w:id="1" w:name="_Toc509323114"/>
      <w:r>
        <w:rPr>
          <w:rFonts w:hint="eastAsia" w:ascii="黑体" w:hAnsi="黑体" w:eastAsia="黑体"/>
        </w:rPr>
        <w:t>投标邀请书</w:t>
      </w:r>
      <w:bookmarkEnd w:id="0"/>
      <w:bookmarkEnd w:id="1"/>
    </w:p>
    <w:p>
      <w:pPr>
        <w:spacing w:line="360" w:lineRule="auto"/>
        <w:ind w:firstLine="480" w:firstLineChars="200"/>
        <w:rPr>
          <w:rFonts w:ascii="宋体" w:hAnsi="宋体" w:eastAsia="宋体" w:cs="Times New Roman"/>
          <w:sz w:val="24"/>
          <w:szCs w:val="24"/>
        </w:rPr>
      </w:pPr>
      <w:r>
        <w:rPr>
          <w:rFonts w:hint="eastAsia" w:ascii="宋体" w:hAnsi="宋体" w:cs="宋体"/>
          <w:bCs/>
          <w:color w:val="0D0D0D"/>
          <w:kern w:val="0"/>
          <w:sz w:val="24"/>
        </w:rPr>
        <w:t>依据</w:t>
      </w:r>
      <w:r>
        <w:rPr>
          <w:rFonts w:hint="eastAsia" w:ascii="宋体" w:hAnsi="宋体" w:cs="宋体"/>
          <w:bCs/>
          <w:color w:val="0C0C0C"/>
          <w:kern w:val="0"/>
          <w:sz w:val="24"/>
        </w:rPr>
        <w:t>阳财采计备[2019]A</w:t>
      </w:r>
      <w:r>
        <w:rPr>
          <w:rFonts w:hint="eastAsia" w:ascii="宋体" w:hAnsi="宋体" w:cs="宋体"/>
          <w:bCs/>
          <w:color w:val="0C0C0C"/>
          <w:kern w:val="0"/>
          <w:sz w:val="24"/>
          <w:u w:val="single"/>
        </w:rPr>
        <w:t xml:space="preserve"> 147 </w:t>
      </w:r>
      <w:r>
        <w:rPr>
          <w:rFonts w:hint="eastAsia" w:ascii="宋体" w:hAnsi="宋体" w:cs="宋体"/>
          <w:bCs/>
          <w:color w:val="0C0C0C"/>
          <w:kern w:val="0"/>
          <w:sz w:val="24"/>
        </w:rPr>
        <w:t>号备案表</w:t>
      </w:r>
      <w:r>
        <w:rPr>
          <w:rFonts w:hint="eastAsia" w:ascii="宋体" w:hAnsi="宋体" w:cs="宋体"/>
          <w:bCs/>
          <w:color w:val="0D0D0D"/>
          <w:kern w:val="0"/>
          <w:sz w:val="24"/>
        </w:rPr>
        <w:t>要求</w:t>
      </w:r>
      <w:r>
        <w:rPr>
          <w:rFonts w:hint="eastAsia" w:ascii="宋体" w:hAnsi="宋体" w:eastAsia="宋体" w:cs="Times New Roman"/>
          <w:sz w:val="24"/>
          <w:szCs w:val="24"/>
        </w:rPr>
        <w:t>，</w:t>
      </w:r>
      <w:r>
        <w:rPr>
          <w:rFonts w:hint="eastAsia" w:ascii="宋体" w:hAnsi="宋体" w:eastAsia="宋体" w:cs="Times New Roman"/>
          <w:sz w:val="24"/>
          <w:szCs w:val="24"/>
          <w:u w:val="single"/>
        </w:rPr>
        <w:t>湖北佰誉工程咨询有限公司</w:t>
      </w:r>
      <w:r>
        <w:rPr>
          <w:rFonts w:hint="eastAsia" w:ascii="宋体" w:hAnsi="宋体" w:eastAsia="宋体" w:cs="Times New Roman"/>
          <w:sz w:val="24"/>
          <w:szCs w:val="24"/>
        </w:rPr>
        <w:t>受</w:t>
      </w:r>
      <w:r>
        <w:rPr>
          <w:rFonts w:hint="eastAsia" w:ascii="宋体" w:hAnsi="宋体" w:eastAsia="宋体" w:cs="Times New Roman"/>
          <w:sz w:val="24"/>
          <w:szCs w:val="24"/>
          <w:u w:val="single"/>
        </w:rPr>
        <w:t>阳新县疾病预防控制中心</w:t>
      </w:r>
      <w:r>
        <w:rPr>
          <w:rFonts w:hint="eastAsia" w:ascii="宋体" w:hAnsi="宋体" w:eastAsia="宋体" w:cs="Times New Roman"/>
          <w:sz w:val="24"/>
          <w:szCs w:val="24"/>
        </w:rPr>
        <w:t>委托，就</w:t>
      </w:r>
      <w:r>
        <w:rPr>
          <w:rFonts w:hint="eastAsia"/>
          <w:sz w:val="24"/>
          <w:u w:val="single"/>
        </w:rPr>
        <w:t>阳新县疾病预防控制中心全数字彩色多普勒超声诊断仪采购项目</w:t>
      </w:r>
      <w:r>
        <w:rPr>
          <w:rFonts w:hint="eastAsia" w:ascii="宋体" w:hAnsi="宋体" w:eastAsia="宋体" w:cs="Times New Roman"/>
          <w:sz w:val="24"/>
          <w:szCs w:val="24"/>
        </w:rPr>
        <w:t>进行公开招标采购，欢迎符合条件的供应商投标。</w:t>
      </w:r>
    </w:p>
    <w:p>
      <w:pPr>
        <w:pStyle w:val="37"/>
        <w:numPr>
          <w:ilvl w:val="1"/>
          <w:numId w:val="1"/>
        </w:numPr>
        <w:spacing w:line="360" w:lineRule="auto"/>
        <w:ind w:hanging="1140" w:firstLineChars="0"/>
        <w:rPr>
          <w:rFonts w:asciiTheme="minorEastAsia" w:hAnsiTheme="minorEastAsia"/>
          <w:u w:val="single"/>
        </w:rPr>
      </w:pPr>
      <w:r>
        <w:rPr>
          <w:rFonts w:hint="eastAsia" w:ascii="宋体" w:hAnsi="宋体" w:eastAsia="宋体" w:cs="Times New Roman"/>
          <w:b/>
          <w:sz w:val="24"/>
          <w:szCs w:val="24"/>
        </w:rPr>
        <w:t>招标编号：</w:t>
      </w:r>
      <w:r>
        <w:rPr>
          <w:rFonts w:hint="eastAsia" w:asciiTheme="minorEastAsia" w:hAnsiTheme="minorEastAsia"/>
          <w:u w:val="single"/>
        </w:rPr>
        <w:t xml:space="preserve"> </w:t>
      </w:r>
      <w:r>
        <w:rPr>
          <w:rFonts w:hint="eastAsia"/>
          <w:sz w:val="24"/>
          <w:u w:val="single"/>
        </w:rPr>
        <w:t xml:space="preserve"> 131-2019CG-167 </w:t>
      </w:r>
      <w:r>
        <w:rPr>
          <w:rFonts w:hint="eastAsia" w:ascii="仿宋_GB2312" w:hAnsi="宋体" w:eastAsia="仿宋_GB2312" w:cs="宋体"/>
          <w:b/>
          <w:kern w:val="0"/>
          <w:sz w:val="36"/>
          <w:szCs w:val="36"/>
        </w:rPr>
        <w:t xml:space="preserve"> </w:t>
      </w:r>
    </w:p>
    <w:p>
      <w:pPr>
        <w:pStyle w:val="37"/>
        <w:numPr>
          <w:ilvl w:val="1"/>
          <w:numId w:val="1"/>
        </w:numPr>
        <w:spacing w:line="360" w:lineRule="auto"/>
        <w:ind w:hanging="1140" w:firstLineChars="0"/>
        <w:rPr>
          <w:rFonts w:ascii="宋体" w:hAnsi="宋体" w:eastAsia="宋体" w:cs="Times New Roman"/>
          <w:b/>
          <w:sz w:val="24"/>
          <w:szCs w:val="24"/>
        </w:rPr>
      </w:pPr>
      <w:r>
        <w:rPr>
          <w:rFonts w:hint="eastAsia" w:ascii="宋体" w:hAnsi="宋体" w:eastAsia="宋体" w:cs="Times New Roman"/>
          <w:b/>
          <w:sz w:val="24"/>
          <w:szCs w:val="24"/>
        </w:rPr>
        <w:t>项目名称：</w:t>
      </w:r>
      <w:r>
        <w:rPr>
          <w:rFonts w:hint="eastAsia"/>
          <w:sz w:val="24"/>
          <w:u w:val="single"/>
        </w:rPr>
        <w:t>阳新县疾病预防控制中心全数字彩色多普勒超声诊断仪采购项目</w:t>
      </w:r>
      <w:r>
        <w:rPr>
          <w:rFonts w:hint="eastAsia" w:asciiTheme="majorEastAsia" w:hAnsiTheme="majorEastAsia" w:eastAsiaTheme="majorEastAsia"/>
          <w:sz w:val="24"/>
          <w:szCs w:val="24"/>
          <w:u w:val="single"/>
        </w:rPr>
        <w:t xml:space="preserve"> </w:t>
      </w:r>
    </w:p>
    <w:p>
      <w:pPr>
        <w:pStyle w:val="37"/>
        <w:numPr>
          <w:ilvl w:val="1"/>
          <w:numId w:val="1"/>
        </w:numPr>
        <w:spacing w:line="360" w:lineRule="auto"/>
        <w:ind w:hanging="1140" w:firstLineChars="0"/>
        <w:rPr>
          <w:rFonts w:ascii="宋体" w:hAnsi="宋体" w:eastAsia="宋体" w:cs="Times New Roman"/>
          <w:sz w:val="24"/>
          <w:szCs w:val="24"/>
        </w:rPr>
      </w:pPr>
      <w:r>
        <w:rPr>
          <w:rFonts w:hint="eastAsia" w:ascii="宋体" w:hAnsi="宋体" w:eastAsia="宋体" w:cs="Times New Roman"/>
          <w:b/>
          <w:sz w:val="24"/>
          <w:szCs w:val="24"/>
        </w:rPr>
        <w:t>招标内容：</w:t>
      </w:r>
      <w:r>
        <w:rPr>
          <w:rFonts w:hint="eastAsia"/>
          <w:sz w:val="24"/>
          <w:u w:val="single"/>
        </w:rPr>
        <w:t>全数字彩色多普勒超声诊断仪</w:t>
      </w:r>
      <w:r>
        <w:rPr>
          <w:rFonts w:hint="eastAsia" w:asciiTheme="majorEastAsia" w:hAnsiTheme="majorEastAsia" w:eastAsiaTheme="majorEastAsia"/>
          <w:sz w:val="24"/>
          <w:szCs w:val="24"/>
          <w:u w:val="single"/>
        </w:rPr>
        <w:t>一套</w:t>
      </w:r>
      <w:r>
        <w:rPr>
          <w:rFonts w:hint="eastAsia" w:ascii="宋体" w:hAnsi="宋体" w:eastAsia="宋体" w:cs="Times New Roman"/>
          <w:sz w:val="24"/>
          <w:szCs w:val="24"/>
        </w:rPr>
        <w:t>（详见招标文件《采购清单》）</w:t>
      </w:r>
    </w:p>
    <w:p>
      <w:pPr>
        <w:pStyle w:val="37"/>
        <w:numPr>
          <w:ilvl w:val="1"/>
          <w:numId w:val="1"/>
        </w:numPr>
        <w:spacing w:line="360" w:lineRule="auto"/>
        <w:ind w:hanging="1140" w:firstLineChars="0"/>
        <w:rPr>
          <w:rFonts w:ascii="宋体" w:hAnsi="宋体" w:eastAsia="宋体" w:cs="Times New Roman"/>
          <w:sz w:val="24"/>
          <w:szCs w:val="24"/>
        </w:rPr>
      </w:pPr>
      <w:r>
        <w:rPr>
          <w:rFonts w:hint="eastAsia" w:ascii="宋体" w:hAnsi="宋体" w:eastAsia="宋体" w:cs="Times New Roman"/>
          <w:b/>
          <w:sz w:val="24"/>
          <w:szCs w:val="24"/>
        </w:rPr>
        <w:t>采购预算：</w:t>
      </w:r>
      <w:r>
        <w:rPr>
          <w:rFonts w:hint="eastAsia" w:ascii="宋体" w:hAnsi="宋体" w:eastAsia="宋体" w:cs="Times New Roman"/>
          <w:sz w:val="24"/>
          <w:szCs w:val="24"/>
        </w:rPr>
        <w:t>人民币</w:t>
      </w:r>
      <w:r>
        <w:rPr>
          <w:rFonts w:hint="eastAsia" w:ascii="宋体" w:hAnsi="宋体" w:eastAsia="宋体" w:cs="Times New Roman"/>
          <w:b/>
          <w:sz w:val="24"/>
          <w:szCs w:val="24"/>
          <w:u w:val="single"/>
        </w:rPr>
        <w:t xml:space="preserve"> 80 </w:t>
      </w:r>
      <w:r>
        <w:rPr>
          <w:rFonts w:hint="eastAsia" w:ascii="宋体" w:hAnsi="宋体" w:eastAsia="宋体" w:cs="Times New Roman"/>
          <w:sz w:val="24"/>
          <w:szCs w:val="24"/>
        </w:rPr>
        <w:t>万元整。</w:t>
      </w:r>
    </w:p>
    <w:p>
      <w:pPr>
        <w:pStyle w:val="37"/>
        <w:numPr>
          <w:ilvl w:val="0"/>
          <w:numId w:val="2"/>
        </w:numPr>
        <w:spacing w:line="360" w:lineRule="auto"/>
        <w:ind w:firstLineChars="0"/>
        <w:rPr>
          <w:rFonts w:ascii="宋体" w:hAnsi="宋体" w:eastAsia="宋体" w:cs="Times New Roman"/>
          <w:sz w:val="24"/>
          <w:szCs w:val="24"/>
        </w:rPr>
      </w:pPr>
      <w:r>
        <w:rPr>
          <w:rFonts w:hint="eastAsia" w:ascii="宋体" w:hAnsi="宋体" w:eastAsia="宋体" w:cs="Times New Roman"/>
          <w:b/>
          <w:sz w:val="24"/>
          <w:szCs w:val="24"/>
        </w:rPr>
        <w:t xml:space="preserve"> 资金来源：上级拨款</w:t>
      </w:r>
    </w:p>
    <w:p>
      <w:pPr>
        <w:pStyle w:val="37"/>
        <w:numPr>
          <w:ilvl w:val="0"/>
          <w:numId w:val="2"/>
        </w:numPr>
        <w:spacing w:line="360" w:lineRule="auto"/>
        <w:ind w:firstLineChars="0"/>
        <w:rPr>
          <w:rFonts w:ascii="宋体" w:hAnsi="宋体" w:eastAsia="宋体" w:cs="Times New Roman"/>
          <w:sz w:val="24"/>
          <w:szCs w:val="24"/>
        </w:rPr>
      </w:pPr>
      <w:r>
        <w:rPr>
          <w:rFonts w:hint="eastAsia" w:ascii="宋体" w:hAnsi="宋体" w:eastAsia="宋体" w:cs="Times New Roman"/>
          <w:b/>
          <w:sz w:val="24"/>
          <w:szCs w:val="24"/>
        </w:rPr>
        <w:t>政府集中采购项目：否</w:t>
      </w:r>
    </w:p>
    <w:p>
      <w:pPr>
        <w:numPr>
          <w:ilvl w:val="0"/>
          <w:numId w:val="2"/>
        </w:numPr>
        <w:spacing w:line="360" w:lineRule="auto"/>
        <w:rPr>
          <w:rFonts w:ascii="宋体" w:hAnsi="宋体" w:eastAsia="宋体" w:cs="Times New Roman"/>
          <w:b/>
          <w:sz w:val="24"/>
          <w:szCs w:val="24"/>
        </w:rPr>
      </w:pPr>
      <w:r>
        <w:rPr>
          <w:rFonts w:hint="eastAsia" w:ascii="宋体" w:hAnsi="宋体" w:eastAsia="宋体" w:cs="Times New Roman"/>
          <w:b/>
          <w:sz w:val="24"/>
          <w:szCs w:val="24"/>
        </w:rPr>
        <w:t>投标人资格要求：</w:t>
      </w:r>
    </w:p>
    <w:p>
      <w:pPr>
        <w:adjustRightInd w:val="0"/>
        <w:snapToGrid w:val="0"/>
        <w:spacing w:line="360" w:lineRule="auto"/>
        <w:ind w:firstLine="480" w:firstLineChars="200"/>
        <w:rPr>
          <w:sz w:val="24"/>
        </w:rPr>
      </w:pPr>
      <w:r>
        <w:rPr>
          <w:rFonts w:hint="eastAsia"/>
          <w:sz w:val="24"/>
        </w:rPr>
        <w:t>（一）应具备《政府采购法》第二十二条第一款之规定的基本条件。</w:t>
      </w:r>
    </w:p>
    <w:p>
      <w:pPr>
        <w:adjustRightInd w:val="0"/>
        <w:snapToGrid w:val="0"/>
        <w:spacing w:line="360" w:lineRule="auto"/>
        <w:ind w:firstLine="480" w:firstLineChars="200"/>
        <w:rPr>
          <w:sz w:val="24"/>
        </w:rPr>
      </w:pPr>
      <w:r>
        <w:rPr>
          <w:rFonts w:hint="eastAsia"/>
          <w:sz w:val="24"/>
        </w:rPr>
        <w:t>（二）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adjustRightInd w:val="0"/>
        <w:snapToGrid w:val="0"/>
        <w:spacing w:line="360" w:lineRule="auto"/>
        <w:ind w:firstLine="480" w:firstLineChars="200"/>
        <w:rPr>
          <w:sz w:val="24"/>
        </w:rPr>
      </w:pPr>
      <w:r>
        <w:rPr>
          <w:rFonts w:hint="eastAsia"/>
          <w:b/>
          <w:sz w:val="24"/>
        </w:rPr>
        <w:t>（</w:t>
      </w:r>
      <w:r>
        <w:rPr>
          <w:rFonts w:hint="eastAsia"/>
          <w:sz w:val="24"/>
        </w:rPr>
        <w:t>三）特定条件: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w:t>
      </w:r>
      <w:r>
        <w:rPr>
          <w:rFonts w:hint="eastAsia" w:ascii="宋体" w:hAnsi="宋体"/>
          <w:sz w:val="24"/>
        </w:rPr>
        <w:t>(</w:t>
      </w:r>
      <w:r>
        <w:rPr>
          <w:rFonts w:hint="eastAsia"/>
          <w:sz w:val="24"/>
        </w:rPr>
        <w:t>设备进口代理商可不提供厂家医疗器械生产许可证)。</w:t>
      </w:r>
    </w:p>
    <w:p>
      <w:pPr>
        <w:adjustRightInd w:val="0"/>
        <w:snapToGrid w:val="0"/>
        <w:spacing w:line="360" w:lineRule="auto"/>
        <w:ind w:firstLine="480" w:firstLineChars="200"/>
        <w:rPr>
          <w:sz w:val="24"/>
        </w:rPr>
      </w:pPr>
      <w:r>
        <w:rPr>
          <w:rFonts w:hint="eastAsia"/>
          <w:bCs/>
          <w:sz w:val="24"/>
        </w:rPr>
        <w:t>（四）本项目不接受联合体。</w:t>
      </w:r>
    </w:p>
    <w:p>
      <w:pPr>
        <w:widowControl/>
        <w:shd w:val="clear" w:color="auto" w:fill="FFFFFF"/>
        <w:spacing w:line="360" w:lineRule="auto"/>
        <w:ind w:left="150"/>
        <w:jc w:val="left"/>
        <w:rPr>
          <w:rFonts w:ascii="微软雅黑" w:hAnsi="微软雅黑" w:eastAsia="微软雅黑" w:cs="宋体"/>
          <w:kern w:val="0"/>
          <w:sz w:val="18"/>
          <w:szCs w:val="18"/>
        </w:rPr>
      </w:pPr>
      <w:r>
        <w:rPr>
          <w:rFonts w:hint="eastAsia" w:ascii="宋体" w:hAnsi="宋体" w:cs="宋体"/>
          <w:b/>
          <w:bCs/>
          <w:color w:val="0D0D0D"/>
          <w:kern w:val="0"/>
          <w:sz w:val="24"/>
          <w:szCs w:val="24"/>
        </w:rPr>
        <w:t>八、是否专门面向中小企业、监狱企业、残疾人福利性单位：否。</w:t>
      </w:r>
    </w:p>
    <w:p>
      <w:pPr>
        <w:pStyle w:val="37"/>
        <w:widowControl/>
        <w:adjustRightInd w:val="0"/>
        <w:snapToGrid w:val="0"/>
        <w:spacing w:line="360" w:lineRule="auto"/>
        <w:ind w:left="284" w:firstLine="0" w:firstLineChars="0"/>
        <w:jc w:val="left"/>
        <w:rPr>
          <w:rFonts w:ascii="宋体" w:hAnsi="宋体" w:eastAsia="宋体" w:cs="Times New Roman"/>
          <w:sz w:val="24"/>
          <w:szCs w:val="24"/>
        </w:rPr>
      </w:pPr>
      <w:r>
        <w:rPr>
          <w:rFonts w:hint="eastAsia" w:ascii="宋体" w:hAnsi="宋体" w:eastAsia="宋体" w:cs="宋体"/>
          <w:b/>
          <w:kern w:val="0"/>
          <w:sz w:val="24"/>
          <w:szCs w:val="24"/>
          <w:lang w:val="zh-CN"/>
        </w:rPr>
        <w:t>九、招标文件获取</w:t>
      </w:r>
      <w:r>
        <w:rPr>
          <w:rFonts w:hint="eastAsia" w:ascii="宋体" w:hAnsi="宋体" w:eastAsia="宋体" w:cs="宋体"/>
          <w:b/>
          <w:kern w:val="0"/>
          <w:sz w:val="24"/>
          <w:szCs w:val="24"/>
        </w:rPr>
        <w:t>：</w:t>
      </w:r>
    </w:p>
    <w:p>
      <w:pPr>
        <w:widowControl/>
        <w:shd w:val="clear" w:color="auto" w:fill="FFFFFF"/>
        <w:spacing w:line="360" w:lineRule="auto"/>
        <w:ind w:left="150" w:firstLine="480"/>
        <w:jc w:val="left"/>
        <w:rPr>
          <w:rFonts w:ascii="微软雅黑" w:hAnsi="微软雅黑" w:eastAsia="微软雅黑" w:cs="宋体"/>
          <w:kern w:val="0"/>
          <w:sz w:val="18"/>
          <w:szCs w:val="18"/>
        </w:rPr>
      </w:pPr>
      <w:bookmarkStart w:id="2" w:name="_Toc495861518"/>
      <w:bookmarkStart w:id="3" w:name="_Toc509323115"/>
      <w:r>
        <w:rPr>
          <w:rFonts w:hint="eastAsia" w:ascii="宋体" w:hAnsi="宋体" w:cs="宋体"/>
          <w:color w:val="0D0D0D"/>
          <w:kern w:val="0"/>
          <w:sz w:val="24"/>
          <w:szCs w:val="24"/>
        </w:rPr>
        <w:t>本项目实行网上下载标书，招标文件与本招标公告同时发布（见招标文件下载），凡自愿参加本项目投标者，</w:t>
      </w:r>
      <w:r>
        <w:rPr>
          <w:rFonts w:hint="eastAsia" w:ascii="宋体" w:hAnsi="宋体" w:cs="宋体"/>
          <w:color w:val="FF0000"/>
          <w:kern w:val="0"/>
          <w:sz w:val="24"/>
          <w:szCs w:val="24"/>
        </w:rPr>
        <w:t>请于</w:t>
      </w:r>
      <w:r>
        <w:rPr>
          <w:rFonts w:hint="eastAsia" w:ascii="宋体" w:hAnsi="宋体" w:cs="宋体"/>
          <w:b/>
          <w:bCs/>
          <w:color w:val="FF0000"/>
          <w:kern w:val="0"/>
          <w:sz w:val="24"/>
          <w:szCs w:val="24"/>
          <w:u w:val="single"/>
        </w:rPr>
        <w:t>2019年 10 月 21 日至2019年 10 月 28 日</w:t>
      </w:r>
      <w:r>
        <w:rPr>
          <w:rFonts w:hint="eastAsia" w:ascii="宋体" w:hAnsi="宋体" w:cs="宋体"/>
          <w:b/>
          <w:bCs/>
          <w:color w:val="FF0000"/>
          <w:kern w:val="0"/>
          <w:sz w:val="24"/>
          <w:szCs w:val="24"/>
        </w:rPr>
        <w:t>17：30</w:t>
      </w:r>
      <w:r>
        <w:rPr>
          <w:rFonts w:hint="eastAsia" w:ascii="宋体" w:hAnsi="宋体" w:cs="宋体"/>
          <w:color w:val="FF0000"/>
          <w:kern w:val="0"/>
          <w:sz w:val="24"/>
          <w:szCs w:val="24"/>
        </w:rPr>
        <w:t>前</w:t>
      </w:r>
      <w:r>
        <w:rPr>
          <w:rFonts w:hint="eastAsia" w:ascii="宋体" w:hAnsi="宋体" w:cs="宋体"/>
          <w:color w:val="0D0D0D"/>
          <w:kern w:val="0"/>
          <w:sz w:val="24"/>
          <w:szCs w:val="24"/>
        </w:rPr>
        <w:t>点击项目招标公告中的链接免费下载招标文件，并在投标截止时间前办理所有投标手续并同时递交投标文件。</w:t>
      </w:r>
    </w:p>
    <w:p>
      <w:pPr>
        <w:widowControl/>
        <w:shd w:val="clear" w:color="auto" w:fill="FFFFFF"/>
        <w:spacing w:line="360" w:lineRule="auto"/>
        <w:ind w:left="150" w:firstLine="480"/>
        <w:jc w:val="left"/>
        <w:rPr>
          <w:rFonts w:ascii="微软雅黑" w:hAnsi="微软雅黑" w:eastAsia="微软雅黑" w:cs="宋体"/>
          <w:kern w:val="0"/>
          <w:sz w:val="18"/>
          <w:szCs w:val="18"/>
        </w:rPr>
      </w:pPr>
      <w:r>
        <w:rPr>
          <w:rFonts w:hint="eastAsia" w:ascii="宋体" w:hAnsi="宋体" w:cs="宋体"/>
          <w:color w:val="0D0D0D"/>
          <w:kern w:val="0"/>
          <w:sz w:val="24"/>
          <w:szCs w:val="24"/>
        </w:rPr>
        <w:t>招标文件下载:</w:t>
      </w:r>
      <w:r>
        <w:rPr>
          <w:rFonts w:hint="eastAsia" w:ascii="微软雅黑" w:hAnsi="微软雅黑" w:eastAsia="微软雅黑" w:cs="宋体"/>
          <w:kern w:val="0"/>
          <w:sz w:val="18"/>
          <w:szCs w:val="18"/>
        </w:rPr>
        <w:t xml:space="preserve"> </w:t>
      </w:r>
    </w:p>
    <w:p>
      <w:pPr>
        <w:widowControl/>
        <w:shd w:val="clear" w:color="auto" w:fill="FFFFFF"/>
        <w:spacing w:line="360" w:lineRule="auto"/>
        <w:ind w:left="150"/>
        <w:jc w:val="left"/>
        <w:rPr>
          <w:rFonts w:ascii="微软雅黑" w:hAnsi="微软雅黑" w:eastAsia="微软雅黑" w:cs="宋体"/>
          <w:kern w:val="0"/>
          <w:sz w:val="18"/>
          <w:szCs w:val="18"/>
        </w:rPr>
      </w:pPr>
      <w:r>
        <w:rPr>
          <w:rFonts w:hint="eastAsia" w:ascii="宋体" w:hAnsi="宋体" w:cs="宋体"/>
          <w:b/>
          <w:bCs/>
          <w:color w:val="0D0D0D"/>
          <w:kern w:val="0"/>
          <w:sz w:val="24"/>
          <w:szCs w:val="24"/>
        </w:rPr>
        <w:t>十、投标信息：</w:t>
      </w:r>
    </w:p>
    <w:p>
      <w:pPr>
        <w:widowControl/>
        <w:shd w:val="clear" w:color="auto" w:fill="FFFFFF"/>
        <w:spacing w:line="360" w:lineRule="auto"/>
        <w:ind w:left="150" w:firstLine="465"/>
        <w:jc w:val="left"/>
        <w:rPr>
          <w:rFonts w:ascii="微软雅黑" w:hAnsi="微软雅黑" w:eastAsia="微软雅黑" w:cs="宋体"/>
          <w:kern w:val="0"/>
          <w:sz w:val="18"/>
          <w:szCs w:val="18"/>
        </w:rPr>
      </w:pPr>
      <w:r>
        <w:rPr>
          <w:rFonts w:hint="eastAsia" w:ascii="宋体" w:hAnsi="宋体" w:cs="宋体"/>
          <w:color w:val="0D0D0D"/>
          <w:kern w:val="0"/>
          <w:sz w:val="24"/>
          <w:szCs w:val="24"/>
        </w:rPr>
        <w:t>投标文件递交截止时间：</w:t>
      </w:r>
      <w:r>
        <w:rPr>
          <w:rFonts w:hint="eastAsia" w:ascii="宋体" w:hAnsi="宋体" w:cs="宋体"/>
          <w:b/>
          <w:bCs/>
          <w:color w:val="FF0000"/>
          <w:kern w:val="0"/>
          <w:sz w:val="24"/>
          <w:szCs w:val="24"/>
          <w:u w:val="single"/>
        </w:rPr>
        <w:t>2019年 11月 11日 15 时00分（ 14 时 30分）</w:t>
      </w:r>
      <w:r>
        <w:rPr>
          <w:rFonts w:hint="eastAsia" w:ascii="宋体" w:hAnsi="宋体" w:cs="宋体"/>
          <w:color w:val="0D0D0D"/>
          <w:kern w:val="0"/>
          <w:sz w:val="24"/>
          <w:szCs w:val="24"/>
        </w:rPr>
        <w:t>开始接收投标文件，拒收逾期送达或者未按招标文件要求密封的投标文件）</w:t>
      </w:r>
    </w:p>
    <w:p>
      <w:pPr>
        <w:widowControl/>
        <w:shd w:val="clear" w:color="auto" w:fill="FFFFFF"/>
        <w:spacing w:line="360" w:lineRule="auto"/>
        <w:ind w:left="150" w:firstLine="465"/>
        <w:jc w:val="left"/>
        <w:rPr>
          <w:rFonts w:ascii="微软雅黑" w:hAnsi="微软雅黑" w:eastAsia="微软雅黑" w:cs="宋体"/>
          <w:kern w:val="0"/>
          <w:sz w:val="18"/>
          <w:szCs w:val="18"/>
        </w:rPr>
      </w:pPr>
      <w:r>
        <w:rPr>
          <w:rFonts w:hint="eastAsia" w:ascii="宋体" w:hAnsi="宋体" w:cs="宋体"/>
          <w:color w:val="0D0D0D"/>
          <w:kern w:val="0"/>
          <w:sz w:val="24"/>
          <w:szCs w:val="24"/>
        </w:rPr>
        <w:t>投标文件递交地点：阳新县公共资源交易中心</w:t>
      </w:r>
      <w:r>
        <w:rPr>
          <w:rFonts w:hint="eastAsia" w:ascii="宋体" w:hAnsi="宋体" w:cs="宋体"/>
          <w:color w:val="FF0000"/>
          <w:kern w:val="0"/>
          <w:sz w:val="24"/>
          <w:szCs w:val="24"/>
          <w:u w:val="single"/>
        </w:rPr>
        <w:t xml:space="preserve"> 二 </w:t>
      </w:r>
      <w:r>
        <w:rPr>
          <w:rFonts w:hint="eastAsia" w:ascii="宋体" w:hAnsi="宋体" w:cs="宋体"/>
          <w:color w:val="FF0000"/>
          <w:kern w:val="0"/>
          <w:sz w:val="24"/>
          <w:szCs w:val="24"/>
        </w:rPr>
        <w:t>楼</w:t>
      </w:r>
      <w:r>
        <w:rPr>
          <w:rFonts w:hint="eastAsia" w:ascii="宋体" w:hAnsi="宋体" w:cs="宋体"/>
          <w:color w:val="0D0D0D"/>
          <w:kern w:val="0"/>
          <w:sz w:val="24"/>
          <w:szCs w:val="24"/>
        </w:rPr>
        <w:t>开标大厅（阳新县熊家垴安置小区东侧）</w:t>
      </w:r>
    </w:p>
    <w:p>
      <w:pPr>
        <w:widowControl/>
        <w:shd w:val="clear" w:color="auto" w:fill="FFFFFF"/>
        <w:spacing w:line="360" w:lineRule="auto"/>
        <w:ind w:left="150" w:firstLine="480"/>
        <w:jc w:val="left"/>
        <w:textAlignment w:val="baseline"/>
        <w:rPr>
          <w:rFonts w:ascii="微软雅黑" w:hAnsi="微软雅黑" w:eastAsia="微软雅黑" w:cs="宋体"/>
          <w:kern w:val="0"/>
          <w:sz w:val="18"/>
          <w:szCs w:val="18"/>
        </w:rPr>
      </w:pPr>
      <w:r>
        <w:rPr>
          <w:rFonts w:hint="eastAsia" w:ascii="宋体" w:hAnsi="宋体" w:cs="宋体"/>
          <w:color w:val="0D0D0D"/>
          <w:kern w:val="0"/>
          <w:sz w:val="24"/>
          <w:szCs w:val="24"/>
        </w:rPr>
        <w:t>届时请参加投标的授权代表携带有效身份证、法人身份证明书或法人委托授权书（原件）出席开标大会，否则视同认可开标结果。</w:t>
      </w:r>
    </w:p>
    <w:p>
      <w:pPr>
        <w:widowControl/>
        <w:shd w:val="clear" w:color="auto" w:fill="FFFFFF"/>
        <w:spacing w:line="360" w:lineRule="auto"/>
        <w:ind w:left="150"/>
        <w:jc w:val="left"/>
        <w:rPr>
          <w:rFonts w:ascii="微软雅黑" w:hAnsi="微软雅黑" w:eastAsia="微软雅黑" w:cs="宋体"/>
          <w:kern w:val="0"/>
          <w:sz w:val="18"/>
          <w:szCs w:val="18"/>
        </w:rPr>
      </w:pPr>
      <w:r>
        <w:rPr>
          <w:rFonts w:hint="eastAsia" w:ascii="宋体" w:hAnsi="宋体" w:cs="宋体"/>
          <w:b/>
          <w:bCs/>
          <w:color w:val="0D0D0D"/>
          <w:kern w:val="0"/>
          <w:sz w:val="24"/>
          <w:szCs w:val="24"/>
        </w:rPr>
        <w:t>十一、开标信息：</w:t>
      </w:r>
    </w:p>
    <w:p>
      <w:pPr>
        <w:widowControl/>
        <w:shd w:val="clear" w:color="auto" w:fill="FFFFFF"/>
        <w:spacing w:line="360" w:lineRule="auto"/>
        <w:ind w:left="150" w:firstLine="465"/>
        <w:jc w:val="left"/>
        <w:rPr>
          <w:rFonts w:ascii="微软雅黑" w:hAnsi="微软雅黑" w:eastAsia="微软雅黑" w:cs="宋体"/>
          <w:kern w:val="0"/>
          <w:sz w:val="18"/>
          <w:szCs w:val="18"/>
        </w:rPr>
      </w:pPr>
      <w:r>
        <w:rPr>
          <w:rFonts w:hint="eastAsia" w:ascii="宋体" w:hAnsi="宋体" w:cs="宋体"/>
          <w:color w:val="0D0D0D"/>
          <w:kern w:val="0"/>
          <w:sz w:val="24"/>
          <w:szCs w:val="24"/>
        </w:rPr>
        <w:t>开标时间：</w:t>
      </w:r>
      <w:r>
        <w:rPr>
          <w:rFonts w:hint="eastAsia" w:ascii="宋体" w:hAnsi="宋体" w:cs="宋体"/>
          <w:b/>
          <w:bCs/>
          <w:color w:val="FF0000"/>
          <w:kern w:val="0"/>
          <w:sz w:val="24"/>
          <w:szCs w:val="24"/>
        </w:rPr>
        <w:t>2019年 11 月11 日 15 时00分</w:t>
      </w:r>
      <w:r>
        <w:rPr>
          <w:rFonts w:hint="eastAsia" w:ascii="宋体" w:hAnsi="宋体" w:cs="宋体"/>
          <w:color w:val="0D0D0D"/>
          <w:kern w:val="0"/>
          <w:sz w:val="24"/>
          <w:szCs w:val="24"/>
        </w:rPr>
        <w:t>开标地点：阳新县公共资源交易中心</w:t>
      </w:r>
      <w:r>
        <w:rPr>
          <w:rFonts w:hint="eastAsia" w:ascii="宋体" w:hAnsi="宋体" w:cs="宋体"/>
          <w:color w:val="FF0000"/>
          <w:kern w:val="0"/>
          <w:sz w:val="24"/>
          <w:szCs w:val="24"/>
          <w:u w:val="single"/>
        </w:rPr>
        <w:t xml:space="preserve"> 二 </w:t>
      </w:r>
      <w:r>
        <w:rPr>
          <w:rFonts w:hint="eastAsia" w:ascii="宋体" w:hAnsi="宋体" w:cs="宋体"/>
          <w:color w:val="FF0000"/>
          <w:kern w:val="0"/>
          <w:sz w:val="24"/>
          <w:szCs w:val="24"/>
        </w:rPr>
        <w:t>楼开标大厅</w:t>
      </w:r>
      <w:r>
        <w:rPr>
          <w:rFonts w:hint="eastAsia" w:ascii="宋体" w:hAnsi="宋体" w:cs="宋体"/>
          <w:color w:val="0D0D0D"/>
          <w:kern w:val="0"/>
          <w:sz w:val="24"/>
          <w:szCs w:val="24"/>
        </w:rPr>
        <w:t>（阳新县熊家垴安置小区东侧）</w:t>
      </w:r>
    </w:p>
    <w:p>
      <w:pPr>
        <w:widowControl/>
        <w:shd w:val="clear" w:color="auto" w:fill="FFFFFF"/>
        <w:spacing w:line="360" w:lineRule="auto"/>
        <w:ind w:left="150"/>
        <w:jc w:val="left"/>
        <w:rPr>
          <w:rFonts w:ascii="微软雅黑" w:hAnsi="微软雅黑" w:eastAsia="微软雅黑" w:cs="宋体"/>
          <w:kern w:val="0"/>
          <w:sz w:val="18"/>
          <w:szCs w:val="18"/>
        </w:rPr>
      </w:pPr>
      <w:r>
        <w:rPr>
          <w:rFonts w:hint="eastAsia" w:ascii="宋体" w:hAnsi="宋体" w:cs="宋体"/>
          <w:b/>
          <w:bCs/>
          <w:color w:val="0D0D0D"/>
          <w:kern w:val="0"/>
          <w:sz w:val="24"/>
          <w:szCs w:val="24"/>
        </w:rPr>
        <w:t>十二、公告期限：</w:t>
      </w:r>
      <w:r>
        <w:rPr>
          <w:rFonts w:hint="eastAsia" w:ascii="宋体" w:hAnsi="宋体" w:cs="宋体"/>
          <w:color w:val="0D0D0D"/>
          <w:kern w:val="0"/>
          <w:sz w:val="24"/>
          <w:szCs w:val="24"/>
        </w:rPr>
        <w:t>自公告发布之日起5个工作日。</w:t>
      </w:r>
    </w:p>
    <w:p>
      <w:pPr>
        <w:widowControl/>
        <w:shd w:val="clear" w:color="auto" w:fill="FFFFFF"/>
        <w:spacing w:line="360" w:lineRule="auto"/>
        <w:ind w:left="150"/>
        <w:jc w:val="left"/>
        <w:rPr>
          <w:rFonts w:ascii="微软雅黑" w:hAnsi="微软雅黑" w:eastAsia="微软雅黑" w:cs="宋体"/>
          <w:kern w:val="0"/>
          <w:sz w:val="18"/>
          <w:szCs w:val="18"/>
        </w:rPr>
      </w:pPr>
      <w:r>
        <w:rPr>
          <w:rFonts w:hint="eastAsia" w:ascii="宋体" w:hAnsi="宋体" w:cs="宋体"/>
          <w:b/>
          <w:bCs/>
          <w:color w:val="0D0D0D"/>
          <w:kern w:val="0"/>
          <w:sz w:val="24"/>
          <w:szCs w:val="24"/>
        </w:rPr>
        <w:t>十三、质疑：</w:t>
      </w:r>
    </w:p>
    <w:p>
      <w:pPr>
        <w:widowControl/>
        <w:shd w:val="clear" w:color="auto" w:fill="FFFFFF"/>
        <w:spacing w:line="360" w:lineRule="auto"/>
        <w:ind w:left="150" w:firstLine="480"/>
        <w:jc w:val="left"/>
        <w:rPr>
          <w:rFonts w:ascii="微软雅黑" w:hAnsi="微软雅黑" w:eastAsia="微软雅黑" w:cs="宋体"/>
          <w:kern w:val="0"/>
          <w:sz w:val="18"/>
          <w:szCs w:val="18"/>
        </w:rPr>
      </w:pPr>
      <w:r>
        <w:rPr>
          <w:rFonts w:hint="eastAsia" w:ascii="宋体" w:hAnsi="宋体" w:cs="宋体"/>
          <w:color w:val="0D0D0D"/>
          <w:kern w:val="0"/>
          <w:sz w:val="24"/>
          <w:szCs w:val="24"/>
        </w:rPr>
        <w:t>投标人认为招标文件、招标过程和中标结果使自己的权益受到损害的，可以在知道或者应知其权益受到损害之日起7个工作日内，向</w:t>
      </w:r>
      <w:r>
        <w:rPr>
          <w:rFonts w:hint="eastAsia" w:ascii="宋体" w:hAnsi="宋体" w:cs="宋体"/>
          <w:color w:val="0D0D0D"/>
          <w:kern w:val="0"/>
          <w:sz w:val="24"/>
          <w:szCs w:val="24"/>
          <w:u w:val="single"/>
        </w:rPr>
        <w:t xml:space="preserve"> 湖北佰誉工程咨询有限公司 </w:t>
      </w:r>
      <w:r>
        <w:rPr>
          <w:rFonts w:hint="eastAsia" w:ascii="宋体" w:hAnsi="宋体" w:cs="宋体"/>
          <w:color w:val="0D0D0D"/>
          <w:kern w:val="0"/>
          <w:sz w:val="24"/>
          <w:szCs w:val="24"/>
        </w:rPr>
        <w:t>提出书面质疑。质疑时请提交书面质疑函一份（法人代表签字、加盖单位公章。具体要求详见本招标文件“第二章 投标人须知”中的第八条之规定），并附相关证据材料。</w:t>
      </w:r>
    </w:p>
    <w:p>
      <w:pPr>
        <w:widowControl/>
        <w:shd w:val="clear" w:color="auto" w:fill="FFFFFF"/>
        <w:spacing w:line="360" w:lineRule="auto"/>
        <w:ind w:left="150"/>
        <w:jc w:val="left"/>
        <w:rPr>
          <w:rFonts w:ascii="微软雅黑" w:hAnsi="微软雅黑" w:eastAsia="微软雅黑" w:cs="宋体"/>
          <w:kern w:val="0"/>
          <w:sz w:val="18"/>
          <w:szCs w:val="18"/>
        </w:rPr>
      </w:pPr>
      <w:r>
        <w:rPr>
          <w:rFonts w:hint="eastAsia" w:ascii="宋体" w:hAnsi="宋体" w:cs="宋体"/>
          <w:b/>
          <w:bCs/>
          <w:color w:val="0D0D0D"/>
          <w:kern w:val="0"/>
          <w:sz w:val="24"/>
          <w:szCs w:val="24"/>
        </w:rPr>
        <w:t>十四、联系方式：</w:t>
      </w:r>
    </w:p>
    <w:p>
      <w:pPr>
        <w:widowControl/>
        <w:shd w:val="clear" w:color="auto" w:fill="FFFFFF"/>
        <w:spacing w:line="360" w:lineRule="auto"/>
        <w:ind w:left="150" w:firstLine="480"/>
        <w:jc w:val="left"/>
        <w:rPr>
          <w:rFonts w:ascii="微软雅黑" w:hAnsi="微软雅黑" w:eastAsia="微软雅黑" w:cs="宋体"/>
          <w:kern w:val="0"/>
          <w:sz w:val="18"/>
          <w:szCs w:val="18"/>
        </w:rPr>
      </w:pPr>
      <w:r>
        <w:rPr>
          <w:rFonts w:hint="eastAsia" w:ascii="宋体" w:hAnsi="宋体" w:cs="宋体"/>
          <w:color w:val="0D0D0D"/>
          <w:kern w:val="0"/>
          <w:sz w:val="24"/>
          <w:szCs w:val="24"/>
        </w:rPr>
        <w:t xml:space="preserve">采购机构：湖北佰誉工程咨询有限公司 </w:t>
      </w:r>
    </w:p>
    <w:p>
      <w:pPr>
        <w:widowControl/>
        <w:shd w:val="clear" w:color="auto" w:fill="FFFFFF"/>
        <w:spacing w:line="360" w:lineRule="auto"/>
        <w:ind w:left="150" w:firstLine="480"/>
        <w:jc w:val="left"/>
        <w:rPr>
          <w:rFonts w:ascii="微软雅黑" w:hAnsi="微软雅黑" w:eastAsia="微软雅黑" w:cs="宋体"/>
          <w:kern w:val="0"/>
          <w:sz w:val="18"/>
          <w:szCs w:val="18"/>
        </w:rPr>
      </w:pPr>
      <w:r>
        <w:rPr>
          <w:rFonts w:hint="eastAsia" w:ascii="宋体" w:hAnsi="宋体" w:cs="宋体"/>
          <w:color w:val="0D0D0D"/>
          <w:kern w:val="0"/>
          <w:sz w:val="24"/>
          <w:szCs w:val="24"/>
        </w:rPr>
        <w:t>联 系 人：</w:t>
      </w:r>
      <w:r>
        <w:rPr>
          <w:rFonts w:hint="eastAsia" w:ascii="宋体" w:hAnsi="宋体" w:cs="宋体"/>
          <w:color w:val="0D0D0D"/>
          <w:kern w:val="0"/>
          <w:sz w:val="24"/>
          <w:szCs w:val="24"/>
          <w:u w:val="single"/>
        </w:rPr>
        <w:t>柯丽华 </w:t>
      </w:r>
      <w:r>
        <w:rPr>
          <w:rFonts w:hint="eastAsia" w:ascii="宋体" w:hAnsi="宋体" w:cs="宋体"/>
          <w:color w:val="0D0D0D"/>
          <w:kern w:val="0"/>
          <w:sz w:val="24"/>
          <w:szCs w:val="24"/>
        </w:rPr>
        <w:t>    </w:t>
      </w:r>
    </w:p>
    <w:p>
      <w:pPr>
        <w:widowControl/>
        <w:shd w:val="clear" w:color="auto" w:fill="FFFFFF"/>
        <w:spacing w:line="360" w:lineRule="auto"/>
        <w:ind w:left="150" w:firstLine="480"/>
        <w:jc w:val="left"/>
        <w:rPr>
          <w:rFonts w:ascii="微软雅黑" w:hAnsi="微软雅黑" w:eastAsia="微软雅黑" w:cs="宋体"/>
          <w:kern w:val="0"/>
          <w:sz w:val="18"/>
          <w:szCs w:val="18"/>
          <w:u w:val="single"/>
        </w:rPr>
      </w:pPr>
      <w:r>
        <w:rPr>
          <w:rFonts w:hint="eastAsia" w:ascii="宋体" w:hAnsi="宋体" w:cs="宋体"/>
          <w:color w:val="0D0D0D"/>
          <w:kern w:val="0"/>
          <w:sz w:val="24"/>
          <w:szCs w:val="24"/>
        </w:rPr>
        <w:t>联系电话：</w:t>
      </w:r>
      <w:r>
        <w:rPr>
          <w:rFonts w:hint="eastAsia" w:ascii="宋体" w:hAnsi="宋体" w:cs="宋体"/>
          <w:color w:val="0D0D0D"/>
          <w:kern w:val="0"/>
          <w:sz w:val="24"/>
          <w:szCs w:val="24"/>
          <w:u w:val="single"/>
        </w:rPr>
        <w:t>13886489085</w:t>
      </w:r>
    </w:p>
    <w:p>
      <w:pPr>
        <w:pStyle w:val="15"/>
        <w:shd w:val="clear" w:color="auto" w:fill="FFFFFF"/>
        <w:spacing w:before="0" w:after="0" w:line="360" w:lineRule="auto"/>
        <w:ind w:firstLine="480"/>
        <w:rPr>
          <w:rFonts w:ascii="微软雅黑" w:hAnsi="微软雅黑" w:eastAsia="微软雅黑"/>
          <w:sz w:val="27"/>
          <w:szCs w:val="27"/>
          <w:u w:val="single"/>
        </w:rPr>
      </w:pPr>
      <w:r>
        <w:rPr>
          <w:rFonts w:hint="eastAsia"/>
          <w:color w:val="0D0D0D"/>
        </w:rPr>
        <w:t>地  址：</w:t>
      </w:r>
      <w:r>
        <w:rPr>
          <w:rFonts w:hint="eastAsia"/>
          <w:u w:val="single"/>
        </w:rPr>
        <w:t>阳新县兴国镇惠美家超市后面青山小区1单元402室</w:t>
      </w:r>
    </w:p>
    <w:p>
      <w:pPr>
        <w:widowControl/>
        <w:spacing w:line="360" w:lineRule="auto"/>
        <w:ind w:left="638" w:leftChars="304" w:firstLine="3"/>
        <w:jc w:val="left"/>
        <w:rPr>
          <w:sz w:val="24"/>
          <w:szCs w:val="24"/>
          <w:u w:val="single"/>
        </w:rPr>
      </w:pPr>
      <w:r>
        <w:rPr>
          <w:rFonts w:ascii="宋体" w:hAnsi="宋体" w:cs="宋体"/>
          <w:kern w:val="0"/>
          <w:sz w:val="24"/>
          <w:szCs w:val="24"/>
        </w:rPr>
        <w:t>采购人：</w:t>
      </w:r>
      <w:r>
        <w:rPr>
          <w:rFonts w:hint="eastAsia"/>
          <w:sz w:val="24"/>
          <w:szCs w:val="24"/>
          <w:u w:val="single"/>
        </w:rPr>
        <w:t>阳新县疾病预防控制中心</w:t>
      </w:r>
    </w:p>
    <w:p>
      <w:pPr>
        <w:widowControl/>
        <w:spacing w:line="360" w:lineRule="auto"/>
        <w:ind w:left="638" w:leftChars="304" w:firstLine="3"/>
        <w:jc w:val="left"/>
        <w:rPr>
          <w:rFonts w:ascii="宋体" w:hAnsi="宋体" w:cs="宋体"/>
          <w:kern w:val="0"/>
          <w:sz w:val="24"/>
          <w:szCs w:val="24"/>
        </w:rPr>
      </w:pPr>
      <w:r>
        <w:rPr>
          <w:rFonts w:ascii="宋体" w:hAnsi="宋体" w:cs="宋体"/>
          <w:kern w:val="0"/>
          <w:sz w:val="24"/>
          <w:szCs w:val="24"/>
        </w:rPr>
        <w:t>联 系 人：</w:t>
      </w:r>
      <w:r>
        <w:rPr>
          <w:rFonts w:hint="eastAsia"/>
          <w:sz w:val="24"/>
          <w:szCs w:val="24"/>
          <w:u w:val="single"/>
        </w:rPr>
        <w:t xml:space="preserve">石教田   </w:t>
      </w:r>
    </w:p>
    <w:p>
      <w:pPr>
        <w:widowControl/>
        <w:spacing w:line="360" w:lineRule="auto"/>
        <w:ind w:left="638" w:leftChars="304" w:firstLine="3"/>
        <w:jc w:val="left"/>
        <w:rPr>
          <w:sz w:val="24"/>
          <w:szCs w:val="24"/>
          <w:u w:val="single"/>
        </w:rPr>
      </w:pPr>
      <w:r>
        <w:rPr>
          <w:rFonts w:ascii="宋体" w:hAnsi="宋体" w:cs="宋体"/>
          <w:kern w:val="0"/>
          <w:sz w:val="24"/>
          <w:szCs w:val="24"/>
        </w:rPr>
        <w:t>电话：</w:t>
      </w:r>
      <w:r>
        <w:rPr>
          <w:rFonts w:hint="eastAsia"/>
          <w:sz w:val="24"/>
          <w:szCs w:val="24"/>
          <w:u w:val="single"/>
        </w:rPr>
        <w:t>18971778962</w:t>
      </w:r>
    </w:p>
    <w:p>
      <w:pPr>
        <w:adjustRightInd w:val="0"/>
        <w:snapToGrid w:val="0"/>
        <w:spacing w:line="360" w:lineRule="auto"/>
        <w:ind w:left="638" w:leftChars="304" w:firstLine="3"/>
        <w:rPr>
          <w:sz w:val="24"/>
          <w:szCs w:val="24"/>
          <w:u w:val="single"/>
        </w:rPr>
      </w:pPr>
      <w:r>
        <w:rPr>
          <w:rFonts w:hint="eastAsia"/>
          <w:sz w:val="24"/>
          <w:szCs w:val="24"/>
        </w:rPr>
        <w:t>地址：</w:t>
      </w:r>
      <w:r>
        <w:rPr>
          <w:rFonts w:hint="eastAsia"/>
          <w:sz w:val="24"/>
          <w:szCs w:val="24"/>
          <w:u w:val="single"/>
        </w:rPr>
        <w:t xml:space="preserve"> 阳新县兴国镇   </w:t>
      </w:r>
    </w:p>
    <w:p>
      <w:pPr>
        <w:widowControl/>
        <w:shd w:val="clear" w:color="auto" w:fill="FFFFFF"/>
        <w:spacing w:line="360" w:lineRule="auto"/>
        <w:ind w:left="150" w:firstLine="480"/>
        <w:jc w:val="left"/>
        <w:rPr>
          <w:rFonts w:ascii="微软雅黑" w:hAnsi="微软雅黑" w:eastAsia="微软雅黑" w:cs="宋体"/>
          <w:kern w:val="0"/>
          <w:sz w:val="18"/>
          <w:szCs w:val="18"/>
        </w:rPr>
      </w:pPr>
      <w:r>
        <w:rPr>
          <w:rFonts w:hint="eastAsia" w:ascii="宋体" w:hAnsi="宋体" w:cs="宋体"/>
          <w:color w:val="0D0D0D"/>
          <w:kern w:val="0"/>
          <w:sz w:val="24"/>
          <w:szCs w:val="24"/>
        </w:rPr>
        <w:t xml:space="preserve">     </w:t>
      </w:r>
    </w:p>
    <w:p>
      <w:pPr>
        <w:widowControl/>
        <w:shd w:val="clear" w:color="auto" w:fill="FFFFFF"/>
        <w:spacing w:line="360" w:lineRule="auto"/>
        <w:ind w:left="150"/>
        <w:jc w:val="right"/>
        <w:rPr>
          <w:rFonts w:ascii="微软雅黑" w:hAnsi="微软雅黑" w:cs="宋体"/>
          <w:kern w:val="0"/>
          <w:sz w:val="18"/>
          <w:szCs w:val="18"/>
        </w:rPr>
      </w:pPr>
      <w:r>
        <w:rPr>
          <w:rFonts w:hint="eastAsia" w:ascii="宋体" w:hAnsi="宋体" w:cs="宋体"/>
          <w:color w:val="0D0D0D"/>
          <w:kern w:val="0"/>
          <w:sz w:val="29"/>
          <w:szCs w:val="29"/>
        </w:rPr>
        <w:t xml:space="preserve">                               </w:t>
      </w:r>
      <w:r>
        <w:rPr>
          <w:rFonts w:hint="eastAsia" w:ascii="宋体" w:hAnsi="宋体" w:cs="宋体"/>
          <w:b/>
          <w:bCs/>
          <w:color w:val="0D0D0D"/>
          <w:kern w:val="0"/>
          <w:sz w:val="29"/>
        </w:rPr>
        <w:t>            </w:t>
      </w:r>
      <w:r>
        <w:rPr>
          <w:rFonts w:hint="eastAsia" w:ascii="宋体" w:hAnsi="宋体" w:eastAsia="宋体" w:cs="宋体"/>
          <w:kern w:val="0"/>
          <w:sz w:val="24"/>
          <w:szCs w:val="24"/>
        </w:rPr>
        <w:t>   2019 年10月21日</w:t>
      </w:r>
    </w:p>
    <w:p>
      <w:pPr>
        <w:pStyle w:val="2"/>
        <w:numPr>
          <w:ilvl w:val="2"/>
          <w:numId w:val="1"/>
        </w:numPr>
        <w:spacing w:before="240" w:after="120"/>
        <w:jc w:val="left"/>
        <w:rPr>
          <w:rFonts w:ascii="黑体" w:hAnsi="黑体" w:eastAsia="黑体"/>
        </w:rPr>
      </w:pPr>
      <w:r>
        <w:rPr>
          <w:rFonts w:hint="eastAsia" w:ascii="黑体" w:hAnsi="黑体" w:eastAsia="黑体"/>
        </w:rPr>
        <w:t>投标人须知</w:t>
      </w:r>
      <w:bookmarkEnd w:id="2"/>
      <w:bookmarkEnd w:id="3"/>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4" w:name="_Toc495861519"/>
      <w:bookmarkStart w:id="5" w:name="_Toc509323116"/>
      <w:bookmarkStart w:id="6" w:name="_Toc494561937"/>
      <w:r>
        <w:rPr>
          <w:rFonts w:cs="Times New Roman" w:asciiTheme="majorEastAsia" w:hAnsiTheme="majorEastAsia" w:eastAsiaTheme="majorEastAsia"/>
          <w:b/>
          <w:bCs/>
          <w:sz w:val="32"/>
          <w:szCs w:val="32"/>
          <w:lang w:val="zh-CN"/>
        </w:rPr>
        <w:t>投标须知前附表</w:t>
      </w:r>
      <w:bookmarkEnd w:id="4"/>
      <w:bookmarkEnd w:id="5"/>
      <w:bookmarkEnd w:id="6"/>
    </w:p>
    <w:tbl>
      <w:tblPr>
        <w:tblStyle w:val="17"/>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hint="eastAsia" w:ascii="Times New Roman" w:hAnsi="宋体" w:eastAsia="宋体" w:cs="Times New Roman"/>
                <w:sz w:val="24"/>
                <w:szCs w:val="24"/>
              </w:rPr>
              <w:t>招标</w:t>
            </w:r>
            <w:r>
              <w:rPr>
                <w:rFonts w:ascii="Times New Roman" w:hAnsi="宋体" w:eastAsia="宋体" w:cs="Times New Roman"/>
                <w:sz w:val="24"/>
                <w:szCs w:val="24"/>
              </w:rPr>
              <w:t>编号</w:t>
            </w:r>
          </w:p>
        </w:tc>
        <w:tc>
          <w:tcPr>
            <w:tcW w:w="6470" w:type="dxa"/>
            <w:tcBorders>
              <w:top w:val="single" w:color="auto" w:sz="4" w:space="0"/>
              <w:left w:val="single" w:color="auto" w:sz="4" w:space="0"/>
              <w:bottom w:val="single" w:color="auto" w:sz="4" w:space="0"/>
            </w:tcBorders>
            <w:vAlign w:val="center"/>
          </w:tcPr>
          <w:p>
            <w:pPr>
              <w:rPr>
                <w:rFonts w:ascii="Times New Roman" w:hAnsi="宋体" w:eastAsia="宋体" w:cs="Times New Roman"/>
                <w:sz w:val="24"/>
                <w:szCs w:val="24"/>
              </w:rPr>
            </w:pPr>
            <w:r>
              <w:rPr>
                <w:rFonts w:hint="eastAsia" w:ascii="Times New Roman" w:hAnsi="宋体" w:eastAsia="宋体" w:cs="Times New Roman"/>
                <w:sz w:val="24"/>
                <w:szCs w:val="24"/>
              </w:rPr>
              <w:t xml:space="preserve">  131-2019CG-167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ascii="Times New Roman" w:hAnsi="宋体" w:eastAsia="宋体" w:cs="Times New Roman"/>
                <w:sz w:val="24"/>
                <w:szCs w:val="24"/>
              </w:rPr>
            </w:pPr>
            <w:r>
              <w:rPr>
                <w:rFonts w:hint="eastAsia" w:ascii="Times New Roman" w:hAnsi="宋体" w:eastAsia="宋体" w:cs="Times New Roman"/>
                <w:sz w:val="24"/>
                <w:szCs w:val="24"/>
              </w:rPr>
              <w:t xml:space="preserve">阳新县疾病预防控制中心全数字彩色多普勒超声诊断仪采购项目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Times New Roman" w:hAnsi="宋体" w:eastAsia="宋体" w:cs="Times New Roman"/>
                <w:sz w:val="24"/>
                <w:szCs w:val="24"/>
              </w:rPr>
              <w:t>阳新县疾病预防控制中心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正本</w:t>
            </w:r>
            <w:r>
              <w:rPr>
                <w:rFonts w:hint="eastAsia" w:ascii="Times New Roman" w:hAnsi="Times New Roman" w:eastAsia="宋体" w:cs="Times New Roman"/>
                <w:sz w:val="24"/>
                <w:szCs w:val="24"/>
              </w:rPr>
              <w:t>一</w:t>
            </w:r>
            <w:r>
              <w:rPr>
                <w:rFonts w:ascii="Times New Roman" w:hAnsi="Times New Roman" w:eastAsia="宋体" w:cs="Times New Roman"/>
                <w:sz w:val="24"/>
                <w:szCs w:val="24"/>
              </w:rPr>
              <w:t>份</w:t>
            </w:r>
            <w:r>
              <w:rPr>
                <w:rFonts w:hint="eastAsia" w:ascii="Times New Roman" w:hAnsi="Times New Roman" w:eastAsia="宋体" w:cs="Times New Roman"/>
                <w:sz w:val="24"/>
                <w:szCs w:val="24"/>
              </w:rPr>
              <w:t>，</w:t>
            </w:r>
            <w:r>
              <w:rPr>
                <w:rFonts w:ascii="Times New Roman" w:hAnsi="Times New Roman" w:eastAsia="宋体" w:cs="Times New Roman"/>
                <w:sz w:val="24"/>
                <w:szCs w:val="24"/>
              </w:rPr>
              <w:t>副本</w:t>
            </w:r>
            <w:r>
              <w:rPr>
                <w:rFonts w:hint="eastAsia" w:ascii="Times New Roman" w:hAnsi="Times New Roman" w:eastAsia="宋体" w:cs="Times New Roman"/>
                <w:sz w:val="24"/>
                <w:szCs w:val="24"/>
              </w:rPr>
              <w:t>四</w:t>
            </w:r>
            <w:r>
              <w:rPr>
                <w:rFonts w:ascii="Times New Roman" w:hAnsi="Times New Roman" w:eastAsia="宋体" w:cs="Times New Roman"/>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宋体" w:hAnsi="宋体" w:eastAsia="宋体" w:cs="宋体"/>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不允许</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详见第三章“</w:t>
            </w:r>
            <w:r>
              <w:rPr>
                <w:rFonts w:hint="eastAsia" w:ascii="宋体" w:hAnsi="宋体" w:eastAsia="宋体" w:cs="Times New Roman"/>
                <w:sz w:val="24"/>
                <w:szCs w:val="24"/>
              </w:rPr>
              <w:t>项目技术、服务及商务要求</w:t>
            </w:r>
            <w:r>
              <w:rPr>
                <w:rFonts w:hint="eastAsia" w:ascii="Times New Roman" w:hAnsi="Times New Roman" w:eastAsia="宋体" w:cs="Times New Roman"/>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不提交</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详见第三章“</w:t>
            </w:r>
            <w:r>
              <w:rPr>
                <w:rFonts w:hint="eastAsia" w:ascii="宋体" w:hAnsi="宋体" w:eastAsia="宋体" w:cs="Times New Roman"/>
                <w:sz w:val="24"/>
                <w:szCs w:val="24"/>
              </w:rPr>
              <w:t>项目技术、服务及商务要求</w:t>
            </w:r>
            <w:r>
              <w:rPr>
                <w:rFonts w:hint="eastAsia" w:ascii="Times New Roman" w:hAnsi="Times New Roman" w:eastAsia="宋体" w:cs="Times New Roman"/>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宋体" w:hAnsi="宋体" w:eastAsia="宋体" w:cs="宋体"/>
                <w:sz w:val="24"/>
                <w:szCs w:val="24"/>
              </w:rPr>
              <w:t>现场考察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sz w:val="24"/>
                <w:szCs w:val="24"/>
              </w:rPr>
            </w:pPr>
            <w:r>
              <w:rPr>
                <w:rFonts w:hint="eastAsia" w:ascii="Times New Roman" w:hAnsi="Times New Roman" w:eastAsia="宋体" w:cs="Times New Roman"/>
                <w:sz w:val="24"/>
                <w:szCs w:val="24"/>
              </w:rPr>
              <w:t>不组织</w:t>
            </w:r>
          </w:p>
          <w:p>
            <w:pPr>
              <w:ind w:right="-105" w:rightChars="-50"/>
              <w:rPr>
                <w:rFonts w:ascii="Times New Roman" w:hAnsi="Times New Roman" w:eastAsia="宋体" w:cs="Times New Roman"/>
                <w:sz w:val="24"/>
                <w:szCs w:val="24"/>
              </w:rPr>
            </w:pPr>
            <w:r>
              <w:rPr>
                <w:rFonts w:hint="eastAsia" w:ascii="Times New Roman" w:hAnsi="Times New Roman" w:eastAsia="宋体" w:cs="Times New Roman"/>
                <w:sz w:val="24"/>
                <w:szCs w:val="24"/>
              </w:rPr>
              <w:t>详见第三章“</w:t>
            </w:r>
            <w:r>
              <w:rPr>
                <w:rFonts w:hint="eastAsia" w:ascii="宋体" w:hAnsi="宋体" w:eastAsia="宋体" w:cs="Times New Roman"/>
                <w:sz w:val="24"/>
                <w:szCs w:val="24"/>
              </w:rPr>
              <w:t>项目技术、服务及商务要求</w:t>
            </w:r>
            <w:r>
              <w:rPr>
                <w:rFonts w:hint="eastAsia" w:ascii="Times New Roman" w:hAnsi="Times New Roman" w:eastAsia="宋体" w:cs="Times New Roman"/>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不允许</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详见第三章“</w:t>
            </w:r>
            <w:r>
              <w:rPr>
                <w:rFonts w:hint="eastAsia" w:ascii="宋体" w:hAnsi="宋体" w:eastAsia="宋体" w:cs="Times New Roman"/>
                <w:sz w:val="24"/>
                <w:szCs w:val="24"/>
              </w:rPr>
              <w:t>项目技术、服务及商务要求</w:t>
            </w:r>
            <w:r>
              <w:rPr>
                <w:rFonts w:hint="eastAsia" w:ascii="Times New Roman" w:hAnsi="Times New Roman" w:eastAsia="宋体" w:cs="Times New Roman"/>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综合评分法</w:t>
            </w:r>
          </w:p>
          <w:p>
            <w:pPr>
              <w:rPr>
                <w:rFonts w:ascii="Times New Roman" w:hAnsi="Times New Roman" w:eastAsia="宋体" w:cs="Times New Roman"/>
                <w:sz w:val="24"/>
                <w:szCs w:val="24"/>
                <w:lang w:val="zh-CN"/>
              </w:rPr>
            </w:pPr>
            <w:r>
              <w:rPr>
                <w:rFonts w:hint="eastAsia" w:ascii="Times New Roman" w:hAnsi="Times New Roman" w:eastAsia="宋体" w:cs="Times New Roman"/>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lang w:val="zh-CN"/>
        </w:rPr>
      </w:pPr>
      <w:bookmarkStart w:id="7" w:name="_Toc494561938"/>
      <w:r>
        <w:rPr>
          <w:rFonts w:ascii="黑体" w:hAnsi="黑体" w:eastAsia="黑体" w:cs="Times New Roman"/>
          <w:b/>
          <w:bCs/>
          <w:sz w:val="32"/>
          <w:szCs w:val="32"/>
          <w:lang w:val="zh-CN"/>
        </w:rPr>
        <w:br w:type="page"/>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8" w:name="_Toc495861520"/>
      <w:bookmarkStart w:id="9" w:name="_Toc509323117"/>
      <w:r>
        <w:rPr>
          <w:rFonts w:hint="eastAsia" w:cs="Times New Roman" w:asciiTheme="majorEastAsia" w:hAnsiTheme="majorEastAsia"/>
          <w:bCs w:val="0"/>
          <w:lang w:val="zh-CN"/>
        </w:rPr>
        <w:t>说  明</w:t>
      </w:r>
      <w:bookmarkEnd w:id="7"/>
      <w:bookmarkEnd w:id="8"/>
      <w:bookmarkEnd w:id="9"/>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sz w:val="24"/>
          <w:szCs w:val="24"/>
          <w:lang w:val="zh-CN"/>
        </w:rPr>
        <w:t>阳新县政府采购办公室、阳新县公共资源交易监督管理局。</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“采购机构”是指：</w:t>
      </w:r>
      <w:r>
        <w:rPr>
          <w:rFonts w:hint="eastAsia" w:cs="Times New Roman" w:asciiTheme="minorEastAsia" w:hAnsiTheme="minorEastAsia"/>
          <w:sz w:val="24"/>
          <w:szCs w:val="24"/>
          <w:u w:val="single"/>
          <w:lang w:val="zh-CN"/>
        </w:rPr>
        <w:t xml:space="preserve">  湖北佰誉工程咨询有限公司  </w:t>
      </w:r>
      <w:r>
        <w:rPr>
          <w:rFonts w:hint="eastAsia" w:cs="Times New Roman" w:asciiTheme="minorEastAsia" w:hAnsiTheme="minorEastAsia"/>
          <w:sz w:val="24"/>
          <w:szCs w:val="24"/>
          <w:lang w:val="zh-CN"/>
        </w:rPr>
        <w:t>。</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“工程”是指</w:t>
      </w:r>
      <w:r>
        <w:rPr>
          <w:rFonts w:hint="eastAsia" w:cs="Times New Roman" w:asciiTheme="minorEastAsia" w:hAnsiTheme="minorEastAsia"/>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“服务”是指：</w:t>
      </w:r>
      <w:r>
        <w:rPr>
          <w:rFonts w:hint="eastAsia" w:cs="Times New Roman" w:asciiTheme="minorEastAsia" w:hAnsiTheme="minorEastAsia"/>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10"/>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37"/>
        <w:numPr>
          <w:ilvl w:val="0"/>
          <w:numId w:val="10"/>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37"/>
        <w:ind w:left="420" w:firstLine="0" w:firstLineChars="0"/>
        <w:rPr>
          <w:rFonts w:ascii="宋体" w:hAnsi="宋体"/>
          <w:sz w:val="24"/>
          <w:szCs w:val="24"/>
        </w:rPr>
      </w:pPr>
      <w:r>
        <w:rPr>
          <w:rFonts w:hint="eastAsia" w:ascii="宋体" w:hAnsi="宋体"/>
          <w:sz w:val="24"/>
          <w:szCs w:val="24"/>
        </w:rPr>
        <w:t>经过采购代理机构与采购人协议，规定由中标单位支付。采购代理服务费收费标准如下：</w:t>
      </w:r>
    </w:p>
    <w:p>
      <w:pPr>
        <w:pStyle w:val="37"/>
        <w:ind w:left="420" w:firstLine="0" w:firstLineChars="0"/>
        <w:rPr>
          <w:rFonts w:ascii="宋体" w:hAnsi="宋体"/>
          <w:sz w:val="24"/>
          <w:szCs w:val="24"/>
        </w:rPr>
      </w:pPr>
    </w:p>
    <w:tbl>
      <w:tblPr>
        <w:tblStyle w:val="17"/>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 name="Line 16"/>
                      <wp:cNvGraphicFramePr/>
                      <a:graphic xmlns:a="http://schemas.openxmlformats.org/drawingml/2006/main">
                        <a:graphicData uri="http://schemas.microsoft.com/office/word/2010/wordprocessingShape">
                          <wps:wsp>
                            <wps:cNvSp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61312;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&#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BGc6zRAAAACQEAAA8AAAAAAAAAAQAgAAAAIgAAAGRy&#10;cy9kb3ducmV2LnhtbFBLAQIUABQAAAAIAIdO4kA7C16t0wEAAKUDAAAOAAAAAAAAAAEAIAAAACAB&#10;AABkcnMvZTJvRG9jLnhtbFBLBQYAAAAABgAGAFkBAABlBQ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3" name="Line 17"/>
                      <wp:cNvGraphicFramePr/>
                      <a:graphic xmlns:a="http://schemas.openxmlformats.org/drawingml/2006/main">
                        <a:graphicData uri="http://schemas.microsoft.com/office/word/2010/wordprocessingShape">
                          <wps:wsp>
                            <wps:cNvSp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62336;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&#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Dxi3a7zwEAAKUDAAAOAAAAAAAAAAEAIAAAACQB&#10;AABkcnMvZTJvRG9jLnhtbFBLBQYAAAAABgAGAFkBAABlBQ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uR037VAAAACQEAAA8AAAAAAAAAAQAgAAAAIgAAAGRycy9kb3ducmV2LnhtbFBLAQIU&#10;ABQAAAAIAIdO4kDDYH2XvQEAAIgDAAAOAAAAAAAAAAEAIAAAACQBAABkcnMvZTJvRG9jLnhtbFBL&#10;BQYAAAAABgAGAFkBAABTBQ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1.1%</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37"/>
        <w:adjustRightInd w:val="0"/>
        <w:snapToGrid w:val="0"/>
        <w:spacing w:line="300" w:lineRule="auto"/>
        <w:ind w:left="420" w:firstLine="0" w:firstLineChars="0"/>
        <w:rPr>
          <w:rFonts w:ascii="宋体" w:hAnsi="宋体"/>
          <w:sz w:val="24"/>
          <w:szCs w:val="24"/>
        </w:rPr>
      </w:pP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10" w:name="_Toc278891592"/>
      <w:bookmarkStart w:id="11" w:name="_Toc509323118"/>
      <w:bookmarkStart w:id="12" w:name="_Toc495861521"/>
      <w:bookmarkStart w:id="13" w:name="_Toc272247695"/>
      <w:bookmarkStart w:id="14" w:name="_Toc494561939"/>
      <w:r>
        <w:rPr>
          <w:rFonts w:hint="eastAsia" w:cs="Times New Roman" w:asciiTheme="majorEastAsia" w:hAnsiTheme="majorEastAsia"/>
          <w:bCs w:val="0"/>
          <w:lang w:val="zh-CN"/>
        </w:rPr>
        <w:t>招标文件</w:t>
      </w:r>
      <w:bookmarkEnd w:id="10"/>
      <w:bookmarkEnd w:id="11"/>
      <w:bookmarkEnd w:id="12"/>
      <w:bookmarkEnd w:id="13"/>
      <w:bookmarkEnd w:id="14"/>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在招标过程中由集中采购机构发出的修正和补充文件等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潜在投标人对招标文件有疑问的，可以向集中采购机构提出询问，或在6.2规定的时间前以书面的形式向集中采购机构提交疑问函。</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潜在投标人在项目招标公告期限届满之日起7个工作日内未对招标文件提出疑问的，集中采购机构将视其认同招标文件，在规定的时间后就招标文件内容提出的疑问将不予受理。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2"/>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集中采购机构和采购人可以对已发出的招标文件进行必要的澄清或者修改。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澄清或者修改将在原公告发布媒体上发布澄清公告。澄清或者修改的内容可能影响投标文件编制的，集中采购机构和采购人将在投标截止时间至少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15" w:name="_Toc509323119"/>
      <w:bookmarkStart w:id="16" w:name="_Toc278891593"/>
      <w:bookmarkStart w:id="17" w:name="_Toc494561940"/>
      <w:bookmarkStart w:id="18" w:name="_Toc495861522"/>
      <w:bookmarkStart w:id="19" w:name="_Toc272247696"/>
      <w:r>
        <w:rPr>
          <w:rFonts w:hint="eastAsia" w:cs="Times New Roman" w:asciiTheme="majorEastAsia" w:hAnsiTheme="majorEastAsia"/>
          <w:bCs w:val="0"/>
          <w:lang w:val="zh-CN"/>
        </w:rPr>
        <w:t>投标文件</w:t>
      </w:r>
      <w:bookmarkEnd w:id="15"/>
      <w:bookmarkEnd w:id="16"/>
      <w:bookmarkEnd w:id="17"/>
      <w:bookmarkEnd w:id="18"/>
      <w:bookmarkEnd w:id="19"/>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C0C0C" w:themeColor="text1" w:themeTint="F2"/>
          <w:sz w:val="24"/>
          <w:szCs w:val="24"/>
          <w:lang w:val="zh-CN"/>
        </w:rPr>
        <w:t>，将依法承担相应责任。投标人应自觉接受集中采购机构对其中任何资料进一步核实的要求。</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spacing w:line="360" w:lineRule="auto"/>
        <w:rPr>
          <w:rFonts w:ascii="宋体" w:hAnsi="宋体" w:eastAsia="宋体" w:cs="Times New Roman"/>
          <w:b/>
          <w:sz w:val="24"/>
          <w:szCs w:val="20"/>
        </w:rPr>
      </w:pP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6"/>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6"/>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6"/>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两个及以上供应商可以组成一个联合体，以一个投标人的身份共同参与投标。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以联合体形式参加政府采购活动的，联合体各方不得再单独参加或者与其他供应商另外组成联合体参加同一合同项下的政府采购活动。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联合体中标的，联合体各方应当共同与采购人签订采购合同，</w:t>
      </w:r>
      <w:r>
        <w:rPr>
          <w:rFonts w:hint="eastAsia" w:ascii="宋体" w:hAnsi="宋体"/>
          <w:sz w:val="24"/>
        </w:rPr>
        <w:t>就采购合同约定的事项对采购人承担连带责任，</w:t>
      </w:r>
      <w:r>
        <w:rPr>
          <w:rFonts w:hint="eastAsia" w:cs="Times New Roman" w:asciiTheme="minorEastAsia" w:hAnsiTheme="minorEastAsia"/>
          <w:sz w:val="24"/>
          <w:szCs w:val="24"/>
          <w:lang w:val="zh-CN"/>
        </w:rPr>
        <w:t>联合体主体单位负主要责任。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联合体中有同类资质的供应商按照联合体分工承担相同工作的，应当按照资质等级较低的供应商确定资质等级。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spacing w:line="360" w:lineRule="auto"/>
        <w:ind w:left="480" w:hanging="480" w:hangingChars="200"/>
        <w:rPr>
          <w:rFonts w:cs="Times New Roman" w:asciiTheme="minorEastAsia" w:hAnsiTheme="minorEastAsia"/>
          <w:sz w:val="24"/>
          <w:szCs w:val="24"/>
          <w:lang w:val="zh-CN"/>
        </w:rPr>
      </w:pPr>
      <w:r>
        <w:rPr>
          <w:rFonts w:hint="eastAsia" w:cs="Times New Roman" w:asciiTheme="minorEastAsia" w:hAnsiTheme="minorEastAsia"/>
          <w:sz w:val="24"/>
          <w:szCs w:val="24"/>
        </w:rPr>
        <w:t>17.1</w:t>
      </w: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spacing w:line="360" w:lineRule="auto"/>
        <w:ind w:left="480" w:hanging="480" w:hangingChars="200"/>
        <w:rPr>
          <w:rFonts w:cs="Times New Roman" w:asciiTheme="minorEastAsia" w:hAnsiTheme="minorEastAsia"/>
          <w:sz w:val="24"/>
          <w:szCs w:val="24"/>
          <w:lang w:val="zh-CN"/>
        </w:rPr>
      </w:pPr>
      <w:r>
        <w:rPr>
          <w:rFonts w:hint="eastAsia" w:cs="Times New Roman" w:asciiTheme="minorEastAsia" w:hAnsiTheme="minorEastAsia"/>
          <w:sz w:val="24"/>
          <w:szCs w:val="24"/>
        </w:rPr>
        <w:t>17.2</w:t>
      </w:r>
      <w:r>
        <w:rPr>
          <w:rFonts w:hint="eastAsia" w:cs="Times New Roman" w:asciiTheme="minorEastAsia" w:hAnsiTheme="minorEastAsia"/>
          <w:sz w:val="24"/>
          <w:szCs w:val="24"/>
          <w:lang w:val="zh-CN"/>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spacing w:line="360" w:lineRule="auto"/>
        <w:ind w:left="480" w:hanging="480" w:hangingChars="200"/>
        <w:rPr>
          <w:rFonts w:cs="Times New Roman" w:asciiTheme="minorEastAsia" w:hAnsiTheme="minorEastAsia"/>
          <w:sz w:val="24"/>
          <w:szCs w:val="24"/>
          <w:lang w:val="zh-CN"/>
        </w:rPr>
      </w:pPr>
      <w:r>
        <w:rPr>
          <w:rFonts w:hint="eastAsia" w:cs="Times New Roman" w:asciiTheme="minorEastAsia" w:hAnsiTheme="minorEastAsia"/>
          <w:sz w:val="24"/>
          <w:szCs w:val="24"/>
        </w:rPr>
        <w:t>18.1</w:t>
      </w: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spacing w:line="360" w:lineRule="auto"/>
        <w:ind w:left="480" w:hanging="480" w:hangingChars="200"/>
        <w:rPr>
          <w:rFonts w:cs="Times New Roman" w:asciiTheme="minorEastAsia" w:hAnsiTheme="minorEastAsia"/>
          <w:sz w:val="24"/>
          <w:szCs w:val="24"/>
          <w:lang w:val="zh-CN"/>
        </w:rPr>
      </w:pPr>
      <w:r>
        <w:rPr>
          <w:rFonts w:hint="eastAsia" w:cs="Times New Roman" w:asciiTheme="minorEastAsia" w:hAnsiTheme="minorEastAsia"/>
          <w:sz w:val="24"/>
          <w:szCs w:val="24"/>
        </w:rPr>
        <w:t>18.2</w:t>
      </w: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w:t>
      </w:r>
    </w:p>
    <w:p>
      <w:pPr>
        <w:spacing w:line="360" w:lineRule="auto"/>
        <w:ind w:left="478" w:leftChars="228" w:firstLine="240" w:firstLineChars="100"/>
        <w:rPr>
          <w:rFonts w:cs="Times New Roman" w:asciiTheme="minorEastAsia" w:hAnsiTheme="minorEastAsia"/>
          <w:sz w:val="24"/>
          <w:szCs w:val="24"/>
          <w:lang w:val="zh-CN"/>
        </w:rPr>
      </w:pPr>
      <w:r>
        <w:rPr>
          <w:rFonts w:hint="eastAsia" w:cs="Times New Roman" w:asciiTheme="minorEastAsia" w:hAnsiTheme="minorEastAsia"/>
          <w:sz w:val="24"/>
          <w:szCs w:val="24"/>
          <w:lang w:val="zh-CN"/>
        </w:rPr>
        <w:t>表人授权书》应附在投标文件中。</w:t>
      </w:r>
    </w:p>
    <w:p>
      <w:pPr>
        <w:spacing w:line="360" w:lineRule="auto"/>
        <w:ind w:left="720" w:hanging="720" w:hangingChars="300"/>
        <w:rPr>
          <w:rFonts w:cs="Times New Roman" w:asciiTheme="minorEastAsia" w:hAnsiTheme="minorEastAsia"/>
          <w:sz w:val="24"/>
          <w:szCs w:val="24"/>
          <w:lang w:val="zh-CN"/>
        </w:rPr>
      </w:pPr>
      <w:r>
        <w:rPr>
          <w:rFonts w:hint="eastAsia" w:cs="Times New Roman" w:asciiTheme="minorEastAsia" w:hAnsiTheme="minorEastAsia"/>
          <w:sz w:val="24"/>
          <w:szCs w:val="24"/>
        </w:rPr>
        <w:t>18.3</w:t>
      </w: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spacing w:line="360" w:lineRule="auto"/>
        <w:ind w:left="720" w:hanging="720" w:hangingChars="300"/>
        <w:rPr>
          <w:rFonts w:cs="Times New Roman" w:asciiTheme="minorEastAsia" w:hAnsiTheme="minorEastAsia"/>
          <w:sz w:val="24"/>
          <w:szCs w:val="24"/>
          <w:lang w:val="zh-CN"/>
        </w:rPr>
      </w:pPr>
      <w:r>
        <w:rPr>
          <w:rFonts w:hint="eastAsia" w:cs="Times New Roman" w:asciiTheme="minorEastAsia" w:hAnsiTheme="minorEastAsia"/>
          <w:sz w:val="24"/>
          <w:szCs w:val="24"/>
        </w:rPr>
        <w:t xml:space="preserve">18，4 </w:t>
      </w: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rPr>
        <w:t>19.</w:t>
      </w:r>
      <w:r>
        <w:rPr>
          <w:rFonts w:hint="eastAsia" w:ascii="宋体" w:hAnsi="宋体" w:eastAsia="宋体" w:cs="Times New Roman"/>
          <w:b/>
          <w:sz w:val="24"/>
          <w:szCs w:val="20"/>
          <w:lang w:val="zh-CN"/>
        </w:rPr>
        <w:t>投标文件的密封和标记</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19.1</w:t>
      </w: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spacing w:line="360" w:lineRule="auto"/>
        <w:rPr>
          <w:rFonts w:cs="Times New Roman" w:asciiTheme="minorEastAsia" w:hAnsiTheme="minorEastAsia"/>
          <w:sz w:val="24"/>
          <w:szCs w:val="24"/>
          <w:lang w:val="zh-CN"/>
        </w:rPr>
      </w:pPr>
      <w:r>
        <w:rPr>
          <w:rFonts w:hint="eastAsia" w:cs="Times New Roman" w:asciiTheme="minorEastAsia" w:hAnsiTheme="minorEastAsia"/>
          <w:sz w:val="24"/>
          <w:szCs w:val="24"/>
        </w:rPr>
        <w:t>19.1.1</w:t>
      </w: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spacing w:line="360" w:lineRule="auto"/>
        <w:ind w:left="125"/>
        <w:rPr>
          <w:rFonts w:cs="Times New Roman" w:asciiTheme="minorEastAsia" w:hAnsiTheme="minorEastAsia"/>
          <w:sz w:val="24"/>
          <w:szCs w:val="24"/>
          <w:lang w:val="zh-CN"/>
        </w:rPr>
      </w:pPr>
      <w:r>
        <w:rPr>
          <w:rFonts w:hint="eastAsia" w:cs="Times New Roman" w:asciiTheme="minorEastAsia" w:hAnsiTheme="minorEastAsia"/>
          <w:sz w:val="24"/>
          <w:szCs w:val="24"/>
        </w:rPr>
        <w:t>19.1.2</w:t>
      </w:r>
      <w:r>
        <w:rPr>
          <w:rFonts w:hint="eastAsia" w:cs="Times New Roman" w:asciiTheme="minorEastAsia" w:hAnsiTheme="minorEastAsia"/>
          <w:sz w:val="24"/>
          <w:szCs w:val="24"/>
          <w:lang w:val="zh-CN"/>
        </w:rPr>
        <w:t>商务文件正本1份、副本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份，密封在“商务文件”封包内，</w:t>
      </w:r>
      <w:r>
        <w:rPr>
          <w:rFonts w:hint="eastAsia" w:cs="Times New Roman" w:asciiTheme="minorEastAsia" w:hAnsiTheme="minorEastAsia"/>
          <w:sz w:val="24"/>
          <w:szCs w:val="24"/>
        </w:rPr>
        <w:t>封包上注明“第二部分 商务文件”</w:t>
      </w:r>
      <w:r>
        <w:rPr>
          <w:rFonts w:hint="eastAsia" w:cs="Times New Roman" w:asciiTheme="minorEastAsia" w:hAnsiTheme="minorEastAsia"/>
          <w:sz w:val="24"/>
          <w:szCs w:val="24"/>
          <w:lang w:val="zh-CN"/>
        </w:rPr>
        <w:t>；</w:t>
      </w:r>
    </w:p>
    <w:p>
      <w:pPr>
        <w:spacing w:line="360" w:lineRule="auto"/>
        <w:ind w:left="125"/>
        <w:rPr>
          <w:rFonts w:cs="Times New Roman" w:asciiTheme="minorEastAsia" w:hAnsiTheme="minorEastAsia"/>
          <w:sz w:val="24"/>
          <w:szCs w:val="24"/>
          <w:lang w:val="zh-CN"/>
        </w:rPr>
      </w:pPr>
      <w:r>
        <w:rPr>
          <w:rFonts w:hint="eastAsia" w:cs="Times New Roman" w:asciiTheme="minorEastAsia" w:hAnsiTheme="minorEastAsia"/>
          <w:sz w:val="24"/>
          <w:szCs w:val="24"/>
        </w:rPr>
        <w:t>19.1.3</w:t>
      </w:r>
      <w:r>
        <w:rPr>
          <w:rFonts w:hint="eastAsia" w:cs="Times New Roman" w:asciiTheme="minorEastAsia" w:hAnsiTheme="minorEastAsia"/>
          <w:sz w:val="24"/>
          <w:szCs w:val="24"/>
          <w:lang w:val="zh-CN"/>
        </w:rPr>
        <w:t>技术、服务文件正本1份、副本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份，密封在“技术、服务文件”封包内，</w:t>
      </w:r>
      <w:r>
        <w:rPr>
          <w:rFonts w:hint="eastAsia" w:cs="Times New Roman" w:asciiTheme="minorEastAsia" w:hAnsiTheme="minorEastAsia"/>
          <w:sz w:val="24"/>
          <w:szCs w:val="24"/>
        </w:rPr>
        <w:t>封包上注明“第三部分 技术、服务文件”</w:t>
      </w:r>
      <w:r>
        <w:rPr>
          <w:rFonts w:hint="eastAsia" w:cs="Times New Roman" w:asciiTheme="minorEastAsia" w:hAnsiTheme="minorEastAsia"/>
          <w:sz w:val="24"/>
          <w:szCs w:val="24"/>
          <w:lang w:val="zh-CN"/>
        </w:rPr>
        <w:t>。</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19.2</w:t>
      </w: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19.3</w:t>
      </w: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r>
        <w:rPr>
          <w:rFonts w:hint="eastAsia" w:ascii="宋体" w:hAnsi="宋体" w:eastAsia="宋体" w:cs="Times New Roman"/>
          <w:sz w:val="24"/>
          <w:szCs w:val="20"/>
        </w:rPr>
        <w:t>19.4</w:t>
      </w:r>
      <w:r>
        <w:rPr>
          <w:rFonts w:hint="eastAsia" w:ascii="宋体" w:hAnsi="宋体" w:eastAsia="宋体" w:cs="Times New Roman"/>
          <w:sz w:val="24"/>
          <w:szCs w:val="20"/>
          <w:lang w:val="zh-CN"/>
        </w:rPr>
        <w:t>未按要求密封、标记或存在错误，招标代理机构对其误投或提前启封概不负责。</w:t>
      </w:r>
    </w:p>
    <w:p>
      <w:pPr>
        <w:spacing w:line="360" w:lineRule="auto"/>
        <w:ind w:left="480" w:hanging="480" w:hangingChars="200"/>
        <w:rPr>
          <w:rFonts w:ascii="Helvetica" w:hAnsi="Helvetica" w:eastAsia="宋体" w:cs="Helvetica"/>
          <w:kern w:val="0"/>
          <w:sz w:val="24"/>
          <w:szCs w:val="24"/>
          <w:lang w:val="zh-CN"/>
        </w:rPr>
      </w:pPr>
    </w:p>
    <w:p>
      <w:p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rPr>
        <w:t>20.</w:t>
      </w:r>
      <w:r>
        <w:rPr>
          <w:rFonts w:hint="eastAsia" w:ascii="宋体" w:hAnsi="宋体" w:eastAsia="宋体" w:cs="Times New Roman"/>
          <w:b/>
          <w:sz w:val="24"/>
          <w:szCs w:val="20"/>
          <w:lang w:val="zh-CN"/>
        </w:rPr>
        <w:t>投标文件递交</w:t>
      </w:r>
    </w:p>
    <w:p>
      <w:pPr>
        <w:spacing w:line="360" w:lineRule="auto"/>
        <w:ind w:left="720" w:hanging="720" w:hangingChars="300"/>
        <w:rPr>
          <w:rFonts w:asciiTheme="majorEastAsia" w:hAnsiTheme="majorEastAsia" w:eastAsiaTheme="majorEastAsia" w:cstheme="majorEastAsia"/>
          <w:kern w:val="0"/>
          <w:sz w:val="24"/>
          <w:szCs w:val="24"/>
          <w:lang w:val="zh-CN"/>
        </w:rPr>
      </w:pPr>
      <w:r>
        <w:rPr>
          <w:rFonts w:hint="eastAsia" w:asciiTheme="majorEastAsia" w:hAnsiTheme="majorEastAsia" w:eastAsiaTheme="majorEastAsia" w:cstheme="majorEastAsia"/>
          <w:kern w:val="0"/>
          <w:sz w:val="24"/>
          <w:szCs w:val="24"/>
        </w:rPr>
        <w:t xml:space="preserve">20.1 </w:t>
      </w:r>
      <w:r>
        <w:rPr>
          <w:rFonts w:hint="eastAsia" w:asciiTheme="majorEastAsia" w:hAnsiTheme="majorEastAsia" w:eastAsiaTheme="majorEastAsia" w:cstheme="majorEastAsia"/>
          <w:kern w:val="0"/>
          <w:sz w:val="24"/>
          <w:szCs w:val="24"/>
          <w:lang w:val="zh-CN"/>
        </w:rPr>
        <w:t>投标人应在不迟于投标邀请书中规定的投标截止日期和时间将投标文件密封递交至</w:t>
      </w:r>
    </w:p>
    <w:p>
      <w:pPr>
        <w:spacing w:line="360" w:lineRule="auto"/>
        <w:ind w:left="718" w:leftChars="228" w:hanging="240" w:hangingChars="100"/>
        <w:rPr>
          <w:rFonts w:asciiTheme="majorEastAsia" w:hAnsiTheme="majorEastAsia" w:eastAsiaTheme="majorEastAsia" w:cstheme="majorEastAsia"/>
          <w:kern w:val="0"/>
          <w:sz w:val="24"/>
          <w:szCs w:val="24"/>
          <w:lang w:val="zh-CN"/>
        </w:rPr>
      </w:pPr>
      <w:r>
        <w:rPr>
          <w:rFonts w:hint="eastAsia" w:asciiTheme="majorEastAsia" w:hAnsiTheme="majorEastAsia" w:eastAsiaTheme="majorEastAsia" w:cstheme="majorEastAsia"/>
          <w:kern w:val="0"/>
          <w:sz w:val="24"/>
          <w:szCs w:val="24"/>
          <w:lang w:val="zh-CN"/>
        </w:rPr>
        <w:t>采购人（或代理公司）规定的投标地点。</w:t>
      </w:r>
    </w:p>
    <w:p>
      <w:pPr>
        <w:spacing w:line="360" w:lineRule="auto"/>
        <w:rPr>
          <w:rFonts w:asciiTheme="majorEastAsia" w:hAnsiTheme="majorEastAsia" w:eastAsiaTheme="majorEastAsia" w:cstheme="majorEastAsia"/>
          <w:b/>
          <w:kern w:val="0"/>
          <w:sz w:val="24"/>
          <w:szCs w:val="24"/>
          <w:lang w:val="zh-CN"/>
        </w:rPr>
      </w:pPr>
      <w:r>
        <w:rPr>
          <w:rFonts w:hint="eastAsia" w:asciiTheme="majorEastAsia" w:hAnsiTheme="majorEastAsia" w:eastAsiaTheme="majorEastAsia" w:cstheme="majorEastAsia"/>
          <w:kern w:val="0"/>
          <w:sz w:val="24"/>
          <w:szCs w:val="24"/>
        </w:rPr>
        <w:t xml:space="preserve">20.2 </w:t>
      </w:r>
      <w:r>
        <w:rPr>
          <w:rFonts w:hint="eastAsia" w:asciiTheme="majorEastAsia" w:hAnsiTheme="majorEastAsia" w:eastAsiaTheme="majorEastAsia" w:cstheme="majorEastAsia"/>
          <w:kern w:val="0"/>
          <w:sz w:val="24"/>
          <w:szCs w:val="24"/>
          <w:lang w:val="zh-CN"/>
        </w:rPr>
        <w:t>采购人（或代理公司）</w:t>
      </w:r>
      <w:r>
        <w:rPr>
          <w:rFonts w:hint="eastAsia" w:asciiTheme="majorEastAsia" w:hAnsiTheme="majorEastAsia" w:eastAsiaTheme="majorEastAsia" w:cstheme="majorEastAsia"/>
          <w:b/>
          <w:kern w:val="0"/>
          <w:sz w:val="24"/>
          <w:szCs w:val="24"/>
          <w:lang w:val="zh-CN"/>
        </w:rPr>
        <w:t>拒收逾期送达或者未按招标文件要求密封的投标文件。</w:t>
      </w:r>
    </w:p>
    <w:p>
      <w:pPr>
        <w:spacing w:line="360" w:lineRule="auto"/>
        <w:ind w:left="480" w:hanging="480" w:hangingChars="200"/>
        <w:rPr>
          <w:rFonts w:ascii="Helvetica" w:hAnsi="Helvetica" w:eastAsia="宋体" w:cs="Helvetica"/>
          <w:kern w:val="0"/>
          <w:sz w:val="24"/>
          <w:szCs w:val="24"/>
          <w:lang w:val="zh-CN"/>
        </w:rPr>
      </w:pPr>
      <w:r>
        <w:rPr>
          <w:rFonts w:hint="eastAsia" w:asciiTheme="majorEastAsia" w:hAnsiTheme="majorEastAsia" w:eastAsiaTheme="majorEastAsia" w:cstheme="majorEastAsia"/>
          <w:kern w:val="0"/>
          <w:sz w:val="24"/>
          <w:szCs w:val="24"/>
        </w:rPr>
        <w:t>20.3</w:t>
      </w:r>
      <w:r>
        <w:rPr>
          <w:rFonts w:hint="eastAsia" w:ascii="Helvetica" w:hAnsi="Helvetica" w:eastAsia="宋体" w:cs="Helvetica"/>
          <w:kern w:val="0"/>
          <w:sz w:val="24"/>
          <w:szCs w:val="24"/>
          <w:lang w:val="zh-CN"/>
        </w:rPr>
        <w:t>采购人（或代理公司）</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spacing w:line="360" w:lineRule="auto"/>
        <w:ind w:left="480" w:hanging="480" w:hangingChars="200"/>
        <w:rPr>
          <w:rFonts w:ascii="Helvetica" w:hAnsi="Helvetica" w:eastAsia="宋体" w:cs="Helvetica"/>
          <w:kern w:val="0"/>
          <w:sz w:val="24"/>
          <w:szCs w:val="24"/>
          <w:lang w:val="zh-CN"/>
        </w:rPr>
      </w:pPr>
    </w:p>
    <w:p>
      <w:p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rPr>
        <w:t>21</w:t>
      </w:r>
      <w:r>
        <w:rPr>
          <w:rFonts w:hint="eastAsia" w:ascii="宋体" w:hAnsi="宋体" w:eastAsia="宋体" w:cs="Times New Roman"/>
          <w:b/>
          <w:sz w:val="24"/>
          <w:szCs w:val="20"/>
          <w:lang w:val="zh-CN"/>
        </w:rPr>
        <w:t>投标文件的修改和撤回</w:t>
      </w:r>
    </w:p>
    <w:p>
      <w:pPr>
        <w:spacing w:line="360" w:lineRule="auto"/>
        <w:ind w:left="720" w:hanging="720" w:hangingChars="300"/>
        <w:rPr>
          <w:rFonts w:ascii="宋体" w:hAnsi="宋体" w:eastAsia="宋体" w:cs="Times New Roman"/>
          <w:strike/>
          <w:sz w:val="24"/>
          <w:szCs w:val="20"/>
          <w:lang w:val="zh-CN"/>
        </w:rPr>
      </w:pPr>
      <w:r>
        <w:rPr>
          <w:rFonts w:hint="eastAsia" w:ascii="宋体" w:hAnsi="宋体" w:eastAsia="宋体" w:cs="Times New Roman"/>
          <w:sz w:val="24"/>
          <w:szCs w:val="20"/>
        </w:rPr>
        <w:t xml:space="preserve">21.1 </w:t>
      </w: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集中采购机构</w:t>
      </w:r>
      <w:r>
        <w:rPr>
          <w:rFonts w:ascii="宋体" w:hAnsi="宋体" w:eastAsia="宋体" w:cs="Times New Roman"/>
          <w:sz w:val="24"/>
          <w:szCs w:val="20"/>
          <w:lang w:val="zh-CN"/>
        </w:rPr>
        <w:t>。补充、修改的内容应当按照招标文件要求签署、盖章、密封后，作为投标文件的组成部分。</w:t>
      </w:r>
    </w:p>
    <w:p>
      <w:pPr>
        <w:spacing w:line="360" w:lineRule="auto"/>
        <w:ind w:left="720" w:hanging="720" w:hangingChars="300"/>
        <w:rPr>
          <w:rFonts w:ascii="宋体" w:hAnsi="宋体" w:eastAsia="宋体" w:cs="Times New Roman"/>
          <w:sz w:val="24"/>
          <w:szCs w:val="20"/>
          <w:lang w:val="zh-CN"/>
        </w:rPr>
      </w:pPr>
      <w:r>
        <w:rPr>
          <w:rFonts w:hint="eastAsia" w:ascii="宋体" w:hAnsi="宋体" w:eastAsia="宋体" w:cs="Times New Roman"/>
          <w:sz w:val="24"/>
          <w:szCs w:val="20"/>
        </w:rPr>
        <w:t xml:space="preserve">21.2 </w:t>
      </w:r>
      <w:r>
        <w:rPr>
          <w:rFonts w:hint="eastAsia" w:ascii="宋体" w:hAnsi="宋体" w:eastAsia="宋体" w:cs="Times New Roman"/>
          <w:sz w:val="24"/>
          <w:szCs w:val="20"/>
          <w:lang w:val="zh-CN"/>
        </w:rPr>
        <w:t>投标有效期内投标人不得撤销其投标文件，否则按照本章“投标保证金”的规定其投</w:t>
      </w:r>
    </w:p>
    <w:p>
      <w:pPr>
        <w:spacing w:line="360" w:lineRule="auto"/>
        <w:ind w:left="718" w:leftChars="228" w:hanging="240" w:hangingChars="100"/>
        <w:rPr>
          <w:rFonts w:ascii="宋体" w:hAnsi="宋体" w:eastAsia="宋体" w:cs="Times New Roman"/>
          <w:sz w:val="24"/>
          <w:szCs w:val="20"/>
          <w:lang w:val="zh-CN"/>
        </w:rPr>
      </w:pPr>
      <w:r>
        <w:rPr>
          <w:rFonts w:hint="eastAsia" w:ascii="宋体" w:hAnsi="宋体" w:eastAsia="宋体" w:cs="Times New Roman"/>
          <w:sz w:val="24"/>
          <w:szCs w:val="20"/>
          <w:lang w:val="zh-CN"/>
        </w:rPr>
        <w:t>标保证金不予退还。</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 xml:space="preserve">21.3 </w:t>
      </w:r>
      <w:r>
        <w:rPr>
          <w:rFonts w:hint="eastAsia" w:ascii="宋体" w:hAnsi="宋体" w:eastAsia="宋体" w:cs="Times New Roman"/>
          <w:sz w:val="24"/>
          <w:szCs w:val="20"/>
          <w:lang w:val="zh-CN"/>
        </w:rPr>
        <w:t>投标人所递交的投标文件无论中标与否不予退还。</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20" w:name="_Toc494561942"/>
      <w:bookmarkStart w:id="21" w:name="_Toc495861523"/>
      <w:bookmarkStart w:id="22" w:name="_Toc509323120"/>
      <w:bookmarkStart w:id="23" w:name="_Toc278891595"/>
      <w:bookmarkStart w:id="24" w:name="_Toc272247698"/>
      <w:r>
        <w:rPr>
          <w:rFonts w:hint="eastAsia" w:cs="Times New Roman" w:asciiTheme="majorEastAsia" w:hAnsiTheme="majorEastAsia"/>
          <w:bCs w:val="0"/>
          <w:lang w:val="zh-CN"/>
        </w:rPr>
        <w:t>开标与评标</w:t>
      </w:r>
      <w:bookmarkEnd w:id="20"/>
      <w:bookmarkEnd w:id="21"/>
      <w:bookmarkEnd w:id="22"/>
      <w:bookmarkEnd w:id="23"/>
      <w:bookmarkEnd w:id="24"/>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spacing w:line="360" w:lineRule="auto"/>
        <w:ind w:left="480" w:hanging="480" w:hangingChars="200"/>
        <w:rPr>
          <w:rFonts w:ascii="宋体" w:hAnsi="宋体" w:eastAsia="宋体" w:cs="Times New Roman"/>
          <w:b/>
          <w:sz w:val="24"/>
          <w:szCs w:val="20"/>
          <w:lang w:val="zh-CN"/>
        </w:rPr>
      </w:pPr>
      <w:r>
        <w:rPr>
          <w:rFonts w:hint="eastAsia" w:ascii="Helvetica" w:hAnsi="Helvetica" w:eastAsia="宋体" w:cs="Helvetica"/>
          <w:kern w:val="0"/>
          <w:sz w:val="24"/>
          <w:szCs w:val="24"/>
        </w:rPr>
        <w:t xml:space="preserve">22.1 </w:t>
      </w:r>
      <w:r>
        <w:rPr>
          <w:rFonts w:hint="eastAsia" w:ascii="Helvetica" w:hAnsi="Helvetica" w:eastAsia="宋体" w:cs="Helvetica"/>
          <w:kern w:val="0"/>
          <w:sz w:val="24"/>
          <w:szCs w:val="24"/>
          <w:lang w:val="zh-CN"/>
        </w:rPr>
        <w:t>采购人（或代理公司）</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spacing w:line="360" w:lineRule="auto"/>
        <w:ind w:left="480" w:hanging="480" w:hangingChars="200"/>
        <w:rPr>
          <w:rFonts w:asciiTheme="majorEastAsia" w:hAnsiTheme="majorEastAsia" w:eastAsiaTheme="majorEastAsia" w:cstheme="majorEastAsia"/>
          <w:sz w:val="24"/>
          <w:szCs w:val="20"/>
          <w:lang w:val="zh-CN"/>
        </w:rPr>
      </w:pPr>
      <w:r>
        <w:rPr>
          <w:rFonts w:hint="eastAsia" w:asciiTheme="majorEastAsia" w:hAnsiTheme="majorEastAsia" w:eastAsiaTheme="majorEastAsia" w:cstheme="majorEastAsia"/>
          <w:sz w:val="24"/>
          <w:szCs w:val="20"/>
        </w:rPr>
        <w:t xml:space="preserve">22.2 </w:t>
      </w:r>
      <w:r>
        <w:rPr>
          <w:rFonts w:hint="eastAsia" w:asciiTheme="majorEastAsia" w:hAnsiTheme="majorEastAsia" w:eastAsiaTheme="majorEastAsia" w:cstheme="majorEastAsia"/>
          <w:sz w:val="24"/>
          <w:szCs w:val="20"/>
          <w:lang w:val="zh-CN"/>
        </w:rPr>
        <w:t>投标人法定代表人或其授权代表应携带有效身份证明参加项目开标会，投标人未参加开标的，视同认可开标结果。截止</w:t>
      </w:r>
      <w:r>
        <w:rPr>
          <w:rFonts w:hint="eastAsia" w:asciiTheme="majorEastAsia" w:hAnsiTheme="majorEastAsia" w:eastAsiaTheme="majorEastAsia" w:cstheme="majorEastAsia"/>
          <w:kern w:val="0"/>
          <w:sz w:val="24"/>
          <w:szCs w:val="24"/>
        </w:rPr>
        <w:t>投标文件</w:t>
      </w:r>
      <w:r>
        <w:rPr>
          <w:rFonts w:hint="eastAsia" w:asciiTheme="majorEastAsia" w:hAnsiTheme="majorEastAsia" w:eastAsiaTheme="majorEastAsia" w:cstheme="majorEastAsia"/>
          <w:sz w:val="24"/>
          <w:szCs w:val="20"/>
          <w:lang w:val="zh-CN"/>
        </w:rPr>
        <w:t>递交时间，投标人不足3家的，不进行开标</w:t>
      </w:r>
      <w:r>
        <w:rPr>
          <w:rFonts w:hint="eastAsia" w:asciiTheme="majorEastAsia" w:hAnsiTheme="majorEastAsia" w:eastAsiaTheme="majorEastAsia" w:cstheme="majorEastAsia"/>
          <w:kern w:val="0"/>
          <w:sz w:val="24"/>
          <w:szCs w:val="24"/>
          <w:lang w:val="zh-CN"/>
        </w:rPr>
        <w:t>。</w:t>
      </w:r>
    </w:p>
    <w:p>
      <w:pPr>
        <w:spacing w:line="360" w:lineRule="auto"/>
        <w:ind w:left="480" w:hanging="480" w:hangingChars="200"/>
        <w:rPr>
          <w:rFonts w:asciiTheme="majorEastAsia" w:hAnsiTheme="majorEastAsia" w:eastAsiaTheme="majorEastAsia" w:cstheme="majorEastAsia"/>
          <w:sz w:val="24"/>
          <w:szCs w:val="20"/>
          <w:lang w:val="zh-CN"/>
        </w:rPr>
      </w:pPr>
      <w:r>
        <w:rPr>
          <w:rFonts w:hint="eastAsia" w:asciiTheme="majorEastAsia" w:hAnsiTheme="majorEastAsia" w:eastAsiaTheme="majorEastAsia" w:cstheme="majorEastAsia"/>
          <w:sz w:val="24"/>
          <w:szCs w:val="20"/>
        </w:rPr>
        <w:t>22.3</w:t>
      </w:r>
      <w:r>
        <w:rPr>
          <w:rFonts w:hint="eastAsia" w:asciiTheme="majorEastAsia" w:hAnsiTheme="majorEastAsia" w:eastAsiaTheme="majorEastAsia" w:cstheme="majorEastAsia"/>
          <w:sz w:val="24"/>
          <w:szCs w:val="20"/>
          <w:lang w:val="zh-CN"/>
        </w:rPr>
        <w:t>开标时，由投标人或其推选的代表检查投标文件的密封情况，经确认无误后由</w:t>
      </w:r>
      <w:r>
        <w:rPr>
          <w:rFonts w:hint="eastAsia" w:asciiTheme="majorEastAsia" w:hAnsiTheme="majorEastAsia" w:eastAsiaTheme="majorEastAsia" w:cstheme="majorEastAsia"/>
          <w:kern w:val="0"/>
          <w:sz w:val="24"/>
          <w:szCs w:val="24"/>
          <w:lang w:val="zh-CN"/>
        </w:rPr>
        <w:t>采购人（或代理公司）</w:t>
      </w:r>
      <w:r>
        <w:rPr>
          <w:rFonts w:hint="eastAsia" w:asciiTheme="majorEastAsia" w:hAnsiTheme="majorEastAsia" w:eastAsiaTheme="majorEastAsia" w:cstheme="majorEastAsia"/>
          <w:sz w:val="24"/>
          <w:szCs w:val="20"/>
          <w:lang w:val="zh-CN"/>
        </w:rPr>
        <w:t>工作人员当众拆封，宣布投标人名称、投标价格和招标文件规定的需要宣布的其他内容。</w:t>
      </w:r>
    </w:p>
    <w:p>
      <w:pPr>
        <w:spacing w:line="360" w:lineRule="auto"/>
        <w:ind w:left="480" w:hanging="480" w:hangingChars="200"/>
        <w:rPr>
          <w:rFonts w:asciiTheme="majorEastAsia" w:hAnsiTheme="majorEastAsia" w:eastAsiaTheme="majorEastAsia" w:cstheme="majorEastAsia"/>
          <w:sz w:val="24"/>
          <w:szCs w:val="20"/>
          <w:lang w:val="zh-CN"/>
        </w:rPr>
      </w:pPr>
      <w:r>
        <w:rPr>
          <w:rFonts w:hint="eastAsia" w:asciiTheme="majorEastAsia" w:hAnsiTheme="majorEastAsia" w:eastAsiaTheme="majorEastAsia" w:cstheme="majorEastAsia"/>
          <w:kern w:val="0"/>
          <w:sz w:val="24"/>
          <w:szCs w:val="24"/>
        </w:rPr>
        <w:t xml:space="preserve">22.4 </w:t>
      </w:r>
      <w:r>
        <w:rPr>
          <w:rFonts w:hint="eastAsia" w:asciiTheme="majorEastAsia" w:hAnsiTheme="majorEastAsia" w:eastAsiaTheme="majorEastAsia" w:cstheme="majorEastAsia"/>
          <w:kern w:val="0"/>
          <w:sz w:val="24"/>
          <w:szCs w:val="24"/>
          <w:lang w:val="zh-CN"/>
        </w:rPr>
        <w:t>采购人（或代理公司）</w:t>
      </w:r>
      <w:r>
        <w:rPr>
          <w:rFonts w:hint="eastAsia" w:asciiTheme="majorEastAsia" w:hAnsiTheme="majorEastAsia" w:eastAsiaTheme="majorEastAsia" w:cstheme="majorEastAsia"/>
          <w:sz w:val="24"/>
          <w:szCs w:val="20"/>
          <w:lang w:val="zh-CN"/>
        </w:rPr>
        <w:t>负责对开标过程进行记录，由参加开标的各投标人代表和相关工作人员对开标记录进行签字确认。</w:t>
      </w:r>
    </w:p>
    <w:p>
      <w:pPr>
        <w:spacing w:line="360" w:lineRule="auto"/>
        <w:ind w:left="720" w:hanging="720" w:hangingChars="300"/>
        <w:rPr>
          <w:rFonts w:ascii="宋体" w:hAnsi="宋体" w:eastAsia="宋体" w:cs="Times New Roman"/>
          <w:sz w:val="24"/>
          <w:szCs w:val="20"/>
          <w:lang w:val="zh-CN"/>
        </w:rPr>
      </w:pPr>
      <w:r>
        <w:rPr>
          <w:rFonts w:hint="eastAsia" w:asciiTheme="majorEastAsia" w:hAnsiTheme="majorEastAsia" w:eastAsiaTheme="majorEastAsia" w:cstheme="majorEastAsia"/>
          <w:sz w:val="24"/>
          <w:szCs w:val="20"/>
        </w:rPr>
        <w:t xml:space="preserve">22.5 </w:t>
      </w: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kern w:val="0"/>
          <w:sz w:val="24"/>
          <w:szCs w:val="24"/>
          <w:lang w:val="zh-CN"/>
        </w:rPr>
        <w:t>代理公司</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kern w:val="0"/>
          <w:sz w:val="24"/>
          <w:szCs w:val="24"/>
          <w:lang w:val="zh-CN"/>
        </w:rPr>
        <w:t>代理公司</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spacing w:line="360" w:lineRule="auto"/>
        <w:ind w:left="480" w:hanging="480" w:hangingChars="200"/>
        <w:rPr>
          <w:rFonts w:ascii="Helvetica" w:hAnsi="Helvetica" w:eastAsia="宋体" w:cs="Helvetica"/>
          <w:kern w:val="0"/>
          <w:sz w:val="24"/>
          <w:szCs w:val="24"/>
          <w:lang w:val="zh-CN"/>
        </w:rPr>
      </w:pPr>
      <w:r>
        <w:rPr>
          <w:rFonts w:hint="eastAsia" w:ascii="宋体" w:hAnsi="宋体" w:eastAsia="宋体" w:cs="Times New Roman"/>
          <w:bCs/>
          <w:sz w:val="24"/>
          <w:szCs w:val="20"/>
        </w:rPr>
        <w:t xml:space="preserve">23.1 </w:t>
      </w:r>
      <w:r>
        <w:rPr>
          <w:rFonts w:hint="eastAsia" w:ascii="宋体" w:hAnsi="宋体" w:eastAsia="宋体" w:cs="Times New Roman"/>
          <w:bCs/>
          <w:sz w:val="24"/>
          <w:szCs w:val="20"/>
          <w:lang w:val="zh-CN"/>
        </w:rPr>
        <w:t>公开招标采购项目开标结束后，采购人和采购代理公司依据法律、法规及招标文件的规定，对投标人的资格进行审查，以确定投标人资格是否合格。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spacing w:line="360" w:lineRule="auto"/>
        <w:rPr>
          <w:rFonts w:ascii="宋体" w:hAnsi="宋体" w:eastAsia="宋体" w:cs="Times New Roman"/>
          <w:bCs/>
          <w:sz w:val="24"/>
          <w:szCs w:val="20"/>
          <w:lang w:val="zh-CN"/>
        </w:rPr>
      </w:pPr>
      <w:r>
        <w:rPr>
          <w:rFonts w:hint="eastAsia" w:ascii="宋体" w:hAnsi="宋体" w:eastAsia="宋体" w:cs="Times New Roman"/>
          <w:bCs/>
          <w:sz w:val="24"/>
          <w:szCs w:val="20"/>
        </w:rPr>
        <w:t xml:space="preserve">23.2 </w:t>
      </w: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spacing w:line="360" w:lineRule="auto"/>
        <w:ind w:left="480" w:hanging="480" w:hangingChars="200"/>
        <w:rPr>
          <w:rFonts w:ascii="宋体" w:hAnsi="宋体" w:eastAsia="宋体" w:cs="Times New Roman"/>
          <w:bCs/>
          <w:sz w:val="24"/>
          <w:szCs w:val="20"/>
          <w:lang w:val="zh-CN"/>
        </w:rPr>
      </w:pPr>
      <w:r>
        <w:rPr>
          <w:rFonts w:hint="eastAsia" w:ascii="宋体" w:hAnsi="宋体" w:eastAsia="宋体" w:cs="Times New Roman"/>
          <w:bCs/>
          <w:sz w:val="24"/>
          <w:szCs w:val="20"/>
        </w:rPr>
        <w:t xml:space="preserve">24.1 </w:t>
      </w: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spacing w:line="360" w:lineRule="auto"/>
        <w:rPr>
          <w:rFonts w:ascii="宋体" w:hAnsi="宋体" w:eastAsia="宋体" w:cs="Times New Roman"/>
          <w:bCs/>
          <w:sz w:val="24"/>
          <w:szCs w:val="20"/>
        </w:rPr>
      </w:pPr>
      <w:r>
        <w:rPr>
          <w:rFonts w:hint="eastAsia" w:ascii="宋体" w:hAnsi="宋体" w:eastAsia="宋体" w:cs="Times New Roman"/>
          <w:bCs/>
          <w:sz w:val="24"/>
          <w:szCs w:val="20"/>
        </w:rPr>
        <w:t xml:space="preserve">24.2 </w:t>
      </w: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w:t>
      </w:r>
      <w:r>
        <w:rPr>
          <w:rFonts w:hint="eastAsia" w:ascii="宋体" w:hAnsi="宋体" w:eastAsia="宋体" w:cs="Times New Roman"/>
          <w:bCs/>
          <w:sz w:val="24"/>
          <w:szCs w:val="20"/>
        </w:rPr>
        <w:t xml:space="preserve">  </w:t>
      </w:r>
    </w:p>
    <w:p>
      <w:pPr>
        <w:spacing w:line="360" w:lineRule="auto"/>
        <w:ind w:firstLine="720" w:firstLineChars="300"/>
        <w:rPr>
          <w:rFonts w:asciiTheme="majorEastAsia" w:hAnsiTheme="majorEastAsia" w:eastAsiaTheme="majorEastAsia" w:cstheme="majorEastAsia"/>
          <w:bCs/>
          <w:sz w:val="24"/>
          <w:szCs w:val="20"/>
          <w:lang w:val="zh-CN"/>
        </w:rPr>
      </w:pPr>
      <w:r>
        <w:rPr>
          <w:rFonts w:hint="eastAsia" w:asciiTheme="majorEastAsia" w:hAnsiTheme="majorEastAsia" w:eastAsiaTheme="majorEastAsia" w:cstheme="majorEastAsia"/>
          <w:bCs/>
          <w:sz w:val="24"/>
          <w:szCs w:val="20"/>
          <w:lang w:val="zh-CN"/>
        </w:rPr>
        <w:t>素的量化指标评审得分最高的投标人为中标候选人的评标方法。</w:t>
      </w:r>
    </w:p>
    <w:p>
      <w:pPr>
        <w:spacing w:line="360" w:lineRule="auto"/>
        <w:rPr>
          <w:rFonts w:ascii="宋体" w:hAnsi="宋体" w:eastAsia="宋体" w:cs="Times New Roman"/>
          <w:bCs/>
          <w:sz w:val="24"/>
          <w:szCs w:val="20"/>
          <w:lang w:val="zh-CN"/>
        </w:rPr>
      </w:pPr>
      <w:r>
        <w:rPr>
          <w:rFonts w:hint="eastAsia" w:asciiTheme="majorEastAsia" w:hAnsiTheme="majorEastAsia" w:eastAsiaTheme="majorEastAsia" w:cstheme="majorEastAsia"/>
          <w:kern w:val="0"/>
          <w:sz w:val="24"/>
          <w:szCs w:val="24"/>
        </w:rPr>
        <w:t xml:space="preserve">24.3 </w:t>
      </w:r>
      <w:r>
        <w:rPr>
          <w:rFonts w:hint="eastAsia" w:asciiTheme="majorEastAsia" w:hAnsiTheme="majorEastAsia" w:eastAsiaTheme="majorEastAsia" w:cstheme="majorEastAsia"/>
          <w:kern w:val="0"/>
          <w:sz w:val="24"/>
          <w:szCs w:val="24"/>
          <w:lang w:val="zh-CN"/>
        </w:rPr>
        <w:t>评</w:t>
      </w:r>
      <w:r>
        <w:rPr>
          <w:rFonts w:hint="eastAsia" w:ascii="Helvetica" w:hAnsi="Helvetica" w:eastAsia="宋体" w:cs="Helvetica"/>
          <w:kern w:val="0"/>
          <w:sz w:val="24"/>
          <w:szCs w:val="24"/>
          <w:lang w:val="zh-CN"/>
        </w:rPr>
        <w:t>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spacing w:line="360" w:lineRule="auto"/>
        <w:ind w:left="480" w:hanging="480" w:hangingChars="200"/>
        <w:rPr>
          <w:rFonts w:ascii="宋体" w:hAnsi="宋体" w:eastAsia="宋体" w:cs="Times New Roman"/>
          <w:sz w:val="24"/>
          <w:szCs w:val="20"/>
          <w:lang w:val="zh-CN"/>
        </w:rPr>
      </w:pPr>
      <w:r>
        <w:rPr>
          <w:rFonts w:hint="eastAsia" w:ascii="宋体" w:hAnsi="宋体" w:eastAsia="宋体" w:cs="Helvetica"/>
          <w:kern w:val="0"/>
          <w:sz w:val="24"/>
          <w:szCs w:val="24"/>
        </w:rPr>
        <w:t xml:space="preserve">25.1 </w:t>
      </w: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spacing w:line="360" w:lineRule="auto"/>
        <w:ind w:left="723" w:hanging="720" w:hangingChars="300"/>
        <w:rPr>
          <w:rFonts w:ascii="宋体" w:hAnsi="宋体" w:eastAsia="宋体" w:cs="Times New Roman"/>
          <w:b/>
          <w:sz w:val="24"/>
          <w:szCs w:val="20"/>
          <w:lang w:val="zh-CN"/>
        </w:rPr>
      </w:pPr>
      <w:r>
        <w:rPr>
          <w:rFonts w:hint="eastAsia" w:ascii="宋体" w:hAnsi="宋体" w:eastAsia="宋体" w:cs="Times New Roman"/>
          <w:b/>
          <w:sz w:val="24"/>
          <w:szCs w:val="20"/>
        </w:rPr>
        <w:t xml:space="preserve">25.2 </w:t>
      </w: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spacing w:line="360" w:lineRule="auto"/>
        <w:rPr>
          <w:rFonts w:ascii="宋体" w:hAnsi="宋体" w:eastAsia="宋体" w:cs="Times New Roman"/>
          <w:sz w:val="24"/>
          <w:szCs w:val="20"/>
          <w:lang w:val="zh-CN"/>
        </w:rPr>
      </w:pPr>
      <w:r>
        <w:rPr>
          <w:rFonts w:hint="eastAsia" w:asciiTheme="minorEastAsia" w:hAnsiTheme="minorEastAsia" w:cstheme="minorEastAsia"/>
          <w:kern w:val="0"/>
          <w:sz w:val="24"/>
          <w:szCs w:val="24"/>
        </w:rPr>
        <w:t>26.1</w:t>
      </w:r>
      <w:r>
        <w:rPr>
          <w:rFonts w:hint="eastAsia" w:ascii="Helvetica" w:hAnsi="Helvetica" w:eastAsia="宋体" w:cs="Helvetica"/>
          <w:kern w:val="0"/>
          <w:sz w:val="24"/>
          <w:szCs w:val="24"/>
        </w:rPr>
        <w:t xml:space="preserve"> </w:t>
      </w:r>
      <w:r>
        <w:rPr>
          <w:rFonts w:ascii="Helvetica" w:hAnsi="Helvetica" w:eastAsia="宋体" w:cs="Helvetica"/>
          <w:kern w:val="0"/>
          <w:sz w:val="24"/>
          <w:szCs w:val="24"/>
          <w:lang w:val="zh-CN"/>
        </w:rPr>
        <w:t>评标委员会负责具体评标事务，并独立履行下列职责：</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26.1.1</w:t>
      </w:r>
      <w:r>
        <w:rPr>
          <w:rFonts w:ascii="宋体" w:hAnsi="宋体" w:eastAsia="宋体" w:cs="Times New Roman"/>
          <w:sz w:val="24"/>
          <w:szCs w:val="20"/>
          <w:lang w:val="zh-CN"/>
        </w:rPr>
        <w:t>审查、评价投标文件是否符合招标文件的商务、技术等实质性要求；</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26.1.2</w:t>
      </w:r>
      <w:r>
        <w:rPr>
          <w:rFonts w:ascii="宋体" w:hAnsi="宋体" w:eastAsia="宋体" w:cs="Times New Roman"/>
          <w:sz w:val="24"/>
          <w:szCs w:val="20"/>
          <w:lang w:val="zh-CN"/>
        </w:rPr>
        <w:t>要求投标人对投标文件有关事项作出澄清或者说明；</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26.1.3</w:t>
      </w: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26.1.4</w:t>
      </w:r>
      <w:r>
        <w:rPr>
          <w:rFonts w:hint="eastAsia" w:ascii="宋体" w:hAnsi="宋体" w:eastAsia="宋体" w:cs="Times New Roman"/>
          <w:sz w:val="24"/>
          <w:szCs w:val="20"/>
          <w:lang w:val="zh-CN"/>
        </w:rPr>
        <w:t>确定中标候选人名单或中标人；</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26.1.5</w:t>
      </w: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集中采购</w:t>
      </w:r>
      <w:r>
        <w:rPr>
          <w:rFonts w:ascii="宋体" w:hAnsi="宋体" w:eastAsia="宋体" w:cs="Times New Roman"/>
          <w:sz w:val="24"/>
          <w:szCs w:val="20"/>
          <w:lang w:val="zh-CN"/>
        </w:rPr>
        <w:t>机构或者有关部门报告评标中发现的违法行为。</w:t>
      </w:r>
    </w:p>
    <w:p>
      <w:pPr>
        <w:spacing w:line="360" w:lineRule="auto"/>
        <w:rPr>
          <w:rFonts w:ascii="Helvetica" w:hAnsi="Helvetica" w:eastAsia="宋体" w:cs="Helvetica"/>
          <w:kern w:val="0"/>
          <w:sz w:val="24"/>
          <w:szCs w:val="24"/>
          <w:lang w:val="zh-CN"/>
        </w:rPr>
      </w:pPr>
      <w:r>
        <w:rPr>
          <w:rFonts w:hint="eastAsia" w:asciiTheme="minorEastAsia" w:hAnsiTheme="minorEastAsia" w:cstheme="minorEastAsia"/>
          <w:kern w:val="0"/>
          <w:sz w:val="24"/>
          <w:szCs w:val="24"/>
        </w:rPr>
        <w:t>26.1.6</w:t>
      </w:r>
      <w:r>
        <w:rPr>
          <w:rFonts w:hint="eastAsia" w:ascii="Helvetica" w:hAnsi="Helvetica" w:eastAsia="宋体" w:cs="Helvetica"/>
          <w:kern w:val="0"/>
          <w:sz w:val="24"/>
          <w:szCs w:val="24"/>
          <w:lang w:val="zh-CN"/>
        </w:rPr>
        <w:t>评标程序详见第五章“评标方法、程序及标准”。</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25" w:name="_Toc494561943"/>
      <w:bookmarkStart w:id="26" w:name="_Toc509323121"/>
      <w:bookmarkStart w:id="27" w:name="_Toc495861524"/>
      <w:r>
        <w:rPr>
          <w:rFonts w:hint="eastAsia" w:cs="Times New Roman" w:asciiTheme="majorEastAsia" w:hAnsiTheme="majorEastAsia"/>
          <w:bCs w:val="0"/>
          <w:lang w:val="zh-CN"/>
        </w:rPr>
        <w:t>投标人信用信息及查询</w:t>
      </w:r>
      <w:bookmarkEnd w:id="25"/>
      <w:bookmarkEnd w:id="26"/>
      <w:bookmarkEnd w:id="2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spacing w:line="360" w:lineRule="auto"/>
        <w:ind w:left="480" w:hanging="480" w:hangingChars="200"/>
        <w:rPr>
          <w:rFonts w:cs="Helvetica" w:asciiTheme="minorEastAsia" w:hAnsiTheme="minorEastAsia"/>
          <w:kern w:val="0"/>
          <w:sz w:val="24"/>
          <w:szCs w:val="24"/>
          <w:lang w:val="zh-CN"/>
        </w:rPr>
      </w:pPr>
      <w:r>
        <w:rPr>
          <w:rFonts w:hint="eastAsia" w:cs="Helvetica" w:asciiTheme="minorEastAsia" w:hAnsiTheme="minorEastAsia"/>
          <w:kern w:val="0"/>
          <w:sz w:val="24"/>
          <w:szCs w:val="24"/>
        </w:rPr>
        <w:t xml:space="preserve">27.1 </w:t>
      </w: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spacing w:line="360" w:lineRule="auto"/>
        <w:ind w:left="480" w:hanging="480" w:hangingChars="200"/>
        <w:rPr>
          <w:rFonts w:cs="Helvetica" w:asciiTheme="minorEastAsia" w:hAnsiTheme="minorEastAsia"/>
          <w:kern w:val="0"/>
          <w:sz w:val="24"/>
          <w:szCs w:val="24"/>
          <w:lang w:val="zh-CN"/>
        </w:rPr>
      </w:pPr>
      <w:r>
        <w:rPr>
          <w:rFonts w:hint="eastAsia" w:cs="Helvetica" w:asciiTheme="minorEastAsia" w:hAnsiTheme="minorEastAsia"/>
          <w:kern w:val="0"/>
          <w:sz w:val="24"/>
          <w:szCs w:val="24"/>
        </w:rPr>
        <w:t xml:space="preserve">27.2 </w:t>
      </w:r>
      <w:r>
        <w:rPr>
          <w:rFonts w:hint="eastAsia" w:cs="Helvetica" w:asciiTheme="minorEastAsia" w:hAnsiTheme="minorEastAsia"/>
          <w:kern w:val="0"/>
          <w:sz w:val="24"/>
          <w:szCs w:val="24"/>
          <w:lang w:val="zh-CN"/>
        </w:rPr>
        <w:t>列入失信被执行人、重大税收违法案件当事人名单、政府采购严重违法失信行为记录名单的供应商，采购人、采购代理机构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spacing w:line="360" w:lineRule="auto"/>
        <w:ind w:left="720" w:hanging="720" w:hangingChars="300"/>
        <w:rPr>
          <w:rFonts w:cs="Helvetica" w:asciiTheme="minorEastAsia" w:hAnsiTheme="minorEastAsia"/>
          <w:kern w:val="0"/>
          <w:sz w:val="24"/>
          <w:szCs w:val="24"/>
          <w:lang w:val="zh-CN"/>
        </w:rPr>
      </w:pPr>
      <w:r>
        <w:rPr>
          <w:rFonts w:hint="eastAsia" w:cs="Helvetica" w:asciiTheme="minorEastAsia" w:hAnsiTheme="minorEastAsia"/>
          <w:kern w:val="0"/>
          <w:sz w:val="24"/>
          <w:szCs w:val="24"/>
        </w:rPr>
        <w:t xml:space="preserve">27.3 </w:t>
      </w:r>
      <w:r>
        <w:rPr>
          <w:rFonts w:hint="eastAsia" w:cs="Helvetica" w:asciiTheme="minorEastAsia" w:hAnsiTheme="minor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spacing w:line="360" w:lineRule="auto"/>
        <w:rPr>
          <w:rFonts w:cs="Helvetica" w:asciiTheme="minorEastAsia" w:hAnsiTheme="minorEastAsia"/>
          <w:kern w:val="0"/>
          <w:sz w:val="24"/>
          <w:szCs w:val="24"/>
          <w:lang w:val="zh-CN"/>
        </w:rPr>
      </w:pPr>
      <w:r>
        <w:rPr>
          <w:rFonts w:hint="eastAsia" w:cs="Helvetica" w:asciiTheme="minorEastAsia" w:hAnsiTheme="minorEastAsia"/>
          <w:kern w:val="0"/>
          <w:sz w:val="24"/>
          <w:szCs w:val="24"/>
        </w:rPr>
        <w:t xml:space="preserve">27.4 </w:t>
      </w:r>
      <w:r>
        <w:rPr>
          <w:rFonts w:hint="eastAsia" w:cs="Helvetica" w:asciiTheme="minorEastAsia" w:hAnsiTheme="minorEastAsia"/>
          <w:kern w:val="0"/>
          <w:sz w:val="24"/>
          <w:szCs w:val="24"/>
          <w:lang w:val="zh-CN"/>
        </w:rPr>
        <w:t>投标人的信用记录，最终以评标时的“信用中国”网站发布的信息为准。</w:t>
      </w:r>
    </w:p>
    <w:p>
      <w:pPr>
        <w:spacing w:line="360" w:lineRule="auto"/>
        <w:ind w:left="480" w:hanging="480" w:hangingChars="200"/>
        <w:rPr>
          <w:rFonts w:cs="Helvetica" w:asciiTheme="minorEastAsia" w:hAnsiTheme="minorEastAsia"/>
          <w:kern w:val="0"/>
          <w:sz w:val="24"/>
          <w:szCs w:val="24"/>
          <w:lang w:val="zh-CN"/>
        </w:rPr>
      </w:pPr>
      <w:r>
        <w:rPr>
          <w:rFonts w:hint="eastAsia" w:cs="Helvetica" w:asciiTheme="minorEastAsia" w:hAnsiTheme="minorEastAsia"/>
          <w:kern w:val="0"/>
          <w:sz w:val="24"/>
          <w:szCs w:val="24"/>
        </w:rPr>
        <w:t xml:space="preserve">27.5 </w:t>
      </w: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kern w:val="0"/>
          <w:sz w:val="24"/>
          <w:szCs w:val="24"/>
          <w:lang w:val="zh-CN"/>
        </w:rPr>
        <w:t>采购人（或代理公司）</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28" w:name="_Toc509323122"/>
      <w:bookmarkStart w:id="29" w:name="_Toc495861525"/>
      <w:bookmarkStart w:id="30" w:name="_Toc494561944"/>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8"/>
      <w:bookmarkEnd w:id="29"/>
      <w:bookmarkEnd w:id="30"/>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spacing w:line="360" w:lineRule="auto"/>
        <w:rPr>
          <w:rFonts w:asciiTheme="majorEastAsia" w:hAnsiTheme="majorEastAsia" w:eastAsiaTheme="majorEastAsia" w:cstheme="majorEastAsia"/>
          <w:sz w:val="24"/>
          <w:szCs w:val="20"/>
          <w:lang w:val="zh-CN"/>
        </w:rPr>
      </w:pPr>
      <w:r>
        <w:rPr>
          <w:rFonts w:hint="eastAsia" w:asciiTheme="majorEastAsia" w:hAnsiTheme="majorEastAsia" w:eastAsiaTheme="majorEastAsia" w:cstheme="majorEastAsia"/>
          <w:kern w:val="0"/>
          <w:sz w:val="24"/>
          <w:szCs w:val="24"/>
        </w:rPr>
        <w:t xml:space="preserve">28.1 </w:t>
      </w:r>
      <w:r>
        <w:rPr>
          <w:rFonts w:hint="eastAsia" w:asciiTheme="majorEastAsia" w:hAnsiTheme="majorEastAsia" w:eastAsiaTheme="majorEastAsia" w:cstheme="majorEastAsia"/>
          <w:kern w:val="0"/>
          <w:sz w:val="24"/>
          <w:szCs w:val="24"/>
          <w:lang w:val="zh-CN"/>
        </w:rPr>
        <w:t>采购人收到评标报告5个工作日内，按评标报告推荐的中标候选人顺序确定中标人。</w:t>
      </w:r>
    </w:p>
    <w:p>
      <w:pPr>
        <w:spacing w:line="360" w:lineRule="auto"/>
        <w:rPr>
          <w:rFonts w:ascii="宋体" w:hAnsi="宋体" w:eastAsia="宋体" w:cs="Times New Roman"/>
          <w:sz w:val="24"/>
          <w:szCs w:val="20"/>
          <w:lang w:val="zh-CN"/>
        </w:rPr>
      </w:pPr>
      <w:r>
        <w:rPr>
          <w:rFonts w:hint="eastAsia" w:asciiTheme="majorEastAsia" w:hAnsiTheme="majorEastAsia" w:eastAsiaTheme="majorEastAsia" w:cstheme="majorEastAsia"/>
          <w:kern w:val="0"/>
          <w:sz w:val="24"/>
          <w:szCs w:val="24"/>
        </w:rPr>
        <w:t xml:space="preserve">28.2 </w:t>
      </w: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spacing w:line="360" w:lineRule="auto"/>
        <w:ind w:left="1086" w:leftChars="60" w:hanging="960" w:hangingChars="400"/>
        <w:rPr>
          <w:rFonts w:ascii="宋体" w:hAnsi="宋体" w:eastAsia="宋体" w:cs="Times New Roman"/>
          <w:sz w:val="24"/>
          <w:szCs w:val="20"/>
          <w:lang w:val="zh-CN"/>
        </w:rPr>
      </w:pPr>
      <w:r>
        <w:rPr>
          <w:rFonts w:hint="eastAsia" w:ascii="宋体" w:hAnsi="宋体" w:eastAsia="宋体" w:cs="Times New Roman"/>
          <w:sz w:val="24"/>
          <w:szCs w:val="20"/>
        </w:rPr>
        <w:t xml:space="preserve">28.2.1 </w:t>
      </w:r>
      <w:r>
        <w:rPr>
          <w:rFonts w:hint="eastAsia" w:ascii="宋体" w:hAnsi="宋体" w:eastAsia="宋体" w:cs="Times New Roman"/>
          <w:sz w:val="24"/>
          <w:szCs w:val="20"/>
          <w:lang w:val="zh-CN"/>
        </w:rPr>
        <w:t>采用最低评标价法的，评标结果按投标报价由低到高顺序排列。投标报价相同的，</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lang w:val="zh-CN"/>
        </w:rPr>
        <w:t>按技术部分由高到低顺序排列。</w:t>
      </w:r>
    </w:p>
    <w:p>
      <w:pPr>
        <w:spacing w:line="360" w:lineRule="auto"/>
        <w:ind w:left="126"/>
        <w:rPr>
          <w:rFonts w:ascii="宋体" w:hAnsi="宋体" w:eastAsia="宋体" w:cs="Times New Roman"/>
          <w:sz w:val="24"/>
          <w:szCs w:val="20"/>
          <w:lang w:val="zh-CN"/>
        </w:rPr>
      </w:pPr>
      <w:r>
        <w:rPr>
          <w:rFonts w:hint="eastAsia" w:ascii="宋体" w:hAnsi="宋体" w:eastAsia="宋体" w:cs="Times New Roman"/>
          <w:sz w:val="24"/>
          <w:szCs w:val="20"/>
        </w:rPr>
        <w:t xml:space="preserve">28.2.2 </w:t>
      </w: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 xml:space="preserve">28.3 </w:t>
      </w:r>
      <w:r>
        <w:rPr>
          <w:rFonts w:hint="eastAsia" w:ascii="宋体" w:hAnsi="宋体" w:eastAsia="宋体" w:cs="Times New Roman"/>
          <w:sz w:val="24"/>
          <w:szCs w:val="20"/>
          <w:lang w:val="zh-CN"/>
        </w:rPr>
        <w:t>中标人的数量有其他规定的，按招标文件相关规定执行。</w:t>
      </w:r>
    </w:p>
    <w:p>
      <w:pPr>
        <w:spacing w:line="360" w:lineRule="auto"/>
        <w:ind w:left="480" w:hanging="480" w:hangingChars="200"/>
        <w:rPr>
          <w:rFonts w:ascii="宋体" w:hAnsi="宋体" w:eastAsia="宋体" w:cs="Times New Roman"/>
          <w:strike/>
          <w:sz w:val="24"/>
          <w:szCs w:val="20"/>
          <w:lang w:val="zh-CN"/>
        </w:rPr>
      </w:pPr>
      <w:r>
        <w:rPr>
          <w:rFonts w:hint="eastAsia" w:ascii="宋体" w:hAnsi="宋体" w:eastAsia="宋体" w:cs="Times New Roman"/>
          <w:sz w:val="24"/>
          <w:szCs w:val="20"/>
        </w:rPr>
        <w:t xml:space="preserve">28.4 </w:t>
      </w: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spacing w:line="360" w:lineRule="auto"/>
        <w:rPr>
          <w:rFonts w:ascii="宋体" w:hAnsi="宋体" w:eastAsia="宋体" w:cs="Times New Roman"/>
          <w:strike/>
          <w:sz w:val="24"/>
          <w:szCs w:val="20"/>
          <w:lang w:val="zh-CN"/>
        </w:rPr>
      </w:pPr>
      <w:r>
        <w:rPr>
          <w:rFonts w:hint="eastAsia" w:asciiTheme="majorEastAsia" w:hAnsiTheme="majorEastAsia" w:eastAsiaTheme="majorEastAsia" w:cstheme="majorEastAsia"/>
          <w:kern w:val="0"/>
          <w:sz w:val="24"/>
          <w:szCs w:val="24"/>
        </w:rPr>
        <w:t xml:space="preserve">28.5 </w:t>
      </w:r>
      <w:r>
        <w:rPr>
          <w:rFonts w:ascii="Helvetica" w:hAnsi="Helvetica" w:eastAsia="宋体" w:cs="Helvetica"/>
          <w:kern w:val="0"/>
          <w:sz w:val="24"/>
          <w:szCs w:val="24"/>
          <w:lang w:val="zh-CN"/>
        </w:rPr>
        <w:t>中标通知书发出后，采购人不得违法改变中标结果，中标人无正当理由不得放弃中标。</w:t>
      </w:r>
    </w:p>
    <w:p>
      <w:pPr>
        <w:spacing w:line="360" w:lineRule="auto"/>
        <w:ind w:left="480" w:hanging="480" w:hangingChars="200"/>
        <w:rPr>
          <w:rFonts w:ascii="宋体" w:hAnsi="宋体" w:eastAsia="宋体" w:cs="Times New Roman"/>
          <w:sz w:val="24"/>
          <w:szCs w:val="20"/>
          <w:lang w:val="zh-CN"/>
        </w:rPr>
      </w:pPr>
      <w:r>
        <w:rPr>
          <w:rFonts w:hint="eastAsia" w:ascii="宋体" w:hAnsi="宋体" w:eastAsia="宋体" w:cs="Times New Roman"/>
          <w:sz w:val="24"/>
          <w:szCs w:val="20"/>
        </w:rPr>
        <w:t xml:space="preserve">28.6 </w:t>
      </w: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spacing w:line="360" w:lineRule="auto"/>
        <w:ind w:left="480" w:hanging="480" w:hangingChars="200"/>
        <w:rPr>
          <w:rFonts w:asciiTheme="majorEastAsia" w:hAnsiTheme="majorEastAsia" w:eastAsiaTheme="majorEastAsia" w:cstheme="majorEastAsia"/>
          <w:sz w:val="24"/>
          <w:szCs w:val="20"/>
          <w:lang w:val="zh-CN"/>
        </w:rPr>
      </w:pPr>
      <w:bookmarkStart w:id="31" w:name="_Toc278891597"/>
      <w:bookmarkStart w:id="32" w:name="_Toc272247700"/>
      <w:r>
        <w:rPr>
          <w:rFonts w:hint="eastAsia" w:ascii="宋体" w:hAnsi="宋体" w:eastAsia="宋体" w:cs="Times New Roman"/>
          <w:sz w:val="24"/>
          <w:szCs w:val="20"/>
        </w:rPr>
        <w:t xml:space="preserve">30.1 </w:t>
      </w:r>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w:t>
      </w:r>
      <w:r>
        <w:rPr>
          <w:rFonts w:hint="eastAsia" w:asciiTheme="majorEastAsia" w:hAnsiTheme="majorEastAsia" w:eastAsiaTheme="majorEastAsia" w:cstheme="majorEastAsia"/>
          <w:sz w:val="24"/>
          <w:szCs w:val="20"/>
          <w:lang w:val="zh-CN"/>
        </w:rPr>
        <w:t>投标文件作实质性修改。</w:t>
      </w:r>
    </w:p>
    <w:p>
      <w:pPr>
        <w:tabs>
          <w:tab w:val="left" w:pos="616"/>
        </w:tabs>
        <w:spacing w:line="360" w:lineRule="auto"/>
        <w:rPr>
          <w:rFonts w:ascii="宋体" w:hAnsi="宋体" w:eastAsia="宋体" w:cs="Times New Roman"/>
          <w:sz w:val="24"/>
          <w:szCs w:val="20"/>
          <w:lang w:val="zh-CN"/>
        </w:rPr>
      </w:pPr>
      <w:r>
        <w:rPr>
          <w:rFonts w:hint="eastAsia" w:asciiTheme="majorEastAsia" w:hAnsiTheme="majorEastAsia" w:eastAsiaTheme="majorEastAsia" w:cstheme="majorEastAsia"/>
          <w:kern w:val="0"/>
          <w:sz w:val="24"/>
          <w:szCs w:val="24"/>
        </w:rPr>
        <w:t xml:space="preserve">30.2 </w:t>
      </w:r>
      <w:r>
        <w:rPr>
          <w:rFonts w:hint="eastAsia" w:asciiTheme="majorEastAsia" w:hAnsiTheme="majorEastAsia" w:eastAsiaTheme="majorEastAsia" w:cstheme="majorEastAsia"/>
          <w:kern w:val="0"/>
          <w:sz w:val="24"/>
          <w:szCs w:val="24"/>
          <w:lang w:val="zh-CN"/>
        </w:rPr>
        <w:t>采</w:t>
      </w:r>
      <w:r>
        <w:rPr>
          <w:rFonts w:ascii="Helvetica" w:hAnsi="Helvetica" w:eastAsia="宋体" w:cs="Helvetica"/>
          <w:kern w:val="0"/>
          <w:sz w:val="24"/>
          <w:szCs w:val="24"/>
          <w:lang w:val="zh-CN"/>
        </w:rPr>
        <w:t>购人不得向中标人提出任何不合理的要求作为签订合同的条件。</w:t>
      </w:r>
    </w:p>
    <w:p>
      <w:pPr>
        <w:tabs>
          <w:tab w:val="left" w:pos="616"/>
        </w:tabs>
        <w:spacing w:line="360" w:lineRule="auto"/>
        <w:ind w:left="720" w:hanging="720" w:hangingChars="300"/>
        <w:rPr>
          <w:rFonts w:ascii="宋体" w:hAnsi="宋体" w:eastAsia="宋体" w:cs="Times New Roman"/>
          <w:sz w:val="24"/>
          <w:szCs w:val="20"/>
          <w:lang w:val="zh-CN"/>
        </w:rPr>
      </w:pPr>
      <w:r>
        <w:rPr>
          <w:rFonts w:hint="eastAsia" w:ascii="宋体" w:hAnsi="宋体" w:eastAsia="宋体" w:cs="Times New Roman"/>
          <w:sz w:val="24"/>
          <w:szCs w:val="20"/>
        </w:rPr>
        <w:t xml:space="preserve">30.3 </w:t>
      </w: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tabs>
          <w:tab w:val="left" w:pos="616"/>
        </w:tabs>
        <w:spacing w:line="360" w:lineRule="auto"/>
        <w:rPr>
          <w:rFonts w:asciiTheme="majorEastAsia" w:hAnsiTheme="majorEastAsia" w:eastAsiaTheme="majorEastAsia" w:cstheme="majorEastAsia"/>
          <w:sz w:val="24"/>
          <w:szCs w:val="20"/>
          <w:lang w:val="zh-CN"/>
        </w:rPr>
      </w:pPr>
      <w:r>
        <w:rPr>
          <w:rFonts w:hint="eastAsia" w:asciiTheme="majorEastAsia" w:hAnsiTheme="majorEastAsia" w:eastAsiaTheme="majorEastAsia" w:cstheme="majorEastAsia"/>
          <w:kern w:val="0"/>
          <w:sz w:val="24"/>
          <w:szCs w:val="24"/>
        </w:rPr>
        <w:t xml:space="preserve">30.4 </w:t>
      </w:r>
      <w:r>
        <w:rPr>
          <w:rFonts w:hint="eastAsia" w:asciiTheme="majorEastAsia" w:hAnsiTheme="majorEastAsia" w:eastAsiaTheme="majorEastAsia" w:cstheme="majorEastAsia"/>
          <w:kern w:val="0"/>
          <w:sz w:val="24"/>
          <w:szCs w:val="24"/>
          <w:lang w:val="zh-CN"/>
        </w:rPr>
        <w:t>采购人与中标人应当根据合同的约定依法履行合同义务。政府采购合同的履行、违约责任和解决争议的方法等适用《中华人民共和国合同法》。</w:t>
      </w:r>
    </w:p>
    <w:p>
      <w:pPr>
        <w:tabs>
          <w:tab w:val="left" w:pos="616"/>
        </w:tabs>
        <w:spacing w:line="360" w:lineRule="auto"/>
        <w:rPr>
          <w:rFonts w:asciiTheme="majorEastAsia" w:hAnsiTheme="majorEastAsia" w:eastAsiaTheme="majorEastAsia" w:cstheme="majorEastAsia"/>
          <w:sz w:val="24"/>
          <w:szCs w:val="20"/>
          <w:lang w:val="zh-CN"/>
        </w:rPr>
      </w:pPr>
      <w:r>
        <w:rPr>
          <w:rFonts w:hint="eastAsia" w:asciiTheme="majorEastAsia" w:hAnsiTheme="majorEastAsia" w:eastAsiaTheme="majorEastAsia" w:cstheme="majorEastAsia"/>
          <w:sz w:val="24"/>
          <w:szCs w:val="20"/>
        </w:rPr>
        <w:t>30.5 采</w:t>
      </w:r>
      <w:r>
        <w:rPr>
          <w:rFonts w:hint="eastAsia" w:ascii="宋体" w:hAnsi="宋体" w:eastAsia="宋体" w:cs="Times New Roman"/>
          <w:sz w:val="24"/>
          <w:szCs w:val="20"/>
        </w:rPr>
        <w:t>购人应当自政府采购合同签订之日起2个工作日内，将政府采购合同在省级以上人民政府财政部门指定的媒体上公告，但政府采购合同中涉及国家秘密、商业秘密的内容除</w:t>
      </w:r>
      <w:r>
        <w:rPr>
          <w:rFonts w:hint="eastAsia" w:asciiTheme="majorEastAsia" w:hAnsiTheme="majorEastAsia" w:eastAsiaTheme="majorEastAsia" w:cstheme="majorEastAsia"/>
          <w:sz w:val="24"/>
          <w:szCs w:val="20"/>
        </w:rPr>
        <w:t>外。</w:t>
      </w:r>
    </w:p>
    <w:p>
      <w:pPr>
        <w:tabs>
          <w:tab w:val="left" w:pos="616"/>
        </w:tabs>
        <w:spacing w:line="360" w:lineRule="auto"/>
        <w:rPr>
          <w:rFonts w:ascii="宋体" w:hAnsi="宋体" w:eastAsia="宋体" w:cs="Times New Roman"/>
          <w:sz w:val="24"/>
          <w:szCs w:val="20"/>
          <w:lang w:val="zh-CN"/>
        </w:rPr>
      </w:pPr>
      <w:r>
        <w:rPr>
          <w:rFonts w:hint="eastAsia" w:asciiTheme="majorEastAsia" w:hAnsiTheme="majorEastAsia" w:eastAsiaTheme="majorEastAsia" w:cstheme="majorEastAsia"/>
          <w:kern w:val="0"/>
          <w:sz w:val="24"/>
          <w:szCs w:val="24"/>
        </w:rPr>
        <w:t>30.6</w:t>
      </w:r>
      <w:r>
        <w:rPr>
          <w:rFonts w:hint="eastAsia" w:ascii="Helvetica" w:hAnsi="Helvetica" w:eastAsia="宋体" w:cs="Helvetica"/>
          <w:kern w:val="0"/>
          <w:sz w:val="24"/>
          <w:szCs w:val="24"/>
        </w:rPr>
        <w:t xml:space="preserve"> </w:t>
      </w: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33" w:name="_Toc494561945"/>
      <w:bookmarkStart w:id="34" w:name="_Toc495861526"/>
      <w:bookmarkStart w:id="35" w:name="_Toc509323123"/>
      <w:r>
        <w:rPr>
          <w:rFonts w:hint="eastAsia" w:cs="Times New Roman" w:asciiTheme="majorEastAsia" w:hAnsiTheme="majorEastAsia"/>
          <w:bCs w:val="0"/>
          <w:lang w:val="zh-CN"/>
        </w:rPr>
        <w:t>采购信息公告</w:t>
      </w:r>
      <w:bookmarkEnd w:id="33"/>
      <w:bookmarkEnd w:id="34"/>
      <w:bookmarkEnd w:id="35"/>
    </w:p>
    <w:p>
      <w:pPr>
        <w:numPr>
          <w:ilvl w:val="0"/>
          <w:numId w:val="6"/>
        </w:numPr>
        <w:spacing w:line="360" w:lineRule="auto"/>
        <w:ind w:left="560" w:hanging="560"/>
        <w:rPr>
          <w:rFonts w:ascii="宋体" w:hAnsi="宋体" w:eastAsia="宋体" w:cs="Helvetica"/>
          <w:b/>
          <w:kern w:val="0"/>
          <w:sz w:val="24"/>
          <w:szCs w:val="24"/>
          <w:lang w:val="zh-CN"/>
        </w:rPr>
      </w:pPr>
      <w:r>
        <w:rPr>
          <w:rFonts w:hint="eastAsia" w:ascii="宋体" w:hAnsi="宋体" w:eastAsia="宋体" w:cs="Helvetica"/>
          <w:b/>
          <w:kern w:val="0"/>
          <w:sz w:val="24"/>
          <w:szCs w:val="24"/>
          <w:lang w:val="zh-CN"/>
        </w:rPr>
        <w:t>公告的媒体及规定</w:t>
      </w:r>
    </w:p>
    <w:p>
      <w:pPr>
        <w:tabs>
          <w:tab w:val="left" w:pos="616"/>
        </w:tabs>
        <w:spacing w:line="360" w:lineRule="auto"/>
        <w:ind w:left="720" w:hanging="720" w:hangingChars="300"/>
        <w:rPr>
          <w:rFonts w:cs="Helvetica" w:asciiTheme="minorEastAsia" w:hAnsiTheme="minorEastAsia"/>
          <w:kern w:val="0"/>
          <w:sz w:val="24"/>
          <w:szCs w:val="24"/>
          <w:lang w:val="zh-CN"/>
        </w:rPr>
      </w:pPr>
      <w:r>
        <w:rPr>
          <w:rFonts w:hint="eastAsia" w:cs="Helvetica" w:asciiTheme="minorEastAsia" w:hAnsiTheme="minorEastAsia"/>
          <w:kern w:val="0"/>
          <w:sz w:val="24"/>
          <w:szCs w:val="24"/>
        </w:rPr>
        <w:t xml:space="preserve">31.1 </w:t>
      </w:r>
      <w:r>
        <w:rPr>
          <w:rFonts w:hint="eastAsia" w:cs="Helvetica" w:asciiTheme="minorEastAsia" w:hAnsiTheme="minorEastAsia"/>
          <w:kern w:val="0"/>
          <w:sz w:val="24"/>
          <w:szCs w:val="24"/>
          <w:lang w:val="zh-CN"/>
        </w:rPr>
        <w:t>集中采购机构在招标活动中的公告、补充、更正、结果等采购信息均依法在政府采购监管部门指定媒体上（中国湖北政府采购网http://www.ccgp-hubei.gov.cn/）发布。</w:t>
      </w:r>
    </w:p>
    <w:p>
      <w:pPr>
        <w:tabs>
          <w:tab w:val="left" w:pos="616"/>
        </w:tabs>
        <w:spacing w:line="360" w:lineRule="auto"/>
        <w:ind w:left="480" w:hanging="480" w:hangingChars="200"/>
        <w:rPr>
          <w:rFonts w:cs="Helvetica" w:asciiTheme="minorEastAsia" w:hAnsiTheme="minorEastAsia"/>
          <w:b/>
          <w:kern w:val="0"/>
          <w:sz w:val="24"/>
          <w:szCs w:val="24"/>
          <w:lang w:val="zh-CN"/>
        </w:rPr>
      </w:pPr>
      <w:r>
        <w:rPr>
          <w:rFonts w:hint="eastAsia" w:cs="Helvetica" w:asciiTheme="minorEastAsia" w:hAnsiTheme="minorEastAsia"/>
          <w:kern w:val="0"/>
          <w:sz w:val="24"/>
          <w:szCs w:val="24"/>
        </w:rPr>
        <w:t xml:space="preserve">31.2 </w:t>
      </w:r>
      <w:r>
        <w:rPr>
          <w:rFonts w:hint="eastAsia" w:cs="Helvetica" w:asciiTheme="minorEastAsia" w:hAnsiTheme="minorEastAsia"/>
          <w:kern w:val="0"/>
          <w:sz w:val="24"/>
          <w:szCs w:val="24"/>
          <w:lang w:val="zh-CN"/>
        </w:rPr>
        <w:t>集中采购机构在自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tabs>
          <w:tab w:val="left" w:pos="616"/>
        </w:tabs>
        <w:spacing w:line="360" w:lineRule="auto"/>
        <w:ind w:left="720" w:hanging="720" w:hangingChars="300"/>
        <w:rPr>
          <w:rFonts w:cs="Helvetica" w:asciiTheme="minorEastAsia" w:hAnsiTheme="minorEastAsia"/>
          <w:kern w:val="0"/>
          <w:sz w:val="24"/>
          <w:szCs w:val="24"/>
          <w:lang w:val="zh-CN"/>
        </w:rPr>
      </w:pPr>
      <w:r>
        <w:rPr>
          <w:rFonts w:hint="eastAsia" w:cs="Helvetica" w:asciiTheme="minorEastAsia" w:hAnsiTheme="minorEastAsia"/>
          <w:kern w:val="0"/>
          <w:sz w:val="24"/>
          <w:szCs w:val="24"/>
        </w:rPr>
        <w:t xml:space="preserve">31.3 </w:t>
      </w: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w:t>
      </w:r>
    </w:p>
    <w:p>
      <w:pPr>
        <w:tabs>
          <w:tab w:val="left" w:pos="616"/>
        </w:tabs>
        <w:spacing w:line="360" w:lineRule="auto"/>
        <w:ind w:left="718" w:leftChars="228" w:hanging="240" w:hangingChars="100"/>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tabs>
          <w:tab w:val="left" w:pos="616"/>
        </w:tabs>
        <w:spacing w:line="360" w:lineRule="auto"/>
        <w:ind w:left="480" w:hanging="480" w:hangingChars="200"/>
        <w:rPr>
          <w:rFonts w:cs="Helvetica" w:asciiTheme="minorEastAsia" w:hAnsiTheme="minorEastAsia"/>
          <w:kern w:val="0"/>
          <w:sz w:val="24"/>
          <w:szCs w:val="24"/>
          <w:lang w:val="zh-CN"/>
        </w:rPr>
      </w:pPr>
      <w:r>
        <w:rPr>
          <w:rFonts w:hint="eastAsia" w:cs="Helvetica" w:asciiTheme="minorEastAsia" w:hAnsiTheme="minorEastAsia"/>
          <w:kern w:val="0"/>
          <w:sz w:val="24"/>
          <w:szCs w:val="24"/>
        </w:rPr>
        <w:t xml:space="preserve">31.4 </w:t>
      </w: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36" w:name="_Toc509323124"/>
      <w:bookmarkStart w:id="37" w:name="_Toc494561946"/>
      <w:bookmarkStart w:id="38" w:name="_Toc495861527"/>
      <w:r>
        <w:rPr>
          <w:rFonts w:hint="eastAsia" w:cs="Times New Roman" w:asciiTheme="majorEastAsia" w:hAnsiTheme="majorEastAsia"/>
          <w:bCs w:val="0"/>
          <w:lang w:val="zh-CN"/>
        </w:rPr>
        <w:t>质疑</w:t>
      </w:r>
      <w:bookmarkEnd w:id="31"/>
      <w:bookmarkEnd w:id="32"/>
      <w:r>
        <w:rPr>
          <w:rFonts w:hint="eastAsia" w:cs="Times New Roman" w:asciiTheme="majorEastAsia" w:hAnsiTheme="majorEastAsia"/>
          <w:bCs w:val="0"/>
          <w:lang w:val="zh-CN"/>
        </w:rPr>
        <w:t>及提交</w:t>
      </w:r>
      <w:bookmarkEnd w:id="36"/>
      <w:bookmarkEnd w:id="37"/>
      <w:bookmarkEnd w:id="38"/>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 xml:space="preserve">33.1 </w:t>
      </w: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 xml:space="preserve">33.2 </w:t>
      </w: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 xml:space="preserve">33.3 </w:t>
      </w: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34.1</w:t>
      </w:r>
      <w:r>
        <w:rPr>
          <w:rFonts w:hint="eastAsia" w:ascii="宋体" w:hAnsi="宋体" w:eastAsia="宋体" w:cs="Times New Roman"/>
          <w:sz w:val="24"/>
          <w:szCs w:val="20"/>
          <w:lang w:val="zh-CN"/>
        </w:rPr>
        <w:t>质疑人的名称、地址、联系人及联系电话等；</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 xml:space="preserve">34.2 </w:t>
      </w:r>
      <w:r>
        <w:rPr>
          <w:rFonts w:hint="eastAsia" w:ascii="宋体" w:hAnsi="宋体" w:eastAsia="宋体" w:cs="Times New Roman"/>
          <w:sz w:val="24"/>
          <w:szCs w:val="20"/>
          <w:lang w:val="zh-CN"/>
        </w:rPr>
        <w:t>被质疑人的名称、地址、联系人及联系电话等；</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 xml:space="preserve">34.3 </w:t>
      </w:r>
      <w:r>
        <w:rPr>
          <w:rFonts w:hint="eastAsia" w:ascii="宋体" w:hAnsi="宋体" w:eastAsia="宋体" w:cs="Times New Roman"/>
          <w:sz w:val="24"/>
          <w:szCs w:val="20"/>
          <w:lang w:val="zh-CN"/>
        </w:rPr>
        <w:t>质疑项目名称及编号、质疑事项和明确的请求；</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 xml:space="preserve">34.4 </w:t>
      </w:r>
      <w:r>
        <w:rPr>
          <w:rFonts w:hint="eastAsia" w:ascii="宋体" w:hAnsi="宋体" w:eastAsia="宋体" w:cs="Times New Roman"/>
          <w:sz w:val="24"/>
          <w:szCs w:val="20"/>
          <w:lang w:val="zh-CN"/>
        </w:rPr>
        <w:t>质疑事项的事实根据、法律依据及其他必要的证明材料；</w:t>
      </w:r>
    </w:p>
    <w:p>
      <w:pPr>
        <w:spacing w:line="360" w:lineRule="auto"/>
        <w:rPr>
          <w:rFonts w:ascii="宋体" w:hAnsi="宋体" w:eastAsia="宋体" w:cs="Times New Roman"/>
          <w:sz w:val="24"/>
          <w:szCs w:val="20"/>
          <w:lang w:val="zh-CN"/>
        </w:rPr>
      </w:pPr>
      <w:r>
        <w:rPr>
          <w:rFonts w:hint="eastAsia" w:ascii="宋体" w:hAnsi="宋体" w:eastAsia="宋体" w:cs="Times New Roman"/>
          <w:sz w:val="24"/>
          <w:szCs w:val="20"/>
        </w:rPr>
        <w:t xml:space="preserve">34.5 </w:t>
      </w:r>
      <w:r>
        <w:rPr>
          <w:rFonts w:hint="eastAsia" w:ascii="宋体" w:hAnsi="宋体" w:eastAsia="宋体" w:cs="Times New Roman"/>
          <w:sz w:val="24"/>
          <w:szCs w:val="20"/>
          <w:lang w:val="zh-CN"/>
        </w:rPr>
        <w:t>提出质疑的日期；</w:t>
      </w:r>
    </w:p>
    <w:p>
      <w:pPr>
        <w:spacing w:line="360" w:lineRule="auto"/>
        <w:ind w:left="480" w:hanging="480" w:hangingChars="200"/>
        <w:rPr>
          <w:rFonts w:ascii="宋体" w:hAnsi="宋体" w:eastAsia="宋体" w:cs="Times New Roman"/>
          <w:sz w:val="24"/>
          <w:szCs w:val="20"/>
          <w:lang w:val="zh-CN"/>
        </w:rPr>
      </w:pPr>
      <w:r>
        <w:rPr>
          <w:rFonts w:hint="eastAsia" w:ascii="宋体" w:hAnsi="宋体" w:eastAsia="宋体" w:cs="Times New Roman"/>
          <w:sz w:val="24"/>
          <w:szCs w:val="20"/>
        </w:rPr>
        <w:t xml:space="preserve">34.6 </w:t>
      </w: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spacing w:line="360" w:lineRule="auto"/>
        <w:ind w:left="480" w:hanging="480" w:hangingChars="200"/>
        <w:rPr>
          <w:rFonts w:ascii="宋体" w:hAnsi="宋体" w:eastAsia="宋体" w:cs="Times New Roman"/>
          <w:sz w:val="24"/>
          <w:szCs w:val="20"/>
          <w:lang w:val="zh-CN"/>
        </w:rPr>
      </w:pPr>
      <w:r>
        <w:rPr>
          <w:rFonts w:hint="eastAsia" w:ascii="宋体" w:hAnsi="宋体" w:eastAsia="宋体" w:cs="Times New Roman"/>
          <w:sz w:val="24"/>
          <w:szCs w:val="20"/>
        </w:rPr>
        <w:t xml:space="preserve">34.7 </w:t>
      </w: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投标人未按本章“质疑及提交”规定的时限、内容及方式进行质疑的，采购人（或代理公司）不予受理。</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39" w:name="_Toc494561947"/>
      <w:bookmarkStart w:id="40" w:name="_Toc495861528"/>
      <w:bookmarkStart w:id="41" w:name="_Toc509323125"/>
      <w:r>
        <w:rPr>
          <w:rFonts w:hint="eastAsia" w:cs="Times New Roman" w:asciiTheme="majorEastAsia" w:hAnsiTheme="majorEastAsia"/>
          <w:bCs w:val="0"/>
          <w:lang w:val="zh-CN"/>
        </w:rPr>
        <w:t>相关条文解读</w:t>
      </w:r>
      <w:bookmarkEnd w:id="39"/>
      <w:bookmarkEnd w:id="40"/>
      <w:bookmarkEnd w:id="41"/>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各级人民政府财政部门依法对参加政府采购活动的供应商作出的禁止参加政府采购活动等行政处罚决定在全国范围内生效。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供应商在参加政府采购活动前3年内因违法经营被禁止在一定期限内参加政府采购活动，期限届满的，可以参加政府采购活动。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42" w:name="_Toc494561948"/>
      <w:bookmarkStart w:id="43" w:name="_Toc509323126"/>
      <w:bookmarkStart w:id="44" w:name="_Toc495861529"/>
      <w:r>
        <w:rPr>
          <w:rFonts w:hint="eastAsia" w:cs="Times New Roman" w:asciiTheme="majorEastAsia" w:hAnsiTheme="majorEastAsia"/>
          <w:bCs w:val="0"/>
          <w:lang w:val="zh-CN"/>
        </w:rPr>
        <w:t>其他注意事项</w:t>
      </w:r>
      <w:bookmarkEnd w:id="42"/>
      <w:bookmarkEnd w:id="43"/>
      <w:bookmarkEnd w:id="44"/>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单位负责人为同一人或者存在直接控股、管理关系的不同供应商，不得参加同一合同项下的政府采购活动。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除单一来源采购项目外，为采购项目提供整体设计、规范编制或者项目管理、监理、检测等服务的供应商，不得再参加该采购项目的其他采购活动。</w:t>
      </w:r>
    </w:p>
    <w:p>
      <w:pPr>
        <w:pStyle w:val="3"/>
        <w:numPr>
          <w:ilvl w:val="0"/>
          <w:numId w:val="5"/>
        </w:numPr>
        <w:spacing w:before="40" w:after="40" w:line="360" w:lineRule="auto"/>
        <w:ind w:left="966" w:hanging="966"/>
        <w:jc w:val="left"/>
        <w:rPr>
          <w:rFonts w:cs="Times New Roman" w:asciiTheme="majorEastAsia" w:hAnsiTheme="majorEastAsia"/>
          <w:bCs w:val="0"/>
          <w:lang w:val="zh-CN"/>
        </w:rPr>
      </w:pPr>
      <w:bookmarkStart w:id="45" w:name="_Toc278891598"/>
      <w:bookmarkStart w:id="46" w:name="_Toc272247701"/>
      <w:bookmarkStart w:id="47" w:name="_Toc495861530"/>
      <w:bookmarkStart w:id="48" w:name="_Toc494561949"/>
      <w:bookmarkStart w:id="49" w:name="_Toc509323127"/>
      <w:r>
        <w:rPr>
          <w:rFonts w:hint="eastAsia" w:cs="Times New Roman" w:asciiTheme="majorEastAsia" w:hAnsiTheme="majorEastAsia"/>
          <w:bCs w:val="0"/>
          <w:lang w:val="zh-CN"/>
        </w:rPr>
        <w:t>适用法律</w:t>
      </w:r>
      <w:bookmarkEnd w:id="45"/>
      <w:bookmarkEnd w:id="46"/>
      <w:bookmarkEnd w:id="47"/>
      <w:bookmarkEnd w:id="48"/>
      <w:bookmarkEnd w:id="49"/>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3"/>
        <w:numPr>
          <w:ilvl w:val="0"/>
          <w:numId w:val="5"/>
        </w:numPr>
        <w:spacing w:before="40" w:after="40" w:line="360" w:lineRule="auto"/>
        <w:ind w:left="966" w:hanging="966"/>
        <w:jc w:val="left"/>
        <w:rPr>
          <w:rFonts w:cs="Times New Roman" w:asciiTheme="majorEastAsia" w:hAnsiTheme="majorEastAsia"/>
          <w:bCs w:val="0"/>
          <w:lang w:val="zh-CN"/>
        </w:rPr>
      </w:pPr>
      <w:bookmarkStart w:id="50" w:name="_Toc495861531"/>
      <w:bookmarkStart w:id="51" w:name="_Toc272247702"/>
      <w:bookmarkStart w:id="52" w:name="_Toc278891599"/>
      <w:bookmarkStart w:id="53" w:name="_Toc494561950"/>
      <w:bookmarkStart w:id="54" w:name="_Toc509323128"/>
      <w:r>
        <w:rPr>
          <w:rFonts w:hint="eastAsia" w:cs="Times New Roman" w:asciiTheme="majorEastAsia" w:hAnsiTheme="majorEastAsia"/>
          <w:bCs w:val="0"/>
          <w:lang w:val="zh-CN"/>
        </w:rPr>
        <w:t>招标文件的解释权</w:t>
      </w:r>
      <w:bookmarkEnd w:id="50"/>
      <w:bookmarkEnd w:id="51"/>
      <w:bookmarkEnd w:id="52"/>
      <w:bookmarkEnd w:id="53"/>
      <w:bookmarkEnd w:id="54"/>
    </w:p>
    <w:p>
      <w:pPr>
        <w:numPr>
          <w:ilvl w:val="0"/>
          <w:numId w:val="6"/>
        </w:numPr>
        <w:spacing w:line="360" w:lineRule="auto"/>
        <w:ind w:left="560" w:hanging="560"/>
      </w:pPr>
      <w:r>
        <w:rPr>
          <w:rFonts w:hint="eastAsia" w:ascii="宋体" w:hAnsi="宋体" w:eastAsia="宋体" w:cs="Times New Roman"/>
          <w:sz w:val="24"/>
          <w:szCs w:val="20"/>
          <w:lang w:val="zh-CN"/>
        </w:rPr>
        <w:t>招标文件的最终解释权为采购人、采购代理机构所有。</w:t>
      </w:r>
      <w:r>
        <w:br w:type="page"/>
      </w:r>
    </w:p>
    <w:p>
      <w:pPr>
        <w:pStyle w:val="2"/>
        <w:jc w:val="center"/>
        <w:rPr>
          <w:rFonts w:ascii="黑体" w:hAnsi="黑体" w:eastAsia="黑体"/>
        </w:rPr>
      </w:pPr>
      <w:bookmarkStart w:id="55" w:name="_Toc509323129"/>
      <w:bookmarkStart w:id="56" w:name="_Toc495861532"/>
      <w:r>
        <w:rPr>
          <w:rFonts w:hint="eastAsia" w:ascii="黑体" w:hAnsi="黑体" w:eastAsia="黑体"/>
        </w:rPr>
        <w:t>第三章 项目技术、服务及商务要求</w:t>
      </w:r>
      <w:bookmarkEnd w:id="55"/>
      <w:bookmarkEnd w:id="56"/>
    </w:p>
    <w:p>
      <w:pPr>
        <w:spacing w:line="360" w:lineRule="auto"/>
        <w:jc w:val="center"/>
        <w:rPr>
          <w:rFonts w:asciiTheme="majorEastAsia" w:hAnsiTheme="majorEastAsia" w:eastAsiaTheme="majorEastAsia" w:cstheme="majorEastAsia"/>
          <w:sz w:val="24"/>
          <w:szCs w:val="24"/>
        </w:rPr>
      </w:pPr>
      <w:bookmarkStart w:id="57" w:name="_Toc494561956"/>
      <w:bookmarkStart w:id="58" w:name="_Toc495861537"/>
      <w:r>
        <w:rPr>
          <w:rFonts w:hint="eastAsia" w:asciiTheme="majorEastAsia" w:hAnsiTheme="majorEastAsia" w:eastAsiaTheme="majorEastAsia" w:cstheme="majorEastAsia"/>
          <w:sz w:val="24"/>
          <w:szCs w:val="24"/>
        </w:rPr>
        <w:t>彩色多普勒超声诊断仪技术规格及要求</w:t>
      </w:r>
    </w:p>
    <w:p>
      <w:pPr>
        <w:spacing w:line="360" w:lineRule="auto"/>
        <w:rPr>
          <w:rFonts w:asciiTheme="majorEastAsia" w:hAnsiTheme="majorEastAsia" w:eastAsiaTheme="majorEastAsia" w:cstheme="majorEastAsia"/>
          <w:b/>
          <w:sz w:val="24"/>
          <w:szCs w:val="24"/>
        </w:rPr>
      </w:pP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一、设备名称：</w:t>
      </w:r>
      <w:r>
        <w:rPr>
          <w:rFonts w:hint="eastAsia" w:asciiTheme="majorEastAsia" w:hAnsiTheme="majorEastAsia" w:eastAsiaTheme="majorEastAsia" w:cstheme="majorEastAsia"/>
          <w:sz w:val="24"/>
          <w:szCs w:val="24"/>
        </w:rPr>
        <w:t>彩色多普勒超声波诊断仪</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二、设备用途说明：</w:t>
      </w:r>
    </w:p>
    <w:p>
      <w:pPr>
        <w:pStyle w:val="37"/>
        <w:spacing w:line="360" w:lineRule="auto"/>
        <w:ind w:left="420" w:firstLine="0"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心脏、腹部、妇产科、泌尿科、浅表组织与小器官、外周血管、术中、穿刺等</w:t>
      </w:r>
    </w:p>
    <w:p>
      <w:pPr>
        <w:pStyle w:val="37"/>
        <w:numPr>
          <w:ilvl w:val="0"/>
          <w:numId w:val="19"/>
        </w:numPr>
        <w:spacing w:line="360" w:lineRule="auto"/>
        <w:ind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主要技术及系统概述</w:t>
      </w:r>
    </w:p>
    <w:p>
      <w:pPr>
        <w:pStyle w:val="37"/>
        <w:numPr>
          <w:ilvl w:val="1"/>
          <w:numId w:val="20"/>
        </w:numPr>
        <w:spacing w:line="360" w:lineRule="auto"/>
        <w:ind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彩色多普勒超声波诊断仪包括：</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*3.1.1 ≥19英寸高清晰度彩色LED显示器，比LCD刷新速率高、视角更宽、功耗小、耐冲击、性能稳定、使用更持久</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3.1.2 具有液晶触摸屏</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3.1.3 </w:t>
      </w:r>
      <w:bookmarkStart w:id="59" w:name="OLE_LINK1"/>
      <w:r>
        <w:rPr>
          <w:rFonts w:hint="eastAsia" w:asciiTheme="majorEastAsia" w:hAnsiTheme="majorEastAsia" w:eastAsiaTheme="majorEastAsia" w:cstheme="majorEastAsia"/>
          <w:sz w:val="24"/>
          <w:szCs w:val="24"/>
        </w:rPr>
        <w:t>高端超声平台成像系统，移植于高端机型，应用了新型动态数据声学模型、智能化分布式处理器等先进技术</w:t>
      </w:r>
      <w:bookmarkEnd w:id="59"/>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3.1.4 数字化二维灰阶成像单元</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3.1.5 数字化M型成像单元</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3.1.6 数字化彩色多普勒血流成像单元</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3.1.7 数字化频谱多普勒显示和分析单元</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3.1.8 数字化能量多普勒，方向性能量图</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3.1.9 数字化波束形成器，多倍声束处理</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*3.1.10 空间复合成像技术：三种模式，每种模式有3档调节；空间复合成像的聚焦宽度、</w:t>
      </w:r>
    </w:p>
    <w:p>
      <w:pPr>
        <w:spacing w:line="360" w:lineRule="auto"/>
        <w:ind w:left="630" w:left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帧平均、线密度等多种参数均有多级可调；可做曲线别针试验证明≥9线发射（提供图片证明）</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3.1.11 斑点噪声抑制技术：可以支持所有探头，多级调节</w:t>
      </w:r>
    </w:p>
    <w:p>
      <w:pPr>
        <w:spacing w:line="360" w:lineRule="auto"/>
        <w:ind w:left="960" w:hanging="960" w:hangingChars="4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*3.1.12 弹性成像及定量分析技术，一幅图中可取≥8个范围进行弹性系数分析（提供图片证明）</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3.1.13 脉冲反相谐波成像（可用于所有探头）</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3.1.14 宽景成像，可用于所有探头</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3.1.15 解剖M型，存储的动态图像仍可重新取M型图。</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*3.1.16 曲线解剖M型</w:t>
      </w:r>
    </w:p>
    <w:p>
      <w:pPr>
        <w:spacing w:line="360" w:lineRule="auto"/>
        <w:ind w:left="720" w:hanging="720" w:hangingChars="300"/>
        <w:rPr>
          <w:rFonts w:asciiTheme="majorEastAsia" w:hAnsiTheme="majorEastAsia" w:eastAsiaTheme="majorEastAsia" w:cstheme="majorEastAsia"/>
          <w:sz w:val="24"/>
          <w:szCs w:val="24"/>
          <w:lang w:val="fr-FR"/>
        </w:rPr>
      </w:pPr>
      <w:r>
        <w:rPr>
          <w:rFonts w:hint="eastAsia" w:asciiTheme="majorEastAsia" w:hAnsiTheme="majorEastAsia" w:eastAsiaTheme="majorEastAsia" w:cstheme="majorEastAsia"/>
          <w:sz w:val="24"/>
          <w:szCs w:val="24"/>
        </w:rPr>
        <w:t xml:space="preserve">*3.1.17 </w:t>
      </w:r>
      <w:bookmarkStart w:id="60" w:name="OLE_LINK2"/>
      <w:r>
        <w:rPr>
          <w:rFonts w:hint="eastAsia" w:asciiTheme="majorEastAsia" w:hAnsiTheme="majorEastAsia" w:eastAsiaTheme="majorEastAsia" w:cstheme="majorEastAsia"/>
          <w:sz w:val="24"/>
          <w:szCs w:val="24"/>
        </w:rPr>
        <w:t>心内膜自动包络计算功能，在心肌的动态运动下自动追踪描记心内膜并计算出心功能参数，一幅图像分三部分显示动态包络曲线、舒张末期以及收缩末期包络曲线，自动得到EF、CO、SV等心功能数据</w:t>
      </w:r>
      <w:r>
        <w:rPr>
          <w:rFonts w:hint="eastAsia" w:asciiTheme="majorEastAsia" w:hAnsiTheme="majorEastAsia" w:eastAsiaTheme="majorEastAsia" w:cstheme="majorEastAsia"/>
          <w:sz w:val="24"/>
          <w:szCs w:val="24"/>
          <w:lang w:val="fr-FR"/>
        </w:rPr>
        <w:t xml:space="preserve"> </w:t>
      </w:r>
      <w:r>
        <w:rPr>
          <w:rFonts w:hint="eastAsia" w:asciiTheme="majorEastAsia" w:hAnsiTheme="majorEastAsia" w:eastAsiaTheme="majorEastAsia" w:cstheme="majorEastAsia"/>
          <w:sz w:val="24"/>
          <w:szCs w:val="24"/>
        </w:rPr>
        <w:t>（提供图片证明）</w:t>
      </w:r>
    </w:p>
    <w:p>
      <w:pPr>
        <w:spacing w:line="360" w:lineRule="auto"/>
        <w:ind w:left="960" w:hanging="960" w:hangingChars="400"/>
        <w:rPr>
          <w:rFonts w:asciiTheme="majorEastAsia" w:hAnsiTheme="majorEastAsia" w:eastAsiaTheme="majorEastAsia" w:cstheme="majorEastAsia"/>
          <w:sz w:val="24"/>
          <w:szCs w:val="24"/>
          <w:lang w:val="fr-FR"/>
        </w:rPr>
      </w:pPr>
      <w:r>
        <w:rPr>
          <w:rFonts w:hint="eastAsia" w:asciiTheme="majorEastAsia" w:hAnsiTheme="majorEastAsia" w:eastAsiaTheme="majorEastAsia" w:cstheme="majorEastAsia"/>
          <w:sz w:val="24"/>
          <w:szCs w:val="24"/>
          <w:lang w:val="fr-FR"/>
        </w:rPr>
        <w:t>*3.1.18组织多普勒，包括组织多普勒速度图、频谱图、心肌运动追踪定量分析曲线等，</w:t>
      </w:r>
      <w:r>
        <w:rPr>
          <w:rFonts w:hint="eastAsia" w:asciiTheme="majorEastAsia" w:hAnsiTheme="majorEastAsia" w:eastAsiaTheme="majorEastAsia" w:cstheme="majorEastAsia"/>
          <w:sz w:val="24"/>
          <w:szCs w:val="24"/>
        </w:rPr>
        <w:t>一幅图中可取≥8点心肌进行运动曲线分析（提供图片证明）</w:t>
      </w:r>
    </w:p>
    <w:p>
      <w:pPr>
        <w:spacing w:line="360" w:lineRule="auto"/>
        <w:rPr>
          <w:rFonts w:asciiTheme="majorEastAsia" w:hAnsiTheme="majorEastAsia" w:eastAsiaTheme="majorEastAsia" w:cstheme="majorEastAsia"/>
          <w:sz w:val="24"/>
          <w:szCs w:val="24"/>
          <w:lang w:val="fr-FR"/>
        </w:rPr>
      </w:pPr>
      <w:r>
        <w:rPr>
          <w:rFonts w:hint="eastAsia" w:asciiTheme="majorEastAsia" w:hAnsiTheme="majorEastAsia" w:eastAsiaTheme="majorEastAsia" w:cstheme="majorEastAsia"/>
          <w:sz w:val="24"/>
          <w:szCs w:val="24"/>
          <w:lang w:val="fr-FR"/>
        </w:rPr>
        <w:t>3.1.19 血管内中膜厚度自动测量</w:t>
      </w:r>
    </w:p>
    <w:p>
      <w:pPr>
        <w:spacing w:line="360" w:lineRule="auto"/>
        <w:ind w:left="960" w:hanging="960" w:hangingChars="400"/>
        <w:rPr>
          <w:rFonts w:asciiTheme="majorEastAsia" w:hAnsiTheme="majorEastAsia" w:eastAsiaTheme="majorEastAsia" w:cstheme="majorEastAsia"/>
          <w:sz w:val="24"/>
          <w:szCs w:val="24"/>
          <w:lang w:val="fr-FR"/>
        </w:rPr>
      </w:pPr>
      <w:r>
        <w:rPr>
          <w:rFonts w:hint="eastAsia" w:asciiTheme="majorEastAsia" w:hAnsiTheme="majorEastAsia" w:eastAsiaTheme="majorEastAsia" w:cstheme="majorEastAsia"/>
          <w:sz w:val="24"/>
          <w:szCs w:val="24"/>
          <w:lang w:val="fr-FR"/>
        </w:rPr>
        <w:t>*3.1.20 产科自动测量软件，在进行胎儿常见参数指标（BPD/HC/AC/FL等）的测量时，系统可以自动识别并测量、计算出结果</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fr-FR"/>
        </w:rPr>
        <w:t xml:space="preserve">*3.1.21 </w:t>
      </w:r>
      <w:r>
        <w:rPr>
          <w:rFonts w:hint="eastAsia" w:asciiTheme="majorEastAsia" w:hAnsiTheme="majorEastAsia" w:eastAsiaTheme="majorEastAsia" w:cstheme="majorEastAsia"/>
          <w:sz w:val="24"/>
          <w:szCs w:val="24"/>
        </w:rPr>
        <w:t>具备</w:t>
      </w:r>
      <w:r>
        <w:rPr>
          <w:rFonts w:hint="eastAsia" w:asciiTheme="majorEastAsia" w:hAnsiTheme="majorEastAsia" w:eastAsiaTheme="majorEastAsia" w:cstheme="majorEastAsia"/>
          <w:sz w:val="24"/>
          <w:szCs w:val="24"/>
          <w:lang w:val="fr-FR"/>
        </w:rPr>
        <w:t>灰阶血流成像，非多普勒原理，非造影技术，最直观的显示红细胞运动，具</w:t>
      </w:r>
      <w:r>
        <w:rPr>
          <w:rFonts w:hint="eastAsia" w:asciiTheme="majorEastAsia" w:hAnsiTheme="majorEastAsia" w:eastAsiaTheme="majorEastAsia" w:cstheme="majorEastAsia"/>
          <w:sz w:val="24"/>
          <w:szCs w:val="24"/>
        </w:rPr>
        <w:t>备不受流速和角度限制、无血流外溢现象、无取样框、不会降低帧频等优点（提供图片证明）</w:t>
      </w:r>
    </w:p>
    <w:p>
      <w:pPr>
        <w:spacing w:line="360" w:lineRule="auto"/>
        <w:rPr>
          <w:rFonts w:asciiTheme="majorEastAsia" w:hAnsiTheme="majorEastAsia" w:eastAsiaTheme="majorEastAsia" w:cstheme="majorEastAsia"/>
          <w:sz w:val="24"/>
          <w:szCs w:val="24"/>
          <w:lang w:val="fr-FR"/>
        </w:rPr>
      </w:pPr>
      <w:r>
        <w:rPr>
          <w:rFonts w:hint="eastAsia" w:asciiTheme="majorEastAsia" w:hAnsiTheme="majorEastAsia" w:eastAsiaTheme="majorEastAsia" w:cstheme="majorEastAsia"/>
          <w:sz w:val="24"/>
          <w:szCs w:val="24"/>
          <w:lang w:val="fr-FR"/>
        </w:rPr>
        <w:t>3.1.22 灰阶血流成像彩色模式，在灰阶血流成像的基础上加彩色编码显示不同方向的血流</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*3.1.23 内置快捷操作指导模块，通过文字、图片、视频等形式指导用户快速掌握机器操作，可随时调阅</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3.1.24 中文操作界面</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3.1.25 凸形扩展功能，可用于线阵、凸阵、相控阵探头，相控阵探头可扩展到120°角</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*3.1.26 系统内置操作切面实时指导工具，可在屏幕上分屏显示各脏器标准扫查切面超声图与扫查手法图片、flash动画图并配以文字说明，可实时指导操作者找到标准切面并进行正确测量（提供图片证明）</w:t>
      </w:r>
    </w:p>
    <w:p>
      <w:pPr>
        <w:spacing w:line="360" w:lineRule="auto"/>
        <w:ind w:left="720" w:hanging="720" w:hangingChars="300"/>
        <w:rPr>
          <w:rFonts w:asciiTheme="majorEastAsia" w:hAnsiTheme="majorEastAsia" w:eastAsiaTheme="majorEastAsia" w:cstheme="majorEastAsia"/>
          <w:sz w:val="24"/>
          <w:szCs w:val="24"/>
        </w:rPr>
      </w:pP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 技术参数及要求</w:t>
      </w:r>
    </w:p>
    <w:p>
      <w:pPr>
        <w:spacing w:line="360" w:lineRule="auto"/>
        <w:ind w:left="720" w:hanging="720" w:hangingChars="300"/>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3.2.1   探头规格：凸阵探头一支、线阵探头一支、相控阵探头各一支</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3.2.1.1 探头接口≥4个，全激活</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3.2.1.2 频率：宽频、变频探头，可视可调中心频率范围1.7-18MHz</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3.2.1.3 频率自动调节功能：在彩色和其他多普勒模式下，随着取样位置深度的变化自动调节频率</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3.2.1.4 支持探头类型：支持凸阵、线阵、相控阵、微凸阵、双平面、术中、4D容积探头</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等</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3.2.1.5 穿刺导向：具有穿刺引导线</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3.2.1.6 扫描频率：</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电子凸阵：可视可调中心频率2.0—5.0MHz</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电子线阵：可视可调中心频率6.0—13.0MHz</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相控阵探头：可视可调中心频率1.7—4.0 MHz</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*3.2.1.7 相控阵探头扫描角度≥120°（提供图片证明）</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3.2.2   B型成像主要参数</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3.2.2.1 ≥256灰阶</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3.2.2.2 发射声束聚焦：≥8段</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3.2.2.3 回放重现：灰阶图像回放≥5000帧、回放时间≥60秒</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3.2.2.4 预设条件：针对不同的检查脏器，预置最佳化图像的检查条件≥30种， 减少常用</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所需的外部调节及组合调节</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3.2.2.5 增益调节：B/M/CF/D可独立调节，TGC调节≥8段</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3.2.2.6 超声系统最大探查深度≥33cm</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3.2.2.7 系统动态范围≥260dB</w:t>
      </w:r>
    </w:p>
    <w:p>
      <w:pPr>
        <w:spacing w:line="360" w:lineRule="auto"/>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3.2.2.8 凸阵探头最大视角，18cm深度时，帧频≥43帧；</w:t>
      </w:r>
    </w:p>
    <w:p>
      <w:pPr>
        <w:spacing w:line="360" w:lineRule="auto"/>
        <w:ind w:left="630" w:leftChars="300" w:firstLine="240" w:firstLineChars="1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相控阵探头90°视角，18cm深度时，帧频≥80帧</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3.2.3   频谱多普勒</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3.2.3.1 方式：脉冲波多普勒 PWD；高脉冲重复频率  HPRF；连续波多普勒 CWD</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3.2.3.2 多普勒发射频率可视可调</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3.2.3.3 最大测量速度：PWD：≥20m/s ；CWD: ≥40m/s；</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最小测量速度：≤1mm/s</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*3.2.3.4 多普勒取样容积距离体表的深度可在屏幕上实时显示</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3.2.3.5 PW取样容积宽度1-15mm</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3.2.4   彩色多普勒</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3.2.4.1 显示方式：速度分散显示、能量显示、速度显示、方差显示</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3.2.4.2 彩色多普勒频率可视可调</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3.2.4.3 凸阵探头最大视角，最大取样框，18cm深度时，彩色帧频≥12帧；</w:t>
      </w:r>
    </w:p>
    <w:p>
      <w:pPr>
        <w:spacing w:line="360" w:lineRule="auto"/>
        <w:ind w:firstLine="960" w:firstLineChars="4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相控阵探头90°视角, 最大取样框，18cm深度时，彩色帧频≥12帧；</w:t>
      </w:r>
    </w:p>
    <w:p>
      <w:pPr>
        <w:spacing w:line="36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3.3 测量和分析：(B型、M型、频谱多普勒、彩色模式)</w:t>
      </w:r>
    </w:p>
    <w:bookmarkEnd w:id="60"/>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3.3.1 一般测量</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3.3.2 妇产科测量</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3.3.3 心功能测量与分析</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3.3.4 多普勒血流测量与计算</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*3.3.5 频谱多普勒自动包络测量和计算，可自动测量和计算≥12个参数</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3.3.6 泌尿科测量与分析</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 电影回放重现及病案管理单元</w:t>
      </w:r>
    </w:p>
    <w:p>
      <w:pPr>
        <w:widowControl/>
        <w:spacing w:line="360" w:lineRule="auto"/>
        <w:ind w:left="600" w:hanging="600" w:hangingChars="250"/>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sz w:val="24"/>
          <w:szCs w:val="24"/>
        </w:rPr>
        <w:t xml:space="preserve">3.4.1 </w:t>
      </w:r>
      <w:r>
        <w:rPr>
          <w:rFonts w:hint="eastAsia" w:asciiTheme="majorEastAsia" w:hAnsiTheme="majorEastAsia" w:eastAsiaTheme="majorEastAsia" w:cstheme="majorEastAsia"/>
          <w:color w:val="000000"/>
          <w:kern w:val="0"/>
          <w:sz w:val="24"/>
          <w:szCs w:val="24"/>
        </w:rPr>
        <w:t>同屏一体化智能剪贴板, 可以实时同屏存储和回放动态及静态图像，将存储的图像显示在屏幕上实时图像的下方，随时调阅、删除、导出图像</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3.4.2 原始数据处理，可对回放的图像进行≥30种参数调节</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3.4.3 一体化病案管理单元包括病人资料、报告、图像等的存储、修改、检索和打印等</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3.4.4 USB接口≥6个</w:t>
      </w:r>
    </w:p>
    <w:p>
      <w:pPr>
        <w:spacing w:line="360" w:lineRule="auto"/>
        <w:ind w:left="600" w:hanging="600" w:hangingChars="2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*3.4.5 USB一键快速存储：只需一个按键一步操作即可把屏幕上的图像传输至U盘或移动</w:t>
      </w:r>
    </w:p>
    <w:p>
      <w:pPr>
        <w:spacing w:line="360" w:lineRule="auto"/>
        <w:ind w:left="600" w:hanging="600" w:hangingChars="2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硬盘中</w:t>
      </w:r>
    </w:p>
    <w:p>
      <w:pPr>
        <w:spacing w:line="360" w:lineRule="auto"/>
        <w:ind w:left="600" w:hanging="600" w:hangingChars="2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3.4.6 内置硬盘≥400GB</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 输入、输出信号</w:t>
      </w:r>
    </w:p>
    <w:p>
      <w:pPr>
        <w:spacing w:line="360" w:lineRule="auto"/>
        <w:ind w:left="600" w:hanging="600" w:hangingChars="2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3.5.1 输入、输出接口：VGA、S-Video、复合视频、Audio、USB、HDMI等</w:t>
      </w:r>
    </w:p>
    <w:p>
      <w:pPr>
        <w:spacing w:line="360" w:lineRule="auto"/>
        <w:ind w:left="600" w:hanging="600" w:hangingChars="2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3.5.2 DICOM3.0接口部件</w:t>
      </w:r>
    </w:p>
    <w:p>
      <w:pPr>
        <w:spacing w:line="360" w:lineRule="auto"/>
        <w:ind w:left="602" w:hanging="600" w:hangingChars="25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四、培训及技术服务</w:t>
      </w:r>
    </w:p>
    <w:p>
      <w:pPr>
        <w:spacing w:line="360" w:lineRule="auto"/>
        <w:ind w:left="600" w:hanging="600" w:hangingChars="2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 卖方应提供现场技术培训，保证使用人员正常操作设备的各种功能</w:t>
      </w:r>
    </w:p>
    <w:p>
      <w:pPr>
        <w:spacing w:line="36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五、备件、专用工具、资料及其它</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5.1 为保证设备正常运行，卖方应在湖北省内方便的地点设置备件库，存入必须的备件</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5.2 如有专用工具，卖方应向买方提供设备维护的专用工具</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5.3 卖方须向买方提供操作手册一套</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5.4 卖方须向买方提供设备的运行、安装、使用环境要求</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5.5 在货物到达使用单位后，卖方应在7天内派工程技术人员到达现场，在买方技术人员在场的情况下开箱清点货物，组织安装、调试，卖方承担因此发生的一切费用</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5.6 在湖北省内有相应的维修机构及专业售后人员</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FF0000"/>
          <w:kern w:val="0"/>
          <w:sz w:val="24"/>
          <w:szCs w:val="24"/>
        </w:rPr>
        <w:t>备注：带星号技术条款一项不满足属不响应采购文件。</w:t>
      </w:r>
    </w:p>
    <w:p>
      <w:pPr>
        <w:spacing w:line="360" w:lineRule="auto"/>
        <w:ind w:left="894" w:hanging="891" w:hangingChars="297"/>
        <w:rPr>
          <w:rFonts w:cs="Times New Roman" w:asciiTheme="majorEastAsia" w:hAnsiTheme="majorEastAsia"/>
          <w:b/>
          <w:bCs/>
          <w:sz w:val="30"/>
          <w:szCs w:val="30"/>
          <w:lang w:val="zh-CN"/>
        </w:rPr>
      </w:pPr>
      <w:r>
        <w:rPr>
          <w:rFonts w:hint="eastAsia" w:cs="Times New Roman" w:asciiTheme="majorEastAsia" w:hAnsiTheme="majorEastAsia"/>
          <w:b/>
          <w:sz w:val="30"/>
          <w:szCs w:val="30"/>
          <w:lang w:val="zh-CN"/>
        </w:rPr>
        <w:t>二、商务要求</w:t>
      </w:r>
      <w:bookmarkEnd w:id="57"/>
      <w:bookmarkEnd w:id="58"/>
    </w:p>
    <w:p>
      <w:pPr>
        <w:spacing w:line="360" w:lineRule="auto"/>
        <w:ind w:left="713" w:hanging="712" w:hangingChars="297"/>
        <w:rPr>
          <w:rFonts w:ascii="宋体" w:hAnsi="宋体" w:eastAsia="宋体" w:cs="宋体"/>
          <w:b/>
          <w:sz w:val="24"/>
          <w:szCs w:val="24"/>
        </w:rPr>
      </w:pPr>
      <w:r>
        <w:rPr>
          <w:rFonts w:hint="eastAsia" w:ascii="宋体" w:hAnsi="宋体" w:eastAsia="宋体" w:cs="宋体"/>
          <w:sz w:val="24"/>
          <w:szCs w:val="24"/>
        </w:rPr>
        <w:t>说明：</w:t>
      </w:r>
      <w:r>
        <w:rPr>
          <w:rFonts w:hint="eastAsia" w:ascii="宋体" w:hAnsi="宋体" w:eastAsia="宋体" w:cs="仿宋_GB2312"/>
          <w:sz w:val="24"/>
          <w:szCs w:val="24"/>
        </w:rPr>
        <w:t>投标人在投标文件《商务要求响应、偏离说明表》中应对以下逐条商务要求进行响应描述或偏离说明。</w:t>
      </w:r>
      <w:r>
        <w:rPr>
          <w:rFonts w:hint="eastAsia" w:ascii="宋体" w:hAnsi="宋体" w:eastAsia="宋体" w:cs="宋体"/>
          <w:sz w:val="24"/>
          <w:szCs w:val="24"/>
        </w:rPr>
        <w:t>不满足以上要求的，其投标按照</w:t>
      </w:r>
      <w:r>
        <w:rPr>
          <w:rFonts w:hint="eastAsia" w:ascii="宋体" w:hAnsi="宋体" w:eastAsia="宋体" w:cs="宋体"/>
          <w:b/>
          <w:sz w:val="24"/>
          <w:szCs w:val="24"/>
        </w:rPr>
        <w:t>无效投标处理。</w:t>
      </w:r>
    </w:p>
    <w:p>
      <w:pPr>
        <w:tabs>
          <w:tab w:val="left" w:pos="0"/>
        </w:tabs>
        <w:spacing w:line="360" w:lineRule="auto"/>
        <w:rPr>
          <w:rFonts w:ascii="宋体" w:hAnsi="宋体" w:cs="宋体"/>
          <w:sz w:val="24"/>
          <w:szCs w:val="24"/>
        </w:rPr>
      </w:pPr>
      <w:r>
        <w:rPr>
          <w:rFonts w:hint="eastAsia" w:ascii="宋体" w:hAnsi="宋体" w:cs="宋体"/>
          <w:sz w:val="24"/>
          <w:szCs w:val="24"/>
        </w:rPr>
        <w:t>1、质量要求：</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1）公司所提供的产品应是全新、原装正品。</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2）所有设备必须配齐所有辅助配件及功能配件等附件。</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3）公司所提供的货物开箱后，发现有任何问题（包括外观损伤），须更换同品牌、同型号新设备。</w:t>
      </w:r>
    </w:p>
    <w:p>
      <w:pPr>
        <w:spacing w:line="360" w:lineRule="auto"/>
        <w:ind w:firstLine="480" w:firstLineChars="200"/>
        <w:rPr>
          <w:rFonts w:ascii="宋体" w:hAnsi="宋体" w:cs="宋体"/>
          <w:sz w:val="24"/>
          <w:szCs w:val="24"/>
        </w:rPr>
      </w:pPr>
      <w:r>
        <w:rPr>
          <w:rFonts w:hint="eastAsia" w:ascii="宋体" w:hAnsi="宋体" w:cs="宋体"/>
          <w:sz w:val="24"/>
          <w:szCs w:val="24"/>
        </w:rPr>
        <w:t>4）设备质保期：</w:t>
      </w:r>
      <w:r>
        <w:rPr>
          <w:rFonts w:hint="eastAsia" w:ascii="宋体" w:hAnsi="宋体" w:cs="Arial"/>
          <w:kern w:val="0"/>
          <w:sz w:val="24"/>
          <w:szCs w:val="24"/>
        </w:rPr>
        <w:t>免费保修≥1年</w:t>
      </w:r>
      <w:r>
        <w:rPr>
          <w:rFonts w:hint="eastAsia" w:ascii="宋体" w:hAnsi="宋体" w:cs="宋体"/>
          <w:bCs/>
          <w:kern w:val="0"/>
          <w:sz w:val="24"/>
          <w:szCs w:val="24"/>
        </w:rPr>
        <w:t>。</w:t>
      </w:r>
      <w:r>
        <w:rPr>
          <w:rFonts w:hint="eastAsia" w:ascii="宋体" w:hAnsi="宋体" w:cs="Arial"/>
          <w:kern w:val="0"/>
          <w:sz w:val="24"/>
          <w:szCs w:val="24"/>
        </w:rPr>
        <w:t>维修2小时内响应，24小时内到场；湖北省内有一定的使用市场，有专业售后点网。长期免费提供技术支持，终身维护。</w:t>
      </w:r>
      <w:r>
        <w:rPr>
          <w:rFonts w:hint="eastAsia" w:ascii="宋体" w:hAnsi="宋体" w:cs="宋体"/>
          <w:sz w:val="24"/>
          <w:szCs w:val="24"/>
        </w:rPr>
        <w:t>在质保期内，对产品实行“三包”服务。同一设备、同一质量问题在质保期内连续两次维修仍无法正常使用的，须更换同品牌、同型号新设备。</w:t>
      </w:r>
    </w:p>
    <w:p>
      <w:pPr>
        <w:spacing w:line="360" w:lineRule="auto"/>
        <w:ind w:firstLine="480" w:firstLineChars="200"/>
        <w:rPr>
          <w:rFonts w:ascii="宋体" w:hAnsi="宋体" w:cs="Arial"/>
          <w:kern w:val="0"/>
          <w:sz w:val="24"/>
          <w:szCs w:val="24"/>
        </w:rPr>
      </w:pPr>
      <w:r>
        <w:rPr>
          <w:rFonts w:hint="eastAsia" w:ascii="宋体" w:hAnsi="宋体" w:cs="Arial"/>
          <w:kern w:val="0"/>
          <w:sz w:val="24"/>
          <w:szCs w:val="24"/>
        </w:rPr>
        <w:t>5）保养及软件升级：提供定期巡视保养措施，免费提供软件升级，提供另配件价格表。</w:t>
      </w:r>
    </w:p>
    <w:p>
      <w:pPr>
        <w:spacing w:line="360" w:lineRule="auto"/>
        <w:ind w:firstLine="480" w:firstLineChars="200"/>
        <w:rPr>
          <w:rFonts w:ascii="宋体" w:hAnsi="宋体" w:cs="Arial"/>
          <w:kern w:val="0"/>
          <w:sz w:val="24"/>
          <w:szCs w:val="24"/>
        </w:rPr>
      </w:pPr>
      <w:r>
        <w:rPr>
          <w:rFonts w:hint="eastAsia" w:ascii="宋体" w:hAnsi="宋体"/>
          <w:sz w:val="24"/>
          <w:szCs w:val="24"/>
        </w:rPr>
        <w:t>6）操作培训:</w:t>
      </w:r>
      <w:r>
        <w:rPr>
          <w:rFonts w:hint="eastAsia" w:ascii="宋体" w:hAnsi="宋体" w:cs="Arial"/>
          <w:kern w:val="0"/>
          <w:sz w:val="24"/>
          <w:szCs w:val="24"/>
        </w:rPr>
        <w:t>免费负责医护工程人员的操作，诊断，维修保养培训。</w:t>
      </w:r>
    </w:p>
    <w:p>
      <w:pPr>
        <w:spacing w:line="360" w:lineRule="auto"/>
        <w:ind w:firstLine="480" w:firstLineChars="200"/>
        <w:rPr>
          <w:rFonts w:ascii="宋体" w:hAnsi="宋体" w:cs="Arial"/>
          <w:kern w:val="0"/>
          <w:sz w:val="24"/>
          <w:szCs w:val="24"/>
        </w:rPr>
      </w:pPr>
      <w:r>
        <w:rPr>
          <w:rFonts w:hint="eastAsia" w:ascii="宋体" w:hAnsi="宋体" w:cs="Arial"/>
          <w:kern w:val="0"/>
          <w:sz w:val="24"/>
          <w:szCs w:val="24"/>
        </w:rPr>
        <w:t>7）该项目如需工作站支持的，必须提供工作站。</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2、交 货 期：</w:t>
      </w:r>
      <w:r>
        <w:rPr>
          <w:rFonts w:hint="eastAsia"/>
          <w:sz w:val="24"/>
          <w:szCs w:val="24"/>
        </w:rPr>
        <w:t>签订合同后</w:t>
      </w:r>
      <w:r>
        <w:rPr>
          <w:sz w:val="24"/>
          <w:szCs w:val="24"/>
        </w:rPr>
        <w:t>20</w:t>
      </w:r>
      <w:r>
        <w:rPr>
          <w:rFonts w:hint="eastAsia"/>
          <w:sz w:val="24"/>
          <w:szCs w:val="24"/>
        </w:rPr>
        <w:t>天内。</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3</w:t>
      </w:r>
      <w:bookmarkStart w:id="61" w:name="OLE_LINK5"/>
      <w:r>
        <w:rPr>
          <w:rFonts w:hint="eastAsia" w:ascii="宋体" w:hAnsi="宋体" w:cs="宋体"/>
          <w:sz w:val="24"/>
          <w:szCs w:val="24"/>
        </w:rPr>
        <w:t>、</w:t>
      </w:r>
      <w:bookmarkEnd w:id="61"/>
      <w:r>
        <w:rPr>
          <w:rFonts w:hint="eastAsia" w:ascii="宋体" w:hAnsi="宋体" w:cs="宋体"/>
          <w:sz w:val="24"/>
          <w:szCs w:val="24"/>
        </w:rPr>
        <w:t>交货地点：采购人指定地点</w:t>
      </w:r>
      <w:bookmarkStart w:id="62" w:name="OLE_LINK6"/>
      <w:r>
        <w:rPr>
          <w:rFonts w:hint="eastAsia" w:ascii="宋体" w:hAnsi="宋体" w:cs="宋体"/>
          <w:sz w:val="24"/>
          <w:szCs w:val="24"/>
        </w:rPr>
        <w:t>。</w:t>
      </w:r>
      <w:bookmarkEnd w:id="62"/>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4、验    收：公司将货物运到采购人指定地点，安装调试结束，由采购人组织现场验收；因货物本身的质量问题和运输装卸发生损失的，应由供应商提供更换，费用全部由供应商承担。</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5、付款方式：双方签合同时协商</w:t>
      </w:r>
      <w:r>
        <w:rPr>
          <w:rFonts w:hint="eastAsia"/>
          <w:sz w:val="24"/>
          <w:szCs w:val="24"/>
        </w:rPr>
        <w:t>。</w:t>
      </w:r>
    </w:p>
    <w:p>
      <w:pPr>
        <w:pStyle w:val="37"/>
        <w:widowControl/>
        <w:numPr>
          <w:ilvl w:val="1"/>
          <w:numId w:val="6"/>
        </w:numPr>
        <w:spacing w:line="360" w:lineRule="auto"/>
        <w:ind w:firstLineChars="0"/>
        <w:jc w:val="left"/>
        <w:rPr>
          <w:rFonts w:ascii="黑体" w:hAnsi="黑体" w:eastAsia="黑体"/>
        </w:rPr>
      </w:pPr>
      <w:r>
        <w:rPr>
          <w:rFonts w:hint="eastAsia" w:ascii="宋体" w:hAnsi="宋体" w:cs="宋体"/>
          <w:sz w:val="24"/>
          <w:szCs w:val="24"/>
        </w:rPr>
        <w:t>采购预算：人民币80万元</w:t>
      </w:r>
      <w:r>
        <w:rPr>
          <w:rFonts w:hint="eastAsia" w:ascii="宋体" w:hAnsi="宋体" w:cs="宋体"/>
          <w:kern w:val="0"/>
          <w:sz w:val="24"/>
          <w:szCs w:val="24"/>
        </w:rPr>
        <w:t>。</w:t>
      </w:r>
      <w:r>
        <w:rPr>
          <w:rFonts w:hint="eastAsia" w:ascii="宋体" w:hAnsi="宋体" w:cs="宋体"/>
          <w:sz w:val="24"/>
          <w:szCs w:val="24"/>
        </w:rPr>
        <w:t>超过预算金额作废标处理。</w:t>
      </w:r>
      <w:bookmarkStart w:id="63" w:name="_Toc509323130"/>
      <w:bookmarkStart w:id="64" w:name="_Toc495861538"/>
    </w:p>
    <w:p>
      <w:pPr>
        <w:pStyle w:val="37"/>
        <w:widowControl/>
        <w:spacing w:line="360" w:lineRule="auto"/>
        <w:ind w:left="420" w:firstLine="0" w:firstLineChars="0"/>
        <w:jc w:val="left"/>
        <w:rPr>
          <w:rFonts w:ascii="黑体" w:hAnsi="黑体" w:eastAsia="黑体"/>
        </w:rPr>
      </w:pPr>
    </w:p>
    <w:p>
      <w:pPr>
        <w:pStyle w:val="37"/>
        <w:widowControl/>
        <w:spacing w:line="360" w:lineRule="auto"/>
        <w:ind w:left="420" w:firstLine="0" w:firstLineChars="0"/>
        <w:jc w:val="left"/>
        <w:rPr>
          <w:rFonts w:ascii="黑体" w:hAnsi="黑体" w:eastAsia="黑体"/>
        </w:rPr>
      </w:pPr>
    </w:p>
    <w:p>
      <w:pPr>
        <w:pStyle w:val="37"/>
        <w:widowControl/>
        <w:spacing w:line="360" w:lineRule="auto"/>
        <w:ind w:left="420" w:firstLine="0" w:firstLineChars="0"/>
        <w:jc w:val="left"/>
        <w:rPr>
          <w:rFonts w:ascii="黑体" w:hAnsi="黑体" w:eastAsia="黑体"/>
        </w:rPr>
      </w:pPr>
    </w:p>
    <w:p>
      <w:pPr>
        <w:pStyle w:val="37"/>
        <w:widowControl/>
        <w:spacing w:line="360" w:lineRule="auto"/>
        <w:ind w:left="420" w:firstLine="0" w:firstLineChars="0"/>
        <w:jc w:val="left"/>
        <w:rPr>
          <w:rFonts w:ascii="黑体" w:hAnsi="黑体" w:eastAsia="黑体"/>
        </w:rPr>
      </w:pPr>
    </w:p>
    <w:p>
      <w:pPr>
        <w:pStyle w:val="37"/>
        <w:widowControl/>
        <w:spacing w:line="360" w:lineRule="auto"/>
        <w:ind w:left="420" w:firstLine="0" w:firstLineChars="0"/>
        <w:jc w:val="left"/>
        <w:rPr>
          <w:rFonts w:ascii="黑体" w:hAnsi="黑体" w:eastAsia="黑体"/>
        </w:rPr>
      </w:pPr>
    </w:p>
    <w:p>
      <w:pPr>
        <w:pStyle w:val="37"/>
        <w:widowControl/>
        <w:spacing w:line="360" w:lineRule="auto"/>
        <w:ind w:left="420" w:firstLine="0" w:firstLineChars="0"/>
        <w:jc w:val="left"/>
        <w:rPr>
          <w:rFonts w:ascii="黑体" w:hAnsi="黑体" w:eastAsia="黑体"/>
        </w:rPr>
      </w:pPr>
    </w:p>
    <w:p>
      <w:pPr>
        <w:pStyle w:val="37"/>
        <w:widowControl/>
        <w:spacing w:line="360" w:lineRule="auto"/>
        <w:ind w:left="420" w:firstLine="0" w:firstLineChars="0"/>
        <w:jc w:val="center"/>
        <w:rPr>
          <w:rFonts w:ascii="黑体" w:hAnsi="黑体" w:eastAsia="黑体"/>
          <w:sz w:val="44"/>
          <w:szCs w:val="44"/>
        </w:rPr>
      </w:pPr>
      <w:r>
        <w:rPr>
          <w:rFonts w:hint="eastAsia" w:ascii="黑体" w:hAnsi="黑体" w:eastAsia="黑体"/>
          <w:sz w:val="44"/>
          <w:szCs w:val="44"/>
        </w:rPr>
        <w:t>第四章 资格审查方法及标准</w:t>
      </w:r>
      <w:bookmarkEnd w:id="63"/>
      <w:bookmarkEnd w:id="64"/>
    </w:p>
    <w:p>
      <w:pPr>
        <w:spacing w:line="360" w:lineRule="auto"/>
        <w:ind w:firstLine="42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根据《政府采购法》、《政府采购法实施条例》、《政府采购货物和服务招标投标管理办法》等相关法律法规确定以下资格审查方法及标准。</w:t>
      </w:r>
    </w:p>
    <w:p>
      <w:pPr>
        <w:pStyle w:val="3"/>
        <w:numPr>
          <w:ilvl w:val="0"/>
          <w:numId w:val="21"/>
        </w:numPr>
        <w:spacing w:before="0" w:after="0" w:line="360" w:lineRule="auto"/>
        <w:ind w:left="616" w:hanging="616"/>
        <w:jc w:val="left"/>
        <w:rPr>
          <w:rFonts w:cs="Times New Roman" w:asciiTheme="majorEastAsia" w:hAnsiTheme="majorEastAsia"/>
          <w:bCs w:val="0"/>
          <w:sz w:val="30"/>
          <w:szCs w:val="30"/>
          <w:lang w:val="zh-CN"/>
        </w:rPr>
      </w:pPr>
      <w:bookmarkStart w:id="65" w:name="_Toc509323131"/>
      <w:bookmarkStart w:id="66" w:name="_Toc495861539"/>
      <w:bookmarkStart w:id="67" w:name="_Toc494561958"/>
      <w:r>
        <w:rPr>
          <w:rFonts w:hint="eastAsia" w:cs="Times New Roman" w:asciiTheme="majorEastAsia" w:hAnsiTheme="majorEastAsia"/>
          <w:bCs w:val="0"/>
          <w:sz w:val="30"/>
          <w:szCs w:val="30"/>
          <w:lang w:val="zh-CN"/>
        </w:rPr>
        <w:t>资格审查方法</w:t>
      </w:r>
      <w:bookmarkEnd w:id="65"/>
      <w:bookmarkEnd w:id="66"/>
      <w:bookmarkEnd w:id="67"/>
    </w:p>
    <w:p>
      <w:pPr>
        <w:spacing w:line="360" w:lineRule="auto"/>
        <w:ind w:firstLine="420"/>
        <w:rPr>
          <w:rFonts w:ascii="宋体" w:hAnsi="宋体" w:eastAsia="宋体" w:cs="Times New Roman"/>
          <w:bCs/>
          <w:sz w:val="24"/>
          <w:szCs w:val="20"/>
          <w:lang w:val="zh-CN"/>
        </w:rPr>
      </w:pPr>
      <w:r>
        <w:rPr>
          <w:rFonts w:hint="eastAsia" w:ascii="宋体" w:hAnsi="宋体" w:eastAsia="宋体" w:cs="Times New Roman"/>
          <w:bCs/>
          <w:sz w:val="24"/>
          <w:szCs w:val="20"/>
          <w:lang w:val="zh-CN"/>
        </w:rPr>
        <w:t>公开招标采购项目开标结束后，采购人、采购代理机构成立资格审查小组，依据法律、法规及招标文件的规定，对投标人的资格进行审查，以确定投标人资格是否合格。</w:t>
      </w:r>
    </w:p>
    <w:p>
      <w:pPr>
        <w:pStyle w:val="3"/>
        <w:numPr>
          <w:ilvl w:val="0"/>
          <w:numId w:val="21"/>
        </w:numPr>
        <w:spacing w:before="0" w:after="0" w:line="360" w:lineRule="auto"/>
        <w:ind w:left="616" w:hanging="616"/>
        <w:jc w:val="left"/>
        <w:rPr>
          <w:rFonts w:cs="Times New Roman" w:asciiTheme="majorEastAsia" w:hAnsiTheme="majorEastAsia"/>
          <w:bCs w:val="0"/>
          <w:sz w:val="30"/>
          <w:szCs w:val="30"/>
          <w:lang w:val="zh-CN"/>
        </w:rPr>
      </w:pPr>
      <w:bookmarkStart w:id="68" w:name="_Toc494561959"/>
      <w:bookmarkStart w:id="69" w:name="_Toc509323132"/>
      <w:bookmarkStart w:id="70" w:name="_Toc495861540"/>
      <w:r>
        <w:rPr>
          <w:rFonts w:hint="eastAsia" w:cs="Times New Roman" w:asciiTheme="majorEastAsia" w:hAnsiTheme="majorEastAsia"/>
          <w:bCs w:val="0"/>
          <w:sz w:val="30"/>
          <w:szCs w:val="30"/>
          <w:lang w:val="zh-CN"/>
        </w:rPr>
        <w:t>资格审查标准</w:t>
      </w:r>
      <w:bookmarkEnd w:id="68"/>
      <w:bookmarkEnd w:id="69"/>
      <w:bookmarkEnd w:id="70"/>
    </w:p>
    <w:p>
      <w:pPr>
        <w:numPr>
          <w:ilvl w:val="0"/>
          <w:numId w:val="22"/>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资格证明文件审查</w:t>
      </w:r>
    </w:p>
    <w:p>
      <w:pPr>
        <w:tabs>
          <w:tab w:val="left" w:pos="616"/>
        </w:tabs>
        <w:spacing w:line="360" w:lineRule="auto"/>
        <w:ind w:firstLine="420"/>
        <w:rPr>
          <w:rFonts w:ascii="Helvetica" w:hAnsi="Helvetica" w:eastAsia="宋体" w:cs="Helvetica"/>
          <w:b/>
          <w:kern w:val="0"/>
          <w:sz w:val="24"/>
          <w:szCs w:val="24"/>
          <w:lang w:val="zh-CN"/>
        </w:rPr>
      </w:pPr>
      <w:r>
        <w:rPr>
          <w:rFonts w:hint="eastAsia" w:ascii="Helvetica" w:hAnsi="Helvetica" w:eastAsia="宋体" w:cs="Helvetica"/>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kern w:val="0"/>
          <w:sz w:val="24"/>
          <w:szCs w:val="24"/>
          <w:lang w:val="zh-CN"/>
        </w:rPr>
        <w:t>无效投标处理：</w:t>
      </w:r>
    </w:p>
    <w:p>
      <w:pPr>
        <w:pStyle w:val="26"/>
        <w:numPr>
          <w:ilvl w:val="0"/>
          <w:numId w:val="2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应具备《政府采购法》第二十二条第一款规定的条件，</w:t>
      </w:r>
      <w:r>
        <w:rPr>
          <w:rFonts w:hint="eastAsia" w:hAnsi="宋体"/>
          <w:sz w:val="24"/>
          <w:szCs w:val="24"/>
        </w:rPr>
        <w:t>提供下列材料</w:t>
      </w:r>
      <w:r>
        <w:rPr>
          <w:rFonts w:hint="eastAsia" w:ascii="宋体" w:hAnsi="宋体" w:eastAsia="宋体" w:cs="Times New Roman"/>
          <w:sz w:val="24"/>
          <w:szCs w:val="24"/>
          <w:lang w:val="zh-CN"/>
        </w:rPr>
        <w:t>：</w:t>
      </w:r>
    </w:p>
    <w:p>
      <w:pPr>
        <w:pStyle w:val="26"/>
        <w:numPr>
          <w:ilvl w:val="0"/>
          <w:numId w:val="24"/>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法人或者其他组织的营业执照等证明文件，自然人的身份证明；</w:t>
      </w:r>
    </w:p>
    <w:p>
      <w:pPr>
        <w:pStyle w:val="26"/>
        <w:numPr>
          <w:ilvl w:val="0"/>
          <w:numId w:val="24"/>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财务状况报告，依法缴纳税收和社会保障资金的相关材料；</w:t>
      </w:r>
    </w:p>
    <w:p>
      <w:pPr>
        <w:pStyle w:val="26"/>
        <w:numPr>
          <w:ilvl w:val="0"/>
          <w:numId w:val="24"/>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具备履行合同所必需的设备和专业技术能力的证明材料；</w:t>
      </w:r>
    </w:p>
    <w:p>
      <w:pPr>
        <w:pStyle w:val="26"/>
        <w:numPr>
          <w:ilvl w:val="0"/>
          <w:numId w:val="24"/>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参加政府采购活动前3年内在经营活动中没有重大违法记录的书面声明；</w:t>
      </w:r>
    </w:p>
    <w:p>
      <w:pPr>
        <w:pStyle w:val="26"/>
        <w:numPr>
          <w:ilvl w:val="0"/>
          <w:numId w:val="24"/>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具备法律、行政法规规定的其他条件的证明材料。</w:t>
      </w:r>
    </w:p>
    <w:p>
      <w:pPr>
        <w:pStyle w:val="26"/>
        <w:numPr>
          <w:ilvl w:val="0"/>
          <w:numId w:val="2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26"/>
        <w:numPr>
          <w:ilvl w:val="0"/>
          <w:numId w:val="2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26"/>
        <w:numPr>
          <w:ilvl w:val="0"/>
          <w:numId w:val="2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26"/>
        <w:numPr>
          <w:ilvl w:val="0"/>
          <w:numId w:val="2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26"/>
        <w:numPr>
          <w:ilvl w:val="0"/>
          <w:numId w:val="2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22"/>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26"/>
        <w:numPr>
          <w:ilvl w:val="0"/>
          <w:numId w:val="25"/>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26"/>
        <w:numPr>
          <w:ilvl w:val="0"/>
          <w:numId w:val="25"/>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26"/>
        <w:numPr>
          <w:ilvl w:val="0"/>
          <w:numId w:val="25"/>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26"/>
        <w:numPr>
          <w:ilvl w:val="0"/>
          <w:numId w:val="25"/>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2"/>
        <w:numPr>
          <w:ilvl w:val="1"/>
          <w:numId w:val="25"/>
        </w:numPr>
        <w:jc w:val="center"/>
        <w:rPr>
          <w:rFonts w:ascii="黑体" w:hAnsi="黑体" w:eastAsia="黑体"/>
        </w:rPr>
      </w:pPr>
      <w:bookmarkStart w:id="71" w:name="_Toc495861541"/>
      <w:bookmarkStart w:id="72" w:name="_Toc509323133"/>
      <w:r>
        <w:rPr>
          <w:rFonts w:hint="eastAsia" w:ascii="黑体" w:hAnsi="黑体" w:eastAsia="黑体"/>
        </w:rPr>
        <w:t>评标方法、程序及标准</w:t>
      </w:r>
      <w:bookmarkEnd w:id="71"/>
      <w:bookmarkEnd w:id="72"/>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3"/>
        <w:numPr>
          <w:ilvl w:val="0"/>
          <w:numId w:val="26"/>
        </w:numPr>
        <w:spacing w:before="0" w:after="0" w:line="360" w:lineRule="auto"/>
        <w:ind w:left="616" w:hanging="616"/>
        <w:jc w:val="left"/>
        <w:rPr>
          <w:rFonts w:cs="Times New Roman" w:asciiTheme="majorEastAsia" w:hAnsiTheme="majorEastAsia"/>
          <w:bCs w:val="0"/>
          <w:sz w:val="30"/>
          <w:szCs w:val="30"/>
          <w:lang w:val="zh-CN"/>
        </w:rPr>
      </w:pPr>
      <w:bookmarkStart w:id="73" w:name="_Toc278891605"/>
      <w:bookmarkStart w:id="74" w:name="_Toc272247708"/>
      <w:bookmarkStart w:id="75" w:name="_Toc495861542"/>
      <w:bookmarkStart w:id="76" w:name="_Toc494561961"/>
      <w:bookmarkStart w:id="77" w:name="_Toc509323134"/>
      <w:r>
        <w:rPr>
          <w:rFonts w:hint="eastAsia" w:cs="Times New Roman" w:asciiTheme="majorEastAsia" w:hAnsiTheme="majorEastAsia"/>
          <w:bCs w:val="0"/>
          <w:sz w:val="30"/>
          <w:szCs w:val="30"/>
          <w:lang w:val="zh-CN"/>
        </w:rPr>
        <w:t>评标</w:t>
      </w:r>
      <w:bookmarkEnd w:id="73"/>
      <w:bookmarkEnd w:id="74"/>
      <w:r>
        <w:rPr>
          <w:rFonts w:hint="eastAsia" w:cs="Times New Roman" w:asciiTheme="majorEastAsia" w:hAnsiTheme="majorEastAsia"/>
          <w:bCs w:val="0"/>
          <w:sz w:val="30"/>
          <w:szCs w:val="30"/>
          <w:lang w:val="zh-CN"/>
        </w:rPr>
        <w:t>方法</w:t>
      </w:r>
      <w:bookmarkEnd w:id="75"/>
      <w:bookmarkEnd w:id="76"/>
      <w:bookmarkEnd w:id="77"/>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3"/>
        <w:numPr>
          <w:ilvl w:val="0"/>
          <w:numId w:val="26"/>
        </w:numPr>
        <w:spacing w:before="0" w:after="0" w:line="360" w:lineRule="auto"/>
        <w:ind w:left="616" w:hanging="616"/>
        <w:jc w:val="left"/>
        <w:rPr>
          <w:rFonts w:cs="Times New Roman" w:asciiTheme="majorEastAsia" w:hAnsiTheme="majorEastAsia"/>
          <w:bCs w:val="0"/>
          <w:sz w:val="30"/>
          <w:szCs w:val="30"/>
          <w:lang w:val="zh-CN"/>
        </w:rPr>
      </w:pPr>
      <w:bookmarkStart w:id="78" w:name="_Toc272247709"/>
      <w:bookmarkStart w:id="79" w:name="_Toc278891606"/>
      <w:bookmarkStart w:id="80" w:name="_Toc494561962"/>
      <w:bookmarkStart w:id="81" w:name="_Toc509323135"/>
      <w:bookmarkStart w:id="82" w:name="_Toc495861543"/>
      <w:r>
        <w:rPr>
          <w:rFonts w:hint="eastAsia" w:cs="Times New Roman" w:asciiTheme="majorEastAsia" w:hAnsiTheme="majorEastAsia"/>
          <w:bCs w:val="0"/>
          <w:sz w:val="30"/>
          <w:szCs w:val="30"/>
          <w:lang w:val="zh-CN"/>
        </w:rPr>
        <w:t>评标程序</w:t>
      </w:r>
      <w:bookmarkEnd w:id="78"/>
      <w:bookmarkEnd w:id="79"/>
      <w:r>
        <w:rPr>
          <w:rFonts w:hint="eastAsia" w:cs="Times New Roman" w:asciiTheme="majorEastAsia" w:hAnsiTheme="majorEastAsia"/>
          <w:bCs w:val="0"/>
          <w:sz w:val="30"/>
          <w:szCs w:val="30"/>
          <w:lang w:val="zh-CN"/>
        </w:rPr>
        <w:t>及标准</w:t>
      </w:r>
      <w:bookmarkEnd w:id="80"/>
      <w:bookmarkEnd w:id="81"/>
      <w:bookmarkEnd w:id="82"/>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27"/>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2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2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2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2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2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2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2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2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28"/>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28"/>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2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2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2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2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2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2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2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2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28"/>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27"/>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29"/>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29"/>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29"/>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30"/>
        </w:numPr>
        <w:adjustRightInd w:val="0"/>
        <w:spacing w:line="360" w:lineRule="auto"/>
        <w:ind w:left="742" w:hanging="493"/>
        <w:rPr>
          <w:rFonts w:ascii="宋体" w:hAnsi="宋体" w:eastAsia="宋体" w:cs="Times New Roman"/>
          <w:sz w:val="24"/>
          <w:szCs w:val="24"/>
          <w:lang w:val="zh-CN"/>
        </w:rPr>
      </w:pPr>
      <w:r>
        <w:rPr>
          <w:rFonts w:ascii="宋体" w:hAnsi="宋体" w:eastAsia="宋体" w:cs="Times New Roman"/>
          <w:sz w:val="24"/>
          <w:szCs w:val="24"/>
          <w:lang w:val="zh-CN"/>
        </w:rPr>
        <w:t>投标文件中开标一览表内容与投标文件中相应内容不一致的，以开标一览表为准</w:t>
      </w:r>
      <w:r>
        <w:rPr>
          <w:rFonts w:hint="eastAsia" w:ascii="宋体" w:hAnsi="宋体" w:eastAsia="宋体" w:cs="Times New Roman"/>
          <w:sz w:val="24"/>
          <w:szCs w:val="24"/>
          <w:lang w:val="zh-CN"/>
        </w:rPr>
        <w:t>。</w:t>
      </w:r>
    </w:p>
    <w:p>
      <w:pPr>
        <w:numPr>
          <w:ilvl w:val="0"/>
          <w:numId w:val="30"/>
        </w:numPr>
        <w:adjustRightInd w:val="0"/>
        <w:spacing w:line="360" w:lineRule="auto"/>
        <w:ind w:left="742" w:hanging="493"/>
        <w:rPr>
          <w:rFonts w:ascii="宋体" w:hAnsi="宋体" w:eastAsia="宋体" w:cs="Times New Roman"/>
          <w:sz w:val="24"/>
          <w:szCs w:val="24"/>
          <w:lang w:val="zh-CN"/>
        </w:rPr>
      </w:pPr>
      <w:r>
        <w:rPr>
          <w:rFonts w:ascii="宋体" w:hAnsi="宋体" w:eastAsia="宋体" w:cs="Times New Roman"/>
          <w:sz w:val="24"/>
          <w:szCs w:val="24"/>
          <w:lang w:val="zh-CN"/>
        </w:rPr>
        <w:t>大写金额和小写金额不一致的，以大写金额为准</w:t>
      </w:r>
      <w:r>
        <w:rPr>
          <w:rFonts w:hint="eastAsia" w:ascii="宋体" w:hAnsi="宋体" w:eastAsia="宋体" w:cs="Times New Roman"/>
          <w:sz w:val="24"/>
          <w:szCs w:val="24"/>
          <w:lang w:val="zh-CN"/>
        </w:rPr>
        <w:t>。</w:t>
      </w:r>
    </w:p>
    <w:p>
      <w:pPr>
        <w:numPr>
          <w:ilvl w:val="0"/>
          <w:numId w:val="30"/>
        </w:numPr>
        <w:adjustRightInd w:val="0"/>
        <w:spacing w:line="360" w:lineRule="auto"/>
        <w:ind w:left="742" w:hanging="493"/>
        <w:rPr>
          <w:rFonts w:ascii="宋体" w:hAnsi="宋体" w:eastAsia="宋体" w:cs="Times New Roman"/>
          <w:sz w:val="24"/>
          <w:szCs w:val="24"/>
          <w:lang w:val="zh-CN"/>
        </w:rPr>
      </w:pPr>
      <w:r>
        <w:rPr>
          <w:rFonts w:ascii="宋体" w:hAnsi="宋体" w:eastAsia="宋体" w:cs="Times New Roman"/>
          <w:sz w:val="24"/>
          <w:szCs w:val="24"/>
          <w:lang w:val="zh-CN"/>
        </w:rPr>
        <w:t>单价金额小数点或者百分比有明显错位的，以开标一览表的总价为准，并修改单价</w:t>
      </w:r>
      <w:r>
        <w:rPr>
          <w:rFonts w:hint="eastAsia" w:ascii="宋体" w:hAnsi="宋体" w:eastAsia="宋体" w:cs="Times New Roman"/>
          <w:sz w:val="24"/>
          <w:szCs w:val="24"/>
          <w:lang w:val="zh-CN"/>
        </w:rPr>
        <w:t>。</w:t>
      </w:r>
    </w:p>
    <w:p>
      <w:pPr>
        <w:numPr>
          <w:ilvl w:val="0"/>
          <w:numId w:val="30"/>
        </w:numPr>
        <w:adjustRightInd w:val="0"/>
        <w:spacing w:line="360" w:lineRule="auto"/>
        <w:ind w:left="742" w:hanging="493"/>
        <w:rPr>
          <w:rFonts w:ascii="宋体" w:hAnsi="宋体" w:eastAsia="宋体" w:cs="Times New Roman"/>
          <w:sz w:val="24"/>
          <w:szCs w:val="24"/>
          <w:lang w:val="zh-CN"/>
        </w:rPr>
      </w:pPr>
      <w:r>
        <w:rPr>
          <w:rFonts w:ascii="宋体" w:hAnsi="宋体" w:eastAsia="宋体" w:cs="Times New Roman"/>
          <w:sz w:val="24"/>
          <w:szCs w:val="24"/>
          <w:lang w:val="zh-CN"/>
        </w:rPr>
        <w:t>总价金额与按单价汇总金额不一致的，以单价金额计算结果为准</w:t>
      </w:r>
      <w:r>
        <w:rPr>
          <w:rFonts w:hint="eastAsia" w:ascii="宋体" w:hAnsi="宋体" w:eastAsia="宋体" w:cs="Times New Roman"/>
          <w:sz w:val="24"/>
          <w:szCs w:val="24"/>
          <w:lang w:val="zh-CN"/>
        </w:rPr>
        <w:t>。</w:t>
      </w:r>
    </w:p>
    <w:p>
      <w:pPr>
        <w:numPr>
          <w:ilvl w:val="0"/>
          <w:numId w:val="30"/>
        </w:numPr>
        <w:adjustRightInd w:val="0"/>
        <w:spacing w:line="360" w:lineRule="auto"/>
        <w:ind w:left="742" w:hanging="493"/>
        <w:rPr>
          <w:rFonts w:ascii="宋体" w:hAnsi="宋体" w:eastAsia="宋体" w:cs="Times New Roman"/>
          <w:sz w:val="24"/>
          <w:szCs w:val="24"/>
          <w:lang w:val="zh-CN"/>
        </w:rPr>
      </w:pPr>
      <w:r>
        <w:rPr>
          <w:rFonts w:ascii="宋体" w:hAnsi="宋体" w:eastAsia="宋体" w:cs="Times New Roman"/>
          <w:sz w:val="24"/>
          <w:szCs w:val="24"/>
          <w:lang w:val="zh-CN"/>
        </w:rPr>
        <w:t>同时出现两种以上不一致的，按照前款规定的顺序修正</w:t>
      </w:r>
      <w:r>
        <w:rPr>
          <w:rFonts w:hint="eastAsia" w:ascii="宋体" w:hAnsi="宋体" w:eastAsia="宋体" w:cs="Times New Roman"/>
          <w:sz w:val="24"/>
          <w:szCs w:val="24"/>
          <w:lang w:val="zh-CN"/>
        </w:rPr>
        <w:t>。</w:t>
      </w:r>
    </w:p>
    <w:p>
      <w:pPr>
        <w:numPr>
          <w:ilvl w:val="0"/>
          <w:numId w:val="30"/>
        </w:numPr>
        <w:adjustRightInd w:val="0"/>
        <w:spacing w:line="360" w:lineRule="auto"/>
        <w:ind w:left="742" w:hanging="493"/>
        <w:rPr>
          <w:rFonts w:ascii="宋体" w:hAnsi="宋体" w:eastAsia="宋体" w:cs="Times New Roman"/>
          <w:sz w:val="24"/>
          <w:szCs w:val="24"/>
          <w:lang w:val="zh-CN"/>
        </w:rPr>
      </w:pPr>
      <w:r>
        <w:rPr>
          <w:rFonts w:ascii="宋体" w:hAnsi="宋体" w:eastAsia="宋体" w:cs="Times New Roman"/>
          <w:sz w:val="24"/>
          <w:szCs w:val="24"/>
          <w:lang w:val="zh-CN"/>
        </w:rPr>
        <w:t>修正后的报价按照</w:t>
      </w:r>
      <w:r>
        <w:rPr>
          <w:rFonts w:hint="eastAsia" w:ascii="宋体" w:hAnsi="宋体" w:eastAsia="宋体" w:cs="Times New Roman"/>
          <w:sz w:val="24"/>
          <w:szCs w:val="24"/>
          <w:lang w:val="zh-CN"/>
        </w:rPr>
        <w:t>本节第4条规定</w:t>
      </w:r>
      <w:r>
        <w:rPr>
          <w:rFonts w:ascii="宋体" w:hAnsi="宋体" w:eastAsia="宋体" w:cs="Times New Roman"/>
          <w:sz w:val="24"/>
          <w:szCs w:val="24"/>
          <w:lang w:val="zh-CN"/>
        </w:rPr>
        <w:t>经投标人确认后产生约束力，投标人不确认的，</w:t>
      </w:r>
      <w:r>
        <w:rPr>
          <w:rFonts w:hint="eastAsia" w:ascii="宋体" w:hAnsi="宋体" w:eastAsia="宋体" w:cs="Times New Roman"/>
          <w:sz w:val="24"/>
          <w:szCs w:val="24"/>
          <w:lang w:val="zh-CN"/>
        </w:rPr>
        <w:t>按照</w:t>
      </w:r>
      <w:r>
        <w:rPr>
          <w:rFonts w:ascii="宋体" w:hAnsi="宋体" w:eastAsia="宋体" w:cs="Times New Roman"/>
          <w:b/>
          <w:sz w:val="24"/>
          <w:szCs w:val="24"/>
          <w:lang w:val="zh-CN"/>
        </w:rPr>
        <w:t>无效</w:t>
      </w:r>
      <w:r>
        <w:rPr>
          <w:rFonts w:hint="eastAsia" w:ascii="宋体" w:hAnsi="宋体" w:eastAsia="宋体" w:cs="Times New Roman"/>
          <w:b/>
          <w:sz w:val="24"/>
          <w:szCs w:val="24"/>
          <w:lang w:val="zh-CN"/>
        </w:rPr>
        <w:t>投标处理</w:t>
      </w:r>
      <w:r>
        <w:rPr>
          <w:rFonts w:ascii="宋体" w:hAnsi="宋体" w:eastAsia="宋体" w:cs="Times New Roman"/>
          <w:sz w:val="24"/>
          <w:szCs w:val="24"/>
          <w:lang w:val="zh-CN"/>
        </w:rPr>
        <w:t>。</w:t>
      </w:r>
    </w:p>
    <w:p>
      <w:pPr>
        <w:numPr>
          <w:ilvl w:val="0"/>
          <w:numId w:val="29"/>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27"/>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3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3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3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32"/>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32"/>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33"/>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33"/>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33"/>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33"/>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33"/>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3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34"/>
        </w:numPr>
        <w:adjustRightInd w:val="0"/>
        <w:spacing w:line="360" w:lineRule="auto"/>
        <w:ind w:left="756" w:hanging="507"/>
        <w:rPr>
          <w:rFonts w:ascii="Helvetica" w:hAnsi="Helvetica" w:eastAsia="宋体" w:cs="Helvetica"/>
          <w:kern w:val="0"/>
          <w:sz w:val="24"/>
          <w:szCs w:val="24"/>
          <w:lang w:val="zh-CN"/>
        </w:rPr>
      </w:pPr>
      <w:r>
        <w:rPr>
          <w:rFonts w:ascii="Helvetica" w:hAnsi="Helvetica" w:eastAsia="宋体" w:cs="Helvetica"/>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确定一个投标人获得中标人推荐资格，其他同品牌投标人不作为中标候选人。</w:t>
      </w:r>
    </w:p>
    <w:p>
      <w:pPr>
        <w:numPr>
          <w:ilvl w:val="0"/>
          <w:numId w:val="34"/>
        </w:numPr>
        <w:adjustRightInd w:val="0"/>
        <w:spacing w:line="360" w:lineRule="auto"/>
        <w:ind w:left="756" w:hanging="507"/>
        <w:rPr>
          <w:rFonts w:ascii="Helvetica" w:hAnsi="Helvetica" w:eastAsia="宋体" w:cs="Helvetica"/>
          <w:kern w:val="0"/>
          <w:sz w:val="24"/>
          <w:szCs w:val="24"/>
          <w:lang w:val="zh-CN"/>
        </w:rPr>
      </w:pPr>
      <w:r>
        <w:rPr>
          <w:rFonts w:ascii="Helvetica" w:hAnsi="Helvetica" w:eastAsia="宋体" w:cs="Helvetica"/>
          <w:kern w:val="0"/>
          <w:sz w:val="24"/>
          <w:szCs w:val="24"/>
          <w:lang w:val="zh-CN"/>
        </w:rPr>
        <w:t>非单一产品采购项目，采购人应当根据采购项目技术构成、产品价格比重等合理确定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（采购清单中作“相同〈或同一〉品牌”实质性要求的产品，视为一个核心产品），</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在招标文件中</w:t>
      </w:r>
      <w:r>
        <w:rPr>
          <w:rFonts w:hint="eastAsia" w:ascii="Helvetica" w:hAnsi="Helvetica" w:eastAsia="宋体" w:cs="Helvetica"/>
          <w:kern w:val="0"/>
          <w:sz w:val="24"/>
          <w:szCs w:val="24"/>
          <w:lang w:val="zh-CN"/>
        </w:rPr>
        <w:t>标注</w:t>
      </w:r>
      <w:r>
        <w:rPr>
          <w:rFonts w:ascii="Helvetica" w:hAnsi="Helvetica" w:eastAsia="宋体" w:cs="Helvetica"/>
          <w:kern w:val="0"/>
          <w:sz w:val="24"/>
          <w:szCs w:val="24"/>
          <w:lang w:val="zh-CN"/>
        </w:rPr>
        <w:t>。</w:t>
      </w:r>
    </w:p>
    <w:p>
      <w:pPr>
        <w:numPr>
          <w:ilvl w:val="0"/>
          <w:numId w:val="31"/>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35"/>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集中采购机构对各评委的总分进行复核。各项统计结果均精确到小数点后两位。</w:t>
      </w:r>
    </w:p>
    <w:p>
      <w:pPr>
        <w:numPr>
          <w:ilvl w:val="0"/>
          <w:numId w:val="35"/>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27"/>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3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3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3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3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3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tabs>
          <w:tab w:val="left" w:pos="616"/>
        </w:tabs>
        <w:spacing w:line="360" w:lineRule="auto"/>
        <w:rPr>
          <w:rFonts w:ascii="Helvetica" w:hAnsi="Helvetica" w:eastAsia="宋体" w:cs="Helvetica"/>
          <w:kern w:val="0"/>
          <w:sz w:val="24"/>
          <w:szCs w:val="24"/>
          <w:lang w:val="zh-CN"/>
        </w:rPr>
      </w:pPr>
    </w:p>
    <w:p>
      <w:pPr>
        <w:widowControl/>
        <w:jc w:val="left"/>
        <w:rPr>
          <w:rFonts w:ascii="Helvetica" w:hAnsi="Helvetica" w:eastAsia="宋体" w:cs="Helvetica"/>
          <w:kern w:val="0"/>
          <w:sz w:val="24"/>
          <w:szCs w:val="24"/>
          <w:lang w:val="zh-CN"/>
        </w:rPr>
      </w:pPr>
    </w:p>
    <w:p>
      <w:pPr>
        <w:pStyle w:val="3"/>
        <w:numPr>
          <w:ilvl w:val="0"/>
          <w:numId w:val="26"/>
        </w:numPr>
        <w:spacing w:before="0" w:after="0" w:line="360" w:lineRule="auto"/>
        <w:ind w:left="616" w:hanging="616"/>
        <w:jc w:val="left"/>
        <w:rPr>
          <w:rFonts w:cs="Times New Roman" w:asciiTheme="majorEastAsia" w:hAnsiTheme="majorEastAsia"/>
          <w:bCs w:val="0"/>
          <w:sz w:val="30"/>
          <w:szCs w:val="30"/>
          <w:lang w:val="zh-CN"/>
        </w:rPr>
      </w:pPr>
      <w:bookmarkStart w:id="83" w:name="_Toc509323136"/>
      <w:bookmarkStart w:id="84" w:name="_Toc494561963"/>
      <w:bookmarkStart w:id="85" w:name="_Toc495861544"/>
      <w:r>
        <w:rPr>
          <w:rFonts w:hint="eastAsia" w:cs="Times New Roman" w:asciiTheme="majorEastAsia" w:hAnsiTheme="majorEastAsia"/>
          <w:bCs w:val="0"/>
          <w:sz w:val="30"/>
          <w:szCs w:val="30"/>
          <w:lang w:val="zh-CN"/>
        </w:rPr>
        <w:t>评审因素及评分标准</w:t>
      </w:r>
      <w:bookmarkEnd w:id="83"/>
      <w:bookmarkEnd w:id="84"/>
      <w:bookmarkEnd w:id="85"/>
    </w:p>
    <w:tbl>
      <w:tblPr>
        <w:tblStyle w:val="17"/>
        <w:tblW w:w="10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8996"/>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11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宋体" w:hAnsi="宋体"/>
                <w:szCs w:val="21"/>
              </w:rPr>
            </w:pPr>
            <w:r>
              <w:rPr>
                <w:rFonts w:hint="eastAsia" w:ascii="宋体" w:hAnsi="宋体"/>
                <w:szCs w:val="21"/>
              </w:rPr>
              <w:t>评分项目</w:t>
            </w:r>
          </w:p>
        </w:tc>
        <w:tc>
          <w:tcPr>
            <w:tcW w:w="8996" w:type="dxa"/>
            <w:tcBorders>
              <w:top w:val="single" w:color="auto" w:sz="4" w:space="0"/>
              <w:left w:val="single" w:color="auto" w:sz="4" w:space="0"/>
              <w:bottom w:val="single" w:color="auto" w:sz="4" w:space="0"/>
              <w:right w:val="single" w:color="auto" w:sz="4" w:space="0"/>
            </w:tcBorders>
            <w:vAlign w:val="center"/>
          </w:tcPr>
          <w:p>
            <w:pPr>
              <w:tabs>
                <w:tab w:val="left" w:pos="3000"/>
              </w:tabs>
              <w:adjustRightInd w:val="0"/>
              <w:snapToGrid w:val="0"/>
              <w:spacing w:line="340" w:lineRule="exact"/>
              <w:ind w:right="480"/>
              <w:jc w:val="center"/>
              <w:rPr>
                <w:rFonts w:ascii="宋体" w:hAnsi="宋体"/>
                <w:szCs w:val="21"/>
              </w:rPr>
            </w:pPr>
            <w:r>
              <w:rPr>
                <w:rFonts w:hint="eastAsia" w:ascii="宋体" w:hAnsi="宋体"/>
                <w:szCs w:val="21"/>
              </w:rPr>
              <w:t>评 分 标 准</w:t>
            </w:r>
          </w:p>
        </w:tc>
        <w:tc>
          <w:tcPr>
            <w:tcW w:w="790" w:type="dxa"/>
            <w:tcBorders>
              <w:top w:val="single" w:color="auto" w:sz="4" w:space="0"/>
              <w:left w:val="single" w:color="auto" w:sz="4" w:space="0"/>
              <w:bottom w:val="single" w:color="auto" w:sz="4" w:space="0"/>
              <w:right w:val="single" w:color="auto" w:sz="4" w:space="0"/>
            </w:tcBorders>
            <w:vAlign w:val="center"/>
          </w:tcPr>
          <w:p>
            <w:pPr>
              <w:tabs>
                <w:tab w:val="left" w:pos="3000"/>
              </w:tabs>
              <w:adjustRightInd w:val="0"/>
              <w:snapToGrid w:val="0"/>
              <w:spacing w:line="340" w:lineRule="exact"/>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1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投标报价30分</w:t>
            </w:r>
          </w:p>
        </w:tc>
        <w:tc>
          <w:tcPr>
            <w:tcW w:w="8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spacing w:val="-6"/>
                <w:szCs w:val="21"/>
              </w:rPr>
            </w:pPr>
            <w:r>
              <w:rPr>
                <w:rFonts w:hint="eastAsia" w:ascii="宋体" w:hAnsi="宋体" w:eastAsia="宋体" w:cs="Times New Roman"/>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分  计算时保留两位小数。</w:t>
            </w:r>
          </w:p>
        </w:tc>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11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技术质量商务等60分</w:t>
            </w:r>
          </w:p>
        </w:tc>
        <w:tc>
          <w:tcPr>
            <w:tcW w:w="8996"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76" w:lineRule="auto"/>
              <w:rPr>
                <w:rFonts w:asciiTheme="majorEastAsia" w:hAnsiTheme="majorEastAsia" w:eastAsiaTheme="majorEastAsia"/>
                <w:b/>
                <w:szCs w:val="21"/>
              </w:rPr>
            </w:pPr>
            <w:r>
              <w:rPr>
                <w:rFonts w:hint="eastAsia" w:hAnsi="宋体"/>
                <w:b/>
                <w:szCs w:val="21"/>
              </w:rPr>
              <w:t>1、技术指标。提供相关产品的说明书，产品技术说明、详细规格型号、参数等技术性能指标且技术指标没有负偏离的得30分；</w:t>
            </w:r>
            <w:bookmarkStart w:id="86" w:name="OLE_LINK3"/>
            <w:bookmarkStart w:id="87" w:name="OLE_LINK4"/>
            <w:r>
              <w:rPr>
                <w:rFonts w:hint="eastAsia" w:asciiTheme="majorEastAsia" w:hAnsiTheme="majorEastAsia" w:eastAsiaTheme="majorEastAsia"/>
                <w:b/>
                <w:szCs w:val="21"/>
              </w:rPr>
              <w:t>带★号参数为关键性技术参数，一项不满足属无效投标；其他非带★号技术参数一项不满足扣3分，五项以上不满足为无效投标。</w:t>
            </w:r>
            <w:bookmarkEnd w:id="86"/>
            <w:bookmarkEnd w:id="87"/>
          </w:p>
        </w:tc>
        <w:tc>
          <w:tcPr>
            <w:tcW w:w="790" w:type="dxa"/>
            <w:tcBorders>
              <w:top w:val="single" w:color="auto" w:sz="4" w:space="0"/>
              <w:left w:val="single" w:color="auto" w:sz="4" w:space="0"/>
              <w:bottom w:val="single" w:color="auto" w:sz="4" w:space="0"/>
              <w:right w:val="single" w:color="auto" w:sz="4" w:space="0"/>
            </w:tcBorders>
            <w:vAlign w:val="center"/>
          </w:tcPr>
          <w:p>
            <w:pPr>
              <w:pStyle w:val="7"/>
              <w:adjustRightInd w:val="0"/>
              <w:snapToGrid w:val="0"/>
              <w:jc w:val="center"/>
              <w:rPr>
                <w:rFonts w:hAnsi="宋体"/>
              </w:rPr>
            </w:pPr>
            <w:r>
              <w:rPr>
                <w:rFonts w:hint="eastAsia" w:hAnsi="宋体"/>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szCs w:val="21"/>
              </w:rPr>
            </w:pPr>
            <w:r>
              <w:rPr>
                <w:rFonts w:hint="eastAsia" w:ascii="宋体" w:hAnsi="宋体"/>
                <w:szCs w:val="21"/>
              </w:rPr>
              <w:t>2、检测报告。提供设备的检验报告可得3分，没有不得分；</w:t>
            </w:r>
          </w:p>
        </w:tc>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szCs w:val="21"/>
              </w:rPr>
            </w:pPr>
            <w:r>
              <w:rPr>
                <w:rFonts w:hint="eastAsia" w:ascii="宋体" w:hAnsi="宋体"/>
                <w:szCs w:val="21"/>
              </w:rPr>
              <w:t>3、产品质量：根据设备的性能、安全、质量、可靠性、完整性等五方面综合评价，依据各投标人所提供有关资料酌情评分，最高得3分；未提供的不得分。</w:t>
            </w:r>
          </w:p>
        </w:tc>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szCs w:val="21"/>
              </w:rPr>
            </w:pPr>
            <w:r>
              <w:rPr>
                <w:rFonts w:hint="eastAsia" w:ascii="宋体" w:hAnsi="宋体"/>
                <w:szCs w:val="21"/>
              </w:rPr>
              <w:t>4、技术人员：以有关证书为准，从机构健全、人员齐备、专业配套、具备相关真实有效的岗位证书及主要技术、经济、管理人员素质等进行评分，最高得2分，未提供的不得分；提供投标人所使用的项目实施人员材料（以提供本企业人员劳动合同和社保证明为准），最高得2分，未提供的不得分。</w:t>
            </w:r>
          </w:p>
        </w:tc>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szCs w:val="21"/>
              </w:rPr>
            </w:pPr>
            <w:r>
              <w:rPr>
                <w:rFonts w:hint="eastAsia" w:ascii="宋体" w:hAnsi="宋体"/>
                <w:szCs w:val="21"/>
              </w:rPr>
              <w:t>5、技术优势。所投设备整体技术水平和性能优良最高可得3分，主要技术指标、参数明显优越的可加1分，采用新材料、新工艺、新技术，设备先进、环保、节能的加1分；</w:t>
            </w:r>
          </w:p>
        </w:tc>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76" w:lineRule="auto"/>
              <w:jc w:val="left"/>
              <w:rPr>
                <w:rFonts w:ascii="宋体" w:hAnsi="宋体"/>
                <w:szCs w:val="21"/>
              </w:rPr>
            </w:pPr>
            <w:r>
              <w:rPr>
                <w:rFonts w:hint="eastAsia" w:ascii="宋体" w:hAnsi="宋体"/>
                <w:szCs w:val="21"/>
              </w:rPr>
              <w:t>6、口碑与信誉：投标品牌知名度、企业认证、信用、既往经验等方面进行评价。最高得3分；未提供的不得分。</w:t>
            </w:r>
          </w:p>
        </w:tc>
        <w:tc>
          <w:tcPr>
            <w:tcW w:w="79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szCs w:val="21"/>
              </w:rPr>
            </w:pP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spacing w:line="276" w:lineRule="auto"/>
              <w:rPr>
                <w:rFonts w:ascii="宋体" w:hAnsi="宋体"/>
                <w:szCs w:val="21"/>
              </w:rPr>
            </w:pPr>
            <w:r>
              <w:rPr>
                <w:rFonts w:hint="eastAsia" w:ascii="宋体" w:hAnsi="宋体"/>
                <w:szCs w:val="21"/>
              </w:rPr>
              <w:t>7、企业及设备各类相关获奖证书、质量体系认证证书、环保体系认证证书等，每项可得1分，最高得3分；</w:t>
            </w:r>
          </w:p>
        </w:tc>
        <w:tc>
          <w:tcPr>
            <w:tcW w:w="79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szCs w:val="21"/>
              </w:rPr>
            </w:pP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spacing w:line="276" w:lineRule="auto"/>
              <w:rPr>
                <w:rFonts w:ascii="宋体" w:hAnsi="宋体"/>
                <w:szCs w:val="21"/>
              </w:rPr>
            </w:pPr>
            <w:r>
              <w:rPr>
                <w:rFonts w:hint="eastAsia" w:ascii="宋体" w:hAnsi="宋体"/>
                <w:szCs w:val="21"/>
              </w:rPr>
              <w:t xml:space="preserve">8、提供2016年10月份以来类似项目业绩，（需提供合同等有效的业绩证明材料），每案例得1分，最高 4分；   </w:t>
            </w:r>
          </w:p>
        </w:tc>
        <w:tc>
          <w:tcPr>
            <w:tcW w:w="79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szCs w:val="21"/>
              </w:rPr>
            </w:pPr>
            <w:r>
              <w:rPr>
                <w:rFonts w:hint="eastAsia" w:ascii="宋体" w:hAnsi="宋体"/>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spacing w:line="276" w:lineRule="auto"/>
              <w:rPr>
                <w:rFonts w:ascii="宋体" w:hAnsi="宋体"/>
                <w:szCs w:val="21"/>
              </w:rPr>
            </w:pPr>
            <w:r>
              <w:rPr>
                <w:rFonts w:hint="eastAsia" w:ascii="宋体" w:hAnsi="宋体"/>
                <w:szCs w:val="21"/>
              </w:rPr>
              <w:t>9、公司状况：投标人提供的银行资信资金情况、企业财务状况等资料，得3分；未提供的不得分。</w:t>
            </w:r>
          </w:p>
        </w:tc>
        <w:tc>
          <w:tcPr>
            <w:tcW w:w="79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szCs w:val="21"/>
              </w:rPr>
            </w:pP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spacing w:line="276" w:lineRule="auto"/>
              <w:rPr>
                <w:rFonts w:ascii="宋体" w:hAnsi="宋体"/>
                <w:szCs w:val="21"/>
              </w:rPr>
            </w:pPr>
            <w:r>
              <w:rPr>
                <w:rFonts w:hint="eastAsia" w:ascii="宋体" w:hAnsi="宋体"/>
                <w:szCs w:val="21"/>
              </w:rPr>
              <w:t>10、</w:t>
            </w:r>
            <w:r>
              <w:rPr>
                <w:rFonts w:hint="eastAsia" w:ascii="宋体" w:hAnsi="宋体" w:cs="宋体"/>
                <w:szCs w:val="21"/>
              </w:rPr>
              <w:t>响应文件。投标文件全面响应招标文件要求，编制完整、美观，非活页装订，且有详细目录、连续页码、目录与有关材料装订顺序对应清晰、查阅方便。</w:t>
            </w:r>
            <w:r>
              <w:rPr>
                <w:rFonts w:hint="eastAsia" w:ascii="宋体" w:hAnsi="宋体"/>
                <w:szCs w:val="21"/>
              </w:rPr>
              <w:t>不符合要求的，每处扣0.5分，扣完为止。</w:t>
            </w:r>
          </w:p>
        </w:tc>
        <w:tc>
          <w:tcPr>
            <w:tcW w:w="79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szCs w:val="21"/>
              </w:rPr>
            </w:pP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shd w:val="clear" w:color="auto" w:fill="7F7F7F"/>
            <w:vAlign w:val="center"/>
          </w:tcPr>
          <w:p>
            <w:pPr>
              <w:adjustRightInd w:val="0"/>
              <w:snapToGrid w:val="0"/>
              <w:spacing w:line="276" w:lineRule="auto"/>
              <w:jc w:val="center"/>
              <w:rPr>
                <w:rFonts w:ascii="宋体" w:hAnsi="宋体"/>
                <w:szCs w:val="21"/>
              </w:rPr>
            </w:pPr>
            <w:r>
              <w:rPr>
                <w:rFonts w:hint="eastAsia" w:ascii="宋体" w:hAnsi="宋体"/>
                <w:szCs w:val="21"/>
              </w:rPr>
              <w:t>技术质量等小计</w:t>
            </w:r>
          </w:p>
        </w:tc>
        <w:tc>
          <w:tcPr>
            <w:tcW w:w="790" w:type="dxa"/>
            <w:tcBorders>
              <w:top w:val="single" w:color="auto" w:sz="4" w:space="0"/>
              <w:left w:val="single" w:color="auto" w:sz="4" w:space="0"/>
              <w:bottom w:val="single" w:color="auto" w:sz="4" w:space="0"/>
              <w:right w:val="single" w:color="auto" w:sz="4" w:space="0"/>
            </w:tcBorders>
            <w:shd w:val="clear" w:color="auto" w:fill="7F7F7F"/>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11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售后服务等10分</w:t>
            </w:r>
          </w:p>
        </w:tc>
        <w:tc>
          <w:tcPr>
            <w:tcW w:w="8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szCs w:val="21"/>
              </w:rPr>
            </w:pPr>
            <w:r>
              <w:rPr>
                <w:rFonts w:hint="eastAsia" w:ascii="宋体" w:hAnsi="宋体"/>
                <w:szCs w:val="21"/>
              </w:rPr>
              <w:t>1、必须保证24小时内到达现场，满足要求并作出承诺，得1分；未提供的不得分。</w:t>
            </w:r>
          </w:p>
        </w:tc>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114" w:type="dxa"/>
            <w:vMerge w:val="continue"/>
            <w:tcBorders>
              <w:left w:val="single" w:color="auto" w:sz="4" w:space="0"/>
              <w:right w:val="single" w:color="auto" w:sz="4" w:space="0"/>
            </w:tcBorders>
            <w:vAlign w:val="center"/>
          </w:tcPr>
          <w:p>
            <w:pPr>
              <w:adjustRightInd w:val="0"/>
              <w:snapToGrid w:val="0"/>
              <w:jc w:val="center"/>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szCs w:val="21"/>
              </w:rPr>
            </w:pPr>
            <w:r>
              <w:rPr>
                <w:rFonts w:hint="eastAsia" w:ascii="宋体" w:hAnsi="宋体"/>
                <w:szCs w:val="21"/>
              </w:rPr>
              <w:t>2、本地服务基础、技术支持方案、培训方案、运行保障以及其它实质性优惠条件进行评价。最高得2分；未提供的不得分。</w:t>
            </w:r>
          </w:p>
        </w:tc>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szCs w:val="21"/>
              </w:rPr>
            </w:pPr>
            <w:r>
              <w:rPr>
                <w:rFonts w:hint="eastAsia" w:ascii="宋体" w:hAnsi="宋体"/>
                <w:szCs w:val="21"/>
              </w:rPr>
              <w:t>3、本地化服务：湖北省内有办事处或分支机构等售后服务点的得1分，市内得2分，县内的得3分，须提供有效的证明材料；</w:t>
            </w:r>
          </w:p>
        </w:tc>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szCs w:val="21"/>
              </w:rPr>
            </w:pPr>
            <w:r>
              <w:rPr>
                <w:rFonts w:hint="eastAsia" w:ascii="宋体" w:hAnsi="宋体"/>
                <w:szCs w:val="21"/>
              </w:rPr>
              <w:t>4、质保期：根据投标人承诺的质保、维修和售后服务内容、期限进行评定，承诺一年免费质保每增加一年加1分，最高可加2分；（2分）</w:t>
            </w:r>
          </w:p>
        </w:tc>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szCs w:val="21"/>
              </w:rPr>
            </w:pPr>
            <w:r>
              <w:rPr>
                <w:rFonts w:hint="eastAsia" w:ascii="宋体" w:hAnsi="宋体"/>
                <w:szCs w:val="21"/>
              </w:rPr>
              <w:t>4、投标人如提出其它优于招标文件要求的服务承诺，依据各投标人所提供有关资料酌情评分。最高得2分；未提供的不得分。</w:t>
            </w:r>
          </w:p>
        </w:tc>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shd w:val="clear" w:color="auto" w:fill="7F7F7F"/>
            <w:vAlign w:val="center"/>
          </w:tcPr>
          <w:p>
            <w:pPr>
              <w:adjustRightInd w:val="0"/>
              <w:snapToGrid w:val="0"/>
              <w:jc w:val="center"/>
              <w:rPr>
                <w:rFonts w:ascii="宋体" w:hAnsi="宋体"/>
                <w:szCs w:val="21"/>
              </w:rPr>
            </w:pPr>
            <w:r>
              <w:rPr>
                <w:rFonts w:hint="eastAsia" w:ascii="宋体" w:hAnsi="宋体"/>
                <w:szCs w:val="21"/>
              </w:rPr>
              <w:t>服务承诺等小计</w:t>
            </w:r>
          </w:p>
        </w:tc>
        <w:tc>
          <w:tcPr>
            <w:tcW w:w="790" w:type="dxa"/>
            <w:tcBorders>
              <w:top w:val="single" w:color="auto" w:sz="4" w:space="0"/>
              <w:left w:val="single" w:color="auto" w:sz="4" w:space="0"/>
              <w:bottom w:val="single" w:color="auto" w:sz="4" w:space="0"/>
              <w:right w:val="single" w:color="auto" w:sz="4" w:space="0"/>
            </w:tcBorders>
            <w:shd w:val="clear" w:color="auto" w:fill="7F7F7F"/>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99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szCs w:val="21"/>
              </w:rPr>
            </w:pPr>
            <w:r>
              <w:rPr>
                <w:rFonts w:hint="eastAsia" w:ascii="宋体" w:hAnsi="宋体"/>
                <w:szCs w:val="21"/>
              </w:rPr>
              <w:t>合  计</w:t>
            </w:r>
          </w:p>
        </w:tc>
        <w:tc>
          <w:tcPr>
            <w:tcW w:w="790"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jc w:val="center"/>
              <w:rPr>
                <w:rFonts w:ascii="宋体" w:hAnsi="宋体"/>
                <w:szCs w:val="21"/>
              </w:rPr>
            </w:pPr>
          </w:p>
        </w:tc>
      </w:tr>
    </w:tbl>
    <w:p/>
    <w:p>
      <w:pPr>
        <w:ind w:firstLine="470" w:firstLineChars="196"/>
        <w:rPr>
          <w:b/>
          <w:sz w:val="24"/>
          <w:lang w:val="zh-CN"/>
        </w:rPr>
      </w:pPr>
      <w:r>
        <w:rPr>
          <w:rFonts w:hint="eastAsia"/>
          <w:b/>
          <w:sz w:val="24"/>
          <w:lang w:val="zh-CN"/>
        </w:rPr>
        <w:t>备注：以上所有须提供的证件、有关资料等投标人都必须提供</w:t>
      </w:r>
      <w:r>
        <w:rPr>
          <w:rFonts w:hint="eastAsia" w:ascii="宋体" w:hAnsi="宋体"/>
          <w:b/>
          <w:sz w:val="24"/>
        </w:rPr>
        <w:t>有效证明材料</w:t>
      </w:r>
      <w:r>
        <w:rPr>
          <w:rFonts w:hint="eastAsia"/>
          <w:b/>
          <w:sz w:val="24"/>
          <w:lang w:val="zh-CN"/>
        </w:rPr>
        <w:t>供专家评委评审，否则不得分。投标人投标时须认真对待、如实应标。凡提供虚假材料谋取中标的，一经查实，根据《政府采购法》第七十七条之规定，将对供应商处以罚款、列入不良行为记录名单、依法追究刑事责任等。</w:t>
      </w:r>
    </w:p>
    <w:p/>
    <w:p>
      <w:pPr>
        <w:widowControl/>
        <w:jc w:val="left"/>
        <w:rPr>
          <w:rFonts w:ascii="黑体" w:hAnsi="黑体" w:eastAsia="黑体"/>
          <w:b/>
          <w:bCs/>
          <w:kern w:val="44"/>
          <w:sz w:val="44"/>
          <w:szCs w:val="44"/>
        </w:rPr>
      </w:pPr>
      <w:bookmarkStart w:id="88" w:name="_Toc495861545"/>
      <w:bookmarkStart w:id="89" w:name="_Toc494745310"/>
      <w:bookmarkStart w:id="90" w:name="_Toc494665943"/>
      <w:bookmarkStart w:id="91" w:name="_Toc494665546"/>
      <w:bookmarkStart w:id="92" w:name="_Toc494664993"/>
      <w:bookmarkStart w:id="93" w:name="_Toc494721093"/>
      <w:bookmarkStart w:id="94" w:name="_Toc494702263"/>
      <w:r>
        <w:rPr>
          <w:rFonts w:ascii="黑体" w:hAnsi="黑体" w:eastAsia="黑体"/>
        </w:rPr>
        <w:br w:type="page"/>
      </w:r>
    </w:p>
    <w:p>
      <w:pPr>
        <w:pStyle w:val="2"/>
        <w:numPr>
          <w:ilvl w:val="1"/>
          <w:numId w:val="25"/>
        </w:numPr>
        <w:jc w:val="center"/>
        <w:rPr>
          <w:rFonts w:ascii="黑体" w:hAnsi="黑体" w:eastAsia="黑体"/>
        </w:rPr>
      </w:pPr>
      <w:bookmarkStart w:id="95" w:name="_Toc509323137"/>
      <w:r>
        <w:rPr>
          <w:rFonts w:hint="eastAsia" w:ascii="黑体" w:hAnsi="黑体" w:eastAsia="黑体"/>
        </w:rPr>
        <w:t>合同书格式（参考）</w:t>
      </w:r>
      <w:bookmarkEnd w:id="88"/>
      <w:bookmarkEnd w:id="89"/>
      <w:bookmarkEnd w:id="90"/>
      <w:bookmarkEnd w:id="91"/>
      <w:bookmarkEnd w:id="92"/>
      <w:bookmarkEnd w:id="93"/>
      <w:bookmarkEnd w:id="94"/>
      <w:bookmarkEnd w:id="95"/>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78"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78"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3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3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3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3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38"/>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38"/>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38"/>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38"/>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38"/>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集中采购机构发出的中标通知书；</w:t>
      </w:r>
    </w:p>
    <w:p>
      <w:pPr>
        <w:numPr>
          <w:ilvl w:val="0"/>
          <w:numId w:val="38"/>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39"/>
        </w:numPr>
        <w:spacing w:before="78"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39"/>
        </w:numPr>
        <w:spacing w:before="78"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39"/>
        </w:numPr>
        <w:spacing w:before="78"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39"/>
        </w:numPr>
        <w:spacing w:before="78"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3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3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3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3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37"/>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37"/>
        </w:numPr>
        <w:tabs>
          <w:tab w:val="left" w:pos="980"/>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37"/>
        </w:numPr>
        <w:tabs>
          <w:tab w:val="left" w:pos="980"/>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37"/>
        </w:numPr>
        <w:tabs>
          <w:tab w:val="left" w:pos="980"/>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2"/>
        <w:numPr>
          <w:ilvl w:val="1"/>
          <w:numId w:val="25"/>
        </w:numPr>
        <w:jc w:val="center"/>
        <w:rPr>
          <w:rFonts w:ascii="黑体" w:hAnsi="黑体" w:eastAsia="黑体"/>
        </w:rPr>
      </w:pPr>
      <w:bookmarkStart w:id="96" w:name="_Toc494702264"/>
      <w:bookmarkStart w:id="97" w:name="_Toc494665547"/>
      <w:bookmarkStart w:id="98" w:name="_Toc494721094"/>
      <w:bookmarkStart w:id="99" w:name="_Toc495861546"/>
      <w:bookmarkStart w:id="100" w:name="_Toc494664994"/>
      <w:bookmarkStart w:id="101" w:name="_Toc509323138"/>
      <w:bookmarkStart w:id="102" w:name="_Toc494665944"/>
      <w:bookmarkStart w:id="103" w:name="_Toc494745311"/>
      <w:r>
        <w:rPr>
          <w:rFonts w:hint="eastAsia" w:ascii="黑体" w:hAnsi="黑体" w:eastAsia="黑体"/>
        </w:rPr>
        <w:t>投标文件格式（参考）</w:t>
      </w:r>
      <w:bookmarkEnd w:id="96"/>
      <w:bookmarkEnd w:id="97"/>
      <w:bookmarkEnd w:id="98"/>
      <w:bookmarkEnd w:id="99"/>
      <w:bookmarkEnd w:id="100"/>
      <w:bookmarkEnd w:id="101"/>
      <w:bookmarkEnd w:id="102"/>
      <w:bookmarkEnd w:id="103"/>
    </w:p>
    <w:p>
      <w:pPr>
        <w:spacing w:after="780"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624"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104" w:name="_Toc494721095"/>
      <w:bookmarkStart w:id="105" w:name="_Toc495861547"/>
      <w:bookmarkStart w:id="106" w:name="_Toc494665548"/>
      <w:bookmarkStart w:id="107" w:name="_Toc494702265"/>
      <w:bookmarkStart w:id="108" w:name="_Toc509323139"/>
      <w:bookmarkStart w:id="109" w:name="_Toc494745312"/>
      <w:bookmarkStart w:id="110" w:name="_Toc494664995"/>
      <w:bookmarkStart w:id="111" w:name="_Toc494665945"/>
      <w:r>
        <w:rPr>
          <w:rFonts w:hint="eastAsia" w:cs="Times New Roman" w:asciiTheme="majorEastAsia" w:hAnsiTheme="majorEastAsia"/>
          <w:bCs w:val="0"/>
          <w:sz w:val="44"/>
          <w:szCs w:val="44"/>
          <w:lang w:val="zh-CN"/>
        </w:rPr>
        <w:t>第一部分 资格证明文件</w:t>
      </w:r>
      <w:bookmarkEnd w:id="104"/>
      <w:bookmarkEnd w:id="105"/>
      <w:bookmarkEnd w:id="106"/>
      <w:bookmarkEnd w:id="107"/>
      <w:bookmarkEnd w:id="108"/>
      <w:bookmarkEnd w:id="109"/>
      <w:bookmarkEnd w:id="110"/>
      <w:bookmarkEnd w:id="111"/>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12" w:name="_Toc494721096"/>
      <w:bookmarkStart w:id="113" w:name="_Toc494665549"/>
      <w:bookmarkStart w:id="114" w:name="_Toc494664996"/>
      <w:bookmarkStart w:id="115" w:name="_Toc494702266"/>
      <w:bookmarkStart w:id="116" w:name="_Toc494745313"/>
      <w:bookmarkStart w:id="117" w:name="_Toc494665946"/>
      <w:r>
        <w:rPr>
          <w:rFonts w:hint="eastAsia" w:ascii="黑体" w:hAnsi="黑体" w:eastAsia="黑体" w:cs="Times New Roman"/>
          <w:b/>
          <w:sz w:val="36"/>
          <w:szCs w:val="36"/>
        </w:rPr>
        <w:t>资格证明文件组成</w:t>
      </w:r>
      <w:bookmarkEnd w:id="112"/>
      <w:bookmarkEnd w:id="113"/>
      <w:bookmarkEnd w:id="114"/>
      <w:bookmarkEnd w:id="115"/>
      <w:bookmarkEnd w:id="116"/>
      <w:bookmarkEnd w:id="117"/>
    </w:p>
    <w:p>
      <w:pPr>
        <w:autoSpaceDE w:val="0"/>
        <w:autoSpaceDN w:val="0"/>
        <w:adjustRightInd w:val="0"/>
        <w:spacing w:before="156" w:beforeLines="50" w:after="156" w:afterLines="50" w:line="360" w:lineRule="auto"/>
        <w:ind w:firstLine="480" w:firstLineChars="200"/>
        <w:rPr>
          <w:rFonts w:ascii="宋体" w:hAnsi="宋体" w:eastAsia="宋体" w:cs="Times New Roman"/>
          <w:kern w:val="0"/>
          <w:sz w:val="24"/>
          <w:szCs w:val="32"/>
        </w:rPr>
      </w:pPr>
      <w:r>
        <w:rPr>
          <w:rFonts w:hint="eastAsia" w:ascii="宋体" w:hAnsi="宋体" w:eastAsia="宋体" w:cs="Times New Roman"/>
          <w:kern w:val="0"/>
          <w:sz w:val="24"/>
          <w:szCs w:val="32"/>
        </w:rPr>
        <w:t>由各投标人根据参考格式要求自行编写。目录清晰、内容详尽、易于理解和审查。具体内容应包括但不限于以下内容：</w:t>
      </w:r>
    </w:p>
    <w:p>
      <w:pPr>
        <w:numPr>
          <w:ilvl w:val="0"/>
          <w:numId w:val="4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40"/>
        </w:numPr>
        <w:autoSpaceDE w:val="0"/>
        <w:autoSpaceDN w:val="0"/>
        <w:adjustRightInd w:val="0"/>
        <w:spacing w:line="360" w:lineRule="auto"/>
        <w:ind w:left="490" w:hanging="370"/>
        <w:rPr>
          <w:rFonts w:ascii="宋体" w:hAnsi="宋体" w:eastAsia="宋体" w:cs="Times New Roman"/>
          <w:b/>
          <w:kern w:val="0"/>
          <w:sz w:val="24"/>
          <w:szCs w:val="32"/>
        </w:rPr>
      </w:pPr>
      <w:r>
        <w:rPr>
          <w:rFonts w:hint="eastAsia" w:ascii="宋体" w:hAnsi="宋体"/>
          <w:kern w:val="0"/>
          <w:sz w:val="24"/>
          <w:szCs w:val="32"/>
        </w:rPr>
        <w:t>应具备《政府采购法》第二十二条第一款规定的条件，提供下列材料：</w:t>
      </w:r>
    </w:p>
    <w:p>
      <w:pPr>
        <w:pStyle w:val="26"/>
        <w:numPr>
          <w:ilvl w:val="0"/>
          <w:numId w:val="4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26"/>
        <w:numPr>
          <w:ilvl w:val="0"/>
          <w:numId w:val="4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财务状况报告，依法缴纳税收和社会保障资金的相关材料；</w:t>
      </w:r>
    </w:p>
    <w:p>
      <w:pPr>
        <w:pStyle w:val="26"/>
        <w:numPr>
          <w:ilvl w:val="0"/>
          <w:numId w:val="4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26"/>
        <w:numPr>
          <w:ilvl w:val="0"/>
          <w:numId w:val="4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26"/>
        <w:numPr>
          <w:ilvl w:val="0"/>
          <w:numId w:val="4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40"/>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未被“信用中国”网站(www.creditchina.gov.cn)列入失信被执行人、重大税收违法案件当事人名单、政府采购严重违法失信行为记录名单的书面申明及该网站查询结果页面截图；</w:t>
      </w:r>
    </w:p>
    <w:p>
      <w:pPr>
        <w:numPr>
          <w:ilvl w:val="0"/>
          <w:numId w:val="40"/>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招标文件第一章“投标人资格要求”中有特殊要求的，投标人应提供其符合特殊要求的证明材料或者情况说明；</w:t>
      </w:r>
    </w:p>
    <w:p>
      <w:pPr>
        <w:numPr>
          <w:ilvl w:val="0"/>
          <w:numId w:val="40"/>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不符合联合体投标相关规定和要求的（适用于接受联合体投标的项目）；</w:t>
      </w:r>
    </w:p>
    <w:p>
      <w:pPr>
        <w:numPr>
          <w:ilvl w:val="0"/>
          <w:numId w:val="40"/>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sz w:val="24"/>
          <w:szCs w:val="24"/>
        </w:rPr>
      </w:pPr>
    </w:p>
    <w:p>
      <w:pPr>
        <w:autoSpaceDE w:val="0"/>
        <w:autoSpaceDN w:val="0"/>
        <w:adjustRightInd w:val="0"/>
        <w:spacing w:line="400" w:lineRule="exact"/>
        <w:ind w:left="490"/>
        <w:rPr>
          <w:rFonts w:ascii="Calibri" w:hAnsi="宋体" w:eastAsia="宋体" w:cs="Times New Roman"/>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312" w:beforeLines="100" w:after="78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624"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118" w:name="_Toc494721097"/>
      <w:bookmarkStart w:id="119" w:name="_Toc495861548"/>
      <w:bookmarkStart w:id="120" w:name="_Toc494745314"/>
      <w:bookmarkStart w:id="121" w:name="_Toc494664997"/>
      <w:bookmarkStart w:id="122" w:name="_Toc494665947"/>
      <w:bookmarkStart w:id="123" w:name="_Toc494665550"/>
      <w:bookmarkStart w:id="124" w:name="_Toc494702267"/>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bookmarkStart w:id="125" w:name="_Toc509323140"/>
      <w:r>
        <w:rPr>
          <w:rFonts w:hint="eastAsia" w:cs="Times New Roman" w:asciiTheme="majorEastAsia" w:hAnsiTheme="majorEastAsia"/>
          <w:bCs w:val="0"/>
          <w:sz w:val="44"/>
          <w:szCs w:val="44"/>
          <w:lang w:val="zh-CN"/>
        </w:rPr>
        <w:t>第二部分 商务文件</w:t>
      </w:r>
      <w:bookmarkEnd w:id="118"/>
      <w:bookmarkEnd w:id="119"/>
      <w:bookmarkEnd w:id="120"/>
      <w:bookmarkEnd w:id="121"/>
      <w:bookmarkEnd w:id="122"/>
      <w:bookmarkEnd w:id="123"/>
      <w:bookmarkEnd w:id="124"/>
      <w:bookmarkEnd w:id="125"/>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26" w:name="_Toc494664998"/>
      <w:bookmarkStart w:id="127" w:name="_Toc494665551"/>
      <w:bookmarkStart w:id="128" w:name="_Toc494702268"/>
      <w:bookmarkStart w:id="129" w:name="_Toc494721098"/>
      <w:bookmarkStart w:id="130" w:name="_Toc494745315"/>
      <w:bookmarkStart w:id="131" w:name="_Toc494665948"/>
      <w:r>
        <w:rPr>
          <w:rFonts w:hint="eastAsia" w:ascii="黑体" w:hAnsi="黑体" w:eastAsia="黑体" w:cs="Times New Roman"/>
          <w:b/>
          <w:sz w:val="36"/>
          <w:szCs w:val="36"/>
        </w:rPr>
        <w:t>商务文件组成</w:t>
      </w:r>
      <w:bookmarkEnd w:id="126"/>
      <w:bookmarkEnd w:id="127"/>
      <w:bookmarkEnd w:id="128"/>
      <w:bookmarkEnd w:id="129"/>
      <w:bookmarkEnd w:id="130"/>
      <w:bookmarkEnd w:id="131"/>
    </w:p>
    <w:p>
      <w:pPr>
        <w:autoSpaceDE w:val="0"/>
        <w:autoSpaceDN w:val="0"/>
        <w:adjustRightInd w:val="0"/>
        <w:spacing w:before="156" w:beforeLines="50" w:after="156" w:afterLines="50" w:line="360" w:lineRule="auto"/>
        <w:ind w:firstLine="480" w:firstLineChars="200"/>
        <w:rPr>
          <w:rFonts w:ascii="宋体" w:hAnsi="宋体" w:eastAsia="宋体" w:cs="Times New Roman"/>
          <w:kern w:val="0"/>
          <w:sz w:val="24"/>
          <w:szCs w:val="32"/>
        </w:rPr>
      </w:pPr>
      <w:r>
        <w:rPr>
          <w:rFonts w:hint="eastAsia" w:ascii="宋体" w:hAnsi="宋体" w:eastAsia="宋体" w:cs="Times New Roman"/>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4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4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4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制造商中小企业声明函（附件二）；</w:t>
      </w:r>
    </w:p>
    <w:p>
      <w:pPr>
        <w:numPr>
          <w:ilvl w:val="0"/>
          <w:numId w:val="4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中小企业声明函（附件三）；</w:t>
      </w:r>
    </w:p>
    <w:p>
      <w:pPr>
        <w:numPr>
          <w:ilvl w:val="0"/>
          <w:numId w:val="4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残疾人福利性单位声明函（附件四）</w:t>
      </w:r>
    </w:p>
    <w:p>
      <w:pPr>
        <w:numPr>
          <w:ilvl w:val="0"/>
          <w:numId w:val="42"/>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开标一览表（附件五）；</w:t>
      </w:r>
    </w:p>
    <w:p>
      <w:pPr>
        <w:numPr>
          <w:ilvl w:val="0"/>
          <w:numId w:val="42"/>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投标报价明细表（附件六）；</w:t>
      </w:r>
    </w:p>
    <w:p>
      <w:pPr>
        <w:numPr>
          <w:ilvl w:val="0"/>
          <w:numId w:val="42"/>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小型和微型企业、监狱企业、残疾人福利性单位货物汇总表（附件七）；</w:t>
      </w:r>
    </w:p>
    <w:p>
      <w:pPr>
        <w:numPr>
          <w:ilvl w:val="0"/>
          <w:numId w:val="42"/>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投标货物、服务清单（附件八）；</w:t>
      </w:r>
    </w:p>
    <w:p>
      <w:pPr>
        <w:numPr>
          <w:ilvl w:val="0"/>
          <w:numId w:val="42"/>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交纳投标保证金的银行凭证（附件九，适用招标文件有交纳要求的应当提供）；</w:t>
      </w:r>
    </w:p>
    <w:p>
      <w:pPr>
        <w:numPr>
          <w:ilvl w:val="0"/>
          <w:numId w:val="42"/>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法定代表人授权书（附件十）；</w:t>
      </w:r>
    </w:p>
    <w:p>
      <w:pPr>
        <w:numPr>
          <w:ilvl w:val="0"/>
          <w:numId w:val="42"/>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关于不存在招标文件第二章“十一 其他注意事项”中规定禁止情形的书面声明；</w:t>
      </w:r>
    </w:p>
    <w:p>
      <w:pPr>
        <w:numPr>
          <w:ilvl w:val="0"/>
          <w:numId w:val="42"/>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投标人的资格声明（附件十一）；</w:t>
      </w:r>
    </w:p>
    <w:p>
      <w:pPr>
        <w:numPr>
          <w:ilvl w:val="0"/>
          <w:numId w:val="42"/>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项目负责人、技术负责人简历表（附件十二）；</w:t>
      </w:r>
    </w:p>
    <w:p>
      <w:pPr>
        <w:numPr>
          <w:ilvl w:val="0"/>
          <w:numId w:val="42"/>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项目班子成员情况表（附件十三）；</w:t>
      </w:r>
    </w:p>
    <w:p>
      <w:pPr>
        <w:numPr>
          <w:ilvl w:val="0"/>
          <w:numId w:val="42"/>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投标人类似项目业绩表（附件十四）；</w:t>
      </w:r>
    </w:p>
    <w:p>
      <w:pPr>
        <w:numPr>
          <w:ilvl w:val="0"/>
          <w:numId w:val="42"/>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招标文件要求提供或投标人认为需提供的其它资料；</w:t>
      </w:r>
    </w:p>
    <w:p>
      <w:pPr>
        <w:numPr>
          <w:ilvl w:val="0"/>
          <w:numId w:val="42"/>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符合性审查对照表（附件十五）；</w:t>
      </w:r>
    </w:p>
    <w:p>
      <w:pPr>
        <w:numPr>
          <w:ilvl w:val="0"/>
          <w:numId w:val="42"/>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商务要求响应、偏离说明表（附件十六）；</w:t>
      </w:r>
    </w:p>
    <w:p>
      <w:pPr>
        <w:numPr>
          <w:ilvl w:val="0"/>
          <w:numId w:val="42"/>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商务要求“★”号条款响应、偏离说明表（附件十七）</w:t>
      </w:r>
    </w:p>
    <w:p>
      <w:pPr>
        <w:numPr>
          <w:ilvl w:val="0"/>
          <w:numId w:val="42"/>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商务评议对照表（附件十八）。</w:t>
      </w:r>
    </w:p>
    <w:p>
      <w:r>
        <w:br w:type="page"/>
      </w:r>
    </w:p>
    <w:p>
      <w:pPr>
        <w:spacing w:before="312" w:beforeLines="100" w:after="78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624"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132" w:name="_Toc495861549"/>
      <w:bookmarkStart w:id="133" w:name="_Toc494665949"/>
      <w:bookmarkStart w:id="134" w:name="_Toc494665552"/>
      <w:bookmarkStart w:id="135" w:name="_Toc494664999"/>
      <w:bookmarkStart w:id="136" w:name="_Toc494702269"/>
      <w:bookmarkStart w:id="137" w:name="_Toc494745316"/>
      <w:bookmarkStart w:id="138" w:name="_Toc494721099"/>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bookmarkStart w:id="139" w:name="_Toc509323141"/>
      <w:r>
        <w:rPr>
          <w:rFonts w:hint="eastAsia" w:cs="Times New Roman" w:asciiTheme="majorEastAsia" w:hAnsiTheme="majorEastAsia"/>
          <w:bCs w:val="0"/>
          <w:sz w:val="44"/>
          <w:szCs w:val="44"/>
          <w:lang w:val="zh-CN"/>
        </w:rPr>
        <w:t>第三部分 技术、服务文件</w:t>
      </w:r>
      <w:bookmarkEnd w:id="132"/>
      <w:bookmarkEnd w:id="133"/>
      <w:bookmarkEnd w:id="134"/>
      <w:bookmarkEnd w:id="135"/>
      <w:bookmarkEnd w:id="136"/>
      <w:bookmarkEnd w:id="137"/>
      <w:bookmarkEnd w:id="138"/>
      <w:bookmarkEnd w:id="139"/>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40" w:name="_Toc494665000"/>
      <w:bookmarkStart w:id="141" w:name="_Toc494665950"/>
      <w:bookmarkStart w:id="142" w:name="_Toc494665553"/>
      <w:bookmarkStart w:id="143" w:name="_Toc494721100"/>
      <w:bookmarkStart w:id="144" w:name="_Toc494745317"/>
      <w:bookmarkStart w:id="145" w:name="_Toc49470227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40"/>
      <w:bookmarkEnd w:id="141"/>
      <w:bookmarkEnd w:id="142"/>
      <w:bookmarkEnd w:id="143"/>
      <w:bookmarkEnd w:id="144"/>
      <w:bookmarkEnd w:id="145"/>
    </w:p>
    <w:p>
      <w:pPr>
        <w:autoSpaceDE w:val="0"/>
        <w:autoSpaceDN w:val="0"/>
        <w:adjustRightInd w:val="0"/>
        <w:spacing w:before="156" w:beforeLines="50" w:after="156" w:afterLines="50" w:line="360" w:lineRule="auto"/>
        <w:ind w:firstLine="480" w:firstLineChars="200"/>
        <w:rPr>
          <w:rFonts w:ascii="宋体" w:hAnsi="宋体" w:eastAsia="宋体" w:cs="Times New Roman"/>
          <w:kern w:val="0"/>
          <w:sz w:val="24"/>
          <w:szCs w:val="32"/>
        </w:rPr>
      </w:pPr>
      <w:r>
        <w:rPr>
          <w:rFonts w:hint="eastAsia" w:ascii="宋体" w:hAnsi="宋体" w:eastAsia="宋体" w:cs="Times New Roman"/>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4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43"/>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4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4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4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4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kern w:val="0"/>
          <w:sz w:val="24"/>
          <w:szCs w:val="32"/>
        </w:rPr>
      </w:pPr>
      <w:r>
        <w:rPr>
          <w:rFonts w:hint="eastAsia" w:ascii="宋体" w:hAnsi="宋体" w:eastAsia="宋体" w:cs="Times New Roman"/>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3"/>
        <w:numPr>
          <w:ilvl w:val="0"/>
          <w:numId w:val="44"/>
        </w:numPr>
        <w:spacing w:before="100" w:beforeAutospacing="1" w:after="156" w:afterLines="50" w:line="360" w:lineRule="auto"/>
        <w:ind w:left="1288" w:hanging="1288"/>
        <w:rPr>
          <w:rFonts w:ascii="宋体" w:hAnsi="宋体" w:eastAsia="宋体"/>
        </w:rPr>
      </w:pPr>
      <w:bookmarkStart w:id="146" w:name="_Toc236473298"/>
      <w:bookmarkStart w:id="147" w:name="_Toc494702271"/>
      <w:bookmarkStart w:id="148" w:name="_Toc494665001"/>
      <w:bookmarkStart w:id="149" w:name="_Toc494721101"/>
      <w:bookmarkStart w:id="150" w:name="_Toc494665554"/>
      <w:bookmarkStart w:id="151" w:name="_Toc494745318"/>
      <w:bookmarkStart w:id="152" w:name="_Toc494665951"/>
      <w:bookmarkStart w:id="153" w:name="_Toc495861550"/>
      <w:bookmarkStart w:id="154" w:name="_Toc238276242"/>
      <w:bookmarkStart w:id="155" w:name="_Toc509323142"/>
      <w:r>
        <w:rPr>
          <w:rFonts w:hint="eastAsia" w:ascii="宋体" w:hAnsi="宋体" w:eastAsia="宋体"/>
        </w:rPr>
        <w:t>投标书</w:t>
      </w:r>
      <w:bookmarkEnd w:id="146"/>
      <w:bookmarkEnd w:id="147"/>
      <w:bookmarkEnd w:id="148"/>
      <w:bookmarkEnd w:id="149"/>
      <w:bookmarkEnd w:id="150"/>
      <w:bookmarkEnd w:id="151"/>
      <w:bookmarkEnd w:id="152"/>
      <w:bookmarkEnd w:id="153"/>
      <w:bookmarkEnd w:id="154"/>
      <w:bookmarkEnd w:id="155"/>
    </w:p>
    <w:p>
      <w:pPr>
        <w:spacing w:line="360" w:lineRule="auto"/>
        <w:rPr>
          <w:b/>
          <w:sz w:val="28"/>
          <w:szCs w:val="28"/>
        </w:rPr>
      </w:pPr>
      <w:r>
        <w:rPr>
          <w:rFonts w:hint="eastAsia"/>
          <w:b/>
          <w:sz w:val="28"/>
          <w:szCs w:val="28"/>
        </w:rPr>
        <w:t>采购人（或采购代理公司）：</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依据贵方___</w:t>
      </w:r>
      <w:r>
        <w:rPr>
          <w:rFonts w:hint="eastAsia" w:asciiTheme="minorEastAsia" w:hAnsiTheme="minorEastAsia"/>
          <w:sz w:val="24"/>
          <w:szCs w:val="24"/>
          <w:u w:val="single"/>
        </w:rPr>
        <w:t xml:space="preserve">  _</w:t>
      </w:r>
      <w:r>
        <w:rPr>
          <w:rFonts w:hint="eastAsia" w:asciiTheme="minorEastAsia" w:hAnsiTheme="minorEastAsia"/>
          <w:sz w:val="24"/>
          <w:szCs w:val="24"/>
        </w:rPr>
        <w:t>项目（项目编号：_____）招标的投标邀请，我方代表</w:t>
      </w:r>
      <w:r>
        <w:rPr>
          <w:rFonts w:hint="eastAsia" w:asciiTheme="minorEastAsia" w:hAnsiTheme="minorEastAsia"/>
          <w:sz w:val="24"/>
          <w:szCs w:val="24"/>
          <w:u w:val="single"/>
        </w:rPr>
        <w:t>（姓名、职务）</w:t>
      </w:r>
      <w:r>
        <w:rPr>
          <w:rFonts w:hint="eastAsia" w:asciiTheme="minorEastAsia" w:hAnsiTheme="minorEastAsia"/>
          <w:sz w:val="24"/>
          <w:szCs w:val="24"/>
        </w:rPr>
        <w:t>经正式授权并代表投标人</w:t>
      </w:r>
      <w:r>
        <w:rPr>
          <w:rFonts w:hint="eastAsia" w:asciiTheme="minorEastAsia" w:hAnsiTheme="minorEastAsia"/>
          <w:sz w:val="24"/>
          <w:szCs w:val="24"/>
          <w:u w:val="single"/>
        </w:rPr>
        <w:t>（投标人全称 ）</w:t>
      </w:r>
      <w:r>
        <w:rPr>
          <w:rFonts w:hint="eastAsia" w:asciiTheme="minorEastAsia" w:hAnsiTheme="minorEastAsia"/>
          <w:sz w:val="24"/>
          <w:szCs w:val="24"/>
        </w:rPr>
        <w:t>提交</w:t>
      </w:r>
      <w:r>
        <w:rPr>
          <w:rFonts w:hint="eastAsia" w:ascii="宋体" w:hAnsi="宋体"/>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kern w:val="0"/>
          <w:sz w:val="24"/>
          <w:szCs w:val="24"/>
        </w:rPr>
      </w:pPr>
      <w:r>
        <w:rPr>
          <w:rFonts w:hint="eastAsia" w:ascii="宋体" w:hAnsi="宋体" w:eastAsia="宋体" w:cs="Times New Roman"/>
          <w:b/>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4．投标有效期为自</w:t>
      </w:r>
      <w:r>
        <w:rPr>
          <w:rFonts w:hint="eastAsia" w:ascii="宋体" w:hAnsi="宋体"/>
          <w:kern w:val="0"/>
          <w:sz w:val="24"/>
        </w:rPr>
        <w:t>递交投标文件截止之日</w:t>
      </w:r>
      <w:r>
        <w:rPr>
          <w:rFonts w:hint="eastAsia" w:asciiTheme="minorEastAsia" w:hAnsiTheme="minorEastAsia"/>
          <w:sz w:val="24"/>
          <w:szCs w:val="24"/>
        </w:rPr>
        <w:t>起，共个日历日；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3"/>
        <w:numPr>
          <w:ilvl w:val="0"/>
          <w:numId w:val="44"/>
        </w:numPr>
        <w:spacing w:before="100" w:beforeAutospacing="1" w:after="156" w:afterLines="50" w:line="360" w:lineRule="auto"/>
        <w:ind w:left="1288" w:hanging="1288"/>
        <w:rPr>
          <w:rFonts w:ascii="宋体" w:hAnsi="宋体" w:eastAsia="宋体"/>
        </w:rPr>
      </w:pPr>
      <w:bookmarkStart w:id="156" w:name="_Toc509323143"/>
      <w:bookmarkStart w:id="157" w:name="_Toc494721102"/>
      <w:bookmarkStart w:id="158" w:name="_Toc494745319"/>
      <w:bookmarkStart w:id="159" w:name="_Toc494702272"/>
      <w:bookmarkStart w:id="160" w:name="_Toc494665555"/>
      <w:bookmarkStart w:id="161" w:name="_Toc495861551"/>
      <w:bookmarkStart w:id="162" w:name="_Toc494665952"/>
      <w:bookmarkStart w:id="163" w:name="_Toc494665002"/>
      <w:r>
        <w:rPr>
          <w:rFonts w:hint="eastAsia" w:ascii="宋体" w:hAnsi="宋体" w:eastAsia="宋体"/>
        </w:rPr>
        <w:t>制造商中小企业声明函</w:t>
      </w:r>
      <w:bookmarkEnd w:id="156"/>
      <w:bookmarkEnd w:id="157"/>
      <w:bookmarkEnd w:id="158"/>
      <w:bookmarkEnd w:id="159"/>
      <w:bookmarkEnd w:id="160"/>
      <w:bookmarkEnd w:id="161"/>
      <w:bookmarkEnd w:id="162"/>
      <w:bookmarkEnd w:id="163"/>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采购人（或采购代理公司）：</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1.根据《工业和信息化部、国家统计局、国家发展和改革委员会、财政部关于印发中小企业划型标准规定的通知》（工信部联企业〔2011〕300号）规定的划分标准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eastAsia="宋体" w:cs="Times New Roman"/>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2.本公司授权</w:t>
      </w:r>
      <w:r>
        <w:rPr>
          <w:rFonts w:hint="eastAsia" w:ascii="宋体" w:hAnsi="宋体" w:eastAsia="宋体" w:cs="Times New Roman"/>
          <w:sz w:val="24"/>
          <w:szCs w:val="21"/>
          <w:u w:val="single"/>
          <w:lang w:val="zh-CN"/>
        </w:rPr>
        <w:t xml:space="preserve">  （投标人）  </w:t>
      </w:r>
      <w:r>
        <w:rPr>
          <w:rFonts w:hint="eastAsia" w:ascii="宋体" w:hAnsi="宋体" w:eastAsia="宋体" w:cs="Times New Roman"/>
          <w:sz w:val="24"/>
          <w:szCs w:val="21"/>
          <w:lang w:val="zh-CN"/>
        </w:rPr>
        <w:t>参加_</w:t>
      </w:r>
      <w:r>
        <w:rPr>
          <w:rFonts w:hint="eastAsia" w:ascii="宋体" w:hAnsi="宋体" w:eastAsia="宋体" w:cs="Times New Roman"/>
          <w:sz w:val="24"/>
          <w:szCs w:val="21"/>
          <w:u w:val="single"/>
          <w:lang w:val="zh-CN"/>
        </w:rPr>
        <w:t>_（采购人）_</w:t>
      </w:r>
      <w:r>
        <w:rPr>
          <w:rFonts w:hint="eastAsia" w:ascii="宋体" w:hAnsi="宋体" w:eastAsia="宋体" w:cs="Times New Roman"/>
          <w:sz w:val="24"/>
          <w:szCs w:val="21"/>
          <w:lang w:val="zh-CN"/>
        </w:rPr>
        <w:t>的__</w:t>
      </w:r>
      <w:r>
        <w:rPr>
          <w:rFonts w:hint="eastAsia" w:ascii="宋体" w:hAnsi="宋体" w:eastAsia="宋体" w:cs="Times New Roman"/>
          <w:sz w:val="24"/>
          <w:szCs w:val="21"/>
          <w:u w:val="single"/>
          <w:lang w:val="zh-CN"/>
        </w:rPr>
        <w:t>__</w:t>
      </w:r>
      <w:r>
        <w:rPr>
          <w:rFonts w:hint="eastAsia" w:ascii="宋体" w:hAnsi="宋体" w:eastAsia="宋体" w:cs="Times New Roman"/>
          <w:sz w:val="24"/>
          <w:szCs w:val="21"/>
          <w:lang w:val="zh-CN"/>
        </w:rPr>
        <w:t>项目（项目编号：_____）采购活动提供本企业制造的货物。本条所称货物不包括使用大型企业注册商标的货物。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.由本公司制造的货物清单见下表：</w:t>
      </w:r>
    </w:p>
    <w:tbl>
      <w:tblPr>
        <w:tblStyle w:val="17"/>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4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4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r>
    </w:tbl>
    <w:p>
      <w:pPr>
        <w:spacing w:before="156"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7"/>
        <w:spacing w:line="360" w:lineRule="auto"/>
        <w:ind w:left="960" w:hanging="960" w:hangingChars="400"/>
        <w:jc w:val="left"/>
        <w:rPr>
          <w:rFonts w:hAnsi="宋体" w:cs="Corbel"/>
          <w:sz w:val="24"/>
        </w:rPr>
      </w:pPr>
      <w:r>
        <w:rPr>
          <w:rFonts w:hint="eastAsia" w:hAnsi="宋体" w:eastAsia="宋体" w:cs="Times New Roman"/>
          <w:bCs/>
          <w:sz w:val="24"/>
          <w:szCs w:val="24"/>
        </w:rPr>
        <w:t>说明：</w:t>
      </w:r>
      <w:r>
        <w:rPr>
          <w:rFonts w:hint="eastAsia" w:hAnsi="宋体" w:cs="Corbel"/>
          <w:sz w:val="24"/>
        </w:rPr>
        <w:t>1、投标人所投货物为自己制造的，也应按本声明函格式填写。</w:t>
      </w:r>
    </w:p>
    <w:p>
      <w:pPr>
        <w:pStyle w:val="7"/>
        <w:spacing w:line="360" w:lineRule="auto"/>
        <w:ind w:left="958" w:leftChars="342" w:hanging="240" w:hangingChars="100"/>
        <w:jc w:val="left"/>
        <w:rPr>
          <w:rFonts w:hAnsi="宋体"/>
          <w:sz w:val="24"/>
        </w:rPr>
      </w:pPr>
      <w:r>
        <w:rPr>
          <w:rFonts w:hint="eastAsia" w:hAnsi="宋体"/>
          <w:sz w:val="24"/>
        </w:rPr>
        <w:t>2、组成联合体的大中型企业和其他自然人、法人或者其他组织，与小型、微型企业之间不得存在投资关系。</w:t>
      </w:r>
    </w:p>
    <w:p>
      <w:pPr>
        <w:pStyle w:val="7"/>
        <w:spacing w:line="360" w:lineRule="auto"/>
        <w:ind w:left="958" w:leftChars="342" w:hanging="240" w:hangingChars="100"/>
        <w:jc w:val="left"/>
        <w:rPr>
          <w:rFonts w:hAnsi="宋体" w:eastAsia="宋体" w:cs="Times New Roman"/>
          <w:bCs/>
          <w:sz w:val="24"/>
          <w:szCs w:val="24"/>
        </w:rPr>
      </w:pPr>
      <w:r>
        <w:rPr>
          <w:rFonts w:hint="eastAsia" w:hAnsi="宋体"/>
          <w:sz w:val="24"/>
        </w:rPr>
        <w:t>3、如以联合体方式参与本项目投标的供应商，则应由联合体双方签字盖章。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r>
        <w:br w:type="page"/>
      </w:r>
    </w:p>
    <w:p>
      <w:pPr>
        <w:spacing w:before="100" w:beforeAutospacing="1" w:after="100" w:afterAutospacing="1" w:line="360" w:lineRule="auto"/>
        <w:ind w:firstLine="2902" w:firstLineChars="1382"/>
      </w:pPr>
    </w:p>
    <w:p>
      <w:pPr>
        <w:pStyle w:val="3"/>
        <w:numPr>
          <w:ilvl w:val="0"/>
          <w:numId w:val="44"/>
        </w:numPr>
        <w:spacing w:before="100" w:beforeAutospacing="1" w:after="156" w:afterLines="50" w:line="360" w:lineRule="auto"/>
        <w:ind w:left="1288" w:hanging="1288"/>
        <w:rPr>
          <w:rFonts w:ascii="宋体" w:hAnsi="宋体" w:eastAsia="宋体"/>
        </w:rPr>
      </w:pPr>
      <w:bookmarkStart w:id="164" w:name="_Toc494702273"/>
      <w:bookmarkStart w:id="165" w:name="_Toc494721103"/>
      <w:bookmarkStart w:id="166" w:name="_Toc494665953"/>
      <w:bookmarkStart w:id="167" w:name="_Toc494745320"/>
      <w:bookmarkStart w:id="168" w:name="_Toc495861552"/>
      <w:bookmarkStart w:id="169" w:name="_Toc494665003"/>
      <w:bookmarkStart w:id="170" w:name="_Toc509323144"/>
      <w:bookmarkStart w:id="171" w:name="_Toc494665556"/>
      <w:bookmarkStart w:id="172" w:name="_Toc456264006"/>
      <w:r>
        <w:rPr>
          <w:rFonts w:hint="eastAsia" w:ascii="宋体" w:hAnsi="宋体" w:eastAsia="宋体"/>
        </w:rPr>
        <w:t>中小企业声明函</w:t>
      </w:r>
      <w:bookmarkEnd w:id="164"/>
      <w:bookmarkEnd w:id="165"/>
      <w:bookmarkEnd w:id="166"/>
      <w:bookmarkEnd w:id="167"/>
      <w:bookmarkEnd w:id="168"/>
      <w:bookmarkEnd w:id="169"/>
      <w:bookmarkEnd w:id="170"/>
      <w:bookmarkEnd w:id="171"/>
      <w:bookmarkEnd w:id="172"/>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采购人（或采购代理公司）：</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1.根据《工业和信息化部、国家统计局、国家发展和改革委员会、财政部关于印发中小企业划型标准规定的通知》（工信部联企业〔2011〕300号）规定的划分标准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eastAsia="宋体" w:cs="Times New Roman"/>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2.本公司参加_</w:t>
      </w:r>
      <w:r>
        <w:rPr>
          <w:rFonts w:hint="eastAsia" w:ascii="宋体" w:hAnsi="宋体" w:eastAsia="宋体" w:cs="Times New Roman"/>
          <w:sz w:val="24"/>
          <w:szCs w:val="21"/>
          <w:u w:val="single"/>
          <w:lang w:val="zh-CN"/>
        </w:rPr>
        <w:t>_（采购人）</w:t>
      </w:r>
      <w:r>
        <w:rPr>
          <w:rFonts w:hint="eastAsia" w:ascii="宋体" w:hAnsi="宋体" w:eastAsia="宋体" w:cs="Times New Roman"/>
          <w:sz w:val="24"/>
          <w:szCs w:val="21"/>
          <w:lang w:val="zh-CN"/>
        </w:rPr>
        <w:t>的__</w:t>
      </w:r>
      <w:r>
        <w:rPr>
          <w:rFonts w:hint="eastAsia" w:ascii="宋体" w:hAnsi="宋体" w:eastAsia="宋体" w:cs="Times New Roman"/>
          <w:sz w:val="24"/>
          <w:szCs w:val="21"/>
          <w:u w:val="single"/>
          <w:lang w:val="zh-CN"/>
        </w:rPr>
        <w:t>__</w:t>
      </w:r>
      <w:r>
        <w:rPr>
          <w:rFonts w:hint="eastAsia" w:ascii="宋体" w:hAnsi="宋体" w:eastAsia="宋体" w:cs="Times New Roman"/>
          <w:sz w:val="24"/>
          <w:szCs w:val="21"/>
          <w:lang w:val="zh-CN"/>
        </w:rPr>
        <w:t>项目（项目编号：______）采购活动由本企业承担工程（或提供服务）。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2.以联合体方式参与本项目投标的供应商，应由联合体双方签字盖章。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rPr>
          <w:rFonts w:hint="eastAsia" w:ascii="宋体" w:hAnsi="宋体" w:eastAsia="宋体" w:cs="Times New Roman"/>
          <w:b/>
          <w:bCs/>
          <w:sz w:val="24"/>
          <w:szCs w:val="21"/>
          <w:lang w:val="zh-CN"/>
        </w:rPr>
        <w:t>投标时间：</w:t>
      </w:r>
    </w:p>
    <w:p>
      <w:pPr>
        <w:spacing w:line="240" w:lineRule="atLeast"/>
        <w:ind w:left="-48" w:leftChars="-23" w:right="-65" w:rightChars="-31"/>
        <w:jc w:val="center"/>
        <w:rPr>
          <w:rFonts w:ascii="宋体" w:hAnsi="宋体" w:eastAsia="宋体" w:cs="Times New Roman"/>
          <w:b/>
          <w:sz w:val="30"/>
          <w:szCs w:val="30"/>
          <w:lang w:val="zh-CN"/>
        </w:rPr>
      </w:pPr>
      <w:bookmarkStart w:id="173" w:name="_Toc476153619"/>
      <w:r>
        <w:rPr>
          <w:rFonts w:hint="eastAsia" w:ascii="宋体" w:hAnsi="宋体" w:eastAsia="宋体" w:cs="Times New Roman"/>
          <w:b/>
          <w:sz w:val="30"/>
          <w:szCs w:val="30"/>
          <w:lang w:val="zh-CN"/>
        </w:rPr>
        <w:t>中小企业划型标准</w:t>
      </w:r>
      <w:bookmarkEnd w:id="173"/>
    </w:p>
    <w:tbl>
      <w:tblPr>
        <w:tblStyle w:val="17"/>
        <w:tblW w:w="14470" w:type="dxa"/>
        <w:jc w:val="center"/>
        <w:tblInd w:w="0" w:type="dxa"/>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Layout w:type="fixed"/>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Layout w:type="fixed"/>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Layout w:type="fixed"/>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3"/>
        <w:numPr>
          <w:ilvl w:val="0"/>
          <w:numId w:val="44"/>
        </w:numPr>
        <w:spacing w:before="100" w:beforeAutospacing="1" w:after="156" w:afterLines="50" w:line="360" w:lineRule="auto"/>
        <w:ind w:left="1288" w:hanging="1288"/>
        <w:rPr>
          <w:rFonts w:ascii="宋体" w:hAnsi="宋体" w:eastAsia="宋体"/>
        </w:rPr>
      </w:pPr>
      <w:bookmarkStart w:id="174" w:name="_Toc495861553"/>
      <w:bookmarkStart w:id="175" w:name="_Toc494721104"/>
      <w:bookmarkStart w:id="176" w:name="_Toc494665954"/>
      <w:bookmarkStart w:id="177" w:name="_Toc494665004"/>
      <w:bookmarkStart w:id="178" w:name="_Toc494745321"/>
      <w:bookmarkStart w:id="179" w:name="_Toc494665557"/>
      <w:bookmarkStart w:id="180" w:name="_Toc509323145"/>
      <w:bookmarkStart w:id="181" w:name="_Toc494702274"/>
      <w:r>
        <w:rPr>
          <w:rFonts w:hint="eastAsia" w:ascii="宋体" w:hAnsi="宋体" w:eastAsia="宋体"/>
        </w:rPr>
        <w:t>残疾人福利性单位声明函</w:t>
      </w:r>
      <w:bookmarkEnd w:id="174"/>
      <w:bookmarkEnd w:id="175"/>
      <w:bookmarkEnd w:id="176"/>
      <w:bookmarkEnd w:id="177"/>
      <w:bookmarkEnd w:id="178"/>
      <w:bookmarkEnd w:id="179"/>
      <w:bookmarkEnd w:id="180"/>
      <w:bookmarkEnd w:id="181"/>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采购人（或采购代理公司）：</w:t>
      </w:r>
    </w:p>
    <w:p>
      <w:pPr>
        <w:pStyle w:val="7"/>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pStyle w:val="7"/>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sz w:val="24"/>
        </w:rPr>
      </w:pPr>
      <w:r>
        <w:rPr>
          <w:rFonts w:hint="eastAsia" w:ascii="宋体" w:hAnsi="宋体"/>
          <w:bCs/>
          <w:sz w:val="24"/>
          <w:lang w:val="zh-CN"/>
        </w:rPr>
        <w:t>2</w:t>
      </w:r>
      <w:r>
        <w:rPr>
          <w:rFonts w:hint="eastAsia" w:ascii="宋体" w:hAnsi="宋体"/>
          <w:bCs/>
          <w:sz w:val="24"/>
        </w:rPr>
        <w:t>.由本单位制造的货物清单见下表：</w:t>
      </w:r>
    </w:p>
    <w:tbl>
      <w:tblPr>
        <w:tblStyle w:val="17"/>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46"/>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46"/>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sz w:val="24"/>
          <w:szCs w:val="24"/>
        </w:rPr>
      </w:pPr>
    </w:p>
    <w:p>
      <w:pPr>
        <w:pStyle w:val="7"/>
        <w:spacing w:line="360" w:lineRule="auto"/>
        <w:jc w:val="left"/>
        <w:rPr>
          <w:rFonts w:hAnsi="宋体" w:cs="Corbel"/>
          <w:sz w:val="24"/>
        </w:rPr>
      </w:pPr>
      <w:r>
        <w:rPr>
          <w:rFonts w:hint="eastAsia" w:hAnsi="宋体" w:eastAsia="宋体" w:cs="Times New Roman"/>
          <w:bCs/>
          <w:sz w:val="24"/>
          <w:szCs w:val="24"/>
        </w:rPr>
        <w:t>说明：</w:t>
      </w:r>
      <w:r>
        <w:rPr>
          <w:rFonts w:hint="eastAsia" w:hAnsi="宋体" w:cs="Corbel"/>
          <w:sz w:val="24"/>
        </w:rPr>
        <w:t>1、投标人所投货物为自己制造的，也应按本声明函格式填写。</w:t>
      </w:r>
    </w:p>
    <w:p>
      <w:pPr>
        <w:pStyle w:val="7"/>
        <w:spacing w:line="360" w:lineRule="auto"/>
        <w:ind w:left="1078" w:leftChars="342" w:hanging="360" w:hangingChars="150"/>
        <w:jc w:val="left"/>
        <w:rPr>
          <w:rFonts w:hAnsi="宋体"/>
          <w:sz w:val="24"/>
        </w:rPr>
      </w:pPr>
      <w:r>
        <w:rPr>
          <w:rFonts w:hint="eastAsia" w:hAnsi="宋体"/>
          <w:sz w:val="24"/>
        </w:rPr>
        <w:t>2、组成联合体的大中型企业和其他自然人、法人或者其他组织，与残疾人福利性单位之间不得存在投资关系。</w:t>
      </w:r>
    </w:p>
    <w:p>
      <w:pPr>
        <w:pStyle w:val="7"/>
        <w:spacing w:line="360" w:lineRule="auto"/>
        <w:ind w:left="1078" w:leftChars="342" w:hanging="360" w:hangingChars="150"/>
        <w:jc w:val="left"/>
        <w:rPr>
          <w:rFonts w:hAnsi="宋体"/>
          <w:sz w:val="24"/>
        </w:rPr>
      </w:pPr>
      <w:r>
        <w:rPr>
          <w:rFonts w:hint="eastAsia" w:hAnsi="宋体"/>
          <w:sz w:val="24"/>
        </w:rPr>
        <w:t>3、以联合体方式参与本项目投标的供应商，应由联合体双方签字盖章。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312"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采购人（或采购代理公司）：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本单位郑重声明，根据《财政部 民政部 中国残疾人联合会关于促进残疾人就业政府采购政策的通知》（财库〔2017〕141号）的规定，本单位为符合条件的残疾人福利性单位</w:t>
      </w:r>
      <w:r>
        <w:rPr>
          <w:rFonts w:hint="eastAsia" w:hAnsi="宋体"/>
          <w:sz w:val="24"/>
        </w:rPr>
        <w:t>（详见“残疾人福利性单位应当满足的条件”）</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sz w:val="24"/>
          <w:szCs w:val="21"/>
        </w:rPr>
      </w:pPr>
      <w:r>
        <w:rPr>
          <w:rFonts w:hint="eastAsia" w:ascii="宋体" w:hAnsi="宋体" w:cs="Courier New"/>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sz w:val="24"/>
          <w:szCs w:val="24"/>
        </w:rPr>
      </w:pPr>
      <w:r>
        <w:rPr>
          <w:rFonts w:hint="eastAsia" w:ascii="宋体" w:hAnsi="宋体" w:cs="Courier New"/>
          <w:sz w:val="24"/>
          <w:szCs w:val="21"/>
        </w:rPr>
        <w:t>2、以联合体方式参与本项目投标的供应商，应由联合体双方签字盖章。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3"/>
        <w:numPr>
          <w:ilvl w:val="0"/>
          <w:numId w:val="44"/>
        </w:numPr>
        <w:spacing w:before="100" w:beforeAutospacing="1" w:after="156" w:afterLines="50" w:line="360" w:lineRule="auto"/>
        <w:ind w:left="1288" w:hanging="1288"/>
        <w:rPr>
          <w:rFonts w:ascii="宋体" w:hAnsi="宋体" w:eastAsia="宋体"/>
        </w:rPr>
      </w:pPr>
      <w:bookmarkStart w:id="182" w:name="_Toc494665558"/>
      <w:bookmarkStart w:id="183" w:name="_Toc494745322"/>
      <w:bookmarkStart w:id="184" w:name="_Toc494665955"/>
      <w:bookmarkStart w:id="185" w:name="_Toc494702275"/>
      <w:bookmarkStart w:id="186" w:name="_Toc494577410"/>
      <w:bookmarkStart w:id="187" w:name="_Toc494665005"/>
      <w:bookmarkStart w:id="188" w:name="_Toc494721105"/>
      <w:bookmarkStart w:id="189" w:name="_Toc509323146"/>
      <w:bookmarkStart w:id="190" w:name="_Toc495861554"/>
      <w:r>
        <w:rPr>
          <w:rFonts w:hint="eastAsia" w:ascii="宋体" w:hAnsi="宋体" w:eastAsia="宋体"/>
        </w:rPr>
        <w:t>开标一览表</w:t>
      </w:r>
      <w:bookmarkEnd w:id="182"/>
      <w:bookmarkEnd w:id="183"/>
      <w:bookmarkEnd w:id="184"/>
      <w:bookmarkEnd w:id="185"/>
      <w:bookmarkEnd w:id="186"/>
      <w:bookmarkEnd w:id="187"/>
      <w:bookmarkEnd w:id="188"/>
      <w:bookmarkEnd w:id="189"/>
      <w:bookmarkEnd w:id="190"/>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sz w:val="24"/>
              </w:rPr>
            </w:pPr>
            <w:r>
              <w:rPr>
                <w:rFonts w:hint="eastAsia" w:ascii="Times New Roman" w:hAnsi="宋体" w:eastAsia="宋体" w:cs="Times New Roman"/>
                <w:sz w:val="24"/>
                <w:szCs w:val="24"/>
              </w:rPr>
              <w:t>小型和微型企业、监狱企业、残疾人福利性单位价格扣除</w:t>
            </w:r>
            <w:r>
              <w:rPr>
                <w:rFonts w:hint="eastAsia" w:ascii="宋体" w:hAnsi="宋体" w:eastAsia="宋体" w:cs="Times New Roman"/>
                <w:sz w:val="24"/>
              </w:rPr>
              <w:t>合计（</w:t>
            </w:r>
            <w:r>
              <w:rPr>
                <w:rFonts w:hint="eastAsia" w:ascii="宋体" w:hAnsi="宋体" w:eastAsia="宋体" w:cs="宋体"/>
                <w:kern w:val="0"/>
                <w:sz w:val="24"/>
                <w:szCs w:val="24"/>
              </w:rPr>
              <w:t>大写</w:t>
            </w:r>
            <w:r>
              <w:rPr>
                <w:rFonts w:hint="eastAsia" w:ascii="宋体" w:hAnsi="宋体" w:eastAsia="宋体" w:cs="Times New Roman"/>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kern w:val="0"/>
                <w:sz w:val="24"/>
                <w:szCs w:val="24"/>
              </w:rPr>
              <w:t>万仟佰拾元整</w:t>
            </w:r>
            <w:r>
              <w:rPr>
                <w:rFonts w:hint="eastAsia" w:ascii="宋体" w:hAnsi="宋体" w:cs="宋体"/>
                <w:kern w:val="0"/>
                <w:sz w:val="24"/>
              </w:rPr>
              <w:t>（或以联合体投标的，</w:t>
            </w:r>
            <w:r>
              <w:rPr>
                <w:rFonts w:ascii="宋体" w:hAnsi="宋体"/>
                <w:bCs/>
                <w:sz w:val="24"/>
              </w:rPr>
              <w:t>联合协议中约定小型、微型企业的协议合同金额占到联合体协议合同总金额的</w:t>
            </w:r>
            <w:r>
              <w:rPr>
                <w:rFonts w:hint="eastAsia" w:ascii="宋体" w:hAnsi="宋体"/>
                <w:bCs/>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的集中采购机构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
      <w:pPr>
        <w:pStyle w:val="3"/>
        <w:numPr>
          <w:ilvl w:val="0"/>
          <w:numId w:val="44"/>
        </w:numPr>
        <w:spacing w:before="100" w:beforeAutospacing="1" w:after="156" w:afterLines="50" w:line="360" w:lineRule="auto"/>
        <w:ind w:left="1288" w:hanging="1288"/>
        <w:rPr>
          <w:rFonts w:ascii="宋体" w:hAnsi="宋体" w:eastAsia="宋体"/>
        </w:rPr>
      </w:pPr>
      <w:bookmarkStart w:id="191" w:name="_Toc494702276"/>
      <w:bookmarkStart w:id="192" w:name="_Toc509323147"/>
      <w:bookmarkStart w:id="193" w:name="_Toc495861555"/>
      <w:bookmarkStart w:id="194" w:name="_Toc494721106"/>
      <w:bookmarkStart w:id="195" w:name="_Toc494745323"/>
      <w:bookmarkStart w:id="196" w:name="_Toc494577411"/>
      <w:bookmarkStart w:id="197" w:name="_Toc494665006"/>
      <w:bookmarkStart w:id="198" w:name="_Toc494665956"/>
      <w:bookmarkStart w:id="199" w:name="_Toc494665559"/>
      <w:r>
        <w:rPr>
          <w:rFonts w:hint="eastAsia" w:ascii="宋体" w:hAnsi="宋体" w:eastAsia="宋体"/>
        </w:rPr>
        <w:t>投标报价明细表</w:t>
      </w:r>
      <w:bookmarkEnd w:id="191"/>
      <w:bookmarkEnd w:id="192"/>
      <w:bookmarkEnd w:id="193"/>
      <w:bookmarkEnd w:id="194"/>
      <w:bookmarkEnd w:id="195"/>
      <w:bookmarkEnd w:id="196"/>
      <w:bookmarkEnd w:id="197"/>
      <w:bookmarkEnd w:id="198"/>
      <w:bookmarkEnd w:id="199"/>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kern w:val="0"/>
                <w:sz w:val="24"/>
              </w:rPr>
            </w:pPr>
            <w:r>
              <w:rPr>
                <w:rFonts w:hint="eastAsia" w:ascii="宋体" w:hAnsi="宋体"/>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4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4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4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4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4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4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47"/>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2．报价明细表合计应与《开标一览表》中的投标总报价一致。</w:t>
      </w:r>
    </w:p>
    <w:p>
      <w:pPr>
        <w:spacing w:line="360" w:lineRule="auto"/>
        <w:ind w:left="1061" w:leftChars="339" w:hanging="350" w:hangingChars="146"/>
        <w:jc w:val="left"/>
        <w:rPr>
          <w:rFonts w:ascii="宋体" w:hAnsi="宋体"/>
          <w:sz w:val="24"/>
        </w:rPr>
      </w:pPr>
      <w:r>
        <w:rPr>
          <w:rFonts w:hint="eastAsia" w:ascii="宋体" w:hAnsi="宋体"/>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44"/>
        </w:numPr>
        <w:spacing w:before="100" w:beforeAutospacing="1" w:after="156" w:afterLines="50" w:line="360" w:lineRule="auto"/>
        <w:ind w:left="1288" w:hanging="1288"/>
        <w:rPr>
          <w:rFonts w:ascii="宋体" w:hAnsi="宋体" w:eastAsia="宋体"/>
          <w:sz w:val="31"/>
          <w:szCs w:val="31"/>
        </w:rPr>
      </w:pPr>
      <w:bookmarkStart w:id="200" w:name="_Toc494665560"/>
      <w:bookmarkStart w:id="201" w:name="_Toc494721107"/>
      <w:bookmarkStart w:id="202" w:name="_Toc494665007"/>
      <w:bookmarkStart w:id="203" w:name="_Toc494665957"/>
      <w:bookmarkStart w:id="204" w:name="_Toc495861556"/>
      <w:bookmarkStart w:id="205" w:name="_Toc494745324"/>
      <w:bookmarkStart w:id="206" w:name="_Toc494702277"/>
      <w:bookmarkStart w:id="207" w:name="_Toc494577412"/>
      <w:bookmarkStart w:id="208" w:name="_Toc509323148"/>
      <w:r>
        <w:rPr>
          <w:rFonts w:hint="eastAsia" w:ascii="宋体" w:hAnsi="宋体" w:eastAsia="宋体"/>
          <w:sz w:val="31"/>
          <w:szCs w:val="31"/>
        </w:rPr>
        <w:t>小型和微型企业、监狱企业、残疾人福利性单位货物汇总表</w:t>
      </w:r>
      <w:bookmarkEnd w:id="200"/>
      <w:bookmarkEnd w:id="201"/>
      <w:bookmarkEnd w:id="202"/>
      <w:bookmarkEnd w:id="203"/>
      <w:bookmarkEnd w:id="204"/>
      <w:bookmarkEnd w:id="205"/>
      <w:bookmarkEnd w:id="206"/>
      <w:bookmarkEnd w:id="207"/>
      <w:bookmarkEnd w:id="20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1</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2</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3</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4</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5</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6</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7</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sz w:val="24"/>
        </w:rPr>
        <w:t>投标人提供的相关证明文件对应页码填写到上表“投标文件对应的页码”中。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44"/>
        </w:numPr>
        <w:spacing w:before="100" w:beforeAutospacing="1" w:after="156" w:afterLines="50" w:line="360" w:lineRule="auto"/>
        <w:ind w:left="1288" w:hanging="1288"/>
        <w:rPr>
          <w:rFonts w:ascii="宋体" w:hAnsi="宋体" w:eastAsia="宋体"/>
        </w:rPr>
      </w:pPr>
      <w:bookmarkStart w:id="209" w:name="_Toc494665008"/>
      <w:bookmarkStart w:id="210" w:name="_Toc494665561"/>
      <w:bookmarkStart w:id="211" w:name="_Toc494745325"/>
      <w:bookmarkStart w:id="212" w:name="_Toc494665958"/>
      <w:bookmarkStart w:id="213" w:name="_Toc495861557"/>
      <w:bookmarkStart w:id="214" w:name="_Toc494721108"/>
      <w:bookmarkStart w:id="215" w:name="_Toc494702278"/>
      <w:bookmarkStart w:id="216" w:name="_Toc509323149"/>
      <w:r>
        <w:rPr>
          <w:rFonts w:hint="eastAsia" w:ascii="宋体" w:hAnsi="宋体" w:eastAsia="宋体"/>
        </w:rPr>
        <w:t>投标货物（工程或服务）清单</w:t>
      </w:r>
      <w:bookmarkEnd w:id="209"/>
      <w:bookmarkEnd w:id="210"/>
      <w:bookmarkEnd w:id="211"/>
      <w:bookmarkEnd w:id="212"/>
      <w:bookmarkEnd w:id="213"/>
      <w:bookmarkEnd w:id="214"/>
      <w:bookmarkEnd w:id="215"/>
      <w:bookmarkEnd w:id="216"/>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37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kern w:val="0"/>
                <w:sz w:val="24"/>
              </w:rPr>
            </w:pPr>
            <w:r>
              <w:rPr>
                <w:rFonts w:hint="eastAsia" w:ascii="宋体" w:hAnsi="宋体" w:cs="宋体"/>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44"/>
        </w:numPr>
        <w:spacing w:before="100" w:beforeAutospacing="1" w:after="156" w:afterLines="50" w:line="360" w:lineRule="auto"/>
        <w:ind w:left="1288" w:hanging="1288"/>
        <w:rPr>
          <w:rFonts w:ascii="宋体" w:hAnsi="宋体" w:eastAsia="宋体"/>
        </w:rPr>
      </w:pPr>
      <w:bookmarkStart w:id="217" w:name="_Toc494721109"/>
      <w:bookmarkStart w:id="218" w:name="_Toc494665562"/>
      <w:bookmarkStart w:id="219" w:name="_Toc509323150"/>
      <w:bookmarkStart w:id="220" w:name="_Toc494665959"/>
      <w:bookmarkStart w:id="221" w:name="_Toc494665009"/>
      <w:bookmarkStart w:id="222" w:name="_Toc494745326"/>
      <w:bookmarkStart w:id="223" w:name="_Toc494702279"/>
      <w:bookmarkStart w:id="224" w:name="_Toc495861558"/>
      <w:r>
        <w:rPr>
          <w:rFonts w:hint="eastAsia" w:ascii="宋体" w:hAnsi="宋体" w:eastAsia="宋体"/>
        </w:rPr>
        <w:t>交纳投标保证金的银行凭证</w:t>
      </w:r>
      <w:bookmarkEnd w:id="217"/>
      <w:bookmarkEnd w:id="218"/>
      <w:bookmarkEnd w:id="219"/>
      <w:bookmarkEnd w:id="220"/>
      <w:bookmarkEnd w:id="221"/>
      <w:bookmarkEnd w:id="222"/>
      <w:bookmarkEnd w:id="223"/>
      <w:bookmarkEnd w:id="224"/>
    </w:p>
    <w:p>
      <w:pPr>
        <w:spacing w:line="480" w:lineRule="auto"/>
        <w:rPr>
          <w:rFonts w:ascii="宋体" w:hAnsi="宋体" w:cs="Courier New"/>
          <w:b/>
          <w:sz w:val="28"/>
          <w:szCs w:val="28"/>
        </w:rPr>
      </w:pPr>
      <w:r>
        <w:rPr>
          <w:rFonts w:hint="eastAsia"/>
          <w:b/>
          <w:sz w:val="28"/>
          <w:szCs w:val="28"/>
        </w:rPr>
        <w:t>采购人（或代理公司）</w:t>
      </w:r>
      <w:r>
        <w:rPr>
          <w:rFonts w:hint="eastAsia" w:ascii="宋体" w:hAnsi="宋体" w:cs="Courier New"/>
          <w:b/>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参加贵方组织的__</w:t>
      </w:r>
      <w:r>
        <w:rPr>
          <w:rFonts w:hint="eastAsia" w:ascii="宋体" w:hAnsi="宋体" w:eastAsia="宋体" w:cs="Times New Roman"/>
          <w:sz w:val="24"/>
          <w:szCs w:val="21"/>
          <w:u w:val="single"/>
          <w:lang w:val="zh-CN"/>
        </w:rPr>
        <w:t>__</w:t>
      </w:r>
      <w:r>
        <w:rPr>
          <w:rFonts w:hint="eastAsia" w:ascii="宋体" w:hAnsi="宋体" w:eastAsia="宋体" w:cs="Times New Roman"/>
          <w:sz w:val="24"/>
          <w:szCs w:val="21"/>
          <w:lang w:val="zh-CN"/>
        </w:rPr>
        <w:t>项目（项目编号：______）的政府采购活动。按招标文件的规定，已递交人民币（大写）__</w:t>
      </w:r>
      <w:r>
        <w:rPr>
          <w:rFonts w:hint="eastAsia" w:ascii="宋体" w:hAnsi="宋体" w:eastAsia="宋体" w:cs="Times New Roman"/>
          <w:sz w:val="24"/>
          <w:szCs w:val="21"/>
          <w:u w:val="single"/>
          <w:lang w:val="zh-CN"/>
        </w:rPr>
        <w:t>__</w:t>
      </w:r>
      <w:r>
        <w:rPr>
          <w:rFonts w:hint="eastAsia" w:ascii="宋体" w:hAnsi="宋体" w:eastAsia="宋体" w:cs="Times New Roman"/>
          <w:sz w:val="24"/>
          <w:szCs w:val="21"/>
          <w:lang w:val="zh-CN"/>
        </w:rPr>
        <w:t>万元的投标保证金。</w:t>
      </w:r>
    </w:p>
    <w:tbl>
      <w:tblPr>
        <w:tblStyle w:val="17"/>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17"/>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3"/>
        <w:numPr>
          <w:ilvl w:val="0"/>
          <w:numId w:val="44"/>
        </w:numPr>
        <w:spacing w:before="100" w:beforeAutospacing="1" w:after="156" w:afterLines="50" w:line="360" w:lineRule="auto"/>
        <w:ind w:left="1288" w:hanging="1288"/>
        <w:rPr>
          <w:rFonts w:ascii="宋体" w:hAnsi="宋体" w:eastAsia="宋体"/>
        </w:rPr>
      </w:pPr>
      <w:bookmarkStart w:id="225" w:name="_Toc236473303"/>
      <w:bookmarkStart w:id="226" w:name="_Toc494702280"/>
      <w:bookmarkStart w:id="227" w:name="_Toc495861559"/>
      <w:bookmarkStart w:id="228" w:name="_Toc494665010"/>
      <w:bookmarkStart w:id="229" w:name="_Toc494665960"/>
      <w:bookmarkStart w:id="230" w:name="_Toc238276247"/>
      <w:bookmarkStart w:id="231" w:name="_Toc494721110"/>
      <w:bookmarkStart w:id="232" w:name="_Toc494745327"/>
      <w:bookmarkStart w:id="233" w:name="_Toc494665563"/>
      <w:bookmarkStart w:id="234" w:name="_Toc509323151"/>
      <w:r>
        <w:rPr>
          <w:rFonts w:hint="eastAsia" w:ascii="宋体" w:hAnsi="宋体" w:eastAsia="宋体"/>
        </w:rPr>
        <w:t>法定代表人授权书</w:t>
      </w:r>
      <w:bookmarkEnd w:id="225"/>
      <w:bookmarkEnd w:id="226"/>
      <w:bookmarkEnd w:id="227"/>
      <w:bookmarkEnd w:id="228"/>
      <w:bookmarkEnd w:id="229"/>
      <w:bookmarkEnd w:id="230"/>
      <w:bookmarkEnd w:id="231"/>
      <w:bookmarkEnd w:id="232"/>
      <w:bookmarkEnd w:id="233"/>
      <w:bookmarkEnd w:id="234"/>
    </w:p>
    <w:p>
      <w:pPr>
        <w:spacing w:line="480" w:lineRule="auto"/>
        <w:rPr>
          <w:rFonts w:ascii="宋体" w:hAnsi="宋体" w:eastAsia="宋体" w:cs="Times New Roman"/>
          <w:b/>
          <w:sz w:val="24"/>
          <w:szCs w:val="24"/>
        </w:rPr>
      </w:pPr>
      <w:r>
        <w:rPr>
          <w:rFonts w:hint="eastAsia"/>
          <w:b/>
          <w:sz w:val="28"/>
          <w:szCs w:val="28"/>
        </w:rPr>
        <w:t>采购人（或代理公司）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sz w:val="24"/>
          <w:szCs w:val="24"/>
        </w:rPr>
        <w:t>____</w:t>
      </w:r>
      <w:r>
        <w:rPr>
          <w:rFonts w:hint="eastAsia" w:ascii="宋体" w:hAnsi="宋体" w:eastAsia="宋体" w:cs="Times New Roman"/>
          <w:sz w:val="24"/>
          <w:szCs w:val="24"/>
        </w:rPr>
        <w:t>同志为我单位参加贵方组织的</w:t>
      </w:r>
      <w:r>
        <w:rPr>
          <w:rFonts w:hint="eastAsia" w:ascii="Times New Roman" w:hAnsi="宋体" w:eastAsia="宋体" w:cs="Times New Roman"/>
          <w:sz w:val="24"/>
          <w:szCs w:val="24"/>
        </w:rPr>
        <w:t>____项目（项目编号：______）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sz w:val="24"/>
          <w:szCs w:val="24"/>
        </w:rPr>
        <w:t>____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sz w:val="24"/>
          <w:szCs w:val="24"/>
        </w:rPr>
        <w:t>__</w:t>
      </w:r>
      <w:r>
        <w:rPr>
          <w:rFonts w:hint="eastAsia" w:ascii="宋体" w:hAnsi="宋体" w:eastAsia="宋体" w:cs="Times New Roman"/>
          <w:sz w:val="24"/>
          <w:szCs w:val="24"/>
        </w:rPr>
        <w:t>年</w:t>
      </w:r>
      <w:r>
        <w:rPr>
          <w:rFonts w:hint="eastAsia" w:ascii="Times New Roman" w:hAnsi="宋体" w:eastAsia="宋体" w:cs="Times New Roman"/>
          <w:sz w:val="24"/>
          <w:szCs w:val="24"/>
        </w:rPr>
        <w:t>__</w:t>
      </w:r>
      <w:r>
        <w:rPr>
          <w:rFonts w:hint="eastAsia" w:ascii="宋体" w:hAnsi="宋体" w:eastAsia="宋体" w:cs="Times New Roman"/>
          <w:sz w:val="24"/>
          <w:szCs w:val="24"/>
        </w:rPr>
        <w:t>月</w:t>
      </w:r>
      <w:r>
        <w:rPr>
          <w:rFonts w:hint="eastAsia" w:ascii="Times New Roman" w:hAnsi="宋体" w:eastAsia="宋体" w:cs="Times New Roman"/>
          <w:sz w:val="24"/>
          <w:szCs w:val="24"/>
        </w:rPr>
        <w:t>__</w:t>
      </w:r>
      <w:r>
        <w:rPr>
          <w:rFonts w:hint="eastAsia" w:ascii="宋体" w:hAnsi="宋体" w:eastAsia="宋体" w:cs="Times New Roman"/>
          <w:sz w:val="24"/>
          <w:szCs w:val="24"/>
        </w:rPr>
        <w:t>日起至</w:t>
      </w:r>
      <w:r>
        <w:rPr>
          <w:rFonts w:hint="eastAsia" w:ascii="Times New Roman" w:hAnsi="宋体" w:eastAsia="宋体" w:cs="Times New Roman"/>
          <w:sz w:val="24"/>
          <w:szCs w:val="24"/>
        </w:rPr>
        <w:t>____</w:t>
      </w:r>
      <w:r>
        <w:rPr>
          <w:rFonts w:hint="eastAsia" w:ascii="宋体" w:hAnsi="宋体" w:eastAsia="宋体" w:cs="Times New Roman"/>
          <w:sz w:val="24"/>
          <w:szCs w:val="24"/>
        </w:rPr>
        <w:t>年</w:t>
      </w:r>
      <w:r>
        <w:rPr>
          <w:rFonts w:hint="eastAsia" w:ascii="Times New Roman" w:hAnsi="宋体" w:eastAsia="宋体" w:cs="Times New Roman"/>
          <w:sz w:val="24"/>
          <w:szCs w:val="24"/>
        </w:rPr>
        <w:t>____</w:t>
      </w:r>
      <w:r>
        <w:rPr>
          <w:rFonts w:hint="eastAsia" w:ascii="宋体" w:hAnsi="宋体" w:eastAsia="宋体" w:cs="Times New Roman"/>
          <w:sz w:val="24"/>
          <w:szCs w:val="24"/>
        </w:rPr>
        <w:t>月</w:t>
      </w:r>
      <w:r>
        <w:rPr>
          <w:rFonts w:hint="eastAsia" w:ascii="Times New Roman" w:hAnsi="宋体" w:eastAsia="宋体" w:cs="Times New Roman"/>
          <w:sz w:val="24"/>
          <w:szCs w:val="24"/>
        </w:rPr>
        <w:t>____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sz w:val="24"/>
          <w:szCs w:val="24"/>
        </w:rPr>
        <w:t>____</w:t>
      </w:r>
      <w:r>
        <w:rPr>
          <w:rFonts w:hint="eastAsia" w:ascii="宋体" w:hAnsi="宋体" w:eastAsia="宋体" w:cs="Times New Roman"/>
          <w:b/>
          <w:sz w:val="24"/>
          <w:szCs w:val="21"/>
          <w:lang w:val="zh-CN"/>
        </w:rPr>
        <w:t>年</w:t>
      </w:r>
      <w:r>
        <w:rPr>
          <w:rFonts w:hint="eastAsia" w:ascii="Times New Roman" w:hAnsi="宋体" w:eastAsia="宋体" w:cs="Times New Roman"/>
          <w:sz w:val="24"/>
          <w:szCs w:val="24"/>
        </w:rPr>
        <w:t>____</w:t>
      </w:r>
      <w:r>
        <w:rPr>
          <w:rFonts w:hint="eastAsia" w:ascii="宋体" w:hAnsi="宋体" w:eastAsia="宋体" w:cs="Times New Roman"/>
          <w:b/>
          <w:sz w:val="24"/>
          <w:szCs w:val="21"/>
          <w:lang w:val="zh-CN"/>
        </w:rPr>
        <w:t>月</w:t>
      </w:r>
      <w:r>
        <w:rPr>
          <w:rFonts w:hint="eastAsia" w:ascii="Times New Roman" w:hAnsi="宋体" w:eastAsia="宋体" w:cs="Times New Roman"/>
          <w:sz w:val="24"/>
          <w:szCs w:val="24"/>
        </w:rPr>
        <w:t>____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17"/>
        <w:tblW w:w="9532" w:type="dxa"/>
        <w:jc w:val="center"/>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3"/>
        <w:numPr>
          <w:ilvl w:val="0"/>
          <w:numId w:val="44"/>
        </w:numPr>
        <w:spacing w:before="100" w:beforeAutospacing="1" w:after="156" w:afterLines="50" w:line="360" w:lineRule="auto"/>
        <w:ind w:left="1610" w:hanging="1610"/>
        <w:rPr>
          <w:rFonts w:ascii="宋体" w:hAnsi="宋体" w:eastAsia="宋体"/>
        </w:rPr>
      </w:pPr>
      <w:bookmarkStart w:id="235" w:name="_Toc494665011"/>
      <w:bookmarkStart w:id="236" w:name="_Toc238276248"/>
      <w:bookmarkStart w:id="237" w:name="_Toc494721111"/>
      <w:bookmarkStart w:id="238" w:name="_Toc495861560"/>
      <w:bookmarkStart w:id="239" w:name="_Toc494745328"/>
      <w:bookmarkStart w:id="240" w:name="_Toc494702281"/>
      <w:bookmarkStart w:id="241" w:name="_Toc494665961"/>
      <w:bookmarkStart w:id="242" w:name="_Toc236473304"/>
      <w:bookmarkStart w:id="243" w:name="_Toc494665564"/>
      <w:bookmarkStart w:id="244" w:name="_Toc509323152"/>
      <w:r>
        <w:rPr>
          <w:rFonts w:hint="eastAsia" w:ascii="宋体" w:hAnsi="宋体" w:eastAsia="宋体"/>
        </w:rPr>
        <w:t>投标人的资格声明</w:t>
      </w:r>
      <w:bookmarkEnd w:id="235"/>
      <w:bookmarkEnd w:id="236"/>
      <w:bookmarkEnd w:id="237"/>
      <w:bookmarkEnd w:id="238"/>
      <w:bookmarkEnd w:id="239"/>
      <w:bookmarkEnd w:id="240"/>
      <w:bookmarkEnd w:id="241"/>
      <w:bookmarkEnd w:id="242"/>
      <w:bookmarkEnd w:id="243"/>
      <w:bookmarkEnd w:id="244"/>
    </w:p>
    <w:p>
      <w:pPr>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17"/>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17"/>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兹证明上述声明是真实的、正确，并提供了全部能提供的资料和数据，同意按照集中采购机构要求出示有关证明文件。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3"/>
        <w:numPr>
          <w:ilvl w:val="0"/>
          <w:numId w:val="44"/>
        </w:numPr>
        <w:spacing w:before="100" w:beforeAutospacing="1" w:after="156" w:afterLines="50" w:line="360" w:lineRule="auto"/>
        <w:ind w:left="1610" w:hanging="1610"/>
        <w:rPr>
          <w:rFonts w:ascii="宋体" w:hAnsi="宋体" w:eastAsia="宋体"/>
        </w:rPr>
      </w:pPr>
      <w:bookmarkStart w:id="245" w:name="_Toc494702282"/>
      <w:bookmarkStart w:id="246" w:name="_Toc495861561"/>
      <w:bookmarkStart w:id="247" w:name="_Toc494665012"/>
      <w:bookmarkStart w:id="248" w:name="_Toc494721112"/>
      <w:bookmarkStart w:id="249" w:name="_Toc494665565"/>
      <w:bookmarkStart w:id="250" w:name="_Toc494665962"/>
      <w:bookmarkStart w:id="251" w:name="_Toc494745329"/>
      <w:bookmarkStart w:id="252" w:name="_Toc509323153"/>
      <w:r>
        <w:rPr>
          <w:rFonts w:hint="eastAsia" w:ascii="宋体" w:hAnsi="宋体" w:eastAsia="宋体"/>
        </w:rPr>
        <w:t>项目负责人、技术负责人简历表</w:t>
      </w:r>
      <w:bookmarkEnd w:id="245"/>
      <w:bookmarkEnd w:id="246"/>
      <w:bookmarkEnd w:id="247"/>
      <w:bookmarkEnd w:id="248"/>
      <w:bookmarkEnd w:id="249"/>
      <w:bookmarkEnd w:id="250"/>
      <w:bookmarkEnd w:id="251"/>
      <w:bookmarkEnd w:id="25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352" w:type="dxa"/>
        <w:jc w:val="center"/>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p>
      <w:pPr>
        <w:pStyle w:val="3"/>
        <w:numPr>
          <w:ilvl w:val="0"/>
          <w:numId w:val="44"/>
        </w:numPr>
        <w:spacing w:before="100" w:beforeAutospacing="1" w:after="156" w:afterLines="50" w:line="360" w:lineRule="auto"/>
        <w:ind w:left="1610" w:hanging="1610"/>
        <w:rPr>
          <w:rFonts w:ascii="宋体" w:hAnsi="宋体" w:eastAsia="宋体"/>
        </w:rPr>
      </w:pPr>
      <w:bookmarkStart w:id="253" w:name="_Toc494721113"/>
      <w:bookmarkStart w:id="254" w:name="_Toc236473307"/>
      <w:bookmarkStart w:id="255" w:name="_Toc494665013"/>
      <w:bookmarkStart w:id="256" w:name="_Toc495861562"/>
      <w:bookmarkStart w:id="257" w:name="_Toc494665963"/>
      <w:bookmarkStart w:id="258" w:name="_Toc494702283"/>
      <w:bookmarkStart w:id="259" w:name="_Toc494665566"/>
      <w:bookmarkStart w:id="260" w:name="_Toc238276251"/>
      <w:bookmarkStart w:id="261" w:name="_Toc494745330"/>
      <w:bookmarkStart w:id="262" w:name="_Toc509323154"/>
      <w:r>
        <w:rPr>
          <w:rFonts w:hint="eastAsia" w:ascii="宋体" w:hAnsi="宋体" w:eastAsia="宋体"/>
        </w:rPr>
        <w:t>项目班子成员情况表</w:t>
      </w:r>
      <w:bookmarkEnd w:id="253"/>
      <w:bookmarkEnd w:id="254"/>
      <w:bookmarkEnd w:id="255"/>
      <w:bookmarkEnd w:id="256"/>
      <w:bookmarkEnd w:id="257"/>
      <w:bookmarkEnd w:id="258"/>
      <w:bookmarkEnd w:id="259"/>
      <w:bookmarkEnd w:id="260"/>
      <w:bookmarkEnd w:id="261"/>
      <w:bookmarkEnd w:id="26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p>
      <w:pPr>
        <w:pStyle w:val="3"/>
        <w:numPr>
          <w:ilvl w:val="0"/>
          <w:numId w:val="44"/>
        </w:numPr>
        <w:spacing w:before="100" w:beforeAutospacing="1" w:after="156" w:afterLines="50" w:line="360" w:lineRule="auto"/>
        <w:ind w:left="1610" w:hanging="1610"/>
        <w:rPr>
          <w:rFonts w:ascii="宋体" w:hAnsi="宋体" w:eastAsia="宋体"/>
        </w:rPr>
      </w:pPr>
      <w:bookmarkStart w:id="263" w:name="_Toc494702284"/>
      <w:bookmarkStart w:id="264" w:name="_Toc494721114"/>
      <w:bookmarkStart w:id="265" w:name="_Toc494745331"/>
      <w:bookmarkStart w:id="266" w:name="_Toc495861563"/>
      <w:bookmarkStart w:id="267" w:name="_Toc238276256"/>
      <w:bookmarkStart w:id="268" w:name="_Toc494665567"/>
      <w:bookmarkStart w:id="269" w:name="_Toc509323155"/>
      <w:bookmarkStart w:id="270" w:name="_Toc494665014"/>
      <w:bookmarkStart w:id="271" w:name="_Toc236473312"/>
      <w:bookmarkStart w:id="272" w:name="_Toc494665964"/>
      <w:r>
        <w:rPr>
          <w:rFonts w:hint="eastAsia" w:ascii="宋体" w:hAnsi="宋体" w:eastAsia="宋体"/>
        </w:rPr>
        <w:t>投标人类似项目业绩表</w:t>
      </w:r>
      <w:bookmarkEnd w:id="263"/>
      <w:bookmarkEnd w:id="264"/>
      <w:bookmarkEnd w:id="265"/>
      <w:bookmarkEnd w:id="266"/>
      <w:bookmarkEnd w:id="267"/>
      <w:bookmarkEnd w:id="268"/>
      <w:bookmarkEnd w:id="269"/>
      <w:bookmarkEnd w:id="270"/>
      <w:bookmarkEnd w:id="271"/>
      <w:bookmarkEnd w:id="27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420" w:type="dxa"/>
        <w:jc w:val="center"/>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44"/>
        </w:numPr>
        <w:spacing w:before="100" w:beforeAutospacing="1" w:after="156" w:afterLines="50" w:line="360" w:lineRule="auto"/>
        <w:ind w:left="1610" w:hanging="1610"/>
        <w:rPr>
          <w:rFonts w:ascii="宋体" w:hAnsi="宋体" w:eastAsia="宋体"/>
        </w:rPr>
      </w:pPr>
      <w:bookmarkStart w:id="273" w:name="_Toc494665965"/>
      <w:bookmarkStart w:id="274" w:name="_Toc494665015"/>
      <w:bookmarkStart w:id="275" w:name="_Toc494702285"/>
      <w:bookmarkStart w:id="276" w:name="_Toc494665568"/>
      <w:bookmarkStart w:id="277" w:name="_Toc495861564"/>
      <w:bookmarkStart w:id="278" w:name="_Toc494745332"/>
      <w:bookmarkStart w:id="279" w:name="_Toc494721115"/>
      <w:bookmarkStart w:id="280" w:name="_Toc509323156"/>
      <w:r>
        <w:rPr>
          <w:rFonts w:hint="eastAsia" w:ascii="宋体" w:hAnsi="宋体" w:eastAsia="宋体"/>
        </w:rPr>
        <w:t>符合性审查对照表</w:t>
      </w:r>
      <w:bookmarkEnd w:id="273"/>
      <w:bookmarkEnd w:id="274"/>
      <w:bookmarkEnd w:id="275"/>
      <w:bookmarkEnd w:id="276"/>
      <w:bookmarkEnd w:id="277"/>
      <w:bookmarkEnd w:id="278"/>
      <w:bookmarkEnd w:id="279"/>
      <w:bookmarkEnd w:id="28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pPr>
        <w:pStyle w:val="3"/>
        <w:spacing w:before="100" w:beforeAutospacing="1" w:after="156" w:afterLines="50" w:line="360" w:lineRule="auto"/>
        <w:rPr>
          <w:rFonts w:ascii="宋体" w:hAnsi="宋体" w:eastAsia="宋体"/>
        </w:rPr>
      </w:pPr>
      <w:bookmarkStart w:id="281" w:name="_Toc494665569"/>
      <w:bookmarkStart w:id="282" w:name="_Toc494702286"/>
      <w:bookmarkStart w:id="283" w:name="_Toc494665966"/>
      <w:bookmarkStart w:id="284" w:name="_Toc494665016"/>
      <w:bookmarkStart w:id="285" w:name="_Toc494745333"/>
      <w:bookmarkStart w:id="286" w:name="_Toc494721116"/>
      <w:bookmarkStart w:id="287" w:name="_Toc495861565"/>
      <w:bookmarkStart w:id="288" w:name="_Toc509323157"/>
      <w:r>
        <w:rPr>
          <w:rFonts w:hint="eastAsia" w:ascii="宋体" w:hAnsi="宋体" w:eastAsia="宋体"/>
        </w:rPr>
        <w:t>附件十六：商务要求响应、偏离说明表</w:t>
      </w:r>
      <w:bookmarkEnd w:id="281"/>
      <w:bookmarkEnd w:id="282"/>
      <w:bookmarkEnd w:id="283"/>
      <w:bookmarkEnd w:id="284"/>
      <w:bookmarkEnd w:id="285"/>
      <w:bookmarkEnd w:id="286"/>
      <w:bookmarkEnd w:id="287"/>
      <w:bookmarkEnd w:id="28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pPr>
        <w:pStyle w:val="3"/>
        <w:spacing w:before="100" w:beforeAutospacing="1" w:after="156" w:afterLines="50" w:line="360" w:lineRule="auto"/>
        <w:ind w:left="284"/>
        <w:rPr>
          <w:rFonts w:ascii="宋体" w:hAnsi="宋体" w:eastAsia="宋体"/>
        </w:rPr>
      </w:pPr>
      <w:bookmarkStart w:id="289" w:name="_Toc494721117"/>
      <w:bookmarkStart w:id="290" w:name="_Toc494745334"/>
      <w:bookmarkStart w:id="291" w:name="_Toc494665967"/>
      <w:bookmarkStart w:id="292" w:name="_Toc494665570"/>
      <w:bookmarkStart w:id="293" w:name="_Toc494665017"/>
      <w:bookmarkStart w:id="294" w:name="_Toc495861566"/>
      <w:bookmarkStart w:id="295" w:name="_Toc494702287"/>
      <w:bookmarkStart w:id="296" w:name="_Toc509323158"/>
      <w:r>
        <w:rPr>
          <w:rFonts w:hint="eastAsia" w:ascii="宋体" w:hAnsi="宋体" w:eastAsia="宋体"/>
        </w:rPr>
        <w:t>附件十七：商务要求“★”号条款响应、偏离说明表</w:t>
      </w:r>
      <w:bookmarkEnd w:id="289"/>
      <w:bookmarkEnd w:id="290"/>
      <w:bookmarkEnd w:id="291"/>
      <w:bookmarkEnd w:id="292"/>
      <w:bookmarkEnd w:id="293"/>
      <w:bookmarkEnd w:id="294"/>
      <w:bookmarkEnd w:id="295"/>
      <w:bookmarkEnd w:id="29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rPr>
      </w:pPr>
      <w:r>
        <w:rPr>
          <w:rFonts w:hint="eastAsia" w:ascii="宋体" w:hAnsi="宋体" w:eastAsia="宋体" w:cs="Times New Roman"/>
          <w:b/>
          <w:bCs/>
          <w:sz w:val="24"/>
          <w:szCs w:val="21"/>
          <w:lang w:val="zh-CN"/>
        </w:rPr>
        <w:t>投标</w:t>
      </w:r>
      <w:r>
        <w:rPr>
          <w:rFonts w:hint="eastAsia" w:hAnsi="宋体"/>
          <w:b/>
          <w:bCs/>
          <w:sz w:val="24"/>
        </w:rPr>
        <w:t>时间：</w:t>
      </w:r>
    </w:p>
    <w:p>
      <w:pPr>
        <w:spacing w:before="100" w:beforeAutospacing="1" w:after="100" w:afterAutospacing="1" w:line="360" w:lineRule="auto"/>
        <w:ind w:firstLine="2902" w:firstLineChars="1382"/>
      </w:pPr>
    </w:p>
    <w:p>
      <w:pPr>
        <w:pStyle w:val="3"/>
        <w:spacing w:before="100" w:beforeAutospacing="1" w:after="156" w:afterLines="50" w:line="360" w:lineRule="auto"/>
        <w:ind w:left="284"/>
        <w:rPr>
          <w:rFonts w:ascii="宋体" w:hAnsi="宋体" w:eastAsia="宋体"/>
        </w:rPr>
      </w:pPr>
      <w:bookmarkStart w:id="297" w:name="_Toc494665968"/>
      <w:bookmarkStart w:id="298" w:name="_Toc494665571"/>
      <w:bookmarkStart w:id="299" w:name="_Toc509323159"/>
      <w:bookmarkStart w:id="300" w:name="_Toc494702288"/>
      <w:bookmarkStart w:id="301" w:name="_Toc494721118"/>
      <w:bookmarkStart w:id="302" w:name="_Toc494745335"/>
      <w:bookmarkStart w:id="303" w:name="_Toc495861567"/>
      <w:bookmarkStart w:id="304" w:name="_Toc494665018"/>
      <w:r>
        <w:rPr>
          <w:rFonts w:hint="eastAsia" w:ascii="宋体" w:hAnsi="宋体" w:eastAsia="宋体"/>
        </w:rPr>
        <w:t>附件十八：商务评议对照表</w:t>
      </w:r>
      <w:bookmarkEnd w:id="297"/>
      <w:bookmarkEnd w:id="298"/>
      <w:bookmarkEnd w:id="299"/>
      <w:bookmarkEnd w:id="300"/>
      <w:bookmarkEnd w:id="301"/>
      <w:bookmarkEnd w:id="302"/>
      <w:bookmarkEnd w:id="303"/>
      <w:bookmarkEnd w:id="30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4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4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4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4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4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48"/>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pPr>
        <w:pStyle w:val="3"/>
        <w:spacing w:before="100" w:beforeAutospacing="1" w:after="156" w:afterLines="50" w:line="360" w:lineRule="auto"/>
        <w:ind w:left="284"/>
        <w:rPr>
          <w:rFonts w:ascii="宋体" w:hAnsi="宋体" w:eastAsia="宋体"/>
        </w:rPr>
      </w:pPr>
      <w:bookmarkStart w:id="305" w:name="_Toc494721119"/>
      <w:bookmarkStart w:id="306" w:name="_Toc494745336"/>
      <w:bookmarkStart w:id="307" w:name="_Toc494702289"/>
      <w:bookmarkStart w:id="308" w:name="_Toc494665572"/>
      <w:bookmarkStart w:id="309" w:name="_Toc494665019"/>
      <w:bookmarkStart w:id="310" w:name="_Toc495861568"/>
      <w:bookmarkStart w:id="311" w:name="_Toc494665969"/>
      <w:bookmarkStart w:id="312" w:name="_Toc509323160"/>
      <w:r>
        <w:rPr>
          <w:rFonts w:hint="eastAsia" w:ascii="宋体" w:hAnsi="宋体" w:eastAsia="宋体"/>
        </w:rPr>
        <w:t>附件十九：技术、服务要求响应、偏离说明表</w:t>
      </w:r>
      <w:bookmarkEnd w:id="305"/>
      <w:bookmarkEnd w:id="306"/>
      <w:bookmarkEnd w:id="307"/>
      <w:bookmarkEnd w:id="308"/>
      <w:bookmarkEnd w:id="309"/>
      <w:bookmarkEnd w:id="310"/>
      <w:bookmarkEnd w:id="311"/>
      <w:bookmarkEnd w:id="31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p>
      <w:pPr>
        <w:pStyle w:val="3"/>
        <w:spacing w:before="100" w:beforeAutospacing="1" w:after="156" w:afterLines="50" w:line="360" w:lineRule="auto"/>
        <w:ind w:left="284"/>
        <w:rPr>
          <w:rFonts w:ascii="宋体" w:hAnsi="宋体" w:eastAsia="宋体"/>
        </w:rPr>
      </w:pPr>
      <w:bookmarkStart w:id="313" w:name="_Toc494665970"/>
      <w:bookmarkStart w:id="314" w:name="_Toc494665573"/>
      <w:bookmarkStart w:id="315" w:name="_Toc494721120"/>
      <w:bookmarkStart w:id="316" w:name="_Toc494702290"/>
      <w:bookmarkStart w:id="317" w:name="_Toc494665020"/>
      <w:bookmarkStart w:id="318" w:name="_Toc495861569"/>
      <w:bookmarkStart w:id="319" w:name="_Toc509323161"/>
      <w:bookmarkStart w:id="320" w:name="_Toc494745337"/>
      <w:bookmarkStart w:id="321" w:name="_Toc329859066"/>
      <w:r>
        <w:rPr>
          <w:rFonts w:hint="eastAsia" w:ascii="宋体" w:hAnsi="宋体" w:eastAsia="宋体"/>
        </w:rPr>
        <w:t>附件二十：技术、服务要求“★”号条款响应、偏离说明表</w:t>
      </w:r>
      <w:bookmarkEnd w:id="313"/>
      <w:bookmarkEnd w:id="314"/>
      <w:bookmarkEnd w:id="315"/>
      <w:bookmarkEnd w:id="316"/>
      <w:bookmarkEnd w:id="317"/>
      <w:bookmarkEnd w:id="318"/>
      <w:bookmarkEnd w:id="319"/>
      <w:bookmarkEnd w:id="32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321"/>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spacing w:before="100" w:beforeAutospacing="1" w:after="156" w:afterLines="50" w:line="360" w:lineRule="auto"/>
        <w:ind w:left="284"/>
        <w:rPr>
          <w:rFonts w:ascii="宋体" w:hAnsi="宋体" w:eastAsia="宋体"/>
        </w:rPr>
      </w:pPr>
      <w:bookmarkStart w:id="322" w:name="_Toc494665021"/>
      <w:bookmarkStart w:id="323" w:name="_Toc494702291"/>
      <w:bookmarkStart w:id="324" w:name="_Toc494665574"/>
      <w:bookmarkStart w:id="325" w:name="_Toc494745338"/>
      <w:bookmarkStart w:id="326" w:name="_Toc494721121"/>
      <w:bookmarkStart w:id="327" w:name="_Toc494665971"/>
      <w:bookmarkStart w:id="328" w:name="_Toc495861570"/>
      <w:bookmarkStart w:id="329" w:name="_Toc509323162"/>
      <w:r>
        <w:rPr>
          <w:rFonts w:hint="eastAsia" w:ascii="宋体" w:hAnsi="宋体" w:eastAsia="宋体"/>
        </w:rPr>
        <w:t>附件二十一：技术、服务评议对照表</w:t>
      </w:r>
      <w:bookmarkEnd w:id="322"/>
      <w:bookmarkEnd w:id="323"/>
      <w:bookmarkEnd w:id="324"/>
      <w:bookmarkEnd w:id="325"/>
      <w:bookmarkEnd w:id="326"/>
      <w:bookmarkEnd w:id="327"/>
      <w:bookmarkEnd w:id="328"/>
      <w:bookmarkEnd w:id="32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7"/>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4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4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4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4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4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49"/>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0"/>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67</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100"/>
      </w:tabs>
      <w:spacing w:line="600" w:lineRule="exact"/>
      <w:rPr>
        <w:rFonts w:asciiTheme="minorEastAsia" w:hAnsiTheme="minorEastAsia"/>
      </w:rPr>
    </w:pPr>
    <w:r>
      <w:rPr>
        <w:rFonts w:hint="eastAsia" w:asciiTheme="minorEastAsia" w:hAnsiTheme="minorEastAsia"/>
      </w:rPr>
      <w:t xml:space="preserve">湖北佰誉工程咨询有限公司编制                    　　　　     招标编号：131-2019CG-167  </w:t>
    </w:r>
  </w:p>
  <w:p>
    <w:pPr>
      <w:pStyle w:val="10"/>
      <w:pBdr>
        <w:top w:val="single" w:color="000000" w:themeColor="text1" w:sz="4" w:space="1"/>
      </w:pBdr>
      <w:tabs>
        <w:tab w:val="clear" w:pos="4153"/>
        <w:tab w:val="clear" w:pos="8306"/>
      </w:tabs>
      <w:ind w:right="-9"/>
      <w:jc w:val="both"/>
    </w:pPr>
  </w:p>
  <w:p>
    <w:pPr>
      <w:pStyle w:val="10"/>
      <w:pBdr>
        <w:top w:val="single" w:color="000000" w:themeColor="text1" w:sz="4" w:space="1"/>
      </w:pBdr>
      <w:tabs>
        <w:tab w:val="clear" w:pos="4153"/>
        <w:tab w:val="clear" w:pos="8306"/>
      </w:tabs>
      <w:ind w:right="-9"/>
      <w:jc w:val="center"/>
      <w:rPr>
        <w:rFonts w:asciiTheme="minorEastAsia" w:hAnsiTheme="minorEastAsia"/>
        <w:b/>
      </w:rPr>
    </w:pPr>
    <w:sdt>
      <w:sdtPr>
        <w:id w:val="1203823646"/>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4</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66</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0" w:lineRule="exact"/>
      <w:rPr>
        <w:rFonts w:ascii="仿宋_GB2312" w:eastAsia="仿宋_GB2312"/>
        <w:b/>
        <w:sz w:val="18"/>
        <w:szCs w:val="18"/>
        <w:u w:val="single"/>
      </w:rPr>
    </w:pPr>
    <w:r>
      <w:rPr>
        <w:rFonts w:hint="eastAsia" w:ascii="仿宋_GB2312" w:eastAsia="仿宋_GB2312"/>
        <w:b/>
        <w:sz w:val="18"/>
        <w:szCs w:val="18"/>
        <w:u w:val="single"/>
      </w:rPr>
      <w:t xml:space="preserve">项目名称：阳新县疾病预防控制中心全数字彩色多普勒超声诊断仪采购项目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7">
    <w:nsid w:val="143A1834"/>
    <w:multiLevelType w:val="multilevel"/>
    <w:tmpl w:val="143A1834"/>
    <w:lvl w:ilvl="0" w:tentative="0">
      <w:start w:val="1"/>
      <w:numFmt w:val="chineseCountingThousand"/>
      <w:lvlText w:val="附件%1、"/>
      <w:lvlJc w:val="left"/>
      <w:pPr>
        <w:ind w:left="704"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9">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0">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3">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4">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5">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17">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0">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3">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8">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6"/>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5"/>
      <w:numFmt w:val="japaneseCounting"/>
      <w:lvlText w:val="第%2章"/>
      <w:lvlJc w:val="left"/>
      <w:pPr>
        <w:ind w:left="2280" w:hanging="144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44F94090"/>
    <w:multiLevelType w:val="multilevel"/>
    <w:tmpl w:val="44F94090"/>
    <w:lvl w:ilvl="0" w:tentative="0">
      <w:start w:val="5"/>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6F9733B"/>
    <w:multiLevelType w:val="multilevel"/>
    <w:tmpl w:val="46F9733B"/>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2">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3">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japaneseCounting"/>
      <w:lvlText w:val="%2、"/>
      <w:lvlJc w:val="left"/>
      <w:pPr>
        <w:ind w:left="1140" w:hanging="720"/>
      </w:pPr>
      <w:rPr>
        <w:rFonts w:hint="default" w:ascii="宋体" w:hAnsi="宋体" w:eastAsia="宋体" w:cs="Times New Roman"/>
        <w:b/>
        <w:color w:val="0C0C0C" w:themeColor="text1" w:themeTint="F2"/>
        <w:sz w:val="24"/>
        <w:u w:val="none"/>
      </w:rPr>
    </w:lvl>
    <w:lvl w:ilvl="2" w:tentative="0">
      <w:start w:val="2"/>
      <w:numFmt w:val="japaneseCounting"/>
      <w:lvlText w:val="第%3章"/>
      <w:lvlJc w:val="left"/>
      <w:pPr>
        <w:ind w:left="4985" w:hanging="144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8">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9">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0">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1">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43">
    <w:nsid w:val="72A9189B"/>
    <w:multiLevelType w:val="multilevel"/>
    <w:tmpl w:val="72A9189B"/>
    <w:lvl w:ilvl="0" w:tentative="0">
      <w:start w:val="3"/>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45">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46">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8">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33"/>
  </w:num>
  <w:num w:numId="2">
    <w:abstractNumId w:val="30"/>
  </w:num>
  <w:num w:numId="3">
    <w:abstractNumId w:val="23"/>
  </w:num>
  <w:num w:numId="4">
    <w:abstractNumId w:val="35"/>
  </w:num>
  <w:num w:numId="5">
    <w:abstractNumId w:val="1"/>
  </w:num>
  <w:num w:numId="6">
    <w:abstractNumId w:val="28"/>
  </w:num>
  <w:num w:numId="7">
    <w:abstractNumId w:val="11"/>
  </w:num>
  <w:num w:numId="8">
    <w:abstractNumId w:val="4"/>
  </w:num>
  <w:num w:numId="9">
    <w:abstractNumId w:val="40"/>
  </w:num>
  <w:num w:numId="10">
    <w:abstractNumId w:val="25"/>
  </w:num>
  <w:num w:numId="11">
    <w:abstractNumId w:val="37"/>
  </w:num>
  <w:num w:numId="12">
    <w:abstractNumId w:val="22"/>
  </w:num>
  <w:num w:numId="13">
    <w:abstractNumId w:val="3"/>
  </w:num>
  <w:num w:numId="14">
    <w:abstractNumId w:val="17"/>
  </w:num>
  <w:num w:numId="15">
    <w:abstractNumId w:val="18"/>
  </w:num>
  <w:num w:numId="16">
    <w:abstractNumId w:val="6"/>
  </w:num>
  <w:num w:numId="17">
    <w:abstractNumId w:val="5"/>
  </w:num>
  <w:num w:numId="18">
    <w:abstractNumId w:val="46"/>
  </w:num>
  <w:num w:numId="19">
    <w:abstractNumId w:val="43"/>
  </w:num>
  <w:num w:numId="20">
    <w:abstractNumId w:val="31"/>
  </w:num>
  <w:num w:numId="21">
    <w:abstractNumId w:val="36"/>
  </w:num>
  <w:num w:numId="22">
    <w:abstractNumId w:val="20"/>
  </w:num>
  <w:num w:numId="23">
    <w:abstractNumId w:val="34"/>
  </w:num>
  <w:num w:numId="24">
    <w:abstractNumId w:val="24"/>
  </w:num>
  <w:num w:numId="25">
    <w:abstractNumId w:val="29"/>
  </w:num>
  <w:num w:numId="26">
    <w:abstractNumId w:val="26"/>
  </w:num>
  <w:num w:numId="27">
    <w:abstractNumId w:val="13"/>
  </w:num>
  <w:num w:numId="28">
    <w:abstractNumId w:val="39"/>
  </w:num>
  <w:num w:numId="29">
    <w:abstractNumId w:val="48"/>
  </w:num>
  <w:num w:numId="30">
    <w:abstractNumId w:val="14"/>
  </w:num>
  <w:num w:numId="31">
    <w:abstractNumId w:val="12"/>
  </w:num>
  <w:num w:numId="32">
    <w:abstractNumId w:val="0"/>
  </w:num>
  <w:num w:numId="33">
    <w:abstractNumId w:val="38"/>
    <w:lvlOverride w:ilvl="0">
      <w:startOverride w:val="1"/>
    </w:lvlOverride>
  </w:num>
  <w:num w:numId="34">
    <w:abstractNumId w:val="9"/>
  </w:num>
  <w:num w:numId="35">
    <w:abstractNumId w:val="19"/>
  </w:num>
  <w:num w:numId="36">
    <w:abstractNumId w:val="47"/>
  </w:num>
  <w:num w:numId="37">
    <w:abstractNumId w:val="42"/>
  </w:num>
  <w:num w:numId="38">
    <w:abstractNumId w:val="32"/>
  </w:num>
  <w:num w:numId="39">
    <w:abstractNumId w:val="8"/>
  </w:num>
  <w:num w:numId="40">
    <w:abstractNumId w:val="16"/>
  </w:num>
  <w:num w:numId="41">
    <w:abstractNumId w:val="44"/>
  </w:num>
  <w:num w:numId="42">
    <w:abstractNumId w:val="27"/>
  </w:num>
  <w:num w:numId="43">
    <w:abstractNumId w:val="45"/>
  </w:num>
  <w:num w:numId="44">
    <w:abstractNumId w:val="7"/>
  </w:num>
  <w:num w:numId="45">
    <w:abstractNumId w:val="41"/>
  </w:num>
  <w:num w:numId="46">
    <w:abstractNumId w:val="15"/>
  </w:num>
  <w:num w:numId="47">
    <w:abstractNumId w:val="2"/>
  </w:num>
  <w:num w:numId="48">
    <w:abstractNumId w:val="1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16562"/>
    <w:rsid w:val="00017BE8"/>
    <w:rsid w:val="00020344"/>
    <w:rsid w:val="00031BBA"/>
    <w:rsid w:val="00040B72"/>
    <w:rsid w:val="00046CAA"/>
    <w:rsid w:val="00050E34"/>
    <w:rsid w:val="000658A4"/>
    <w:rsid w:val="00077E85"/>
    <w:rsid w:val="000812D6"/>
    <w:rsid w:val="000855FE"/>
    <w:rsid w:val="00092450"/>
    <w:rsid w:val="00095415"/>
    <w:rsid w:val="000B1EA5"/>
    <w:rsid w:val="000B3053"/>
    <w:rsid w:val="000B42CE"/>
    <w:rsid w:val="000C1DBB"/>
    <w:rsid w:val="000C2224"/>
    <w:rsid w:val="000C46E9"/>
    <w:rsid w:val="000D274B"/>
    <w:rsid w:val="000E01AB"/>
    <w:rsid w:val="000E0271"/>
    <w:rsid w:val="000E4686"/>
    <w:rsid w:val="000F64E0"/>
    <w:rsid w:val="00100585"/>
    <w:rsid w:val="00103931"/>
    <w:rsid w:val="00115BA6"/>
    <w:rsid w:val="00122C84"/>
    <w:rsid w:val="00133220"/>
    <w:rsid w:val="001338E8"/>
    <w:rsid w:val="00137A68"/>
    <w:rsid w:val="00162830"/>
    <w:rsid w:val="001641C9"/>
    <w:rsid w:val="00172562"/>
    <w:rsid w:val="00177C62"/>
    <w:rsid w:val="001801C2"/>
    <w:rsid w:val="00181D5F"/>
    <w:rsid w:val="00185E9A"/>
    <w:rsid w:val="00186E7F"/>
    <w:rsid w:val="001A0614"/>
    <w:rsid w:val="001A0AB1"/>
    <w:rsid w:val="001A1335"/>
    <w:rsid w:val="001A2B2A"/>
    <w:rsid w:val="001A2C56"/>
    <w:rsid w:val="001A54E8"/>
    <w:rsid w:val="001B03BB"/>
    <w:rsid w:val="001B38CD"/>
    <w:rsid w:val="001B774D"/>
    <w:rsid w:val="001C7B23"/>
    <w:rsid w:val="001D2460"/>
    <w:rsid w:val="001D3EE7"/>
    <w:rsid w:val="001E157C"/>
    <w:rsid w:val="001E5D69"/>
    <w:rsid w:val="001E7CEA"/>
    <w:rsid w:val="001F0CA9"/>
    <w:rsid w:val="00220470"/>
    <w:rsid w:val="00222B0D"/>
    <w:rsid w:val="00223408"/>
    <w:rsid w:val="002334D5"/>
    <w:rsid w:val="00236772"/>
    <w:rsid w:val="00241460"/>
    <w:rsid w:val="002426EA"/>
    <w:rsid w:val="002446C6"/>
    <w:rsid w:val="002510D6"/>
    <w:rsid w:val="002531CA"/>
    <w:rsid w:val="00262097"/>
    <w:rsid w:val="0026342E"/>
    <w:rsid w:val="00275C07"/>
    <w:rsid w:val="00276CFD"/>
    <w:rsid w:val="00277541"/>
    <w:rsid w:val="0028180C"/>
    <w:rsid w:val="002841A7"/>
    <w:rsid w:val="002879B9"/>
    <w:rsid w:val="00292712"/>
    <w:rsid w:val="00293211"/>
    <w:rsid w:val="00295F64"/>
    <w:rsid w:val="002B7581"/>
    <w:rsid w:val="002C38E4"/>
    <w:rsid w:val="002C72BD"/>
    <w:rsid w:val="002D07BB"/>
    <w:rsid w:val="002D1925"/>
    <w:rsid w:val="002D412B"/>
    <w:rsid w:val="002F22CF"/>
    <w:rsid w:val="00310B7E"/>
    <w:rsid w:val="00310F98"/>
    <w:rsid w:val="003125F2"/>
    <w:rsid w:val="00314B08"/>
    <w:rsid w:val="00316026"/>
    <w:rsid w:val="00320ACF"/>
    <w:rsid w:val="0032122E"/>
    <w:rsid w:val="00323F1C"/>
    <w:rsid w:val="00333225"/>
    <w:rsid w:val="0033323B"/>
    <w:rsid w:val="00341330"/>
    <w:rsid w:val="00352AE1"/>
    <w:rsid w:val="00353542"/>
    <w:rsid w:val="003540BC"/>
    <w:rsid w:val="00360712"/>
    <w:rsid w:val="0036309F"/>
    <w:rsid w:val="0036474B"/>
    <w:rsid w:val="003661C8"/>
    <w:rsid w:val="00366E30"/>
    <w:rsid w:val="00376F4C"/>
    <w:rsid w:val="00377B5F"/>
    <w:rsid w:val="00383221"/>
    <w:rsid w:val="00393E94"/>
    <w:rsid w:val="003B4F73"/>
    <w:rsid w:val="003B4F8E"/>
    <w:rsid w:val="003B718F"/>
    <w:rsid w:val="003B7A0D"/>
    <w:rsid w:val="003B7A60"/>
    <w:rsid w:val="003C2008"/>
    <w:rsid w:val="003C2241"/>
    <w:rsid w:val="003C6083"/>
    <w:rsid w:val="003D1759"/>
    <w:rsid w:val="003D5E80"/>
    <w:rsid w:val="003F2B92"/>
    <w:rsid w:val="003F3007"/>
    <w:rsid w:val="003F5AA7"/>
    <w:rsid w:val="003F6968"/>
    <w:rsid w:val="0040329E"/>
    <w:rsid w:val="0040679C"/>
    <w:rsid w:val="00411077"/>
    <w:rsid w:val="004110F8"/>
    <w:rsid w:val="00414A80"/>
    <w:rsid w:val="004161BA"/>
    <w:rsid w:val="00436CC2"/>
    <w:rsid w:val="004475F1"/>
    <w:rsid w:val="00461DFE"/>
    <w:rsid w:val="00476E59"/>
    <w:rsid w:val="004871A8"/>
    <w:rsid w:val="00495AA0"/>
    <w:rsid w:val="004A4F81"/>
    <w:rsid w:val="004A53C8"/>
    <w:rsid w:val="004B0CC2"/>
    <w:rsid w:val="004B118F"/>
    <w:rsid w:val="004B4BED"/>
    <w:rsid w:val="004C1027"/>
    <w:rsid w:val="004C5348"/>
    <w:rsid w:val="004C62F7"/>
    <w:rsid w:val="004C750B"/>
    <w:rsid w:val="004D548F"/>
    <w:rsid w:val="004E00F2"/>
    <w:rsid w:val="004E40B4"/>
    <w:rsid w:val="004E48AF"/>
    <w:rsid w:val="004E5A44"/>
    <w:rsid w:val="004F21F4"/>
    <w:rsid w:val="004F2D81"/>
    <w:rsid w:val="004F43AD"/>
    <w:rsid w:val="005025B6"/>
    <w:rsid w:val="00511E96"/>
    <w:rsid w:val="00522D80"/>
    <w:rsid w:val="00525A93"/>
    <w:rsid w:val="005434B4"/>
    <w:rsid w:val="005437D7"/>
    <w:rsid w:val="005445A9"/>
    <w:rsid w:val="00545B0F"/>
    <w:rsid w:val="00545EDA"/>
    <w:rsid w:val="00552BFE"/>
    <w:rsid w:val="00556850"/>
    <w:rsid w:val="00560FA5"/>
    <w:rsid w:val="00573437"/>
    <w:rsid w:val="0057573F"/>
    <w:rsid w:val="00580FFF"/>
    <w:rsid w:val="005813AA"/>
    <w:rsid w:val="005967BA"/>
    <w:rsid w:val="005A58A0"/>
    <w:rsid w:val="005B12FC"/>
    <w:rsid w:val="005B6D3E"/>
    <w:rsid w:val="005B713A"/>
    <w:rsid w:val="005C31D8"/>
    <w:rsid w:val="005D6632"/>
    <w:rsid w:val="005E3CD4"/>
    <w:rsid w:val="005E49AF"/>
    <w:rsid w:val="005F1588"/>
    <w:rsid w:val="005F1C26"/>
    <w:rsid w:val="00601112"/>
    <w:rsid w:val="00601990"/>
    <w:rsid w:val="00605C0D"/>
    <w:rsid w:val="00623CBB"/>
    <w:rsid w:val="0062474B"/>
    <w:rsid w:val="006302AC"/>
    <w:rsid w:val="006440C5"/>
    <w:rsid w:val="00663B35"/>
    <w:rsid w:val="00666B23"/>
    <w:rsid w:val="0067786F"/>
    <w:rsid w:val="00680A96"/>
    <w:rsid w:val="00690659"/>
    <w:rsid w:val="006A2AB9"/>
    <w:rsid w:val="006A6C1D"/>
    <w:rsid w:val="006A6C51"/>
    <w:rsid w:val="006A7A3D"/>
    <w:rsid w:val="006C0B5F"/>
    <w:rsid w:val="006C1AF1"/>
    <w:rsid w:val="006C6FDC"/>
    <w:rsid w:val="006D1D6E"/>
    <w:rsid w:val="006E67CF"/>
    <w:rsid w:val="006E71B5"/>
    <w:rsid w:val="006F0D07"/>
    <w:rsid w:val="0070085D"/>
    <w:rsid w:val="00711E03"/>
    <w:rsid w:val="00715E44"/>
    <w:rsid w:val="0072147C"/>
    <w:rsid w:val="00722075"/>
    <w:rsid w:val="00723103"/>
    <w:rsid w:val="00725899"/>
    <w:rsid w:val="00725F67"/>
    <w:rsid w:val="007318D6"/>
    <w:rsid w:val="00732E91"/>
    <w:rsid w:val="00737211"/>
    <w:rsid w:val="00773A2C"/>
    <w:rsid w:val="0077462A"/>
    <w:rsid w:val="00774EB7"/>
    <w:rsid w:val="00775A96"/>
    <w:rsid w:val="00780DBA"/>
    <w:rsid w:val="00784AEB"/>
    <w:rsid w:val="00784ED7"/>
    <w:rsid w:val="0078671E"/>
    <w:rsid w:val="00786E84"/>
    <w:rsid w:val="007921C9"/>
    <w:rsid w:val="007A27DA"/>
    <w:rsid w:val="007A2D91"/>
    <w:rsid w:val="007A427D"/>
    <w:rsid w:val="007C0DA7"/>
    <w:rsid w:val="007C132C"/>
    <w:rsid w:val="007C1D03"/>
    <w:rsid w:val="007D72CF"/>
    <w:rsid w:val="007E3D3C"/>
    <w:rsid w:val="007F504A"/>
    <w:rsid w:val="007F6863"/>
    <w:rsid w:val="007F6F97"/>
    <w:rsid w:val="00802536"/>
    <w:rsid w:val="00804419"/>
    <w:rsid w:val="0081114F"/>
    <w:rsid w:val="00816910"/>
    <w:rsid w:val="00820E08"/>
    <w:rsid w:val="0082486D"/>
    <w:rsid w:val="008456E3"/>
    <w:rsid w:val="00855EE0"/>
    <w:rsid w:val="00863EDD"/>
    <w:rsid w:val="00875D36"/>
    <w:rsid w:val="00876E59"/>
    <w:rsid w:val="00877211"/>
    <w:rsid w:val="0088586B"/>
    <w:rsid w:val="008879F9"/>
    <w:rsid w:val="008966BE"/>
    <w:rsid w:val="008A2B6A"/>
    <w:rsid w:val="008A30BA"/>
    <w:rsid w:val="008B5601"/>
    <w:rsid w:val="008B6529"/>
    <w:rsid w:val="008D35F1"/>
    <w:rsid w:val="008D3612"/>
    <w:rsid w:val="008D5777"/>
    <w:rsid w:val="008D7D59"/>
    <w:rsid w:val="008E2203"/>
    <w:rsid w:val="008F1B81"/>
    <w:rsid w:val="008F2802"/>
    <w:rsid w:val="008F3383"/>
    <w:rsid w:val="009020C7"/>
    <w:rsid w:val="0090240A"/>
    <w:rsid w:val="00903A2D"/>
    <w:rsid w:val="00907388"/>
    <w:rsid w:val="00914F14"/>
    <w:rsid w:val="0093723A"/>
    <w:rsid w:val="009402E6"/>
    <w:rsid w:val="00943F98"/>
    <w:rsid w:val="00947542"/>
    <w:rsid w:val="00954A2F"/>
    <w:rsid w:val="00956AAC"/>
    <w:rsid w:val="00957D8B"/>
    <w:rsid w:val="00967D22"/>
    <w:rsid w:val="0097080D"/>
    <w:rsid w:val="009714FE"/>
    <w:rsid w:val="00973398"/>
    <w:rsid w:val="00982AD3"/>
    <w:rsid w:val="009849C0"/>
    <w:rsid w:val="009861F9"/>
    <w:rsid w:val="0098774A"/>
    <w:rsid w:val="009944A9"/>
    <w:rsid w:val="00996DEE"/>
    <w:rsid w:val="009B11C0"/>
    <w:rsid w:val="009B3048"/>
    <w:rsid w:val="009B3424"/>
    <w:rsid w:val="009D36C0"/>
    <w:rsid w:val="009E04AF"/>
    <w:rsid w:val="009E13E7"/>
    <w:rsid w:val="009F0C88"/>
    <w:rsid w:val="00A05AF5"/>
    <w:rsid w:val="00A0777C"/>
    <w:rsid w:val="00A30AE5"/>
    <w:rsid w:val="00A30DFD"/>
    <w:rsid w:val="00A33A80"/>
    <w:rsid w:val="00A36FFA"/>
    <w:rsid w:val="00A40BC9"/>
    <w:rsid w:val="00A42C9A"/>
    <w:rsid w:val="00A46DEF"/>
    <w:rsid w:val="00A51D8F"/>
    <w:rsid w:val="00A52A2B"/>
    <w:rsid w:val="00A62860"/>
    <w:rsid w:val="00A813D2"/>
    <w:rsid w:val="00A8296F"/>
    <w:rsid w:val="00A879DB"/>
    <w:rsid w:val="00AB2B17"/>
    <w:rsid w:val="00AB3343"/>
    <w:rsid w:val="00AC399F"/>
    <w:rsid w:val="00AC584B"/>
    <w:rsid w:val="00AD18FC"/>
    <w:rsid w:val="00AD3803"/>
    <w:rsid w:val="00AD52A3"/>
    <w:rsid w:val="00AD634F"/>
    <w:rsid w:val="00AE02A5"/>
    <w:rsid w:val="00AF18BF"/>
    <w:rsid w:val="00B002B6"/>
    <w:rsid w:val="00B0070A"/>
    <w:rsid w:val="00B161F2"/>
    <w:rsid w:val="00B20940"/>
    <w:rsid w:val="00B307B2"/>
    <w:rsid w:val="00B34B20"/>
    <w:rsid w:val="00B36D9B"/>
    <w:rsid w:val="00B52520"/>
    <w:rsid w:val="00B67CCB"/>
    <w:rsid w:val="00B84A3B"/>
    <w:rsid w:val="00B86D94"/>
    <w:rsid w:val="00B956F2"/>
    <w:rsid w:val="00BA4407"/>
    <w:rsid w:val="00BA4681"/>
    <w:rsid w:val="00BB78CC"/>
    <w:rsid w:val="00BC386C"/>
    <w:rsid w:val="00BC3AA1"/>
    <w:rsid w:val="00BC52C1"/>
    <w:rsid w:val="00BD0C54"/>
    <w:rsid w:val="00BD2144"/>
    <w:rsid w:val="00BD62C1"/>
    <w:rsid w:val="00BD681B"/>
    <w:rsid w:val="00BE3563"/>
    <w:rsid w:val="00BE3745"/>
    <w:rsid w:val="00BF5732"/>
    <w:rsid w:val="00C0257A"/>
    <w:rsid w:val="00C040D1"/>
    <w:rsid w:val="00C139A6"/>
    <w:rsid w:val="00C1592E"/>
    <w:rsid w:val="00C37FEA"/>
    <w:rsid w:val="00C50DE7"/>
    <w:rsid w:val="00C52140"/>
    <w:rsid w:val="00C6433F"/>
    <w:rsid w:val="00C64D3E"/>
    <w:rsid w:val="00C6680F"/>
    <w:rsid w:val="00C66ACC"/>
    <w:rsid w:val="00C72415"/>
    <w:rsid w:val="00C77E82"/>
    <w:rsid w:val="00C8468C"/>
    <w:rsid w:val="00C85A0F"/>
    <w:rsid w:val="00C9289E"/>
    <w:rsid w:val="00C92F51"/>
    <w:rsid w:val="00C94A51"/>
    <w:rsid w:val="00CA0F95"/>
    <w:rsid w:val="00CA4EAF"/>
    <w:rsid w:val="00CB10F9"/>
    <w:rsid w:val="00CB3DF8"/>
    <w:rsid w:val="00CB413B"/>
    <w:rsid w:val="00CC09D9"/>
    <w:rsid w:val="00CD3AE0"/>
    <w:rsid w:val="00CF76A5"/>
    <w:rsid w:val="00D14E3A"/>
    <w:rsid w:val="00D204F5"/>
    <w:rsid w:val="00D21826"/>
    <w:rsid w:val="00D5042D"/>
    <w:rsid w:val="00D64AB9"/>
    <w:rsid w:val="00D7177A"/>
    <w:rsid w:val="00D90694"/>
    <w:rsid w:val="00D918B0"/>
    <w:rsid w:val="00D91A4C"/>
    <w:rsid w:val="00D94CD4"/>
    <w:rsid w:val="00DA4143"/>
    <w:rsid w:val="00DB00B6"/>
    <w:rsid w:val="00DB3C8A"/>
    <w:rsid w:val="00DC35B0"/>
    <w:rsid w:val="00DC4938"/>
    <w:rsid w:val="00DD6657"/>
    <w:rsid w:val="00DE11EE"/>
    <w:rsid w:val="00DE4A9E"/>
    <w:rsid w:val="00E00C32"/>
    <w:rsid w:val="00E02B75"/>
    <w:rsid w:val="00E05B42"/>
    <w:rsid w:val="00E14D3C"/>
    <w:rsid w:val="00E15A50"/>
    <w:rsid w:val="00E22388"/>
    <w:rsid w:val="00E2369D"/>
    <w:rsid w:val="00E32C21"/>
    <w:rsid w:val="00E34D2C"/>
    <w:rsid w:val="00E3763E"/>
    <w:rsid w:val="00E41743"/>
    <w:rsid w:val="00E54453"/>
    <w:rsid w:val="00E971BC"/>
    <w:rsid w:val="00EA0C6D"/>
    <w:rsid w:val="00EA251F"/>
    <w:rsid w:val="00EA7CAB"/>
    <w:rsid w:val="00EB1E3A"/>
    <w:rsid w:val="00EB4033"/>
    <w:rsid w:val="00ED0545"/>
    <w:rsid w:val="00EE3C83"/>
    <w:rsid w:val="00EE715C"/>
    <w:rsid w:val="00F00DCA"/>
    <w:rsid w:val="00F04B4C"/>
    <w:rsid w:val="00F05FC4"/>
    <w:rsid w:val="00F152FA"/>
    <w:rsid w:val="00F17360"/>
    <w:rsid w:val="00F242DA"/>
    <w:rsid w:val="00F24BF3"/>
    <w:rsid w:val="00F25F4D"/>
    <w:rsid w:val="00F42684"/>
    <w:rsid w:val="00F47226"/>
    <w:rsid w:val="00F5567D"/>
    <w:rsid w:val="00F63420"/>
    <w:rsid w:val="00F71D83"/>
    <w:rsid w:val="00FB2B31"/>
    <w:rsid w:val="00FC2E73"/>
    <w:rsid w:val="00FD44A8"/>
    <w:rsid w:val="00FD5504"/>
    <w:rsid w:val="00FE2024"/>
    <w:rsid w:val="00FE51C1"/>
    <w:rsid w:val="00FF4FBA"/>
    <w:rsid w:val="00FF6E00"/>
    <w:rsid w:val="047D4602"/>
    <w:rsid w:val="05754F7E"/>
    <w:rsid w:val="0B357D18"/>
    <w:rsid w:val="0C862E0D"/>
    <w:rsid w:val="11744421"/>
    <w:rsid w:val="12EB61C6"/>
    <w:rsid w:val="13E73593"/>
    <w:rsid w:val="140B085D"/>
    <w:rsid w:val="14661569"/>
    <w:rsid w:val="159A33B0"/>
    <w:rsid w:val="15DD478D"/>
    <w:rsid w:val="1B000E72"/>
    <w:rsid w:val="1DEB5B3B"/>
    <w:rsid w:val="20A27910"/>
    <w:rsid w:val="22C9286B"/>
    <w:rsid w:val="255713F8"/>
    <w:rsid w:val="25C03758"/>
    <w:rsid w:val="26F855C1"/>
    <w:rsid w:val="277C7AB0"/>
    <w:rsid w:val="2AD82335"/>
    <w:rsid w:val="2C7F12BD"/>
    <w:rsid w:val="301E426B"/>
    <w:rsid w:val="31614F93"/>
    <w:rsid w:val="328C6CDA"/>
    <w:rsid w:val="36384908"/>
    <w:rsid w:val="3D5700D4"/>
    <w:rsid w:val="3DB23995"/>
    <w:rsid w:val="3FCD554A"/>
    <w:rsid w:val="4284180D"/>
    <w:rsid w:val="455E1339"/>
    <w:rsid w:val="4605049C"/>
    <w:rsid w:val="494E5F5E"/>
    <w:rsid w:val="4EC55886"/>
    <w:rsid w:val="4FC46DB8"/>
    <w:rsid w:val="563B0C84"/>
    <w:rsid w:val="5839543B"/>
    <w:rsid w:val="5F01496B"/>
    <w:rsid w:val="610F07D1"/>
    <w:rsid w:val="63206458"/>
    <w:rsid w:val="639D30F5"/>
    <w:rsid w:val="68491BAA"/>
    <w:rsid w:val="69370822"/>
    <w:rsid w:val="6BF91CCB"/>
    <w:rsid w:val="6C117E56"/>
    <w:rsid w:val="6D1E19C3"/>
    <w:rsid w:val="702F7C8B"/>
    <w:rsid w:val="71331DD7"/>
    <w:rsid w:val="72CB743E"/>
    <w:rsid w:val="75734E12"/>
    <w:rsid w:val="75E61A4F"/>
    <w:rsid w:val="7AE14D52"/>
    <w:rsid w:val="7D883202"/>
    <w:rsid w:val="7E1A6A3F"/>
    <w:rsid w:val="7EC7462F"/>
    <w:rsid w:val="7F916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35"/>
    <w:qFormat/>
    <w:uiPriority w:val="0"/>
    <w:pPr>
      <w:ind w:firstLine="420"/>
    </w:pPr>
  </w:style>
  <w:style w:type="paragraph" w:styleId="5">
    <w:name w:val="annotation text"/>
    <w:basedOn w:val="1"/>
    <w:link w:val="29"/>
    <w:unhideWhenUsed/>
    <w:qFormat/>
    <w:uiPriority w:val="99"/>
    <w:pPr>
      <w:jc w:val="left"/>
    </w:pPr>
  </w:style>
  <w:style w:type="paragraph" w:styleId="6">
    <w:name w:val="toc 3"/>
    <w:basedOn w:val="1"/>
    <w:next w:val="1"/>
    <w:unhideWhenUsed/>
    <w:qFormat/>
    <w:uiPriority w:val="39"/>
    <w:pPr>
      <w:widowControl/>
      <w:spacing w:after="100" w:line="276" w:lineRule="auto"/>
      <w:ind w:left="440"/>
      <w:jc w:val="left"/>
    </w:pPr>
    <w:rPr>
      <w:kern w:val="0"/>
      <w:sz w:val="22"/>
    </w:rPr>
  </w:style>
  <w:style w:type="paragraph" w:styleId="7">
    <w:name w:val="Plain Text"/>
    <w:basedOn w:val="1"/>
    <w:link w:val="32"/>
    <w:qFormat/>
    <w:uiPriority w:val="0"/>
    <w:rPr>
      <w:rFonts w:ascii="宋体" w:hAnsi="Courier New" w:cs="Courier New"/>
      <w:szCs w:val="21"/>
    </w:rPr>
  </w:style>
  <w:style w:type="paragraph" w:styleId="8">
    <w:name w:val="endnote text"/>
    <w:basedOn w:val="1"/>
    <w:link w:val="31"/>
    <w:unhideWhenUsed/>
    <w:qFormat/>
    <w:uiPriority w:val="99"/>
    <w:pPr>
      <w:snapToGrid w:val="0"/>
      <w:jc w:val="left"/>
    </w:pPr>
  </w:style>
  <w:style w:type="paragraph" w:styleId="9">
    <w:name w:val="Balloon Text"/>
    <w:basedOn w:val="1"/>
    <w:link w:val="25"/>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3"/>
    <w:next w:val="2"/>
    <w:unhideWhenUsed/>
    <w:qFormat/>
    <w:uiPriority w:val="39"/>
    <w:pPr>
      <w:widowControl/>
      <w:spacing w:line="440" w:lineRule="exact"/>
      <w:jc w:val="left"/>
    </w:pPr>
    <w:rPr>
      <w:rFonts w:eastAsia="黑体"/>
      <w:b/>
      <w:i w:val="0"/>
      <w:kern w:val="0"/>
      <w:sz w:val="28"/>
    </w:rPr>
  </w:style>
  <w:style w:type="paragraph" w:customStyle="1" w:styleId="13">
    <w:name w:val="引用1"/>
    <w:basedOn w:val="1"/>
    <w:next w:val="1"/>
    <w:link w:val="34"/>
    <w:qFormat/>
    <w:uiPriority w:val="29"/>
    <w:rPr>
      <w:i/>
      <w:iCs/>
      <w:color w:val="000000" w:themeColor="text1"/>
    </w:rPr>
  </w:style>
  <w:style w:type="paragraph" w:styleId="14">
    <w:name w:val="toc 2"/>
    <w:basedOn w:val="13"/>
    <w:next w:val="3"/>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5">
    <w:name w:val="Normal (Web)"/>
    <w:basedOn w:val="1"/>
    <w:semiHidden/>
    <w:unhideWhenUsed/>
    <w:qFormat/>
    <w:uiPriority w:val="99"/>
    <w:pPr>
      <w:widowControl/>
      <w:spacing w:before="150" w:after="150" w:line="360" w:lineRule="atLeast"/>
      <w:ind w:left="150"/>
      <w:jc w:val="left"/>
    </w:pPr>
    <w:rPr>
      <w:rFonts w:ascii="宋体" w:hAnsi="宋体" w:eastAsia="宋体" w:cs="宋体"/>
      <w:kern w:val="0"/>
      <w:sz w:val="24"/>
      <w:szCs w:val="24"/>
    </w:rPr>
  </w:style>
  <w:style w:type="paragraph" w:styleId="16">
    <w:name w:val="annotation subject"/>
    <w:basedOn w:val="5"/>
    <w:next w:val="5"/>
    <w:link w:val="36"/>
    <w:unhideWhenUsed/>
    <w:qFormat/>
    <w:uiPriority w:val="99"/>
    <w:rPr>
      <w:b/>
      <w:bCs/>
    </w:rPr>
  </w:style>
  <w:style w:type="character" w:styleId="19">
    <w:name w:val="Strong"/>
    <w:qFormat/>
    <w:uiPriority w:val="22"/>
    <w:rPr>
      <w:b/>
    </w:rPr>
  </w:style>
  <w:style w:type="character" w:styleId="20">
    <w:name w:val="endnote reference"/>
    <w:basedOn w:val="18"/>
    <w:unhideWhenUsed/>
    <w:qFormat/>
    <w:uiPriority w:val="99"/>
    <w:rPr>
      <w:vertAlign w:val="superscript"/>
    </w:rPr>
  </w:style>
  <w:style w:type="character" w:styleId="21">
    <w:name w:val="Hyperlink"/>
    <w:basedOn w:val="18"/>
    <w:unhideWhenUsed/>
    <w:qFormat/>
    <w:uiPriority w:val="99"/>
    <w:rPr>
      <w:color w:val="0000FF" w:themeColor="hyperlink"/>
      <w:u w:val="single"/>
    </w:rPr>
  </w:style>
  <w:style w:type="character" w:styleId="22">
    <w:name w:val="annotation reference"/>
    <w:qFormat/>
    <w:uiPriority w:val="99"/>
    <w:rPr>
      <w:sz w:val="21"/>
    </w:rPr>
  </w:style>
  <w:style w:type="character" w:customStyle="1" w:styleId="23">
    <w:name w:val="页眉 Char"/>
    <w:basedOn w:val="18"/>
    <w:link w:val="11"/>
    <w:qFormat/>
    <w:uiPriority w:val="99"/>
    <w:rPr>
      <w:sz w:val="18"/>
      <w:szCs w:val="18"/>
    </w:rPr>
  </w:style>
  <w:style w:type="character" w:customStyle="1" w:styleId="24">
    <w:name w:val="页脚 Char"/>
    <w:basedOn w:val="18"/>
    <w:link w:val="10"/>
    <w:qFormat/>
    <w:uiPriority w:val="99"/>
    <w:rPr>
      <w:sz w:val="18"/>
      <w:szCs w:val="18"/>
    </w:rPr>
  </w:style>
  <w:style w:type="character" w:customStyle="1" w:styleId="25">
    <w:name w:val="批注框文本 Char"/>
    <w:basedOn w:val="18"/>
    <w:link w:val="9"/>
    <w:semiHidden/>
    <w:qFormat/>
    <w:uiPriority w:val="99"/>
    <w:rPr>
      <w:sz w:val="18"/>
      <w:szCs w:val="18"/>
    </w:rPr>
  </w:style>
  <w:style w:type="paragraph" w:customStyle="1" w:styleId="26">
    <w:name w:val="列出段落1"/>
    <w:basedOn w:val="1"/>
    <w:qFormat/>
    <w:uiPriority w:val="34"/>
    <w:pPr>
      <w:ind w:firstLine="420" w:firstLineChars="200"/>
    </w:pPr>
  </w:style>
  <w:style w:type="character" w:customStyle="1" w:styleId="27">
    <w:name w:val="标题 1 Char"/>
    <w:basedOn w:val="18"/>
    <w:link w:val="2"/>
    <w:qFormat/>
    <w:uiPriority w:val="9"/>
    <w:rPr>
      <w:b/>
      <w:bCs/>
      <w:kern w:val="44"/>
      <w:sz w:val="44"/>
      <w:szCs w:val="44"/>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文字 Char"/>
    <w:basedOn w:val="18"/>
    <w:link w:val="5"/>
    <w:qFormat/>
    <w:uiPriority w:val="99"/>
  </w:style>
  <w:style w:type="character" w:customStyle="1" w:styleId="30">
    <w:name w:val="标题 2 Char"/>
    <w:basedOn w:val="18"/>
    <w:link w:val="3"/>
    <w:qFormat/>
    <w:uiPriority w:val="9"/>
    <w:rPr>
      <w:rFonts w:asciiTheme="majorHAnsi" w:hAnsiTheme="majorHAnsi" w:eastAsiaTheme="majorEastAsia" w:cstheme="majorBidi"/>
      <w:b/>
      <w:bCs/>
      <w:sz w:val="32"/>
      <w:szCs w:val="32"/>
    </w:rPr>
  </w:style>
  <w:style w:type="character" w:customStyle="1" w:styleId="31">
    <w:name w:val="尾注文本 Char"/>
    <w:basedOn w:val="18"/>
    <w:link w:val="8"/>
    <w:semiHidden/>
    <w:qFormat/>
    <w:uiPriority w:val="99"/>
  </w:style>
  <w:style w:type="character" w:customStyle="1" w:styleId="32">
    <w:name w:val="纯文本 Char"/>
    <w:link w:val="7"/>
    <w:qFormat/>
    <w:uiPriority w:val="0"/>
    <w:rPr>
      <w:rFonts w:ascii="宋体" w:hAnsi="Courier New" w:cs="Courier New"/>
      <w:szCs w:val="21"/>
    </w:rPr>
  </w:style>
  <w:style w:type="character" w:customStyle="1" w:styleId="33">
    <w:name w:val="纯文本 Char1"/>
    <w:basedOn w:val="18"/>
    <w:semiHidden/>
    <w:qFormat/>
    <w:uiPriority w:val="99"/>
    <w:rPr>
      <w:rFonts w:ascii="宋体" w:hAnsi="Courier New" w:eastAsia="宋体" w:cs="Courier New"/>
      <w:szCs w:val="21"/>
    </w:rPr>
  </w:style>
  <w:style w:type="character" w:customStyle="1" w:styleId="34">
    <w:name w:val="引用 Char"/>
    <w:basedOn w:val="18"/>
    <w:link w:val="13"/>
    <w:qFormat/>
    <w:uiPriority w:val="29"/>
    <w:rPr>
      <w:i/>
      <w:iCs/>
      <w:color w:val="000000" w:themeColor="text1"/>
    </w:rPr>
  </w:style>
  <w:style w:type="character" w:customStyle="1" w:styleId="35">
    <w:name w:val="正文缩进 Char"/>
    <w:link w:val="4"/>
    <w:qFormat/>
    <w:uiPriority w:val="0"/>
  </w:style>
  <w:style w:type="character" w:customStyle="1" w:styleId="36">
    <w:name w:val="批注主题 Char"/>
    <w:basedOn w:val="29"/>
    <w:link w:val="16"/>
    <w:semiHidden/>
    <w:qFormat/>
    <w:uiPriority w:val="99"/>
    <w:rPr>
      <w:b/>
      <w:bCs/>
    </w:rPr>
  </w:style>
  <w:style w:type="paragraph" w:styleId="37">
    <w:name w:val="List Paragraph"/>
    <w:basedOn w:val="1"/>
    <w:unhideWhenUsed/>
    <w:qFormat/>
    <w:uiPriority w:val="99"/>
    <w:pPr>
      <w:ind w:firstLine="420" w:firstLineChars="200"/>
    </w:pPr>
  </w:style>
  <w:style w:type="paragraph" w:customStyle="1" w:styleId="3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9">
    <w:name w:val="TOC 标题3"/>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5B76A-C6F3-4E9A-BFFE-C01ECCFAED44}">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66</Pages>
  <Words>5536</Words>
  <Characters>31559</Characters>
  <Lines>262</Lines>
  <Paragraphs>74</Paragraphs>
  <TotalTime>17</TotalTime>
  <ScaleCrop>false</ScaleCrop>
  <LinksUpToDate>false</LinksUpToDate>
  <CharactersWithSpaces>37021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2018-04-02T05:20:00Z</dcterms:created>
  <dc:creator>502-2</dc:creator>
  <cp:lastModifiedBy>章佳</cp:lastModifiedBy>
  <cp:lastPrinted>2019-10-21T05:27:00Z</cp:lastPrinted>
  <dcterms:modified xsi:type="dcterms:W3CDTF">2019-10-21T08:28:25Z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