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4"/>
          <w:szCs w:val="24"/>
        </w:rPr>
      </w:pPr>
      <w:bookmarkStart w:id="0" w:name="_GoBack"/>
      <w:bookmarkEnd w:id="0"/>
      <w:r>
        <w:rPr>
          <w:sz w:val="24"/>
          <w:szCs w:val="24"/>
        </w:rPr>
        <w:t>附件</w:t>
      </w:r>
      <w:r>
        <w:rPr>
          <w:rFonts w:hint="eastAsia"/>
          <w:sz w:val="24"/>
          <w:szCs w:val="24"/>
        </w:rPr>
        <w:t>一</w:t>
      </w:r>
      <w:r>
        <w:rPr>
          <w:sz w:val="24"/>
          <w:szCs w:val="24"/>
        </w:rPr>
        <w:t>：项目采购需求：</w:t>
      </w:r>
    </w:p>
    <w:p>
      <w:pPr>
        <w:adjustRightInd w:val="0"/>
        <w:snapToGrid w:val="0"/>
        <w:spacing w:line="360" w:lineRule="auto"/>
        <w:jc w:val="left"/>
        <w:rPr>
          <w:sz w:val="24"/>
          <w:szCs w:val="24"/>
        </w:rPr>
      </w:pPr>
    </w:p>
    <w:p>
      <w:pPr>
        <w:pStyle w:val="7"/>
        <w:rPr>
          <w:sz w:val="44"/>
          <w:szCs w:val="44"/>
        </w:rPr>
      </w:pPr>
      <w:r>
        <w:rPr>
          <w:rFonts w:hint="eastAsia"/>
          <w:sz w:val="44"/>
          <w:szCs w:val="44"/>
        </w:rPr>
        <w:t xml:space="preserve">     2019阳新县富河流域化肥零增长采购项目采购需求（四次）</w:t>
      </w:r>
    </w:p>
    <w:p>
      <w:pPr>
        <w:shd w:val="clear" w:color="auto" w:fill="FFFFFF"/>
        <w:spacing w:after="321" w:afterLines="100"/>
        <w:ind w:left="1134" w:leftChars="540"/>
        <w:rPr>
          <w:rFonts w:ascii="黑体" w:eastAsia="黑体"/>
          <w:szCs w:val="32"/>
        </w:rPr>
      </w:pPr>
    </w:p>
    <w:p>
      <w:pPr>
        <w:shd w:val="clear" w:color="auto" w:fill="FFFFFF"/>
        <w:spacing w:after="321" w:afterLines="100"/>
        <w:ind w:left="1134" w:leftChars="540"/>
        <w:rPr>
          <w:rFonts w:ascii="黑体" w:eastAsia="黑体"/>
          <w:sz w:val="44"/>
          <w:szCs w:val="44"/>
        </w:rPr>
      </w:pPr>
    </w:p>
    <w:p>
      <w:pPr>
        <w:shd w:val="clear" w:color="auto" w:fill="FFFFFF"/>
        <w:spacing w:line="560" w:lineRule="exact"/>
        <w:ind w:left="1134" w:leftChars="540"/>
        <w:rPr>
          <w:rFonts w:ascii="黑体" w:eastAsia="仿宋_GB2312"/>
          <w:sz w:val="28"/>
          <w:szCs w:val="28"/>
        </w:rPr>
      </w:pPr>
      <w:r>
        <w:rPr>
          <w:rFonts w:hint="eastAsia" w:ascii="黑体" w:eastAsia="黑体"/>
          <w:sz w:val="28"/>
          <w:szCs w:val="28"/>
        </w:rPr>
        <w:t>采购单位：</w:t>
      </w:r>
      <w:r>
        <w:rPr>
          <w:rFonts w:hint="eastAsia" w:ascii="仿宋_GB2312" w:eastAsia="仿宋_GB2312"/>
          <w:sz w:val="28"/>
          <w:szCs w:val="28"/>
        </w:rPr>
        <w:t>阳新县农业农村局</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 系 人</w:t>
      </w:r>
      <w:r>
        <w:rPr>
          <w:rFonts w:hint="eastAsia" w:ascii="仿宋_GB2312" w:eastAsia="仿宋_GB2312"/>
          <w:sz w:val="28"/>
          <w:szCs w:val="28"/>
        </w:rPr>
        <w:t>：毛创业</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联系电话：15997114766</w:t>
      </w: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sz w:val="28"/>
          <w:szCs w:val="28"/>
        </w:rPr>
        <w:t>询价采购</w:t>
      </w:r>
    </w:p>
    <w:p>
      <w:pPr>
        <w:keepNext/>
        <w:keepLines/>
        <w:adjustRightInd w:val="0"/>
        <w:snapToGrid w:val="0"/>
        <w:jc w:val="center"/>
        <w:outlineLvl w:val="1"/>
        <w:rPr>
          <w:rFonts w:ascii="宋体" w:hAnsi="宋体"/>
          <w:b/>
          <w:bCs/>
          <w:sz w:val="32"/>
          <w:szCs w:val="32"/>
        </w:rPr>
        <w:sectPr>
          <w:footerReference r:id="rId3" w:type="default"/>
          <w:pgSz w:w="11906" w:h="16838"/>
          <w:pgMar w:top="1134" w:right="1134" w:bottom="1134" w:left="1134" w:header="851" w:footer="992" w:gutter="0"/>
          <w:cols w:space="0" w:num="1"/>
          <w:docGrid w:type="lines" w:linePitch="321" w:charSpace="0"/>
        </w:sectPr>
      </w:pPr>
    </w:p>
    <w:p>
      <w:pPr>
        <w:ind w:firstLine="3080" w:firstLineChars="700"/>
        <w:rPr>
          <w:sz w:val="44"/>
          <w:szCs w:val="44"/>
        </w:rPr>
      </w:pPr>
      <w:r>
        <w:rPr>
          <w:rFonts w:hint="eastAsia"/>
          <w:sz w:val="44"/>
          <w:szCs w:val="44"/>
        </w:rPr>
        <w:t>采购需求</w:t>
      </w:r>
    </w:p>
    <w:p>
      <w:pPr>
        <w:rPr>
          <w:sz w:val="28"/>
          <w:szCs w:val="28"/>
        </w:rPr>
      </w:pPr>
      <w:r>
        <w:rPr>
          <w:rFonts w:hint="eastAsia"/>
          <w:sz w:val="28"/>
          <w:szCs w:val="28"/>
        </w:rPr>
        <w:t>一、货物名称：有机物料。</w:t>
      </w:r>
    </w:p>
    <w:p>
      <w:pPr>
        <w:rPr>
          <w:sz w:val="28"/>
          <w:szCs w:val="28"/>
        </w:rPr>
      </w:pPr>
      <w:r>
        <w:rPr>
          <w:rFonts w:hint="eastAsia"/>
          <w:sz w:val="28"/>
          <w:szCs w:val="28"/>
        </w:rPr>
        <w:t>二、数量：800吨。</w:t>
      </w:r>
    </w:p>
    <w:p>
      <w:pPr>
        <w:rPr>
          <w:sz w:val="28"/>
          <w:szCs w:val="28"/>
        </w:rPr>
      </w:pPr>
      <w:r>
        <w:rPr>
          <w:rFonts w:hint="eastAsia"/>
          <w:sz w:val="28"/>
          <w:szCs w:val="28"/>
        </w:rPr>
        <w:t>三、采购要求：本次招标产品为动物的排泄物或动植物残体等富含有机质的副产品资源为主要原料，经发酵腐熟后而成的有机物料。外观为褐色或灰褐色颗粒，均匀、无恶臭。</w:t>
      </w:r>
    </w:p>
    <w:p>
      <w:pPr>
        <w:rPr>
          <w:sz w:val="28"/>
          <w:szCs w:val="28"/>
        </w:rPr>
      </w:pPr>
      <w:r>
        <w:rPr>
          <w:rFonts w:hint="eastAsia"/>
          <w:sz w:val="28"/>
          <w:szCs w:val="28"/>
        </w:rPr>
        <w:t>四、主要技术参数</w:t>
      </w:r>
    </w:p>
    <w:p>
      <w:pPr>
        <w:ind w:firstLine="560" w:firstLineChars="200"/>
        <w:rPr>
          <w:sz w:val="28"/>
          <w:szCs w:val="28"/>
        </w:rPr>
      </w:pPr>
      <w:r>
        <w:rPr>
          <w:rFonts w:hint="eastAsia"/>
          <w:sz w:val="28"/>
          <w:szCs w:val="28"/>
        </w:rPr>
        <w:t xml:space="preserve">1.1有机质的质量分数（以烘干基计）%      </w:t>
      </w:r>
      <m:oMath>
        <m:r>
          <m:rPr>
            <m:sty m:val="p"/>
          </m:rPr>
          <w:rPr>
            <w:rFonts w:ascii="Cambria Math" w:hAnsi="Cambria Math"/>
            <w:sz w:val="32"/>
            <w:szCs w:val="32"/>
          </w:rPr>
          <m:t>≥45</m:t>
        </m:r>
      </m:oMath>
    </w:p>
    <w:p>
      <w:pPr>
        <w:ind w:firstLine="560" w:firstLineChars="200"/>
        <w:rPr>
          <w:sz w:val="28"/>
          <w:szCs w:val="28"/>
        </w:rPr>
      </w:pPr>
      <w:r>
        <w:rPr>
          <w:rFonts w:hint="eastAsia"/>
          <w:sz w:val="28"/>
          <w:szCs w:val="28"/>
        </w:rPr>
        <w:t xml:space="preserve">1.2总养分（N+P2O5+K2O）的质量分数（以烘干基计）%   </w:t>
      </w:r>
      <m:oMath>
        <m:r>
          <m:rPr>
            <m:sty m:val="p"/>
          </m:rPr>
          <w:rPr>
            <w:rFonts w:ascii="Cambria Math" w:hAnsi="Cambria Math"/>
            <w:sz w:val="32"/>
            <w:szCs w:val="32"/>
          </w:rPr>
          <m:t>≥5</m:t>
        </m:r>
      </m:oMath>
    </w:p>
    <w:p>
      <w:pPr>
        <w:ind w:firstLine="560" w:firstLineChars="200"/>
        <w:rPr>
          <w:sz w:val="28"/>
          <w:szCs w:val="28"/>
        </w:rPr>
      </w:pPr>
      <w:r>
        <w:rPr>
          <w:rFonts w:hint="eastAsia"/>
          <w:sz w:val="28"/>
          <w:szCs w:val="28"/>
        </w:rPr>
        <w:t>1.3酸碱度（PH值）             5.5-8.5</w:t>
      </w:r>
    </w:p>
    <w:p>
      <w:pPr>
        <w:tabs>
          <w:tab w:val="center" w:pos="4363"/>
        </w:tabs>
        <w:ind w:firstLine="560" w:firstLineChars="200"/>
        <w:rPr>
          <w:sz w:val="28"/>
          <w:szCs w:val="28"/>
        </w:rPr>
      </w:pPr>
      <w:r>
        <w:rPr>
          <w:rFonts w:hint="eastAsia"/>
          <w:sz w:val="28"/>
          <w:szCs w:val="28"/>
        </w:rPr>
        <w:t>1.3水分（鲜样）的质量分数%</w:t>
      </w:r>
      <w:r>
        <w:rPr>
          <w:sz w:val="28"/>
          <w:szCs w:val="28"/>
        </w:rPr>
        <w:tab/>
      </w:r>
      <w:r>
        <w:rPr>
          <w:rFonts w:hint="eastAsia"/>
          <w:sz w:val="28"/>
          <w:szCs w:val="28"/>
        </w:rPr>
        <w:t xml:space="preserve">    </w:t>
      </w:r>
      <m:oMath>
        <m:r>
          <m:rPr>
            <m:sty m:val="p"/>
          </m:rPr>
          <w:rPr>
            <w:rFonts w:ascii="Cambria Math" w:hAnsi="Cambria Math"/>
            <w:sz w:val="32"/>
            <w:szCs w:val="32"/>
          </w:rPr>
          <m:t>≤30</m:t>
        </m:r>
      </m:oMath>
    </w:p>
    <w:p>
      <w:pPr>
        <w:tabs>
          <w:tab w:val="center" w:pos="4363"/>
        </w:tabs>
        <w:ind w:firstLine="560" w:firstLineChars="200"/>
        <w:rPr>
          <w:sz w:val="28"/>
          <w:szCs w:val="28"/>
        </w:rPr>
      </w:pPr>
      <w:r>
        <w:rPr>
          <w:rFonts w:hint="eastAsia"/>
          <w:sz w:val="28"/>
          <w:szCs w:val="28"/>
        </w:rPr>
        <w:t>1.4总砷（AS）（以烘干基计）mg</w:t>
      </w:r>
      <w:r>
        <w:rPr>
          <w:rFonts w:hint="eastAsia" w:ascii="宋体" w:hAnsi="宋体"/>
          <w:sz w:val="28"/>
          <w:szCs w:val="28"/>
        </w:rPr>
        <w:t>/</w:t>
      </w:r>
      <w:r>
        <w:rPr>
          <w:rFonts w:hint="eastAsia"/>
          <w:sz w:val="28"/>
          <w:szCs w:val="28"/>
        </w:rPr>
        <w:t xml:space="preserve">kg        </w:t>
      </w:r>
      <m:oMath>
        <m:r>
          <m:rPr>
            <m:sty m:val="p"/>
          </m:rPr>
          <w:rPr>
            <w:rFonts w:ascii="Cambria Math" w:hAnsi="Cambria Math"/>
            <w:sz w:val="32"/>
            <w:szCs w:val="32"/>
          </w:rPr>
          <m:t>≤</m:t>
        </m:r>
      </m:oMath>
      <w:r>
        <w:rPr>
          <w:rFonts w:hint="eastAsia"/>
          <w:sz w:val="28"/>
          <w:szCs w:val="28"/>
        </w:rPr>
        <w:t xml:space="preserve"> 15</w:t>
      </w:r>
    </w:p>
    <w:p>
      <w:pPr>
        <w:tabs>
          <w:tab w:val="center" w:pos="4363"/>
        </w:tabs>
        <w:ind w:firstLine="560" w:firstLineChars="200"/>
        <w:rPr>
          <w:sz w:val="28"/>
          <w:szCs w:val="28"/>
        </w:rPr>
      </w:pPr>
      <w:r>
        <w:rPr>
          <w:rFonts w:hint="eastAsia"/>
          <w:sz w:val="28"/>
          <w:szCs w:val="28"/>
        </w:rPr>
        <w:t>1.5总汞（HG）（以烘干基计）mg</w:t>
      </w:r>
      <w:r>
        <w:rPr>
          <w:rFonts w:hint="eastAsia" w:ascii="宋体" w:hAnsi="宋体"/>
          <w:sz w:val="28"/>
          <w:szCs w:val="28"/>
        </w:rPr>
        <w:t>/</w:t>
      </w:r>
      <w:r>
        <w:rPr>
          <w:rFonts w:hint="eastAsia"/>
          <w:sz w:val="28"/>
          <w:szCs w:val="28"/>
        </w:rPr>
        <w:t xml:space="preserve">kg        </w:t>
      </w:r>
      <m:oMath>
        <m:r>
          <m:rPr>
            <m:sty m:val="p"/>
          </m:rPr>
          <w:rPr>
            <w:rFonts w:ascii="Cambria Math" w:hAnsi="Cambria Math"/>
            <w:sz w:val="32"/>
            <w:szCs w:val="32"/>
          </w:rPr>
          <m:t>≤</m:t>
        </m:r>
      </m:oMath>
      <w:r>
        <w:rPr>
          <w:rFonts w:hint="eastAsia"/>
          <w:sz w:val="28"/>
          <w:szCs w:val="28"/>
        </w:rPr>
        <w:t>2</w:t>
      </w:r>
    </w:p>
    <w:p>
      <w:pPr>
        <w:tabs>
          <w:tab w:val="center" w:pos="4363"/>
        </w:tabs>
        <w:ind w:firstLine="560" w:firstLineChars="200"/>
        <w:rPr>
          <w:sz w:val="28"/>
          <w:szCs w:val="28"/>
        </w:rPr>
      </w:pPr>
      <w:r>
        <w:rPr>
          <w:rFonts w:hint="eastAsia"/>
          <w:sz w:val="28"/>
          <w:szCs w:val="28"/>
        </w:rPr>
        <w:t>1.6总铅（Pb）（以烘干基计）mg</w:t>
      </w:r>
      <w:r>
        <w:rPr>
          <w:rFonts w:hint="eastAsia" w:ascii="宋体" w:hAnsi="宋体"/>
          <w:sz w:val="28"/>
          <w:szCs w:val="28"/>
        </w:rPr>
        <w:t>/</w:t>
      </w:r>
      <w:r>
        <w:rPr>
          <w:rFonts w:hint="eastAsia"/>
          <w:sz w:val="28"/>
          <w:szCs w:val="28"/>
        </w:rPr>
        <w:t>kg</w:t>
      </w:r>
      <m:oMath>
        <m:r>
          <m:rPr>
            <m:sty m:val="p"/>
          </m:rPr>
          <w:rPr>
            <w:rFonts w:ascii="Cambria Math" w:hAnsi="Cambria Math"/>
            <w:sz w:val="32"/>
            <w:szCs w:val="32"/>
          </w:rPr>
          <m:t xml:space="preserve">                   ≤</m:t>
        </m:r>
      </m:oMath>
      <w:r>
        <w:rPr>
          <w:rFonts w:hint="eastAsia"/>
          <w:sz w:val="28"/>
          <w:szCs w:val="28"/>
        </w:rPr>
        <w:t>50</w:t>
      </w:r>
    </w:p>
    <w:p>
      <w:pPr>
        <w:tabs>
          <w:tab w:val="center" w:pos="4363"/>
        </w:tabs>
        <w:ind w:firstLine="560" w:firstLineChars="200"/>
        <w:rPr>
          <w:sz w:val="28"/>
          <w:szCs w:val="28"/>
        </w:rPr>
      </w:pPr>
      <w:r>
        <w:rPr>
          <w:rFonts w:hint="eastAsia"/>
          <w:sz w:val="28"/>
          <w:szCs w:val="28"/>
        </w:rPr>
        <w:t>1.7总隔（Cd）（以烘干基计）</w:t>
      </w:r>
      <m:oMath>
        <m:r>
          <m:rPr>
            <m:sty m:val="p"/>
          </m:rPr>
          <w:rPr>
            <w:rFonts w:ascii="Cambria Math" w:hAnsi="Cambria Math"/>
            <w:sz w:val="32"/>
            <w:szCs w:val="32"/>
          </w:rPr>
          <m:t xml:space="preserve"> </m:t>
        </m:r>
        <m:r>
          <m:rPr>
            <m:sty m:val="p"/>
          </m:rPr>
          <w:rPr>
            <w:rFonts w:hint="eastAsia" w:ascii="Cambria Math" w:hAnsi="Cambria Math"/>
            <w:sz w:val="32"/>
            <w:szCs w:val="32"/>
          </w:rPr>
          <m:t>mg/kg</m:t>
        </m:r>
        <m:r>
          <m:rPr>
            <m:sty m:val="p"/>
          </m:rPr>
          <w:rPr>
            <w:rFonts w:ascii="Cambria Math" w:hAnsi="Cambria Math"/>
            <w:sz w:val="32"/>
            <w:szCs w:val="32"/>
          </w:rPr>
          <m:t xml:space="preserve">                ≤3</m:t>
        </m:r>
      </m:oMath>
    </w:p>
    <w:p>
      <w:pPr>
        <w:tabs>
          <w:tab w:val="center" w:pos="4363"/>
        </w:tabs>
        <w:ind w:firstLine="560" w:firstLineChars="200"/>
        <w:rPr>
          <w:sz w:val="28"/>
          <w:szCs w:val="28"/>
        </w:rPr>
      </w:pPr>
      <w:r>
        <w:rPr>
          <w:rFonts w:hint="eastAsia"/>
          <w:sz w:val="28"/>
          <w:szCs w:val="28"/>
        </w:rPr>
        <w:t>1.8总铬（Cr）（以烘干基计）mg</w:t>
      </w:r>
      <w:r>
        <w:rPr>
          <w:rFonts w:hint="eastAsia" w:ascii="宋体" w:hAnsi="宋体"/>
          <w:sz w:val="28"/>
          <w:szCs w:val="28"/>
        </w:rPr>
        <w:t>/</w:t>
      </w:r>
      <w:r>
        <w:rPr>
          <w:rFonts w:hint="eastAsia"/>
          <w:sz w:val="28"/>
          <w:szCs w:val="28"/>
        </w:rPr>
        <w:t xml:space="preserve">kg         </w:t>
      </w:r>
      <m:oMath>
        <m:r>
          <m:rPr>
            <m:sty m:val="p"/>
          </m:rPr>
          <w:rPr>
            <w:rFonts w:ascii="Cambria Math" w:hAnsi="Cambria Math"/>
            <w:sz w:val="32"/>
            <w:szCs w:val="32"/>
          </w:rPr>
          <m:t>≤</m:t>
        </m:r>
      </m:oMath>
      <w:r>
        <w:rPr>
          <w:rFonts w:hint="eastAsia"/>
          <w:sz w:val="28"/>
          <w:szCs w:val="28"/>
        </w:rPr>
        <w:t>150</w:t>
      </w:r>
    </w:p>
    <w:p>
      <w:pPr>
        <w:tabs>
          <w:tab w:val="center" w:pos="4363"/>
        </w:tabs>
        <w:rPr>
          <w:sz w:val="28"/>
          <w:szCs w:val="28"/>
        </w:rPr>
      </w:pPr>
      <w:r>
        <w:rPr>
          <w:rFonts w:hint="eastAsia"/>
          <w:sz w:val="28"/>
          <w:szCs w:val="28"/>
        </w:rPr>
        <w:t>五、交货期：签订合同1个半月内</w:t>
      </w:r>
    </w:p>
    <w:p>
      <w:pPr>
        <w:tabs>
          <w:tab w:val="center" w:pos="4363"/>
        </w:tabs>
        <w:ind w:firstLine="405"/>
        <w:rPr>
          <w:sz w:val="28"/>
          <w:szCs w:val="28"/>
        </w:rPr>
      </w:pPr>
      <w:r>
        <w:rPr>
          <w:rFonts w:hint="eastAsia"/>
          <w:sz w:val="28"/>
          <w:szCs w:val="28"/>
        </w:rPr>
        <w:t>交货地点：阳新县土肥站指定地点（运费由供货方负责）。</w:t>
      </w:r>
    </w:p>
    <w:p>
      <w:pPr>
        <w:tabs>
          <w:tab w:val="center" w:pos="4363"/>
        </w:tabs>
        <w:ind w:firstLine="405"/>
        <w:rPr>
          <w:sz w:val="32"/>
          <w:szCs w:val="32"/>
        </w:rPr>
      </w:pPr>
      <w:r>
        <w:rPr>
          <w:rFonts w:hint="eastAsia"/>
          <w:sz w:val="32"/>
          <w:szCs w:val="32"/>
        </w:rPr>
        <w:t>交货地点：(运费由供货方负责）</w:t>
      </w:r>
    </w:p>
    <w:tbl>
      <w:tblPr>
        <w:tblStyle w:val="9"/>
        <w:tblW w:w="5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jc w:val="center"/>
              <w:rPr>
                <w:sz w:val="32"/>
                <w:szCs w:val="32"/>
              </w:rPr>
            </w:pPr>
            <w:r>
              <w:rPr>
                <w:rFonts w:hint="eastAsia"/>
                <w:sz w:val="32"/>
                <w:szCs w:val="32"/>
              </w:rPr>
              <w:t>地点</w:t>
            </w:r>
          </w:p>
        </w:tc>
        <w:tc>
          <w:tcPr>
            <w:tcW w:w="2841" w:type="dxa"/>
          </w:tcPr>
          <w:p>
            <w:pPr>
              <w:jc w:val="center"/>
              <w:rPr>
                <w:sz w:val="32"/>
                <w:szCs w:val="32"/>
              </w:rPr>
            </w:pPr>
            <w:r>
              <w:rPr>
                <w:rFonts w:hint="eastAsia"/>
                <w:sz w:val="32"/>
                <w:szCs w:val="32"/>
              </w:rPr>
              <w:t>合计（吨）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jc w:val="center"/>
              <w:rPr>
                <w:sz w:val="32"/>
                <w:szCs w:val="32"/>
              </w:rPr>
            </w:pPr>
            <w:r>
              <w:rPr>
                <w:rFonts w:hint="eastAsia"/>
                <w:sz w:val="32"/>
                <w:szCs w:val="32"/>
              </w:rPr>
              <w:t>枫林</w:t>
            </w:r>
          </w:p>
        </w:tc>
        <w:tc>
          <w:tcPr>
            <w:tcW w:w="2841" w:type="dxa"/>
          </w:tcPr>
          <w:p>
            <w:pPr>
              <w:jc w:val="center"/>
              <w:rPr>
                <w:sz w:val="32"/>
                <w:szCs w:val="32"/>
              </w:rPr>
            </w:pPr>
            <w:r>
              <w:rPr>
                <w:rFonts w:hint="eastAsia"/>
                <w:sz w:val="32"/>
                <w:szCs w:val="32"/>
              </w:rPr>
              <w:t>103.5吨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tabs>
                <w:tab w:val="center" w:pos="4363"/>
              </w:tabs>
              <w:ind w:firstLine="960" w:firstLineChars="300"/>
              <w:rPr>
                <w:sz w:val="32"/>
                <w:szCs w:val="32"/>
              </w:rPr>
            </w:pPr>
            <w:r>
              <w:rPr>
                <w:rFonts w:hint="eastAsia"/>
                <w:sz w:val="32"/>
                <w:szCs w:val="32"/>
              </w:rPr>
              <w:t>浮屠</w:t>
            </w:r>
          </w:p>
        </w:tc>
        <w:tc>
          <w:tcPr>
            <w:tcW w:w="2841" w:type="dxa"/>
          </w:tcPr>
          <w:p>
            <w:pPr>
              <w:jc w:val="center"/>
              <w:rPr>
                <w:sz w:val="32"/>
                <w:szCs w:val="32"/>
              </w:rPr>
            </w:pPr>
            <w:r>
              <w:rPr>
                <w:rFonts w:hint="eastAsia"/>
                <w:sz w:val="32"/>
                <w:szCs w:val="32"/>
              </w:rPr>
              <w:t>236.5吨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841" w:type="dxa"/>
          </w:tcPr>
          <w:p>
            <w:pPr>
              <w:jc w:val="center"/>
              <w:rPr>
                <w:sz w:val="32"/>
                <w:szCs w:val="32"/>
              </w:rPr>
            </w:pPr>
            <w:r>
              <w:rPr>
                <w:rFonts w:hint="eastAsia"/>
                <w:sz w:val="32"/>
                <w:szCs w:val="32"/>
              </w:rPr>
              <w:t>王英</w:t>
            </w:r>
          </w:p>
        </w:tc>
        <w:tc>
          <w:tcPr>
            <w:tcW w:w="2841" w:type="dxa"/>
          </w:tcPr>
          <w:p>
            <w:pPr>
              <w:tabs>
                <w:tab w:val="center" w:pos="4363"/>
              </w:tabs>
              <w:jc w:val="center"/>
              <w:rPr>
                <w:sz w:val="32"/>
                <w:szCs w:val="32"/>
              </w:rPr>
            </w:pPr>
            <w:r>
              <w:rPr>
                <w:rFonts w:hint="eastAsia"/>
                <w:sz w:val="32"/>
                <w:szCs w:val="32"/>
              </w:rPr>
              <w:t>118吨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jc w:val="center"/>
              <w:rPr>
                <w:sz w:val="32"/>
                <w:szCs w:val="32"/>
              </w:rPr>
            </w:pPr>
            <w:r>
              <w:rPr>
                <w:rFonts w:hint="eastAsia"/>
                <w:sz w:val="32"/>
                <w:szCs w:val="32"/>
              </w:rPr>
              <w:t>军垦</w:t>
            </w:r>
          </w:p>
        </w:tc>
        <w:tc>
          <w:tcPr>
            <w:tcW w:w="2841" w:type="dxa"/>
          </w:tcPr>
          <w:p>
            <w:pPr>
              <w:tabs>
                <w:tab w:val="center" w:pos="4363"/>
              </w:tabs>
              <w:jc w:val="center"/>
              <w:rPr>
                <w:sz w:val="32"/>
                <w:szCs w:val="32"/>
              </w:rPr>
            </w:pPr>
            <w:r>
              <w:rPr>
                <w:rFonts w:hint="eastAsia"/>
                <w:sz w:val="32"/>
                <w:szCs w:val="32"/>
              </w:rPr>
              <w:t>112吨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tabs>
                <w:tab w:val="center" w:pos="4363"/>
              </w:tabs>
              <w:jc w:val="center"/>
              <w:rPr>
                <w:sz w:val="32"/>
                <w:szCs w:val="32"/>
              </w:rPr>
            </w:pPr>
            <w:r>
              <w:rPr>
                <w:rFonts w:hint="eastAsia"/>
                <w:sz w:val="32"/>
                <w:szCs w:val="32"/>
              </w:rPr>
              <w:t>荆头山</w:t>
            </w:r>
          </w:p>
        </w:tc>
        <w:tc>
          <w:tcPr>
            <w:tcW w:w="2841" w:type="dxa"/>
          </w:tcPr>
          <w:p>
            <w:pPr>
              <w:tabs>
                <w:tab w:val="center" w:pos="4363"/>
              </w:tabs>
              <w:jc w:val="center"/>
              <w:rPr>
                <w:sz w:val="32"/>
                <w:szCs w:val="32"/>
              </w:rPr>
            </w:pPr>
            <w:r>
              <w:rPr>
                <w:rFonts w:hint="eastAsia"/>
                <w:sz w:val="32"/>
                <w:szCs w:val="32"/>
              </w:rPr>
              <w:t>70吨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tabs>
                <w:tab w:val="center" w:pos="4363"/>
              </w:tabs>
              <w:jc w:val="center"/>
              <w:rPr>
                <w:sz w:val="32"/>
                <w:szCs w:val="32"/>
              </w:rPr>
            </w:pPr>
            <w:r>
              <w:rPr>
                <w:rFonts w:hint="eastAsia"/>
                <w:sz w:val="32"/>
                <w:szCs w:val="32"/>
              </w:rPr>
              <w:t>城东新区</w:t>
            </w:r>
          </w:p>
        </w:tc>
        <w:tc>
          <w:tcPr>
            <w:tcW w:w="2841" w:type="dxa"/>
          </w:tcPr>
          <w:p>
            <w:pPr>
              <w:tabs>
                <w:tab w:val="center" w:pos="4363"/>
              </w:tabs>
              <w:jc w:val="center"/>
              <w:rPr>
                <w:sz w:val="32"/>
                <w:szCs w:val="32"/>
              </w:rPr>
            </w:pPr>
            <w:r>
              <w:rPr>
                <w:rFonts w:hint="eastAsia"/>
                <w:sz w:val="32"/>
                <w:szCs w:val="32"/>
              </w:rPr>
              <w:t>38吨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tabs>
                <w:tab w:val="center" w:pos="4363"/>
              </w:tabs>
              <w:jc w:val="center"/>
              <w:rPr>
                <w:sz w:val="32"/>
                <w:szCs w:val="32"/>
              </w:rPr>
            </w:pPr>
            <w:r>
              <w:rPr>
                <w:rFonts w:hint="eastAsia"/>
                <w:sz w:val="32"/>
                <w:szCs w:val="32"/>
              </w:rPr>
              <w:t>龙港</w:t>
            </w:r>
          </w:p>
        </w:tc>
        <w:tc>
          <w:tcPr>
            <w:tcW w:w="2841" w:type="dxa"/>
          </w:tcPr>
          <w:p>
            <w:pPr>
              <w:tabs>
                <w:tab w:val="center" w:pos="4363"/>
              </w:tabs>
              <w:jc w:val="center"/>
              <w:rPr>
                <w:sz w:val="32"/>
                <w:szCs w:val="32"/>
              </w:rPr>
            </w:pPr>
            <w:r>
              <w:rPr>
                <w:rFonts w:hint="eastAsia"/>
                <w:sz w:val="32"/>
                <w:szCs w:val="32"/>
              </w:rPr>
              <w:t>50吨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tabs>
                <w:tab w:val="center" w:pos="4363"/>
              </w:tabs>
              <w:jc w:val="center"/>
              <w:rPr>
                <w:sz w:val="32"/>
                <w:szCs w:val="32"/>
              </w:rPr>
            </w:pPr>
            <w:r>
              <w:rPr>
                <w:rFonts w:hint="eastAsia"/>
                <w:sz w:val="32"/>
                <w:szCs w:val="32"/>
              </w:rPr>
              <w:t>黄双口</w:t>
            </w:r>
          </w:p>
        </w:tc>
        <w:tc>
          <w:tcPr>
            <w:tcW w:w="2841" w:type="dxa"/>
          </w:tcPr>
          <w:p>
            <w:pPr>
              <w:tabs>
                <w:tab w:val="center" w:pos="4363"/>
              </w:tabs>
              <w:jc w:val="center"/>
              <w:rPr>
                <w:sz w:val="32"/>
                <w:szCs w:val="32"/>
              </w:rPr>
            </w:pPr>
            <w:r>
              <w:rPr>
                <w:rFonts w:hint="eastAsia"/>
                <w:sz w:val="32"/>
                <w:szCs w:val="32"/>
              </w:rPr>
              <w:t>42吨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tabs>
                <w:tab w:val="center" w:pos="4363"/>
              </w:tabs>
              <w:jc w:val="center"/>
              <w:rPr>
                <w:sz w:val="32"/>
                <w:szCs w:val="32"/>
              </w:rPr>
            </w:pPr>
            <w:r>
              <w:rPr>
                <w:rFonts w:hint="eastAsia"/>
                <w:sz w:val="32"/>
                <w:szCs w:val="32"/>
              </w:rPr>
              <w:t>三溪</w:t>
            </w:r>
          </w:p>
        </w:tc>
        <w:tc>
          <w:tcPr>
            <w:tcW w:w="2841" w:type="dxa"/>
          </w:tcPr>
          <w:p>
            <w:pPr>
              <w:tabs>
                <w:tab w:val="center" w:pos="4363"/>
              </w:tabs>
              <w:jc w:val="center"/>
              <w:rPr>
                <w:sz w:val="32"/>
                <w:szCs w:val="32"/>
              </w:rPr>
            </w:pPr>
            <w:r>
              <w:rPr>
                <w:rFonts w:hint="eastAsia"/>
                <w:sz w:val="32"/>
                <w:szCs w:val="32"/>
              </w:rPr>
              <w:t>30吨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tcPr>
          <w:p>
            <w:pPr>
              <w:tabs>
                <w:tab w:val="center" w:pos="4363"/>
              </w:tabs>
              <w:jc w:val="center"/>
              <w:rPr>
                <w:sz w:val="32"/>
                <w:szCs w:val="32"/>
              </w:rPr>
            </w:pPr>
            <w:r>
              <w:rPr>
                <w:rFonts w:hint="eastAsia"/>
                <w:sz w:val="32"/>
                <w:szCs w:val="32"/>
              </w:rPr>
              <w:t>合计</w:t>
            </w:r>
          </w:p>
        </w:tc>
        <w:tc>
          <w:tcPr>
            <w:tcW w:w="2841" w:type="dxa"/>
          </w:tcPr>
          <w:p>
            <w:pPr>
              <w:tabs>
                <w:tab w:val="center" w:pos="4363"/>
              </w:tabs>
              <w:jc w:val="center"/>
              <w:rPr>
                <w:sz w:val="32"/>
                <w:szCs w:val="32"/>
              </w:rPr>
            </w:pPr>
            <w:r>
              <w:rPr>
                <w:rFonts w:hint="eastAsia"/>
                <w:sz w:val="32"/>
                <w:szCs w:val="32"/>
              </w:rPr>
              <w:t>800吨</w:t>
            </w:r>
          </w:p>
        </w:tc>
      </w:tr>
    </w:tbl>
    <w:p>
      <w:pPr>
        <w:tabs>
          <w:tab w:val="center" w:pos="4363"/>
        </w:tabs>
        <w:rPr>
          <w:sz w:val="28"/>
          <w:szCs w:val="28"/>
        </w:rPr>
      </w:pPr>
      <w:r>
        <w:rPr>
          <w:rFonts w:hint="eastAsia"/>
          <w:sz w:val="28"/>
          <w:szCs w:val="28"/>
        </w:rPr>
        <w:t>六、付款方式：供货达到合同数80%，付合同价款总额的40%，余款等供应商供货完毕且验收合格后一个月内一次性付清。</w:t>
      </w:r>
    </w:p>
    <w:p>
      <w:pPr>
        <w:tabs>
          <w:tab w:val="center" w:pos="4363"/>
        </w:tabs>
        <w:rPr>
          <w:sz w:val="28"/>
          <w:szCs w:val="28"/>
        </w:rPr>
      </w:pPr>
      <w:r>
        <w:rPr>
          <w:rFonts w:hint="eastAsia"/>
          <w:sz w:val="28"/>
          <w:szCs w:val="28"/>
        </w:rPr>
        <w:t>七、供应商开标时必须携带样品，且与供货实物一致。所供产品必须是营业执照所在地实行原厂供货。</w:t>
      </w:r>
    </w:p>
    <w:p>
      <w:pPr>
        <w:tabs>
          <w:tab w:val="center" w:pos="4363"/>
        </w:tabs>
        <w:rPr>
          <w:sz w:val="28"/>
          <w:szCs w:val="28"/>
        </w:rPr>
      </w:pPr>
      <w:r>
        <w:rPr>
          <w:rFonts w:hint="eastAsia"/>
          <w:sz w:val="28"/>
          <w:szCs w:val="28"/>
        </w:rPr>
        <w:t>八、供货前，采购方需在供应商生产基地进行抽样，经检验合格后，方可供货。如果抽样不合格，采购方有权终止合同。对供货过程中，采购方有权进行随机抽样，如果抽样不合格，采购方有权终止合同。</w:t>
      </w:r>
    </w:p>
    <w:p>
      <w:pPr>
        <w:tabs>
          <w:tab w:val="center" w:pos="4363"/>
        </w:tabs>
        <w:rPr>
          <w:sz w:val="32"/>
          <w:szCs w:val="32"/>
        </w:rPr>
      </w:pPr>
    </w:p>
    <w:p>
      <w:pPr>
        <w:tabs>
          <w:tab w:val="center" w:pos="4363"/>
        </w:tabs>
        <w:rPr>
          <w:sz w:val="32"/>
          <w:szCs w:val="32"/>
        </w:rPr>
      </w:pPr>
    </w:p>
    <w:p>
      <w:pPr>
        <w:tabs>
          <w:tab w:val="center" w:pos="4363"/>
        </w:tabs>
        <w:rPr>
          <w:sz w:val="32"/>
          <w:szCs w:val="32"/>
        </w:rPr>
      </w:pPr>
    </w:p>
    <w:p>
      <w:pPr>
        <w:tabs>
          <w:tab w:val="center" w:pos="4363"/>
        </w:tabs>
        <w:rPr>
          <w:sz w:val="32"/>
          <w:szCs w:val="32"/>
        </w:rPr>
      </w:pPr>
    </w:p>
    <w:p>
      <w:pPr>
        <w:tabs>
          <w:tab w:val="center" w:pos="4363"/>
        </w:tabs>
        <w:rPr>
          <w:sz w:val="32"/>
          <w:szCs w:val="32"/>
        </w:rPr>
      </w:pPr>
    </w:p>
    <w:p>
      <w:pPr>
        <w:tabs>
          <w:tab w:val="center" w:pos="4363"/>
        </w:tabs>
        <w:rPr>
          <w:sz w:val="32"/>
          <w:szCs w:val="32"/>
        </w:rPr>
      </w:pPr>
    </w:p>
    <w:p>
      <w:pPr>
        <w:tabs>
          <w:tab w:val="center" w:pos="4363"/>
        </w:tabs>
        <w:rPr>
          <w:sz w:val="32"/>
          <w:szCs w:val="32"/>
        </w:rPr>
      </w:pPr>
    </w:p>
    <w:p>
      <w:pPr>
        <w:adjustRightInd w:val="0"/>
        <w:snapToGrid w:val="0"/>
        <w:spacing w:line="360" w:lineRule="auto"/>
        <w:rPr>
          <w:sz w:val="24"/>
          <w:szCs w:val="24"/>
        </w:rPr>
      </w:pPr>
      <w:r>
        <w:rPr>
          <w:rFonts w:hint="eastAsia"/>
          <w:sz w:val="24"/>
          <w:szCs w:val="24"/>
        </w:rPr>
        <w:t>附件2：供应商报名表：</w:t>
      </w:r>
    </w:p>
    <w:p>
      <w:pPr>
        <w:adjustRightInd w:val="0"/>
        <w:snapToGrid w:val="0"/>
        <w:spacing w:line="360" w:lineRule="auto"/>
        <w:rPr>
          <w:sz w:val="24"/>
          <w:szCs w:val="24"/>
        </w:rPr>
      </w:pPr>
    </w:p>
    <w:p>
      <w:pPr>
        <w:spacing w:line="360" w:lineRule="auto"/>
        <w:jc w:val="center"/>
        <w:rPr>
          <w:sz w:val="32"/>
          <w:szCs w:val="32"/>
        </w:rPr>
      </w:pPr>
      <w:r>
        <w:rPr>
          <w:rFonts w:hint="eastAsia"/>
          <w:sz w:val="32"/>
          <w:szCs w:val="32"/>
        </w:rPr>
        <w:t>供应商报名表</w:t>
      </w:r>
    </w:p>
    <w:p>
      <w:pPr>
        <w:spacing w:line="360" w:lineRule="auto"/>
        <w:rPr>
          <w:sz w:val="24"/>
          <w:szCs w:val="24"/>
        </w:rPr>
      </w:pPr>
      <w:r>
        <w:rPr>
          <w:rFonts w:hint="eastAsia"/>
          <w:sz w:val="24"/>
          <w:szCs w:val="24"/>
        </w:rPr>
        <w:t>项目名称：</w:t>
      </w:r>
      <w:r>
        <w:rPr>
          <w:rFonts w:hint="eastAsia"/>
          <w:sz w:val="24"/>
          <w:szCs w:val="24"/>
          <w:u w:val="single"/>
        </w:rPr>
        <w:t xml:space="preserve">           </w:t>
      </w:r>
      <w:r>
        <w:rPr>
          <w:rFonts w:hint="eastAsia"/>
          <w:sz w:val="24"/>
          <w:szCs w:val="24"/>
        </w:rPr>
        <w:t xml:space="preserve">                      项目编号：</w:t>
      </w:r>
      <w:r>
        <w:rPr>
          <w:rFonts w:hint="eastAsia"/>
          <w:sz w:val="24"/>
          <w:szCs w:val="24"/>
          <w:u w:val="single"/>
        </w:rPr>
        <w:t xml:space="preserve">          </w:t>
      </w:r>
    </w:p>
    <w:tbl>
      <w:tblPr>
        <w:tblStyle w:val="8"/>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w:t>
            </w:r>
          </w:p>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（盖章）</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报名资料</w:t>
            </w: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6.未被列入“信用中国”网站（www.creditchina.gov.cn）失信被执行人、重大税收违法案件当事人名单、政府采购严重违法失信行为记录名单的网页打印件。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 w:val="24"/>
                <w:szCs w:val="24"/>
              </w:rPr>
            </w:pPr>
            <w:r>
              <w:rPr>
                <w:rFonts w:hint="eastAsia"/>
                <w:sz w:val="24"/>
                <w:szCs w:val="24"/>
              </w:rPr>
              <w:t>7.特定条件：</w:t>
            </w:r>
          </w:p>
          <w:p>
            <w:pPr>
              <w:adjustRightInd w:val="0"/>
              <w:snapToGrid w:val="0"/>
              <w:spacing w:line="360" w:lineRule="auto"/>
              <w:rPr>
                <w:sz w:val="24"/>
                <w:szCs w:val="24"/>
              </w:rPr>
            </w:pPr>
            <w:r>
              <w:rPr>
                <w:rFonts w:hint="eastAsia" w:ascii="宋体" w:hAnsi="宋体" w:cs="宋体"/>
                <w:sz w:val="24"/>
                <w:szCs w:val="24"/>
              </w:rPr>
              <w:t>供应商的营业执照经营范围必须包含有机物料相关的生产供应商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left w:val="single" w:color="auto" w:sz="4" w:space="0"/>
              <w:bottom w:val="single" w:color="auto" w:sz="4" w:space="0"/>
              <w:right w:val="single" w:color="auto" w:sz="4" w:space="0"/>
            </w:tcBorders>
          </w:tcPr>
          <w:p>
            <w:pPr>
              <w:rPr>
                <w:b/>
                <w:sz w:val="28"/>
                <w:szCs w:val="28"/>
              </w:rPr>
            </w:pPr>
            <w:r>
              <w:rPr>
                <w:rFonts w:hint="eastAsia"/>
                <w:b/>
                <w:sz w:val="28"/>
                <w:szCs w:val="28"/>
              </w:rPr>
              <w:t>供应商意见</w:t>
            </w:r>
          </w:p>
        </w:tc>
        <w:tc>
          <w:tcPr>
            <w:tcW w:w="674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供应商可对本项目采购需求的公正性、专业性、合理性等提出自己正确的意见、建议等（可另页详细表述）。</w:t>
            </w:r>
          </w:p>
        </w:tc>
      </w:tr>
    </w:tbl>
    <w:p>
      <w:pPr>
        <w:pStyle w:val="6"/>
        <w:shd w:val="clear" w:color="auto" w:fill="FFFFFF"/>
        <w:spacing w:before="150" w:beforeAutospacing="0" w:after="150" w:afterAutospacing="0" w:line="360" w:lineRule="atLeast"/>
        <w:ind w:left="150"/>
        <w:rPr>
          <w:rStyle w:val="11"/>
          <w:b w:val="0"/>
          <w:color w:val="000000" w:themeColor="text1"/>
          <w14:textFill>
            <w14:solidFill>
              <w14:schemeClr w14:val="tx1"/>
            </w14:solidFill>
          </w14:textFill>
        </w:rPr>
      </w:pPr>
      <w:r>
        <w:rPr>
          <w:rStyle w:val="11"/>
          <w:rFonts w:hint="eastAsia"/>
          <w:b w:val="0"/>
          <w:color w:val="000000" w:themeColor="text1"/>
          <w14:textFill>
            <w14:solidFill>
              <w14:schemeClr w14:val="tx1"/>
            </w14:solidFill>
          </w14:textFill>
        </w:rPr>
        <w:t>注意事项：</w:t>
      </w:r>
    </w:p>
    <w:p>
      <w:pPr>
        <w:pStyle w:val="6"/>
        <w:shd w:val="clear" w:color="auto" w:fill="FFFFFF"/>
        <w:spacing w:before="150" w:beforeAutospacing="0" w:after="150" w:afterAutospacing="0" w:line="360" w:lineRule="atLeast"/>
        <w:ind w:left="150" w:firstLine="480" w:firstLineChars="200"/>
        <w:rPr>
          <w:rStyle w:val="11"/>
          <w:b w:val="0"/>
          <w:color w:val="000000" w:themeColor="text1"/>
          <w14:textFill>
            <w14:solidFill>
              <w14:schemeClr w14:val="tx1"/>
            </w14:solidFill>
          </w14:textFill>
        </w:rPr>
      </w:pPr>
      <w:r>
        <w:rPr>
          <w:rFonts w:hint="eastAsia"/>
          <w:color w:val="000000" w:themeColor="text1"/>
          <w14:textFill>
            <w14:solidFill>
              <w14:schemeClr w14:val="tx1"/>
            </w14:solidFill>
          </w14:textFill>
        </w:rPr>
        <w:t>1.供应商必须严格按照公告的内容和要求，完整递交有关资料，</w:t>
      </w:r>
      <w:r>
        <w:rPr>
          <w:rStyle w:val="11"/>
          <w:rFonts w:hint="eastAsia"/>
          <w:b w:val="0"/>
          <w:color w:val="000000" w:themeColor="text1"/>
          <w14:textFill>
            <w14:solidFill>
              <w14:schemeClr w14:val="tx1"/>
            </w14:solidFill>
          </w14:textFill>
        </w:rPr>
        <w:t>逾期递交的将予以拒收。</w:t>
      </w:r>
    </w:p>
    <w:p>
      <w:pPr>
        <w:pStyle w:val="6"/>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14:textFill>
            <w14:solidFill>
              <w14:schemeClr w14:val="tx1"/>
            </w14:solidFill>
          </w14:textFill>
        </w:rPr>
      </w:pPr>
      <w:r>
        <w:rPr>
          <w:rFonts w:ascii="宋体" w:hAnsi="宋体" w:cs="宋体"/>
          <w:color w:val="000000" w:themeColor="text1"/>
          <w:szCs w:val="24"/>
          <w14:textFill>
            <w14:solidFill>
              <w14:schemeClr w14:val="tx1"/>
            </w14:solidFill>
          </w14:textFill>
        </w:rPr>
        <w:t>2.</w:t>
      </w:r>
      <w:r>
        <w:rPr>
          <w:rFonts w:ascii="宋体" w:hAnsi="宋体" w:cs="宋体"/>
          <w:bCs/>
          <w:color w:val="000000" w:themeColor="text1"/>
          <w:szCs w:val="24"/>
          <w14:textFill>
            <w14:solidFill>
              <w14:schemeClr w14:val="tx1"/>
            </w14:solidFill>
          </w14:textFill>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6"/>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t>3.须在邮件（附件文件名注明公司全称）注明公司全称、项目名称及项目编号（不注明我单位将拒收报名邮件）。</w:t>
      </w:r>
    </w:p>
    <w:p>
      <w:pPr>
        <w:spacing w:line="360" w:lineRule="auto"/>
        <w:rPr>
          <w:sz w:val="24"/>
          <w:szCs w:val="24"/>
        </w:rPr>
      </w:pPr>
    </w:p>
    <w:p>
      <w:pPr>
        <w:rPr>
          <w:szCs w:val="24"/>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Gqq&#10;A1u2AQAAVgMAAA4AAAAAAAAAAQAgAAAAHg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O3c&#10;/KC2AQAAVgMAAA4AAAAAAAAAAQAgAAAAHg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4427"/>
    <w:rsid w:val="00016BFD"/>
    <w:rsid w:val="000207EE"/>
    <w:rsid w:val="000309EC"/>
    <w:rsid w:val="00036573"/>
    <w:rsid w:val="000527BB"/>
    <w:rsid w:val="0008654C"/>
    <w:rsid w:val="0009726D"/>
    <w:rsid w:val="000A6872"/>
    <w:rsid w:val="000C0355"/>
    <w:rsid w:val="000D627B"/>
    <w:rsid w:val="000F2FCD"/>
    <w:rsid w:val="00104393"/>
    <w:rsid w:val="00122B5C"/>
    <w:rsid w:val="00127B67"/>
    <w:rsid w:val="00134C55"/>
    <w:rsid w:val="00165789"/>
    <w:rsid w:val="00177E91"/>
    <w:rsid w:val="001C4654"/>
    <w:rsid w:val="00202200"/>
    <w:rsid w:val="00241FC1"/>
    <w:rsid w:val="00247E29"/>
    <w:rsid w:val="002806DD"/>
    <w:rsid w:val="00286F91"/>
    <w:rsid w:val="002912E3"/>
    <w:rsid w:val="002C21DD"/>
    <w:rsid w:val="003140BD"/>
    <w:rsid w:val="00354132"/>
    <w:rsid w:val="00355164"/>
    <w:rsid w:val="003631EA"/>
    <w:rsid w:val="00365C6D"/>
    <w:rsid w:val="0038354E"/>
    <w:rsid w:val="003A3307"/>
    <w:rsid w:val="003C37BB"/>
    <w:rsid w:val="003D45F1"/>
    <w:rsid w:val="003D538D"/>
    <w:rsid w:val="004357AA"/>
    <w:rsid w:val="00457399"/>
    <w:rsid w:val="00462B04"/>
    <w:rsid w:val="00465FFA"/>
    <w:rsid w:val="004D47AE"/>
    <w:rsid w:val="004E1732"/>
    <w:rsid w:val="005172B4"/>
    <w:rsid w:val="00524371"/>
    <w:rsid w:val="00526415"/>
    <w:rsid w:val="005432B8"/>
    <w:rsid w:val="00577CD8"/>
    <w:rsid w:val="00587588"/>
    <w:rsid w:val="005D172E"/>
    <w:rsid w:val="005D7FA4"/>
    <w:rsid w:val="005F25BA"/>
    <w:rsid w:val="005F4DA3"/>
    <w:rsid w:val="00606E1E"/>
    <w:rsid w:val="006101C6"/>
    <w:rsid w:val="006262CC"/>
    <w:rsid w:val="006351B8"/>
    <w:rsid w:val="00636104"/>
    <w:rsid w:val="006574F4"/>
    <w:rsid w:val="006649D1"/>
    <w:rsid w:val="006C664E"/>
    <w:rsid w:val="006E2183"/>
    <w:rsid w:val="00710283"/>
    <w:rsid w:val="00714951"/>
    <w:rsid w:val="00731C4C"/>
    <w:rsid w:val="00736D9C"/>
    <w:rsid w:val="00770BDF"/>
    <w:rsid w:val="00796001"/>
    <w:rsid w:val="00796C43"/>
    <w:rsid w:val="007B6DD0"/>
    <w:rsid w:val="007C0A9A"/>
    <w:rsid w:val="00814392"/>
    <w:rsid w:val="00821E2C"/>
    <w:rsid w:val="00841971"/>
    <w:rsid w:val="00843EA0"/>
    <w:rsid w:val="00856758"/>
    <w:rsid w:val="00862199"/>
    <w:rsid w:val="00864D2B"/>
    <w:rsid w:val="00866190"/>
    <w:rsid w:val="00866C44"/>
    <w:rsid w:val="00877547"/>
    <w:rsid w:val="00894E5E"/>
    <w:rsid w:val="008D5B51"/>
    <w:rsid w:val="009111CF"/>
    <w:rsid w:val="00912E34"/>
    <w:rsid w:val="00917353"/>
    <w:rsid w:val="0094287C"/>
    <w:rsid w:val="00965878"/>
    <w:rsid w:val="00984E78"/>
    <w:rsid w:val="009859D5"/>
    <w:rsid w:val="00A3581A"/>
    <w:rsid w:val="00A43C9F"/>
    <w:rsid w:val="00AC2B24"/>
    <w:rsid w:val="00AC4743"/>
    <w:rsid w:val="00AC4FF6"/>
    <w:rsid w:val="00AC7064"/>
    <w:rsid w:val="00B16BC9"/>
    <w:rsid w:val="00B35A21"/>
    <w:rsid w:val="00B37D97"/>
    <w:rsid w:val="00B422CC"/>
    <w:rsid w:val="00B508D1"/>
    <w:rsid w:val="00BB6A0A"/>
    <w:rsid w:val="00BD15BE"/>
    <w:rsid w:val="00BD2586"/>
    <w:rsid w:val="00BF72B6"/>
    <w:rsid w:val="00C4140D"/>
    <w:rsid w:val="00C47D3B"/>
    <w:rsid w:val="00C54DC5"/>
    <w:rsid w:val="00C554DF"/>
    <w:rsid w:val="00C77263"/>
    <w:rsid w:val="00C8060B"/>
    <w:rsid w:val="00C94576"/>
    <w:rsid w:val="00CB3416"/>
    <w:rsid w:val="00CE7D3C"/>
    <w:rsid w:val="00D00E99"/>
    <w:rsid w:val="00D0134A"/>
    <w:rsid w:val="00D049F5"/>
    <w:rsid w:val="00D239DE"/>
    <w:rsid w:val="00D34002"/>
    <w:rsid w:val="00D340AE"/>
    <w:rsid w:val="00D63126"/>
    <w:rsid w:val="00D665CD"/>
    <w:rsid w:val="00D9157E"/>
    <w:rsid w:val="00DA12FB"/>
    <w:rsid w:val="00DA3AC3"/>
    <w:rsid w:val="00DC47E0"/>
    <w:rsid w:val="00E06921"/>
    <w:rsid w:val="00E1013F"/>
    <w:rsid w:val="00E14B01"/>
    <w:rsid w:val="00E57B89"/>
    <w:rsid w:val="00E652DF"/>
    <w:rsid w:val="00E721AB"/>
    <w:rsid w:val="00E94B33"/>
    <w:rsid w:val="00EB5D3C"/>
    <w:rsid w:val="00EF14CE"/>
    <w:rsid w:val="00F02BD0"/>
    <w:rsid w:val="00F10D7E"/>
    <w:rsid w:val="00F127D1"/>
    <w:rsid w:val="00F213CB"/>
    <w:rsid w:val="00F256F0"/>
    <w:rsid w:val="00F2695D"/>
    <w:rsid w:val="00F27BC7"/>
    <w:rsid w:val="00F52DE9"/>
    <w:rsid w:val="00F53CD3"/>
    <w:rsid w:val="00F67B38"/>
    <w:rsid w:val="00F83087"/>
    <w:rsid w:val="00FD4208"/>
    <w:rsid w:val="00FD6919"/>
    <w:rsid w:val="00FF19EE"/>
    <w:rsid w:val="01872895"/>
    <w:rsid w:val="022B3AFE"/>
    <w:rsid w:val="04346B82"/>
    <w:rsid w:val="06C17668"/>
    <w:rsid w:val="07971AA6"/>
    <w:rsid w:val="0A2A472A"/>
    <w:rsid w:val="0C434229"/>
    <w:rsid w:val="0CA01FE6"/>
    <w:rsid w:val="0E9A61DA"/>
    <w:rsid w:val="0EC560EB"/>
    <w:rsid w:val="0FBC11B7"/>
    <w:rsid w:val="130C0381"/>
    <w:rsid w:val="15553959"/>
    <w:rsid w:val="174A4F7A"/>
    <w:rsid w:val="194B3B72"/>
    <w:rsid w:val="198A027C"/>
    <w:rsid w:val="19CB1D1B"/>
    <w:rsid w:val="1B9C6FDB"/>
    <w:rsid w:val="1D3A4920"/>
    <w:rsid w:val="1D550478"/>
    <w:rsid w:val="1D787598"/>
    <w:rsid w:val="202042A9"/>
    <w:rsid w:val="204F1262"/>
    <w:rsid w:val="2184538E"/>
    <w:rsid w:val="231551CE"/>
    <w:rsid w:val="23596A8F"/>
    <w:rsid w:val="2484191E"/>
    <w:rsid w:val="24D21C20"/>
    <w:rsid w:val="251645AC"/>
    <w:rsid w:val="267D53C7"/>
    <w:rsid w:val="26CC24A6"/>
    <w:rsid w:val="289C3B8B"/>
    <w:rsid w:val="28CF2353"/>
    <w:rsid w:val="2B6243C8"/>
    <w:rsid w:val="2B9576E6"/>
    <w:rsid w:val="2E1C59F8"/>
    <w:rsid w:val="2E420313"/>
    <w:rsid w:val="302450FB"/>
    <w:rsid w:val="334660A9"/>
    <w:rsid w:val="357339ED"/>
    <w:rsid w:val="376E20AC"/>
    <w:rsid w:val="37A1486F"/>
    <w:rsid w:val="3B0F2AD0"/>
    <w:rsid w:val="3DE34450"/>
    <w:rsid w:val="3E1B5CC5"/>
    <w:rsid w:val="3FFE51A1"/>
    <w:rsid w:val="419E781F"/>
    <w:rsid w:val="470D6EBD"/>
    <w:rsid w:val="47405FA0"/>
    <w:rsid w:val="48E113DE"/>
    <w:rsid w:val="49913AAA"/>
    <w:rsid w:val="51D05D76"/>
    <w:rsid w:val="5241589F"/>
    <w:rsid w:val="54A74A73"/>
    <w:rsid w:val="55F15A39"/>
    <w:rsid w:val="570C6CFC"/>
    <w:rsid w:val="57A25FFC"/>
    <w:rsid w:val="5B053506"/>
    <w:rsid w:val="5C6A5471"/>
    <w:rsid w:val="5DB342C3"/>
    <w:rsid w:val="5DB549BD"/>
    <w:rsid w:val="5F3F0F4A"/>
    <w:rsid w:val="61C35369"/>
    <w:rsid w:val="63736F76"/>
    <w:rsid w:val="63DF71CF"/>
    <w:rsid w:val="6419580F"/>
    <w:rsid w:val="65051AE7"/>
    <w:rsid w:val="67E82AA2"/>
    <w:rsid w:val="68B0280C"/>
    <w:rsid w:val="6B313C34"/>
    <w:rsid w:val="6C174E4A"/>
    <w:rsid w:val="6C843DFA"/>
    <w:rsid w:val="74AB3CB7"/>
    <w:rsid w:val="77471B72"/>
    <w:rsid w:val="78196C66"/>
    <w:rsid w:val="7AB02EA0"/>
    <w:rsid w:val="7B0F5349"/>
    <w:rsid w:val="7B5054AA"/>
    <w:rsid w:val="7E09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Title"/>
    <w:basedOn w:val="1"/>
    <w:next w:val="1"/>
    <w:link w:val="16"/>
    <w:qFormat/>
    <w:uiPriority w:val="0"/>
    <w:pPr>
      <w:spacing w:before="240" w:after="60"/>
      <w:jc w:val="center"/>
      <w:outlineLvl w:val="0"/>
    </w:pPr>
    <w:rPr>
      <w:rFonts w:ascii="Cambria" w:hAnsi="Cambria" w:eastAsia="方正小标宋简体" w:cs="Times New Roman"/>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0"/>
    <w:rPr>
      <w:b/>
      <w:bCs/>
    </w:rPr>
  </w:style>
  <w:style w:type="character" w:customStyle="1" w:styleId="12">
    <w:name w:val="标题 1 Char"/>
    <w:basedOn w:val="10"/>
    <w:link w:val="2"/>
    <w:qFormat/>
    <w:uiPriority w:val="9"/>
    <w:rPr>
      <w:rFonts w:eastAsia="宋体"/>
      <w:b/>
      <w:bCs/>
      <w:kern w:val="44"/>
      <w:sz w:val="44"/>
      <w:szCs w:val="44"/>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character" w:customStyle="1" w:styleId="16">
    <w:name w:val="标题 Char"/>
    <w:basedOn w:val="10"/>
    <w:link w:val="7"/>
    <w:qFormat/>
    <w:uiPriority w:val="0"/>
    <w:rPr>
      <w:rFonts w:ascii="Cambria" w:hAnsi="Cambria" w:eastAsia="方正小标宋简体"/>
      <w:b/>
      <w:bCs/>
      <w:kern w:val="2"/>
      <w:sz w:val="32"/>
      <w:szCs w:val="32"/>
    </w:rPr>
  </w:style>
  <w:style w:type="paragraph" w:styleId="17">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241</Words>
  <Characters>1380</Characters>
  <Lines>11</Lines>
  <Paragraphs>3</Paragraphs>
  <TotalTime>1</TotalTime>
  <ScaleCrop>false</ScaleCrop>
  <LinksUpToDate>false</LinksUpToDate>
  <CharactersWithSpaces>1618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2019-06-25T07:12:00Z</dcterms:created>
  <dc:creator>wangh</dc:creator>
  <cp:lastModifiedBy>章佳</cp:lastModifiedBy>
  <cp:lastPrinted>2019-08-21T01:25:00Z</cp:lastPrinted>
  <dcterms:modified xsi:type="dcterms:W3CDTF">2019-10-24T08:31:35Z</dcterms:modified>
  <dc:title>湖北省省级政府采购需求公示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