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4"/>
          <w:szCs w:val="24"/>
        </w:rPr>
      </w:pPr>
      <w:bookmarkStart w:id="7" w:name="_GoBack"/>
      <w:bookmarkEnd w:id="7"/>
    </w:p>
    <w:p>
      <w:pPr>
        <w:spacing w:line="460" w:lineRule="exact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附件</w:t>
      </w:r>
      <w:r>
        <w:rPr>
          <w:rFonts w:hint="default"/>
          <w:sz w:val="24"/>
          <w:szCs w:val="24"/>
          <w:lang w:val="en-US"/>
        </w:rPr>
        <w:t>1: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Office12.Excel.Template" ShapeID="_x0000_i1025" DrawAspect="Icon" ObjectID="_1468075725" r:id="rId4">
            <o:LockedField>false</o:LockedField>
          </o:OLEObject>
        </w:object>
      </w:r>
      <w:r>
        <w:rPr>
          <w:rFonts w:hint="default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Office12.Excel.Template" ShapeID="_x0000_i1026" DrawAspect="Icon" ObjectID="_1468075726" r:id="rId6">
            <o:LockedField>false</o:LockedField>
          </o:OLEObject>
        </w:object>
      </w:r>
    </w:p>
    <w:p>
      <w:pPr>
        <w:rPr>
          <w:rFonts w:hint="eastAsia"/>
        </w:rPr>
      </w:pPr>
    </w:p>
    <w:p>
      <w:pPr>
        <w:rPr>
          <w:rFonts w:hint="default"/>
          <w:lang w:val="en-US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default"/>
          <w:lang w:val="en-US"/>
        </w:rPr>
        <w:t xml:space="preserve">            </w:t>
      </w:r>
    </w:p>
    <w:p>
      <w:pPr>
        <w:spacing w:line="460" w:lineRule="exact"/>
        <w:rPr>
          <w:rFonts w:hint="eastAsia"/>
          <w:sz w:val="24"/>
          <w:szCs w:val="24"/>
        </w:rPr>
      </w:pPr>
    </w:p>
    <w:p>
      <w:pPr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商务要求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计划工期： 60日历天；以建设单位开工令为准。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付款方式：</w:t>
      </w:r>
      <w:r>
        <w:rPr>
          <w:rFonts w:hint="eastAsia"/>
          <w:sz w:val="24"/>
          <w:szCs w:val="24"/>
          <w:lang w:val="en-US" w:eastAsia="zh-CN"/>
        </w:rPr>
        <w:t>工程进度达到60%后付至合同价50%，竣工验收后付至合同价75%，审计结束后付至合同价95%，余款5%为质保金，在保质期（二年）结束后支付。</w:t>
      </w:r>
    </w:p>
    <w:p>
      <w:pPr>
        <w:pStyle w:val="2"/>
        <w:rPr>
          <w:rFonts w:hint="eastAsia"/>
          <w:sz w:val="24"/>
          <w:szCs w:val="24"/>
        </w:rPr>
      </w:pPr>
    </w:p>
    <w:p>
      <w:pPr>
        <w:pStyle w:val="2"/>
        <w:rPr>
          <w:rFonts w:hint="eastAsia"/>
          <w:sz w:val="24"/>
          <w:szCs w:val="24"/>
        </w:rPr>
      </w:pPr>
    </w:p>
    <w:p>
      <w:pPr>
        <w:pStyle w:val="2"/>
        <w:rPr>
          <w:rFonts w:hint="eastAsia"/>
          <w:sz w:val="24"/>
          <w:szCs w:val="24"/>
        </w:rPr>
      </w:pPr>
    </w:p>
    <w:p>
      <w:pPr>
        <w:pStyle w:val="2"/>
        <w:rPr>
          <w:rFonts w:hint="eastAsia"/>
          <w:sz w:val="24"/>
          <w:szCs w:val="24"/>
        </w:rPr>
      </w:pPr>
    </w:p>
    <w:p>
      <w:pPr>
        <w:pStyle w:val="2"/>
        <w:rPr>
          <w:rFonts w:hint="eastAsia"/>
          <w:sz w:val="24"/>
          <w:szCs w:val="24"/>
        </w:rPr>
      </w:pPr>
    </w:p>
    <w:p>
      <w:pPr>
        <w:spacing w:line="460" w:lineRule="exact"/>
        <w:rPr>
          <w:rFonts w:hint="eastAsia"/>
          <w:sz w:val="24"/>
          <w:szCs w:val="24"/>
        </w:rPr>
      </w:pPr>
    </w:p>
    <w:p>
      <w:pPr>
        <w:spacing w:line="460" w:lineRule="exact"/>
        <w:rPr>
          <w:rFonts w:hint="eastAsia"/>
          <w:sz w:val="24"/>
          <w:szCs w:val="24"/>
        </w:rPr>
      </w:pPr>
    </w:p>
    <w:p>
      <w:pPr>
        <w:spacing w:line="460" w:lineRule="exact"/>
        <w:rPr>
          <w:rFonts w:hint="eastAsia"/>
          <w:sz w:val="24"/>
          <w:szCs w:val="24"/>
        </w:rPr>
      </w:pPr>
    </w:p>
    <w:p>
      <w:pPr>
        <w:spacing w:line="460" w:lineRule="exact"/>
        <w:rPr>
          <w:rFonts w:hint="eastAsia"/>
          <w:sz w:val="24"/>
          <w:szCs w:val="24"/>
        </w:rPr>
      </w:pPr>
    </w:p>
    <w:p>
      <w:pPr>
        <w:spacing w:line="460" w:lineRule="exact"/>
        <w:rPr>
          <w:rFonts w:hint="eastAsia"/>
          <w:sz w:val="24"/>
          <w:szCs w:val="24"/>
        </w:rPr>
      </w:pPr>
    </w:p>
    <w:p>
      <w:pPr>
        <w:spacing w:line="460" w:lineRule="exact"/>
        <w:rPr>
          <w:rFonts w:hint="eastAsia"/>
          <w:sz w:val="24"/>
          <w:szCs w:val="24"/>
        </w:rPr>
      </w:pPr>
    </w:p>
    <w:p>
      <w:pPr>
        <w:spacing w:line="460" w:lineRule="exact"/>
        <w:rPr>
          <w:rFonts w:hint="eastAsia"/>
          <w:sz w:val="24"/>
          <w:szCs w:val="24"/>
        </w:rPr>
      </w:pPr>
    </w:p>
    <w:p>
      <w:pPr>
        <w:spacing w:line="460" w:lineRule="exact"/>
        <w:rPr>
          <w:rFonts w:hint="eastAsia"/>
          <w:sz w:val="24"/>
          <w:szCs w:val="24"/>
        </w:rPr>
      </w:pPr>
    </w:p>
    <w:p>
      <w:pPr>
        <w:spacing w:line="460" w:lineRule="exact"/>
        <w:rPr>
          <w:rFonts w:hint="eastAsia"/>
          <w:sz w:val="24"/>
          <w:szCs w:val="24"/>
        </w:rPr>
      </w:pPr>
    </w:p>
    <w:p>
      <w:pPr>
        <w:spacing w:line="460" w:lineRule="exact"/>
        <w:rPr>
          <w:rFonts w:hint="eastAsia"/>
          <w:sz w:val="24"/>
          <w:szCs w:val="24"/>
        </w:rPr>
      </w:pPr>
    </w:p>
    <w:p>
      <w:pPr>
        <w:spacing w:line="460" w:lineRule="exact"/>
        <w:rPr>
          <w:rFonts w:hint="eastAsia"/>
          <w:sz w:val="24"/>
          <w:szCs w:val="24"/>
        </w:rPr>
      </w:pPr>
    </w:p>
    <w:p>
      <w:pPr>
        <w:spacing w:line="460" w:lineRule="exact"/>
        <w:rPr>
          <w:rFonts w:hint="eastAsia"/>
          <w:sz w:val="24"/>
          <w:szCs w:val="24"/>
        </w:rPr>
      </w:pPr>
    </w:p>
    <w:p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default"/>
          <w:sz w:val="24"/>
          <w:szCs w:val="24"/>
          <w:lang w:val="en-US"/>
        </w:rPr>
        <w:t>2</w:t>
      </w:r>
      <w:r>
        <w:rPr>
          <w:rFonts w:hint="eastAsia"/>
          <w:sz w:val="24"/>
          <w:szCs w:val="24"/>
        </w:rPr>
        <w:t>：</w:t>
      </w:r>
    </w:p>
    <w:p>
      <w:pPr>
        <w:spacing w:line="4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供应商报名表</w:t>
      </w:r>
    </w:p>
    <w:p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项目编号：</w:t>
      </w:r>
      <w:r>
        <w:rPr>
          <w:rFonts w:hint="eastAsia"/>
          <w:sz w:val="24"/>
          <w:szCs w:val="24"/>
          <w:u w:val="single"/>
        </w:rPr>
        <w:t xml:space="preserve">                </w:t>
      </w:r>
    </w:p>
    <w:p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项目名称：  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 xml:space="preserve">                       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6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供应商名称（盖章）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联系人电话（办公电话和手机）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供应商提供的</w:t>
            </w:r>
          </w:p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报名资料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1.法人或者其他组织的营业执照等证明文件，如供应商是自然人的提供身份证明材料。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2.财务状况报告，依法缴纳税收和社会保障资金的相关材料。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3.具备履行合同所必需的设备和专业技术能力的证明材料。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4.参加政府采购活动前3年内在经营活动中没有重大违法记录的书面声明。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5.具备法律、行政法规规定的其他条件的证明材料。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</w:rPr>
              <w:t>未被列入 “信用中国”网站失信被执行人、重大税收违法案件当事人名单、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未被中国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政府采购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网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列入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严重违法失信行为记录名单</w:t>
            </w:r>
            <w:r>
              <w:rPr>
                <w:rFonts w:hint="eastAsia"/>
                <w:color w:val="000000"/>
                <w:sz w:val="24"/>
                <w:szCs w:val="24"/>
              </w:rPr>
              <w:t>的网页打印件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7.供应商资格条件中其他要求及特定条件的证明材料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供应商意见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供应商可对本项目采购需求及评分标准的公正性、专业性、合理性等提出自己正确的意见、建议等（可另页详细表述）。</w:t>
            </w:r>
          </w:p>
        </w:tc>
      </w:tr>
    </w:tbl>
    <w:p>
      <w:pPr>
        <w:pStyle w:val="9"/>
        <w:shd w:val="clear" w:color="auto" w:fill="FFFFFF"/>
        <w:spacing w:before="150" w:beforeAutospacing="0" w:after="150" w:afterAutospacing="0" w:line="460" w:lineRule="exact"/>
        <w:ind w:left="147"/>
        <w:rPr>
          <w:rStyle w:val="13"/>
          <w:b w:val="0"/>
          <w:szCs w:val="24"/>
        </w:rPr>
      </w:pPr>
      <w:r>
        <w:rPr>
          <w:rStyle w:val="13"/>
          <w:rFonts w:hint="eastAsia"/>
          <w:b w:val="0"/>
          <w:szCs w:val="24"/>
        </w:rPr>
        <w:t>注意事项：</w:t>
      </w:r>
    </w:p>
    <w:p>
      <w:pPr>
        <w:pStyle w:val="9"/>
        <w:shd w:val="clear" w:color="auto" w:fill="FFFFFF"/>
        <w:spacing w:before="150" w:beforeAutospacing="0" w:after="150" w:afterAutospacing="0" w:line="460" w:lineRule="exact"/>
        <w:ind w:left="147" w:firstLine="480" w:firstLineChars="200"/>
        <w:rPr>
          <w:rStyle w:val="13"/>
          <w:b w:val="0"/>
          <w:szCs w:val="24"/>
        </w:rPr>
      </w:pPr>
      <w:r>
        <w:rPr>
          <w:rFonts w:hint="eastAsia"/>
          <w:szCs w:val="24"/>
        </w:rPr>
        <w:t>1.供应商必须严格按照公告的内容和要求，完整递交有关资料，</w:t>
      </w:r>
      <w:r>
        <w:rPr>
          <w:rStyle w:val="13"/>
          <w:rFonts w:hint="eastAsia"/>
          <w:b w:val="0"/>
          <w:szCs w:val="24"/>
        </w:rPr>
        <w:t>逾期递交的将予以拒收。</w:t>
      </w:r>
    </w:p>
    <w:p>
      <w:pPr>
        <w:pStyle w:val="9"/>
        <w:shd w:val="clear" w:color="auto" w:fill="FFFFFF"/>
        <w:spacing w:before="150" w:beforeAutospacing="0" w:after="150" w:afterAutospacing="0" w:line="460" w:lineRule="exact"/>
        <w:ind w:left="147" w:firstLine="480" w:firstLineChars="200"/>
        <w:rPr>
          <w:rFonts w:ascii="微软雅黑" w:hAnsi="微软雅黑" w:eastAsia="微软雅黑"/>
          <w:szCs w:val="24"/>
        </w:rPr>
      </w:pPr>
      <w:r>
        <w:rPr>
          <w:rFonts w:ascii="宋体" w:hAnsi="宋体" w:cs="宋体"/>
          <w:szCs w:val="24"/>
        </w:rPr>
        <w:t>2.</w:t>
      </w:r>
      <w:r>
        <w:rPr>
          <w:rFonts w:ascii="宋体" w:hAnsi="宋体" w:cs="宋体"/>
          <w:bCs/>
          <w:szCs w:val="24"/>
        </w:rPr>
        <w:t xml:space="preserve">供应商所递交的资料（全部盖有单位公章）必须为一般常用电脑办公软件能够读取的清晰、易于辨识的彩色电子扫描件、照片（相关证书和证明材料的原件）,并对其他递交资料内容的真实性、有效性及完整性负责，如提供文件资料有错漏、模糊不清、复印件的电子扫描件、照片、无法读取识别或弄虚作假等，一律属于无效文件。 </w:t>
      </w:r>
    </w:p>
    <w:p>
      <w:pPr>
        <w:pStyle w:val="9"/>
        <w:shd w:val="clear" w:color="auto" w:fill="FFFFFF"/>
        <w:spacing w:before="150" w:beforeAutospacing="0" w:after="150" w:afterAutospacing="0" w:line="460" w:lineRule="exact"/>
        <w:ind w:left="147" w:firstLine="480" w:firstLineChars="200"/>
        <w:rPr>
          <w:rFonts w:ascii="微软雅黑" w:hAnsi="微软雅黑" w:eastAsia="微软雅黑"/>
          <w:szCs w:val="24"/>
        </w:rPr>
      </w:pPr>
      <w:r>
        <w:rPr>
          <w:rFonts w:hint="eastAsia"/>
          <w:szCs w:val="24"/>
        </w:rPr>
        <w:t>3.须在邮件（附件文件名注明公司全称）注明公司全称、项目名称及项目编号（不注明我单位将拒收报名邮件）。</w:t>
      </w: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60" w:lineRule="exact"/>
        <w:rPr>
          <w:rFonts w:hint="eastAsia"/>
          <w:sz w:val="24"/>
          <w:szCs w:val="24"/>
        </w:rPr>
      </w:pPr>
    </w:p>
    <w:p>
      <w:pPr>
        <w:spacing w:line="460" w:lineRule="exact"/>
        <w:rPr>
          <w:rFonts w:hint="eastAsia" w:ascii="仿宋_GB2312" w:hAnsi="新宋体" w:eastAsia="仿宋_GB2312"/>
          <w:sz w:val="36"/>
          <w:szCs w:val="36"/>
        </w:rPr>
      </w:pPr>
      <w:r>
        <w:rPr>
          <w:rFonts w:hint="eastAsia"/>
          <w:sz w:val="24"/>
          <w:szCs w:val="24"/>
        </w:rPr>
        <w:t>附件</w:t>
      </w:r>
      <w:r>
        <w:rPr>
          <w:rFonts w:hint="default"/>
          <w:sz w:val="24"/>
          <w:szCs w:val="24"/>
          <w:lang w:val="en-US"/>
        </w:rPr>
        <w:t>3</w:t>
      </w:r>
      <w:r>
        <w:rPr>
          <w:rFonts w:hint="eastAsia"/>
          <w:sz w:val="24"/>
          <w:szCs w:val="24"/>
        </w:rPr>
        <w:t>：</w:t>
      </w:r>
    </w:p>
    <w:p>
      <w:pPr>
        <w:pStyle w:val="3"/>
        <w:spacing w:before="0" w:after="0" w:line="360" w:lineRule="auto"/>
        <w:jc w:val="center"/>
        <w:rPr>
          <w:rFonts w:hint="eastAsia" w:ascii="仿宋_GB2312" w:hAnsi="新宋体" w:eastAsia="仿宋_GB2312"/>
        </w:rPr>
      </w:pPr>
      <w:r>
        <w:rPr>
          <w:rFonts w:hint="eastAsia" w:ascii="仿宋_GB2312" w:hAnsi="新宋体" w:eastAsia="仿宋_GB2312"/>
          <w:sz w:val="36"/>
          <w:szCs w:val="36"/>
        </w:rPr>
        <w:t>评审方法（综合评分法</w:t>
      </w:r>
      <w:r>
        <w:rPr>
          <w:rFonts w:hint="eastAsia" w:ascii="仿宋_GB2312" w:hAnsi="新宋体" w:eastAsia="仿宋_GB2312"/>
        </w:rPr>
        <w:t>）</w:t>
      </w:r>
      <w:bookmarkStart w:id="0" w:name="_Toc247085757"/>
      <w:bookmarkStart w:id="1" w:name="_Toc246996242"/>
      <w:bookmarkStart w:id="2" w:name="_Toc246996985"/>
      <w:bookmarkStart w:id="3" w:name="_Toc179632617"/>
      <w:bookmarkStart w:id="4" w:name="_Toc152042376"/>
      <w:bookmarkStart w:id="5" w:name="_Toc144974566"/>
      <w:bookmarkStart w:id="6" w:name="_Toc152045599"/>
    </w:p>
    <w:bookmarkEnd w:id="0"/>
    <w:bookmarkEnd w:id="1"/>
    <w:bookmarkEnd w:id="2"/>
    <w:bookmarkEnd w:id="3"/>
    <w:bookmarkEnd w:id="4"/>
    <w:bookmarkEnd w:id="5"/>
    <w:bookmarkEnd w:id="6"/>
    <w:p>
      <w:pPr>
        <w:adjustRightInd w:val="0"/>
        <w:snapToGrid w:val="0"/>
        <w:spacing w:line="440" w:lineRule="exact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评审办法及评分标准</w:t>
      </w:r>
    </w:p>
    <w:tbl>
      <w:tblPr>
        <w:tblStyle w:val="10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46"/>
        <w:gridCol w:w="2134"/>
        <w:gridCol w:w="5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条款内容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color w:val="000000"/>
                <w:szCs w:val="21"/>
              </w:rPr>
              <w:t>编列内容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1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分值构成</w:t>
            </w:r>
          </w:p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(总分100分)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rPr>
                <w:rFonts w:hint="default" w:ascii="仿宋_GB2312" w:hAnsi="新宋体" w:eastAsia="仿宋_GB2312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技术部分：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u w:val="single"/>
                <w:lang w:val="en-US" w:eastAsia="zh-CN"/>
              </w:rPr>
              <w:t>40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 xml:space="preserve">分   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商务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综合部分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u w:val="single"/>
                <w:lang w:val="en-US" w:eastAsia="zh-CN"/>
              </w:rPr>
              <w:t>30</w:t>
            </w:r>
          </w:p>
          <w:p>
            <w:pPr>
              <w:pStyle w:val="4"/>
              <w:adjustRightInd w:val="0"/>
              <w:snapToGrid w:val="0"/>
              <w:spacing w:line="320" w:lineRule="exact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商务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报价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部分：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u w:val="single"/>
              </w:rPr>
              <w:t xml:space="preserve"> 30 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56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color w:val="000000"/>
                <w:szCs w:val="21"/>
              </w:rPr>
              <w:t>条款号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评分因素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color w:val="000000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1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技术部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cr/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工程概况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新宋体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描述准确、清晰2分；描述基本准确1分；否则不得分。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施工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部署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科学、合理、针对性强3分；合理、基本可行2-1分；否则不得分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施工进度计划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5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工程施工重点和难点描述准确，保证措施有力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得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施工方案与技术措施（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rPr>
                <w:rFonts w:hint="default" w:ascii="仿宋_GB2312" w:hAnsi="新宋体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施工方案与技术措施切实可行，分部分项工程的主要施工方法先进科学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合理满足施工质量和要求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得8分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，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有提供方案和措施但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内容不全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的得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4分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，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未提供者不得分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确保工程质量的措施（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质量管理体系与各道手续有质量保证措施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的得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5分，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内容不全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的得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2分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，若此条缺项不得分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安全、文明管理体系与措施（5分）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施工安全、文明措施计划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内容完整，合理，针对性强得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5分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；，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内容不完备的，欠合理，可行性差的得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2分；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若此条缺项不得分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施工环保措施计划、减少噪音、降低环境污染（5分）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有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施工环保措施计划、减少噪音、降低环境污染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措施计划的并合理可行的得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5分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；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基本合理的得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2分，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若此条缺项不得分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工程进度计划与措施（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施工总进度计划及保证措施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内容完备，合理，针对性强得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5分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；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内容不完备的，欠合理，可行性差的得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2分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，若此条缺项不得分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施工准备与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资源配备计划（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拟参加本项目劳力安排保证措施、施工机械设备型号及数量配备、计划安排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等内容完备的，合理，可行性强的得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5分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，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内容不完备的，欠合理，可行性差的得</w:t>
            </w: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2分</w:t>
            </w: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，若此条缺项不得分。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2</w:t>
            </w:r>
          </w:p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746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  <w:lang w:eastAsia="zh-CN"/>
              </w:rPr>
              <w:t>商务综合部份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auto"/>
                <w:szCs w:val="21"/>
              </w:rPr>
            </w:pPr>
            <w:r>
              <w:rPr>
                <w:rFonts w:hint="eastAsia" w:ascii="仿宋_GB2312" w:hAnsi="新宋体" w:eastAsia="仿宋_GB2312"/>
                <w:color w:val="auto"/>
                <w:szCs w:val="21"/>
              </w:rPr>
              <w:t>企业业绩（</w:t>
            </w:r>
            <w:r>
              <w:rPr>
                <w:rFonts w:hint="eastAsia" w:ascii="仿宋_GB2312" w:hAnsi="新宋体" w:eastAsia="仿宋_GB2312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新宋体" w:eastAsia="仿宋_GB2312"/>
                <w:color w:val="auto"/>
                <w:szCs w:val="21"/>
              </w:rPr>
              <w:t>分）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近3年（以合同签订时间为准）承接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类似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业绩，每项得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分，最高得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分；（须提供项目的中标通知书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施工合同）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Cs w:val="21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auto"/>
                <w:szCs w:val="21"/>
              </w:rPr>
            </w:pPr>
            <w:r>
              <w:rPr>
                <w:rFonts w:hint="eastAsia" w:ascii="仿宋_GB2312" w:hAnsi="新宋体" w:eastAsia="仿宋_GB2312"/>
                <w:color w:val="auto"/>
                <w:szCs w:val="21"/>
              </w:rPr>
              <w:t>企业荣誉（</w:t>
            </w:r>
            <w:r>
              <w:rPr>
                <w:rFonts w:hint="eastAsia" w:ascii="仿宋_GB2312" w:hAnsi="新宋体" w:eastAsia="仿宋_GB2312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新宋体" w:eastAsia="仿宋_GB2312"/>
                <w:color w:val="auto"/>
                <w:szCs w:val="21"/>
              </w:rPr>
              <w:t>分）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近5年承接的工程获得过国家级奖项（如“中国建筑工程装饰奖”、“鲁班奖”等）的一个得1分，最高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>
            <w:pPr>
              <w:widowControl/>
              <w:snapToGrid w:val="0"/>
              <w:jc w:val="left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（2）近5年承接的工程获得过省级及以下奖项（如“楚天杯”等）的一个得0.5分，最高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Cs w:val="21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auto"/>
                <w:szCs w:val="21"/>
                <w:lang w:eastAsia="zh-CN"/>
              </w:rPr>
              <w:t>管理体系认证（</w:t>
            </w:r>
            <w:r>
              <w:rPr>
                <w:rFonts w:hint="eastAsia" w:ascii="仿宋_GB2312" w:hAnsi="新宋体" w:eastAsia="仿宋_GB2312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新宋体" w:eastAsia="仿宋_GB2312"/>
                <w:color w:val="auto"/>
                <w:szCs w:val="21"/>
                <w:lang w:eastAsia="zh-CN"/>
              </w:rPr>
              <w:t>分）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rPr>
                <w:rFonts w:hint="default" w:ascii="仿宋_GB2312" w:hAnsi="新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同时通过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ISO9001质量管理体系认证、ISO14001环境管理体系认证、OHSAS118001职业健康安全管理体系认证且开标之日在有效期内的得3分，否则得0分。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Cs w:val="21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新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color w:val="auto"/>
                <w:szCs w:val="21"/>
                <w:lang w:eastAsia="zh-CN"/>
              </w:rPr>
              <w:t>项目经理业绩（</w:t>
            </w:r>
            <w:r>
              <w:rPr>
                <w:rFonts w:hint="eastAsia" w:ascii="仿宋_GB2312" w:hAnsi="新宋体" w:eastAsia="仿宋_GB2312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新宋体" w:eastAsia="仿宋_GB2312"/>
                <w:color w:val="auto"/>
                <w:szCs w:val="21"/>
                <w:lang w:eastAsia="zh-CN"/>
              </w:rPr>
              <w:t>分）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rPr>
                <w:rFonts w:hint="default" w:ascii="仿宋_GB2312" w:hAnsi="新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近5年（以合同签订时间为准）担任过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类似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装修工程项目经理的得1分，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最高得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0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Cs w:val="21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新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color w:val="auto"/>
                <w:szCs w:val="21"/>
                <w:lang w:eastAsia="zh-CN"/>
              </w:rPr>
              <w:t>技术负责人业绩（</w:t>
            </w:r>
            <w:r>
              <w:rPr>
                <w:rFonts w:hint="eastAsia" w:ascii="仿宋_GB2312" w:hAnsi="新宋体" w:eastAsia="仿宋_GB2312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新宋体" w:eastAsia="仿宋_GB2312"/>
                <w:color w:val="auto"/>
                <w:szCs w:val="21"/>
                <w:lang w:eastAsia="zh-CN"/>
              </w:rPr>
              <w:t>分）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rPr>
                <w:rFonts w:hint="default" w:ascii="仿宋_GB2312" w:hAnsi="新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近5年（以合同签订时间为准）担任过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类似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装修工程项目经理或技术负责人的得1分，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最高得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新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Cs w:val="21"/>
              </w:rPr>
              <w:t>商务报价部</w:t>
            </w:r>
            <w:r>
              <w:rPr>
                <w:rFonts w:hint="eastAsia" w:ascii="仿宋_GB2312" w:hAnsi="新宋体" w:eastAsia="仿宋_GB2312"/>
                <w:szCs w:val="21"/>
                <w:lang w:eastAsia="zh-CN"/>
              </w:rPr>
              <w:t>份</w:t>
            </w:r>
            <w:r>
              <w:rPr>
                <w:rFonts w:hint="eastAsia" w:ascii="仿宋_GB2312" w:hAnsi="新宋体" w:eastAsia="仿宋_GB2312"/>
                <w:szCs w:val="21"/>
                <w:lang w:val="en-US" w:eastAsia="zh-CN"/>
              </w:rPr>
              <w:t>）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新宋体" w:eastAsia="仿宋_GB2312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投标总价（30分）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20" w:lineRule="exact"/>
              <w:ind w:firstLine="420" w:firstLineChars="200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综合评分法中的价格分统一采用低价优先法计算，即满足磋商文件要求且最后报价最低的供应商的价格为磋商基准价，其价格分为满分。其他供应商的价格分统一按照下列公式计算：</w:t>
            </w:r>
          </w:p>
          <w:p>
            <w:pPr>
              <w:pStyle w:val="4"/>
              <w:adjustRightInd w:val="0"/>
              <w:snapToGrid w:val="0"/>
              <w:spacing w:line="320" w:lineRule="exact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　　磋商报价得分=（磋商基准价/最后磋商报价）×价格权值×100</w:t>
            </w:r>
          </w:p>
          <w:p>
            <w:pPr>
              <w:pStyle w:val="4"/>
              <w:adjustRightInd w:val="0"/>
              <w:snapToGrid w:val="0"/>
              <w:spacing w:line="320" w:lineRule="exact"/>
              <w:rPr>
                <w:rFonts w:hint="eastAsia" w:ascii="仿宋_GB2312" w:hAnsi="新宋体" w:eastAsia="仿宋_GB2312"/>
                <w:color w:val="000000"/>
                <w:szCs w:val="21"/>
              </w:rPr>
            </w:pPr>
            <w:r>
              <w:rPr>
                <w:rFonts w:hint="eastAsia" w:ascii="仿宋_GB2312" w:hAnsi="新宋体" w:eastAsia="仿宋_GB2312"/>
                <w:color w:val="000000"/>
                <w:szCs w:val="21"/>
              </w:rPr>
              <w:t>　　项目评审过程中，不得去掉最后报价中的最高报价和最低报价。</w:t>
            </w:r>
          </w:p>
        </w:tc>
      </w:tr>
    </w:tbl>
    <w:p>
      <w:pPr>
        <w:pStyle w:val="4"/>
        <w:spacing w:line="360" w:lineRule="auto"/>
        <w:rPr>
          <w:rFonts w:hint="eastAsia" w:ascii="仿宋_GB2312" w:hAnsi="新宋体" w:eastAsia="仿宋_GB2312" w:cs="Arial"/>
          <w:bCs/>
          <w:color w:val="FFFFFF"/>
          <w:sz w:val="16"/>
        </w:rPr>
      </w:pPr>
      <w:r>
        <w:rPr>
          <w:rFonts w:hint="eastAsia" w:ascii="仿宋_GB2312" w:hAnsi="新宋体" w:eastAsia="仿宋_GB2312"/>
          <w:b/>
          <w:bCs/>
          <w:szCs w:val="21"/>
        </w:rPr>
        <w:t xml:space="preserve"> </w:t>
      </w:r>
      <w:r>
        <w:rPr>
          <w:rFonts w:hint="eastAsia" w:ascii="仿宋_GB2312" w:hAnsi="新宋体" w:eastAsia="仿宋_GB2312"/>
          <w:sz w:val="20"/>
          <w:szCs w:val="20"/>
        </w:rPr>
        <w:t xml:space="preserve">  </w:t>
      </w:r>
      <w:r>
        <w:rPr>
          <w:rFonts w:hint="eastAsia" w:ascii="仿宋_GB2312" w:hAnsi="新宋体" w:eastAsia="仿宋_GB2312"/>
          <w:b/>
          <w:bCs/>
          <w:sz w:val="20"/>
          <w:szCs w:val="20"/>
        </w:rPr>
        <w:t xml:space="preserve"> 备注：商务标计算按报价人最终报价计算。</w:t>
      </w:r>
      <w:r>
        <w:rPr>
          <w:rFonts w:hint="eastAsia" w:ascii="仿宋_GB2312" w:hAnsi="新宋体" w:eastAsia="仿宋_GB2312"/>
          <w:b/>
          <w:bCs/>
          <w:color w:val="000000"/>
          <w:sz w:val="20"/>
          <w:szCs w:val="22"/>
        </w:rPr>
        <w:t>本次评标采用综合评分法。磋商小组对满足竞争性磋商文件实质性要求的报价文件，按照本章规定的评分标准进行打分，并按得分由高到低顺序推荐中标候选人，或根据采购人授权直接确定中标人，但投标报价低于其成本的除外。评审得分相同的，按照最后报价由低到高的顺序推荐。评审得分且最后报价相同的，按照技术指标优劣顺序推荐。</w:t>
      </w:r>
    </w:p>
    <w:p>
      <w:pPr>
        <w:pStyle w:val="4"/>
        <w:spacing w:line="360" w:lineRule="auto"/>
        <w:rPr>
          <w:rFonts w:hint="eastAsia" w:ascii="仿宋_GB2312" w:hAnsi="新宋体" w:eastAsia="仿宋_GB2312" w:cs="Arial"/>
          <w:bCs/>
          <w:color w:val="FFFFFF"/>
          <w:sz w:val="16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E9"/>
    <w:rsid w:val="00016BFD"/>
    <w:rsid w:val="00037BDA"/>
    <w:rsid w:val="00040BE4"/>
    <w:rsid w:val="000446AE"/>
    <w:rsid w:val="000477BA"/>
    <w:rsid w:val="000527BB"/>
    <w:rsid w:val="00056AED"/>
    <w:rsid w:val="00062C59"/>
    <w:rsid w:val="0008654C"/>
    <w:rsid w:val="00096BDF"/>
    <w:rsid w:val="0009726D"/>
    <w:rsid w:val="000A6872"/>
    <w:rsid w:val="000D0346"/>
    <w:rsid w:val="000D4AF7"/>
    <w:rsid w:val="000D4B9A"/>
    <w:rsid w:val="000E383D"/>
    <w:rsid w:val="000F08DB"/>
    <w:rsid w:val="000F6CF8"/>
    <w:rsid w:val="00104393"/>
    <w:rsid w:val="001161DB"/>
    <w:rsid w:val="00122956"/>
    <w:rsid w:val="00122B5C"/>
    <w:rsid w:val="00122E5A"/>
    <w:rsid w:val="0012498B"/>
    <w:rsid w:val="00127B67"/>
    <w:rsid w:val="00135371"/>
    <w:rsid w:val="001432DD"/>
    <w:rsid w:val="00163FFC"/>
    <w:rsid w:val="001801A5"/>
    <w:rsid w:val="001B7E04"/>
    <w:rsid w:val="001C0929"/>
    <w:rsid w:val="001C16F6"/>
    <w:rsid w:val="001C6041"/>
    <w:rsid w:val="001F1930"/>
    <w:rsid w:val="002043B1"/>
    <w:rsid w:val="00206B69"/>
    <w:rsid w:val="00227C74"/>
    <w:rsid w:val="00235AE9"/>
    <w:rsid w:val="00241FC1"/>
    <w:rsid w:val="0024240F"/>
    <w:rsid w:val="00247206"/>
    <w:rsid w:val="00247E29"/>
    <w:rsid w:val="00251305"/>
    <w:rsid w:val="00252BEE"/>
    <w:rsid w:val="002551D1"/>
    <w:rsid w:val="00255B61"/>
    <w:rsid w:val="00271117"/>
    <w:rsid w:val="0027306D"/>
    <w:rsid w:val="00286F91"/>
    <w:rsid w:val="002912E3"/>
    <w:rsid w:val="002935E0"/>
    <w:rsid w:val="002A47CD"/>
    <w:rsid w:val="002C0DCE"/>
    <w:rsid w:val="002E6B5E"/>
    <w:rsid w:val="002E6D1C"/>
    <w:rsid w:val="00307FD1"/>
    <w:rsid w:val="00337501"/>
    <w:rsid w:val="00354132"/>
    <w:rsid w:val="00373091"/>
    <w:rsid w:val="003828CF"/>
    <w:rsid w:val="0038354E"/>
    <w:rsid w:val="00384C70"/>
    <w:rsid w:val="003A3307"/>
    <w:rsid w:val="003E7669"/>
    <w:rsid w:val="003F1CC2"/>
    <w:rsid w:val="00400FB3"/>
    <w:rsid w:val="004018C7"/>
    <w:rsid w:val="00416AF7"/>
    <w:rsid w:val="0042465C"/>
    <w:rsid w:val="004357AA"/>
    <w:rsid w:val="004451C8"/>
    <w:rsid w:val="0045287D"/>
    <w:rsid w:val="00462B04"/>
    <w:rsid w:val="00465FFA"/>
    <w:rsid w:val="0048653B"/>
    <w:rsid w:val="004C7B4D"/>
    <w:rsid w:val="004F4A2B"/>
    <w:rsid w:val="0051396C"/>
    <w:rsid w:val="00526415"/>
    <w:rsid w:val="00530A4A"/>
    <w:rsid w:val="00552D33"/>
    <w:rsid w:val="005758F7"/>
    <w:rsid w:val="00577CD8"/>
    <w:rsid w:val="00587588"/>
    <w:rsid w:val="0059052E"/>
    <w:rsid w:val="005B1B74"/>
    <w:rsid w:val="005B1D6D"/>
    <w:rsid w:val="005D4ACE"/>
    <w:rsid w:val="005D6EAC"/>
    <w:rsid w:val="005E51EA"/>
    <w:rsid w:val="005E7414"/>
    <w:rsid w:val="005F5A59"/>
    <w:rsid w:val="006101C6"/>
    <w:rsid w:val="0062451D"/>
    <w:rsid w:val="006427C5"/>
    <w:rsid w:val="00662F2A"/>
    <w:rsid w:val="00680095"/>
    <w:rsid w:val="006800AF"/>
    <w:rsid w:val="00680113"/>
    <w:rsid w:val="006A4B64"/>
    <w:rsid w:val="006B1667"/>
    <w:rsid w:val="006B566D"/>
    <w:rsid w:val="006E2850"/>
    <w:rsid w:val="006F11B2"/>
    <w:rsid w:val="006F2AC7"/>
    <w:rsid w:val="006F32D5"/>
    <w:rsid w:val="006F5A43"/>
    <w:rsid w:val="00710283"/>
    <w:rsid w:val="00714951"/>
    <w:rsid w:val="00731C4C"/>
    <w:rsid w:val="00736249"/>
    <w:rsid w:val="00741860"/>
    <w:rsid w:val="00741E8F"/>
    <w:rsid w:val="0074672A"/>
    <w:rsid w:val="0076024C"/>
    <w:rsid w:val="00760F9B"/>
    <w:rsid w:val="00770BDF"/>
    <w:rsid w:val="007729FA"/>
    <w:rsid w:val="00796A1C"/>
    <w:rsid w:val="007A4226"/>
    <w:rsid w:val="007B1ECF"/>
    <w:rsid w:val="007E0D02"/>
    <w:rsid w:val="0081224E"/>
    <w:rsid w:val="00835FF6"/>
    <w:rsid w:val="00841971"/>
    <w:rsid w:val="00843EA0"/>
    <w:rsid w:val="0085685E"/>
    <w:rsid w:val="00862199"/>
    <w:rsid w:val="00862750"/>
    <w:rsid w:val="008729DD"/>
    <w:rsid w:val="00872CFB"/>
    <w:rsid w:val="00877547"/>
    <w:rsid w:val="008A22DE"/>
    <w:rsid w:val="008B0619"/>
    <w:rsid w:val="008B49FA"/>
    <w:rsid w:val="008D1035"/>
    <w:rsid w:val="008D5B51"/>
    <w:rsid w:val="008E120F"/>
    <w:rsid w:val="00900A8F"/>
    <w:rsid w:val="009111CF"/>
    <w:rsid w:val="0091231B"/>
    <w:rsid w:val="00912E34"/>
    <w:rsid w:val="0091442C"/>
    <w:rsid w:val="00917353"/>
    <w:rsid w:val="009266AC"/>
    <w:rsid w:val="00953950"/>
    <w:rsid w:val="00964EE7"/>
    <w:rsid w:val="00965878"/>
    <w:rsid w:val="00972B26"/>
    <w:rsid w:val="00977E49"/>
    <w:rsid w:val="00984E78"/>
    <w:rsid w:val="009928A8"/>
    <w:rsid w:val="009941BE"/>
    <w:rsid w:val="009E0A25"/>
    <w:rsid w:val="00A2237B"/>
    <w:rsid w:val="00A238C8"/>
    <w:rsid w:val="00A25FB7"/>
    <w:rsid w:val="00A41A02"/>
    <w:rsid w:val="00A4339F"/>
    <w:rsid w:val="00A44A4B"/>
    <w:rsid w:val="00A53F90"/>
    <w:rsid w:val="00A74C9F"/>
    <w:rsid w:val="00A92ABE"/>
    <w:rsid w:val="00AC20B3"/>
    <w:rsid w:val="00AC4743"/>
    <w:rsid w:val="00AC4FF6"/>
    <w:rsid w:val="00AC7064"/>
    <w:rsid w:val="00AD57E9"/>
    <w:rsid w:val="00AD6798"/>
    <w:rsid w:val="00AD7C6E"/>
    <w:rsid w:val="00AE0050"/>
    <w:rsid w:val="00AE11F8"/>
    <w:rsid w:val="00AE577D"/>
    <w:rsid w:val="00B02FDA"/>
    <w:rsid w:val="00B158CB"/>
    <w:rsid w:val="00B17D9B"/>
    <w:rsid w:val="00B25A4E"/>
    <w:rsid w:val="00B26436"/>
    <w:rsid w:val="00B27072"/>
    <w:rsid w:val="00B34DD8"/>
    <w:rsid w:val="00B37D97"/>
    <w:rsid w:val="00B422CC"/>
    <w:rsid w:val="00B62E1E"/>
    <w:rsid w:val="00B769A6"/>
    <w:rsid w:val="00B85520"/>
    <w:rsid w:val="00B87DB2"/>
    <w:rsid w:val="00B95A00"/>
    <w:rsid w:val="00BA039F"/>
    <w:rsid w:val="00BB0E38"/>
    <w:rsid w:val="00BD15BE"/>
    <w:rsid w:val="00BE75EE"/>
    <w:rsid w:val="00BF42BF"/>
    <w:rsid w:val="00C006F8"/>
    <w:rsid w:val="00C26C5C"/>
    <w:rsid w:val="00C3324B"/>
    <w:rsid w:val="00C4344E"/>
    <w:rsid w:val="00C554DF"/>
    <w:rsid w:val="00C77263"/>
    <w:rsid w:val="00C8060B"/>
    <w:rsid w:val="00C94576"/>
    <w:rsid w:val="00CA4161"/>
    <w:rsid w:val="00CB21E0"/>
    <w:rsid w:val="00D049F5"/>
    <w:rsid w:val="00D06B86"/>
    <w:rsid w:val="00D239DE"/>
    <w:rsid w:val="00D24660"/>
    <w:rsid w:val="00D34002"/>
    <w:rsid w:val="00D34B10"/>
    <w:rsid w:val="00D4107B"/>
    <w:rsid w:val="00D4430E"/>
    <w:rsid w:val="00D56825"/>
    <w:rsid w:val="00D63126"/>
    <w:rsid w:val="00D64C90"/>
    <w:rsid w:val="00D665CD"/>
    <w:rsid w:val="00D9157E"/>
    <w:rsid w:val="00DA12FB"/>
    <w:rsid w:val="00DA3AC3"/>
    <w:rsid w:val="00DC47E0"/>
    <w:rsid w:val="00DC684C"/>
    <w:rsid w:val="00DE0D5E"/>
    <w:rsid w:val="00DE75E6"/>
    <w:rsid w:val="00DF7A09"/>
    <w:rsid w:val="00E14B01"/>
    <w:rsid w:val="00E24355"/>
    <w:rsid w:val="00E3681D"/>
    <w:rsid w:val="00E6320A"/>
    <w:rsid w:val="00E652DF"/>
    <w:rsid w:val="00E721AB"/>
    <w:rsid w:val="00E9236E"/>
    <w:rsid w:val="00E92582"/>
    <w:rsid w:val="00E94B33"/>
    <w:rsid w:val="00EA29E9"/>
    <w:rsid w:val="00EB3834"/>
    <w:rsid w:val="00EB5D3C"/>
    <w:rsid w:val="00ED3F8E"/>
    <w:rsid w:val="00ED7636"/>
    <w:rsid w:val="00ED7E62"/>
    <w:rsid w:val="00EF6F42"/>
    <w:rsid w:val="00F0703D"/>
    <w:rsid w:val="00F10D7E"/>
    <w:rsid w:val="00F27BC7"/>
    <w:rsid w:val="00F30015"/>
    <w:rsid w:val="00F4444B"/>
    <w:rsid w:val="00F44F1B"/>
    <w:rsid w:val="00F51D7D"/>
    <w:rsid w:val="00F52DE9"/>
    <w:rsid w:val="00F67B38"/>
    <w:rsid w:val="00F82395"/>
    <w:rsid w:val="00F83087"/>
    <w:rsid w:val="00FA34CD"/>
    <w:rsid w:val="00FB0E46"/>
    <w:rsid w:val="00FB3652"/>
    <w:rsid w:val="00FC2BFD"/>
    <w:rsid w:val="00FC65CF"/>
    <w:rsid w:val="00FD4208"/>
    <w:rsid w:val="00FE1F94"/>
    <w:rsid w:val="00FF19EE"/>
    <w:rsid w:val="00FF1F6C"/>
    <w:rsid w:val="00FF2B30"/>
    <w:rsid w:val="065A7FBA"/>
    <w:rsid w:val="154273E9"/>
    <w:rsid w:val="1D3A4920"/>
    <w:rsid w:val="1DE43991"/>
    <w:rsid w:val="202042A9"/>
    <w:rsid w:val="22E86824"/>
    <w:rsid w:val="294036AF"/>
    <w:rsid w:val="2D357B06"/>
    <w:rsid w:val="30687DA6"/>
    <w:rsid w:val="3DBC3FE5"/>
    <w:rsid w:val="402154E8"/>
    <w:rsid w:val="453F44DD"/>
    <w:rsid w:val="464409C2"/>
    <w:rsid w:val="4F6C331C"/>
    <w:rsid w:val="514253A8"/>
    <w:rsid w:val="545412FB"/>
    <w:rsid w:val="56130C91"/>
    <w:rsid w:val="570C6CFC"/>
    <w:rsid w:val="57EB2873"/>
    <w:rsid w:val="5A452253"/>
    <w:rsid w:val="5DB549BD"/>
    <w:rsid w:val="5DE268FC"/>
    <w:rsid w:val="66345041"/>
    <w:rsid w:val="70591534"/>
    <w:rsid w:val="747C643E"/>
    <w:rsid w:val="772B2A3F"/>
    <w:rsid w:val="77471B72"/>
    <w:rsid w:val="788C5ACB"/>
    <w:rsid w:val="7B5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4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4"/>
    <w:next w:val="4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  <w:szCs w:val="20"/>
    </w:rPr>
  </w:style>
  <w:style w:type="paragraph" w:customStyle="1" w:styleId="4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1 Char"/>
    <w:basedOn w:val="12"/>
    <w:link w:val="3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1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标题 2 Char"/>
    <w:basedOn w:val="12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9210E1-B996-4B5B-A018-E5BEF20E31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338</Words>
  <Characters>1927</Characters>
  <Lines>16</Lines>
  <Paragraphs>4</Paragraphs>
  <TotalTime>5</TotalTime>
  <ScaleCrop>false</ScaleCrop>
  <LinksUpToDate>false</LinksUpToDate>
  <CharactersWithSpaces>2261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2017-04-17T01:17:00Z</dcterms:created>
  <dc:creator>wangh</dc:creator>
  <cp:lastModifiedBy>章佳</cp:lastModifiedBy>
  <cp:lastPrinted>2019-11-08T09:45:00Z</cp:lastPrinted>
  <dcterms:modified xsi:type="dcterms:W3CDTF">2019-11-13T07:41:13Z</dcterms:modified>
  <dc:title>湖北省省级政府采购需求公示</dc:title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