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14:textFill>
            <w14:solidFill>
              <w14:schemeClr w14:val="tx1"/>
            </w14:solidFill>
          </w14:textFill>
        </w:rPr>
      </w:pPr>
      <w:r>
        <w:rPr>
          <w:rFonts w:hint="eastAsia"/>
          <w:color w:val="000000" w:themeColor="text1"/>
          <w:w w:val="120"/>
          <w:sz w:val="52"/>
          <w:szCs w:val="52"/>
          <w14:textFill>
            <w14:solidFill>
              <w14:schemeClr w14:val="tx1"/>
            </w14:solidFill>
          </w14:textFill>
        </w:rPr>
        <w:t>阳新县县级政府采购</w:t>
      </w:r>
    </w:p>
    <w:p>
      <w:pPr>
        <w:pStyle w:val="8"/>
        <w:adjustRightInd w:val="0"/>
        <w:snapToGrid w:val="0"/>
        <w:spacing w:line="720" w:lineRule="auto"/>
        <w:jc w:val="center"/>
        <w:rPr>
          <w:rFonts w:ascii="黑体" w:hAnsi="黑体" w:eastAsia="黑体" w:cs="Times New Roman"/>
          <w:b/>
          <w:bCs/>
          <w:color w:val="000000" w:themeColor="text1"/>
          <w:sz w:val="36"/>
          <w:szCs w:val="24"/>
          <w14:textFill>
            <w14:solidFill>
              <w14:schemeClr w14:val="tx1"/>
            </w14:solidFill>
          </w14:textFill>
        </w:rPr>
      </w:pPr>
      <w:r>
        <w:rPr>
          <w:rFonts w:hint="eastAsia" w:ascii="Times New Roman" w:hAnsi="Times New Roman" w:eastAsia="宋体" w:cs="Times New Roman"/>
          <w:snapToGrid w:val="0"/>
          <w:color w:val="000000" w:themeColor="text1"/>
          <w:kern w:val="10"/>
          <w:sz w:val="144"/>
          <w:szCs w:val="144"/>
          <w14:textFill>
            <w14:solidFill>
              <w14:schemeClr w14:val="tx1"/>
            </w14:solidFill>
          </w14:textFill>
        </w:rPr>
        <w:t>招 标 文 件</w:t>
      </w:r>
    </w:p>
    <w:p>
      <w:pPr>
        <w:spacing w:line="480" w:lineRule="auto"/>
        <w:ind w:firstLine="1280" w:firstLineChars="400"/>
        <w:rPr>
          <w:rFonts w:hint="eastAsia"/>
          <w:bCs/>
          <w:color w:val="000000" w:themeColor="text1"/>
          <w:sz w:val="32"/>
          <w:szCs w:val="32"/>
          <w:u w:val="single"/>
          <w14:textFill>
            <w14:solidFill>
              <w14:schemeClr w14:val="tx1"/>
            </w14:solidFill>
          </w14:textFill>
        </w:rPr>
      </w:pPr>
      <w:r>
        <w:rPr>
          <w:rFonts w:hint="eastAsia"/>
          <w:bCs/>
          <w:color w:val="000000" w:themeColor="text1"/>
          <w:sz w:val="32"/>
          <w:szCs w:val="32"/>
          <w14:textFill>
            <w14:solidFill>
              <w14:schemeClr w14:val="tx1"/>
            </w14:solidFill>
          </w14:textFill>
        </w:rPr>
        <w:t>项目编号：</w:t>
      </w:r>
      <w:r>
        <w:rPr>
          <w:rFonts w:hint="eastAsia"/>
          <w:bCs/>
          <w:color w:val="000000" w:themeColor="text1"/>
          <w:sz w:val="32"/>
          <w:szCs w:val="32"/>
          <w:u w:val="single"/>
          <w:lang w:val="en-US" w:eastAsia="zh-CN"/>
          <w14:textFill>
            <w14:solidFill>
              <w14:schemeClr w14:val="tx1"/>
            </w14:solidFill>
          </w14:textFill>
        </w:rPr>
        <w:t xml:space="preserve">131-2019CG-191    </w:t>
      </w:r>
      <w:r>
        <w:rPr>
          <w:rFonts w:hint="eastAsia"/>
          <w:bCs/>
          <w:color w:val="000000" w:themeColor="text1"/>
          <w:sz w:val="32"/>
          <w:szCs w:val="32"/>
          <w:u w:val="single"/>
          <w14:textFill>
            <w14:solidFill>
              <w14:schemeClr w14:val="tx1"/>
            </w14:solidFill>
          </w14:textFill>
        </w:rPr>
        <w:t xml:space="preserve">     </w:t>
      </w:r>
    </w:p>
    <w:p>
      <w:pPr>
        <w:spacing w:line="480" w:lineRule="auto"/>
        <w:ind w:firstLine="1280" w:firstLineChars="400"/>
        <w:rPr>
          <w:rFonts w:hint="default"/>
          <w:bCs/>
          <w:color w:val="000000" w:themeColor="text1"/>
          <w:sz w:val="32"/>
          <w:szCs w:val="32"/>
          <w:u w:val="single"/>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采购人</w:t>
      </w:r>
      <w:r>
        <w:rPr>
          <w:rFonts w:hint="eastAsia"/>
          <w:bCs/>
          <w:color w:val="000000" w:themeColor="text1"/>
          <w:sz w:val="32"/>
          <w:szCs w:val="32"/>
          <w:lang w:eastAsia="zh-CN"/>
          <w14:textFill>
            <w14:solidFill>
              <w14:schemeClr w14:val="tx1"/>
            </w14:solidFill>
          </w14:textFill>
        </w:rPr>
        <w:t>：</w:t>
      </w:r>
      <w:r>
        <w:rPr>
          <w:rFonts w:hint="eastAsia"/>
          <w:bCs/>
          <w:color w:val="000000" w:themeColor="text1"/>
          <w:sz w:val="32"/>
          <w:szCs w:val="32"/>
          <w:lang w:val="en-US" w:eastAsia="zh-CN"/>
          <w14:textFill>
            <w14:solidFill>
              <w14:schemeClr w14:val="tx1"/>
            </w14:solidFill>
          </w14:textFill>
        </w:rPr>
        <w:t xml:space="preserve">  </w:t>
      </w:r>
      <w:r>
        <w:rPr>
          <w:rFonts w:hint="eastAsia"/>
          <w:bCs/>
          <w:color w:val="000000" w:themeColor="text1"/>
          <w:sz w:val="32"/>
          <w:szCs w:val="32"/>
          <w:u w:val="single"/>
          <w:lang w:eastAsia="zh-CN"/>
          <w14:textFill>
            <w14:solidFill>
              <w14:schemeClr w14:val="tx1"/>
            </w14:solidFill>
          </w14:textFill>
        </w:rPr>
        <w:t>阳新县公安局</w:t>
      </w:r>
      <w:r>
        <w:rPr>
          <w:rFonts w:hint="eastAsia"/>
          <w:bCs/>
          <w:color w:val="000000" w:themeColor="text1"/>
          <w:sz w:val="32"/>
          <w:szCs w:val="32"/>
          <w:u w:val="single"/>
          <w:lang w:val="en-US" w:eastAsia="zh-CN"/>
          <w14:textFill>
            <w14:solidFill>
              <w14:schemeClr w14:val="tx1"/>
            </w14:solidFill>
          </w14:textFill>
        </w:rPr>
        <w:t xml:space="preserve">                        </w:t>
      </w:r>
    </w:p>
    <w:p>
      <w:pPr>
        <w:spacing w:line="480" w:lineRule="auto"/>
        <w:ind w:firstLine="1280" w:firstLineChars="400"/>
        <w:rPr>
          <w:rFonts w:hint="eastAsia" w:eastAsiaTheme="minorEastAsia"/>
          <w:b w:val="0"/>
          <w:bCs/>
          <w:color w:val="000000" w:themeColor="text1"/>
          <w:sz w:val="32"/>
          <w:szCs w:val="32"/>
          <w:highlight w:val="none"/>
          <w:u w:val="single"/>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项目名称：</w:t>
      </w:r>
      <w:r>
        <w:rPr>
          <w:rFonts w:hint="eastAsia"/>
          <w:b w:val="0"/>
          <w:bCs/>
          <w:color w:val="000000" w:themeColor="text1"/>
          <w:sz w:val="32"/>
          <w:szCs w:val="32"/>
          <w:highlight w:val="none"/>
          <w:u w:val="single"/>
          <w:lang w:eastAsia="zh-CN"/>
          <w14:textFill>
            <w14:solidFill>
              <w14:schemeClr w14:val="tx1"/>
            </w14:solidFill>
          </w14:textFill>
        </w:rPr>
        <w:t>阳新县公安局</w:t>
      </w:r>
      <w:r>
        <w:rPr>
          <w:rFonts w:hint="eastAsia"/>
          <w:b w:val="0"/>
          <w:bCs/>
          <w:color w:val="000000" w:themeColor="text1"/>
          <w:sz w:val="32"/>
          <w:szCs w:val="32"/>
          <w:highlight w:val="none"/>
          <w:u w:val="single"/>
          <w:lang w:val="en-US" w:eastAsia="zh-CN"/>
          <w14:textFill>
            <w14:solidFill>
              <w14:schemeClr w14:val="tx1"/>
            </w14:solidFill>
          </w14:textFill>
        </w:rPr>
        <w:t>DNA实验室建设工程采购项目</w:t>
      </w:r>
    </w:p>
    <w:p>
      <w:pPr>
        <w:spacing w:line="480" w:lineRule="auto"/>
        <w:ind w:firstLine="1280" w:firstLineChars="400"/>
        <w:rPr>
          <w:rFonts w:hint="default" w:eastAsiaTheme="minorEastAsia"/>
          <w:bCs/>
          <w:color w:val="000000" w:themeColor="text1"/>
          <w:sz w:val="32"/>
          <w:szCs w:val="32"/>
          <w:highlight w:val="none"/>
          <w:u w:val="single"/>
          <w:lang w:val="en-US" w:eastAsia="zh-CN"/>
          <w14:textFill>
            <w14:solidFill>
              <w14:schemeClr w14:val="tx1"/>
            </w14:solidFill>
          </w14:textFill>
        </w:rPr>
      </w:pPr>
      <w:r>
        <w:rPr>
          <w:rFonts w:hint="eastAsia"/>
          <w:bCs/>
          <w:color w:val="000000" w:themeColor="text1"/>
          <w:sz w:val="32"/>
          <w:szCs w:val="32"/>
          <w:highlight w:val="none"/>
          <w14:textFill>
            <w14:solidFill>
              <w14:schemeClr w14:val="tx1"/>
            </w14:solidFill>
          </w14:textFill>
        </w:rPr>
        <w:t>采购内容：</w:t>
      </w:r>
      <w:r>
        <w:rPr>
          <w:rFonts w:hint="eastAsia"/>
          <w:bCs/>
          <w:color w:val="000000" w:themeColor="text1"/>
          <w:sz w:val="32"/>
          <w:szCs w:val="32"/>
          <w:highlight w:val="none"/>
          <w:u w:val="single"/>
          <w:lang w:eastAsia="zh-CN"/>
          <w14:textFill>
            <w14:solidFill>
              <w14:schemeClr w14:val="tx1"/>
            </w14:solidFill>
          </w14:textFill>
        </w:rPr>
        <w:t>实验台</w:t>
      </w:r>
      <w:r>
        <w:rPr>
          <w:rFonts w:hint="eastAsia"/>
          <w:bCs/>
          <w:color w:val="000000" w:themeColor="text1"/>
          <w:sz w:val="32"/>
          <w:szCs w:val="32"/>
          <w:highlight w:val="none"/>
          <w:u w:val="single"/>
          <w:lang w:val="en-US" w:eastAsia="zh-CN"/>
          <w14:textFill>
            <w14:solidFill>
              <w14:schemeClr w14:val="tx1"/>
            </w14:solidFill>
          </w14:textFill>
        </w:rPr>
        <w:t>设备</w:t>
      </w:r>
      <w:r>
        <w:rPr>
          <w:rFonts w:hint="eastAsia"/>
          <w:bCs/>
          <w:color w:val="000000" w:themeColor="text1"/>
          <w:sz w:val="32"/>
          <w:szCs w:val="32"/>
          <w:highlight w:val="none"/>
          <w:u w:val="single"/>
          <w:lang w:eastAsia="zh-CN"/>
          <w14:textFill>
            <w14:solidFill>
              <w14:schemeClr w14:val="tx1"/>
            </w14:solidFill>
          </w14:textFill>
        </w:rPr>
        <w:t>、通风系统、洁净空调系统</w:t>
      </w:r>
      <w:r>
        <w:rPr>
          <w:rFonts w:hint="eastAsia"/>
          <w:bCs/>
          <w:color w:val="000000" w:themeColor="text1"/>
          <w:sz w:val="32"/>
          <w:szCs w:val="32"/>
          <w:highlight w:val="none"/>
          <w:u w:val="single"/>
          <w14:textFill>
            <w14:solidFill>
              <w14:schemeClr w14:val="tx1"/>
            </w14:solidFill>
          </w14:textFill>
        </w:rPr>
        <w:t xml:space="preserve"> </w:t>
      </w:r>
    </w:p>
    <w:p>
      <w:pPr>
        <w:adjustRightInd w:val="0"/>
        <w:snapToGrid w:val="0"/>
        <w:jc w:val="center"/>
        <w:rPr>
          <w:rFonts w:hint="eastAsia"/>
          <w:bCs/>
          <w:color w:val="000000" w:themeColor="text1"/>
          <w:sz w:val="32"/>
          <w:szCs w:val="32"/>
          <w:highlight w:val="none"/>
          <w:u w:val="single"/>
          <w14:textFill>
            <w14:solidFill>
              <w14:schemeClr w14:val="tx1"/>
            </w14:solidFill>
          </w14:textFill>
        </w:rPr>
      </w:pPr>
    </w:p>
    <w:p>
      <w:pPr>
        <w:adjustRightInd w:val="0"/>
        <w:snapToGrid w:val="0"/>
        <w:jc w:val="center"/>
        <w:rPr>
          <w:rFonts w:hint="default" w:eastAsiaTheme="minorEastAsia"/>
          <w:bCs/>
          <w:snapToGrid w:val="0"/>
          <w:color w:val="000000" w:themeColor="text1"/>
          <w:kern w:val="0"/>
          <w:position w:val="-98"/>
          <w:sz w:val="56"/>
          <w:szCs w:val="56"/>
          <w:lang w:val="en-US" w:eastAsia="zh-CN"/>
          <w14:textFill>
            <w14:solidFill>
              <w14:schemeClr w14:val="tx1"/>
            </w14:solidFill>
          </w14:textFill>
        </w:rPr>
      </w:pPr>
      <w:r>
        <w:rPr>
          <w:rFonts w:hint="eastAsia"/>
          <w:bCs/>
          <w:snapToGrid w:val="0"/>
          <w:color w:val="000000" w:themeColor="text1"/>
          <w:kern w:val="0"/>
          <w:position w:val="-98"/>
          <w:sz w:val="56"/>
          <w:szCs w:val="56"/>
          <w:lang w:eastAsia="zh-CN"/>
          <w14:textFill>
            <w14:solidFill>
              <w14:schemeClr w14:val="tx1"/>
            </w14:solidFill>
          </w14:textFill>
        </w:rPr>
        <w:t>湖北方圆工程造价咨询有限公司</w:t>
      </w:r>
    </w:p>
    <w:p>
      <w:pPr>
        <w:jc w:val="center"/>
        <w:rPr>
          <w:rFonts w:ascii="黑体" w:hAnsi="黑体" w:eastAsia="黑体"/>
          <w:b/>
          <w:color w:val="000000" w:themeColor="text1"/>
          <w:sz w:val="44"/>
          <w14:textFill>
            <w14:solidFill>
              <w14:schemeClr w14:val="tx1"/>
            </w14:solidFill>
          </w14:textFill>
        </w:rPr>
      </w:pPr>
      <w:r>
        <w:rPr>
          <w:rFonts w:hint="eastAsia"/>
          <w:color w:val="000000" w:themeColor="text1"/>
          <w:sz w:val="32"/>
          <w:szCs w:val="32"/>
          <w:lang w:eastAsia="zh-CN"/>
          <w14:textFill>
            <w14:solidFill>
              <w14:schemeClr w14:val="tx1"/>
            </w14:solidFill>
          </w14:textFill>
        </w:rPr>
        <w:t>二</w:t>
      </w:r>
      <w:r>
        <w:rPr>
          <w:rFonts w:hint="eastAsia"/>
          <w:color w:val="000000" w:themeColor="text1"/>
          <w:sz w:val="32"/>
          <w:szCs w:val="32"/>
          <w:lang w:val="en-US" w:eastAsia="zh-CN"/>
          <w14:textFill>
            <w14:solidFill>
              <w14:schemeClr w14:val="tx1"/>
            </w14:solidFill>
          </w14:textFill>
        </w:rPr>
        <w:t>0一九</w:t>
      </w:r>
      <w:r>
        <w:rPr>
          <w:rFonts w:hint="eastAsia"/>
          <w:color w:val="000000" w:themeColor="text1"/>
          <w:sz w:val="32"/>
          <w:szCs w:val="32"/>
          <w14:textFill>
            <w14:solidFill>
              <w14:schemeClr w14:val="tx1"/>
            </w14:solidFill>
          </w14:textFill>
        </w:rPr>
        <w:t>年</w:t>
      </w:r>
      <w:r>
        <w:rPr>
          <w:rFonts w:hint="eastAsia"/>
          <w:color w:val="000000" w:themeColor="text1"/>
          <w:sz w:val="32"/>
          <w:szCs w:val="32"/>
          <w:lang w:eastAsia="zh-CN"/>
          <w14:textFill>
            <w14:solidFill>
              <w14:schemeClr w14:val="tx1"/>
            </w14:solidFill>
          </w14:textFill>
        </w:rPr>
        <w:t>十一</w:t>
      </w:r>
      <w:r>
        <w:rPr>
          <w:rFonts w:hint="eastAsia" w:asciiTheme="minorEastAsia" w:hAnsiTheme="minorEastAsia" w:cstheme="minorEastAsia"/>
          <w:bCs/>
          <w:color w:val="000000" w:themeColor="text1"/>
          <w:sz w:val="32"/>
          <w:szCs w:val="32"/>
          <w14:textFill>
            <w14:solidFill>
              <w14:schemeClr w14:val="tx1"/>
            </w14:solidFill>
          </w14:textFill>
        </w:rPr>
        <w:t>月</w:t>
      </w:r>
    </w:p>
    <w:p>
      <w:pPr>
        <w:rPr>
          <w:color w:val="000000" w:themeColor="text1"/>
          <w14:textFill>
            <w14:solidFill>
              <w14:schemeClr w14:val="tx1"/>
            </w14:solidFill>
          </w14:textFill>
        </w:rPr>
        <w:sectPr>
          <w:headerReference r:id="rId3" w:type="default"/>
          <w:headerReference r:id="rId4" w:type="even"/>
          <w:footerReference r:id="rId5" w:type="even"/>
          <w:pgSz w:w="11906" w:h="16838"/>
          <w:pgMar w:top="3402" w:right="1191" w:bottom="1134" w:left="1191" w:header="680" w:footer="680" w:gutter="0"/>
          <w:pgNumType w:fmt="decimal"/>
          <w:cols w:space="425" w:num="1"/>
          <w:docGrid w:type="lines" w:linePitch="312" w:charSpace="0"/>
        </w:sectPr>
      </w:pPr>
    </w:p>
    <w:p>
      <w:pPr>
        <w:spacing w:beforeLines="100"/>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目   录</w:t>
      </w:r>
    </w:p>
    <w:sdt>
      <w:sdtPr>
        <w:rPr>
          <w:color w:val="000000" w:themeColor="text1"/>
          <w:lang w:val="zh-CN"/>
          <w14:textFill>
            <w14:solidFill>
              <w14:schemeClr w14:val="tx1"/>
            </w14:solidFill>
          </w14:textFill>
        </w:rPr>
        <w:id w:val="1482579200"/>
      </w:sdtPr>
      <w:sdtEndPr>
        <w:rPr>
          <w:b w:val="0"/>
          <w:bCs/>
          <w:color w:val="000000" w:themeColor="text1"/>
          <w:lang w:val="zh-CN"/>
          <w14:textFill>
            <w14:solidFill>
              <w14:schemeClr w14:val="tx1"/>
            </w14:solidFill>
          </w14:textFill>
        </w:rPr>
      </w:sdtEndPr>
      <w:sdtContent>
        <w:p>
          <w:pPr>
            <w:pStyle w:val="2"/>
            <w:tabs>
              <w:tab w:val="left" w:pos="1260"/>
              <w:tab w:val="right" w:leader="dot" w:pos="9514"/>
            </w:tabs>
            <w:rPr>
              <w:color w:val="000000" w:themeColor="text1"/>
              <w:lang w:val="zh-CN"/>
              <w14:textFill>
                <w14:solidFill>
                  <w14:schemeClr w14:val="tx1"/>
                </w14:solidFill>
              </w14:textFill>
            </w:rPr>
          </w:pPr>
        </w:p>
        <w:p>
          <w:pPr>
            <w:pStyle w:val="2"/>
            <w:tabs>
              <w:tab w:val="left" w:pos="1260"/>
              <w:tab w:val="right" w:leader="dot" w:pos="9514"/>
            </w:tabs>
            <w:rPr>
              <w:color w:val="000000" w:themeColor="text1"/>
              <w:lang w:val="zh-CN"/>
              <w14:textFill>
                <w14:solidFill>
                  <w14:schemeClr w14:val="tx1"/>
                </w14:solidFill>
              </w14:textFill>
            </w:rPr>
          </w:pPr>
        </w:p>
        <w:p>
          <w:pPr>
            <w:pStyle w:val="2"/>
            <w:tabs>
              <w:tab w:val="left" w:pos="1260"/>
              <w:tab w:val="right" w:leader="dot" w:pos="9514"/>
            </w:tabs>
            <w:rPr>
              <w:color w:val="000000" w:themeColor="text1"/>
              <w:lang w:val="zh-CN"/>
              <w14:textFill>
                <w14:solidFill>
                  <w14:schemeClr w14:val="tx1"/>
                </w14:solidFill>
              </w14:textFill>
            </w:rPr>
          </w:pPr>
        </w:p>
        <w:p>
          <w:pPr>
            <w:pStyle w:val="2"/>
            <w:tabs>
              <w:tab w:val="left" w:pos="1260"/>
              <w:tab w:val="right" w:leader="dot" w:pos="9514"/>
            </w:tabs>
            <w:rPr>
              <w:rFonts w:hint="default" w:eastAsia="黑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"1-2"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"_Toc495861517"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第一章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投标邀请书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3-4</w:t>
          </w:r>
        </w:p>
        <w:p>
          <w:pPr>
            <w:pStyle w:val="2"/>
            <w:tabs>
              <w:tab w:val="left" w:pos="1260"/>
              <w:tab w:val="right" w:leader="dot" w:pos="9514"/>
            </w:tabs>
            <w:rPr>
              <w:color w:val="000000" w:themeColor="text1"/>
              <w14:textFill>
                <w14:solidFill>
                  <w14:schemeClr w14:val="tx1"/>
                </w14:solidFill>
              </w14:textFill>
            </w:rPr>
          </w:pPr>
        </w:p>
        <w:p>
          <w:pPr>
            <w:pStyle w:val="2"/>
            <w:tabs>
              <w:tab w:val="left" w:pos="1260"/>
              <w:tab w:val="right" w:leader="dot" w:pos="9514"/>
            </w:tabs>
            <w:rPr>
              <w:rFonts w:hint="default" w:eastAsia="黑体" w:asciiTheme="minorHAnsi" w:hAnsiTheme="minorHAnsi"/>
              <w:iCs w:val="0"/>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"_Toc495861518"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第二章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5-16</w:t>
          </w:r>
        </w:p>
        <w:p>
          <w:pPr>
            <w:pStyle w:val="2"/>
            <w:tabs>
              <w:tab w:val="left" w:pos="1260"/>
              <w:tab w:val="right" w:leader="dot" w:pos="9514"/>
            </w:tabs>
            <w:rPr>
              <w:color w:val="000000" w:themeColor="text1"/>
              <w14:textFill>
                <w14:solidFill>
                  <w14:schemeClr w14:val="tx1"/>
                </w14:solidFill>
              </w14:textFill>
            </w:rPr>
          </w:pPr>
        </w:p>
        <w:p>
          <w:pPr>
            <w:pStyle w:val="2"/>
            <w:tabs>
              <w:tab w:val="left" w:pos="1260"/>
              <w:tab w:val="right" w:leader="dot" w:pos="9514"/>
            </w:tabs>
            <w:rPr>
              <w:rFonts w:hint="default" w:eastAsia="黑体"/>
              <w:b w:val="0"/>
              <w:iCs w:val="0"/>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"_Toc495861532"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第三章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项目技术</w:t>
          </w:r>
          <w:r>
            <w:rPr>
              <w:rStyle w:val="22"/>
              <w:rFonts w:hint="eastAsia" w:ascii="黑体" w:hAnsi="黑体"/>
              <w:color w:val="000000" w:themeColor="text1"/>
              <w:lang w:eastAsia="zh-CN"/>
              <w14:textFill>
                <w14:solidFill>
                  <w14:schemeClr w14:val="tx1"/>
                </w14:solidFill>
              </w14:textFill>
            </w:rPr>
            <w:t>规格</w:t>
          </w:r>
          <w:r>
            <w:rPr>
              <w:rStyle w:val="22"/>
              <w:rFonts w:hint="eastAsia" w:ascii="黑体" w:hAnsi="黑体"/>
              <w:color w:val="000000" w:themeColor="text1"/>
              <w14:textFill>
                <w14:solidFill>
                  <w14:schemeClr w14:val="tx1"/>
                </w14:solidFill>
              </w14:textFill>
            </w:rPr>
            <w:t>、</w:t>
          </w:r>
          <w:r>
            <w:rPr>
              <w:rStyle w:val="22"/>
              <w:rFonts w:hint="eastAsia" w:ascii="黑体" w:hAnsi="黑体"/>
              <w:color w:val="000000" w:themeColor="text1"/>
              <w:lang w:eastAsia="zh-CN"/>
              <w14:textFill>
                <w14:solidFill>
                  <w14:schemeClr w14:val="tx1"/>
                </w14:solidFill>
              </w14:textFill>
            </w:rPr>
            <w:t>参数</w:t>
          </w:r>
          <w:r>
            <w:rPr>
              <w:rStyle w:val="22"/>
              <w:rFonts w:hint="eastAsia" w:ascii="黑体" w:hAnsi="黑体"/>
              <w:color w:val="000000" w:themeColor="text1"/>
              <w14:textFill>
                <w14:solidFill>
                  <w14:schemeClr w14:val="tx1"/>
                </w14:solidFill>
              </w14:textFill>
            </w:rPr>
            <w:t>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17-42</w:t>
          </w:r>
        </w:p>
        <w:p>
          <w:pPr>
            <w:pStyle w:val="2"/>
            <w:tabs>
              <w:tab w:val="left" w:pos="1260"/>
              <w:tab w:val="right" w:leader="dot" w:pos="9514"/>
            </w:tabs>
            <w:rPr>
              <w:color w:val="000000" w:themeColor="text1"/>
              <w14:textFill>
                <w14:solidFill>
                  <w14:schemeClr w14:val="tx1"/>
                </w14:solidFill>
              </w14:textFill>
            </w:rPr>
          </w:pPr>
        </w:p>
        <w:p>
          <w:pPr>
            <w:pStyle w:val="2"/>
            <w:tabs>
              <w:tab w:val="left" w:pos="1260"/>
              <w:tab w:val="right" w:leader="dot" w:pos="9514"/>
            </w:tabs>
            <w:rPr>
              <w:rFonts w:hint="default" w:eastAsia="黑体"/>
              <w:b w:val="0"/>
              <w:iCs w:val="0"/>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"_Toc495861538"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第四章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资格审查方法及标准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43-44</w:t>
          </w:r>
        </w:p>
        <w:p>
          <w:pPr>
            <w:pStyle w:val="2"/>
            <w:tabs>
              <w:tab w:val="left" w:pos="1260"/>
              <w:tab w:val="right" w:leader="dot" w:pos="9514"/>
            </w:tabs>
            <w:rPr>
              <w:color w:val="000000" w:themeColor="text1"/>
              <w14:textFill>
                <w14:solidFill>
                  <w14:schemeClr w14:val="tx1"/>
                </w14:solidFill>
              </w14:textFill>
            </w:rPr>
          </w:pPr>
        </w:p>
        <w:p>
          <w:pPr>
            <w:pStyle w:val="2"/>
            <w:tabs>
              <w:tab w:val="left" w:pos="1260"/>
              <w:tab w:val="right" w:leader="dot" w:pos="9514"/>
            </w:tabs>
            <w:rPr>
              <w:rFonts w:hint="default"/>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"_Toc495861541"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第五章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评标方法、程序及标准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45-50</w:t>
          </w:r>
        </w:p>
        <w:p>
          <w:pPr>
            <w:pStyle w:val="2"/>
            <w:tabs>
              <w:tab w:val="left" w:pos="1260"/>
              <w:tab w:val="right" w:leader="dot" w:pos="9514"/>
            </w:tabs>
            <w:rPr>
              <w:color w:val="000000" w:themeColor="text1"/>
              <w14:textFill>
                <w14:solidFill>
                  <w14:schemeClr w14:val="tx1"/>
                </w14:solidFill>
              </w14:textFill>
            </w:rPr>
          </w:pPr>
        </w:p>
        <w:p>
          <w:pPr>
            <w:pStyle w:val="2"/>
            <w:tabs>
              <w:tab w:val="left" w:pos="1260"/>
              <w:tab w:val="right" w:leader="dot" w:pos="9514"/>
            </w:tabs>
            <w:rPr>
              <w:rFonts w:hint="default" w:eastAsia="黑体"/>
              <w:b w:val="0"/>
              <w:iCs w:val="0"/>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"_Toc495861545"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第六章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合同书格式（参考）</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51-52</w:t>
          </w:r>
        </w:p>
        <w:p>
          <w:pPr>
            <w:pStyle w:val="2"/>
            <w:tabs>
              <w:tab w:val="left" w:pos="1260"/>
              <w:tab w:val="right" w:leader="dot" w:pos="9514"/>
            </w:tabs>
            <w:rPr>
              <w:color w:val="000000" w:themeColor="text1"/>
              <w14:textFill>
                <w14:solidFill>
                  <w14:schemeClr w14:val="tx1"/>
                </w14:solidFill>
              </w14:textFill>
            </w:rPr>
          </w:pPr>
        </w:p>
        <w:p>
          <w:pPr>
            <w:pStyle w:val="2"/>
            <w:tabs>
              <w:tab w:val="left" w:pos="1260"/>
              <w:tab w:val="right" w:leader="dot" w:pos="9514"/>
            </w:tabs>
            <w:rPr>
              <w:rFonts w:hint="default" w:eastAsia="黑体"/>
              <w:b w:val="0"/>
              <w:iCs w:val="0"/>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"_Toc495861546"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第七章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投标文件格式（参考）</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53-70</w:t>
          </w:r>
        </w:p>
        <w:p>
          <w:pPr>
            <w:pStyle w:val="13"/>
            <w:tabs>
              <w:tab w:val="left" w:pos="1870"/>
            </w:tabs>
            <w:rPr>
              <w:rFonts w:asciiTheme="minorHAnsi" w:hAnsiTheme="minorHAnsi"/>
              <w:iCs w:val="0"/>
              <w:color w:val="000000" w:themeColor="text1"/>
              <w:kern w:val="2"/>
              <w:sz w:val="21"/>
              <w14:textFill>
                <w14:solidFill>
                  <w14:schemeClr w14:val="tx1"/>
                </w14:solidFill>
              </w14:textFill>
            </w:rPr>
          </w:pPr>
        </w:p>
        <w:p>
          <w:pPr>
            <w:pStyle w:val="2"/>
            <w:tabs>
              <w:tab w:val="left" w:pos="1260"/>
              <w:tab w:val="right" w:leader="dot" w:pos="9514"/>
            </w:tabs>
            <w:rPr>
              <w:color w:val="000000" w:themeColor="text1"/>
              <w14:textFill>
                <w14:solidFill>
                  <w14:schemeClr w14:val="tx1"/>
                </w14:solidFill>
              </w14:textFill>
            </w:rPr>
          </w:pPr>
          <w:r>
            <w:rPr>
              <w:color w:val="000000" w:themeColor="text1"/>
              <w14:textFill>
                <w14:solidFill>
                  <w14:schemeClr w14:val="tx1"/>
                </w14:solidFill>
              </w14:textFill>
            </w:rPr>
            <w:fldChar w:fldCharType="end"/>
          </w:r>
          <w:r>
            <w:rPr>
              <w:b w:val="0"/>
              <w:bCs/>
              <w:color w:val="000000" w:themeColor="text1"/>
              <w:lang w:val="zh-CN"/>
              <w14:textFill>
                <w14:solidFill>
                  <w14:schemeClr w14:val="tx1"/>
                </w14:solidFill>
              </w14:textFill>
            </w:rPr>
            <w:tab/>
          </w:r>
        </w:p>
      </w:sdtContent>
    </w:sdt>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1"/>
        </w:numPr>
        <w:spacing w:before="240" w:after="120"/>
        <w:ind w:left="883" w:hanging="880" w:hangingChars="200"/>
        <w:jc w:val="center"/>
        <w:rPr>
          <w:rFonts w:ascii="黑体" w:hAnsi="黑体" w:eastAsia="黑体"/>
          <w:color w:val="000000" w:themeColor="text1"/>
          <w14:textFill>
            <w14:solidFill>
              <w14:schemeClr w14:val="tx1"/>
            </w14:solidFill>
          </w14:textFill>
        </w:rPr>
      </w:pPr>
      <w:bookmarkStart w:id="0" w:name="_Toc495861517"/>
      <w:r>
        <w:rPr>
          <w:rFonts w:hint="eastAsia" w:ascii="黑体" w:hAnsi="黑体" w:eastAsia="黑体"/>
          <w:color w:val="000000" w:themeColor="text1"/>
          <w14:textFill>
            <w14:solidFill>
              <w14:schemeClr w14:val="tx1"/>
            </w14:solidFill>
          </w14:textFill>
        </w:rPr>
        <w:t>投标邀请书</w:t>
      </w:r>
      <w:bookmarkEnd w:id="0"/>
    </w:p>
    <w:p>
      <w:pPr>
        <w:spacing w:line="480" w:lineRule="auto"/>
        <w:ind w:firstLine="480" w:firstLineChars="200"/>
        <w:rPr>
          <w:bCs/>
          <w:color w:val="000000" w:themeColor="text1"/>
          <w:sz w:val="32"/>
          <w:szCs w:val="32"/>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依据</w:t>
      </w:r>
      <w:r>
        <w:rPr>
          <w:rFonts w:hint="eastAsia"/>
          <w:bCs/>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highlight w:val="none"/>
          <w:u w:val="single"/>
          <w:shd w:val="clear" w:fill="FFFFFF"/>
          <w14:textFill>
            <w14:solidFill>
              <w14:schemeClr w14:val="tx1"/>
            </w14:solidFill>
          </w14:textFill>
        </w:rPr>
        <w:t>阳财采计备[2019]</w:t>
      </w:r>
      <w:r>
        <w:rPr>
          <w:rFonts w:hint="eastAsia" w:ascii="宋体" w:hAnsi="宋体" w:cs="宋体"/>
          <w:i w:val="0"/>
          <w:caps w:val="0"/>
          <w:color w:val="000000"/>
          <w:spacing w:val="0"/>
          <w:sz w:val="24"/>
          <w:szCs w:val="24"/>
          <w:highlight w:val="none"/>
          <w:u w:val="single"/>
          <w:shd w:val="clear" w:color="auto" w:fill="FFFFFF"/>
          <w:lang w:val="en-US" w:eastAsia="zh-CN"/>
        </w:rPr>
        <w:t>A172</w:t>
      </w:r>
      <w:r>
        <w:rPr>
          <w:rFonts w:hint="eastAsia" w:ascii="宋体" w:hAnsi="宋体" w:eastAsia="宋体" w:cs="宋体"/>
          <w:i w:val="0"/>
          <w:caps w:val="0"/>
          <w:color w:val="000000" w:themeColor="text1"/>
          <w:spacing w:val="0"/>
          <w:sz w:val="24"/>
          <w:szCs w:val="24"/>
          <w:highlight w:val="none"/>
          <w:u w:val="single"/>
          <w:shd w:val="clear" w:fill="FFFFFF"/>
          <w14:textFill>
            <w14:solidFill>
              <w14:schemeClr w14:val="tx1"/>
            </w14:solidFill>
          </w14:textFill>
        </w:rPr>
        <w:t>号备案表</w:t>
      </w:r>
      <w:r>
        <w:rPr>
          <w:rFonts w:hint="eastAsia" w:asciiTheme="minorEastAsia" w:hAnsiTheme="minorEastAsia" w:eastAsiaTheme="minorEastAsia" w:cstheme="minorEastAsia"/>
          <w:color w:val="000000" w:themeColor="text1"/>
          <w:sz w:val="24"/>
          <w:szCs w:val="24"/>
          <w14:textFill>
            <w14:solidFill>
              <w14:schemeClr w14:val="tx1"/>
            </w14:solidFill>
          </w14:textFill>
        </w:rPr>
        <w:t>的要求，</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u w:val="single"/>
          <w:lang w:eastAsia="zh-CN"/>
          <w14:textFill>
            <w14:solidFill>
              <w14:schemeClr w14:val="tx1"/>
            </w14:solidFill>
          </w14:textFill>
        </w:rPr>
        <w:t>湖北方圆工程造价咨询有限公司</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受</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u w:val="single"/>
          <w:lang w:eastAsia="zh-CN"/>
          <w14:textFill>
            <w14:solidFill>
              <w14:schemeClr w14:val="tx1"/>
            </w14:solidFill>
          </w14:textFill>
        </w:rPr>
        <w:t>阳新</w:t>
      </w:r>
      <w:r>
        <w:rPr>
          <w:rFonts w:hint="eastAsia" w:asciiTheme="minorEastAsia" w:hAnsiTheme="minorEastAsia" w:cstheme="minorEastAsia"/>
          <w:bCs/>
          <w:color w:val="000000" w:themeColor="text1"/>
          <w:sz w:val="24"/>
          <w:szCs w:val="24"/>
          <w:u w:val="single"/>
          <w:lang w:eastAsia="zh-CN"/>
          <w14:textFill>
            <w14:solidFill>
              <w14:schemeClr w14:val="tx1"/>
            </w14:solidFill>
          </w14:textFill>
        </w:rPr>
        <w:t>县公安局的</w:t>
      </w:r>
      <w:r>
        <w:rPr>
          <w:rFonts w:hint="eastAsia" w:asciiTheme="minorEastAsia" w:hAnsiTheme="minorEastAsia" w:eastAsiaTheme="minorEastAsia" w:cstheme="minorEastAsia"/>
          <w:color w:val="000000" w:themeColor="text1"/>
          <w:sz w:val="24"/>
          <w:szCs w:val="24"/>
          <w14:textFill>
            <w14:solidFill>
              <w14:schemeClr w14:val="tx1"/>
            </w14:solidFill>
          </w14:textFill>
        </w:rPr>
        <w:t>委托，就</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bCs/>
          <w:color w:val="000000" w:themeColor="text1"/>
          <w:sz w:val="24"/>
          <w:szCs w:val="24"/>
          <w:highlight w:val="none"/>
          <w:u w:val="single"/>
          <w:lang w:eastAsia="zh-CN"/>
          <w14:textFill>
            <w14:solidFill>
              <w14:schemeClr w14:val="tx1"/>
            </w14:solidFill>
          </w14:textFill>
        </w:rPr>
        <w:t>阳新县公安局</w:t>
      </w:r>
      <w:r>
        <w:rPr>
          <w:rFonts w:hint="eastAsia" w:asciiTheme="minorEastAsia" w:hAnsiTheme="minorEastAsia" w:cstheme="minorEastAsia"/>
          <w:bCs/>
          <w:color w:val="000000" w:themeColor="text1"/>
          <w:sz w:val="24"/>
          <w:szCs w:val="24"/>
          <w:highlight w:val="none"/>
          <w:u w:val="single"/>
          <w:lang w:val="en-US" w:eastAsia="zh-CN"/>
          <w14:textFill>
            <w14:solidFill>
              <w14:schemeClr w14:val="tx1"/>
            </w14:solidFill>
          </w14:textFill>
        </w:rPr>
        <w:t>DNA</w:t>
      </w:r>
      <w:r>
        <w:rPr>
          <w:rFonts w:hint="eastAsia" w:asciiTheme="minorEastAsia" w:hAnsiTheme="minorEastAsia" w:cstheme="minorEastAsia"/>
          <w:bCs/>
          <w:color w:val="000000" w:themeColor="text1"/>
          <w:sz w:val="24"/>
          <w:szCs w:val="24"/>
          <w:highlight w:val="none"/>
          <w:u w:val="single"/>
          <w:lang w:eastAsia="zh-CN"/>
          <w14:textFill>
            <w14:solidFill>
              <w14:schemeClr w14:val="tx1"/>
            </w14:solidFill>
          </w14:textFill>
        </w:rPr>
        <w:t>实验</w:t>
      </w:r>
      <w:r>
        <w:rPr>
          <w:rFonts w:hint="eastAsia" w:asciiTheme="minorEastAsia" w:hAnsiTheme="minorEastAsia" w:cstheme="minorEastAsia"/>
          <w:bCs/>
          <w:color w:val="000000" w:themeColor="text1"/>
          <w:sz w:val="24"/>
          <w:szCs w:val="24"/>
          <w:highlight w:val="none"/>
          <w:u w:val="single"/>
          <w:lang w:val="en-US" w:eastAsia="zh-CN"/>
          <w14:textFill>
            <w14:solidFill>
              <w14:schemeClr w14:val="tx1"/>
            </w14:solidFill>
          </w14:textFill>
        </w:rPr>
        <w:t>室建设工程采购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项目进行公开招标采购</w:t>
      </w:r>
      <w:r>
        <w:rPr>
          <w:rFonts w:hint="eastAsia" w:ascii="宋体" w:hAnsi="宋体" w:eastAsia="宋体" w:cs="Times New Roman"/>
          <w:color w:val="000000" w:themeColor="text1"/>
          <w:sz w:val="24"/>
          <w:szCs w:val="24"/>
          <w14:textFill>
            <w14:solidFill>
              <w14:schemeClr w14:val="tx1"/>
            </w14:solidFill>
          </w14:textFill>
        </w:rPr>
        <w:t>，欢迎符合条件的供应商投标。</w:t>
      </w:r>
    </w:p>
    <w:p>
      <w:pPr>
        <w:numPr>
          <w:ilvl w:val="0"/>
          <w:numId w:val="2"/>
        </w:numPr>
        <w:spacing w:line="360" w:lineRule="auto"/>
        <w:ind w:left="490" w:hanging="490"/>
        <w:rPr>
          <w:rFonts w:ascii="宋体" w:hAnsi="宋体" w:eastAsia="宋体" w:cs="Times New Roman"/>
          <w:b/>
          <w:bCs w:val="0"/>
          <w:color w:val="000000" w:themeColor="text1"/>
          <w:sz w:val="24"/>
          <w:szCs w:val="24"/>
          <w:u w:val="single"/>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 xml:space="preserve"> </w:t>
      </w:r>
      <w:r>
        <w:rPr>
          <w:rFonts w:hint="eastAsia" w:ascii="宋体" w:hAnsi="宋体" w:eastAsia="宋体" w:cs="Times New Roman"/>
          <w:b/>
          <w:color w:val="000000" w:themeColor="text1"/>
          <w:sz w:val="24"/>
          <w:szCs w:val="24"/>
          <w14:textFill>
            <w14:solidFill>
              <w14:schemeClr w14:val="tx1"/>
            </w14:solidFill>
          </w14:textFill>
        </w:rPr>
        <w:t>项目编号：</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131-2019CG-191</w:t>
      </w:r>
    </w:p>
    <w:p>
      <w:pPr>
        <w:numPr>
          <w:ilvl w:val="0"/>
          <w:numId w:val="2"/>
        </w:numPr>
        <w:spacing w:line="360" w:lineRule="auto"/>
        <w:ind w:left="490" w:hanging="490"/>
        <w:rPr>
          <w:rFonts w:ascii="宋体" w:hAnsi="宋体" w:eastAsia="宋体" w:cs="Times New Roman"/>
          <w:b/>
          <w:bCs w:val="0"/>
          <w:color w:val="000000" w:themeColor="text1"/>
          <w:sz w:val="24"/>
          <w:szCs w:val="24"/>
          <w:highlight w:val="none"/>
          <w:u w:val="single"/>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 xml:space="preserve"> </w:t>
      </w:r>
      <w:r>
        <w:rPr>
          <w:rFonts w:hint="eastAsia" w:ascii="宋体" w:hAnsi="宋体" w:eastAsia="宋体" w:cs="Times New Roman"/>
          <w:b/>
          <w:color w:val="000000" w:themeColor="text1"/>
          <w:sz w:val="24"/>
          <w:szCs w:val="24"/>
          <w14:textFill>
            <w14:solidFill>
              <w14:schemeClr w14:val="tx1"/>
            </w14:solidFill>
          </w14:textFill>
        </w:rPr>
        <w:t>项目名称：</w:t>
      </w:r>
      <w:r>
        <w:rPr>
          <w:rFonts w:hint="eastAsia" w:ascii="宋体" w:hAnsi="宋体" w:eastAsia="宋体" w:cs="Times New Roman"/>
          <w:b/>
          <w:bCs w:val="0"/>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bCs/>
          <w:color w:val="000000" w:themeColor="text1"/>
          <w:sz w:val="24"/>
          <w:szCs w:val="24"/>
          <w:highlight w:val="none"/>
          <w:u w:val="single"/>
          <w:lang w:eastAsia="zh-CN"/>
          <w14:textFill>
            <w14:solidFill>
              <w14:schemeClr w14:val="tx1"/>
            </w14:solidFill>
          </w14:textFill>
        </w:rPr>
        <w:t>阳新县公安局</w:t>
      </w:r>
      <w:r>
        <w:rPr>
          <w:rFonts w:hint="eastAsia" w:asciiTheme="minorEastAsia" w:hAnsiTheme="minorEastAsia" w:cstheme="minorEastAsia"/>
          <w:bCs/>
          <w:color w:val="000000" w:themeColor="text1"/>
          <w:sz w:val="24"/>
          <w:szCs w:val="24"/>
          <w:highlight w:val="none"/>
          <w:u w:val="single"/>
          <w:lang w:val="en-US" w:eastAsia="zh-CN"/>
          <w14:textFill>
            <w14:solidFill>
              <w14:schemeClr w14:val="tx1"/>
            </w14:solidFill>
          </w14:textFill>
        </w:rPr>
        <w:t>DNA</w:t>
      </w:r>
      <w:r>
        <w:rPr>
          <w:rFonts w:hint="eastAsia" w:asciiTheme="minorEastAsia" w:hAnsiTheme="minorEastAsia" w:cstheme="minorEastAsia"/>
          <w:bCs/>
          <w:color w:val="000000" w:themeColor="text1"/>
          <w:sz w:val="24"/>
          <w:szCs w:val="24"/>
          <w:highlight w:val="none"/>
          <w:u w:val="single"/>
          <w:lang w:eastAsia="zh-CN"/>
          <w14:textFill>
            <w14:solidFill>
              <w14:schemeClr w14:val="tx1"/>
            </w14:solidFill>
          </w14:textFill>
        </w:rPr>
        <w:t>实验</w:t>
      </w:r>
      <w:r>
        <w:rPr>
          <w:rFonts w:hint="eastAsia" w:asciiTheme="minorEastAsia" w:hAnsiTheme="minorEastAsia" w:cstheme="minorEastAsia"/>
          <w:bCs/>
          <w:color w:val="000000" w:themeColor="text1"/>
          <w:sz w:val="24"/>
          <w:szCs w:val="24"/>
          <w:highlight w:val="none"/>
          <w:u w:val="single"/>
          <w:lang w:val="en-US" w:eastAsia="zh-CN"/>
          <w14:textFill>
            <w14:solidFill>
              <w14:schemeClr w14:val="tx1"/>
            </w14:solidFill>
          </w14:textFill>
        </w:rPr>
        <w:t>室建设工程采购项目</w:t>
      </w:r>
    </w:p>
    <w:p>
      <w:pPr>
        <w:numPr>
          <w:ilvl w:val="0"/>
          <w:numId w:val="2"/>
        </w:numPr>
        <w:spacing w:line="360" w:lineRule="auto"/>
        <w:ind w:left="490" w:hanging="49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 xml:space="preserve"> </w:t>
      </w:r>
      <w:r>
        <w:rPr>
          <w:rFonts w:hint="eastAsia" w:ascii="宋体" w:hAnsi="宋体" w:eastAsia="宋体" w:cs="Times New Roman"/>
          <w:b/>
          <w:color w:val="000000" w:themeColor="text1"/>
          <w:sz w:val="24"/>
          <w:szCs w:val="24"/>
          <w14:textFill>
            <w14:solidFill>
              <w14:schemeClr w14:val="tx1"/>
            </w14:solidFill>
          </w14:textFill>
        </w:rPr>
        <w:t>招标内容</w:t>
      </w:r>
      <w:r>
        <w:rPr>
          <w:rFonts w:hint="eastAsia" w:ascii="宋体" w:hAnsi="宋体" w:eastAsia="宋体" w:cs="Times New Roman"/>
          <w:color w:val="000000" w:themeColor="text1"/>
          <w:sz w:val="24"/>
          <w:szCs w:val="24"/>
          <w14:textFill>
            <w14:solidFill>
              <w14:schemeClr w14:val="tx1"/>
            </w14:solidFill>
          </w14:textFill>
        </w:rPr>
        <w:t>：</w:t>
      </w:r>
      <w:r>
        <w:rPr>
          <w:rFonts w:hint="eastAsia" w:asciiTheme="minorEastAsia" w:hAnsiTheme="minorEastAsia" w:cstheme="minorEastAsia"/>
          <w:bCs/>
          <w:color w:val="000000" w:themeColor="text1"/>
          <w:sz w:val="24"/>
          <w:szCs w:val="24"/>
          <w:highlight w:val="none"/>
          <w:u w:val="single"/>
          <w:lang w:eastAsia="zh-CN"/>
          <w14:textFill>
            <w14:solidFill>
              <w14:schemeClr w14:val="tx1"/>
            </w14:solidFill>
          </w14:textFill>
        </w:rPr>
        <w:t>阳新县公安局</w:t>
      </w:r>
      <w:r>
        <w:rPr>
          <w:rFonts w:hint="eastAsia" w:asciiTheme="minorEastAsia" w:hAnsiTheme="minorEastAsia" w:cstheme="minorEastAsia"/>
          <w:bCs/>
          <w:color w:val="000000" w:themeColor="text1"/>
          <w:sz w:val="24"/>
          <w:szCs w:val="24"/>
          <w:highlight w:val="none"/>
          <w:u w:val="single"/>
          <w:lang w:val="en-US" w:eastAsia="zh-CN"/>
          <w14:textFill>
            <w14:solidFill>
              <w14:schemeClr w14:val="tx1"/>
            </w14:solidFill>
          </w14:textFill>
        </w:rPr>
        <w:t>DNA</w:t>
      </w:r>
      <w:r>
        <w:rPr>
          <w:rFonts w:hint="eastAsia" w:asciiTheme="minorEastAsia" w:hAnsiTheme="minorEastAsia" w:cstheme="minorEastAsia"/>
          <w:bCs/>
          <w:color w:val="000000" w:themeColor="text1"/>
          <w:sz w:val="24"/>
          <w:szCs w:val="24"/>
          <w:highlight w:val="none"/>
          <w:u w:val="single"/>
          <w:lang w:eastAsia="zh-CN"/>
          <w14:textFill>
            <w14:solidFill>
              <w14:schemeClr w14:val="tx1"/>
            </w14:solidFill>
          </w14:textFill>
        </w:rPr>
        <w:t>实验</w:t>
      </w:r>
      <w:r>
        <w:rPr>
          <w:rFonts w:hint="eastAsia" w:asciiTheme="minorEastAsia" w:hAnsiTheme="minorEastAsia" w:cstheme="minorEastAsia"/>
          <w:bCs/>
          <w:color w:val="000000" w:themeColor="text1"/>
          <w:sz w:val="24"/>
          <w:szCs w:val="24"/>
          <w:highlight w:val="none"/>
          <w:u w:val="single"/>
          <w:lang w:val="en-US" w:eastAsia="zh-CN"/>
          <w14:textFill>
            <w14:solidFill>
              <w14:schemeClr w14:val="tx1"/>
            </w14:solidFill>
          </w14:textFill>
        </w:rPr>
        <w:t>室建设工程采购</w:t>
      </w:r>
      <w:r>
        <w:rPr>
          <w:rFonts w:hint="eastAsia" w:ascii="宋体" w:hAnsi="宋体" w:eastAsia="宋体" w:cs="Times New Roman"/>
          <w:color w:val="000000" w:themeColor="text1"/>
          <w:sz w:val="24"/>
          <w:szCs w:val="24"/>
          <w14:textFill>
            <w14:solidFill>
              <w14:schemeClr w14:val="tx1"/>
            </w14:solidFill>
          </w14:textFill>
        </w:rPr>
        <w:t>详见招标文件技术参数和货物清单</w:t>
      </w:r>
    </w:p>
    <w:p>
      <w:pPr>
        <w:widowControl/>
        <w:numPr>
          <w:ilvl w:val="0"/>
          <w:numId w:val="2"/>
        </w:numPr>
        <w:spacing w:line="460" w:lineRule="exact"/>
        <w:ind w:left="420" w:leftChars="0" w:hanging="420" w:firstLineChars="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采购预算</w:t>
      </w:r>
      <w:r>
        <w:rPr>
          <w:rFonts w:hint="eastAsia"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lang w:eastAsia="zh-CN"/>
          <w14:textFill>
            <w14:solidFill>
              <w14:schemeClr w14:val="tx1"/>
            </w14:solidFill>
          </w14:textFill>
        </w:rPr>
        <w:t>人民币</w:t>
      </w:r>
      <w:r>
        <w:rPr>
          <w:rFonts w:hint="default" w:ascii="宋体" w:hAnsi="宋体" w:eastAsia="宋体" w:cs="Times New Roman"/>
          <w:b/>
          <w:color w:val="000000" w:themeColor="text1"/>
          <w:sz w:val="24"/>
          <w:szCs w:val="24"/>
          <w:highlight w:val="none"/>
          <w:lang w:val="en-US" w:eastAsia="zh-CN"/>
          <w14:textFill>
            <w14:solidFill>
              <w14:schemeClr w14:val="tx1"/>
            </w14:solidFill>
          </w14:textFill>
        </w:rPr>
        <w:t>153.830516</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万元</w:t>
      </w:r>
    </w:p>
    <w:p>
      <w:pPr>
        <w:numPr>
          <w:ilvl w:val="0"/>
          <w:numId w:val="2"/>
        </w:numPr>
        <w:spacing w:line="360" w:lineRule="auto"/>
        <w:ind w:left="420" w:leftChars="0" w:hanging="420" w:firstLine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资金来源：</w:t>
      </w:r>
      <w:r>
        <w:rPr>
          <w:rFonts w:hint="eastAsia" w:ascii="宋体" w:hAnsi="宋体" w:eastAsia="宋体" w:cs="Times New Roman"/>
          <w:b/>
          <w:bCs/>
          <w:color w:val="000000" w:themeColor="text1"/>
          <w:sz w:val="24"/>
          <w:szCs w:val="24"/>
          <w:lang w:eastAsia="zh-CN"/>
          <w14:textFill>
            <w14:solidFill>
              <w14:schemeClr w14:val="tx1"/>
            </w14:solidFill>
          </w14:textFill>
        </w:rPr>
        <w:t>政府资金</w:t>
      </w:r>
    </w:p>
    <w:p>
      <w:pPr>
        <w:numPr>
          <w:ilvl w:val="0"/>
          <w:numId w:val="2"/>
        </w:numPr>
        <w:spacing w:line="360" w:lineRule="auto"/>
        <w:ind w:left="420" w:leftChars="0" w:hanging="420" w:firstLine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政府集中采购项目：否</w:t>
      </w:r>
    </w:p>
    <w:p>
      <w:pPr>
        <w:numPr>
          <w:ilvl w:val="0"/>
          <w:numId w:val="2"/>
        </w:numPr>
        <w:spacing w:line="360" w:lineRule="auto"/>
        <w:ind w:left="420" w:leftChars="0" w:hanging="420" w:firstLineChars="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投标人资格要求：</w:t>
      </w:r>
    </w:p>
    <w:p>
      <w:pPr>
        <w:numPr>
          <w:ilvl w:val="0"/>
          <w:numId w:val="3"/>
        </w:numPr>
        <w:tabs>
          <w:tab w:val="left" w:pos="896"/>
        </w:tabs>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应具备《政府采购法》第二十二条第一款规定的条件；</w:t>
      </w:r>
    </w:p>
    <w:p>
      <w:pPr>
        <w:numPr>
          <w:ilvl w:val="0"/>
          <w:numId w:val="3"/>
        </w:numPr>
        <w:tabs>
          <w:tab w:val="left" w:pos="896"/>
        </w:tabs>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Times New Roman" w:hAnsi="Times New Roman" w:cs="Times New Roman"/>
          <w:sz w:val="24"/>
          <w:szCs w:val="24"/>
        </w:rPr>
        <w:t>参加本次政府采购活动前三年内，在经营活动中没有重大违法记录并须提交《参加政府采购活动前3年内在经营活动中没有重大违法记录的书面声明》，且必须未被列入"信用中国"网站失信被执行人（须提供网站截图）、重大税收违法案件当事人、</w:t>
      </w:r>
      <w:r>
        <w:rPr>
          <w:rFonts w:hint="eastAsia" w:ascii="Times New Roman" w:hAnsi="Times New Roman" w:cs="Times New Roman"/>
          <w:sz w:val="24"/>
          <w:szCs w:val="24"/>
          <w:lang w:val="en-US" w:eastAsia="zh-CN"/>
        </w:rPr>
        <w:t>未被中国</w:t>
      </w:r>
      <w:r>
        <w:rPr>
          <w:rFonts w:hint="eastAsia" w:ascii="Times New Roman" w:hAnsi="Times New Roman" w:cs="Times New Roman"/>
          <w:sz w:val="24"/>
          <w:szCs w:val="24"/>
        </w:rPr>
        <w:t>政府采购</w:t>
      </w:r>
      <w:r>
        <w:rPr>
          <w:rFonts w:hint="eastAsia" w:ascii="Times New Roman" w:hAnsi="Times New Roman" w:cs="Times New Roman"/>
          <w:sz w:val="24"/>
          <w:szCs w:val="24"/>
          <w:lang w:eastAsia="zh-CN"/>
        </w:rPr>
        <w:t>网</w:t>
      </w:r>
      <w:r>
        <w:rPr>
          <w:rFonts w:hint="eastAsia" w:ascii="Times New Roman" w:hAnsi="Times New Roman" w:cs="Times New Roman"/>
          <w:sz w:val="24"/>
          <w:szCs w:val="24"/>
          <w:lang w:val="en-US" w:eastAsia="zh-CN"/>
        </w:rPr>
        <w:t>列入</w:t>
      </w:r>
      <w:r>
        <w:rPr>
          <w:rFonts w:hint="eastAsia" w:ascii="Times New Roman" w:hAnsi="Times New Roman" w:cs="Times New Roman"/>
          <w:sz w:val="24"/>
          <w:szCs w:val="24"/>
        </w:rPr>
        <w:t>严重违法失信行为记录名单。</w:t>
      </w:r>
    </w:p>
    <w:p>
      <w:pPr>
        <w:keepNext w:val="0"/>
        <w:keepLines w:val="0"/>
        <w:pageBreakBefore w:val="0"/>
        <w:numPr>
          <w:ilvl w:val="0"/>
          <w:numId w:val="3"/>
        </w:numPr>
        <w:tabs>
          <w:tab w:val="left" w:pos="896"/>
        </w:tabs>
        <w:kinsoku/>
        <w:wordWrap/>
        <w:overflowPunct/>
        <w:topLinePunct w:val="0"/>
        <w:autoSpaceDE/>
        <w:autoSpaceDN/>
        <w:bidi w:val="0"/>
        <w:adjustRightInd/>
        <w:snapToGrid/>
        <w:spacing w:line="360" w:lineRule="auto"/>
        <w:ind w:left="901" w:leftChars="0" w:hanging="420" w:firstLineChars="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不接受联合体形式的投标。</w:t>
      </w:r>
    </w:p>
    <w:p>
      <w:pPr>
        <w:numPr>
          <w:ilvl w:val="0"/>
          <w:numId w:val="2"/>
        </w:numPr>
        <w:spacing w:line="360" w:lineRule="auto"/>
        <w:ind w:left="490" w:hanging="490"/>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招标文件获取</w:t>
      </w:r>
      <w:r>
        <w:rPr>
          <w:rFonts w:hint="eastAsia" w:ascii="宋体" w:hAnsi="宋体" w:eastAsia="宋体" w:cs="宋体"/>
          <w:b/>
          <w:color w:val="000000" w:themeColor="text1"/>
          <w:kern w:val="0"/>
          <w:sz w:val="24"/>
          <w:szCs w:val="24"/>
          <w14:textFill>
            <w14:solidFill>
              <w14:schemeClr w14:val="tx1"/>
            </w14:solidFill>
          </w14:textFill>
        </w:rPr>
        <w:t>：</w:t>
      </w:r>
    </w:p>
    <w:p>
      <w:pPr>
        <w:widowControl/>
        <w:adjustRightInd w:val="0"/>
        <w:snapToGrid w:val="0"/>
        <w:spacing w:line="360" w:lineRule="auto"/>
        <w:ind w:firstLine="360" w:firstLineChars="150"/>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本项目实行网上下载标书，招标文件与本招标公告同时发布（见招标文件下载），凡自愿参加本项目投标者，</w:t>
      </w:r>
      <w:r>
        <w:rPr>
          <w:rFonts w:hint="eastAsia" w:ascii="宋体" w:hAnsi="宋体" w:eastAsia="宋体" w:cs="Times New Roman"/>
          <w:color w:val="000000" w:themeColor="text1"/>
          <w:sz w:val="24"/>
          <w:szCs w:val="24"/>
          <w:highlight w:val="yellow"/>
          <w14:textFill>
            <w14:solidFill>
              <w14:schemeClr w14:val="tx1"/>
            </w14:solidFill>
          </w14:textFill>
        </w:rPr>
        <w:t>请于</w:t>
      </w:r>
      <w:r>
        <w:rPr>
          <w:rFonts w:hint="eastAsia" w:ascii="宋体" w:hAnsi="宋体" w:eastAsia="宋体" w:cs="Times New Roman"/>
          <w:color w:val="000000"/>
          <w:sz w:val="24"/>
          <w:szCs w:val="24"/>
          <w:highlight w:val="yellow"/>
          <w:lang w:val="en-US" w:eastAsia="zh-CN"/>
        </w:rPr>
        <w:t>2019</w:t>
      </w:r>
      <w:r>
        <w:rPr>
          <w:rFonts w:hint="eastAsia" w:ascii="宋体" w:hAnsi="宋体" w:eastAsia="宋体" w:cs="Times New Roman"/>
          <w:color w:val="000000"/>
          <w:sz w:val="24"/>
          <w:szCs w:val="24"/>
          <w:highlight w:val="yellow"/>
        </w:rPr>
        <w:t>年</w:t>
      </w:r>
      <w:r>
        <w:rPr>
          <w:rFonts w:hint="eastAsia" w:ascii="宋体" w:hAnsi="宋体" w:eastAsia="宋体" w:cs="Times New Roman"/>
          <w:color w:val="000000"/>
          <w:sz w:val="24"/>
          <w:szCs w:val="24"/>
          <w:highlight w:val="yellow"/>
          <w:lang w:val="en-US" w:eastAsia="zh-CN"/>
        </w:rPr>
        <w:t xml:space="preserve"> </w:t>
      </w:r>
      <w:r>
        <w:rPr>
          <w:rFonts w:hint="default" w:ascii="宋体" w:hAnsi="宋体" w:eastAsia="宋体" w:cs="Times New Roman"/>
          <w:color w:val="000000"/>
          <w:sz w:val="24"/>
          <w:szCs w:val="24"/>
          <w:highlight w:val="yellow"/>
          <w:lang w:val="en-US" w:eastAsia="zh-CN"/>
        </w:rPr>
        <w:t>1</w:t>
      </w:r>
      <w:r>
        <w:rPr>
          <w:rFonts w:hint="eastAsia" w:ascii="宋体" w:hAnsi="宋体" w:cs="Times New Roman"/>
          <w:color w:val="000000"/>
          <w:sz w:val="24"/>
          <w:szCs w:val="24"/>
          <w:highlight w:val="yellow"/>
          <w:lang w:val="en-US" w:eastAsia="zh-CN"/>
        </w:rPr>
        <w:t>1</w:t>
      </w:r>
      <w:r>
        <w:rPr>
          <w:rFonts w:hint="eastAsia" w:ascii="宋体" w:hAnsi="宋体" w:eastAsia="宋体" w:cs="Times New Roman"/>
          <w:color w:val="000000"/>
          <w:sz w:val="24"/>
          <w:szCs w:val="24"/>
          <w:highlight w:val="yellow"/>
          <w:lang w:val="en-US" w:eastAsia="zh-CN"/>
        </w:rPr>
        <w:t xml:space="preserve"> </w:t>
      </w:r>
      <w:r>
        <w:rPr>
          <w:rFonts w:hint="eastAsia" w:ascii="宋体" w:hAnsi="宋体" w:eastAsia="宋体" w:cs="Times New Roman"/>
          <w:color w:val="000000"/>
          <w:sz w:val="24"/>
          <w:szCs w:val="24"/>
          <w:highlight w:val="yellow"/>
        </w:rPr>
        <w:t>月</w:t>
      </w:r>
      <w:r>
        <w:rPr>
          <w:rFonts w:hint="eastAsia" w:ascii="宋体" w:hAnsi="宋体" w:cs="Times New Roman"/>
          <w:color w:val="000000"/>
          <w:sz w:val="24"/>
          <w:szCs w:val="24"/>
          <w:highlight w:val="yellow"/>
          <w:lang w:val="en-US" w:eastAsia="zh-CN"/>
        </w:rPr>
        <w:t xml:space="preserve">13 </w:t>
      </w:r>
      <w:r>
        <w:rPr>
          <w:rFonts w:hint="eastAsia" w:ascii="宋体" w:hAnsi="宋体" w:eastAsia="宋体" w:cs="Times New Roman"/>
          <w:color w:val="000000"/>
          <w:sz w:val="24"/>
          <w:szCs w:val="24"/>
          <w:highlight w:val="yellow"/>
        </w:rPr>
        <w:t>日至</w:t>
      </w:r>
      <w:r>
        <w:rPr>
          <w:rFonts w:hint="eastAsia" w:ascii="宋体" w:hAnsi="宋体" w:eastAsia="宋体" w:cs="Times New Roman"/>
          <w:color w:val="000000"/>
          <w:sz w:val="24"/>
          <w:szCs w:val="24"/>
          <w:highlight w:val="yellow"/>
          <w:lang w:val="en-US" w:eastAsia="zh-CN"/>
        </w:rPr>
        <w:t>2019</w:t>
      </w:r>
      <w:r>
        <w:rPr>
          <w:rFonts w:hint="eastAsia" w:ascii="宋体" w:hAnsi="宋体" w:eastAsia="宋体" w:cs="Times New Roman"/>
          <w:color w:val="000000"/>
          <w:sz w:val="24"/>
          <w:szCs w:val="24"/>
          <w:highlight w:val="yellow"/>
        </w:rPr>
        <w:t>年</w:t>
      </w:r>
      <w:r>
        <w:rPr>
          <w:rFonts w:hint="eastAsia" w:ascii="宋体" w:hAnsi="宋体" w:eastAsia="宋体" w:cs="Times New Roman"/>
          <w:color w:val="000000"/>
          <w:sz w:val="24"/>
          <w:szCs w:val="24"/>
          <w:highlight w:val="yellow"/>
          <w:lang w:val="en-US" w:eastAsia="zh-CN"/>
        </w:rPr>
        <w:t xml:space="preserve"> </w:t>
      </w:r>
      <w:r>
        <w:rPr>
          <w:rFonts w:hint="default" w:ascii="宋体" w:hAnsi="宋体" w:eastAsia="宋体" w:cs="Times New Roman"/>
          <w:color w:val="000000"/>
          <w:sz w:val="24"/>
          <w:szCs w:val="24"/>
          <w:highlight w:val="yellow"/>
          <w:lang w:val="en-US" w:eastAsia="zh-CN"/>
        </w:rPr>
        <w:t>1</w:t>
      </w:r>
      <w:r>
        <w:rPr>
          <w:rFonts w:hint="eastAsia" w:ascii="宋体" w:hAnsi="宋体" w:cs="Times New Roman"/>
          <w:color w:val="000000"/>
          <w:sz w:val="24"/>
          <w:szCs w:val="24"/>
          <w:highlight w:val="yellow"/>
          <w:lang w:val="en-US" w:eastAsia="zh-CN"/>
        </w:rPr>
        <w:t>1</w:t>
      </w:r>
      <w:r>
        <w:rPr>
          <w:rFonts w:hint="eastAsia" w:ascii="宋体" w:hAnsi="宋体" w:eastAsia="宋体" w:cs="Times New Roman"/>
          <w:color w:val="000000"/>
          <w:sz w:val="24"/>
          <w:szCs w:val="24"/>
          <w:highlight w:val="yellow"/>
          <w:lang w:val="en-US" w:eastAsia="zh-CN"/>
        </w:rPr>
        <w:t xml:space="preserve"> </w:t>
      </w:r>
      <w:r>
        <w:rPr>
          <w:rFonts w:hint="eastAsia" w:ascii="宋体" w:hAnsi="宋体" w:eastAsia="宋体" w:cs="Times New Roman"/>
          <w:color w:val="000000"/>
          <w:sz w:val="24"/>
          <w:szCs w:val="24"/>
          <w:highlight w:val="yellow"/>
        </w:rPr>
        <w:t>月</w:t>
      </w:r>
      <w:r>
        <w:rPr>
          <w:rFonts w:hint="eastAsia" w:ascii="宋体" w:hAnsi="宋体" w:cs="Times New Roman"/>
          <w:color w:val="000000"/>
          <w:sz w:val="24"/>
          <w:szCs w:val="24"/>
          <w:highlight w:val="yellow"/>
          <w:lang w:val="en-US" w:eastAsia="zh-CN"/>
        </w:rPr>
        <w:t>20日17时30分</w:t>
      </w:r>
      <w:bookmarkStart w:id="211" w:name="_GoBack"/>
      <w:bookmarkEnd w:id="211"/>
      <w:r>
        <w:rPr>
          <w:rFonts w:hint="eastAsia" w:ascii="宋体" w:hAnsi="宋体" w:eastAsia="宋体" w:cs="Times New Roman"/>
          <w:color w:val="000000" w:themeColor="text1"/>
          <w:sz w:val="24"/>
          <w:szCs w:val="24"/>
          <w:highlight w:val="yellow"/>
          <w14:textFill>
            <w14:solidFill>
              <w14:schemeClr w14:val="tx1"/>
            </w14:solidFill>
          </w14:textFill>
        </w:rPr>
        <w:t>前</w:t>
      </w:r>
      <w:r>
        <w:rPr>
          <w:rFonts w:hint="eastAsia" w:ascii="宋体" w:hAnsi="宋体" w:eastAsia="宋体" w:cs="Times New Roman"/>
          <w:color w:val="000000" w:themeColor="text1"/>
          <w:sz w:val="24"/>
          <w:szCs w:val="24"/>
          <w14:textFill>
            <w14:solidFill>
              <w14:schemeClr w14:val="tx1"/>
            </w14:solidFill>
          </w14:textFill>
        </w:rPr>
        <w:t>点击项目招标公告中的链接免费下载招标文件，并在投标截止时间前办理所有投标手续并同时递交投标文件。</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投标信息：</w:t>
      </w:r>
    </w:p>
    <w:p>
      <w:pPr>
        <w:spacing w:line="360" w:lineRule="auto"/>
        <w:ind w:firstLine="470" w:firstLineChars="196"/>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投标文件递交</w:t>
      </w:r>
      <w:r>
        <w:rPr>
          <w:rFonts w:hint="eastAsia" w:ascii="宋体" w:hAnsi="宋体" w:eastAsia="宋体" w:cs="宋体"/>
          <w:color w:val="000000" w:themeColor="text1"/>
          <w:kern w:val="0"/>
          <w:sz w:val="24"/>
          <w:szCs w:val="24"/>
          <w:highlight w:val="none"/>
          <w14:textFill>
            <w14:solidFill>
              <w14:schemeClr w14:val="tx1"/>
            </w14:solidFill>
          </w14:textFill>
        </w:rPr>
        <w:t>截止时间：</w:t>
      </w:r>
      <w:r>
        <w:rPr>
          <w:rFonts w:hint="eastAsia" w:ascii="宋体" w:hAnsi="宋体" w:eastAsia="宋体" w:cs="宋体"/>
          <w:color w:val="000000"/>
          <w:kern w:val="0"/>
          <w:sz w:val="24"/>
          <w:szCs w:val="24"/>
          <w:highlight w:val="yellow"/>
          <w:lang w:val="en-US" w:eastAsia="zh-CN"/>
        </w:rPr>
        <w:t>2019</w:t>
      </w:r>
      <w:r>
        <w:rPr>
          <w:rFonts w:hint="eastAsia" w:ascii="宋体" w:hAnsi="宋体" w:eastAsia="宋体" w:cs="Times New Roman"/>
          <w:color w:val="000000"/>
          <w:sz w:val="24"/>
          <w:szCs w:val="24"/>
          <w:highlight w:val="yellow"/>
        </w:rPr>
        <w:t>年</w:t>
      </w:r>
      <w:r>
        <w:rPr>
          <w:rFonts w:hint="default" w:ascii="宋体" w:hAnsi="宋体" w:eastAsia="宋体" w:cs="Times New Roman"/>
          <w:color w:val="000000"/>
          <w:sz w:val="24"/>
          <w:szCs w:val="24"/>
          <w:highlight w:val="yellow"/>
          <w:lang w:val="en-US"/>
        </w:rPr>
        <w:t>1</w:t>
      </w:r>
      <w:r>
        <w:rPr>
          <w:rFonts w:hint="eastAsia" w:ascii="宋体" w:hAnsi="宋体" w:cs="Times New Roman"/>
          <w:color w:val="000000"/>
          <w:sz w:val="24"/>
          <w:szCs w:val="24"/>
          <w:highlight w:val="yellow"/>
          <w:lang w:val="en-US" w:eastAsia="zh-CN"/>
        </w:rPr>
        <w:t>2</w:t>
      </w:r>
      <w:r>
        <w:rPr>
          <w:rFonts w:hint="eastAsia" w:ascii="宋体" w:hAnsi="宋体" w:eastAsia="宋体" w:cs="Times New Roman"/>
          <w:color w:val="000000"/>
          <w:sz w:val="24"/>
          <w:szCs w:val="24"/>
          <w:highlight w:val="yellow"/>
        </w:rPr>
        <w:t>月</w:t>
      </w:r>
      <w:r>
        <w:rPr>
          <w:rFonts w:hint="eastAsia" w:ascii="宋体" w:hAnsi="宋体" w:cs="Times New Roman"/>
          <w:color w:val="000000"/>
          <w:sz w:val="24"/>
          <w:szCs w:val="24"/>
          <w:highlight w:val="yellow"/>
          <w:lang w:val="en-US" w:eastAsia="zh-CN"/>
        </w:rPr>
        <w:t>4</w:t>
      </w:r>
      <w:r>
        <w:rPr>
          <w:rFonts w:hint="eastAsia" w:ascii="宋体" w:hAnsi="宋体" w:eastAsia="宋体" w:cs="Times New Roman"/>
          <w:color w:val="000000"/>
          <w:sz w:val="24"/>
          <w:szCs w:val="24"/>
          <w:highlight w:val="yellow"/>
        </w:rPr>
        <w:t xml:space="preserve"> 日</w:t>
      </w:r>
      <w:r>
        <w:rPr>
          <w:rFonts w:hint="eastAsia" w:ascii="宋体" w:hAnsi="宋体" w:eastAsia="宋体" w:cs="Times New Roman"/>
          <w:color w:val="000000"/>
          <w:sz w:val="24"/>
          <w:szCs w:val="24"/>
          <w:highlight w:val="yellow"/>
          <w:lang w:val="en-US" w:eastAsia="zh-CN"/>
        </w:rPr>
        <w:t xml:space="preserve"> </w:t>
      </w:r>
      <w:r>
        <w:rPr>
          <w:rFonts w:hint="default" w:ascii="宋体" w:hAnsi="宋体" w:eastAsia="宋体" w:cs="Times New Roman"/>
          <w:color w:val="000000"/>
          <w:sz w:val="24"/>
          <w:szCs w:val="24"/>
          <w:highlight w:val="yellow"/>
          <w:lang w:val="en-US" w:eastAsia="zh-CN"/>
        </w:rPr>
        <w:t>9</w:t>
      </w:r>
      <w:r>
        <w:rPr>
          <w:rFonts w:hint="eastAsia" w:ascii="宋体" w:hAnsi="宋体" w:eastAsia="宋体" w:cs="Times New Roman"/>
          <w:color w:val="000000"/>
          <w:sz w:val="24"/>
          <w:szCs w:val="24"/>
          <w:highlight w:val="yellow"/>
          <w:lang w:val="en-US" w:eastAsia="zh-CN"/>
        </w:rPr>
        <w:t xml:space="preserve"> 时</w:t>
      </w:r>
      <w:r>
        <w:rPr>
          <w:rFonts w:hint="default" w:ascii="宋体" w:hAnsi="宋体" w:eastAsia="宋体" w:cs="Times New Roman"/>
          <w:color w:val="000000"/>
          <w:sz w:val="24"/>
          <w:szCs w:val="24"/>
          <w:highlight w:val="yellow"/>
          <w:lang w:val="en-US" w:eastAsia="zh-CN"/>
        </w:rPr>
        <w:t>00</w:t>
      </w:r>
      <w:r>
        <w:rPr>
          <w:rFonts w:hint="eastAsia" w:ascii="宋体" w:hAnsi="宋体" w:eastAsia="宋体" w:cs="Times New Roman"/>
          <w:color w:val="000000"/>
          <w:sz w:val="24"/>
          <w:szCs w:val="24"/>
          <w:highlight w:val="yellow"/>
          <w:lang w:val="en-US" w:eastAsia="zh-CN"/>
        </w:rPr>
        <w:t xml:space="preserve"> 分 </w:t>
      </w:r>
      <w:r>
        <w:rPr>
          <w:rFonts w:hint="eastAsia" w:ascii="宋体" w:hAnsi="宋体" w:eastAsia="宋体" w:cs="Times New Roman"/>
          <w:color w:val="000000" w:themeColor="text1"/>
          <w:sz w:val="24"/>
          <w:szCs w:val="24"/>
          <w:highlight w:val="yellow"/>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yellow"/>
          <w14:textFill>
            <w14:solidFill>
              <w14:schemeClr w14:val="tx1"/>
            </w14:solidFill>
          </w14:textFill>
        </w:rPr>
        <w:t xml:space="preserve">  </w:t>
      </w:r>
      <w:r>
        <w:rPr>
          <w:rFonts w:hint="eastAsia" w:ascii="宋体" w:hAnsi="宋体" w:eastAsia="宋体" w:cs="宋体"/>
          <w:color w:val="000000" w:themeColor="text1"/>
          <w:kern w:val="0"/>
          <w:sz w:val="24"/>
          <w:szCs w:val="24"/>
          <w:highlight w:val="yellow"/>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分开始接收投标文件，拒收逾期送达或者未按招标文件要求密封的投标文件）</w:t>
      </w:r>
    </w:p>
    <w:p>
      <w:pPr>
        <w:widowControl/>
        <w:spacing w:line="360" w:lineRule="auto"/>
        <w:ind w:firstLine="470" w:firstLineChars="196"/>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投标文件递交地点：阳新县公共资源交易中心</w:t>
      </w:r>
      <w:r>
        <w:rPr>
          <w:rFonts w:hint="eastAsia" w:ascii="宋体" w:hAnsi="宋体" w:eastAsia="宋体" w:cs="宋体"/>
          <w:color w:val="000000" w:themeColor="text1"/>
          <w:kern w:val="0"/>
          <w:sz w:val="24"/>
          <w:szCs w:val="24"/>
          <w:lang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楼开标</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二</w:t>
      </w:r>
      <w:r>
        <w:rPr>
          <w:rFonts w:hint="eastAsia" w:ascii="宋体" w:hAnsi="宋体" w:eastAsia="宋体" w:cs="宋体"/>
          <w:color w:val="000000" w:themeColor="text1"/>
          <w:kern w:val="0"/>
          <w:sz w:val="24"/>
          <w:szCs w:val="24"/>
          <w14:textFill>
            <w14:solidFill>
              <w14:schemeClr w14:val="tx1"/>
            </w14:solidFill>
          </w14:textFill>
        </w:rPr>
        <w:t>大厅（阳新县熊家垴安置小区东侧）</w:t>
      </w:r>
    </w:p>
    <w:p>
      <w:pPr>
        <w:widowControl/>
        <w:spacing w:line="357" w:lineRule="atLeast"/>
        <w:ind w:firstLine="480" w:firstLineChars="200"/>
        <w:textAlignment w:val="baseline"/>
        <w:rPr>
          <w:rFonts w:ascii="宋体" w:hAnsi="宋体" w:eastAsia="宋体" w:cs="宋体"/>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届时请参加投标的授权代表携带有效身份证、法人身份证明书或法人委托授权书（原件）出席开标大会，否则视同认可开标结果。</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开标信息：</w:t>
      </w:r>
    </w:p>
    <w:p>
      <w:pPr>
        <w:spacing w:line="360" w:lineRule="auto"/>
        <w:ind w:firstLine="470" w:firstLineChars="196"/>
        <w:rPr>
          <w:rFonts w:ascii="宋体" w:hAnsi="宋体" w:eastAsia="宋体" w:cs="Times New Roman"/>
          <w:color w:val="000000" w:themeColor="text1"/>
          <w:sz w:val="24"/>
          <w:szCs w:val="24"/>
          <w:highlight w:val="yellow"/>
          <w:u w:val="single"/>
          <w14:textFill>
            <w14:solidFill>
              <w14:schemeClr w14:val="tx1"/>
            </w14:solidFill>
          </w14:textFill>
        </w:rPr>
      </w:pPr>
      <w:r>
        <w:rPr>
          <w:rFonts w:hint="eastAsia" w:ascii="宋体" w:hAnsi="宋体" w:eastAsia="宋体" w:cs="宋体"/>
          <w:color w:val="000000" w:themeColor="text1"/>
          <w:kern w:val="0"/>
          <w:sz w:val="24"/>
          <w:szCs w:val="24"/>
          <w:highlight w:val="yellow"/>
          <w14:textFill>
            <w14:solidFill>
              <w14:schemeClr w14:val="tx1"/>
            </w14:solidFill>
          </w14:textFill>
        </w:rPr>
        <w:t>开标时间：</w:t>
      </w:r>
      <w:r>
        <w:rPr>
          <w:rFonts w:hint="eastAsia" w:ascii="宋体" w:hAnsi="宋体" w:eastAsia="宋体" w:cs="宋体"/>
          <w:color w:val="000000"/>
          <w:kern w:val="0"/>
          <w:sz w:val="24"/>
          <w:szCs w:val="24"/>
          <w:highlight w:val="yellow"/>
          <w:lang w:val="en-US" w:eastAsia="zh-CN"/>
        </w:rPr>
        <w:t>2019</w:t>
      </w:r>
      <w:r>
        <w:rPr>
          <w:rFonts w:hint="eastAsia" w:ascii="宋体" w:hAnsi="宋体" w:eastAsia="宋体" w:cs="Times New Roman"/>
          <w:color w:val="000000"/>
          <w:sz w:val="24"/>
          <w:szCs w:val="24"/>
          <w:highlight w:val="yellow"/>
        </w:rPr>
        <w:t>年</w:t>
      </w:r>
      <w:r>
        <w:rPr>
          <w:rFonts w:hint="default" w:ascii="宋体" w:hAnsi="宋体" w:eastAsia="宋体" w:cs="Times New Roman"/>
          <w:color w:val="000000"/>
          <w:sz w:val="24"/>
          <w:szCs w:val="24"/>
          <w:highlight w:val="yellow"/>
          <w:lang w:val="en-US"/>
        </w:rPr>
        <w:t>1</w:t>
      </w:r>
      <w:r>
        <w:rPr>
          <w:rFonts w:hint="eastAsia" w:ascii="宋体" w:hAnsi="宋体" w:cs="Times New Roman"/>
          <w:color w:val="000000"/>
          <w:sz w:val="24"/>
          <w:szCs w:val="24"/>
          <w:highlight w:val="yellow"/>
          <w:lang w:val="en-US" w:eastAsia="zh-CN"/>
        </w:rPr>
        <w:t>2</w:t>
      </w:r>
      <w:r>
        <w:rPr>
          <w:rFonts w:hint="eastAsia" w:ascii="宋体" w:hAnsi="宋体" w:eastAsia="宋体" w:cs="Times New Roman"/>
          <w:color w:val="000000"/>
          <w:sz w:val="24"/>
          <w:szCs w:val="24"/>
          <w:highlight w:val="yellow"/>
        </w:rPr>
        <w:t>月</w:t>
      </w:r>
      <w:r>
        <w:rPr>
          <w:rFonts w:hint="eastAsia" w:ascii="宋体" w:hAnsi="宋体" w:cs="Times New Roman"/>
          <w:color w:val="000000"/>
          <w:sz w:val="24"/>
          <w:szCs w:val="24"/>
          <w:highlight w:val="yellow"/>
          <w:lang w:val="en-US" w:eastAsia="zh-CN"/>
        </w:rPr>
        <w:t>4</w:t>
      </w:r>
      <w:r>
        <w:rPr>
          <w:rFonts w:hint="eastAsia" w:ascii="宋体" w:hAnsi="宋体" w:eastAsia="宋体" w:cs="Times New Roman"/>
          <w:color w:val="000000"/>
          <w:sz w:val="24"/>
          <w:szCs w:val="24"/>
          <w:highlight w:val="yellow"/>
        </w:rPr>
        <w:t xml:space="preserve"> 日</w:t>
      </w:r>
      <w:r>
        <w:rPr>
          <w:rFonts w:hint="eastAsia" w:ascii="宋体" w:hAnsi="宋体" w:eastAsia="宋体" w:cs="Times New Roman"/>
          <w:color w:val="000000"/>
          <w:sz w:val="24"/>
          <w:szCs w:val="24"/>
          <w:highlight w:val="yellow"/>
          <w:lang w:val="en-US" w:eastAsia="zh-CN"/>
        </w:rPr>
        <w:t xml:space="preserve"> </w:t>
      </w:r>
      <w:r>
        <w:rPr>
          <w:rFonts w:hint="default" w:ascii="宋体" w:hAnsi="宋体" w:eastAsia="宋体" w:cs="Times New Roman"/>
          <w:color w:val="000000"/>
          <w:sz w:val="24"/>
          <w:szCs w:val="24"/>
          <w:highlight w:val="yellow"/>
          <w:lang w:val="en-US" w:eastAsia="zh-CN"/>
        </w:rPr>
        <w:t>9</w:t>
      </w:r>
      <w:r>
        <w:rPr>
          <w:rFonts w:hint="eastAsia" w:ascii="宋体" w:hAnsi="宋体" w:eastAsia="宋体" w:cs="Times New Roman"/>
          <w:color w:val="000000"/>
          <w:sz w:val="24"/>
          <w:szCs w:val="24"/>
          <w:highlight w:val="yellow"/>
          <w:lang w:val="en-US" w:eastAsia="zh-CN"/>
        </w:rPr>
        <w:t xml:space="preserve"> 时</w:t>
      </w:r>
      <w:r>
        <w:rPr>
          <w:rFonts w:hint="default" w:ascii="宋体" w:hAnsi="宋体" w:eastAsia="宋体" w:cs="Times New Roman"/>
          <w:color w:val="000000"/>
          <w:sz w:val="24"/>
          <w:szCs w:val="24"/>
          <w:highlight w:val="yellow"/>
          <w:lang w:val="en-US" w:eastAsia="zh-CN"/>
        </w:rPr>
        <w:t>00</w:t>
      </w:r>
      <w:r>
        <w:rPr>
          <w:rFonts w:hint="eastAsia" w:ascii="宋体" w:hAnsi="宋体" w:eastAsia="宋体" w:cs="Times New Roman"/>
          <w:color w:val="000000"/>
          <w:sz w:val="24"/>
          <w:szCs w:val="24"/>
          <w:highlight w:val="yellow"/>
          <w:lang w:val="en-US" w:eastAsia="zh-CN"/>
        </w:rPr>
        <w:t xml:space="preserve"> 分 </w:t>
      </w:r>
      <w:r>
        <w:rPr>
          <w:rFonts w:hint="eastAsia" w:ascii="宋体" w:hAnsi="宋体" w:eastAsia="宋体" w:cs="Times New Roman"/>
          <w:color w:val="000000" w:themeColor="text1"/>
          <w:sz w:val="24"/>
          <w:szCs w:val="24"/>
          <w:highlight w:val="yellow"/>
          <w14:textFill>
            <w14:solidFill>
              <w14:schemeClr w14:val="tx1"/>
            </w14:solidFill>
          </w14:textFill>
        </w:rPr>
        <w:t xml:space="preserve">  </w:t>
      </w:r>
    </w:p>
    <w:p>
      <w:pPr>
        <w:spacing w:line="360" w:lineRule="auto"/>
        <w:ind w:firstLine="470" w:firstLineChars="196"/>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开标地点：阳新县公共资源交易中心</w:t>
      </w:r>
      <w:r>
        <w:rPr>
          <w:rFonts w:hint="eastAsia" w:ascii="宋体" w:hAnsi="宋体" w:eastAsia="宋体" w:cs="宋体"/>
          <w:color w:val="000000" w:themeColor="text1"/>
          <w:kern w:val="0"/>
          <w:sz w:val="24"/>
          <w:szCs w:val="24"/>
          <w:lang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楼开标大厅（阳新县熊家垴安置小区东侧）</w:t>
      </w:r>
    </w:p>
    <w:p>
      <w:pPr>
        <w:numPr>
          <w:ilvl w:val="0"/>
          <w:numId w:val="2"/>
        </w:numPr>
        <w:spacing w:line="360" w:lineRule="auto"/>
        <w:ind w:left="728" w:hanging="728"/>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公告期限：</w:t>
      </w:r>
      <w:r>
        <w:rPr>
          <w:rFonts w:hint="eastAsia" w:ascii="宋体" w:hAnsi="宋体" w:eastAsia="宋体" w:cs="Times New Roman"/>
          <w:color w:val="000000" w:themeColor="text1"/>
          <w:sz w:val="24"/>
          <w:szCs w:val="24"/>
          <w14:textFill>
            <w14:solidFill>
              <w14:schemeClr w14:val="tx1"/>
            </w14:solidFill>
          </w14:textFill>
        </w:rPr>
        <w:t>自公告发布之日起5个工作日。</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质疑：</w:t>
      </w:r>
    </w:p>
    <w:p>
      <w:pPr>
        <w:spacing w:line="360" w:lineRule="auto"/>
        <w:ind w:firstLine="480" w:firstLineChars="200"/>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投标人认为招标文件、招标过程和中标结果使自己的权益受到损害的，可以在知道或者应知其权益受到损害之日起7个工作日内，向提出</w:t>
      </w:r>
      <w:r>
        <w:rPr>
          <w:rFonts w:hint="eastAsia" w:cs="宋体"/>
          <w:color w:val="000000" w:themeColor="text1"/>
          <w:kern w:val="0"/>
          <w:sz w:val="24"/>
          <w:szCs w:val="24"/>
          <w:lang w:val="zh-CN"/>
          <w14:textFill>
            <w14:solidFill>
              <w14:schemeClr w14:val="tx1"/>
            </w14:solidFill>
          </w14:textFill>
        </w:rPr>
        <w:t>书面</w:t>
      </w:r>
      <w:r>
        <w:rPr>
          <w:rFonts w:hint="eastAsia" w:ascii="宋体" w:hAnsi="宋体" w:eastAsia="宋体" w:cs="宋体"/>
          <w:color w:val="000000" w:themeColor="text1"/>
          <w:kern w:val="0"/>
          <w:sz w:val="24"/>
          <w:szCs w:val="24"/>
          <w:lang w:val="zh-CN"/>
          <w14:textFill>
            <w14:solidFill>
              <w14:schemeClr w14:val="tx1"/>
            </w14:solidFill>
          </w14:textFill>
        </w:rPr>
        <w:t>质疑。</w:t>
      </w:r>
      <w:r>
        <w:rPr>
          <w:rFonts w:hint="eastAsia" w:ascii="宋体" w:hAnsi="宋体" w:eastAsia="宋体" w:cs="宋体"/>
          <w:color w:val="000000" w:themeColor="text1"/>
          <w:kern w:val="0"/>
          <w:sz w:val="24"/>
          <w:szCs w:val="24"/>
          <w14:textFill>
            <w14:solidFill>
              <w14:schemeClr w14:val="tx1"/>
            </w14:solidFill>
          </w14:textFill>
        </w:rPr>
        <w:t>质疑时请提交书面质疑函一份（法人代表签字、加盖单位公章。具体要求详见本招标文件“第二章 投标人须知”中的第八条之规定），并附相关证据材料。</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联系方式：</w:t>
      </w:r>
    </w:p>
    <w:p>
      <w:pPr>
        <w:widowControl/>
        <w:spacing w:line="360" w:lineRule="auto"/>
        <w:ind w:firstLine="480"/>
        <w:jc w:val="left"/>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采购</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人</w:t>
      </w:r>
      <w:r>
        <w:rPr>
          <w:rFonts w:hint="eastAsia" w:ascii="宋体" w:hAnsi="宋体" w:eastAsia="宋体" w:cs="宋体"/>
          <w:bCs/>
          <w:color w:val="000000" w:themeColor="text1"/>
          <w:kern w:val="0"/>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b/>
          <w:color w:val="000000" w:themeColor="text1"/>
          <w:sz w:val="24"/>
          <w:szCs w:val="24"/>
          <w:highlight w:val="none"/>
          <w:u w:val="single"/>
          <w:lang w:eastAsia="zh-CN"/>
          <w14:textFill>
            <w14:solidFill>
              <w14:schemeClr w14:val="tx1"/>
            </w14:solidFill>
          </w14:textFill>
        </w:rPr>
        <w:t>阳新县公安局</w:t>
      </w:r>
      <w:r>
        <w:rPr>
          <w:rFonts w:hint="eastAsia" w:ascii="宋体" w:hAnsi="宋体" w:eastAsia="宋体" w:cs="Times New Roman"/>
          <w:b/>
          <w:color w:val="000000" w:themeColor="text1"/>
          <w:sz w:val="24"/>
          <w:szCs w:val="24"/>
          <w:highlight w:val="none"/>
          <w:u w:val="single"/>
          <w14:textFill>
            <w14:solidFill>
              <w14:schemeClr w14:val="tx1"/>
            </w14:solidFill>
          </w14:textFill>
        </w:rPr>
        <w:t xml:space="preserve"> </w:t>
      </w:r>
    </w:p>
    <w:p>
      <w:pPr>
        <w:widowControl/>
        <w:spacing w:line="360" w:lineRule="auto"/>
        <w:ind w:firstLine="480"/>
        <w:jc w:val="left"/>
        <w:rPr>
          <w:rFonts w:hint="eastAsia" w:ascii="宋体" w:hAnsi="宋体" w:eastAsia="宋体" w:cs="Times New Roman"/>
          <w:b/>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联系人：</w:t>
      </w:r>
      <w:r>
        <w:rPr>
          <w:rFonts w:hint="eastAsia" w:ascii="宋体" w:hAnsi="宋体" w:eastAsia="宋体" w:cs="Times New Roman"/>
          <w:b/>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b/>
          <w:color w:val="000000" w:themeColor="text1"/>
          <w:sz w:val="24"/>
          <w:szCs w:val="24"/>
          <w:highlight w:val="none"/>
          <w:u w:val="single"/>
          <w:lang w:val="en-US" w:eastAsia="zh-CN"/>
          <w14:textFill>
            <w14:solidFill>
              <w14:schemeClr w14:val="tx1"/>
            </w14:solidFill>
          </w14:textFill>
        </w:rPr>
        <w:t xml:space="preserve">     吴光明    </w:t>
      </w:r>
    </w:p>
    <w:p>
      <w:pPr>
        <w:widowControl/>
        <w:spacing w:line="360" w:lineRule="auto"/>
        <w:ind w:firstLine="480"/>
        <w:jc w:val="left"/>
        <w:rPr>
          <w:rFonts w:hint="eastAsia" w:ascii="宋体" w:hAnsi="宋体" w:eastAsia="宋体" w:cs="Times New Roman"/>
          <w:b/>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联系电话：</w:t>
      </w:r>
      <w:r>
        <w:rPr>
          <w:rFonts w:hint="eastAsia" w:ascii="宋体" w:hAnsi="宋体" w:eastAsia="宋体" w:cs="Times New Roman"/>
          <w:b/>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b/>
          <w:color w:val="000000" w:themeColor="text1"/>
          <w:sz w:val="24"/>
          <w:szCs w:val="24"/>
          <w:highlight w:val="none"/>
          <w:u w:val="single"/>
          <w:lang w:val="en-US" w:eastAsia="zh-CN"/>
          <w14:textFill>
            <w14:solidFill>
              <w14:schemeClr w14:val="tx1"/>
            </w14:solidFill>
          </w14:textFill>
        </w:rPr>
        <w:t xml:space="preserve">13707239478  </w:t>
      </w:r>
    </w:p>
    <w:p>
      <w:pPr>
        <w:widowControl/>
        <w:spacing w:line="360" w:lineRule="auto"/>
        <w:ind w:firstLine="480"/>
        <w:jc w:val="left"/>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地址：</w:t>
      </w:r>
      <w:r>
        <w:rPr>
          <w:rFonts w:hint="eastAsia" w:ascii="宋体" w:hAnsi="宋体" w:eastAsia="宋体" w:cs="Times New Roman"/>
          <w:b/>
          <w:bCs w:val="0"/>
          <w:color w:val="000000" w:themeColor="text1"/>
          <w:sz w:val="24"/>
          <w:szCs w:val="24"/>
          <w:highlight w:val="none"/>
          <w:u w:val="single"/>
          <w:lang w:val="en-US" w:eastAsia="zh-CN"/>
          <w14:textFill>
            <w14:solidFill>
              <w14:schemeClr w14:val="tx1"/>
            </w14:solidFill>
          </w14:textFill>
        </w:rPr>
        <w:t xml:space="preserve">  </w:t>
      </w:r>
      <w:r>
        <w:rPr>
          <w:rFonts w:ascii="Arial" w:hAnsi="Arial" w:eastAsia="宋体" w:cs="Arial"/>
          <w:b/>
          <w:bCs w:val="0"/>
          <w:i w:val="0"/>
          <w:caps w:val="0"/>
          <w:color w:val="333333"/>
          <w:spacing w:val="0"/>
          <w:sz w:val="24"/>
          <w:szCs w:val="24"/>
          <w:highlight w:val="none"/>
          <w:u w:val="single"/>
          <w:shd w:val="clear" w:fill="FFFFFF"/>
        </w:rPr>
        <w:t>湖北省黄石市阳新县</w:t>
      </w:r>
      <w:r>
        <w:rPr>
          <w:rFonts w:hint="eastAsia" w:ascii="Arial" w:hAnsi="Arial" w:eastAsia="宋体" w:cs="Arial"/>
          <w:b/>
          <w:bCs w:val="0"/>
          <w:i w:val="0"/>
          <w:caps w:val="0"/>
          <w:color w:val="333333"/>
          <w:spacing w:val="0"/>
          <w:sz w:val="24"/>
          <w:szCs w:val="24"/>
          <w:highlight w:val="none"/>
          <w:u w:val="single"/>
          <w:shd w:val="clear" w:fill="FFFFFF"/>
          <w:lang w:val="en-US" w:eastAsia="zh-CN"/>
        </w:rPr>
        <w:t>兴国大道61-14号</w:t>
      </w:r>
    </w:p>
    <w:p>
      <w:pPr>
        <w:widowControl/>
        <w:spacing w:line="360" w:lineRule="auto"/>
        <w:ind w:firstLine="480"/>
        <w:jc w:val="left"/>
        <w:rPr>
          <w:rFonts w:hint="eastAsia" w:ascii="宋体" w:hAnsi="宋体" w:eastAsia="宋体" w:cs="宋体"/>
          <w:bCs/>
          <w:color w:val="000000" w:themeColor="text1"/>
          <w:kern w:val="0"/>
          <w:sz w:val="24"/>
          <w:szCs w:val="24"/>
          <w14:textFill>
            <w14:solidFill>
              <w14:schemeClr w14:val="tx1"/>
            </w14:solidFill>
          </w14:textFill>
        </w:rPr>
      </w:pP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采购</w:t>
      </w:r>
      <w:r>
        <w:rPr>
          <w:rFonts w:hint="eastAsia" w:ascii="宋体" w:hAnsi="宋体" w:eastAsia="宋体" w:cs="宋体"/>
          <w:bCs/>
          <w:color w:val="000000" w:themeColor="text1"/>
          <w:kern w:val="0"/>
          <w:sz w:val="24"/>
          <w:szCs w:val="24"/>
          <w:lang w:eastAsia="zh-CN"/>
          <w14:textFill>
            <w14:solidFill>
              <w14:schemeClr w14:val="tx1"/>
            </w14:solidFill>
          </w14:textFill>
        </w:rPr>
        <w:t>代理机构</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eastAsia="宋体" w:cs="Times New Roman"/>
          <w:b/>
          <w:color w:val="000000" w:themeColor="text1"/>
          <w:sz w:val="24"/>
          <w:szCs w:val="24"/>
          <w:u w:val="single"/>
          <w:lang w:eastAsia="zh-CN"/>
          <w14:textFill>
            <w14:solidFill>
              <w14:schemeClr w14:val="tx1"/>
            </w14:solidFill>
          </w14:textFill>
        </w:rPr>
        <w:t>湖北方圆工程造价咨询有限公司</w:t>
      </w:r>
      <w:r>
        <w:rPr>
          <w:rFonts w:hint="eastAsia" w:ascii="宋体" w:hAnsi="宋体" w:eastAsia="宋体" w:cs="Times New Roman"/>
          <w:b/>
          <w:color w:val="000000" w:themeColor="text1"/>
          <w:sz w:val="24"/>
          <w:szCs w:val="24"/>
          <w:u w:val="single"/>
          <w14:textFill>
            <w14:solidFill>
              <w14:schemeClr w14:val="tx1"/>
            </w14:solidFill>
          </w14:textFill>
        </w:rPr>
        <w:t xml:space="preserve"> </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联系人：</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潘泳安</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kern w:val="0"/>
          <w:sz w:val="24"/>
          <w:szCs w:val="24"/>
          <w14:textFill>
            <w14:solidFill>
              <w14:schemeClr w14:val="tx1"/>
            </w14:solidFill>
          </w14:textFill>
        </w:rPr>
        <w:t xml:space="preserve">    </w:t>
      </w:r>
    </w:p>
    <w:p>
      <w:pPr>
        <w:widowControl/>
        <w:spacing w:line="360" w:lineRule="auto"/>
        <w:ind w:firstLine="480"/>
        <w:jc w:val="left"/>
        <w:rPr>
          <w:rFonts w:hint="eastAsia" w:ascii="宋体" w:hAnsi="宋体" w:eastAsia="宋体" w:cs="Times New Roman"/>
          <w:b/>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联系电话</w:t>
      </w:r>
      <w:r>
        <w:rPr>
          <w:rFonts w:hint="eastAsia" w:ascii="宋体" w:hAnsi="宋体" w:eastAsia="宋体" w:cs="宋体"/>
          <w:b/>
          <w:bCs w:val="0"/>
          <w:color w:val="000000" w:themeColor="text1"/>
          <w:kern w:val="0"/>
          <w:sz w:val="24"/>
          <w:szCs w:val="24"/>
          <w:u w:val="single"/>
          <w14:textFill>
            <w14:solidFill>
              <w14:schemeClr w14:val="tx1"/>
            </w14:solidFill>
          </w14:textFill>
        </w:rPr>
        <w:t>：</w:t>
      </w:r>
      <w:r>
        <w:rPr>
          <w:rFonts w:hint="eastAsia" w:ascii="宋体" w:hAnsi="宋体" w:eastAsia="宋体" w:cs="宋体"/>
          <w:b/>
          <w:bCs w:val="0"/>
          <w:color w:val="000000" w:themeColor="text1"/>
          <w:kern w:val="0"/>
          <w:sz w:val="24"/>
          <w:szCs w:val="24"/>
          <w:u w:val="single"/>
          <w:lang w:val="en-US" w:eastAsia="zh-CN"/>
          <w14:textFill>
            <w14:solidFill>
              <w14:schemeClr w14:val="tx1"/>
            </w14:solidFill>
          </w14:textFill>
        </w:rPr>
        <w:t>0714-7337787</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地址：</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eastAsia="宋体" w:cs="Times New Roman"/>
          <w:b/>
          <w:color w:val="000000" w:themeColor="text1"/>
          <w:sz w:val="24"/>
          <w:szCs w:val="24"/>
          <w:u w:val="single"/>
          <w:lang w:eastAsia="zh-CN"/>
          <w14:textFill>
            <w14:solidFill>
              <w14:schemeClr w14:val="tx1"/>
            </w14:solidFill>
          </w14:textFill>
        </w:rPr>
        <w:t>阳新县兴国镇熊家垴小区</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1栋25楼2503</w:t>
      </w:r>
      <w:r>
        <w:rPr>
          <w:rFonts w:hint="eastAsia" w:ascii="宋体" w:hAnsi="宋体" w:eastAsia="宋体" w:cs="Times New Roman"/>
          <w:b/>
          <w:color w:val="000000" w:themeColor="text1"/>
          <w:sz w:val="24"/>
          <w:szCs w:val="24"/>
          <w:u w:val="single"/>
          <w14:textFill>
            <w14:solidFill>
              <w14:schemeClr w14:val="tx1"/>
            </w14:solidFill>
          </w14:textFill>
        </w:rPr>
        <w:t xml:space="preserve"> </w:t>
      </w:r>
    </w:p>
    <w:p>
      <w:pPr>
        <w:widowControl/>
        <w:spacing w:line="360" w:lineRule="auto"/>
        <w:jc w:val="left"/>
        <w:rPr>
          <w:rFonts w:hint="eastAsia" w:ascii="宋体" w:hAnsi="宋体" w:eastAsia="宋体" w:cs="Times New Roman"/>
          <w:b/>
          <w:color w:val="000000" w:themeColor="text1"/>
          <w:sz w:val="28"/>
          <w:szCs w:val="28"/>
          <w:highlight w:val="none"/>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 xml:space="preserve">                                   </w:t>
      </w:r>
      <w:r>
        <w:rPr>
          <w:rFonts w:hint="eastAsia" w:ascii="宋体" w:hAnsi="宋体" w:eastAsia="宋体" w:cs="Times New Roman"/>
          <w:b/>
          <w:color w:val="000000" w:themeColor="text1"/>
          <w:sz w:val="28"/>
          <w:szCs w:val="28"/>
          <w:highlight w:val="none"/>
          <w:lang w:val="zh-CN"/>
          <w14:textFill>
            <w14:solidFill>
              <w14:schemeClr w14:val="tx1"/>
            </w14:solidFill>
          </w14:textFill>
        </w:rPr>
        <w:t xml:space="preserve">      </w:t>
      </w:r>
    </w:p>
    <w:p>
      <w:pPr>
        <w:widowControl/>
        <w:spacing w:line="360" w:lineRule="auto"/>
        <w:jc w:val="left"/>
        <w:rPr>
          <w:rFonts w:hint="eastAsia" w:ascii="宋体" w:hAnsi="宋体" w:eastAsia="宋体" w:cs="Times New Roman"/>
          <w:b/>
          <w:color w:val="000000" w:themeColor="text1"/>
          <w:sz w:val="28"/>
          <w:szCs w:val="28"/>
          <w:highlight w:val="none"/>
          <w:lang w:val="zh-CN"/>
          <w14:textFill>
            <w14:solidFill>
              <w14:schemeClr w14:val="tx1"/>
            </w14:solidFill>
          </w14:textFill>
        </w:rPr>
      </w:pPr>
    </w:p>
    <w:p>
      <w:pPr>
        <w:widowControl/>
        <w:spacing w:line="360" w:lineRule="auto"/>
        <w:jc w:val="left"/>
        <w:rPr>
          <w:rFonts w:hint="eastAsia" w:ascii="宋体" w:hAnsi="宋体" w:eastAsia="宋体" w:cs="Times New Roman"/>
          <w:b/>
          <w:color w:val="000000" w:themeColor="text1"/>
          <w:sz w:val="28"/>
          <w:szCs w:val="28"/>
          <w:highlight w:val="none"/>
          <w:lang w:val="zh-CN"/>
          <w14:textFill>
            <w14:solidFill>
              <w14:schemeClr w14:val="tx1"/>
            </w14:solidFill>
          </w14:textFill>
        </w:rPr>
      </w:pPr>
    </w:p>
    <w:p>
      <w:pPr>
        <w:widowControl/>
        <w:spacing w:line="360" w:lineRule="auto"/>
        <w:jc w:val="right"/>
        <w:rPr>
          <w:rFonts w:hint="eastAsia" w:ascii="宋体" w:hAnsi="宋体" w:eastAsia="宋体" w:cs="Times New Roman"/>
          <w:b/>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2019</w:t>
      </w:r>
      <w:r>
        <w:rPr>
          <w:rFonts w:hint="eastAsia" w:ascii="宋体" w:hAnsi="宋体" w:eastAsia="宋体" w:cs="Times New Roman"/>
          <w:b/>
          <w:color w:val="000000" w:themeColor="text1"/>
          <w:sz w:val="28"/>
          <w:szCs w:val="28"/>
          <w:highlight w:val="none"/>
          <w:lang w:val="zh-CN"/>
          <w14:textFill>
            <w14:solidFill>
              <w14:schemeClr w14:val="tx1"/>
            </w14:solidFill>
          </w14:textFill>
        </w:rPr>
        <w:t>年</w:t>
      </w: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11</w:t>
      </w:r>
      <w:r>
        <w:rPr>
          <w:rFonts w:hint="eastAsia" w:ascii="宋体" w:hAnsi="宋体" w:eastAsia="宋体" w:cs="Times New Roman"/>
          <w:b/>
          <w:color w:val="000000" w:themeColor="text1"/>
          <w:sz w:val="28"/>
          <w:szCs w:val="28"/>
          <w:highlight w:val="none"/>
          <w:lang w:val="zh-CN"/>
          <w14:textFill>
            <w14:solidFill>
              <w14:schemeClr w14:val="tx1"/>
            </w14:solidFill>
          </w14:textFill>
        </w:rPr>
        <w:t>月</w:t>
      </w:r>
      <w:r>
        <w:rPr>
          <w:rFonts w:hint="default" w:ascii="宋体" w:hAnsi="宋体" w:eastAsia="宋体" w:cs="Times New Roman"/>
          <w:b/>
          <w:color w:val="000000" w:themeColor="text1"/>
          <w:sz w:val="28"/>
          <w:szCs w:val="28"/>
          <w:highlight w:val="none"/>
          <w:lang w:val="en-US" w:eastAsia="zh-CN"/>
          <w14:textFill>
            <w14:solidFill>
              <w14:schemeClr w14:val="tx1"/>
            </w14:solidFill>
          </w14:textFill>
        </w:rPr>
        <w:t>13</w:t>
      </w:r>
      <w:r>
        <w:rPr>
          <w:rFonts w:hint="eastAsia" w:ascii="宋体" w:hAnsi="宋体" w:eastAsia="宋体" w:cs="Times New Roman"/>
          <w:b/>
          <w:color w:val="000000" w:themeColor="text1"/>
          <w:sz w:val="28"/>
          <w:szCs w:val="28"/>
          <w:highlight w:val="none"/>
          <w:lang w:val="zh-CN"/>
          <w14:textFill>
            <w14:solidFill>
              <w14:schemeClr w14:val="tx1"/>
            </w14:solidFill>
          </w14:textFill>
        </w:rPr>
        <w:t>日</w:t>
      </w: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 xml:space="preserve"> </w:t>
      </w:r>
    </w:p>
    <w:p>
      <w:pPr>
        <w:widowControl/>
        <w:spacing w:line="360" w:lineRule="auto"/>
        <w:jc w:val="left"/>
        <w:rPr>
          <w:rFonts w:hint="eastAsia" w:ascii="宋体" w:hAnsi="宋体" w:eastAsia="宋体" w:cs="Times New Roman"/>
          <w:b/>
          <w:color w:val="000000" w:themeColor="text1"/>
          <w:sz w:val="28"/>
          <w:szCs w:val="28"/>
          <w:highlight w:val="yellow"/>
          <w:lang w:val="en-US" w:eastAsia="zh-CN"/>
          <w14:textFill>
            <w14:solidFill>
              <w14:schemeClr w14:val="tx1"/>
            </w14:solidFill>
          </w14:textFill>
        </w:rPr>
      </w:pPr>
    </w:p>
    <w:p>
      <w:pPr>
        <w:pStyle w:val="4"/>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pStyle w:val="3"/>
        <w:numPr>
          <w:ilvl w:val="0"/>
          <w:numId w:val="1"/>
        </w:numPr>
        <w:spacing w:before="240" w:after="120"/>
        <w:ind w:left="883" w:hanging="880" w:hangingChars="200"/>
        <w:jc w:val="center"/>
        <w:rPr>
          <w:rFonts w:ascii="黑体" w:hAnsi="黑体" w:eastAsia="黑体"/>
          <w:color w:val="000000" w:themeColor="text1"/>
          <w14:textFill>
            <w14:solidFill>
              <w14:schemeClr w14:val="tx1"/>
            </w14:solidFill>
          </w14:textFill>
        </w:rPr>
      </w:pPr>
      <w:bookmarkStart w:id="1" w:name="_Toc495861518"/>
      <w:r>
        <w:rPr>
          <w:rFonts w:hint="eastAsia" w:ascii="黑体" w:hAnsi="黑体" w:eastAsia="黑体"/>
          <w:color w:val="000000" w:themeColor="text1"/>
          <w14:textFill>
            <w14:solidFill>
              <w14:schemeClr w14:val="tx1"/>
            </w14:solidFill>
          </w14:textFill>
        </w:rPr>
        <w:t>投标人须知</w:t>
      </w:r>
      <w:bookmarkEnd w:id="1"/>
    </w:p>
    <w:p>
      <w:pPr>
        <w:keepNext/>
        <w:keepLines/>
        <w:spacing w:line="360" w:lineRule="auto"/>
        <w:jc w:val="center"/>
        <w:outlineLvl w:val="1"/>
        <w:rPr>
          <w:rFonts w:cs="Times New Roman" w:asciiTheme="majorEastAsia" w:hAnsiTheme="majorEastAsia" w:eastAsiaTheme="majorEastAsia"/>
          <w:b/>
          <w:bCs/>
          <w:color w:val="000000" w:themeColor="text1"/>
          <w:sz w:val="32"/>
          <w:szCs w:val="32"/>
          <w:lang w:val="zh-CN"/>
          <w14:textFill>
            <w14:solidFill>
              <w14:schemeClr w14:val="tx1"/>
            </w14:solidFill>
          </w14:textFill>
        </w:rPr>
      </w:pPr>
      <w:bookmarkStart w:id="2" w:name="_Toc495861519"/>
      <w:bookmarkStart w:id="3" w:name="_Toc494561937"/>
      <w:r>
        <w:rPr>
          <w:rFonts w:cs="Times New Roman" w:asciiTheme="majorEastAsia" w:hAnsiTheme="majorEastAsia" w:eastAsiaTheme="majorEastAsia"/>
          <w:b/>
          <w:bCs/>
          <w:color w:val="000000" w:themeColor="text1"/>
          <w:sz w:val="32"/>
          <w:szCs w:val="32"/>
          <w:lang w:val="zh-CN"/>
          <w14:textFill>
            <w14:solidFill>
              <w14:schemeClr w14:val="tx1"/>
            </w14:solidFill>
          </w14:textFill>
        </w:rPr>
        <w:t>投标须知前附表</w:t>
      </w:r>
      <w:bookmarkEnd w:id="2"/>
      <w:bookmarkEnd w:id="3"/>
    </w:p>
    <w:tbl>
      <w:tblPr>
        <w:tblStyle w:val="17"/>
        <w:tblW w:w="9980"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2357"/>
        <w:gridCol w:w="69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21"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序号</w:t>
            </w:r>
          </w:p>
        </w:tc>
        <w:tc>
          <w:tcPr>
            <w:tcW w:w="2357"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名  称</w:t>
            </w:r>
          </w:p>
        </w:tc>
        <w:tc>
          <w:tcPr>
            <w:tcW w:w="6902" w:type="dxa"/>
            <w:tcBorders>
              <w:top w:val="single" w:color="auto" w:sz="4" w:space="0"/>
              <w:left w:val="single" w:color="auto" w:sz="4" w:space="0"/>
              <w:bottom w:val="single" w:color="auto" w:sz="4" w:space="0"/>
            </w:tcBorders>
            <w:vAlign w:val="center"/>
          </w:tcPr>
          <w:p>
            <w:pPr>
              <w:spacing w:line="276" w:lineRule="auto"/>
              <w:ind w:left="57" w:right="57" w:firstLine="2880" w:firstLineChars="1200"/>
              <w:jc w:val="both"/>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宋体" w:eastAsia="宋体" w:cs="Times New Roman"/>
                <w:color w:val="000000" w:themeColor="text1"/>
                <w:sz w:val="24"/>
                <w:szCs w:val="24"/>
                <w:highlight w:val="yellow"/>
                <w14:textFill>
                  <w14:solidFill>
                    <w14:schemeClr w14:val="tx1"/>
                  </w14:solidFill>
                </w14:textFill>
              </w:rPr>
              <w:t>项目编号</w:t>
            </w:r>
          </w:p>
        </w:tc>
        <w:tc>
          <w:tcPr>
            <w:tcW w:w="6902"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yellow"/>
                <w:lang w:val="en-US" w:eastAsia="zh-CN"/>
                <w14:textFill>
                  <w14:solidFill>
                    <w14:schemeClr w14:val="tx1"/>
                  </w14:solidFill>
                </w14:textFill>
              </w:rPr>
              <w:t xml:space="preserve">131-2019CG-191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highlight w:val="yellow"/>
                <w14:textFill>
                  <w14:solidFill>
                    <w14:schemeClr w14:val="tx1"/>
                  </w14:solidFill>
                </w14:textFill>
              </w:rPr>
            </w:pPr>
            <w:r>
              <w:rPr>
                <w:rFonts w:ascii="Times New Roman" w:hAnsi="宋体" w:eastAsia="宋体" w:cs="Times New Roman"/>
                <w:color w:val="000000" w:themeColor="text1"/>
                <w:sz w:val="24"/>
                <w:szCs w:val="24"/>
                <w:highlight w:val="yellow"/>
                <w14:textFill>
                  <w14:solidFill>
                    <w14:schemeClr w14:val="tx1"/>
                  </w14:solidFill>
                </w14:textFill>
              </w:rPr>
              <w:t>项目名称</w:t>
            </w:r>
          </w:p>
        </w:tc>
        <w:tc>
          <w:tcPr>
            <w:tcW w:w="6902"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yellow"/>
                <w:lang w:eastAsia="zh-CN"/>
                <w14:textFill>
                  <w14:solidFill>
                    <w14:schemeClr w14:val="tx1"/>
                  </w14:solidFill>
                </w14:textFill>
              </w:rPr>
              <w:t>阳新县公安局</w:t>
            </w:r>
            <w:r>
              <w:rPr>
                <w:rFonts w:hint="eastAsia" w:ascii="宋体" w:hAnsi="宋体" w:eastAsia="宋体" w:cs="宋体"/>
                <w:color w:val="000000" w:themeColor="text1"/>
                <w:kern w:val="0"/>
                <w:sz w:val="24"/>
                <w:szCs w:val="24"/>
                <w:highlight w:val="yellow"/>
                <w:lang w:val="en-US" w:eastAsia="zh-CN"/>
                <w14:textFill>
                  <w14:solidFill>
                    <w14:schemeClr w14:val="tx1"/>
                  </w14:solidFill>
                </w14:textFill>
              </w:rPr>
              <w:t>DNA</w:t>
            </w:r>
            <w:r>
              <w:rPr>
                <w:rFonts w:hint="eastAsia" w:ascii="宋体" w:hAnsi="宋体" w:eastAsia="宋体" w:cs="宋体"/>
                <w:color w:val="000000" w:themeColor="text1"/>
                <w:kern w:val="0"/>
                <w:sz w:val="24"/>
                <w:szCs w:val="24"/>
                <w:highlight w:val="yellow"/>
                <w:lang w:eastAsia="zh-CN"/>
                <w14:textFill>
                  <w14:solidFill>
                    <w14:schemeClr w14:val="tx1"/>
                  </w14:solidFill>
                </w14:textFill>
              </w:rPr>
              <w:t>实验</w:t>
            </w:r>
            <w:r>
              <w:rPr>
                <w:rFonts w:hint="eastAsia" w:ascii="宋体" w:hAnsi="宋体" w:eastAsia="宋体" w:cs="宋体"/>
                <w:color w:val="000000" w:themeColor="text1"/>
                <w:kern w:val="0"/>
                <w:sz w:val="24"/>
                <w:szCs w:val="24"/>
                <w:highlight w:val="yellow"/>
                <w:lang w:val="en-US" w:eastAsia="zh-CN"/>
                <w14:textFill>
                  <w14:solidFill>
                    <w14:schemeClr w14:val="tx1"/>
                  </w14:solidFill>
                </w14:textFill>
              </w:rPr>
              <w:t>室建设工程采购项目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项目属性</w:t>
            </w:r>
          </w:p>
        </w:tc>
        <w:tc>
          <w:tcPr>
            <w:tcW w:w="6902" w:type="dxa"/>
            <w:tcBorders>
              <w:top w:val="single" w:color="auto" w:sz="4" w:space="0"/>
              <w:left w:val="single" w:color="auto" w:sz="4" w:space="0"/>
              <w:bottom w:val="single" w:color="auto" w:sz="4" w:space="0"/>
            </w:tcBorders>
            <w:vAlign w:val="center"/>
          </w:tcPr>
          <w:p>
            <w:pP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采购人</w:t>
            </w:r>
          </w:p>
        </w:tc>
        <w:tc>
          <w:tcPr>
            <w:tcW w:w="6902"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阳新县公安局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highlight w:val="yellow"/>
                <w14:textFill>
                  <w14:solidFill>
                    <w14:schemeClr w14:val="tx1"/>
                  </w14:solidFill>
                </w14:textFill>
              </w:rPr>
            </w:pPr>
            <w:r>
              <w:rPr>
                <w:rFonts w:ascii="Times New Roman" w:hAnsi="宋体" w:eastAsia="宋体" w:cs="Times New Roman"/>
                <w:color w:val="000000" w:themeColor="text1"/>
                <w:sz w:val="24"/>
                <w:szCs w:val="24"/>
                <w:highlight w:val="yellow"/>
                <w14:textFill>
                  <w14:solidFill>
                    <w14:schemeClr w14:val="tx1"/>
                  </w14:solidFill>
                </w14:textFill>
              </w:rPr>
              <w:t>投标保证金</w:t>
            </w:r>
          </w:p>
        </w:tc>
        <w:tc>
          <w:tcPr>
            <w:tcW w:w="6902"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yellow"/>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highlight w:val="yellow"/>
                <w14:textFill>
                  <w14:solidFill>
                    <w14:schemeClr w14:val="tx1"/>
                  </w14:solidFill>
                </w14:textFill>
              </w:rPr>
            </w:pPr>
            <w:r>
              <w:rPr>
                <w:rFonts w:ascii="Times New Roman" w:hAnsi="宋体" w:eastAsia="宋体" w:cs="Times New Roman"/>
                <w:color w:val="000000" w:themeColor="text1"/>
                <w:sz w:val="24"/>
                <w:szCs w:val="24"/>
                <w:highlight w:val="yellow"/>
                <w14:textFill>
                  <w14:solidFill>
                    <w14:schemeClr w14:val="tx1"/>
                  </w14:solidFill>
                </w14:textFill>
              </w:rPr>
              <w:t>保证金</w:t>
            </w:r>
            <w:r>
              <w:rPr>
                <w:rFonts w:hint="eastAsia" w:ascii="Times New Roman" w:hAnsi="宋体" w:eastAsia="宋体" w:cs="Times New Roman"/>
                <w:color w:val="000000" w:themeColor="text1"/>
                <w:sz w:val="24"/>
                <w:szCs w:val="24"/>
                <w:highlight w:val="yellow"/>
                <w14:textFill>
                  <w14:solidFill>
                    <w14:schemeClr w14:val="tx1"/>
                  </w14:solidFill>
                </w14:textFill>
              </w:rPr>
              <w:t>账户信息</w:t>
            </w:r>
          </w:p>
        </w:tc>
        <w:tc>
          <w:tcPr>
            <w:tcW w:w="6902"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yellow"/>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投标文件份数</w:t>
            </w:r>
          </w:p>
        </w:tc>
        <w:tc>
          <w:tcPr>
            <w:tcW w:w="6902" w:type="dxa"/>
            <w:tcBorders>
              <w:top w:val="single" w:color="auto" w:sz="4" w:space="0"/>
              <w:left w:val="single" w:color="auto" w:sz="4" w:space="0"/>
              <w:bottom w:val="single" w:color="auto" w:sz="4" w:space="0"/>
            </w:tcBorders>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投标有效期</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提交投标文件截止之日起</w:t>
            </w:r>
            <w:r>
              <w:rPr>
                <w:rFonts w:hint="eastAsia" w:ascii="宋体" w:hAnsi="宋体" w:eastAsia="宋体" w:cs="宋体"/>
                <w:color w:val="000000" w:themeColor="text1"/>
                <w:kern w:val="0"/>
                <w:sz w:val="24"/>
                <w:szCs w:val="24"/>
                <w:lang w:val="en-US" w:eastAsia="zh-CN"/>
                <w14:textFill>
                  <w14:solidFill>
                    <w14:schemeClr w14:val="tx1"/>
                  </w14:solidFill>
                </w14:textFill>
              </w:rPr>
              <w:t>60</w:t>
            </w:r>
            <w:r>
              <w:rPr>
                <w:rFonts w:hint="eastAsia" w:ascii="宋体" w:hAnsi="宋体" w:eastAsia="宋体" w:cs="宋体"/>
                <w:color w:val="000000" w:themeColor="text1"/>
                <w:kern w:val="0"/>
                <w:sz w:val="24"/>
                <w:szCs w:val="24"/>
                <w14:textFill>
                  <w14:solidFill>
                    <w14:schemeClr w14:val="tx1"/>
                  </w14:solidFill>
                </w14:textFill>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highlight w:val="none"/>
                <w14:textFill>
                  <w14:solidFill>
                    <w14:schemeClr w14:val="tx1"/>
                  </w14:solidFill>
                </w14:textFill>
              </w:rPr>
            </w:pPr>
            <w:r>
              <w:rPr>
                <w:rFonts w:hint="eastAsia" w:ascii="Times New Roman" w:hAnsi="宋体" w:eastAsia="宋体" w:cs="Times New Roman"/>
                <w:color w:val="000000" w:themeColor="text1"/>
                <w:sz w:val="24"/>
                <w:szCs w:val="24"/>
                <w:highlight w:val="none"/>
                <w14:textFill>
                  <w14:solidFill>
                    <w14:schemeClr w14:val="tx1"/>
                  </w14:solidFill>
                </w14:textFill>
              </w:rPr>
              <w:t>资格预审</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投标文件递交时间</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开标时间</w:t>
            </w:r>
            <w:r>
              <w:rPr>
                <w:rFonts w:hint="eastAsia" w:ascii="Times New Roman" w:hAnsi="宋体" w:eastAsia="宋体" w:cs="Times New Roman"/>
                <w:color w:val="000000" w:themeColor="text1"/>
                <w:sz w:val="24"/>
                <w:szCs w:val="24"/>
                <w14:textFill>
                  <w14:solidFill>
                    <w14:schemeClr w14:val="tx1"/>
                  </w14:solidFill>
                </w14:textFill>
              </w:rPr>
              <w:t>、地点</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备选方案</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不允许</w:t>
            </w:r>
          </w:p>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实物样品</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提交</w:t>
            </w:r>
          </w:p>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现场考察</w:t>
            </w:r>
          </w:p>
        </w:tc>
        <w:tc>
          <w:tcPr>
            <w:tcW w:w="6902"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不组织</w:t>
            </w:r>
          </w:p>
          <w:p>
            <w:pPr>
              <w:ind w:right="-105" w:rightChars="-5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中标后分包</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评标办法</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综合评分法</w:t>
            </w:r>
          </w:p>
          <w:p>
            <w:pPr>
              <w:rPr>
                <w:rFonts w:ascii="Times New Roman" w:hAnsi="Times New Roman" w:eastAsia="宋体" w:cs="Times New Roman"/>
                <w:color w:val="000000" w:themeColor="text1"/>
                <w:sz w:val="24"/>
                <w:szCs w:val="24"/>
                <w:lang w:val="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质疑及提交</w:t>
            </w:r>
          </w:p>
        </w:tc>
        <w:tc>
          <w:tcPr>
            <w:tcW w:w="6902"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详见本章“质疑及提交”要求</w:t>
            </w:r>
          </w:p>
        </w:tc>
      </w:tr>
    </w:tbl>
    <w:p>
      <w:pPr>
        <w:keepNext/>
        <w:keepLines/>
        <w:numPr>
          <w:ilvl w:val="0"/>
          <w:numId w:val="5"/>
        </w:numPr>
        <w:spacing w:before="100" w:beforeAutospacing="1" w:after="100" w:afterAutospacing="1" w:line="360" w:lineRule="auto"/>
        <w:ind w:left="482" w:hanging="480" w:hangingChars="150"/>
        <w:outlineLvl w:val="1"/>
        <w:rPr>
          <w:rFonts w:ascii="黑体" w:hAnsi="黑体" w:eastAsia="黑体" w:cs="Times New Roman"/>
          <w:b/>
          <w:bCs/>
          <w:color w:val="000000" w:themeColor="text1"/>
          <w:sz w:val="32"/>
          <w:szCs w:val="32"/>
          <w:lang w:val="zh-CN"/>
          <w14:textFill>
            <w14:solidFill>
              <w14:schemeClr w14:val="tx1"/>
            </w14:solidFill>
          </w14:textFill>
        </w:rPr>
      </w:pPr>
      <w:bookmarkStart w:id="4" w:name="_Toc494561938"/>
      <w:r>
        <w:rPr>
          <w:rFonts w:ascii="黑体" w:hAnsi="黑体" w:eastAsia="黑体" w:cs="Times New Roman"/>
          <w:b/>
          <w:bCs/>
          <w:color w:val="000000" w:themeColor="text1"/>
          <w:sz w:val="32"/>
          <w:szCs w:val="32"/>
          <w:lang w:val="zh-CN"/>
          <w14:textFill>
            <w14:solidFill>
              <w14:schemeClr w14:val="tx1"/>
            </w14:solidFill>
          </w14:textFill>
        </w:rPr>
        <w:br w:type="page"/>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5" w:name="_Toc495861520"/>
      <w:r>
        <w:rPr>
          <w:rFonts w:hint="eastAsia" w:cs="Times New Roman" w:asciiTheme="majorEastAsia" w:hAnsiTheme="majorEastAsia"/>
          <w:bCs w:val="0"/>
          <w:color w:val="000000" w:themeColor="text1"/>
          <w:lang w:val="zh-CN"/>
          <w14:textFill>
            <w14:solidFill>
              <w14:schemeClr w14:val="tx1"/>
            </w14:solidFill>
          </w14:textFill>
        </w:rPr>
        <w:t>说  明</w:t>
      </w:r>
      <w:bookmarkEnd w:id="4"/>
      <w:bookmarkEnd w:id="5"/>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适用范围</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招标文件仅适用于第一章“投标邀请书”中所述项目的货物、工程及服务的采购。</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当事人定义</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“采购人”是指：</w:t>
      </w:r>
      <w:r>
        <w:rPr>
          <w:rFonts w:hint="eastAsia" w:cs="Times New Roman" w:asciiTheme="minorEastAsia" w:hAnsiTheme="minorEastAsia"/>
          <w:color w:val="000000" w:themeColor="text1"/>
          <w:sz w:val="24"/>
          <w:szCs w:val="24"/>
          <w:lang w:val="zh-CN"/>
          <w14:textFill>
            <w14:solidFill>
              <w14:schemeClr w14:val="tx1"/>
            </w14:solidFill>
          </w14:textFill>
        </w:rPr>
        <w:t>详见第一章“投标邀请书”。</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“监管部门”是指：</w:t>
      </w:r>
      <w:r>
        <w:rPr>
          <w:rFonts w:hint="eastAsia" w:cs="Times New Roman" w:asciiTheme="minorEastAsia" w:hAnsiTheme="minorEastAsia"/>
          <w:color w:val="000000" w:themeColor="text1"/>
          <w:sz w:val="24"/>
          <w:szCs w:val="24"/>
          <w:lang w:val="zh-CN"/>
          <w14:textFill>
            <w14:solidFill>
              <w14:schemeClr w14:val="tx1"/>
            </w14:solidFill>
          </w14:textFill>
        </w:rPr>
        <w:t>阳新县政府采购办公室、阳新县公共资源交易监督管理局。</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“采购代理机构”是指：</w:t>
      </w:r>
      <w:r>
        <w:rPr>
          <w:rFonts w:hint="eastAsia" w:ascii="宋体" w:hAnsi="宋体" w:eastAsia="宋体" w:cs="Times New Roman"/>
          <w:b/>
          <w:color w:val="000000" w:themeColor="text1"/>
          <w:sz w:val="24"/>
          <w:szCs w:val="24"/>
          <w:u w:val="single"/>
          <w:lang w:eastAsia="zh-CN"/>
          <w14:textFill>
            <w14:solidFill>
              <w14:schemeClr w14:val="tx1"/>
            </w14:solidFill>
          </w14:textFill>
        </w:rPr>
        <w:t>湖北方圆工程造价咨询有限公司</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“投标人”是指：</w:t>
      </w:r>
      <w:r>
        <w:rPr>
          <w:rFonts w:cs="Helvetica" w:asciiTheme="minorEastAsia" w:hAnsiTheme="minorEastAsia"/>
          <w:color w:val="000000" w:themeColor="text1"/>
          <w:kern w:val="0"/>
          <w:sz w:val="24"/>
          <w:szCs w:val="24"/>
          <w:lang w:val="zh-CN"/>
          <w14:textFill>
            <w14:solidFill>
              <w14:schemeClr w14:val="tx1"/>
            </w14:solidFill>
          </w14:textFill>
        </w:rPr>
        <w:t>响应招标、参加投标竞争的法人、其他组织或者自然人。</w:t>
      </w:r>
    </w:p>
    <w:p>
      <w:pPr>
        <w:numPr>
          <w:ilvl w:val="0"/>
          <w:numId w:val="8"/>
        </w:numPr>
        <w:spacing w:line="360" w:lineRule="auto"/>
        <w:ind w:left="476" w:hanging="47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“合格的投标人”是指：</w:t>
      </w:r>
      <w:r>
        <w:rPr>
          <w:rFonts w:hint="eastAsia" w:cs="Helvetica" w:asciiTheme="minorEastAsia" w:hAnsiTheme="minorEastAsia"/>
          <w:color w:val="000000" w:themeColor="text1"/>
          <w:kern w:val="0"/>
          <w:sz w:val="24"/>
          <w:szCs w:val="24"/>
          <w:lang w:val="zh-CN"/>
          <w14:textFill>
            <w14:solidFill>
              <w14:schemeClr w14:val="tx1"/>
            </w14:solidFill>
          </w14:textFill>
        </w:rPr>
        <w:t>资格审查和符合性审查合格的投标人。</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“中标人”是指：</w:t>
      </w:r>
      <w:r>
        <w:rPr>
          <w:rFonts w:hint="eastAsia" w:cs="Times New Roman" w:asciiTheme="minorEastAsia" w:hAnsiTheme="minorEastAsia"/>
          <w:color w:val="000000" w:themeColor="text1"/>
          <w:sz w:val="24"/>
          <w:szCs w:val="24"/>
          <w:lang w:val="zh-CN"/>
          <w14:textFill>
            <w14:solidFill>
              <w14:schemeClr w14:val="tx1"/>
            </w14:solidFill>
          </w14:textFill>
        </w:rPr>
        <w:t>经评标委员会评审，授予合同的投标人。</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项目属性及定义</w:t>
      </w:r>
    </w:p>
    <w:p>
      <w:pPr>
        <w:numPr>
          <w:ilvl w:val="0"/>
          <w:numId w:val="9"/>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“货物”是指</w:t>
      </w:r>
      <w:r>
        <w:rPr>
          <w:rFonts w:hint="eastAsia" w:cs="Times New Roman" w:asciiTheme="minorEastAsia" w:hAnsiTheme="minorEastAsia"/>
          <w:color w:val="000000" w:themeColor="text1"/>
          <w:sz w:val="24"/>
          <w:szCs w:val="24"/>
          <w:lang w:val="zh-CN"/>
          <w14:textFill>
            <w14:solidFill>
              <w14:schemeClr w14:val="tx1"/>
            </w14:solidFill>
          </w14:textFill>
        </w:rPr>
        <w:t>：各种形态和种类的物品，包括原材料、燃料、设备、产品等。</w:t>
      </w:r>
    </w:p>
    <w:p>
      <w:pPr>
        <w:numPr>
          <w:ilvl w:val="0"/>
          <w:numId w:val="10"/>
        </w:numPr>
        <w:spacing w:line="360" w:lineRule="auto"/>
        <w:ind w:left="854" w:hanging="728"/>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招标文件中没有提及招标货物来源地的，根据《政府采购法》及相关规定均应是本国货物，另有规定的除外。</w:t>
      </w:r>
    </w:p>
    <w:p>
      <w:pPr>
        <w:numPr>
          <w:ilvl w:val="0"/>
          <w:numId w:val="10"/>
        </w:numPr>
        <w:spacing w:line="360" w:lineRule="auto"/>
        <w:ind w:left="854" w:hanging="728"/>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投标的货物应是合法生产的符合国家有关标准要求的货物，并能够按照合同规定的品牌、产地、质量、价格和有效期等履约。</w:t>
      </w:r>
    </w:p>
    <w:p>
      <w:pPr>
        <w:numPr>
          <w:ilvl w:val="0"/>
          <w:numId w:val="9"/>
        </w:numPr>
        <w:spacing w:line="360" w:lineRule="auto"/>
        <w:ind w:left="476" w:hanging="476"/>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“工程”是指</w:t>
      </w:r>
      <w:r>
        <w:rPr>
          <w:rFonts w:hint="eastAsia" w:cs="Times New Roman" w:asciiTheme="minorEastAsia" w:hAnsiTheme="minorEastAsia"/>
          <w:color w:val="000000" w:themeColor="text1"/>
          <w:sz w:val="24"/>
          <w:szCs w:val="24"/>
          <w:lang w:val="zh-CN"/>
          <w14:textFill>
            <w14:solidFill>
              <w14:schemeClr w14:val="tx1"/>
            </w14:solidFill>
          </w14:textFill>
        </w:rPr>
        <w:t>：与建筑物和构筑物的新建、改建、扩建及其相关的装修、拆除、修缮无关的工程。</w:t>
      </w:r>
    </w:p>
    <w:p>
      <w:pPr>
        <w:numPr>
          <w:ilvl w:val="0"/>
          <w:numId w:val="9"/>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“服务”是指：</w:t>
      </w:r>
      <w:r>
        <w:rPr>
          <w:rFonts w:hint="eastAsia" w:cs="Times New Roman" w:asciiTheme="minorEastAsia" w:hAnsiTheme="minorEastAsia"/>
          <w:color w:val="000000" w:themeColor="text1"/>
          <w:sz w:val="24"/>
          <w:szCs w:val="24"/>
          <w:lang w:val="zh-CN"/>
          <w14:textFill>
            <w14:solidFill>
              <w14:schemeClr w14:val="tx1"/>
            </w14:solidFill>
          </w14:textFill>
        </w:rPr>
        <w:t>除货物和工程（含本章3.2条所述工程及《招标投标法》所定义工程）以外的其他政府采购对象,包括政府自身需要的服务和政府向社会公众提供的公共服务。</w:t>
      </w:r>
    </w:p>
    <w:p>
      <w:pPr>
        <w:numPr>
          <w:ilvl w:val="0"/>
          <w:numId w:val="9"/>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cs="Times New Roman" w:asciiTheme="minorEastAsia" w:hAnsiTheme="minorEastAsia"/>
          <w:color w:val="000000" w:themeColor="text1"/>
          <w:sz w:val="24"/>
          <w:szCs w:val="24"/>
          <w:lang w:val="zh-CN"/>
          <w14:textFill>
            <w14:solidFill>
              <w14:schemeClr w14:val="tx1"/>
            </w14:solidFill>
          </w14:textFill>
        </w:rPr>
        <w:t>采购人应当按照财政部制定的《政府采购品目分类目录》确定采购项目属性</w:t>
      </w:r>
      <w:r>
        <w:rPr>
          <w:rFonts w:hint="eastAsia" w:cs="Times New Roman" w:asciiTheme="minorEastAsia" w:hAnsiTheme="minorEastAsia"/>
          <w:color w:val="000000" w:themeColor="text1"/>
          <w:sz w:val="24"/>
          <w:szCs w:val="24"/>
          <w:lang w:val="zh-CN"/>
          <w14:textFill>
            <w14:solidFill>
              <w14:schemeClr w14:val="tx1"/>
            </w14:solidFill>
          </w14:textFill>
        </w:rPr>
        <w:t>。</w:t>
      </w:r>
      <w:r>
        <w:rPr>
          <w:rFonts w:cs="Times New Roman" w:asciiTheme="minorEastAsia" w:hAnsiTheme="minorEastAsia"/>
          <w:color w:val="000000" w:themeColor="text1"/>
          <w:sz w:val="24"/>
          <w:szCs w:val="24"/>
          <w:lang w:val="zh-CN"/>
          <w14:textFill>
            <w14:solidFill>
              <w14:schemeClr w14:val="tx1"/>
            </w14:solidFill>
          </w14:textFill>
        </w:rPr>
        <w:t>按照《政府采购品目分类目录》无法确定的，按照有利于采购项目实施的原则确定。</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投标费用</w:t>
      </w:r>
    </w:p>
    <w:p>
      <w:pPr>
        <w:numPr>
          <w:ilvl w:val="0"/>
          <w:numId w:val="11"/>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投标人应承担所有与准备和参加投标有关的费用。不论投标的结果如何，采购代理机构和采购人均无义务和责任承担这些费用。</w:t>
      </w:r>
    </w:p>
    <w:p>
      <w:pPr>
        <w:pStyle w:val="38"/>
        <w:numPr>
          <w:ilvl w:val="0"/>
          <w:numId w:val="11"/>
        </w:numPr>
        <w:adjustRightInd w:val="0"/>
        <w:snapToGrid w:val="0"/>
        <w:spacing w:line="300" w:lineRule="auto"/>
        <w:ind w:firstLineChars="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采购代理服务费</w:t>
      </w:r>
    </w:p>
    <w:p>
      <w:pPr>
        <w:pStyle w:val="38"/>
        <w:ind w:left="420" w:firstLine="0" w:firstLineChars="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经过采购代理机构与采购人协议，规定由中标单位支付。采购代理服务费收费标准如下：</w:t>
      </w:r>
    </w:p>
    <w:p>
      <w:pPr>
        <w:pStyle w:val="38"/>
        <w:ind w:left="420" w:firstLine="0" w:firstLineChars="0"/>
        <w:rPr>
          <w:rFonts w:hint="eastAsia" w:ascii="宋体" w:hAnsi="宋体"/>
          <w:b/>
          <w:color w:val="000000" w:themeColor="text1"/>
          <w:sz w:val="24"/>
          <w:szCs w:val="24"/>
          <w14:textFill>
            <w14:solidFill>
              <w14:schemeClr w14:val="tx1"/>
            </w14:solidFill>
          </w14:textFill>
        </w:rPr>
      </w:pPr>
    </w:p>
    <w:p>
      <w:pPr>
        <w:pStyle w:val="38"/>
        <w:ind w:left="420" w:firstLine="0" w:firstLineChars="0"/>
        <w:rPr>
          <w:rFonts w:ascii="宋体" w:hAnsi="宋体"/>
          <w:color w:val="000000" w:themeColor="text1"/>
          <w:sz w:val="24"/>
          <w:szCs w:val="24"/>
          <w14:textFill>
            <w14:solidFill>
              <w14:schemeClr w14:val="tx1"/>
            </w14:solidFill>
          </w14:textFill>
        </w:rPr>
      </w:pPr>
    </w:p>
    <w:tbl>
      <w:tblPr>
        <w:tblStyle w:val="17"/>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61312;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RnOs0QAAAAkBAAAPAAAAAAAAAAEAIAAAACIAAABk&#10;cnMvZG93bnJldi54bWxQSwECFAAUAAAACACHTuJAYUWzodQBAAClAwAADgAAAAAAAAABACAAAAAg&#10;AQAAZHJzL2Uyb0RvYy54bWxQSwUGAAAAAAYABgBZAQAAZgUAAAAA&#10;">
                      <v:fill on="f" focussize="0,0"/>
                      <v:stroke color="#000000" joinstyle="round"/>
                      <v:imagedata o:title=""/>
                      <o:lock v:ext="edit" aspectratio="f"/>
                    </v:lin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&#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CrxZu3zwEAAKUDAAAOAAAAAAAAAAEAIAAAACQB&#10;AABkcnMvZTJvRG9jLnhtbFBLBQYAAAAABgAGAFkBAABlBQAAAAA=&#10;">
                      <v:fill on="f" focussize="0,0"/>
                      <v:stroke color="#000000" joinstyle="round"/>
                      <v:imagedata o:title=""/>
                      <o:lock v:ext="edit" aspectratio="f"/>
                    </v:lin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kdN+1QAAAAkBAAAPAAAAAAAAAAEAIAAAACIAAABkcnMvZG93bnJldi54bWxQSwEC&#10;FAAUAAAACACHTuJAEpV3u74BAACIAwAADgAAAAAAAAABACAAAAAkAQAAZHJzL2Uyb0RvYy54bWxQ&#10;SwUGAAAAAAYABgBZAQAAVAU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14:textFill>
                  <w14:solidFill>
                    <w14:schemeClr w14:val="tx1"/>
                  </w14:solidFill>
                </w14:textFill>
              </w:rPr>
              <w:t>招标类型　　　</w:t>
            </w:r>
          </w:p>
          <w:p>
            <w:pPr>
              <w:spacing w:line="300" w:lineRule="auto"/>
              <w:ind w:firstLine="998" w:firstLineChars="416"/>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中标</w:t>
            </w:r>
            <w:r>
              <w:rPr>
                <w:rFonts w:hint="eastAsia" w:ascii="宋体" w:hAnsi="宋体" w:cs="宋体"/>
                <w:color w:val="000000" w:themeColor="text1"/>
                <w:sz w:val="24"/>
                <w:szCs w:val="24"/>
                <w14:textFill>
                  <w14:solidFill>
                    <w14:schemeClr w14:val="tx1"/>
                  </w14:solidFill>
                </w14:textFill>
              </w:rPr>
              <w:t xml:space="preserve">　　　 </w:t>
            </w:r>
          </w:p>
          <w:p>
            <w:pPr>
              <w:spacing w:line="300" w:lineRule="auto"/>
              <w:ind w:firstLine="1504" w:firstLineChars="627"/>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费率</w:t>
            </w:r>
          </w:p>
          <w:p>
            <w:pPr>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金额（万元）</w:t>
            </w:r>
          </w:p>
        </w:tc>
        <w:tc>
          <w:tcPr>
            <w:tcW w:w="2470"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货物招标</w:t>
            </w:r>
          </w:p>
        </w:tc>
        <w:tc>
          <w:tcPr>
            <w:tcW w:w="2148"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服务招标</w:t>
            </w:r>
          </w:p>
        </w:tc>
        <w:tc>
          <w:tcPr>
            <w:tcW w:w="2148"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100以下</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100-500</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500-1000</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0.45%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1000-5000</w:t>
            </w:r>
          </w:p>
        </w:tc>
        <w:tc>
          <w:tcPr>
            <w:tcW w:w="2470"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0.5%</w:t>
            </w:r>
          </w:p>
        </w:tc>
        <w:tc>
          <w:tcPr>
            <w:tcW w:w="2148"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0.25%</w:t>
            </w:r>
          </w:p>
        </w:tc>
        <w:tc>
          <w:tcPr>
            <w:tcW w:w="2148"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hint="eastAsia"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5000-1亿</w:t>
            </w:r>
          </w:p>
        </w:tc>
        <w:tc>
          <w:tcPr>
            <w:tcW w:w="2470"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0.25%</w:t>
            </w:r>
          </w:p>
        </w:tc>
        <w:tc>
          <w:tcPr>
            <w:tcW w:w="2148"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0.1%</w:t>
            </w:r>
          </w:p>
        </w:tc>
        <w:tc>
          <w:tcPr>
            <w:tcW w:w="2148"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0.2%</w:t>
            </w:r>
          </w:p>
        </w:tc>
      </w:tr>
    </w:tbl>
    <w:p>
      <w:pPr>
        <w:pStyle w:val="38"/>
        <w:adjustRightInd w:val="0"/>
        <w:snapToGrid w:val="0"/>
        <w:spacing w:line="300" w:lineRule="auto"/>
        <w:ind w:left="420" w:firstLine="0" w:firstLineChars="0"/>
        <w:rPr>
          <w:rFonts w:ascii="宋体" w:hAnsi="宋体"/>
          <w:color w:val="000000" w:themeColor="text1"/>
          <w:sz w:val="24"/>
          <w:szCs w:val="24"/>
          <w14:textFill>
            <w14:solidFill>
              <w14:schemeClr w14:val="tx1"/>
            </w14:solidFill>
          </w14:textFill>
        </w:rPr>
      </w:pP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6" w:name="_Toc272247695"/>
      <w:bookmarkStart w:id="7" w:name="_Toc495861521"/>
      <w:bookmarkStart w:id="8" w:name="_Toc278891592"/>
      <w:bookmarkStart w:id="9" w:name="_Toc494561939"/>
      <w:r>
        <w:rPr>
          <w:rFonts w:hint="eastAsia" w:cs="Times New Roman" w:asciiTheme="majorEastAsia" w:hAnsiTheme="majorEastAsia"/>
          <w:bCs w:val="0"/>
          <w:color w:val="000000" w:themeColor="text1"/>
          <w:lang w:val="zh-CN"/>
          <w14:textFill>
            <w14:solidFill>
              <w14:schemeClr w14:val="tx1"/>
            </w14:solidFill>
          </w14:textFill>
        </w:rPr>
        <w:t>招标文件</w:t>
      </w:r>
      <w:bookmarkEnd w:id="6"/>
      <w:bookmarkEnd w:id="7"/>
      <w:bookmarkEnd w:id="8"/>
      <w:bookmarkEnd w:id="9"/>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招标文件的构成</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第一章 投标邀请书</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第二章 投标人须知</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第三章 项目技术、服务及商务要求</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第四章 资格审查方法及标准</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第五章 评标方法、程序及标准</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第六章 合同书格式（参考）</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第七章 投标文件格式（参考）</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其 他  在招标过程中由采购代理机构发出的修正和补充文件等</w:t>
      </w:r>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招标文件疑问的提交</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潜在投标人对招标文件有疑问的，可以向采购代理机构提出询问，或在6.2规定的时间前以书面的形式向采购代理机构提交疑问函。</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潜在投标人在项目招标公告期限届满之日起7个工作日内未对招标文件提出疑问的，采购代理机构将视其认同招标文件，在规定的时间后就招标文件内容提出的疑问将不予受理。</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招标文件的澄清、修改</w:t>
      </w:r>
    </w:p>
    <w:p>
      <w:pPr>
        <w:numPr>
          <w:ilvl w:val="0"/>
          <w:numId w:val="13"/>
        </w:numPr>
        <w:spacing w:line="360" w:lineRule="auto"/>
        <w:ind w:left="476" w:hanging="47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采购代理机构和采购人可以对已发出的招标文件进行必要的澄清或者修改。</w:t>
      </w:r>
      <w:r>
        <w:rPr>
          <w:rFonts w:hint="eastAsia" w:ascii="Helvetica" w:hAnsi="Helvetica" w:eastAsia="宋体" w:cs="Helvetica"/>
          <w:color w:val="000000" w:themeColor="text1"/>
          <w:kern w:val="0"/>
          <w:sz w:val="24"/>
          <w:szCs w:val="24"/>
          <w:lang w:val="zh-CN"/>
          <w14:textFill>
            <w14:solidFill>
              <w14:schemeClr w14:val="tx1"/>
            </w14:solidFill>
          </w14:textFill>
        </w:rPr>
        <w:t>澄清或者修改将在原公告发布媒体上发布澄清公告。澄清或者修改的内容可能影响投标文件编制的，</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ascii="Helvetica" w:hAnsi="Helvetica" w:eastAsia="宋体" w:cs="Helvetica"/>
          <w:color w:val="000000" w:themeColor="text1"/>
          <w:kern w:val="0"/>
          <w:sz w:val="24"/>
          <w:szCs w:val="24"/>
          <w:lang w:val="zh-CN"/>
          <w14:textFill>
            <w14:solidFill>
              <w14:schemeClr w14:val="tx1"/>
            </w14:solidFill>
          </w14:textFill>
        </w:rPr>
        <w:t>和采购人将在投标截止时间至少</w:t>
      </w:r>
      <w:r>
        <w:rPr>
          <w:rFonts w:hint="eastAsia" w:ascii="宋体" w:hAnsi="宋体" w:eastAsia="宋体" w:cs="Times New Roman"/>
          <w:color w:val="000000" w:themeColor="text1"/>
          <w:sz w:val="24"/>
          <w:szCs w:val="20"/>
          <w:lang w:val="zh-CN"/>
          <w14:textFill>
            <w14:solidFill>
              <w14:schemeClr w14:val="tx1"/>
            </w14:solidFill>
          </w14:textFill>
        </w:rPr>
        <w:t>15</w:t>
      </w:r>
      <w:r>
        <w:rPr>
          <w:rFonts w:hint="eastAsia" w:ascii="Helvetica" w:hAnsi="Helvetica" w:eastAsia="宋体" w:cs="Helvetica"/>
          <w:color w:val="000000" w:themeColor="text1"/>
          <w:kern w:val="0"/>
          <w:sz w:val="24"/>
          <w:szCs w:val="24"/>
          <w:lang w:val="zh-CN"/>
          <w14:textFill>
            <w14:solidFill>
              <w14:schemeClr w14:val="tx1"/>
            </w14:solidFill>
          </w14:textFill>
        </w:rPr>
        <w:t>日前，以书面</w:t>
      </w:r>
      <w:r>
        <w:rPr>
          <w:rFonts w:hint="eastAsia" w:ascii="宋体" w:hAnsi="宋体" w:eastAsia="宋体" w:cs="Times New Roman"/>
          <w:color w:val="000000" w:themeColor="text1"/>
          <w:sz w:val="24"/>
          <w:szCs w:val="20"/>
          <w:lang w:val="zh-CN"/>
          <w14:textFill>
            <w14:solidFill>
              <w14:schemeClr w14:val="tx1"/>
            </w14:solidFill>
          </w14:textFill>
        </w:rPr>
        <w:t>（或网上公告）</w:t>
      </w:r>
      <w:r>
        <w:rPr>
          <w:rFonts w:hint="eastAsia" w:ascii="Helvetica" w:hAnsi="Helvetica" w:eastAsia="宋体" w:cs="Helvetica"/>
          <w:color w:val="000000" w:themeColor="text1"/>
          <w:kern w:val="0"/>
          <w:sz w:val="24"/>
          <w:szCs w:val="24"/>
          <w:lang w:val="zh-CN"/>
          <w14:textFill>
            <w14:solidFill>
              <w14:schemeClr w14:val="tx1"/>
            </w14:solidFill>
          </w14:textFill>
        </w:rPr>
        <w:t>形式通知所有获取招标文件的潜在投标人。</w:t>
      </w:r>
    </w:p>
    <w:p>
      <w:pPr>
        <w:numPr>
          <w:ilvl w:val="0"/>
          <w:numId w:val="13"/>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澄清或者修改的内容为招标文件的组成部分，并对潜在投标人具有约束力。</w:t>
      </w:r>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现场考察</w:t>
      </w:r>
    </w:p>
    <w:p>
      <w:pPr>
        <w:numPr>
          <w:ilvl w:val="0"/>
          <w:numId w:val="14"/>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4"/>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采购人向潜在投标人提供有关现场的数据和资料。是采购人现有的能被潜在投标人利用的客观资料，采购人对潜在投标人依此作出的任何推论、理解和结论均不负责任。</w:t>
      </w:r>
    </w:p>
    <w:p>
      <w:pPr>
        <w:numPr>
          <w:ilvl w:val="0"/>
          <w:numId w:val="14"/>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10" w:name="_Toc494561940"/>
      <w:bookmarkStart w:id="11" w:name="_Toc495861522"/>
      <w:bookmarkStart w:id="12" w:name="_Toc278891593"/>
      <w:bookmarkStart w:id="13" w:name="_Toc272247696"/>
      <w:r>
        <w:rPr>
          <w:rFonts w:hint="eastAsia" w:cs="Times New Roman" w:asciiTheme="majorEastAsia" w:hAnsiTheme="majorEastAsia"/>
          <w:bCs w:val="0"/>
          <w:color w:val="000000" w:themeColor="text1"/>
          <w:lang w:val="zh-CN"/>
          <w14:textFill>
            <w14:solidFill>
              <w14:schemeClr w14:val="tx1"/>
            </w14:solidFill>
          </w14:textFill>
        </w:rPr>
        <w:t>投标文件</w:t>
      </w:r>
      <w:bookmarkEnd w:id="10"/>
      <w:bookmarkEnd w:id="11"/>
      <w:bookmarkEnd w:id="12"/>
      <w:bookmarkEnd w:id="13"/>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投标的语言</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投标人提交的投标文件以及投标人与</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Times New Roman" w:asciiTheme="minorEastAsia" w:hAnsiTheme="minorEastAsia"/>
          <w:color w:val="000000" w:themeColor="text1"/>
          <w:sz w:val="24"/>
          <w:szCs w:val="24"/>
          <w:lang w:val="zh-CN"/>
          <w14:textFill>
            <w14:solidFill>
              <w14:schemeClr w14:val="tx1"/>
            </w14:solidFill>
          </w14:textFill>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投标文件的构成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投标人编制的投标文件应包括但不限于下列内容：</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第一部分  资格证明文件</w:t>
      </w:r>
      <w:r>
        <w:rPr>
          <w:rFonts w:hint="eastAsia" w:cs="Times New Roman" w:asciiTheme="minorEastAsia" w:hAnsiTheme="minorEastAsia"/>
          <w:color w:val="000000" w:themeColor="text1"/>
          <w:sz w:val="24"/>
          <w:szCs w:val="24"/>
          <w:lang w:val="en-US" w:eastAsia="zh-CN"/>
          <w14:textFill>
            <w14:solidFill>
              <w14:schemeClr w14:val="tx1"/>
            </w14:solidFill>
          </w14:textFill>
        </w:rPr>
        <w:t xml:space="preserve">  </w:t>
      </w:r>
      <w:r>
        <w:rPr>
          <w:rFonts w:hint="eastAsia" w:cs="Times New Roman" w:asciiTheme="minorEastAsia" w:hAnsiTheme="minorEastAsia"/>
          <w:color w:val="000000" w:themeColor="text1"/>
          <w:sz w:val="24"/>
          <w:szCs w:val="24"/>
          <w:lang w:val="zh-CN"/>
          <w14:textFill>
            <w14:solidFill>
              <w14:schemeClr w14:val="tx1"/>
            </w14:solidFill>
          </w14:textFill>
        </w:rPr>
        <w:t>（详见第七章“投标文件格式”中资格证明文件组成）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第二部分  商务文件</w:t>
      </w:r>
      <w:r>
        <w:rPr>
          <w:rFonts w:hint="eastAsia" w:cs="Times New Roman" w:asciiTheme="minorEastAsia" w:hAnsiTheme="minorEastAsia"/>
          <w:color w:val="000000" w:themeColor="text1"/>
          <w:sz w:val="24"/>
          <w:szCs w:val="24"/>
          <w:lang w:val="en-US" w:eastAsia="zh-CN"/>
          <w14:textFill>
            <w14:solidFill>
              <w14:schemeClr w14:val="tx1"/>
            </w14:solidFill>
          </w14:textFill>
        </w:rPr>
        <w:t xml:space="preserve">      </w:t>
      </w:r>
      <w:r>
        <w:rPr>
          <w:rFonts w:hint="eastAsia" w:cs="Times New Roman" w:asciiTheme="minorEastAsia" w:hAnsiTheme="minorEastAsia"/>
          <w:color w:val="000000" w:themeColor="text1"/>
          <w:sz w:val="24"/>
          <w:szCs w:val="24"/>
          <w:lang w:val="zh-CN"/>
          <w14:textFill>
            <w14:solidFill>
              <w14:schemeClr w14:val="tx1"/>
            </w14:solidFill>
          </w14:textFill>
        </w:rPr>
        <w:t>（详见第七章“投标文件格式”中商务文件组成）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第三部分  技术、服务文件（详见第七章“投标文件格式”中技术、服务文件组成）</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投标文件编制</w:t>
      </w:r>
    </w:p>
    <w:p>
      <w:pPr>
        <w:numPr>
          <w:ilvl w:val="0"/>
          <w:numId w:val="15"/>
        </w:numPr>
        <w:spacing w:line="360" w:lineRule="auto"/>
        <w:ind w:left="616" w:hanging="616"/>
        <w:rPr>
          <w:rFonts w:ascii="宋体" w:hAnsi="宋体"/>
          <w:color w:val="000000"/>
          <w:sz w:val="24"/>
          <w:szCs w:val="24"/>
          <w:lang w:val="zh-CN"/>
        </w:rPr>
      </w:pPr>
      <w:r>
        <w:rPr>
          <w:rFonts w:hint="eastAsia" w:ascii="宋体" w:hAnsi="宋体"/>
          <w:color w:val="000000"/>
          <w:sz w:val="24"/>
          <w:szCs w:val="24"/>
          <w:lang w:val="zh-CN"/>
        </w:rPr>
        <w:t>如招标文件有分包要求，投标人对招标文件中多个包进行投标的，其投标文件的编制应按每包要求分别装订和封装，并注明对应包号。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ascii="宋体" w:hAnsi="宋体"/>
          <w:color w:val="000000"/>
          <w:sz w:val="24"/>
          <w:szCs w:val="24"/>
          <w:lang w:val="zh-CN"/>
        </w:rPr>
      </w:pPr>
      <w:r>
        <w:rPr>
          <w:rFonts w:hint="eastAsia" w:ascii="宋体" w:hAnsi="宋体"/>
          <w:color w:val="000000"/>
          <w:sz w:val="24"/>
          <w:szCs w:val="24"/>
          <w:lang w:val="zh-CN"/>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ascii="宋体" w:hAnsi="宋体"/>
          <w:color w:val="000000"/>
          <w:sz w:val="24"/>
          <w:szCs w:val="24"/>
          <w:lang w:val="zh-CN"/>
        </w:rPr>
      </w:pPr>
      <w:r>
        <w:rPr>
          <w:rFonts w:hint="eastAsia" w:ascii="宋体" w:hAnsi="宋体"/>
          <w:color w:val="000000"/>
          <w:sz w:val="24"/>
          <w:szCs w:val="24"/>
          <w:lang w:val="zh-CN"/>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ascii="宋体" w:hAnsi="宋体"/>
          <w:color w:val="000000"/>
          <w:sz w:val="24"/>
          <w:szCs w:val="24"/>
          <w:lang w:val="zh-CN"/>
        </w:rPr>
      </w:pPr>
      <w:r>
        <w:rPr>
          <w:rFonts w:hint="eastAsia" w:ascii="宋体" w:hAnsi="宋体"/>
          <w:color w:val="000000"/>
          <w:sz w:val="24"/>
          <w:szCs w:val="24"/>
          <w:lang w:val="zh-CN"/>
        </w:rPr>
        <w:t>投标人应对投标文件中所提供资料的真实性负责，如有虚假，将依法承担相应责任。投标人应自觉接受湖北方圆工程造价咨询有限公司对其中任何资料进一步核实的要求。</w:t>
      </w:r>
    </w:p>
    <w:p>
      <w:pPr>
        <w:numPr>
          <w:ilvl w:val="0"/>
          <w:numId w:val="15"/>
        </w:numPr>
        <w:spacing w:line="360" w:lineRule="auto"/>
        <w:ind w:left="616" w:hanging="616"/>
        <w:rPr>
          <w:rFonts w:ascii="宋体" w:hAnsi="宋体"/>
          <w:color w:val="000000"/>
          <w:sz w:val="24"/>
          <w:szCs w:val="24"/>
          <w:lang w:val="zh-CN"/>
        </w:rPr>
      </w:pPr>
      <w:r>
        <w:rPr>
          <w:rFonts w:hint="eastAsia" w:ascii="宋体" w:hAnsi="宋体"/>
          <w:color w:val="000000"/>
          <w:sz w:val="24"/>
          <w:szCs w:val="24"/>
          <w:lang w:val="zh-CN"/>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ascii="宋体" w:hAnsi="宋体"/>
          <w:color w:val="000000"/>
          <w:sz w:val="24"/>
          <w:szCs w:val="24"/>
          <w:lang w:val="zh-CN"/>
        </w:rPr>
      </w:pPr>
      <w:r>
        <w:rPr>
          <w:rFonts w:hint="eastAsia" w:ascii="宋体" w:hAnsi="宋体"/>
          <w:color w:val="000000"/>
          <w:sz w:val="24"/>
          <w:szCs w:val="24"/>
          <w:lang w:val="zh-CN"/>
        </w:rPr>
        <w:t>投标文件用纸应统一为A4规格（图纸除外）。</w:t>
      </w:r>
    </w:p>
    <w:p>
      <w:pPr>
        <w:numPr>
          <w:ilvl w:val="0"/>
          <w:numId w:val="15"/>
        </w:numPr>
        <w:spacing w:line="360" w:lineRule="auto"/>
        <w:ind w:left="616" w:hanging="616"/>
        <w:rPr>
          <w:rFonts w:ascii="宋体" w:hAnsi="宋体"/>
          <w:b/>
          <w:color w:val="000000"/>
          <w:sz w:val="24"/>
          <w:szCs w:val="24"/>
          <w:lang w:val="zh-CN"/>
        </w:rPr>
      </w:pPr>
      <w:r>
        <w:rPr>
          <w:rFonts w:hint="eastAsia" w:ascii="宋体" w:hAnsi="宋体"/>
          <w:b/>
          <w:color w:val="000000"/>
          <w:sz w:val="24"/>
          <w:szCs w:val="24"/>
          <w:lang w:val="zh-CN"/>
        </w:rPr>
        <w:t>投标文件共分为：第一部分资格证明文件、第二部分商务文件</w:t>
      </w:r>
      <w:r>
        <w:rPr>
          <w:rFonts w:hint="eastAsia" w:ascii="宋体" w:hAnsi="宋体"/>
          <w:b/>
          <w:color w:val="000000"/>
          <w:sz w:val="24"/>
          <w:szCs w:val="24"/>
          <w:lang w:val="zh-CN" w:eastAsia="zh-CN"/>
        </w:rPr>
        <w:t>、</w:t>
      </w:r>
      <w:r>
        <w:rPr>
          <w:rFonts w:hint="eastAsia" w:ascii="宋体" w:hAnsi="宋体"/>
          <w:b/>
          <w:color w:val="000000"/>
          <w:sz w:val="24"/>
          <w:szCs w:val="24"/>
          <w:lang w:val="zh-CN"/>
        </w:rPr>
        <w:t>第三部分技术、服务文件分册编制装订，分别逐页连续标注页码，建立目录索引。</w:t>
      </w:r>
      <w:r>
        <w:rPr>
          <w:rFonts w:hint="eastAsia" w:ascii="宋体" w:hAnsi="宋体"/>
          <w:b/>
          <w:color w:val="000000"/>
          <w:sz w:val="24"/>
          <w:szCs w:val="20"/>
          <w:lang w:val="zh-CN"/>
        </w:rPr>
        <w:t>各部分文件及内容详见第七章“投标文件格式”要求。</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投标报价</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投标人所提供的货物（工程或服务）均以人民币计价。</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《投标报价明细表》填写时应响应下列要求：</w:t>
      </w:r>
    </w:p>
    <w:p>
      <w:pPr>
        <w:numPr>
          <w:ilvl w:val="0"/>
          <w:numId w:val="17"/>
        </w:numPr>
        <w:spacing w:line="360" w:lineRule="auto"/>
        <w:ind w:left="980" w:hanging="854"/>
        <w:rPr>
          <w:rFonts w:cs="Times New Roman" w:asciiTheme="minorEastAsia" w:hAnsiTheme="minorEastAsia"/>
          <w:color w:val="000000" w:themeColor="text1"/>
          <w:sz w:val="24"/>
          <w:szCs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应包括所有根据合同或其他原因由投标人支付的款项、费用</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17"/>
        </w:numPr>
        <w:spacing w:line="360" w:lineRule="auto"/>
        <w:ind w:left="980" w:hanging="854"/>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应包含货物运至最终目的地的运输、保险和伴随货物（工程或服务）的有关费用；</w:t>
      </w:r>
    </w:p>
    <w:p>
      <w:pPr>
        <w:numPr>
          <w:ilvl w:val="0"/>
          <w:numId w:val="17"/>
        </w:numPr>
        <w:spacing w:line="360" w:lineRule="auto"/>
        <w:ind w:left="980" w:hanging="854"/>
        <w:rPr>
          <w:rFonts w:cs="Courier New"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应详细提供《投标报价明细表》和《投标货物、服务清单》等内容，否则按照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每一种规格的货物（工程或服务）只允许有一个报价，否则按照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投标人应对项目招标范围内的全部内容进行报价，不得缺、漏项或只投其中的部分内容的，否则按照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备选方案</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只允许投标人提供一个投标方案，否则按照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7"/>
        </w:numPr>
        <w:spacing w:line="360" w:lineRule="auto"/>
        <w:ind w:left="560" w:hanging="560"/>
        <w:rPr>
          <w:rFonts w:hint="eastAsia"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中标后分包（本项目不允许分包）</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联合体投标（本项目不接受联合体投标）</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资格证明文件</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资格证明文件应真实、合法，并就此承担相应法律责任。</w:t>
      </w:r>
    </w:p>
    <w:p>
      <w:pPr>
        <w:numPr>
          <w:ilvl w:val="0"/>
          <w:numId w:val="0"/>
        </w:numPr>
        <w:spacing w:line="360" w:lineRule="auto"/>
        <w:ind w:leftChars="0"/>
        <w:rPr>
          <w:rFonts w:hint="default" w:cs="Times New Roman" w:asciiTheme="minorEastAsia" w:hAnsiTheme="minorEastAsia"/>
          <w:color w:val="000000" w:themeColor="text1"/>
          <w:sz w:val="24"/>
          <w:szCs w:val="24"/>
          <w:highlight w:val="red"/>
          <w:lang w:val="en-US" w:eastAsia="zh-CN"/>
          <w14:textFill>
            <w14:solidFill>
              <w14:schemeClr w14:val="tx1"/>
            </w14:solidFill>
          </w14:textFill>
        </w:rPr>
      </w:pPr>
      <w:r>
        <w:rPr>
          <w:rFonts w:hint="eastAsia" w:cs="Times New Roman" w:asciiTheme="minorEastAsia" w:hAnsiTheme="minorEastAsia"/>
          <w:b/>
          <w:color w:val="auto"/>
          <w:sz w:val="24"/>
          <w:szCs w:val="24"/>
          <w:highlight w:val="none"/>
          <w:lang w:val="en-US" w:eastAsia="zh-CN"/>
        </w:rPr>
        <w:t>17、</w:t>
      </w:r>
      <w:r>
        <w:rPr>
          <w:rFonts w:hint="eastAsia" w:cs="Times New Roman" w:asciiTheme="minorEastAsia" w:hAnsiTheme="minorEastAsia"/>
          <w:b/>
          <w:color w:val="auto"/>
          <w:sz w:val="24"/>
          <w:szCs w:val="24"/>
          <w:highlight w:val="none"/>
          <w:lang w:val="zh-CN"/>
        </w:rPr>
        <w:t>投标保证金</w:t>
      </w:r>
      <w:r>
        <w:rPr>
          <w:rFonts w:hint="eastAsia" w:cs="Times New Roman" w:asciiTheme="minorEastAsia" w:hAnsiTheme="minorEastAsia"/>
          <w:color w:val="auto"/>
          <w:sz w:val="24"/>
          <w:szCs w:val="24"/>
          <w:highlight w:val="none"/>
          <w:lang w:val="zh-CN"/>
        </w:rPr>
        <w:t>（交纳金额及账户信息详见本章“投标须知前附表”中规定）。不收取投标保证金。</w:t>
      </w:r>
    </w:p>
    <w:p>
      <w:pPr>
        <w:numPr>
          <w:ilvl w:val="0"/>
          <w:numId w:val="0"/>
        </w:numPr>
        <w:spacing w:line="360" w:lineRule="auto"/>
        <w:ind w:leftChars="0"/>
        <w:rPr>
          <w:rFonts w:hint="default" w:cs="Times New Roman" w:asciiTheme="minorEastAsia" w:hAnsiTheme="minorEastAsia"/>
          <w:b/>
          <w:bCs/>
          <w:color w:val="000000" w:themeColor="text1"/>
          <w:sz w:val="24"/>
          <w:szCs w:val="24"/>
          <w:lang w:val="en-US" w:eastAsia="zh-CN"/>
          <w14:textFill>
            <w14:solidFill>
              <w14:schemeClr w14:val="tx1"/>
            </w14:solidFill>
          </w14:textFill>
        </w:rPr>
      </w:pPr>
      <w:r>
        <w:rPr>
          <w:rFonts w:hint="eastAsia" w:cs="Times New Roman" w:asciiTheme="minorEastAsia" w:hAnsiTheme="minorEastAsia"/>
          <w:b/>
          <w:bCs/>
          <w:color w:val="000000" w:themeColor="text1"/>
          <w:sz w:val="24"/>
          <w:szCs w:val="24"/>
          <w:lang w:val="en-US" w:eastAsia="zh-CN"/>
          <w14:textFill>
            <w14:solidFill>
              <w14:schemeClr w14:val="tx1"/>
            </w14:solidFill>
          </w14:textFill>
        </w:rPr>
        <w:t>18.投标有效期</w:t>
      </w:r>
    </w:p>
    <w:p>
      <w:pPr>
        <w:numPr>
          <w:ilvl w:val="0"/>
          <w:numId w:val="19"/>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投标有效期详见本章“投标须知前附表”中规定。</w:t>
      </w:r>
      <w:r>
        <w:rPr>
          <w:rFonts w:cs="Helvetica" w:asciiTheme="minorEastAsia" w:hAnsiTheme="minorEastAsia"/>
          <w:color w:val="000000" w:themeColor="text1"/>
          <w:kern w:val="0"/>
          <w:sz w:val="24"/>
          <w:szCs w:val="24"/>
          <w:lang w:val="zh-CN"/>
          <w14:textFill>
            <w14:solidFill>
              <w14:schemeClr w14:val="tx1"/>
            </w14:solidFill>
          </w14:textFill>
        </w:rPr>
        <w:t>投标文件中承诺的投标有效期应当不少于招标文件中载明的投标有效期</w:t>
      </w:r>
      <w:r>
        <w:rPr>
          <w:rFonts w:hint="eastAsia" w:cs="Helvetica" w:asciiTheme="minorEastAsia" w:hAnsiTheme="minorEastAsia"/>
          <w:color w:val="000000" w:themeColor="text1"/>
          <w:kern w:val="0"/>
          <w:sz w:val="24"/>
          <w:szCs w:val="24"/>
          <w:lang w:val="zh-CN"/>
          <w14:textFill>
            <w14:solidFill>
              <w14:schemeClr w14:val="tx1"/>
            </w14:solidFill>
          </w14:textFill>
        </w:rPr>
        <w:t>。投标有效期不足的，</w:t>
      </w:r>
      <w:r>
        <w:rPr>
          <w:rFonts w:hint="eastAsia" w:cs="Times New Roman" w:asciiTheme="minorEastAsia" w:hAnsiTheme="minorEastAsia"/>
          <w:color w:val="000000" w:themeColor="text1"/>
          <w:sz w:val="24"/>
          <w:szCs w:val="24"/>
          <w:lang w:val="zh-CN"/>
          <w14:textFill>
            <w14:solidFill>
              <w14:schemeClr w14:val="tx1"/>
            </w14:solidFill>
          </w14:textFill>
        </w:rPr>
        <w:t>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19"/>
        </w:numPr>
        <w:spacing w:line="360" w:lineRule="auto"/>
        <w:ind w:left="616" w:hanging="616"/>
        <w:rPr>
          <w:rFonts w:cs="Times New Roman" w:asciiTheme="minorEastAsia" w:hAnsiTheme="minorEastAsia"/>
          <w:color w:val="auto"/>
          <w:sz w:val="24"/>
          <w:szCs w:val="24"/>
          <w:lang w:val="zh-CN"/>
        </w:rPr>
      </w:pPr>
      <w:r>
        <w:rPr>
          <w:rFonts w:hint="eastAsia" w:cs="Times New Roman" w:asciiTheme="minorEastAsia" w:hAnsiTheme="minorEastAsia"/>
          <w:color w:val="auto"/>
          <w:sz w:val="24"/>
          <w:szCs w:val="24"/>
          <w:highlight w:val="none"/>
          <w:shd w:val="clear" w:color="auto" w:fill="auto"/>
          <w:lang w:val="zh-CN"/>
        </w:rPr>
        <w:t>特殊情况下，在原投标有效期截止之前，</w:t>
      </w:r>
      <w:r>
        <w:rPr>
          <w:rFonts w:hint="eastAsia" w:ascii="宋体" w:hAnsi="宋体" w:eastAsia="宋体" w:cs="Times New Roman"/>
          <w:color w:val="auto"/>
          <w:sz w:val="24"/>
          <w:szCs w:val="20"/>
          <w:highlight w:val="none"/>
          <w:shd w:val="clear" w:color="auto" w:fill="auto"/>
          <w:lang w:val="zh-CN"/>
        </w:rPr>
        <w:t>采购代理机构</w:t>
      </w:r>
      <w:r>
        <w:rPr>
          <w:rFonts w:hint="eastAsia" w:cs="Times New Roman" w:asciiTheme="minorEastAsia" w:hAnsiTheme="minorEastAsia"/>
          <w:color w:val="auto"/>
          <w:sz w:val="24"/>
          <w:szCs w:val="24"/>
          <w:highlight w:val="none"/>
          <w:shd w:val="clear" w:color="auto" w:fill="auto"/>
          <w:lang w:val="zh-CN"/>
        </w:rPr>
        <w:t>或采购人可要求投标人延长投标有效期。这种要求与答复均应以书面形式提交。投标人可拒绝</w:t>
      </w:r>
      <w:r>
        <w:rPr>
          <w:rFonts w:hint="eastAsia" w:ascii="宋体" w:hAnsi="宋体" w:eastAsia="宋体" w:cs="Times New Roman"/>
          <w:color w:val="auto"/>
          <w:sz w:val="24"/>
          <w:szCs w:val="20"/>
          <w:highlight w:val="none"/>
          <w:shd w:val="clear" w:color="auto" w:fill="auto"/>
          <w:lang w:val="zh-CN"/>
        </w:rPr>
        <w:t>采购代理机构</w:t>
      </w:r>
      <w:r>
        <w:rPr>
          <w:rFonts w:hint="eastAsia" w:cs="Times New Roman" w:asciiTheme="minorEastAsia" w:hAnsiTheme="minorEastAsia"/>
          <w:color w:val="auto"/>
          <w:sz w:val="24"/>
          <w:szCs w:val="24"/>
          <w:highlight w:val="none"/>
          <w:shd w:val="clear" w:color="auto" w:fill="auto"/>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0"/>
        </w:numPr>
        <w:spacing w:line="360" w:lineRule="auto"/>
        <w:ind w:leftChars="0"/>
        <w:rPr>
          <w:rFonts w:cs="Times New Roman" w:asciiTheme="minorEastAsia" w:hAnsiTheme="minorEastAsia"/>
          <w:b/>
          <w:color w:val="000000" w:themeColor="text1"/>
          <w:sz w:val="24"/>
          <w:szCs w:val="24"/>
          <w:lang w:val="zh-CN"/>
          <w14:textFill>
            <w14:solidFill>
              <w14:schemeClr w14:val="tx1"/>
            </w14:solidFill>
          </w14:textFill>
        </w:rPr>
      </w:pPr>
    </w:p>
    <w:p>
      <w:pPr>
        <w:numPr>
          <w:ilvl w:val="0"/>
          <w:numId w:val="0"/>
        </w:numPr>
        <w:spacing w:line="360" w:lineRule="auto"/>
        <w:ind w:leftChars="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en-US" w:eastAsia="zh-CN"/>
          <w14:textFill>
            <w14:solidFill>
              <w14:schemeClr w14:val="tx1"/>
            </w14:solidFill>
          </w14:textFill>
        </w:rPr>
        <w:t>19、</w:t>
      </w:r>
      <w:r>
        <w:rPr>
          <w:rFonts w:hint="eastAsia" w:cs="Times New Roman" w:asciiTheme="minorEastAsia" w:hAnsiTheme="minorEastAsia"/>
          <w:b/>
          <w:color w:val="000000" w:themeColor="text1"/>
          <w:sz w:val="24"/>
          <w:szCs w:val="24"/>
          <w:lang w:val="zh-CN"/>
          <w14:textFill>
            <w14:solidFill>
              <w14:schemeClr w14:val="tx1"/>
            </w14:solidFill>
          </w14:textFill>
        </w:rPr>
        <w:t>投标文件的数量和签署</w:t>
      </w:r>
    </w:p>
    <w:p>
      <w:pPr>
        <w:numPr>
          <w:ilvl w:val="0"/>
          <w:numId w:val="20"/>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投标人应按本章“投标须知前附表”中规定的份数要求编制投标文件，投标文件的副本可为正本的复</w:t>
      </w:r>
      <w:r>
        <w:rPr>
          <w:rFonts w:hint="eastAsia" w:cs="Times New Roman" w:asciiTheme="minorEastAsia" w:hAnsiTheme="minorEastAsia"/>
          <w:color w:val="000000" w:themeColor="text1"/>
          <w:sz w:val="24"/>
          <w:szCs w:val="24"/>
          <w:highlight w:val="none"/>
          <w:lang w:val="zh-CN"/>
          <w14:textFill>
            <w14:solidFill>
              <w14:schemeClr w14:val="tx1"/>
            </w14:solidFill>
          </w14:textFill>
        </w:rPr>
        <w:t>印件,但应在副本封面加盖单位公章。每套</w:t>
      </w:r>
      <w:r>
        <w:rPr>
          <w:rFonts w:hint="eastAsia" w:cs="Times New Roman" w:asciiTheme="minorEastAsia" w:hAnsiTheme="minorEastAsia"/>
          <w:color w:val="000000" w:themeColor="text1"/>
          <w:sz w:val="24"/>
          <w:szCs w:val="24"/>
          <w:lang w:val="zh-CN"/>
          <w14:textFill>
            <w14:solidFill>
              <w14:schemeClr w14:val="tx1"/>
            </w14:solidFill>
          </w14:textFill>
        </w:rPr>
        <w:t>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招标文件中要求加盖公章及签字（签章）之处，投标文件正本中应按要求提供加盖公章及签字（签章）的原件，否则按照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20、</w:t>
      </w:r>
      <w:r>
        <w:rPr>
          <w:rFonts w:hint="eastAsia" w:ascii="宋体" w:hAnsi="宋体" w:eastAsia="宋体" w:cs="Times New Roman"/>
          <w:b/>
          <w:color w:val="000000" w:themeColor="text1"/>
          <w:sz w:val="24"/>
          <w:szCs w:val="20"/>
          <w:lang w:val="zh-CN"/>
          <w14:textFill>
            <w14:solidFill>
              <w14:schemeClr w14:val="tx1"/>
            </w14:solidFill>
          </w14:textFill>
        </w:rPr>
        <w:t>投标文件的密封和标记</w:t>
      </w:r>
    </w:p>
    <w:p>
      <w:pPr>
        <w:numPr>
          <w:ilvl w:val="0"/>
          <w:numId w:val="21"/>
        </w:numPr>
        <w:spacing w:line="360" w:lineRule="auto"/>
        <w:ind w:left="616" w:hanging="616"/>
        <w:rPr>
          <w:rFonts w:ascii="宋体" w:hAnsi="宋体"/>
          <w:b/>
          <w:color w:val="000000"/>
          <w:sz w:val="24"/>
          <w:szCs w:val="20"/>
          <w:lang w:val="zh-CN"/>
        </w:rPr>
      </w:pPr>
      <w:r>
        <w:rPr>
          <w:rFonts w:hint="eastAsia" w:ascii="宋体" w:hAnsi="宋体"/>
          <w:b w:val="0"/>
          <w:bCs/>
          <w:color w:val="000000"/>
          <w:sz w:val="24"/>
          <w:szCs w:val="20"/>
          <w:lang w:val="zh-CN"/>
        </w:rPr>
        <w:t>投标文件包括第一部分资格证明文件，第二部分商务文件，第三部分技术、服务文件，上述三部分应分别密封在独立封包中，并在封包中标明各部分名称，每个封包应包括正本</w:t>
      </w:r>
      <w:r>
        <w:rPr>
          <w:rFonts w:hint="eastAsia" w:ascii="宋体" w:hAnsi="宋体"/>
          <w:b w:val="0"/>
          <w:bCs/>
          <w:color w:val="000000"/>
          <w:sz w:val="24"/>
          <w:szCs w:val="20"/>
          <w:lang w:val="en-US" w:eastAsia="zh-CN"/>
        </w:rPr>
        <w:t>1份、副本4份</w:t>
      </w:r>
      <w:r>
        <w:rPr>
          <w:rFonts w:hint="eastAsia" w:ascii="宋体" w:hAnsi="宋体"/>
          <w:b w:val="0"/>
          <w:bCs/>
          <w:color w:val="000000"/>
          <w:sz w:val="24"/>
          <w:szCs w:val="20"/>
          <w:lang w:val="zh-CN"/>
        </w:rPr>
        <w:t>。</w:t>
      </w:r>
      <w:r>
        <w:rPr>
          <w:rFonts w:hint="eastAsia" w:ascii="宋体" w:hAnsi="宋体"/>
          <w:b/>
          <w:color w:val="000000"/>
          <w:sz w:val="24"/>
          <w:szCs w:val="20"/>
          <w:lang w:val="zh-CN"/>
        </w:rPr>
        <w:t>（如采购人已组织过项目资格预审的，投标人无需再提供资格证明文件）</w:t>
      </w:r>
    </w:p>
    <w:p>
      <w:pPr>
        <w:pStyle w:val="2"/>
        <w:ind w:left="719" w:leftChars="114" w:hanging="480" w:hangingChars="200"/>
        <w:rPr>
          <w:rFonts w:hint="eastAsia" w:ascii="宋体" w:hAnsi="宋体"/>
          <w:b w:val="0"/>
          <w:bCs w:val="0"/>
          <w:color w:val="000000"/>
          <w:sz w:val="24"/>
          <w:szCs w:val="20"/>
          <w:lang w:val="en-US" w:eastAsia="zh-CN"/>
        </w:rPr>
      </w:pPr>
      <w:r>
        <w:rPr>
          <w:rFonts w:hint="eastAsia" w:ascii="宋体" w:hAnsi="宋体"/>
          <w:b w:val="0"/>
          <w:color w:val="000000"/>
          <w:sz w:val="24"/>
          <w:szCs w:val="20"/>
          <w:lang w:val="en-US" w:eastAsia="zh-CN"/>
        </w:rPr>
        <w:t>20.1.1</w:t>
      </w:r>
      <w:r>
        <w:rPr>
          <w:rFonts w:hint="eastAsia" w:ascii="宋体" w:hAnsi="宋体" w:eastAsia="宋体" w:cs="宋体"/>
          <w:b w:val="0"/>
          <w:bCs w:val="0"/>
          <w:color w:val="000000"/>
          <w:sz w:val="24"/>
          <w:szCs w:val="20"/>
          <w:lang w:val="en-US" w:eastAsia="zh-CN"/>
        </w:rPr>
        <w:t>资格证明文件正本1份、副本4份，密封在“资格证明文件”封包内，封包上注明“第一部分 资格证明文件”；</w:t>
      </w:r>
    </w:p>
    <w:p>
      <w:pPr>
        <w:ind w:left="719" w:leftChars="114" w:hanging="480" w:hangingChars="200"/>
        <w:rPr>
          <w:rFonts w:hint="eastAsia" w:ascii="宋体" w:hAnsi="宋体"/>
          <w:b w:val="0"/>
          <w:bCs w:val="0"/>
          <w:color w:val="000000"/>
          <w:sz w:val="24"/>
          <w:szCs w:val="20"/>
          <w:lang w:val="en-US" w:eastAsia="zh-CN"/>
        </w:rPr>
      </w:pPr>
      <w:r>
        <w:rPr>
          <w:rFonts w:hint="eastAsia" w:ascii="宋体" w:hAnsi="宋体"/>
          <w:b w:val="0"/>
          <w:bCs w:val="0"/>
          <w:color w:val="000000"/>
          <w:sz w:val="24"/>
          <w:szCs w:val="20"/>
          <w:lang w:val="en-US" w:eastAsia="zh-CN"/>
        </w:rPr>
        <w:t>20.1.2商务文件正本1份、副本4份，密封在“商务文件”封包内，封包上注明“第二部分 商务文件”；</w:t>
      </w:r>
    </w:p>
    <w:p>
      <w:pPr>
        <w:pStyle w:val="2"/>
        <w:ind w:left="719" w:leftChars="114" w:hanging="480" w:hangingChars="200"/>
        <w:rPr>
          <w:rFonts w:hint="eastAsia" w:ascii="宋体" w:hAnsi="宋体" w:eastAsia="宋体" w:cs="宋体"/>
          <w:b w:val="0"/>
          <w:bCs w:val="0"/>
          <w:lang w:val="en-US" w:eastAsia="zh-CN"/>
        </w:rPr>
      </w:pPr>
      <w:r>
        <w:rPr>
          <w:rFonts w:hint="eastAsia" w:ascii="宋体" w:hAnsi="宋体"/>
          <w:b w:val="0"/>
          <w:bCs w:val="0"/>
          <w:color w:val="000000"/>
          <w:sz w:val="24"/>
          <w:szCs w:val="20"/>
          <w:lang w:val="en-US" w:eastAsia="zh-CN"/>
        </w:rPr>
        <w:t>20.1.3</w:t>
      </w:r>
      <w:r>
        <w:rPr>
          <w:rFonts w:hint="eastAsia" w:ascii="宋体" w:hAnsi="宋体" w:eastAsia="宋体" w:cs="宋体"/>
          <w:b w:val="0"/>
          <w:bCs w:val="0"/>
          <w:color w:val="000000"/>
          <w:sz w:val="24"/>
          <w:szCs w:val="20"/>
          <w:lang w:val="en-US" w:eastAsia="zh-CN"/>
        </w:rPr>
        <w:t>技术、服务文件正本1份、副本4份，密封在“技术、服务文件”封包内，封包上注明“第三部分 技术、服务文件”.</w:t>
      </w:r>
    </w:p>
    <w:p>
      <w:pPr>
        <w:numPr>
          <w:ilvl w:val="0"/>
          <w:numId w:val="21"/>
        </w:numPr>
        <w:spacing w:line="360" w:lineRule="auto"/>
        <w:ind w:left="616" w:hanging="616"/>
        <w:rPr>
          <w:rFonts w:ascii="宋体" w:hAnsi="宋体"/>
          <w:color w:val="000000"/>
          <w:sz w:val="24"/>
          <w:szCs w:val="20"/>
          <w:lang w:val="zh-CN"/>
        </w:rPr>
      </w:pPr>
      <w:r>
        <w:rPr>
          <w:rFonts w:hint="eastAsia" w:ascii="宋体" w:hAnsi="宋体"/>
          <w:color w:val="000000"/>
          <w:sz w:val="24"/>
          <w:szCs w:val="20"/>
          <w:lang w:val="zh-CN"/>
        </w:rPr>
        <w:t>为方便开标时唱标，投标人应将《开标一览表》原件一份装入一个信封，单独密封提交，并在信封上注明“开标一览表”字样。未单独提交或单独提交的上述资料未按照招标文件规定的格式填写完整并签字、盖章的，招标代理机构</w:t>
      </w:r>
      <w:r>
        <w:rPr>
          <w:rFonts w:hint="eastAsia" w:ascii="宋体" w:hAnsi="宋体"/>
          <w:b/>
          <w:color w:val="000000"/>
          <w:sz w:val="24"/>
          <w:szCs w:val="20"/>
          <w:lang w:val="zh-CN"/>
        </w:rPr>
        <w:t>拒绝</w:t>
      </w:r>
      <w:r>
        <w:rPr>
          <w:rFonts w:hint="eastAsia" w:ascii="宋体" w:hAnsi="宋体"/>
          <w:color w:val="000000"/>
          <w:sz w:val="24"/>
          <w:szCs w:val="20"/>
          <w:lang w:val="zh-CN"/>
        </w:rPr>
        <w:t>其投标。</w:t>
      </w:r>
    </w:p>
    <w:p>
      <w:pPr>
        <w:numPr>
          <w:ilvl w:val="0"/>
          <w:numId w:val="21"/>
        </w:numPr>
        <w:spacing w:line="360" w:lineRule="auto"/>
        <w:ind w:left="616" w:hanging="616"/>
        <w:rPr>
          <w:rFonts w:ascii="宋体" w:hAnsi="宋体"/>
          <w:color w:val="000000"/>
          <w:sz w:val="24"/>
          <w:szCs w:val="20"/>
          <w:lang w:val="zh-CN"/>
        </w:rPr>
      </w:pPr>
      <w:r>
        <w:rPr>
          <w:rFonts w:hint="eastAsia" w:ascii="宋体" w:hAnsi="宋体"/>
          <w:color w:val="000000"/>
          <w:sz w:val="24"/>
          <w:szCs w:val="20"/>
          <w:lang w:val="zh-CN"/>
        </w:rPr>
        <w:t>“开标一览表”信封和投标文件各部分封包上还应注明采购项目编号、项目名称、投标内容和有“在（招标文件中规定的开标日期和时间）之前不得启封”的字样，封口处加盖投标人公章。</w:t>
      </w:r>
    </w:p>
    <w:p>
      <w:pPr>
        <w:numPr>
          <w:ilvl w:val="0"/>
          <w:numId w:val="21"/>
        </w:numPr>
        <w:spacing w:line="360" w:lineRule="auto"/>
        <w:ind w:left="616" w:hanging="616"/>
        <w:rPr>
          <w:rFonts w:ascii="宋体" w:hAnsi="宋体"/>
          <w:b w:val="0"/>
          <w:bCs/>
          <w:color w:val="000000"/>
          <w:sz w:val="24"/>
          <w:szCs w:val="20"/>
          <w:lang w:val="zh-CN"/>
        </w:rPr>
      </w:pPr>
      <w:r>
        <w:rPr>
          <w:rFonts w:hint="eastAsia" w:ascii="宋体" w:hAnsi="宋体"/>
          <w:b w:val="0"/>
          <w:bCs/>
          <w:color w:val="000000"/>
          <w:sz w:val="24"/>
          <w:szCs w:val="20"/>
          <w:lang w:val="zh-CN"/>
        </w:rPr>
        <w:t>未按要求密封、标记或存在错误，招标代理机构对其误设或提前启封概不负责。</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21、</w:t>
      </w:r>
      <w:r>
        <w:rPr>
          <w:rFonts w:hint="eastAsia" w:ascii="宋体" w:hAnsi="宋体" w:eastAsia="宋体" w:cs="Times New Roman"/>
          <w:b/>
          <w:color w:val="000000" w:themeColor="text1"/>
          <w:sz w:val="24"/>
          <w:szCs w:val="20"/>
          <w:lang w:val="zh-CN"/>
          <w14:textFill>
            <w14:solidFill>
              <w14:schemeClr w14:val="tx1"/>
            </w14:solidFill>
          </w14:textFill>
        </w:rPr>
        <w:t>投标文件递交</w:t>
      </w:r>
    </w:p>
    <w:p>
      <w:pPr>
        <w:numPr>
          <w:ilvl w:val="0"/>
          <w:numId w:val="22"/>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投标人应在不迟于投标邀请书中规定的投标截止日期和时间将投标文件密封递交至采购人（或代理公司）规定的投标地点。</w:t>
      </w:r>
    </w:p>
    <w:p>
      <w:pPr>
        <w:numPr>
          <w:ilvl w:val="0"/>
          <w:numId w:val="22"/>
        </w:numPr>
        <w:spacing w:line="360" w:lineRule="auto"/>
        <w:ind w:left="616" w:hanging="616"/>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Helvetica" w:hAnsi="Helvetica" w:eastAsia="宋体" w:cs="Helvetica"/>
          <w:b/>
          <w:color w:val="000000" w:themeColor="text1"/>
          <w:kern w:val="0"/>
          <w:sz w:val="24"/>
          <w:szCs w:val="24"/>
          <w:lang w:val="zh-CN"/>
          <w14:textFill>
            <w14:solidFill>
              <w14:schemeClr w14:val="tx1"/>
            </w14:solidFill>
          </w14:textFill>
        </w:rPr>
        <w:t>拒收逾期送达或者未按招标文件要求密封的投标文件。</w:t>
      </w:r>
    </w:p>
    <w:p>
      <w:pPr>
        <w:numPr>
          <w:ilvl w:val="0"/>
          <w:numId w:val="22"/>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ascii="Helvetica" w:hAnsi="Helvetica" w:eastAsia="宋体" w:cs="Helvetica"/>
          <w:color w:val="000000" w:themeColor="text1"/>
          <w:kern w:val="0"/>
          <w:sz w:val="24"/>
          <w:szCs w:val="24"/>
          <w:lang w:val="zh-CN"/>
          <w14:textFill>
            <w14:solidFill>
              <w14:schemeClr w14:val="tx1"/>
            </w14:solidFill>
          </w14:textFill>
        </w:rPr>
        <w:t>收到投标文件后，应当如实记载投标文件的送达时间和密封情况，签收保存，并向投标人出具签收回执。</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22、</w:t>
      </w:r>
      <w:r>
        <w:rPr>
          <w:rFonts w:hint="eastAsia" w:ascii="宋体" w:hAnsi="宋体" w:eastAsia="宋体" w:cs="Times New Roman"/>
          <w:b/>
          <w:color w:val="000000" w:themeColor="text1"/>
          <w:sz w:val="24"/>
          <w:szCs w:val="20"/>
          <w:lang w:val="zh-CN"/>
          <w14:textFill>
            <w14:solidFill>
              <w14:schemeClr w14:val="tx1"/>
            </w14:solidFill>
          </w14:textFill>
        </w:rPr>
        <w:t>投标文件的修改和撤回</w:t>
      </w:r>
    </w:p>
    <w:p>
      <w:pPr>
        <w:numPr>
          <w:ilvl w:val="0"/>
          <w:numId w:val="23"/>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投标人在投标截止时间前，可以对所递交的投标文件进行补充、修改或者撤回，并书面通知</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ascii="宋体" w:hAnsi="宋体" w:eastAsia="宋体" w:cs="Times New Roman"/>
          <w:color w:val="000000" w:themeColor="text1"/>
          <w:sz w:val="24"/>
          <w:szCs w:val="20"/>
          <w:lang w:val="zh-CN"/>
          <w14:textFill>
            <w14:solidFill>
              <w14:schemeClr w14:val="tx1"/>
            </w14:solidFill>
          </w14:textFill>
        </w:rPr>
        <w:t>。补充、修改的内容应当按照招标文件要求签署、盖章、密封后，作为投标文件的组成部分。</w:t>
      </w:r>
    </w:p>
    <w:p>
      <w:pPr>
        <w:numPr>
          <w:ilvl w:val="0"/>
          <w:numId w:val="23"/>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投标有效期内投标人不得撤销其投标文件，否则按照本章“投标保证金”的规定其投标保证金不予退还。</w:t>
      </w:r>
    </w:p>
    <w:p>
      <w:pPr>
        <w:numPr>
          <w:ilvl w:val="0"/>
          <w:numId w:val="23"/>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投标人所递交的投标文件无论中标与否不予退还。</w:t>
      </w:r>
    </w:p>
    <w:p>
      <w:pPr>
        <w:pStyle w:val="4"/>
        <w:numPr>
          <w:ilvl w:val="0"/>
          <w:numId w:val="6"/>
        </w:numPr>
        <w:spacing w:before="40" w:after="40" w:line="360" w:lineRule="auto"/>
        <w:ind w:left="658" w:hanging="658"/>
        <w:jc w:val="left"/>
        <w:rPr>
          <w:rFonts w:ascii="宋体" w:hAnsi="宋体" w:eastAsia="宋体" w:cs="Times New Roman"/>
          <w:b/>
          <w:color w:val="000000" w:themeColor="text1"/>
          <w:sz w:val="24"/>
          <w:szCs w:val="20"/>
          <w:lang w:val="zh-CN"/>
          <w14:textFill>
            <w14:solidFill>
              <w14:schemeClr w14:val="tx1"/>
            </w14:solidFill>
          </w14:textFill>
        </w:rPr>
      </w:pPr>
      <w:bookmarkStart w:id="14" w:name="_Toc278891595"/>
      <w:bookmarkStart w:id="15" w:name="_Toc272247698"/>
      <w:bookmarkStart w:id="16" w:name="_Toc495861523"/>
      <w:bookmarkStart w:id="17" w:name="_Toc494561942"/>
      <w:r>
        <w:rPr>
          <w:rFonts w:hint="eastAsia" w:cs="Times New Roman" w:asciiTheme="majorEastAsia" w:hAnsiTheme="majorEastAsia"/>
          <w:bCs w:val="0"/>
          <w:color w:val="000000" w:themeColor="text1"/>
          <w:lang w:val="zh-CN"/>
          <w14:textFill>
            <w14:solidFill>
              <w14:schemeClr w14:val="tx1"/>
            </w14:solidFill>
          </w14:textFill>
        </w:rPr>
        <w:t>开标与评标</w:t>
      </w:r>
      <w:bookmarkEnd w:id="14"/>
      <w:bookmarkEnd w:id="15"/>
      <w:bookmarkEnd w:id="16"/>
      <w:bookmarkEnd w:id="17"/>
    </w:p>
    <w:p>
      <w:pPr>
        <w:pStyle w:val="4"/>
        <w:numPr>
          <w:ilvl w:val="0"/>
          <w:numId w:val="0"/>
        </w:numPr>
        <w:spacing w:before="40" w:after="40" w:line="360" w:lineRule="auto"/>
        <w:ind w:leftChars="0"/>
        <w:jc w:val="left"/>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23、</w:t>
      </w:r>
      <w:r>
        <w:rPr>
          <w:rFonts w:hint="eastAsia" w:ascii="宋体" w:hAnsi="宋体" w:eastAsia="宋体" w:cs="Times New Roman"/>
          <w:b/>
          <w:color w:val="000000" w:themeColor="text1"/>
          <w:sz w:val="24"/>
          <w:szCs w:val="20"/>
          <w:lang w:val="zh-CN"/>
          <w14:textFill>
            <w14:solidFill>
              <w14:schemeClr w14:val="tx1"/>
            </w14:solidFill>
          </w14:textFill>
        </w:rPr>
        <w:t>开标</w:t>
      </w:r>
    </w:p>
    <w:p>
      <w:pPr>
        <w:numPr>
          <w:ilvl w:val="0"/>
          <w:numId w:val="24"/>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宋体" w:hAnsi="宋体" w:eastAsia="宋体" w:cs="Times New Roman"/>
          <w:color w:val="000000" w:themeColor="text1"/>
          <w:sz w:val="24"/>
          <w:szCs w:val="20"/>
          <w:lang w:val="zh-CN"/>
          <w14:textFill>
            <w14:solidFill>
              <w14:schemeClr w14:val="tx1"/>
            </w14:solidFill>
          </w14:textFill>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color w:val="000000" w:themeColor="text1"/>
          <w:sz w:val="24"/>
          <w:szCs w:val="20"/>
          <w:lang w:val="zh-CN"/>
          <w14:textFill>
            <w14:solidFill>
              <w14:schemeClr w14:val="tx1"/>
            </w14:solidFill>
          </w14:textFill>
        </w:rPr>
        <w:t>，否则视同认可开标结果。</w:t>
      </w:r>
    </w:p>
    <w:p>
      <w:pPr>
        <w:numPr>
          <w:ilvl w:val="0"/>
          <w:numId w:val="2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投标人法定代表人或其授权代表应携带有效身份证明参加项目开标会，</w:t>
      </w:r>
      <w:r>
        <w:rPr>
          <w:rFonts w:ascii="宋体" w:hAnsi="宋体" w:eastAsia="宋体" w:cs="Times New Roman"/>
          <w:color w:val="000000" w:themeColor="text1"/>
          <w:sz w:val="24"/>
          <w:szCs w:val="20"/>
          <w:lang w:val="zh-CN"/>
          <w14:textFill>
            <w14:solidFill>
              <w14:schemeClr w14:val="tx1"/>
            </w14:solidFill>
          </w14:textFill>
        </w:rPr>
        <w:t>投标人未参加开标的，视同认可开标结果。</w:t>
      </w:r>
      <w:r>
        <w:rPr>
          <w:rFonts w:hint="eastAsia" w:ascii="宋体" w:hAnsi="宋体" w:eastAsia="宋体" w:cs="Times New Roman"/>
          <w:color w:val="000000" w:themeColor="text1"/>
          <w:sz w:val="24"/>
          <w:szCs w:val="20"/>
          <w:lang w:val="zh-CN"/>
          <w14:textFill>
            <w14:solidFill>
              <w14:schemeClr w14:val="tx1"/>
            </w14:solidFill>
          </w14:textFill>
        </w:rPr>
        <w:t>截止</w:t>
      </w:r>
      <w:r>
        <w:rPr>
          <w:rFonts w:hint="eastAsia" w:ascii="宋体" w:hAnsi="宋体" w:eastAsia="宋体" w:cs="宋体"/>
          <w:color w:val="000000" w:themeColor="text1"/>
          <w:kern w:val="0"/>
          <w:sz w:val="24"/>
          <w:szCs w:val="24"/>
          <w14:textFill>
            <w14:solidFill>
              <w14:schemeClr w14:val="tx1"/>
            </w14:solidFill>
          </w14:textFill>
        </w:rPr>
        <w:t>投标文件</w:t>
      </w:r>
      <w:r>
        <w:rPr>
          <w:rFonts w:hint="eastAsia" w:ascii="宋体" w:hAnsi="宋体" w:eastAsia="宋体" w:cs="Times New Roman"/>
          <w:color w:val="000000" w:themeColor="text1"/>
          <w:sz w:val="24"/>
          <w:szCs w:val="20"/>
          <w:lang w:val="zh-CN"/>
          <w14:textFill>
            <w14:solidFill>
              <w14:schemeClr w14:val="tx1"/>
            </w14:solidFill>
          </w14:textFill>
        </w:rPr>
        <w:t>递交时间，投标人不足3家的，不进行开标</w:t>
      </w:r>
      <w:r>
        <w:rPr>
          <w:rFonts w:hint="eastAsia" w:ascii="Helvetica" w:hAnsi="Helvetica" w:eastAsia="宋体" w:cs="Helvetica"/>
          <w:color w:val="000000" w:themeColor="text1"/>
          <w:kern w:val="0"/>
          <w:sz w:val="24"/>
          <w:szCs w:val="24"/>
          <w:lang w:val="zh-CN"/>
          <w14:textFill>
            <w14:solidFill>
              <w14:schemeClr w14:val="tx1"/>
            </w14:solidFill>
          </w14:textFill>
        </w:rPr>
        <w:t>。</w:t>
      </w:r>
    </w:p>
    <w:p>
      <w:pPr>
        <w:numPr>
          <w:ilvl w:val="0"/>
          <w:numId w:val="2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开标时，由投标人或其推选的代表检查投标文件的密封情况，经确认无误后由</w:t>
      </w: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宋体" w:hAnsi="宋体" w:eastAsia="宋体" w:cs="Times New Roman"/>
          <w:color w:val="000000" w:themeColor="text1"/>
          <w:sz w:val="24"/>
          <w:szCs w:val="20"/>
          <w:lang w:val="zh-CN"/>
          <w14:textFill>
            <w14:solidFill>
              <w14:schemeClr w14:val="tx1"/>
            </w14:solidFill>
          </w14:textFill>
        </w:rPr>
        <w:t>工作人员当众拆封，</w:t>
      </w:r>
      <w:r>
        <w:rPr>
          <w:rFonts w:ascii="宋体" w:hAnsi="宋体" w:eastAsia="宋体" w:cs="Times New Roman"/>
          <w:color w:val="000000" w:themeColor="text1"/>
          <w:sz w:val="24"/>
          <w:szCs w:val="20"/>
          <w:lang w:val="zh-CN"/>
          <w14:textFill>
            <w14:solidFill>
              <w14:schemeClr w14:val="tx1"/>
            </w14:solidFill>
          </w14:textFill>
        </w:rPr>
        <w:t>宣布投标人名称、投标价格和招标文件规定的需要宣布的其他内容。</w:t>
      </w:r>
    </w:p>
    <w:p>
      <w:pPr>
        <w:numPr>
          <w:ilvl w:val="0"/>
          <w:numId w:val="2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ascii="宋体" w:hAnsi="宋体" w:eastAsia="宋体" w:cs="Times New Roman"/>
          <w:color w:val="000000" w:themeColor="text1"/>
          <w:sz w:val="24"/>
          <w:szCs w:val="20"/>
          <w:lang w:val="zh-CN"/>
          <w14:textFill>
            <w14:solidFill>
              <w14:schemeClr w14:val="tx1"/>
            </w14:solidFill>
          </w14:textFill>
        </w:rPr>
        <w:t>负责</w:t>
      </w:r>
      <w:r>
        <w:rPr>
          <w:rFonts w:hint="eastAsia" w:ascii="宋体" w:hAnsi="宋体" w:eastAsia="宋体" w:cs="Times New Roman"/>
          <w:color w:val="000000" w:themeColor="text1"/>
          <w:sz w:val="24"/>
          <w:szCs w:val="20"/>
          <w:lang w:val="zh-CN"/>
          <w14:textFill>
            <w14:solidFill>
              <w14:schemeClr w14:val="tx1"/>
            </w14:solidFill>
          </w14:textFill>
        </w:rPr>
        <w:t>对</w:t>
      </w:r>
      <w:r>
        <w:rPr>
          <w:rFonts w:ascii="宋体" w:hAnsi="宋体" w:eastAsia="宋体" w:cs="Times New Roman"/>
          <w:color w:val="000000" w:themeColor="text1"/>
          <w:sz w:val="24"/>
          <w:szCs w:val="20"/>
          <w:lang w:val="zh-CN"/>
          <w14:textFill>
            <w14:solidFill>
              <w14:schemeClr w14:val="tx1"/>
            </w14:solidFill>
          </w14:textFill>
        </w:rPr>
        <w:t>开标过程</w:t>
      </w:r>
      <w:r>
        <w:rPr>
          <w:rFonts w:hint="eastAsia" w:ascii="宋体" w:hAnsi="宋体" w:eastAsia="宋体" w:cs="Times New Roman"/>
          <w:color w:val="000000" w:themeColor="text1"/>
          <w:sz w:val="24"/>
          <w:szCs w:val="20"/>
          <w:lang w:val="zh-CN"/>
          <w14:textFill>
            <w14:solidFill>
              <w14:schemeClr w14:val="tx1"/>
            </w14:solidFill>
          </w14:textFill>
        </w:rPr>
        <w:t>进行</w:t>
      </w:r>
      <w:r>
        <w:rPr>
          <w:rFonts w:ascii="宋体" w:hAnsi="宋体" w:eastAsia="宋体" w:cs="Times New Roman"/>
          <w:color w:val="000000" w:themeColor="text1"/>
          <w:sz w:val="24"/>
          <w:szCs w:val="20"/>
          <w:lang w:val="zh-CN"/>
          <w14:textFill>
            <w14:solidFill>
              <w14:schemeClr w14:val="tx1"/>
            </w14:solidFill>
          </w14:textFill>
        </w:rPr>
        <w:t>记录，由参加开标的各投标人代表和相关工作人员</w:t>
      </w:r>
      <w:r>
        <w:rPr>
          <w:rFonts w:hint="eastAsia" w:ascii="宋体" w:hAnsi="宋体" w:eastAsia="宋体" w:cs="Times New Roman"/>
          <w:color w:val="000000" w:themeColor="text1"/>
          <w:sz w:val="24"/>
          <w:szCs w:val="20"/>
          <w:lang w:val="zh-CN"/>
          <w14:textFill>
            <w14:solidFill>
              <w14:schemeClr w14:val="tx1"/>
            </w14:solidFill>
          </w14:textFill>
        </w:rPr>
        <w:t>对开标记录进行</w:t>
      </w:r>
      <w:r>
        <w:rPr>
          <w:rFonts w:ascii="宋体" w:hAnsi="宋体" w:eastAsia="宋体" w:cs="Times New Roman"/>
          <w:color w:val="000000" w:themeColor="text1"/>
          <w:sz w:val="24"/>
          <w:szCs w:val="20"/>
          <w:lang w:val="zh-CN"/>
          <w14:textFill>
            <w14:solidFill>
              <w14:schemeClr w14:val="tx1"/>
            </w14:solidFill>
          </w14:textFill>
        </w:rPr>
        <w:t>签字确认。</w:t>
      </w:r>
    </w:p>
    <w:p>
      <w:pPr>
        <w:numPr>
          <w:ilvl w:val="0"/>
          <w:numId w:val="2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投标人代表对开标过程和开标记录有疑义，以及认为采购人、</w:t>
      </w:r>
      <w:r>
        <w:rPr>
          <w:rFonts w:hint="eastAsia" w:ascii="Helvetica" w:hAnsi="Helvetica" w:eastAsia="宋体" w:cs="Helvetica"/>
          <w:color w:val="000000" w:themeColor="text1"/>
          <w:kern w:val="0"/>
          <w:sz w:val="24"/>
          <w:szCs w:val="24"/>
          <w:lang w:val="zh-CN"/>
          <w14:textFill>
            <w14:solidFill>
              <w14:schemeClr w14:val="tx1"/>
            </w14:solidFill>
          </w14:textFill>
        </w:rPr>
        <w:t>代理公司</w:t>
      </w:r>
      <w:r>
        <w:rPr>
          <w:rFonts w:ascii="宋体" w:hAnsi="宋体" w:eastAsia="宋体" w:cs="Times New Roman"/>
          <w:color w:val="000000" w:themeColor="text1"/>
          <w:sz w:val="24"/>
          <w:szCs w:val="20"/>
          <w:lang w:val="zh-CN"/>
          <w14:textFill>
            <w14:solidFill>
              <w14:schemeClr w14:val="tx1"/>
            </w14:solidFill>
          </w14:textFill>
        </w:rPr>
        <w:t>相关工作人员有需要回避的情形的，应当场提出询问或者回避申请。采购人、</w:t>
      </w:r>
      <w:r>
        <w:rPr>
          <w:rFonts w:hint="eastAsia" w:ascii="Helvetica" w:hAnsi="Helvetica" w:eastAsia="宋体" w:cs="Helvetica"/>
          <w:color w:val="000000" w:themeColor="text1"/>
          <w:kern w:val="0"/>
          <w:sz w:val="24"/>
          <w:szCs w:val="24"/>
          <w:lang w:val="zh-CN"/>
          <w14:textFill>
            <w14:solidFill>
              <w14:schemeClr w14:val="tx1"/>
            </w14:solidFill>
          </w14:textFill>
        </w:rPr>
        <w:t>代理公司</w:t>
      </w:r>
      <w:r>
        <w:rPr>
          <w:rFonts w:hint="eastAsia" w:ascii="宋体" w:hAnsi="宋体" w:eastAsia="宋体" w:cs="Times New Roman"/>
          <w:color w:val="000000" w:themeColor="text1"/>
          <w:sz w:val="24"/>
          <w:szCs w:val="20"/>
          <w:lang w:val="zh-CN"/>
          <w14:textFill>
            <w14:solidFill>
              <w14:schemeClr w14:val="tx1"/>
            </w14:solidFill>
          </w14:textFill>
        </w:rPr>
        <w:t>将</w:t>
      </w:r>
      <w:r>
        <w:rPr>
          <w:rFonts w:ascii="宋体" w:hAnsi="宋体" w:eastAsia="宋体" w:cs="Times New Roman"/>
          <w:color w:val="000000" w:themeColor="text1"/>
          <w:sz w:val="24"/>
          <w:szCs w:val="20"/>
          <w:lang w:val="zh-CN"/>
          <w14:textFill>
            <w14:solidFill>
              <w14:schemeClr w14:val="tx1"/>
            </w14:solidFill>
          </w14:textFill>
        </w:rPr>
        <w:t>及时处理投标人代表提出的询问或者回避申请。</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24、</w:t>
      </w:r>
      <w:r>
        <w:rPr>
          <w:rFonts w:hint="eastAsia" w:ascii="宋体" w:hAnsi="宋体" w:eastAsia="宋体" w:cs="Times New Roman"/>
          <w:b/>
          <w:color w:val="000000" w:themeColor="text1"/>
          <w:sz w:val="24"/>
          <w:szCs w:val="20"/>
          <w:lang w:val="zh-CN"/>
          <w14:textFill>
            <w14:solidFill>
              <w14:schemeClr w14:val="tx1"/>
            </w14:solidFill>
          </w14:textFill>
        </w:rPr>
        <w:t>资格审查</w:t>
      </w:r>
    </w:p>
    <w:p>
      <w:pPr>
        <w:numPr>
          <w:ilvl w:val="0"/>
          <w:numId w:val="25"/>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公开招标采购项目开标结束后，采购人和采购代理公司依据法律、法规及招标文件的规定，对投标人的资格进行审查，以确定投标人资格是否合格。</w:t>
      </w:r>
      <w:r>
        <w:rPr>
          <w:rFonts w:ascii="Helvetica" w:hAnsi="Helvetica" w:eastAsia="宋体" w:cs="Helvetica"/>
          <w:color w:val="000000" w:themeColor="text1"/>
          <w:kern w:val="0"/>
          <w:sz w:val="24"/>
          <w:szCs w:val="24"/>
          <w:lang w:val="zh-CN"/>
          <w14:textFill>
            <w14:solidFill>
              <w14:schemeClr w14:val="tx1"/>
            </w14:solidFill>
          </w14:textFill>
        </w:rPr>
        <w:t>合格投标人不足</w:t>
      </w:r>
      <w:r>
        <w:rPr>
          <w:rFonts w:ascii="宋体" w:hAnsi="宋体" w:eastAsia="宋体" w:cs="Helvetica"/>
          <w:color w:val="000000" w:themeColor="text1"/>
          <w:kern w:val="0"/>
          <w:sz w:val="24"/>
          <w:szCs w:val="24"/>
          <w:lang w:val="zh-CN"/>
          <w14:textFill>
            <w14:solidFill>
              <w14:schemeClr w14:val="tx1"/>
            </w14:solidFill>
          </w14:textFill>
        </w:rPr>
        <w:t>3</w:t>
      </w:r>
      <w:r>
        <w:rPr>
          <w:rFonts w:ascii="Helvetica" w:hAnsi="Helvetica" w:eastAsia="宋体" w:cs="Helvetica"/>
          <w:color w:val="000000" w:themeColor="text1"/>
          <w:kern w:val="0"/>
          <w:sz w:val="24"/>
          <w:szCs w:val="24"/>
          <w:lang w:val="zh-CN"/>
          <w14:textFill>
            <w14:solidFill>
              <w14:schemeClr w14:val="tx1"/>
            </w14:solidFill>
          </w14:textFill>
        </w:rPr>
        <w:t>家的，不</w:t>
      </w:r>
      <w:r>
        <w:rPr>
          <w:rFonts w:hint="eastAsia" w:ascii="Helvetica" w:hAnsi="Helvetica" w:eastAsia="宋体" w:cs="Helvetica"/>
          <w:color w:val="000000" w:themeColor="text1"/>
          <w:kern w:val="0"/>
          <w:sz w:val="24"/>
          <w:szCs w:val="24"/>
          <w:lang w:val="zh-CN"/>
          <w14:textFill>
            <w14:solidFill>
              <w14:schemeClr w14:val="tx1"/>
            </w14:solidFill>
          </w14:textFill>
        </w:rPr>
        <w:t>进行</w:t>
      </w:r>
      <w:r>
        <w:rPr>
          <w:rFonts w:ascii="Helvetica" w:hAnsi="Helvetica" w:eastAsia="宋体" w:cs="Helvetica"/>
          <w:color w:val="000000" w:themeColor="text1"/>
          <w:kern w:val="0"/>
          <w:sz w:val="24"/>
          <w:szCs w:val="24"/>
          <w:lang w:val="zh-CN"/>
          <w14:textFill>
            <w14:solidFill>
              <w14:schemeClr w14:val="tx1"/>
            </w14:solidFill>
          </w14:textFill>
        </w:rPr>
        <w:t>评标</w:t>
      </w:r>
      <w:r>
        <w:rPr>
          <w:rFonts w:hint="eastAsia" w:ascii="Helvetica" w:hAnsi="Helvetica" w:eastAsia="宋体" w:cs="Helvetica"/>
          <w:color w:val="000000" w:themeColor="text1"/>
          <w:kern w:val="0"/>
          <w:sz w:val="24"/>
          <w:szCs w:val="24"/>
          <w:lang w:val="zh-CN"/>
          <w14:textFill>
            <w14:solidFill>
              <w14:schemeClr w14:val="tx1"/>
            </w14:solidFill>
          </w14:textFill>
        </w:rPr>
        <w:t>。</w:t>
      </w:r>
    </w:p>
    <w:p>
      <w:pPr>
        <w:numPr>
          <w:ilvl w:val="0"/>
          <w:numId w:val="25"/>
        </w:numPr>
        <w:spacing w:line="360" w:lineRule="auto"/>
        <w:ind w:left="616" w:hanging="61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资格审查详见第四章“资格审查方法及标准”。</w:t>
      </w:r>
    </w:p>
    <w:p>
      <w:pPr>
        <w:numPr>
          <w:ilvl w:val="0"/>
          <w:numId w:val="0"/>
        </w:numPr>
        <w:spacing w:line="360" w:lineRule="auto"/>
        <w:ind w:leftChars="0"/>
        <w:rPr>
          <w:rFonts w:ascii="宋体" w:hAnsi="宋体" w:eastAsia="宋体" w:cs="Times New Roman"/>
          <w:b/>
          <w:color w:val="000000" w:themeColor="text1"/>
          <w:sz w:val="24"/>
          <w:szCs w:val="20"/>
          <w:highlight w:val="none"/>
          <w:lang w:val="zh-CN"/>
          <w14:textFill>
            <w14:solidFill>
              <w14:schemeClr w14:val="tx1"/>
            </w14:solidFill>
          </w14:textFill>
        </w:rPr>
      </w:pPr>
      <w:r>
        <w:rPr>
          <w:rFonts w:hint="eastAsia" w:ascii="宋体" w:hAnsi="宋体" w:eastAsia="宋体" w:cs="Times New Roman"/>
          <w:b/>
          <w:color w:val="000000" w:themeColor="text1"/>
          <w:sz w:val="24"/>
          <w:szCs w:val="20"/>
          <w:highlight w:val="none"/>
          <w:lang w:val="en-US" w:eastAsia="zh-CN"/>
          <w14:textFill>
            <w14:solidFill>
              <w14:schemeClr w14:val="tx1"/>
            </w14:solidFill>
          </w14:textFill>
        </w:rPr>
        <w:t>25、</w:t>
      </w:r>
      <w:r>
        <w:rPr>
          <w:rFonts w:hint="eastAsia" w:ascii="宋体" w:hAnsi="宋体" w:eastAsia="宋体" w:cs="Times New Roman"/>
          <w:b/>
          <w:color w:val="000000" w:themeColor="text1"/>
          <w:sz w:val="24"/>
          <w:szCs w:val="20"/>
          <w:highlight w:val="none"/>
          <w:lang w:val="zh-CN"/>
          <w14:textFill>
            <w14:solidFill>
              <w14:schemeClr w14:val="tx1"/>
            </w14:solidFill>
          </w14:textFill>
        </w:rPr>
        <w:t>评标方法</w:t>
      </w:r>
    </w:p>
    <w:p>
      <w:pPr>
        <w:numPr>
          <w:ilvl w:val="0"/>
          <w:numId w:val="26"/>
        </w:numPr>
        <w:spacing w:line="360" w:lineRule="auto"/>
        <w:ind w:left="616" w:hanging="616"/>
        <w:rPr>
          <w:rFonts w:ascii="宋体" w:hAnsi="宋体" w:eastAsia="宋体" w:cs="Times New Roman"/>
          <w:bCs/>
          <w:color w:val="000000" w:themeColor="text1"/>
          <w:sz w:val="24"/>
          <w:szCs w:val="20"/>
          <w:highlight w:val="none"/>
          <w:lang w:val="zh-CN"/>
          <w14:textFill>
            <w14:solidFill>
              <w14:schemeClr w14:val="tx1"/>
            </w14:solidFill>
          </w14:textFill>
        </w:rPr>
      </w:pPr>
      <w:r>
        <w:rPr>
          <w:rFonts w:hint="eastAsia" w:ascii="宋体" w:hAnsi="宋体" w:eastAsia="宋体" w:cs="Times New Roman"/>
          <w:bCs/>
          <w:color w:val="000000" w:themeColor="text1"/>
          <w:sz w:val="24"/>
          <w:szCs w:val="20"/>
          <w:highlight w:val="none"/>
          <w:lang w:val="zh-CN"/>
          <w14:textFill>
            <w14:solidFill>
              <w14:schemeClr w14:val="tx1"/>
            </w14:solidFill>
          </w14:textFill>
        </w:rPr>
        <w:t>最低评标价法。最低评标价法是指投标文件满足招标文件全部实质性要求，且投标报价最低的投标人为中标候选人的评标方法。</w:t>
      </w:r>
    </w:p>
    <w:p>
      <w:pPr>
        <w:numPr>
          <w:ilvl w:val="0"/>
          <w:numId w:val="26"/>
        </w:numPr>
        <w:spacing w:line="360" w:lineRule="auto"/>
        <w:ind w:left="616" w:hanging="616"/>
        <w:rPr>
          <w:rFonts w:ascii="宋体" w:hAnsi="宋体" w:eastAsia="宋体" w:cs="Times New Roman"/>
          <w:bCs/>
          <w:color w:val="000000" w:themeColor="text1"/>
          <w:sz w:val="24"/>
          <w:szCs w:val="20"/>
          <w:highlight w:val="none"/>
          <w:lang w:val="zh-CN"/>
          <w14:textFill>
            <w14:solidFill>
              <w14:schemeClr w14:val="tx1"/>
            </w14:solidFill>
          </w14:textFill>
        </w:rPr>
      </w:pPr>
      <w:r>
        <w:rPr>
          <w:rFonts w:hint="eastAsia" w:ascii="宋体" w:hAnsi="宋体" w:eastAsia="宋体" w:cs="Times New Roman"/>
          <w:bCs/>
          <w:color w:val="000000" w:themeColor="text1"/>
          <w:sz w:val="24"/>
          <w:szCs w:val="20"/>
          <w:highlight w:val="none"/>
          <w:lang w:val="zh-CN"/>
          <w14:textFill>
            <w14:solidFill>
              <w14:schemeClr w14:val="tx1"/>
            </w14:solidFill>
          </w14:textFill>
        </w:rPr>
        <w:t>综合评分法。</w:t>
      </w:r>
      <w:r>
        <w:rPr>
          <w:rFonts w:ascii="宋体" w:hAnsi="宋体" w:eastAsia="宋体" w:cs="Times New Roman"/>
          <w:bCs/>
          <w:color w:val="000000" w:themeColor="text1"/>
          <w:sz w:val="24"/>
          <w:szCs w:val="20"/>
          <w:highlight w:val="none"/>
          <w:lang w:val="zh-CN"/>
          <w14:textFill>
            <w14:solidFill>
              <w14:schemeClr w14:val="tx1"/>
            </w14:solidFill>
          </w14:textFill>
        </w:rPr>
        <w:t>综合评分法是指投标文件满足招标文件全部实质性要求，且按照评审因素的量化指标评审得分最高的投标人为中标候选人的评标方法。</w:t>
      </w:r>
    </w:p>
    <w:p>
      <w:pPr>
        <w:numPr>
          <w:ilvl w:val="0"/>
          <w:numId w:val="26"/>
        </w:numPr>
        <w:spacing w:line="360" w:lineRule="auto"/>
        <w:ind w:left="616" w:hanging="616"/>
        <w:rPr>
          <w:rFonts w:ascii="宋体" w:hAnsi="宋体" w:eastAsia="宋体" w:cs="Times New Roman"/>
          <w:bCs/>
          <w:color w:val="000000" w:themeColor="text1"/>
          <w:sz w:val="24"/>
          <w:szCs w:val="20"/>
          <w:highlight w:val="none"/>
          <w:lang w:val="zh-CN"/>
          <w14:textFill>
            <w14:solidFill>
              <w14:schemeClr w14:val="tx1"/>
            </w14:solidFill>
          </w14:textFill>
        </w:rPr>
      </w:pPr>
      <w:r>
        <w:rPr>
          <w:rFonts w:hint="eastAsia" w:ascii="Helvetica" w:hAnsi="Helvetica" w:eastAsia="宋体" w:cs="Helvetica"/>
          <w:color w:val="000000" w:themeColor="text1"/>
          <w:kern w:val="0"/>
          <w:sz w:val="24"/>
          <w:szCs w:val="24"/>
          <w:highlight w:val="none"/>
          <w:lang w:val="zh-CN"/>
          <w14:textFill>
            <w14:solidFill>
              <w14:schemeClr w14:val="tx1"/>
            </w14:solidFill>
          </w14:textFill>
        </w:rPr>
        <w:t>评标方法详见第五章“评标方法、程序及标准”</w:t>
      </w:r>
      <w:r>
        <w:rPr>
          <w:rFonts w:hint="eastAsia" w:ascii="宋体" w:hAnsi="宋体" w:eastAsia="宋体" w:cs="Times New Roman"/>
          <w:bCs/>
          <w:color w:val="000000" w:themeColor="text1"/>
          <w:sz w:val="24"/>
          <w:szCs w:val="20"/>
          <w:highlight w:val="none"/>
          <w:lang w:val="zh-CN"/>
          <w14:textFill>
            <w14:solidFill>
              <w14:schemeClr w14:val="tx1"/>
            </w14:solidFill>
          </w14:textFill>
        </w:rPr>
        <w:t>。</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26、</w:t>
      </w:r>
      <w:r>
        <w:rPr>
          <w:rFonts w:hint="eastAsia" w:ascii="宋体" w:hAnsi="宋体" w:eastAsia="宋体" w:cs="Times New Roman"/>
          <w:b/>
          <w:color w:val="000000" w:themeColor="text1"/>
          <w:sz w:val="24"/>
          <w:szCs w:val="20"/>
          <w:lang w:val="zh-CN"/>
          <w14:textFill>
            <w14:solidFill>
              <w14:schemeClr w14:val="tx1"/>
            </w14:solidFill>
          </w14:textFill>
        </w:rPr>
        <w:t>评标委员会的组成</w:t>
      </w:r>
    </w:p>
    <w:p>
      <w:pPr>
        <w:numPr>
          <w:ilvl w:val="0"/>
          <w:numId w:val="27"/>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Helvetica"/>
          <w:color w:val="000000" w:themeColor="text1"/>
          <w:kern w:val="0"/>
          <w:sz w:val="24"/>
          <w:szCs w:val="24"/>
          <w:lang w:val="zh-CN"/>
          <w14:textFill>
            <w14:solidFill>
              <w14:schemeClr w14:val="tx1"/>
            </w14:solidFill>
          </w14:textFill>
        </w:rPr>
        <w:t>评标委员会由采购人代表和评审专家组成，成员人数应当为5人</w:t>
      </w:r>
      <w:r>
        <w:rPr>
          <w:rFonts w:hint="eastAsia" w:ascii="宋体" w:hAnsi="宋体" w:eastAsia="宋体" w:cs="Helvetica"/>
          <w:color w:val="000000" w:themeColor="text1"/>
          <w:kern w:val="0"/>
          <w:sz w:val="24"/>
          <w:szCs w:val="24"/>
          <w:lang w:val="zh-CN"/>
          <w14:textFill>
            <w14:solidFill>
              <w14:schemeClr w14:val="tx1"/>
            </w14:solidFill>
          </w14:textFill>
        </w:rPr>
        <w:t>及</w:t>
      </w:r>
      <w:r>
        <w:rPr>
          <w:rFonts w:ascii="宋体" w:hAnsi="宋体" w:eastAsia="宋体" w:cs="Helvetica"/>
          <w:color w:val="000000" w:themeColor="text1"/>
          <w:kern w:val="0"/>
          <w:sz w:val="24"/>
          <w:szCs w:val="24"/>
          <w:lang w:val="zh-CN"/>
          <w14:textFill>
            <w14:solidFill>
              <w14:schemeClr w14:val="tx1"/>
            </w14:solidFill>
          </w14:textFill>
        </w:rPr>
        <w:t>以上单数，其中评审专家不得少于成员总数的三分之二</w:t>
      </w:r>
      <w:r>
        <w:rPr>
          <w:rFonts w:hint="eastAsia" w:ascii="宋体" w:hAnsi="宋体" w:eastAsia="宋体" w:cs="Helvetica"/>
          <w:color w:val="000000" w:themeColor="text1"/>
          <w:kern w:val="0"/>
          <w:sz w:val="24"/>
          <w:szCs w:val="24"/>
          <w:lang w:val="zh-CN"/>
          <w14:textFill>
            <w14:solidFill>
              <w14:schemeClr w14:val="tx1"/>
            </w14:solidFill>
          </w14:textFill>
        </w:rPr>
        <w:t>；</w:t>
      </w:r>
      <w:r>
        <w:rPr>
          <w:rFonts w:ascii="宋体" w:hAnsi="宋体" w:eastAsia="宋体" w:cs="Times New Roman"/>
          <w:color w:val="000000" w:themeColor="text1"/>
          <w:sz w:val="24"/>
          <w:szCs w:val="20"/>
          <w:lang w:val="zh-CN"/>
          <w14:textFill>
            <w14:solidFill>
              <w14:schemeClr w14:val="tx1"/>
            </w14:solidFill>
          </w14:textFill>
        </w:rPr>
        <w:t>采购预算金额在1000万元</w:t>
      </w:r>
      <w:r>
        <w:rPr>
          <w:rFonts w:hint="eastAsia" w:ascii="宋体" w:hAnsi="宋体" w:eastAsia="宋体" w:cs="Times New Roman"/>
          <w:color w:val="000000" w:themeColor="text1"/>
          <w:sz w:val="24"/>
          <w:szCs w:val="20"/>
          <w:lang w:val="zh-CN"/>
          <w14:textFill>
            <w14:solidFill>
              <w14:schemeClr w14:val="tx1"/>
            </w14:solidFill>
          </w14:textFill>
        </w:rPr>
        <w:t>及</w:t>
      </w:r>
      <w:r>
        <w:rPr>
          <w:rFonts w:ascii="宋体" w:hAnsi="宋体" w:eastAsia="宋体" w:cs="Times New Roman"/>
          <w:color w:val="000000" w:themeColor="text1"/>
          <w:sz w:val="24"/>
          <w:szCs w:val="20"/>
          <w:lang w:val="zh-CN"/>
          <w14:textFill>
            <w14:solidFill>
              <w14:schemeClr w14:val="tx1"/>
            </w14:solidFill>
          </w14:textFill>
        </w:rPr>
        <w:t>以上</w:t>
      </w:r>
      <w:r>
        <w:rPr>
          <w:rFonts w:hint="eastAsia" w:ascii="宋体" w:hAnsi="宋体" w:eastAsia="宋体" w:cs="Times New Roman"/>
          <w:color w:val="000000" w:themeColor="text1"/>
          <w:sz w:val="24"/>
          <w:szCs w:val="20"/>
          <w:lang w:val="zh-CN"/>
          <w14:textFill>
            <w14:solidFill>
              <w14:schemeClr w14:val="tx1"/>
            </w14:solidFill>
          </w14:textFill>
        </w:rPr>
        <w:t>、</w:t>
      </w:r>
      <w:r>
        <w:rPr>
          <w:rFonts w:ascii="宋体" w:hAnsi="宋体" w:eastAsia="宋体" w:cs="Times New Roman"/>
          <w:color w:val="000000" w:themeColor="text1"/>
          <w:sz w:val="24"/>
          <w:szCs w:val="20"/>
          <w:lang w:val="zh-CN"/>
          <w14:textFill>
            <w14:solidFill>
              <w14:schemeClr w14:val="tx1"/>
            </w14:solidFill>
          </w14:textFill>
        </w:rPr>
        <w:t>技术复杂</w:t>
      </w:r>
      <w:r>
        <w:rPr>
          <w:rFonts w:hint="eastAsia" w:ascii="宋体" w:hAnsi="宋体" w:eastAsia="宋体" w:cs="Times New Roman"/>
          <w:color w:val="000000" w:themeColor="text1"/>
          <w:sz w:val="24"/>
          <w:szCs w:val="20"/>
          <w:lang w:val="zh-CN"/>
          <w14:textFill>
            <w14:solidFill>
              <w14:schemeClr w14:val="tx1"/>
            </w14:solidFill>
          </w14:textFill>
        </w:rPr>
        <w:t>或</w:t>
      </w:r>
      <w:r>
        <w:rPr>
          <w:rFonts w:ascii="宋体" w:hAnsi="宋体" w:eastAsia="宋体" w:cs="Times New Roman"/>
          <w:color w:val="000000" w:themeColor="text1"/>
          <w:sz w:val="24"/>
          <w:szCs w:val="20"/>
          <w:lang w:val="zh-CN"/>
          <w14:textFill>
            <w14:solidFill>
              <w14:schemeClr w14:val="tx1"/>
            </w14:solidFill>
          </w14:textFill>
        </w:rPr>
        <w:t>社会影响较大</w:t>
      </w:r>
      <w:r>
        <w:rPr>
          <w:rFonts w:hint="eastAsia" w:ascii="宋体" w:hAnsi="宋体" w:eastAsia="宋体" w:cs="Times New Roman"/>
          <w:color w:val="000000" w:themeColor="text1"/>
          <w:sz w:val="24"/>
          <w:szCs w:val="20"/>
          <w:lang w:val="zh-CN"/>
          <w14:textFill>
            <w14:solidFill>
              <w14:schemeClr w14:val="tx1"/>
            </w14:solidFill>
          </w14:textFill>
        </w:rPr>
        <w:t>的项目，</w:t>
      </w:r>
      <w:r>
        <w:rPr>
          <w:rFonts w:ascii="宋体" w:hAnsi="宋体" w:eastAsia="宋体" w:cs="Times New Roman"/>
          <w:color w:val="000000" w:themeColor="text1"/>
          <w:sz w:val="24"/>
          <w:szCs w:val="20"/>
          <w:lang w:val="zh-CN"/>
          <w14:textFill>
            <w14:solidFill>
              <w14:schemeClr w14:val="tx1"/>
            </w14:solidFill>
          </w14:textFill>
        </w:rPr>
        <w:t>评标委员会成员人数应当为7人</w:t>
      </w:r>
      <w:r>
        <w:rPr>
          <w:rFonts w:hint="eastAsia" w:ascii="宋体" w:hAnsi="宋体" w:eastAsia="宋体" w:cs="Times New Roman"/>
          <w:color w:val="000000" w:themeColor="text1"/>
          <w:sz w:val="24"/>
          <w:szCs w:val="20"/>
          <w:lang w:val="zh-CN"/>
          <w14:textFill>
            <w14:solidFill>
              <w14:schemeClr w14:val="tx1"/>
            </w14:solidFill>
          </w14:textFill>
        </w:rPr>
        <w:t>及</w:t>
      </w:r>
      <w:r>
        <w:rPr>
          <w:rFonts w:ascii="宋体" w:hAnsi="宋体" w:eastAsia="宋体" w:cs="Times New Roman"/>
          <w:color w:val="000000" w:themeColor="text1"/>
          <w:sz w:val="24"/>
          <w:szCs w:val="20"/>
          <w:lang w:val="zh-CN"/>
          <w14:textFill>
            <w14:solidFill>
              <w14:schemeClr w14:val="tx1"/>
            </w14:solidFill>
          </w14:textFill>
        </w:rPr>
        <w:t>以上单数</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27"/>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评标委员会成员依法从政府采购专家库中随机抽取。</w:t>
      </w:r>
      <w:r>
        <w:rPr>
          <w:rFonts w:ascii="宋体" w:hAnsi="宋体" w:eastAsia="宋体" w:cs="Times New Roman"/>
          <w:b/>
          <w:color w:val="000000" w:themeColor="text1"/>
          <w:sz w:val="24"/>
          <w:szCs w:val="20"/>
          <w:lang w:val="zh-CN"/>
          <w14:textFill>
            <w14:solidFill>
              <w14:schemeClr w14:val="tx1"/>
            </w14:solidFill>
          </w14:textFill>
        </w:rPr>
        <w:t>对技术复杂、专业性强的采购项目，通过随机方式难以确定合适评审专家的，经主管预算单位同意，采购人可以自行选定相应专业领域的评审专家。</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27、</w:t>
      </w:r>
      <w:r>
        <w:rPr>
          <w:rFonts w:hint="eastAsia" w:ascii="宋体" w:hAnsi="宋体" w:eastAsia="宋体" w:cs="Times New Roman"/>
          <w:b/>
          <w:color w:val="000000" w:themeColor="text1"/>
          <w:sz w:val="24"/>
          <w:szCs w:val="20"/>
          <w:lang w:val="zh-CN"/>
          <w14:textFill>
            <w14:solidFill>
              <w14:schemeClr w14:val="tx1"/>
            </w14:solidFill>
          </w14:textFill>
        </w:rPr>
        <w:t>评标程序</w:t>
      </w:r>
    </w:p>
    <w:p>
      <w:pPr>
        <w:numPr>
          <w:ilvl w:val="0"/>
          <w:numId w:val="28"/>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评标委员会负责具体评标事务，并独立履行下列职责：</w:t>
      </w:r>
    </w:p>
    <w:p>
      <w:pPr>
        <w:numPr>
          <w:ilvl w:val="0"/>
          <w:numId w:val="29"/>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审查、评价投标文件是否符合招标文件的商务、技术等实质性要求；</w:t>
      </w:r>
    </w:p>
    <w:p>
      <w:pPr>
        <w:numPr>
          <w:ilvl w:val="0"/>
          <w:numId w:val="29"/>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要求投标人对投标文件有关事项作出澄清或者说明；</w:t>
      </w:r>
    </w:p>
    <w:p>
      <w:pPr>
        <w:numPr>
          <w:ilvl w:val="0"/>
          <w:numId w:val="29"/>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对投标文件进行</w:t>
      </w:r>
      <w:r>
        <w:rPr>
          <w:rFonts w:hint="eastAsia" w:ascii="宋体" w:hAnsi="宋体" w:eastAsia="宋体" w:cs="Times New Roman"/>
          <w:color w:val="000000" w:themeColor="text1"/>
          <w:sz w:val="24"/>
          <w:szCs w:val="20"/>
          <w:lang w:val="zh-CN"/>
          <w14:textFill>
            <w14:solidFill>
              <w14:schemeClr w14:val="tx1"/>
            </w14:solidFill>
          </w14:textFill>
        </w:rPr>
        <w:t>综合</w:t>
      </w:r>
      <w:r>
        <w:rPr>
          <w:rFonts w:ascii="宋体" w:hAnsi="宋体" w:eastAsia="宋体" w:cs="Times New Roman"/>
          <w:color w:val="000000" w:themeColor="text1"/>
          <w:sz w:val="24"/>
          <w:szCs w:val="20"/>
          <w:lang w:val="zh-CN"/>
          <w14:textFill>
            <w14:solidFill>
              <w14:schemeClr w14:val="tx1"/>
            </w14:solidFill>
          </w14:textFill>
        </w:rPr>
        <w:t>比较和评价；</w:t>
      </w:r>
    </w:p>
    <w:p>
      <w:pPr>
        <w:numPr>
          <w:ilvl w:val="0"/>
          <w:numId w:val="29"/>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确定中标候选人名单或中标人；</w:t>
      </w:r>
    </w:p>
    <w:p>
      <w:pPr>
        <w:numPr>
          <w:ilvl w:val="0"/>
          <w:numId w:val="29"/>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向采购人、</w:t>
      </w:r>
      <w:r>
        <w:rPr>
          <w:rFonts w:hint="eastAsia" w:ascii="宋体" w:hAnsi="宋体" w:eastAsia="宋体" w:cs="Times New Roman"/>
          <w:color w:val="000000" w:themeColor="text1"/>
          <w:sz w:val="24"/>
          <w:szCs w:val="20"/>
          <w:lang w:val="zh-CN"/>
          <w14:textFill>
            <w14:solidFill>
              <w14:schemeClr w14:val="tx1"/>
            </w14:solidFill>
          </w14:textFill>
        </w:rPr>
        <w:t>采购代理</w:t>
      </w:r>
      <w:r>
        <w:rPr>
          <w:rFonts w:ascii="宋体" w:hAnsi="宋体" w:eastAsia="宋体" w:cs="Times New Roman"/>
          <w:color w:val="000000" w:themeColor="text1"/>
          <w:sz w:val="24"/>
          <w:szCs w:val="20"/>
          <w:lang w:val="zh-CN"/>
          <w14:textFill>
            <w14:solidFill>
              <w14:schemeClr w14:val="tx1"/>
            </w14:solidFill>
          </w14:textFill>
        </w:rPr>
        <w:t>机构或者有关部门报告评标中发现的违法行为。</w:t>
      </w:r>
    </w:p>
    <w:p>
      <w:pPr>
        <w:numPr>
          <w:ilvl w:val="0"/>
          <w:numId w:val="28"/>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评标程序详见第五章“评标方法、程序及标准”。</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18" w:name="_Toc494561943"/>
      <w:bookmarkStart w:id="19" w:name="_Toc495861524"/>
      <w:r>
        <w:rPr>
          <w:rFonts w:hint="eastAsia" w:cs="Times New Roman" w:asciiTheme="majorEastAsia" w:hAnsiTheme="majorEastAsia"/>
          <w:bCs w:val="0"/>
          <w:color w:val="000000" w:themeColor="text1"/>
          <w:lang w:val="zh-CN"/>
          <w14:textFill>
            <w14:solidFill>
              <w14:schemeClr w14:val="tx1"/>
            </w14:solidFill>
          </w14:textFill>
        </w:rPr>
        <w:t>投标人信用信息及查询</w:t>
      </w:r>
      <w:bookmarkEnd w:id="18"/>
      <w:bookmarkEnd w:id="19"/>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28、</w:t>
      </w:r>
      <w:r>
        <w:rPr>
          <w:rFonts w:hint="eastAsia" w:ascii="宋体" w:hAnsi="宋体" w:eastAsia="宋体" w:cs="Times New Roman"/>
          <w:b/>
          <w:color w:val="000000" w:themeColor="text1"/>
          <w:sz w:val="24"/>
          <w:szCs w:val="20"/>
          <w:lang w:val="zh-CN"/>
          <w14:textFill>
            <w14:solidFill>
              <w14:schemeClr w14:val="tx1"/>
            </w14:solidFill>
          </w14:textFill>
        </w:rPr>
        <w:t>信用信息查询渠道及使用规则</w:t>
      </w:r>
    </w:p>
    <w:p>
      <w:pPr>
        <w:numPr>
          <w:ilvl w:val="0"/>
          <w:numId w:val="30"/>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按照《关于在政府采购活动中查询及使用信用记录有关问题的通知》的要求，参与政府采购的投标人，信用记录的查询渠道为“信用中国”网站(www.creditchina.gov.cn)、中国政府采购网(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cs="Helvetica" w:asciiTheme="minorEastAsia" w:hAnsiTheme="minorEastAsia"/>
          <w:color w:val="000000" w:themeColor="text1"/>
          <w:kern w:val="0"/>
          <w:sz w:val="24"/>
          <w:szCs w:val="24"/>
          <w:lang w:val="zh-CN"/>
          <w14:textFill>
            <w14:solidFill>
              <w14:schemeClr w14:val="tx1"/>
            </w14:solidFill>
          </w14:textFill>
        </w:rPr>
        <w:t>www.ccgp.gov.cn</w:t>
      </w:r>
      <w:r>
        <w:rPr>
          <w:rFonts w:hint="eastAsia" w:cs="Helvetica" w:asciiTheme="minorEastAsia" w:hAnsiTheme="minorEastAsia"/>
          <w:color w:val="000000" w:themeColor="text1"/>
          <w:kern w:val="0"/>
          <w:sz w:val="24"/>
          <w:szCs w:val="24"/>
          <w:lang w:val="zh-CN"/>
          <w14:textFill>
            <w14:solidFill>
              <w14:schemeClr w14:val="tx1"/>
            </w14:solidFill>
          </w14:textFill>
        </w:rPr>
        <w:fldChar w:fldCharType="end"/>
      </w:r>
      <w:r>
        <w:rPr>
          <w:rFonts w:hint="eastAsia" w:cs="Helvetica" w:asciiTheme="minorEastAsia" w:hAnsiTheme="minorEastAsia"/>
          <w:color w:val="000000" w:themeColor="text1"/>
          <w:kern w:val="0"/>
          <w:sz w:val="24"/>
          <w:szCs w:val="24"/>
          <w:lang w:val="zh-CN"/>
          <w14:textFill>
            <w14:solidFill>
              <w14:schemeClr w14:val="tx1"/>
            </w14:solidFill>
          </w14:textFill>
        </w:rPr>
        <w:t>)。</w:t>
      </w:r>
    </w:p>
    <w:p>
      <w:pPr>
        <w:numPr>
          <w:ilvl w:val="0"/>
          <w:numId w:val="30"/>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列入失信被执行人、重大税收违法案件当事人名单、政府采购严重违法失信行为记录名单的供应商，采购人、采购代理机构</w:t>
      </w:r>
      <w:r>
        <w:rPr>
          <w:rFonts w:hint="eastAsia" w:cs="Helvetica" w:asciiTheme="minorEastAsia" w:hAnsiTheme="minorEastAsia"/>
          <w:b/>
          <w:color w:val="000000" w:themeColor="text1"/>
          <w:kern w:val="0"/>
          <w:sz w:val="24"/>
          <w:szCs w:val="24"/>
          <w:lang w:val="zh-CN"/>
          <w14:textFill>
            <w14:solidFill>
              <w14:schemeClr w14:val="tx1"/>
            </w14:solidFill>
          </w14:textFill>
        </w:rPr>
        <w:t>拒绝</w:t>
      </w:r>
      <w:r>
        <w:rPr>
          <w:rFonts w:hint="eastAsia" w:cs="Helvetica" w:asciiTheme="minorEastAsia" w:hAnsiTheme="minorEastAsia"/>
          <w:color w:val="000000" w:themeColor="text1"/>
          <w:kern w:val="0"/>
          <w:sz w:val="24"/>
          <w:szCs w:val="24"/>
          <w:lang w:val="zh-CN"/>
          <w14:textFill>
            <w14:solidFill>
              <w14:schemeClr w14:val="tx1"/>
            </w14:solidFill>
          </w14:textFill>
        </w:rPr>
        <w:t>其参与政府采购活动。</w:t>
      </w:r>
    </w:p>
    <w:p>
      <w:pPr>
        <w:numPr>
          <w:ilvl w:val="0"/>
          <w:numId w:val="30"/>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0"/>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投标人的信用记录，最终以评标时的“信用中国”网站发布的信息为准。</w:t>
      </w:r>
    </w:p>
    <w:p>
      <w:pPr>
        <w:numPr>
          <w:ilvl w:val="0"/>
          <w:numId w:val="30"/>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在资格审查与评标工作未同日进行的特殊情形下，</w:t>
      </w: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cs="Helvetica" w:asciiTheme="minorEastAsia" w:hAnsiTheme="minorEastAsia"/>
          <w:color w:val="000000" w:themeColor="text1"/>
          <w:kern w:val="0"/>
          <w:sz w:val="24"/>
          <w:szCs w:val="24"/>
          <w:lang w:val="zh-CN"/>
          <w14:textFill>
            <w14:solidFill>
              <w14:schemeClr w14:val="tx1"/>
            </w14:solidFill>
          </w14:textFill>
        </w:rPr>
        <w:t>工作人员在评标时对投标人的信用信息进行复核，发现评标当日存在不良信用信息的，由评标委员会按照符合性审查不合格作</w:t>
      </w:r>
      <w:r>
        <w:rPr>
          <w:rFonts w:hint="eastAsia" w:cs="Helvetica" w:asciiTheme="minorEastAsia" w:hAnsiTheme="minorEastAsia"/>
          <w:b/>
          <w:color w:val="000000" w:themeColor="text1"/>
          <w:kern w:val="0"/>
          <w:sz w:val="24"/>
          <w:szCs w:val="24"/>
          <w:lang w:val="zh-CN"/>
          <w14:textFill>
            <w14:solidFill>
              <w14:schemeClr w14:val="tx1"/>
            </w14:solidFill>
          </w14:textFill>
        </w:rPr>
        <w:t>无效投标处理</w:t>
      </w:r>
      <w:r>
        <w:rPr>
          <w:rFonts w:hint="eastAsia" w:cs="Helvetica" w:asciiTheme="minorEastAsia" w:hAnsiTheme="minorEastAsia"/>
          <w:color w:val="000000" w:themeColor="text1"/>
          <w:kern w:val="0"/>
          <w:sz w:val="24"/>
          <w:szCs w:val="24"/>
          <w:lang w:val="zh-CN"/>
          <w14:textFill>
            <w14:solidFill>
              <w14:schemeClr w14:val="tx1"/>
            </w14:solidFill>
          </w14:textFill>
        </w:rPr>
        <w:t>。</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0" w:name="_Toc494561944"/>
      <w:bookmarkStart w:id="21" w:name="_Toc495861525"/>
      <w:r>
        <w:rPr>
          <w:rFonts w:cs="Times New Roman" w:asciiTheme="majorEastAsia" w:hAnsiTheme="majorEastAsia"/>
          <w:bCs w:val="0"/>
          <w:color w:val="000000" w:themeColor="text1"/>
          <w:lang w:val="zh-CN"/>
          <w14:textFill>
            <w14:solidFill>
              <w14:schemeClr w14:val="tx1"/>
            </w14:solidFill>
          </w14:textFill>
        </w:rPr>
        <w:t>中标</w:t>
      </w:r>
      <w:r>
        <w:rPr>
          <w:rFonts w:hint="eastAsia" w:cs="Times New Roman" w:asciiTheme="majorEastAsia" w:hAnsiTheme="majorEastAsia"/>
          <w:bCs w:val="0"/>
          <w:color w:val="000000" w:themeColor="text1"/>
          <w:lang w:val="zh-CN"/>
          <w14:textFill>
            <w14:solidFill>
              <w14:schemeClr w14:val="tx1"/>
            </w14:solidFill>
          </w14:textFill>
        </w:rPr>
        <w:t>与</w:t>
      </w:r>
      <w:r>
        <w:rPr>
          <w:rFonts w:cs="Times New Roman" w:asciiTheme="majorEastAsia" w:hAnsiTheme="majorEastAsia"/>
          <w:bCs w:val="0"/>
          <w:color w:val="000000" w:themeColor="text1"/>
          <w:lang w:val="zh-CN"/>
          <w14:textFill>
            <w14:solidFill>
              <w14:schemeClr w14:val="tx1"/>
            </w14:solidFill>
          </w14:textFill>
        </w:rPr>
        <w:t>合同</w:t>
      </w:r>
      <w:bookmarkEnd w:id="20"/>
      <w:bookmarkEnd w:id="21"/>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29、</w:t>
      </w:r>
      <w:r>
        <w:rPr>
          <w:rFonts w:hint="eastAsia" w:ascii="宋体" w:hAnsi="宋体" w:eastAsia="宋体" w:cs="Times New Roman"/>
          <w:b/>
          <w:color w:val="000000" w:themeColor="text1"/>
          <w:sz w:val="24"/>
          <w:szCs w:val="20"/>
          <w:lang w:val="zh-CN"/>
          <w14:textFill>
            <w14:solidFill>
              <w14:schemeClr w14:val="tx1"/>
            </w14:solidFill>
          </w14:textFill>
        </w:rPr>
        <w:t>确定中标人</w:t>
      </w:r>
    </w:p>
    <w:p>
      <w:pPr>
        <w:numPr>
          <w:ilvl w:val="0"/>
          <w:numId w:val="3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采购人收到评标报告</w:t>
      </w:r>
      <w:r>
        <w:rPr>
          <w:rFonts w:ascii="宋体" w:hAnsi="宋体" w:eastAsia="宋体" w:cs="Helvetica"/>
          <w:color w:val="000000" w:themeColor="text1"/>
          <w:kern w:val="0"/>
          <w:sz w:val="24"/>
          <w:szCs w:val="24"/>
          <w:lang w:val="zh-CN"/>
          <w14:textFill>
            <w14:solidFill>
              <w14:schemeClr w14:val="tx1"/>
            </w14:solidFill>
          </w14:textFill>
        </w:rPr>
        <w:t>5个工作日内，</w:t>
      </w:r>
      <w:r>
        <w:rPr>
          <w:rFonts w:hint="eastAsia" w:ascii="宋体" w:hAnsi="宋体" w:eastAsia="宋体" w:cs="Helvetica"/>
          <w:color w:val="000000" w:themeColor="text1"/>
          <w:kern w:val="0"/>
          <w:sz w:val="24"/>
          <w:szCs w:val="24"/>
          <w:lang w:val="zh-CN"/>
          <w14:textFill>
            <w14:solidFill>
              <w14:schemeClr w14:val="tx1"/>
            </w14:solidFill>
          </w14:textFill>
        </w:rPr>
        <w:t>按</w:t>
      </w:r>
      <w:r>
        <w:rPr>
          <w:rFonts w:ascii="宋体" w:hAnsi="宋体" w:eastAsia="宋体" w:cs="Helvetica"/>
          <w:color w:val="000000" w:themeColor="text1"/>
          <w:kern w:val="0"/>
          <w:sz w:val="24"/>
          <w:szCs w:val="24"/>
          <w:lang w:val="zh-CN"/>
          <w14:textFill>
            <w14:solidFill>
              <w14:schemeClr w14:val="tx1"/>
            </w14:solidFill>
          </w14:textFill>
        </w:rPr>
        <w:t>评标报告推荐的中标候选人顺序确定中标人。</w:t>
      </w:r>
    </w:p>
    <w:p>
      <w:pPr>
        <w:numPr>
          <w:ilvl w:val="0"/>
          <w:numId w:val="3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中示候选人并列的：</w:t>
      </w:r>
    </w:p>
    <w:p>
      <w:pPr>
        <w:numPr>
          <w:ilvl w:val="0"/>
          <w:numId w:val="32"/>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采用综合评分法的，评标结果按评审后得分由高到低顺序排列。得分相同的，按投标报价由低到高顺序排列。得分且投标报价相同的，按技术部分由高到低顺序排列。</w:t>
      </w:r>
    </w:p>
    <w:p>
      <w:pPr>
        <w:numPr>
          <w:ilvl w:val="0"/>
          <w:numId w:val="3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中标人的数量有其他规定的，按招标文件相关规定执行。</w:t>
      </w:r>
    </w:p>
    <w:p>
      <w:pPr>
        <w:numPr>
          <w:ilvl w:val="0"/>
          <w:numId w:val="31"/>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1"/>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中标通知书发出后，采购人不得违法改变中标结果，中标人无正当理由不得放弃中标。</w:t>
      </w:r>
    </w:p>
    <w:p>
      <w:pPr>
        <w:numPr>
          <w:ilvl w:val="0"/>
          <w:numId w:val="3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中标人拒绝与采购人签订合同的，采购人可以按照评标报告推荐的中标候选人名单排序，确定下一候选人为中标人，也可以重新开展政府采购活动。</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30、</w:t>
      </w:r>
      <w:r>
        <w:rPr>
          <w:rFonts w:hint="eastAsia" w:ascii="宋体" w:hAnsi="宋体" w:eastAsia="宋体" w:cs="Times New Roman"/>
          <w:b/>
          <w:color w:val="000000" w:themeColor="text1"/>
          <w:sz w:val="24"/>
          <w:szCs w:val="20"/>
          <w:lang w:val="zh-CN"/>
          <w14:textFill>
            <w14:solidFill>
              <w14:schemeClr w14:val="tx1"/>
            </w14:solidFill>
          </w14:textFill>
        </w:rPr>
        <w:t>合同授予</w:t>
      </w:r>
    </w:p>
    <w:p>
      <w:pPr>
        <w:spacing w:line="360" w:lineRule="auto"/>
        <w:ind w:firstLine="480" w:firstLineChars="20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除本章“确定中标人”规定及其他法律规定的情形外，采购人把合同授予被确定为实质上响应招标文件要求且排名第一的中标人。</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31、</w:t>
      </w:r>
      <w:r>
        <w:rPr>
          <w:rFonts w:hint="eastAsia" w:ascii="宋体" w:hAnsi="宋体" w:eastAsia="宋体" w:cs="Times New Roman"/>
          <w:b/>
          <w:color w:val="000000" w:themeColor="text1"/>
          <w:sz w:val="24"/>
          <w:szCs w:val="20"/>
          <w:lang w:val="zh-CN"/>
          <w14:textFill>
            <w14:solidFill>
              <w14:schemeClr w14:val="tx1"/>
            </w14:solidFill>
          </w14:textFill>
        </w:rPr>
        <w:t>合同签订</w:t>
      </w:r>
    </w:p>
    <w:p>
      <w:pPr>
        <w:numPr>
          <w:ilvl w:val="0"/>
          <w:numId w:val="33"/>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bookmarkStart w:id="22" w:name="_Toc278891597"/>
      <w:bookmarkStart w:id="23" w:name="_Toc272247700"/>
      <w:r>
        <w:rPr>
          <w:rFonts w:ascii="宋体" w:hAnsi="宋体" w:eastAsia="宋体" w:cs="Times New Roman"/>
          <w:color w:val="000000" w:themeColor="text1"/>
          <w:sz w:val="24"/>
          <w:szCs w:val="20"/>
          <w:lang w:val="zh-CN"/>
          <w14:textFill>
            <w14:solidFill>
              <w14:schemeClr w14:val="tx1"/>
            </w14:solidFill>
          </w14:textFill>
        </w:rPr>
        <w:t>采购人应当自中标通知书发出之日起30日内，按照招标文件</w:t>
      </w:r>
      <w:r>
        <w:rPr>
          <w:rFonts w:hint="eastAsia" w:ascii="宋体" w:hAnsi="宋体" w:eastAsia="宋体" w:cs="Times New Roman"/>
          <w:color w:val="000000" w:themeColor="text1"/>
          <w:sz w:val="24"/>
          <w:szCs w:val="20"/>
          <w:lang w:val="zh-CN"/>
          <w14:textFill>
            <w14:solidFill>
              <w14:schemeClr w14:val="tx1"/>
            </w14:solidFill>
          </w14:textFill>
        </w:rPr>
        <w:t>规定</w:t>
      </w:r>
      <w:r>
        <w:rPr>
          <w:rFonts w:ascii="宋体" w:hAnsi="宋体" w:eastAsia="宋体" w:cs="Times New Roman"/>
          <w:color w:val="000000" w:themeColor="text1"/>
          <w:sz w:val="24"/>
          <w:szCs w:val="20"/>
          <w:lang w:val="zh-CN"/>
          <w14:textFill>
            <w14:solidFill>
              <w14:schemeClr w14:val="tx1"/>
            </w14:solidFill>
          </w14:textFill>
        </w:rPr>
        <w:t>和中标人投标文件的</w:t>
      </w:r>
      <w:r>
        <w:rPr>
          <w:rFonts w:hint="eastAsia" w:ascii="宋体" w:hAnsi="宋体" w:eastAsia="宋体" w:cs="Times New Roman"/>
          <w:color w:val="000000" w:themeColor="text1"/>
          <w:sz w:val="24"/>
          <w:szCs w:val="20"/>
          <w:lang w:val="zh-CN"/>
          <w14:textFill>
            <w14:solidFill>
              <w14:schemeClr w14:val="tx1"/>
            </w14:solidFill>
          </w14:textFill>
        </w:rPr>
        <w:t>承诺</w:t>
      </w:r>
      <w:r>
        <w:rPr>
          <w:rFonts w:ascii="宋体" w:hAnsi="宋体" w:eastAsia="宋体" w:cs="Times New Roman"/>
          <w:color w:val="000000" w:themeColor="text1"/>
          <w:sz w:val="24"/>
          <w:szCs w:val="20"/>
          <w:lang w:val="zh-CN"/>
          <w14:textFill>
            <w14:solidFill>
              <w14:schemeClr w14:val="tx1"/>
            </w14:solidFill>
          </w14:textFill>
        </w:rPr>
        <w:t>，与中标人签订书面合同。所签订的合同不得对招标文件确定的事项和中标人投标文件作实质性修改。</w:t>
      </w:r>
    </w:p>
    <w:p>
      <w:pPr>
        <w:numPr>
          <w:ilvl w:val="0"/>
          <w:numId w:val="33"/>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采购人不得向中标人提出任何不合理的要求作为签订合同的条件。</w:t>
      </w:r>
    </w:p>
    <w:p>
      <w:pPr>
        <w:numPr>
          <w:ilvl w:val="0"/>
          <w:numId w:val="33"/>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政府采购合同应当包括采购人与中标人的名称和住所、标的、数量、质量、价款或者报酬、履行期限及地点和方式、验收要求、违约责任、解决争议的方法等内容。</w:t>
      </w:r>
    </w:p>
    <w:p>
      <w:pPr>
        <w:numPr>
          <w:ilvl w:val="0"/>
          <w:numId w:val="33"/>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采购人与中标人应当根据合同的约定依法履行合同义务。政府采购合同的履行、违约责任和解决争议的方法等适用《中华人民共和国合同法》。</w:t>
      </w:r>
    </w:p>
    <w:p>
      <w:pPr>
        <w:numPr>
          <w:ilvl w:val="0"/>
          <w:numId w:val="33"/>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pPr>
        <w:numPr>
          <w:ilvl w:val="0"/>
          <w:numId w:val="33"/>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4" w:name="_Toc495861526"/>
      <w:bookmarkStart w:id="25" w:name="_Toc494561945"/>
      <w:r>
        <w:rPr>
          <w:rFonts w:hint="eastAsia" w:cs="Times New Roman" w:asciiTheme="majorEastAsia" w:hAnsiTheme="majorEastAsia"/>
          <w:bCs w:val="0"/>
          <w:color w:val="000000" w:themeColor="text1"/>
          <w:lang w:val="zh-CN"/>
          <w14:textFill>
            <w14:solidFill>
              <w14:schemeClr w14:val="tx1"/>
            </w14:solidFill>
          </w14:textFill>
        </w:rPr>
        <w:t>采购信息公告</w:t>
      </w:r>
      <w:bookmarkEnd w:id="24"/>
      <w:bookmarkEnd w:id="25"/>
    </w:p>
    <w:p>
      <w:pPr>
        <w:numPr>
          <w:ilvl w:val="0"/>
          <w:numId w:val="0"/>
        </w:numPr>
        <w:spacing w:line="360" w:lineRule="auto"/>
        <w:ind w:leftChars="0"/>
        <w:rPr>
          <w:rFonts w:ascii="宋体" w:hAnsi="宋体" w:eastAsia="宋体" w:cs="Helvetica"/>
          <w:b/>
          <w:color w:val="000000" w:themeColor="text1"/>
          <w:kern w:val="0"/>
          <w:sz w:val="24"/>
          <w:szCs w:val="24"/>
          <w:lang w:val="zh-CN"/>
          <w14:textFill>
            <w14:solidFill>
              <w14:schemeClr w14:val="tx1"/>
            </w14:solidFill>
          </w14:textFill>
        </w:rPr>
      </w:pPr>
      <w:r>
        <w:rPr>
          <w:rFonts w:hint="eastAsia" w:ascii="宋体" w:hAnsi="宋体" w:eastAsia="宋体" w:cs="Helvetica"/>
          <w:b/>
          <w:color w:val="000000" w:themeColor="text1"/>
          <w:kern w:val="0"/>
          <w:sz w:val="24"/>
          <w:szCs w:val="24"/>
          <w:lang w:val="en-US" w:eastAsia="zh-CN"/>
          <w14:textFill>
            <w14:solidFill>
              <w14:schemeClr w14:val="tx1"/>
            </w14:solidFill>
          </w14:textFill>
        </w:rPr>
        <w:t>32、</w:t>
      </w:r>
      <w:r>
        <w:rPr>
          <w:rFonts w:hint="eastAsia" w:ascii="宋体" w:hAnsi="宋体" w:eastAsia="宋体" w:cs="Helvetica"/>
          <w:b/>
          <w:color w:val="000000" w:themeColor="text1"/>
          <w:kern w:val="0"/>
          <w:sz w:val="24"/>
          <w:szCs w:val="24"/>
          <w:lang w:val="zh-CN"/>
          <w14:textFill>
            <w14:solidFill>
              <w14:schemeClr w14:val="tx1"/>
            </w14:solidFill>
          </w14:textFill>
        </w:rPr>
        <w:t>公告的媒体及规定</w:t>
      </w:r>
    </w:p>
    <w:p>
      <w:pPr>
        <w:numPr>
          <w:ilvl w:val="0"/>
          <w:numId w:val="34"/>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Helvetica" w:asciiTheme="minorEastAsia" w:hAnsiTheme="minorEastAsia"/>
          <w:color w:val="000000" w:themeColor="text1"/>
          <w:kern w:val="0"/>
          <w:sz w:val="24"/>
          <w:szCs w:val="24"/>
          <w:lang w:val="zh-CN"/>
          <w14:textFill>
            <w14:solidFill>
              <w14:schemeClr w14:val="tx1"/>
            </w14:solidFill>
          </w14:textFill>
        </w:rPr>
        <w:t>在招标活动中的公告、补充、更正、结果等采购信息均依法在政府采购监管部门指定媒体上（中国湖北政府采购网http://www.ccgp-hubei.gov.cn/）发布。</w:t>
      </w:r>
    </w:p>
    <w:p>
      <w:pPr>
        <w:numPr>
          <w:ilvl w:val="0"/>
          <w:numId w:val="34"/>
        </w:numPr>
        <w:tabs>
          <w:tab w:val="left" w:pos="616"/>
        </w:tabs>
        <w:spacing w:line="360" w:lineRule="auto"/>
        <w:ind w:left="616" w:hanging="616"/>
        <w:rPr>
          <w:rFonts w:cs="Helvetica" w:asciiTheme="minorEastAsia" w:hAnsiTheme="minorEastAsia"/>
          <w:b/>
          <w:color w:val="000000" w:themeColor="text1"/>
          <w:kern w:val="0"/>
          <w:sz w:val="24"/>
          <w:szCs w:val="24"/>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Helvetica" w:asciiTheme="minorEastAsia" w:hAnsiTheme="minorEastAsia"/>
          <w:color w:val="000000" w:themeColor="text1"/>
          <w:kern w:val="0"/>
          <w:sz w:val="24"/>
          <w:szCs w:val="24"/>
          <w:lang w:val="zh-CN"/>
          <w14:textFill>
            <w14:solidFill>
              <w14:schemeClr w14:val="tx1"/>
            </w14:solidFill>
          </w14:textFill>
        </w:rPr>
        <w:t>在自</w:t>
      </w:r>
      <w:r>
        <w:rPr>
          <w:rFonts w:cs="Helvetica" w:asciiTheme="minorEastAsia" w:hAnsiTheme="minorEastAsia"/>
          <w:color w:val="000000" w:themeColor="text1"/>
          <w:kern w:val="0"/>
          <w:sz w:val="24"/>
          <w:szCs w:val="24"/>
          <w:lang w:val="zh-CN"/>
          <w14:textFill>
            <w14:solidFill>
              <w14:schemeClr w14:val="tx1"/>
            </w14:solidFill>
          </w14:textFill>
        </w:rPr>
        <w:t>中标人确定之日起2个工作日内，</w:t>
      </w:r>
      <w:r>
        <w:rPr>
          <w:rFonts w:hint="eastAsia" w:cs="Helvetica" w:asciiTheme="minorEastAsia" w:hAnsiTheme="minorEastAsia"/>
          <w:color w:val="000000" w:themeColor="text1"/>
          <w:kern w:val="0"/>
          <w:sz w:val="24"/>
          <w:szCs w:val="24"/>
          <w:lang w:val="zh-CN"/>
          <w14:textFill>
            <w14:solidFill>
              <w14:schemeClr w14:val="tx1"/>
            </w14:solidFill>
          </w14:textFill>
        </w:rPr>
        <w:t>在政府采购监管部门指定媒体上</w:t>
      </w:r>
      <w:r>
        <w:rPr>
          <w:rFonts w:cs="Helvetica" w:asciiTheme="minorEastAsia" w:hAnsiTheme="minorEastAsia"/>
          <w:color w:val="000000" w:themeColor="text1"/>
          <w:kern w:val="0"/>
          <w:sz w:val="24"/>
          <w:szCs w:val="24"/>
          <w:lang w:val="zh-CN"/>
          <w14:textFill>
            <w14:solidFill>
              <w14:schemeClr w14:val="tx1"/>
            </w14:solidFill>
          </w14:textFill>
        </w:rPr>
        <w:t>公告中标结果</w:t>
      </w:r>
      <w:r>
        <w:rPr>
          <w:rFonts w:hint="eastAsia" w:cs="Helvetica" w:asciiTheme="minorEastAsia" w:hAnsiTheme="minorEastAsia"/>
          <w:color w:val="000000" w:themeColor="text1"/>
          <w:kern w:val="0"/>
          <w:sz w:val="24"/>
          <w:szCs w:val="24"/>
          <w:lang w:val="zh-CN"/>
          <w14:textFill>
            <w14:solidFill>
              <w14:schemeClr w14:val="tx1"/>
            </w14:solidFill>
          </w14:textFill>
        </w:rPr>
        <w:t>，</w:t>
      </w:r>
      <w:r>
        <w:rPr>
          <w:rFonts w:hint="eastAsia" w:cs="Helvetica" w:asciiTheme="minorEastAsia" w:hAnsiTheme="minorEastAsia"/>
          <w:b/>
          <w:color w:val="000000" w:themeColor="text1"/>
          <w:kern w:val="0"/>
          <w:sz w:val="24"/>
          <w:szCs w:val="24"/>
          <w:lang w:val="zh-CN"/>
          <w14:textFill>
            <w14:solidFill>
              <w14:schemeClr w14:val="tx1"/>
            </w14:solidFill>
          </w14:textFill>
        </w:rPr>
        <w:t>中标公告的公示期为1个工作日。</w:t>
      </w:r>
    </w:p>
    <w:p>
      <w:pPr>
        <w:numPr>
          <w:ilvl w:val="0"/>
          <w:numId w:val="34"/>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资格审查未通过的投标人可在结果公告质疑有效期内按公告中的联系方式获知</w:t>
      </w:r>
      <w:r>
        <w:rPr>
          <w:rFonts w:cs="Helvetica" w:asciiTheme="minorEastAsia" w:hAnsiTheme="minorEastAsia"/>
          <w:color w:val="000000" w:themeColor="text1"/>
          <w:kern w:val="0"/>
          <w:sz w:val="24"/>
          <w:szCs w:val="24"/>
          <w:lang w:val="zh-CN"/>
          <w14:textFill>
            <w14:solidFill>
              <w14:schemeClr w14:val="tx1"/>
            </w14:solidFill>
          </w14:textFill>
        </w:rPr>
        <w:t>本</w:t>
      </w:r>
      <w:r>
        <w:rPr>
          <w:rFonts w:hint="eastAsia" w:cs="Helvetica" w:asciiTheme="minorEastAsia" w:hAnsiTheme="minorEastAsia"/>
          <w:color w:val="000000" w:themeColor="text1"/>
          <w:kern w:val="0"/>
          <w:sz w:val="24"/>
          <w:szCs w:val="24"/>
          <w:lang w:val="zh-CN"/>
          <w14:textFill>
            <w14:solidFill>
              <w14:schemeClr w14:val="tx1"/>
            </w14:solidFill>
          </w14:textFill>
        </w:rPr>
        <w:t>单位</w:t>
      </w:r>
      <w:r>
        <w:rPr>
          <w:rFonts w:cs="Helvetica" w:asciiTheme="minorEastAsia" w:hAnsiTheme="minorEastAsia"/>
          <w:color w:val="000000" w:themeColor="text1"/>
          <w:kern w:val="0"/>
          <w:sz w:val="24"/>
          <w:szCs w:val="24"/>
          <w:lang w:val="zh-CN"/>
          <w14:textFill>
            <w14:solidFill>
              <w14:schemeClr w14:val="tx1"/>
            </w14:solidFill>
          </w14:textFill>
        </w:rPr>
        <w:t>的</w:t>
      </w:r>
      <w:r>
        <w:rPr>
          <w:rFonts w:hint="eastAsia" w:cs="Helvetica" w:asciiTheme="minorEastAsia" w:hAnsiTheme="minorEastAsia"/>
          <w:color w:val="000000" w:themeColor="text1"/>
          <w:kern w:val="0"/>
          <w:sz w:val="24"/>
          <w:szCs w:val="24"/>
          <w:lang w:val="zh-CN"/>
          <w14:textFill>
            <w14:solidFill>
              <w14:schemeClr w14:val="tx1"/>
            </w14:solidFill>
          </w14:textFill>
        </w:rPr>
        <w:t>资格审查情况</w:t>
      </w:r>
      <w:r>
        <w:rPr>
          <w:rFonts w:cs="Helvetica" w:asciiTheme="minorEastAsia" w:hAnsiTheme="minorEastAsia"/>
          <w:color w:val="000000" w:themeColor="text1"/>
          <w:kern w:val="0"/>
          <w:sz w:val="24"/>
          <w:szCs w:val="24"/>
          <w:lang w:val="zh-CN"/>
          <w14:textFill>
            <w14:solidFill>
              <w14:schemeClr w14:val="tx1"/>
            </w14:solidFill>
          </w14:textFill>
        </w:rPr>
        <w:t>。</w:t>
      </w:r>
    </w:p>
    <w:p>
      <w:pPr>
        <w:numPr>
          <w:ilvl w:val="0"/>
          <w:numId w:val="34"/>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cs="Helvetica" w:asciiTheme="minorEastAsia" w:hAnsiTheme="minorEastAsia"/>
          <w:color w:val="000000" w:themeColor="text1"/>
          <w:kern w:val="0"/>
          <w:sz w:val="24"/>
          <w:szCs w:val="24"/>
          <w:lang w:val="zh-CN"/>
          <w14:textFill>
            <w14:solidFill>
              <w14:schemeClr w14:val="tx1"/>
            </w14:solidFill>
          </w14:textFill>
        </w:rPr>
        <w:t>采用综合评分法评审的</w:t>
      </w:r>
      <w:r>
        <w:rPr>
          <w:rFonts w:hint="eastAsia" w:cs="Helvetica" w:asciiTheme="minorEastAsia" w:hAnsiTheme="minorEastAsia"/>
          <w:color w:val="000000" w:themeColor="text1"/>
          <w:kern w:val="0"/>
          <w:sz w:val="24"/>
          <w:szCs w:val="24"/>
          <w:lang w:val="zh-CN"/>
          <w14:textFill>
            <w14:solidFill>
              <w14:schemeClr w14:val="tx1"/>
            </w14:solidFill>
          </w14:textFill>
        </w:rPr>
        <w:t>项目</w:t>
      </w:r>
      <w:r>
        <w:rPr>
          <w:rFonts w:cs="Helvetica" w:asciiTheme="minorEastAsia" w:hAnsiTheme="minorEastAsia"/>
          <w:color w:val="000000" w:themeColor="text1"/>
          <w:kern w:val="0"/>
          <w:sz w:val="24"/>
          <w:szCs w:val="24"/>
          <w:lang w:val="zh-CN"/>
          <w14:textFill>
            <w14:solidFill>
              <w14:schemeClr w14:val="tx1"/>
            </w14:solidFill>
          </w14:textFill>
        </w:rPr>
        <w:t>，</w:t>
      </w:r>
      <w:r>
        <w:rPr>
          <w:rFonts w:hint="eastAsia" w:cs="Helvetica" w:asciiTheme="minorEastAsia" w:hAnsiTheme="minorEastAsia"/>
          <w:color w:val="000000" w:themeColor="text1"/>
          <w:kern w:val="0"/>
          <w:sz w:val="24"/>
          <w:szCs w:val="24"/>
          <w:lang w:val="zh-CN"/>
          <w14:textFill>
            <w14:solidFill>
              <w14:schemeClr w14:val="tx1"/>
            </w14:solidFill>
          </w14:textFill>
        </w:rPr>
        <w:t>未中标人可在结果公告质疑有效期内按公告中的联系方式获知</w:t>
      </w:r>
      <w:r>
        <w:rPr>
          <w:rFonts w:cs="Helvetica" w:asciiTheme="minorEastAsia" w:hAnsiTheme="minorEastAsia"/>
          <w:color w:val="000000" w:themeColor="text1"/>
          <w:kern w:val="0"/>
          <w:sz w:val="24"/>
          <w:szCs w:val="24"/>
          <w:lang w:val="zh-CN"/>
          <w14:textFill>
            <w14:solidFill>
              <w14:schemeClr w14:val="tx1"/>
            </w14:solidFill>
          </w14:textFill>
        </w:rPr>
        <w:t>本</w:t>
      </w:r>
      <w:r>
        <w:rPr>
          <w:rFonts w:hint="eastAsia" w:cs="Helvetica" w:asciiTheme="minorEastAsia" w:hAnsiTheme="minorEastAsia"/>
          <w:color w:val="000000" w:themeColor="text1"/>
          <w:kern w:val="0"/>
          <w:sz w:val="24"/>
          <w:szCs w:val="24"/>
          <w:lang w:val="zh-CN"/>
          <w14:textFill>
            <w14:solidFill>
              <w14:schemeClr w14:val="tx1"/>
            </w14:solidFill>
          </w14:textFill>
        </w:rPr>
        <w:t>单位</w:t>
      </w:r>
      <w:r>
        <w:rPr>
          <w:rFonts w:cs="Helvetica" w:asciiTheme="minorEastAsia" w:hAnsiTheme="minorEastAsia"/>
          <w:color w:val="000000" w:themeColor="text1"/>
          <w:kern w:val="0"/>
          <w:sz w:val="24"/>
          <w:szCs w:val="24"/>
          <w:lang w:val="zh-CN"/>
          <w14:textFill>
            <w14:solidFill>
              <w14:schemeClr w14:val="tx1"/>
            </w14:solidFill>
          </w14:textFill>
        </w:rPr>
        <w:t>的评审得分与排序。</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6" w:name="_Toc495861527"/>
      <w:bookmarkStart w:id="27" w:name="_Toc494561946"/>
      <w:r>
        <w:rPr>
          <w:rFonts w:hint="eastAsia" w:cs="Times New Roman" w:asciiTheme="majorEastAsia" w:hAnsiTheme="majorEastAsia"/>
          <w:bCs w:val="0"/>
          <w:color w:val="000000" w:themeColor="text1"/>
          <w:lang w:val="zh-CN"/>
          <w14:textFill>
            <w14:solidFill>
              <w14:schemeClr w14:val="tx1"/>
            </w14:solidFill>
          </w14:textFill>
        </w:rPr>
        <w:t>质疑</w:t>
      </w:r>
      <w:bookmarkEnd w:id="22"/>
      <w:bookmarkEnd w:id="23"/>
      <w:r>
        <w:rPr>
          <w:rFonts w:hint="eastAsia" w:cs="Times New Roman" w:asciiTheme="majorEastAsia" w:hAnsiTheme="majorEastAsia"/>
          <w:bCs w:val="0"/>
          <w:color w:val="000000" w:themeColor="text1"/>
          <w:lang w:val="zh-CN"/>
          <w14:textFill>
            <w14:solidFill>
              <w14:schemeClr w14:val="tx1"/>
            </w14:solidFill>
          </w14:textFill>
        </w:rPr>
        <w:t>及提交</w:t>
      </w:r>
      <w:bookmarkEnd w:id="26"/>
      <w:bookmarkEnd w:id="27"/>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33、</w:t>
      </w:r>
      <w:r>
        <w:rPr>
          <w:rFonts w:hint="eastAsia" w:ascii="宋体" w:hAnsi="宋体" w:eastAsia="宋体" w:cs="Times New Roman"/>
          <w:b/>
          <w:color w:val="000000" w:themeColor="text1"/>
          <w:sz w:val="24"/>
          <w:szCs w:val="20"/>
          <w:lang w:val="zh-CN"/>
          <w14:textFill>
            <w14:solidFill>
              <w14:schemeClr w14:val="tx1"/>
            </w14:solidFill>
          </w14:textFill>
        </w:rPr>
        <w:t>质疑提交</w:t>
      </w:r>
    </w:p>
    <w:p>
      <w:pPr>
        <w:autoSpaceDE w:val="0"/>
        <w:autoSpaceDN w:val="0"/>
        <w:adjustRightInd w:val="0"/>
        <w:snapToGrid w:val="0"/>
        <w:spacing w:line="300" w:lineRule="auto"/>
        <w:ind w:left="420" w:right="32" w:firstLine="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投标人认为招标文件、招标过程和中标结果使自己的权益受到损害的，可以在知道或者应知其权益受到损害之日起7个工作日内，</w:t>
      </w:r>
      <w:r>
        <w:rPr>
          <w:rFonts w:ascii="宋体" w:hAnsi="宋体" w:eastAsia="宋体" w:cs="Times New Roman"/>
          <w:color w:val="000000" w:themeColor="text1"/>
          <w:sz w:val="24"/>
          <w:szCs w:val="20"/>
          <w:lang w:val="zh-CN"/>
          <w14:textFill>
            <w14:solidFill>
              <w14:schemeClr w14:val="tx1"/>
            </w14:solidFill>
          </w14:textFill>
        </w:rPr>
        <w:t>向</w:t>
      </w:r>
      <w:r>
        <w:rPr>
          <w:rFonts w:hint="eastAsia" w:ascii="宋体" w:hAnsi="宋体" w:eastAsia="宋体" w:cs="Times New Roman"/>
          <w:color w:val="000000" w:themeColor="text1"/>
          <w:sz w:val="24"/>
          <w:szCs w:val="20"/>
          <w:lang w:val="zh-CN"/>
          <w14:textFill>
            <w14:solidFill>
              <w14:schemeClr w14:val="tx1"/>
            </w14:solidFill>
          </w14:textFill>
        </w:rPr>
        <w:t>采购人（或代理公司）</w:t>
      </w:r>
      <w:r>
        <w:rPr>
          <w:rFonts w:ascii="宋体" w:hAnsi="宋体" w:eastAsia="宋体" w:cs="Times New Roman"/>
          <w:color w:val="000000" w:themeColor="text1"/>
          <w:sz w:val="24"/>
          <w:szCs w:val="20"/>
          <w:lang w:val="zh-CN"/>
          <w14:textFill>
            <w14:solidFill>
              <w14:schemeClr w14:val="tx1"/>
            </w14:solidFill>
          </w14:textFill>
        </w:rPr>
        <w:t>提出</w:t>
      </w:r>
      <w:r>
        <w:rPr>
          <w:rFonts w:hint="eastAsia" w:ascii="宋体" w:hAnsi="宋体" w:eastAsia="宋体" w:cs="Times New Roman"/>
          <w:color w:val="000000" w:themeColor="text1"/>
          <w:sz w:val="24"/>
          <w:szCs w:val="20"/>
          <w:lang w:val="zh-CN"/>
          <w14:textFill>
            <w14:solidFill>
              <w14:schemeClr w14:val="tx1"/>
            </w14:solidFill>
          </w14:textFill>
        </w:rPr>
        <w:t>书面</w:t>
      </w:r>
      <w:r>
        <w:rPr>
          <w:rFonts w:ascii="宋体" w:hAnsi="宋体" w:eastAsia="宋体" w:cs="Times New Roman"/>
          <w:color w:val="000000" w:themeColor="text1"/>
          <w:sz w:val="24"/>
          <w:szCs w:val="20"/>
          <w:lang w:val="zh-CN"/>
          <w14:textFill>
            <w14:solidFill>
              <w14:schemeClr w14:val="tx1"/>
            </w14:solidFill>
          </w14:textFill>
        </w:rPr>
        <w:t>质疑</w:t>
      </w:r>
      <w:r>
        <w:rPr>
          <w:rFonts w:hint="eastAsia" w:ascii="宋体" w:hAnsi="宋体" w:eastAsia="宋体" w:cs="Times New Roman"/>
          <w:color w:val="000000" w:themeColor="text1"/>
          <w:sz w:val="24"/>
          <w:szCs w:val="20"/>
          <w:lang w:val="zh-CN"/>
          <w14:textFill>
            <w14:solidFill>
              <w14:schemeClr w14:val="tx1"/>
            </w14:solidFill>
          </w14:textFill>
        </w:rPr>
        <w:t>，质疑提出时间以收到之日为准。</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34、</w:t>
      </w:r>
      <w:r>
        <w:rPr>
          <w:rFonts w:hint="eastAsia" w:ascii="宋体" w:hAnsi="宋体" w:eastAsia="宋体" w:cs="Times New Roman"/>
          <w:b/>
          <w:color w:val="000000" w:themeColor="text1"/>
          <w:sz w:val="24"/>
          <w:szCs w:val="20"/>
          <w:lang w:val="zh-CN"/>
          <w14:textFill>
            <w14:solidFill>
              <w14:schemeClr w14:val="tx1"/>
            </w14:solidFill>
          </w14:textFill>
        </w:rPr>
        <w:t>投标人</w:t>
      </w:r>
      <w:r>
        <w:rPr>
          <w:rFonts w:ascii="宋体" w:hAnsi="宋体" w:eastAsia="宋体" w:cs="Times New Roman"/>
          <w:b/>
          <w:color w:val="000000" w:themeColor="text1"/>
          <w:sz w:val="24"/>
          <w:szCs w:val="20"/>
          <w:lang w:val="zh-CN"/>
          <w14:textFill>
            <w14:solidFill>
              <w14:schemeClr w14:val="tx1"/>
            </w14:solidFill>
          </w14:textFill>
        </w:rPr>
        <w:t>应知其权益受到损害之日是指：</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对可以质疑的</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文件提出质疑的，为收到</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文件之日或者</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文件公告期限届满之日</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过程提出质疑的，为各</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程序环节结束之日</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对中标结果提出质疑的，为中标公告期限届满之日。</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35、</w:t>
      </w:r>
      <w:r>
        <w:rPr>
          <w:rFonts w:hint="eastAsia" w:ascii="宋体" w:hAnsi="宋体" w:eastAsia="宋体" w:cs="Times New Roman"/>
          <w:b/>
          <w:color w:val="000000" w:themeColor="text1"/>
          <w:sz w:val="24"/>
          <w:szCs w:val="20"/>
          <w:lang w:val="zh-CN"/>
          <w14:textFill>
            <w14:solidFill>
              <w14:schemeClr w14:val="tx1"/>
            </w14:solidFill>
          </w14:textFill>
        </w:rPr>
        <w:t>质疑书应当包括下列主要内容：</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质疑人的名称、地址、联系人及联系电话等；</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被质疑人的名称、地址、联系人及联系电话等；</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质疑项目名称及编号、质疑事项和明确的请求；</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质疑事项的事实根据、法律依据及其他必要的证明材料；</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提出质疑的日期；</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质疑人的署名及签章（质疑人为自然人的，应当由本人签字；质疑人为法人或者其他组织的，应当由法定代表人或者主要负责人签字盖章并加盖公章）；</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法人授权委托书（质疑人或法人委托代理人办理质疑事务的，应当提供授权委托书，授权委托书应当载明委托代理的具体权限和事项）。</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36、</w:t>
      </w:r>
      <w:r>
        <w:rPr>
          <w:rFonts w:hint="eastAsia" w:ascii="宋体" w:hAnsi="宋体" w:eastAsia="宋体" w:cs="Times New Roman"/>
          <w:b/>
          <w:color w:val="000000" w:themeColor="text1"/>
          <w:sz w:val="24"/>
          <w:szCs w:val="20"/>
          <w:lang w:val="zh-CN"/>
          <w14:textFill>
            <w14:solidFill>
              <w14:schemeClr w14:val="tx1"/>
            </w14:solidFill>
          </w14:textFill>
        </w:rPr>
        <w:t>不予受理的情形</w:t>
      </w:r>
    </w:p>
    <w:p>
      <w:pPr>
        <w:spacing w:line="360" w:lineRule="auto"/>
        <w:ind w:firstLine="480" w:firstLineChars="20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投标人未按本章“质疑及提交”规定的时限、内容及方式进行质疑的，采购人（或代理公司）不予受理。</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8" w:name="_Toc494561947"/>
      <w:bookmarkStart w:id="29" w:name="_Toc495861528"/>
      <w:r>
        <w:rPr>
          <w:rFonts w:hint="eastAsia" w:cs="Times New Roman" w:asciiTheme="majorEastAsia" w:hAnsiTheme="majorEastAsia"/>
          <w:bCs w:val="0"/>
          <w:color w:val="000000" w:themeColor="text1"/>
          <w:lang w:val="zh-CN"/>
          <w14:textFill>
            <w14:solidFill>
              <w14:schemeClr w14:val="tx1"/>
            </w14:solidFill>
          </w14:textFill>
        </w:rPr>
        <w:t>相关条文解读</w:t>
      </w:r>
      <w:bookmarkEnd w:id="28"/>
      <w:bookmarkEnd w:id="29"/>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37、</w:t>
      </w:r>
      <w:r>
        <w:rPr>
          <w:rFonts w:hint="eastAsia" w:ascii="宋体" w:hAnsi="宋体" w:eastAsia="宋体" w:cs="Times New Roman"/>
          <w:color w:val="000000" w:themeColor="text1"/>
          <w:sz w:val="24"/>
          <w:szCs w:val="20"/>
          <w:lang w:val="zh-CN"/>
          <w14:textFill>
            <w14:solidFill>
              <w14:schemeClr w14:val="tx1"/>
            </w14:solidFill>
          </w14:textFill>
        </w:rPr>
        <w:t>政府采购法第二十二条第一款第五项所称重大违法记录，是指供应商因违法经营受到刑事处罚或者责令停产停业、吊销许可证或者执照、较大数额罚款等行政处罚。</w:t>
      </w:r>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38、</w:t>
      </w:r>
      <w:r>
        <w:rPr>
          <w:rFonts w:hint="eastAsia" w:ascii="宋体" w:hAnsi="宋体" w:eastAsia="宋体" w:cs="Times New Roman"/>
          <w:color w:val="000000" w:themeColor="text1"/>
          <w:sz w:val="24"/>
          <w:szCs w:val="20"/>
          <w:lang w:val="zh-CN"/>
          <w14:textFill>
            <w14:solidFill>
              <w14:schemeClr w14:val="tx1"/>
            </w14:solidFill>
          </w14:textFill>
        </w:rPr>
        <w:t>按照财政部《关于规范政府采购行政处罚有关问题的通知》的规定，</w:t>
      </w:r>
      <w:r>
        <w:rPr>
          <w:rFonts w:ascii="宋体" w:hAnsi="宋体" w:eastAsia="宋体" w:cs="Times New Roman"/>
          <w:color w:val="000000" w:themeColor="text1"/>
          <w:sz w:val="24"/>
          <w:szCs w:val="20"/>
          <w:lang w:val="zh-CN"/>
          <w14:textFill>
            <w14:solidFill>
              <w14:schemeClr w14:val="tx1"/>
            </w14:solidFill>
          </w14:textFill>
        </w:rPr>
        <w:t>各级人民政府财政部门依法对参加政府采购活动的供应商作出的禁止参加政府采购活动等行政处罚决定在全国范围内生效。</w:t>
      </w:r>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39、</w:t>
      </w:r>
      <w:r>
        <w:rPr>
          <w:rFonts w:hint="eastAsia" w:ascii="宋体" w:hAnsi="宋体" w:eastAsia="宋体" w:cs="Times New Roman"/>
          <w:color w:val="000000" w:themeColor="text1"/>
          <w:sz w:val="24"/>
          <w:szCs w:val="20"/>
          <w:lang w:val="zh-CN"/>
          <w14:textFill>
            <w14:solidFill>
              <w14:schemeClr w14:val="tx1"/>
            </w14:solidFill>
          </w14:textFill>
        </w:rPr>
        <w:t>供应商在参加政府采购活动前3年内因违法经营被禁止在一定期限内参加政府采购活动，期限届满的，可以参加政府采购活动。</w:t>
      </w:r>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40、</w:t>
      </w:r>
      <w:r>
        <w:rPr>
          <w:rFonts w:hint="eastAsia" w:ascii="宋体" w:hAnsi="宋体" w:eastAsia="宋体" w:cs="Times New Roman"/>
          <w:color w:val="000000" w:themeColor="text1"/>
          <w:sz w:val="24"/>
          <w:szCs w:val="20"/>
          <w:lang w:val="zh-CN"/>
          <w14:textFill>
            <w14:solidFill>
              <w14:schemeClr w14:val="tx1"/>
            </w14:solidFill>
          </w14:textFill>
        </w:rPr>
        <w:t>根据财政部《政府采购法实施条例》释义中关于供应商资格条件的解释，对于银行、保险、石油石化、电力、电信等有行业特殊情况的，采购人和采购代理机构允许其分支机构参与投标。</w:t>
      </w:r>
    </w:p>
    <w:p>
      <w:pPr>
        <w:pStyle w:val="4"/>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30" w:name="_Toc494561948"/>
      <w:bookmarkStart w:id="31" w:name="_Toc495861529"/>
      <w:r>
        <w:rPr>
          <w:rFonts w:hint="eastAsia" w:cs="Times New Roman" w:asciiTheme="majorEastAsia" w:hAnsiTheme="majorEastAsia"/>
          <w:bCs w:val="0"/>
          <w:color w:val="000000" w:themeColor="text1"/>
          <w:lang w:val="zh-CN"/>
          <w14:textFill>
            <w14:solidFill>
              <w14:schemeClr w14:val="tx1"/>
            </w14:solidFill>
          </w14:textFill>
        </w:rPr>
        <w:t>其他注意事项</w:t>
      </w:r>
      <w:bookmarkEnd w:id="30"/>
      <w:bookmarkEnd w:id="31"/>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41、</w:t>
      </w:r>
      <w:r>
        <w:rPr>
          <w:rFonts w:hint="eastAsia" w:ascii="宋体" w:hAnsi="宋体" w:eastAsia="宋体" w:cs="Times New Roman"/>
          <w:color w:val="000000" w:themeColor="text1"/>
          <w:sz w:val="24"/>
          <w:szCs w:val="20"/>
          <w:lang w:val="zh-CN"/>
          <w14:textFill>
            <w14:solidFill>
              <w14:schemeClr w14:val="tx1"/>
            </w14:solidFill>
          </w14:textFill>
        </w:rPr>
        <w:t>单位负责人为同一人或者存在直接控股、管理关系的不同供应商，不得参加同一合同项下的政府采购活动。</w:t>
      </w:r>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42、</w:t>
      </w:r>
      <w:r>
        <w:rPr>
          <w:rFonts w:hint="eastAsia" w:ascii="宋体" w:hAnsi="宋体" w:eastAsia="宋体" w:cs="Times New Roman"/>
          <w:color w:val="000000" w:themeColor="text1"/>
          <w:sz w:val="24"/>
          <w:szCs w:val="20"/>
          <w:lang w:val="zh-CN"/>
          <w14:textFill>
            <w14:solidFill>
              <w14:schemeClr w14:val="tx1"/>
            </w14:solidFill>
          </w14:textFill>
        </w:rPr>
        <w:t>除单一来源采购项目外，为采购项目提供整体设计、规范编制或者项目管理、监理、检测等服务的供应商，不得再参加该采购项目的其他采购活动。</w:t>
      </w:r>
    </w:p>
    <w:p>
      <w:pPr>
        <w:pStyle w:val="4"/>
        <w:numPr>
          <w:ilvl w:val="0"/>
          <w:numId w:val="6"/>
        </w:numPr>
        <w:spacing w:before="40" w:after="40" w:line="360" w:lineRule="auto"/>
        <w:ind w:left="966" w:hanging="966"/>
        <w:jc w:val="left"/>
        <w:rPr>
          <w:rFonts w:cs="Times New Roman" w:asciiTheme="majorEastAsia" w:hAnsiTheme="majorEastAsia"/>
          <w:bCs w:val="0"/>
          <w:color w:val="000000" w:themeColor="text1"/>
          <w:lang w:val="zh-CN"/>
          <w14:textFill>
            <w14:solidFill>
              <w14:schemeClr w14:val="tx1"/>
            </w14:solidFill>
          </w14:textFill>
        </w:rPr>
      </w:pPr>
      <w:bookmarkStart w:id="32" w:name="_Toc495861530"/>
      <w:bookmarkStart w:id="33" w:name="_Toc278891598"/>
      <w:bookmarkStart w:id="34" w:name="_Toc272247701"/>
      <w:bookmarkStart w:id="35" w:name="_Toc494561949"/>
      <w:r>
        <w:rPr>
          <w:rFonts w:hint="eastAsia" w:cs="Times New Roman" w:asciiTheme="majorEastAsia" w:hAnsiTheme="majorEastAsia"/>
          <w:bCs w:val="0"/>
          <w:color w:val="000000" w:themeColor="text1"/>
          <w:lang w:val="zh-CN"/>
          <w14:textFill>
            <w14:solidFill>
              <w14:schemeClr w14:val="tx1"/>
            </w14:solidFill>
          </w14:textFill>
        </w:rPr>
        <w:t>适用法律</w:t>
      </w:r>
      <w:bookmarkEnd w:id="32"/>
      <w:bookmarkEnd w:id="33"/>
      <w:bookmarkEnd w:id="34"/>
      <w:bookmarkEnd w:id="35"/>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43、</w:t>
      </w:r>
      <w:r>
        <w:rPr>
          <w:rFonts w:hint="eastAsia" w:ascii="宋体" w:hAnsi="宋体" w:eastAsia="宋体" w:cs="Times New Roman"/>
          <w:color w:val="000000" w:themeColor="text1"/>
          <w:sz w:val="24"/>
          <w:szCs w:val="20"/>
          <w:lang w:val="zh-CN"/>
          <w14:textFill>
            <w14:solidFill>
              <w14:schemeClr w14:val="tx1"/>
            </w14:solidFill>
          </w14:textFill>
        </w:rPr>
        <w:t>采购人、采购代理机构及投标人的一切招标投标活动均适用《政府采购法》、《政府采购法实施条例》、</w:t>
      </w:r>
      <w:r>
        <w:rPr>
          <w:rFonts w:ascii="宋体" w:hAnsi="宋体" w:eastAsia="宋体" w:cs="Times New Roman"/>
          <w:color w:val="000000" w:themeColor="text1"/>
          <w:sz w:val="24"/>
          <w:szCs w:val="20"/>
          <w:lang w:val="zh-CN"/>
          <w14:textFill>
            <w14:solidFill>
              <w14:schemeClr w14:val="tx1"/>
            </w14:solidFill>
          </w14:textFill>
        </w:rPr>
        <w:t>《政府采购货物和服务招标投标管理办法》</w:t>
      </w:r>
      <w:r>
        <w:rPr>
          <w:rFonts w:hint="eastAsia" w:ascii="宋体" w:hAnsi="宋体" w:eastAsia="宋体" w:cs="Times New Roman"/>
          <w:color w:val="000000" w:themeColor="text1"/>
          <w:sz w:val="24"/>
          <w:szCs w:val="20"/>
          <w:lang w:val="zh-CN"/>
          <w14:textFill>
            <w14:solidFill>
              <w14:schemeClr w14:val="tx1"/>
            </w14:solidFill>
          </w14:textFill>
        </w:rPr>
        <w:t>及相关法律法规。</w:t>
      </w:r>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en-US" w:eastAsia="zh-CN"/>
          <w14:textFill>
            <w14:solidFill>
              <w14:schemeClr w14:val="tx1"/>
            </w14:solidFill>
          </w14:textFill>
        </w:rPr>
        <w:t>44、</w:t>
      </w:r>
      <w:r>
        <w:rPr>
          <w:rFonts w:ascii="Helvetica" w:hAnsi="Helvetica" w:eastAsia="宋体" w:cs="Helvetica"/>
          <w:color w:val="000000" w:themeColor="text1"/>
          <w:kern w:val="0"/>
          <w:sz w:val="24"/>
          <w:szCs w:val="24"/>
          <w:lang w:val="zh-CN"/>
          <w14:textFill>
            <w14:solidFill>
              <w14:schemeClr w14:val="tx1"/>
            </w14:solidFill>
          </w14:textFill>
        </w:rPr>
        <w:t>政府采购合同的履行、违约责任和解决争议的方法等适用《合同法》。</w:t>
      </w:r>
    </w:p>
    <w:p>
      <w:pPr>
        <w:pStyle w:val="4"/>
        <w:numPr>
          <w:ilvl w:val="0"/>
          <w:numId w:val="6"/>
        </w:numPr>
        <w:spacing w:before="40" w:after="40" w:line="360" w:lineRule="auto"/>
        <w:ind w:left="966" w:hanging="966"/>
        <w:jc w:val="left"/>
        <w:rPr>
          <w:rFonts w:cs="Times New Roman" w:asciiTheme="majorEastAsia" w:hAnsiTheme="majorEastAsia"/>
          <w:bCs w:val="0"/>
          <w:color w:val="000000" w:themeColor="text1"/>
          <w:lang w:val="zh-CN"/>
          <w14:textFill>
            <w14:solidFill>
              <w14:schemeClr w14:val="tx1"/>
            </w14:solidFill>
          </w14:textFill>
        </w:rPr>
      </w:pPr>
      <w:bookmarkStart w:id="36" w:name="_Toc495861531"/>
      <w:bookmarkStart w:id="37" w:name="_Toc494561950"/>
      <w:bookmarkStart w:id="38" w:name="_Toc278891599"/>
      <w:bookmarkStart w:id="39" w:name="_Toc272247702"/>
      <w:r>
        <w:rPr>
          <w:rFonts w:hint="eastAsia" w:cs="Times New Roman" w:asciiTheme="majorEastAsia" w:hAnsiTheme="majorEastAsia"/>
          <w:bCs w:val="0"/>
          <w:color w:val="000000" w:themeColor="text1"/>
          <w:lang w:val="zh-CN"/>
          <w14:textFill>
            <w14:solidFill>
              <w14:schemeClr w14:val="tx1"/>
            </w14:solidFill>
          </w14:textFill>
        </w:rPr>
        <w:t>招标文件的解释权</w:t>
      </w:r>
      <w:bookmarkEnd w:id="36"/>
      <w:bookmarkEnd w:id="37"/>
      <w:bookmarkEnd w:id="38"/>
      <w:bookmarkEnd w:id="39"/>
    </w:p>
    <w:p>
      <w:pPr>
        <w:numPr>
          <w:ilvl w:val="0"/>
          <w:numId w:val="0"/>
        </w:numPr>
        <w:spacing w:line="360" w:lineRule="auto"/>
        <w:ind w:leftChars="0"/>
        <w:rPr>
          <w:color w:val="000000" w:themeColor="text1"/>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45、</w:t>
      </w:r>
      <w:r>
        <w:rPr>
          <w:rFonts w:hint="eastAsia" w:ascii="宋体" w:hAnsi="宋体" w:eastAsia="宋体" w:cs="Times New Roman"/>
          <w:color w:val="000000" w:themeColor="text1"/>
          <w:sz w:val="24"/>
          <w:szCs w:val="20"/>
          <w:lang w:val="zh-CN"/>
          <w14:textFill>
            <w14:solidFill>
              <w14:schemeClr w14:val="tx1"/>
            </w14:solidFill>
          </w14:textFill>
        </w:rPr>
        <w:t>招标文件的最终解释权为采购人、采购代理机构所有。</w:t>
      </w:r>
      <w:r>
        <w:rPr>
          <w:color w:val="000000" w:themeColor="text1"/>
          <w14:textFill>
            <w14:solidFill>
              <w14:schemeClr w14:val="tx1"/>
            </w14:solidFill>
          </w14:textFill>
        </w:rPr>
        <w:br w:type="page"/>
      </w:r>
    </w:p>
    <w:p>
      <w:pPr>
        <w:pStyle w:val="3"/>
        <w:numPr>
          <w:ilvl w:val="0"/>
          <w:numId w:val="1"/>
        </w:numPr>
        <w:jc w:val="center"/>
        <w:rPr>
          <w:rFonts w:ascii="黑体" w:hAnsi="黑体" w:eastAsia="黑体"/>
          <w:color w:val="000000" w:themeColor="text1"/>
          <w14:textFill>
            <w14:solidFill>
              <w14:schemeClr w14:val="tx1"/>
            </w14:solidFill>
          </w14:textFill>
        </w:rPr>
      </w:pPr>
      <w:bookmarkStart w:id="40" w:name="_Toc495861532"/>
      <w:r>
        <w:rPr>
          <w:rFonts w:hint="eastAsia" w:ascii="黑体" w:hAnsi="黑体" w:eastAsia="黑体"/>
          <w:color w:val="000000" w:themeColor="text1"/>
          <w14:textFill>
            <w14:solidFill>
              <w14:schemeClr w14:val="tx1"/>
            </w14:solidFill>
          </w14:textFill>
        </w:rPr>
        <w:t>项目技术</w:t>
      </w:r>
      <w:r>
        <w:rPr>
          <w:rFonts w:hint="eastAsia" w:ascii="黑体" w:hAnsi="黑体" w:eastAsia="黑体"/>
          <w:color w:val="000000" w:themeColor="text1"/>
          <w:lang w:eastAsia="zh-CN"/>
          <w14:textFill>
            <w14:solidFill>
              <w14:schemeClr w14:val="tx1"/>
            </w14:solidFill>
          </w14:textFill>
        </w:rPr>
        <w:t>规格</w:t>
      </w:r>
      <w:r>
        <w:rPr>
          <w:rFonts w:hint="eastAsia" w:ascii="黑体" w:hAnsi="黑体" w:eastAsia="黑体"/>
          <w:color w:val="000000" w:themeColor="text1"/>
          <w14:textFill>
            <w14:solidFill>
              <w14:schemeClr w14:val="tx1"/>
            </w14:solidFill>
          </w14:textFill>
        </w:rPr>
        <w:t>、</w:t>
      </w:r>
      <w:r>
        <w:rPr>
          <w:rFonts w:hint="eastAsia" w:ascii="黑体" w:hAnsi="黑体" w:eastAsia="黑体"/>
          <w:color w:val="000000" w:themeColor="text1"/>
          <w:lang w:eastAsia="zh-CN"/>
          <w14:textFill>
            <w14:solidFill>
              <w14:schemeClr w14:val="tx1"/>
            </w14:solidFill>
          </w14:textFill>
        </w:rPr>
        <w:t>参数</w:t>
      </w:r>
      <w:r>
        <w:rPr>
          <w:rFonts w:hint="eastAsia" w:ascii="黑体" w:hAnsi="黑体" w:eastAsia="黑体"/>
          <w:color w:val="000000" w:themeColor="text1"/>
          <w14:textFill>
            <w14:solidFill>
              <w14:schemeClr w14:val="tx1"/>
            </w14:solidFill>
          </w14:textFill>
        </w:rPr>
        <w:t>及要求</w:t>
      </w:r>
      <w:bookmarkEnd w:id="40"/>
    </w:p>
    <w:p>
      <w:pPr>
        <w:pStyle w:val="4"/>
        <w:numPr>
          <w:ilvl w:val="0"/>
          <w:numId w:val="0"/>
        </w:numPr>
        <w:spacing w:before="40" w:after="40" w:line="360" w:lineRule="auto"/>
        <w:ind w:leftChars="0"/>
        <w:jc w:val="left"/>
        <w:rPr>
          <w:rFonts w:hint="eastAsia" w:cs="Times New Roman" w:asciiTheme="majorEastAsia" w:hAnsiTheme="majorEastAsia"/>
          <w:bCs w:val="0"/>
          <w:color w:val="000000" w:themeColor="text1"/>
          <w:lang w:val="zh-CN"/>
          <w14:textFill>
            <w14:solidFill>
              <w14:schemeClr w14:val="tx1"/>
            </w14:solidFill>
          </w14:textFill>
        </w:rPr>
      </w:pPr>
      <w:bookmarkStart w:id="41" w:name="_Toc494561953"/>
      <w:bookmarkStart w:id="42" w:name="_Toc495861534"/>
      <w:bookmarkStart w:id="43" w:name="_Toc338065594"/>
      <w:bookmarkStart w:id="44" w:name="_Toc339378680"/>
      <w:r>
        <w:rPr>
          <w:rFonts w:hint="eastAsia" w:cs="Times New Roman" w:asciiTheme="majorEastAsia" w:hAnsiTheme="majorEastAsia"/>
          <w:bCs w:val="0"/>
          <w:color w:val="000000" w:themeColor="text1"/>
          <w:lang w:val="zh-CN"/>
          <w14:textFill>
            <w14:solidFill>
              <w14:schemeClr w14:val="tx1"/>
            </w14:solidFill>
          </w14:textFill>
        </w:rPr>
        <w:t>一、项目产品技术规格、参数要求</w:t>
      </w:r>
    </w:p>
    <w:tbl>
      <w:tblPr>
        <w:tblStyle w:val="18"/>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4905"/>
        <w:gridCol w:w="977"/>
        <w:gridCol w:w="1028"/>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pPr>
              <w:pStyle w:val="4"/>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序号</w:t>
            </w:r>
          </w:p>
        </w:tc>
        <w:tc>
          <w:tcPr>
            <w:tcW w:w="4905" w:type="dxa"/>
            <w:vAlign w:val="center"/>
          </w:tcPr>
          <w:p>
            <w:pPr>
              <w:pStyle w:val="4"/>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货物名称（类别）</w:t>
            </w:r>
          </w:p>
        </w:tc>
        <w:tc>
          <w:tcPr>
            <w:tcW w:w="977" w:type="dxa"/>
            <w:vAlign w:val="center"/>
          </w:tcPr>
          <w:p>
            <w:pPr>
              <w:pStyle w:val="4"/>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单位</w:t>
            </w:r>
          </w:p>
        </w:tc>
        <w:tc>
          <w:tcPr>
            <w:tcW w:w="1028" w:type="dxa"/>
            <w:vAlign w:val="center"/>
          </w:tcPr>
          <w:p>
            <w:pPr>
              <w:pStyle w:val="4"/>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数量</w:t>
            </w:r>
          </w:p>
        </w:tc>
        <w:tc>
          <w:tcPr>
            <w:tcW w:w="1845" w:type="dxa"/>
            <w:vAlign w:val="center"/>
          </w:tcPr>
          <w:p>
            <w:pPr>
              <w:pStyle w:val="4"/>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985" w:type="dxa"/>
            <w:vAlign w:val="center"/>
          </w:tcPr>
          <w:p>
            <w:pPr>
              <w:pStyle w:val="4"/>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w:t>
            </w:r>
          </w:p>
        </w:tc>
        <w:tc>
          <w:tcPr>
            <w:tcW w:w="4905" w:type="dxa"/>
            <w:vAlign w:val="center"/>
          </w:tcPr>
          <w:p>
            <w:pPr>
              <w:pStyle w:val="4"/>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阳新县公安局DNA实验室建设工程采购</w:t>
            </w:r>
          </w:p>
        </w:tc>
        <w:tc>
          <w:tcPr>
            <w:tcW w:w="977" w:type="dxa"/>
            <w:vAlign w:val="center"/>
          </w:tcPr>
          <w:p>
            <w:pPr>
              <w:pStyle w:val="4"/>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批</w:t>
            </w:r>
          </w:p>
        </w:tc>
        <w:tc>
          <w:tcPr>
            <w:tcW w:w="1028" w:type="dxa"/>
            <w:vAlign w:val="center"/>
          </w:tcPr>
          <w:p>
            <w:pPr>
              <w:pStyle w:val="4"/>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w:t>
            </w:r>
          </w:p>
        </w:tc>
        <w:tc>
          <w:tcPr>
            <w:tcW w:w="1845" w:type="dxa"/>
            <w:vAlign w:val="center"/>
          </w:tcPr>
          <w:p>
            <w:pPr>
              <w:pStyle w:val="4"/>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详见清单</w:t>
            </w:r>
          </w:p>
        </w:tc>
      </w:tr>
    </w:tbl>
    <w:p>
      <w:pPr>
        <w:rPr>
          <w:rFonts w:hint="eastAsia"/>
          <w:lang w:eastAsia="zh-CN"/>
        </w:rPr>
      </w:pPr>
    </w:p>
    <w:p>
      <w:pPr>
        <w:rPr>
          <w:rFonts w:hint="eastAsia"/>
          <w:lang w:eastAsia="zh-CN"/>
        </w:rPr>
      </w:pPr>
      <w:r>
        <w:rPr>
          <w:rFonts w:hint="eastAsia"/>
          <w:lang w:eastAsia="zh-CN"/>
        </w:rPr>
        <w:object>
          <v:shape id="_x0000_i1025" o:spt="75" type="#_x0000_t75" style="height:66pt;width:72.75pt;" o:ole="t" filled="f" o:preferrelative="t" stroked="f" coordsize="21600,21600">
            <v:path/>
            <v:fill on="f" focussize="0,0"/>
            <v:stroke on="f"/>
            <v:imagedata r:id="rId10" o:title=""/>
            <o:lock v:ext="edit" aspectratio="t"/>
            <w10:wrap type="none"/>
            <w10:anchorlock/>
          </v:shape>
          <o:OLEObject Type="Embed" ProgID="Office12.Excel.Template" ShapeID="_x0000_i1025" DrawAspect="Icon" ObjectID="_1468075725" r:id="rId9">
            <o:LockedField>false</o:LockedField>
          </o:OLEObject>
        </w:object>
      </w:r>
    </w:p>
    <w:p>
      <w:pPr>
        <w:pStyle w:val="4"/>
        <w:numPr>
          <w:ilvl w:val="0"/>
          <w:numId w:val="0"/>
        </w:numPr>
        <w:spacing w:before="40" w:after="40" w:line="360" w:lineRule="auto"/>
        <w:ind w:leftChars="0"/>
        <w:jc w:val="left"/>
        <w:rPr>
          <w:rFonts w:hint="eastAsia" w:cs="Times New Roman" w:asciiTheme="majorEastAsia" w:hAnsiTheme="majorEastAsia"/>
          <w:bCs w:val="0"/>
          <w:color w:val="000000" w:themeColor="text1"/>
          <w:lang w:val="zh-CN" w:eastAsia="zh-CN"/>
          <w14:textFill>
            <w14:solidFill>
              <w14:schemeClr w14:val="tx1"/>
            </w14:solidFill>
          </w14:textFill>
        </w:rPr>
      </w:pPr>
      <w:r>
        <w:rPr>
          <w:rFonts w:hint="eastAsia" w:cs="Times New Roman" w:asciiTheme="majorEastAsia" w:hAnsiTheme="majorEastAsia"/>
          <w:bCs w:val="0"/>
          <w:color w:val="000000" w:themeColor="text1"/>
          <w:lang w:val="zh-CN" w:eastAsia="zh-CN"/>
          <w14:textFill>
            <w14:solidFill>
              <w14:schemeClr w14:val="tx1"/>
            </w14:solidFill>
          </w14:textFill>
        </w:rPr>
        <w:t>二、技术参数需求</w:t>
      </w:r>
    </w:p>
    <w:p>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bCs/>
          <w:color w:val="000000"/>
          <w:sz w:val="24"/>
          <w:szCs w:val="24"/>
          <w:highlight w:val="none"/>
        </w:rPr>
        <w:t>内容：</w:t>
      </w:r>
      <w:r>
        <w:rPr>
          <w:rFonts w:hint="eastAsia" w:ascii="宋体" w:hAnsi="宋体" w:eastAsia="宋体" w:cs="宋体"/>
          <w:bCs/>
          <w:color w:val="000000"/>
          <w:sz w:val="24"/>
        </w:rPr>
        <w:t>含实验室洁净工程、</w:t>
      </w:r>
      <w:r>
        <w:rPr>
          <w:rFonts w:hint="eastAsia" w:ascii="宋体" w:hAnsi="宋体" w:eastAsia="宋体" w:cs="宋体"/>
          <w:kern w:val="0"/>
          <w:sz w:val="24"/>
        </w:rPr>
        <w:t>实验室</w:t>
      </w:r>
      <w:r>
        <w:rPr>
          <w:rFonts w:hint="eastAsia" w:ascii="宋体" w:hAnsi="宋体" w:eastAsia="宋体" w:cs="宋体"/>
          <w:bCs/>
          <w:color w:val="000000"/>
          <w:sz w:val="24"/>
        </w:rPr>
        <w:t>恒温恒湿</w:t>
      </w:r>
      <w:r>
        <w:rPr>
          <w:rFonts w:hint="eastAsia" w:ascii="宋体" w:hAnsi="宋体" w:eastAsia="宋体" w:cs="宋体"/>
          <w:kern w:val="0"/>
          <w:sz w:val="24"/>
        </w:rPr>
        <w:t>洁净空调系统、</w:t>
      </w:r>
      <w:r>
        <w:rPr>
          <w:rFonts w:hint="eastAsia" w:ascii="宋体" w:hAnsi="宋体" w:eastAsia="宋体" w:cs="宋体"/>
          <w:bCs/>
          <w:color w:val="000000"/>
          <w:sz w:val="24"/>
        </w:rPr>
        <w:t>实验室通风系统专业终端设备及通风系统工程、实验室基础配套专业设备</w:t>
      </w:r>
      <w:r>
        <w:rPr>
          <w:rFonts w:hint="eastAsia" w:ascii="宋体" w:hAnsi="宋体" w:eastAsia="宋体" w:cs="宋体"/>
          <w:bCs/>
          <w:color w:val="000000"/>
          <w:sz w:val="24"/>
          <w:szCs w:val="24"/>
          <w:highlight w:val="none"/>
        </w:rPr>
        <w:t>、</w:t>
      </w:r>
      <w:r>
        <w:rPr>
          <w:rFonts w:hint="eastAsia" w:ascii="宋体" w:hAnsi="宋体" w:eastAsia="宋体" w:cs="宋体"/>
          <w:kern w:val="0"/>
          <w:sz w:val="24"/>
          <w:szCs w:val="24"/>
          <w:highlight w:val="none"/>
        </w:rPr>
        <w:t>其他相关设备</w:t>
      </w:r>
      <w:r>
        <w:rPr>
          <w:rFonts w:hint="eastAsia" w:ascii="宋体" w:hAnsi="宋体" w:eastAsia="宋体" w:cs="宋体"/>
          <w:bCs/>
          <w:color w:val="000000"/>
          <w:sz w:val="24"/>
          <w:szCs w:val="24"/>
          <w:highlight w:val="none"/>
        </w:rPr>
        <w:t>及各专业实验室建设等工程图纸范围内的建设工程及招标文件要求范围内的所有内容。</w:t>
      </w:r>
    </w:p>
    <w:p>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建设目标：本项目旨在建设成为规范、节能环保、环境优美，以及国内公安系统检验鉴定和实验室技术交流合作的窗口与名片。为此，必须使实验室在达到公安部重点司法鉴定机构实验室的要求的同时，达到CNAS国家实验室认可的要求。</w:t>
      </w:r>
      <w:r>
        <w:rPr>
          <w:rFonts w:hint="eastAsia" w:ascii="宋体" w:hAnsi="宋体" w:eastAsia="宋体" w:cs="宋体"/>
          <w:b/>
          <w:bCs w:val="0"/>
          <w:color w:val="000000"/>
          <w:sz w:val="24"/>
          <w:szCs w:val="24"/>
          <w:highlight w:val="none"/>
          <w:lang w:val="en-US" w:eastAsia="zh-CN"/>
        </w:rPr>
        <w:t>为保障工程质量及建设要求，以下质量要求均需满足，</w:t>
      </w:r>
      <w:r>
        <w:rPr>
          <w:rFonts w:hint="eastAsia" w:ascii="宋体" w:hAnsi="宋体" w:eastAsia="宋体" w:cs="宋体"/>
          <w:b/>
          <w:bCs w:val="0"/>
          <w:color w:val="000000"/>
          <w:sz w:val="24"/>
          <w:szCs w:val="24"/>
          <w:highlight w:val="none"/>
        </w:rPr>
        <w:t>否则视为不响应招标文件而被拒绝。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bCs/>
          <w:color w:val="000000"/>
          <w:sz w:val="24"/>
          <w:szCs w:val="24"/>
          <w:highlight w:val="none"/>
          <w:lang w:val="en-GB"/>
        </w:rPr>
        <w:t>★</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1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rPr>
        <w:t>供应商须</w:t>
      </w:r>
      <w:r>
        <w:rPr>
          <w:rFonts w:hint="eastAsia" w:ascii="宋体" w:hAnsi="宋体" w:eastAsia="宋体" w:cs="宋体"/>
          <w:sz w:val="24"/>
          <w:szCs w:val="24"/>
          <w:highlight w:val="none"/>
          <w:lang w:val="zh-CN"/>
        </w:rPr>
        <w:t>提供满足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zh-CN"/>
        </w:rPr>
        <w:t>技术要求的实验台面</w:t>
      </w:r>
      <w:r>
        <w:rPr>
          <w:rFonts w:hint="eastAsia" w:ascii="宋体" w:hAnsi="宋体" w:eastAsia="宋体" w:cs="宋体"/>
          <w:sz w:val="24"/>
          <w:szCs w:val="24"/>
          <w:highlight w:val="none"/>
        </w:rPr>
        <w:t>制造商家</w:t>
      </w:r>
      <w:r>
        <w:rPr>
          <w:rFonts w:hint="eastAsia" w:ascii="宋体" w:hAnsi="宋体" w:eastAsia="宋体" w:cs="宋体"/>
          <w:sz w:val="24"/>
          <w:szCs w:val="24"/>
          <w:highlight w:val="none"/>
          <w:lang w:val="zh-CN"/>
        </w:rPr>
        <w:t>出具的授权书原件（</w:t>
      </w:r>
      <w:r>
        <w:rPr>
          <w:rFonts w:hint="eastAsia" w:ascii="宋体" w:hAnsi="宋体" w:eastAsia="宋体" w:cs="宋体"/>
          <w:sz w:val="24"/>
          <w:szCs w:val="24"/>
          <w:highlight w:val="none"/>
        </w:rPr>
        <w:t>含制造商营业执照复印件盖鲜章</w:t>
      </w:r>
      <w:r>
        <w:rPr>
          <w:rFonts w:hint="eastAsia" w:ascii="宋体" w:hAnsi="宋体" w:eastAsia="宋体" w:cs="宋体"/>
          <w:sz w:val="24"/>
          <w:szCs w:val="24"/>
          <w:highlight w:val="none"/>
          <w:lang w:val="zh-CN"/>
        </w:rPr>
        <w:t>）、检测报告（</w:t>
      </w:r>
      <w:r>
        <w:rPr>
          <w:rFonts w:hint="eastAsia" w:ascii="宋体" w:hAnsi="宋体" w:eastAsia="宋体" w:cs="宋体"/>
          <w:sz w:val="24"/>
          <w:szCs w:val="24"/>
          <w:highlight w:val="none"/>
        </w:rPr>
        <w:t>含台面生产厂家的材料结构数据说明、由独立的第三方机构出具的 EBC 相关证明文件、实验室台面板的 SEFA3.0 的测试报告、台面甲醛释放量检测第三方检测报告）</w:t>
      </w:r>
      <w:r>
        <w:rPr>
          <w:rFonts w:hint="eastAsia" w:ascii="宋体" w:hAnsi="宋体" w:eastAsia="宋体" w:cs="宋体"/>
          <w:sz w:val="24"/>
          <w:szCs w:val="24"/>
          <w:highlight w:val="none"/>
          <w:lang w:val="zh-CN"/>
        </w:rPr>
        <w:t>复印件（加盖厂家鲜章）及投标台面样品（</w:t>
      </w:r>
      <w:r>
        <w:rPr>
          <w:rFonts w:hint="eastAsia" w:ascii="宋体" w:hAnsi="宋体" w:eastAsia="宋体" w:cs="宋体"/>
          <w:sz w:val="24"/>
          <w:szCs w:val="24"/>
          <w:highlight w:val="none"/>
        </w:rPr>
        <w:t>样品</w:t>
      </w:r>
      <w:r>
        <w:rPr>
          <w:rFonts w:hint="eastAsia" w:ascii="宋体" w:hAnsi="宋体" w:eastAsia="宋体" w:cs="宋体"/>
          <w:sz w:val="24"/>
          <w:szCs w:val="24"/>
          <w:highlight w:val="none"/>
          <w:lang w:val="zh-CN"/>
        </w:rPr>
        <w:t>需注明采购项目名称、</w:t>
      </w:r>
      <w:r>
        <w:rPr>
          <w:rFonts w:hint="eastAsia" w:ascii="宋体" w:hAnsi="宋体" w:eastAsia="宋体" w:cs="宋体"/>
          <w:sz w:val="24"/>
          <w:szCs w:val="24"/>
          <w:highlight w:val="none"/>
        </w:rPr>
        <w:t>样品品牌、产地、</w:t>
      </w:r>
      <w:r>
        <w:rPr>
          <w:rFonts w:hint="eastAsia" w:ascii="宋体" w:hAnsi="宋体" w:eastAsia="宋体" w:cs="宋体"/>
          <w:sz w:val="24"/>
          <w:szCs w:val="24"/>
          <w:highlight w:val="none"/>
          <w:lang w:val="zh-CN"/>
        </w:rPr>
        <w:t>投标人名称（</w:t>
      </w:r>
      <w:r>
        <w:rPr>
          <w:rFonts w:hint="eastAsia" w:ascii="宋体" w:hAnsi="宋体" w:eastAsia="宋体" w:cs="宋体"/>
          <w:sz w:val="24"/>
          <w:szCs w:val="24"/>
          <w:highlight w:val="none"/>
        </w:rPr>
        <w:t>加盖生产厂家鲜章</w:t>
      </w:r>
      <w:r>
        <w:rPr>
          <w:rFonts w:hint="eastAsia" w:ascii="宋体" w:hAnsi="宋体" w:eastAsia="宋体" w:cs="宋体"/>
          <w:sz w:val="24"/>
          <w:szCs w:val="24"/>
          <w:highlight w:val="none"/>
          <w:lang w:val="zh-CN"/>
        </w:rPr>
        <w:t>））实物</w:t>
      </w:r>
      <w:r>
        <w:rPr>
          <w:rFonts w:hint="eastAsia" w:ascii="宋体" w:hAnsi="宋体" w:eastAsia="宋体" w:cs="宋体"/>
          <w:sz w:val="24"/>
          <w:szCs w:val="24"/>
          <w:highlight w:val="none"/>
        </w:rPr>
        <w:t>1块</w:t>
      </w:r>
      <w:r>
        <w:rPr>
          <w:rFonts w:hint="eastAsia" w:ascii="宋体" w:hAnsi="宋体" w:eastAsia="宋体" w:cs="宋体"/>
          <w:sz w:val="24"/>
          <w:szCs w:val="24"/>
          <w:highlight w:val="none"/>
          <w:lang w:val="zh-CN"/>
        </w:rPr>
        <w:t>；</w:t>
      </w:r>
    </w:p>
    <w:p>
      <w:pPr>
        <w:spacing w:line="360" w:lineRule="auto"/>
        <w:ind w:right="-247" w:rightChars="-118" w:firstLine="523" w:firstLineChars="218"/>
        <w:jc w:val="left"/>
        <w:rPr>
          <w:rFonts w:hint="eastAsia" w:ascii="宋体" w:hAnsi="宋体" w:eastAsia="宋体" w:cs="宋体"/>
          <w:bCs/>
          <w:color w:val="000000"/>
          <w:sz w:val="24"/>
          <w:szCs w:val="24"/>
          <w:highlight w:val="none"/>
        </w:rPr>
      </w:pPr>
      <w:r>
        <w:rPr>
          <w:rFonts w:hint="eastAsia" w:ascii="宋体" w:hAnsi="宋体" w:eastAsia="宋体" w:cs="宋体"/>
          <w:kern w:val="0"/>
          <w:sz w:val="24"/>
          <w:szCs w:val="24"/>
          <w:highlight w:val="none"/>
        </w:rPr>
        <w:t>关于招标范围的详细说明见“技术</w:t>
      </w:r>
      <w:r>
        <w:rPr>
          <w:rFonts w:hint="eastAsia" w:ascii="宋体" w:hAnsi="宋体" w:eastAsia="宋体" w:cs="宋体"/>
          <w:kern w:val="0"/>
          <w:sz w:val="24"/>
          <w:szCs w:val="24"/>
          <w:highlight w:val="none"/>
          <w:lang w:eastAsia="zh-CN"/>
        </w:rPr>
        <w:t>规格、参数及</w:t>
      </w:r>
      <w:r>
        <w:rPr>
          <w:rFonts w:hint="eastAsia" w:ascii="宋体" w:hAnsi="宋体" w:eastAsia="宋体" w:cs="宋体"/>
          <w:kern w:val="0"/>
          <w:sz w:val="24"/>
          <w:szCs w:val="24"/>
          <w:highlight w:val="none"/>
        </w:rPr>
        <w:t>要求”。</w:t>
      </w:r>
    </w:p>
    <w:p>
      <w:pPr>
        <w:spacing w:line="360" w:lineRule="auto"/>
        <w:ind w:right="-247" w:rightChars="-118" w:firstLine="523" w:firstLineChars="218"/>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1.实验台总体性能及技术说明</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1.1实验室专用设备的材料及其配套件性能、技术及其安装位置满足</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采购人提供的有关文件和设计图纸要求。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1.1.1实验室设备总体框架采用框架结构，外形尺寸：长、宽、高的误差≤2mm；邻边垂直度：台面对角线、框架对角线1000mm的误差≤2mm，2000mm的误差≤3mm，3000mm的误差≤3mm；地脚平稳性：误差≤1mm。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1.1.2预留孔或钻孔位置符合规定要求。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1.1.3切割、钻孔和倒角后应去毛刺，各种配件安装应严密、平整、端正、牢固。金属配件应做除锈和防腐处理。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1.1.4实验室等级钢制设备颜色：实验室等级钢制设备颜色可由采购人根据设备制造商的标准色卡统一选择。</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1.2实验室等级钢制设备钢材表面处理要求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1.2.1所有钢制柜体或钢结构部件表面经静电环氧树脂粉末喷涂处理，涂层平整光滑，不允许有喷涂层脱落、鼓泡、凹陷、压痕以及表面划伤、麻点、裂痕、崩角和刃口等。钢板内外均进行环氧树脂喷涂，防止腐蚀由内而外发生。</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1.2.2预处理：脱脂、水洗、酸洗、水洗中和、磷化、水洗等处理技术过程。</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1.2.3表面喷涂：环氧树酯粉末静电喷涂，涂层厚度≥50μm，在180度高温烘箱内固成光滑表面。</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1.2.4喷涂后的金属表面抗一定的化学物质，能达到如下性能：</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附着性能：用划刻刀交叉刻画（1.6mm X 1.6mm），没有掉落；</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防腐性能：盐喷实验≥200小时；</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磨损性能：Taber磨损实验100次循环不超过5.5mg；</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硬度性能：表面硬度相当于甚至好于4H铅笔；</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防潮性能：华氏100度、饱和湿度情况下，可以抵抗1000小时的暴露；</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湿度性能：热水45度角冲淋5分钟没有变化。水持续浸湿100小时没有变化。</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1.3最大荷重（实验室钢制设备能承受以下最大荷重而不变形或影响使用）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落地式底柜 柜体荷重性能检测：≥700公斤；</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落地式底柜 柜体集中荷重性能检测：≥80公斤；</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框架式底座 框架荷重性能检测：≥270公斤；</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门片及铰链荷重性能检测：≥90公斤；</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抽屉开启荷重性能检测：≥40公斤，抽屉开关4万次；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底柜层板及试剂架层板荷重性能检测：≥190公斤/平方米，根据层板面积最高至50公斤。</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1.4材质要求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1.4.1钢材：符合优质冷轧钢板SPCC等级或同质量标准冷轧钢板（SPCC--表示一般用冷轧碳素钢薄板及钢带，相当于中国Q195-215A牌号）；</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1.4.2柜体：每一个柜体的面板、挡板和外角柱都是取自同一块相同等级冷轧钢板；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1.4.3柜体钢材基本厚度应达到或优于以下标准：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1.4.3.1方管工作台类产品整体结构采用≥3mm厚方管焊接，承载部位连接件≥3mm厚冷板加工；</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1.4.3.2钢门内部钢板，前、后封板、搁板、顶部封板厚度≥1.0mm；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1.4.3.3钢柜上部、后部、底部和基座钢板、钢柜后背板、组件紧固板、玻璃门外框钢板、垂直衬板，钢门外部钢板和检修孔封板厚度≥1.2mm；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1.4.3.4钢柜上部支撑件，连接挡板，角撑板，桌脚，支架、桌脚连接件和延伸架厚度≥1.5mm；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1.4.4台面及相关要求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1.4.4.1台面：除特殊要求外，按技术文件规定，使用厚13mm或以上（四周加厚至26mm)台面板材制作（颜色可由采购人根据板材制造商的标准色卡选定）且须满足以下六点要求并须提供厂家授权书原件及检测报告复印件（加盖鲜章）。</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★1).台面板必须以三维木质纤维和热固性树脂为基材，不采用牛皮纸为基材结构，不弯曲不变性，台面表面采用EBC电子束固化技术，表面光滑细腻，抗菌耐磨。台面需提供由SGS出具的EBC技术的使用证明；</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★2).台面板需依据GB/T17657-2013测试标准，提供至少41种化学试剂报告，其中至少包含硫酸98%。硝酸85%，盐酸37%，氢氧化钠40%，二氯甲烷，甲醇，丙酮等化学物，测试结果为5级；</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★3).台面板需提供SEFA3.0测试报告；</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为保证实验室空气质量及工作人员安全，台面板需提供绿色卫士黄金认证证书，要求其中TVOC挥发性有机物测试标准最大允许预测浓度为0.22mg/m³，总醛最大允许预测浓度为0.043ppm，4-苯基环乙烯最大预测浓度为6.5ug/m³；</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★5).提供中国化学建筑材料中心提供的甲醛报告，要求采用GB18580-2017 标准 ，结果为：未检出，即小于0.01mg/m3；</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★6).台面板安全，绿色环保需提供ISEGA报告；</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1.4.4.2靠墙台面后侧挡水条：同台面材料，高100mm（±1.5%）。台面外侧上缘采用圆弧或斜边不刮手处理；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1.4.4.3抽屉：抽屉本体和面板板厚度为≥1.0mm冷轧钢板；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1.4.4.4底柜活动层板：厚度≥1.0mm冷轧钢板；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1.4.4.5试剂架：钢材厚度应达到1.2mm；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1.4.4.6试剂架层板：上固定层板采用厚10mm及以上钢化玻璃制作，层板下方具钢制托架以确保层板承重能力；层板外侧上缘采用圆弧或斜边不刮手处理；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1.4.4.7试剂架层板护栏：下活动层板外缘均应加设有椭圆带托底边高强度铝合金型材制作的护栏；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1.4.4.8功能柱：厚度为≥1.2mm优质冷轧钢板；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1.4.4.9钢制水平布线管线槽（不靠墙的仪器台用）：厚度为1.2mm优质冷轧钢板。</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1.5结构及性能要求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1.5.1柜体：柜体单元为吊装式或落地移动式结构，可以单独站立或多单元组合使用；柜体深度≥520mm，高度(含调整脚及台面厚度) 除有特别说明外，为850mm (±2%)。</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1.5.2背板：底柜后方应具备容易拆装的活动背板。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1.5.3服务通道：中央台背对背柜体中间空档及靠边桌柜体与墙面中间空档有一个服务通道距离，用来布设电、水、气管路，隐藏式设计。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1.5.4底柜：所有底柜正面应为平装嵌入式结构设计，如各端面板(如门板、抽屉)，上/侧/底部柜体边框以及垂直支柱都必须在同一水平面不可有突出，所有钣金的表面接缝均应满焊，焊接处均应打磨平整以保持为连续的平滑表面。柜体内有层板上下调节孔，每个底柜设活动层板一块。</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1.5.5所有部件不得于安装现场焊接加工，以避免破坏表面环氧树脂涂层。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1.5.6所有双开门款式底柜两片门间无中央垂直支柱阻挡。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1.5.7座位空间：其上以横档连接，如果有安装键盘需求则以水平键盘抽屉式连接件与两侧柜体单元上端连接，其下方空档应以可拆装式封板遮挡。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1.5.8装饰封板：中央桌背对背柜体中间空档，底柜与底柜之间，不靠墙的仪器桌柜体后侧，及靠边桌柜体与墙面中间空档的外侧，须使用钢制装饰封板遮盖，封板的颜色应与柜体相同，不得在现场直接以其它材料加工制作装饰封板；所有装饰封板为可拆装式设计，其组装螺丝不可外露。</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1.5.9抽屉：抽屉面板为双层结构，夹层内具消音材料。抽屉底部和四面抽墙为单片钢板一体成形设计，厚度1.0mm。抽屉配置缓冲垫，以避免与柜体钢板碰撞；抽屉能抽出≥330mm；抽屉设计应方便拆卸。</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1.5.10门板：门板为双层结构，夹层内具消音材料；门板配置门扣组及缓冲垫；门板能开关顺畅达180度。</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1.5.11底柜活动层板：层板边缘应平顺不割手；层板上下调节间距每格应≤20mm。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1.5.12钢制水电管道功能立柱：功能柱共有二种：可移动型、固定型，可移动型功能柱配套用于移动式实验台，其他实验台使用固定型功能柱。功能立柱应为本体与面板组合可拆装式设计，其组装螺丝不可外露（可以孔塞遮蔽）；功能立柱应有足够的内部空间及必要的开孔，以便通过及容纳实验台需要的公用管线及相关配件，管线槽内的强电/弱电/水/气等应具各自独立的区隔。功能立柱尺寸有两种，分别为（mm×mm）400×200，300×150，高度为2000mm(配合现场吊顶高度调整)。配备可方便启闭的检修门，根据需要选择配置透明可视观察窗。</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1.5.13钢制水平布线管线槽(不靠墙的仪器台用)：水平布线管线槽应为本体与面板组合可拆装式设计，在外观可视面上没有裸露的螺钉，在内部或遮挡的螺钉没有孔塞；水平布线管线槽应有足够的内部空间及必要的开孔，以便通过及容纳仪器台需要的公用系统管线及相关配件，管线槽内的强电/弱电等应具各自独立的区隔。</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1.5.14试剂架：采用台面安装式设计，以方便配置增减拆装；按需求配置单面型或双面型两种式样以方便边台及中央台使用试剂架；试剂架立柱具整排挂孔供活动层板悬挂用，层板上下调节间距每格应≤30mm；试剂架分上下2层，上层板为固定式，下层板为高低可调活动式；下活动钢制层板边缘应平顺不割手；试剂架立柱内侧应按要求配置插座安装孔，立柱内夹层应有足够空间供插座配线隐藏铺设。</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1.6五金配件</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1.6.1合页：采用厚2.0mm及以上的编号304#不锈钢材质，开启角度≥180度，5节式，由模具加工，确保每个合页的同一性， 承重≥55kg。1200mm高度以下的柜子采用2个合页，超过1200mm高度柜子则采用3个合页。用6个不锈钢螺丝来固定每个合页。</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1.6.2滑轨：抽屉采用厚2.0mm及以上钢制高承载导轨，为冷轧钢板模具冲压成型制作，自闭结构设计，表面经环氧树酯粉末静电喷涂，当抽屉关到末端时有自闭功能，滑轨抽屉能抽出至少330mm；抽屉的滚轮采用尼龙包边的滚球轴承。不得使用三节导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1.6.3把手：采用高强度铝合金把手；把手须以不锈钢螺丝固定，抽屉宽度超过600mm及以上时应配置两只把手。</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1.6.4地脚：镀锌钢地脚，可根据室内地坪适当调整柜体0-35mm的高度。</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1.6.5门扣组：采用塑料材质的滚轮，不锈钢材质的滚轮支架；须以不锈钢螺丝与柜体及门板固定。</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1.6.6层板支撑扣：采用厚1.2mm及以上的钢板镀锌或不锈钢材质。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1.6.7螺丝：除有特别说明者外，合页安装处为304不锈钢材质平头螺钉。其它部位为钢质尖头镀锌自攻螺丝。</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1.6.8抽屉滑轨、门及柜体合页加强件和 L 型前脚撑板为钢制厚度≥2.0mm。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1.6.9抽屉抽头：≥19mm厚，双层结构，抽头内装隔音材料，并在安装前内部也进行喷涂处理。抽屉内部安装橡胶缓冲垫。</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1.6.10门缝条：所有双开式门片间须装设门缝条，安装时以不锈钢螺丝与门片锁合。</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1.6.11台面：13mm及以上厚度实心理化板台面；</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1.6.12水龙头：实验室专用水龙头；</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1.6.13水槽：实验室专用水槽，高分子PP材质，颜色为黑色，表面光滑，各角落平整，底部向落水头处倾斜，并能与台面板紧密结合；配套高分子PP下水器、滤片、阻水盖、PP去水提笼；除有特殊说明者外，所有水槽，杯槽下水处均应配备聚丙烯材质存水弯防臭装置，规格根据实际需要选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1.6.14水槽安装方式：台下盆式，并安装承重托架，水槽安装强度必须能使水槽在满水位时连续支撑24小时而无任何下垂脱落情况；</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1.6.15水槽台的高度要求与实验台同高；</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1.6.16每个框架单元应配备4个镀锌钢螺杆调整脚，以支撑柜体及调节水平，柜体底部离地板距离应≥10mm以隔离地面潮气；</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配滴水架，PP材质基材，PP材质滴水棒，抗化学腐蚀，抑菌、易清洁、耐潮湿，利于器皿的自然干燥；</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1.7紧急喷淋装置</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规格：落地式;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主体材质：主体不锈钢结构，高亮度环氧树脂涂层；冲淋器SUS304不锈钢入水管、不锈钢球阀开关、不锈钢拉杆、不锈钢冲淋头；</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阀门：拉杆式开关，实现开启和锁定一次完成；</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供水口：G1″接口。</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1.8万向排气罩</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规格：标准；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材质：移动风罩为聚丙烯材质，排气罩直管采用铝合金制造，铝合金表面做阳极处理达到耐腐蚀要求，所有管段均应以聚丙烯材质的旋转关节连结，移动风罩管体内与气流直接接触的金属零件，均为不锈钢耐蚀材料；</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三节活动臂罩口：圆形碗状，直径350mm(±30mm)，低压降（300pa），低噪音（36-57dBA），可360度旋转调节方向，易折卸、重组及清洗关节密封圈，移动风罩管径为∮75mm(±5%以内)，风量可在110～240m3/h范围内调节，以及风压(压损)小于300Pa；移动风罩有效工作半径应≥914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关节：均以固定旋钮予以迫紧锁合并确保气密；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风量调节：内建的手动蝶阀，可调节风量；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安装：吊顶安装，移动风罩应附有管径相匹配的固定基座，固定基座应搭配抽气罩管体颜色以环氧树酯粉末静电喷涂，长度与现场配合；于固定基座上应各提供一个排风接口及抽气接口，排风接口与排风管道衔接，抽气接口与移动风罩衔接，排风接口应为法兰型接口，抽气接口配合移动风罩设计；固定基座的结构与固定方式应能确保移动风罩安装及使用时的稳定与牢靠；现场排风管道应提供一安装接口以连接移动风罩固定基座排风接口，接口管径与现场相匹配。</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1.9原子吸收罩</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规格：罩口尺寸为（长×宽，mm）400×400；</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材质：全部采用厚1.2mm及以上304#不锈钢制作；</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导风管：采用1.0mm以上304#不锈钢制作，上配手动调节阀，开启度0-180度，可调节风量；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接口：于固定风罩上方直管段处须预留内建式手动调风碟阀及排风接口，排风接口与排风管道衔接，排风接口应为法兰型接口；现场排风管道应提供一适当尺寸的安装接口以连接固定风罩的排风接口；</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风量：300-600m3/h，排风接口管径应配合风量设计，须保证管内风速≤6m/s；</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安装：吊顶安装，吊臂可伸缩。</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1.10、实验室物证柜及排风试剂柜要求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除特别说明外，主要部分为符合优质冷轧钢板SPCC或其他大型钢厂同等级、同质量标准的冷轧钢板，厚度≥1.2mm;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所有钣金的表面接缝均应满焊，焊接处均应打磨平整以保持为连续的平滑表面；所有钣金部件不得于安装现场焊接加工，以避免破坏表面环氧树酯涂层；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材质：整体采用≥1.2mm优质冷轧钢板。材料为:优质冷轧钢板;相当于SPCC或其他大型钢厂同等级、同质量标准的钢板；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柜门：上部为5mm透明玻璃，下部为实门；玻璃门外框为钢质，玻璃卡槽为PVC材质，对扣夹紧，外表面不见螺丝。下部实门为双层对扣结构；</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侧板：为双层对扣结构，增强柜体承重力，外侧无焊接、打磨点，柜体内部平整，无凹凸死角现象；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隔板：柜体上部两层层板，下部一层层板，层板托为尼龙塑料承重性强并且有效耐酸碱腐蚀；前、后加强筋上每隔12.3mm有隔板调节孔；</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拉手：隐藏式带锁具拉手，不突出，同柜门同一平面，美观实用便于管理；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抽气口：柜体顶部带￠95mm排风孔，排风量为Q=150m3/h，下部后背板设置进风百页，更美观实用；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地脚：镀锌钢地脚，承重，防潮，防锈，防滑，抑菌，耐腐蚀，可根据室内地坪适当调整柜体0-35mm的高度；</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拉门把手：外露式铝合金把手；</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合页：304#不锈钢，5节式；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门吸：可调整高度式，铁镀锌门吸。</w:t>
      </w:r>
    </w:p>
    <w:p>
      <w:pPr>
        <w:spacing w:line="360" w:lineRule="auto"/>
        <w:ind w:right="-247" w:rightChars="-118" w:firstLine="523" w:firstLineChars="218"/>
        <w:outlineLvl w:val="2"/>
        <w:rPr>
          <w:rFonts w:hint="eastAsia"/>
        </w:rPr>
      </w:pPr>
      <w:r>
        <w:rPr>
          <w:rFonts w:hint="eastAsia" w:ascii="宋体" w:hAnsi="宋体" w:eastAsia="宋体" w:cs="宋体"/>
          <w:bCs/>
          <w:color w:val="000000"/>
          <w:sz w:val="24"/>
          <w:szCs w:val="24"/>
          <w:highlight w:val="none"/>
        </w:rPr>
        <w:t>1.1</w:t>
      </w: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eastAsia="zh-CN"/>
        </w:rPr>
        <w:t>超净台</w:t>
      </w:r>
      <w:r>
        <w:rPr>
          <w:rFonts w:hint="eastAsia" w:ascii="宋体" w:hAnsi="宋体" w:eastAsia="宋体" w:cs="宋体"/>
          <w:bCs/>
          <w:color w:val="000000"/>
          <w:sz w:val="24"/>
          <w:szCs w:val="24"/>
          <w:highlight w:val="none"/>
        </w:rPr>
        <w:t>要求</w:t>
      </w:r>
    </w:p>
    <w:p>
      <w:pPr>
        <w:spacing w:line="360" w:lineRule="auto"/>
        <w:ind w:right="-247" w:rightChars="-118" w:firstLine="523" w:firstLineChars="218"/>
        <w:rPr>
          <w:rFonts w:ascii="宋体" w:hAnsi="宋体" w:eastAsia="宋体" w:cs="宋体"/>
          <w:color w:val="000000"/>
          <w:sz w:val="24"/>
        </w:rPr>
      </w:pPr>
      <w:r>
        <w:rPr>
          <w:rFonts w:hint="eastAsia" w:ascii="宋体" w:hAnsi="宋体" w:eastAsia="宋体" w:cs="宋体"/>
          <w:color w:val="000000"/>
          <w:sz w:val="24"/>
        </w:rPr>
        <w:t>无菌、无尘、洁净环境的局部洁净工作台。</w:t>
      </w:r>
    </w:p>
    <w:p>
      <w:pPr>
        <w:spacing w:line="360" w:lineRule="auto"/>
        <w:ind w:right="-247" w:rightChars="-118" w:firstLine="523" w:firstLineChars="218"/>
        <w:rPr>
          <w:rFonts w:ascii="宋体" w:hAnsi="宋体" w:eastAsia="宋体" w:cs="宋体"/>
          <w:color w:val="000000"/>
          <w:sz w:val="21"/>
          <w:szCs w:val="21"/>
        </w:rPr>
      </w:pPr>
      <w:r>
        <w:rPr>
          <w:rFonts w:hint="eastAsia" w:ascii="宋体" w:hAnsi="宋体" w:eastAsia="宋体" w:cs="宋体"/>
          <w:color w:val="000000"/>
          <w:sz w:val="24"/>
        </w:rPr>
        <w:t>工</w:t>
      </w:r>
      <w:r>
        <w:rPr>
          <w:rFonts w:hint="eastAsia" w:ascii="宋体" w:hAnsi="宋体" w:eastAsia="宋体" w:cs="宋体"/>
          <w:color w:val="000000"/>
          <w:sz w:val="21"/>
          <w:szCs w:val="21"/>
        </w:rPr>
        <w:t>作台面为一体成型易清洁的316#不锈钢，箱体采用优质冷轧钢板静电涂装，流线型整机造型, 使作业区气流受扰动最少；垂直流形，准闭合式台面，可有效防止外部气流诱入及操作异味对人体的刺激，符合各项医疗器械设备安全要求。</w:t>
      </w:r>
    </w:p>
    <w:p>
      <w:pPr>
        <w:spacing w:line="360" w:lineRule="auto"/>
        <w:ind w:right="-247" w:rightChars="-118" w:firstLine="457" w:firstLineChars="218"/>
        <w:rPr>
          <w:rFonts w:ascii="宋体" w:hAnsi="宋体" w:eastAsia="宋体" w:cs="宋体"/>
          <w:color w:val="000000"/>
          <w:sz w:val="21"/>
          <w:szCs w:val="21"/>
        </w:rPr>
      </w:pPr>
      <w:r>
        <w:rPr>
          <w:rFonts w:hint="eastAsia" w:ascii="宋体" w:hAnsi="宋体" w:eastAsia="宋体" w:cs="宋体"/>
          <w:color w:val="000000"/>
          <w:sz w:val="21"/>
          <w:szCs w:val="21"/>
        </w:rPr>
        <w:t>操作挡板：安全玻璃移门，采用专利技术的任意定位移门系统，控制移门位置上下任意可调、定位准确，并能完全关闭以便灭菌；单面操作。</w:t>
      </w:r>
    </w:p>
    <w:p>
      <w:pPr>
        <w:spacing w:line="360" w:lineRule="auto"/>
        <w:ind w:right="-247" w:rightChars="-118" w:firstLine="457" w:firstLineChars="218"/>
        <w:rPr>
          <w:rFonts w:ascii="宋体" w:hAnsi="宋体" w:eastAsia="宋体" w:cs="宋体"/>
          <w:color w:val="000000"/>
          <w:sz w:val="21"/>
          <w:szCs w:val="21"/>
        </w:rPr>
      </w:pPr>
      <w:r>
        <w:rPr>
          <w:rFonts w:hint="eastAsia" w:ascii="宋体" w:hAnsi="宋体" w:eastAsia="宋体" w:cs="宋体"/>
          <w:color w:val="000000"/>
          <w:sz w:val="21"/>
          <w:szCs w:val="21"/>
        </w:rPr>
        <w:t>工作区风速：采用可调风量风机系统，轻触式开关调节电压。</w:t>
      </w:r>
    </w:p>
    <w:p>
      <w:pPr>
        <w:spacing w:line="540" w:lineRule="exact"/>
        <w:ind w:right="-247" w:rightChars="-118" w:firstLine="457" w:firstLineChars="218"/>
        <w:rPr>
          <w:rFonts w:ascii="宋体" w:hAnsi="宋体" w:eastAsia="宋体" w:cs="宋体"/>
          <w:color w:val="000000"/>
          <w:sz w:val="21"/>
          <w:szCs w:val="21"/>
        </w:rPr>
      </w:pPr>
      <w:r>
        <w:rPr>
          <w:rFonts w:hint="eastAsia" w:ascii="宋体" w:hAnsi="宋体" w:eastAsia="宋体" w:cs="宋体"/>
          <w:color w:val="000000"/>
          <w:sz w:val="21"/>
          <w:szCs w:val="21"/>
        </w:rPr>
        <w:t>照明和杀菌系统的安全互锁。</w:t>
      </w:r>
    </w:p>
    <w:p>
      <w:pPr>
        <w:spacing w:line="540" w:lineRule="exact"/>
        <w:ind w:right="-247" w:rightChars="-118" w:firstLine="523" w:firstLineChars="218"/>
        <w:rPr>
          <w:rFonts w:ascii="宋体" w:hAnsi="宋体" w:eastAsia="宋体" w:cs="宋体"/>
          <w:color w:val="auto"/>
          <w:sz w:val="24"/>
        </w:rPr>
      </w:pPr>
      <w:r>
        <w:rPr>
          <w:rFonts w:hint="eastAsia" w:ascii="宋体" w:hAnsi="宋体" w:eastAsia="宋体" w:cs="宋体"/>
          <w:color w:val="auto"/>
          <w:sz w:val="24"/>
        </w:rPr>
        <w:t>技术参数：洁净等级：100级；菌落数：≤0.5个/皿.时（90mm培养平皿）；平均风速：≥0.3m/s（可调）；噪音：≤62dB（A）；照度：≥300L× ；电源：AC,单相220V/50Hz；输入功率：500W。</w:t>
      </w:r>
    </w:p>
    <w:p>
      <w:pPr>
        <w:spacing w:line="540" w:lineRule="exact"/>
        <w:ind w:right="-247" w:rightChars="-118" w:firstLine="523" w:firstLineChars="218"/>
        <w:rPr>
          <w:rFonts w:ascii="宋体" w:hAnsi="宋体" w:eastAsia="宋体" w:cs="宋体"/>
          <w:color w:val="auto"/>
          <w:sz w:val="24"/>
        </w:rPr>
      </w:pPr>
      <w:r>
        <w:rPr>
          <w:rFonts w:hint="eastAsia" w:ascii="宋体" w:hAnsi="宋体" w:eastAsia="宋体" w:cs="宋体"/>
          <w:color w:val="auto"/>
          <w:sz w:val="24"/>
        </w:rPr>
        <w:t>重量：170kg；</w:t>
      </w:r>
    </w:p>
    <w:p>
      <w:pPr>
        <w:spacing w:line="540" w:lineRule="exact"/>
        <w:ind w:right="-247" w:rightChars="-118" w:firstLine="523" w:firstLineChars="218"/>
        <w:rPr>
          <w:rFonts w:hint="eastAsia"/>
          <w:color w:val="auto"/>
        </w:rPr>
      </w:pPr>
      <w:r>
        <w:rPr>
          <w:rFonts w:hint="eastAsia" w:ascii="宋体" w:hAnsi="宋体" w:eastAsia="宋体" w:cs="宋体"/>
          <w:color w:val="auto"/>
          <w:sz w:val="24"/>
        </w:rPr>
        <w:t>高效过滤器规格 610×610×50mm；</w:t>
      </w:r>
    </w:p>
    <w:p>
      <w:pPr>
        <w:spacing w:line="360" w:lineRule="auto"/>
        <w:ind w:right="-247" w:rightChars="-118"/>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2、实验室通风设备及系统技术说明</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2.1实验室专用通风设备的材料及其配套件性能、技术及其安装位置满足采购人提供的有关文件和设计图要求：</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2.1.1主要部分为优质冷轧钢板SPCC标准≥1.2mm厚冷轧钢板；钢材表面处理满足以下要求：</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2.1.1.1所有钢制柜体或钢结构部件表面必须经静电环氧树脂粉末喷涂处理，涂层平整光滑，不允许有喷涂层脱落、鼓泡、凹陷、压痕以及表面划伤、麻点、裂痕、崩角和刃口等。钢板内外均进行环氧树脂喷涂，防止腐蚀由内而外发生。</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2.1.1.2预处理：脱脂、水洗、酸洗、水洗中和、磷化、水洗等过程或纳米陶瓷前处理技术。</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2.1.1.3表面喷涂：静电环氧树脂粉末喷涂处理，涂层厚度≥50μm，在180度高温烘箱内固成光滑表面。</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2.1.1.4喷涂后的金属表面抗一定的化学物质，能达到如下性能：</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附着性能：用划刻刀交叉刻画（1.6mm X 1.6mm），没有掉落；</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防腐性能：盐喷实验≥200小时；</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磨损性能：Taber磨损实验100次循环不超过5.5mg；</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硬度性能：表面硬度相当于甚至好于4H铅笔；</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防潮性能：华氏100度、饱和湿度情况下，可以抵抗1000小时的暴露；</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湿度性能：热水45度角冲淋5分钟没有变化。水持续浸湿100小时没有变化。</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2.1.2所有钣金的表面接缝均应满焊，焊接处均应打磨平整以保持为连续的平滑表面；所有钣金部件不得于安装现场焊接加工，以避免破坏表面环氧树脂涂层；</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2.1.3五金配件要求：</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2.1.3.1合页：采用厚2.0mm及以上的编号304#不锈钢材质，开启角度≥180度，5节式，由模具加工，确保每个合页的同一性， 承重≥55kg。1200mm高度以下的柜子采用2个合页，超过1200mm高度柜子则采用3个合页。用6个不锈钢螺丝来固定每个合页。</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2.1.3.2把手：采用高强度铝合金把手；把手须以不锈钢螺丝固定，抽屉宽度超过600mm及以上时应配置两只把手。</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2.1.3.3地脚：镀锌钢地脚，可根据室内地坪适当调整柜体0-35mm的高度。</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2.1.3.4门扣组：采用塑料材质的滚轮，不锈钢材质的滚轮支架；须以不锈钢螺丝与柜体及门板固定。</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2.1.3.5层板支撑扣：采用厚1.2mm及以上的钢板镀锌或不锈钢材质。</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2.1.3.6螺丝：除有特别说明者外，合页安装处为平头普通螺钉，304不锈钢材质。其它部位为钢质尖头镀锌自攻螺丝。</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2.1.3.7门及柜体合页加强件和 L 型前脚撑板为钢制厚度≥2.0mm。</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2.1.4底柜柜体要求：</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2.1.4.1每一个柜体的面板、挡板和外角柱都是取自同一块相同等级冷轧钢板。</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2.1.4.2柜体钢材基本厚度应达到或优于以下标准：</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2.1.4.2.1方管工作台类产品整体结构采用≥3mm厚方管焊接，承载部位连接件≥3mm厚冷板加工；</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2.1.4.2.2钢门内部钢板，前、后封板、搁板、顶部封板厚度≥1.0mm；</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2.1.4.2.3钢柜上部、后部、底部和基座钢板、钢柜后背板、组件紧固板、玻璃门外框钢板、垂直衬板，钢门外部钢板和检修孔封板厚度≥1.2mm；</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2.1.4.2.4钢柜上部支撑件，连接挡板，角撑板，桌脚，支架、桌脚连接件和延伸架厚度≥1.5mm；</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2.1.4.2.5门板：门板为双层结构，夹层内具消音材料；门板配置门扣组及缓冲垫；门板能开关顺畅达180度。</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实验室变风量通风柜实验室专用排风设备，在排风控制系统接口提供一个足够、稳定、实时与正确的排风量后，以及实验室环境气流组织在通风柜调节门开口处所造成的交叉气流速度符合相关标准规定的情况下，其通风性能特征要满足以下几点要求：</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2.2.1维持通风柜捕捉及排除污染的能力；</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2.2.2专用通风柜等定风量设备的排风量能维持在设定值的正负10%内。</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2.3设备排风量：除有特殊说明者外，根据相关国际及国标要求，各设备排风量除特别标注者外，设计原则如下：</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1200mm台式变风量通风柜的最小排风量为250CMH，最大排风量为1300CMH；</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1500mm台式变风量通风柜的最小排风量为300CMH，最大排风量为1500CMH；</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1800mm台式变风量通风柜的最小排风量为350CMH，最大排风量为1800CMH；</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以上通风柜按平均面风速0.5m/s为排风量设计的计算依据。(以上通风柜排风量根据各自产品的调节门开口尺寸计算，但调节门最大开启高度不得低于700mm，且总风量不得高于系统允许容量)。</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符合《机械行业标准》JB/T 6412-1999通风柜和《中华人民共和国建设部实验室变风量通风柜标准》JGT222-2007。</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2.1.1本项目通风柜为变风量型，应能有效地配合VAV排风系统进行操作。</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2.1.2主体结构：双层全钢，自支撑坚固构造。外层为钢板，内层为抗腐蚀内衬材料。两层之间为全钢框架、全钢固定件和公用设备管道、配件等。</w:t>
      </w:r>
    </w:p>
    <w:p>
      <w:pPr>
        <w:spacing w:line="360" w:lineRule="auto"/>
        <w:ind w:right="-247" w:rightChars="-118" w:firstLine="523" w:firstLineChars="218"/>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2.1.3通风柜工作台面：</w:t>
      </w:r>
      <w:r>
        <w:rPr>
          <w:rFonts w:hint="eastAsia" w:ascii="宋体" w:hAnsi="宋体" w:eastAsia="宋体" w:cs="宋体"/>
          <w:b/>
          <w:color w:val="auto"/>
          <w:sz w:val="24"/>
          <w:szCs w:val="24"/>
          <w:highlight w:val="none"/>
        </w:rPr>
        <w:t>采用20厚一体成型高温烧制实验室工业碟型陶瓷台面，见截面采用同色低温上釉，或者釉料与胚体经高温一体烧结而成，表面釉面颜色和胚体颜色一致的实验室专用同色透芯陶瓷台面，台面表面耐高温、耐腐蚀、耐磨、不脱色、不变色、美观大方。</w:t>
      </w:r>
    </w:p>
    <w:p>
      <w:pPr>
        <w:spacing w:line="360" w:lineRule="auto"/>
        <w:ind w:right="-247" w:rightChars="-118" w:firstLine="523" w:firstLineChars="218"/>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★2.1.3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1、耐酸碱腐蚀：台面可抵御（除氢氟酸等同类型化学试剂）任何强酸强碱及有机溶剂腐蚀。要求参照 GB/T 9274-1988(2004）标准，提供抗化学和污染性能的检测报告（含提供盖玻璃片的检测报告），要求包含对含有98%硫酸、37%盐酸、65%氢氧化钾、王水、甲苯、草酸、正辛烷、99%冰醋酸、六次甲基四氨缓蚀剂、亚甲蓝、氢氧化铵、硫酸铜、正乙烷等多种化学试剂的测试，且检测结果均为表面无变化。</w:t>
      </w:r>
      <w:r>
        <w:rPr>
          <w:rFonts w:hint="eastAsia" w:ascii="宋体" w:hAnsi="宋体" w:eastAsia="宋体" w:cs="宋体"/>
          <w:b/>
          <w:bCs w:val="0"/>
          <w:color w:val="auto"/>
          <w:sz w:val="24"/>
          <w:szCs w:val="24"/>
          <w:highlight w:val="none"/>
        </w:rPr>
        <w:t>须在投标文件中提供通过符合上述参数第三方出具的检测报告并加盖公章。</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2、耐高温：陶瓷台面为A级不燃材料，陶瓷台面燃烧性能为A1级，燃烧热值小于0，持续燃烧时间为0。参照GB/T26696-2011标准测试，耐高温不低于1350℃。</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3、不含甲醛：实验室环境需要台面不含甲醛，要求参照 GB 18580-2001标准。</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4、抗细菌：陶瓷台面表面不吸附细菌，要求参照JC/T897-2014《抗菌陶瓷制品抗菌性能》检测，要求肺炎克雷伯氏菌抗菌率≥90%，粪肠球菌抗菌率≥90%。</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5、洛氏硬度：参照GB/T26696-2011标准，要求洛氏硬度不低于59HRC。</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6、线性热膨胀系数：参照GB/T4100-2015附录G有釉砖标准，线性热膨胀系数≤5.0×10-6/℃-1。</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7、断裂模数：参照GB/T3810.4-2016标准，断裂模数平均值≥49MPa，单个值≥47MPa。</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8、为保证仪器承重安全，台面性能必须满足承重测试要求，台面抗破坏性载荷48小时不低于400kg。</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9、断裂模数：参照GB/T3810.4-2016标准，断裂模数平均值≥49MPa，单个值≥47MPa。</w:t>
      </w:r>
    </w:p>
    <w:p>
      <w:pPr>
        <w:spacing w:line="360" w:lineRule="auto"/>
        <w:ind w:right="-247" w:rightChars="-118" w:firstLine="523" w:firstLineChars="218"/>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
          <w:bCs w:val="0"/>
          <w:color w:val="auto"/>
          <w:sz w:val="24"/>
          <w:szCs w:val="24"/>
          <w:highlight w:val="none"/>
        </w:rPr>
        <w:t>须在投标文件中提供通过符合上述参数第三方出具的检测报告并加盖公章</w:t>
      </w:r>
      <w:r>
        <w:rPr>
          <w:rFonts w:hint="eastAsia" w:ascii="宋体" w:hAnsi="宋体" w:eastAsia="宋体" w:cs="宋体"/>
          <w:b/>
          <w:bCs w:val="0"/>
          <w:color w:val="auto"/>
          <w:sz w:val="24"/>
          <w:szCs w:val="24"/>
          <w:highlight w:val="none"/>
          <w:lang w:eastAsia="zh-CN"/>
        </w:rPr>
        <w:t>，通风柜</w:t>
      </w:r>
      <w:r>
        <w:rPr>
          <w:rFonts w:hint="eastAsia" w:ascii="宋体" w:hAnsi="宋体" w:eastAsia="宋体" w:cs="宋体"/>
          <w:b/>
          <w:bCs w:val="0"/>
          <w:color w:val="auto"/>
          <w:sz w:val="24"/>
          <w:szCs w:val="24"/>
          <w:highlight w:val="none"/>
          <w:lang w:val="zh-CN" w:eastAsia="zh-CN"/>
        </w:rPr>
        <w:t>台面</w:t>
      </w:r>
      <w:r>
        <w:rPr>
          <w:rFonts w:hint="eastAsia" w:ascii="宋体" w:hAnsi="宋体" w:eastAsia="宋体" w:cs="宋体"/>
          <w:b/>
          <w:bCs w:val="0"/>
          <w:color w:val="auto"/>
          <w:sz w:val="24"/>
          <w:szCs w:val="24"/>
          <w:highlight w:val="none"/>
          <w:lang w:val="en-US" w:eastAsia="zh-CN"/>
        </w:rPr>
        <w:t>制造商家</w:t>
      </w:r>
      <w:r>
        <w:rPr>
          <w:rFonts w:hint="eastAsia" w:ascii="宋体" w:hAnsi="宋体" w:eastAsia="宋体" w:cs="宋体"/>
          <w:b/>
          <w:bCs w:val="0"/>
          <w:color w:val="auto"/>
          <w:sz w:val="24"/>
          <w:szCs w:val="24"/>
          <w:highlight w:val="none"/>
          <w:lang w:val="zh-CN" w:eastAsia="zh-CN"/>
        </w:rPr>
        <w:t>出具的授权书原件（</w:t>
      </w:r>
      <w:r>
        <w:rPr>
          <w:rFonts w:hint="eastAsia" w:ascii="宋体" w:hAnsi="宋体" w:eastAsia="宋体" w:cs="宋体"/>
          <w:b/>
          <w:bCs w:val="0"/>
          <w:color w:val="auto"/>
          <w:sz w:val="24"/>
          <w:szCs w:val="24"/>
          <w:highlight w:val="none"/>
          <w:lang w:val="en-US" w:eastAsia="zh-CN"/>
        </w:rPr>
        <w:t>含制造商营业执照复印件盖鲜章</w:t>
      </w:r>
      <w:r>
        <w:rPr>
          <w:rFonts w:hint="eastAsia" w:ascii="宋体" w:hAnsi="宋体" w:eastAsia="宋体" w:cs="宋体"/>
          <w:b/>
          <w:bCs w:val="0"/>
          <w:color w:val="auto"/>
          <w:sz w:val="24"/>
          <w:szCs w:val="24"/>
          <w:highlight w:val="none"/>
          <w:lang w:val="zh-CN" w:eastAsia="zh-CN"/>
        </w:rPr>
        <w:t>）。</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2.1.4通风柜配有一次性成型实验室专用PP水槽，耐酸碱、耐腐蚀。</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2.1.5移门：</w:t>
      </w:r>
      <w:r>
        <w:rPr>
          <w:rFonts w:hint="eastAsia" w:ascii="宋体" w:hAnsi="宋体" w:eastAsia="宋体" w:cs="宋体"/>
          <w:b/>
          <w:color w:val="auto"/>
          <w:sz w:val="24"/>
          <w:szCs w:val="24"/>
          <w:highlight w:val="none"/>
        </w:rPr>
        <w:t>移门传动系统为同步带系统，非钢丝绳系统。</w:t>
      </w:r>
      <w:r>
        <w:rPr>
          <w:rFonts w:hint="eastAsia" w:ascii="宋体" w:hAnsi="宋体" w:eastAsia="宋体" w:cs="宋体"/>
          <w:bCs/>
          <w:color w:val="auto"/>
          <w:sz w:val="24"/>
          <w:szCs w:val="24"/>
          <w:highlight w:val="none"/>
        </w:rPr>
        <w:t>使用厚度≥6mm的浮法安全玻璃；滑轨为抗腐蚀PVC材质，移门能够轻松上下移动；移门的关、闭有橡胶缓冲装置；密封条为70硬度 PVC，防止气体泄露，并能阻挡液体流出柜体；移门拉手和移门同宽，材质是不锈钢材料制成。</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全钢制结构，智能数控通风柜：</w:t>
      </w:r>
      <w:r>
        <w:rPr>
          <w:rFonts w:hint="eastAsia" w:ascii="宋体" w:hAnsi="宋体" w:eastAsia="宋体" w:cs="宋体"/>
          <w:b/>
          <w:color w:val="auto"/>
          <w:sz w:val="24"/>
          <w:szCs w:val="24"/>
          <w:highlight w:val="none"/>
        </w:rPr>
        <w:t>数控电动调节门</w:t>
      </w:r>
      <w:r>
        <w:rPr>
          <w:rFonts w:hint="eastAsia" w:ascii="宋体" w:hAnsi="宋体" w:eastAsia="宋体" w:cs="宋体"/>
          <w:bCs/>
          <w:color w:val="auto"/>
          <w:sz w:val="24"/>
          <w:szCs w:val="24"/>
          <w:highlight w:val="none"/>
        </w:rPr>
        <w:t>，自由升降调节门，可无级别定位。工作台面前沿安装孔网导风槽，利于形成上升型的气流，并对拉门内壁密集污染气流区起到清导作用。</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2.1.6所有通风柜的内衬材料为≥6mm厚Poly resin材料或≥6mm厚的阻燃材料，性能符合我国相关标准或UL或NFPA规格的其它内衬材料（阻燃性能符合NFPA45规范，通过UL723或ASTM E84-80测定且展焰性&lt;25）。导流板必须与内衬为同一材料，引导通风柜气体排除柜外。内衬材料表面光滑。内壁要求无任何连接螺钉外露，减少腐蚀点。</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2.1.7底柜柜体：每个柜体均应为完整独立的落地型全钢制柜体设计，除有特别说明者外，每台通风柜配置两只双开门款式底柜单元，或一只拥有两个独立区隔(各区隔配置双开门)的四门柜体单元。根据需要底柜可定制垃圾柜或设置废液收集装置，并有排风设计；底柜后方应具备容易拆装的活动背板，踼脚板凹入部分位于柜体下方正面，踼脚板表面加装踢脚线装饰板及护角将踼脚板与地面空隙遮盖。</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2.1.8通风柜里面的配件（龙头喷嘴）为黄铜材质，外面环氧树脂喷涂。从阀门到出口处管路：水、气体和真空管道为铜管。</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2.1.9远程控制手柄：尼龙十字型把手，由不同颜色的尼龙指示钮标识。</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2.1.10通风柜照明：两个荧光灯管，快速启动类型。镇流器安装在通风柜外部。照明罩内部白色，高反射的塑料材质。照明装置上面有安全玻璃面板并且和柜体密封。照明装置包括灯管。照度800Lu×。</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2.1.11电气设施安装在通风柜的外侧立柱上。带开关型插座，产品出厂前插座预先与通风柜接线盒连接，现场再与供电设施连接。同时立柱上安装有漏电保护装置。通风柜外侧立柱上安装有灯开关，灯电源取至主回路下装有熔断保护的支路。插座：不少于 4 个多功能插座。三线接地插座，220V，≥16A。</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2.1.12下降式旁通设计：低阻，1.25mm钢板进风腔体。进风从腔体上方进入，然后进入通风柜内。同时在通风柜内发生事情时，气体尘埃不会直接冲出进风腔体。具有上下排风功能。</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2.1.13外部连接装置都需抗化学腐蚀，非金属材料。</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2.1.14排风口为矩形底部带圆弧设计，1.2mm冷轧钢板环氧树脂漆喷涂；移门采用全钢驱动型系统。所有材质防腐处理。移门导向装置由抗腐蚀的聚氯乙稀或相近材质构成。</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2.1.15性能要求：</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2.1.15.1表面平均面风速：通风柜的表面平均风速应为设计值的±10%以内且可以调节(本项目各通风柜面风速设计值为0.5m/s)；</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2.1.15.2面风速均匀度：通风柜的面风速应分布均匀，各测量点的最大值、最小值与算术平均值的偏差应小于±15%；(检测内容包括在调节门半开及全开状况下检测)</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2.1.15.3通风柜风压(压损)：应小于70Pa；</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2.1.15.4视烟雾流动显示：须无烟雾泄漏逸散出柜外，柜内无涡流死角且能平顺的将烟雾排出；【检测内容包括在调节门静态(全开)及动态(全闭至全开)工作状况下检测)】</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2.1.15.5 SF6六氟化硫示踪气体浓度控制：浓度控制等级小于0.05ppm，检测内容包括静态检测，动态检测及调节门周边检漏测试。</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2.1.15.6测试环境：在0.5m/s面风速条件下，SF6追踪气体以4L/min的速度从视窗开口处（仅仅视窗后15厘米）被释放在操作区内，SF6探测器被安装在人体模型上来模拟操作员的呼吸。一个交叉速度指针被安装在人体模型的后背,用于检查测试过程中交叉速度指针对测试结果的影响。</w:t>
      </w:r>
    </w:p>
    <w:p>
      <w:pPr>
        <w:spacing w:line="360" w:lineRule="auto"/>
        <w:ind w:right="-247" w:rightChars="-118"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实验室通风柜智能通风系统[台式通风柜监控器、通风柜面风速传感器、通风柜位移传感器、变风量排风文丘里阀（含执行器）]。</w:t>
      </w:r>
    </w:p>
    <w:p>
      <w:pPr>
        <w:spacing w:line="360" w:lineRule="auto"/>
        <w:ind w:right="-247" w:rightChars="-118" w:firstLine="523" w:firstLineChars="218"/>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3、采用实验室专用通风柜智能通风系统</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eastAsia="宋体" w:cs="宋体"/>
          <w:bCs/>
          <w:color w:val="auto"/>
          <w:sz w:val="24"/>
          <w:szCs w:val="24"/>
          <w:highlight w:val="none"/>
          <w:lang w:val="en-GB"/>
        </w:rPr>
        <w:t>本次通风柜采用变风量控制系统，系统的组成由调节门拉绳传感器，变风量风阀及通风柜的监控面板组成，其各个组成部分的功能基本包含以下必须要素：</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1、变风量控制技术要求</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1.1快速反映：指当由于外界因素影响导致风量变化，VAV风阀的执行机构必须在3秒内响应并迅速的调整，并将风量重新控制在设计值范围内。</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1.2精确控制：指当执行机构依据控制器发出的指令动作时，通过VAV的风量与设计的风量之间的偏差不应超过5%。</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1.3压力无关：指当由于风管内因其他风阀的风量发生变化而导致风管的静压发生变化时,不影响到当前这只VAV风阀的通风风量.</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1.4一一对应：通风柜的调节门高度需要具备与通风柜的排风风量进行一一对应的关系，即通风柜的调节门在任意的一个位置仅有唯一的排风数值与其对应，并且对应的关系并不随着风风管内的静压变化而变化。</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1.5采用位移传感器风量测量调节系统，调节窗动作时，由位移传感器迅速调节变风量阀至设定位置，维持通风柜恒定面风速。当移门不上下移动时，由位移传感器控制通风柜的排风量。</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2、每台通风柜配置一套先进的VAV控制系统</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2.1该控制系统保证通风柜调节门在任意位置下通风柜面风速迅速稳定到设定值，一般为0.5m/s。</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2.2该系统包括一个调节窗位移传感器，一个带流量测量的PPS或其他满足实验室防腐要求材质的变风量蝶阀、一个带压差变送器的监控面板。</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2.3系统应具有以下功能特性</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2.3.1自动调节以恒定不同状态下的安全面风速设定要求</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2.3.2实时显示排风量</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2.3.3实时测量通风柜排风量，实现闭环控制。可输出实际排风流量，支持房间流量准确控制</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2.3.4支持显示当前变风量阀门状态以提醒用户通风柜使用状态</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2.3.5不安全的条件下，声音及显示报警</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2.3.6通风柜需按国际标准保证安全最低排风量</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2.3.7支持就地操作</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2.4其他应具备的要求</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2.4.1★变风量控制系统包括传感器、控制模块、阀门调节机构等均应采用同一厂家同一品牌产品，以保持控制完整性以及维护可靠性。</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2.4.2不允许原生产厂家之外的供应商更换及组合系统内产品。</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2.4.3通风柜位移传感器和变风量阀应可适用于大多数施工条件以及建筑标准，以及适应不同标准、规格的通风柜结构。</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2.4.4传感器应易于安装，且不会因为长期使用发生精度漂移，避免定期校核，从而降低维护的复杂性。</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3、通风柜的变风量控制系统：本次部分通风柜采用变风量控制系统，系统的组成由调节门拉绳传感器，变风量风阀及通风柜的监控面板组成，其各个组成部分的功能基本包含以下必须要素：</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3.1通风柜监控面板：</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3.1.1具有液晶显示面板，可实时显示当前通风柜面风速或排风风量。</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3.1.2所有参数均可就地设置，液晶显示屏应有调整相应指示，且进入界面应设置密码保护避免误操作。</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3.1.3具有一键“消音”按钮。</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3.1.4可通过监控面板控制通风柜照明开关。</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3.1.5具有电源开关按钮。</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3.1.6具有4个可编程的功能按键，可自定义功能。默认功能为日夜切换模式及上下按键。</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3.1.7日夜切换模式可设置待机及夜间模式运行，可手动将通风柜切换至待机运行降低能耗。</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3.1.8上下按键可配合系统升级，升级为自动门高系统控制按键，可通过监控面板控制通风柜调节窗的升降及停止。</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3.1.9可设置通风柜“最小排风风量”一键按钮。</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3.1.10可设置紧急排风按键，紧急情况下，通过此按键实现最大排风操作。</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3.1.11通过液晶显示安全/危险运行状态，可设定面风速低于安全值时报警。</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3.1.12面板集成控制器功能，配置即拔即插型压差变送器。</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3.1.13面板集成控制器功能，可配置串行通信协议通讯模块。</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3.2调节门拉绳传感器</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3.2.1高精度电阻制造而成，测量精度±0.2%</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3.2.2测量范围0-1M</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3.2.3响应时间＜1ms3.2.4模拟输出0-5VDC信号</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3、3变风量排风阀3.3.1阀体应采用PPS或其他满足实验室防腐要求材质，变风量蝶阀阀体采用高温挤压一次成型满足实验室防火要求。</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3.3.2执行器驱动方式：带反馈电位计直接驱动，高速速电动执行器90度全行程≤3秒，数字驱动，无磁滞。</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3.3.3带风量测量管，免清洗，免维护，风量控制精度小于设定风量的±5％。</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3.3.4采用皮托管测量监控原理，带压差变送器，风量与调节门一一对应关系。</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eastAsia="宋体" w:cs="宋体"/>
          <w:bCs/>
          <w:color w:val="auto"/>
          <w:sz w:val="24"/>
          <w:szCs w:val="24"/>
          <w:highlight w:val="none"/>
          <w:lang w:val="en-GB"/>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GB"/>
        </w:rPr>
        <w:t>3.3.5压力无关特性：当风管内静压值发生变化时，在3秒内，能自动调节至所需求的风量值，其误差范围应在±5%之内），而不受风管内静压变化而有所变化（适用于变化范围在</w:t>
      </w: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lang w:val="en-GB"/>
        </w:rPr>
        <w:t>-</w:t>
      </w: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lang w:val="en-GB"/>
        </w:rPr>
        <w:t>00Pa之内）。</w:t>
      </w:r>
    </w:p>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eastAsia="宋体" w:cs="宋体"/>
          <w:bCs/>
          <w:color w:val="auto"/>
          <w:sz w:val="24"/>
          <w:szCs w:val="24"/>
          <w:highlight w:val="none"/>
          <w:lang w:val="en-GB"/>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GB"/>
        </w:rPr>
        <w:t>.对所提供的流量测量阀，应符合GB8624-2012 B1级防火标准。</w:t>
      </w:r>
    </w:p>
    <w:p>
      <w:pPr>
        <w:spacing w:line="360" w:lineRule="auto"/>
        <w:ind w:right="-247" w:rightChars="-118" w:firstLine="523" w:firstLineChars="218"/>
        <w:rPr>
          <w:rFonts w:hint="eastAsia" w:ascii="宋体" w:hAnsi="宋体" w:eastAsia="宋体" w:cs="宋体"/>
          <w:b/>
          <w:bCs w:val="0"/>
          <w:color w:val="auto"/>
          <w:sz w:val="24"/>
          <w:szCs w:val="24"/>
          <w:highlight w:val="none"/>
          <w:lang w:val="en-GB"/>
        </w:rPr>
      </w:pPr>
      <w:bookmarkStart w:id="45" w:name="_Hlk9263779"/>
      <w:r>
        <w:rPr>
          <w:rFonts w:hint="eastAsia" w:ascii="宋体" w:hAnsi="宋体" w:eastAsia="宋体" w:cs="宋体"/>
          <w:bCs/>
          <w:color w:val="auto"/>
          <w:sz w:val="24"/>
          <w:szCs w:val="24"/>
          <w:highlight w:val="none"/>
          <w:lang w:val="en-GB"/>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GB"/>
        </w:rPr>
        <w:t>.通风柜变风量控制系统中变风量阀所带的流量测量管，</w:t>
      </w:r>
      <w:r>
        <w:rPr>
          <w:rFonts w:hint="eastAsia" w:ascii="宋体" w:hAnsi="宋体" w:eastAsia="宋体" w:cs="宋体"/>
          <w:b/>
          <w:bCs w:val="0"/>
          <w:color w:val="auto"/>
          <w:sz w:val="24"/>
          <w:szCs w:val="24"/>
          <w:highlight w:val="none"/>
          <w:lang w:val="en-GB"/>
        </w:rPr>
        <w:t>须提供该投标品牌流量测量管的</w:t>
      </w:r>
      <w:r>
        <w:rPr>
          <w:rFonts w:hint="eastAsia" w:ascii="宋体" w:hAnsi="宋体" w:eastAsia="宋体" w:cs="宋体"/>
          <w:b/>
          <w:bCs w:val="0"/>
          <w:color w:val="auto"/>
          <w:sz w:val="24"/>
          <w:szCs w:val="24"/>
          <w:highlight w:val="none"/>
        </w:rPr>
        <w:t>彩页资料或官网技术资料</w:t>
      </w:r>
      <w:r>
        <w:rPr>
          <w:rFonts w:hint="eastAsia" w:ascii="宋体" w:hAnsi="宋体" w:eastAsia="宋体" w:cs="宋体"/>
          <w:b/>
          <w:bCs w:val="0"/>
          <w:color w:val="auto"/>
          <w:sz w:val="24"/>
          <w:szCs w:val="24"/>
          <w:highlight w:val="none"/>
          <w:lang w:val="en-GB"/>
        </w:rPr>
        <w:t>加盖公章。</w:t>
      </w:r>
    </w:p>
    <w:bookmarkEnd w:id="45"/>
    <w:p>
      <w:pPr>
        <w:spacing w:line="360" w:lineRule="auto"/>
        <w:ind w:right="-247" w:rightChars="-118" w:firstLine="523" w:firstLineChars="218"/>
        <w:rPr>
          <w:rFonts w:hint="eastAsia" w:ascii="宋体" w:hAnsi="宋体" w:eastAsia="宋体" w:cs="宋体"/>
          <w:bCs/>
          <w:color w:val="auto"/>
          <w:sz w:val="24"/>
          <w:szCs w:val="24"/>
          <w:highlight w:val="none"/>
          <w:lang w:val="en-GB"/>
        </w:rPr>
      </w:pPr>
      <w:r>
        <w:rPr>
          <w:rFonts w:hint="eastAsia" w:ascii="宋体" w:hAnsi="宋体" w:eastAsia="宋体" w:cs="宋体"/>
          <w:bCs/>
          <w:color w:val="auto"/>
          <w:sz w:val="24"/>
          <w:szCs w:val="24"/>
          <w:highlight w:val="none"/>
          <w:lang w:val="en-GB"/>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en-GB"/>
        </w:rPr>
        <w:t>.电磁兼容性满足GB/T 18268.1-2010、GB/T2433.1-2008,GB/T2423.2-2008标准。</w:t>
      </w:r>
    </w:p>
    <w:p>
      <w:pPr>
        <w:spacing w:line="360" w:lineRule="auto"/>
        <w:ind w:right="-247" w:rightChars="-118" w:firstLine="523" w:firstLineChars="218"/>
        <w:rPr>
          <w:rFonts w:hint="eastAsia" w:ascii="宋体" w:hAnsi="宋体" w:eastAsia="宋体" w:cs="宋体"/>
          <w:b/>
          <w:bCs w:val="0"/>
          <w:color w:val="auto"/>
          <w:sz w:val="24"/>
          <w:szCs w:val="24"/>
          <w:highlight w:val="none"/>
          <w:lang w:val="en-GB"/>
        </w:rPr>
      </w:pPr>
      <w:r>
        <w:rPr>
          <w:rFonts w:hint="eastAsia" w:ascii="宋体" w:hAnsi="宋体" w:eastAsia="宋体" w:cs="宋体"/>
          <w:b/>
          <w:bCs w:val="0"/>
          <w:color w:val="auto"/>
          <w:sz w:val="24"/>
          <w:szCs w:val="24"/>
          <w:highlight w:val="none"/>
          <w:lang w:val="en-GB"/>
        </w:rPr>
        <w:t>提供第三方检测机构出具的电磁兼容性检测报告并加盖公章。</w:t>
      </w:r>
    </w:p>
    <w:p>
      <w:pPr>
        <w:autoSpaceDE w:val="0"/>
        <w:autoSpaceDN w:val="0"/>
        <w:adjustRightInd w:val="0"/>
        <w:spacing w:line="540" w:lineRule="exact"/>
        <w:ind w:left="540" w:right="-247" w:rightChars="-118" w:hanging="540"/>
        <w:rPr>
          <w:rFonts w:ascii="宋体" w:hAnsi="宋体" w:eastAsia="宋体" w:cs="宋体"/>
          <w:b/>
          <w:color w:val="auto"/>
          <w:sz w:val="24"/>
        </w:rPr>
      </w:pPr>
      <w:r>
        <w:rPr>
          <w:rFonts w:hint="eastAsia" w:ascii="宋体" w:hAnsi="宋体" w:eastAsia="宋体" w:cs="宋体"/>
          <w:b/>
          <w:color w:val="auto"/>
          <w:sz w:val="24"/>
          <w:lang w:val="en-US" w:eastAsia="zh-CN"/>
        </w:rPr>
        <w:t>4</w:t>
      </w:r>
      <w:r>
        <w:rPr>
          <w:rFonts w:hint="eastAsia" w:ascii="宋体" w:hAnsi="宋体" w:eastAsia="宋体" w:cs="宋体"/>
          <w:b/>
          <w:color w:val="auto"/>
          <w:sz w:val="24"/>
        </w:rPr>
        <w:t>、技术用房DNA实验室建设工程技术要求</w:t>
      </w:r>
    </w:p>
    <w:p>
      <w:pPr>
        <w:spacing w:line="540" w:lineRule="exact"/>
        <w:ind w:right="-247" w:rightChars="-118" w:firstLine="523" w:firstLineChars="218"/>
        <w:rPr>
          <w:rFonts w:ascii="宋体" w:hAnsi="宋体" w:eastAsia="宋体" w:cs="宋体"/>
          <w:color w:val="auto"/>
          <w:sz w:val="24"/>
        </w:rPr>
      </w:pPr>
      <w:r>
        <w:rPr>
          <w:rFonts w:hint="eastAsia" w:ascii="宋体" w:hAnsi="宋体" w:eastAsia="宋体" w:cs="宋体"/>
          <w:color w:val="auto"/>
          <w:sz w:val="24"/>
        </w:rPr>
        <w:t>洁净室建筑装饰包括室内装饰工程，门窗安装，缝隙密封，以及各种管线、照明灯具、净化及恒温恒湿空调设备、工艺设备等与建筑的结合部位缝隙的密封作业，洁净空调系统选用国际知名品牌。</w:t>
      </w:r>
    </w:p>
    <w:p>
      <w:pPr>
        <w:spacing w:line="540" w:lineRule="exact"/>
        <w:ind w:right="-247" w:rightChars="-118" w:firstLine="480" w:firstLineChars="200"/>
        <w:rPr>
          <w:rFonts w:ascii="宋体" w:hAnsi="宋体" w:eastAsia="宋体" w:cs="宋体"/>
          <w:color w:val="auto"/>
          <w:sz w:val="24"/>
          <w:highlight w:val="none"/>
        </w:rPr>
      </w:pPr>
      <w:r>
        <w:rPr>
          <w:rFonts w:hint="eastAsia" w:ascii="宋体" w:hAnsi="宋体" w:eastAsia="宋体" w:cs="宋体"/>
          <w:b/>
          <w:bCs/>
          <w:color w:val="auto"/>
          <w:sz w:val="24"/>
        </w:rPr>
        <w:t xml:space="preserve"> </w:t>
      </w: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1 DNA实验室技术要求</w:t>
      </w:r>
      <w:r>
        <w:rPr>
          <w:rFonts w:hint="eastAsia" w:ascii="宋体" w:hAnsi="宋体" w:eastAsia="宋体" w:cs="宋体"/>
          <w:b/>
          <w:bCs/>
          <w:color w:val="auto"/>
          <w:sz w:val="24"/>
        </w:rPr>
        <w:br w:type="textWrapping"/>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lang w:val="en-US" w:eastAsia="zh-CN"/>
        </w:rPr>
        <w:t>4.1.1</w:t>
      </w:r>
      <w:r>
        <w:rPr>
          <w:rFonts w:hint="eastAsia" w:ascii="宋体" w:hAnsi="宋体" w:eastAsia="宋体" w:cs="宋体"/>
          <w:color w:val="auto"/>
          <w:sz w:val="24"/>
          <w:highlight w:val="none"/>
        </w:rPr>
        <w:t>洁净度：实验区和各个缓冲间为十万级。</w:t>
      </w:r>
    </w:p>
    <w:p>
      <w:pPr>
        <w:spacing w:line="360" w:lineRule="auto"/>
        <w:ind w:right="-247" w:rightChars="-118" w:firstLine="480"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4.1.2</w:t>
      </w:r>
      <w:r>
        <w:rPr>
          <w:rFonts w:hint="eastAsia" w:ascii="宋体" w:hAnsi="宋体" w:eastAsia="宋体" w:cs="宋体"/>
          <w:color w:val="auto"/>
          <w:sz w:val="24"/>
          <w:highlight w:val="none"/>
        </w:rPr>
        <w:t>洁净室及洁净区空气中悬浮粒子洁净度等级</w:t>
      </w:r>
    </w:p>
    <w:p>
      <w:pPr>
        <w:spacing w:line="360" w:lineRule="auto"/>
        <w:ind w:right="-247" w:rightChars="-118" w:firstLine="523" w:firstLineChars="218"/>
        <w:rPr>
          <w:rFonts w:hint="eastAsia" w:ascii="宋体" w:hAnsi="宋体" w:eastAsia="宋体" w:cs="宋体"/>
          <w:color w:val="auto"/>
          <w:sz w:val="24"/>
        </w:rPr>
      </w:pPr>
      <w:r>
        <w:rPr>
          <w:rFonts w:hint="eastAsia" w:ascii="宋体" w:hAnsi="宋体" w:eastAsia="宋体" w:cs="宋体"/>
          <w:b/>
          <w:bCs/>
          <w:color w:val="auto"/>
          <w:sz w:val="24"/>
          <w:highlight w:val="none"/>
          <w:lang w:val="en-US" w:eastAsia="zh-CN"/>
        </w:rPr>
        <w:t>4.1.3</w:t>
      </w:r>
      <w:r>
        <w:rPr>
          <w:rFonts w:hint="eastAsia" w:ascii="宋体" w:hAnsi="宋体" w:eastAsia="宋体" w:cs="宋体"/>
          <w:color w:val="auto"/>
          <w:sz w:val="24"/>
        </w:rPr>
        <w:t>空气洁净度等级</w:t>
      </w:r>
    </w:p>
    <w:p>
      <w:pPr>
        <w:spacing w:line="360" w:lineRule="auto"/>
        <w:ind w:right="-247" w:rightChars="-118" w:firstLine="523" w:firstLineChars="218"/>
        <w:rPr>
          <w:rFonts w:ascii="宋体" w:hAnsi="宋体" w:eastAsia="宋体" w:cs="宋体"/>
          <w:color w:val="auto"/>
          <w:sz w:val="24"/>
          <w:shd w:val="clear" w:color="auto" w:fill="FFFFFF"/>
        </w:rPr>
      </w:pPr>
      <w:r>
        <w:rPr>
          <w:rFonts w:hint="eastAsia" w:ascii="宋体" w:hAnsi="宋体" w:eastAsia="宋体" w:cs="宋体"/>
          <w:color w:val="auto"/>
          <w:sz w:val="24"/>
        </w:rPr>
        <w:t xml:space="preserve">（N）0.5 m微粒(粒／m ) 5 m微粒(粒／m ) 浮游菌 （个／m ） 沉降菌 （ 90皿 t;0.5h）(个／皿) 备注 </w:t>
      </w:r>
      <w:r>
        <w:rPr>
          <w:rFonts w:hint="eastAsia" w:ascii="宋体" w:hAnsi="宋体" w:eastAsia="宋体" w:cs="宋体"/>
          <w:color w:val="auto"/>
          <w:sz w:val="24"/>
        </w:rPr>
        <w:br w:type="textWrapping"/>
      </w:r>
      <w:r>
        <w:rPr>
          <w:rFonts w:hint="eastAsia" w:ascii="宋体" w:hAnsi="宋体" w:eastAsia="宋体" w:cs="宋体"/>
          <w:color w:val="auto"/>
          <w:sz w:val="24"/>
          <w:shd w:val="clear" w:color="auto" w:fill="FFFFFF"/>
        </w:rPr>
        <w:t xml:space="preserve">    静态   动态      静态     动态    静态    动态    静态    动态 </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xml:space="preserve">    8 3500000 ／ 20000 ／ 500 ／ 10 ／ 十万级 </w:t>
      </w:r>
    </w:p>
    <w:p>
      <w:pPr>
        <w:spacing w:line="360" w:lineRule="auto"/>
        <w:ind w:right="-247" w:rightChars="-118" w:firstLine="523" w:firstLineChars="218"/>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2实验室环境装饰工艺要求：</w:t>
      </w:r>
    </w:p>
    <w:p>
      <w:pPr>
        <w:spacing w:line="360" w:lineRule="auto"/>
        <w:ind w:right="-247" w:rightChars="-118" w:firstLine="523" w:firstLineChars="218"/>
        <w:rPr>
          <w:rFonts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2</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地板胶地面</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2.1.1实验室地面除特别说明外，地板厚度不低于2.6 mm，地板颜色由施工人在设计优化时由甲方确定。地板耐磨等级为T≦0.08mm，具有耐磨、耐酸碱、永久性抑制细菌、永久防静电性能、耐火阻燃。</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2.1.2、技术要求：非代工生产品牌，厚度2.6mm，多层复合结构，密实底，含无方向玻纤层，水性油墨印刷技术，耐磨层厚度为0.55mm及以上 ，耐污能力 EN423 抗 11 项化</w:t>
      </w:r>
      <w:r>
        <w:rPr>
          <w:rFonts w:hint="eastAsia" w:ascii="宋体" w:hAnsi="宋体" w:eastAsia="宋体" w:cs="宋体"/>
          <w:color w:val="auto"/>
          <w:sz w:val="24"/>
          <w:lang w:val="en-US" w:eastAsia="zh-CN"/>
        </w:rPr>
        <w:t xml:space="preserve">学试剂，不含回收料，不含邻苯类增塑剂 39 项，采用环保无害 DOTP 非邻苯类增塑剂；    4.2.1.3橡胶地板与墙面连接拐角处设置内部支撑，圆角半径为50mm </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2.1.4橡胶地板要求地面平整度高，应在水泥砂浆找平的基础上，再用自流平水泥平整地面，厚度不宜低于3mm，待地面表层彻底干透后，才可粘贴地板胶。</w:t>
      </w:r>
    </w:p>
    <w:p>
      <w:pPr>
        <w:spacing w:line="360" w:lineRule="auto"/>
        <w:ind w:right="-247" w:rightChars="-118" w:firstLine="523" w:firstLineChars="218"/>
        <w:rPr>
          <w:rFonts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2.2 彩钢板间隔墙</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2.2.1彩钢板间隔采用硫酸镁手工玻镁彩钢板:50mm彩钢板</w:t>
      </w:r>
      <w:r>
        <w:rPr>
          <w:rFonts w:hint="eastAsia" w:ascii="宋体" w:hAnsi="宋体" w:eastAsia="宋体" w:cs="宋体"/>
          <w:b/>
          <w:bCs/>
          <w:color w:val="auto"/>
          <w:sz w:val="24"/>
          <w:highlight w:val="none"/>
        </w:rPr>
        <w:t>（硫酸镁手工玻镁复合板，表面钢板0.476mm，面层喷涂处理，防尘防锈抗菌处理</w:t>
      </w:r>
      <w:r>
        <w:rPr>
          <w:rFonts w:hint="eastAsia"/>
          <w:color w:val="auto"/>
          <w:highlight w:val="none"/>
        </w:rPr>
        <w:t>）</w:t>
      </w:r>
      <w:r>
        <w:rPr>
          <w:rFonts w:hint="eastAsia" w:ascii="宋体" w:hAnsi="宋体" w:eastAsia="宋体" w:cs="宋体"/>
          <w:color w:val="auto"/>
          <w:sz w:val="24"/>
          <w:highlight w:val="none"/>
        </w:rPr>
        <w:t>；内衬隔音板、做隔音保温处理。隔音声量＞42dB。手工制造彩钢板</w:t>
      </w:r>
      <w:r>
        <w:rPr>
          <w:rFonts w:hint="eastAsia" w:ascii="宋体" w:hAnsi="宋体" w:eastAsia="宋体" w:cs="宋体"/>
          <w:color w:val="auto"/>
          <w:sz w:val="24"/>
        </w:rPr>
        <w:t>。四边雌口白灰色，壁板要求平整，双面覆膜，防火性能A级。 50槽形带弧铝合金型材固定、密封胶封口，含铝合金收边及附件。镀锌彩钢板基材单层厚度不低于0.5mm，彩钢板间衬玻镁。彩钢板厚度为50mm。四边雌口白灰色，壁板要求平整，双面覆膜，铝合金采用优质专用配套型材。面层作喷涂处理,防尘防锈抗菌材料，光滑无起渣现象，带薄膜保护；</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2.2.2壁板四周采用镀锌板钢骨架，壁板之间连接采用铝型材插接方式，板与板之间的缝隙小于3mm, 所有缝隙用密封胶密封。</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2.2.3壁板底部连接方式为铝方通与铝制U型插接件配合连接，便于调整不平整地面的高度调节，铝制U型插接件高度为100mm，厚度44mm。橡皮地面顺着地圆弧卷起成踢脚，与彩钢板底部平滑连接无凸起。</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2.2.4根据平面布局，彩钢板间隔全部为定制尺寸，要求做墙体排版设计。</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2.2.5彩钢板安装壁板应垂直，立缝要靠紧、均匀，转角板转角处的连接应整齐一致。水平、垂直方向均应成直线，无明显错位。连接处不得出现明显凹陷，室内包角边连接后不得出现波浪形翘曲，组立壁板的同时配合好电气暗敷管线及箱盒安装。</w:t>
      </w:r>
    </w:p>
    <w:p>
      <w:pPr>
        <w:spacing w:line="360" w:lineRule="auto"/>
        <w:ind w:right="-247" w:rightChars="-118" w:firstLine="523" w:firstLineChars="218"/>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2.2.6彩钢板包柱、包箱，装阴阳1/4圆角，实验室净化工程要求所有阳角、阴角采用圆角过渡所。在净化区内的柱子用б=50彩钢板另包起来有利于节约材料和统一阴阳R角。安装时，所有圆弧线的顶头必须加工圆弧堵头封死，阴阳R角均为60圆弧铝材。在净化区内，凡是有可能影响洁净度，如彩钢板之间的拼接缝、R角与壁板、顶板的所有缝隙、空调风管、风口、高效过滤器与壁顶板间的缝隙、电气穿过壁板顶板的保护管槽与洞口边缘间的缝隙、所有开关插座灯具与彩钢板顶板面间的缝隙、所有给排水工艺、保护管与洞口及玻璃与框间的缝隙，均要密封处理。密封硅胶应在彩钢板安装基本就绪，卫生条件较好，经过彻底清扫除尘后，统一进行。</w:t>
      </w:r>
    </w:p>
    <w:p>
      <w:pPr>
        <w:spacing w:line="360" w:lineRule="auto"/>
        <w:ind w:right="-247" w:rightChars="-118" w:firstLine="523" w:firstLineChars="21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★4.2.2.7硫酸镁芯材：100%使用硫酸镁芯材，防止玻镁板返卤、生锈、腐蚀钢板与铝型材。氯离子含量少于0.01%。提供第三方检测报告并加盖公章；</w:t>
      </w:r>
    </w:p>
    <w:p>
      <w:pPr>
        <w:spacing w:line="360" w:lineRule="auto"/>
        <w:ind w:right="-247" w:rightChars="-118" w:firstLine="523" w:firstLineChars="218"/>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2.3 彩钢板天花</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2.3.1采用知名品牌铝架驳接式机械</w:t>
      </w:r>
      <w:r>
        <w:rPr>
          <w:rFonts w:hint="eastAsia" w:ascii="宋体" w:hAnsi="宋体" w:eastAsia="宋体" w:cs="宋体"/>
          <w:b/>
          <w:bCs/>
          <w:color w:val="auto"/>
          <w:sz w:val="24"/>
        </w:rPr>
        <w:t>硫酸镁</w:t>
      </w:r>
      <w:r>
        <w:rPr>
          <w:rFonts w:hint="eastAsia" w:ascii="宋体" w:hAnsi="宋体" w:eastAsia="宋体" w:cs="宋体"/>
          <w:color w:val="auto"/>
          <w:sz w:val="24"/>
        </w:rPr>
        <w:t>手工玻镁彩钢板，夹芯材料是玻镁板，彩钢板厚度为50mm，表面彩钢采用品牌彩钢板，厚度不低于0.5mm。</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2.3.2顶板之间的连接方式全部采用顶板四周凹槽（四雌）与金属暗吊梁插接的方式，吊杆为镀锌通丝，材质为热轧钢材。板与板之间的缝隙小于4mm, 所有缝隙用优质品牌密封胶密封。所有的开孔均预埋加强筋，预先开孔。</w:t>
      </w:r>
    </w:p>
    <w:p>
      <w:pPr>
        <w:spacing w:line="360" w:lineRule="auto"/>
        <w:ind w:right="-247" w:rightChars="-118" w:firstLine="523" w:firstLineChars="218"/>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2.3.3根据吊顶平面布局单独排版设计，定制。</w:t>
      </w:r>
    </w:p>
    <w:p>
      <w:pPr>
        <w:spacing w:line="360" w:lineRule="auto"/>
        <w:ind w:right="-247" w:rightChars="-118" w:firstLine="523" w:firstLineChars="218"/>
        <w:rPr>
          <w:rFonts w:ascii="宋体" w:hAnsi="宋体" w:eastAsia="宋体" w:cs="宋体"/>
          <w:b/>
          <w:bCs/>
          <w:color w:val="auto"/>
          <w:sz w:val="24"/>
        </w:rPr>
      </w:pPr>
      <w:r>
        <w:rPr>
          <w:rFonts w:hint="eastAsia" w:ascii="宋体" w:hAnsi="宋体" w:eastAsia="宋体" w:cs="宋体"/>
          <w:b/>
          <w:bCs/>
          <w:color w:val="auto"/>
          <w:sz w:val="24"/>
          <w:lang w:val="en-US" w:eastAsia="zh-CN"/>
        </w:rPr>
        <w:t>4.2</w:t>
      </w:r>
      <w:r>
        <w:rPr>
          <w:rFonts w:hint="eastAsia" w:ascii="宋体" w:hAnsi="宋体" w:eastAsia="宋体" w:cs="宋体"/>
          <w:b/>
          <w:bCs/>
          <w:color w:val="auto"/>
          <w:sz w:val="24"/>
        </w:rPr>
        <w:t>.4洁净门（手动自闭式气密双开门或自动自闭式气密双开门）</w:t>
      </w:r>
    </w:p>
    <w:p>
      <w:pPr>
        <w:autoSpaceDE w:val="0"/>
        <w:autoSpaceDN w:val="0"/>
        <w:adjustRightInd w:val="0"/>
        <w:spacing w:line="360" w:lineRule="auto"/>
        <w:ind w:left="210" w:leftChars="100" w:right="-247" w:rightChars="-118" w:firstLine="240" w:firstLineChars="100"/>
        <w:jc w:val="left"/>
        <w:rPr>
          <w:rFonts w:ascii="宋体" w:hAnsi="宋体" w:eastAsia="宋体" w:cs="宋体"/>
          <w:color w:val="auto"/>
          <w:sz w:val="24"/>
        </w:rPr>
      </w:pPr>
      <w:r>
        <w:rPr>
          <w:rFonts w:hint="eastAsia" w:ascii="宋体" w:hAnsi="宋体" w:eastAsia="宋体" w:cs="宋体"/>
          <w:color w:val="auto"/>
          <w:sz w:val="24"/>
        </w:rPr>
        <w:t>结构要求: 结构和设计达到双面完全平滑连接；框材质、外围尺寸:1500（900）*2100mm， 50mm铝合金门套；</w:t>
      </w:r>
    </w:p>
    <w:p>
      <w:pPr>
        <w:tabs>
          <w:tab w:val="left" w:pos="360"/>
        </w:tabs>
        <w:autoSpaceDE w:val="0"/>
        <w:autoSpaceDN w:val="0"/>
        <w:adjustRightInd w:val="0"/>
        <w:spacing w:line="360" w:lineRule="auto"/>
        <w:ind w:right="-247" w:rightChars="-118" w:firstLine="480" w:firstLineChars="200"/>
        <w:jc w:val="left"/>
        <w:rPr>
          <w:rFonts w:ascii="宋体" w:hAnsi="宋体" w:eastAsia="宋体" w:cs="宋体"/>
          <w:color w:val="auto"/>
          <w:sz w:val="24"/>
        </w:rPr>
      </w:pPr>
      <w:r>
        <w:rPr>
          <w:rFonts w:hint="eastAsia" w:ascii="宋体" w:hAnsi="宋体" w:eastAsia="宋体" w:cs="宋体"/>
          <w:color w:val="auto"/>
          <w:sz w:val="24"/>
        </w:rPr>
        <w:t>框材质、外围尺寸: 50mm厚手工玻镁板，5mm钢化真空双层玻璃视窗；门底自动升降密封条门底部安装扫地橡胶条，门框及门扇处边沿有橡胶密封条 保证门体系统的气密性。</w:t>
      </w:r>
    </w:p>
    <w:p>
      <w:pPr>
        <w:autoSpaceDE w:val="0"/>
        <w:autoSpaceDN w:val="0"/>
        <w:adjustRightInd w:val="0"/>
        <w:spacing w:line="360" w:lineRule="auto"/>
        <w:ind w:left="210" w:leftChars="100" w:right="-247" w:rightChars="-118" w:firstLine="240" w:firstLineChars="100"/>
        <w:jc w:val="left"/>
        <w:rPr>
          <w:rFonts w:ascii="宋体" w:hAnsi="宋体" w:eastAsia="宋体" w:cs="宋体"/>
          <w:color w:val="auto"/>
          <w:sz w:val="24"/>
        </w:rPr>
      </w:pPr>
      <w:r>
        <w:rPr>
          <w:rFonts w:hint="eastAsia" w:ascii="宋体" w:hAnsi="宋体" w:eastAsia="宋体" w:cs="宋体"/>
          <w:color w:val="auto"/>
          <w:sz w:val="24"/>
        </w:rPr>
        <w:t>五金配件: 不锈钢门页、门把手、闭门器。</w:t>
      </w:r>
    </w:p>
    <w:p>
      <w:pPr>
        <w:tabs>
          <w:tab w:val="left" w:pos="360"/>
        </w:tabs>
        <w:autoSpaceDE w:val="0"/>
        <w:autoSpaceDN w:val="0"/>
        <w:adjustRightInd w:val="0"/>
        <w:spacing w:line="360" w:lineRule="auto"/>
        <w:ind w:right="-247" w:rightChars="-118" w:firstLine="480" w:firstLineChars="200"/>
        <w:jc w:val="left"/>
        <w:rPr>
          <w:rFonts w:ascii="宋体" w:hAnsi="宋体" w:eastAsia="宋体" w:cs="宋体"/>
          <w:b/>
          <w:bCs/>
          <w:color w:val="auto"/>
          <w:sz w:val="24"/>
          <w:shd w:val="clear" w:color="auto" w:fill="FFFFFF"/>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shd w:val="clear" w:color="auto" w:fill="FFFFFF"/>
        </w:rPr>
        <w:t>2.</w:t>
      </w:r>
      <w:r>
        <w:rPr>
          <w:rFonts w:hint="eastAsia" w:ascii="宋体" w:hAnsi="宋体" w:eastAsia="宋体" w:cs="宋体"/>
          <w:b/>
          <w:bCs/>
          <w:color w:val="auto"/>
          <w:sz w:val="24"/>
          <w:shd w:val="clear" w:color="auto" w:fill="FFFFFF"/>
          <w:lang w:val="en-US" w:eastAsia="zh-CN"/>
        </w:rPr>
        <w:t>5</w:t>
      </w:r>
      <w:r>
        <w:rPr>
          <w:rFonts w:hint="eastAsia" w:ascii="宋体" w:hAnsi="宋体" w:eastAsia="宋体" w:cs="宋体"/>
          <w:b/>
          <w:bCs/>
          <w:color w:val="auto"/>
          <w:sz w:val="24"/>
          <w:shd w:val="clear" w:color="auto" w:fill="FFFFFF"/>
        </w:rPr>
        <w:t>风淋采用单人单吹外喷涂内不锈钢系统:</w:t>
      </w:r>
    </w:p>
    <w:p>
      <w:pPr>
        <w:tabs>
          <w:tab w:val="left" w:pos="360"/>
        </w:tabs>
        <w:autoSpaceDE w:val="0"/>
        <w:autoSpaceDN w:val="0"/>
        <w:adjustRightInd w:val="0"/>
        <w:spacing w:line="360" w:lineRule="auto"/>
        <w:ind w:right="-247" w:rightChars="-118" w:firstLine="480" w:firstLineChars="200"/>
        <w:jc w:val="left"/>
        <w:rPr>
          <w:rFonts w:ascii="宋体" w:hAnsi="宋体" w:eastAsia="宋体" w:cs="宋体"/>
          <w:color w:val="auto"/>
          <w:sz w:val="24"/>
        </w:rPr>
      </w:pPr>
      <w:r>
        <w:rPr>
          <w:rFonts w:hint="eastAsia" w:ascii="宋体" w:hAnsi="宋体" w:eastAsia="宋体" w:cs="宋体"/>
          <w:color w:val="auto"/>
          <w:sz w:val="24"/>
        </w:rPr>
        <w:t>单人单吹风淋室外型尺寸，1200*1000*2180，内部尺寸，790*866*1930。</w:t>
      </w:r>
    </w:p>
    <w:p>
      <w:pPr>
        <w:tabs>
          <w:tab w:val="left" w:pos="360"/>
        </w:tabs>
        <w:autoSpaceDE w:val="0"/>
        <w:autoSpaceDN w:val="0"/>
        <w:adjustRightInd w:val="0"/>
        <w:spacing w:line="360" w:lineRule="auto"/>
        <w:ind w:right="-247" w:rightChars="-118" w:firstLine="480" w:firstLineChars="200"/>
        <w:jc w:val="left"/>
        <w:rPr>
          <w:rFonts w:ascii="宋体" w:hAnsi="宋体" w:eastAsia="宋体" w:cs="宋体"/>
          <w:color w:val="auto"/>
          <w:sz w:val="24"/>
        </w:rPr>
      </w:pPr>
      <w:r>
        <w:rPr>
          <w:rFonts w:hint="eastAsia" w:ascii="宋体" w:hAnsi="宋体" w:eastAsia="宋体" w:cs="宋体"/>
          <w:color w:val="auto"/>
          <w:sz w:val="24"/>
        </w:rPr>
        <w:t xml:space="preserve">箱体采用优质的冷轧钢板制造，表面静电喷塑处理，美观大方，内底板全不锈钢板制做耐磨擦，易清洁。 </w:t>
      </w:r>
    </w:p>
    <w:p>
      <w:pPr>
        <w:tabs>
          <w:tab w:val="left" w:pos="360"/>
        </w:tabs>
        <w:autoSpaceDE w:val="0"/>
        <w:autoSpaceDN w:val="0"/>
        <w:adjustRightInd w:val="0"/>
        <w:spacing w:line="360" w:lineRule="auto"/>
        <w:ind w:right="-247" w:rightChars="-118" w:firstLine="480" w:firstLineChars="200"/>
        <w:jc w:val="left"/>
        <w:rPr>
          <w:rFonts w:ascii="宋体" w:hAnsi="宋体" w:eastAsia="宋体" w:cs="宋体"/>
          <w:color w:val="auto"/>
          <w:sz w:val="24"/>
        </w:rPr>
      </w:pPr>
      <w:r>
        <w:rPr>
          <w:rFonts w:hint="eastAsia" w:ascii="宋体" w:hAnsi="宋体" w:eastAsia="宋体" w:cs="宋体"/>
          <w:color w:val="auto"/>
          <w:sz w:val="24"/>
        </w:rPr>
        <w:t xml:space="preserve">风淋室风机 380V 50Hz 1.1KW， </w:t>
      </w:r>
    </w:p>
    <w:p>
      <w:pPr>
        <w:tabs>
          <w:tab w:val="left" w:pos="360"/>
        </w:tabs>
        <w:autoSpaceDE w:val="0"/>
        <w:autoSpaceDN w:val="0"/>
        <w:adjustRightInd w:val="0"/>
        <w:spacing w:line="360" w:lineRule="auto"/>
        <w:ind w:right="-247" w:rightChars="-118" w:firstLine="480" w:firstLineChars="200"/>
        <w:jc w:val="left"/>
        <w:rPr>
          <w:rFonts w:ascii="宋体" w:hAnsi="宋体" w:eastAsia="宋体" w:cs="宋体"/>
          <w:color w:val="auto"/>
          <w:sz w:val="24"/>
        </w:rPr>
      </w:pPr>
      <w:r>
        <w:rPr>
          <w:rFonts w:hint="eastAsia" w:ascii="宋体" w:hAnsi="宋体" w:eastAsia="宋体" w:cs="宋体"/>
          <w:color w:val="auto"/>
          <w:sz w:val="24"/>
        </w:rPr>
        <w:t xml:space="preserve">有隔板高效过滤器规格：915*610*150，过滤效率99.99%0.3um </w:t>
      </w:r>
    </w:p>
    <w:p>
      <w:pPr>
        <w:tabs>
          <w:tab w:val="left" w:pos="360"/>
        </w:tabs>
        <w:autoSpaceDE w:val="0"/>
        <w:autoSpaceDN w:val="0"/>
        <w:adjustRightInd w:val="0"/>
        <w:spacing w:line="360" w:lineRule="auto"/>
        <w:ind w:right="-247" w:rightChars="-118" w:firstLine="480" w:firstLineChars="200"/>
        <w:jc w:val="left"/>
        <w:rPr>
          <w:rFonts w:ascii="宋体" w:hAnsi="宋体" w:eastAsia="宋体" w:cs="宋体"/>
          <w:color w:val="auto"/>
          <w:sz w:val="24"/>
        </w:rPr>
      </w:pPr>
      <w:r>
        <w:rPr>
          <w:rFonts w:hint="eastAsia" w:ascii="宋体" w:hAnsi="宋体" w:eastAsia="宋体" w:cs="宋体"/>
          <w:color w:val="auto"/>
          <w:sz w:val="24"/>
        </w:rPr>
        <w:t>不锈钢单开门两扇，带玻璃视窗，5mm强质玻璃，门上安装优质闭门器，自动关闭。SUS不锈钢喷淋嘴，嵌入式安装，喷淋嘴方向可调节180度。出风口风速达到20-28m/s快速吹除人身上的灰尘。</w:t>
      </w:r>
    </w:p>
    <w:p>
      <w:pPr>
        <w:tabs>
          <w:tab w:val="left" w:pos="360"/>
        </w:tabs>
        <w:autoSpaceDE w:val="0"/>
        <w:autoSpaceDN w:val="0"/>
        <w:adjustRightInd w:val="0"/>
        <w:spacing w:line="360" w:lineRule="auto"/>
        <w:ind w:right="-247" w:rightChars="-118" w:firstLine="480" w:firstLineChars="200"/>
        <w:jc w:val="left"/>
        <w:rPr>
          <w:rFonts w:ascii="宋体" w:hAnsi="宋体" w:eastAsia="宋体" w:cs="宋体"/>
          <w:color w:val="auto"/>
          <w:sz w:val="24"/>
        </w:rPr>
      </w:pPr>
      <w:r>
        <w:rPr>
          <w:rFonts w:hint="eastAsia" w:ascii="宋体" w:hAnsi="宋体" w:eastAsia="宋体" w:cs="宋体"/>
          <w:color w:val="auto"/>
          <w:sz w:val="24"/>
        </w:rPr>
        <w:t xml:space="preserve">红外线感应器，初效过滤器采用无纺滤料，过滤效率G4，日光灯20WPhilip嵌入式安装。 </w:t>
      </w:r>
    </w:p>
    <w:p>
      <w:pPr>
        <w:tabs>
          <w:tab w:val="left" w:pos="360"/>
        </w:tabs>
        <w:autoSpaceDE w:val="0"/>
        <w:autoSpaceDN w:val="0"/>
        <w:adjustRightInd w:val="0"/>
        <w:spacing w:line="360" w:lineRule="auto"/>
        <w:ind w:right="-247" w:rightChars="-118" w:firstLine="480" w:firstLineChars="200"/>
        <w:jc w:val="left"/>
        <w:rPr>
          <w:rFonts w:ascii="宋体" w:hAnsi="宋体" w:eastAsia="宋体" w:cs="宋体"/>
          <w:color w:val="auto"/>
          <w:sz w:val="24"/>
        </w:rPr>
      </w:pPr>
      <w:r>
        <w:rPr>
          <w:rFonts w:hint="eastAsia" w:ascii="宋体" w:hAnsi="宋体" w:eastAsia="宋体" w:cs="宋体"/>
          <w:color w:val="auto"/>
          <w:sz w:val="24"/>
        </w:rPr>
        <w:t xml:space="preserve">电路控制：先进的集成电路板，PLC控制，LED显示吹淋时间，时间继电器0~99秒可调，红外线自动感应器。感应自动吹淋，触摸式微动开关。并安装有高科技的人性化智能语音提示系统。 </w:t>
      </w:r>
    </w:p>
    <w:p>
      <w:pPr>
        <w:autoSpaceDE w:val="0"/>
        <w:autoSpaceDN w:val="0"/>
        <w:adjustRightInd w:val="0"/>
        <w:spacing w:line="360" w:lineRule="auto"/>
        <w:ind w:left="210" w:leftChars="100" w:right="-247" w:rightChars="-118" w:firstLine="240" w:firstLineChars="100"/>
        <w:jc w:val="left"/>
        <w:rPr>
          <w:rFonts w:ascii="宋体" w:hAnsi="宋体" w:eastAsia="宋体" w:cs="宋体"/>
          <w:color w:val="auto"/>
          <w:sz w:val="24"/>
        </w:rPr>
      </w:pPr>
      <w:r>
        <w:rPr>
          <w:rFonts w:hint="eastAsia" w:ascii="宋体" w:hAnsi="宋体" w:eastAsia="宋体" w:cs="宋体"/>
          <w:color w:val="auto"/>
          <w:sz w:val="24"/>
        </w:rPr>
        <w:t>材料要求：</w:t>
      </w:r>
    </w:p>
    <w:p>
      <w:pPr>
        <w:numPr>
          <w:ilvl w:val="0"/>
          <w:numId w:val="37"/>
        </w:numPr>
        <w:tabs>
          <w:tab w:val="left" w:pos="337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门体和门框的厚度50mm ；</w:t>
      </w:r>
    </w:p>
    <w:p>
      <w:pPr>
        <w:numPr>
          <w:ilvl w:val="0"/>
          <w:numId w:val="37"/>
        </w:numPr>
        <w:tabs>
          <w:tab w:val="left" w:pos="241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门框材料环氧喷塑表面的铝合金型材50mm厚；</w:t>
      </w:r>
    </w:p>
    <w:p>
      <w:pPr>
        <w:numPr>
          <w:ilvl w:val="0"/>
          <w:numId w:val="37"/>
        </w:numPr>
        <w:tabs>
          <w:tab w:val="left" w:pos="400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门页材料0.5mm 彩钢板门体三边包铝合金框；</w:t>
      </w:r>
    </w:p>
    <w:p>
      <w:pPr>
        <w:numPr>
          <w:ilvl w:val="0"/>
          <w:numId w:val="37"/>
        </w:numPr>
        <w:tabs>
          <w:tab w:val="left" w:pos="241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门页的材质颜色</w:t>
      </w:r>
      <w:r>
        <w:rPr>
          <w:rFonts w:hint="eastAsia" w:ascii="宋体" w:hAnsi="宋体" w:eastAsia="宋体" w:cs="宋体"/>
          <w:color w:val="auto"/>
          <w:sz w:val="24"/>
        </w:rPr>
        <w:tab/>
      </w:r>
    </w:p>
    <w:p>
      <w:pPr>
        <w:tabs>
          <w:tab w:val="left" w:pos="2415"/>
          <w:tab w:val="left" w:pos="5760"/>
        </w:tabs>
        <w:autoSpaceDE w:val="0"/>
        <w:autoSpaceDN w:val="0"/>
        <w:adjustRightInd w:val="0"/>
        <w:spacing w:line="360" w:lineRule="auto"/>
        <w:ind w:left="420" w:right="-247" w:rightChars="-118"/>
        <w:jc w:val="left"/>
        <w:rPr>
          <w:rFonts w:ascii="宋体" w:hAnsi="宋体" w:eastAsia="宋体" w:cs="宋体"/>
          <w:color w:val="auto"/>
          <w:sz w:val="24"/>
        </w:rPr>
      </w:pPr>
      <w:r>
        <w:rPr>
          <w:rFonts w:hint="eastAsia" w:ascii="宋体" w:hAnsi="宋体" w:eastAsia="宋体" w:cs="宋体"/>
          <w:color w:val="auto"/>
          <w:sz w:val="24"/>
        </w:rPr>
        <w:t xml:space="preserve">  可选：宝蓝色密胺树脂板面层门板，抗冲击、耐摩擦。 </w:t>
      </w:r>
    </w:p>
    <w:p>
      <w:pPr>
        <w:numPr>
          <w:ilvl w:val="0"/>
          <w:numId w:val="37"/>
        </w:numPr>
        <w:tabs>
          <w:tab w:val="left" w:pos="540"/>
          <w:tab w:val="left" w:pos="289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门体夹芯材料玻镁、岩棉；</w:t>
      </w:r>
    </w:p>
    <w:p>
      <w:pPr>
        <w:numPr>
          <w:ilvl w:val="0"/>
          <w:numId w:val="37"/>
        </w:numPr>
        <w:tabs>
          <w:tab w:val="left" w:pos="540"/>
          <w:tab w:val="left" w:pos="241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尺寸单门的宽度不大于1200，高度低于2200；</w:t>
      </w:r>
    </w:p>
    <w:p>
      <w:pPr>
        <w:numPr>
          <w:ilvl w:val="0"/>
          <w:numId w:val="37"/>
        </w:numPr>
        <w:tabs>
          <w:tab w:val="left" w:pos="492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观察窗5mm 钢化玻璃四角圆角中空窗，与门板平滑连接（双层窗四角圆角半径100mm）；</w:t>
      </w:r>
    </w:p>
    <w:p>
      <w:pPr>
        <w:numPr>
          <w:ilvl w:val="0"/>
          <w:numId w:val="37"/>
        </w:numPr>
        <w:tabs>
          <w:tab w:val="left" w:pos="2790"/>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密封胶黑色硅胶密封窗和板之间的缝隙；</w:t>
      </w:r>
    </w:p>
    <w:p>
      <w:pPr>
        <w:numPr>
          <w:ilvl w:val="0"/>
          <w:numId w:val="37"/>
        </w:numPr>
        <w:tabs>
          <w:tab w:val="left" w:pos="3402"/>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铰链洁净室专用铝合金铰链，无螺丝外露 ；</w:t>
      </w:r>
    </w:p>
    <w:p>
      <w:pPr>
        <w:numPr>
          <w:ilvl w:val="0"/>
          <w:numId w:val="37"/>
        </w:numPr>
        <w:tabs>
          <w:tab w:val="left" w:pos="3285"/>
          <w:tab w:val="left" w:pos="5170"/>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门框密封条门框三边橡胶密封条；</w:t>
      </w:r>
    </w:p>
    <w:p>
      <w:pPr>
        <w:numPr>
          <w:ilvl w:val="0"/>
          <w:numId w:val="37"/>
        </w:numPr>
        <w:tabs>
          <w:tab w:val="left" w:pos="420"/>
          <w:tab w:val="left" w:pos="328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门底密封条可选门底部自动升降密封条，门底缝8mm ；</w:t>
      </w:r>
    </w:p>
    <w:p>
      <w:pPr>
        <w:numPr>
          <w:ilvl w:val="0"/>
          <w:numId w:val="37"/>
        </w:numPr>
        <w:tabs>
          <w:tab w:val="left" w:pos="420"/>
          <w:tab w:val="left" w:pos="316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门锁肘压锁，避免手部接触污染 ；</w:t>
      </w:r>
    </w:p>
    <w:p>
      <w:pPr>
        <w:numPr>
          <w:ilvl w:val="0"/>
          <w:numId w:val="37"/>
        </w:numPr>
        <w:tabs>
          <w:tab w:val="left" w:pos="420"/>
          <w:tab w:val="left" w:pos="316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 xml:space="preserve">互锁系统暗藏式电子互锁系统； </w:t>
      </w:r>
    </w:p>
    <w:p>
      <w:pPr>
        <w:numPr>
          <w:ilvl w:val="0"/>
          <w:numId w:val="37"/>
        </w:numPr>
        <w:tabs>
          <w:tab w:val="left" w:pos="420"/>
          <w:tab w:val="left" w:pos="295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 xml:space="preserve">闭门器可选，折臂型和滑尺型； </w:t>
      </w:r>
    </w:p>
    <w:p>
      <w:pPr>
        <w:tabs>
          <w:tab w:val="left" w:pos="2955"/>
          <w:tab w:val="left" w:pos="5760"/>
        </w:tabs>
        <w:autoSpaceDE w:val="0"/>
        <w:autoSpaceDN w:val="0"/>
        <w:adjustRightInd w:val="0"/>
        <w:spacing w:line="360" w:lineRule="auto"/>
        <w:ind w:left="210" w:leftChars="100" w:right="-247" w:rightChars="-118" w:firstLine="120" w:firstLineChars="50"/>
        <w:jc w:val="left"/>
        <w:rPr>
          <w:rFonts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2.</w:t>
      </w:r>
      <w:r>
        <w:rPr>
          <w:rFonts w:hint="eastAsia" w:ascii="宋体" w:hAnsi="宋体" w:eastAsia="宋体" w:cs="宋体"/>
          <w:b/>
          <w:bCs/>
          <w:color w:val="auto"/>
          <w:sz w:val="24"/>
          <w:lang w:val="en-US" w:eastAsia="zh-CN"/>
        </w:rPr>
        <w:t>6</w:t>
      </w:r>
      <w:r>
        <w:rPr>
          <w:rFonts w:hint="eastAsia" w:ascii="宋体" w:hAnsi="宋体" w:eastAsia="宋体" w:cs="宋体"/>
          <w:b/>
          <w:bCs/>
          <w:color w:val="auto"/>
          <w:sz w:val="24"/>
        </w:rPr>
        <w:t xml:space="preserve"> 洁净窗与传递窗</w:t>
      </w:r>
    </w:p>
    <w:p>
      <w:pPr>
        <w:autoSpaceDE w:val="0"/>
        <w:autoSpaceDN w:val="0"/>
        <w:adjustRightInd w:val="0"/>
        <w:spacing w:line="360" w:lineRule="auto"/>
        <w:ind w:left="210" w:leftChars="100" w:right="-247" w:rightChars="-118" w:firstLine="120" w:firstLineChars="50"/>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.1结构要求：</w:t>
      </w:r>
    </w:p>
    <w:p>
      <w:pPr>
        <w:tabs>
          <w:tab w:val="left" w:pos="540"/>
        </w:tabs>
        <w:autoSpaceDE w:val="0"/>
        <w:autoSpaceDN w:val="0"/>
        <w:adjustRightInd w:val="0"/>
        <w:spacing w:line="360" w:lineRule="auto"/>
        <w:ind w:left="119" w:leftChars="57" w:right="-247" w:rightChars="-118" w:firstLine="120" w:firstLineChars="50"/>
        <w:jc w:val="left"/>
        <w:rPr>
          <w:rFonts w:ascii="宋体" w:hAnsi="宋体" w:eastAsia="宋体" w:cs="宋体"/>
          <w:color w:val="auto"/>
          <w:sz w:val="24"/>
        </w:rPr>
      </w:pPr>
      <w:r>
        <w:rPr>
          <w:rFonts w:hint="eastAsia" w:ascii="宋体" w:hAnsi="宋体" w:eastAsia="宋体" w:cs="宋体"/>
          <w:color w:val="auto"/>
          <w:sz w:val="24"/>
        </w:rPr>
        <w:t>1）在单独的环境生产，避免空腔内集尘；</w:t>
      </w:r>
    </w:p>
    <w:p>
      <w:pPr>
        <w:tabs>
          <w:tab w:val="left" w:pos="540"/>
        </w:tabs>
        <w:autoSpaceDE w:val="0"/>
        <w:autoSpaceDN w:val="0"/>
        <w:adjustRightInd w:val="0"/>
        <w:spacing w:line="360" w:lineRule="auto"/>
        <w:ind w:left="210" w:right="-247" w:rightChars="-118"/>
        <w:jc w:val="left"/>
        <w:rPr>
          <w:rFonts w:ascii="宋体" w:hAnsi="宋体" w:eastAsia="宋体" w:cs="宋体"/>
          <w:color w:val="auto"/>
          <w:sz w:val="24"/>
        </w:rPr>
      </w:pPr>
      <w:r>
        <w:rPr>
          <w:rFonts w:hint="eastAsia" w:ascii="宋体" w:hAnsi="宋体" w:eastAsia="宋体" w:cs="宋体"/>
          <w:color w:val="auto"/>
          <w:sz w:val="24"/>
        </w:rPr>
        <w:t>2）与墙面平滑连接；</w:t>
      </w:r>
    </w:p>
    <w:p>
      <w:pPr>
        <w:tabs>
          <w:tab w:val="left" w:pos="540"/>
        </w:tabs>
        <w:autoSpaceDE w:val="0"/>
        <w:autoSpaceDN w:val="0"/>
        <w:adjustRightInd w:val="0"/>
        <w:spacing w:line="360" w:lineRule="auto"/>
        <w:ind w:left="210" w:right="-247" w:rightChars="-118"/>
        <w:jc w:val="left"/>
        <w:rPr>
          <w:rFonts w:ascii="宋体" w:hAnsi="宋体" w:eastAsia="宋体" w:cs="宋体"/>
          <w:color w:val="auto"/>
          <w:sz w:val="24"/>
        </w:rPr>
      </w:pPr>
      <w:r>
        <w:rPr>
          <w:rFonts w:hint="eastAsia" w:ascii="宋体" w:hAnsi="宋体" w:eastAsia="宋体" w:cs="宋体"/>
          <w:color w:val="auto"/>
          <w:sz w:val="24"/>
        </w:rPr>
        <w:t>3）预装在墙板内，避免现场安装；</w:t>
      </w:r>
    </w:p>
    <w:p>
      <w:pPr>
        <w:autoSpaceDE w:val="0"/>
        <w:autoSpaceDN w:val="0"/>
        <w:adjustRightInd w:val="0"/>
        <w:spacing w:line="360" w:lineRule="auto"/>
        <w:ind w:left="204" w:leftChars="86" w:right="-247" w:rightChars="-118" w:hanging="24" w:hangingChars="10"/>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.2材料要求：</w:t>
      </w:r>
      <w:r>
        <w:rPr>
          <w:rFonts w:hint="eastAsia" w:ascii="宋体" w:hAnsi="宋体" w:eastAsia="宋体" w:cs="宋体"/>
          <w:color w:val="auto"/>
          <w:sz w:val="24"/>
        </w:rPr>
        <w:tab/>
      </w:r>
    </w:p>
    <w:p>
      <w:pPr>
        <w:tabs>
          <w:tab w:val="left" w:pos="540"/>
          <w:tab w:val="left" w:pos="3165"/>
          <w:tab w:val="left" w:pos="5760"/>
        </w:tabs>
        <w:autoSpaceDE w:val="0"/>
        <w:autoSpaceDN w:val="0"/>
        <w:adjustRightInd w:val="0"/>
        <w:spacing w:line="360" w:lineRule="auto"/>
        <w:ind w:left="180" w:right="-247" w:rightChars="-118"/>
        <w:jc w:val="left"/>
        <w:rPr>
          <w:rFonts w:ascii="宋体" w:hAnsi="宋体" w:eastAsia="宋体" w:cs="宋体"/>
          <w:color w:val="auto"/>
          <w:sz w:val="24"/>
        </w:rPr>
      </w:pPr>
      <w:r>
        <w:rPr>
          <w:rFonts w:hint="eastAsia" w:ascii="宋体" w:hAnsi="宋体" w:eastAsia="宋体" w:cs="宋体"/>
          <w:color w:val="auto"/>
          <w:sz w:val="24"/>
        </w:rPr>
        <w:t>1）骨架、边框材料种类、规格:50系列铝型材</w:t>
      </w:r>
    </w:p>
    <w:p>
      <w:pPr>
        <w:tabs>
          <w:tab w:val="left" w:pos="540"/>
          <w:tab w:val="left" w:pos="3165"/>
          <w:tab w:val="left" w:pos="5760"/>
        </w:tabs>
        <w:autoSpaceDE w:val="0"/>
        <w:autoSpaceDN w:val="0"/>
        <w:adjustRightInd w:val="0"/>
        <w:spacing w:line="360" w:lineRule="auto"/>
        <w:ind w:left="180" w:right="-247" w:rightChars="-118"/>
        <w:jc w:val="left"/>
        <w:rPr>
          <w:rFonts w:ascii="宋体" w:hAnsi="宋体" w:eastAsia="宋体" w:cs="宋体"/>
          <w:color w:val="auto"/>
          <w:sz w:val="24"/>
        </w:rPr>
      </w:pPr>
      <w:r>
        <w:rPr>
          <w:rFonts w:hint="eastAsia" w:ascii="宋体" w:hAnsi="宋体" w:eastAsia="宋体" w:cs="宋体"/>
          <w:color w:val="auto"/>
          <w:sz w:val="24"/>
        </w:rPr>
        <w:t>2）嵌缝、塞口材料种类:玻璃胶，窗框与窗扇处边沿有橡胶密封条</w:t>
      </w:r>
    </w:p>
    <w:p>
      <w:pPr>
        <w:tabs>
          <w:tab w:val="left" w:pos="540"/>
          <w:tab w:val="left" w:pos="3165"/>
          <w:tab w:val="left" w:pos="5760"/>
        </w:tabs>
        <w:autoSpaceDE w:val="0"/>
        <w:autoSpaceDN w:val="0"/>
        <w:adjustRightInd w:val="0"/>
        <w:spacing w:line="360" w:lineRule="auto"/>
        <w:ind w:left="180" w:right="-247" w:rightChars="-118"/>
        <w:jc w:val="left"/>
        <w:rPr>
          <w:rFonts w:ascii="宋体" w:hAnsi="宋体" w:eastAsia="宋体" w:cs="宋体"/>
          <w:color w:val="auto"/>
          <w:sz w:val="24"/>
        </w:rPr>
      </w:pPr>
      <w:r>
        <w:rPr>
          <w:rFonts w:hint="eastAsia" w:ascii="宋体" w:hAnsi="宋体" w:eastAsia="宋体" w:cs="宋体"/>
          <w:color w:val="auto"/>
          <w:sz w:val="24"/>
        </w:rPr>
        <w:t>3）玻璃：</w:t>
      </w:r>
      <w:r>
        <w:rPr>
          <w:rFonts w:hint="eastAsia" w:ascii="宋体" w:hAnsi="宋体" w:eastAsia="宋体" w:cs="宋体"/>
          <w:b/>
          <w:bCs/>
          <w:color w:val="auto"/>
          <w:sz w:val="24"/>
        </w:rPr>
        <w:t>5mm真空双层钢化清玻璃</w:t>
      </w:r>
    </w:p>
    <w:p>
      <w:pPr>
        <w:tabs>
          <w:tab w:val="left" w:pos="540"/>
          <w:tab w:val="left" w:pos="3165"/>
          <w:tab w:val="left" w:pos="5760"/>
        </w:tabs>
        <w:autoSpaceDE w:val="0"/>
        <w:autoSpaceDN w:val="0"/>
        <w:adjustRightInd w:val="0"/>
        <w:spacing w:line="360" w:lineRule="auto"/>
        <w:ind w:left="180" w:right="-247" w:rightChars="-118"/>
        <w:jc w:val="left"/>
        <w:rPr>
          <w:rFonts w:ascii="宋体" w:hAnsi="宋体" w:eastAsia="宋体" w:cs="宋体"/>
          <w:color w:val="auto"/>
          <w:sz w:val="24"/>
        </w:rPr>
      </w:pPr>
      <w:r>
        <w:rPr>
          <w:rFonts w:hint="eastAsia" w:ascii="宋体" w:hAnsi="宋体" w:eastAsia="宋体" w:cs="宋体"/>
          <w:color w:val="auto"/>
          <w:sz w:val="24"/>
        </w:rPr>
        <w:t>4）规格：900*1100(或定制尺寸，不大于2300mm）</w:t>
      </w:r>
    </w:p>
    <w:p>
      <w:pPr>
        <w:tabs>
          <w:tab w:val="left" w:pos="540"/>
          <w:tab w:val="left" w:pos="316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传递窗</w:t>
      </w:r>
    </w:p>
    <w:p>
      <w:pPr>
        <w:tabs>
          <w:tab w:val="left" w:pos="540"/>
          <w:tab w:val="left" w:pos="316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采用全不锈钢制作，内尺寸400*400*400带紫外线杀菌，机械互锁。</w:t>
      </w:r>
    </w:p>
    <w:p>
      <w:pPr>
        <w:tabs>
          <w:tab w:val="left" w:pos="540"/>
          <w:tab w:val="left" w:pos="316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1）主体结构：箱体采用优质砂光不锈钢板SUS304#(t=2mm)折弯制作，表面处理无焊接痕迹内胆不锈钢SUS304#材质，门采用透明玻璃，</w:t>
      </w:r>
      <w:r>
        <w:rPr>
          <w:rFonts w:hint="eastAsia" w:ascii="宋体" w:hAnsi="宋体" w:eastAsia="宋体" w:cs="宋体"/>
          <w:b/>
          <w:bCs/>
          <w:color w:val="auto"/>
          <w:sz w:val="24"/>
        </w:rPr>
        <w:t>内部采用圆弧形设计</w:t>
      </w:r>
      <w:r>
        <w:rPr>
          <w:rFonts w:hint="eastAsia" w:ascii="宋体" w:hAnsi="宋体" w:eastAsia="宋体" w:cs="宋体"/>
          <w:color w:val="auto"/>
          <w:sz w:val="24"/>
        </w:rPr>
        <w:t>，防止尘埃，容易清理。</w:t>
      </w:r>
    </w:p>
    <w:p>
      <w:pPr>
        <w:tabs>
          <w:tab w:val="left" w:pos="540"/>
          <w:tab w:val="left" w:pos="316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2）互锁系统：电磁互锁系统,确保不能同时开启。</w:t>
      </w:r>
    </w:p>
    <w:p>
      <w:pPr>
        <w:tabs>
          <w:tab w:val="left" w:pos="540"/>
          <w:tab w:val="left" w:pos="3165"/>
          <w:tab w:val="left" w:pos="576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3）配按键式控制面板2套，暗藏式紫外线杀菌灯（20W*1盏，符合最新型GMP标准）</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3洁净室的智能控制操作系统</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3.1具有集先进的显示、触控、网络通讯技术为一体的平板电脑触摸屏作为整个实验室的操作及显示人机界面；</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3.2采用15寸全真彩色液晶显示和触摸屏，提供丰富全面实时信息的显示画面，及简洁的“一键式”操作界面，充分体现以人为本的设计理念；</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3.3采用先进低功耗主板和低发热电源的设计及全铝合金面结构等专门设计为系统的长期可靠运行提供可靠保证；</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3.4实验室触摸操作屏系统可以显示实验室的总貌图，上面可以清楚的显示实验室各个功能房间的温度、相对湿度、负压值、照明灯及紫外线灯的开关状态；</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3.5触摸屏画面上可以清楚的显示正确的人流走向、物流走向；</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3.6具有空调系统操作界面（动态显示空调风机运行状态以及显示实验室控制温湿度参数）；</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3.7具有房间和送排风总管压力显示和设定界面；</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3.8具有灯具操作界面（根据实验的需要采用“一键式”开关房间的灯具）；</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3.9具有系统报警显示界面；</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3.10触摸操作屏有时间记录功能（记录所有操作人员的操作事件，便于相关事件的追踪）</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3.1</w:t>
      </w:r>
      <w:r>
        <w:rPr>
          <w:rFonts w:hint="eastAsia" w:ascii="宋体" w:hAnsi="宋体" w:eastAsia="宋体" w:cs="宋体"/>
          <w:color w:val="auto"/>
          <w:sz w:val="24"/>
          <w:lang w:val="en-US" w:eastAsia="zh-CN"/>
        </w:rPr>
        <w:t>1</w:t>
      </w:r>
      <w:r>
        <w:rPr>
          <w:rFonts w:hint="eastAsia" w:ascii="宋体" w:hAnsi="宋体" w:eastAsia="宋体" w:cs="宋体"/>
          <w:color w:val="auto"/>
          <w:sz w:val="24"/>
        </w:rPr>
        <w:t>触摸操作屏具有时间显示功能，可以显示时间、日期和星期。</w:t>
      </w:r>
    </w:p>
    <w:p>
      <w:pPr>
        <w:spacing w:line="360" w:lineRule="auto"/>
        <w:ind w:right="-247" w:rightChars="-118"/>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3.12触摸操作屏可设对讲系统，实现控制间和操作间的通话，同时在主操作间设置有声光报警系统。 </w:t>
      </w:r>
    </w:p>
    <w:p>
      <w:pPr>
        <w:autoSpaceDE w:val="0"/>
        <w:autoSpaceDN w:val="0"/>
        <w:adjustRightInd w:val="0"/>
        <w:spacing w:line="360" w:lineRule="auto"/>
        <w:ind w:right="-247" w:rightChars="-118"/>
        <w:jc w:val="left"/>
        <w:rPr>
          <w:rFonts w:ascii="宋体" w:hAnsi="宋体" w:eastAsia="宋体" w:cs="宋体"/>
          <w:b/>
          <w:bCs/>
          <w:color w:val="auto"/>
          <w:sz w:val="24"/>
          <w:lang w:val="zh-CN"/>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4</w:t>
      </w:r>
      <w:r>
        <w:rPr>
          <w:rFonts w:hint="eastAsia" w:ascii="宋体" w:hAnsi="宋体" w:eastAsia="宋体" w:cs="宋体"/>
          <w:b/>
          <w:bCs/>
          <w:color w:val="auto"/>
          <w:sz w:val="24"/>
          <w:lang w:val="zh-CN"/>
        </w:rPr>
        <w:t>水电空调材料设备</w:t>
      </w:r>
    </w:p>
    <w:p>
      <w:pPr>
        <w:tabs>
          <w:tab w:val="left" w:pos="3420"/>
        </w:tabs>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4.4.1</w:t>
      </w:r>
      <w:r>
        <w:rPr>
          <w:rFonts w:hint="eastAsia" w:ascii="宋体" w:hAnsi="宋体" w:eastAsia="宋体" w:cs="宋体"/>
          <w:b/>
          <w:bCs/>
          <w:color w:val="auto"/>
          <w:sz w:val="24"/>
        </w:rPr>
        <w:t>洁净空调</w:t>
      </w:r>
    </w:p>
    <w:p>
      <w:pPr>
        <w:tabs>
          <w:tab w:val="left" w:pos="342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4.4.1.1</w:t>
      </w:r>
      <w:r>
        <w:rPr>
          <w:rFonts w:hint="eastAsia" w:ascii="宋体" w:hAnsi="宋体" w:eastAsia="宋体" w:cs="宋体"/>
          <w:color w:val="auto"/>
          <w:sz w:val="24"/>
        </w:rPr>
        <w:t>模块化风冷式冷热水机组</w:t>
      </w:r>
    </w:p>
    <w:p>
      <w:pPr>
        <w:tabs>
          <w:tab w:val="left" w:pos="342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制冷（热）量 100Kw（110kw），电源：3Φ/380V/50Hz ，功率3</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KW ，制冷剂：R410A ，水流量：17.2m3/h、水阻力：30KPa，接管DN65</w:t>
      </w:r>
    </w:p>
    <w:p>
      <w:pPr>
        <w:tabs>
          <w:tab w:val="left" w:pos="3420"/>
        </w:tabs>
        <w:autoSpaceDE w:val="0"/>
        <w:autoSpaceDN w:val="0"/>
        <w:adjustRightInd w:val="0"/>
        <w:spacing w:line="360" w:lineRule="auto"/>
        <w:ind w:right="-247" w:rightChars="-118"/>
        <w:jc w:val="left"/>
        <w:rPr>
          <w:rFonts w:hint="eastAsia" w:ascii="宋体" w:hAnsi="宋体" w:eastAsia="宋体" w:cs="宋体"/>
          <w:color w:val="auto"/>
          <w:sz w:val="24"/>
          <w:lang w:eastAsia="zh-CN"/>
        </w:rPr>
      </w:pPr>
      <w:r>
        <w:rPr>
          <w:rFonts w:hint="eastAsia" w:ascii="宋体" w:hAnsi="宋体" w:eastAsia="宋体" w:cs="宋体"/>
          <w:b w:val="0"/>
          <w:bCs w:val="0"/>
          <w:color w:val="auto"/>
          <w:sz w:val="24"/>
          <w:lang w:val="en-US" w:eastAsia="zh-CN"/>
        </w:rPr>
        <w:t>4.4.1.2</w:t>
      </w:r>
      <w:r>
        <w:rPr>
          <w:rFonts w:hint="eastAsia" w:ascii="宋体" w:hAnsi="宋体" w:eastAsia="宋体" w:cs="宋体"/>
          <w:color w:val="auto"/>
          <w:sz w:val="24"/>
        </w:rPr>
        <w:t>组合式全新风处理机组MAU-0</w:t>
      </w:r>
      <w:r>
        <w:rPr>
          <w:rFonts w:hint="eastAsia" w:ascii="宋体" w:hAnsi="宋体" w:eastAsia="宋体" w:cs="宋体"/>
          <w:color w:val="auto"/>
          <w:sz w:val="24"/>
          <w:lang w:val="en-US" w:eastAsia="zh-CN"/>
        </w:rPr>
        <w:t>1</w:t>
      </w:r>
    </w:p>
    <w:p>
      <w:pPr>
        <w:tabs>
          <w:tab w:val="left" w:pos="3420"/>
        </w:tabs>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color w:val="auto"/>
          <w:sz w:val="24"/>
        </w:rPr>
        <w:t>冷媒：冷冻水  风量：6000CMH，Q冷=1</w:t>
      </w:r>
      <w:r>
        <w:rPr>
          <w:rFonts w:hint="eastAsia" w:ascii="宋体" w:hAnsi="宋体" w:eastAsia="宋体" w:cs="宋体"/>
          <w:color w:val="auto"/>
          <w:sz w:val="24"/>
          <w:lang w:val="en-US" w:eastAsia="zh-CN"/>
        </w:rPr>
        <w:t>05</w:t>
      </w:r>
      <w:r>
        <w:rPr>
          <w:rFonts w:hint="eastAsia" w:ascii="宋体" w:hAnsi="宋体" w:eastAsia="宋体" w:cs="宋体"/>
          <w:color w:val="auto"/>
          <w:sz w:val="24"/>
        </w:rPr>
        <w:t>KW，Q热=50.6KW，电加热=21KW，电加湿=35Kg/h，管径：DN65 风机功率：</w:t>
      </w:r>
      <w:r>
        <w:rPr>
          <w:rFonts w:hint="eastAsia" w:ascii="宋体" w:hAnsi="宋体" w:eastAsia="宋体" w:cs="宋体"/>
          <w:color w:val="auto"/>
          <w:sz w:val="24"/>
          <w:lang w:val="en-US" w:eastAsia="zh-CN"/>
        </w:rPr>
        <w:t>4</w:t>
      </w:r>
      <w:r>
        <w:rPr>
          <w:rFonts w:hint="eastAsia" w:ascii="宋体" w:hAnsi="宋体" w:eastAsia="宋体" w:cs="宋体"/>
          <w:color w:val="auto"/>
          <w:sz w:val="24"/>
        </w:rPr>
        <w:t>kw，机外余压：900Pa</w:t>
      </w:r>
    </w:p>
    <w:p>
      <w:pPr>
        <w:ind w:right="-247" w:rightChars="-118" w:firstLine="480" w:firstLineChars="200"/>
        <w:rPr>
          <w:rFonts w:ascii="宋体" w:hAnsi="宋体" w:eastAsia="宋体" w:cs="宋体"/>
          <w:color w:val="auto"/>
          <w:sz w:val="24"/>
        </w:rPr>
      </w:pPr>
      <w:r>
        <w:rPr>
          <w:rFonts w:hint="eastAsia" w:ascii="宋体" w:hAnsi="宋体" w:eastAsia="宋体" w:cs="宋体"/>
          <w:color w:val="auto"/>
          <w:sz w:val="24"/>
        </w:rPr>
        <w:t xml:space="preserve">机组数量：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机组结构            卧式机组      结构设计       无冷桥设计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下层机组送风量(m3/h)6500.00       下层机组机外静压(Pa)700.00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箱体高度(mm)        1006          箱体宽度(mm)        1166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面板厚度(mm)        25            机组保温      无氟聚氨脂发泡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外板材质/厚度(mm)  彩涂板/0.4mm  内板材质/厚度(mm) 镀铝锌板/0.5mm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机组总重量(kg)     ≤794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下层机组：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机组送风量(m3/h)    6500.00          机外静压(Pa)        700.00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箱体高度(mm)        1006             箱体宽度(mm)        1166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机组重量(kg)        ≤794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功能段1: 混合过滤                        长度(mm)            430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初阻力(Pa)          108               终阻力(Pa)          216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计算阻力(Pa)        130               压力调整(Pa)        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重量(Kg)            33.45             重量调整(Kg)        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压差计:             无                压差开关            无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备用过滤器(套)      0                 照明灯              无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初效过滤器                            中效过滤器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过滤器品牌          AAF               过滤器品牌          AAF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过滤器类型       AmWash               过滤器类型    DriPak2000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过滤器效率          G3                过滤器效率          F5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初效过滤器规格           中效过滤器规格              数量(个)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16*20*2                       16*20*15                      2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20*20*2                       20*20*15                      2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功能段2: 冷冻水盘管                功能段长度(mm)              574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盘管数量            1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全冷量(kW)          66.32               显冷量(kW)          35.08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进风工况(db/wb)(C)  35.5/26.5       出风工况(db/wb)(C)  19.6/18.4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进出水温度(C/C)     7.0/12.00           冷冻液浓度(%)       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水流量(l/s)         3.16                水压降(kpa)         57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功能段重量(Kg)      118.70              重量调整(Kg)        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风压降(Pa)          95                  压力调整(Pa)        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盘管高度(mm)        762                 盘管宽度(mm)        900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迎面风速(m/s)       2.63           铜管/铝箔材质       铜0.35mm/普通铝0.115mm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接管尺寸(mm)        60 (2.0)            集水管材质          无缝钢管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挡水板材质          无                  排水盘材质          EG电镀锌板喷涂(标准)</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边框                镀锌钢板            </w:t>
      </w:r>
    </w:p>
    <w:p>
      <w:pPr>
        <w:ind w:right="-247" w:rightChars="-118" w:firstLine="480" w:firstLineChars="200"/>
        <w:rPr>
          <w:rFonts w:ascii="宋体" w:hAnsi="宋体" w:eastAsia="宋体" w:cs="宋体"/>
          <w:color w:val="auto"/>
          <w:sz w:val="24"/>
        </w:rPr>
      </w:pPr>
      <w:r>
        <w:rPr>
          <w:rFonts w:hint="eastAsia" w:ascii="宋体" w:hAnsi="宋体" w:eastAsia="宋体" w:cs="宋体"/>
          <w:color w:val="auto"/>
          <w:sz w:val="24"/>
        </w:rPr>
        <w:t xml:space="preserve">功能段3: 电加热    长度(mm)            702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总功率(kW)          60                  分组数              3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进风温度(C)         21.00               出风温度(C)         48.42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压差开关           CAREL      熔断保护器    KSD-F01/75℃/10A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阻力(Pa)            5                   压力调整(Pa)        0                   </w:t>
      </w:r>
    </w:p>
    <w:p>
      <w:pPr>
        <w:tabs>
          <w:tab w:val="left" w:pos="3420"/>
        </w:tabs>
        <w:autoSpaceDE w:val="0"/>
        <w:autoSpaceDN w:val="0"/>
        <w:adjustRightInd w:val="0"/>
        <w:spacing w:line="360" w:lineRule="auto"/>
        <w:ind w:right="-247" w:rightChars="-118" w:firstLine="480" w:firstLineChars="200"/>
        <w:jc w:val="left"/>
        <w:rPr>
          <w:rFonts w:ascii="宋体" w:hAnsi="宋体" w:eastAsia="宋体" w:cs="宋体"/>
          <w:color w:val="auto"/>
          <w:sz w:val="24"/>
        </w:rPr>
      </w:pPr>
      <w:r>
        <w:rPr>
          <w:rFonts w:hint="eastAsia" w:ascii="宋体" w:hAnsi="宋体" w:eastAsia="宋体" w:cs="宋体"/>
          <w:color w:val="auto"/>
          <w:sz w:val="24"/>
        </w:rPr>
        <w:t xml:space="preserve">重量(Kg)            ≤71.74           重量调整(Kg)        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分组序号              分组功率        电源        380V/3N~/50Hz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1                   20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2                   20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3                   20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功能段4: 检修段                           功能段长度(mm)      460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门的位置            左                 门的类型            铰链门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功能段阻力(Pa)      2                  压力调整(Pa)        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功能段重量(Kg)      0.00               重量调整(Kg)        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照明灯              无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功能段5: 高压喷雾加湿器                   长度(mm)            960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加湿器形式          高压喷雾加湿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加湿量(Kg/h)        100.00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风阻力(Pa)          50.00              安装方位            左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前挡水板材质        无                 后挡水板材质        铝合金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重量(Kg)            ≤41.01            重量调整(Kg)        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排水盘              标准倾斜式          压力调整(Pa)        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照明灯              无                  排水盘材料          EG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功能段6: 送风机                             长度(mm)            730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风量(m3/h)         6500.00            风机静压(Pa)        982.19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风机出口风速(m/s)   13.85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电机功率(kW)        4.00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风机转速(rpm)       1892             电机转速(rpm)       2885.00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机外静压(Pa)        700.00            静压调整(Pa)        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重量(kg)           ≤90.88            重量调整(kg)        0.00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风机类型            离心风机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送风方位            上平出风F           叶片类型          前弯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检修方位            左侧                检修门类型        铰链门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变频器类型          N/A                 照明灯              无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变频器型号          无                  启动柜类型          无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风机噪音数据: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Hz     63Hz      125Hz     250Hz     500Hz    1kHz     2kHz     4kHz     8kHz   合成dB(A)</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Lw(A):  73.9      77.4      81.8      80.9     84.2     83.1     81.2     76.1     90.0  </w:t>
      </w:r>
    </w:p>
    <w:p>
      <w:pPr>
        <w:ind w:right="-247" w:rightChars="-118"/>
        <w:rPr>
          <w:rFonts w:ascii="宋体" w:hAnsi="宋体" w:eastAsia="宋体" w:cs="宋体"/>
          <w:color w:val="auto"/>
          <w:sz w:val="24"/>
        </w:rPr>
      </w:pPr>
      <w:r>
        <w:rPr>
          <w:rFonts w:hint="eastAsia" w:ascii="宋体" w:hAnsi="宋体" w:eastAsia="宋体" w:cs="宋体"/>
          <w:color w:val="auto"/>
          <w:sz w:val="24"/>
        </w:rPr>
        <w:t xml:space="preserve">    Lp(A):  65.9      69.4      73.8      72.9     76.2     75.1     73.2     68.1     82.0  </w:t>
      </w:r>
    </w:p>
    <w:p>
      <w:pPr>
        <w:tabs>
          <w:tab w:val="left" w:pos="3420"/>
        </w:tabs>
        <w:autoSpaceDE w:val="0"/>
        <w:autoSpaceDN w:val="0"/>
        <w:adjustRightInd w:val="0"/>
        <w:spacing w:line="360" w:lineRule="auto"/>
        <w:ind w:right="-247" w:rightChars="-118"/>
        <w:jc w:val="left"/>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en-US" w:eastAsia="zh-CN"/>
        </w:rPr>
        <w:t>4.4.2</w:t>
      </w:r>
      <w:r>
        <w:rPr>
          <w:rFonts w:hint="eastAsia" w:ascii="宋体" w:hAnsi="宋体" w:eastAsia="宋体" w:cs="宋体"/>
          <w:b/>
          <w:bCs/>
          <w:color w:val="auto"/>
          <w:sz w:val="24"/>
          <w:lang w:val="zh-CN" w:eastAsia="zh-CN"/>
        </w:rPr>
        <w:t>洁净空调机组</w:t>
      </w:r>
    </w:p>
    <w:p>
      <w:pPr>
        <w:autoSpaceDE w:val="0"/>
        <w:autoSpaceDN w:val="0"/>
        <w:adjustRightInd w:val="0"/>
        <w:spacing w:line="360" w:lineRule="auto"/>
        <w:ind w:right="-247" w:rightChars="-118" w:firstLine="240" w:firstLineChars="100"/>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4.4.2.1</w:t>
      </w:r>
      <w:r>
        <w:rPr>
          <w:rFonts w:hint="eastAsia" w:ascii="宋体" w:hAnsi="宋体" w:eastAsia="宋体" w:cs="宋体"/>
          <w:color w:val="auto"/>
          <w:kern w:val="0"/>
          <w:sz w:val="24"/>
          <w:lang w:val="zh-CN"/>
        </w:rPr>
        <w:t>洁净空调机组产品采用专业机组；</w:t>
      </w:r>
    </w:p>
    <w:p>
      <w:pPr>
        <w:autoSpaceDE w:val="0"/>
        <w:autoSpaceDN w:val="0"/>
        <w:adjustRightInd w:val="0"/>
        <w:spacing w:line="360" w:lineRule="auto"/>
        <w:ind w:left="330" w:leftChars="100" w:right="-247" w:rightChars="-118" w:hanging="120" w:hangingChars="50"/>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4.4.2.2</w:t>
      </w:r>
      <w:r>
        <w:rPr>
          <w:rFonts w:hint="eastAsia" w:ascii="宋体" w:hAnsi="宋体" w:eastAsia="宋体" w:cs="宋体"/>
          <w:color w:val="auto"/>
          <w:kern w:val="0"/>
          <w:sz w:val="24"/>
          <w:lang w:val="zh-CN"/>
        </w:rPr>
        <w:t>机组功能段包括新回风混合段、初效过滤段、风机段、表冷段、电加热段、中效过</w:t>
      </w:r>
    </w:p>
    <w:p>
      <w:pPr>
        <w:autoSpaceDE w:val="0"/>
        <w:autoSpaceDN w:val="0"/>
        <w:adjustRightInd w:val="0"/>
        <w:spacing w:line="360" w:lineRule="auto"/>
        <w:ind w:left="210" w:leftChars="100" w:right="-247" w:rightChars="-118"/>
        <w:jc w:val="left"/>
        <w:rPr>
          <w:rFonts w:ascii="宋体" w:hAnsi="宋体" w:eastAsia="宋体" w:cs="宋体"/>
          <w:color w:val="auto"/>
          <w:kern w:val="0"/>
          <w:sz w:val="24"/>
          <w:lang w:val="zh-CN"/>
        </w:rPr>
      </w:pPr>
      <w:r>
        <w:rPr>
          <w:rFonts w:hint="eastAsia" w:ascii="宋体" w:hAnsi="宋体" w:eastAsia="宋体" w:cs="宋体"/>
          <w:color w:val="auto"/>
          <w:kern w:val="0"/>
          <w:sz w:val="24"/>
          <w:lang w:val="zh-CN"/>
        </w:rPr>
        <w:t>滤段、加湿段、出风段；</w:t>
      </w:r>
    </w:p>
    <w:p>
      <w:pPr>
        <w:autoSpaceDE w:val="0"/>
        <w:autoSpaceDN w:val="0"/>
        <w:adjustRightInd w:val="0"/>
        <w:spacing w:line="360" w:lineRule="auto"/>
        <w:ind w:right="-247" w:rightChars="-118" w:firstLine="240" w:firstLineChars="100"/>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4.4.2.3</w:t>
      </w:r>
      <w:r>
        <w:rPr>
          <w:rFonts w:hint="eastAsia" w:ascii="宋体" w:hAnsi="宋体" w:eastAsia="宋体" w:cs="宋体"/>
          <w:color w:val="auto"/>
          <w:kern w:val="0"/>
          <w:sz w:val="24"/>
          <w:lang w:val="zh-CN"/>
        </w:rPr>
        <w:t>采用30mm~50mm厚双面机组壁板，防止冷桥产生；</w:t>
      </w:r>
    </w:p>
    <w:p>
      <w:pPr>
        <w:autoSpaceDE w:val="0"/>
        <w:autoSpaceDN w:val="0"/>
        <w:adjustRightInd w:val="0"/>
        <w:spacing w:line="360" w:lineRule="auto"/>
        <w:ind w:left="330" w:leftChars="100" w:right="-247" w:rightChars="-118" w:hanging="120" w:hangingChars="50"/>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4.4.2.4</w:t>
      </w:r>
      <w:r>
        <w:rPr>
          <w:rFonts w:hint="eastAsia" w:ascii="宋体" w:hAnsi="宋体" w:eastAsia="宋体" w:cs="宋体"/>
          <w:color w:val="auto"/>
          <w:kern w:val="0"/>
          <w:sz w:val="24"/>
          <w:lang w:val="zh-CN"/>
        </w:rPr>
        <w:t>宽广的表冷器，采用亲水膜铝翅片，确保了高度敏感的冷却能力。低流速的送风速</w:t>
      </w:r>
    </w:p>
    <w:p>
      <w:pPr>
        <w:autoSpaceDE w:val="0"/>
        <w:autoSpaceDN w:val="0"/>
        <w:adjustRightInd w:val="0"/>
        <w:spacing w:line="360" w:lineRule="auto"/>
        <w:ind w:left="210" w:leftChars="100" w:right="-247" w:rightChars="-118"/>
        <w:jc w:val="left"/>
        <w:rPr>
          <w:rFonts w:ascii="宋体" w:hAnsi="宋体" w:eastAsia="宋体" w:cs="宋体"/>
          <w:color w:val="auto"/>
          <w:kern w:val="0"/>
          <w:sz w:val="24"/>
          <w:lang w:val="zh-CN"/>
        </w:rPr>
      </w:pPr>
      <w:r>
        <w:rPr>
          <w:rFonts w:hint="eastAsia" w:ascii="宋体" w:hAnsi="宋体" w:eastAsia="宋体" w:cs="宋体"/>
          <w:color w:val="auto"/>
          <w:kern w:val="0"/>
          <w:sz w:val="24"/>
          <w:lang w:val="zh-CN"/>
        </w:rPr>
        <w:t>率(最大为2.Om／s)使制冷效果达到最优；</w:t>
      </w:r>
    </w:p>
    <w:p>
      <w:pPr>
        <w:autoSpaceDE w:val="0"/>
        <w:autoSpaceDN w:val="0"/>
        <w:adjustRightInd w:val="0"/>
        <w:spacing w:line="360" w:lineRule="auto"/>
        <w:ind w:right="-247" w:rightChars="-118" w:firstLine="240" w:firstLineChars="100"/>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4.4.2.5</w:t>
      </w:r>
      <w:r>
        <w:rPr>
          <w:rFonts w:hint="eastAsia" w:ascii="宋体" w:hAnsi="宋体" w:eastAsia="宋体" w:cs="宋体"/>
          <w:color w:val="auto"/>
          <w:sz w:val="24"/>
          <w:lang w:val="zh-CN"/>
        </w:rPr>
        <w:t>表冷段箱板内及冷凝水盘选用不锈钢材料制造，保证光滑不积尘；</w:t>
      </w:r>
    </w:p>
    <w:p>
      <w:pPr>
        <w:autoSpaceDE w:val="0"/>
        <w:autoSpaceDN w:val="0"/>
        <w:adjustRightInd w:val="0"/>
        <w:spacing w:line="360" w:lineRule="auto"/>
        <w:ind w:right="-247" w:rightChars="-118" w:firstLine="240" w:firstLineChars="100"/>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4.4.2.6</w:t>
      </w:r>
      <w:r>
        <w:rPr>
          <w:rFonts w:hint="eastAsia" w:ascii="宋体" w:hAnsi="宋体" w:eastAsia="宋体" w:cs="宋体"/>
          <w:color w:val="auto"/>
          <w:kern w:val="0"/>
          <w:sz w:val="24"/>
          <w:lang w:val="zh-CN"/>
        </w:rPr>
        <w:t>F7级中效过滤器，确保了高度的灰尘吸附能力，并且使用寿命长；</w:t>
      </w:r>
    </w:p>
    <w:p>
      <w:pPr>
        <w:autoSpaceDE w:val="0"/>
        <w:autoSpaceDN w:val="0"/>
        <w:adjustRightInd w:val="0"/>
        <w:spacing w:line="360" w:lineRule="auto"/>
        <w:ind w:right="-247" w:rightChars="-118" w:firstLine="240" w:firstLineChars="100"/>
        <w:jc w:val="left"/>
        <w:rPr>
          <w:rFonts w:hint="eastAsia" w:ascii="宋体" w:hAnsi="宋体" w:eastAsia="宋体" w:cs="宋体"/>
          <w:color w:val="auto"/>
          <w:sz w:val="24"/>
          <w:lang w:val="zh-CN"/>
        </w:rPr>
      </w:pPr>
      <w:r>
        <w:rPr>
          <w:rFonts w:hint="eastAsia" w:ascii="宋体" w:hAnsi="宋体" w:eastAsia="宋体" w:cs="宋体"/>
          <w:color w:val="auto"/>
          <w:sz w:val="24"/>
          <w:lang w:val="en-US" w:eastAsia="zh-CN"/>
        </w:rPr>
        <w:t>4.4.2.7</w:t>
      </w:r>
      <w:r>
        <w:rPr>
          <w:rFonts w:hint="eastAsia" w:ascii="宋体" w:hAnsi="宋体" w:eastAsia="宋体" w:cs="宋体"/>
          <w:color w:val="auto"/>
          <w:sz w:val="24"/>
          <w:lang w:val="zh-CN"/>
        </w:rPr>
        <w:t>不锈钢光管式电加热器，不积尘，加热效果好；</w:t>
      </w:r>
    </w:p>
    <w:p>
      <w:pPr>
        <w:autoSpaceDE w:val="0"/>
        <w:autoSpaceDN w:val="0"/>
        <w:adjustRightInd w:val="0"/>
        <w:spacing w:line="360" w:lineRule="auto"/>
        <w:ind w:right="-247" w:rightChars="-118" w:firstLine="240" w:firstLineChars="100"/>
        <w:jc w:val="left"/>
        <w:rPr>
          <w:rFonts w:hint="eastAsia" w:ascii="宋体" w:hAnsi="宋体" w:eastAsia="宋体" w:cs="宋体"/>
          <w:color w:val="auto"/>
          <w:sz w:val="24"/>
          <w:lang w:val="zh-CN"/>
        </w:rPr>
      </w:pPr>
      <w:r>
        <w:rPr>
          <w:rFonts w:hint="eastAsia" w:ascii="宋体" w:hAnsi="宋体" w:eastAsia="宋体" w:cs="宋体"/>
          <w:color w:val="auto"/>
          <w:sz w:val="24"/>
          <w:lang w:val="en-US" w:eastAsia="zh-CN"/>
        </w:rPr>
        <w:t>4.4.2.8</w:t>
      </w:r>
      <w:r>
        <w:rPr>
          <w:rFonts w:hint="eastAsia" w:ascii="宋体" w:hAnsi="宋体" w:eastAsia="宋体" w:cs="宋体"/>
          <w:color w:val="auto"/>
          <w:sz w:val="24"/>
          <w:lang w:val="zh-CN"/>
        </w:rPr>
        <w:t>原装加湿器，通过微电脑控制，加湿效率高，精度好；</w:t>
      </w:r>
    </w:p>
    <w:p>
      <w:pPr>
        <w:autoSpaceDE w:val="0"/>
        <w:autoSpaceDN w:val="0"/>
        <w:adjustRightInd w:val="0"/>
        <w:spacing w:line="360" w:lineRule="auto"/>
        <w:ind w:right="-247" w:rightChars="-118" w:firstLine="240" w:firstLineChars="100"/>
        <w:jc w:val="left"/>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4.4.2.9</w:t>
      </w:r>
      <w:r>
        <w:rPr>
          <w:rFonts w:hint="eastAsia" w:ascii="宋体" w:hAnsi="宋体" w:eastAsia="宋体" w:cs="宋体"/>
          <w:color w:val="auto"/>
          <w:sz w:val="24"/>
          <w:lang w:val="zh-CN"/>
        </w:rPr>
        <w:t>净化空调机组箱体应密封可靠，保证机组内静压1500Pa时的漏风率不大于1%。</w:t>
      </w:r>
    </w:p>
    <w:p>
      <w:pPr>
        <w:autoSpaceDE w:val="0"/>
        <w:autoSpaceDN w:val="0"/>
        <w:adjustRightInd w:val="0"/>
        <w:spacing w:line="360" w:lineRule="auto"/>
        <w:ind w:right="-247" w:rightChars="-118" w:firstLine="240" w:firstLineChars="100"/>
        <w:jc w:val="left"/>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4.4.2.10</w:t>
      </w:r>
      <w:r>
        <w:rPr>
          <w:rFonts w:hint="eastAsia" w:ascii="宋体" w:hAnsi="宋体" w:eastAsia="宋体" w:cs="宋体"/>
          <w:color w:val="auto"/>
          <w:sz w:val="24"/>
          <w:lang w:val="zh-CN" w:eastAsia="zh-CN"/>
        </w:rPr>
        <w:t>净化空调机组箱体强度应不低于以下要求：D1，-1000pa到+1000pa；漏风率：-400Pa，L1；700Pa:L1级；过滤器旁通率:F9。</w:t>
      </w:r>
    </w:p>
    <w:p>
      <w:pPr>
        <w:autoSpaceDE w:val="0"/>
        <w:autoSpaceDN w:val="0"/>
        <w:adjustRightInd w:val="0"/>
        <w:spacing w:line="360" w:lineRule="auto"/>
        <w:ind w:right="-247" w:rightChars="-118"/>
        <w:jc w:val="left"/>
        <w:rPr>
          <w:rFonts w:ascii="宋体" w:hAnsi="宋体" w:eastAsia="宋体" w:cs="宋体"/>
          <w:b/>
          <w:bCs/>
          <w:color w:val="auto"/>
          <w:kern w:val="0"/>
          <w:sz w:val="24"/>
          <w:lang w:val="zh-CN"/>
        </w:rPr>
      </w:pPr>
      <w:r>
        <w:rPr>
          <w:rFonts w:hint="eastAsia" w:ascii="宋体" w:hAnsi="宋体" w:eastAsia="宋体" w:cs="宋体"/>
          <w:b/>
          <w:bCs/>
          <w:color w:val="auto"/>
          <w:sz w:val="24"/>
          <w:lang w:val="en-US" w:eastAsia="zh-CN"/>
        </w:rPr>
        <w:t>4.4.3</w:t>
      </w:r>
      <w:r>
        <w:rPr>
          <w:rFonts w:hint="eastAsia" w:ascii="宋体" w:hAnsi="宋体" w:eastAsia="宋体" w:cs="宋体"/>
          <w:b/>
          <w:bCs/>
          <w:color w:val="auto"/>
          <w:kern w:val="0"/>
          <w:sz w:val="24"/>
          <w:lang w:val="zh-CN"/>
        </w:rPr>
        <w:t>空调机组的控制</w:t>
      </w:r>
    </w:p>
    <w:p>
      <w:pPr>
        <w:autoSpaceDE w:val="0"/>
        <w:autoSpaceDN w:val="0"/>
        <w:adjustRightInd w:val="0"/>
        <w:spacing w:line="360" w:lineRule="auto"/>
        <w:ind w:right="-247" w:rightChars="-118" w:firstLine="240" w:firstLineChars="100"/>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4.4.3.1</w:t>
      </w:r>
      <w:r>
        <w:rPr>
          <w:rFonts w:hint="eastAsia" w:ascii="宋体" w:hAnsi="宋体" w:eastAsia="宋体" w:cs="宋体"/>
          <w:color w:val="auto"/>
          <w:kern w:val="0"/>
          <w:sz w:val="24"/>
          <w:lang w:val="zh-CN"/>
        </w:rPr>
        <w:t>室内控制温度精度±1ºC，相对湿度精度5%RH；</w:t>
      </w:r>
    </w:p>
    <w:p>
      <w:pPr>
        <w:autoSpaceDE w:val="0"/>
        <w:autoSpaceDN w:val="0"/>
        <w:adjustRightInd w:val="0"/>
        <w:spacing w:line="360" w:lineRule="auto"/>
        <w:ind w:right="-247" w:rightChars="-118" w:firstLine="240" w:firstLineChars="100"/>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4.4.3.2</w:t>
      </w:r>
      <w:r>
        <w:rPr>
          <w:rFonts w:hint="eastAsia" w:ascii="宋体" w:hAnsi="宋体" w:eastAsia="宋体" w:cs="宋体"/>
          <w:color w:val="auto"/>
          <w:kern w:val="0"/>
          <w:sz w:val="24"/>
          <w:lang w:val="zh-CN"/>
        </w:rPr>
        <w:t>风机变频控制；</w:t>
      </w:r>
    </w:p>
    <w:p>
      <w:pPr>
        <w:autoSpaceDE w:val="0"/>
        <w:autoSpaceDN w:val="0"/>
        <w:adjustRightInd w:val="0"/>
        <w:spacing w:line="360" w:lineRule="auto"/>
        <w:ind w:left="210" w:leftChars="100" w:right="-247" w:rightChars="-118"/>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4.4.3.3</w:t>
      </w:r>
      <w:r>
        <w:rPr>
          <w:rFonts w:hint="eastAsia" w:ascii="宋体" w:hAnsi="宋体" w:eastAsia="宋体" w:cs="宋体"/>
          <w:color w:val="auto"/>
          <w:kern w:val="0"/>
          <w:sz w:val="24"/>
          <w:lang w:val="zh-CN"/>
        </w:rPr>
        <w:t>中效过滤网堵塞报警、缺负保护报警、风机运行情况及过载报警；加湿器运行和故障查询等；</w:t>
      </w:r>
    </w:p>
    <w:p>
      <w:pPr>
        <w:autoSpaceDE w:val="0"/>
        <w:autoSpaceDN w:val="0"/>
        <w:adjustRightInd w:val="0"/>
        <w:spacing w:line="360" w:lineRule="auto"/>
        <w:ind w:right="-247" w:rightChars="-118" w:firstLine="240" w:firstLineChars="100"/>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4.4.3.4</w:t>
      </w:r>
      <w:r>
        <w:rPr>
          <w:rFonts w:hint="eastAsia" w:ascii="宋体" w:hAnsi="宋体" w:eastAsia="宋体" w:cs="宋体"/>
          <w:color w:val="auto"/>
          <w:kern w:val="0"/>
          <w:sz w:val="24"/>
          <w:lang w:val="zh-CN"/>
        </w:rPr>
        <w:t>手、自动风量调频切换，手动频率设定；调节阀、加湿器和电加热器工作状态；</w:t>
      </w:r>
    </w:p>
    <w:p>
      <w:pPr>
        <w:autoSpaceDE w:val="0"/>
        <w:autoSpaceDN w:val="0"/>
        <w:adjustRightInd w:val="0"/>
        <w:spacing w:line="360" w:lineRule="auto"/>
        <w:ind w:left="210" w:leftChars="100" w:right="-247" w:rightChars="-118"/>
        <w:jc w:val="left"/>
        <w:rPr>
          <w:rFonts w:ascii="宋体" w:hAnsi="宋体" w:eastAsia="宋体" w:cs="宋体"/>
          <w:color w:val="auto"/>
          <w:kern w:val="0"/>
          <w:sz w:val="24"/>
          <w:lang w:val="zh-CN"/>
        </w:rPr>
      </w:pPr>
      <w:r>
        <w:rPr>
          <w:rFonts w:hint="eastAsia" w:ascii="宋体" w:hAnsi="宋体" w:eastAsia="宋体" w:cs="宋体"/>
          <w:color w:val="auto"/>
          <w:kern w:val="0"/>
          <w:sz w:val="24"/>
          <w:lang w:val="zh-CN"/>
        </w:rPr>
        <w:t>各种控制参数(室内温、湿度；变频器频率等)的设定和修改；</w:t>
      </w:r>
    </w:p>
    <w:p>
      <w:pPr>
        <w:autoSpaceDE w:val="0"/>
        <w:autoSpaceDN w:val="0"/>
        <w:adjustRightInd w:val="0"/>
        <w:spacing w:line="360" w:lineRule="auto"/>
        <w:ind w:right="-247" w:rightChars="-118" w:firstLine="240" w:firstLineChars="100"/>
        <w:jc w:val="left"/>
        <w:rPr>
          <w:rFonts w:ascii="宋体" w:hAnsi="宋体" w:eastAsia="宋体" w:cs="宋体"/>
          <w:color w:val="auto"/>
          <w:sz w:val="24"/>
          <w:lang w:val="zh-CN"/>
        </w:rPr>
      </w:pPr>
      <w:r>
        <w:rPr>
          <w:rFonts w:hint="eastAsia" w:ascii="宋体" w:hAnsi="宋体" w:eastAsia="宋体" w:cs="宋体"/>
          <w:b w:val="0"/>
          <w:bCs w:val="0"/>
          <w:color w:val="auto"/>
          <w:sz w:val="24"/>
          <w:lang w:val="en-US" w:eastAsia="zh-CN"/>
        </w:rPr>
        <w:t>4.4.3.5</w:t>
      </w:r>
      <w:r>
        <w:rPr>
          <w:rFonts w:hint="eastAsia" w:ascii="宋体" w:hAnsi="宋体" w:eastAsia="宋体" w:cs="宋体"/>
          <w:color w:val="auto"/>
          <w:kern w:val="0"/>
          <w:sz w:val="24"/>
          <w:lang w:val="zh-CN"/>
        </w:rPr>
        <w:t>各空调主机、各空调风柜之间通过PLC编程实现联动控制。</w:t>
      </w:r>
    </w:p>
    <w:p>
      <w:pPr>
        <w:autoSpaceDE w:val="0"/>
        <w:autoSpaceDN w:val="0"/>
        <w:adjustRightInd w:val="0"/>
        <w:spacing w:line="360" w:lineRule="auto"/>
        <w:ind w:right="-247" w:rightChars="-118"/>
        <w:jc w:val="left"/>
        <w:rPr>
          <w:rFonts w:ascii="宋体" w:hAnsi="宋体" w:eastAsia="宋体" w:cs="宋体"/>
          <w:b/>
          <w:bCs/>
          <w:color w:val="auto"/>
          <w:kern w:val="0"/>
          <w:sz w:val="24"/>
          <w:lang w:val="zh-CN"/>
        </w:rPr>
      </w:pPr>
      <w:r>
        <w:rPr>
          <w:rFonts w:hint="eastAsia" w:ascii="宋体" w:hAnsi="宋体" w:eastAsia="宋体" w:cs="宋体"/>
          <w:b/>
          <w:bCs/>
          <w:color w:val="auto"/>
          <w:sz w:val="24"/>
          <w:lang w:val="en-US" w:eastAsia="zh-CN"/>
        </w:rPr>
        <w:t>4.4.4</w:t>
      </w:r>
      <w:r>
        <w:rPr>
          <w:rFonts w:hint="eastAsia" w:ascii="宋体" w:hAnsi="宋体" w:eastAsia="宋体" w:cs="宋体"/>
          <w:b/>
          <w:bCs/>
          <w:color w:val="auto"/>
          <w:kern w:val="0"/>
          <w:sz w:val="24"/>
          <w:lang w:val="zh-CN"/>
        </w:rPr>
        <w:t>高效送风口(带方形调节阀)</w:t>
      </w:r>
    </w:p>
    <w:p>
      <w:pPr>
        <w:autoSpaceDE w:val="0"/>
        <w:autoSpaceDN w:val="0"/>
        <w:adjustRightInd w:val="0"/>
        <w:spacing w:line="360" w:lineRule="auto"/>
        <w:ind w:right="-247" w:rightChars="-118"/>
        <w:jc w:val="left"/>
        <w:rPr>
          <w:rFonts w:ascii="宋体" w:hAnsi="宋体" w:eastAsia="宋体" w:cs="宋体"/>
          <w:color w:val="auto"/>
          <w:kern w:val="0"/>
          <w:sz w:val="24"/>
          <w:lang w:val="zh-CN"/>
        </w:rPr>
      </w:pPr>
      <w:r>
        <w:rPr>
          <w:rFonts w:hint="eastAsia" w:ascii="宋体" w:hAnsi="宋体" w:eastAsia="宋体" w:cs="宋体"/>
          <w:b w:val="0"/>
          <w:bCs w:val="0"/>
          <w:color w:val="auto"/>
          <w:sz w:val="24"/>
          <w:lang w:val="en-US" w:eastAsia="zh-CN"/>
        </w:rPr>
        <w:t>4.4.4.1</w:t>
      </w:r>
      <w:r>
        <w:rPr>
          <w:rFonts w:hint="eastAsia" w:ascii="宋体" w:hAnsi="宋体" w:eastAsia="宋体" w:cs="宋体"/>
          <w:color w:val="auto"/>
          <w:kern w:val="0"/>
          <w:sz w:val="24"/>
          <w:lang w:val="zh-CN"/>
        </w:rPr>
        <w:t>面板为冷轧镀锌钢板，表面根据要求做喷漆处理，外表面必须平滑细腻，无凹凸和起楞；</w:t>
      </w:r>
    </w:p>
    <w:p>
      <w:pPr>
        <w:autoSpaceDE w:val="0"/>
        <w:autoSpaceDN w:val="0"/>
        <w:adjustRightInd w:val="0"/>
        <w:spacing w:line="360" w:lineRule="auto"/>
        <w:ind w:right="-247" w:rightChars="-118"/>
        <w:jc w:val="left"/>
        <w:rPr>
          <w:rFonts w:ascii="宋体" w:hAnsi="宋体" w:eastAsia="宋体" w:cs="宋体"/>
          <w:color w:val="auto"/>
          <w:kern w:val="0"/>
          <w:sz w:val="24"/>
        </w:rPr>
      </w:pPr>
      <w:r>
        <w:rPr>
          <w:rFonts w:hint="eastAsia" w:ascii="宋体" w:hAnsi="宋体" w:eastAsia="宋体" w:cs="宋体"/>
          <w:b w:val="0"/>
          <w:bCs w:val="0"/>
          <w:color w:val="auto"/>
          <w:sz w:val="24"/>
          <w:lang w:val="en-US" w:eastAsia="zh-CN"/>
        </w:rPr>
        <w:t>4.4.4.</w:t>
      </w:r>
      <w:r>
        <w:rPr>
          <w:rFonts w:hint="eastAsia" w:ascii="宋体" w:hAnsi="宋体" w:eastAsia="宋体" w:cs="宋体"/>
          <w:color w:val="auto"/>
          <w:sz w:val="24"/>
        </w:rPr>
        <w:t>2</w:t>
      </w:r>
      <w:r>
        <w:rPr>
          <w:rFonts w:hint="eastAsia" w:ascii="宋体" w:hAnsi="宋体" w:eastAsia="宋体" w:cs="宋体"/>
          <w:color w:val="auto"/>
          <w:kern w:val="0"/>
          <w:sz w:val="24"/>
          <w:lang w:val="zh-CN"/>
        </w:rPr>
        <w:t>具有较好的过滤性能</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高效过滤效率</w:t>
      </w:r>
      <w:r>
        <w:rPr>
          <w:rFonts w:hint="eastAsia" w:ascii="宋体" w:hAnsi="宋体" w:eastAsia="宋体" w:cs="宋体"/>
          <w:color w:val="auto"/>
          <w:kern w:val="0"/>
          <w:sz w:val="24"/>
        </w:rPr>
        <w:t>≥99．99％@≥0.3um；</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4.4.4.</w:t>
      </w:r>
      <w:r>
        <w:rPr>
          <w:rFonts w:hint="eastAsia" w:ascii="宋体" w:hAnsi="宋体" w:eastAsia="宋体" w:cs="宋体"/>
          <w:color w:val="auto"/>
          <w:sz w:val="24"/>
        </w:rPr>
        <w:t>3采用封闭式设计，防止内部有空隙和侧漏，达到洁净区对空气质量的严格要求；</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4.4.4.</w:t>
      </w:r>
      <w:r>
        <w:rPr>
          <w:rFonts w:hint="eastAsia" w:ascii="宋体" w:hAnsi="宋体" w:eastAsia="宋体" w:cs="宋体"/>
          <w:color w:val="auto"/>
          <w:sz w:val="24"/>
        </w:rPr>
        <w:t>4吊顶安装在室内就可以方便更换过滤器。</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4.4.4.</w:t>
      </w:r>
      <w:r>
        <w:rPr>
          <w:rFonts w:hint="eastAsia" w:ascii="宋体" w:hAnsi="宋体" w:eastAsia="宋体" w:cs="宋体"/>
          <w:color w:val="auto"/>
          <w:sz w:val="24"/>
        </w:rPr>
        <w:t>5洁净送风口散流器采用孔板式扩散板，材质为1.2mm铝合金制造。</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4.4.5</w:t>
      </w:r>
      <w:r>
        <w:rPr>
          <w:rFonts w:hint="eastAsia" w:ascii="宋体" w:hAnsi="宋体" w:eastAsia="宋体" w:cs="宋体"/>
          <w:b/>
          <w:bCs/>
          <w:color w:val="auto"/>
          <w:sz w:val="24"/>
        </w:rPr>
        <w:t>高效过滤器</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4.4.5.</w:t>
      </w:r>
      <w:r>
        <w:rPr>
          <w:rFonts w:hint="eastAsia" w:ascii="宋体" w:hAnsi="宋体" w:eastAsia="宋体" w:cs="宋体"/>
          <w:b w:val="0"/>
          <w:bCs w:val="0"/>
          <w:color w:val="auto"/>
          <w:sz w:val="24"/>
        </w:rPr>
        <w:t>1</w:t>
      </w:r>
      <w:r>
        <w:rPr>
          <w:rFonts w:hint="eastAsia" w:ascii="宋体" w:hAnsi="宋体" w:eastAsia="宋体" w:cs="宋体"/>
          <w:color w:val="auto"/>
          <w:sz w:val="24"/>
        </w:rPr>
        <w:t>尺寸（MM）：320*320*220；484*484*220；630*630*220</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4.4.5.</w:t>
      </w:r>
      <w:r>
        <w:rPr>
          <w:rFonts w:hint="eastAsia" w:ascii="宋体" w:hAnsi="宋体" w:eastAsia="宋体" w:cs="宋体"/>
          <w:color w:val="auto"/>
          <w:sz w:val="24"/>
        </w:rPr>
        <w:t>2、额定风量：500M3/h； 1000 M3/h；1500 M3/h</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4.4.5.</w:t>
      </w:r>
      <w:r>
        <w:rPr>
          <w:rFonts w:hint="eastAsia" w:ascii="宋体" w:hAnsi="宋体" w:eastAsia="宋体" w:cs="宋体"/>
          <w:color w:val="auto"/>
          <w:sz w:val="24"/>
        </w:rPr>
        <w:t>3、初阻力（Pa）：≤220</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4.4.5.</w:t>
      </w:r>
      <w:r>
        <w:rPr>
          <w:rFonts w:hint="eastAsia" w:ascii="宋体" w:hAnsi="宋体" w:eastAsia="宋体" w:cs="宋体"/>
          <w:color w:val="auto"/>
          <w:sz w:val="24"/>
        </w:rPr>
        <w:t>4、过滤效率（%）（钠焰法）：≥99.99≥0.3um。</w:t>
      </w:r>
    </w:p>
    <w:p>
      <w:pPr>
        <w:autoSpaceDE w:val="0"/>
        <w:autoSpaceDN w:val="0"/>
        <w:adjustRightInd w:val="0"/>
        <w:spacing w:line="360" w:lineRule="auto"/>
        <w:ind w:right="-247" w:rightChars="-118"/>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4.4.6回风口、排风口</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4.4.6.</w:t>
      </w:r>
      <w:r>
        <w:rPr>
          <w:rFonts w:hint="eastAsia" w:ascii="宋体" w:hAnsi="宋体" w:eastAsia="宋体" w:cs="宋体"/>
          <w:b w:val="0"/>
          <w:bCs w:val="0"/>
          <w:color w:val="auto"/>
          <w:sz w:val="24"/>
        </w:rPr>
        <w:t>1</w:t>
      </w:r>
      <w:r>
        <w:rPr>
          <w:rFonts w:hint="eastAsia" w:ascii="宋体" w:hAnsi="宋体" w:eastAsia="宋体" w:cs="宋体"/>
          <w:color w:val="auto"/>
          <w:sz w:val="24"/>
        </w:rPr>
        <w:t>表面根据要求做喷漆处理，外表面必须平滑细腻，无凹凸和起楞；</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4.4.6.</w:t>
      </w:r>
      <w:r>
        <w:rPr>
          <w:rFonts w:hint="eastAsia" w:ascii="宋体" w:hAnsi="宋体" w:eastAsia="宋体" w:cs="宋体"/>
          <w:color w:val="auto"/>
          <w:sz w:val="24"/>
        </w:rPr>
        <w:t>2内含进口中效过滤器，采用≥1um大气尘计数效率≥65%的中效过滤器；</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4.4.6.</w:t>
      </w:r>
      <w:r>
        <w:rPr>
          <w:rFonts w:hint="eastAsia" w:ascii="宋体" w:hAnsi="宋体" w:eastAsia="宋体" w:cs="宋体"/>
          <w:color w:val="auto"/>
          <w:sz w:val="24"/>
        </w:rPr>
        <w:t>3在室内就可以方便更换过滤器。</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4.4.7</w:t>
      </w:r>
      <w:r>
        <w:rPr>
          <w:rFonts w:hint="eastAsia" w:ascii="宋体" w:hAnsi="宋体" w:eastAsia="宋体" w:cs="宋体"/>
          <w:b/>
          <w:bCs/>
          <w:color w:val="auto"/>
          <w:sz w:val="24"/>
        </w:rPr>
        <w:t>止回阀</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4.4.7.</w:t>
      </w:r>
      <w:r>
        <w:rPr>
          <w:rFonts w:hint="eastAsia" w:ascii="宋体" w:hAnsi="宋体" w:eastAsia="宋体" w:cs="宋体"/>
          <w:b w:val="0"/>
          <w:bCs w:val="0"/>
          <w:color w:val="auto"/>
          <w:sz w:val="24"/>
        </w:rPr>
        <w:t>1</w:t>
      </w:r>
      <w:r>
        <w:rPr>
          <w:rFonts w:hint="eastAsia" w:ascii="宋体" w:hAnsi="宋体" w:eastAsia="宋体" w:cs="宋体"/>
          <w:color w:val="auto"/>
          <w:sz w:val="24"/>
        </w:rPr>
        <w:t>阀体的轴和零件表面作喷塑处理，不易生锈；</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4.4.7.</w:t>
      </w:r>
      <w:r>
        <w:rPr>
          <w:rFonts w:hint="eastAsia" w:ascii="宋体" w:hAnsi="宋体" w:eastAsia="宋体" w:cs="宋体"/>
          <w:color w:val="auto"/>
          <w:sz w:val="24"/>
        </w:rPr>
        <w:t>2良好的阀片关闭措施，气密性好；</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4.4.7.</w:t>
      </w:r>
      <w:r>
        <w:rPr>
          <w:rFonts w:hint="eastAsia" w:ascii="宋体" w:hAnsi="宋体" w:eastAsia="宋体" w:cs="宋体"/>
          <w:color w:val="auto"/>
          <w:sz w:val="24"/>
        </w:rPr>
        <w:t>3安装于排风系统风管上。</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4.4.8</w:t>
      </w:r>
      <w:r>
        <w:rPr>
          <w:rFonts w:hint="eastAsia" w:ascii="宋体" w:hAnsi="宋体" w:eastAsia="宋体" w:cs="宋体"/>
          <w:b/>
          <w:bCs/>
          <w:color w:val="auto"/>
          <w:sz w:val="24"/>
        </w:rPr>
        <w:t>排风机</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4.4.8.</w:t>
      </w:r>
      <w:r>
        <w:rPr>
          <w:rFonts w:hint="eastAsia" w:ascii="宋体" w:hAnsi="宋体" w:eastAsia="宋体" w:cs="宋体"/>
          <w:b w:val="0"/>
          <w:bCs w:val="0"/>
          <w:color w:val="auto"/>
          <w:sz w:val="24"/>
        </w:rPr>
        <w:t>1</w:t>
      </w:r>
      <w:r>
        <w:rPr>
          <w:rFonts w:hint="eastAsia" w:ascii="宋体" w:hAnsi="宋体" w:eastAsia="宋体" w:cs="宋体"/>
          <w:color w:val="auto"/>
          <w:sz w:val="24"/>
        </w:rPr>
        <w:t>高静压型，符合排风系统的静压要求；</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4.4.8.</w:t>
      </w:r>
      <w:r>
        <w:rPr>
          <w:rFonts w:hint="eastAsia" w:ascii="宋体" w:hAnsi="宋体" w:eastAsia="宋体" w:cs="宋体"/>
          <w:color w:val="auto"/>
          <w:sz w:val="24"/>
        </w:rPr>
        <w:t>2运行稳定，低噪音；</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4.4.9</w:t>
      </w:r>
      <w:r>
        <w:rPr>
          <w:rFonts w:hint="eastAsia" w:ascii="宋体" w:hAnsi="宋体" w:eastAsia="宋体" w:cs="宋体"/>
          <w:b/>
          <w:bCs/>
          <w:color w:val="auto"/>
          <w:sz w:val="24"/>
        </w:rPr>
        <w:t>消声器</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4.4.9.</w:t>
      </w:r>
      <w:r>
        <w:rPr>
          <w:rFonts w:hint="eastAsia" w:ascii="宋体" w:hAnsi="宋体" w:eastAsia="宋体" w:cs="宋体"/>
          <w:b w:val="0"/>
          <w:bCs w:val="0"/>
          <w:color w:val="auto"/>
          <w:sz w:val="24"/>
        </w:rPr>
        <w:t>1</w:t>
      </w:r>
      <w:r>
        <w:rPr>
          <w:rFonts w:hint="eastAsia" w:ascii="宋体" w:hAnsi="宋体" w:eastAsia="宋体" w:cs="宋体"/>
          <w:color w:val="auto"/>
          <w:sz w:val="24"/>
        </w:rPr>
        <w:t>风管主管道必须安装消声器；</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4.4.9.</w:t>
      </w:r>
      <w:r>
        <w:rPr>
          <w:rFonts w:hint="eastAsia" w:ascii="宋体" w:hAnsi="宋体" w:eastAsia="宋体" w:cs="宋体"/>
          <w:color w:val="auto"/>
          <w:sz w:val="24"/>
        </w:rPr>
        <w:t>2可采用管道式消音器，由单层不同穿孔率的小孔板构成；</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4.4.9.</w:t>
      </w:r>
      <w:r>
        <w:rPr>
          <w:rFonts w:hint="eastAsia" w:ascii="宋体" w:hAnsi="宋体" w:eastAsia="宋体" w:cs="宋体"/>
          <w:color w:val="auto"/>
          <w:sz w:val="24"/>
        </w:rPr>
        <w:t>3采用金属结构，构造简单，体积小，防火；</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4.4.9.</w:t>
      </w:r>
      <w:r>
        <w:rPr>
          <w:rFonts w:hint="eastAsia" w:ascii="宋体" w:hAnsi="宋体" w:eastAsia="宋体" w:cs="宋体"/>
          <w:color w:val="auto"/>
          <w:sz w:val="24"/>
        </w:rPr>
        <w:t>4不填充玻璃纤维，不产生灰尘，纤维质等污染空气；</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4.4.9.</w:t>
      </w:r>
      <w:r>
        <w:rPr>
          <w:rFonts w:hint="eastAsia" w:ascii="宋体" w:hAnsi="宋体" w:eastAsia="宋体" w:cs="宋体"/>
          <w:color w:val="auto"/>
          <w:sz w:val="24"/>
        </w:rPr>
        <w:t>5其内外表均经无菌处理。</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4.4.10</w:t>
      </w:r>
      <w:r>
        <w:rPr>
          <w:rFonts w:hint="eastAsia" w:ascii="宋体" w:hAnsi="宋体" w:eastAsia="宋体" w:cs="宋体"/>
          <w:b/>
          <w:bCs/>
          <w:color w:val="auto"/>
          <w:sz w:val="24"/>
        </w:rPr>
        <w:t>防雨百叶</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4.4.10.</w:t>
      </w:r>
      <w:r>
        <w:rPr>
          <w:rFonts w:hint="eastAsia" w:ascii="宋体" w:hAnsi="宋体" w:eastAsia="宋体" w:cs="宋体"/>
          <w:b w:val="0"/>
          <w:bCs w:val="0"/>
          <w:color w:val="auto"/>
          <w:sz w:val="24"/>
        </w:rPr>
        <w:t>1全</w:t>
      </w:r>
      <w:r>
        <w:rPr>
          <w:rFonts w:hint="eastAsia" w:ascii="宋体" w:hAnsi="宋体" w:eastAsia="宋体" w:cs="宋体"/>
          <w:color w:val="auto"/>
          <w:sz w:val="24"/>
        </w:rPr>
        <w:t>部采用喷塑处理，美观、实用。彻底防止自然锈蚀的发生；</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4.4.10.</w:t>
      </w:r>
      <w:r>
        <w:rPr>
          <w:rFonts w:hint="eastAsia" w:ascii="宋体" w:hAnsi="宋体" w:eastAsia="宋体" w:cs="宋体"/>
          <w:color w:val="auto"/>
          <w:sz w:val="24"/>
        </w:rPr>
        <w:t>2自带防虫网，防止外物进入排风系统。</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4.4.11</w:t>
      </w:r>
      <w:r>
        <w:rPr>
          <w:rFonts w:hint="eastAsia" w:ascii="宋体" w:hAnsi="宋体" w:eastAsia="宋体" w:cs="宋体"/>
          <w:b/>
          <w:bCs/>
          <w:color w:val="auto"/>
          <w:sz w:val="24"/>
        </w:rPr>
        <w:t>电动定风量调节阀</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4.4.11.</w:t>
      </w:r>
      <w:r>
        <w:rPr>
          <w:rFonts w:hint="eastAsia" w:ascii="宋体" w:hAnsi="宋体" w:eastAsia="宋体" w:cs="宋体"/>
          <w:b w:val="0"/>
          <w:bCs w:val="0"/>
          <w:color w:val="auto"/>
          <w:sz w:val="24"/>
        </w:rPr>
        <w:t>1</w:t>
      </w:r>
      <w:r>
        <w:rPr>
          <w:rFonts w:hint="eastAsia" w:ascii="宋体" w:hAnsi="宋体" w:eastAsia="宋体" w:cs="宋体"/>
          <w:color w:val="auto"/>
          <w:sz w:val="24"/>
        </w:rPr>
        <w:t>采用机械式自力装置，不需要外加动力，保持在预先设定的流量上。可以用带指针的外刻度盘准确地设定流量；</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4.4.11.</w:t>
      </w:r>
      <w:r>
        <w:rPr>
          <w:rFonts w:hint="eastAsia" w:ascii="宋体" w:hAnsi="宋体" w:eastAsia="宋体" w:cs="宋体"/>
          <w:color w:val="auto"/>
          <w:sz w:val="24"/>
        </w:rPr>
        <w:t>2安装于送/排风口，随时控制进入系统的送/排量；</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4.4.11.</w:t>
      </w:r>
      <w:r>
        <w:rPr>
          <w:rFonts w:hint="eastAsia" w:ascii="宋体" w:hAnsi="宋体" w:eastAsia="宋体" w:cs="宋体"/>
          <w:color w:val="auto"/>
          <w:sz w:val="24"/>
        </w:rPr>
        <w:t>3采用电动调节，实现控制系统控制灵活。</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4.4.12</w:t>
      </w:r>
      <w:r>
        <w:rPr>
          <w:rFonts w:hint="eastAsia" w:ascii="宋体" w:hAnsi="宋体" w:eastAsia="宋体" w:cs="宋体"/>
          <w:b/>
          <w:bCs/>
          <w:color w:val="auto"/>
          <w:sz w:val="24"/>
        </w:rPr>
        <w:t>风量调节阀</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4.4.12.</w:t>
      </w:r>
      <w:r>
        <w:rPr>
          <w:rFonts w:hint="eastAsia" w:ascii="宋体" w:hAnsi="宋体" w:eastAsia="宋体" w:cs="宋体"/>
          <w:b w:val="0"/>
          <w:bCs w:val="0"/>
          <w:color w:val="auto"/>
          <w:sz w:val="24"/>
        </w:rPr>
        <w:t>1</w:t>
      </w:r>
      <w:r>
        <w:rPr>
          <w:rFonts w:hint="eastAsia" w:ascii="宋体" w:hAnsi="宋体" w:eastAsia="宋体" w:cs="宋体"/>
          <w:color w:val="auto"/>
          <w:sz w:val="24"/>
        </w:rPr>
        <w:t>高强度铝合金翼形对开风叶及框架，隐蔽齿轮驱动，防腐耐磨，操作轻便可靠；</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4.4.12.</w:t>
      </w:r>
      <w:r>
        <w:rPr>
          <w:rFonts w:hint="eastAsia" w:ascii="宋体" w:hAnsi="宋体" w:eastAsia="宋体" w:cs="宋体"/>
          <w:color w:val="auto"/>
          <w:sz w:val="24"/>
        </w:rPr>
        <w:t>2风道阀门采用对开多叶调节阀，小断面风道采用蝶阀；</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4.4.12.</w:t>
      </w:r>
      <w:r>
        <w:rPr>
          <w:rFonts w:hint="eastAsia" w:ascii="宋体" w:hAnsi="宋体" w:eastAsia="宋体" w:cs="宋体"/>
          <w:color w:val="auto"/>
          <w:sz w:val="24"/>
        </w:rPr>
        <w:t>3叶片开启角度有标志；</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4.4.12.</w:t>
      </w:r>
      <w:r>
        <w:rPr>
          <w:rFonts w:hint="eastAsia" w:ascii="宋体" w:hAnsi="宋体" w:eastAsia="宋体" w:cs="宋体"/>
          <w:color w:val="auto"/>
          <w:sz w:val="24"/>
        </w:rPr>
        <w:t>4空调风系统简单的调节装置，可对空调风系统进行简单的手动调节；</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4.4.12.</w:t>
      </w:r>
      <w:r>
        <w:rPr>
          <w:rFonts w:hint="eastAsia" w:ascii="宋体" w:hAnsi="宋体" w:eastAsia="宋体" w:cs="宋体"/>
          <w:color w:val="auto"/>
          <w:sz w:val="24"/>
        </w:rPr>
        <w:t>5安装于空调风系统需要调节及控制的位置。</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 xml:space="preserve">4.4.13 </w:t>
      </w:r>
      <w:r>
        <w:rPr>
          <w:rFonts w:hint="eastAsia" w:ascii="宋体" w:hAnsi="宋体" w:eastAsia="宋体" w:cs="宋体"/>
          <w:b/>
          <w:bCs/>
          <w:color w:val="auto"/>
          <w:sz w:val="24"/>
        </w:rPr>
        <w:t>防火阀</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4.4.13.</w:t>
      </w:r>
      <w:r>
        <w:rPr>
          <w:rFonts w:hint="eastAsia" w:ascii="宋体" w:hAnsi="宋体" w:eastAsia="宋体" w:cs="宋体"/>
          <w:b w:val="0"/>
          <w:bCs w:val="0"/>
          <w:color w:val="auto"/>
          <w:sz w:val="24"/>
        </w:rPr>
        <w:t>1符</w:t>
      </w:r>
      <w:r>
        <w:rPr>
          <w:rFonts w:hint="eastAsia" w:ascii="宋体" w:hAnsi="宋体" w:eastAsia="宋体" w:cs="宋体"/>
          <w:color w:val="auto"/>
          <w:sz w:val="24"/>
        </w:rPr>
        <w:t>合防火要求，风管穿越防火分区的位置需加装防火阀；</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4.4.13.</w:t>
      </w:r>
      <w:r>
        <w:rPr>
          <w:rFonts w:hint="eastAsia" w:ascii="宋体" w:hAnsi="宋体" w:eastAsia="宋体" w:cs="宋体"/>
          <w:color w:val="auto"/>
          <w:sz w:val="24"/>
        </w:rPr>
        <w:t>2采用优质钢板制作，外框板厚度不小于3mm，叶片厚度不小于2mm；</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4.4.13.</w:t>
      </w:r>
      <w:r>
        <w:rPr>
          <w:rFonts w:hint="eastAsia" w:ascii="宋体" w:hAnsi="宋体" w:eastAsia="宋体" w:cs="宋体"/>
          <w:color w:val="auto"/>
          <w:sz w:val="24"/>
        </w:rPr>
        <w:t>3采用带风量调节性能的防火阀；</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4.4.13.</w:t>
      </w:r>
      <w:r>
        <w:rPr>
          <w:rFonts w:hint="eastAsia" w:ascii="宋体" w:hAnsi="宋体" w:eastAsia="宋体" w:cs="宋体"/>
          <w:color w:val="auto"/>
          <w:sz w:val="24"/>
        </w:rPr>
        <w:t>4防火阀必须单独设置支吊架；</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4.4.13.</w:t>
      </w:r>
      <w:r>
        <w:rPr>
          <w:rFonts w:hint="eastAsia" w:ascii="宋体" w:hAnsi="宋体" w:eastAsia="宋体" w:cs="宋体"/>
          <w:color w:val="auto"/>
          <w:sz w:val="24"/>
        </w:rPr>
        <w:t>5防火阀紧贴楼板安装；</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4.4.13.</w:t>
      </w:r>
      <w:r>
        <w:rPr>
          <w:rFonts w:hint="eastAsia" w:ascii="宋体" w:hAnsi="宋体" w:eastAsia="宋体" w:cs="宋体"/>
          <w:color w:val="auto"/>
          <w:sz w:val="24"/>
        </w:rPr>
        <w:t>6防火可预留信号输出，可接大楼消防控制系统。</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 xml:space="preserve">4.4.14 </w:t>
      </w:r>
      <w:r>
        <w:rPr>
          <w:rFonts w:hint="eastAsia" w:ascii="宋体" w:hAnsi="宋体" w:eastAsia="宋体" w:cs="宋体"/>
          <w:b/>
          <w:bCs/>
          <w:color w:val="auto"/>
          <w:sz w:val="24"/>
        </w:rPr>
        <w:t>镀锌钢板</w:t>
      </w:r>
    </w:p>
    <w:p>
      <w:pPr>
        <w:autoSpaceDE w:val="0"/>
        <w:autoSpaceDN w:val="0"/>
        <w:adjustRightInd w:val="0"/>
        <w:spacing w:line="360" w:lineRule="auto"/>
        <w:ind w:right="-247" w:rightChars="-118"/>
        <w:jc w:val="left"/>
        <w:rPr>
          <w:rFonts w:ascii="宋体" w:hAnsi="宋体" w:eastAsia="宋体" w:cs="宋体"/>
          <w:b w:val="0"/>
          <w:bCs w:val="0"/>
          <w:color w:val="auto"/>
          <w:sz w:val="24"/>
        </w:rPr>
      </w:pPr>
      <w:r>
        <w:rPr>
          <w:rFonts w:hint="eastAsia" w:ascii="宋体" w:hAnsi="宋体" w:eastAsia="宋体" w:cs="宋体"/>
          <w:b w:val="0"/>
          <w:bCs w:val="0"/>
          <w:color w:val="auto"/>
          <w:sz w:val="24"/>
          <w:lang w:val="en-US" w:eastAsia="zh-CN"/>
        </w:rPr>
        <w:t>4.4.14.</w:t>
      </w:r>
      <w:r>
        <w:rPr>
          <w:rFonts w:hint="eastAsia" w:ascii="宋体" w:hAnsi="宋体" w:eastAsia="宋体" w:cs="宋体"/>
          <w:b w:val="0"/>
          <w:bCs w:val="0"/>
          <w:color w:val="auto"/>
          <w:sz w:val="24"/>
        </w:rPr>
        <w:t>1国标优质镀锌板，知名品牌；</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4.4.14</w:t>
      </w:r>
      <w:r>
        <w:rPr>
          <w:rFonts w:hint="eastAsia" w:ascii="宋体" w:hAnsi="宋体" w:eastAsia="宋体" w:cs="宋体"/>
          <w:color w:val="auto"/>
          <w:sz w:val="24"/>
        </w:rPr>
        <w:t>.2风管大边≤800mm，&gt;600采用O.8mm，风管大边≤600mm采用0.6mm；</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4.4.14</w:t>
      </w:r>
      <w:r>
        <w:rPr>
          <w:rFonts w:hint="eastAsia" w:ascii="宋体" w:hAnsi="宋体" w:eastAsia="宋体" w:cs="宋体"/>
          <w:color w:val="auto"/>
          <w:sz w:val="24"/>
        </w:rPr>
        <w:t>.3风管制作完毕后应使用中性清洗液将内表面清洗干净，并用塑料薄膜及胶带封口以备安装。</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 xml:space="preserve">4.4.15 </w:t>
      </w:r>
      <w:r>
        <w:rPr>
          <w:rFonts w:hint="eastAsia" w:ascii="宋体" w:hAnsi="宋体" w:eastAsia="宋体" w:cs="宋体"/>
          <w:b/>
          <w:bCs/>
          <w:color w:val="auto"/>
          <w:sz w:val="24"/>
        </w:rPr>
        <w:t>风管保温材料</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4.4.15</w:t>
      </w:r>
      <w:r>
        <w:rPr>
          <w:rFonts w:hint="eastAsia" w:ascii="宋体" w:hAnsi="宋体" w:eastAsia="宋体" w:cs="宋体"/>
          <w:color w:val="auto"/>
          <w:sz w:val="24"/>
        </w:rPr>
        <w:t>.1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B1级橡塑保温；</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4.4.15</w:t>
      </w:r>
      <w:r>
        <w:rPr>
          <w:rFonts w:hint="eastAsia" w:ascii="宋体" w:hAnsi="宋体" w:eastAsia="宋体" w:cs="宋体"/>
          <w:color w:val="auto"/>
          <w:sz w:val="24"/>
        </w:rPr>
        <w:t>.2、保温层厚度要求20mm，容重为：40 kg/m3。</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 xml:space="preserve">4.4.16 </w:t>
      </w:r>
      <w:r>
        <w:rPr>
          <w:rFonts w:hint="eastAsia" w:ascii="宋体" w:hAnsi="宋体" w:eastAsia="宋体" w:cs="宋体"/>
          <w:b/>
          <w:bCs/>
          <w:color w:val="auto"/>
          <w:sz w:val="24"/>
        </w:rPr>
        <w:t>净化灯</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4.4.16.</w:t>
      </w:r>
      <w:r>
        <w:rPr>
          <w:rFonts w:hint="eastAsia" w:ascii="宋体" w:hAnsi="宋体" w:eastAsia="宋体" w:cs="宋体"/>
          <w:b w:val="0"/>
          <w:bCs w:val="0"/>
          <w:color w:val="auto"/>
          <w:sz w:val="24"/>
        </w:rPr>
        <w:t>1</w:t>
      </w:r>
      <w:r>
        <w:rPr>
          <w:rFonts w:hint="eastAsia" w:ascii="宋体" w:hAnsi="宋体" w:eastAsia="宋体" w:cs="宋体"/>
          <w:color w:val="auto"/>
          <w:sz w:val="24"/>
        </w:rPr>
        <w:t>采用吸顶式洁净气密LED灯盘。</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4.4.16.</w:t>
      </w:r>
      <w:r>
        <w:rPr>
          <w:rFonts w:hint="eastAsia" w:ascii="宋体" w:hAnsi="宋体" w:eastAsia="宋体" w:cs="宋体"/>
          <w:color w:val="auto"/>
          <w:sz w:val="24"/>
        </w:rPr>
        <w:t>2光管支架、灯盘、电子镇流器等均通过国家CCC国家强制认证；</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4.4.16.</w:t>
      </w:r>
      <w:r>
        <w:rPr>
          <w:rFonts w:hint="eastAsia" w:ascii="宋体" w:hAnsi="宋体" w:eastAsia="宋体" w:cs="宋体"/>
          <w:color w:val="auto"/>
          <w:sz w:val="24"/>
        </w:rPr>
        <w:t>3不锈钢边框(冷板喷塑边框)；</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4.4.16.</w:t>
      </w:r>
      <w:r>
        <w:rPr>
          <w:rFonts w:hint="eastAsia" w:ascii="宋体" w:hAnsi="宋体" w:eastAsia="宋体" w:cs="宋体"/>
          <w:color w:val="auto"/>
          <w:sz w:val="24"/>
        </w:rPr>
        <w:t>4乳白有机玻璃面板；</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4.4.16.</w:t>
      </w:r>
      <w:r>
        <w:rPr>
          <w:rFonts w:hint="eastAsia" w:ascii="宋体" w:hAnsi="宋体" w:eastAsia="宋体" w:cs="宋体"/>
          <w:color w:val="auto"/>
          <w:sz w:val="24"/>
        </w:rPr>
        <w:t>5照明度良好，反光柔和，密封性良好；</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4.4.16.</w:t>
      </w:r>
      <w:r>
        <w:rPr>
          <w:rFonts w:hint="eastAsia" w:ascii="宋体" w:hAnsi="宋体" w:eastAsia="宋体" w:cs="宋体"/>
          <w:color w:val="auto"/>
          <w:sz w:val="24"/>
        </w:rPr>
        <w:t>6边框连接处做气密封处理；</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4.4.16.</w:t>
      </w:r>
      <w:r>
        <w:rPr>
          <w:rFonts w:hint="eastAsia" w:ascii="宋体" w:hAnsi="宋体" w:eastAsia="宋体" w:cs="宋体"/>
          <w:color w:val="auto"/>
          <w:sz w:val="24"/>
        </w:rPr>
        <w:t>.7配优质电子整流器，不发生闪烁现象。</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4.4.16.</w:t>
      </w:r>
      <w:r>
        <w:rPr>
          <w:rFonts w:hint="eastAsia" w:ascii="宋体" w:hAnsi="宋体" w:eastAsia="宋体" w:cs="宋体"/>
          <w:color w:val="auto"/>
          <w:sz w:val="24"/>
        </w:rPr>
        <w:t>.8灯管为优质品牌。</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 xml:space="preserve">4.4.17 </w:t>
      </w:r>
      <w:r>
        <w:rPr>
          <w:rFonts w:hint="eastAsia" w:ascii="宋体" w:hAnsi="宋体" w:eastAsia="宋体" w:cs="宋体"/>
          <w:b/>
          <w:bCs/>
          <w:color w:val="auto"/>
          <w:sz w:val="24"/>
        </w:rPr>
        <w:t>配电箱（柜）</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4.4.17.</w:t>
      </w:r>
      <w:r>
        <w:rPr>
          <w:rFonts w:hint="eastAsia" w:ascii="宋体" w:hAnsi="宋体" w:eastAsia="宋体" w:cs="宋体"/>
          <w:color w:val="auto"/>
          <w:sz w:val="24"/>
        </w:rPr>
        <w:t>1通过3C国家强制认证；</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4.4.17.</w:t>
      </w:r>
      <w:r>
        <w:rPr>
          <w:rFonts w:hint="eastAsia" w:ascii="宋体" w:hAnsi="宋体" w:eastAsia="宋体" w:cs="宋体"/>
          <w:color w:val="auto"/>
          <w:sz w:val="24"/>
          <w:lang w:val="en-US" w:eastAsia="zh-CN"/>
        </w:rPr>
        <w:t>2</w:t>
      </w:r>
      <w:r>
        <w:rPr>
          <w:rFonts w:hint="eastAsia" w:ascii="宋体" w:hAnsi="宋体" w:eastAsia="宋体" w:cs="宋体"/>
          <w:color w:val="auto"/>
          <w:sz w:val="24"/>
        </w:rPr>
        <w:t>采用不锈钢材质，照明箱采用优质品牌面板</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 xml:space="preserve">4.4.18 </w:t>
      </w:r>
      <w:r>
        <w:rPr>
          <w:rFonts w:hint="eastAsia" w:ascii="宋体" w:hAnsi="宋体" w:eastAsia="宋体" w:cs="宋体"/>
          <w:b/>
          <w:bCs/>
          <w:color w:val="auto"/>
          <w:sz w:val="24"/>
        </w:rPr>
        <w:t>开关、插座</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4.4.18.</w:t>
      </w:r>
      <w:r>
        <w:rPr>
          <w:rFonts w:hint="eastAsia" w:ascii="宋体" w:hAnsi="宋体" w:eastAsia="宋体" w:cs="宋体"/>
          <w:b w:val="0"/>
          <w:bCs w:val="0"/>
          <w:color w:val="auto"/>
          <w:sz w:val="24"/>
        </w:rPr>
        <w:t>1</w:t>
      </w:r>
      <w:r>
        <w:rPr>
          <w:rFonts w:hint="eastAsia" w:ascii="宋体" w:hAnsi="宋体" w:eastAsia="宋体" w:cs="宋体"/>
          <w:color w:val="auto"/>
          <w:sz w:val="24"/>
        </w:rPr>
        <w:t>通过CCC国家强制认证；</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4.4.18.</w:t>
      </w:r>
      <w:r>
        <w:rPr>
          <w:rFonts w:hint="eastAsia" w:ascii="宋体" w:hAnsi="宋体" w:eastAsia="宋体" w:cs="宋体"/>
          <w:color w:val="auto"/>
          <w:sz w:val="24"/>
        </w:rPr>
        <w:t>2边框连接处做气密封处理；</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4.4.18.</w:t>
      </w:r>
      <w:r>
        <w:rPr>
          <w:rFonts w:hint="eastAsia" w:ascii="宋体" w:hAnsi="宋体" w:eastAsia="宋体" w:cs="宋体"/>
          <w:color w:val="auto"/>
          <w:sz w:val="24"/>
        </w:rPr>
        <w:t>3二、三级普通插座，乳白色面板；</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4.4.18.</w:t>
      </w:r>
      <w:r>
        <w:rPr>
          <w:rFonts w:hint="eastAsia" w:ascii="宋体" w:hAnsi="宋体" w:eastAsia="宋体" w:cs="宋体"/>
          <w:color w:val="auto"/>
          <w:sz w:val="24"/>
        </w:rPr>
        <w:t>4开关为大跷板式，乳白色面板；</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4.4.18.</w:t>
      </w:r>
      <w:r>
        <w:rPr>
          <w:rFonts w:hint="eastAsia" w:ascii="宋体" w:hAnsi="宋体" w:eastAsia="宋体" w:cs="宋体"/>
          <w:color w:val="auto"/>
          <w:sz w:val="24"/>
        </w:rPr>
        <w:t>5嵌入式安装。</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4.4.19</w:t>
      </w:r>
      <w:r>
        <w:rPr>
          <w:rFonts w:hint="eastAsia" w:ascii="宋体" w:hAnsi="宋体" w:eastAsia="宋体" w:cs="宋体"/>
          <w:b/>
          <w:bCs/>
          <w:color w:val="auto"/>
          <w:sz w:val="24"/>
        </w:rPr>
        <w:t>镀锌线管</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4.4.19.</w:t>
      </w:r>
      <w:r>
        <w:rPr>
          <w:rFonts w:hint="eastAsia" w:ascii="宋体" w:hAnsi="宋体" w:eastAsia="宋体" w:cs="宋体"/>
          <w:color w:val="auto"/>
          <w:sz w:val="24"/>
        </w:rPr>
        <w:t>1国产名优镀锌钢管；管壁厚&gt;1.2mm；</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4.4.19.</w:t>
      </w:r>
      <w:r>
        <w:rPr>
          <w:rFonts w:hint="eastAsia" w:ascii="宋体" w:hAnsi="宋体" w:eastAsia="宋体" w:cs="宋体"/>
          <w:color w:val="auto"/>
          <w:sz w:val="24"/>
        </w:rPr>
        <w:t>2符合设计及有关规范要求；</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4.4.19.</w:t>
      </w:r>
      <w:r>
        <w:rPr>
          <w:rFonts w:hint="eastAsia" w:ascii="宋体" w:hAnsi="宋体" w:eastAsia="宋体" w:cs="宋体"/>
          <w:color w:val="auto"/>
          <w:sz w:val="24"/>
        </w:rPr>
        <w:t>3必须是电线专用线管，不允许用其他管道代替。</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 xml:space="preserve">4.4.20 </w:t>
      </w:r>
      <w:r>
        <w:rPr>
          <w:rFonts w:hint="eastAsia" w:ascii="宋体" w:hAnsi="宋体" w:eastAsia="宋体" w:cs="宋体"/>
          <w:b/>
          <w:bCs/>
          <w:color w:val="auto"/>
          <w:sz w:val="24"/>
        </w:rPr>
        <w:t>电线及电缆</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4.4.20.</w:t>
      </w:r>
      <w:r>
        <w:rPr>
          <w:rFonts w:hint="eastAsia" w:ascii="宋体" w:hAnsi="宋体" w:eastAsia="宋体" w:cs="宋体"/>
          <w:b w:val="0"/>
          <w:bCs w:val="0"/>
          <w:color w:val="auto"/>
          <w:sz w:val="24"/>
        </w:rPr>
        <w:t>1</w:t>
      </w:r>
      <w:r>
        <w:rPr>
          <w:rFonts w:hint="eastAsia" w:ascii="宋体" w:hAnsi="宋体" w:eastAsia="宋体" w:cs="宋体"/>
          <w:color w:val="auto"/>
          <w:sz w:val="24"/>
        </w:rPr>
        <w:t>通过2000版IS09000系列质量体系认证；</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4.4.20.</w:t>
      </w:r>
      <w:r>
        <w:rPr>
          <w:rFonts w:hint="eastAsia" w:ascii="宋体" w:hAnsi="宋体" w:eastAsia="宋体" w:cs="宋体"/>
          <w:color w:val="auto"/>
          <w:sz w:val="24"/>
        </w:rPr>
        <w:t>2采用优质铜芯；绝缘层厚度、芯线直径等参数满足国家标准；</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4.4.20.</w:t>
      </w:r>
      <w:r>
        <w:rPr>
          <w:rFonts w:hint="eastAsia" w:ascii="宋体" w:hAnsi="宋体" w:eastAsia="宋体" w:cs="宋体"/>
          <w:color w:val="auto"/>
          <w:sz w:val="24"/>
        </w:rPr>
        <w:t>3采用500V ZR-BVV电线。</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4.4.21.</w:t>
      </w:r>
      <w:r>
        <w:rPr>
          <w:rFonts w:hint="eastAsia" w:ascii="宋体" w:hAnsi="宋体" w:eastAsia="宋体" w:cs="宋体"/>
          <w:b/>
          <w:bCs/>
          <w:color w:val="auto"/>
          <w:sz w:val="24"/>
        </w:rPr>
        <w:t>给水管</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4.4.21.</w:t>
      </w:r>
      <w:r>
        <w:rPr>
          <w:rFonts w:hint="eastAsia" w:ascii="宋体" w:hAnsi="宋体" w:eastAsia="宋体" w:cs="宋体"/>
          <w:b w:val="0"/>
          <w:bCs w:val="0"/>
          <w:color w:val="auto"/>
          <w:sz w:val="24"/>
        </w:rPr>
        <w:t>1PP-R塑</w:t>
      </w:r>
      <w:r>
        <w:rPr>
          <w:rFonts w:hint="eastAsia" w:ascii="宋体" w:hAnsi="宋体" w:eastAsia="宋体" w:cs="宋体"/>
          <w:color w:val="auto"/>
          <w:sz w:val="24"/>
        </w:rPr>
        <w:t>料给水管，热熔连接；</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4.4.21.</w:t>
      </w:r>
      <w:r>
        <w:rPr>
          <w:rFonts w:hint="eastAsia" w:ascii="宋体" w:hAnsi="宋体" w:eastAsia="宋体" w:cs="宋体"/>
          <w:color w:val="auto"/>
          <w:sz w:val="24"/>
        </w:rPr>
        <w:t>2管材、管件，必须符合现行产品行业标准，符合现行国家有关卫生标准的要求；</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4.4.21.</w:t>
      </w:r>
      <w:r>
        <w:rPr>
          <w:rFonts w:hint="eastAsia" w:ascii="宋体" w:hAnsi="宋体" w:eastAsia="宋体" w:cs="宋体"/>
          <w:color w:val="auto"/>
          <w:sz w:val="24"/>
        </w:rPr>
        <w:t>3耐腐蚀，化学惰性好，对水中的离子和建筑物内的化学物质均不起化学作用，不生锈，不腐蚀；</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4.4.21.</w:t>
      </w:r>
      <w:r>
        <w:rPr>
          <w:rFonts w:hint="eastAsia" w:ascii="宋体" w:hAnsi="宋体" w:eastAsia="宋体" w:cs="宋体"/>
          <w:color w:val="auto"/>
          <w:sz w:val="24"/>
        </w:rPr>
        <w:t>4符合设计及有关规范要求。</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 xml:space="preserve">4.4.22 </w:t>
      </w:r>
      <w:r>
        <w:rPr>
          <w:rFonts w:hint="eastAsia" w:ascii="宋体" w:hAnsi="宋体" w:eastAsia="宋体" w:cs="宋体"/>
          <w:b/>
          <w:bCs/>
          <w:color w:val="auto"/>
          <w:sz w:val="24"/>
        </w:rPr>
        <w:t>排水管</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4.4.22.</w:t>
      </w:r>
      <w:r>
        <w:rPr>
          <w:rFonts w:hint="eastAsia" w:ascii="宋体" w:hAnsi="宋体" w:eastAsia="宋体" w:cs="宋体"/>
          <w:b w:val="0"/>
          <w:bCs w:val="0"/>
          <w:color w:val="auto"/>
          <w:sz w:val="24"/>
        </w:rPr>
        <w:t>1</w:t>
      </w:r>
      <w:r>
        <w:rPr>
          <w:rFonts w:hint="eastAsia" w:ascii="宋体" w:hAnsi="宋体" w:eastAsia="宋体" w:cs="宋体"/>
          <w:color w:val="auto"/>
          <w:sz w:val="24"/>
        </w:rPr>
        <w:t>接实验盆废水横管、立管采用PP-R管；</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4.4.22.</w:t>
      </w:r>
      <w:r>
        <w:rPr>
          <w:rFonts w:hint="eastAsia" w:ascii="宋体" w:hAnsi="宋体" w:eastAsia="宋体" w:cs="宋体"/>
          <w:color w:val="auto"/>
          <w:sz w:val="24"/>
        </w:rPr>
        <w:t>2污废水立管、支管用采用PVC-U双壁波纹管；</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4.4.22.</w:t>
      </w:r>
      <w:r>
        <w:rPr>
          <w:rFonts w:hint="eastAsia" w:ascii="宋体" w:hAnsi="宋体" w:eastAsia="宋体" w:cs="宋体"/>
          <w:color w:val="auto"/>
          <w:sz w:val="24"/>
        </w:rPr>
        <w:t>3管材、管件，必须符合现行产品行业标准。</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4.4.22.</w:t>
      </w:r>
      <w:r>
        <w:rPr>
          <w:rFonts w:hint="eastAsia" w:ascii="宋体" w:hAnsi="宋体" w:eastAsia="宋体" w:cs="宋体"/>
          <w:color w:val="auto"/>
          <w:sz w:val="24"/>
        </w:rPr>
        <w:t>4符合设计及有关规范要求。</w:t>
      </w:r>
    </w:p>
    <w:p>
      <w:pPr>
        <w:autoSpaceDE w:val="0"/>
        <w:autoSpaceDN w:val="0"/>
        <w:adjustRightInd w:val="0"/>
        <w:spacing w:line="360" w:lineRule="auto"/>
        <w:ind w:right="-247" w:rightChars="-118"/>
        <w:jc w:val="left"/>
        <w:rPr>
          <w:rFonts w:ascii="宋体" w:hAnsi="宋体" w:eastAsia="宋体" w:cs="宋体"/>
          <w:b/>
          <w:bCs/>
          <w:color w:val="auto"/>
          <w:sz w:val="24"/>
        </w:rPr>
      </w:pPr>
      <w:r>
        <w:rPr>
          <w:rFonts w:hint="eastAsia" w:ascii="宋体" w:hAnsi="宋体" w:eastAsia="宋体" w:cs="宋体"/>
          <w:b/>
          <w:bCs/>
          <w:color w:val="auto"/>
          <w:sz w:val="24"/>
          <w:lang w:val="en-US" w:eastAsia="zh-CN"/>
        </w:rPr>
        <w:t>4.4.23.</w:t>
      </w:r>
      <w:r>
        <w:rPr>
          <w:rFonts w:hint="eastAsia" w:ascii="宋体" w:hAnsi="宋体" w:eastAsia="宋体" w:cs="宋体"/>
          <w:b/>
          <w:bCs/>
          <w:color w:val="auto"/>
          <w:sz w:val="24"/>
        </w:rPr>
        <w:t>不锈钢地漏</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4.4.23.</w:t>
      </w:r>
      <w:r>
        <w:rPr>
          <w:rFonts w:hint="eastAsia" w:ascii="宋体" w:hAnsi="宋体" w:eastAsia="宋体" w:cs="宋体"/>
          <w:color w:val="auto"/>
          <w:sz w:val="24"/>
        </w:rPr>
        <w:t>1通过2000版IS09000系列质量体系认证；</w:t>
      </w:r>
    </w:p>
    <w:p>
      <w:pPr>
        <w:autoSpaceDE w:val="0"/>
        <w:autoSpaceDN w:val="0"/>
        <w:adjustRightInd w:val="0"/>
        <w:spacing w:line="360" w:lineRule="auto"/>
        <w:ind w:right="-247" w:rightChars="-118"/>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4.4.23.</w:t>
      </w:r>
      <w:r>
        <w:rPr>
          <w:rFonts w:hint="eastAsia" w:ascii="宋体" w:hAnsi="宋体" w:eastAsia="宋体" w:cs="宋体"/>
          <w:color w:val="auto"/>
          <w:sz w:val="24"/>
        </w:rPr>
        <w:t>2符合设计及有关规范要求。</w:t>
      </w:r>
    </w:p>
    <w:p>
      <w:pPr>
        <w:pStyle w:val="8"/>
        <w:spacing w:line="360" w:lineRule="auto"/>
        <w:rPr>
          <w:rFonts w:hint="eastAsia" w:ascii="宋体" w:hAnsi="宋体" w:cs="宋体"/>
          <w:b/>
          <w:color w:val="auto"/>
          <w:sz w:val="24"/>
          <w:szCs w:val="24"/>
          <w:highlight w:val="none"/>
          <w:lang w:val="en-US" w:eastAsia="zh-CN"/>
        </w:rPr>
      </w:pPr>
      <w:r>
        <w:rPr>
          <w:rFonts w:hint="eastAsia" w:ascii="宋体" w:hAnsi="宋体" w:eastAsia="宋体" w:cs="宋体"/>
          <w:b w:val="0"/>
          <w:bCs w:val="0"/>
          <w:color w:val="auto"/>
          <w:sz w:val="24"/>
          <w:lang w:val="en-US" w:eastAsia="zh-CN"/>
        </w:rPr>
        <w:t>4.4.2</w:t>
      </w:r>
      <w:r>
        <w:rPr>
          <w:rFonts w:hint="eastAsia" w:hAnsi="宋体" w:eastAsia="宋体" w:cs="宋体"/>
          <w:b w:val="0"/>
          <w:bCs w:val="0"/>
          <w:color w:val="auto"/>
          <w:sz w:val="24"/>
          <w:lang w:val="en-US" w:eastAsia="zh-CN"/>
        </w:rPr>
        <w:t>5</w:t>
      </w:r>
      <w:r>
        <w:rPr>
          <w:rFonts w:hint="eastAsia" w:hAnsi="宋体" w:eastAsia="宋体" w:cs="宋体"/>
          <w:color w:val="auto"/>
          <w:sz w:val="24"/>
        </w:rPr>
        <w:t>.3不锈钢材质，实验室专用洁净地漏</w:t>
      </w:r>
    </w:p>
    <w:p>
      <w:pPr>
        <w:numPr>
          <w:ilvl w:val="0"/>
          <w:numId w:val="0"/>
        </w:numPr>
        <w:spacing w:line="360" w:lineRule="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投标样品</w:t>
      </w:r>
    </w:p>
    <w:p>
      <w:pPr>
        <w:autoSpaceDE w:val="0"/>
        <w:autoSpaceDN w:val="0"/>
        <w:adjustRightInd w:val="0"/>
        <w:spacing w:line="360" w:lineRule="auto"/>
        <w:ind w:right="-247" w:rightChars="-118"/>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投标人在招标会上应提供以</w:t>
      </w:r>
      <w:r>
        <w:rPr>
          <w:rFonts w:hint="eastAsia" w:ascii="宋体" w:hAnsi="宋体" w:eastAsia="宋体" w:cs="宋体"/>
          <w:color w:val="auto"/>
          <w:sz w:val="24"/>
          <w:szCs w:val="24"/>
          <w:highlight w:val="none"/>
          <w:lang w:eastAsia="zh-CN"/>
        </w:rPr>
        <w:t>下</w:t>
      </w:r>
      <w:r>
        <w:rPr>
          <w:rFonts w:hint="eastAsia" w:ascii="宋体" w:hAnsi="宋体" w:eastAsia="宋体" w:cs="宋体"/>
          <w:color w:val="auto"/>
          <w:sz w:val="24"/>
          <w:szCs w:val="24"/>
          <w:highlight w:val="none"/>
        </w:rPr>
        <w:t>样品，未提供或样品信息提供不全</w:t>
      </w:r>
      <w:r>
        <w:rPr>
          <w:rFonts w:hint="eastAsia" w:ascii="宋体" w:hAnsi="宋体" w:eastAsia="宋体" w:cs="宋体"/>
          <w:color w:val="auto"/>
          <w:sz w:val="24"/>
          <w:szCs w:val="24"/>
          <w:highlight w:val="none"/>
          <w:lang w:eastAsia="zh-CN"/>
        </w:rPr>
        <w:t>将作无效投标处理</w:t>
      </w:r>
      <w:r>
        <w:rPr>
          <w:rFonts w:hint="eastAsia" w:ascii="宋体" w:hAnsi="宋体" w:eastAsia="宋体" w:cs="宋体"/>
          <w:color w:val="auto"/>
          <w:sz w:val="24"/>
          <w:szCs w:val="24"/>
          <w:highlight w:val="none"/>
        </w:rPr>
        <w:t>，投标样品仅作为验收依据之一，最终验收以招标文件为准。</w:t>
      </w:r>
    </w:p>
    <w:tbl>
      <w:tblPr>
        <w:tblStyle w:val="17"/>
        <w:tblpPr w:leftFromText="180" w:rightFromText="180" w:vertAnchor="text" w:horzAnchor="page" w:tblpX="1740" w:tblpY="63"/>
        <w:tblOverlap w:val="never"/>
        <w:tblW w:w="9360" w:type="dxa"/>
        <w:tblInd w:w="0" w:type="dxa"/>
        <w:tblLayout w:type="fixed"/>
        <w:tblCellMar>
          <w:top w:w="0" w:type="dxa"/>
          <w:left w:w="108" w:type="dxa"/>
          <w:bottom w:w="0" w:type="dxa"/>
          <w:right w:w="108" w:type="dxa"/>
        </w:tblCellMar>
      </w:tblPr>
      <w:tblGrid>
        <w:gridCol w:w="535"/>
        <w:gridCol w:w="1155"/>
        <w:gridCol w:w="615"/>
        <w:gridCol w:w="1455"/>
        <w:gridCol w:w="5600"/>
      </w:tblGrid>
      <w:tr>
        <w:tblPrEx>
          <w:tblCellMar>
            <w:top w:w="0" w:type="dxa"/>
            <w:left w:w="108" w:type="dxa"/>
            <w:bottom w:w="0" w:type="dxa"/>
            <w:right w:w="108" w:type="dxa"/>
          </w:tblCellMar>
        </w:tblPrEx>
        <w:trPr>
          <w:trHeight w:val="477" w:hRule="atLeast"/>
        </w:trPr>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样品名称</w:t>
            </w:r>
          </w:p>
        </w:tc>
        <w:tc>
          <w:tcPr>
            <w:tcW w:w="615"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5600"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108" w:type="dxa"/>
            <w:bottom w:w="0" w:type="dxa"/>
            <w:right w:w="108" w:type="dxa"/>
          </w:tblCellMar>
        </w:tblPrEx>
        <w:trPr>
          <w:trHeight w:val="1026" w:hRule="atLeast"/>
        </w:trPr>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w:t>
            </w:r>
            <w:r>
              <w:rPr>
                <w:rFonts w:hint="eastAsia" w:ascii="宋体" w:hAnsi="宋体" w:eastAsia="宋体" w:cs="宋体"/>
                <w:color w:val="auto"/>
                <w:sz w:val="21"/>
                <w:szCs w:val="21"/>
                <w:highlight w:val="none"/>
                <w:lang w:eastAsia="zh-CN"/>
              </w:rPr>
              <w:t>台</w:t>
            </w:r>
            <w:r>
              <w:rPr>
                <w:rFonts w:hint="eastAsia" w:ascii="宋体" w:hAnsi="宋体" w:eastAsia="宋体" w:cs="宋体"/>
                <w:color w:val="auto"/>
                <w:sz w:val="21"/>
                <w:szCs w:val="21"/>
                <w:highlight w:val="none"/>
              </w:rPr>
              <w:t>台面小样</w:t>
            </w:r>
          </w:p>
        </w:tc>
        <w:tc>
          <w:tcPr>
            <w:tcW w:w="61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1块</w:t>
            </w: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0mm×</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0mm×13mm</w:t>
            </w:r>
          </w:p>
        </w:tc>
        <w:tc>
          <w:tcPr>
            <w:tcW w:w="56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样品技术参数按照招标文件执行；样品</w:t>
            </w:r>
            <w:r>
              <w:rPr>
                <w:rFonts w:hint="eastAsia" w:ascii="宋体" w:hAnsi="宋体" w:eastAsia="宋体" w:cs="宋体"/>
                <w:color w:val="auto"/>
                <w:sz w:val="21"/>
                <w:szCs w:val="21"/>
                <w:highlight w:val="none"/>
                <w:lang w:val="zh-CN"/>
              </w:rPr>
              <w:t>需注明采购项目名称、</w:t>
            </w:r>
            <w:r>
              <w:rPr>
                <w:rFonts w:hint="eastAsia" w:ascii="宋体" w:hAnsi="宋体" w:eastAsia="宋体" w:cs="宋体"/>
                <w:color w:val="auto"/>
                <w:sz w:val="21"/>
                <w:szCs w:val="21"/>
                <w:highlight w:val="none"/>
              </w:rPr>
              <w:t>样品品牌、产地、</w:t>
            </w:r>
            <w:r>
              <w:rPr>
                <w:rFonts w:hint="eastAsia" w:ascii="宋体" w:hAnsi="宋体" w:eastAsia="宋体" w:cs="宋体"/>
                <w:color w:val="auto"/>
                <w:sz w:val="21"/>
                <w:szCs w:val="21"/>
                <w:highlight w:val="none"/>
                <w:lang w:val="zh-CN"/>
              </w:rPr>
              <w:t>投标人名称（</w:t>
            </w:r>
            <w:r>
              <w:rPr>
                <w:rFonts w:hint="eastAsia" w:ascii="宋体" w:hAnsi="宋体" w:eastAsia="宋体" w:cs="宋体"/>
                <w:color w:val="auto"/>
                <w:sz w:val="21"/>
                <w:szCs w:val="21"/>
                <w:highlight w:val="none"/>
              </w:rPr>
              <w:t>加盖生产厂家鲜章</w:t>
            </w:r>
            <w:r>
              <w:rPr>
                <w:rFonts w:hint="eastAsia" w:ascii="宋体" w:hAnsi="宋体" w:eastAsia="宋体" w:cs="宋体"/>
                <w:color w:val="auto"/>
                <w:sz w:val="21"/>
                <w:szCs w:val="21"/>
                <w:highlight w:val="none"/>
                <w:lang w:val="zh-CN"/>
              </w:rPr>
              <w:t>）</w:t>
            </w:r>
          </w:p>
        </w:tc>
      </w:tr>
      <w:tr>
        <w:tblPrEx>
          <w:tblCellMar>
            <w:top w:w="0" w:type="dxa"/>
            <w:left w:w="108" w:type="dxa"/>
            <w:bottom w:w="0" w:type="dxa"/>
            <w:right w:w="108" w:type="dxa"/>
          </w:tblCellMar>
        </w:tblPrEx>
        <w:trPr>
          <w:trHeight w:val="1001" w:hRule="atLeast"/>
        </w:trPr>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通风柜台面</w:t>
            </w:r>
            <w:r>
              <w:rPr>
                <w:rFonts w:hint="eastAsia" w:ascii="宋体" w:hAnsi="宋体" w:eastAsia="宋体" w:cs="宋体"/>
                <w:color w:val="auto"/>
                <w:sz w:val="21"/>
                <w:szCs w:val="21"/>
                <w:highlight w:val="none"/>
              </w:rPr>
              <w:t>小样</w:t>
            </w:r>
          </w:p>
        </w:tc>
        <w:tc>
          <w:tcPr>
            <w:tcW w:w="61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1块</w:t>
            </w: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100mm</w:t>
            </w: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rPr>
              <w:t>100mm</w:t>
            </w: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rPr>
              <w:t>20mm</w:t>
            </w:r>
          </w:p>
        </w:tc>
        <w:tc>
          <w:tcPr>
            <w:tcW w:w="56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样品技术参数按照招标文件执行；样品</w:t>
            </w:r>
            <w:r>
              <w:rPr>
                <w:rFonts w:hint="eastAsia" w:ascii="宋体" w:hAnsi="宋体" w:eastAsia="宋体" w:cs="宋体"/>
                <w:color w:val="auto"/>
                <w:sz w:val="21"/>
                <w:szCs w:val="21"/>
                <w:highlight w:val="none"/>
                <w:lang w:val="zh-CN"/>
              </w:rPr>
              <w:t>需注明采购项目名称、</w:t>
            </w:r>
            <w:r>
              <w:rPr>
                <w:rFonts w:hint="eastAsia" w:ascii="宋体" w:hAnsi="宋体" w:eastAsia="宋体" w:cs="宋体"/>
                <w:color w:val="auto"/>
                <w:sz w:val="21"/>
                <w:szCs w:val="21"/>
                <w:highlight w:val="none"/>
              </w:rPr>
              <w:t>样品品牌、产地、</w:t>
            </w:r>
            <w:r>
              <w:rPr>
                <w:rFonts w:hint="eastAsia" w:ascii="宋体" w:hAnsi="宋体" w:eastAsia="宋体" w:cs="宋体"/>
                <w:color w:val="auto"/>
                <w:sz w:val="21"/>
                <w:szCs w:val="21"/>
                <w:highlight w:val="none"/>
                <w:lang w:val="zh-CN"/>
              </w:rPr>
              <w:t>投标人名称（</w:t>
            </w:r>
            <w:r>
              <w:rPr>
                <w:rFonts w:hint="eastAsia" w:ascii="宋体" w:hAnsi="宋体" w:eastAsia="宋体" w:cs="宋体"/>
                <w:color w:val="auto"/>
                <w:sz w:val="21"/>
                <w:szCs w:val="21"/>
                <w:highlight w:val="none"/>
              </w:rPr>
              <w:t>加盖生产厂家鲜章</w:t>
            </w:r>
            <w:r>
              <w:rPr>
                <w:rFonts w:hint="eastAsia" w:ascii="宋体" w:hAnsi="宋体" w:eastAsia="宋体" w:cs="宋体"/>
                <w:color w:val="auto"/>
                <w:sz w:val="21"/>
                <w:szCs w:val="21"/>
                <w:highlight w:val="none"/>
                <w:lang w:val="zh-CN"/>
              </w:rPr>
              <w:t>）</w:t>
            </w:r>
          </w:p>
        </w:tc>
      </w:tr>
    </w:tbl>
    <w:p>
      <w:pPr>
        <w:pageBreakBefore w:val="0"/>
        <w:widowControl w:val="0"/>
        <w:numPr>
          <w:ilvl w:val="0"/>
          <w:numId w:val="38"/>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shd w:val="clear" w:color="auto" w:fill="FFFFFF"/>
          <w:lang w:eastAsia="zh-CN"/>
        </w:rPr>
      </w:pPr>
      <w:r>
        <w:rPr>
          <w:rFonts w:hint="eastAsia" w:ascii="宋体" w:hAnsi="宋体" w:eastAsia="宋体" w:cs="宋体"/>
          <w:b/>
          <w:color w:val="auto"/>
          <w:sz w:val="24"/>
          <w:szCs w:val="24"/>
          <w:shd w:val="clear" w:color="auto" w:fill="FFFFFF"/>
          <w:lang w:eastAsia="zh-CN"/>
        </w:rPr>
        <w:t>其他要求：</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lang w:val="en-US" w:eastAsia="zh-CN"/>
        </w:rPr>
      </w:pPr>
      <w:r>
        <w:rPr>
          <w:rFonts w:hint="eastAsia" w:ascii="宋体" w:hAnsi="宋体" w:eastAsia="宋体" w:cs="宋体"/>
          <w:b w:val="0"/>
          <w:bCs w:val="0"/>
          <w:sz w:val="24"/>
          <w:szCs w:val="24"/>
          <w:lang w:val="en-US" w:eastAsia="zh-CN"/>
        </w:rPr>
        <w:t>1.交货期：60日历天，以建设单位开工为准</w:t>
      </w:r>
      <w:r>
        <w:rPr>
          <w:rFonts w:hint="eastAsia"/>
          <w:b w:val="0"/>
          <w:bCs w:val="0"/>
          <w:lang w:val="en-US" w:eastAsia="zh-CN"/>
        </w:rPr>
        <w:t>。</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2.付款方式：工程进度达到60%后付至合同价50%，竣工验收后付至合同价75%，审计结束后付至合同价95%，余款5%为质保金，在保质期（二年）结束后支付。</w:t>
      </w:r>
    </w:p>
    <w:p>
      <w:pPr>
        <w:spacing w:line="480" w:lineRule="exact"/>
        <w:rPr>
          <w:rFonts w:hint="eastAsia" w:ascii="宋体" w:hAnsi="宋体" w:eastAsia="宋体" w:cs="宋体"/>
          <w:color w:val="auto"/>
          <w:sz w:val="24"/>
          <w:szCs w:val="24"/>
          <w:lang w:eastAsia="zh-CN"/>
        </w:rPr>
      </w:pPr>
      <w:r>
        <w:rPr>
          <w:rFonts w:hint="eastAsia" w:ascii="宋体" w:hAnsi="宋体" w:eastAsia="宋体" w:cs="宋体"/>
          <w:b/>
          <w:color w:val="auto"/>
          <w:sz w:val="24"/>
          <w:szCs w:val="24"/>
          <w:shd w:val="clear" w:color="auto" w:fill="FFFFFF"/>
          <w:lang w:eastAsia="zh-CN"/>
        </w:rPr>
        <w:t>说明：以上技术参数中标注</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内容必须满足，否则将作无效投标处理。</w:t>
      </w:r>
    </w:p>
    <w:p>
      <w:pPr>
        <w:spacing w:line="480" w:lineRule="exact"/>
        <w:rPr>
          <w:rFonts w:hint="eastAsia" w:ascii="宋体" w:hAnsi="宋体" w:eastAsia="宋体" w:cs="宋体"/>
          <w:b/>
          <w:color w:val="auto"/>
          <w:sz w:val="24"/>
          <w:szCs w:val="24"/>
          <w:highlight w:val="none"/>
          <w:shd w:val="clear" w:color="auto" w:fill="FFFFFF"/>
        </w:rPr>
      </w:pPr>
    </w:p>
    <w:bookmarkEnd w:id="41"/>
    <w:bookmarkEnd w:id="42"/>
    <w:bookmarkEnd w:id="43"/>
    <w:bookmarkEnd w:id="44"/>
    <w:p>
      <w:pPr>
        <w:pStyle w:val="3"/>
        <w:numPr>
          <w:ilvl w:val="0"/>
          <w:numId w:val="0"/>
        </w:numPr>
        <w:spacing w:before="0" w:after="0" w:line="240" w:lineRule="auto"/>
        <w:ind w:firstLine="2200" w:firstLineChars="500"/>
        <w:jc w:val="both"/>
        <w:rPr>
          <w:rFonts w:ascii="黑体" w:hAnsi="黑体" w:eastAsia="黑体"/>
          <w:color w:val="000000" w:themeColor="text1"/>
          <w14:textFill>
            <w14:solidFill>
              <w14:schemeClr w14:val="tx1"/>
            </w14:solidFill>
          </w14:textFill>
        </w:rPr>
      </w:pPr>
      <w:bookmarkStart w:id="46" w:name="_Toc495861538"/>
      <w:r>
        <w:rPr>
          <w:rFonts w:hint="eastAsia" w:ascii="黑体" w:hAnsi="黑体" w:eastAsia="黑体"/>
          <w:color w:val="000000" w:themeColor="text1"/>
          <w:lang w:val="en-US" w:eastAsia="zh-CN"/>
          <w14:textFill>
            <w14:solidFill>
              <w14:schemeClr w14:val="tx1"/>
            </w14:solidFill>
          </w14:textFill>
        </w:rPr>
        <w:t xml:space="preserve">第四章  </w:t>
      </w:r>
      <w:r>
        <w:rPr>
          <w:rFonts w:hint="eastAsia" w:ascii="黑体" w:hAnsi="黑体" w:eastAsia="黑体"/>
          <w:color w:val="000000" w:themeColor="text1"/>
          <w14:textFill>
            <w14:solidFill>
              <w14:schemeClr w14:val="tx1"/>
            </w14:solidFill>
          </w14:textFill>
        </w:rPr>
        <w:t>资格审查方法及标准</w:t>
      </w:r>
      <w:bookmarkEnd w:id="46"/>
    </w:p>
    <w:p>
      <w:pPr>
        <w:spacing w:line="360" w:lineRule="auto"/>
        <w:ind w:firstLine="420"/>
        <w:rPr>
          <w:rFonts w:hint="eastAsia" w:ascii="宋体" w:hAnsi="宋体" w:eastAsia="宋体" w:cs="Times New Roman"/>
          <w:bCs/>
          <w:color w:val="000000" w:themeColor="text1"/>
          <w:sz w:val="24"/>
          <w:szCs w:val="20"/>
          <w:lang w:val="zh-CN"/>
          <w14:textFill>
            <w14:solidFill>
              <w14:schemeClr w14:val="tx1"/>
            </w14:solidFill>
          </w14:textFill>
        </w:rPr>
      </w:pPr>
    </w:p>
    <w:p>
      <w:pPr>
        <w:spacing w:line="360" w:lineRule="auto"/>
        <w:ind w:firstLine="420"/>
        <w:rPr>
          <w:rFonts w:hint="eastAsia" w:ascii="宋体" w:hAnsi="宋体" w:eastAsia="宋体" w:cs="Times New Roman"/>
          <w:bCs/>
          <w:color w:val="000000" w:themeColor="text1"/>
          <w:sz w:val="24"/>
          <w:szCs w:val="20"/>
          <w:lang w:val="zh-CN"/>
          <w14:textFill>
            <w14:solidFill>
              <w14:schemeClr w14:val="tx1"/>
            </w14:solidFill>
          </w14:textFill>
        </w:rPr>
      </w:pPr>
    </w:p>
    <w:p>
      <w:pPr>
        <w:spacing w:line="360" w:lineRule="auto"/>
        <w:ind w:firstLine="42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根据《政府采购法》、《政府采购法实施条例》、《政府采购货物和服务招标投标管理办法》等相关法律法规确定以下资格审查方法及标准。</w:t>
      </w:r>
    </w:p>
    <w:p>
      <w:pPr>
        <w:pStyle w:val="4"/>
        <w:numPr>
          <w:ilvl w:val="0"/>
          <w:numId w:val="39"/>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47" w:name="_Toc495861539"/>
      <w:bookmarkStart w:id="48" w:name="_Toc494561958"/>
      <w:r>
        <w:rPr>
          <w:rFonts w:hint="eastAsia" w:cs="Times New Roman" w:asciiTheme="majorEastAsia" w:hAnsiTheme="majorEastAsia"/>
          <w:bCs w:val="0"/>
          <w:color w:val="000000" w:themeColor="text1"/>
          <w:sz w:val="30"/>
          <w:szCs w:val="30"/>
          <w:lang w:val="zh-CN"/>
          <w14:textFill>
            <w14:solidFill>
              <w14:schemeClr w14:val="tx1"/>
            </w14:solidFill>
          </w14:textFill>
        </w:rPr>
        <w:t>资格审查方法</w:t>
      </w:r>
      <w:bookmarkEnd w:id="47"/>
      <w:bookmarkEnd w:id="48"/>
    </w:p>
    <w:p>
      <w:pPr>
        <w:spacing w:line="360" w:lineRule="auto"/>
        <w:ind w:firstLine="42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公开招标采购项目开标结束后，采购人、采购代理机构成立资格审查小组，依据法律、法规及招标文件的规定，对投标人的资格进行审查，以确定投标人资格是否合格。</w:t>
      </w:r>
    </w:p>
    <w:p>
      <w:pPr>
        <w:pStyle w:val="4"/>
        <w:numPr>
          <w:ilvl w:val="0"/>
          <w:numId w:val="39"/>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49" w:name="_Toc495861540"/>
      <w:bookmarkStart w:id="50" w:name="_Toc494561959"/>
      <w:r>
        <w:rPr>
          <w:rFonts w:hint="eastAsia" w:cs="Times New Roman" w:asciiTheme="majorEastAsia" w:hAnsiTheme="majorEastAsia"/>
          <w:bCs w:val="0"/>
          <w:color w:val="000000" w:themeColor="text1"/>
          <w:sz w:val="30"/>
          <w:szCs w:val="30"/>
          <w:lang w:val="zh-CN"/>
          <w14:textFill>
            <w14:solidFill>
              <w14:schemeClr w14:val="tx1"/>
            </w14:solidFill>
          </w14:textFill>
        </w:rPr>
        <w:t>资格审查标准</w:t>
      </w:r>
      <w:bookmarkEnd w:id="49"/>
      <w:bookmarkEnd w:id="50"/>
    </w:p>
    <w:p>
      <w:pPr>
        <w:numPr>
          <w:ilvl w:val="0"/>
          <w:numId w:val="40"/>
        </w:numPr>
        <w:tabs>
          <w:tab w:val="left" w:pos="616"/>
        </w:tabs>
        <w:spacing w:line="360" w:lineRule="auto"/>
        <w:ind w:left="14" w:firstLine="238"/>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资格证明文件审查</w:t>
      </w:r>
    </w:p>
    <w:p>
      <w:pPr>
        <w:tabs>
          <w:tab w:val="left" w:pos="616"/>
        </w:tabs>
        <w:spacing w:line="360" w:lineRule="auto"/>
        <w:ind w:firstLine="42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所递交的资格证明文件出现不符合下列情形之一或不足以证明其符合下列情形之一的，应视为资格审查不合格，并按照</w:t>
      </w:r>
      <w:r>
        <w:rPr>
          <w:rFonts w:hint="eastAsia" w:ascii="Helvetica" w:hAnsi="Helvetica" w:eastAsia="宋体" w:cs="Helvetica"/>
          <w:b/>
          <w:color w:val="000000" w:themeColor="text1"/>
          <w:kern w:val="0"/>
          <w:sz w:val="24"/>
          <w:szCs w:val="24"/>
          <w:lang w:val="zh-CN"/>
          <w14:textFill>
            <w14:solidFill>
              <w14:schemeClr w14:val="tx1"/>
            </w14:solidFill>
          </w14:textFill>
        </w:rPr>
        <w:t>无效投标处理：</w:t>
      </w:r>
    </w:p>
    <w:p>
      <w:pPr>
        <w:pStyle w:val="27"/>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应具备《政府采购法》第二十二条第一款规定的条件，</w:t>
      </w:r>
      <w:r>
        <w:rPr>
          <w:rFonts w:hint="eastAsia" w:hAnsi="宋体"/>
          <w:color w:val="000000" w:themeColor="text1"/>
          <w:sz w:val="24"/>
          <w:szCs w:val="24"/>
          <w14:textFill>
            <w14:solidFill>
              <w14:schemeClr w14:val="tx1"/>
            </w14:solidFill>
          </w14:textFill>
        </w:rPr>
        <w:t>提供下列材料</w:t>
      </w:r>
      <w:r>
        <w:rPr>
          <w:rFonts w:hint="eastAsia" w:ascii="宋体" w:hAnsi="宋体" w:eastAsia="宋体" w:cs="Times New Roman"/>
          <w:color w:val="000000" w:themeColor="text1"/>
          <w:sz w:val="24"/>
          <w:szCs w:val="24"/>
          <w:lang w:val="zh-CN"/>
          <w14:textFill>
            <w14:solidFill>
              <w14:schemeClr w14:val="tx1"/>
            </w14:solidFill>
          </w14:textFill>
        </w:rPr>
        <w:t>：</w:t>
      </w:r>
    </w:p>
    <w:p>
      <w:pPr>
        <w:pStyle w:val="27"/>
        <w:numPr>
          <w:ilvl w:val="0"/>
          <w:numId w:val="42"/>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法人或者其他组织的营业执照等证明文件，自然人的身份证明；</w:t>
      </w:r>
    </w:p>
    <w:p>
      <w:pPr>
        <w:pStyle w:val="27"/>
        <w:numPr>
          <w:ilvl w:val="0"/>
          <w:numId w:val="42"/>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财务状况报告，依法缴纳税收和社会保障资金的相关材料；</w:t>
      </w:r>
    </w:p>
    <w:p>
      <w:pPr>
        <w:pStyle w:val="27"/>
        <w:numPr>
          <w:ilvl w:val="0"/>
          <w:numId w:val="42"/>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具备履行合同所必需的设备和专业技术能力的证明材料；</w:t>
      </w:r>
    </w:p>
    <w:p>
      <w:pPr>
        <w:pStyle w:val="27"/>
        <w:numPr>
          <w:ilvl w:val="0"/>
          <w:numId w:val="42"/>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参加政府采购活动前3年内在经营活动中没有重大违法记录的书面声明；</w:t>
      </w:r>
    </w:p>
    <w:p>
      <w:pPr>
        <w:pStyle w:val="27"/>
        <w:numPr>
          <w:ilvl w:val="0"/>
          <w:numId w:val="42"/>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具备法律、行政法规规定的其他条件的证明材料。</w:t>
      </w:r>
    </w:p>
    <w:p>
      <w:pPr>
        <w:numPr>
          <w:ilvl w:val="0"/>
          <w:numId w:val="3"/>
        </w:numPr>
        <w:tabs>
          <w:tab w:val="left" w:pos="896"/>
        </w:tabs>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Times New Roman" w:hAnsi="Times New Roman" w:cs="Times New Roman"/>
          <w:sz w:val="24"/>
          <w:szCs w:val="24"/>
        </w:rPr>
        <w:t>必须未被列入"信用中国"网站失信被执行人（须提供网站截图）、重大税收违法案件当事人、</w:t>
      </w:r>
      <w:r>
        <w:rPr>
          <w:rFonts w:hint="eastAsia" w:ascii="Times New Roman" w:hAnsi="Times New Roman" w:cs="Times New Roman"/>
          <w:sz w:val="24"/>
          <w:szCs w:val="24"/>
          <w:lang w:val="en-US" w:eastAsia="zh-CN"/>
        </w:rPr>
        <w:t>未被中国</w:t>
      </w:r>
      <w:r>
        <w:rPr>
          <w:rFonts w:hint="eastAsia" w:ascii="Times New Roman" w:hAnsi="Times New Roman" w:cs="Times New Roman"/>
          <w:sz w:val="24"/>
          <w:szCs w:val="24"/>
        </w:rPr>
        <w:t>政府采购</w:t>
      </w:r>
      <w:r>
        <w:rPr>
          <w:rFonts w:hint="eastAsia" w:ascii="Times New Roman" w:hAnsi="Times New Roman" w:cs="Times New Roman"/>
          <w:sz w:val="24"/>
          <w:szCs w:val="24"/>
          <w:lang w:eastAsia="zh-CN"/>
        </w:rPr>
        <w:t>网</w:t>
      </w:r>
      <w:r>
        <w:rPr>
          <w:rFonts w:hint="eastAsia" w:ascii="Times New Roman" w:hAnsi="Times New Roman" w:cs="Times New Roman"/>
          <w:sz w:val="24"/>
          <w:szCs w:val="24"/>
          <w:lang w:val="en-US" w:eastAsia="zh-CN"/>
        </w:rPr>
        <w:t>列入</w:t>
      </w:r>
      <w:r>
        <w:rPr>
          <w:rFonts w:hint="eastAsia" w:ascii="Times New Roman" w:hAnsi="Times New Roman" w:cs="Times New Roman"/>
          <w:sz w:val="24"/>
          <w:szCs w:val="24"/>
        </w:rPr>
        <w:t>严重违法失信行为记录名单。</w:t>
      </w:r>
    </w:p>
    <w:p>
      <w:pPr>
        <w:pStyle w:val="27"/>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招标文件第一章“投标人资格要求”中有特殊要求的，投标人应提供其符合特殊要求的证明材料或者情况说明；</w:t>
      </w:r>
    </w:p>
    <w:p>
      <w:pPr>
        <w:pStyle w:val="27"/>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不符合联合体投标相关规定和要求的；</w:t>
      </w:r>
    </w:p>
    <w:p>
      <w:pPr>
        <w:pStyle w:val="27"/>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投标人认为需提供的其它相关资格证明材料；</w:t>
      </w:r>
    </w:p>
    <w:p>
      <w:pPr>
        <w:pStyle w:val="27"/>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资格证明文件复印件需加盖单位公章。</w:t>
      </w:r>
    </w:p>
    <w:p>
      <w:pPr>
        <w:numPr>
          <w:ilvl w:val="0"/>
          <w:numId w:val="40"/>
        </w:numPr>
        <w:tabs>
          <w:tab w:val="left" w:pos="616"/>
        </w:tabs>
        <w:spacing w:line="360" w:lineRule="auto"/>
        <w:ind w:left="14" w:firstLine="238"/>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确定资格审查合格投标人</w:t>
      </w:r>
    </w:p>
    <w:p>
      <w:pPr>
        <w:pStyle w:val="27"/>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资格审查小组按照本章“资格审查方法及标准”，对各投标人资格证明文件进行审查。资格审查小组依据对各投标人资格证明文件的审查结果，确定资格审查合格的</w:t>
      </w:r>
    </w:p>
    <w:p>
      <w:pPr>
        <w:pStyle w:val="27"/>
        <w:numPr>
          <w:ilvl w:val="0"/>
          <w:numId w:val="0"/>
        </w:numPr>
        <w:tabs>
          <w:tab w:val="left" w:pos="840"/>
        </w:tabs>
        <w:spacing w:line="360" w:lineRule="auto"/>
        <w:ind w:left="238" w:leftChars="0"/>
        <w:rPr>
          <w:rFonts w:hint="eastAsia" w:ascii="宋体" w:hAnsi="宋体" w:eastAsia="宋体" w:cs="Times New Roman"/>
          <w:color w:val="000000" w:themeColor="text1"/>
          <w:sz w:val="24"/>
          <w:szCs w:val="24"/>
          <w:lang w:val="zh-CN"/>
          <w14:textFill>
            <w14:solidFill>
              <w14:schemeClr w14:val="tx1"/>
            </w14:solidFill>
          </w14:textFill>
        </w:rPr>
      </w:pPr>
    </w:p>
    <w:p>
      <w:pPr>
        <w:pStyle w:val="27"/>
        <w:numPr>
          <w:ilvl w:val="0"/>
          <w:numId w:val="0"/>
        </w:numPr>
        <w:tabs>
          <w:tab w:val="left" w:pos="840"/>
        </w:tabs>
        <w:spacing w:line="360" w:lineRule="auto"/>
        <w:ind w:left="238" w:leftChars="0" w:firstLine="480" w:firstLineChars="20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投标人，并</w:t>
      </w:r>
      <w:r>
        <w:rPr>
          <w:rFonts w:hint="eastAsia" w:ascii="宋体" w:hAnsi="宋体" w:eastAsia="宋体" w:cs="Times New Roman"/>
          <w:b/>
          <w:color w:val="000000" w:themeColor="text1"/>
          <w:sz w:val="24"/>
          <w:szCs w:val="24"/>
          <w:lang w:val="zh-CN"/>
          <w14:textFill>
            <w14:solidFill>
              <w14:schemeClr w14:val="tx1"/>
            </w14:solidFill>
          </w14:textFill>
        </w:rPr>
        <w:t>形成书面的资格审查报告。</w:t>
      </w:r>
    </w:p>
    <w:p>
      <w:pPr>
        <w:pStyle w:val="27"/>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资格审查合格投标人不足3家的，不进行评标。</w:t>
      </w:r>
    </w:p>
    <w:p>
      <w:pPr>
        <w:pStyle w:val="27"/>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资格审查未通过的投标人可在结果公告质疑有效期内按公告中的联系方式获知</w:t>
      </w:r>
      <w:r>
        <w:rPr>
          <w:rFonts w:ascii="宋体" w:hAnsi="宋体" w:eastAsia="宋体" w:cs="Times New Roman"/>
          <w:color w:val="000000" w:themeColor="text1"/>
          <w:sz w:val="24"/>
          <w:szCs w:val="24"/>
          <w:lang w:val="zh-CN"/>
          <w14:textFill>
            <w14:solidFill>
              <w14:schemeClr w14:val="tx1"/>
            </w14:solidFill>
          </w14:textFill>
        </w:rPr>
        <w:t>本</w:t>
      </w:r>
      <w:r>
        <w:rPr>
          <w:rFonts w:hint="eastAsia" w:ascii="宋体" w:hAnsi="宋体" w:eastAsia="宋体" w:cs="Times New Roman"/>
          <w:color w:val="000000" w:themeColor="text1"/>
          <w:sz w:val="24"/>
          <w:szCs w:val="24"/>
          <w:lang w:val="zh-CN"/>
          <w14:textFill>
            <w14:solidFill>
              <w14:schemeClr w14:val="tx1"/>
            </w14:solidFill>
          </w14:textFill>
        </w:rPr>
        <w:t>单位</w:t>
      </w:r>
      <w:r>
        <w:rPr>
          <w:rFonts w:ascii="宋体" w:hAnsi="宋体" w:eastAsia="宋体" w:cs="Times New Roman"/>
          <w:color w:val="000000" w:themeColor="text1"/>
          <w:sz w:val="24"/>
          <w:szCs w:val="24"/>
          <w:lang w:val="zh-CN"/>
          <w14:textFill>
            <w14:solidFill>
              <w14:schemeClr w14:val="tx1"/>
            </w14:solidFill>
          </w14:textFill>
        </w:rPr>
        <w:t>的</w:t>
      </w:r>
      <w:r>
        <w:rPr>
          <w:rFonts w:hint="eastAsia" w:ascii="宋体" w:hAnsi="宋体" w:eastAsia="宋体" w:cs="Times New Roman"/>
          <w:color w:val="000000" w:themeColor="text1"/>
          <w:sz w:val="24"/>
          <w:szCs w:val="24"/>
          <w:lang w:val="zh-CN"/>
          <w14:textFill>
            <w14:solidFill>
              <w14:schemeClr w14:val="tx1"/>
            </w14:solidFill>
          </w14:textFill>
        </w:rPr>
        <w:t>资格审查情况。</w:t>
      </w:r>
    </w:p>
    <w:p>
      <w:pPr>
        <w:pStyle w:val="27"/>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采购人已进行资格预审的，不再进行资格审查。未通过资格预审的投标人，采购人、采购代理机构</w:t>
      </w:r>
      <w:r>
        <w:rPr>
          <w:rFonts w:hint="eastAsia" w:ascii="宋体" w:hAnsi="宋体" w:eastAsia="宋体" w:cs="Times New Roman"/>
          <w:b/>
          <w:color w:val="000000" w:themeColor="text1"/>
          <w:sz w:val="24"/>
          <w:szCs w:val="24"/>
          <w:lang w:val="zh-CN"/>
          <w14:textFill>
            <w14:solidFill>
              <w14:schemeClr w14:val="tx1"/>
            </w14:solidFill>
          </w14:textFill>
        </w:rPr>
        <w:t>拒绝</w:t>
      </w:r>
      <w:r>
        <w:rPr>
          <w:rFonts w:hint="eastAsia" w:ascii="宋体" w:hAnsi="宋体" w:eastAsia="宋体" w:cs="Times New Roman"/>
          <w:color w:val="000000" w:themeColor="text1"/>
          <w:sz w:val="24"/>
          <w:szCs w:val="24"/>
          <w:lang w:val="zh-CN"/>
          <w14:textFill>
            <w14:solidFill>
              <w14:schemeClr w14:val="tx1"/>
            </w14:solidFill>
          </w14:textFill>
        </w:rPr>
        <w:t>其投标。</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0"/>
        </w:numPr>
        <w:ind w:leftChars="0" w:firstLine="1760" w:firstLineChars="400"/>
        <w:jc w:val="both"/>
        <w:rPr>
          <w:rFonts w:ascii="黑体" w:hAnsi="黑体" w:eastAsia="黑体"/>
          <w:color w:val="000000" w:themeColor="text1"/>
          <w14:textFill>
            <w14:solidFill>
              <w14:schemeClr w14:val="tx1"/>
            </w14:solidFill>
          </w14:textFill>
        </w:rPr>
      </w:pPr>
      <w:bookmarkStart w:id="51" w:name="_Toc495861541"/>
      <w:r>
        <w:rPr>
          <w:rFonts w:hint="eastAsia" w:ascii="黑体" w:hAnsi="黑体" w:eastAsia="黑体"/>
          <w:color w:val="000000" w:themeColor="text1"/>
          <w:lang w:val="en-US" w:eastAsia="zh-CN"/>
          <w14:textFill>
            <w14:solidFill>
              <w14:schemeClr w14:val="tx1"/>
            </w14:solidFill>
          </w14:textFill>
        </w:rPr>
        <w:t xml:space="preserve">第五章    </w:t>
      </w:r>
      <w:r>
        <w:rPr>
          <w:rFonts w:hint="eastAsia" w:ascii="黑体" w:hAnsi="黑体" w:eastAsia="黑体"/>
          <w:color w:val="000000" w:themeColor="text1"/>
          <w14:textFill>
            <w14:solidFill>
              <w14:schemeClr w14:val="tx1"/>
            </w14:solidFill>
          </w14:textFill>
        </w:rPr>
        <w:t>评标方法、程序及标准</w:t>
      </w:r>
      <w:bookmarkEnd w:id="51"/>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根据《政府采购法》、《政府采购法实施条例》、《政府采购货物和服务招标投标管理办法》等相关法律法规确定以下评标办法、程序及标准。</w:t>
      </w:r>
    </w:p>
    <w:p>
      <w:pPr>
        <w:pStyle w:val="4"/>
        <w:numPr>
          <w:ilvl w:val="0"/>
          <w:numId w:val="44"/>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52" w:name="_Toc272247708"/>
      <w:bookmarkStart w:id="53" w:name="_Toc278891605"/>
      <w:bookmarkStart w:id="54" w:name="_Toc495861542"/>
      <w:bookmarkStart w:id="55" w:name="_Toc494561961"/>
      <w:r>
        <w:rPr>
          <w:rFonts w:hint="eastAsia" w:cs="Times New Roman" w:asciiTheme="majorEastAsia" w:hAnsiTheme="majorEastAsia"/>
          <w:bCs w:val="0"/>
          <w:color w:val="000000" w:themeColor="text1"/>
          <w:sz w:val="30"/>
          <w:szCs w:val="30"/>
          <w:lang w:val="zh-CN"/>
          <w14:textFill>
            <w14:solidFill>
              <w14:schemeClr w14:val="tx1"/>
            </w14:solidFill>
          </w14:textFill>
        </w:rPr>
        <w:t>评标</w:t>
      </w:r>
      <w:bookmarkEnd w:id="52"/>
      <w:bookmarkEnd w:id="53"/>
      <w:r>
        <w:rPr>
          <w:rFonts w:hint="eastAsia" w:cs="Times New Roman" w:asciiTheme="majorEastAsia" w:hAnsiTheme="majorEastAsia"/>
          <w:bCs w:val="0"/>
          <w:color w:val="000000" w:themeColor="text1"/>
          <w:sz w:val="30"/>
          <w:szCs w:val="30"/>
          <w:lang w:val="zh-CN"/>
          <w14:textFill>
            <w14:solidFill>
              <w14:schemeClr w14:val="tx1"/>
            </w14:solidFill>
          </w14:textFill>
        </w:rPr>
        <w:t>方法</w:t>
      </w:r>
      <w:bookmarkEnd w:id="54"/>
      <w:bookmarkEnd w:id="55"/>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本项目评标采用综合评分法，</w:t>
      </w:r>
      <w:r>
        <w:rPr>
          <w:rFonts w:ascii="宋体" w:hAnsi="宋体" w:eastAsia="宋体" w:cs="Times New Roman"/>
          <w:bCs/>
          <w:color w:val="000000" w:themeColor="text1"/>
          <w:sz w:val="24"/>
          <w:szCs w:val="20"/>
          <w:lang w:val="zh-CN"/>
          <w14:textFill>
            <w14:solidFill>
              <w14:schemeClr w14:val="tx1"/>
            </w14:solidFill>
          </w14:textFill>
        </w:rPr>
        <w:t>是指投标文件满足招标文件全部实质性要求，且按照评审因素的量化指标评审得分最高的投标人为中标候选人的评标方法。</w:t>
      </w:r>
    </w:p>
    <w:p>
      <w:pPr>
        <w:pStyle w:val="4"/>
        <w:numPr>
          <w:ilvl w:val="0"/>
          <w:numId w:val="44"/>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56" w:name="_Toc278891606"/>
      <w:bookmarkStart w:id="57" w:name="_Toc272247709"/>
      <w:bookmarkStart w:id="58" w:name="_Toc495861543"/>
      <w:bookmarkStart w:id="59" w:name="_Toc494561962"/>
      <w:r>
        <w:rPr>
          <w:rFonts w:hint="eastAsia" w:cs="Times New Roman" w:asciiTheme="majorEastAsia" w:hAnsiTheme="majorEastAsia"/>
          <w:bCs w:val="0"/>
          <w:color w:val="000000" w:themeColor="text1"/>
          <w:sz w:val="30"/>
          <w:szCs w:val="30"/>
          <w:lang w:val="zh-CN"/>
          <w14:textFill>
            <w14:solidFill>
              <w14:schemeClr w14:val="tx1"/>
            </w14:solidFill>
          </w14:textFill>
        </w:rPr>
        <w:t>评标程序</w:t>
      </w:r>
      <w:bookmarkEnd w:id="56"/>
      <w:bookmarkEnd w:id="57"/>
      <w:r>
        <w:rPr>
          <w:rFonts w:hint="eastAsia" w:cs="Times New Roman" w:asciiTheme="majorEastAsia" w:hAnsiTheme="majorEastAsia"/>
          <w:bCs w:val="0"/>
          <w:color w:val="000000" w:themeColor="text1"/>
          <w:sz w:val="30"/>
          <w:szCs w:val="30"/>
          <w:lang w:val="zh-CN"/>
          <w14:textFill>
            <w14:solidFill>
              <w14:schemeClr w14:val="tx1"/>
            </w14:solidFill>
          </w14:textFill>
        </w:rPr>
        <w:t>及标准</w:t>
      </w:r>
      <w:bookmarkEnd w:id="58"/>
      <w:bookmarkEnd w:id="59"/>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评标委员会按以下工作程序进行评标：</w:t>
      </w:r>
      <w:r>
        <w:rPr>
          <w:rFonts w:hint="eastAsia" w:ascii="宋体" w:hAnsi="宋体" w:eastAsia="宋体" w:cs="Times New Roman"/>
          <w:color w:val="000000" w:themeColor="text1"/>
          <w:sz w:val="24"/>
          <w:szCs w:val="20"/>
          <w:lang w:val="zh-CN"/>
          <w14:textFill>
            <w14:solidFill>
              <w14:schemeClr w14:val="tx1"/>
            </w14:solidFill>
          </w14:textFill>
        </w:rPr>
        <w:t>符合性审查、澄清有关问题、综合比较和评价、确定中标候选人名单。</w:t>
      </w:r>
    </w:p>
    <w:p>
      <w:pPr>
        <w:numPr>
          <w:ilvl w:val="0"/>
          <w:numId w:val="45"/>
        </w:numPr>
        <w:ind w:left="1311" w:leftChars="154" w:hanging="988" w:hangingChars="353"/>
        <w:rPr>
          <w:rFonts w:ascii="宋体" w:hAnsi="宋体" w:eastAsia="宋体" w:cs="Times New Roman"/>
          <w:strike/>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符合性审查</w:t>
      </w:r>
    </w:p>
    <w:p>
      <w:pPr>
        <w:spacing w:line="360" w:lineRule="auto"/>
        <w:ind w:firstLine="470" w:firstLineChars="196"/>
        <w:rPr>
          <w:rFonts w:ascii="宋体" w:hAnsi="宋体" w:eastAsia="宋体" w:cs="Times New Roman"/>
          <w:bCs/>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评标委员会应当对符合资格的投标人的投标文件进行符合性审查，以确定其是否满足招标文件的实质性要求。</w:t>
      </w:r>
      <w:r>
        <w:rPr>
          <w:rFonts w:hint="eastAsia" w:ascii="宋体" w:hAnsi="宋体" w:eastAsia="宋体" w:cs="Times New Roman"/>
          <w:bCs/>
          <w:color w:val="000000" w:themeColor="text1"/>
          <w:sz w:val="24"/>
          <w:szCs w:val="20"/>
          <w:lang w:val="zh-CN"/>
          <w14:textFill>
            <w14:solidFill>
              <w14:schemeClr w14:val="tx1"/>
            </w14:solidFill>
          </w14:textFill>
        </w:rPr>
        <w:t>符合性审查出现下列情形之一的投标按照</w:t>
      </w:r>
      <w:r>
        <w:rPr>
          <w:rFonts w:hint="eastAsia" w:ascii="宋体" w:hAnsi="宋体" w:eastAsia="宋体" w:cs="Times New Roman"/>
          <w:b/>
          <w:bCs/>
          <w:color w:val="000000" w:themeColor="text1"/>
          <w:sz w:val="24"/>
          <w:szCs w:val="20"/>
          <w:lang w:val="zh-CN"/>
          <w14:textFill>
            <w14:solidFill>
              <w14:schemeClr w14:val="tx1"/>
            </w14:solidFill>
          </w14:textFill>
        </w:rPr>
        <w:t>无效投标处理</w:t>
      </w:r>
      <w:r>
        <w:rPr>
          <w:rFonts w:hint="eastAsia" w:ascii="宋体" w:hAnsi="宋体" w:eastAsia="宋体" w:cs="Times New Roman"/>
          <w:bCs/>
          <w:color w:val="000000" w:themeColor="text1"/>
          <w:sz w:val="24"/>
          <w:szCs w:val="20"/>
          <w:lang w:val="zh-CN"/>
          <w14:textFill>
            <w14:solidFill>
              <w14:schemeClr w14:val="tx1"/>
            </w14:solidFill>
          </w14:textFill>
        </w:rPr>
        <w:t>：</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投标总报价超过项目（分包）预算金额或最高限价的；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《投标书》、《法定代表人授权书》、《开标一览表》、《投标报价明细表》未提供或不符合招标文件要求的；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工期（服务期限）、质保期不符合招标文件要求的；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投标保证金的交纳不符合招标文件要求的；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出现两个或两个以上不同报价的；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出现两个或两个以上投标方案的（招标文件中要求提供备选方案的除外）；</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投标报价存在缺项、漏项的；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投标有效期不足的；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无法定代表人签字（签章）或签字（签章）人无法定代表人有效授权的；</w:t>
      </w:r>
    </w:p>
    <w:p>
      <w:pPr>
        <w:numPr>
          <w:ilvl w:val="0"/>
          <w:numId w:val="46"/>
        </w:numPr>
        <w:tabs>
          <w:tab w:val="left" w:pos="75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正本未按要求提供加盖公章及签字（签章）原件的；</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不满足招标文件第三章“项目技术、服务和商务要求”中“★”号条款要求的；</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ascii="Times New Roman" w:hAnsi="宋体" w:eastAsia="宋体" w:cs="Times New Roman"/>
          <w:color w:val="000000" w:themeColor="text1"/>
          <w:sz w:val="24"/>
          <w:szCs w:val="24"/>
          <w:lang w:val="zh-CN"/>
          <w14:textFill>
            <w14:solidFill>
              <w14:schemeClr w14:val="tx1"/>
            </w14:solidFill>
          </w14:textFill>
        </w:rPr>
        <w:t>含有采购人不能接受的附加条件的</w:t>
      </w:r>
      <w:r>
        <w:rPr>
          <w:rFonts w:hint="eastAsia" w:ascii="Times New Roman" w:hAnsi="宋体" w:eastAsia="宋体" w:cs="Times New Roman"/>
          <w:color w:val="000000" w:themeColor="text1"/>
          <w:sz w:val="24"/>
          <w:szCs w:val="24"/>
          <w:lang w:val="zh-CN"/>
          <w14:textFill>
            <w14:solidFill>
              <w14:schemeClr w14:val="tx1"/>
            </w14:solidFill>
          </w14:textFill>
        </w:rPr>
        <w:t>；</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ascii="Times New Roman" w:hAnsi="宋体" w:eastAsia="宋体" w:cs="Times New Roman"/>
          <w:color w:val="000000" w:themeColor="text1"/>
          <w:sz w:val="24"/>
          <w:szCs w:val="24"/>
          <w:lang w:val="zh-CN"/>
          <w14:textFill>
            <w14:solidFill>
              <w14:schemeClr w14:val="tx1"/>
            </w14:solidFill>
          </w14:textFill>
        </w:rPr>
        <w:t>法律、法规</w:t>
      </w:r>
      <w:r>
        <w:rPr>
          <w:rFonts w:hint="eastAsia" w:ascii="Times New Roman" w:hAnsi="宋体" w:eastAsia="宋体" w:cs="Times New Roman"/>
          <w:color w:val="000000" w:themeColor="text1"/>
          <w:sz w:val="24"/>
          <w:szCs w:val="24"/>
          <w:lang w:val="zh-CN"/>
          <w14:textFill>
            <w14:solidFill>
              <w14:schemeClr w14:val="tx1"/>
            </w14:solidFill>
          </w14:textFill>
        </w:rPr>
        <w:t>和招标文件</w:t>
      </w:r>
      <w:r>
        <w:rPr>
          <w:rFonts w:ascii="Times New Roman" w:hAnsi="宋体" w:eastAsia="宋体" w:cs="Times New Roman"/>
          <w:color w:val="000000" w:themeColor="text1"/>
          <w:sz w:val="24"/>
          <w:szCs w:val="24"/>
          <w:lang w:val="zh-CN"/>
          <w14:textFill>
            <w14:solidFill>
              <w14:schemeClr w14:val="tx1"/>
            </w14:solidFill>
          </w14:textFill>
        </w:rPr>
        <w:t>规定的其他</w:t>
      </w:r>
      <w:r>
        <w:rPr>
          <w:rFonts w:hint="eastAsia" w:ascii="Times New Roman" w:hAnsi="宋体" w:eastAsia="宋体" w:cs="Times New Roman"/>
          <w:color w:val="000000" w:themeColor="text1"/>
          <w:sz w:val="24"/>
          <w:szCs w:val="24"/>
          <w:lang w:val="zh-CN"/>
          <w14:textFill>
            <w14:solidFill>
              <w14:schemeClr w14:val="tx1"/>
            </w14:solidFill>
          </w14:textFill>
        </w:rPr>
        <w:t>无效投标</w:t>
      </w:r>
      <w:r>
        <w:rPr>
          <w:rFonts w:ascii="Times New Roman" w:hAnsi="宋体" w:eastAsia="宋体" w:cs="Times New Roman"/>
          <w:color w:val="000000" w:themeColor="text1"/>
          <w:sz w:val="24"/>
          <w:szCs w:val="24"/>
          <w:lang w:val="zh-CN"/>
          <w14:textFill>
            <w14:solidFill>
              <w14:schemeClr w14:val="tx1"/>
            </w14:solidFill>
          </w14:textFill>
        </w:rPr>
        <w:t>情形。</w:t>
      </w:r>
    </w:p>
    <w:p>
      <w:pPr>
        <w:numPr>
          <w:ilvl w:val="0"/>
          <w:numId w:val="45"/>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澄清有关问题</w:t>
      </w:r>
    </w:p>
    <w:p>
      <w:pPr>
        <w:numPr>
          <w:ilvl w:val="0"/>
          <w:numId w:val="47"/>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评标期间，</w:t>
      </w:r>
      <w:r>
        <w:rPr>
          <w:rFonts w:ascii="Helvetica" w:hAnsi="Helvetica" w:eastAsia="宋体" w:cs="Helvetica"/>
          <w:color w:val="000000" w:themeColor="text1"/>
          <w:kern w:val="0"/>
          <w:sz w:val="24"/>
          <w:szCs w:val="24"/>
          <w:lang w:val="zh-CN"/>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numPr>
          <w:ilvl w:val="0"/>
          <w:numId w:val="47"/>
        </w:numPr>
        <w:tabs>
          <w:tab w:val="left" w:pos="616"/>
        </w:tabs>
        <w:spacing w:line="360" w:lineRule="auto"/>
        <w:ind w:left="10" w:leftChars="5" w:firstLine="237" w:firstLineChars="99"/>
        <w:rPr>
          <w:rFonts w:ascii="宋体" w:hAnsi="宋体" w:eastAsia="宋体" w:cs="Times New Roman"/>
          <w:bCs/>
          <w:strike/>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投标人应按照评标委员会要求的澄清内容在规定时间内做出澄清。</w:t>
      </w:r>
      <w:r>
        <w:rPr>
          <w:rFonts w:ascii="宋体" w:hAnsi="宋体" w:eastAsia="宋体" w:cs="Times New Roman"/>
          <w:color w:val="000000" w:themeColor="text1"/>
          <w:sz w:val="24"/>
          <w:szCs w:val="20"/>
          <w:lang w:val="zh-CN"/>
          <w14:textFill>
            <w14:solidFill>
              <w14:schemeClr w14:val="tx1"/>
            </w14:solidFill>
          </w14:textFill>
        </w:rPr>
        <w:t>投标文件报价出现前后不一致的</w:t>
      </w:r>
      <w:r>
        <w:rPr>
          <w:rFonts w:hint="eastAsia" w:ascii="宋体" w:hAnsi="宋体" w:eastAsia="宋体" w:cs="Times New Roman"/>
          <w:color w:val="000000" w:themeColor="text1"/>
          <w:sz w:val="24"/>
          <w:szCs w:val="20"/>
          <w:lang w:val="zh-CN"/>
          <w14:textFill>
            <w14:solidFill>
              <w14:schemeClr w14:val="tx1"/>
            </w14:solidFill>
          </w14:textFill>
        </w:rPr>
        <w:t>，按照本节第3</w:t>
      </w:r>
      <w:r>
        <w:rPr>
          <w:rFonts w:hint="eastAsia" w:ascii="宋体" w:hAnsi="宋体" w:eastAsia="宋体" w:cs="Times New Roman"/>
          <w:bCs/>
          <w:color w:val="000000" w:themeColor="text1"/>
          <w:sz w:val="24"/>
          <w:szCs w:val="20"/>
          <w:lang w:val="zh-CN"/>
          <w14:textFill>
            <w14:solidFill>
              <w14:schemeClr w14:val="tx1"/>
            </w14:solidFill>
          </w14:textFill>
        </w:rPr>
        <w:t>条规定进行修正，</w:t>
      </w:r>
      <w:r>
        <w:rPr>
          <w:rFonts w:ascii="Helvetica" w:hAnsi="Helvetica" w:eastAsia="宋体" w:cs="Helvetica"/>
          <w:color w:val="000000" w:themeColor="text1"/>
          <w:kern w:val="0"/>
          <w:sz w:val="24"/>
          <w:szCs w:val="24"/>
          <w:lang w:val="zh-CN"/>
          <w14:textFill>
            <w14:solidFill>
              <w14:schemeClr w14:val="tx1"/>
            </w14:solidFill>
          </w14:textFill>
        </w:rPr>
        <w:t>投标人的澄清、说明或者补正不得超出投标文件的范围或者改变投标文件的实质性内容。</w:t>
      </w:r>
    </w:p>
    <w:p>
      <w:pPr>
        <w:numPr>
          <w:ilvl w:val="0"/>
          <w:numId w:val="47"/>
        </w:numPr>
        <w:tabs>
          <w:tab w:val="left" w:pos="616"/>
        </w:tabs>
        <w:spacing w:line="360" w:lineRule="auto"/>
        <w:ind w:left="10" w:leftChars="5" w:firstLine="237" w:firstLineChars="99"/>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投标文件报价出现前后不一致的，按照下列规定修正：</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投标文件中开标一览表内容与投标文件中相应内容不一致的，以开标一览表为准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大写金额和小写金额不一致的，以大写金额为准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单价金额小数点或者百分比有明显错位的，以开标一览表的总价为准，并修改单价</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总价金额与按单价汇总金额不一致的，以单价金额计算结果为准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同时出现两种以上不一致的，按照前款规定的顺序修正</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修正后的报价按照</w:t>
      </w:r>
      <w:r>
        <w:rPr>
          <w:rFonts w:hint="eastAsia" w:ascii="宋体" w:hAnsi="宋体" w:eastAsia="宋体" w:cs="Times New Roman"/>
          <w:color w:val="000000" w:themeColor="text1"/>
          <w:sz w:val="24"/>
          <w:szCs w:val="24"/>
          <w:lang w:val="zh-CN"/>
          <w14:textFill>
            <w14:solidFill>
              <w14:schemeClr w14:val="tx1"/>
            </w14:solidFill>
          </w14:textFill>
        </w:rPr>
        <w:t>本节第4条规定</w:t>
      </w:r>
      <w:r>
        <w:rPr>
          <w:rFonts w:ascii="宋体" w:hAnsi="宋体" w:eastAsia="宋体" w:cs="Times New Roman"/>
          <w:color w:val="000000" w:themeColor="text1"/>
          <w:sz w:val="24"/>
          <w:szCs w:val="24"/>
          <w:lang w:val="zh-CN"/>
          <w14:textFill>
            <w14:solidFill>
              <w14:schemeClr w14:val="tx1"/>
            </w14:solidFill>
          </w14:textFill>
        </w:rPr>
        <w:t>经投标人确认后产生约束力，投标人不确认的，</w:t>
      </w:r>
      <w:r>
        <w:rPr>
          <w:rFonts w:hint="eastAsia" w:ascii="宋体" w:hAnsi="宋体" w:eastAsia="宋体" w:cs="Times New Roman"/>
          <w:color w:val="000000" w:themeColor="text1"/>
          <w:sz w:val="24"/>
          <w:szCs w:val="24"/>
          <w:lang w:val="zh-CN"/>
          <w14:textFill>
            <w14:solidFill>
              <w14:schemeClr w14:val="tx1"/>
            </w14:solidFill>
          </w14:textFill>
        </w:rPr>
        <w:t>按照</w:t>
      </w:r>
      <w:r>
        <w:rPr>
          <w:rFonts w:ascii="宋体" w:hAnsi="宋体" w:eastAsia="宋体" w:cs="Times New Roman"/>
          <w:b/>
          <w:color w:val="000000" w:themeColor="text1"/>
          <w:sz w:val="24"/>
          <w:szCs w:val="24"/>
          <w:lang w:val="zh-CN"/>
          <w14:textFill>
            <w14:solidFill>
              <w14:schemeClr w14:val="tx1"/>
            </w14:solidFill>
          </w14:textFill>
        </w:rPr>
        <w:t>无效</w:t>
      </w:r>
      <w:r>
        <w:rPr>
          <w:rFonts w:hint="eastAsia" w:ascii="宋体" w:hAnsi="宋体" w:eastAsia="宋体" w:cs="Times New Roman"/>
          <w:b/>
          <w:color w:val="000000" w:themeColor="text1"/>
          <w:sz w:val="24"/>
          <w:szCs w:val="24"/>
          <w:lang w:val="zh-CN"/>
          <w14:textFill>
            <w14:solidFill>
              <w14:schemeClr w14:val="tx1"/>
            </w14:solidFill>
          </w14:textFill>
        </w:rPr>
        <w:t>投标处理</w:t>
      </w:r>
      <w:r>
        <w:rPr>
          <w:rFonts w:ascii="宋体" w:hAnsi="宋体" w:eastAsia="宋体" w:cs="Times New Roman"/>
          <w:color w:val="000000" w:themeColor="text1"/>
          <w:sz w:val="24"/>
          <w:szCs w:val="24"/>
          <w:lang w:val="zh-CN"/>
          <w14:textFill>
            <w14:solidFill>
              <w14:schemeClr w14:val="tx1"/>
            </w14:solidFill>
          </w14:textFill>
        </w:rPr>
        <w:t>。</w:t>
      </w:r>
    </w:p>
    <w:p>
      <w:pPr>
        <w:numPr>
          <w:ilvl w:val="0"/>
          <w:numId w:val="47"/>
        </w:numPr>
        <w:tabs>
          <w:tab w:val="left" w:pos="616"/>
        </w:tabs>
        <w:spacing w:line="360" w:lineRule="auto"/>
        <w:ind w:left="10" w:leftChars="5" w:firstLine="237" w:firstLineChars="99"/>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投标人的</w:t>
      </w:r>
      <w:r>
        <w:rPr>
          <w:rFonts w:ascii="Helvetica" w:hAnsi="Helvetica" w:eastAsia="宋体" w:cs="Helvetica"/>
          <w:color w:val="000000" w:themeColor="text1"/>
          <w:kern w:val="0"/>
          <w:sz w:val="24"/>
          <w:szCs w:val="24"/>
          <w:lang w:val="zh-CN"/>
          <w14:textFill>
            <w14:solidFill>
              <w14:schemeClr w14:val="tx1"/>
            </w14:solidFill>
          </w14:textFill>
        </w:rPr>
        <w:t>澄清、说明或者补正</w:t>
      </w:r>
      <w:r>
        <w:rPr>
          <w:rFonts w:hint="eastAsia" w:ascii="宋体" w:hAnsi="宋体" w:eastAsia="宋体" w:cs="Times New Roman"/>
          <w:color w:val="000000" w:themeColor="text1"/>
          <w:sz w:val="24"/>
          <w:szCs w:val="20"/>
          <w:lang w:val="zh-CN"/>
          <w14:textFill>
            <w14:solidFill>
              <w14:schemeClr w14:val="tx1"/>
            </w14:solidFill>
          </w14:textFill>
        </w:rPr>
        <w:t>是其投标文件的有效组成部分。</w:t>
      </w:r>
      <w:r>
        <w:rPr>
          <w:rFonts w:ascii="Helvetica" w:hAnsi="Helvetica" w:eastAsia="宋体" w:cs="Helvetica"/>
          <w:color w:val="000000" w:themeColor="text1"/>
          <w:kern w:val="0"/>
          <w:sz w:val="24"/>
          <w:szCs w:val="24"/>
          <w:lang w:val="zh-CN"/>
          <w14:textFill>
            <w14:solidFill>
              <w14:schemeClr w14:val="tx1"/>
            </w14:solidFill>
          </w14:textFill>
        </w:rPr>
        <w:t>投标人的澄清、说明或者补正应当采用书面形式，并加盖公章，或者由法定代表人或其授权的代表签字。</w:t>
      </w:r>
    </w:p>
    <w:p>
      <w:pPr>
        <w:numPr>
          <w:ilvl w:val="0"/>
          <w:numId w:val="45"/>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综合比较与评价</w:t>
      </w:r>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评标委员会应当按照</w:t>
      </w:r>
      <w:r>
        <w:rPr>
          <w:rFonts w:hint="eastAsia" w:ascii="宋体" w:hAnsi="宋体" w:eastAsia="宋体" w:cs="Times New Roman"/>
          <w:bCs/>
          <w:color w:val="000000" w:themeColor="text1"/>
          <w:sz w:val="24"/>
          <w:szCs w:val="20"/>
          <w:lang w:val="zh-CN"/>
          <w14:textFill>
            <w14:solidFill>
              <w14:schemeClr w14:val="tx1"/>
            </w14:solidFill>
          </w14:textFill>
        </w:rPr>
        <w:t>本章</w:t>
      </w:r>
      <w:r>
        <w:rPr>
          <w:rFonts w:ascii="宋体" w:hAnsi="宋体" w:eastAsia="宋体" w:cs="Times New Roman"/>
          <w:bCs/>
          <w:color w:val="000000" w:themeColor="text1"/>
          <w:sz w:val="24"/>
          <w:szCs w:val="20"/>
          <w:lang w:val="zh-CN"/>
          <w14:textFill>
            <w14:solidFill>
              <w14:schemeClr w14:val="tx1"/>
            </w14:solidFill>
          </w14:textFill>
        </w:rPr>
        <w:t>中规定的</w:t>
      </w:r>
      <w:r>
        <w:rPr>
          <w:rFonts w:hint="eastAsia" w:ascii="宋体" w:hAnsi="宋体" w:eastAsia="宋体" w:cs="Times New Roman"/>
          <w:bCs/>
          <w:color w:val="000000" w:themeColor="text1"/>
          <w:sz w:val="24"/>
          <w:szCs w:val="20"/>
          <w:lang w:val="zh-CN"/>
          <w14:textFill>
            <w14:solidFill>
              <w14:schemeClr w14:val="tx1"/>
            </w14:solidFill>
          </w14:textFill>
        </w:rPr>
        <w:t>评标方法和标准</w:t>
      </w:r>
      <w:r>
        <w:rPr>
          <w:rFonts w:ascii="宋体" w:hAnsi="宋体" w:eastAsia="宋体" w:cs="Times New Roman"/>
          <w:bCs/>
          <w:color w:val="000000" w:themeColor="text1"/>
          <w:sz w:val="24"/>
          <w:szCs w:val="20"/>
          <w:lang w:val="zh-CN"/>
          <w14:textFill>
            <w14:solidFill>
              <w14:schemeClr w14:val="tx1"/>
            </w14:solidFill>
          </w14:textFill>
        </w:rPr>
        <w:t>，对符合性审查合格的投标文件进行商务和技术</w:t>
      </w:r>
      <w:r>
        <w:rPr>
          <w:rFonts w:hint="eastAsia" w:ascii="宋体" w:hAnsi="宋体" w:eastAsia="宋体" w:cs="Times New Roman"/>
          <w:bCs/>
          <w:color w:val="000000" w:themeColor="text1"/>
          <w:sz w:val="24"/>
          <w:szCs w:val="20"/>
          <w:lang w:val="zh-CN"/>
          <w14:textFill>
            <w14:solidFill>
              <w14:schemeClr w14:val="tx1"/>
            </w14:solidFill>
          </w14:textFill>
        </w:rPr>
        <w:t>、服务</w:t>
      </w:r>
      <w:r>
        <w:rPr>
          <w:rFonts w:ascii="宋体" w:hAnsi="宋体" w:eastAsia="宋体" w:cs="Times New Roman"/>
          <w:bCs/>
          <w:color w:val="000000" w:themeColor="text1"/>
          <w:sz w:val="24"/>
          <w:szCs w:val="20"/>
          <w:lang w:val="zh-CN"/>
          <w14:textFill>
            <w14:solidFill>
              <w14:schemeClr w14:val="tx1"/>
            </w14:solidFill>
          </w14:textFill>
        </w:rPr>
        <w:t>评估，综合比较与评价。</w:t>
      </w:r>
    </w:p>
    <w:p>
      <w:pPr>
        <w:numPr>
          <w:ilvl w:val="0"/>
          <w:numId w:val="49"/>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商务评议</w:t>
      </w:r>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评标委员会对符合性审查合格的投标文件进行评议，并依据本章“评审因素及评分标准”中的商务评议进行综合比较和评分。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技术、服务评议</w:t>
      </w:r>
    </w:p>
    <w:p>
      <w:pPr>
        <w:spacing w:line="360" w:lineRule="auto"/>
        <w:ind w:firstLine="480" w:firstLineChars="200"/>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评标委员会对符合性审查合格的投标文件进行评议，并依据本章“评审因素及评分标准”中的技术、服务评议进行综合比较和评分。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color w:val="000000" w:themeColor="text1"/>
          <w:sz w:val="24"/>
          <w:szCs w:val="20"/>
          <w:highlight w:val="none"/>
          <w:lang w:val="zh-CN"/>
          <w14:textFill>
            <w14:solidFill>
              <w14:schemeClr w14:val="tx1"/>
            </w14:solidFill>
          </w14:textFill>
        </w:rPr>
      </w:pPr>
      <w:r>
        <w:rPr>
          <w:rFonts w:hint="eastAsia" w:ascii="宋体" w:hAnsi="宋体" w:eastAsia="宋体" w:cs="Times New Roman"/>
          <w:b/>
          <w:bCs/>
          <w:color w:val="000000" w:themeColor="text1"/>
          <w:sz w:val="24"/>
          <w:szCs w:val="20"/>
          <w:highlight w:val="none"/>
          <w:lang w:val="zh-CN"/>
          <w14:textFill>
            <w14:solidFill>
              <w14:schemeClr w14:val="tx1"/>
            </w14:solidFill>
          </w14:textFill>
        </w:rPr>
        <w:t>价格评议</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评标委员会对符合性审查合格的投标文件进行价格评议（</w:t>
      </w:r>
      <w:r>
        <w:rPr>
          <w:rFonts w:hint="eastAsia" w:ascii="宋体" w:hAnsi="宋体" w:eastAsia="宋体" w:cs="Times New Roman"/>
          <w:bCs/>
          <w:color w:val="000000" w:themeColor="text1"/>
          <w:sz w:val="24"/>
          <w:szCs w:val="21"/>
          <w:highlight w:val="none"/>
          <w:lang w:val="zh-CN"/>
          <w14:textFill>
            <w14:solidFill>
              <w14:schemeClr w14:val="tx1"/>
            </w14:solidFill>
          </w14:textFill>
        </w:rPr>
        <w:t>执行国家统一定价标准和采用固定价格采购的项目，其价格不列为评审因素</w:t>
      </w:r>
      <w:r>
        <w:rPr>
          <w:rFonts w:hint="eastAsia" w:ascii="宋体" w:hAnsi="宋体" w:eastAsia="宋体" w:cs="Times New Roman"/>
          <w:bCs/>
          <w:color w:val="000000" w:themeColor="text1"/>
          <w:sz w:val="24"/>
          <w:szCs w:val="24"/>
          <w:highlight w:val="none"/>
          <w14:textFill>
            <w14:solidFill>
              <w14:schemeClr w14:val="tx1"/>
            </w14:solidFill>
          </w14:textFill>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0"/>
        </w:numPr>
        <w:adjustRightInd w:val="0"/>
        <w:spacing w:line="360" w:lineRule="auto"/>
        <w:ind w:left="742" w:hanging="493"/>
        <w:rPr>
          <w:rFonts w:ascii="宋体" w:hAnsi="宋体" w:eastAsia="宋体" w:cs="Times New Roman"/>
          <w:bCs/>
          <w:color w:val="000000" w:themeColor="text1"/>
          <w:sz w:val="24"/>
          <w:szCs w:val="21"/>
          <w:highlight w:val="none"/>
          <w:lang w:val="zh-CN"/>
          <w14:textFill>
            <w14:solidFill>
              <w14:schemeClr w14:val="tx1"/>
            </w14:solidFill>
          </w14:textFill>
        </w:rPr>
      </w:pPr>
      <w:r>
        <w:rPr>
          <w:rFonts w:hint="eastAsia" w:ascii="宋体" w:hAnsi="宋体" w:eastAsia="宋体" w:cs="Times New Roman"/>
          <w:b/>
          <w:color w:val="000000" w:themeColor="text1"/>
          <w:sz w:val="24"/>
          <w:szCs w:val="24"/>
          <w:highlight w:val="none"/>
          <w:lang w:val="zh-CN"/>
          <w14:textFill>
            <w14:solidFill>
              <w14:schemeClr w14:val="tx1"/>
            </w14:solidFill>
          </w14:textFill>
        </w:rPr>
        <w:t>报价合理性说明：</w:t>
      </w:r>
      <w:r>
        <w:rPr>
          <w:rFonts w:hint="eastAsia" w:ascii="宋体" w:hAnsi="宋体" w:eastAsia="宋体" w:cs="Times New Roman"/>
          <w:b w:val="0"/>
          <w:bCs/>
          <w:color w:val="000000" w:themeColor="text1"/>
          <w:sz w:val="24"/>
          <w:szCs w:val="24"/>
          <w:highlight w:val="none"/>
          <w:lang w:val="zh-CN"/>
          <w14:textFill>
            <w14:solidFill>
              <w14:schemeClr w14:val="tx1"/>
            </w14:solidFill>
          </w14:textFill>
        </w:rPr>
        <w:t>为保证产品质量，</w:t>
      </w:r>
      <w:r>
        <w:rPr>
          <w:rFonts w:ascii="宋体" w:hAnsi="宋体" w:eastAsia="宋体" w:cs="Helvetica"/>
          <w:color w:val="000000" w:themeColor="text1"/>
          <w:kern w:val="0"/>
          <w:sz w:val="24"/>
          <w:szCs w:val="24"/>
          <w:highlight w:val="none"/>
          <w:lang w:val="zh-CN"/>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color w:val="000000" w:themeColor="text1"/>
          <w:kern w:val="0"/>
          <w:sz w:val="24"/>
          <w:szCs w:val="24"/>
          <w:highlight w:val="none"/>
          <w:lang w:val="zh-CN"/>
          <w14:textFill>
            <w14:solidFill>
              <w14:schemeClr w14:val="tx1"/>
            </w14:solidFill>
          </w14:textFill>
        </w:rPr>
        <w:t>应当将其作为</w:t>
      </w:r>
      <w:r>
        <w:rPr>
          <w:rFonts w:ascii="宋体" w:hAnsi="宋体" w:eastAsia="宋体" w:cs="Helvetica"/>
          <w:b/>
          <w:color w:val="000000" w:themeColor="text1"/>
          <w:kern w:val="0"/>
          <w:sz w:val="24"/>
          <w:szCs w:val="24"/>
          <w:highlight w:val="none"/>
          <w:lang w:val="zh-CN"/>
          <w14:textFill>
            <w14:solidFill>
              <w14:schemeClr w14:val="tx1"/>
            </w14:solidFill>
          </w14:textFill>
        </w:rPr>
        <w:t>无效投标处理</w:t>
      </w:r>
      <w:r>
        <w:rPr>
          <w:rFonts w:ascii="宋体" w:hAnsi="宋体" w:eastAsia="宋体" w:cs="Helvetica"/>
          <w:color w:val="000000" w:themeColor="text1"/>
          <w:kern w:val="0"/>
          <w:sz w:val="24"/>
          <w:szCs w:val="24"/>
          <w:highlight w:val="none"/>
          <w:lang w:val="zh-CN"/>
          <w14:textFill>
            <w14:solidFill>
              <w14:schemeClr w14:val="tx1"/>
            </w14:solidFill>
          </w14:textFill>
        </w:rPr>
        <w:t>。</w:t>
      </w:r>
    </w:p>
    <w:p>
      <w:pPr>
        <w:numPr>
          <w:ilvl w:val="0"/>
          <w:numId w:val="49"/>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相同品牌处理原则</w:t>
      </w:r>
    </w:p>
    <w:p>
      <w:pPr>
        <w:numPr>
          <w:ilvl w:val="0"/>
          <w:numId w:val="51"/>
        </w:numPr>
        <w:adjustRightInd w:val="0"/>
        <w:spacing w:line="360" w:lineRule="auto"/>
        <w:ind w:left="756" w:hanging="507"/>
        <w:rPr>
          <w:rFonts w:hint="eastAsia" w:ascii="Helvetica" w:hAnsi="Helvetica" w:eastAsia="宋体" w:cs="Helvetica"/>
          <w:b w:val="0"/>
          <w:bCs w:val="0"/>
          <w:color w:val="000000" w:themeColor="text1"/>
          <w:kern w:val="0"/>
          <w:sz w:val="24"/>
          <w:szCs w:val="24"/>
          <w:lang w:val="zh-CN" w:eastAsia="zh-CN" w:bidi="ar-SA"/>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采购代理机构对各这个评委的总分进行复核。各项统计学科建设均精确到小数点后位。</w:t>
      </w:r>
    </w:p>
    <w:p>
      <w:pPr>
        <w:numPr>
          <w:ilvl w:val="0"/>
          <w:numId w:val="51"/>
        </w:numPr>
        <w:adjustRightInd w:val="0"/>
        <w:spacing w:line="360" w:lineRule="auto"/>
        <w:ind w:left="756" w:hanging="507"/>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b w:val="0"/>
          <w:bCs w:val="0"/>
          <w:color w:val="000000" w:themeColor="text1"/>
          <w:kern w:val="0"/>
          <w:sz w:val="24"/>
          <w:szCs w:val="24"/>
          <w:lang w:val="zh-CN" w:eastAsia="zh-CN" w:bidi="ar-SA"/>
          <w14:textFill>
            <w14:solidFill>
              <w14:schemeClr w14:val="tx1"/>
            </w14:solidFill>
          </w14:textFill>
        </w:rPr>
        <w:t>各投标人的最终得分为评委所评定分数的算术平均值。</w:t>
      </w:r>
    </w:p>
    <w:p>
      <w:pPr>
        <w:numPr>
          <w:ilvl w:val="0"/>
          <w:numId w:val="45"/>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推荐中标候选人名单或确定中标人</w:t>
      </w:r>
    </w:p>
    <w:p>
      <w:pPr>
        <w:numPr>
          <w:ilvl w:val="0"/>
          <w:numId w:val="52"/>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评标委员会按照招标文件确定的评标方法、程序及标准，对投标文件进行评审。</w:t>
      </w:r>
      <w:r>
        <w:rPr>
          <w:rFonts w:ascii="Helvetica" w:hAnsi="Helvetica" w:eastAsia="宋体" w:cs="Helvetica"/>
          <w:color w:val="000000" w:themeColor="text1"/>
          <w:kern w:val="0"/>
          <w:sz w:val="24"/>
          <w:szCs w:val="24"/>
          <w:lang w:val="zh-CN"/>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2"/>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评标委员会依据评标结果，按各投标人的评审后得分由高到低的顺序向采购人推荐得分前三名的进入中标候选人名单，并形成书面的评标报告。</w:t>
      </w:r>
    </w:p>
    <w:p>
      <w:pPr>
        <w:numPr>
          <w:ilvl w:val="0"/>
          <w:numId w:val="52"/>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中标候选人并列的，</w:t>
      </w:r>
      <w:r>
        <w:rPr>
          <w:rFonts w:ascii="Helvetica" w:hAnsi="Helvetica" w:eastAsia="宋体" w:cs="Helvetica"/>
          <w:color w:val="000000" w:themeColor="text1"/>
          <w:kern w:val="0"/>
          <w:sz w:val="24"/>
          <w:szCs w:val="24"/>
          <w:lang w:val="zh-CN"/>
          <w14:textFill>
            <w14:solidFill>
              <w14:schemeClr w14:val="tx1"/>
            </w14:solidFill>
          </w14:textFill>
        </w:rPr>
        <w:t>由采购人</w:t>
      </w:r>
      <w:r>
        <w:rPr>
          <w:rFonts w:hint="eastAsia" w:ascii="Helvetica" w:hAnsi="Helvetica" w:eastAsia="宋体" w:cs="Helvetica"/>
          <w:color w:val="000000" w:themeColor="text1"/>
          <w:kern w:val="0"/>
          <w:sz w:val="24"/>
          <w:szCs w:val="24"/>
          <w:lang w:val="zh-CN"/>
          <w14:textFill>
            <w14:solidFill>
              <w14:schemeClr w14:val="tx1"/>
            </w14:solidFill>
          </w14:textFill>
        </w:rPr>
        <w:t>确定</w:t>
      </w:r>
      <w:r>
        <w:rPr>
          <w:rFonts w:ascii="Helvetica" w:hAnsi="Helvetica" w:eastAsia="宋体" w:cs="Helvetica"/>
          <w:color w:val="000000" w:themeColor="text1"/>
          <w:kern w:val="0"/>
          <w:sz w:val="24"/>
          <w:szCs w:val="24"/>
          <w:lang w:val="zh-CN"/>
          <w14:textFill>
            <w14:solidFill>
              <w14:schemeClr w14:val="tx1"/>
            </w14:solidFill>
          </w14:textFill>
        </w:rPr>
        <w:t>或者采购人委托评标委员会</w:t>
      </w:r>
      <w:r>
        <w:rPr>
          <w:rFonts w:hint="eastAsia" w:ascii="Helvetica" w:hAnsi="Helvetica" w:eastAsia="宋体" w:cs="Helvetica"/>
          <w:color w:val="000000" w:themeColor="text1"/>
          <w:kern w:val="0"/>
          <w:sz w:val="24"/>
          <w:szCs w:val="24"/>
          <w:lang w:val="zh-CN"/>
          <w14:textFill>
            <w14:solidFill>
              <w14:schemeClr w14:val="tx1"/>
            </w14:solidFill>
          </w14:textFill>
        </w:rPr>
        <w:t>以投票方式</w:t>
      </w:r>
      <w:r>
        <w:rPr>
          <w:rFonts w:ascii="Helvetica" w:hAnsi="Helvetica" w:eastAsia="宋体" w:cs="Helvetica"/>
          <w:color w:val="000000" w:themeColor="text1"/>
          <w:kern w:val="0"/>
          <w:sz w:val="24"/>
          <w:szCs w:val="24"/>
          <w:lang w:val="zh-CN"/>
          <w14:textFill>
            <w14:solidFill>
              <w14:schemeClr w14:val="tx1"/>
            </w14:solidFill>
          </w14:textFill>
        </w:rPr>
        <w:t>确定中标人。</w:t>
      </w:r>
    </w:p>
    <w:p>
      <w:pPr>
        <w:numPr>
          <w:ilvl w:val="0"/>
          <w:numId w:val="52"/>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评标委员会应当在评标报告上签字，对自己的评审意见承担法律责任。对评标报告有异议的，应当在评标报告上签署不同意见，并说明理由，否则视为同意评标报告。</w:t>
      </w:r>
    </w:p>
    <w:p>
      <w:pPr>
        <w:numPr>
          <w:ilvl w:val="0"/>
          <w:numId w:val="52"/>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中标人的数量有其他规定的，应在此处明确方法、中标比例等。</w:t>
      </w:r>
    </w:p>
    <w:p>
      <w:pPr>
        <w:pStyle w:val="4"/>
        <w:rPr>
          <w:rFonts w:hint="eastAsia" w:ascii="Helvetica" w:hAnsi="Helvetica" w:eastAsia="宋体" w:cs="Helvetica"/>
          <w:color w:val="000000" w:themeColor="text1"/>
          <w:kern w:val="0"/>
          <w:sz w:val="24"/>
          <w:szCs w:val="24"/>
          <w:lang w:val="zh-CN"/>
          <w14:textFill>
            <w14:solidFill>
              <w14:schemeClr w14:val="tx1"/>
            </w14:solidFill>
          </w14:textFill>
        </w:rPr>
      </w:pPr>
    </w:p>
    <w:p>
      <w:pPr>
        <w:rPr>
          <w:rFonts w:hint="eastAsia" w:ascii="Helvetica" w:hAnsi="Helvetica" w:eastAsia="宋体" w:cs="Helvetica"/>
          <w:color w:val="000000" w:themeColor="text1"/>
          <w:kern w:val="0"/>
          <w:sz w:val="24"/>
          <w:szCs w:val="24"/>
          <w:lang w:val="zh-CN"/>
          <w14:textFill>
            <w14:solidFill>
              <w14:schemeClr w14:val="tx1"/>
            </w14:solidFill>
          </w14:textFill>
        </w:rPr>
      </w:pPr>
    </w:p>
    <w:p>
      <w:pPr>
        <w:pStyle w:val="4"/>
        <w:rPr>
          <w:rFonts w:hint="eastAsia" w:ascii="Helvetica" w:hAnsi="Helvetica" w:eastAsia="宋体" w:cs="Helvetica"/>
          <w:color w:val="000000" w:themeColor="text1"/>
          <w:kern w:val="0"/>
          <w:sz w:val="24"/>
          <w:szCs w:val="24"/>
          <w:lang w:val="zh-CN"/>
          <w14:textFill>
            <w14:solidFill>
              <w14:schemeClr w14:val="tx1"/>
            </w14:solidFill>
          </w14:textFill>
        </w:rPr>
      </w:pPr>
    </w:p>
    <w:p>
      <w:pPr>
        <w:rPr>
          <w:rFonts w:hint="eastAsia" w:ascii="Helvetica" w:hAnsi="Helvetica" w:eastAsia="宋体" w:cs="Helvetica"/>
          <w:color w:val="000000" w:themeColor="text1"/>
          <w:kern w:val="0"/>
          <w:sz w:val="24"/>
          <w:szCs w:val="24"/>
          <w:lang w:val="zh-CN"/>
          <w14:textFill>
            <w14:solidFill>
              <w14:schemeClr w14:val="tx1"/>
            </w14:solidFill>
          </w14:textFill>
        </w:rPr>
      </w:pPr>
    </w:p>
    <w:p>
      <w:pPr>
        <w:pStyle w:val="4"/>
        <w:rPr>
          <w:rFonts w:hint="eastAsia" w:ascii="Helvetica" w:hAnsi="Helvetica" w:eastAsia="宋体" w:cs="Helvetica"/>
          <w:color w:val="000000" w:themeColor="text1"/>
          <w:kern w:val="0"/>
          <w:sz w:val="24"/>
          <w:szCs w:val="24"/>
          <w:lang w:val="zh-CN"/>
          <w14:textFill>
            <w14:solidFill>
              <w14:schemeClr w14:val="tx1"/>
            </w14:solidFill>
          </w14:textFill>
        </w:rPr>
      </w:pPr>
    </w:p>
    <w:p>
      <w:pPr>
        <w:rPr>
          <w:rFonts w:hint="eastAsia" w:ascii="Helvetica" w:hAnsi="Helvetica" w:eastAsia="宋体" w:cs="Helvetica"/>
          <w:color w:val="000000" w:themeColor="text1"/>
          <w:kern w:val="0"/>
          <w:sz w:val="24"/>
          <w:szCs w:val="24"/>
          <w:lang w:val="zh-CN"/>
          <w14:textFill>
            <w14:solidFill>
              <w14:schemeClr w14:val="tx1"/>
            </w14:solidFill>
          </w14:textFill>
        </w:rPr>
      </w:pPr>
    </w:p>
    <w:p>
      <w:pPr>
        <w:rPr>
          <w:lang w:val="zh-CN"/>
        </w:rPr>
      </w:pPr>
    </w:p>
    <w:p>
      <w:pPr>
        <w:pStyle w:val="4"/>
        <w:numPr>
          <w:ilvl w:val="0"/>
          <w:numId w:val="44"/>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60" w:name="_Toc494561963"/>
      <w:bookmarkStart w:id="61" w:name="_Toc495861544"/>
      <w:r>
        <w:rPr>
          <w:rFonts w:hint="eastAsia" w:cs="Times New Roman" w:asciiTheme="majorEastAsia" w:hAnsiTheme="majorEastAsia"/>
          <w:bCs w:val="0"/>
          <w:color w:val="000000" w:themeColor="text1"/>
          <w:sz w:val="30"/>
          <w:szCs w:val="30"/>
          <w:lang w:val="zh-CN"/>
          <w14:textFill>
            <w14:solidFill>
              <w14:schemeClr w14:val="tx1"/>
            </w14:solidFill>
          </w14:textFill>
        </w:rPr>
        <w:t>评审因素及评分标准</w:t>
      </w:r>
      <w:bookmarkEnd w:id="60"/>
      <w:bookmarkEnd w:id="61"/>
    </w:p>
    <w:tbl>
      <w:tblPr>
        <w:tblStyle w:val="17"/>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7952"/>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9"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pacing w:line="360" w:lineRule="auto"/>
              <w:rPr>
                <w:rFonts w:ascii="宋体" w:cs="宋体"/>
                <w:bCs/>
                <w:color w:val="auto"/>
                <w:sz w:val="21"/>
                <w:szCs w:val="21"/>
              </w:rPr>
            </w:pPr>
            <w:r>
              <w:rPr>
                <w:rFonts w:hint="eastAsia" w:ascii="宋体" w:hAnsi="宋体" w:cs="宋体"/>
                <w:bCs/>
                <w:color w:val="auto"/>
                <w:sz w:val="21"/>
                <w:szCs w:val="21"/>
              </w:rPr>
              <w:t>细则</w:t>
            </w:r>
          </w:p>
          <w:p>
            <w:pPr>
              <w:spacing w:line="360" w:lineRule="auto"/>
              <w:rPr>
                <w:rFonts w:ascii="宋体" w:cs="宋体"/>
                <w:bCs/>
                <w:color w:val="auto"/>
                <w:sz w:val="21"/>
                <w:szCs w:val="21"/>
              </w:rPr>
            </w:pPr>
            <w:r>
              <w:rPr>
                <w:rFonts w:hint="eastAsia" w:ascii="宋体" w:hAnsi="宋体" w:cs="宋体"/>
                <w:bCs/>
                <w:color w:val="auto"/>
                <w:sz w:val="21"/>
                <w:szCs w:val="21"/>
              </w:rPr>
              <w:t>项目</w:t>
            </w:r>
          </w:p>
        </w:tc>
        <w:tc>
          <w:tcPr>
            <w:tcW w:w="7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bCs/>
                <w:color w:val="auto"/>
                <w:sz w:val="21"/>
                <w:szCs w:val="21"/>
              </w:rPr>
            </w:pPr>
            <w:r>
              <w:rPr>
                <w:rFonts w:hint="eastAsia" w:ascii="宋体" w:hAnsi="宋体" w:cs="宋体"/>
                <w:bCs/>
                <w:color w:val="auto"/>
                <w:sz w:val="21"/>
                <w:szCs w:val="21"/>
              </w:rPr>
              <w:t>分值细则</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bCs/>
                <w:color w:val="auto"/>
                <w:sz w:val="21"/>
                <w:szCs w:val="21"/>
              </w:rPr>
            </w:pPr>
            <w:r>
              <w:rPr>
                <w:rFonts w:hint="eastAsia" w:ascii="宋体" w:hAnsi="宋体" w:cs="宋体"/>
                <w:bCs/>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color w:val="auto"/>
                <w:sz w:val="21"/>
                <w:szCs w:val="21"/>
              </w:rPr>
            </w:pPr>
            <w:r>
              <w:rPr>
                <w:rFonts w:hint="eastAsia" w:ascii="宋体" w:hAnsi="宋体" w:cs="宋体"/>
                <w:color w:val="auto"/>
                <w:sz w:val="21"/>
                <w:szCs w:val="21"/>
              </w:rPr>
              <w:t>价格分（30分）</w:t>
            </w:r>
          </w:p>
        </w:tc>
        <w:tc>
          <w:tcPr>
            <w:tcW w:w="7952" w:type="dxa"/>
            <w:tcBorders>
              <w:top w:val="single" w:color="auto" w:sz="4" w:space="0"/>
              <w:left w:val="single" w:color="auto" w:sz="4" w:space="0"/>
              <w:bottom w:val="single" w:color="auto" w:sz="4" w:space="0"/>
              <w:right w:val="single" w:color="auto" w:sz="4" w:space="0"/>
            </w:tcBorders>
            <w:noWrap w:val="0"/>
            <w:vAlign w:val="center"/>
          </w:tcPr>
          <w:p>
            <w:pPr>
              <w:pStyle w:val="39"/>
              <w:ind w:left="0" w:leftChars="0" w:firstLine="0" w:firstLineChars="0"/>
              <w:rPr>
                <w:color w:val="auto"/>
                <w:sz w:val="21"/>
                <w:szCs w:val="21"/>
              </w:rPr>
            </w:pPr>
            <w:r>
              <w:rPr>
                <w:rFonts w:hint="eastAsia"/>
                <w:color w:val="auto"/>
                <w:sz w:val="21"/>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80%时，评标委员会将对其进行成本分析，评标委员会认为报价低于成本价时将否决其投标。</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color w:val="auto"/>
                <w:sz w:val="21"/>
                <w:szCs w:val="21"/>
              </w:rPr>
            </w:pPr>
            <w:r>
              <w:rPr>
                <w:rFonts w:hint="eastAsia" w:ascii="宋体" w:hAnsi="宋体" w:cs="宋体"/>
                <w:b/>
                <w:bCs/>
                <w:color w:val="auto"/>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vMerge w:val="restart"/>
            <w:tcBorders>
              <w:top w:val="single" w:color="auto" w:sz="4" w:space="0"/>
              <w:left w:val="single" w:color="auto" w:sz="4" w:space="0"/>
              <w:right w:val="single" w:color="auto" w:sz="4" w:space="0"/>
            </w:tcBorders>
            <w:noWrap w:val="0"/>
            <w:vAlign w:val="center"/>
          </w:tcPr>
          <w:p>
            <w:pPr>
              <w:spacing w:line="360" w:lineRule="auto"/>
              <w:jc w:val="both"/>
              <w:rPr>
                <w:rFonts w:ascii="宋体" w:hAnsi="宋体" w:cs="宋体"/>
                <w:color w:val="auto"/>
                <w:sz w:val="21"/>
                <w:szCs w:val="21"/>
              </w:rPr>
            </w:pPr>
            <w:r>
              <w:rPr>
                <w:rFonts w:hint="eastAsia" w:ascii="宋体" w:hAnsi="宋体" w:cs="宋体"/>
                <w:color w:val="auto"/>
                <w:sz w:val="21"/>
                <w:szCs w:val="21"/>
              </w:rPr>
              <w:t>技术分</w:t>
            </w:r>
          </w:p>
          <w:p>
            <w:pPr>
              <w:spacing w:line="360" w:lineRule="auto"/>
              <w:jc w:val="center"/>
              <w:rPr>
                <w:rFonts w:asci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50</w:t>
            </w:r>
            <w:r>
              <w:rPr>
                <w:rFonts w:hint="eastAsia" w:ascii="宋体" w:hAnsi="宋体" w:cs="宋体"/>
                <w:color w:val="auto"/>
                <w:sz w:val="21"/>
                <w:szCs w:val="21"/>
              </w:rPr>
              <w:t>分）</w:t>
            </w:r>
          </w:p>
        </w:tc>
        <w:tc>
          <w:tcPr>
            <w:tcW w:w="7952" w:type="dxa"/>
            <w:tcBorders>
              <w:top w:val="single" w:color="auto" w:sz="4" w:space="0"/>
              <w:left w:val="single" w:color="auto" w:sz="4" w:space="0"/>
              <w:bottom w:val="single" w:color="auto" w:sz="4" w:space="0"/>
              <w:right w:val="single" w:color="auto" w:sz="4" w:space="0"/>
            </w:tcBorders>
            <w:noWrap w:val="0"/>
            <w:vAlign w:val="center"/>
          </w:tcPr>
          <w:p>
            <w:pPr>
              <w:pStyle w:val="4"/>
              <w:spacing w:before="0" w:after="0" w:line="240" w:lineRule="auto"/>
              <w:rPr>
                <w:rFonts w:hint="eastAsia" w:ascii="宋体" w:hAnsi="宋体" w:eastAsia="宋体" w:cs="宋体"/>
                <w:b/>
                <w:bCs/>
                <w:sz w:val="24"/>
                <w:szCs w:val="24"/>
                <w:lang w:eastAsia="zh-CN"/>
              </w:rPr>
            </w:pPr>
            <w:r>
              <w:rPr>
                <w:rFonts w:hint="eastAsia"/>
                <w:color w:val="auto"/>
                <w:sz w:val="21"/>
                <w:szCs w:val="21"/>
                <w:lang w:eastAsia="zh-CN"/>
              </w:rPr>
              <w:t>技术参数完全满足招标文件技术参数要求的得</w:t>
            </w:r>
            <w:r>
              <w:rPr>
                <w:rFonts w:hint="eastAsia"/>
                <w:color w:val="auto"/>
                <w:sz w:val="21"/>
                <w:szCs w:val="21"/>
                <w:lang w:val="en-US" w:eastAsia="zh-CN"/>
              </w:rPr>
              <w:t>50</w:t>
            </w:r>
            <w:r>
              <w:rPr>
                <w:rFonts w:hint="eastAsia"/>
                <w:color w:val="auto"/>
                <w:sz w:val="21"/>
                <w:szCs w:val="21"/>
                <w:lang w:eastAsia="zh-CN"/>
              </w:rPr>
              <w:t>分，</w:t>
            </w:r>
            <w:r>
              <w:rPr>
                <w:rFonts w:hint="eastAsia" w:ascii="宋体" w:hAnsi="宋体" w:cs="宋体"/>
                <w:color w:val="auto"/>
                <w:kern w:val="1"/>
                <w:sz w:val="21"/>
                <w:szCs w:val="21"/>
                <w:lang w:eastAsia="zh-CN"/>
              </w:rPr>
              <w:t>以下</w:t>
            </w:r>
            <w:r>
              <w:rPr>
                <w:rFonts w:hint="eastAsia"/>
                <w:color w:val="auto"/>
                <w:sz w:val="21"/>
                <w:szCs w:val="21"/>
              </w:rPr>
              <w:t>任一项不符合则</w:t>
            </w:r>
            <w:r>
              <w:rPr>
                <w:rFonts w:hint="eastAsia"/>
                <w:b/>
                <w:bCs/>
                <w:color w:val="auto"/>
                <w:sz w:val="21"/>
                <w:szCs w:val="21"/>
              </w:rPr>
              <w:t>扣</w:t>
            </w:r>
            <w:r>
              <w:rPr>
                <w:rFonts w:hint="eastAsia"/>
                <w:b/>
                <w:bCs/>
                <w:color w:val="auto"/>
                <w:sz w:val="21"/>
                <w:szCs w:val="21"/>
                <w:lang w:val="en-US" w:eastAsia="zh-CN"/>
              </w:rPr>
              <w:t>2.5</w:t>
            </w:r>
            <w:r>
              <w:rPr>
                <w:rFonts w:hint="eastAsia"/>
                <w:b/>
                <w:bCs/>
                <w:color w:val="auto"/>
                <w:sz w:val="21"/>
                <w:szCs w:val="21"/>
              </w:rPr>
              <w:t>分</w:t>
            </w:r>
            <w:r>
              <w:rPr>
                <w:rFonts w:hint="eastAsia"/>
                <w:b/>
                <w:bCs/>
                <w:color w:val="auto"/>
                <w:sz w:val="21"/>
                <w:szCs w:val="21"/>
                <w:lang w:eastAsia="zh-CN"/>
              </w:rPr>
              <w:t>，超过二十项属无效投标（</w:t>
            </w:r>
            <w:r>
              <w:rPr>
                <w:rFonts w:hint="eastAsia"/>
                <w:b/>
                <w:bCs/>
                <w:color w:val="auto"/>
                <w:sz w:val="21"/>
                <w:szCs w:val="21"/>
                <w:lang w:val="en-US" w:eastAsia="zh-CN"/>
              </w:rPr>
              <w:t>提供有效证明材料，并加盖公章</w:t>
            </w:r>
            <w:r>
              <w:rPr>
                <w:rFonts w:hint="eastAsia"/>
                <w:b/>
                <w:bCs/>
                <w:color w:val="auto"/>
                <w:sz w:val="21"/>
                <w:szCs w:val="21"/>
                <w:lang w:eastAsia="zh-CN"/>
              </w:rPr>
              <w:t>）</w:t>
            </w:r>
            <w:r>
              <w:rPr>
                <w:rFonts w:hint="eastAsia"/>
                <w:b/>
                <w:bCs/>
                <w:color w:val="auto"/>
                <w:sz w:val="21"/>
                <w:szCs w:val="21"/>
              </w:rPr>
              <w:t>。</w:t>
            </w:r>
          </w:p>
          <w:p>
            <w:pPr>
              <w:numPr>
                <w:ilvl w:val="0"/>
                <w:numId w:val="53"/>
              </w:num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实验台</w:t>
            </w:r>
          </w:p>
          <w:p>
            <w:pPr>
              <w:numPr>
                <w:ilvl w:val="0"/>
                <w:numId w:val="0"/>
              </w:numP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钢材：符合优质冷轧钢板SPCC等级或同质量标准冷轧钢板（SPCC--表示一般用冷轧碳素钢薄板及钢带，相当于中国Q195-215A牌号）；</w:t>
            </w:r>
          </w:p>
          <w:p>
            <w:pP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抽屉：抽屉本体和面板板厚度为≥1.0mm冷轧钢板；</w:t>
            </w:r>
          </w:p>
          <w:p>
            <w:pPr>
              <w:rPr>
                <w:rFonts w:hint="eastAsia"/>
                <w:color w:val="auto"/>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试剂架层板：上固定层板采用厚10mm及以上钢化玻璃制作，层板下方具钢制托架以确保层板承重能力；层板外侧上缘采用圆弧或斜边不刮手处理；</w:t>
            </w:r>
          </w:p>
        </w:tc>
        <w:tc>
          <w:tcPr>
            <w:tcW w:w="599"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cs="宋体"/>
                <w:color w:val="auto"/>
                <w:sz w:val="21"/>
                <w:szCs w:val="21"/>
              </w:rPr>
            </w:pPr>
            <w:r>
              <w:rPr>
                <w:rFonts w:hint="eastAsia" w:ascii="宋体" w:hAnsi="宋体" w:cs="宋体"/>
                <w:b/>
                <w:bCs/>
                <w:color w:val="auto"/>
                <w:sz w:val="21"/>
                <w:szCs w:val="21"/>
                <w:lang w:val="en-US" w:eastAsia="zh-CN"/>
              </w:rPr>
              <w:t>5</w:t>
            </w:r>
            <w:r>
              <w:rPr>
                <w:rFonts w:hint="eastAsia" w:ascii="宋体" w:hAnsi="宋体" w:cs="宋体"/>
                <w:b/>
                <w:bCs/>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numPr>
                <w:ilvl w:val="0"/>
                <w:numId w:val="53"/>
              </w:numPr>
              <w:ind w:left="0" w:leftChars="0" w:firstLine="0" w:firstLineChars="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万向排气罩</w:t>
            </w:r>
          </w:p>
          <w:p>
            <w:pPr>
              <w:numPr>
                <w:ilvl w:val="0"/>
                <w:numId w:val="0"/>
              </w:numPr>
              <w:rPr>
                <w:rFonts w:hint="eastAsia"/>
                <w:color w:val="auto"/>
                <w:sz w:val="21"/>
                <w:szCs w:val="21"/>
              </w:rPr>
            </w:pPr>
            <w:r>
              <w:rPr>
                <w:rFonts w:hint="eastAsia" w:ascii="宋体" w:hAnsi="宋体" w:eastAsia="宋体" w:cs="宋体"/>
                <w:sz w:val="21"/>
                <w:szCs w:val="21"/>
              </w:rPr>
              <w:t>材质：移动风罩为聚丙烯材质，排气罩直管采用铝合金制造，铝合金表面做阳极处理达到耐腐蚀要求，所有管段均应以聚丙烯材质的旋转关节连结，移动风罩管体内与气流直接接触的金属零件，均为不锈钢耐蚀材料；</w:t>
            </w:r>
          </w:p>
        </w:tc>
        <w:tc>
          <w:tcPr>
            <w:tcW w:w="59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物证柜</w:t>
            </w:r>
          </w:p>
          <w:p>
            <w:pPr>
              <w:rPr>
                <w:rFonts w:hint="eastAsia" w:ascii="宋体" w:hAnsi="宋体" w:eastAsia="宋体" w:cs="宋体"/>
                <w:sz w:val="21"/>
                <w:szCs w:val="21"/>
              </w:rPr>
            </w:pPr>
            <w:r>
              <w:rPr>
                <w:rFonts w:hint="eastAsia" w:ascii="宋体" w:hAnsi="宋体" w:eastAsia="宋体" w:cs="宋体"/>
                <w:sz w:val="21"/>
                <w:szCs w:val="21"/>
              </w:rPr>
              <w:t>材质：整体采用≥1.2mm优质冷轧钢板。材料为:优质冷轧钢板;相当于SPCC或其他大型钢厂同等级、同质量标准的钢板；</w:t>
            </w:r>
          </w:p>
          <w:p>
            <w:pPr>
              <w:rPr>
                <w:rFonts w:hint="eastAsia" w:ascii="宋体" w:hAnsi="宋体" w:eastAsia="宋体" w:cs="宋体"/>
                <w:sz w:val="21"/>
                <w:szCs w:val="21"/>
              </w:rPr>
            </w:pPr>
            <w:r>
              <w:rPr>
                <w:rFonts w:hint="eastAsia" w:ascii="宋体" w:hAnsi="宋体" w:eastAsia="宋体" w:cs="宋体"/>
                <w:sz w:val="21"/>
                <w:szCs w:val="21"/>
              </w:rPr>
              <w:t>柜门：上部为5mm透明玻璃，下部为实门；玻璃门外框为钢质，玻璃卡槽为PVC材质，对扣夹紧，外表面不见螺丝。下部实门为双层对扣结构；</w:t>
            </w:r>
          </w:p>
          <w:p>
            <w:pPr>
              <w:rPr>
                <w:rFonts w:hint="eastAsia"/>
                <w:color w:val="auto"/>
                <w:sz w:val="21"/>
                <w:szCs w:val="21"/>
              </w:rPr>
            </w:pPr>
            <w:r>
              <w:rPr>
                <w:rFonts w:hint="eastAsia" w:ascii="宋体" w:hAnsi="宋体" w:eastAsia="宋体" w:cs="宋体"/>
                <w:sz w:val="21"/>
                <w:szCs w:val="21"/>
              </w:rPr>
              <w:t>合页：304#不锈钢，5节式；</w:t>
            </w:r>
          </w:p>
        </w:tc>
        <w:tc>
          <w:tcPr>
            <w:tcW w:w="59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lang w:eastAsia="zh-CN"/>
              </w:rPr>
              <w:t>通风柜：</w:t>
            </w:r>
          </w:p>
          <w:p>
            <w:pPr>
              <w:rPr>
                <w:rFonts w:hint="eastAsia" w:ascii="宋体" w:hAnsi="宋体" w:eastAsia="宋体" w:cs="宋体"/>
                <w:sz w:val="21"/>
                <w:szCs w:val="21"/>
              </w:rPr>
            </w:pPr>
            <w:r>
              <w:rPr>
                <w:rFonts w:hint="eastAsia" w:ascii="宋体" w:hAnsi="宋体" w:eastAsia="宋体" w:cs="宋体"/>
                <w:sz w:val="21"/>
                <w:szCs w:val="21"/>
                <w:lang w:val="en-US" w:eastAsia="zh-CN"/>
              </w:rPr>
              <w:t>4.1</w:t>
            </w:r>
            <w:r>
              <w:rPr>
                <w:rFonts w:hint="eastAsia" w:ascii="宋体" w:hAnsi="宋体" w:eastAsia="宋体" w:cs="宋体"/>
                <w:sz w:val="21"/>
                <w:szCs w:val="21"/>
              </w:rPr>
              <w:t>主要部分为优质冷轧钢板SPCC标准≥1.2mm厚冷轧钢板；钢材表面处理满足以下要求：</w:t>
            </w:r>
          </w:p>
          <w:p>
            <w:pPr>
              <w:rPr>
                <w:rFonts w:hint="eastAsia" w:ascii="宋体" w:hAnsi="宋体" w:eastAsia="宋体" w:cs="宋体"/>
                <w:sz w:val="21"/>
                <w:szCs w:val="21"/>
              </w:rPr>
            </w:pPr>
            <w:r>
              <w:rPr>
                <w:rFonts w:hint="eastAsia" w:ascii="宋体" w:hAnsi="宋体" w:eastAsia="宋体" w:cs="宋体"/>
                <w:sz w:val="21"/>
                <w:szCs w:val="21"/>
                <w:lang w:val="en-US" w:eastAsia="zh-CN"/>
              </w:rPr>
              <w:t>4.2</w:t>
            </w:r>
            <w:r>
              <w:rPr>
                <w:rFonts w:hint="eastAsia" w:ascii="宋体" w:hAnsi="宋体" w:eastAsia="宋体" w:cs="宋体"/>
                <w:sz w:val="21"/>
                <w:szCs w:val="21"/>
              </w:rPr>
              <w:t>所有钢制柜体或钢结构部件表面必须经静电环氧树脂粉末喷涂处理，涂层平整光滑，不允许有喷涂层脱落、鼓泡、凹陷、压痕以及表面划伤、麻点、裂痕、崩角和刃口等。钢板内外均进行环氧树脂喷涂，防止腐蚀由内而外发生。</w:t>
            </w:r>
          </w:p>
          <w:p>
            <w:pPr>
              <w:rPr>
                <w:rFonts w:hint="eastAsia"/>
                <w:color w:val="auto"/>
                <w:sz w:val="21"/>
                <w:szCs w:val="21"/>
              </w:rPr>
            </w:pPr>
            <w:r>
              <w:rPr>
                <w:rFonts w:hint="eastAsia" w:ascii="宋体" w:hAnsi="宋体" w:eastAsia="宋体" w:cs="宋体"/>
                <w:sz w:val="21"/>
                <w:szCs w:val="21"/>
                <w:lang w:val="en-US" w:eastAsia="zh-CN"/>
              </w:rPr>
              <w:t>4.3</w:t>
            </w:r>
            <w:r>
              <w:rPr>
                <w:rFonts w:hint="eastAsia" w:ascii="宋体" w:hAnsi="宋体" w:eastAsia="宋体" w:cs="宋体"/>
                <w:sz w:val="21"/>
                <w:szCs w:val="21"/>
              </w:rPr>
              <w:t>预处理：脱脂、水洗、酸洗、水洗中和、磷化、水洗等过程或纳米陶瓷前处理技术。</w:t>
            </w:r>
          </w:p>
        </w:tc>
        <w:tc>
          <w:tcPr>
            <w:tcW w:w="59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洁净度：实验区和各个缓冲间为十万级</w:t>
            </w:r>
          </w:p>
        </w:tc>
        <w:tc>
          <w:tcPr>
            <w:tcW w:w="59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地板胶地面</w:t>
            </w:r>
          </w:p>
          <w:p>
            <w:pPr>
              <w:rPr>
                <w:rFonts w:hint="eastAsia"/>
                <w:color w:val="auto"/>
                <w:sz w:val="21"/>
                <w:szCs w:val="21"/>
              </w:rPr>
            </w:pPr>
            <w:r>
              <w:rPr>
                <w:rFonts w:hint="eastAsia" w:ascii="宋体" w:hAnsi="宋体" w:eastAsia="宋体" w:cs="宋体"/>
                <w:sz w:val="21"/>
                <w:szCs w:val="21"/>
              </w:rPr>
              <w:t>实验室地面除特别说明外，地板厚度不低于2.6 mm，地板颜色由施工人在设计优化时由甲方确定。地板耐磨等级为T≦0.08mm，具有耐磨、耐酸碱、永久性抑制细菌、永久防静电性能、耐火阻燃。</w:t>
            </w:r>
          </w:p>
        </w:tc>
        <w:tc>
          <w:tcPr>
            <w:tcW w:w="59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洁净门</w:t>
            </w:r>
          </w:p>
          <w:p>
            <w:pPr>
              <w:rPr>
                <w:rFonts w:hint="eastAsia" w:ascii="宋体" w:hAnsi="宋体" w:eastAsia="宋体" w:cs="宋体"/>
                <w:sz w:val="21"/>
                <w:szCs w:val="21"/>
              </w:rPr>
            </w:pPr>
            <w:r>
              <w:rPr>
                <w:rFonts w:hint="eastAsia" w:ascii="宋体" w:hAnsi="宋体" w:eastAsia="宋体" w:cs="宋体"/>
                <w:sz w:val="21"/>
                <w:szCs w:val="21"/>
              </w:rPr>
              <w:t>结构要求: 结构和设计达到双面完全平滑连接；框材质、外围尺寸:1500（900）*2100mm， 50mm铝合金门套；</w:t>
            </w:r>
          </w:p>
          <w:p>
            <w:pPr>
              <w:rPr>
                <w:rFonts w:hint="eastAsia" w:ascii="宋体" w:hAnsi="宋体" w:eastAsia="宋体" w:cs="宋体"/>
                <w:sz w:val="21"/>
                <w:szCs w:val="21"/>
              </w:rPr>
            </w:pPr>
            <w:r>
              <w:rPr>
                <w:rFonts w:hint="eastAsia" w:ascii="宋体" w:hAnsi="宋体" w:eastAsia="宋体" w:cs="宋体"/>
                <w:sz w:val="21"/>
                <w:szCs w:val="21"/>
              </w:rPr>
              <w:t>框材质、外围尺寸: 50mm厚手工玻镁板，5mm钢化真空双层玻璃视窗；门底自动升降密封条门底部安装扫地橡胶条，门框及门扇处边沿有橡胶密封条 保证门体系统的气密性。</w:t>
            </w:r>
          </w:p>
          <w:p>
            <w:pPr>
              <w:pStyle w:val="39"/>
              <w:ind w:left="0" w:leftChars="0" w:firstLine="0" w:firstLineChars="0"/>
              <w:rPr>
                <w:rFonts w:hint="eastAsia"/>
                <w:color w:val="auto"/>
                <w:sz w:val="21"/>
                <w:szCs w:val="21"/>
              </w:rPr>
            </w:pPr>
            <w:r>
              <w:rPr>
                <w:rFonts w:hint="eastAsia" w:ascii="宋体" w:hAnsi="宋体" w:eastAsia="宋体" w:cs="宋体"/>
                <w:sz w:val="21"/>
                <w:szCs w:val="21"/>
              </w:rPr>
              <w:t>五金配件: 不锈钢门页、门把手、闭门器</w:t>
            </w:r>
          </w:p>
        </w:tc>
        <w:tc>
          <w:tcPr>
            <w:tcW w:w="59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8、</w:t>
            </w:r>
            <w:r>
              <w:rPr>
                <w:rFonts w:hint="eastAsia" w:ascii="宋体" w:hAnsi="宋体" w:eastAsia="宋体" w:cs="宋体"/>
                <w:b/>
                <w:bCs/>
                <w:sz w:val="21"/>
                <w:szCs w:val="21"/>
              </w:rPr>
              <w:t>风淋</w:t>
            </w:r>
          </w:p>
          <w:p>
            <w:pPr>
              <w:rPr>
                <w:rFonts w:hint="eastAsia" w:ascii="宋体" w:hAnsi="宋体" w:eastAsia="宋体" w:cs="宋体"/>
                <w:sz w:val="21"/>
                <w:szCs w:val="21"/>
              </w:rPr>
            </w:pPr>
            <w:r>
              <w:rPr>
                <w:rFonts w:hint="eastAsia" w:ascii="宋体" w:hAnsi="宋体" w:eastAsia="宋体" w:cs="宋体"/>
                <w:sz w:val="21"/>
                <w:szCs w:val="21"/>
              </w:rPr>
              <w:t xml:space="preserve">箱体采用优质的冷轧钢板制造，表面静电喷塑处理，美观大方，内底板全不锈钢板制做耐磨擦，易清洁。 </w:t>
            </w:r>
          </w:p>
          <w:p>
            <w:pPr>
              <w:rPr>
                <w:rFonts w:hint="eastAsia" w:ascii="宋体" w:hAnsi="宋体" w:eastAsia="宋体" w:cs="宋体"/>
                <w:sz w:val="21"/>
                <w:szCs w:val="21"/>
              </w:rPr>
            </w:pPr>
            <w:r>
              <w:rPr>
                <w:rFonts w:hint="eastAsia" w:ascii="宋体" w:hAnsi="宋体" w:eastAsia="宋体" w:cs="宋体"/>
                <w:sz w:val="21"/>
                <w:szCs w:val="21"/>
              </w:rPr>
              <w:t xml:space="preserve">风淋室风机 380V 50Hz 1.1KW， </w:t>
            </w:r>
          </w:p>
          <w:p>
            <w:pPr>
              <w:rPr>
                <w:rFonts w:hint="eastAsia"/>
                <w:color w:val="auto"/>
                <w:sz w:val="21"/>
                <w:szCs w:val="21"/>
              </w:rPr>
            </w:pPr>
            <w:r>
              <w:rPr>
                <w:rFonts w:hint="eastAsia" w:ascii="宋体" w:hAnsi="宋体" w:eastAsia="宋体" w:cs="宋体"/>
                <w:sz w:val="21"/>
                <w:szCs w:val="21"/>
              </w:rPr>
              <w:t xml:space="preserve">有隔板高效过滤器规格：915*610*150，过滤效率99.99%0.3um </w:t>
            </w:r>
          </w:p>
        </w:tc>
        <w:tc>
          <w:tcPr>
            <w:tcW w:w="59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9、洁净窗与传递窗</w:t>
            </w:r>
          </w:p>
          <w:p>
            <w:pPr>
              <w:rPr>
                <w:rFonts w:hint="eastAsia" w:ascii="宋体" w:hAnsi="宋体" w:eastAsia="宋体" w:cs="宋体"/>
                <w:sz w:val="21"/>
                <w:szCs w:val="21"/>
              </w:rPr>
            </w:pPr>
            <w:r>
              <w:rPr>
                <w:rFonts w:hint="eastAsia" w:ascii="宋体" w:hAnsi="宋体" w:eastAsia="宋体" w:cs="宋体"/>
                <w:sz w:val="21"/>
                <w:szCs w:val="21"/>
                <w:lang w:val="en-US" w:eastAsia="zh-CN"/>
              </w:rPr>
              <w:t>9.1</w:t>
            </w:r>
            <w:r>
              <w:rPr>
                <w:rFonts w:hint="eastAsia" w:ascii="宋体" w:hAnsi="宋体" w:eastAsia="宋体" w:cs="宋体"/>
                <w:sz w:val="21"/>
                <w:szCs w:val="21"/>
              </w:rPr>
              <w:t>洁净窗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a</w:t>
            </w:r>
            <w:r>
              <w:rPr>
                <w:rFonts w:hint="eastAsia" w:ascii="宋体" w:hAnsi="宋体" w:eastAsia="宋体" w:cs="宋体"/>
                <w:sz w:val="21"/>
                <w:szCs w:val="21"/>
              </w:rPr>
              <w:t>）骨架、边框材料种类、规格:50系列铝型材</w:t>
            </w:r>
          </w:p>
          <w:p>
            <w:pPr>
              <w:ind w:firstLine="840" w:firstLineChars="400"/>
              <w:rPr>
                <w:rFonts w:hint="eastAsia" w:ascii="宋体" w:hAnsi="宋体" w:eastAsia="宋体" w:cs="宋体"/>
                <w:sz w:val="21"/>
                <w:szCs w:val="21"/>
              </w:rPr>
            </w:pPr>
            <w:r>
              <w:rPr>
                <w:rFonts w:hint="eastAsia" w:ascii="宋体" w:hAnsi="宋体" w:eastAsia="宋体" w:cs="宋体"/>
                <w:sz w:val="21"/>
                <w:szCs w:val="21"/>
                <w:lang w:val="en-US" w:eastAsia="zh-CN"/>
              </w:rPr>
              <w:t>b</w:t>
            </w:r>
            <w:r>
              <w:rPr>
                <w:rFonts w:hint="eastAsia" w:ascii="宋体" w:hAnsi="宋体" w:eastAsia="宋体" w:cs="宋体"/>
                <w:sz w:val="21"/>
                <w:szCs w:val="21"/>
              </w:rPr>
              <w:t>）嵌缝、塞口材料种类:玻璃胶，窗框与窗扇处边沿有橡胶密封条</w:t>
            </w:r>
          </w:p>
          <w:p>
            <w:pPr>
              <w:ind w:firstLine="840" w:firstLineChars="400"/>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）玻璃：5mm真空双层钢化清玻璃</w:t>
            </w:r>
          </w:p>
          <w:p>
            <w:pPr>
              <w:ind w:firstLine="840" w:firstLineChars="400"/>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）规格：900*1100(或定制尺寸，不大于2300mm）</w:t>
            </w:r>
          </w:p>
          <w:p>
            <w:pPr>
              <w:rPr>
                <w:rFonts w:hint="eastAsia" w:ascii="宋体" w:hAnsi="宋体" w:eastAsia="宋体" w:cs="宋体"/>
                <w:sz w:val="21"/>
                <w:szCs w:val="21"/>
              </w:rPr>
            </w:pPr>
            <w:r>
              <w:rPr>
                <w:rFonts w:hint="eastAsia" w:ascii="宋体" w:hAnsi="宋体" w:eastAsia="宋体" w:cs="宋体"/>
                <w:sz w:val="21"/>
                <w:szCs w:val="21"/>
                <w:lang w:val="en-US" w:eastAsia="zh-CN"/>
              </w:rPr>
              <w:t>9.2</w:t>
            </w:r>
            <w:r>
              <w:rPr>
                <w:rFonts w:hint="eastAsia" w:ascii="宋体" w:hAnsi="宋体" w:eastAsia="宋体" w:cs="宋体"/>
                <w:sz w:val="21"/>
                <w:szCs w:val="21"/>
              </w:rPr>
              <w:t>传递窗</w:t>
            </w:r>
            <w:r>
              <w:rPr>
                <w:rFonts w:hint="eastAsia" w:ascii="宋体" w:hAnsi="宋体" w:eastAsia="宋体" w:cs="宋体"/>
                <w:sz w:val="21"/>
                <w:szCs w:val="21"/>
                <w:lang w:val="en-US" w:eastAsia="zh-CN"/>
              </w:rPr>
              <w:t>:</w:t>
            </w:r>
            <w:r>
              <w:rPr>
                <w:rFonts w:hint="eastAsia" w:ascii="宋体" w:hAnsi="宋体" w:eastAsia="宋体" w:cs="宋体"/>
                <w:sz w:val="21"/>
                <w:szCs w:val="21"/>
              </w:rPr>
              <w:t>采用全不锈钢制作，内尺寸400*400*400带紫外线杀菌，机械互锁。</w:t>
            </w:r>
          </w:p>
          <w:p>
            <w:pPr>
              <w:ind w:left="840" w:leftChars="40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a</w:t>
            </w:r>
            <w:r>
              <w:rPr>
                <w:rFonts w:hint="eastAsia" w:ascii="宋体" w:hAnsi="宋体" w:eastAsia="宋体" w:cs="宋体"/>
                <w:sz w:val="21"/>
                <w:szCs w:val="21"/>
              </w:rPr>
              <w:t>）主体结构：箱体采用优质砂光不锈钢板SUS304#(t=2mm)折弯制作，表面处理无焊接痕迹内胆不锈钢SUS304#材质，门采用透明玻璃，内部采用圆弧形设计，防止尘埃，容易清理。</w:t>
            </w:r>
          </w:p>
          <w:p>
            <w:pPr>
              <w:ind w:firstLine="840" w:firstLineChars="400"/>
              <w:rPr>
                <w:rFonts w:hint="eastAsia" w:ascii="宋体" w:hAnsi="宋体" w:eastAsia="宋体" w:cs="宋体"/>
                <w:sz w:val="21"/>
                <w:szCs w:val="21"/>
              </w:rPr>
            </w:pPr>
            <w:r>
              <w:rPr>
                <w:rFonts w:hint="eastAsia" w:ascii="宋体" w:hAnsi="宋体" w:eastAsia="宋体" w:cs="宋体"/>
                <w:sz w:val="21"/>
                <w:szCs w:val="21"/>
                <w:lang w:val="en-US" w:eastAsia="zh-CN"/>
              </w:rPr>
              <w:t>b</w:t>
            </w:r>
            <w:r>
              <w:rPr>
                <w:rFonts w:hint="eastAsia" w:ascii="宋体" w:hAnsi="宋体" w:eastAsia="宋体" w:cs="宋体"/>
                <w:sz w:val="21"/>
                <w:szCs w:val="21"/>
              </w:rPr>
              <w:t>）互锁系统：电磁互锁系统,确保不能同时开启。</w:t>
            </w:r>
          </w:p>
          <w:p>
            <w:pPr>
              <w:ind w:left="840" w:leftChars="400" w:firstLine="0" w:firstLineChars="0"/>
              <w:rPr>
                <w:rFonts w:hint="eastAsia"/>
                <w:color w:val="auto"/>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）配按键式控制面板2套，暗藏式紫外线杀菌灯（20W*1盏，符合最新型GMP标准）</w:t>
            </w:r>
          </w:p>
        </w:tc>
        <w:tc>
          <w:tcPr>
            <w:tcW w:w="59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1"/>
                <w:szCs w:val="21"/>
                <w:lang w:val="zh-CN" w:eastAsia="zh-CN"/>
              </w:rPr>
            </w:pPr>
            <w:r>
              <w:rPr>
                <w:rFonts w:hint="eastAsia" w:ascii="宋体" w:hAnsi="宋体" w:eastAsia="宋体" w:cs="宋体"/>
                <w:b/>
                <w:bCs/>
                <w:sz w:val="21"/>
                <w:szCs w:val="21"/>
                <w:lang w:val="en-US" w:eastAsia="zh-CN"/>
              </w:rPr>
              <w:t>10、</w:t>
            </w:r>
            <w:r>
              <w:rPr>
                <w:rFonts w:hint="eastAsia" w:ascii="宋体" w:hAnsi="宋体" w:eastAsia="宋体" w:cs="宋体"/>
                <w:b/>
                <w:bCs/>
                <w:sz w:val="21"/>
                <w:szCs w:val="21"/>
                <w:lang w:val="zh-CN" w:eastAsia="zh-CN"/>
              </w:rPr>
              <w:t>洁净空调机组</w:t>
            </w:r>
          </w:p>
          <w:p>
            <w:pPr>
              <w:rPr>
                <w:rFonts w:hint="eastAsia"/>
                <w:color w:val="auto"/>
                <w:sz w:val="21"/>
                <w:szCs w:val="21"/>
              </w:rPr>
            </w:pPr>
            <w:r>
              <w:rPr>
                <w:rFonts w:hint="eastAsia" w:ascii="宋体" w:hAnsi="宋体" w:eastAsia="宋体" w:cs="宋体"/>
                <w:sz w:val="21"/>
                <w:szCs w:val="21"/>
                <w:lang w:val="zh-CN"/>
              </w:rPr>
              <w:t>机组功能段包括新回风混合段、初效过滤段、风机段、表冷段、电加热段、中效过滤段、加湿段、出风段；</w:t>
            </w:r>
          </w:p>
        </w:tc>
        <w:tc>
          <w:tcPr>
            <w:tcW w:w="59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11、</w:t>
            </w:r>
            <w:r>
              <w:rPr>
                <w:rFonts w:hint="eastAsia" w:ascii="宋体" w:hAnsi="宋体" w:eastAsia="宋体" w:cs="宋体"/>
                <w:b/>
                <w:bCs/>
                <w:sz w:val="21"/>
                <w:szCs w:val="21"/>
                <w:lang w:val="zh-CN"/>
              </w:rPr>
              <w:t>空调机组的控制</w:t>
            </w:r>
          </w:p>
          <w:p>
            <w:pPr>
              <w:rPr>
                <w:rFonts w:hint="eastAsia" w:ascii="宋体" w:hAnsi="宋体" w:eastAsia="宋体" w:cs="宋体"/>
                <w:sz w:val="21"/>
                <w:szCs w:val="21"/>
                <w:lang w:val="zh-CN"/>
              </w:rPr>
            </w:pPr>
            <w:r>
              <w:rPr>
                <w:rFonts w:hint="eastAsia" w:ascii="宋体" w:hAnsi="宋体" w:eastAsia="宋体" w:cs="宋体"/>
                <w:sz w:val="21"/>
                <w:szCs w:val="21"/>
                <w:lang w:val="en-US" w:eastAsia="zh-CN"/>
              </w:rPr>
              <w:t>11.1</w:t>
            </w:r>
            <w:r>
              <w:rPr>
                <w:rFonts w:hint="eastAsia" w:ascii="宋体" w:hAnsi="宋体" w:eastAsia="宋体" w:cs="宋体"/>
                <w:sz w:val="21"/>
                <w:szCs w:val="21"/>
                <w:lang w:val="zh-CN"/>
              </w:rPr>
              <w:t>室内控制温度精度±1ºC，相对湿度精度5%RH；</w:t>
            </w:r>
          </w:p>
          <w:p>
            <w:pPr>
              <w:rPr>
                <w:rFonts w:hint="eastAsia" w:ascii="宋体" w:hAnsi="宋体" w:eastAsia="宋体" w:cs="宋体"/>
                <w:sz w:val="21"/>
                <w:szCs w:val="21"/>
                <w:lang w:val="zh-CN"/>
              </w:rPr>
            </w:pPr>
            <w:r>
              <w:rPr>
                <w:rFonts w:hint="eastAsia" w:ascii="宋体" w:hAnsi="宋体" w:eastAsia="宋体" w:cs="宋体"/>
                <w:sz w:val="21"/>
                <w:szCs w:val="21"/>
                <w:lang w:val="en-US" w:eastAsia="zh-CN"/>
              </w:rPr>
              <w:t>11.2</w:t>
            </w:r>
            <w:r>
              <w:rPr>
                <w:rFonts w:hint="eastAsia" w:ascii="宋体" w:hAnsi="宋体" w:eastAsia="宋体" w:cs="宋体"/>
                <w:sz w:val="21"/>
                <w:szCs w:val="21"/>
                <w:lang w:val="zh-CN"/>
              </w:rPr>
              <w:t>风机变频控制；</w:t>
            </w:r>
          </w:p>
          <w:p>
            <w:pPr>
              <w:rPr>
                <w:rFonts w:hint="eastAsia"/>
                <w:color w:val="auto"/>
                <w:sz w:val="21"/>
                <w:szCs w:val="21"/>
              </w:rPr>
            </w:pPr>
            <w:r>
              <w:rPr>
                <w:rFonts w:hint="eastAsia" w:ascii="宋体" w:hAnsi="宋体" w:eastAsia="宋体" w:cs="宋体"/>
                <w:sz w:val="21"/>
                <w:szCs w:val="21"/>
                <w:lang w:val="en-US" w:eastAsia="zh-CN"/>
              </w:rPr>
              <w:t>11.3</w:t>
            </w:r>
            <w:r>
              <w:rPr>
                <w:rFonts w:hint="eastAsia" w:ascii="宋体" w:hAnsi="宋体" w:eastAsia="宋体" w:cs="宋体"/>
                <w:sz w:val="21"/>
                <w:szCs w:val="21"/>
                <w:lang w:val="zh-CN"/>
              </w:rPr>
              <w:t>中效过滤网堵塞报警、缺负保护报警、风机运行情况及过载报警；加湿器运行和故障查询等；手、自动风量调频切换，手动频率设定；调节阀、加湿器和电加热器工作状态；各种控制参数(室内温、湿度；变频器频率等)的设定和修改；</w:t>
            </w:r>
          </w:p>
        </w:tc>
        <w:tc>
          <w:tcPr>
            <w:tcW w:w="59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09"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宋体" w:cs="宋体"/>
                <w:color w:val="auto"/>
                <w:sz w:val="21"/>
                <w:szCs w:val="21"/>
              </w:rPr>
            </w:pPr>
          </w:p>
        </w:tc>
        <w:tc>
          <w:tcPr>
            <w:tcW w:w="7952"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12、</w:t>
            </w:r>
            <w:r>
              <w:rPr>
                <w:rFonts w:hint="eastAsia" w:ascii="宋体" w:hAnsi="宋体" w:eastAsia="宋体" w:cs="宋体"/>
                <w:b/>
                <w:bCs/>
                <w:sz w:val="21"/>
                <w:szCs w:val="21"/>
                <w:lang w:val="zh-CN"/>
              </w:rPr>
              <w:t>高效送风口(带方形调节阀)</w:t>
            </w:r>
          </w:p>
          <w:p>
            <w:pPr>
              <w:rPr>
                <w:rFonts w:hint="eastAsia" w:ascii="宋体" w:hAnsi="宋体" w:eastAsia="宋体" w:cs="宋体"/>
                <w:sz w:val="21"/>
                <w:szCs w:val="21"/>
                <w:lang w:val="zh-CN"/>
              </w:rPr>
            </w:pPr>
            <w:r>
              <w:rPr>
                <w:rFonts w:hint="eastAsia" w:ascii="宋体" w:hAnsi="宋体" w:eastAsia="宋体" w:cs="宋体"/>
                <w:sz w:val="21"/>
                <w:szCs w:val="21"/>
                <w:lang w:val="en-US" w:eastAsia="zh-CN"/>
              </w:rPr>
              <w:t>12.1</w:t>
            </w:r>
            <w:r>
              <w:rPr>
                <w:rFonts w:hint="eastAsia" w:ascii="宋体" w:hAnsi="宋体" w:eastAsia="宋体" w:cs="宋体"/>
                <w:sz w:val="21"/>
                <w:szCs w:val="21"/>
                <w:lang w:val="zh-CN"/>
              </w:rPr>
              <w:t>面板为冷轧镀锌钢板，表面根据要求做喷漆处理，外表面必须平滑细腻，无凹凸和起楞；</w:t>
            </w:r>
          </w:p>
          <w:p>
            <w:pPr>
              <w:rPr>
                <w:rFonts w:ascii="宋体" w:cs="宋体"/>
                <w:color w:val="auto"/>
                <w:sz w:val="21"/>
                <w:szCs w:val="21"/>
              </w:rPr>
            </w:pPr>
            <w:r>
              <w:rPr>
                <w:rFonts w:hint="eastAsia" w:ascii="宋体" w:hAnsi="宋体" w:eastAsia="宋体" w:cs="宋体"/>
                <w:sz w:val="21"/>
                <w:szCs w:val="21"/>
                <w:lang w:val="en-US" w:eastAsia="zh-CN"/>
              </w:rPr>
              <w:t>12.2</w:t>
            </w:r>
            <w:r>
              <w:rPr>
                <w:rFonts w:hint="eastAsia" w:ascii="宋体" w:hAnsi="宋体" w:eastAsia="宋体" w:cs="宋体"/>
                <w:sz w:val="21"/>
                <w:szCs w:val="21"/>
                <w:lang w:val="zh-CN"/>
              </w:rPr>
              <w:t>具有较好的过滤性能</w:t>
            </w:r>
            <w:r>
              <w:rPr>
                <w:rFonts w:hint="eastAsia" w:ascii="宋体" w:hAnsi="宋体" w:eastAsia="宋体" w:cs="宋体"/>
                <w:sz w:val="21"/>
                <w:szCs w:val="21"/>
              </w:rPr>
              <w:t>，</w:t>
            </w:r>
            <w:r>
              <w:rPr>
                <w:rFonts w:hint="eastAsia" w:ascii="宋体" w:hAnsi="宋体" w:eastAsia="宋体" w:cs="宋体"/>
                <w:sz w:val="21"/>
                <w:szCs w:val="21"/>
                <w:lang w:val="zh-CN"/>
              </w:rPr>
              <w:t>高效过滤效率</w:t>
            </w:r>
            <w:r>
              <w:rPr>
                <w:rFonts w:hint="eastAsia" w:ascii="宋体" w:hAnsi="宋体" w:eastAsia="宋体" w:cs="宋体"/>
                <w:sz w:val="21"/>
                <w:szCs w:val="21"/>
              </w:rPr>
              <w:t>≥99．99％@≥0.3um；</w:t>
            </w:r>
          </w:p>
        </w:tc>
        <w:tc>
          <w:tcPr>
            <w:tcW w:w="599"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09" w:type="dxa"/>
            <w:vMerge w:val="restart"/>
            <w:tcBorders>
              <w:top w:val="single" w:color="auto" w:sz="4" w:space="0"/>
              <w:left w:val="single" w:color="auto" w:sz="4" w:space="0"/>
              <w:right w:val="single" w:color="auto" w:sz="4" w:space="0"/>
            </w:tcBorders>
            <w:noWrap w:val="0"/>
            <w:vAlign w:val="center"/>
          </w:tcPr>
          <w:p>
            <w:pPr>
              <w:widowControl/>
              <w:jc w:val="left"/>
              <w:rPr>
                <w:rFonts w:ascii="宋体" w:cs="宋体"/>
                <w:color w:val="auto"/>
                <w:sz w:val="21"/>
                <w:szCs w:val="21"/>
              </w:rPr>
            </w:pPr>
            <w:r>
              <w:rPr>
                <w:rFonts w:hint="eastAsia" w:ascii="宋体" w:cs="宋体"/>
                <w:color w:val="auto"/>
                <w:sz w:val="21"/>
                <w:szCs w:val="21"/>
              </w:rPr>
              <w:t>商务</w:t>
            </w:r>
            <w:r>
              <w:rPr>
                <w:rFonts w:hint="eastAsia" w:ascii="宋体" w:cs="宋体"/>
                <w:color w:val="auto"/>
                <w:sz w:val="21"/>
                <w:szCs w:val="21"/>
                <w:lang w:eastAsia="zh-CN"/>
              </w:rPr>
              <w:t>及售后</w:t>
            </w:r>
            <w:r>
              <w:rPr>
                <w:rFonts w:hint="eastAsia" w:ascii="宋体" w:cs="宋体"/>
                <w:color w:val="auto"/>
                <w:sz w:val="21"/>
                <w:szCs w:val="21"/>
              </w:rPr>
              <w:t>（</w:t>
            </w:r>
            <w:r>
              <w:rPr>
                <w:rFonts w:hint="eastAsia" w:ascii="宋体" w:cs="宋体"/>
                <w:color w:val="auto"/>
                <w:sz w:val="21"/>
                <w:szCs w:val="21"/>
                <w:lang w:val="en-US" w:eastAsia="zh-CN"/>
              </w:rPr>
              <w:t>20</w:t>
            </w:r>
            <w:r>
              <w:rPr>
                <w:rFonts w:hint="eastAsia" w:ascii="宋体" w:cs="宋体"/>
                <w:color w:val="auto"/>
                <w:sz w:val="21"/>
                <w:szCs w:val="21"/>
              </w:rPr>
              <w:t>分）</w:t>
            </w:r>
          </w:p>
        </w:tc>
        <w:tc>
          <w:tcPr>
            <w:tcW w:w="79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90" w:lineRule="exact"/>
              <w:rPr>
                <w:rFonts w:ascii="宋体" w:hAnsi="宋体" w:cs="宋体"/>
                <w:color w:val="auto"/>
                <w:sz w:val="21"/>
                <w:szCs w:val="21"/>
              </w:rPr>
            </w:pPr>
            <w:r>
              <w:rPr>
                <w:rFonts w:hint="default" w:ascii="宋体" w:hAnsi="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、须</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lang w:val="en-US" w:eastAsia="zh-CN"/>
              </w:rPr>
              <w:t>近五年</w:t>
            </w:r>
            <w:r>
              <w:rPr>
                <w:rFonts w:hint="eastAsia" w:ascii="宋体" w:hAnsi="宋体" w:cs="宋体"/>
                <w:color w:val="auto"/>
                <w:sz w:val="21"/>
                <w:szCs w:val="21"/>
                <w:highlight w:val="none"/>
                <w:lang w:eastAsia="zh-CN"/>
              </w:rPr>
              <w:t>以来</w:t>
            </w:r>
            <w:r>
              <w:rPr>
                <w:rFonts w:hint="eastAsia" w:ascii="宋体" w:hAnsi="宋体" w:cs="宋体"/>
                <w:bCs/>
                <w:color w:val="auto"/>
                <w:highlight w:val="none"/>
              </w:rPr>
              <w:t>参与政府采购项目类似业绩</w:t>
            </w:r>
            <w:r>
              <w:rPr>
                <w:rFonts w:hint="eastAsia" w:ascii="宋体" w:hAnsi="宋体" w:cs="宋体"/>
                <w:bCs/>
                <w:color w:val="auto"/>
                <w:highlight w:val="none"/>
                <w:lang w:val="en-US" w:eastAsia="zh-CN"/>
              </w:rPr>
              <w:t>,</w:t>
            </w:r>
            <w:r>
              <w:rPr>
                <w:rFonts w:hint="eastAsia" w:ascii="宋体" w:hAnsi="宋体" w:cs="宋体"/>
                <w:bCs/>
                <w:color w:val="auto"/>
                <w:highlight w:val="none"/>
              </w:rPr>
              <w:t>专指公安系统刑事科学实验室建设项目(需含实验室设备、通风系统等综合项目)</w:t>
            </w:r>
            <w:r>
              <w:rPr>
                <w:rFonts w:hint="eastAsia" w:ascii="宋体" w:hAnsi="宋体" w:cs="宋体"/>
                <w:color w:val="auto"/>
                <w:sz w:val="21"/>
                <w:szCs w:val="21"/>
                <w:highlight w:val="none"/>
                <w:lang w:eastAsia="zh-CN"/>
              </w:rPr>
              <w:t xml:space="preserve">以上类似项目业绩，每份得2 分，最多得 </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 xml:space="preserve"> 分。</w:t>
            </w:r>
            <w:r>
              <w:rPr>
                <w:rFonts w:hint="eastAsia" w:ascii="宋体" w:hAnsi="宋体" w:cs="宋体"/>
                <w:bCs/>
                <w:color w:val="auto"/>
                <w:highlight w:val="none"/>
              </w:rPr>
              <w:t>（提供原件，不提供不得分；原件及投标文件中需附实验室建设合同和中标通知书、中标公告的政府采购官方网站的打印件加盖公章）。</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cs="宋体" w:eastAsiaTheme="minorEastAsia"/>
                <w:color w:val="auto"/>
                <w:sz w:val="21"/>
                <w:szCs w:val="21"/>
                <w:lang w:val="en-US" w:eastAsia="zh-CN"/>
              </w:rPr>
            </w:pPr>
            <w:r>
              <w:rPr>
                <w:rFonts w:hint="eastAsia" w:ascii="宋体" w:cs="宋体"/>
                <w:color w:val="auto"/>
                <w:sz w:val="21"/>
                <w:szCs w:val="2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09" w:type="dxa"/>
            <w:vMerge w:val="continue"/>
            <w:tcBorders>
              <w:left w:val="single" w:color="auto" w:sz="4" w:space="0"/>
              <w:right w:val="single" w:color="auto" w:sz="4" w:space="0"/>
            </w:tcBorders>
            <w:noWrap w:val="0"/>
            <w:vAlign w:val="center"/>
          </w:tcPr>
          <w:p>
            <w:pPr>
              <w:widowControl/>
              <w:jc w:val="left"/>
              <w:rPr>
                <w:rFonts w:hint="eastAsia" w:asci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exact"/>
              <w:ind w:leftChars="0"/>
              <w:rPr>
                <w:rFonts w:ascii="宋体" w:hAnsi="宋体" w:cs="宋体"/>
                <w:color w:val="auto"/>
                <w:sz w:val="21"/>
                <w:szCs w:val="21"/>
              </w:rPr>
            </w:pPr>
            <w:r>
              <w:rPr>
                <w:rFonts w:hint="eastAsia" w:ascii="宋体" w:hAnsi="宋体" w:cs="宋体"/>
                <w:color w:val="auto"/>
                <w:sz w:val="21"/>
                <w:szCs w:val="21"/>
                <w:highlight w:val="none"/>
                <w:lang w:val="en-US" w:eastAsia="zh-CN"/>
              </w:rPr>
              <w:t>2、根据</w:t>
            </w:r>
            <w:r>
              <w:rPr>
                <w:rFonts w:hint="eastAsia" w:ascii="宋体" w:hAnsi="宋体" w:cs="宋体"/>
                <w:color w:val="auto"/>
                <w:sz w:val="21"/>
                <w:szCs w:val="21"/>
                <w:highlight w:val="none"/>
                <w:lang w:eastAsia="zh-CN"/>
              </w:rPr>
              <w:t>提供产品单件图及实验室效果图</w:t>
            </w:r>
            <w:r>
              <w:rPr>
                <w:rFonts w:hint="eastAsia" w:ascii="宋体" w:hAnsi="宋体" w:cs="宋体"/>
                <w:color w:val="auto"/>
                <w:sz w:val="21"/>
                <w:szCs w:val="21"/>
                <w:highlight w:val="none"/>
                <w:lang w:val="en-US" w:eastAsia="zh-CN"/>
              </w:rPr>
              <w:t>相应打分</w:t>
            </w:r>
            <w:r>
              <w:rPr>
                <w:rFonts w:hint="eastAsia" w:ascii="宋体" w:hAnsi="宋体" w:cs="宋体"/>
                <w:color w:val="auto"/>
                <w:sz w:val="21"/>
                <w:szCs w:val="21"/>
                <w:highlight w:val="none"/>
                <w:lang w:eastAsia="zh-CN"/>
              </w:rPr>
              <w:t>，最多得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分；</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cs="宋体"/>
                <w:b w:val="0"/>
                <w:bCs w:val="0"/>
                <w:color w:val="auto"/>
                <w:sz w:val="21"/>
                <w:szCs w:val="21"/>
                <w:lang w:val="en-US" w:eastAsia="zh-CN"/>
              </w:rPr>
            </w:pPr>
            <w:r>
              <w:rPr>
                <w:rFonts w:hint="eastAsia" w:ascii="宋体" w:cs="宋体"/>
                <w:b w:val="0"/>
                <w:bCs w:val="0"/>
                <w:color w:val="auto"/>
                <w:sz w:val="21"/>
                <w:szCs w:val="21"/>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09" w:type="dxa"/>
            <w:vMerge w:val="continue"/>
            <w:tcBorders>
              <w:left w:val="single" w:color="auto" w:sz="4" w:space="0"/>
              <w:right w:val="single" w:color="auto" w:sz="4" w:space="0"/>
            </w:tcBorders>
            <w:noWrap w:val="0"/>
            <w:vAlign w:val="center"/>
          </w:tcPr>
          <w:p>
            <w:pPr>
              <w:widowControl/>
              <w:jc w:val="left"/>
              <w:rPr>
                <w:rFonts w:hint="eastAsia" w:asci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exact"/>
              <w:ind w:leftChars="0"/>
              <w:rPr>
                <w:rFonts w:ascii="宋体" w:hAnsi="宋体" w:cs="宋体"/>
                <w:color w:val="auto"/>
                <w:sz w:val="21"/>
                <w:szCs w:val="21"/>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工期每提前一天加 0.5 分，最多得 2 分；</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cs="宋体"/>
                <w:b w:val="0"/>
                <w:bCs w:val="0"/>
                <w:color w:val="auto"/>
                <w:sz w:val="21"/>
                <w:szCs w:val="21"/>
                <w:lang w:val="en-US" w:eastAsia="zh-CN"/>
              </w:rPr>
            </w:pPr>
            <w:r>
              <w:rPr>
                <w:rFonts w:hint="eastAsia" w:ascii="宋体" w:cs="宋体"/>
                <w:b w:val="0"/>
                <w:bCs w:val="0"/>
                <w:color w:val="auto"/>
                <w:sz w:val="21"/>
                <w:szCs w:val="21"/>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09" w:type="dxa"/>
            <w:vMerge w:val="continue"/>
            <w:tcBorders>
              <w:left w:val="single" w:color="auto" w:sz="4" w:space="0"/>
              <w:right w:val="single" w:color="auto" w:sz="4" w:space="0"/>
            </w:tcBorders>
            <w:noWrap w:val="0"/>
            <w:vAlign w:val="center"/>
          </w:tcPr>
          <w:p>
            <w:pPr>
              <w:widowControl/>
              <w:jc w:val="left"/>
              <w:rPr>
                <w:rFonts w:hint="eastAsia" w:asci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exact"/>
              <w:ind w:leftChars="0"/>
              <w:rPr>
                <w:rFonts w:ascii="宋体" w:hAnsi="宋体" w:cs="宋体"/>
                <w:color w:val="auto"/>
                <w:sz w:val="21"/>
                <w:szCs w:val="21"/>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质保期在招标文件规定的基础上质保期每增加一年得 1 分，最多得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cs="宋体"/>
                <w:b w:val="0"/>
                <w:bCs w:val="0"/>
                <w:color w:val="auto"/>
                <w:sz w:val="21"/>
                <w:szCs w:val="21"/>
                <w:lang w:val="en-US" w:eastAsia="zh-CN"/>
              </w:rPr>
            </w:pPr>
            <w:r>
              <w:rPr>
                <w:rFonts w:hint="eastAsia" w:ascii="宋体" w:cs="宋体"/>
                <w:b w:val="0"/>
                <w:bCs w:val="0"/>
                <w:color w:val="auto"/>
                <w:sz w:val="21"/>
                <w:szCs w:val="21"/>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09" w:type="dxa"/>
            <w:vMerge w:val="continue"/>
            <w:tcBorders>
              <w:left w:val="single" w:color="auto" w:sz="4" w:space="0"/>
              <w:right w:val="single" w:color="auto" w:sz="4" w:space="0"/>
            </w:tcBorders>
            <w:noWrap w:val="0"/>
            <w:vAlign w:val="center"/>
          </w:tcPr>
          <w:p>
            <w:pPr>
              <w:widowControl/>
              <w:jc w:val="left"/>
              <w:rPr>
                <w:rFonts w:hint="eastAsia" w:asci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exact"/>
              <w:ind w:leftChars="0"/>
              <w:rPr>
                <w:rFonts w:ascii="宋体" w:hAnsi="宋体" w:cs="宋体"/>
                <w:color w:val="auto"/>
                <w:sz w:val="21"/>
                <w:szCs w:val="21"/>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响应时间及时，承诺 24 小时内上门服务的得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分；</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cs="宋体"/>
                <w:b w:val="0"/>
                <w:bCs w:val="0"/>
                <w:color w:val="auto"/>
                <w:sz w:val="21"/>
                <w:szCs w:val="21"/>
                <w:lang w:val="en-US" w:eastAsia="zh-CN"/>
              </w:rPr>
            </w:pPr>
            <w:r>
              <w:rPr>
                <w:rFonts w:hint="eastAsia" w:ascii="宋体" w:cs="宋体"/>
                <w:b w:val="0"/>
                <w:bCs w:val="0"/>
                <w:color w:val="auto"/>
                <w:sz w:val="21"/>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09" w:type="dxa"/>
            <w:vMerge w:val="continue"/>
            <w:tcBorders>
              <w:left w:val="single" w:color="auto" w:sz="4" w:space="0"/>
              <w:right w:val="single" w:color="auto" w:sz="4" w:space="0"/>
            </w:tcBorders>
            <w:noWrap w:val="0"/>
            <w:vAlign w:val="center"/>
          </w:tcPr>
          <w:p>
            <w:pPr>
              <w:widowControl/>
              <w:jc w:val="left"/>
              <w:rPr>
                <w:rFonts w:hint="eastAsia" w:asci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exact"/>
              <w:ind w:leftChars="0"/>
              <w:rPr>
                <w:rFonts w:ascii="宋体" w:hAnsi="宋体" w:cs="宋体"/>
                <w:color w:val="auto"/>
                <w:sz w:val="21"/>
                <w:szCs w:val="21"/>
              </w:rPr>
            </w:pPr>
            <w:r>
              <w:rPr>
                <w:rFonts w:hint="eastAsia" w:ascii="宋体" w:hAnsi="宋体" w:cs="宋体"/>
                <w:color w:val="auto"/>
                <w:sz w:val="21"/>
                <w:szCs w:val="21"/>
                <w:highlight w:val="none"/>
                <w:lang w:val="en-US" w:eastAsia="zh-CN"/>
              </w:rPr>
              <w:t>6、根据</w:t>
            </w:r>
            <w:r>
              <w:rPr>
                <w:rFonts w:hint="eastAsia" w:ascii="宋体" w:hAnsi="宋体" w:cs="宋体"/>
                <w:color w:val="auto"/>
                <w:sz w:val="21"/>
                <w:szCs w:val="21"/>
                <w:highlight w:val="none"/>
                <w:lang w:eastAsia="zh-CN"/>
              </w:rPr>
              <w:t>提供培训方案和产品维护方案</w:t>
            </w:r>
            <w:r>
              <w:rPr>
                <w:rFonts w:hint="eastAsia" w:ascii="宋体" w:hAnsi="宋体" w:cs="宋体"/>
                <w:color w:val="auto"/>
                <w:sz w:val="21"/>
                <w:szCs w:val="21"/>
                <w:highlight w:val="none"/>
                <w:lang w:val="en-US" w:eastAsia="zh-CN"/>
              </w:rPr>
              <w:t>相应打分</w:t>
            </w:r>
            <w:r>
              <w:rPr>
                <w:rFonts w:hint="eastAsia" w:ascii="宋体" w:hAnsi="宋体" w:cs="宋体"/>
                <w:color w:val="auto"/>
                <w:sz w:val="21"/>
                <w:szCs w:val="21"/>
                <w:highlight w:val="none"/>
                <w:lang w:eastAsia="zh-CN"/>
              </w:rPr>
              <w:t xml:space="preserve">，最多得 </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 xml:space="preserve"> 分。</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cs="宋体"/>
                <w:b w:val="0"/>
                <w:bCs w:val="0"/>
                <w:color w:val="auto"/>
                <w:sz w:val="21"/>
                <w:szCs w:val="21"/>
                <w:lang w:val="en-US" w:eastAsia="zh-CN"/>
              </w:rPr>
            </w:pPr>
            <w:r>
              <w:rPr>
                <w:rFonts w:hint="eastAsia" w:ascii="宋体" w:cs="宋体"/>
                <w:b w:val="0"/>
                <w:bCs w:val="0"/>
                <w:color w:val="auto"/>
                <w:sz w:val="21"/>
                <w:szCs w:val="21"/>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0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cs="宋体"/>
                <w:color w:val="auto"/>
                <w:sz w:val="21"/>
                <w:szCs w:val="21"/>
              </w:rPr>
            </w:pPr>
          </w:p>
        </w:tc>
        <w:tc>
          <w:tcPr>
            <w:tcW w:w="795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21"/>
                <w:szCs w:val="21"/>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陶瓷台面厂家需提供至少30年质保承诺，提供承诺函并加盖台面生产厂家公章得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lang w:eastAsia="zh-CN"/>
              </w:rPr>
              <w:t>。</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cs="宋体"/>
                <w:b w:val="0"/>
                <w:bCs w:val="0"/>
                <w:color w:val="auto"/>
                <w:sz w:val="21"/>
                <w:szCs w:val="21"/>
                <w:lang w:val="en-US" w:eastAsia="zh-CN"/>
              </w:rPr>
            </w:pPr>
            <w:r>
              <w:rPr>
                <w:rFonts w:hint="eastAsia" w:ascii="宋体" w:cs="宋体"/>
                <w:b w:val="0"/>
                <w:bCs w:val="0"/>
                <w:color w:val="auto"/>
                <w:sz w:val="21"/>
                <w:szCs w:val="21"/>
                <w:lang w:val="en-US" w:eastAsia="zh-CN"/>
              </w:rPr>
              <w:t>3分</w:t>
            </w:r>
          </w:p>
        </w:tc>
      </w:tr>
    </w:tbl>
    <w:p>
      <w:pPr>
        <w:rPr>
          <w:color w:val="000000" w:themeColor="text1"/>
          <w:highlight w:val="yellow"/>
          <w14:textFill>
            <w14:solidFill>
              <w14:schemeClr w14:val="tx1"/>
            </w14:solidFill>
          </w14:textFill>
        </w:rPr>
      </w:pPr>
    </w:p>
    <w:p>
      <w:pPr>
        <w:numPr>
          <w:ilvl w:val="0"/>
          <w:numId w:val="0"/>
        </w:numPr>
        <w:spacing w:line="360" w:lineRule="exact"/>
        <w:ind w:leftChars="0"/>
        <w:rPr>
          <w:rFonts w:hint="eastAsia" w:ascii="宋体" w:hAnsi="宋体" w:cs="宋体"/>
          <w:color w:val="auto"/>
          <w:sz w:val="21"/>
          <w:szCs w:val="21"/>
          <w:highlight w:val="none"/>
          <w:lang w:eastAsia="zh-CN"/>
        </w:rPr>
      </w:pPr>
    </w:p>
    <w:p>
      <w:pPr>
        <w:rPr>
          <w:rFonts w:hint="eastAsia"/>
          <w:b/>
          <w:bCs/>
          <w:color w:val="FF0000"/>
          <w:sz w:val="32"/>
          <w:szCs w:val="32"/>
          <w:highlight w:val="yellow"/>
          <w:lang w:val="zh-CN"/>
        </w:rPr>
      </w:pPr>
      <w:r>
        <w:rPr>
          <w:rFonts w:hint="eastAsia"/>
          <w:b/>
          <w:bCs/>
          <w:color w:val="FF0000"/>
          <w:sz w:val="32"/>
          <w:szCs w:val="32"/>
          <w:lang w:val="en-US" w:eastAsia="zh-CN"/>
        </w:rPr>
        <w:t>注：</w:t>
      </w:r>
      <w:r>
        <w:rPr>
          <w:rFonts w:hint="eastAsia"/>
          <w:b/>
          <w:bCs/>
          <w:color w:val="FF0000"/>
          <w:sz w:val="32"/>
          <w:szCs w:val="32"/>
          <w:lang w:eastAsia="zh-CN"/>
        </w:rPr>
        <w:t>带★号标志为重要参数</w:t>
      </w:r>
      <w:r>
        <w:rPr>
          <w:rFonts w:hint="eastAsia"/>
          <w:b/>
          <w:bCs/>
          <w:color w:val="FF0000"/>
          <w:sz w:val="32"/>
          <w:szCs w:val="32"/>
        </w:rPr>
        <w:t>，任</w:t>
      </w:r>
      <w:r>
        <w:rPr>
          <w:rFonts w:hint="eastAsia"/>
          <w:b/>
          <w:bCs/>
          <w:color w:val="FF0000"/>
          <w:sz w:val="32"/>
          <w:szCs w:val="32"/>
          <w:lang w:val="en-US" w:eastAsia="zh-CN"/>
        </w:rPr>
        <w:t>意</w:t>
      </w:r>
      <w:r>
        <w:rPr>
          <w:rFonts w:hint="eastAsia"/>
          <w:b/>
          <w:bCs/>
          <w:color w:val="FF0000"/>
          <w:sz w:val="32"/>
          <w:szCs w:val="32"/>
        </w:rPr>
        <w:t>一项不符合</w:t>
      </w:r>
      <w:r>
        <w:rPr>
          <w:rFonts w:hint="eastAsia"/>
          <w:b/>
          <w:bCs/>
          <w:color w:val="FF0000"/>
          <w:sz w:val="32"/>
          <w:szCs w:val="32"/>
          <w:lang w:eastAsia="zh-CN"/>
        </w:rPr>
        <w:t>属无效投标</w:t>
      </w:r>
      <w:r>
        <w:rPr>
          <w:rFonts w:hint="eastAsia"/>
          <w:b/>
          <w:bCs/>
          <w:color w:val="FF0000"/>
          <w:sz w:val="32"/>
          <w:szCs w:val="32"/>
        </w:rPr>
        <w:t>。</w:t>
      </w:r>
    </w:p>
    <w:p>
      <w:pPr>
        <w:rPr>
          <w:rFonts w:hint="eastAsia"/>
          <w:color w:val="000000" w:themeColor="text1"/>
          <w:highlight w:val="yellow"/>
          <w:lang w:val="zh-CN"/>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0"/>
        </w:numPr>
        <w:ind w:leftChars="0" w:firstLine="2200" w:firstLineChars="500"/>
        <w:jc w:val="both"/>
        <w:rPr>
          <w:rFonts w:ascii="黑体" w:hAnsi="黑体" w:eastAsia="黑体"/>
          <w:color w:val="000000" w:themeColor="text1"/>
          <w14:textFill>
            <w14:solidFill>
              <w14:schemeClr w14:val="tx1"/>
            </w14:solidFill>
          </w14:textFill>
        </w:rPr>
      </w:pPr>
      <w:bookmarkStart w:id="62" w:name="_Toc495861545"/>
      <w:bookmarkStart w:id="63" w:name="_Toc494665546"/>
      <w:bookmarkStart w:id="64" w:name="_Toc494745310"/>
      <w:bookmarkStart w:id="65" w:name="_Toc494665943"/>
      <w:bookmarkStart w:id="66" w:name="_Toc494664993"/>
      <w:bookmarkStart w:id="67" w:name="_Toc494702263"/>
      <w:bookmarkStart w:id="68" w:name="_Toc494721093"/>
      <w:r>
        <w:rPr>
          <w:rFonts w:hint="eastAsia" w:ascii="黑体" w:hAnsi="黑体" w:eastAsia="黑体"/>
          <w:color w:val="000000" w:themeColor="text1"/>
          <w:lang w:val="en-US" w:eastAsia="zh-CN"/>
          <w14:textFill>
            <w14:solidFill>
              <w14:schemeClr w14:val="tx1"/>
            </w14:solidFill>
          </w14:textFill>
        </w:rPr>
        <w:t xml:space="preserve">第六章   </w:t>
      </w:r>
      <w:r>
        <w:rPr>
          <w:rFonts w:hint="eastAsia" w:ascii="黑体" w:hAnsi="黑体" w:eastAsia="黑体"/>
          <w:color w:val="000000" w:themeColor="text1"/>
          <w14:textFill>
            <w14:solidFill>
              <w14:schemeClr w14:val="tx1"/>
            </w14:solidFill>
          </w14:textFill>
        </w:rPr>
        <w:t>合同书格式（参考）</w:t>
      </w:r>
      <w:bookmarkEnd w:id="62"/>
      <w:bookmarkEnd w:id="63"/>
      <w:bookmarkEnd w:id="64"/>
      <w:bookmarkEnd w:id="65"/>
      <w:bookmarkEnd w:id="66"/>
      <w:bookmarkEnd w:id="67"/>
      <w:bookmarkEnd w:id="68"/>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color w:val="000000" w:themeColor="text1"/>
          <w:kern w:val="0"/>
          <w:sz w:val="36"/>
          <w:szCs w:val="36"/>
          <w14:textFill>
            <w14:solidFill>
              <w14:schemeClr w14:val="tx1"/>
            </w14:solidFill>
          </w14:textFill>
        </w:rPr>
      </w:pPr>
      <w:r>
        <w:rPr>
          <w:rFonts w:hint="eastAsia" w:ascii="宋体" w:hAnsi="宋体" w:eastAsia="宋体" w:cs="Times New Roman"/>
          <w:b/>
          <w:color w:val="000000" w:themeColor="text1"/>
          <w:kern w:val="0"/>
          <w:sz w:val="36"/>
          <w:szCs w:val="36"/>
          <w14:textFill>
            <w14:solidFill>
              <w14:schemeClr w14:val="tx1"/>
            </w14:solidFill>
          </w14:textFill>
        </w:rPr>
        <w:t>合   同   书</w:t>
      </w:r>
    </w:p>
    <w:p>
      <w:pPr>
        <w:spacing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项目名称：</w:t>
      </w:r>
    </w:p>
    <w:p>
      <w:pPr>
        <w:spacing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合同编号：</w:t>
      </w:r>
    </w:p>
    <w:p>
      <w:pPr>
        <w:spacing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签订日期：</w:t>
      </w:r>
    </w:p>
    <w:p>
      <w:pPr>
        <w:spacing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签订合同地点：</w:t>
      </w:r>
    </w:p>
    <w:p>
      <w:pPr>
        <w:spacing w:beforeLines="25" w:line="360" w:lineRule="auto"/>
        <w:ind w:firstLine="480" w:firstLineChars="200"/>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本合同由</w:t>
      </w:r>
      <w:r>
        <w:rPr>
          <w:rFonts w:hint="eastAsia" w:ascii="Helvetica" w:hAnsi="Helvetica" w:eastAsia="宋体" w:cs="Helvetica"/>
          <w:color w:val="000000" w:themeColor="text1"/>
          <w:kern w:val="0"/>
          <w:sz w:val="24"/>
          <w:szCs w:val="24"/>
          <w:u w:val="single"/>
          <w:lang w:val="zh-CN"/>
          <w14:textFill>
            <w14:solidFill>
              <w14:schemeClr w14:val="tx1"/>
            </w14:solidFill>
          </w14:textFill>
        </w:rPr>
        <w:t>（采购人）</w:t>
      </w:r>
      <w:r>
        <w:rPr>
          <w:rFonts w:hint="eastAsia" w:ascii="Helvetica" w:hAnsi="Helvetica" w:eastAsia="宋体" w:cs="Helvetica"/>
          <w:color w:val="000000" w:themeColor="text1"/>
          <w:kern w:val="0"/>
          <w:sz w:val="24"/>
          <w:szCs w:val="24"/>
          <w:lang w:val="zh-CN"/>
          <w14:textFill>
            <w14:solidFill>
              <w14:schemeClr w14:val="tx1"/>
            </w14:solidFill>
          </w14:textFill>
        </w:rPr>
        <w:t>（以下简称“甲方”）与</w:t>
      </w:r>
      <w:r>
        <w:rPr>
          <w:rFonts w:hint="eastAsia" w:ascii="Helvetica" w:hAnsi="Helvetica" w:eastAsia="宋体" w:cs="Helvetica"/>
          <w:color w:val="000000" w:themeColor="text1"/>
          <w:kern w:val="0"/>
          <w:sz w:val="24"/>
          <w:szCs w:val="24"/>
          <w:u w:val="single"/>
          <w:lang w:val="zh-CN"/>
          <w14:textFill>
            <w14:solidFill>
              <w14:schemeClr w14:val="tx1"/>
            </w14:solidFill>
          </w14:textFill>
        </w:rPr>
        <w:t>（中标人）</w:t>
      </w:r>
      <w:r>
        <w:rPr>
          <w:rFonts w:hint="eastAsia" w:ascii="Helvetica" w:hAnsi="Helvetica" w:eastAsia="宋体" w:cs="Helvetica"/>
          <w:color w:val="000000" w:themeColor="text1"/>
          <w:kern w:val="0"/>
          <w:sz w:val="24"/>
          <w:szCs w:val="24"/>
          <w:lang w:val="zh-CN"/>
          <w14:textFill>
            <w14:solidFill>
              <w14:schemeClr w14:val="tx1"/>
            </w14:solidFill>
          </w14:textFill>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color w:val="000000" w:themeColor="text1"/>
          <w:kern w:val="0"/>
          <w:sz w:val="24"/>
          <w:szCs w:val="20"/>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经双方协商，同意按下列条文执行：</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本合同甲、乙双方应遵守国家颁布的《中华人民共和国合同法》、《中华人民共和国政府采购法》，并各自履行应负的全部责任和义务。</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甲方保证按合同条款规定的时间和方式付给乙方到期应付的合同款，并承担应负的责任和义务。</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乙方保证按合同条款规定的内容和工期（服务期限）向甲方提供合格的货物（工程或服务），并承担应负的责任和义务。</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合同文件。下列文件为本合同不可分割的部分：</w:t>
      </w:r>
    </w:p>
    <w:p>
      <w:pPr>
        <w:numPr>
          <w:ilvl w:val="0"/>
          <w:numId w:val="55"/>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招标文件（项目编号：</w:t>
      </w:r>
      <w:r>
        <w:rPr>
          <w:rFonts w:hint="eastAsia" w:ascii="宋体" w:hAnsi="宋体" w:eastAsia="宋体" w:cs="Times New Roman"/>
          <w:color w:val="000000" w:themeColor="text1"/>
          <w:kern w:val="0"/>
          <w:sz w:val="24"/>
          <w:szCs w:val="20"/>
          <w:u w:val="single"/>
          <w:lang w:val="zh-CN"/>
          <w14:textFill>
            <w14:solidFill>
              <w14:schemeClr w14:val="tx1"/>
            </w14:solidFill>
          </w14:textFill>
        </w:rPr>
        <w:t>　　            　</w:t>
      </w:r>
      <w:r>
        <w:rPr>
          <w:rFonts w:hint="eastAsia" w:ascii="宋体" w:hAnsi="宋体" w:eastAsia="宋体" w:cs="Times New Roman"/>
          <w:color w:val="000000" w:themeColor="text1"/>
          <w:kern w:val="0"/>
          <w:sz w:val="24"/>
          <w:szCs w:val="20"/>
          <w:lang w:val="zh-CN"/>
          <w14:textFill>
            <w14:solidFill>
              <w14:schemeClr w14:val="tx1"/>
            </w14:solidFill>
          </w14:textFill>
        </w:rPr>
        <w:t>）；</w:t>
      </w:r>
    </w:p>
    <w:p>
      <w:pPr>
        <w:numPr>
          <w:ilvl w:val="0"/>
          <w:numId w:val="55"/>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中标的投标文件；</w:t>
      </w:r>
    </w:p>
    <w:p>
      <w:pPr>
        <w:numPr>
          <w:ilvl w:val="0"/>
          <w:numId w:val="55"/>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合同书；</w:t>
      </w:r>
    </w:p>
    <w:p>
      <w:pPr>
        <w:numPr>
          <w:ilvl w:val="0"/>
          <w:numId w:val="55"/>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合同条款；</w:t>
      </w:r>
    </w:p>
    <w:p>
      <w:pPr>
        <w:numPr>
          <w:ilvl w:val="0"/>
          <w:numId w:val="55"/>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采购代理机构发出的中标通知书；</w:t>
      </w:r>
    </w:p>
    <w:p>
      <w:pPr>
        <w:numPr>
          <w:ilvl w:val="0"/>
          <w:numId w:val="55"/>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附件；</w:t>
      </w:r>
    </w:p>
    <w:p>
      <w:pPr>
        <w:numPr>
          <w:ilvl w:val="0"/>
          <w:numId w:val="56"/>
        </w:numPr>
        <w:spacing w:beforeLines="25" w:line="360" w:lineRule="auto"/>
        <w:ind w:left="1358" w:hanging="72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甲方</w:t>
      </w:r>
      <w:r>
        <w:rPr>
          <w:rFonts w:hint="eastAsia" w:ascii="宋体" w:hAnsi="宋体" w:eastAsia="宋体" w:cs="Times New Roman"/>
          <w:color w:val="000000" w:themeColor="text1"/>
          <w:sz w:val="24"/>
          <w:szCs w:val="20"/>
          <w:lang w:val="zh-CN"/>
          <w14:textFill>
            <w14:solidFill>
              <w14:schemeClr w14:val="tx1"/>
            </w14:solidFill>
          </w14:textFill>
        </w:rPr>
        <w:t>在招标期间发布的所有补充通知；</w:t>
      </w:r>
    </w:p>
    <w:p>
      <w:pPr>
        <w:numPr>
          <w:ilvl w:val="0"/>
          <w:numId w:val="56"/>
        </w:numPr>
        <w:spacing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乙方在投标期内补充的所有书面文件；</w:t>
      </w:r>
    </w:p>
    <w:p>
      <w:pPr>
        <w:numPr>
          <w:ilvl w:val="0"/>
          <w:numId w:val="56"/>
        </w:numPr>
        <w:spacing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乙方在投标时随同投标文件一起递送的资料及附图；</w:t>
      </w:r>
    </w:p>
    <w:p>
      <w:pPr>
        <w:numPr>
          <w:ilvl w:val="0"/>
          <w:numId w:val="56"/>
        </w:numPr>
        <w:spacing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在商洽本合同时，双方澄清、确认并共同签字的补充文件、技术协议。</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合同范围和条件。本合同的范围和条件应与上述规定的合同文件内容相一致。</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货物（工程或服务）及数量。本合同所提供的货物（工程或服务）及数量详见招标文件的要求及乙方投标文件中的承诺。</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付款条件。本合同的付款条件按招标文件规定执行。</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合同金额。合同总金额见合同书，分项价格在乙方的投标报价表中有明确规定。</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工期和交货（服务）地点。本合同中货物（工程或服务）的工期、交货（服务）地点在招标文件中有明确规定。</w:t>
      </w:r>
    </w:p>
    <w:p>
      <w:pPr>
        <w:numPr>
          <w:ilvl w:val="3"/>
          <w:numId w:val="54"/>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合同生效。本合同经甲、乙双方授权代表签字和加盖公章（或合同专用章）后生效。如招标申请公证的，合同需经公证机构公证后生效。</w:t>
      </w:r>
    </w:p>
    <w:p>
      <w:pPr>
        <w:numPr>
          <w:ilvl w:val="3"/>
          <w:numId w:val="54"/>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合同的份数。本合同正本一式</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份，甲方执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份，乙方执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份；副本一式</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份，甲方执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份，乙方执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w:t>
      </w:r>
    </w:p>
    <w:p>
      <w:pPr>
        <w:numPr>
          <w:ilvl w:val="3"/>
          <w:numId w:val="54"/>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合同的失效。本合同在合同价款全部结清后失效。</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甲　　方：</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乙　　方：</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单位名称（盖章）：</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单位名称（盖章）：</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单位地址：</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单位地址：</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法人代表授权人(签字)：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法人代表授权人(签字)：</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联 系 人：</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联 系 人：</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电　　话：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电　　话：</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传　　真：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传　　真：</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邮政编码：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邮政编码：</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开户银行：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开户银行：</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帐　　号：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帐　　号：</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税　　号：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税　　号：</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0"/>
        </w:numPr>
        <w:ind w:leftChars="0" w:firstLine="1760" w:firstLineChars="400"/>
        <w:jc w:val="both"/>
        <w:rPr>
          <w:rFonts w:ascii="黑体" w:hAnsi="黑体" w:eastAsia="黑体"/>
          <w:color w:val="000000" w:themeColor="text1"/>
          <w14:textFill>
            <w14:solidFill>
              <w14:schemeClr w14:val="tx1"/>
            </w14:solidFill>
          </w14:textFill>
        </w:rPr>
      </w:pPr>
      <w:bookmarkStart w:id="69" w:name="_Toc495861546"/>
      <w:bookmarkStart w:id="70" w:name="_Toc494665944"/>
      <w:bookmarkStart w:id="71" w:name="_Toc494721094"/>
      <w:bookmarkStart w:id="72" w:name="_Toc494745311"/>
      <w:bookmarkStart w:id="73" w:name="_Toc494702264"/>
      <w:bookmarkStart w:id="74" w:name="_Toc494664994"/>
      <w:bookmarkStart w:id="75" w:name="_Toc494665547"/>
      <w:r>
        <w:rPr>
          <w:rFonts w:hint="eastAsia" w:ascii="黑体" w:hAnsi="黑体" w:eastAsia="黑体"/>
          <w:color w:val="000000" w:themeColor="text1"/>
          <w:lang w:val="en-US" w:eastAsia="zh-CN"/>
          <w14:textFill>
            <w14:solidFill>
              <w14:schemeClr w14:val="tx1"/>
            </w14:solidFill>
          </w14:textFill>
        </w:rPr>
        <w:t xml:space="preserve">第七章  </w:t>
      </w:r>
      <w:r>
        <w:rPr>
          <w:rFonts w:hint="eastAsia" w:ascii="黑体" w:hAnsi="黑体" w:eastAsia="黑体"/>
          <w:color w:val="000000" w:themeColor="text1"/>
          <w14:textFill>
            <w14:solidFill>
              <w14:schemeClr w14:val="tx1"/>
            </w14:solidFill>
          </w14:textFill>
        </w:rPr>
        <w:t>投标文件格式（参考）</w:t>
      </w:r>
      <w:bookmarkEnd w:id="69"/>
      <w:bookmarkEnd w:id="70"/>
      <w:bookmarkEnd w:id="71"/>
      <w:bookmarkEnd w:id="72"/>
      <w:bookmarkEnd w:id="73"/>
      <w:bookmarkEnd w:id="74"/>
      <w:bookmarkEnd w:id="75"/>
    </w:p>
    <w:p>
      <w:pPr>
        <w:spacing w:afterLines="250"/>
        <w:jc w:val="center"/>
        <w:rPr>
          <w:rFonts w:ascii="黑体" w:hAnsi="黑体" w:eastAsia="黑体"/>
          <w:b/>
          <w:color w:val="000000" w:themeColor="text1"/>
          <w:sz w:val="56"/>
          <w:szCs w:val="56"/>
          <w14:textFill>
            <w14:solidFill>
              <w14:schemeClr w14:val="tx1"/>
            </w14:solidFill>
          </w14:textFill>
        </w:rPr>
      </w:pPr>
      <w:r>
        <w:rPr>
          <w:rFonts w:hint="eastAsia" w:ascii="黑体" w:hAnsi="黑体" w:eastAsia="黑体"/>
          <w:b/>
          <w:color w:val="000000" w:themeColor="text1"/>
          <w:sz w:val="56"/>
          <w:szCs w:val="56"/>
          <w14:textFill>
            <w14:solidFill>
              <w14:schemeClr w14:val="tx1"/>
            </w14:solidFill>
          </w14:textFill>
        </w:rPr>
        <w:t>阳新县县级政府采购</w:t>
      </w:r>
    </w:p>
    <w:p>
      <w:pPr>
        <w:spacing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spacing w:afterLines="200"/>
        <w:jc w:val="center"/>
        <w:rPr>
          <w:rFonts w:ascii="黑体" w:hAnsi="黑体" w:eastAsia="黑体"/>
          <w:b/>
          <w:color w:val="000000" w:themeColor="text1"/>
          <w:sz w:val="144"/>
          <w:szCs w:val="144"/>
          <w14:textFill>
            <w14:solidFill>
              <w14:schemeClr w14:val="tx1"/>
            </w14:solidFill>
          </w14:textFill>
        </w:rPr>
      </w:pP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76" w:name="_Toc494745312"/>
      <w:bookmarkStart w:id="77" w:name="_Toc495861547"/>
      <w:bookmarkStart w:id="78" w:name="_Toc494702265"/>
      <w:bookmarkStart w:id="79" w:name="_Toc494665548"/>
      <w:bookmarkStart w:id="80" w:name="_Toc494721095"/>
      <w:bookmarkStart w:id="81" w:name="_Toc494664995"/>
      <w:bookmarkStart w:id="82" w:name="_Toc494665945"/>
      <w:r>
        <w:rPr>
          <w:rFonts w:hint="eastAsia" w:cs="Times New Roman" w:asciiTheme="majorEastAsia" w:hAnsiTheme="majorEastAsia"/>
          <w:bCs w:val="0"/>
          <w:color w:val="000000" w:themeColor="text1"/>
          <w:sz w:val="44"/>
          <w:szCs w:val="44"/>
          <w:lang w:val="zh-CN"/>
          <w14:textFill>
            <w14:solidFill>
              <w14:schemeClr w14:val="tx1"/>
            </w14:solidFill>
          </w14:textFill>
        </w:rPr>
        <w:t>第一部分 资格证明文件</w:t>
      </w:r>
      <w:bookmarkEnd w:id="76"/>
      <w:bookmarkEnd w:id="77"/>
      <w:bookmarkEnd w:id="78"/>
      <w:bookmarkEnd w:id="79"/>
      <w:bookmarkEnd w:id="80"/>
      <w:bookmarkEnd w:id="81"/>
      <w:bookmarkEnd w:id="82"/>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right="1287" w:rightChars="613"/>
        <w:jc w:val="center"/>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 xml:space="preserve">   投标人（盖章）</w:t>
      </w:r>
    </w:p>
    <w:p>
      <w:pPr>
        <w:spacing w:line="360" w:lineRule="auto"/>
        <w:ind w:left="1971" w:leftChars="939" w:right="1287" w:rightChars="613" w:firstLine="1104" w:firstLineChars="345"/>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二0一</w:t>
      </w:r>
      <w:r>
        <w:rPr>
          <w:rFonts w:hint="eastAsia" w:ascii="宋体" w:hAnsi="宋体"/>
          <w:b/>
          <w:color w:val="000000" w:themeColor="text1"/>
          <w:sz w:val="36"/>
          <w:szCs w:val="36"/>
          <w14:textFill>
            <w14:solidFill>
              <w14:schemeClr w14:val="tx1"/>
            </w14:solidFill>
          </w14:textFill>
        </w:rPr>
        <w:t xml:space="preserve">  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83" w:name="_Toc494665549"/>
      <w:bookmarkStart w:id="84" w:name="_Toc494664996"/>
      <w:bookmarkStart w:id="85" w:name="_Toc494665946"/>
      <w:bookmarkStart w:id="86" w:name="_Toc494745313"/>
      <w:bookmarkStart w:id="87" w:name="_Toc494702266"/>
      <w:bookmarkStart w:id="88" w:name="_Toc494721096"/>
      <w:r>
        <w:rPr>
          <w:rFonts w:hint="eastAsia" w:ascii="黑体" w:hAnsi="黑体" w:eastAsia="黑体" w:cs="Times New Roman"/>
          <w:b/>
          <w:color w:val="000000" w:themeColor="text1"/>
          <w:sz w:val="36"/>
          <w:szCs w:val="36"/>
          <w14:textFill>
            <w14:solidFill>
              <w14:schemeClr w14:val="tx1"/>
            </w14:solidFill>
          </w14:textFill>
        </w:rPr>
        <w:t>资格证明文件组成</w:t>
      </w:r>
      <w:bookmarkEnd w:id="83"/>
      <w:bookmarkEnd w:id="84"/>
      <w:bookmarkEnd w:id="85"/>
      <w:bookmarkEnd w:id="86"/>
      <w:bookmarkEnd w:id="87"/>
      <w:bookmarkEnd w:id="88"/>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由各投标人根据参考格式要求自行编写。目录清晰、内容详尽、易于理解和审查。具体内容应包括但不限于以下内容：</w:t>
      </w:r>
    </w:p>
    <w:p>
      <w:pPr>
        <w:numPr>
          <w:ilvl w:val="0"/>
          <w:numId w:val="57"/>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资格证明文件目录</w:t>
      </w:r>
      <w:r>
        <w:rPr>
          <w:rFonts w:hint="eastAsia" w:ascii="宋体" w:hAnsi="宋体" w:eastAsia="宋体" w:cs="Times New Roman"/>
          <w:b/>
          <w:color w:val="000000" w:themeColor="text1"/>
          <w:kern w:val="0"/>
          <w:sz w:val="24"/>
          <w:szCs w:val="32"/>
          <w14:textFill>
            <w14:solidFill>
              <w14:schemeClr w14:val="tx1"/>
            </w14:solidFill>
          </w14:textFill>
        </w:rPr>
        <w:t>（目录应涵盖下述所有资料，页码清晰以便查阅）</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57"/>
        </w:numPr>
        <w:autoSpaceDE w:val="0"/>
        <w:autoSpaceDN w:val="0"/>
        <w:adjustRightInd w:val="0"/>
        <w:spacing w:line="360" w:lineRule="auto"/>
        <w:ind w:left="490" w:hanging="370"/>
        <w:rPr>
          <w:rFonts w:ascii="宋体" w:hAnsi="宋体" w:eastAsia="宋体" w:cs="Times New Roman"/>
          <w:b/>
          <w:color w:val="000000" w:themeColor="text1"/>
          <w:kern w:val="0"/>
          <w:sz w:val="24"/>
          <w:szCs w:val="32"/>
          <w14:textFill>
            <w14:solidFill>
              <w14:schemeClr w14:val="tx1"/>
            </w14:solidFill>
          </w14:textFill>
        </w:rPr>
      </w:pPr>
      <w:r>
        <w:rPr>
          <w:rFonts w:hint="eastAsia" w:ascii="宋体" w:hAnsi="宋体"/>
          <w:color w:val="000000" w:themeColor="text1"/>
          <w:kern w:val="0"/>
          <w:sz w:val="24"/>
          <w:szCs w:val="32"/>
          <w14:textFill>
            <w14:solidFill>
              <w14:schemeClr w14:val="tx1"/>
            </w14:solidFill>
          </w14:textFill>
        </w:rPr>
        <w:t>应具备《政府采购法》第二十二条第一款规定的条件，提供下列材料：</w:t>
      </w:r>
    </w:p>
    <w:p>
      <w:pPr>
        <w:pStyle w:val="27"/>
        <w:numPr>
          <w:ilvl w:val="0"/>
          <w:numId w:val="58"/>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法人或者其他组织的营业执照等证明文件，自然人的身份证明；</w:t>
      </w:r>
    </w:p>
    <w:p>
      <w:pPr>
        <w:pStyle w:val="27"/>
        <w:numPr>
          <w:ilvl w:val="0"/>
          <w:numId w:val="58"/>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财务状况报告，依法缴纳税收和社会保障资金的相关材料；</w:t>
      </w:r>
    </w:p>
    <w:p>
      <w:pPr>
        <w:pStyle w:val="27"/>
        <w:numPr>
          <w:ilvl w:val="0"/>
          <w:numId w:val="58"/>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具备履行合同所必需的设备和专业技术能力的证明材料；</w:t>
      </w:r>
    </w:p>
    <w:p>
      <w:pPr>
        <w:pStyle w:val="27"/>
        <w:numPr>
          <w:ilvl w:val="0"/>
          <w:numId w:val="58"/>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参加政府采购活动前3年内在经营活动中没有重大违法记录的书面声明；</w:t>
      </w:r>
    </w:p>
    <w:p>
      <w:pPr>
        <w:pStyle w:val="27"/>
        <w:numPr>
          <w:ilvl w:val="0"/>
          <w:numId w:val="58"/>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具备法律、行政法规规定的其他条件的证明材料；</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未被“信用中国”网站(www.creditchina.gov.cn)列入失信被执行人、重大税收违法案件当事人名单、政府采购严重违法失信行为记录名单的书面申明及该网站查询结果页面截图；</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招标文件第一章“投标人资格要求”中有特殊要求的，投标人应提供其符合特殊要求的证明材料或者情况说明；</w:t>
      </w:r>
    </w:p>
    <w:p>
      <w:pPr>
        <w:numPr>
          <w:ilvl w:val="0"/>
          <w:numId w:val="57"/>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投标人认为需提供的其它相关资格证明材料。</w:t>
      </w:r>
    </w:p>
    <w:p>
      <w:pPr>
        <w:autoSpaceDE w:val="0"/>
        <w:autoSpaceDN w:val="0"/>
        <w:adjustRightInd w:val="0"/>
        <w:spacing w:line="400" w:lineRule="exact"/>
        <w:ind w:left="490"/>
        <w:rPr>
          <w:rFonts w:ascii="Calibri" w:hAnsi="宋体" w:eastAsia="宋体" w:cs="Times New Roman"/>
          <w:color w:val="000000" w:themeColor="text1"/>
          <w:sz w:val="24"/>
          <w:szCs w:val="24"/>
          <w14:textFill>
            <w14:solidFill>
              <w14:schemeClr w14:val="tx1"/>
            </w14:solidFill>
          </w14:textFill>
        </w:rPr>
      </w:pPr>
    </w:p>
    <w:p>
      <w:pPr>
        <w:autoSpaceDE w:val="0"/>
        <w:autoSpaceDN w:val="0"/>
        <w:adjustRightInd w:val="0"/>
        <w:spacing w:line="400" w:lineRule="exact"/>
        <w:ind w:left="490"/>
        <w:rPr>
          <w:rFonts w:ascii="Calibri" w:hAnsi="宋体" w:eastAsia="宋体" w:cs="Times New Roman"/>
          <w:color w:val="000000" w:themeColor="text1"/>
          <w:sz w:val="24"/>
          <w:szCs w:val="24"/>
          <w14:textFill>
            <w14:solidFill>
              <w14:schemeClr w14:val="tx1"/>
            </w14:solidFill>
          </w14:textFill>
        </w:rPr>
      </w:pPr>
    </w:p>
    <w:p>
      <w:pPr>
        <w:spacing w:beforeLines="100" w:afterLines="250"/>
        <w:jc w:val="center"/>
        <w:rPr>
          <w:rFonts w:hint="eastAsia" w:ascii="黑体" w:hAnsi="黑体" w:eastAsia="黑体"/>
          <w:b/>
          <w:color w:val="000000" w:themeColor="text1"/>
          <w:sz w:val="72"/>
          <w:szCs w:val="72"/>
          <w14:textFill>
            <w14:solidFill>
              <w14:schemeClr w14:val="tx1"/>
            </w14:solidFill>
          </w14:textFill>
        </w:rPr>
      </w:pPr>
    </w:p>
    <w:p>
      <w:pPr>
        <w:spacing w:beforeLines="100" w:afterLines="250"/>
        <w:jc w:val="center"/>
        <w:rPr>
          <w:rFonts w:hint="eastAsia" w:ascii="黑体" w:hAnsi="黑体" w:eastAsia="黑体"/>
          <w:b/>
          <w:color w:val="000000" w:themeColor="text1"/>
          <w:sz w:val="72"/>
          <w:szCs w:val="72"/>
          <w14:textFill>
            <w14:solidFill>
              <w14:schemeClr w14:val="tx1"/>
            </w14:solidFill>
          </w14:textFill>
        </w:rPr>
      </w:pPr>
    </w:p>
    <w:p>
      <w:pPr>
        <w:spacing w:beforeLines="100" w:afterLines="250"/>
        <w:jc w:val="center"/>
        <w:rPr>
          <w:rFonts w:hint="eastAsia" w:ascii="黑体" w:hAnsi="黑体" w:eastAsia="黑体"/>
          <w:b/>
          <w:color w:val="000000" w:themeColor="text1"/>
          <w:sz w:val="72"/>
          <w:szCs w:val="72"/>
          <w14:textFill>
            <w14:solidFill>
              <w14:schemeClr w14:val="tx1"/>
            </w14:solidFill>
          </w14:textFill>
        </w:rPr>
      </w:pPr>
    </w:p>
    <w:p>
      <w:pPr>
        <w:spacing w:beforeLines="100" w:afterLines="250"/>
        <w:jc w:val="center"/>
        <w:rPr>
          <w:rFonts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阳新县县级政府采购</w:t>
      </w:r>
    </w:p>
    <w:p>
      <w:pPr>
        <w:spacing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89" w:name="_Toc494721097"/>
      <w:bookmarkStart w:id="90" w:name="_Toc494664997"/>
      <w:bookmarkStart w:id="91" w:name="_Toc494665947"/>
      <w:bookmarkStart w:id="92" w:name="_Toc494665550"/>
      <w:bookmarkStart w:id="93" w:name="_Toc494702267"/>
      <w:bookmarkStart w:id="94" w:name="_Toc495861548"/>
      <w:bookmarkStart w:id="95" w:name="_Toc494745314"/>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p>
    <w:p>
      <w:pPr>
        <w:pStyle w:val="4"/>
        <w:spacing w:before="340" w:after="480" w:line="360" w:lineRule="auto"/>
        <w:ind w:firstLine="3080" w:firstLineChars="700"/>
        <w:jc w:val="both"/>
        <w:rPr>
          <w:rFonts w:cs="Times New Roman" w:asciiTheme="majorEastAsia" w:hAnsiTheme="majorEastAsia"/>
          <w:bCs w:val="0"/>
          <w:color w:val="000000" w:themeColor="text1"/>
          <w:sz w:val="44"/>
          <w:szCs w:val="44"/>
          <w:lang w:val="zh-CN"/>
          <w14:textFill>
            <w14:solidFill>
              <w14:schemeClr w14:val="tx1"/>
            </w14:solidFill>
          </w14:textFill>
        </w:rPr>
      </w:pPr>
      <w:r>
        <w:rPr>
          <w:rFonts w:hint="eastAsia" w:cs="Times New Roman" w:asciiTheme="majorEastAsia" w:hAnsiTheme="majorEastAsia"/>
          <w:bCs w:val="0"/>
          <w:color w:val="000000" w:themeColor="text1"/>
          <w:sz w:val="44"/>
          <w:szCs w:val="44"/>
          <w:lang w:val="zh-CN"/>
          <w14:textFill>
            <w14:solidFill>
              <w14:schemeClr w14:val="tx1"/>
            </w14:solidFill>
          </w14:textFill>
        </w:rPr>
        <w:t>第二部分 商务文件</w:t>
      </w:r>
      <w:bookmarkEnd w:id="89"/>
      <w:bookmarkEnd w:id="90"/>
      <w:bookmarkEnd w:id="91"/>
      <w:bookmarkEnd w:id="92"/>
      <w:bookmarkEnd w:id="93"/>
      <w:bookmarkEnd w:id="94"/>
      <w:bookmarkEnd w:id="95"/>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14:textFill>
            <w14:solidFill>
              <w14:schemeClr w14:val="tx1"/>
            </w14:solidFill>
          </w14:textFill>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二0一</w:t>
      </w:r>
      <w:r>
        <w:rPr>
          <w:rFonts w:hint="eastAsia" w:ascii="宋体" w:hAnsi="宋体"/>
          <w:b/>
          <w:color w:val="000000" w:themeColor="text1"/>
          <w:sz w:val="36"/>
          <w:szCs w:val="36"/>
          <w14:textFill>
            <w14:solidFill>
              <w14:schemeClr w14:val="tx1"/>
            </w14:solidFill>
          </w14:textFill>
        </w:rPr>
        <w:t xml:space="preserve">  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96" w:name="_Toc494665948"/>
      <w:bookmarkStart w:id="97" w:name="_Toc494745315"/>
      <w:bookmarkStart w:id="98" w:name="_Toc494721098"/>
      <w:bookmarkStart w:id="99" w:name="_Toc494665551"/>
      <w:bookmarkStart w:id="100" w:name="_Toc494702268"/>
      <w:bookmarkStart w:id="101" w:name="_Toc494664998"/>
      <w:r>
        <w:rPr>
          <w:rFonts w:hint="eastAsia" w:ascii="黑体" w:hAnsi="黑体" w:eastAsia="黑体" w:cs="Times New Roman"/>
          <w:b/>
          <w:color w:val="000000" w:themeColor="text1"/>
          <w:sz w:val="36"/>
          <w:szCs w:val="36"/>
          <w14:textFill>
            <w14:solidFill>
              <w14:schemeClr w14:val="tx1"/>
            </w14:solidFill>
          </w14:textFill>
        </w:rPr>
        <w:t>商务文件组成</w:t>
      </w:r>
      <w:bookmarkEnd w:id="96"/>
      <w:bookmarkEnd w:id="97"/>
      <w:bookmarkEnd w:id="98"/>
      <w:bookmarkEnd w:id="99"/>
      <w:bookmarkEnd w:id="100"/>
      <w:bookmarkEnd w:id="101"/>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由各投标人根据参考格式要求自行编写。目录清晰、内容详尽、易于理解和评审并富有建设性的商务方案在评标时具有优势。具体内容应包括但不限于以下内容：</w:t>
      </w:r>
    </w:p>
    <w:p>
      <w:pPr>
        <w:numPr>
          <w:ilvl w:val="0"/>
          <w:numId w:val="59"/>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商务文件目录</w:t>
      </w:r>
      <w:r>
        <w:rPr>
          <w:rFonts w:hint="eastAsia" w:ascii="宋体" w:hAnsi="宋体" w:eastAsia="宋体" w:cs="Times New Roman"/>
          <w:b/>
          <w:color w:val="000000" w:themeColor="text1"/>
          <w:kern w:val="0"/>
          <w:sz w:val="24"/>
          <w:szCs w:val="32"/>
          <w14:textFill>
            <w14:solidFill>
              <w14:schemeClr w14:val="tx1"/>
            </w14:solidFill>
          </w14:textFill>
        </w:rPr>
        <w:t>（目录应涵盖下述所有资料，页码清晰以便查阅）</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59"/>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投标书（附件一）；</w:t>
      </w:r>
    </w:p>
    <w:p>
      <w:pPr>
        <w:numPr>
          <w:ilvl w:val="0"/>
          <w:numId w:val="59"/>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开标一览表（附件</w:t>
      </w:r>
      <w:r>
        <w:rPr>
          <w:rFonts w:hint="eastAsia" w:ascii="宋体" w:hAnsi="宋体" w:eastAsia="宋体" w:cs="Courier New"/>
          <w:color w:val="000000" w:themeColor="text1"/>
          <w:sz w:val="24"/>
          <w:szCs w:val="24"/>
          <w:lang w:eastAsia="zh-CN"/>
          <w14:textFill>
            <w14:solidFill>
              <w14:schemeClr w14:val="tx1"/>
            </w14:solidFill>
          </w14:textFill>
        </w:rPr>
        <w:t>二</w:t>
      </w:r>
      <w:r>
        <w:rPr>
          <w:rFonts w:hint="eastAsia" w:ascii="宋体" w:hAnsi="宋体" w:eastAsia="宋体" w:cs="Courier New"/>
          <w:color w:val="000000" w:themeColor="text1"/>
          <w:sz w:val="24"/>
          <w:szCs w:val="24"/>
          <w14:textFill>
            <w14:solidFill>
              <w14:schemeClr w14:val="tx1"/>
            </w14:solidFill>
          </w14:textFill>
        </w:rPr>
        <w:t>）；</w:t>
      </w:r>
    </w:p>
    <w:p>
      <w:pPr>
        <w:numPr>
          <w:ilvl w:val="0"/>
          <w:numId w:val="59"/>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投标报价明细表（附件</w:t>
      </w:r>
      <w:r>
        <w:rPr>
          <w:rFonts w:hint="eastAsia" w:ascii="宋体" w:hAnsi="宋体" w:eastAsia="宋体" w:cs="Courier New"/>
          <w:color w:val="000000" w:themeColor="text1"/>
          <w:sz w:val="24"/>
          <w:szCs w:val="24"/>
          <w:lang w:eastAsia="zh-CN"/>
          <w14:textFill>
            <w14:solidFill>
              <w14:schemeClr w14:val="tx1"/>
            </w14:solidFill>
          </w14:textFill>
        </w:rPr>
        <w:t>三</w:t>
      </w:r>
      <w:r>
        <w:rPr>
          <w:rFonts w:hint="eastAsia" w:ascii="宋体" w:hAnsi="宋体" w:eastAsia="宋体" w:cs="Courier New"/>
          <w:color w:val="000000" w:themeColor="text1"/>
          <w:sz w:val="24"/>
          <w:szCs w:val="24"/>
          <w14:textFill>
            <w14:solidFill>
              <w14:schemeClr w14:val="tx1"/>
            </w14:solidFill>
          </w14:textFill>
        </w:rPr>
        <w:t>）；</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交纳投标保证金的银行凭证（附件</w:t>
      </w:r>
      <w:r>
        <w:rPr>
          <w:rFonts w:hint="eastAsia" w:ascii="宋体" w:hAnsi="宋体" w:eastAsia="宋体" w:cs="Courier New"/>
          <w:color w:val="000000" w:themeColor="text1"/>
          <w:sz w:val="24"/>
          <w:szCs w:val="24"/>
          <w:lang w:eastAsia="zh-CN"/>
          <w14:textFill>
            <w14:solidFill>
              <w14:schemeClr w14:val="tx1"/>
            </w14:solidFill>
          </w14:textFill>
        </w:rPr>
        <w:t>四</w:t>
      </w:r>
      <w:r>
        <w:rPr>
          <w:rFonts w:hint="eastAsia" w:ascii="宋体" w:hAnsi="宋体" w:eastAsia="宋体" w:cs="Courier New"/>
          <w:color w:val="000000" w:themeColor="text1"/>
          <w:sz w:val="24"/>
          <w:szCs w:val="24"/>
          <w14:textFill>
            <w14:solidFill>
              <w14:schemeClr w14:val="tx1"/>
            </w14:solidFill>
          </w14:textFill>
        </w:rPr>
        <w:t>，适用招标文件有交纳要求的应当提供）；</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法定代表人授权书（附件</w:t>
      </w:r>
      <w:r>
        <w:rPr>
          <w:rFonts w:hint="eastAsia" w:ascii="宋体" w:hAnsi="宋体" w:eastAsia="宋体" w:cs="Courier New"/>
          <w:color w:val="000000" w:themeColor="text1"/>
          <w:sz w:val="24"/>
          <w:szCs w:val="24"/>
          <w:lang w:eastAsia="zh-CN"/>
          <w14:textFill>
            <w14:solidFill>
              <w14:schemeClr w14:val="tx1"/>
            </w14:solidFill>
          </w14:textFill>
        </w:rPr>
        <w:t>五</w:t>
      </w:r>
      <w:r>
        <w:rPr>
          <w:rFonts w:hint="eastAsia" w:ascii="宋体" w:hAnsi="宋体" w:eastAsia="宋体" w:cs="Courier New"/>
          <w:color w:val="000000" w:themeColor="text1"/>
          <w:sz w:val="24"/>
          <w:szCs w:val="24"/>
          <w14:textFill>
            <w14:solidFill>
              <w14:schemeClr w14:val="tx1"/>
            </w14:solidFill>
          </w14:textFill>
        </w:rPr>
        <w:t>）；</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投标人的资格声明（附件</w:t>
      </w:r>
      <w:r>
        <w:rPr>
          <w:rFonts w:hint="eastAsia" w:ascii="宋体" w:hAnsi="宋体" w:eastAsia="宋体" w:cs="Courier New"/>
          <w:color w:val="000000" w:themeColor="text1"/>
          <w:sz w:val="24"/>
          <w:szCs w:val="24"/>
          <w:lang w:eastAsia="zh-CN"/>
          <w14:textFill>
            <w14:solidFill>
              <w14:schemeClr w14:val="tx1"/>
            </w14:solidFill>
          </w14:textFill>
        </w:rPr>
        <w:t>六</w:t>
      </w:r>
      <w:r>
        <w:rPr>
          <w:rFonts w:hint="eastAsia" w:ascii="宋体" w:hAnsi="宋体" w:eastAsia="宋体" w:cs="Courier New"/>
          <w:color w:val="000000" w:themeColor="text1"/>
          <w:sz w:val="24"/>
          <w:szCs w:val="24"/>
          <w14:textFill>
            <w14:solidFill>
              <w14:schemeClr w14:val="tx1"/>
            </w14:solidFill>
          </w14:textFill>
        </w:rPr>
        <w:t>）；</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项目负责人、技术负责人简历表（附件</w:t>
      </w:r>
      <w:r>
        <w:rPr>
          <w:rFonts w:hint="eastAsia" w:ascii="宋体" w:hAnsi="宋体" w:eastAsia="宋体" w:cs="Courier New"/>
          <w:color w:val="000000" w:themeColor="text1"/>
          <w:sz w:val="24"/>
          <w:szCs w:val="24"/>
          <w:lang w:eastAsia="zh-CN"/>
          <w14:textFill>
            <w14:solidFill>
              <w14:schemeClr w14:val="tx1"/>
            </w14:solidFill>
          </w14:textFill>
        </w:rPr>
        <w:t>七</w:t>
      </w:r>
      <w:r>
        <w:rPr>
          <w:rFonts w:hint="eastAsia" w:ascii="宋体" w:hAnsi="宋体" w:eastAsia="宋体" w:cs="Courier New"/>
          <w:color w:val="000000" w:themeColor="text1"/>
          <w:sz w:val="24"/>
          <w:szCs w:val="24"/>
          <w14:textFill>
            <w14:solidFill>
              <w14:schemeClr w14:val="tx1"/>
            </w14:solidFill>
          </w14:textFill>
        </w:rPr>
        <w:t>）；</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项目班子成员情况表（附件</w:t>
      </w:r>
      <w:r>
        <w:rPr>
          <w:rFonts w:hint="eastAsia" w:ascii="宋体" w:hAnsi="宋体" w:eastAsia="宋体" w:cs="Courier New"/>
          <w:color w:val="000000" w:themeColor="text1"/>
          <w:sz w:val="24"/>
          <w:szCs w:val="24"/>
          <w:lang w:eastAsia="zh-CN"/>
          <w14:textFill>
            <w14:solidFill>
              <w14:schemeClr w14:val="tx1"/>
            </w14:solidFill>
          </w14:textFill>
        </w:rPr>
        <w:t>八</w:t>
      </w:r>
      <w:r>
        <w:rPr>
          <w:rFonts w:hint="eastAsia" w:ascii="宋体" w:hAnsi="宋体" w:eastAsia="宋体" w:cs="Courier New"/>
          <w:color w:val="000000" w:themeColor="text1"/>
          <w:sz w:val="24"/>
          <w:szCs w:val="24"/>
          <w14:textFill>
            <w14:solidFill>
              <w14:schemeClr w14:val="tx1"/>
            </w14:solidFill>
          </w14:textFill>
        </w:rPr>
        <w:t>）；</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投标人类似项目业绩表（附件</w:t>
      </w:r>
      <w:r>
        <w:rPr>
          <w:rFonts w:hint="eastAsia" w:ascii="宋体" w:hAnsi="宋体" w:eastAsia="宋体" w:cs="Courier New"/>
          <w:color w:val="000000" w:themeColor="text1"/>
          <w:sz w:val="24"/>
          <w:szCs w:val="24"/>
          <w:lang w:eastAsia="zh-CN"/>
          <w14:textFill>
            <w14:solidFill>
              <w14:schemeClr w14:val="tx1"/>
            </w14:solidFill>
          </w14:textFill>
        </w:rPr>
        <w:t>九</w:t>
      </w:r>
      <w:r>
        <w:rPr>
          <w:rFonts w:hint="eastAsia" w:ascii="宋体" w:hAnsi="宋体" w:eastAsia="宋体" w:cs="Courier New"/>
          <w:color w:val="000000" w:themeColor="text1"/>
          <w:sz w:val="24"/>
          <w:szCs w:val="24"/>
          <w14:textFill>
            <w14:solidFill>
              <w14:schemeClr w14:val="tx1"/>
            </w14:solidFill>
          </w14:textFill>
        </w:rPr>
        <w:t>）；</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招标文件要求提供或投标人认为需提供的其它资料；</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符合性审查对照表（附件十）；</w:t>
      </w:r>
    </w:p>
    <w:p>
      <w:pPr>
        <w:numPr>
          <w:ilvl w:val="0"/>
          <w:numId w:val="59"/>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商务要求响应、偏离说明表（附件十</w:t>
      </w:r>
      <w:r>
        <w:rPr>
          <w:rFonts w:hint="eastAsia" w:ascii="宋体" w:hAnsi="宋体" w:eastAsia="宋体" w:cs="Courier New"/>
          <w:color w:val="000000" w:themeColor="text1"/>
          <w:sz w:val="24"/>
          <w:szCs w:val="24"/>
          <w:lang w:eastAsia="zh-CN"/>
          <w14:textFill>
            <w14:solidFill>
              <w14:schemeClr w14:val="tx1"/>
            </w14:solidFill>
          </w14:textFill>
        </w:rPr>
        <w:t>一</w:t>
      </w:r>
      <w:r>
        <w:rPr>
          <w:rFonts w:hint="eastAsia" w:ascii="宋体" w:hAnsi="宋体" w:eastAsia="宋体" w:cs="Courier New"/>
          <w:color w:val="000000" w:themeColor="text1"/>
          <w:sz w:val="24"/>
          <w:szCs w:val="24"/>
          <w14:textFill>
            <w14:solidFill>
              <w14:schemeClr w14:val="tx1"/>
            </w14:solidFill>
          </w14:textFill>
        </w:rPr>
        <w:t>）；</w:t>
      </w:r>
    </w:p>
    <w:p>
      <w:pPr>
        <w:spacing w:line="440" w:lineRule="exact"/>
        <w:ind w:firstLine="480" w:firstLineChars="200"/>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p>
      <w:pPr>
        <w:pStyle w:val="4"/>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p>
      <w:pP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p>
      <w:pPr>
        <w:pStyle w:val="4"/>
        <w:rPr>
          <w:rFonts w:hint="eastAsia"/>
        </w:rPr>
      </w:pPr>
    </w:p>
    <w:p>
      <w:pPr>
        <w:pStyle w:val="4"/>
        <w:rPr>
          <w:rFonts w:hint="eastAsia"/>
        </w:rPr>
      </w:pPr>
    </w:p>
    <w:p>
      <w:pPr>
        <w:spacing w:line="440" w:lineRule="exact"/>
        <w:ind w:firstLine="480" w:firstLineChars="200"/>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p>
      <w:pPr>
        <w:spacing w:line="440" w:lineRule="exact"/>
        <w:ind w:firstLine="480" w:firstLineChars="200"/>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p>
      <w:pPr>
        <w:spacing w:beforeLines="100" w:afterLines="250"/>
        <w:jc w:val="center"/>
        <w:rPr>
          <w:rFonts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阳新县县级政府采购</w:t>
      </w:r>
    </w:p>
    <w:p>
      <w:pPr>
        <w:spacing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102" w:name="_Toc494745316"/>
      <w:bookmarkStart w:id="103" w:name="_Toc494721099"/>
      <w:bookmarkStart w:id="104" w:name="_Toc494665949"/>
      <w:bookmarkStart w:id="105" w:name="_Toc494665552"/>
      <w:bookmarkStart w:id="106" w:name="_Toc494702269"/>
      <w:bookmarkStart w:id="107" w:name="_Toc495861549"/>
      <w:bookmarkStart w:id="108" w:name="_Toc494664999"/>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r>
        <w:rPr>
          <w:rFonts w:hint="eastAsia" w:cs="Times New Roman" w:asciiTheme="majorEastAsia" w:hAnsiTheme="majorEastAsia"/>
          <w:bCs w:val="0"/>
          <w:color w:val="000000" w:themeColor="text1"/>
          <w:sz w:val="44"/>
          <w:szCs w:val="44"/>
          <w:lang w:val="zh-CN"/>
          <w14:textFill>
            <w14:solidFill>
              <w14:schemeClr w14:val="tx1"/>
            </w14:solidFill>
          </w14:textFill>
        </w:rPr>
        <w:t>第三部分 技术、服务文件</w:t>
      </w:r>
      <w:bookmarkEnd w:id="102"/>
      <w:bookmarkEnd w:id="103"/>
      <w:bookmarkEnd w:id="104"/>
      <w:bookmarkEnd w:id="105"/>
      <w:bookmarkEnd w:id="106"/>
      <w:bookmarkEnd w:id="107"/>
      <w:bookmarkEnd w:id="108"/>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14:textFill>
            <w14:solidFill>
              <w14:schemeClr w14:val="tx1"/>
            </w14:solidFill>
          </w14:textFill>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二0一</w:t>
      </w:r>
      <w:r>
        <w:rPr>
          <w:rFonts w:hint="eastAsia" w:ascii="宋体" w:hAnsi="宋体"/>
          <w:b/>
          <w:color w:val="000000" w:themeColor="text1"/>
          <w:sz w:val="36"/>
          <w:szCs w:val="36"/>
          <w14:textFill>
            <w14:solidFill>
              <w14:schemeClr w14:val="tx1"/>
            </w14:solidFill>
          </w14:textFill>
        </w:rPr>
        <w:t xml:space="preserve">  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109" w:name="_Toc494745317"/>
      <w:bookmarkStart w:id="110" w:name="_Toc494665000"/>
      <w:bookmarkStart w:id="111" w:name="_Toc494665553"/>
      <w:bookmarkStart w:id="112" w:name="_Toc494665950"/>
      <w:bookmarkStart w:id="113" w:name="_Toc494702270"/>
      <w:bookmarkStart w:id="114" w:name="_Toc494721100"/>
      <w:r>
        <w:rPr>
          <w:rFonts w:hint="eastAsia" w:ascii="黑体" w:hAnsi="黑体" w:eastAsia="黑体" w:cs="Times New Roman"/>
          <w:b/>
          <w:bCs/>
          <w:color w:val="000000" w:themeColor="text1"/>
          <w:sz w:val="36"/>
          <w:szCs w:val="36"/>
          <w:lang w:val="zh-CN"/>
          <w14:textFill>
            <w14:solidFill>
              <w14:schemeClr w14:val="tx1"/>
            </w14:solidFill>
          </w14:textFill>
        </w:rPr>
        <w:t>技术</w:t>
      </w:r>
      <w:r>
        <w:rPr>
          <w:rFonts w:hint="eastAsia" w:ascii="黑体" w:hAnsi="黑体" w:eastAsia="黑体" w:cs="Times New Roman"/>
          <w:b/>
          <w:color w:val="000000" w:themeColor="text1"/>
          <w:sz w:val="36"/>
          <w:szCs w:val="36"/>
          <w14:textFill>
            <w14:solidFill>
              <w14:schemeClr w14:val="tx1"/>
            </w14:solidFill>
          </w14:textFill>
        </w:rPr>
        <w:t>、服务文件组成</w:t>
      </w:r>
      <w:bookmarkEnd w:id="109"/>
      <w:bookmarkEnd w:id="110"/>
      <w:bookmarkEnd w:id="111"/>
      <w:bookmarkEnd w:id="112"/>
      <w:bookmarkEnd w:id="113"/>
      <w:bookmarkEnd w:id="114"/>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由各投标人根据参考格式要求自行编写。目录清晰、内容详尽、易于理解和评审并富有建设性的技术、服务方案在评标时具有优势。具体内容应包括但不限于以下内容：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技术、服务文件目录（目录应涵盖下述所有资料，页码清晰以便查阅）；</w:t>
      </w:r>
    </w:p>
    <w:p>
      <w:pPr>
        <w:numPr>
          <w:ilvl w:val="0"/>
          <w:numId w:val="60"/>
        </w:numPr>
        <w:autoSpaceDE w:val="0"/>
        <w:autoSpaceDN w:val="0"/>
        <w:adjustRightInd w:val="0"/>
        <w:spacing w:line="360" w:lineRule="auto"/>
        <w:ind w:left="488" w:hanging="369"/>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投标货物（工程或服务）介绍，项目建设（服务）方案；</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技术、服务要求响应、偏离说明表（附件十</w:t>
      </w:r>
      <w:r>
        <w:rPr>
          <w:rFonts w:hint="eastAsia" w:ascii="宋体" w:hAnsi="宋体" w:eastAsia="宋体" w:cs="Times New Roman"/>
          <w:color w:val="000000" w:themeColor="text1"/>
          <w:kern w:val="0"/>
          <w:sz w:val="24"/>
          <w:szCs w:val="32"/>
          <w:lang w:eastAsia="zh-CN"/>
          <w14:textFill>
            <w14:solidFill>
              <w14:schemeClr w14:val="tx1"/>
            </w14:solidFill>
          </w14:textFill>
        </w:rPr>
        <w:t>二</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招标文件要求提供或投标人认为需提供的其它资料。</w:t>
      </w:r>
    </w:p>
    <w:p>
      <w:pPr>
        <w:autoSpaceDE w:val="0"/>
        <w:autoSpaceDN w:val="0"/>
        <w:adjustRightInd w:val="0"/>
        <w:spacing w:line="360" w:lineRule="auto"/>
        <w:rPr>
          <w:rFonts w:ascii="宋体" w:hAnsi="宋体" w:eastAsia="宋体" w:cs="Times New Roman"/>
          <w:color w:val="000000" w:themeColor="text1"/>
          <w:kern w:val="0"/>
          <w:sz w:val="24"/>
          <w:szCs w:val="32"/>
          <w14:textFill>
            <w14:solidFill>
              <w14:schemeClr w14:val="tx1"/>
            </w14:solidFill>
          </w14:textFill>
        </w:rPr>
      </w:pPr>
    </w:p>
    <w:p>
      <w:pPr>
        <w:autoSpaceDE w:val="0"/>
        <w:autoSpaceDN w:val="0"/>
        <w:adjustRightInd w:val="0"/>
        <w:spacing w:line="360" w:lineRule="auto"/>
        <w:ind w:left="715" w:leftChars="-6" w:hanging="727" w:hangingChars="303"/>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288" w:hanging="1288"/>
        <w:rPr>
          <w:rFonts w:ascii="宋体" w:hAnsi="宋体" w:eastAsia="宋体"/>
          <w:color w:val="000000" w:themeColor="text1"/>
          <w14:textFill>
            <w14:solidFill>
              <w14:schemeClr w14:val="tx1"/>
            </w14:solidFill>
          </w14:textFill>
        </w:rPr>
      </w:pPr>
      <w:bookmarkStart w:id="115" w:name="_Toc494665001"/>
      <w:bookmarkStart w:id="116" w:name="_Toc494721101"/>
      <w:bookmarkStart w:id="117" w:name="_Toc236473298"/>
      <w:bookmarkStart w:id="118" w:name="_Toc494702271"/>
      <w:bookmarkStart w:id="119" w:name="_Toc494665554"/>
      <w:bookmarkStart w:id="120" w:name="_Toc494665951"/>
      <w:bookmarkStart w:id="121" w:name="_Toc238276242"/>
      <w:bookmarkStart w:id="122" w:name="_Toc494745318"/>
      <w:bookmarkStart w:id="123" w:name="_Toc495861550"/>
      <w:r>
        <w:rPr>
          <w:rFonts w:hint="eastAsia" w:ascii="宋体" w:hAnsi="宋体" w:eastAsia="宋体"/>
          <w:color w:val="000000" w:themeColor="text1"/>
          <w14:textFill>
            <w14:solidFill>
              <w14:schemeClr w14:val="tx1"/>
            </w14:solidFill>
          </w14:textFill>
        </w:rPr>
        <w:t>投标书</w:t>
      </w:r>
      <w:bookmarkEnd w:id="115"/>
      <w:bookmarkEnd w:id="116"/>
      <w:bookmarkEnd w:id="117"/>
      <w:bookmarkEnd w:id="118"/>
      <w:bookmarkEnd w:id="119"/>
      <w:bookmarkEnd w:id="120"/>
      <w:bookmarkEnd w:id="121"/>
      <w:bookmarkEnd w:id="122"/>
      <w:bookmarkEnd w:id="123"/>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依据贵方___</w:t>
      </w:r>
      <w:r>
        <w:rPr>
          <w:rFonts w:hint="eastAsia" w:asciiTheme="minorEastAsia" w:hAnsiTheme="minorEastAsia"/>
          <w:color w:val="000000" w:themeColor="text1"/>
          <w:sz w:val="24"/>
          <w:szCs w:val="24"/>
          <w:u w:val="single"/>
          <w14:textFill>
            <w14:solidFill>
              <w14:schemeClr w14:val="tx1"/>
            </w14:solidFill>
          </w14:textFill>
        </w:rPr>
        <w:t xml:space="preserve">  _</w:t>
      </w:r>
      <w:r>
        <w:rPr>
          <w:rFonts w:hint="eastAsia" w:asciiTheme="minorEastAsia" w:hAnsiTheme="minorEastAsia"/>
          <w:color w:val="000000" w:themeColor="text1"/>
          <w:sz w:val="24"/>
          <w:szCs w:val="24"/>
          <w14:textFill>
            <w14:solidFill>
              <w14:schemeClr w14:val="tx1"/>
            </w14:solidFill>
          </w14:textFill>
        </w:rPr>
        <w:t>项目（项目编号：_____）招标的投标邀请，我方代表</w:t>
      </w:r>
      <w:r>
        <w:rPr>
          <w:rFonts w:hint="eastAsia" w:asciiTheme="minorEastAsia" w:hAnsiTheme="minorEastAsia"/>
          <w:color w:val="000000" w:themeColor="text1"/>
          <w:sz w:val="24"/>
          <w:szCs w:val="24"/>
          <w:u w:val="single"/>
          <w14:textFill>
            <w14:solidFill>
              <w14:schemeClr w14:val="tx1"/>
            </w14:solidFill>
          </w14:textFill>
        </w:rPr>
        <w:t>（姓名、职务）</w:t>
      </w:r>
      <w:r>
        <w:rPr>
          <w:rFonts w:hint="eastAsia" w:asciiTheme="minorEastAsia" w:hAnsiTheme="minorEastAsia"/>
          <w:color w:val="000000" w:themeColor="text1"/>
          <w:sz w:val="24"/>
          <w:szCs w:val="24"/>
          <w14:textFill>
            <w14:solidFill>
              <w14:schemeClr w14:val="tx1"/>
            </w14:solidFill>
          </w14:textFill>
        </w:rPr>
        <w:t>经正式授权并代表投标人</w:t>
      </w:r>
      <w:r>
        <w:rPr>
          <w:rFonts w:hint="eastAsia" w:asciiTheme="minorEastAsia" w:hAnsiTheme="minorEastAsia"/>
          <w:color w:val="000000" w:themeColor="text1"/>
          <w:sz w:val="24"/>
          <w:szCs w:val="24"/>
          <w:u w:val="single"/>
          <w14:textFill>
            <w14:solidFill>
              <w14:schemeClr w14:val="tx1"/>
            </w14:solidFill>
          </w14:textFill>
        </w:rPr>
        <w:t>（投标人全称 ）</w:t>
      </w:r>
      <w:r>
        <w:rPr>
          <w:rFonts w:hint="eastAsia" w:asciiTheme="minorEastAsia" w:hAnsiTheme="minorEastAsia"/>
          <w:color w:val="000000" w:themeColor="text1"/>
          <w:sz w:val="24"/>
          <w:szCs w:val="24"/>
          <w14:textFill>
            <w14:solidFill>
              <w14:schemeClr w14:val="tx1"/>
            </w14:solidFill>
          </w14:textFill>
        </w:rPr>
        <w:t>提交</w:t>
      </w:r>
      <w:r>
        <w:rPr>
          <w:rFonts w:hint="eastAsia" w:ascii="宋体" w:hAnsi="宋体"/>
          <w:color w:val="000000" w:themeColor="text1"/>
          <w:kern w:val="0"/>
          <w:sz w:val="24"/>
          <w14:textFill>
            <w14:solidFill>
              <w14:schemeClr w14:val="tx1"/>
            </w14:solidFill>
          </w14:textFill>
        </w:rPr>
        <w:t>“开标一览表”信封和下述文件正本份，副本份。</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1.资格证明文件； </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2.商务文件；</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3.技术、服务文件。</w:t>
      </w:r>
    </w:p>
    <w:p>
      <w:pPr>
        <w:spacing w:line="360" w:lineRule="auto"/>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在此，我方宣布同意如下：</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1．《开标一览表》中规定的应提交和交付的</w:t>
      </w:r>
      <w:r>
        <w:rPr>
          <w:rFonts w:hint="eastAsia" w:asciiTheme="minorEastAsia" w:hAnsiTheme="minorEastAsia"/>
          <w:color w:val="000000" w:themeColor="text1"/>
          <w:sz w:val="24"/>
          <w:szCs w:val="24"/>
          <w:u w:val="single"/>
          <w14:textFill>
            <w14:solidFill>
              <w14:schemeClr w14:val="tx1"/>
            </w14:solidFill>
          </w14:textFill>
        </w:rPr>
        <w:t xml:space="preserve">  （包号）  </w:t>
      </w:r>
      <w:r>
        <w:rPr>
          <w:rFonts w:hint="eastAsia" w:asciiTheme="minorEastAsia" w:hAnsiTheme="minorEastAsia"/>
          <w:color w:val="000000" w:themeColor="text1"/>
          <w:sz w:val="24"/>
          <w:szCs w:val="24"/>
          <w14:textFill>
            <w14:solidFill>
              <w14:schemeClr w14:val="tx1"/>
            </w14:solidFill>
          </w14:textFill>
        </w:rPr>
        <w:t>货物（工程或服务）投标总价为</w:t>
      </w:r>
      <w:r>
        <w:rPr>
          <w:rFonts w:hint="eastAsia" w:asciiTheme="minorEastAsia" w:hAnsiTheme="minorEastAsia"/>
          <w:color w:val="000000" w:themeColor="text1"/>
          <w:sz w:val="24"/>
          <w:szCs w:val="24"/>
          <w:u w:val="single"/>
          <w14:textFill>
            <w14:solidFill>
              <w14:schemeClr w14:val="tx1"/>
            </w14:solidFill>
          </w14:textFill>
        </w:rPr>
        <w:t>（注明币种，并用大写和小写表述投标总价）</w:t>
      </w:r>
      <w:r>
        <w:rPr>
          <w:rFonts w:hint="eastAsia" w:asciiTheme="minorEastAsia" w:hAnsiTheme="minorEastAsia"/>
          <w:color w:val="000000" w:themeColor="text1"/>
          <w:sz w:val="24"/>
          <w:szCs w:val="24"/>
          <w14:textFill>
            <w14:solidFill>
              <w14:schemeClr w14:val="tx1"/>
            </w14:solidFill>
          </w14:textFill>
        </w:rPr>
        <w:t>；</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2．按招标文件的约定履行合同责任和义务；</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3．已详细审查全部招标文件，包括</w:t>
      </w:r>
      <w:r>
        <w:rPr>
          <w:rFonts w:hint="eastAsia" w:asciiTheme="minorEastAsia" w:hAnsiTheme="minorEastAsia"/>
          <w:color w:val="000000" w:themeColor="text1"/>
          <w:sz w:val="24"/>
          <w:szCs w:val="24"/>
          <w:u w:val="single"/>
          <w14:textFill>
            <w14:solidFill>
              <w14:schemeClr w14:val="tx1"/>
            </w14:solidFill>
          </w14:textFill>
        </w:rPr>
        <w:t>（修正或补充文件）（如果有的话）</w:t>
      </w:r>
      <w:r>
        <w:rPr>
          <w:rFonts w:hint="eastAsia" w:asciiTheme="minorEastAsia" w:hAnsiTheme="minorEastAsia"/>
          <w:color w:val="000000" w:themeColor="text1"/>
          <w:sz w:val="24"/>
          <w:szCs w:val="24"/>
          <w14:textFill>
            <w14:solidFill>
              <w14:schemeClr w14:val="tx1"/>
            </w14:solidFill>
          </w14:textFill>
        </w:rPr>
        <w:t>，对此无异议；</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4．投标有效期为自</w:t>
      </w:r>
      <w:r>
        <w:rPr>
          <w:rFonts w:hint="eastAsia" w:ascii="宋体" w:hAnsi="宋体"/>
          <w:color w:val="000000" w:themeColor="text1"/>
          <w:kern w:val="0"/>
          <w:sz w:val="24"/>
          <w14:textFill>
            <w14:solidFill>
              <w14:schemeClr w14:val="tx1"/>
            </w14:solidFill>
          </w14:textFill>
        </w:rPr>
        <w:t>递交投标文件截止之日</w:t>
      </w:r>
      <w:r>
        <w:rPr>
          <w:rFonts w:hint="eastAsia" w:asciiTheme="minorEastAsia" w:hAnsiTheme="minorEastAsia"/>
          <w:color w:val="000000" w:themeColor="text1"/>
          <w:sz w:val="24"/>
          <w:szCs w:val="24"/>
          <w14:textFill>
            <w14:solidFill>
              <w14:schemeClr w14:val="tx1"/>
            </w14:solidFill>
          </w14:textFill>
        </w:rPr>
        <w:t>起，共个日历日；</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5．接受招标文件关于不予退还投标保证金的约定；</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6．提供按照贵方可能要求的与投标有关的一切数据或资料；</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color w:val="000000" w:themeColor="text1"/>
          <w:kern w:val="0"/>
          <w:sz w:val="24"/>
          <w:szCs w:val="24"/>
          <w14:textFill>
            <w14:solidFill>
              <w14:schemeClr w14:val="tx1"/>
            </w14:solidFill>
          </w14:textFill>
        </w:rPr>
      </w:pP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地  址：</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电话/传真：</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电子邮件：</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投标人(公章)：</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投标人授权代表（签字）：</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日    期：</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开户银行：</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帐号/行号：</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288" w:hanging="1288"/>
        <w:rPr>
          <w:rFonts w:ascii="宋体" w:hAnsi="宋体" w:eastAsia="宋体"/>
          <w:color w:val="000000" w:themeColor="text1"/>
          <w14:textFill>
            <w14:solidFill>
              <w14:schemeClr w14:val="tx1"/>
            </w14:solidFill>
          </w14:textFill>
        </w:rPr>
      </w:pPr>
      <w:bookmarkStart w:id="124" w:name="_Toc495861554"/>
      <w:bookmarkStart w:id="125" w:name="_Toc494665005"/>
      <w:bookmarkStart w:id="126" w:name="_Toc494665955"/>
      <w:bookmarkStart w:id="127" w:name="_Toc494721105"/>
      <w:bookmarkStart w:id="128" w:name="_Toc494702275"/>
      <w:bookmarkStart w:id="129" w:name="_Toc494745322"/>
      <w:bookmarkStart w:id="130" w:name="_Toc494577410"/>
      <w:bookmarkStart w:id="131" w:name="_Toc494665558"/>
      <w:r>
        <w:rPr>
          <w:rFonts w:hint="eastAsia" w:ascii="宋体" w:hAnsi="宋体" w:eastAsia="宋体"/>
          <w:color w:val="000000" w:themeColor="text1"/>
          <w14:textFill>
            <w14:solidFill>
              <w14:schemeClr w14:val="tx1"/>
            </w14:solidFill>
          </w14:textFill>
        </w:rPr>
        <w:t>开标一览表</w:t>
      </w:r>
      <w:bookmarkEnd w:id="124"/>
      <w:bookmarkEnd w:id="125"/>
      <w:bookmarkEnd w:id="126"/>
      <w:bookmarkEnd w:id="127"/>
      <w:bookmarkEnd w:id="128"/>
      <w:bookmarkEnd w:id="129"/>
      <w:bookmarkEnd w:id="130"/>
      <w:bookmarkEnd w:id="131"/>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投 标 人：</w:t>
      </w:r>
    </w:p>
    <w:p>
      <w:pPr>
        <w:spacing w:line="360" w:lineRule="auto"/>
        <w:jc w:val="left"/>
        <w:rPr>
          <w:rFonts w:ascii="宋体" w:hAnsi="宋体" w:eastAsia="宋体" w:cs="Times New Roman"/>
          <w:b/>
          <w:color w:val="000000" w:themeColor="text1"/>
          <w:sz w:val="24"/>
          <w:szCs w:val="21"/>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项目名称：</w:t>
      </w:r>
    </w:p>
    <w:p>
      <w:pPr>
        <w:spacing w:line="360" w:lineRule="auto"/>
        <w:jc w:val="left"/>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7"/>
        <w:gridCol w:w="927"/>
        <w:gridCol w:w="1972"/>
        <w:gridCol w:w="1719"/>
        <w:gridCol w:w="16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7"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项目名称</w:t>
            </w:r>
          </w:p>
        </w:tc>
        <w:tc>
          <w:tcPr>
            <w:tcW w:w="927"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数量</w:t>
            </w:r>
          </w:p>
        </w:tc>
        <w:tc>
          <w:tcPr>
            <w:tcW w:w="1972"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投标报价（元）</w:t>
            </w:r>
          </w:p>
        </w:tc>
        <w:tc>
          <w:tcPr>
            <w:tcW w:w="17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lang w:eastAsia="zh-CN"/>
              </w:rPr>
            </w:pPr>
            <w:r>
              <w:rPr>
                <w:rFonts w:hint="eastAsia"/>
                <w:lang w:eastAsia="zh-CN"/>
              </w:rPr>
              <w:t>交货期</w:t>
            </w:r>
          </w:p>
          <w:p>
            <w:pPr>
              <w:spacing w:line="360" w:lineRule="auto"/>
              <w:ind w:left="-50" w:leftChars="-24" w:right="-65" w:rightChars="-31"/>
              <w:jc w:val="center"/>
              <w:rPr>
                <w:rFonts w:hint="eastAsia"/>
                <w:lang w:eastAsia="zh-CN"/>
              </w:rPr>
            </w:pPr>
            <w:r>
              <w:rPr>
                <w:rFonts w:hint="eastAsia" w:asciiTheme="minorHAnsi" w:hAnsiTheme="minorHAnsi" w:eastAsiaTheme="minorEastAsia" w:cstheme="minorBidi"/>
                <w:b w:val="0"/>
                <w:bCs w:val="0"/>
                <w:kern w:val="2"/>
                <w:sz w:val="21"/>
                <w:szCs w:val="22"/>
                <w:lang w:val="en-US" w:eastAsia="zh-CN" w:bidi="ar-SA"/>
              </w:rPr>
              <w:t>（单位：日历天）</w:t>
            </w:r>
          </w:p>
        </w:tc>
        <w:tc>
          <w:tcPr>
            <w:tcW w:w="1692"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质保期</w:t>
            </w:r>
          </w:p>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237"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92"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237" w:type="dxa"/>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投标报价（大写）</w:t>
            </w:r>
          </w:p>
        </w:tc>
        <w:tc>
          <w:tcPr>
            <w:tcW w:w="6310" w:type="dxa"/>
            <w:gridSpan w:val="4"/>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宋体"/>
                <w:color w:val="000000" w:themeColor="text1"/>
                <w:kern w:val="0"/>
                <w:sz w:val="24"/>
                <w:szCs w:val="24"/>
                <w:lang w:val="zh-CN"/>
                <w14:textFill>
                  <w14:solidFill>
                    <w14:schemeClr w14:val="tx1"/>
                  </w14:solidFill>
                </w14:textFill>
              </w:rPr>
            </w:pPr>
          </w:p>
        </w:tc>
      </w:tr>
    </w:tbl>
    <w:p>
      <w:pPr>
        <w:spacing w:line="360" w:lineRule="auto"/>
        <w:ind w:left="1049" w:hanging="1048" w:hangingChars="43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说明：1．所有价格均用人民币表示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单位为元。</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3．为方便开标时唱标，投标人应另附《开标一览表》</w:t>
      </w:r>
      <w:r>
        <w:rPr>
          <w:rFonts w:hint="eastAsia" w:ascii="宋体" w:hAnsi="宋体" w:eastAsia="宋体" w:cs="Times New Roman"/>
          <w:color w:val="000000" w:themeColor="text1"/>
          <w:spacing w:val="-6"/>
          <w:kern w:val="0"/>
          <w:sz w:val="24"/>
          <w:szCs w:val="24"/>
          <w14:textFill>
            <w14:solidFill>
              <w14:schemeClr w14:val="tx1"/>
            </w14:solidFill>
          </w14:textFill>
        </w:rPr>
        <w:t>单独密封提交</w:t>
      </w:r>
      <w:r>
        <w:rPr>
          <w:rFonts w:hint="eastAsia" w:ascii="宋体" w:hAnsi="宋体" w:eastAsia="宋体" w:cs="Times New Roman"/>
          <w:color w:val="000000" w:themeColor="text1"/>
          <w:sz w:val="24"/>
          <w:szCs w:val="24"/>
          <w14:textFill>
            <w14:solidFill>
              <w14:schemeClr w14:val="tx1"/>
            </w14:solidFill>
          </w14:textFill>
        </w:rPr>
        <w:t>，并在信封上标明“开标一览表”字样。未单独提交或单独提交的上述资料未按照招标文件规定的格式填写完整并签字、盖章</w:t>
      </w:r>
      <w:r>
        <w:rPr>
          <w:rFonts w:hint="eastAsia" w:ascii="宋体" w:hAnsi="宋体" w:eastAsia="宋体" w:cs="Times New Roman"/>
          <w:color w:val="000000" w:themeColor="text1"/>
          <w:sz w:val="24"/>
          <w:szCs w:val="20"/>
          <w:lang w:val="zh-CN"/>
          <w14:textFill>
            <w14:solidFill>
              <w14:schemeClr w14:val="tx1"/>
            </w14:solidFill>
          </w14:textFill>
        </w:rPr>
        <w:t>的集中采购机构</w:t>
      </w:r>
      <w:r>
        <w:rPr>
          <w:rFonts w:hint="eastAsia" w:ascii="宋体" w:hAnsi="宋体" w:eastAsia="宋体" w:cs="Times New Roman"/>
          <w:b/>
          <w:color w:val="000000" w:themeColor="text1"/>
          <w:sz w:val="24"/>
          <w:szCs w:val="20"/>
          <w:lang w:val="zh-CN"/>
          <w14:textFill>
            <w14:solidFill>
              <w14:schemeClr w14:val="tx1"/>
            </w14:solidFill>
          </w14:textFill>
        </w:rPr>
        <w:t>拒绝</w:t>
      </w:r>
      <w:r>
        <w:rPr>
          <w:rFonts w:hint="eastAsia" w:ascii="宋体" w:hAnsi="宋体" w:eastAsia="宋体" w:cs="Times New Roman"/>
          <w:color w:val="000000" w:themeColor="text1"/>
          <w:sz w:val="24"/>
          <w:szCs w:val="20"/>
          <w:lang w:val="zh-CN"/>
          <w14:textFill>
            <w14:solidFill>
              <w14:schemeClr w14:val="tx1"/>
            </w14:solidFill>
          </w14:textFill>
        </w:rPr>
        <w:t>其投标。</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 本表应按要求由投标人法人授权代表签字，并加盖投标单位公章，否则将被视为非响应性投标，将按照</w:t>
      </w:r>
      <w:r>
        <w:rPr>
          <w:rFonts w:hint="eastAsia" w:ascii="宋体" w:hAnsi="宋体" w:eastAsia="宋体" w:cs="Times New Roman"/>
          <w:b/>
          <w:color w:val="000000" w:themeColor="text1"/>
          <w:sz w:val="24"/>
          <w:szCs w:val="24"/>
          <w14:textFill>
            <w14:solidFill>
              <w14:schemeClr w14:val="tx1"/>
            </w14:solidFill>
          </w14:textFill>
        </w:rPr>
        <w:t>无效投标处理</w:t>
      </w:r>
      <w:r>
        <w:rPr>
          <w:rFonts w:hint="eastAsia" w:ascii="宋体" w:hAnsi="宋体" w:eastAsia="宋体" w:cs="Times New Roman"/>
          <w:color w:val="000000" w:themeColor="text1"/>
          <w:sz w:val="24"/>
          <w:szCs w:val="24"/>
          <w14:textFill>
            <w14:solidFill>
              <w14:schemeClr w14:val="tx1"/>
            </w14:solidFill>
          </w14:textFill>
        </w:rPr>
        <w:t>。</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投标人授权代表（签字）：</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288" w:hanging="1288"/>
        <w:rPr>
          <w:rFonts w:ascii="宋体" w:hAnsi="宋体" w:eastAsia="宋体"/>
          <w:color w:val="000000" w:themeColor="text1"/>
          <w14:textFill>
            <w14:solidFill>
              <w14:schemeClr w14:val="tx1"/>
            </w14:solidFill>
          </w14:textFill>
        </w:rPr>
      </w:pPr>
      <w:bookmarkStart w:id="132" w:name="_Toc494665006"/>
      <w:bookmarkStart w:id="133" w:name="_Toc494745323"/>
      <w:bookmarkStart w:id="134" w:name="_Toc495861555"/>
      <w:bookmarkStart w:id="135" w:name="_Toc494702276"/>
      <w:bookmarkStart w:id="136" w:name="_Toc494577411"/>
      <w:bookmarkStart w:id="137" w:name="_Toc494665956"/>
      <w:bookmarkStart w:id="138" w:name="_Toc494721106"/>
      <w:bookmarkStart w:id="139" w:name="_Toc494665559"/>
      <w:r>
        <w:rPr>
          <w:rFonts w:hint="eastAsia" w:ascii="宋体" w:hAnsi="宋体" w:eastAsia="宋体"/>
          <w:color w:val="000000" w:themeColor="text1"/>
          <w14:textFill>
            <w14:solidFill>
              <w14:schemeClr w14:val="tx1"/>
            </w14:solidFill>
          </w14:textFill>
        </w:rPr>
        <w:t>投标报价明细表</w:t>
      </w:r>
      <w:bookmarkEnd w:id="132"/>
      <w:bookmarkEnd w:id="133"/>
      <w:bookmarkEnd w:id="134"/>
      <w:bookmarkEnd w:id="135"/>
      <w:bookmarkEnd w:id="136"/>
      <w:bookmarkEnd w:id="137"/>
      <w:bookmarkEnd w:id="138"/>
      <w:bookmarkEnd w:id="139"/>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投 标 人：</w:t>
      </w:r>
    </w:p>
    <w:p>
      <w:pPr>
        <w:spacing w:line="360" w:lineRule="auto"/>
        <w:jc w:val="left"/>
        <w:rPr>
          <w:rFonts w:ascii="宋体" w:hAnsi="宋体" w:eastAsia="宋体" w:cs="Times New Roman"/>
          <w:b/>
          <w:color w:val="000000" w:themeColor="text1"/>
          <w:sz w:val="24"/>
          <w:szCs w:val="21"/>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项目名称：</w:t>
      </w:r>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838"/>
        <w:gridCol w:w="838"/>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tc>
        <w:tc>
          <w:tcPr>
            <w:tcW w:w="1134" w:type="dxa"/>
            <w:shd w:val="clear" w:color="auto" w:fill="D8D8D8" w:themeFill="background1" w:themeFillShade="D9"/>
            <w:vAlign w:val="center"/>
          </w:tcPr>
          <w:p>
            <w:pPr>
              <w:ind w:left="-48" w:leftChars="-23"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838" w:type="dxa"/>
            <w:shd w:val="clear" w:color="auto" w:fill="D8D8D8" w:themeFill="background1" w:themeFillShade="D9"/>
            <w:vAlign w:val="center"/>
          </w:tcPr>
          <w:p>
            <w:pPr>
              <w:spacing w:line="360" w:lineRule="auto"/>
              <w:ind w:left="-48" w:leftChars="-23"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单位</w:t>
            </w:r>
          </w:p>
        </w:tc>
        <w:tc>
          <w:tcPr>
            <w:tcW w:w="838" w:type="dxa"/>
            <w:shd w:val="clear" w:color="auto" w:fill="D8D8D8" w:themeFill="background1" w:themeFillShade="D9"/>
            <w:vAlign w:val="center"/>
          </w:tcPr>
          <w:p>
            <w:pPr>
              <w:spacing w:line="360" w:lineRule="auto"/>
              <w:ind w:left="-23" w:leftChars="-11" w:right="-65" w:rightChars="-31"/>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分项合计</w:t>
            </w:r>
          </w:p>
        </w:tc>
        <w:tc>
          <w:tcPr>
            <w:tcW w:w="1357" w:type="dxa"/>
            <w:shd w:val="clear" w:color="auto" w:fill="D8D8D8" w:themeFill="background1" w:themeFillShade="D9"/>
            <w:vAlign w:val="center"/>
          </w:tcPr>
          <w:p>
            <w:pPr>
              <w:spacing w:line="360" w:lineRule="auto"/>
              <w:ind w:left="-23" w:leftChars="-11"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6"/>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r>
    </w:tbl>
    <w:p>
      <w:pPr>
        <w:spacing w:line="360" w:lineRule="auto"/>
        <w:ind w:left="1049" w:hanging="1048" w:hangingChars="43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说明：1．所有价格均用人民币表示，单位为元。</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2．报价明细表合计应与《开标一览表》中的投标总报价一致。</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3．未提供详细的货物（工程或服务）报价明细</w:t>
      </w:r>
      <w:r>
        <w:rPr>
          <w:rFonts w:hint="eastAsia" w:ascii="宋体" w:hAnsi="宋体" w:cs="Corbel"/>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导致的后果由投标人自行承担。</w:t>
      </w: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288" w:hanging="1288"/>
        <w:rPr>
          <w:rFonts w:ascii="宋体" w:hAnsi="宋体" w:eastAsia="宋体"/>
          <w:color w:val="000000" w:themeColor="text1"/>
          <w14:textFill>
            <w14:solidFill>
              <w14:schemeClr w14:val="tx1"/>
            </w14:solidFill>
          </w14:textFill>
        </w:rPr>
      </w:pPr>
      <w:bookmarkStart w:id="140" w:name="_Toc494721109"/>
      <w:bookmarkStart w:id="141" w:name="_Toc495861558"/>
      <w:bookmarkStart w:id="142" w:name="_Toc494665959"/>
      <w:bookmarkStart w:id="143" w:name="_Toc494702279"/>
      <w:bookmarkStart w:id="144" w:name="_Toc494665562"/>
      <w:bookmarkStart w:id="145" w:name="_Toc494665009"/>
      <w:bookmarkStart w:id="146" w:name="_Toc494745326"/>
      <w:r>
        <w:rPr>
          <w:rFonts w:hint="eastAsia" w:ascii="宋体" w:hAnsi="宋体" w:eastAsia="宋体"/>
          <w:color w:val="000000" w:themeColor="text1"/>
          <w14:textFill>
            <w14:solidFill>
              <w14:schemeClr w14:val="tx1"/>
            </w14:solidFill>
          </w14:textFill>
        </w:rPr>
        <w:t>交纳投标保证金的银行凭证</w:t>
      </w:r>
      <w:bookmarkEnd w:id="140"/>
      <w:bookmarkEnd w:id="141"/>
      <w:bookmarkEnd w:id="142"/>
      <w:bookmarkEnd w:id="143"/>
      <w:bookmarkEnd w:id="144"/>
      <w:bookmarkEnd w:id="145"/>
      <w:bookmarkEnd w:id="146"/>
    </w:p>
    <w:p>
      <w:pPr>
        <w:spacing w:line="480" w:lineRule="auto"/>
        <w:rPr>
          <w:rFonts w:ascii="宋体" w:hAnsi="宋体" w:cs="Courier New"/>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采购人（或代理公司）</w:t>
      </w:r>
      <w:r>
        <w:rPr>
          <w:rFonts w:hint="eastAsia" w:ascii="宋体" w:hAnsi="宋体" w:cs="Courier New"/>
          <w:b/>
          <w:color w:val="000000" w:themeColor="text1"/>
          <w:sz w:val="28"/>
          <w:szCs w:val="28"/>
          <w14:textFill>
            <w14:solidFill>
              <w14:schemeClr w14:val="tx1"/>
            </w14:solidFill>
          </w14:textFill>
        </w:rPr>
        <w:t>：</w:t>
      </w:r>
    </w:p>
    <w:p>
      <w:pPr>
        <w:spacing w:line="360" w:lineRule="auto"/>
        <w:ind w:firstLine="489" w:firstLineChars="204"/>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u w:val="single"/>
          <w:lang w:val="zh-CN"/>
          <w14:textFill>
            <w14:solidFill>
              <w14:schemeClr w14:val="tx1"/>
            </w14:solidFill>
          </w14:textFill>
        </w:rPr>
        <w:t xml:space="preserve">  （投标人全称）  </w:t>
      </w:r>
      <w:r>
        <w:rPr>
          <w:rFonts w:hint="eastAsia" w:ascii="宋体" w:hAnsi="宋体" w:eastAsia="宋体" w:cs="Times New Roman"/>
          <w:color w:val="000000" w:themeColor="text1"/>
          <w:sz w:val="24"/>
          <w:szCs w:val="21"/>
          <w:lang w:val="zh-CN"/>
          <w14:textFill>
            <w14:solidFill>
              <w14:schemeClr w14:val="tx1"/>
            </w14:solidFill>
          </w14:textFill>
        </w:rPr>
        <w:t>参加贵方组织的__</w:t>
      </w:r>
      <w:r>
        <w:rPr>
          <w:rFonts w:hint="eastAsia" w:ascii="宋体" w:hAnsi="宋体" w:eastAsia="宋体" w:cs="Times New Roman"/>
          <w:color w:val="000000" w:themeColor="text1"/>
          <w:sz w:val="24"/>
          <w:szCs w:val="21"/>
          <w:u w:val="single"/>
          <w:lang w:val="zh-CN"/>
          <w14:textFill>
            <w14:solidFill>
              <w14:schemeClr w14:val="tx1"/>
            </w14:solidFill>
          </w14:textFill>
        </w:rPr>
        <w:t>__</w:t>
      </w:r>
      <w:r>
        <w:rPr>
          <w:rFonts w:hint="eastAsia" w:ascii="宋体" w:hAnsi="宋体" w:eastAsia="宋体" w:cs="Times New Roman"/>
          <w:color w:val="000000" w:themeColor="text1"/>
          <w:sz w:val="24"/>
          <w:szCs w:val="21"/>
          <w:lang w:val="zh-CN"/>
          <w14:textFill>
            <w14:solidFill>
              <w14:schemeClr w14:val="tx1"/>
            </w14:solidFill>
          </w14:textFill>
        </w:rPr>
        <w:t>项目（项目编号：______）的政府采购活动。按招标文件的规定，已递交人民币（大写）__</w:t>
      </w:r>
      <w:r>
        <w:rPr>
          <w:rFonts w:hint="eastAsia" w:ascii="宋体" w:hAnsi="宋体" w:eastAsia="宋体" w:cs="Times New Roman"/>
          <w:color w:val="000000" w:themeColor="text1"/>
          <w:sz w:val="24"/>
          <w:szCs w:val="21"/>
          <w:u w:val="single"/>
          <w:lang w:val="zh-CN"/>
          <w14:textFill>
            <w14:solidFill>
              <w14:schemeClr w14:val="tx1"/>
            </w14:solidFill>
          </w14:textFill>
        </w:rPr>
        <w:t>__</w:t>
      </w:r>
      <w:r>
        <w:rPr>
          <w:rFonts w:hint="eastAsia" w:ascii="宋体" w:hAnsi="宋体" w:eastAsia="宋体" w:cs="Times New Roman"/>
          <w:color w:val="000000" w:themeColor="text1"/>
          <w:sz w:val="24"/>
          <w:szCs w:val="21"/>
          <w:lang w:val="zh-CN"/>
          <w14:textFill>
            <w14:solidFill>
              <w14:schemeClr w14:val="tx1"/>
            </w14:solidFill>
          </w14:textFill>
        </w:rPr>
        <w:t>万元的投标保证金。</w:t>
      </w:r>
    </w:p>
    <w:tbl>
      <w:tblPr>
        <w:tblStyle w:val="17"/>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投标人</w:t>
            </w: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全  称</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地  址</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邮  编</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联 系 人</w:t>
            </w:r>
          </w:p>
        </w:tc>
        <w:tc>
          <w:tcPr>
            <w:tcW w:w="2160" w:type="dxa"/>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440"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联系电话</w:t>
            </w:r>
          </w:p>
        </w:tc>
        <w:tc>
          <w:tcPr>
            <w:tcW w:w="3523" w:type="dxa"/>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开 户 银 行</w:t>
            </w:r>
          </w:p>
        </w:tc>
        <w:tc>
          <w:tcPr>
            <w:tcW w:w="7123" w:type="dxa"/>
            <w:gridSpan w:val="3"/>
            <w:vAlign w:val="center"/>
          </w:tcPr>
          <w:p>
            <w:pPr>
              <w:widowControl/>
              <w:spacing w:line="360" w:lineRule="auto"/>
              <w:jc w:val="left"/>
              <w:rPr>
                <w:rFonts w:ascii="宋体" w:hAnsi="宋体" w:eastAsia="宋体" w:cs="Arial"/>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帐  号</w:t>
            </w:r>
          </w:p>
        </w:tc>
        <w:tc>
          <w:tcPr>
            <w:tcW w:w="7123" w:type="dxa"/>
            <w:gridSpan w:val="3"/>
            <w:vAlign w:val="center"/>
          </w:tcPr>
          <w:p>
            <w:pPr>
              <w:widowControl/>
              <w:spacing w:line="360" w:lineRule="auto"/>
              <w:jc w:val="left"/>
              <w:rPr>
                <w:rFonts w:ascii="宋体" w:hAnsi="宋体" w:eastAsia="宋体" w:cs="Arial"/>
                <w:color w:val="000000" w:themeColor="text1"/>
                <w:kern w:val="0"/>
                <w:sz w:val="24"/>
                <w:szCs w:val="21"/>
                <w14:textFill>
                  <w14:solidFill>
                    <w14:schemeClr w14:val="tx1"/>
                  </w14:solidFill>
                </w14:textFill>
              </w:rPr>
            </w:pPr>
          </w:p>
        </w:tc>
      </w:tr>
    </w:tbl>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tbl>
      <w:tblPr>
        <w:tblStyle w:val="17"/>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粘贴转帐、电汇或网上银行凭证（清晰影印件）</w:t>
            </w: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ind w:left="110" w:leftChars="38" w:hanging="31" w:hangingChars="13"/>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注：在交款凭证备注中说明项目编号及开标时间</w:t>
            </w:r>
          </w:p>
        </w:tc>
      </w:tr>
    </w:tbl>
    <w:p>
      <w:pPr>
        <w:spacing w:line="360" w:lineRule="auto"/>
        <w:ind w:left="720" w:hanging="720" w:hangingChars="3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说明：投标人应认真填写银行信息，与转帐或电汇银行凭证的相关信息一致，集中采购机构将依据此凭证信息查退投标保证金。</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288" w:hanging="1288"/>
        <w:rPr>
          <w:rFonts w:ascii="宋体" w:hAnsi="宋体" w:eastAsia="宋体"/>
          <w:color w:val="000000" w:themeColor="text1"/>
          <w14:textFill>
            <w14:solidFill>
              <w14:schemeClr w14:val="tx1"/>
            </w14:solidFill>
          </w14:textFill>
        </w:rPr>
      </w:pPr>
      <w:bookmarkStart w:id="147" w:name="_Toc494665010"/>
      <w:bookmarkStart w:id="148" w:name="_Toc494745327"/>
      <w:bookmarkStart w:id="149" w:name="_Toc494702280"/>
      <w:bookmarkStart w:id="150" w:name="_Toc238276247"/>
      <w:bookmarkStart w:id="151" w:name="_Toc236473303"/>
      <w:bookmarkStart w:id="152" w:name="_Toc495861559"/>
      <w:bookmarkStart w:id="153" w:name="_Toc494665960"/>
      <w:bookmarkStart w:id="154" w:name="_Toc494665563"/>
      <w:bookmarkStart w:id="155" w:name="_Toc494721110"/>
      <w:r>
        <w:rPr>
          <w:rFonts w:hint="eastAsia" w:ascii="宋体" w:hAnsi="宋体" w:eastAsia="宋体"/>
          <w:color w:val="000000" w:themeColor="text1"/>
          <w14:textFill>
            <w14:solidFill>
              <w14:schemeClr w14:val="tx1"/>
            </w14:solidFill>
          </w14:textFill>
        </w:rPr>
        <w:t>法定代表人授权书</w:t>
      </w:r>
      <w:bookmarkEnd w:id="147"/>
      <w:bookmarkEnd w:id="148"/>
      <w:bookmarkEnd w:id="149"/>
      <w:bookmarkEnd w:id="150"/>
      <w:bookmarkEnd w:id="151"/>
      <w:bookmarkEnd w:id="152"/>
      <w:bookmarkEnd w:id="153"/>
      <w:bookmarkEnd w:id="154"/>
      <w:bookmarkEnd w:id="155"/>
    </w:p>
    <w:p>
      <w:pPr>
        <w:spacing w:line="480" w:lineRule="auto"/>
        <w:rPr>
          <w:rFonts w:ascii="宋体" w:hAnsi="宋体" w:eastAsia="宋体" w:cs="Times New Roman"/>
          <w:b/>
          <w:color w:val="000000" w:themeColor="text1"/>
          <w:sz w:val="24"/>
          <w:szCs w:val="24"/>
          <w14:textFill>
            <w14:solidFill>
              <w14:schemeClr w14:val="tx1"/>
            </w14:solidFill>
          </w14:textFill>
        </w:rPr>
      </w:pPr>
      <w:r>
        <w:rPr>
          <w:rFonts w:hint="eastAsia"/>
          <w:b/>
          <w:color w:val="000000" w:themeColor="text1"/>
          <w:sz w:val="28"/>
          <w:szCs w:val="28"/>
          <w14:textFill>
            <w14:solidFill>
              <w14:schemeClr w14:val="tx1"/>
            </w14:solidFill>
          </w14:textFill>
        </w:rPr>
        <w:t>采购人（或代理公司）</w:t>
      </w:r>
      <w:r>
        <w:rPr>
          <w:rFonts w:hint="eastAsia" w:ascii="宋体" w:hAnsi="宋体" w:cs="Courier New"/>
          <w:b/>
          <w:color w:val="000000" w:themeColor="text1"/>
          <w:sz w:val="28"/>
          <w:szCs w:val="28"/>
          <w14:textFill>
            <w14:solidFill>
              <w14:schemeClr w14:val="tx1"/>
            </w14:solidFill>
          </w14:textFill>
        </w:rPr>
        <w:t>：</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兹授权</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同志为我单位参加贵方组织的</w:t>
      </w:r>
      <w:r>
        <w:rPr>
          <w:rFonts w:hint="eastAsia" w:ascii="Times New Roman" w:hAnsi="宋体" w:eastAsia="宋体" w:cs="Times New Roman"/>
          <w:color w:val="000000" w:themeColor="text1"/>
          <w:sz w:val="24"/>
          <w:szCs w:val="24"/>
          <w14:textFill>
            <w14:solidFill>
              <w14:schemeClr w14:val="tx1"/>
            </w14:solidFill>
          </w14:textFill>
        </w:rPr>
        <w:t>____项目（项目编号：______）</w:t>
      </w:r>
      <w:r>
        <w:rPr>
          <w:rFonts w:hint="eastAsia" w:ascii="宋体" w:hAnsi="宋体" w:eastAsia="宋体" w:cs="Times New Roman"/>
          <w:color w:val="000000" w:themeColor="text1"/>
          <w:sz w:val="24"/>
          <w:szCs w:val="24"/>
          <w14:textFill>
            <w14:solidFill>
              <w14:schemeClr w14:val="tx1"/>
            </w14:solidFill>
          </w14:textFill>
        </w:rPr>
        <w:t>采购活动的投标人授权代表，全权代表我公司处理在</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项目采购活动中的一切事宜。代理期限从</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日起至</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 xml:space="preserve">日止。 </w:t>
      </w:r>
    </w:p>
    <w:p>
      <w:pPr>
        <w:spacing w:line="360" w:lineRule="auto"/>
        <w:ind w:firstLine="540" w:firstLineChars="225"/>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被授权代表无转委托权。</w:t>
      </w:r>
    </w:p>
    <w:p>
      <w:pPr>
        <w:spacing w:line="360" w:lineRule="auto"/>
        <w:ind w:firstLine="540" w:firstLineChars="225"/>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授权单位（公章）：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法定代表人（签字或盖章）</w:t>
      </w:r>
      <w:r>
        <w:rPr>
          <w:rFonts w:hint="eastAsia" w:hAnsi="宋体"/>
          <w:b/>
          <w:bCs/>
          <w:color w:val="000000" w:themeColor="text1"/>
          <w:sz w:val="24"/>
          <w14:textFill>
            <w14:solidFill>
              <w14:schemeClr w14:val="tx1"/>
            </w14:solidFill>
          </w14:textFill>
        </w:rPr>
        <w:t>：</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签发日期：</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日</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投标人授权代表单位名称：</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职务： 性别：</w:t>
      </w:r>
    </w:p>
    <w:p>
      <w:pPr>
        <w:spacing w:line="360" w:lineRule="auto"/>
        <w:ind w:firstLine="480" w:firstLineChars="200"/>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身份证号码：</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w:t>
      </w:r>
    </w:p>
    <w:tbl>
      <w:tblPr>
        <w:tblStyle w:val="17"/>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粘贴被授权人身份证（清晰影印件）</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56" w:name="_Toc494665564"/>
      <w:bookmarkStart w:id="157" w:name="_Toc494665961"/>
      <w:bookmarkStart w:id="158" w:name="_Toc494721111"/>
      <w:bookmarkStart w:id="159" w:name="_Toc495861560"/>
      <w:bookmarkStart w:id="160" w:name="_Toc494665011"/>
      <w:bookmarkStart w:id="161" w:name="_Toc236473304"/>
      <w:bookmarkStart w:id="162" w:name="_Toc494702281"/>
      <w:bookmarkStart w:id="163" w:name="_Toc238276248"/>
      <w:bookmarkStart w:id="164" w:name="_Toc494745328"/>
      <w:r>
        <w:rPr>
          <w:rFonts w:hint="eastAsia" w:ascii="宋体" w:hAnsi="宋体" w:eastAsia="宋体"/>
          <w:color w:val="000000" w:themeColor="text1"/>
          <w14:textFill>
            <w14:solidFill>
              <w14:schemeClr w14:val="tx1"/>
            </w14:solidFill>
          </w14:textFill>
        </w:rPr>
        <w:t>投标人的资格声明</w:t>
      </w:r>
      <w:bookmarkEnd w:id="156"/>
      <w:bookmarkEnd w:id="157"/>
      <w:bookmarkEnd w:id="158"/>
      <w:bookmarkEnd w:id="159"/>
      <w:bookmarkEnd w:id="160"/>
      <w:bookmarkEnd w:id="161"/>
      <w:bookmarkEnd w:id="162"/>
      <w:bookmarkEnd w:id="163"/>
      <w:bookmarkEnd w:id="164"/>
    </w:p>
    <w:p>
      <w:pPr>
        <w:spacing w:line="360" w:lineRule="auto"/>
        <w:ind w:left="1078" w:hanging="1077" w:hangingChars="449"/>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1．名称及基本情况：</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（1）投标人：</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（2）地址：     邮编：</w:t>
      </w:r>
    </w:p>
    <w:p>
      <w:pPr>
        <w:spacing w:line="360" w:lineRule="exact"/>
        <w:ind w:firstLine="840" w:firstLineChars="350"/>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     传真：</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（3）成立或注册日期：</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（4）单位性质：</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（5）法定代表人或主要负责人：</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（6）员工人数：</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（7）注册资本：</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（8）实收资本：</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（9）上年末资产负债表：</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1）固定资产</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原   值：    净   值： </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2）流动资金：</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3）长期负债：</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4）短期负债：</w:t>
      </w:r>
    </w:p>
    <w:p>
      <w:pPr>
        <w:spacing w:line="360" w:lineRule="exact"/>
        <w:ind w:firstLine="475" w:firstLineChars="198"/>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投标人</w:t>
      </w:r>
      <w:r>
        <w:rPr>
          <w:rFonts w:hint="eastAsia" w:ascii="Times New Roman" w:hAnsi="宋体" w:eastAsia="宋体" w:cs="Times New Roman"/>
          <w:b/>
          <w:color w:val="000000" w:themeColor="text1"/>
          <w:sz w:val="24"/>
          <w:szCs w:val="24"/>
          <w14:textFill>
            <w14:solidFill>
              <w14:schemeClr w14:val="tx1"/>
            </w14:solidFill>
          </w14:textFill>
        </w:rPr>
        <w:t>（公章）</w:t>
      </w:r>
      <w:r>
        <w:rPr>
          <w:rFonts w:hint="eastAsia" w:ascii="宋体" w:hAnsi="宋体" w:eastAsia="宋体" w:cs="Times New Roman"/>
          <w:b/>
          <w:color w:val="000000" w:themeColor="text1"/>
          <w:sz w:val="24"/>
          <w:szCs w:val="24"/>
          <w14:textFill>
            <w14:solidFill>
              <w14:schemeClr w14:val="tx1"/>
            </w14:solidFill>
          </w14:textFill>
        </w:rPr>
        <w:t>：</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法定代表人（签字或盖章）</w:t>
      </w:r>
      <w:r>
        <w:rPr>
          <w:rFonts w:hint="eastAsia" w:ascii="宋体" w:hAnsi="宋体" w:eastAsia="宋体" w:cs="Times New Roman"/>
          <w:b/>
          <w:color w:val="000000" w:themeColor="text1"/>
          <w:sz w:val="24"/>
          <w:szCs w:val="24"/>
          <w14:textFill>
            <w14:solidFill>
              <w14:schemeClr w14:val="tx1"/>
            </w14:solidFill>
          </w14:textFill>
        </w:rPr>
        <w:t>：</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电    话：</w:t>
      </w:r>
    </w:p>
    <w:p>
      <w:pPr>
        <w:spacing w:line="360" w:lineRule="auto"/>
        <w:ind w:left="504" w:leftChars="240"/>
        <w:rPr>
          <w:rFonts w:ascii="宋体" w:hAnsi="宋体" w:eastAsia="宋体" w:cs="Times New Roman"/>
          <w:b/>
          <w:color w:val="000000" w:themeColor="text1"/>
          <w:sz w:val="24"/>
          <w:szCs w:val="24"/>
          <w:u w:val="single"/>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传    真：</w:t>
      </w:r>
    </w:p>
    <w:p>
      <w:pPr>
        <w:spacing w:line="360" w:lineRule="auto"/>
        <w:ind w:left="504" w:leftChars="240"/>
        <w:rPr>
          <w:rFonts w:hint="eastAsia"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日    期：年月 日</w:t>
      </w:r>
    </w:p>
    <w:p>
      <w:pPr>
        <w:pStyle w:val="4"/>
        <w:rPr>
          <w:rFonts w:hint="eastAsia" w:ascii="宋体" w:hAnsi="宋体" w:eastAsia="宋体" w:cs="Times New Roman"/>
          <w:b/>
          <w:color w:val="000000" w:themeColor="text1"/>
          <w:sz w:val="24"/>
          <w:szCs w:val="24"/>
          <w14:textFill>
            <w14:solidFill>
              <w14:schemeClr w14:val="tx1"/>
            </w14:solidFill>
          </w14:textFill>
        </w:rPr>
      </w:pPr>
    </w:p>
    <w:p>
      <w:pPr>
        <w:rPr>
          <w:rFonts w:hint="eastAsia" w:ascii="宋体" w:hAnsi="宋体" w:eastAsia="宋体" w:cs="Times New Roman"/>
          <w:b/>
          <w:color w:val="000000" w:themeColor="text1"/>
          <w:sz w:val="24"/>
          <w:szCs w:val="24"/>
          <w14:textFill>
            <w14:solidFill>
              <w14:schemeClr w14:val="tx1"/>
            </w14:solidFill>
          </w14:textFill>
        </w:rPr>
      </w:pPr>
    </w:p>
    <w:p>
      <w:pPr>
        <w:pStyle w:val="4"/>
        <w:rPr>
          <w:rFonts w:hint="eastAsia" w:ascii="宋体" w:hAnsi="宋体" w:eastAsia="宋体" w:cs="Times New Roman"/>
          <w:b/>
          <w:color w:val="000000" w:themeColor="text1"/>
          <w:sz w:val="24"/>
          <w:szCs w:val="24"/>
          <w14:textFill>
            <w14:solidFill>
              <w14:schemeClr w14:val="tx1"/>
            </w14:solidFill>
          </w14:textFill>
        </w:rPr>
      </w:pPr>
    </w:p>
    <w:p>
      <w:pPr>
        <w:rPr>
          <w:rFonts w:hint="eastAsia" w:ascii="宋体" w:hAnsi="宋体" w:eastAsia="宋体" w:cs="Times New Roman"/>
          <w:b/>
          <w:color w:val="000000" w:themeColor="text1"/>
          <w:sz w:val="24"/>
          <w:szCs w:val="24"/>
          <w14:textFill>
            <w14:solidFill>
              <w14:schemeClr w14:val="tx1"/>
            </w14:solidFill>
          </w14:textFill>
        </w:rPr>
      </w:pPr>
    </w:p>
    <w:p>
      <w:pPr>
        <w:pStyle w:val="4"/>
      </w:pPr>
    </w:p>
    <w:p>
      <w:pPr>
        <w:pStyle w:val="4"/>
        <w:numPr>
          <w:ilvl w:val="0"/>
          <w:numId w:val="61"/>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65" w:name="_Toc494702282"/>
      <w:bookmarkStart w:id="166" w:name="_Toc494665962"/>
      <w:bookmarkStart w:id="167" w:name="_Toc494721112"/>
      <w:bookmarkStart w:id="168" w:name="_Toc494745329"/>
      <w:bookmarkStart w:id="169" w:name="_Toc494665565"/>
      <w:bookmarkStart w:id="170" w:name="_Toc494665012"/>
      <w:bookmarkStart w:id="171" w:name="_Toc495861561"/>
      <w:r>
        <w:rPr>
          <w:rFonts w:hint="eastAsia" w:ascii="宋体" w:hAnsi="宋体" w:eastAsia="宋体"/>
          <w:color w:val="000000" w:themeColor="text1"/>
          <w14:textFill>
            <w14:solidFill>
              <w14:schemeClr w14:val="tx1"/>
            </w14:solidFill>
          </w14:textFill>
        </w:rPr>
        <w:t>项目负责人、技术负责人简历表</w:t>
      </w:r>
      <w:bookmarkEnd w:id="165"/>
      <w:bookmarkEnd w:id="166"/>
      <w:bookmarkEnd w:id="167"/>
      <w:bookmarkEnd w:id="168"/>
      <w:bookmarkEnd w:id="169"/>
      <w:bookmarkEnd w:id="170"/>
      <w:bookmarkEnd w:id="171"/>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参加工作</w:t>
            </w:r>
          </w:p>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bl>
    <w:p>
      <w:pPr>
        <w:spacing w:line="360" w:lineRule="auto"/>
        <w:ind w:left="720" w:hanging="720" w:hangingChars="300"/>
        <w:jc w:val="left"/>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说明：投标文件正本应附完整的相关证明材料清晰影印件，未按照要求详细完整填写此表，导致的后果由投标人自行承担。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72" w:name="_Toc494665566"/>
      <w:bookmarkStart w:id="173" w:name="_Toc236473307"/>
      <w:bookmarkStart w:id="174" w:name="_Toc238276251"/>
      <w:bookmarkStart w:id="175" w:name="_Toc494702283"/>
      <w:bookmarkStart w:id="176" w:name="_Toc494745330"/>
      <w:bookmarkStart w:id="177" w:name="_Toc494665963"/>
      <w:bookmarkStart w:id="178" w:name="_Toc495861562"/>
      <w:bookmarkStart w:id="179" w:name="_Toc494721113"/>
      <w:bookmarkStart w:id="180" w:name="_Toc494665013"/>
      <w:r>
        <w:rPr>
          <w:rFonts w:hint="eastAsia" w:ascii="宋体" w:hAnsi="宋体" w:eastAsia="宋体"/>
          <w:color w:val="000000" w:themeColor="text1"/>
          <w14:textFill>
            <w14:solidFill>
              <w14:schemeClr w14:val="tx1"/>
            </w14:solidFill>
          </w14:textFill>
        </w:rPr>
        <w:t>项目班子成员情况表</w:t>
      </w:r>
      <w:bookmarkEnd w:id="172"/>
      <w:bookmarkEnd w:id="173"/>
      <w:bookmarkEnd w:id="174"/>
      <w:bookmarkEnd w:id="175"/>
      <w:bookmarkEnd w:id="176"/>
      <w:bookmarkEnd w:id="177"/>
      <w:bookmarkEnd w:id="178"/>
      <w:bookmarkEnd w:id="179"/>
      <w:bookmarkEnd w:id="180"/>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bl>
    <w:p>
      <w:pPr>
        <w:spacing w:line="360" w:lineRule="auto"/>
        <w:ind w:left="720" w:hanging="720" w:hangingChars="300"/>
        <w:jc w:val="left"/>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说明：投标文件正本应附完整的相关证明材料清晰影印件，</w:t>
      </w:r>
      <w:r>
        <w:rPr>
          <w:rFonts w:hint="eastAsia" w:ascii="宋体" w:hAnsi="宋体" w:eastAsia="宋体" w:cs="Corbel"/>
          <w:color w:val="000000" w:themeColor="text1"/>
          <w:sz w:val="24"/>
          <w:szCs w:val="21"/>
          <w:lang w:val="zh-CN"/>
          <w14:textFill>
            <w14:solidFill>
              <w14:schemeClr w14:val="tx1"/>
            </w14:solidFill>
          </w14:textFill>
        </w:rPr>
        <w:t>未按照要求详细完整填写此表，</w:t>
      </w:r>
      <w:r>
        <w:rPr>
          <w:rFonts w:hint="eastAsia" w:ascii="宋体" w:hAnsi="宋体" w:eastAsia="宋体" w:cs="Times New Roman"/>
          <w:color w:val="000000" w:themeColor="text1"/>
          <w:sz w:val="24"/>
          <w:szCs w:val="21"/>
          <w:lang w:val="zh-CN"/>
          <w14:textFill>
            <w14:solidFill>
              <w14:schemeClr w14:val="tx1"/>
            </w14:solidFill>
          </w14:textFill>
        </w:rPr>
        <w:t>导致的后果由投标人自行承担。</w:t>
      </w: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81" w:name="_Toc494665964"/>
      <w:bookmarkStart w:id="182" w:name="_Toc238276256"/>
      <w:bookmarkStart w:id="183" w:name="_Toc494721114"/>
      <w:bookmarkStart w:id="184" w:name="_Toc236473312"/>
      <w:bookmarkStart w:id="185" w:name="_Toc494665014"/>
      <w:bookmarkStart w:id="186" w:name="_Toc494745331"/>
      <w:bookmarkStart w:id="187" w:name="_Toc494702284"/>
      <w:bookmarkStart w:id="188" w:name="_Toc495861563"/>
      <w:bookmarkStart w:id="189" w:name="_Toc494665567"/>
      <w:r>
        <w:rPr>
          <w:rFonts w:hint="eastAsia" w:ascii="宋体" w:hAnsi="宋体" w:eastAsia="宋体"/>
          <w:color w:val="000000" w:themeColor="text1"/>
          <w14:textFill>
            <w14:solidFill>
              <w14:schemeClr w14:val="tx1"/>
            </w14:solidFill>
          </w14:textFill>
        </w:rPr>
        <w:t>投标人类似项目业绩表</w:t>
      </w:r>
      <w:bookmarkEnd w:id="181"/>
      <w:bookmarkEnd w:id="182"/>
      <w:bookmarkEnd w:id="183"/>
      <w:bookmarkEnd w:id="184"/>
      <w:bookmarkEnd w:id="185"/>
      <w:bookmarkEnd w:id="186"/>
      <w:bookmarkEnd w:id="187"/>
      <w:bookmarkEnd w:id="188"/>
      <w:bookmarkEnd w:id="189"/>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项目单位名称</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项目名称</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项目单位联系人姓名及联系方式</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项目金额</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项目负责人姓名</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项目时间</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项目内容</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说明：1．每个合同应单独附表，并附上相关证明材料，</w:t>
      </w:r>
      <w:r>
        <w:rPr>
          <w:rFonts w:hint="eastAsia" w:ascii="宋体" w:hAnsi="宋体" w:eastAsia="宋体" w:cs="Corbel"/>
          <w:color w:val="000000" w:themeColor="text1"/>
          <w:sz w:val="24"/>
          <w:szCs w:val="24"/>
          <w14:textFill>
            <w14:solidFill>
              <w14:schemeClr w14:val="tx1"/>
            </w14:solidFill>
          </w14:textFill>
        </w:rPr>
        <w:t>未按照要求详细完整填写此表，</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2．项目内容请详细说明所承担的具体工作内容等。</w:t>
      </w:r>
    </w:p>
    <w:p>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p>
    <w:p>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90" w:name="_Toc494665015"/>
      <w:bookmarkStart w:id="191" w:name="_Toc495861564"/>
      <w:bookmarkStart w:id="192" w:name="_Toc494702285"/>
      <w:bookmarkStart w:id="193" w:name="_Toc494665965"/>
      <w:bookmarkStart w:id="194" w:name="_Toc494665568"/>
      <w:bookmarkStart w:id="195" w:name="_Toc494721115"/>
      <w:bookmarkStart w:id="196" w:name="_Toc494745332"/>
      <w:r>
        <w:rPr>
          <w:rFonts w:hint="eastAsia" w:ascii="宋体" w:hAnsi="宋体" w:eastAsia="宋体"/>
          <w:color w:val="000000" w:themeColor="text1"/>
          <w14:textFill>
            <w14:solidFill>
              <w14:schemeClr w14:val="tx1"/>
            </w14:solidFill>
          </w14:textFill>
        </w:rPr>
        <w:t>符合性审查对照表</w:t>
      </w:r>
      <w:bookmarkEnd w:id="190"/>
      <w:bookmarkEnd w:id="191"/>
      <w:bookmarkEnd w:id="192"/>
      <w:bookmarkEnd w:id="193"/>
      <w:bookmarkEnd w:id="194"/>
      <w:bookmarkEnd w:id="195"/>
      <w:bookmarkEnd w:id="196"/>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303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w:t>
            </w:r>
            <w:r>
              <w:rPr>
                <w:rFonts w:hint="eastAsia" w:ascii="宋体" w:hAnsi="宋体" w:eastAsia="宋体" w:cs="Corbel"/>
                <w:color w:val="000000" w:themeColor="text1"/>
                <w:sz w:val="24"/>
                <w:szCs w:val="24"/>
                <w14:textFill>
                  <w14:solidFill>
                    <w14:schemeClr w14:val="tx1"/>
                  </w14:solidFill>
                </w14:textFill>
              </w:rPr>
              <w:t>符合性审查条款</w:t>
            </w:r>
          </w:p>
        </w:tc>
        <w:tc>
          <w:tcPr>
            <w:tcW w:w="2754"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02"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w:t>
      </w:r>
      <w:r>
        <w:rPr>
          <w:rFonts w:hint="eastAsia" w:ascii="宋体" w:hAnsi="宋体" w:eastAsia="宋体" w:cs="Corbel"/>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Corbel"/>
          <w:color w:val="000000" w:themeColor="text1"/>
          <w:sz w:val="24"/>
          <w:szCs w:val="24"/>
          <w14:textFill>
            <w14:solidFill>
              <w14:schemeClr w14:val="tx1"/>
            </w14:solidFill>
          </w14:textFill>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投标人</w:t>
      </w:r>
      <w:r>
        <w:rPr>
          <w:rFonts w:hint="eastAsia" w:ascii="宋体" w:hAnsi="宋体" w:eastAsia="宋体" w:cs="Corbel"/>
          <w:color w:val="000000" w:themeColor="text1"/>
          <w:sz w:val="24"/>
          <w:szCs w:val="24"/>
          <w14:textFill>
            <w14:solidFill>
              <w14:schemeClr w14:val="tx1"/>
            </w14:solidFill>
          </w14:textFill>
        </w:rPr>
        <w:t>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97" w:name="_Toc494665966"/>
      <w:bookmarkStart w:id="198" w:name="_Toc494702286"/>
      <w:bookmarkStart w:id="199" w:name="_Toc494721116"/>
      <w:bookmarkStart w:id="200" w:name="_Toc495861565"/>
      <w:bookmarkStart w:id="201" w:name="_Toc494745333"/>
      <w:bookmarkStart w:id="202" w:name="_Toc494665016"/>
      <w:bookmarkStart w:id="203" w:name="_Toc494665569"/>
      <w:r>
        <w:rPr>
          <w:rFonts w:hint="eastAsia" w:ascii="宋体" w:hAnsi="宋体" w:eastAsia="宋体"/>
          <w:color w:val="000000" w:themeColor="text1"/>
          <w14:textFill>
            <w14:solidFill>
              <w14:schemeClr w14:val="tx1"/>
            </w14:solidFill>
          </w14:textFill>
        </w:rPr>
        <w:t>商务要求响应、偏离说明表</w:t>
      </w:r>
      <w:bookmarkEnd w:id="197"/>
      <w:bookmarkEnd w:id="198"/>
      <w:bookmarkEnd w:id="199"/>
      <w:bookmarkEnd w:id="200"/>
      <w:bookmarkEnd w:id="201"/>
      <w:bookmarkEnd w:id="202"/>
      <w:bookmarkEnd w:id="203"/>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w:t>
      </w:r>
      <w:r>
        <w:rPr>
          <w:rFonts w:hint="eastAsia" w:ascii="宋体" w:hAnsi="宋体" w:eastAsia="宋体" w:cs="Corbel"/>
          <w:color w:val="000000" w:themeColor="text1"/>
          <w:sz w:val="24"/>
          <w:szCs w:val="24"/>
          <w14:textFill>
            <w14:solidFill>
              <w14:schemeClr w14:val="tx1"/>
            </w14:solidFill>
          </w14:textFill>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w:t>
      </w:r>
      <w:r>
        <w:rPr>
          <w:rFonts w:hint="eastAsia" w:ascii="宋体" w:hAnsi="宋体" w:eastAsia="宋体" w:cs="Times New Roman"/>
          <w:color w:val="000000" w:themeColor="text1"/>
          <w:sz w:val="24"/>
          <w:szCs w:val="24"/>
          <w14:textFill>
            <w14:solidFill>
              <w14:schemeClr w14:val="tx1"/>
            </w14:solidFill>
          </w14:textFill>
        </w:rPr>
        <w:t>提供</w:t>
      </w:r>
      <w:r>
        <w:rPr>
          <w:rFonts w:hint="eastAsia" w:ascii="宋体" w:hAnsi="宋体" w:eastAsia="宋体" w:cs="Corbel"/>
          <w:color w:val="000000" w:themeColor="text1"/>
          <w:sz w:val="24"/>
          <w:szCs w:val="24"/>
          <w14:textFill>
            <w14:solidFill>
              <w14:schemeClr w14:val="tx1"/>
            </w14:solidFill>
          </w14:textFill>
        </w:rPr>
        <w:t>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adjustRightInd w:val="0"/>
        <w:snapToGrid w:val="0"/>
        <w:spacing w:line="360" w:lineRule="auto"/>
        <w:ind w:left="781" w:leftChars="258" w:hanging="240" w:hangingChars="100"/>
        <w:rPr>
          <w:rFonts w:ascii="宋体" w:hAnsi="宋体" w:eastAsia="宋体" w:cs="Corbel"/>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1"/>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204" w:name="_Toc494665019"/>
      <w:bookmarkStart w:id="205" w:name="_Toc494665572"/>
      <w:bookmarkStart w:id="206" w:name="_Toc494665969"/>
      <w:bookmarkStart w:id="207" w:name="_Toc494721119"/>
      <w:bookmarkStart w:id="208" w:name="_Toc494702289"/>
      <w:bookmarkStart w:id="209" w:name="_Toc495861568"/>
      <w:bookmarkStart w:id="210" w:name="_Toc494745336"/>
      <w:r>
        <w:rPr>
          <w:rFonts w:hint="eastAsia" w:ascii="宋体" w:hAnsi="宋体" w:eastAsia="宋体"/>
          <w:color w:val="000000" w:themeColor="text1"/>
          <w14:textFill>
            <w14:solidFill>
              <w14:schemeClr w14:val="tx1"/>
            </w14:solidFill>
          </w14:textFill>
        </w:rPr>
        <w:t>技术、服务要求响应、偏离说明表</w:t>
      </w:r>
      <w:bookmarkEnd w:id="204"/>
      <w:bookmarkEnd w:id="205"/>
      <w:bookmarkEnd w:id="206"/>
      <w:bookmarkEnd w:id="207"/>
      <w:bookmarkEnd w:id="208"/>
      <w:bookmarkEnd w:id="209"/>
      <w:bookmarkEnd w:id="210"/>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3031"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sectPr>
      <w:headerReference r:id="rId6" w:type="default"/>
      <w:footerReference r:id="rId7" w:type="default"/>
      <w:pgSz w:w="11906" w:h="16838"/>
      <w:pgMar w:top="1134" w:right="1191" w:bottom="1134" w:left="1191" w:header="851" w:footer="85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1"/>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u w:val="single"/>
      </w:rPr>
      <w:t xml:space="preserve"> </w:t>
    </w:r>
    <w:r>
      <w:rPr>
        <w:rFonts w:hint="eastAsia" w:asciiTheme="minorEastAsia" w:hAnsiTheme="minorEastAsia"/>
        <w:u w:val="single"/>
        <w:lang w:eastAsia="zh-CN"/>
      </w:rPr>
      <w:t>湖北方圆工程造价咨询有限公司</w:t>
    </w:r>
    <w:r>
      <w:rPr>
        <w:rFonts w:hint="eastAsia" w:asciiTheme="minorEastAsia" w:hAnsiTheme="minorEastAsia"/>
        <w:u w:val="single"/>
      </w:rPr>
      <w:t xml:space="preserve"> </w:t>
    </w:r>
    <w:r>
      <w:rPr>
        <w:rFonts w:hint="eastAsia" w:asciiTheme="minorEastAsia" w:hAnsiTheme="minorEastAsia"/>
      </w:rPr>
      <w:t>制</w:t>
    </w:r>
  </w:p>
  <w:p>
    <w:pPr>
      <w:pStyle w:val="11"/>
      <w:pBdr>
        <w:top w:val="single" w:color="000000" w:themeColor="text1" w:sz="4" w:space="1"/>
      </w:pBdr>
      <w:tabs>
        <w:tab w:val="clear" w:pos="4153"/>
        <w:tab w:val="clear" w:pos="8306"/>
      </w:tabs>
      <w:ind w:right="-9"/>
      <w:jc w:val="center"/>
      <w:rPr>
        <w:rFonts w:asciiTheme="minorEastAsia" w:hAnsiTheme="minorEastAsia"/>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Bdr>
                              <w:top w:val="single" w:color="000000" w:themeColor="text1" w:sz="4" w:space="1"/>
                            </w:pBdr>
                            <w:tabs>
                              <w:tab w:val="clear" w:pos="4153"/>
                              <w:tab w:val="clear" w:pos="8306"/>
                            </w:tabs>
                            <w:ind w:right="-9"/>
                            <w:jc w:val="cente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28</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pBdr>
                        <w:top w:val="single" w:color="000000" w:themeColor="text1" w:sz="4" w:space="1"/>
                      </w:pBdr>
                      <w:tabs>
                        <w:tab w:val="clear" w:pos="4153"/>
                        <w:tab w:val="clear" w:pos="8306"/>
                      </w:tabs>
                      <w:ind w:right="-9"/>
                      <w:jc w:val="cente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28</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000000" w:themeColor="text1" w:sz="0" w:space="1"/>
      </w:pBdr>
      <w:tabs>
        <w:tab w:val="clear" w:pos="4153"/>
      </w:tabs>
      <w:jc w:val="left"/>
      <w:rPr>
        <w:rFonts w:hint="default"/>
        <w:b/>
        <w:lang w:val="en-US"/>
      </w:rPr>
    </w:pPr>
    <w:r>
      <w:rPr>
        <w:rFonts w:hint="eastAsia"/>
        <w:b/>
      </w:rPr>
      <w:t>项目名称</w:t>
    </w:r>
    <w:r>
      <w:rPr>
        <w:rFonts w:hint="eastAsia" w:asciiTheme="minorEastAsia" w:hAnsiTheme="minorEastAsia"/>
        <w:b/>
      </w:rPr>
      <w:t xml:space="preserve">： </w:t>
    </w:r>
    <w:r>
      <w:rPr>
        <w:rFonts w:hint="eastAsia" w:asciiTheme="minorEastAsia" w:hAnsiTheme="minorEastAsia"/>
        <w:b/>
        <w:u w:val="single"/>
      </w:rPr>
      <w:t xml:space="preserve"> </w:t>
    </w:r>
    <w:r>
      <w:rPr>
        <w:rFonts w:hint="eastAsia" w:asciiTheme="minorEastAsia" w:hAnsiTheme="minorEastAsia" w:cstheme="minorEastAsia"/>
        <w:b/>
        <w:bCs w:val="0"/>
        <w:color w:val="000000" w:themeColor="text1"/>
        <w:sz w:val="18"/>
        <w:szCs w:val="18"/>
        <w:u w:val="single"/>
        <w:lang w:eastAsia="zh-CN"/>
        <w14:textFill>
          <w14:solidFill>
            <w14:schemeClr w14:val="tx1"/>
          </w14:solidFill>
        </w14:textFill>
      </w:rPr>
      <w:t>阳新县公安局</w:t>
    </w:r>
    <w:r>
      <w:rPr>
        <w:rFonts w:hint="eastAsia" w:asciiTheme="minorEastAsia" w:hAnsiTheme="minorEastAsia" w:cstheme="minorEastAsia"/>
        <w:b/>
        <w:bCs w:val="0"/>
        <w:color w:val="000000" w:themeColor="text1"/>
        <w:sz w:val="18"/>
        <w:szCs w:val="18"/>
        <w:u w:val="single"/>
        <w:lang w:val="en-US" w:eastAsia="zh-CN"/>
        <w14:textFill>
          <w14:solidFill>
            <w14:schemeClr w14:val="tx1"/>
          </w14:solidFill>
        </w14:textFill>
      </w:rPr>
      <w:t>DNA</w:t>
    </w:r>
    <w:r>
      <w:rPr>
        <w:rFonts w:hint="eastAsia" w:asciiTheme="minorEastAsia" w:hAnsiTheme="minorEastAsia" w:cstheme="minorEastAsia"/>
        <w:b/>
        <w:bCs w:val="0"/>
        <w:color w:val="000000" w:themeColor="text1"/>
        <w:sz w:val="18"/>
        <w:szCs w:val="18"/>
        <w:u w:val="single"/>
        <w:lang w:eastAsia="zh-CN"/>
        <w14:textFill>
          <w14:solidFill>
            <w14:schemeClr w14:val="tx1"/>
          </w14:solidFill>
        </w14:textFill>
      </w:rPr>
      <w:t>实验</w:t>
    </w:r>
    <w:r>
      <w:rPr>
        <w:rFonts w:hint="eastAsia" w:asciiTheme="minorEastAsia" w:hAnsiTheme="minorEastAsia" w:cstheme="minorEastAsia"/>
        <w:b/>
        <w:bCs w:val="0"/>
        <w:color w:val="000000" w:themeColor="text1"/>
        <w:sz w:val="18"/>
        <w:szCs w:val="18"/>
        <w:u w:val="single"/>
        <w:lang w:val="en-US" w:eastAsia="zh-CN"/>
        <w14:textFill>
          <w14:solidFill>
            <w14:schemeClr w14:val="tx1"/>
          </w14:solidFill>
        </w14:textFill>
      </w:rPr>
      <w:t>室建设工程采购项目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D88A12"/>
    <w:multiLevelType w:val="singleLevel"/>
    <w:tmpl w:val="ACD88A12"/>
    <w:lvl w:ilvl="0" w:tentative="0">
      <w:start w:val="1"/>
      <w:numFmt w:val="decimal"/>
      <w:suff w:val="nothing"/>
      <w:lvlText w:val="%1、"/>
      <w:lvlJc w:val="left"/>
    </w:lvl>
  </w:abstractNum>
  <w:abstractNum w:abstractNumId="1">
    <w:nsid w:val="BF3D0EF1"/>
    <w:multiLevelType w:val="singleLevel"/>
    <w:tmpl w:val="BF3D0EF1"/>
    <w:lvl w:ilvl="0" w:tentative="0">
      <w:start w:val="3"/>
      <w:numFmt w:val="chineseCounting"/>
      <w:suff w:val="nothing"/>
      <w:lvlText w:val="%1、"/>
      <w:lvlJc w:val="left"/>
      <w:rPr>
        <w:rFonts w:hint="eastAsia"/>
      </w:rPr>
    </w:lvl>
  </w:abstractNum>
  <w:abstractNum w:abstractNumId="2">
    <w:nsid w:val="00000006"/>
    <w:multiLevelType w:val="multilevel"/>
    <w:tmpl w:val="00000006"/>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1BC443A"/>
    <w:multiLevelType w:val="multilevel"/>
    <w:tmpl w:val="01BC443A"/>
    <w:lvl w:ilvl="0" w:tentative="0">
      <w:start w:val="1"/>
      <w:numFmt w:val="chineseCountingThousand"/>
      <w:lvlText w:val="%1、"/>
      <w:lvlJc w:val="left"/>
      <w:pPr>
        <w:ind w:left="420" w:hanging="420"/>
      </w:pPr>
      <w:rPr>
        <w:rFonts w:hint="default" w:ascii="宋体" w:hAnsi="宋体" w:eastAsia="宋体"/>
        <w:b/>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9">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2">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5">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6">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8">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251F49FC"/>
    <w:multiLevelType w:val="multilevel"/>
    <w:tmpl w:val="251F49F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0">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1">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2">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3">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5">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6">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7">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0">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7">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8">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0">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3">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6">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57">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0">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0"/>
  </w:num>
  <w:num w:numId="2">
    <w:abstractNumId w:val="5"/>
  </w:num>
  <w:num w:numId="3">
    <w:abstractNumId w:val="19"/>
  </w:num>
  <w:num w:numId="4">
    <w:abstractNumId w:val="29"/>
  </w:num>
  <w:num w:numId="5">
    <w:abstractNumId w:val="43"/>
  </w:num>
  <w:num w:numId="6">
    <w:abstractNumId w:val="6"/>
  </w:num>
  <w:num w:numId="7">
    <w:abstractNumId w:val="37"/>
  </w:num>
  <w:num w:numId="8">
    <w:abstractNumId w:val="16"/>
  </w:num>
  <w:num w:numId="9">
    <w:abstractNumId w:val="9"/>
  </w:num>
  <w:num w:numId="10">
    <w:abstractNumId w:val="49"/>
  </w:num>
  <w:num w:numId="11">
    <w:abstractNumId w:val="31"/>
  </w:num>
  <w:num w:numId="12">
    <w:abstractNumId w:val="46"/>
  </w:num>
  <w:num w:numId="13">
    <w:abstractNumId w:val="28"/>
  </w:num>
  <w:num w:numId="14">
    <w:abstractNumId w:val="8"/>
  </w:num>
  <w:num w:numId="15">
    <w:abstractNumId w:val="23"/>
  </w:num>
  <w:num w:numId="16">
    <w:abstractNumId w:val="24"/>
  </w:num>
  <w:num w:numId="17">
    <w:abstractNumId w:val="11"/>
  </w:num>
  <w:num w:numId="18">
    <w:abstractNumId w:val="57"/>
  </w:num>
  <w:num w:numId="19">
    <w:abstractNumId w:val="12"/>
  </w:num>
  <w:num w:numId="20">
    <w:abstractNumId w:val="27"/>
  </w:num>
  <w:num w:numId="21">
    <w:abstractNumId w:val="33"/>
  </w:num>
  <w:num w:numId="22">
    <w:abstractNumId w:val="36"/>
  </w:num>
  <w:num w:numId="23">
    <w:abstractNumId w:val="60"/>
  </w:num>
  <w:num w:numId="24">
    <w:abstractNumId w:val="44"/>
  </w:num>
  <w:num w:numId="25">
    <w:abstractNumId w:val="53"/>
  </w:num>
  <w:num w:numId="26">
    <w:abstractNumId w:val="58"/>
  </w:num>
  <w:num w:numId="27">
    <w:abstractNumId w:val="42"/>
  </w:num>
  <w:num w:numId="28">
    <w:abstractNumId w:val="10"/>
  </w:num>
  <w:num w:numId="29">
    <w:abstractNumId w:val="21"/>
  </w:num>
  <w:num w:numId="30">
    <w:abstractNumId w:val="54"/>
  </w:num>
  <w:num w:numId="31">
    <w:abstractNumId w:val="50"/>
  </w:num>
  <w:num w:numId="32">
    <w:abstractNumId w:val="35"/>
  </w:num>
  <w:num w:numId="33">
    <w:abstractNumId w:val="48"/>
  </w:num>
  <w:num w:numId="34">
    <w:abstractNumId w:val="25"/>
  </w:num>
  <w:num w:numId="35">
    <w:abstractNumId w:val="51"/>
  </w:num>
  <w:num w:numId="36">
    <w:abstractNumId w:val="4"/>
  </w:num>
  <w:num w:numId="37">
    <w:abstractNumId w:val="2"/>
  </w:num>
  <w:num w:numId="38">
    <w:abstractNumId w:val="1"/>
  </w:num>
  <w:num w:numId="39">
    <w:abstractNumId w:val="45"/>
  </w:num>
  <w:num w:numId="40">
    <w:abstractNumId w:val="26"/>
  </w:num>
  <w:num w:numId="41">
    <w:abstractNumId w:val="41"/>
  </w:num>
  <w:num w:numId="42">
    <w:abstractNumId w:val="30"/>
  </w:num>
  <w:num w:numId="43">
    <w:abstractNumId w:val="38"/>
  </w:num>
  <w:num w:numId="44">
    <w:abstractNumId w:val="32"/>
  </w:num>
  <w:num w:numId="45">
    <w:abstractNumId w:val="18"/>
  </w:num>
  <w:num w:numId="46">
    <w:abstractNumId w:val="47"/>
  </w:num>
  <w:num w:numId="47">
    <w:abstractNumId w:val="61"/>
  </w:num>
  <w:num w:numId="48">
    <w:abstractNumId w:val="20"/>
  </w:num>
  <w:num w:numId="49">
    <w:abstractNumId w:val="17"/>
  </w:num>
  <w:num w:numId="50">
    <w:abstractNumId w:val="3"/>
  </w:num>
  <w:num w:numId="51">
    <w:abstractNumId w:val="15"/>
  </w:num>
  <w:num w:numId="52">
    <w:abstractNumId w:val="59"/>
  </w:num>
  <w:num w:numId="53">
    <w:abstractNumId w:val="0"/>
  </w:num>
  <w:num w:numId="54">
    <w:abstractNumId w:val="52"/>
  </w:num>
  <w:num w:numId="55">
    <w:abstractNumId w:val="39"/>
  </w:num>
  <w:num w:numId="56">
    <w:abstractNumId w:val="14"/>
  </w:num>
  <w:num w:numId="57">
    <w:abstractNumId w:val="22"/>
  </w:num>
  <w:num w:numId="58">
    <w:abstractNumId w:val="55"/>
  </w:num>
  <w:num w:numId="59">
    <w:abstractNumId w:val="34"/>
  </w:num>
  <w:num w:numId="60">
    <w:abstractNumId w:val="56"/>
  </w:num>
  <w:num w:numId="61">
    <w:abstractNumId w:val="13"/>
  </w:num>
  <w:num w:numId="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16562"/>
    <w:rsid w:val="00017BE8"/>
    <w:rsid w:val="00020344"/>
    <w:rsid w:val="00040B72"/>
    <w:rsid w:val="00046CAA"/>
    <w:rsid w:val="000658A4"/>
    <w:rsid w:val="00075213"/>
    <w:rsid w:val="00077E85"/>
    <w:rsid w:val="000812D6"/>
    <w:rsid w:val="00081EFC"/>
    <w:rsid w:val="000855FE"/>
    <w:rsid w:val="00092450"/>
    <w:rsid w:val="00095415"/>
    <w:rsid w:val="000B1EA5"/>
    <w:rsid w:val="000B3053"/>
    <w:rsid w:val="000B42CE"/>
    <w:rsid w:val="000C1DBB"/>
    <w:rsid w:val="000C2224"/>
    <w:rsid w:val="000C46E9"/>
    <w:rsid w:val="000D274B"/>
    <w:rsid w:val="000E0271"/>
    <w:rsid w:val="000E36E2"/>
    <w:rsid w:val="000E39CC"/>
    <w:rsid w:val="000E4686"/>
    <w:rsid w:val="000F64E0"/>
    <w:rsid w:val="00100585"/>
    <w:rsid w:val="00105BC5"/>
    <w:rsid w:val="00122C84"/>
    <w:rsid w:val="00133220"/>
    <w:rsid w:val="001338E8"/>
    <w:rsid w:val="001545D0"/>
    <w:rsid w:val="00156EA3"/>
    <w:rsid w:val="001641C9"/>
    <w:rsid w:val="00177C62"/>
    <w:rsid w:val="00185E9A"/>
    <w:rsid w:val="001A0AB1"/>
    <w:rsid w:val="001A1335"/>
    <w:rsid w:val="001A2B2A"/>
    <w:rsid w:val="001A54E8"/>
    <w:rsid w:val="001B03BB"/>
    <w:rsid w:val="001B38CD"/>
    <w:rsid w:val="001C7B23"/>
    <w:rsid w:val="001D2460"/>
    <w:rsid w:val="001D3EE7"/>
    <w:rsid w:val="001D7598"/>
    <w:rsid w:val="001E157C"/>
    <w:rsid w:val="001E5D69"/>
    <w:rsid w:val="001E7CEA"/>
    <w:rsid w:val="001F002C"/>
    <w:rsid w:val="00220470"/>
    <w:rsid w:val="00222B0D"/>
    <w:rsid w:val="00223408"/>
    <w:rsid w:val="002334D5"/>
    <w:rsid w:val="00236772"/>
    <w:rsid w:val="002426EA"/>
    <w:rsid w:val="002446C6"/>
    <w:rsid w:val="0026342E"/>
    <w:rsid w:val="00276CFD"/>
    <w:rsid w:val="00277541"/>
    <w:rsid w:val="00293211"/>
    <w:rsid w:val="00295F64"/>
    <w:rsid w:val="002B7581"/>
    <w:rsid w:val="002C38E4"/>
    <w:rsid w:val="002C7FA6"/>
    <w:rsid w:val="002D07BB"/>
    <w:rsid w:val="002D412B"/>
    <w:rsid w:val="00310B7E"/>
    <w:rsid w:val="00310F98"/>
    <w:rsid w:val="00314B08"/>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3221"/>
    <w:rsid w:val="00393E94"/>
    <w:rsid w:val="003B0D5A"/>
    <w:rsid w:val="003B4F8E"/>
    <w:rsid w:val="003B718F"/>
    <w:rsid w:val="003B7A0D"/>
    <w:rsid w:val="003C2008"/>
    <w:rsid w:val="003C2241"/>
    <w:rsid w:val="003C6083"/>
    <w:rsid w:val="003D1759"/>
    <w:rsid w:val="003D5E80"/>
    <w:rsid w:val="003F2B92"/>
    <w:rsid w:val="003F3007"/>
    <w:rsid w:val="0040329E"/>
    <w:rsid w:val="0040679C"/>
    <w:rsid w:val="00406BC4"/>
    <w:rsid w:val="004110F8"/>
    <w:rsid w:val="00414A80"/>
    <w:rsid w:val="004161BA"/>
    <w:rsid w:val="004349F3"/>
    <w:rsid w:val="0043503C"/>
    <w:rsid w:val="00436CC2"/>
    <w:rsid w:val="004475F1"/>
    <w:rsid w:val="00457308"/>
    <w:rsid w:val="004605F3"/>
    <w:rsid w:val="00461A6F"/>
    <w:rsid w:val="00461DFE"/>
    <w:rsid w:val="00476E59"/>
    <w:rsid w:val="004871A8"/>
    <w:rsid w:val="004A4F81"/>
    <w:rsid w:val="004B0CC2"/>
    <w:rsid w:val="004B118F"/>
    <w:rsid w:val="004B4BED"/>
    <w:rsid w:val="004C1027"/>
    <w:rsid w:val="004C62F7"/>
    <w:rsid w:val="004C750B"/>
    <w:rsid w:val="004D548F"/>
    <w:rsid w:val="004E00F2"/>
    <w:rsid w:val="004E40B4"/>
    <w:rsid w:val="004E48AF"/>
    <w:rsid w:val="004E5A44"/>
    <w:rsid w:val="004F21F4"/>
    <w:rsid w:val="004F43AD"/>
    <w:rsid w:val="005025B6"/>
    <w:rsid w:val="00511E96"/>
    <w:rsid w:val="005130B9"/>
    <w:rsid w:val="00522A02"/>
    <w:rsid w:val="00522D80"/>
    <w:rsid w:val="00525A93"/>
    <w:rsid w:val="005437D7"/>
    <w:rsid w:val="005445A9"/>
    <w:rsid w:val="00545B0F"/>
    <w:rsid w:val="00545EDA"/>
    <w:rsid w:val="00552BFE"/>
    <w:rsid w:val="00556850"/>
    <w:rsid w:val="00560FA5"/>
    <w:rsid w:val="00573437"/>
    <w:rsid w:val="0057573F"/>
    <w:rsid w:val="00580FFF"/>
    <w:rsid w:val="005813AA"/>
    <w:rsid w:val="005967BA"/>
    <w:rsid w:val="005A58A0"/>
    <w:rsid w:val="005B12FC"/>
    <w:rsid w:val="005B6D3E"/>
    <w:rsid w:val="005B713A"/>
    <w:rsid w:val="005C31D8"/>
    <w:rsid w:val="005D6632"/>
    <w:rsid w:val="005D6D24"/>
    <w:rsid w:val="005E3CD4"/>
    <w:rsid w:val="005F1588"/>
    <w:rsid w:val="005F2449"/>
    <w:rsid w:val="00601112"/>
    <w:rsid w:val="00601990"/>
    <w:rsid w:val="00605C0D"/>
    <w:rsid w:val="00623CBB"/>
    <w:rsid w:val="006302AC"/>
    <w:rsid w:val="006440C5"/>
    <w:rsid w:val="00651541"/>
    <w:rsid w:val="00663B35"/>
    <w:rsid w:val="00666B23"/>
    <w:rsid w:val="0067786F"/>
    <w:rsid w:val="00680A96"/>
    <w:rsid w:val="00690659"/>
    <w:rsid w:val="006A6C1D"/>
    <w:rsid w:val="006A6C51"/>
    <w:rsid w:val="006A7A3D"/>
    <w:rsid w:val="006C0B5F"/>
    <w:rsid w:val="006C0B7B"/>
    <w:rsid w:val="006C0E7F"/>
    <w:rsid w:val="006C1AF1"/>
    <w:rsid w:val="006C6FDC"/>
    <w:rsid w:val="006D1D6E"/>
    <w:rsid w:val="006F0D07"/>
    <w:rsid w:val="007137B9"/>
    <w:rsid w:val="00715E44"/>
    <w:rsid w:val="00722075"/>
    <w:rsid w:val="00723103"/>
    <w:rsid w:val="00725899"/>
    <w:rsid w:val="00725F67"/>
    <w:rsid w:val="007308BA"/>
    <w:rsid w:val="007318D6"/>
    <w:rsid w:val="00732E91"/>
    <w:rsid w:val="00737211"/>
    <w:rsid w:val="0077270B"/>
    <w:rsid w:val="00773A2C"/>
    <w:rsid w:val="00774EB7"/>
    <w:rsid w:val="00775A96"/>
    <w:rsid w:val="00780DBA"/>
    <w:rsid w:val="00782541"/>
    <w:rsid w:val="00784AEB"/>
    <w:rsid w:val="00784ED7"/>
    <w:rsid w:val="00786E84"/>
    <w:rsid w:val="007A27DA"/>
    <w:rsid w:val="007A2D91"/>
    <w:rsid w:val="007A427D"/>
    <w:rsid w:val="007A6F5F"/>
    <w:rsid w:val="007C0DA7"/>
    <w:rsid w:val="007C132C"/>
    <w:rsid w:val="007C1D03"/>
    <w:rsid w:val="007D053D"/>
    <w:rsid w:val="007D72CF"/>
    <w:rsid w:val="007E3D3C"/>
    <w:rsid w:val="007F504A"/>
    <w:rsid w:val="007F6863"/>
    <w:rsid w:val="007F6F97"/>
    <w:rsid w:val="00802536"/>
    <w:rsid w:val="00804419"/>
    <w:rsid w:val="00804DF3"/>
    <w:rsid w:val="0081114F"/>
    <w:rsid w:val="00816910"/>
    <w:rsid w:val="00820E08"/>
    <w:rsid w:val="0082486D"/>
    <w:rsid w:val="008456E3"/>
    <w:rsid w:val="00863EDD"/>
    <w:rsid w:val="00876E59"/>
    <w:rsid w:val="00877211"/>
    <w:rsid w:val="0088586B"/>
    <w:rsid w:val="00886939"/>
    <w:rsid w:val="008879F9"/>
    <w:rsid w:val="008966BE"/>
    <w:rsid w:val="008A30BA"/>
    <w:rsid w:val="008A4B94"/>
    <w:rsid w:val="008B4F32"/>
    <w:rsid w:val="008B5601"/>
    <w:rsid w:val="008B6529"/>
    <w:rsid w:val="008D35F1"/>
    <w:rsid w:val="008D3612"/>
    <w:rsid w:val="008D5777"/>
    <w:rsid w:val="008D7D59"/>
    <w:rsid w:val="008E2203"/>
    <w:rsid w:val="008F1B81"/>
    <w:rsid w:val="008F3383"/>
    <w:rsid w:val="009020C7"/>
    <w:rsid w:val="0090240A"/>
    <w:rsid w:val="00903A2D"/>
    <w:rsid w:val="00907388"/>
    <w:rsid w:val="00914F14"/>
    <w:rsid w:val="00933750"/>
    <w:rsid w:val="00935E05"/>
    <w:rsid w:val="0093723A"/>
    <w:rsid w:val="009402E6"/>
    <w:rsid w:val="00943BAC"/>
    <w:rsid w:val="00943F98"/>
    <w:rsid w:val="00947542"/>
    <w:rsid w:val="00954A2F"/>
    <w:rsid w:val="00956AAC"/>
    <w:rsid w:val="00967D22"/>
    <w:rsid w:val="0097080D"/>
    <w:rsid w:val="009714FE"/>
    <w:rsid w:val="00973398"/>
    <w:rsid w:val="00982AD3"/>
    <w:rsid w:val="009849C0"/>
    <w:rsid w:val="0098774A"/>
    <w:rsid w:val="009944A9"/>
    <w:rsid w:val="00996DEE"/>
    <w:rsid w:val="009B11C0"/>
    <w:rsid w:val="009B3048"/>
    <w:rsid w:val="009B3424"/>
    <w:rsid w:val="009C51EF"/>
    <w:rsid w:val="009D36C0"/>
    <w:rsid w:val="009E04AF"/>
    <w:rsid w:val="009F522E"/>
    <w:rsid w:val="00A05AF5"/>
    <w:rsid w:val="00A0777C"/>
    <w:rsid w:val="00A30AE5"/>
    <w:rsid w:val="00A30DFD"/>
    <w:rsid w:val="00A33A80"/>
    <w:rsid w:val="00A3568F"/>
    <w:rsid w:val="00A36FFA"/>
    <w:rsid w:val="00A40BC9"/>
    <w:rsid w:val="00A46DEF"/>
    <w:rsid w:val="00A51D8F"/>
    <w:rsid w:val="00A52A2B"/>
    <w:rsid w:val="00A62860"/>
    <w:rsid w:val="00A678FB"/>
    <w:rsid w:val="00A813D2"/>
    <w:rsid w:val="00A879DB"/>
    <w:rsid w:val="00AB2B17"/>
    <w:rsid w:val="00AB3343"/>
    <w:rsid w:val="00AB5743"/>
    <w:rsid w:val="00AC399F"/>
    <w:rsid w:val="00AC584B"/>
    <w:rsid w:val="00AD029C"/>
    <w:rsid w:val="00AD18FC"/>
    <w:rsid w:val="00AD1A55"/>
    <w:rsid w:val="00AD52A3"/>
    <w:rsid w:val="00AD634F"/>
    <w:rsid w:val="00AD7568"/>
    <w:rsid w:val="00AE02A5"/>
    <w:rsid w:val="00AF18BF"/>
    <w:rsid w:val="00B002B6"/>
    <w:rsid w:val="00B0070A"/>
    <w:rsid w:val="00B161F2"/>
    <w:rsid w:val="00B20FD9"/>
    <w:rsid w:val="00B36D9B"/>
    <w:rsid w:val="00B52520"/>
    <w:rsid w:val="00B67CCB"/>
    <w:rsid w:val="00B73233"/>
    <w:rsid w:val="00B84A3B"/>
    <w:rsid w:val="00B956F2"/>
    <w:rsid w:val="00BA438A"/>
    <w:rsid w:val="00BA4681"/>
    <w:rsid w:val="00BB78CC"/>
    <w:rsid w:val="00BC386C"/>
    <w:rsid w:val="00BC3AA1"/>
    <w:rsid w:val="00BD0C54"/>
    <w:rsid w:val="00BD2144"/>
    <w:rsid w:val="00BD62C1"/>
    <w:rsid w:val="00BD681B"/>
    <w:rsid w:val="00BE3563"/>
    <w:rsid w:val="00BF5732"/>
    <w:rsid w:val="00C0090E"/>
    <w:rsid w:val="00C0257A"/>
    <w:rsid w:val="00C040D1"/>
    <w:rsid w:val="00C139A6"/>
    <w:rsid w:val="00C1592E"/>
    <w:rsid w:val="00C37FEA"/>
    <w:rsid w:val="00C4038F"/>
    <w:rsid w:val="00C469B0"/>
    <w:rsid w:val="00C52140"/>
    <w:rsid w:val="00C64D3E"/>
    <w:rsid w:val="00C6643D"/>
    <w:rsid w:val="00C6680F"/>
    <w:rsid w:val="00C66ACC"/>
    <w:rsid w:val="00C72415"/>
    <w:rsid w:val="00C77E82"/>
    <w:rsid w:val="00C8468C"/>
    <w:rsid w:val="00C9289E"/>
    <w:rsid w:val="00C92F51"/>
    <w:rsid w:val="00CA0EE5"/>
    <w:rsid w:val="00CA0F95"/>
    <w:rsid w:val="00CB10F9"/>
    <w:rsid w:val="00CB3DF8"/>
    <w:rsid w:val="00CB413B"/>
    <w:rsid w:val="00CF76A5"/>
    <w:rsid w:val="00D123DC"/>
    <w:rsid w:val="00D14987"/>
    <w:rsid w:val="00D14E3A"/>
    <w:rsid w:val="00D204F5"/>
    <w:rsid w:val="00D32F66"/>
    <w:rsid w:val="00D5042D"/>
    <w:rsid w:val="00D63B74"/>
    <w:rsid w:val="00D64AB9"/>
    <w:rsid w:val="00D7177A"/>
    <w:rsid w:val="00D90694"/>
    <w:rsid w:val="00D9318A"/>
    <w:rsid w:val="00D94CD4"/>
    <w:rsid w:val="00DA4143"/>
    <w:rsid w:val="00DB00B6"/>
    <w:rsid w:val="00DB3C8A"/>
    <w:rsid w:val="00DC4938"/>
    <w:rsid w:val="00DD3AD9"/>
    <w:rsid w:val="00DD6657"/>
    <w:rsid w:val="00DE4A9E"/>
    <w:rsid w:val="00E02B75"/>
    <w:rsid w:val="00E05B42"/>
    <w:rsid w:val="00E14D3C"/>
    <w:rsid w:val="00E15A50"/>
    <w:rsid w:val="00E22388"/>
    <w:rsid w:val="00E2369D"/>
    <w:rsid w:val="00E32C21"/>
    <w:rsid w:val="00E34D2C"/>
    <w:rsid w:val="00E3763E"/>
    <w:rsid w:val="00E41743"/>
    <w:rsid w:val="00E46441"/>
    <w:rsid w:val="00E54453"/>
    <w:rsid w:val="00E54FFA"/>
    <w:rsid w:val="00E71EB0"/>
    <w:rsid w:val="00E971BC"/>
    <w:rsid w:val="00EA0C6D"/>
    <w:rsid w:val="00EB1E3A"/>
    <w:rsid w:val="00EB4033"/>
    <w:rsid w:val="00ED0545"/>
    <w:rsid w:val="00EE3C83"/>
    <w:rsid w:val="00EE715C"/>
    <w:rsid w:val="00F04B4C"/>
    <w:rsid w:val="00F05FC4"/>
    <w:rsid w:val="00F152FA"/>
    <w:rsid w:val="00F17360"/>
    <w:rsid w:val="00F242DA"/>
    <w:rsid w:val="00F24BF3"/>
    <w:rsid w:val="00F30B5D"/>
    <w:rsid w:val="00F42684"/>
    <w:rsid w:val="00F47226"/>
    <w:rsid w:val="00F5567D"/>
    <w:rsid w:val="00F63420"/>
    <w:rsid w:val="00F71D83"/>
    <w:rsid w:val="00FB2B31"/>
    <w:rsid w:val="00FC2E73"/>
    <w:rsid w:val="00FD44A8"/>
    <w:rsid w:val="00FE2024"/>
    <w:rsid w:val="00FE51C1"/>
    <w:rsid w:val="00FF4FBA"/>
    <w:rsid w:val="00FF6E00"/>
    <w:rsid w:val="012D7962"/>
    <w:rsid w:val="018363D0"/>
    <w:rsid w:val="018972FF"/>
    <w:rsid w:val="01B72388"/>
    <w:rsid w:val="02A07873"/>
    <w:rsid w:val="02E522BB"/>
    <w:rsid w:val="04E72F18"/>
    <w:rsid w:val="050B006E"/>
    <w:rsid w:val="05F93A3C"/>
    <w:rsid w:val="070A7F7A"/>
    <w:rsid w:val="07694D6D"/>
    <w:rsid w:val="08921F73"/>
    <w:rsid w:val="0A4C63E3"/>
    <w:rsid w:val="0B6A5862"/>
    <w:rsid w:val="0BAA19FC"/>
    <w:rsid w:val="0F0B64FC"/>
    <w:rsid w:val="0F252B65"/>
    <w:rsid w:val="10A30F52"/>
    <w:rsid w:val="10D96975"/>
    <w:rsid w:val="1141553F"/>
    <w:rsid w:val="11923040"/>
    <w:rsid w:val="137B167F"/>
    <w:rsid w:val="14966149"/>
    <w:rsid w:val="159A33B0"/>
    <w:rsid w:val="15A300C5"/>
    <w:rsid w:val="163B44C7"/>
    <w:rsid w:val="17C17D01"/>
    <w:rsid w:val="1B613E58"/>
    <w:rsid w:val="1C844CF0"/>
    <w:rsid w:val="1CC57AE8"/>
    <w:rsid w:val="1DE53A01"/>
    <w:rsid w:val="1E0235C9"/>
    <w:rsid w:val="1EE67DF4"/>
    <w:rsid w:val="1F2A33C6"/>
    <w:rsid w:val="1F413811"/>
    <w:rsid w:val="1F5D39B2"/>
    <w:rsid w:val="215D175B"/>
    <w:rsid w:val="22532669"/>
    <w:rsid w:val="23046B3E"/>
    <w:rsid w:val="230763C9"/>
    <w:rsid w:val="23B11282"/>
    <w:rsid w:val="243D1ECA"/>
    <w:rsid w:val="25102575"/>
    <w:rsid w:val="25DE14DE"/>
    <w:rsid w:val="26F855C1"/>
    <w:rsid w:val="2768453E"/>
    <w:rsid w:val="27E77FD4"/>
    <w:rsid w:val="280D28FB"/>
    <w:rsid w:val="2890244C"/>
    <w:rsid w:val="28D456DB"/>
    <w:rsid w:val="2B7605CD"/>
    <w:rsid w:val="2B9D2441"/>
    <w:rsid w:val="2C5D5F31"/>
    <w:rsid w:val="2D5A3640"/>
    <w:rsid w:val="2EDC6154"/>
    <w:rsid w:val="2EFC2922"/>
    <w:rsid w:val="2F3618B8"/>
    <w:rsid w:val="31112DCF"/>
    <w:rsid w:val="31614F93"/>
    <w:rsid w:val="339972F1"/>
    <w:rsid w:val="347F703E"/>
    <w:rsid w:val="34F56280"/>
    <w:rsid w:val="350C4B48"/>
    <w:rsid w:val="35141FB8"/>
    <w:rsid w:val="377A05B5"/>
    <w:rsid w:val="384D34A1"/>
    <w:rsid w:val="38B42DE0"/>
    <w:rsid w:val="3A7910CF"/>
    <w:rsid w:val="3C56239B"/>
    <w:rsid w:val="3DC42E0B"/>
    <w:rsid w:val="3ED94AF2"/>
    <w:rsid w:val="3EF85426"/>
    <w:rsid w:val="3F19295E"/>
    <w:rsid w:val="3FB97790"/>
    <w:rsid w:val="41C32F69"/>
    <w:rsid w:val="42E23D0A"/>
    <w:rsid w:val="43453BA3"/>
    <w:rsid w:val="43E93F8A"/>
    <w:rsid w:val="447D1039"/>
    <w:rsid w:val="44907FC6"/>
    <w:rsid w:val="458E3500"/>
    <w:rsid w:val="46594F38"/>
    <w:rsid w:val="493975D9"/>
    <w:rsid w:val="49442676"/>
    <w:rsid w:val="4A7E028D"/>
    <w:rsid w:val="4A9D3C9C"/>
    <w:rsid w:val="4C3B2010"/>
    <w:rsid w:val="4C711B45"/>
    <w:rsid w:val="4CC91B32"/>
    <w:rsid w:val="4D512B15"/>
    <w:rsid w:val="4DC7103E"/>
    <w:rsid w:val="4DCB575A"/>
    <w:rsid w:val="4E677F1D"/>
    <w:rsid w:val="4EA40FC6"/>
    <w:rsid w:val="4F766DC2"/>
    <w:rsid w:val="50DE1606"/>
    <w:rsid w:val="51974978"/>
    <w:rsid w:val="54022C2E"/>
    <w:rsid w:val="55240888"/>
    <w:rsid w:val="55332380"/>
    <w:rsid w:val="561F76E6"/>
    <w:rsid w:val="57A416CE"/>
    <w:rsid w:val="57A44478"/>
    <w:rsid w:val="591955CE"/>
    <w:rsid w:val="5BAF4257"/>
    <w:rsid w:val="5D6F3A7E"/>
    <w:rsid w:val="5F01496B"/>
    <w:rsid w:val="5F1F21DD"/>
    <w:rsid w:val="611B2D12"/>
    <w:rsid w:val="611D2E9A"/>
    <w:rsid w:val="627764B0"/>
    <w:rsid w:val="62A93558"/>
    <w:rsid w:val="62BA53EE"/>
    <w:rsid w:val="63604C7F"/>
    <w:rsid w:val="645515B6"/>
    <w:rsid w:val="6460280C"/>
    <w:rsid w:val="64DD524F"/>
    <w:rsid w:val="662C5880"/>
    <w:rsid w:val="663A275D"/>
    <w:rsid w:val="67577F6B"/>
    <w:rsid w:val="69C530BD"/>
    <w:rsid w:val="69C72D38"/>
    <w:rsid w:val="6A8F0B72"/>
    <w:rsid w:val="6AD1573B"/>
    <w:rsid w:val="6B0276FC"/>
    <w:rsid w:val="6C55245B"/>
    <w:rsid w:val="6CB31C4B"/>
    <w:rsid w:val="6D1E19C3"/>
    <w:rsid w:val="6E726A6E"/>
    <w:rsid w:val="6FDA45DC"/>
    <w:rsid w:val="70045EEA"/>
    <w:rsid w:val="70501580"/>
    <w:rsid w:val="70E47A83"/>
    <w:rsid w:val="720D4679"/>
    <w:rsid w:val="733D522B"/>
    <w:rsid w:val="74092DF4"/>
    <w:rsid w:val="74695778"/>
    <w:rsid w:val="76383684"/>
    <w:rsid w:val="77604600"/>
    <w:rsid w:val="77665886"/>
    <w:rsid w:val="78704687"/>
    <w:rsid w:val="78C617E4"/>
    <w:rsid w:val="79506FD2"/>
    <w:rsid w:val="7A6947D7"/>
    <w:rsid w:val="7B831C6D"/>
    <w:rsid w:val="7B8D059C"/>
    <w:rsid w:val="7D883202"/>
    <w:rsid w:val="7DD028FD"/>
    <w:rsid w:val="7DDD069B"/>
    <w:rsid w:val="7E2F52F9"/>
    <w:rsid w:val="7EFA3E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line="440" w:lineRule="exact"/>
      <w:jc w:val="left"/>
    </w:pPr>
    <w:rPr>
      <w:rFonts w:eastAsia="黑体"/>
      <w:b/>
      <w:kern w:val="0"/>
      <w:sz w:val="28"/>
    </w:rPr>
  </w:style>
  <w:style w:type="paragraph" w:styleId="5">
    <w:name w:val="Normal Indent"/>
    <w:basedOn w:val="1"/>
    <w:link w:val="36"/>
    <w:qFormat/>
    <w:uiPriority w:val="0"/>
    <w:pPr>
      <w:ind w:firstLine="420"/>
    </w:pPr>
  </w:style>
  <w:style w:type="paragraph" w:styleId="6">
    <w:name w:val="annotation text"/>
    <w:basedOn w:val="1"/>
    <w:link w:val="30"/>
    <w:unhideWhenUsed/>
    <w:qFormat/>
    <w:uiPriority w:val="99"/>
    <w:pPr>
      <w:jc w:val="left"/>
    </w:p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Plain Text"/>
    <w:basedOn w:val="1"/>
    <w:link w:val="33"/>
    <w:qFormat/>
    <w:uiPriority w:val="0"/>
    <w:rPr>
      <w:rFonts w:ascii="宋体" w:hAnsi="Courier New" w:cs="Courier New"/>
      <w:szCs w:val="21"/>
    </w:rPr>
  </w:style>
  <w:style w:type="paragraph" w:styleId="9">
    <w:name w:val="endnote text"/>
    <w:basedOn w:val="1"/>
    <w:link w:val="32"/>
    <w:unhideWhenUsed/>
    <w:qFormat/>
    <w:uiPriority w:val="99"/>
    <w:pPr>
      <w:snapToGrid w:val="0"/>
      <w:jc w:val="left"/>
    </w:pPr>
  </w:style>
  <w:style w:type="paragraph" w:styleId="10">
    <w:name w:val="Balloon Text"/>
    <w:basedOn w:val="1"/>
    <w:link w:val="26"/>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4"/>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4">
    <w:name w:val="引用1"/>
    <w:basedOn w:val="1"/>
    <w:next w:val="1"/>
    <w:link w:val="35"/>
    <w:qFormat/>
    <w:uiPriority w:val="29"/>
    <w:rPr>
      <w:i/>
      <w:iCs/>
      <w:color w:val="000000" w:themeColor="text1"/>
      <w14:textFill>
        <w14:solidFill>
          <w14:schemeClr w14:val="tx1"/>
        </w14:solidFill>
      </w14:textFill>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6"/>
    <w:next w:val="6"/>
    <w:link w:val="37"/>
    <w:unhideWhenUsed/>
    <w:qFormat/>
    <w:uiPriority w:val="99"/>
    <w:rPr>
      <w:b/>
      <w:bC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rPr>
  </w:style>
  <w:style w:type="character" w:styleId="21">
    <w:name w:val="endnote reference"/>
    <w:basedOn w:val="19"/>
    <w:unhideWhenUsed/>
    <w:qFormat/>
    <w:uiPriority w:val="99"/>
    <w:rPr>
      <w:vertAlign w:val="superscript"/>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qFormat/>
    <w:uiPriority w:val="99"/>
    <w:rPr>
      <w:sz w:val="21"/>
    </w:rPr>
  </w:style>
  <w:style w:type="character" w:customStyle="1" w:styleId="24">
    <w:name w:val="页眉 Char"/>
    <w:basedOn w:val="19"/>
    <w:link w:val="12"/>
    <w:qFormat/>
    <w:uiPriority w:val="99"/>
    <w:rPr>
      <w:sz w:val="18"/>
      <w:szCs w:val="18"/>
    </w:rPr>
  </w:style>
  <w:style w:type="character" w:customStyle="1" w:styleId="25">
    <w:name w:val="页脚 Char"/>
    <w:basedOn w:val="19"/>
    <w:link w:val="11"/>
    <w:qFormat/>
    <w:uiPriority w:val="99"/>
    <w:rPr>
      <w:sz w:val="18"/>
      <w:szCs w:val="18"/>
    </w:rPr>
  </w:style>
  <w:style w:type="character" w:customStyle="1" w:styleId="26">
    <w:name w:val="批注框文本 Char"/>
    <w:basedOn w:val="19"/>
    <w:link w:val="10"/>
    <w:semiHidden/>
    <w:qFormat/>
    <w:uiPriority w:val="99"/>
    <w:rPr>
      <w:sz w:val="18"/>
      <w:szCs w:val="18"/>
    </w:rPr>
  </w:style>
  <w:style w:type="paragraph" w:customStyle="1" w:styleId="27">
    <w:name w:val="列出段落1"/>
    <w:basedOn w:val="1"/>
    <w:qFormat/>
    <w:uiPriority w:val="34"/>
    <w:pPr>
      <w:ind w:firstLine="420" w:firstLineChars="200"/>
    </w:pPr>
  </w:style>
  <w:style w:type="character" w:customStyle="1" w:styleId="28">
    <w:name w:val="标题 1 Char"/>
    <w:basedOn w:val="19"/>
    <w:link w:val="3"/>
    <w:qFormat/>
    <w:uiPriority w:val="9"/>
    <w:rPr>
      <w:b/>
      <w:bCs/>
      <w:kern w:val="44"/>
      <w:sz w:val="44"/>
      <w:szCs w:val="44"/>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文字 Char"/>
    <w:basedOn w:val="19"/>
    <w:link w:val="6"/>
    <w:qFormat/>
    <w:uiPriority w:val="99"/>
  </w:style>
  <w:style w:type="character" w:customStyle="1" w:styleId="31">
    <w:name w:val="标题 2 Char"/>
    <w:basedOn w:val="19"/>
    <w:link w:val="4"/>
    <w:qFormat/>
    <w:uiPriority w:val="9"/>
    <w:rPr>
      <w:rFonts w:asciiTheme="majorHAnsi" w:hAnsiTheme="majorHAnsi" w:eastAsiaTheme="majorEastAsia" w:cstheme="majorBidi"/>
      <w:b/>
      <w:bCs/>
      <w:sz w:val="32"/>
      <w:szCs w:val="32"/>
    </w:rPr>
  </w:style>
  <w:style w:type="character" w:customStyle="1" w:styleId="32">
    <w:name w:val="尾注文本 Char"/>
    <w:basedOn w:val="19"/>
    <w:link w:val="9"/>
    <w:semiHidden/>
    <w:qFormat/>
    <w:uiPriority w:val="99"/>
  </w:style>
  <w:style w:type="character" w:customStyle="1" w:styleId="33">
    <w:name w:val="纯文本 Char"/>
    <w:link w:val="8"/>
    <w:qFormat/>
    <w:uiPriority w:val="0"/>
    <w:rPr>
      <w:rFonts w:ascii="宋体" w:hAnsi="Courier New" w:cs="Courier New"/>
      <w:szCs w:val="21"/>
    </w:rPr>
  </w:style>
  <w:style w:type="character" w:customStyle="1" w:styleId="34">
    <w:name w:val="纯文本 Char1"/>
    <w:basedOn w:val="19"/>
    <w:semiHidden/>
    <w:qFormat/>
    <w:uiPriority w:val="99"/>
    <w:rPr>
      <w:rFonts w:ascii="宋体" w:hAnsi="Courier New" w:eastAsia="宋体" w:cs="Courier New"/>
      <w:szCs w:val="21"/>
    </w:rPr>
  </w:style>
  <w:style w:type="character" w:customStyle="1" w:styleId="35">
    <w:name w:val="引用 Char"/>
    <w:basedOn w:val="19"/>
    <w:link w:val="14"/>
    <w:qFormat/>
    <w:uiPriority w:val="29"/>
    <w:rPr>
      <w:i/>
      <w:iCs/>
      <w:color w:val="000000" w:themeColor="text1"/>
      <w14:textFill>
        <w14:solidFill>
          <w14:schemeClr w14:val="tx1"/>
        </w14:solidFill>
      </w14:textFill>
    </w:rPr>
  </w:style>
  <w:style w:type="character" w:customStyle="1" w:styleId="36">
    <w:name w:val="正文缩进 Char"/>
    <w:link w:val="5"/>
    <w:qFormat/>
    <w:uiPriority w:val="0"/>
  </w:style>
  <w:style w:type="character" w:customStyle="1" w:styleId="37">
    <w:name w:val="批注主题 Char"/>
    <w:basedOn w:val="30"/>
    <w:link w:val="16"/>
    <w:semiHidden/>
    <w:qFormat/>
    <w:uiPriority w:val="99"/>
    <w:rPr>
      <w:b/>
      <w:bCs/>
    </w:rPr>
  </w:style>
  <w:style w:type="paragraph" w:styleId="38">
    <w:name w:val="List Paragraph"/>
    <w:basedOn w:val="1"/>
    <w:unhideWhenUsed/>
    <w:qFormat/>
    <w:uiPriority w:val="99"/>
    <w:pPr>
      <w:ind w:firstLine="420" w:firstLineChars="200"/>
    </w:pPr>
  </w:style>
  <w:style w:type="paragraph" w:customStyle="1" w:styleId="39">
    <w:name w:val="列出段落3"/>
    <w:basedOn w:val="1"/>
    <w:qFormat/>
    <w:uiPriority w:val="0"/>
    <w:pPr>
      <w:ind w:firstLine="420" w:firstLineChars="200"/>
    </w:pPr>
  </w:style>
  <w:style w:type="character" w:customStyle="1" w:styleId="40">
    <w:name w:val="font5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2B2007-8F8E-4E01-B664-C8BADE52663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4918</Words>
  <Characters>28038</Characters>
  <Lines>233</Lines>
  <Paragraphs>65</Paragraphs>
  <TotalTime>1</TotalTime>
  <ScaleCrop>false</ScaleCrop>
  <LinksUpToDate>false</LinksUpToDate>
  <CharactersWithSpaces>32891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502-2</dc:creator>
  <cp:lastModifiedBy>章佳</cp:lastModifiedBy>
  <cp:lastPrinted>2019-11-12T07:33:00Z</cp:lastPrinted>
  <dcterms:modified xsi:type="dcterms:W3CDTF">2019-11-13T06:58:45Z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