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</w:rPr>
      </w:pPr>
      <w:bookmarkStart w:id="2" w:name="_GoBack"/>
      <w:bookmarkEnd w:id="2"/>
      <w:r>
        <w:rPr>
          <w:rFonts w:hint="eastAsia"/>
          <w:b/>
          <w:bCs/>
          <w:sz w:val="24"/>
        </w:rPr>
        <w:t>附件1：</w:t>
      </w:r>
    </w:p>
    <w:p>
      <w:pPr>
        <w:spacing w:line="360" w:lineRule="auto"/>
        <w:jc w:val="center"/>
        <w:rPr>
          <w:rStyle w:val="5"/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三维微波治疗仪技术参数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一、产品特点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1、具有可间断照射的间歇模式：此装备可在患部断断续续地照射微波，和原来的连续模式相比，即使平均功率一样，但能进行峰值功率更高的照射。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2、具有锁定功能：采用了防止因不小心而产生误操作的锁定功能。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3、在支架上采用了新的制动装置，可对患者进行准确的定位治疗。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★4、具有三维空间照射（3D模式）：在间歇模式的基础上增加了三维空间照射（3D模式）的标准装置；三维模式是指用2个探头对患部同时进行微波照射。MT3D中采用了可避免因输出的相互影响而产生热点的安全装置。连续模式或间歇模式都可实施2个探头的同时照射。通过三维照射可获得治疗效率的提高。通过反相位照射可避免形成热点。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二、主要技术参数：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1、输出功率：200W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2、微波发射装置：圆形（直径17cm）和鞍形(长42cm,宽12cm)两种，可任意选择；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★3、微波照射方式 ≥3种 ：连续模式、间歇模式、3D模式（三维空间照射）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4、微波波长：12.24cm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5、微波频率：2450±50MHz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★6、、安全装置：安全功率输出保护装置，防止伤害性电波泄漏装置、自动断电保护装置。7、主机与输出线具有很好的屏蔽性,无微波泄漏;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8、微波输出通道：独立2通道输出，可同时治疗2个病人；</w:t>
      </w:r>
    </w:p>
    <w:p>
      <w:pPr>
        <w:spacing w:line="360" w:lineRule="exact"/>
        <w:jc w:val="lef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9、时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</w:rPr>
        <w:t>间、地点要求</w:t>
      </w:r>
    </w:p>
    <w:p>
      <w:pPr>
        <w:spacing w:line="36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（1）供货时间：合同签订后15个日历天内。</w:t>
      </w:r>
    </w:p>
    <w:p>
      <w:pPr>
        <w:spacing w:line="36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（2）供货地点：院方指定地点</w:t>
      </w:r>
    </w:p>
    <w:p>
      <w:pPr>
        <w:spacing w:line="360" w:lineRule="exact"/>
        <w:ind w:firstLine="236" w:firstLineChars="98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（3）质保期：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两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年</w:t>
      </w:r>
    </w:p>
    <w:p>
      <w:pPr>
        <w:adjustRightInd w:val="0"/>
        <w:snapToGrid w:val="0"/>
        <w:spacing w:line="360" w:lineRule="auto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（4）付款方式：验收合格后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凭发票一个月内首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60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%，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满一年支付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30%，余款质保期满付清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。维护保修质保期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个月，如果发生质量问题，必须免费维护或更换，其响应时间不得大于24小时。</w:t>
      </w:r>
    </w:p>
    <w:p>
      <w:pPr>
        <w:spacing w:line="360" w:lineRule="exact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5、带★号技术指标一项不满足属不响应采购文件，非带★号技术指标一项不满足加价2%参与评审。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多功能康复牵引床技术参数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技术参数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1、交流220V±10V，50Hz  输入功率≤150W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2、腰椎牵引力0—99kg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 xml:space="preserve">3、牵引距离0~250mm  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4、时间0—99分钟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功能特点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1、低噪音直流电机，微电脑控制。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 xml:space="preserve">★2、数字显示、按键输入，牵引力任意赋值，即可微电脑控制，又可电动操作，且可进行手动操作牵引 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 xml:space="preserve">★3、电动,微机牵引均可进行力量显示 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4、既可持续牵引又可间歇牵引且可进行动态牵引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5、绑带固定在床面，使用更方便</w:t>
      </w:r>
    </w:p>
    <w:p>
      <w:pPr>
        <w:spacing w:line="44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6、床面移动采用轴承式设计，受力更均匀，设备使用寿命增加。</w:t>
      </w:r>
    </w:p>
    <w:p>
      <w:pPr>
        <w:spacing w:line="360" w:lineRule="exact"/>
        <w:jc w:val="lef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7、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0"/>
        </w:rPr>
        <w:t>时间、地点要求</w:t>
      </w:r>
    </w:p>
    <w:p>
      <w:pPr>
        <w:spacing w:line="36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（1）供货时间：合同签订后15个日历天内。</w:t>
      </w:r>
    </w:p>
    <w:p>
      <w:pPr>
        <w:spacing w:line="36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（2）供货地点：院方指定地点</w:t>
      </w:r>
    </w:p>
    <w:p>
      <w:pPr>
        <w:spacing w:line="360" w:lineRule="exact"/>
        <w:ind w:firstLine="236" w:firstLineChars="98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（3）质保期：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两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年</w:t>
      </w:r>
    </w:p>
    <w:p>
      <w:pPr>
        <w:adjustRightInd w:val="0"/>
        <w:snapToGrid w:val="0"/>
        <w:spacing w:line="360" w:lineRule="auto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（4）付款方式：验收合格后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凭发票一个月内首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60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%，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满一年支付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30%，余款质保期满付清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。维护保修质保期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个月，如果发生质量问题，必须免费维护或更换，其响应时间不得大于24小时。</w:t>
      </w:r>
    </w:p>
    <w:p>
      <w:pPr>
        <w:spacing w:line="360" w:lineRule="exact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5、带★号技术指标一项不满足属不响应采购文件，非带★号技术指标一项不满足加价2%参与评审。</w:t>
      </w:r>
    </w:p>
    <w:p>
      <w:pPr>
        <w:pStyle w:val="2"/>
        <w:spacing w:line="380" w:lineRule="exact"/>
        <w:rPr>
          <w:rFonts w:hint="eastAsia" w:ascii="Calibri" w:hAnsi="Calibri"/>
        </w:rPr>
      </w:pPr>
      <w:bookmarkStart w:id="0" w:name="_Toc29269"/>
    </w:p>
    <w:p>
      <w:pPr>
        <w:pStyle w:val="2"/>
        <w:spacing w:line="380" w:lineRule="exact"/>
        <w:rPr>
          <w:rFonts w:hint="eastAsia" w:ascii="Calibri" w:hAnsi="Calibri"/>
        </w:rPr>
      </w:pPr>
    </w:p>
    <w:p>
      <w:pPr>
        <w:pStyle w:val="2"/>
        <w:spacing w:line="380" w:lineRule="exact"/>
        <w:rPr>
          <w:rFonts w:hint="eastAsia" w:ascii="Calibri" w:hAnsi="Calibri"/>
        </w:rPr>
      </w:pPr>
    </w:p>
    <w:p>
      <w:pPr>
        <w:pStyle w:val="2"/>
        <w:spacing w:line="380" w:lineRule="exact"/>
        <w:rPr>
          <w:rFonts w:hint="eastAsia" w:ascii="Calibri" w:hAnsi="Calibri"/>
        </w:rPr>
      </w:pPr>
    </w:p>
    <w:p>
      <w:pPr>
        <w:pStyle w:val="2"/>
        <w:spacing w:line="380" w:lineRule="exact"/>
        <w:rPr>
          <w:rFonts w:hint="eastAsia" w:ascii="Calibri" w:hAnsi="Calibri"/>
        </w:rPr>
      </w:pPr>
    </w:p>
    <w:p>
      <w:pPr>
        <w:pStyle w:val="2"/>
        <w:spacing w:line="380" w:lineRule="exact"/>
        <w:rPr>
          <w:rFonts w:hint="eastAsia" w:ascii="Calibri" w:hAnsi="Calibri"/>
        </w:rPr>
      </w:pPr>
    </w:p>
    <w:p>
      <w:pPr>
        <w:pStyle w:val="2"/>
        <w:spacing w:line="380" w:lineRule="exact"/>
        <w:rPr>
          <w:rFonts w:ascii="Calibri" w:hAnsi="Calibri"/>
          <w:b w:val="0"/>
          <w:highlight w:val="darkGreen"/>
        </w:rPr>
      </w:pPr>
      <w:r>
        <w:rPr>
          <w:rFonts w:hint="eastAsia" w:ascii="Calibri" w:hAnsi="Calibri"/>
        </w:rPr>
        <w:t>多功能神经康复诊疗系统</w:t>
      </w:r>
      <w:bookmarkStart w:id="1" w:name="_Toc455138637"/>
      <w:r>
        <w:rPr>
          <w:rFonts w:hint="eastAsia" w:ascii="Calibri" w:hAnsi="Calibri"/>
        </w:rPr>
        <w:t>技术参数</w:t>
      </w:r>
      <w:bookmarkEnd w:id="0"/>
      <w:bookmarkEnd w:id="1"/>
    </w:p>
    <w:p>
      <w:pPr>
        <w:spacing w:line="380" w:lineRule="exact"/>
        <w:ind w:left="361" w:hanging="361" w:hangingChars="150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1、嵌入式计算机系统、医用隔离电源（4000V隔离安全标准）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2、嵌入式彩色液晶显示器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3、内置扬声器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★4、EMG放大器灵敏度：2～1000</w:t>
      </w:r>
      <w:r>
        <w:rPr>
          <w:rFonts w:ascii="微软雅黑" w:hAnsi="微软雅黑" w:cs="宋体"/>
          <w:b/>
          <w:bCs/>
          <w:color w:val="000000"/>
          <w:kern w:val="0"/>
          <w:sz w:val="24"/>
        </w:rPr>
        <w:t>μV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5、刺激波形：方波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6、输出电流：0</w:t>
      </w:r>
      <w:r>
        <w:rPr>
          <w:rFonts w:ascii="微软雅黑" w:hAnsi="微软雅黑" w:cs="宋体"/>
          <w:b/>
          <w:bCs/>
          <w:color w:val="000000"/>
          <w:kern w:val="0"/>
          <w:sz w:val="24"/>
        </w:rPr>
        <w:t>mA</w:t>
      </w: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～50</w:t>
      </w:r>
      <w:r>
        <w:rPr>
          <w:rFonts w:ascii="微软雅黑" w:hAnsi="微软雅黑" w:cs="宋体"/>
          <w:b/>
          <w:bCs/>
          <w:color w:val="000000"/>
          <w:kern w:val="0"/>
          <w:sz w:val="24"/>
        </w:rPr>
        <w:t>mA</w:t>
      </w: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可调，恒流且安全锁定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7、刺激频率：1～250Hz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8、脉冲宽度：50～600us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9、最大刺激持续时间：60S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10、便携式双通道设计，占用空间小，可选配专用台车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11、多媒体语音系统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12、支持人工外触发功能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13、具有自动检测、自动报警功能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★14、六种治疗模式，包括：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（1）PBF1、PBF2模式（小肌群，大肌群）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（2）NBF模式（多媒体生物反馈）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（3）TENS1模式（感觉型障碍及神经促通治疗）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（4）TENS2模式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（5）ESFN（小脑顶核仿生电刺激，又称脑循环治疗）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15、可通过NBF模式分析表面肌电峰值、平均值及面积，方便对训练过程效果进行观察及评估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16、训练中采用柱状图指引，以0-200分级表达，增加训练者参与的趣味性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17、双通道输出及工作模式设定，支持组合治疗</w:t>
      </w:r>
    </w:p>
    <w:p>
      <w:pPr>
        <w:spacing w:line="380" w:lineRule="exact"/>
        <w:rPr>
          <w:rFonts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18、治疗过程包括休息、用力、刺激、维持（功能位）四种状态构成的“闭环”显示及治疗过程的时间进度条，使整个治疗过程更加目标化</w:t>
      </w:r>
    </w:p>
    <w:p>
      <w:pPr>
        <w:spacing w:line="380" w:lineRule="exact"/>
        <w:rPr>
          <w:rFonts w:hint="eastAsia" w:ascii="微软雅黑" w:hAnsi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0000"/>
          <w:kern w:val="0"/>
          <w:sz w:val="24"/>
        </w:rPr>
        <w:t>19、支持处方预置及后台设置系统，可避免仪器使用中的误操作</w:t>
      </w:r>
    </w:p>
    <w:p>
      <w:pPr>
        <w:spacing w:line="380" w:lineRule="exact"/>
        <w:jc w:val="left"/>
        <w:rPr>
          <w:rFonts w:hint="eastAsia" w:ascii="微软雅黑" w:hAnsi="微软雅黑" w:cs="宋体"/>
          <w:b/>
          <w:bCs/>
          <w:color w:val="FF0000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FF0000"/>
          <w:kern w:val="0"/>
          <w:sz w:val="24"/>
        </w:rPr>
        <w:t>20、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0"/>
        </w:rPr>
        <w:t>时间、地点要求</w:t>
      </w:r>
    </w:p>
    <w:p>
      <w:pPr>
        <w:spacing w:line="38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（1）供货时间：合同签订后15个日历天内。</w:t>
      </w:r>
    </w:p>
    <w:p>
      <w:pPr>
        <w:spacing w:line="38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（2）供货地点：院方指定地点</w:t>
      </w:r>
    </w:p>
    <w:p>
      <w:pPr>
        <w:spacing w:line="380" w:lineRule="exact"/>
        <w:ind w:firstLine="236" w:firstLineChars="98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（3）质保期：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两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年</w:t>
      </w:r>
    </w:p>
    <w:p>
      <w:pPr>
        <w:adjustRightInd w:val="0"/>
        <w:snapToGrid w:val="0"/>
        <w:spacing w:line="380" w:lineRule="exact"/>
        <w:ind w:firstLine="236" w:firstLineChars="98"/>
        <w:jc w:val="lef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（4）付款方式：验收合格后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凭发票一个月内首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60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%，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eastAsia="zh-CN"/>
        </w:rPr>
        <w:t>满一年支付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30%，余款质保期满付清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。维护保修质保期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个月，如果发生质量问题，必须免费维护或更换，其响应时间不得大于24小时。</w:t>
      </w:r>
    </w:p>
    <w:p>
      <w:pPr>
        <w:spacing w:line="380" w:lineRule="exact"/>
        <w:jc w:val="left"/>
        <w:rPr>
          <w:rFonts w:hint="eastAsia"/>
          <w:b/>
          <w:bCs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5、带★号技术指标一项不满足属不响应采购文件，非带★号技术指标一项不满足加价2%参与评审。</w:t>
      </w:r>
    </w:p>
    <w:p>
      <w:p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：   供应商报名表 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r>
        <w:rPr>
          <w:rFonts w:hint="eastAsia" w:ascii="宋体" w:hAnsi="宋体" w:cs="宋体"/>
          <w:b/>
          <w:bCs/>
          <w:kern w:val="0"/>
          <w:sz w:val="28"/>
        </w:rPr>
        <w:t>阳新县中医医院康复设备一批采购项目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项目编号：</w:t>
      </w:r>
      <w:r>
        <w:rPr>
          <w:b/>
          <w:bCs/>
          <w:sz w:val="24"/>
        </w:rPr>
        <w:t>131- 201</w:t>
      </w:r>
      <w:r>
        <w:rPr>
          <w:rFonts w:hint="eastAsia"/>
          <w:b/>
          <w:bCs/>
          <w:sz w:val="24"/>
        </w:rPr>
        <w:t xml:space="preserve">9CG-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供应商名称（盖章）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联系人电话</w:t>
            </w:r>
          </w:p>
          <w:p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（办公电话和手机）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firstLine="241" w:firstLineChars="100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 w:line="240" w:lineRule="auto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报名资料</w:t>
            </w:r>
          </w:p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（需提供扫描件并加盖公章）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96"/>
              </w:tabs>
              <w:spacing w:line="240" w:lineRule="auto"/>
              <w:ind w:firstLine="361" w:firstLineChars="1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参加本次政府采购活动前三年内，在经营活动中没有重大违法记录并须提交《参加政府采购活动前3年内在经营活动中没有重大违法记录的书面声明》，失信被执行人（须提供网站截图）、重大税收违法案件当事人名单；未被“中国政府采购网”(</w:t>
            </w:r>
            <w:r>
              <w:rPr>
                <w:rFonts w:hint="eastAsia"/>
                <w:b/>
                <w:bCs/>
                <w:sz w:val="24"/>
              </w:rPr>
              <w:fldChar w:fldCharType="begin"/>
            </w:r>
            <w:r>
              <w:rPr>
                <w:rFonts w:hint="eastAsia"/>
                <w:b/>
                <w:bCs/>
                <w:sz w:val="24"/>
              </w:rPr>
              <w:instrText xml:space="preserve"> INCLUDEPICTURE "C:\\Users\\Administrator\\AppData\\Roaming\\Tencent\\QQTempSys\\%W@GJ$ACOF(TYDYECOKVDYB.png" \* MERGEFORMATINET </w:instrText>
            </w:r>
            <w:r>
              <w:rPr>
                <w:rFonts w:hint="eastAsia"/>
                <w:b/>
                <w:bCs/>
                <w:sz w:val="24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</w:rPr>
              <w:drawing>
                <wp:inline distT="0" distB="0" distL="114300" distR="114300">
                  <wp:extent cx="189230" cy="142875"/>
                  <wp:effectExtent l="0" t="0" r="1270" b="9525"/>
                  <wp:docPr id="1" name="图片 1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%W@GJ$ACOF(TYDYECOKVDY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</w:rPr>
              <w:t>www.ccgp.gov.cn)列入政府采购严重违法失信行为记录名单。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5.</w:t>
            </w:r>
            <w:r>
              <w:rPr>
                <w:rFonts w:hint="eastAsia"/>
                <w:b/>
                <w:bCs/>
                <w:sz w:val="24"/>
              </w:rPr>
              <w:t>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6.</w:t>
            </w:r>
            <w:r>
              <w:rPr>
                <w:rFonts w:hint="eastAsia"/>
                <w:b/>
                <w:bCs/>
                <w:sz w:val="24"/>
              </w:rPr>
              <w:t>未被列入“信用中国”网站（</w:t>
            </w:r>
            <w:r>
              <w:rPr>
                <w:b/>
                <w:bCs/>
                <w:sz w:val="24"/>
              </w:rPr>
              <w:t>www.creditchina.gov.cn</w:t>
            </w:r>
            <w:r>
              <w:rPr>
                <w:rFonts w:hint="eastAsia"/>
                <w:b/>
                <w:bCs/>
                <w:sz w:val="24"/>
              </w:rPr>
              <w:t>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  <w:color w:val="0C0C0C"/>
                <w:sz w:val="24"/>
              </w:rPr>
              <w:t xml:space="preserve">. </w:t>
            </w:r>
            <w:r>
              <w:rPr>
                <w:rFonts w:hint="eastAsia" w:ascii="微软雅黑" w:hAnsi="微软雅黑" w:cs="宋体"/>
                <w:b/>
                <w:bCs/>
                <w:color w:val="0C0C0C"/>
                <w:kern w:val="0"/>
                <w:sz w:val="24"/>
              </w:rPr>
              <w:t>特定条件。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C0C0C"/>
                <w:sz w:val="24"/>
              </w:rPr>
              <w:t>8.</w:t>
            </w:r>
            <w:r>
              <w:rPr>
                <w:rFonts w:hint="eastAsia" w:ascii="微软雅黑" w:hAnsi="微软雅黑" w:cs="宋体"/>
                <w:b/>
                <w:bCs/>
                <w:color w:val="0C0C0C"/>
                <w:kern w:val="0"/>
                <w:sz w:val="24"/>
              </w:rPr>
              <w:t xml:space="preserve"> 本项目不接受联合体投标。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供应商意见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注意事项：</w:t>
      </w:r>
    </w:p>
    <w:p>
      <w:pPr>
        <w:jc w:val="lef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1.供应商必须严格按照公告的内容和要求，完整递交有关资料，逾期递交的将予以拒收。</w:t>
      </w:r>
    </w:p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2.★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</w:t>
      </w:r>
    </w:p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/>
          <w:b/>
          <w:bCs/>
          <w:color w:val="000000"/>
          <w:sz w:val="24"/>
        </w:rPr>
        <w:t>3.须在邮件注明公司全称、所投项目名称及项目编号。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D89F9"/>
    <w:multiLevelType w:val="singleLevel"/>
    <w:tmpl w:val="694D89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47109"/>
    <w:rsid w:val="2CF96E87"/>
    <w:rsid w:val="3ED4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2019-11-15T02:38:00Z</dcterms:created>
  <dc:creator>Administrator</dc:creator>
  <cp:lastModifiedBy>章佳</cp:lastModifiedBy>
  <dcterms:modified xsi:type="dcterms:W3CDTF">2019-11-15T08:42:34Z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