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52"/>
          <w:szCs w:val="52"/>
        </w:rPr>
      </w:pPr>
      <w:r>
        <w:rPr>
          <w:rFonts w:hint="eastAsia" w:ascii="黑体" w:hAnsi="黑体" w:eastAsia="黑体"/>
          <w:b/>
          <w:sz w:val="52"/>
          <w:szCs w:val="52"/>
        </w:rPr>
        <w:t>阳新县县级政府采购</w:t>
      </w:r>
    </w:p>
    <w:p>
      <w:pPr>
        <w:spacing w:afterLines="300"/>
        <w:jc w:val="center"/>
        <w:rPr>
          <w:rFonts w:ascii="黑体" w:hAnsi="黑体" w:eastAsia="黑体"/>
          <w:b/>
          <w:sz w:val="144"/>
          <w:szCs w:val="144"/>
        </w:rPr>
      </w:pPr>
      <w:r>
        <w:rPr>
          <w:rFonts w:hint="eastAsia" w:ascii="黑体" w:hAnsi="黑体" w:eastAsia="黑体"/>
          <w:b/>
          <w:sz w:val="144"/>
          <w:szCs w:val="144"/>
        </w:rPr>
        <w:t>招 标 文 件</w:t>
      </w: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1306" w:rightChars="622"/>
        <w:rPr>
          <w:rFonts w:ascii="黑体" w:hAnsi="黑体" w:eastAsia="黑体" w:cs="Times New Roman"/>
          <w:b/>
          <w:bCs/>
          <w:sz w:val="36"/>
          <w:szCs w:val="24"/>
        </w:rPr>
      </w:pP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left="2055" w:leftChars="619" w:right="63" w:rightChars="30" w:hanging="755" w:hangingChars="209"/>
        <w:rPr>
          <w:rFonts w:hint="default" w:ascii="宋体" w:hAnsi="宋体" w:eastAsia="黑体" w:cs="Times New Roman"/>
          <w:color w:val="FF0000"/>
          <w:sz w:val="36"/>
          <w:szCs w:val="36"/>
          <w:lang w:val="en-US" w:eastAsia="zh-CN"/>
        </w:rPr>
      </w:pPr>
      <w:r>
        <w:rPr>
          <w:rFonts w:hint="eastAsia" w:ascii="黑体" w:hAnsi="黑体" w:eastAsia="黑体" w:cs="Times New Roman"/>
          <w:b/>
          <w:bCs/>
          <w:sz w:val="36"/>
          <w:szCs w:val="24"/>
        </w:rPr>
        <w:t>项目编号：</w:t>
      </w:r>
      <w:r>
        <w:rPr>
          <w:rFonts w:hint="eastAsia" w:ascii="黑体" w:hAnsi="黑体" w:eastAsia="黑体" w:cs="Times New Roman"/>
          <w:b/>
          <w:bCs/>
          <w:sz w:val="36"/>
          <w:szCs w:val="24"/>
          <w:u w:val="single"/>
          <w:lang w:val="en-US" w:eastAsia="zh-CN"/>
        </w:rPr>
        <w:t>131-2019CG-205</w:t>
      </w:r>
    </w:p>
    <w:p>
      <w:pPr>
        <w:spacing w:line="360" w:lineRule="auto"/>
        <w:ind w:left="2055" w:leftChars="619" w:right="283" w:rightChars="135" w:hanging="755" w:hangingChars="209"/>
        <w:rPr>
          <w:rFonts w:ascii="宋体" w:hAnsi="宋体" w:eastAsia="宋体" w:cs="Times New Roman"/>
          <w:bCs/>
          <w:sz w:val="36"/>
          <w:szCs w:val="24"/>
        </w:rPr>
      </w:pPr>
      <w:r>
        <w:rPr>
          <w:rFonts w:hint="eastAsia" w:ascii="黑体" w:hAnsi="黑体" w:eastAsia="黑体" w:cs="Times New Roman"/>
          <w:b/>
          <w:bCs/>
          <w:sz w:val="36"/>
          <w:szCs w:val="24"/>
        </w:rPr>
        <w:t>采购人：</w:t>
      </w:r>
      <w:r>
        <w:rPr>
          <w:rFonts w:hint="eastAsia" w:ascii="黑体" w:hAnsi="黑体" w:eastAsia="黑体" w:cs="Times New Roman"/>
          <w:b/>
          <w:bCs/>
          <w:sz w:val="36"/>
          <w:szCs w:val="24"/>
          <w:u w:val="single"/>
        </w:rPr>
        <w:t>阳新县住房和城乡建设局</w:t>
      </w:r>
    </w:p>
    <w:p>
      <w:pPr>
        <w:spacing w:line="360" w:lineRule="auto"/>
        <w:ind w:left="1275" w:leftChars="607" w:right="63" w:rightChars="30" w:firstLine="22" w:firstLineChars="6"/>
        <w:jc w:val="left"/>
        <w:rPr>
          <w:rFonts w:ascii="宋体" w:hAnsi="宋体" w:eastAsia="黑体" w:cs="Times New Roman"/>
          <w:bCs/>
          <w:sz w:val="36"/>
          <w:szCs w:val="24"/>
          <w:lang w:val="zh-CN"/>
        </w:rPr>
      </w:pPr>
      <w:r>
        <w:rPr>
          <w:rFonts w:hint="eastAsia" w:ascii="黑体" w:hAnsi="黑体" w:eastAsia="黑体" w:cs="Times New Roman"/>
          <w:b/>
          <w:bCs/>
          <w:sz w:val="36"/>
          <w:szCs w:val="24"/>
        </w:rPr>
        <w:t>项目名称：</w:t>
      </w:r>
      <w:r>
        <w:rPr>
          <w:rFonts w:hint="eastAsia" w:ascii="黑体" w:hAnsi="黑体" w:eastAsia="黑体" w:cs="Times New Roman"/>
          <w:b/>
          <w:bCs/>
          <w:sz w:val="36"/>
          <w:szCs w:val="24"/>
          <w:u w:val="single"/>
        </w:rPr>
        <w:t>阳新县仙岛湖污水处理厂运营服务项目</w:t>
      </w:r>
    </w:p>
    <w:p>
      <w:pPr>
        <w:spacing w:line="360" w:lineRule="auto"/>
        <w:ind w:left="2055" w:leftChars="619" w:right="-134" w:rightChars="-64" w:hanging="755" w:hangingChars="209"/>
        <w:rPr>
          <w:rFonts w:ascii="宋体" w:hAnsi="宋体" w:eastAsia="黑体" w:cs="Times New Roman"/>
          <w:sz w:val="36"/>
          <w:szCs w:val="36"/>
        </w:rPr>
      </w:pPr>
      <w:r>
        <w:rPr>
          <w:rFonts w:hint="eastAsia" w:ascii="黑体" w:hAnsi="黑体" w:eastAsia="黑体" w:cs="Times New Roman"/>
          <w:b/>
          <w:bCs/>
          <w:sz w:val="36"/>
          <w:szCs w:val="24"/>
        </w:rPr>
        <w:t>采购内容：</w:t>
      </w:r>
      <w:r>
        <w:rPr>
          <w:rFonts w:hint="eastAsia" w:ascii="黑体" w:hAnsi="黑体" w:eastAsia="黑体" w:cs="Times New Roman"/>
          <w:b/>
          <w:bCs/>
          <w:sz w:val="36"/>
          <w:szCs w:val="24"/>
          <w:u w:val="single"/>
        </w:rPr>
        <w:t>污水处理厂运营服务项目</w:t>
      </w:r>
    </w:p>
    <w:p>
      <w:pPr>
        <w:spacing w:line="360" w:lineRule="auto"/>
        <w:ind w:left="2052" w:leftChars="619" w:right="1306" w:rightChars="622" w:hanging="752" w:hangingChars="209"/>
        <w:rPr>
          <w:rFonts w:ascii="宋体" w:hAnsi="宋体" w:eastAsia="宋体" w:cs="Times New Roman"/>
          <w:sz w:val="36"/>
          <w:szCs w:val="36"/>
        </w:rPr>
      </w:pPr>
    </w:p>
    <w:p>
      <w:pPr>
        <w:tabs>
          <w:tab w:val="left" w:pos="7939"/>
        </w:tabs>
        <w:spacing w:line="360" w:lineRule="auto"/>
        <w:jc w:val="center"/>
        <w:rPr>
          <w:rFonts w:ascii="黑体" w:hAnsi="黑体" w:eastAsia="黑体"/>
          <w:b/>
          <w:sz w:val="96"/>
          <w:szCs w:val="96"/>
        </w:rPr>
      </w:pPr>
      <w:r>
        <w:rPr>
          <w:rFonts w:hint="eastAsia" w:ascii="黑体" w:hAnsi="黑体" w:eastAsia="黑体"/>
          <w:b/>
          <w:color w:val="FF0000"/>
          <w:sz w:val="56"/>
          <w:szCs w:val="56"/>
        </w:rPr>
        <w:t>湖北顺成建设工程招标代理有限公司</w:t>
      </w:r>
    </w:p>
    <w:p>
      <w:pPr>
        <w:jc w:val="center"/>
        <w:rPr>
          <w:rFonts w:ascii="黑体" w:hAnsi="黑体" w:eastAsia="黑体"/>
          <w:b/>
          <w:color w:val="FF0000"/>
          <w:sz w:val="44"/>
        </w:rPr>
      </w:pPr>
      <w:r>
        <w:rPr>
          <w:rFonts w:hint="eastAsia" w:ascii="黑体" w:hAnsi="黑体" w:eastAsia="黑体" w:cs="Times New Roman"/>
          <w:b/>
          <w:bCs/>
          <w:sz w:val="44"/>
          <w:szCs w:val="44"/>
          <w:u w:val="single"/>
        </w:rPr>
        <w:t>2019</w:t>
      </w:r>
      <w:r>
        <w:rPr>
          <w:rFonts w:hint="eastAsia" w:ascii="黑体" w:hAnsi="黑体" w:eastAsia="黑体"/>
          <w:b/>
          <w:sz w:val="44"/>
          <w:szCs w:val="44"/>
        </w:rPr>
        <w:t>年</w:t>
      </w:r>
      <w:r>
        <w:rPr>
          <w:rFonts w:hint="eastAsia" w:ascii="黑体" w:hAnsi="黑体" w:eastAsia="黑体" w:cs="Times New Roman"/>
          <w:b/>
          <w:bCs/>
          <w:sz w:val="44"/>
          <w:szCs w:val="44"/>
          <w:u w:val="single"/>
        </w:rPr>
        <w:t>11</w:t>
      </w:r>
      <w:r>
        <w:rPr>
          <w:rFonts w:hint="eastAsia" w:ascii="黑体" w:hAnsi="黑体" w:eastAsia="黑体"/>
          <w:b/>
          <w:sz w:val="44"/>
          <w:szCs w:val="44"/>
        </w:rPr>
        <w:t>月</w:t>
      </w:r>
    </w:p>
    <w:p>
      <w:r>
        <w:br w:type="page"/>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5"/>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4"/>
              <w:rFonts w:hint="eastAsia" w:ascii="黑体" w:hAnsi="黑体"/>
            </w:rPr>
            <w:t>第一章</w:t>
          </w:r>
          <w:r>
            <w:rPr>
              <w:rFonts w:eastAsiaTheme="minorEastAsia"/>
              <w:b w:val="0"/>
              <w:iCs w:val="0"/>
              <w:color w:val="auto"/>
              <w:kern w:val="2"/>
              <w:sz w:val="21"/>
            </w:rPr>
            <w:tab/>
          </w:r>
          <w:r>
            <w:rPr>
              <w:rStyle w:val="24"/>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4"/>
              <w:rFonts w:hint="eastAsia" w:ascii="黑体" w:hAnsi="黑体"/>
            </w:rPr>
            <w:t>第二章</w:t>
          </w:r>
          <w:r>
            <w:rPr>
              <w:rFonts w:eastAsiaTheme="minorEastAsia"/>
              <w:b w:val="0"/>
              <w:iCs w:val="0"/>
              <w:color w:val="auto"/>
              <w:kern w:val="2"/>
              <w:sz w:val="21"/>
            </w:rPr>
            <w:tab/>
          </w:r>
          <w:r>
            <w:rPr>
              <w:rStyle w:val="24"/>
              <w:rFonts w:hint="eastAsia" w:ascii="黑体" w:hAnsi="黑体"/>
            </w:rPr>
            <w:t>投标人须知</w:t>
          </w:r>
          <w:r>
            <w:tab/>
          </w:r>
          <w:r>
            <w:fldChar w:fldCharType="begin"/>
          </w:r>
          <w:r>
            <w:instrText xml:space="preserve"> PAGEREF _Toc495861518 \h </w:instrText>
          </w:r>
          <w:r>
            <w:fldChar w:fldCharType="separate"/>
          </w:r>
          <w:r>
            <w:t>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"_Toc495861519" </w:instrText>
          </w:r>
          <w:r>
            <w:fldChar w:fldCharType="separate"/>
          </w:r>
          <w:r>
            <w:rPr>
              <w:rStyle w:val="24"/>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"_Toc495861520"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说明</w:t>
          </w:r>
          <w:r>
            <w:tab/>
          </w:r>
          <w:r>
            <w:fldChar w:fldCharType="begin"/>
          </w:r>
          <w:r>
            <w:instrText xml:space="preserve"> PAGEREF _Toc495861520 \h </w:instrText>
          </w:r>
          <w:r>
            <w:fldChar w:fldCharType="separate"/>
          </w:r>
          <w:r>
            <w:t>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"_Toc495861521"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10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"_Toc495861522"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"_Toc495861523" </w:instrText>
          </w:r>
          <w:r>
            <w:fldChar w:fldCharType="separate"/>
          </w:r>
          <w:r>
            <w:rPr>
              <w:rStyle w:val="24"/>
              <w:rFonts w:hint="eastAsia" w:cs="Times New Roman" w:asciiTheme="majorEastAsia" w:hAnsiTheme="majorEastAsia"/>
              <w:lang w:val="zh-CN"/>
            </w:rPr>
            <w:t>四、</w:t>
          </w:r>
          <w:r>
            <w:rPr>
              <w:rFonts w:asciiTheme="minorHAnsi" w:hAnsiTheme="minorHAnsi"/>
              <w:iCs w:val="0"/>
              <w:color w:val="auto"/>
              <w:kern w:val="2"/>
              <w:sz w:val="21"/>
            </w:rPr>
            <w:tab/>
          </w:r>
          <w:r>
            <w:rPr>
              <w:rStyle w:val="24"/>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"_Toc495861524" </w:instrText>
          </w:r>
          <w:r>
            <w:fldChar w:fldCharType="separate"/>
          </w:r>
          <w:r>
            <w:rPr>
              <w:rStyle w:val="24"/>
              <w:rFonts w:hint="eastAsia" w:cs="Times New Roman" w:asciiTheme="majorEastAsia" w:hAnsiTheme="majorEastAsia"/>
              <w:lang w:val="zh-CN"/>
            </w:rPr>
            <w:t>五、</w:t>
          </w:r>
          <w:r>
            <w:rPr>
              <w:rFonts w:asciiTheme="minorHAnsi" w:hAnsiTheme="minorHAnsi"/>
              <w:iCs w:val="0"/>
              <w:color w:val="auto"/>
              <w:kern w:val="2"/>
              <w:sz w:val="21"/>
            </w:rPr>
            <w:tab/>
          </w:r>
          <w:r>
            <w:rPr>
              <w:rStyle w:val="24"/>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"_Toc495861525" </w:instrText>
          </w:r>
          <w:r>
            <w:fldChar w:fldCharType="separate"/>
          </w:r>
          <w:r>
            <w:rPr>
              <w:rStyle w:val="24"/>
              <w:rFonts w:hint="eastAsia" w:cs="Times New Roman" w:asciiTheme="majorEastAsia" w:hAnsiTheme="majorEastAsia"/>
              <w:lang w:val="zh-CN"/>
            </w:rPr>
            <w:t>六、</w:t>
          </w:r>
          <w:r>
            <w:rPr>
              <w:rFonts w:asciiTheme="minorHAnsi" w:hAnsiTheme="minorHAnsi"/>
              <w:iCs w:val="0"/>
              <w:color w:val="auto"/>
              <w:kern w:val="2"/>
              <w:sz w:val="21"/>
            </w:rPr>
            <w:tab/>
          </w:r>
          <w:r>
            <w:rPr>
              <w:rStyle w:val="24"/>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"_Toc495861526" </w:instrText>
          </w:r>
          <w:r>
            <w:fldChar w:fldCharType="separate"/>
          </w:r>
          <w:r>
            <w:rPr>
              <w:rStyle w:val="24"/>
              <w:rFonts w:hint="eastAsia" w:cs="Times New Roman" w:asciiTheme="majorEastAsia" w:hAnsiTheme="majorEastAsia"/>
              <w:lang w:val="zh-CN"/>
            </w:rPr>
            <w:t>七、</w:t>
          </w:r>
          <w:r>
            <w:rPr>
              <w:rFonts w:asciiTheme="minorHAnsi" w:hAnsiTheme="minorHAnsi"/>
              <w:iCs w:val="0"/>
              <w:color w:val="auto"/>
              <w:kern w:val="2"/>
              <w:sz w:val="21"/>
            </w:rPr>
            <w:tab/>
          </w:r>
          <w:r>
            <w:rPr>
              <w:rStyle w:val="24"/>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20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"_Toc495861527" </w:instrText>
          </w:r>
          <w:r>
            <w:fldChar w:fldCharType="separate"/>
          </w:r>
          <w:r>
            <w:rPr>
              <w:rStyle w:val="24"/>
              <w:rFonts w:hint="eastAsia" w:cs="Times New Roman" w:asciiTheme="majorEastAsia" w:hAnsiTheme="majorEastAsia"/>
              <w:lang w:val="zh-CN"/>
            </w:rPr>
            <w:t>八、</w:t>
          </w:r>
          <w:r>
            <w:rPr>
              <w:rFonts w:asciiTheme="minorHAnsi" w:hAnsiTheme="minorHAnsi"/>
              <w:iCs w:val="0"/>
              <w:color w:val="auto"/>
              <w:kern w:val="2"/>
              <w:sz w:val="21"/>
            </w:rPr>
            <w:tab/>
          </w:r>
          <w:r>
            <w:rPr>
              <w:rStyle w:val="24"/>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20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"_Toc495861528" </w:instrText>
          </w:r>
          <w:r>
            <w:fldChar w:fldCharType="separate"/>
          </w:r>
          <w:r>
            <w:rPr>
              <w:rStyle w:val="24"/>
              <w:rFonts w:hint="eastAsia" w:cs="Times New Roman" w:asciiTheme="majorEastAsia" w:hAnsiTheme="majorEastAsia"/>
              <w:lang w:val="zh-CN"/>
            </w:rPr>
            <w:t>九、</w:t>
          </w:r>
          <w:r>
            <w:rPr>
              <w:rFonts w:asciiTheme="minorHAnsi" w:hAnsiTheme="minorHAnsi"/>
              <w:iCs w:val="0"/>
              <w:color w:val="auto"/>
              <w:kern w:val="2"/>
              <w:sz w:val="21"/>
            </w:rPr>
            <w:tab/>
          </w:r>
          <w:r>
            <w:rPr>
              <w:rStyle w:val="24"/>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"_Toc495861529" </w:instrText>
          </w:r>
          <w:r>
            <w:fldChar w:fldCharType="separate"/>
          </w:r>
          <w:r>
            <w:rPr>
              <w:rStyle w:val="24"/>
              <w:rFonts w:hint="eastAsia" w:cs="Times New Roman" w:asciiTheme="majorEastAsia" w:hAnsiTheme="majorEastAsia"/>
              <w:lang w:val="zh-CN"/>
            </w:rPr>
            <w:t>十、</w:t>
          </w:r>
          <w:r>
            <w:rPr>
              <w:rFonts w:asciiTheme="minorHAnsi" w:hAnsiTheme="minorHAnsi"/>
              <w:iCs w:val="0"/>
              <w:color w:val="auto"/>
              <w:kern w:val="2"/>
              <w:sz w:val="21"/>
            </w:rPr>
            <w:tab/>
          </w:r>
          <w:r>
            <w:rPr>
              <w:rStyle w:val="24"/>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"_Toc495861530" </w:instrText>
          </w:r>
          <w:r>
            <w:fldChar w:fldCharType="separate"/>
          </w:r>
          <w:r>
            <w:rPr>
              <w:rStyle w:val="24"/>
              <w:rFonts w:hint="eastAsia" w:cs="Times New Roman" w:asciiTheme="majorEastAsia" w:hAnsiTheme="majorEastAsia"/>
              <w:lang w:val="zh-CN"/>
            </w:rPr>
            <w:t>十一、</w:t>
          </w:r>
          <w:r>
            <w:rPr>
              <w:rFonts w:asciiTheme="minorHAnsi" w:hAnsiTheme="minorHAnsi"/>
              <w:iCs w:val="0"/>
              <w:color w:val="auto"/>
              <w:kern w:val="2"/>
              <w:sz w:val="21"/>
            </w:rPr>
            <w:tab/>
          </w:r>
          <w:r>
            <w:rPr>
              <w:rStyle w:val="24"/>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"_Toc495861531" </w:instrText>
          </w:r>
          <w:r>
            <w:fldChar w:fldCharType="separate"/>
          </w:r>
          <w:r>
            <w:rPr>
              <w:rStyle w:val="24"/>
              <w:rFonts w:hint="eastAsia" w:cs="Times New Roman" w:asciiTheme="majorEastAsia" w:hAnsiTheme="majorEastAsia"/>
              <w:lang w:val="zh-CN"/>
            </w:rPr>
            <w:t>十二、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22</w:t>
          </w:r>
          <w:r>
            <w:fldChar w:fldCharType="end"/>
          </w:r>
          <w:r>
            <w:fldChar w:fldCharType="end"/>
          </w:r>
        </w:p>
        <w:p>
          <w:pPr>
            <w:pStyle w:val="15"/>
            <w:tabs>
              <w:tab w:val="left" w:pos="1260"/>
              <w:tab w:val="right" w:leader="dot" w:pos="9514"/>
            </w:tabs>
            <w:rPr>
              <w:iCs w:val="0"/>
              <w:color w:val="auto"/>
              <w:kern w:val="2"/>
              <w:sz w:val="21"/>
            </w:rPr>
          </w:pPr>
          <w:r>
            <w:fldChar w:fldCharType="begin"/>
          </w:r>
          <w:r>
            <w:instrText xml:space="preserve"> HYPERLINK \l "_Toc495861532" </w:instrText>
          </w:r>
          <w:r>
            <w:fldChar w:fldCharType="separate"/>
          </w:r>
          <w:r>
            <w:rPr>
              <w:rStyle w:val="24"/>
              <w:rFonts w:hint="eastAsia" w:ascii="黑体" w:hAnsi="黑体"/>
            </w:rPr>
            <w:t>第三章</w:t>
          </w:r>
          <w:r>
            <w:rPr>
              <w:rFonts w:eastAsiaTheme="minorEastAsia"/>
              <w:b w:val="0"/>
              <w:iCs w:val="0"/>
              <w:color w:val="auto"/>
              <w:kern w:val="2"/>
              <w:sz w:val="21"/>
            </w:rPr>
            <w:tab/>
          </w:r>
          <w:r>
            <w:rPr>
              <w:rStyle w:val="24"/>
              <w:rFonts w:hint="eastAsia" w:ascii="黑体" w:hAnsi="黑体"/>
            </w:rPr>
            <w:t>项目技术、服务及商务要求</w:t>
          </w:r>
          <w:r>
            <w:tab/>
          </w:r>
          <w:r>
            <w:fldChar w:fldCharType="begin"/>
          </w:r>
          <w:r>
            <w:instrText xml:space="preserve"> PAGEREF _Toc495861532 \h </w:instrText>
          </w:r>
          <w:r>
            <w:fldChar w:fldCharType="separate"/>
          </w:r>
          <w:r>
            <w:t>23</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4"/>
              <w:rFonts w:hint="eastAsia" w:ascii="黑体" w:hAnsi="黑体"/>
            </w:rPr>
            <w:t>第四章</w:t>
          </w:r>
          <w:r>
            <w:rPr>
              <w:rFonts w:eastAsiaTheme="minorEastAsia"/>
              <w:b w:val="0"/>
              <w:iCs w:val="0"/>
              <w:color w:val="auto"/>
              <w:kern w:val="2"/>
              <w:sz w:val="21"/>
            </w:rPr>
            <w:tab/>
          </w:r>
          <w:r>
            <w:rPr>
              <w:rStyle w:val="24"/>
              <w:rFonts w:hint="eastAsia" w:ascii="黑体" w:hAnsi="黑体"/>
            </w:rPr>
            <w:t>资格审查方法及标准</w:t>
          </w:r>
          <w:r>
            <w:tab/>
          </w:r>
          <w:r>
            <w:fldChar w:fldCharType="begin"/>
          </w:r>
          <w:r>
            <w:instrText xml:space="preserve"> PAGEREF _Toc495861538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"_Toc495861539"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31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"_Toc495861540"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31</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4"/>
              <w:rFonts w:hint="eastAsia" w:ascii="黑体" w:hAnsi="黑体"/>
            </w:rPr>
            <w:t>第五章</w:t>
          </w:r>
          <w:r>
            <w:rPr>
              <w:rFonts w:eastAsiaTheme="minorEastAsia"/>
              <w:b w:val="0"/>
              <w:iCs w:val="0"/>
              <w:color w:val="auto"/>
              <w:kern w:val="2"/>
              <w:sz w:val="21"/>
            </w:rPr>
            <w:tab/>
          </w:r>
          <w:r>
            <w:rPr>
              <w:rStyle w:val="24"/>
              <w:rFonts w:hint="eastAsia" w:ascii="黑体" w:hAnsi="黑体"/>
            </w:rPr>
            <w:t>评标方法、程序及标准</w:t>
          </w:r>
          <w:r>
            <w:tab/>
          </w:r>
          <w:r>
            <w:fldChar w:fldCharType="begin"/>
          </w:r>
          <w:r>
            <w:instrText xml:space="preserve"> PAGEREF _Toc495861541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"_Toc495861542"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"_Toc495861543"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33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"_Toc495861544"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37</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4"/>
              <w:rFonts w:hint="eastAsia" w:ascii="黑体" w:hAnsi="黑体"/>
            </w:rPr>
            <w:t>第六章</w:t>
          </w:r>
          <w:r>
            <w:rPr>
              <w:rFonts w:eastAsiaTheme="minorEastAsia"/>
              <w:b w:val="0"/>
              <w:iCs w:val="0"/>
              <w:color w:val="auto"/>
              <w:kern w:val="2"/>
              <w:sz w:val="21"/>
            </w:rPr>
            <w:tab/>
          </w:r>
          <w:r>
            <w:rPr>
              <w:rStyle w:val="24"/>
              <w:rFonts w:hint="eastAsia" w:ascii="黑体" w:hAnsi="黑体"/>
            </w:rPr>
            <w:t>合同书格式（参考）</w:t>
          </w:r>
          <w:r>
            <w:tab/>
          </w:r>
          <w:r>
            <w:fldChar w:fldCharType="begin"/>
          </w:r>
          <w:r>
            <w:instrText xml:space="preserve"> PAGEREF _Toc495861545 \h </w:instrText>
          </w:r>
          <w:r>
            <w:fldChar w:fldCharType="separate"/>
          </w:r>
          <w:r>
            <w:t>40</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4"/>
              <w:rFonts w:hint="eastAsia" w:ascii="黑体" w:hAnsi="黑体"/>
            </w:rPr>
            <w:t>第七章</w:t>
          </w:r>
          <w:r>
            <w:rPr>
              <w:rFonts w:eastAsiaTheme="minorEastAsia"/>
              <w:b w:val="0"/>
              <w:iCs w:val="0"/>
              <w:color w:val="auto"/>
              <w:kern w:val="2"/>
              <w:sz w:val="21"/>
            </w:rPr>
            <w:tab/>
          </w:r>
          <w:r>
            <w:rPr>
              <w:rStyle w:val="24"/>
              <w:rFonts w:hint="eastAsia" w:ascii="黑体" w:hAnsi="黑体"/>
            </w:rPr>
            <w:t>投标文件格式（参考）</w:t>
          </w:r>
          <w:r>
            <w:tab/>
          </w:r>
          <w:r>
            <w:fldChar w:fldCharType="begin"/>
          </w:r>
          <w:r>
            <w:instrText xml:space="preserve"> PAGEREF _Toc495861546 \h </w:instrText>
          </w:r>
          <w:r>
            <w:fldChar w:fldCharType="separate"/>
          </w:r>
          <w:r>
            <w:t>42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"_Toc495861547" </w:instrText>
          </w:r>
          <w:r>
            <w:fldChar w:fldCharType="separate"/>
          </w:r>
          <w:r>
            <w:rPr>
              <w:rStyle w:val="24"/>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"_Toc495861548" </w:instrText>
          </w:r>
          <w:r>
            <w:fldChar w:fldCharType="separate"/>
          </w:r>
          <w:r>
            <w:rPr>
              <w:rStyle w:val="24"/>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"_Toc495861549" </w:instrText>
          </w:r>
          <w:r>
            <w:fldChar w:fldCharType="separate"/>
          </w:r>
          <w:r>
            <w:rPr>
              <w:rStyle w:val="24"/>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"_Toc495861550" </w:instrText>
          </w:r>
          <w:r>
            <w:fldChar w:fldCharType="separate"/>
          </w:r>
          <w:r>
            <w:rPr>
              <w:rStyle w:val="24"/>
              <w:rFonts w:hint="eastAsia" w:eastAsia="宋体"/>
            </w:rPr>
            <w:t>附件一、</w:t>
          </w:r>
          <w:r>
            <w:rPr>
              <w:rFonts w:asciiTheme="minorHAnsi" w:hAnsiTheme="minorHAnsi"/>
              <w:iCs w:val="0"/>
              <w:color w:val="auto"/>
              <w:kern w:val="2"/>
              <w:sz w:val="21"/>
            </w:rPr>
            <w:tab/>
          </w:r>
          <w:r>
            <w:rPr>
              <w:rStyle w:val="24"/>
              <w:rFonts w:hint="eastAsia" w:eastAsia="宋体"/>
            </w:rPr>
            <w:t>投标书</w:t>
          </w:r>
          <w:r>
            <w:tab/>
          </w:r>
          <w:r>
            <w:fldChar w:fldCharType="begin"/>
          </w:r>
          <w:r>
            <w:instrText xml:space="preserve"> PAGEREF _Toc495861550 \h </w:instrText>
          </w:r>
          <w:r>
            <w:fldChar w:fldCharType="separate"/>
          </w:r>
          <w:r>
            <w:t>48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"_Toc495861551" </w:instrText>
          </w:r>
          <w:r>
            <w:fldChar w:fldCharType="separate"/>
          </w:r>
          <w:r>
            <w:rPr>
              <w:rStyle w:val="24"/>
              <w:rFonts w:hint="eastAsia" w:eastAsia="宋体"/>
            </w:rPr>
            <w:t>附件二、</w:t>
          </w:r>
          <w:r>
            <w:rPr>
              <w:rFonts w:asciiTheme="minorHAnsi" w:hAnsiTheme="minorHAnsi"/>
              <w:iCs w:val="0"/>
              <w:color w:val="auto"/>
              <w:kern w:val="2"/>
              <w:sz w:val="21"/>
            </w:rPr>
            <w:tab/>
          </w:r>
          <w:r>
            <w:rPr>
              <w:rStyle w:val="24"/>
              <w:rFonts w:hint="eastAsia" w:eastAsia="宋体"/>
            </w:rPr>
            <w:t>制造商中小企业声明函</w:t>
          </w:r>
          <w:r>
            <w:tab/>
          </w:r>
          <w:r>
            <w:fldChar w:fldCharType="begin"/>
          </w:r>
          <w:r>
            <w:instrText xml:space="preserve"> PAGEREF _Toc495861551 \h </w:instrText>
          </w:r>
          <w:r>
            <w:fldChar w:fldCharType="separate"/>
          </w:r>
          <w:r>
            <w:t>49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"_Toc495861552" </w:instrText>
          </w:r>
          <w:r>
            <w:fldChar w:fldCharType="separate"/>
          </w:r>
          <w:r>
            <w:rPr>
              <w:rStyle w:val="24"/>
              <w:rFonts w:hint="eastAsia" w:eastAsia="宋体"/>
            </w:rPr>
            <w:t>附件三、</w:t>
          </w:r>
          <w:r>
            <w:rPr>
              <w:rFonts w:asciiTheme="minorHAnsi" w:hAnsiTheme="minorHAnsi"/>
              <w:iCs w:val="0"/>
              <w:color w:val="auto"/>
              <w:kern w:val="2"/>
              <w:sz w:val="21"/>
            </w:rPr>
            <w:tab/>
          </w:r>
          <w:r>
            <w:rPr>
              <w:rStyle w:val="24"/>
              <w:rFonts w:hint="eastAsia" w:eastAsia="宋体"/>
            </w:rPr>
            <w:t>中小企业声明函</w:t>
          </w:r>
          <w:r>
            <w:tab/>
          </w:r>
          <w:r>
            <w:fldChar w:fldCharType="begin"/>
          </w:r>
          <w:r>
            <w:instrText xml:space="preserve"> PAGEREF _Toc495861552 \h </w:instrText>
          </w:r>
          <w:r>
            <w:fldChar w:fldCharType="separate"/>
          </w:r>
          <w:r>
            <w:t>50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"_Toc495861553" </w:instrText>
          </w:r>
          <w:r>
            <w:fldChar w:fldCharType="separate"/>
          </w:r>
          <w:r>
            <w:rPr>
              <w:rStyle w:val="24"/>
              <w:rFonts w:hint="eastAsia" w:eastAsia="宋体"/>
            </w:rPr>
            <w:t>附件四、</w:t>
          </w:r>
          <w:r>
            <w:rPr>
              <w:rFonts w:asciiTheme="minorHAnsi" w:hAnsiTheme="minorHAnsi"/>
              <w:iCs w:val="0"/>
              <w:color w:val="auto"/>
              <w:kern w:val="2"/>
              <w:sz w:val="21"/>
            </w:rPr>
            <w:tab/>
          </w:r>
          <w:r>
            <w:rPr>
              <w:rStyle w:val="24"/>
              <w:rFonts w:hint="eastAsia" w:eastAsia="宋体"/>
            </w:rPr>
            <w:t>残疾人福利性单位声明函</w:t>
          </w:r>
          <w:r>
            <w:tab/>
          </w:r>
          <w:r>
            <w:fldChar w:fldCharType="begin"/>
          </w:r>
          <w:r>
            <w:instrText xml:space="preserve"> PAGEREF _Toc495861553 \h </w:instrText>
          </w:r>
          <w:r>
            <w:fldChar w:fldCharType="separate"/>
          </w:r>
          <w:r>
            <w:t>52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"_Toc495861554" </w:instrText>
          </w:r>
          <w:r>
            <w:fldChar w:fldCharType="separate"/>
          </w:r>
          <w:r>
            <w:rPr>
              <w:rStyle w:val="24"/>
              <w:rFonts w:hint="eastAsia" w:eastAsia="宋体"/>
            </w:rPr>
            <w:t>附件五、</w:t>
          </w:r>
          <w:r>
            <w:rPr>
              <w:rFonts w:asciiTheme="minorHAnsi" w:hAnsiTheme="minorHAnsi"/>
              <w:iCs w:val="0"/>
              <w:color w:val="auto"/>
              <w:kern w:val="2"/>
              <w:sz w:val="21"/>
            </w:rPr>
            <w:tab/>
          </w:r>
          <w:r>
            <w:rPr>
              <w:rStyle w:val="24"/>
              <w:rFonts w:hint="eastAsia" w:eastAsia="宋体"/>
            </w:rPr>
            <w:t>开标一览表</w:t>
          </w:r>
          <w:r>
            <w:tab/>
          </w:r>
          <w:r>
            <w:fldChar w:fldCharType="begin"/>
          </w:r>
          <w:r>
            <w:instrText xml:space="preserve"> PAGEREF _Toc495861554 \h </w:instrText>
          </w:r>
          <w:r>
            <w:fldChar w:fldCharType="separate"/>
          </w:r>
          <w:r>
            <w:t>55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"_Toc495861555" </w:instrText>
          </w:r>
          <w:r>
            <w:fldChar w:fldCharType="separate"/>
          </w:r>
          <w:r>
            <w:rPr>
              <w:rStyle w:val="24"/>
              <w:rFonts w:hint="eastAsia" w:eastAsia="宋体"/>
            </w:rPr>
            <w:t>附件六、</w:t>
          </w:r>
          <w:r>
            <w:rPr>
              <w:rFonts w:asciiTheme="minorHAnsi" w:hAnsiTheme="minorHAnsi"/>
              <w:iCs w:val="0"/>
              <w:color w:val="auto"/>
              <w:kern w:val="2"/>
              <w:sz w:val="21"/>
            </w:rPr>
            <w:tab/>
          </w:r>
          <w:r>
            <w:rPr>
              <w:rStyle w:val="24"/>
              <w:rFonts w:hint="eastAsia" w:eastAsia="宋体"/>
            </w:rPr>
            <w:t>投标报价明细表</w:t>
          </w:r>
          <w:r>
            <w:tab/>
          </w:r>
          <w:r>
            <w:fldChar w:fldCharType="begin"/>
          </w:r>
          <w:r>
            <w:instrText xml:space="preserve"> PAGEREF _Toc495861555 \h </w:instrText>
          </w:r>
          <w:r>
            <w:fldChar w:fldCharType="separate"/>
          </w:r>
          <w:r>
            <w:t>56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"_Toc495861556" </w:instrText>
          </w:r>
          <w:r>
            <w:fldChar w:fldCharType="separate"/>
          </w:r>
          <w:r>
            <w:rPr>
              <w:rStyle w:val="24"/>
              <w:rFonts w:hint="eastAsia" w:eastAsia="宋体"/>
            </w:rPr>
            <w:t>附件七、</w:t>
          </w:r>
          <w:r>
            <w:rPr>
              <w:rFonts w:asciiTheme="minorHAnsi" w:hAnsiTheme="minorHAnsi"/>
              <w:iCs w:val="0"/>
              <w:color w:val="auto"/>
              <w:kern w:val="2"/>
              <w:sz w:val="21"/>
            </w:rPr>
            <w:tab/>
          </w:r>
          <w:r>
            <w:rPr>
              <w:rStyle w:val="24"/>
              <w:rFonts w:hint="eastAsia" w:eastAsia="宋体"/>
            </w:rPr>
            <w:t>小型和微型企业、监狱企业、残疾人福利性单位货物汇总表</w:t>
          </w:r>
          <w:r>
            <w:tab/>
          </w:r>
          <w:r>
            <w:fldChar w:fldCharType="begin"/>
          </w:r>
          <w:r>
            <w:instrText xml:space="preserve"> PAGEREF _Toc495861556 \h </w:instrText>
          </w:r>
          <w:r>
            <w:fldChar w:fldCharType="separate"/>
          </w:r>
          <w:r>
            <w:t>57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"_Toc495861557" </w:instrText>
          </w:r>
          <w:r>
            <w:fldChar w:fldCharType="separate"/>
          </w:r>
          <w:r>
            <w:rPr>
              <w:rStyle w:val="24"/>
              <w:rFonts w:hint="eastAsia" w:eastAsia="宋体"/>
            </w:rPr>
            <w:t>附件八、</w:t>
          </w:r>
          <w:r>
            <w:rPr>
              <w:rFonts w:asciiTheme="minorHAnsi" w:hAnsiTheme="minorHAnsi"/>
              <w:iCs w:val="0"/>
              <w:color w:val="auto"/>
              <w:kern w:val="2"/>
              <w:sz w:val="21"/>
            </w:rPr>
            <w:tab/>
          </w:r>
          <w:r>
            <w:rPr>
              <w:rStyle w:val="24"/>
              <w:rFonts w:hint="eastAsia" w:eastAsia="宋体"/>
            </w:rPr>
            <w:t>投标货物（工程或服务）清单</w:t>
          </w:r>
          <w:r>
            <w:tab/>
          </w:r>
          <w:r>
            <w:fldChar w:fldCharType="begin"/>
          </w:r>
          <w:r>
            <w:instrText xml:space="preserve"> PAGEREF _Toc495861557 \h </w:instrText>
          </w:r>
          <w:r>
            <w:fldChar w:fldCharType="separate"/>
          </w:r>
          <w:r>
            <w:t>58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"_Toc495861558" </w:instrText>
          </w:r>
          <w:r>
            <w:fldChar w:fldCharType="separate"/>
          </w:r>
          <w:r>
            <w:rPr>
              <w:rStyle w:val="24"/>
              <w:rFonts w:hint="eastAsia" w:eastAsia="宋体"/>
            </w:rPr>
            <w:t>附件九、</w:t>
          </w:r>
          <w:r>
            <w:rPr>
              <w:rFonts w:asciiTheme="minorHAnsi" w:hAnsiTheme="minorHAnsi"/>
              <w:iCs w:val="0"/>
              <w:color w:val="auto"/>
              <w:kern w:val="2"/>
              <w:sz w:val="21"/>
            </w:rPr>
            <w:tab/>
          </w:r>
          <w:r>
            <w:rPr>
              <w:rStyle w:val="24"/>
              <w:rFonts w:hint="eastAsia" w:eastAsia="宋体"/>
            </w:rPr>
            <w:t>交纳投标保证金的银行凭证</w:t>
          </w:r>
          <w:r>
            <w:tab/>
          </w:r>
          <w:r>
            <w:fldChar w:fldCharType="begin"/>
          </w:r>
          <w:r>
            <w:instrText xml:space="preserve"> PAGEREF _Toc495861558 \h </w:instrText>
          </w:r>
          <w:r>
            <w:fldChar w:fldCharType="separate"/>
          </w:r>
          <w:r>
            <w:t>59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"_Toc495861559" </w:instrText>
          </w:r>
          <w:r>
            <w:fldChar w:fldCharType="separate"/>
          </w:r>
          <w:r>
            <w:rPr>
              <w:rStyle w:val="24"/>
              <w:rFonts w:hint="eastAsia" w:eastAsia="宋体"/>
            </w:rPr>
            <w:t>附件十、</w:t>
          </w:r>
          <w:r>
            <w:rPr>
              <w:rFonts w:asciiTheme="minorHAnsi" w:hAnsiTheme="minorHAnsi"/>
              <w:iCs w:val="0"/>
              <w:color w:val="auto"/>
              <w:kern w:val="2"/>
              <w:sz w:val="21"/>
            </w:rPr>
            <w:tab/>
          </w:r>
          <w:r>
            <w:rPr>
              <w:rStyle w:val="24"/>
              <w:rFonts w:hint="eastAsia" w:eastAsia="宋体"/>
            </w:rPr>
            <w:t>法定代表人授权书</w:t>
          </w:r>
          <w:r>
            <w:tab/>
          </w:r>
          <w:r>
            <w:fldChar w:fldCharType="begin"/>
          </w:r>
          <w:r>
            <w:instrText xml:space="preserve"> PAGEREF _Toc495861559 \h </w:instrText>
          </w:r>
          <w:r>
            <w:fldChar w:fldCharType="separate"/>
          </w:r>
          <w:r>
            <w:t>60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"_Toc495861560" </w:instrText>
          </w:r>
          <w:r>
            <w:fldChar w:fldCharType="separate"/>
          </w:r>
          <w:r>
            <w:rPr>
              <w:rStyle w:val="24"/>
              <w:rFonts w:hint="eastAsia" w:eastAsia="宋体"/>
            </w:rPr>
            <w:t>附件十一、</w:t>
          </w:r>
          <w:r>
            <w:rPr>
              <w:rFonts w:asciiTheme="minorHAnsi" w:hAnsiTheme="minorHAnsi"/>
              <w:iCs w:val="0"/>
              <w:color w:val="auto"/>
              <w:kern w:val="2"/>
              <w:sz w:val="21"/>
            </w:rPr>
            <w:tab/>
          </w:r>
          <w:r>
            <w:rPr>
              <w:rStyle w:val="24"/>
              <w:rFonts w:hint="eastAsia" w:eastAsia="宋体"/>
            </w:rPr>
            <w:t>投标人的资格声明</w:t>
          </w:r>
          <w:r>
            <w:tab/>
          </w:r>
          <w:r>
            <w:fldChar w:fldCharType="begin"/>
          </w:r>
          <w:r>
            <w:instrText xml:space="preserve"> PAGEREF _Toc495861560 \h </w:instrText>
          </w:r>
          <w:r>
            <w:fldChar w:fldCharType="separate"/>
          </w:r>
          <w:r>
            <w:t>61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"_Toc495861561" </w:instrText>
          </w:r>
          <w:r>
            <w:fldChar w:fldCharType="separate"/>
          </w:r>
          <w:r>
            <w:rPr>
              <w:rStyle w:val="24"/>
              <w:rFonts w:hint="eastAsia" w:eastAsia="宋体"/>
            </w:rPr>
            <w:t>附件十二、</w:t>
          </w:r>
          <w:r>
            <w:rPr>
              <w:rFonts w:asciiTheme="minorHAnsi" w:hAnsiTheme="minorHAnsi"/>
              <w:iCs w:val="0"/>
              <w:color w:val="auto"/>
              <w:kern w:val="2"/>
              <w:sz w:val="21"/>
            </w:rPr>
            <w:tab/>
          </w:r>
          <w:r>
            <w:rPr>
              <w:rStyle w:val="24"/>
              <w:rFonts w:hint="eastAsia" w:eastAsia="宋体"/>
            </w:rPr>
            <w:t>项目负责人、技术负责人简历表</w:t>
          </w:r>
          <w:r>
            <w:tab/>
          </w:r>
          <w:r>
            <w:fldChar w:fldCharType="begin"/>
          </w:r>
          <w:r>
            <w:instrText xml:space="preserve"> PAGEREF _Toc495861561 \h </w:instrText>
          </w:r>
          <w:r>
            <w:fldChar w:fldCharType="separate"/>
          </w:r>
          <w:r>
            <w:t>62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"_Toc495861562" </w:instrText>
          </w:r>
          <w:r>
            <w:fldChar w:fldCharType="separate"/>
          </w:r>
          <w:r>
            <w:rPr>
              <w:rStyle w:val="24"/>
              <w:rFonts w:hint="eastAsia" w:eastAsia="宋体"/>
            </w:rPr>
            <w:t>附件十三、</w:t>
          </w:r>
          <w:r>
            <w:rPr>
              <w:rFonts w:asciiTheme="minorHAnsi" w:hAnsiTheme="minorHAnsi"/>
              <w:iCs w:val="0"/>
              <w:color w:val="auto"/>
              <w:kern w:val="2"/>
              <w:sz w:val="21"/>
            </w:rPr>
            <w:tab/>
          </w:r>
          <w:r>
            <w:rPr>
              <w:rStyle w:val="24"/>
              <w:rFonts w:hint="eastAsia" w:eastAsia="宋体"/>
            </w:rPr>
            <w:t>项目班子成员情况表</w:t>
          </w:r>
          <w:r>
            <w:tab/>
          </w:r>
          <w:r>
            <w:fldChar w:fldCharType="begin"/>
          </w:r>
          <w:r>
            <w:instrText xml:space="preserve"> PAGEREF _Toc495861562 \h </w:instrText>
          </w:r>
          <w:r>
            <w:fldChar w:fldCharType="separate"/>
          </w:r>
          <w:r>
            <w:t>63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"_Toc495861563" </w:instrText>
          </w:r>
          <w:r>
            <w:fldChar w:fldCharType="separate"/>
          </w:r>
          <w:r>
            <w:rPr>
              <w:rStyle w:val="24"/>
              <w:rFonts w:hint="eastAsia" w:eastAsia="宋体"/>
            </w:rPr>
            <w:t>附件十四、</w:t>
          </w:r>
          <w:r>
            <w:rPr>
              <w:rFonts w:asciiTheme="minorHAnsi" w:hAnsiTheme="minorHAnsi"/>
              <w:iCs w:val="0"/>
              <w:color w:val="auto"/>
              <w:kern w:val="2"/>
              <w:sz w:val="21"/>
            </w:rPr>
            <w:tab/>
          </w:r>
          <w:r>
            <w:rPr>
              <w:rStyle w:val="24"/>
              <w:rFonts w:hint="eastAsia" w:eastAsia="宋体"/>
            </w:rPr>
            <w:t>投标人类似项目业绩表</w:t>
          </w:r>
          <w:r>
            <w:tab/>
          </w:r>
          <w:r>
            <w:fldChar w:fldCharType="begin"/>
          </w:r>
          <w:r>
            <w:instrText xml:space="preserve"> PAGEREF _Toc495861563 \h </w:instrText>
          </w:r>
          <w:r>
            <w:fldChar w:fldCharType="separate"/>
          </w:r>
          <w:r>
            <w:t>64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"_Toc495861564" </w:instrText>
          </w:r>
          <w:r>
            <w:fldChar w:fldCharType="separate"/>
          </w:r>
          <w:r>
            <w:rPr>
              <w:rStyle w:val="24"/>
              <w:rFonts w:hint="eastAsia" w:eastAsia="宋体"/>
            </w:rPr>
            <w:t>附件十五、</w:t>
          </w:r>
          <w:r>
            <w:rPr>
              <w:rFonts w:asciiTheme="minorHAnsi" w:hAnsiTheme="minorHAnsi"/>
              <w:iCs w:val="0"/>
              <w:color w:val="auto"/>
              <w:kern w:val="2"/>
              <w:sz w:val="21"/>
            </w:rPr>
            <w:tab/>
          </w:r>
          <w:r>
            <w:rPr>
              <w:rStyle w:val="24"/>
              <w:rFonts w:hint="eastAsia" w:eastAsia="宋体"/>
            </w:rPr>
            <w:t>符合性审查对照表</w:t>
          </w:r>
          <w:r>
            <w:tab/>
          </w:r>
          <w:r>
            <w:fldChar w:fldCharType="begin"/>
          </w:r>
          <w:r>
            <w:instrText xml:space="preserve"> PAGEREF _Toc495861564 \h </w:instrText>
          </w:r>
          <w:r>
            <w:fldChar w:fldCharType="separate"/>
          </w:r>
          <w:r>
            <w:t>65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"_Toc495861565" </w:instrText>
          </w:r>
          <w:r>
            <w:fldChar w:fldCharType="separate"/>
          </w:r>
          <w:r>
            <w:rPr>
              <w:rStyle w:val="24"/>
              <w:rFonts w:hint="eastAsia" w:eastAsia="宋体"/>
            </w:rPr>
            <w:t>附件十六、</w:t>
          </w:r>
          <w:r>
            <w:rPr>
              <w:rFonts w:asciiTheme="minorHAnsi" w:hAnsiTheme="minorHAnsi"/>
              <w:iCs w:val="0"/>
              <w:color w:val="auto"/>
              <w:kern w:val="2"/>
              <w:sz w:val="21"/>
            </w:rPr>
            <w:tab/>
          </w:r>
          <w:r>
            <w:rPr>
              <w:rStyle w:val="24"/>
              <w:rFonts w:hint="eastAsia" w:eastAsia="宋体"/>
            </w:rPr>
            <w:t>商务要求响应、偏离说明表</w:t>
          </w:r>
          <w:r>
            <w:tab/>
          </w:r>
          <w:r>
            <w:fldChar w:fldCharType="begin"/>
          </w:r>
          <w:r>
            <w:instrText xml:space="preserve"> PAGEREF _Toc495861565 \h </w:instrText>
          </w:r>
          <w:r>
            <w:fldChar w:fldCharType="separate"/>
          </w:r>
          <w:r>
            <w:t>66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"_Toc495861566" </w:instrText>
          </w:r>
          <w:r>
            <w:fldChar w:fldCharType="separate"/>
          </w:r>
          <w:r>
            <w:rPr>
              <w:rStyle w:val="24"/>
              <w:rFonts w:hint="eastAsia" w:eastAsia="宋体"/>
            </w:rPr>
            <w:t>附件十七、</w:t>
          </w:r>
          <w:r>
            <w:rPr>
              <w:rFonts w:asciiTheme="minorHAnsi" w:hAnsiTheme="minorHAnsi"/>
              <w:iCs w:val="0"/>
              <w:color w:val="auto"/>
              <w:kern w:val="2"/>
              <w:sz w:val="21"/>
            </w:rPr>
            <w:tab/>
          </w:r>
          <w:r>
            <w:rPr>
              <w:rStyle w:val="24"/>
              <w:rFonts w:hint="eastAsia" w:eastAsia="宋体"/>
            </w:rPr>
            <w:t>商务要求“★”号条款响应、偏离说明表</w:t>
          </w:r>
          <w:r>
            <w:tab/>
          </w:r>
          <w:r>
            <w:fldChar w:fldCharType="begin"/>
          </w:r>
          <w:r>
            <w:instrText xml:space="preserve"> PAGEREF _Toc495861566 \h </w:instrText>
          </w:r>
          <w:r>
            <w:fldChar w:fldCharType="separate"/>
          </w:r>
          <w:r>
            <w:t>67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"_Toc495861567" </w:instrText>
          </w:r>
          <w:r>
            <w:fldChar w:fldCharType="separate"/>
          </w:r>
          <w:r>
            <w:rPr>
              <w:rStyle w:val="24"/>
              <w:rFonts w:hint="eastAsia" w:eastAsia="宋体"/>
            </w:rPr>
            <w:t>附件十八、</w:t>
          </w:r>
          <w:r>
            <w:rPr>
              <w:rFonts w:asciiTheme="minorHAnsi" w:hAnsiTheme="minorHAnsi"/>
              <w:iCs w:val="0"/>
              <w:color w:val="auto"/>
              <w:kern w:val="2"/>
              <w:sz w:val="21"/>
            </w:rPr>
            <w:tab/>
          </w:r>
          <w:r>
            <w:rPr>
              <w:rStyle w:val="24"/>
              <w:rFonts w:hint="eastAsia" w:eastAsia="宋体"/>
            </w:rPr>
            <w:t>商务评议对照表</w:t>
          </w:r>
          <w:r>
            <w:tab/>
          </w:r>
          <w:r>
            <w:fldChar w:fldCharType="begin"/>
          </w:r>
          <w:r>
            <w:instrText xml:space="preserve"> PAGEREF _Toc495861567 \h </w:instrText>
          </w:r>
          <w:r>
            <w:fldChar w:fldCharType="separate"/>
          </w:r>
          <w:r>
            <w:t>68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"_Toc495861568" </w:instrText>
          </w:r>
          <w:r>
            <w:fldChar w:fldCharType="separate"/>
          </w:r>
          <w:r>
            <w:rPr>
              <w:rStyle w:val="24"/>
              <w:rFonts w:hint="eastAsia" w:eastAsia="宋体"/>
            </w:rPr>
            <w:t>附件十九、</w:t>
          </w:r>
          <w:r>
            <w:rPr>
              <w:rFonts w:asciiTheme="minorHAnsi" w:hAnsiTheme="minorHAnsi"/>
              <w:iCs w:val="0"/>
              <w:color w:val="auto"/>
              <w:kern w:val="2"/>
              <w:sz w:val="21"/>
            </w:rPr>
            <w:tab/>
          </w:r>
          <w:r>
            <w:rPr>
              <w:rStyle w:val="24"/>
              <w:rFonts w:hint="eastAsia" w:eastAsia="宋体"/>
            </w:rPr>
            <w:t>技术、服务要求响应、偏离说明表</w:t>
          </w:r>
          <w:r>
            <w:tab/>
          </w:r>
          <w:r>
            <w:fldChar w:fldCharType="begin"/>
          </w:r>
          <w:r>
            <w:instrText xml:space="preserve"> PAGEREF _Toc495861568 \h </w:instrText>
          </w:r>
          <w:r>
            <w:fldChar w:fldCharType="separate"/>
          </w:r>
          <w:r>
            <w:t>69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"_Toc495861569" </w:instrText>
          </w:r>
          <w:r>
            <w:fldChar w:fldCharType="separate"/>
          </w:r>
          <w:r>
            <w:rPr>
              <w:rStyle w:val="24"/>
              <w:rFonts w:hint="eastAsia" w:eastAsia="宋体"/>
            </w:rPr>
            <w:t>附件二十、</w:t>
          </w:r>
          <w:r>
            <w:rPr>
              <w:rFonts w:asciiTheme="minorHAnsi" w:hAnsiTheme="minorHAnsi"/>
              <w:iCs w:val="0"/>
              <w:color w:val="auto"/>
              <w:kern w:val="2"/>
              <w:sz w:val="21"/>
            </w:rPr>
            <w:tab/>
          </w:r>
          <w:r>
            <w:rPr>
              <w:rStyle w:val="24"/>
              <w:rFonts w:hint="eastAsia" w:eastAsia="宋体"/>
            </w:rPr>
            <w:t>技术、服务要求“★”号条款响应、偏离说明表</w:t>
          </w:r>
          <w:r>
            <w:tab/>
          </w:r>
          <w:r>
            <w:fldChar w:fldCharType="begin"/>
          </w:r>
          <w:r>
            <w:instrText xml:space="preserve"> PAGEREF _Toc495861569 \h </w:instrText>
          </w:r>
          <w:r>
            <w:fldChar w:fldCharType="separate"/>
          </w:r>
          <w:r>
            <w:t>70</w:t>
          </w:r>
          <w:r>
            <w:fldChar w:fldCharType="end"/>
          </w:r>
          <w:r>
            <w:fldChar w:fldCharType="end"/>
          </w:r>
        </w:p>
        <w:p>
          <w:pPr>
            <w:pStyle w:val="16"/>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4"/>
              <w:rFonts w:hint="eastAsia" w:eastAsia="宋体"/>
            </w:rPr>
            <w:t>附件二十一、</w:t>
          </w:r>
          <w:r>
            <w:rPr>
              <w:rFonts w:asciiTheme="minorHAnsi" w:hAnsiTheme="minorHAnsi"/>
              <w:iCs w:val="0"/>
              <w:color w:val="auto"/>
              <w:kern w:val="2"/>
              <w:sz w:val="21"/>
            </w:rPr>
            <w:tab/>
          </w:r>
          <w:r>
            <w:rPr>
              <w:rStyle w:val="24"/>
              <w:rFonts w:hint="eastAsia" w:eastAsia="宋体"/>
            </w:rPr>
            <w:t>技术、服务评议对照表</w:t>
          </w:r>
          <w:r>
            <w:tab/>
          </w:r>
          <w:r>
            <w:fldChar w:fldCharType="begin"/>
          </w:r>
          <w:r>
            <w:instrText xml:space="preserve"> PAGEREF _Toc495861570 \h </w:instrText>
          </w:r>
          <w:r>
            <w:fldChar w:fldCharType="separate"/>
          </w:r>
          <w:r>
            <w:t>71</w:t>
          </w:r>
          <w:r>
            <w:fldChar w:fldCharType="end"/>
          </w:r>
          <w:r>
            <w:fldChar w:fldCharType="end"/>
          </w:r>
        </w:p>
        <w:p>
          <w:pPr>
            <w:pStyle w:val="15"/>
            <w:tabs>
              <w:tab w:val="left" w:pos="1260"/>
              <w:tab w:val="right" w:leader="dot" w:pos="9514"/>
            </w:tabs>
          </w:pPr>
          <w:r>
            <w:fldChar w:fldCharType="end"/>
          </w:r>
          <w:r>
            <w:rPr>
              <w:rFonts w:hint="eastAsia"/>
              <w:lang w:val="en-US" w:eastAsia="zh-CN"/>
            </w:rPr>
            <w:t xml:space="preserve"> </w:t>
          </w:r>
          <w:r>
            <w:fldChar w:fldCharType="begin"/>
          </w:r>
          <w:r>
            <w:instrText xml:space="preserve"> HYPERLINK \l "_Toc495861570" </w:instrText>
          </w:r>
          <w:r>
            <w:fldChar w:fldCharType="separate"/>
          </w:r>
          <w:r>
            <w:rPr>
              <w:rFonts w:hint="eastAsia" w:asciiTheme="majorEastAsia" w:hAnsiTheme="majorEastAsia" w:eastAsiaTheme="majorEastAsia" w:cstheme="majorEastAsia"/>
              <w:b w:val="0"/>
              <w:bCs/>
              <w:sz w:val="24"/>
              <w:szCs w:val="24"/>
            </w:rPr>
            <w:t>附件二十二、项目绩效考核实施细则</w:t>
          </w:r>
          <w:r>
            <w:rPr>
              <w:rFonts w:hint="eastAsia" w:asciiTheme="majorEastAsia" w:hAnsiTheme="majorEastAsia" w:eastAsiaTheme="majorEastAsia" w:cstheme="majorEastAsia"/>
              <w:b w:val="0"/>
              <w:bCs/>
              <w:sz w:val="24"/>
              <w:szCs w:val="24"/>
            </w:rPr>
            <w:tab/>
          </w:r>
          <w:r>
            <w:rPr>
              <w:rFonts w:hint="eastAsia" w:asciiTheme="majorEastAsia" w:hAnsiTheme="majorEastAsia" w:eastAsiaTheme="majorEastAsia" w:cstheme="majorEastAsia"/>
              <w:b w:val="0"/>
              <w:bCs/>
              <w:sz w:val="24"/>
              <w:szCs w:val="24"/>
            </w:rPr>
            <w:fldChar w:fldCharType="begin"/>
          </w:r>
          <w:r>
            <w:rPr>
              <w:rFonts w:hint="eastAsia" w:asciiTheme="majorEastAsia" w:hAnsiTheme="majorEastAsia" w:eastAsiaTheme="majorEastAsia" w:cstheme="majorEastAsia"/>
              <w:b w:val="0"/>
              <w:bCs/>
              <w:sz w:val="24"/>
              <w:szCs w:val="24"/>
            </w:rPr>
            <w:instrText xml:space="preserve"> PAGEREF _Toc495861570 \h </w:instrText>
          </w:r>
          <w:r>
            <w:rPr>
              <w:rFonts w:hint="eastAsia" w:asciiTheme="majorEastAsia" w:hAnsiTheme="majorEastAsia" w:eastAsiaTheme="majorEastAsia" w:cstheme="majorEastAsia"/>
              <w:b w:val="0"/>
              <w:bCs/>
              <w:sz w:val="24"/>
              <w:szCs w:val="24"/>
            </w:rPr>
            <w:fldChar w:fldCharType="separate"/>
          </w:r>
          <w:r>
            <w:rPr>
              <w:rFonts w:hint="eastAsia" w:asciiTheme="majorEastAsia" w:hAnsiTheme="majorEastAsia" w:eastAsiaTheme="majorEastAsia" w:cstheme="majorEastAsia"/>
              <w:b w:val="0"/>
              <w:bCs/>
              <w:sz w:val="24"/>
              <w:szCs w:val="24"/>
            </w:rPr>
            <w:t>71</w:t>
          </w:r>
          <w:r>
            <w:rPr>
              <w:rFonts w:hint="eastAsia" w:asciiTheme="majorEastAsia" w:hAnsiTheme="majorEastAsia" w:eastAsiaTheme="majorEastAsia" w:cstheme="majorEastAsia"/>
              <w:b w:val="0"/>
              <w:bCs/>
              <w:sz w:val="24"/>
              <w:szCs w:val="24"/>
            </w:rPr>
            <w:fldChar w:fldCharType="end"/>
          </w:r>
          <w:r>
            <w:rPr>
              <w:rFonts w:hint="eastAsia" w:asciiTheme="majorEastAsia" w:hAnsiTheme="majorEastAsia" w:eastAsiaTheme="majorEastAsia" w:cstheme="majorEastAsia"/>
              <w:b w:val="0"/>
              <w:bCs/>
              <w:sz w:val="24"/>
              <w:szCs w:val="24"/>
            </w:rPr>
            <w:fldChar w:fldCharType="end"/>
          </w:r>
          <w:r>
            <w:rPr>
              <w:b w:val="0"/>
              <w:bCs/>
              <w:lang w:val="zh-CN"/>
            </w:rPr>
            <w:tab/>
          </w:r>
        </w:p>
      </w:sdtContent>
    </w:sdt>
    <w:p>
      <w:r>
        <w:br w:type="page"/>
      </w:r>
    </w:p>
    <w:p>
      <w:pPr>
        <w:pStyle w:val="2"/>
        <w:numPr>
          <w:ilvl w:val="0"/>
          <w:numId w:val="1"/>
        </w:numPr>
        <w:spacing w:before="240" w:after="120"/>
        <w:ind w:left="883" w:hanging="883" w:hangingChars="200"/>
        <w:jc w:val="center"/>
        <w:rPr>
          <w:rFonts w:ascii="黑体" w:hAnsi="黑体" w:eastAsia="黑体"/>
        </w:rPr>
      </w:pPr>
      <w:bookmarkStart w:id="0" w:name="_Toc495861517"/>
      <w:r>
        <w:rPr>
          <w:rFonts w:hint="eastAsia" w:ascii="黑体" w:hAnsi="黑体" w:eastAsia="黑体"/>
        </w:rPr>
        <w:t>投标邀请书</w:t>
      </w:r>
      <w:bookmarkEnd w:id="0"/>
    </w:p>
    <w:p>
      <w:pPr>
        <w:spacing w:line="440" w:lineRule="exact"/>
        <w:ind w:firstLine="480" w:firstLineChars="200"/>
        <w:rPr>
          <w:rFonts w:ascii="宋体" w:hAnsi="宋体"/>
          <w:color w:val="0C0C0C"/>
          <w:sz w:val="24"/>
          <w:szCs w:val="24"/>
        </w:rPr>
      </w:pPr>
      <w:r>
        <w:rPr>
          <w:rFonts w:hint="eastAsia" w:ascii="宋体" w:hAnsi="宋体"/>
          <w:color w:val="0C0C0C"/>
          <w:sz w:val="24"/>
          <w:szCs w:val="24"/>
        </w:rPr>
        <w:t>依据阳财采计备[2019]A</w:t>
      </w:r>
      <w:r>
        <w:rPr>
          <w:rFonts w:hint="eastAsia" w:ascii="宋体" w:hAnsi="宋体"/>
          <w:color w:val="0C0C0C"/>
          <w:sz w:val="24"/>
          <w:szCs w:val="24"/>
          <w:lang w:val="en-US" w:eastAsia="zh-CN"/>
        </w:rPr>
        <w:t>182</w:t>
      </w:r>
      <w:r>
        <w:rPr>
          <w:rFonts w:hint="eastAsia" w:ascii="宋体" w:hAnsi="宋体"/>
          <w:color w:val="0C0C0C"/>
          <w:sz w:val="24"/>
          <w:szCs w:val="24"/>
        </w:rPr>
        <w:t>号备案表的要求，湖北顺成建设工程招标代理有限公司受</w:t>
      </w:r>
      <w:r>
        <w:rPr>
          <w:rFonts w:hint="eastAsia" w:ascii="宋体" w:hAnsi="宋体"/>
          <w:color w:val="0C0C0C"/>
          <w:sz w:val="24"/>
          <w:szCs w:val="24"/>
          <w:u w:val="single"/>
        </w:rPr>
        <w:t>阳新县住房和城乡建设局</w:t>
      </w:r>
      <w:r>
        <w:rPr>
          <w:rFonts w:hint="eastAsia" w:ascii="宋体" w:hAnsi="宋体"/>
          <w:color w:val="0C0C0C"/>
          <w:sz w:val="24"/>
          <w:szCs w:val="24"/>
        </w:rPr>
        <w:t>委托，就</w:t>
      </w:r>
      <w:r>
        <w:rPr>
          <w:rFonts w:hint="eastAsia" w:ascii="宋体" w:hAnsi="宋体"/>
          <w:color w:val="0C0C0C"/>
          <w:sz w:val="24"/>
          <w:szCs w:val="24"/>
          <w:u w:val="single"/>
        </w:rPr>
        <w:t>阳新县仙岛湖污水处理厂运营服务项目</w:t>
      </w:r>
      <w:r>
        <w:rPr>
          <w:rFonts w:hint="eastAsia" w:ascii="宋体" w:hAnsi="宋体"/>
          <w:color w:val="0C0C0C"/>
          <w:sz w:val="24"/>
          <w:szCs w:val="24"/>
        </w:rPr>
        <w:t>进行公开招标采购，欢迎符合条件的供应商投标。</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项目编号：</w:t>
      </w:r>
      <w:r>
        <w:rPr>
          <w:rFonts w:hint="eastAsia" w:ascii="宋体" w:hAnsi="宋体"/>
          <w:b/>
          <w:color w:val="0C0C0C"/>
          <w:sz w:val="24"/>
          <w:szCs w:val="24"/>
          <w:lang w:val="en-US" w:eastAsia="zh-CN"/>
        </w:rPr>
        <w:t xml:space="preserve"> </w:t>
      </w:r>
      <w:r>
        <w:rPr>
          <w:rFonts w:hint="eastAsia" w:asciiTheme="minorEastAsia" w:hAnsiTheme="minorEastAsia" w:eastAsiaTheme="minorEastAsia" w:cstheme="minorEastAsia"/>
          <w:bCs/>
          <w:color w:val="000000" w:themeColor="text1"/>
          <w:sz w:val="28"/>
          <w:szCs w:val="28"/>
          <w:u w:val="none"/>
          <w:lang w:val="en-US" w:eastAsia="zh-CN"/>
          <w14:textFill>
            <w14:solidFill>
              <w14:schemeClr w14:val="tx1"/>
            </w14:solidFill>
          </w14:textFill>
        </w:rPr>
        <w:t>131-2019CG-205</w:t>
      </w:r>
      <w:bookmarkStart w:id="281" w:name="_GoBack"/>
      <w:bookmarkEnd w:id="281"/>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项目名称：</w:t>
      </w:r>
      <w:r>
        <w:rPr>
          <w:rFonts w:hint="eastAsia" w:ascii="宋体" w:hAnsi="宋体"/>
          <w:bCs/>
          <w:color w:val="0C0C0C"/>
          <w:sz w:val="24"/>
          <w:szCs w:val="24"/>
        </w:rPr>
        <w:t>阳新县仙岛湖污水处理厂运营服务项目</w:t>
      </w:r>
    </w:p>
    <w:p>
      <w:pPr>
        <w:numPr>
          <w:ilvl w:val="0"/>
          <w:numId w:val="2"/>
        </w:numPr>
        <w:spacing w:line="440" w:lineRule="exact"/>
        <w:ind w:left="490" w:hanging="490"/>
        <w:rPr>
          <w:rFonts w:ascii="宋体" w:hAnsi="宋体"/>
          <w:bCs/>
          <w:color w:val="0C0C0C"/>
          <w:sz w:val="24"/>
          <w:szCs w:val="24"/>
        </w:rPr>
      </w:pPr>
      <w:r>
        <w:rPr>
          <w:rFonts w:hint="eastAsia" w:ascii="宋体" w:hAnsi="宋体"/>
          <w:b/>
          <w:color w:val="0C0C0C"/>
          <w:sz w:val="24"/>
          <w:szCs w:val="24"/>
        </w:rPr>
        <w:t>招标内容：</w:t>
      </w:r>
      <w:r>
        <w:rPr>
          <w:rFonts w:hint="eastAsia" w:ascii="宋体" w:hAnsi="宋体"/>
          <w:bCs/>
          <w:color w:val="0C0C0C"/>
          <w:sz w:val="24"/>
          <w:szCs w:val="24"/>
        </w:rPr>
        <w:t>阳新县仙岛湖污水处理厂运营服务项目</w:t>
      </w:r>
      <w:r>
        <w:rPr>
          <w:rFonts w:hint="eastAsia" w:ascii="宋体" w:hAnsi="宋体"/>
          <w:bCs/>
          <w:color w:val="0C0C0C"/>
          <w:sz w:val="24"/>
          <w:szCs w:val="24"/>
          <w:lang w:eastAsia="zh-CN"/>
        </w:rPr>
        <w:t>：</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1.负责污水处理设备、设施日常维护维修及更换，污水管网日常巡查、维修；</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2.负责污水、污泥达标排放所需的所有药剂和原料；</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3.负责电费、水费、化验室、人工工资、药剂、维修费、管理费及税金；</w:t>
      </w:r>
    </w:p>
    <w:p>
      <w:pPr>
        <w:spacing w:line="440" w:lineRule="exact"/>
        <w:ind w:left="1198" w:leftChars="456" w:hanging="240" w:hangingChars="100"/>
        <w:rPr>
          <w:rFonts w:ascii="宋体" w:hAnsi="宋体"/>
          <w:bCs/>
          <w:color w:val="0C0C0C"/>
          <w:sz w:val="24"/>
          <w:szCs w:val="24"/>
        </w:rPr>
      </w:pPr>
      <w:r>
        <w:rPr>
          <w:rFonts w:hint="eastAsia" w:ascii="宋体" w:hAnsi="宋体"/>
          <w:bCs/>
          <w:color w:val="0C0C0C"/>
          <w:sz w:val="24"/>
          <w:szCs w:val="24"/>
        </w:rPr>
        <w:t>4.污水处理排放各项指标达到 GB18918-2002 的一级 A 标准；</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5.负责镇区生产企业污水排放口取样化验；</w:t>
      </w:r>
    </w:p>
    <w:p>
      <w:pPr>
        <w:spacing w:line="440" w:lineRule="exact"/>
        <w:ind w:firstLine="960" w:firstLineChars="400"/>
        <w:rPr>
          <w:rFonts w:ascii="宋体" w:hAnsi="宋体"/>
          <w:bCs/>
          <w:color w:val="0C0C0C"/>
          <w:sz w:val="24"/>
          <w:szCs w:val="24"/>
        </w:rPr>
      </w:pPr>
      <w:r>
        <w:rPr>
          <w:rFonts w:hint="eastAsia" w:ascii="宋体" w:hAnsi="宋体"/>
          <w:bCs/>
          <w:color w:val="0C0C0C"/>
          <w:sz w:val="24"/>
          <w:szCs w:val="24"/>
        </w:rPr>
        <w:t>6.负责活性污泥的稳定；</w:t>
      </w:r>
    </w:p>
    <w:p>
      <w:pPr>
        <w:spacing w:line="440" w:lineRule="exact"/>
        <w:ind w:firstLine="960" w:firstLineChars="400"/>
        <w:rPr>
          <w:rFonts w:ascii="宋体" w:hAnsi="宋体"/>
          <w:color w:val="0C0C0C"/>
          <w:sz w:val="24"/>
          <w:szCs w:val="24"/>
        </w:rPr>
      </w:pPr>
      <w:r>
        <w:rPr>
          <w:rFonts w:hint="eastAsia" w:ascii="宋体" w:hAnsi="宋体"/>
          <w:bCs/>
          <w:color w:val="0C0C0C"/>
          <w:sz w:val="24"/>
          <w:szCs w:val="24"/>
        </w:rPr>
        <w:t>7.按时提供环保监测报告及运行资料收集上报。</w:t>
      </w:r>
    </w:p>
    <w:p>
      <w:pPr>
        <w:numPr>
          <w:ilvl w:val="0"/>
          <w:numId w:val="2"/>
        </w:numPr>
        <w:spacing w:line="440" w:lineRule="exact"/>
        <w:ind w:left="490" w:hanging="490"/>
        <w:rPr>
          <w:rFonts w:ascii="宋体" w:hAnsi="宋体"/>
          <w:b/>
          <w:bCs/>
          <w:color w:val="FF0000"/>
          <w:sz w:val="24"/>
          <w:szCs w:val="24"/>
        </w:rPr>
      </w:pPr>
      <w:r>
        <w:rPr>
          <w:rFonts w:hint="eastAsia" w:ascii="宋体" w:hAnsi="宋体"/>
          <w:b/>
          <w:color w:val="0C0C0C"/>
          <w:sz w:val="24"/>
          <w:szCs w:val="24"/>
        </w:rPr>
        <w:t>采购预算：135.553</w:t>
      </w:r>
      <w:r>
        <w:rPr>
          <w:rFonts w:hint="eastAsia" w:ascii="宋体" w:hAnsi="宋体"/>
          <w:bCs/>
          <w:color w:val="0C0C0C"/>
          <w:sz w:val="24"/>
          <w:szCs w:val="24"/>
        </w:rPr>
        <w:t>万元/年（运营服务合同期限为二十八年）。</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资金来源：财政资金</w:t>
      </w:r>
    </w:p>
    <w:p>
      <w:pPr>
        <w:numPr>
          <w:ilvl w:val="0"/>
          <w:numId w:val="2"/>
        </w:numPr>
        <w:spacing w:line="440" w:lineRule="exact"/>
        <w:ind w:left="490" w:hanging="490"/>
        <w:rPr>
          <w:rFonts w:ascii="宋体" w:hAnsi="宋体"/>
          <w:color w:val="0C0C0C"/>
          <w:sz w:val="24"/>
          <w:szCs w:val="24"/>
        </w:rPr>
      </w:pPr>
      <w:r>
        <w:rPr>
          <w:rFonts w:hint="eastAsia" w:ascii="宋体" w:hAnsi="宋体"/>
          <w:b/>
          <w:color w:val="0C0C0C"/>
          <w:sz w:val="24"/>
          <w:szCs w:val="24"/>
        </w:rPr>
        <w:t>政府集中采购项目：否</w:t>
      </w:r>
    </w:p>
    <w:p>
      <w:pPr>
        <w:numPr>
          <w:ilvl w:val="0"/>
          <w:numId w:val="2"/>
        </w:numPr>
        <w:spacing w:line="440" w:lineRule="exact"/>
        <w:ind w:left="490" w:hanging="490"/>
        <w:rPr>
          <w:rFonts w:ascii="宋体" w:hAnsi="宋体"/>
          <w:b/>
          <w:color w:val="0C0C0C"/>
          <w:sz w:val="24"/>
          <w:szCs w:val="24"/>
        </w:rPr>
      </w:pPr>
      <w:r>
        <w:rPr>
          <w:rFonts w:hint="eastAsia" w:ascii="宋体" w:hAnsi="宋体"/>
          <w:b/>
          <w:color w:val="0C0C0C"/>
          <w:sz w:val="24"/>
          <w:szCs w:val="24"/>
        </w:rPr>
        <w:t>投标人资格要求：</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应具备《政府采购法》第二十二条第一款规定的条件；</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供应商必须具备独立法人资格，提供合格有效的营业执照，具备完成此项目必需的设备和专业技术能力；</w:t>
      </w:r>
    </w:p>
    <w:p>
      <w:pPr>
        <w:numPr>
          <w:ilvl w:val="0"/>
          <w:numId w:val="3"/>
        </w:numPr>
        <w:tabs>
          <w:tab w:val="left" w:pos="896"/>
        </w:tabs>
        <w:spacing w:line="440" w:lineRule="exact"/>
        <w:rPr>
          <w:rFonts w:ascii="宋体" w:hAnsi="宋体"/>
          <w:color w:val="0C0C0C"/>
          <w:sz w:val="24"/>
          <w:szCs w:val="24"/>
        </w:rPr>
      </w:pPr>
      <w:r>
        <w:rPr>
          <w:rFonts w:hint="eastAsia" w:ascii="宋体" w:hAnsi="宋体"/>
          <w:color w:val="0C0C0C"/>
          <w:sz w:val="24"/>
          <w:szCs w:val="24"/>
        </w:rPr>
        <w:t>不接受联合体形式的投标。</w:t>
      </w:r>
    </w:p>
    <w:p>
      <w:pPr>
        <w:numPr>
          <w:ilvl w:val="0"/>
          <w:numId w:val="2"/>
        </w:numPr>
        <w:spacing w:line="440" w:lineRule="exact"/>
        <w:ind w:left="490" w:hanging="490"/>
        <w:rPr>
          <w:rFonts w:ascii="宋体" w:hAnsi="宋体" w:cs="宋体"/>
          <w:b/>
          <w:color w:val="0C0C0C"/>
          <w:kern w:val="0"/>
          <w:sz w:val="24"/>
          <w:szCs w:val="24"/>
        </w:rPr>
      </w:pPr>
      <w:r>
        <w:rPr>
          <w:rFonts w:hint="eastAsia" w:ascii="宋体" w:hAnsi="宋体" w:cs="宋体"/>
          <w:b/>
          <w:color w:val="0C0C0C"/>
          <w:kern w:val="0"/>
          <w:sz w:val="24"/>
          <w:szCs w:val="24"/>
        </w:rPr>
        <w:t>政府采购相关政策执行：</w:t>
      </w:r>
    </w:p>
    <w:p>
      <w:pPr>
        <w:tabs>
          <w:tab w:val="left" w:pos="896"/>
        </w:tabs>
        <w:spacing w:line="440" w:lineRule="exact"/>
        <w:ind w:firstLine="480" w:firstLineChars="200"/>
        <w:rPr>
          <w:rFonts w:ascii="宋体" w:hAnsi="宋体"/>
          <w:color w:val="0C0C0C"/>
          <w:sz w:val="24"/>
          <w:szCs w:val="24"/>
        </w:rPr>
      </w:pPr>
      <w:r>
        <w:rPr>
          <w:rFonts w:ascii="宋体" w:hAnsi="宋体"/>
          <w:color w:val="0C0C0C"/>
          <w:sz w:val="24"/>
          <w:szCs w:val="24"/>
        </w:rPr>
        <w:t>落实</w:t>
      </w:r>
      <w:r>
        <w:rPr>
          <w:rFonts w:hint="eastAsia" w:ascii="宋体" w:hAnsi="宋体"/>
          <w:color w:val="0C0C0C"/>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440" w:lineRule="exact"/>
        <w:ind w:firstLine="482" w:firstLineChars="200"/>
        <w:rPr>
          <w:rFonts w:ascii="宋体" w:hAnsi="宋体"/>
          <w:b/>
          <w:color w:val="0C0C0C"/>
          <w:sz w:val="24"/>
          <w:szCs w:val="24"/>
        </w:rPr>
      </w:pPr>
      <w:r>
        <w:rPr>
          <w:rFonts w:hint="eastAsia" w:ascii="宋体" w:hAnsi="宋体"/>
          <w:b/>
          <w:color w:val="0C0C0C"/>
          <w:sz w:val="24"/>
          <w:szCs w:val="24"/>
        </w:rPr>
        <w:t>是否专门面向中小企业、监狱企业、残疾人福利性单位：否。</w:t>
      </w:r>
    </w:p>
    <w:p>
      <w:pPr>
        <w:numPr>
          <w:ilvl w:val="0"/>
          <w:numId w:val="2"/>
        </w:numPr>
        <w:spacing w:line="440" w:lineRule="exact"/>
        <w:ind w:left="490" w:hanging="490"/>
        <w:rPr>
          <w:rFonts w:ascii="宋体" w:hAnsi="宋体" w:cs="宋体"/>
          <w:b/>
          <w:color w:val="0C0C0C"/>
          <w:kern w:val="0"/>
          <w:sz w:val="24"/>
          <w:szCs w:val="24"/>
        </w:rPr>
      </w:pPr>
      <w:r>
        <w:rPr>
          <w:rFonts w:hint="eastAsia" w:ascii="宋体" w:hAnsi="宋体" w:cs="宋体"/>
          <w:b/>
          <w:color w:val="0C0C0C"/>
          <w:kern w:val="0"/>
          <w:sz w:val="24"/>
          <w:szCs w:val="24"/>
          <w:lang w:val="zh-CN"/>
        </w:rPr>
        <w:t>招标文件获取</w:t>
      </w:r>
      <w:r>
        <w:rPr>
          <w:rFonts w:hint="eastAsia" w:ascii="宋体" w:hAnsi="宋体" w:cs="宋体"/>
          <w:b/>
          <w:color w:val="0C0C0C"/>
          <w:kern w:val="0"/>
          <w:sz w:val="24"/>
          <w:szCs w:val="24"/>
        </w:rPr>
        <w:t>：</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olor w:val="0C0C0C"/>
          <w:sz w:val="24"/>
          <w:szCs w:val="24"/>
        </w:rPr>
        <w:t xml:space="preserve">本项目实行网上下载标书，招标文件与本招标公告同时发布（见招标文件下载），凡自愿参加本项目投标者，请于 </w:t>
      </w:r>
      <w:r>
        <w:rPr>
          <w:rFonts w:hint="eastAsia" w:ascii="宋体" w:hAnsi="宋体"/>
          <w:color w:val="0000FF"/>
          <w:sz w:val="24"/>
          <w:szCs w:val="24"/>
          <w:u w:val="single"/>
        </w:rPr>
        <w:t>2019年</w:t>
      </w:r>
      <w:r>
        <w:rPr>
          <w:rFonts w:hint="eastAsia" w:ascii="宋体" w:hAnsi="宋体"/>
          <w:color w:val="0000FF"/>
          <w:sz w:val="24"/>
          <w:szCs w:val="24"/>
          <w:u w:val="single"/>
          <w:lang w:val="en-US" w:eastAsia="zh-CN"/>
        </w:rPr>
        <w:t>11</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25</w:t>
      </w:r>
      <w:r>
        <w:rPr>
          <w:rFonts w:hint="eastAsia" w:ascii="宋体" w:hAnsi="宋体"/>
          <w:color w:val="0000FF"/>
          <w:sz w:val="24"/>
          <w:szCs w:val="24"/>
          <w:u w:val="single"/>
        </w:rPr>
        <w:t>日至2019年</w:t>
      </w:r>
      <w:r>
        <w:rPr>
          <w:rFonts w:hint="eastAsia" w:ascii="宋体" w:hAnsi="宋体"/>
          <w:color w:val="0000FF"/>
          <w:sz w:val="24"/>
          <w:szCs w:val="24"/>
          <w:u w:val="single"/>
          <w:lang w:val="en-US" w:eastAsia="zh-CN"/>
        </w:rPr>
        <w:t>12</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2</w:t>
      </w:r>
      <w:r>
        <w:rPr>
          <w:rFonts w:hint="eastAsia" w:ascii="宋体" w:hAnsi="宋体"/>
          <w:color w:val="0000FF"/>
          <w:sz w:val="24"/>
          <w:szCs w:val="24"/>
          <w:u w:val="single"/>
        </w:rPr>
        <w:t>日17:30前</w:t>
      </w:r>
      <w:r>
        <w:rPr>
          <w:rFonts w:hint="eastAsia" w:ascii="宋体" w:hAnsi="宋体"/>
          <w:color w:val="0C0C0C"/>
          <w:sz w:val="24"/>
          <w:szCs w:val="24"/>
        </w:rPr>
        <w:t>点击项目招标公告中的链接免费下载招标文件，并在投标截止时间前办理所有投标手续并同时递交投标文件。</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olor w:val="0C0C0C"/>
          <w:sz w:val="24"/>
          <w:szCs w:val="24"/>
        </w:rPr>
        <w:t>招标文件下载：</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投标信息：</w:t>
      </w:r>
    </w:p>
    <w:p>
      <w:pPr>
        <w:widowControl/>
        <w:numPr>
          <w:ilvl w:val="0"/>
          <w:numId w:val="4"/>
        </w:numPr>
        <w:adjustRightInd w:val="0"/>
        <w:snapToGrid w:val="0"/>
        <w:spacing w:line="440" w:lineRule="exact"/>
        <w:ind w:firstLine="360" w:firstLineChars="150"/>
        <w:jc w:val="left"/>
        <w:rPr>
          <w:rFonts w:ascii="宋体" w:hAnsi="宋体"/>
          <w:color w:val="0C0C0C"/>
          <w:sz w:val="24"/>
          <w:szCs w:val="24"/>
        </w:rPr>
      </w:pPr>
      <w:r>
        <w:rPr>
          <w:rFonts w:hint="eastAsia" w:ascii="宋体" w:hAnsi="宋体" w:cs="宋体"/>
          <w:color w:val="0C0C0C"/>
          <w:kern w:val="0"/>
          <w:sz w:val="24"/>
          <w:szCs w:val="24"/>
        </w:rPr>
        <w:t>投标文件递交截止时间：</w:t>
      </w:r>
      <w:r>
        <w:rPr>
          <w:rFonts w:hint="eastAsia" w:ascii="宋体" w:hAnsi="宋体" w:cs="宋体"/>
          <w:color w:val="0000FF"/>
          <w:kern w:val="0"/>
          <w:sz w:val="24"/>
          <w:szCs w:val="24"/>
          <w:u w:val="single"/>
        </w:rPr>
        <w:t>2019</w:t>
      </w:r>
      <w:r>
        <w:rPr>
          <w:rFonts w:hint="eastAsia" w:ascii="宋体" w:hAnsi="宋体"/>
          <w:color w:val="0000FF"/>
          <w:sz w:val="24"/>
          <w:szCs w:val="24"/>
          <w:u w:val="single"/>
        </w:rPr>
        <w:t>年</w:t>
      </w:r>
      <w:r>
        <w:rPr>
          <w:rFonts w:hint="eastAsia" w:ascii="宋体" w:hAnsi="宋体"/>
          <w:color w:val="0000FF"/>
          <w:sz w:val="24"/>
          <w:szCs w:val="24"/>
          <w:u w:val="single"/>
          <w:lang w:val="en-US" w:eastAsia="zh-CN"/>
        </w:rPr>
        <w:t>12</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19</w:t>
      </w:r>
      <w:r>
        <w:rPr>
          <w:rFonts w:hint="eastAsia" w:ascii="宋体" w:hAnsi="宋体"/>
          <w:color w:val="0000FF"/>
          <w:sz w:val="24"/>
          <w:szCs w:val="24"/>
          <w:u w:val="single"/>
        </w:rPr>
        <w:t>日</w:t>
      </w:r>
      <w:r>
        <w:rPr>
          <w:rFonts w:hint="eastAsia" w:ascii="宋体" w:hAnsi="宋体"/>
          <w:color w:val="0000FF"/>
          <w:sz w:val="24"/>
          <w:szCs w:val="24"/>
          <w:u w:val="single"/>
          <w:lang w:val="en-US" w:eastAsia="zh-CN"/>
        </w:rPr>
        <w:t>9:00</w:t>
      </w:r>
      <w:r>
        <w:rPr>
          <w:rFonts w:hint="eastAsia" w:ascii="宋体" w:hAnsi="宋体" w:cs="宋体"/>
          <w:color w:val="0000FF"/>
          <w:kern w:val="0"/>
          <w:sz w:val="24"/>
          <w:szCs w:val="24"/>
        </w:rPr>
        <w:t>（</w:t>
      </w:r>
      <w:r>
        <w:rPr>
          <w:rFonts w:hint="eastAsia" w:ascii="宋体" w:hAnsi="宋体" w:cs="宋体"/>
          <w:color w:val="0000FF"/>
          <w:kern w:val="0"/>
          <w:sz w:val="24"/>
          <w:szCs w:val="24"/>
          <w:u w:val="single"/>
          <w:lang w:val="en-US" w:eastAsia="zh-CN"/>
        </w:rPr>
        <w:t xml:space="preserve"> 8 </w:t>
      </w:r>
      <w:r>
        <w:rPr>
          <w:rFonts w:hint="eastAsia" w:ascii="宋体" w:hAnsi="宋体" w:cs="宋体"/>
          <w:color w:val="0000FF"/>
          <w:kern w:val="0"/>
          <w:sz w:val="24"/>
          <w:szCs w:val="24"/>
          <w:u w:val="single"/>
        </w:rPr>
        <w:t>时</w:t>
      </w:r>
      <w:r>
        <w:rPr>
          <w:rFonts w:hint="eastAsia" w:ascii="宋体" w:hAnsi="宋体" w:cs="宋体"/>
          <w:color w:val="0000FF"/>
          <w:kern w:val="0"/>
          <w:sz w:val="24"/>
          <w:szCs w:val="24"/>
          <w:u w:val="single"/>
          <w:lang w:val="en-US" w:eastAsia="zh-CN"/>
        </w:rPr>
        <w:t>30</w:t>
      </w:r>
      <w:r>
        <w:rPr>
          <w:rFonts w:hint="eastAsia" w:ascii="宋体" w:hAnsi="宋体" w:cs="宋体"/>
          <w:color w:val="0000FF"/>
          <w:kern w:val="0"/>
          <w:sz w:val="24"/>
          <w:szCs w:val="24"/>
          <w:u w:val="single"/>
        </w:rPr>
        <w:t>分</w:t>
      </w:r>
      <w:r>
        <w:rPr>
          <w:rFonts w:hint="eastAsia" w:ascii="宋体" w:hAnsi="宋体" w:cs="宋体"/>
          <w:color w:val="0C0C0C"/>
          <w:kern w:val="0"/>
          <w:sz w:val="24"/>
          <w:szCs w:val="24"/>
        </w:rPr>
        <w:t>开始接收投标文件，拒收逾期送达或者未按招标文件要求密封的投</w:t>
      </w:r>
      <w:r>
        <w:rPr>
          <w:rFonts w:hint="eastAsia" w:ascii="宋体" w:hAnsi="宋体"/>
          <w:color w:val="0C0C0C"/>
          <w:sz w:val="24"/>
          <w:szCs w:val="24"/>
        </w:rPr>
        <w:t>标文件）</w:t>
      </w:r>
    </w:p>
    <w:p>
      <w:pPr>
        <w:widowControl/>
        <w:numPr>
          <w:ilvl w:val="0"/>
          <w:numId w:val="4"/>
        </w:numPr>
        <w:adjustRightInd w:val="0"/>
        <w:snapToGrid w:val="0"/>
        <w:spacing w:line="440" w:lineRule="exact"/>
        <w:ind w:firstLine="360" w:firstLineChars="150"/>
        <w:jc w:val="left"/>
        <w:rPr>
          <w:rFonts w:ascii="宋体" w:hAnsi="宋体" w:cs="宋体"/>
          <w:color w:val="0C0C0C"/>
          <w:kern w:val="0"/>
          <w:sz w:val="24"/>
          <w:szCs w:val="24"/>
        </w:rPr>
      </w:pPr>
      <w:r>
        <w:rPr>
          <w:rFonts w:hint="eastAsia" w:ascii="宋体" w:hAnsi="宋体"/>
          <w:color w:val="0C0C0C"/>
          <w:sz w:val="24"/>
          <w:szCs w:val="24"/>
        </w:rPr>
        <w:t>投标文件递交地点：阳新县公共资源</w:t>
      </w:r>
      <w:r>
        <w:rPr>
          <w:rFonts w:hint="eastAsia" w:ascii="宋体" w:hAnsi="宋体"/>
          <w:color w:val="FF0000"/>
          <w:sz w:val="24"/>
          <w:szCs w:val="24"/>
        </w:rPr>
        <w:t>交易中心2楼开标大厅,</w:t>
      </w:r>
      <w:r>
        <w:rPr>
          <w:rFonts w:hint="eastAsia" w:ascii="Times New Roman" w:hAnsi="Times New Roman" w:cs="宋体"/>
          <w:color w:val="0C0C0C"/>
          <w:sz w:val="24"/>
          <w:szCs w:val="24"/>
        </w:rPr>
        <w:t>届时请参加投标的授权代表携带有效身份证、法人身份证明书或法人委托授权书（原件）出席开标大会，否则视同认可开标结果。</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开标信息：</w:t>
      </w:r>
    </w:p>
    <w:p>
      <w:pPr>
        <w:spacing w:line="440" w:lineRule="exact"/>
        <w:ind w:firstLine="470" w:firstLineChars="196"/>
        <w:rPr>
          <w:rFonts w:hint="default" w:ascii="宋体" w:hAnsi="宋体" w:eastAsiaTheme="minorEastAsia"/>
          <w:color w:val="0C0C0C"/>
          <w:sz w:val="24"/>
          <w:szCs w:val="24"/>
          <w:u w:val="single"/>
          <w:lang w:val="en-US" w:eastAsia="zh-CN"/>
        </w:rPr>
      </w:pPr>
      <w:r>
        <w:rPr>
          <w:rFonts w:hint="eastAsia" w:ascii="宋体" w:hAnsi="宋体" w:cs="宋体"/>
          <w:color w:val="0C0C0C"/>
          <w:kern w:val="0"/>
          <w:sz w:val="24"/>
          <w:szCs w:val="24"/>
        </w:rPr>
        <w:t>开标时间：</w:t>
      </w:r>
      <w:r>
        <w:rPr>
          <w:rFonts w:hint="eastAsia" w:ascii="宋体" w:hAnsi="宋体" w:cs="宋体"/>
          <w:color w:val="0000FF"/>
          <w:kern w:val="0"/>
          <w:sz w:val="24"/>
          <w:szCs w:val="24"/>
          <w:u w:val="single"/>
        </w:rPr>
        <w:t>2019</w:t>
      </w:r>
      <w:r>
        <w:rPr>
          <w:rFonts w:hint="eastAsia" w:ascii="宋体" w:hAnsi="宋体"/>
          <w:color w:val="0000FF"/>
          <w:sz w:val="24"/>
          <w:szCs w:val="24"/>
          <w:u w:val="single"/>
        </w:rPr>
        <w:t>年</w:t>
      </w:r>
      <w:r>
        <w:rPr>
          <w:rFonts w:hint="eastAsia" w:ascii="宋体" w:hAnsi="宋体"/>
          <w:color w:val="0000FF"/>
          <w:sz w:val="24"/>
          <w:szCs w:val="24"/>
          <w:u w:val="single"/>
          <w:lang w:val="en-US" w:eastAsia="zh-CN"/>
        </w:rPr>
        <w:t>12</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19</w:t>
      </w:r>
      <w:r>
        <w:rPr>
          <w:rFonts w:hint="eastAsia" w:ascii="宋体" w:hAnsi="宋体"/>
          <w:color w:val="0000FF"/>
          <w:sz w:val="24"/>
          <w:szCs w:val="24"/>
          <w:u w:val="single"/>
        </w:rPr>
        <w:t>日</w:t>
      </w:r>
      <w:r>
        <w:rPr>
          <w:rFonts w:hint="eastAsia" w:ascii="宋体" w:hAnsi="宋体"/>
          <w:color w:val="0000FF"/>
          <w:sz w:val="24"/>
          <w:szCs w:val="24"/>
          <w:u w:val="single"/>
          <w:lang w:val="en-US" w:eastAsia="zh-CN"/>
        </w:rPr>
        <w:t xml:space="preserve">9:00 </w:t>
      </w:r>
    </w:p>
    <w:p>
      <w:pPr>
        <w:spacing w:line="440" w:lineRule="exact"/>
        <w:ind w:firstLine="470" w:firstLineChars="196"/>
        <w:rPr>
          <w:rFonts w:ascii="宋体" w:hAnsi="宋体" w:cs="宋体"/>
          <w:color w:val="0C0C0C"/>
          <w:kern w:val="0"/>
          <w:sz w:val="24"/>
          <w:szCs w:val="24"/>
        </w:rPr>
      </w:pPr>
      <w:r>
        <w:rPr>
          <w:rFonts w:hint="eastAsia" w:ascii="宋体" w:hAnsi="宋体" w:cs="宋体"/>
          <w:color w:val="0C0C0C"/>
          <w:kern w:val="0"/>
          <w:sz w:val="24"/>
          <w:szCs w:val="24"/>
        </w:rPr>
        <w:t>开标地点：阳新县公共资源</w:t>
      </w:r>
      <w:r>
        <w:rPr>
          <w:rFonts w:hint="eastAsia" w:ascii="宋体" w:hAnsi="宋体" w:cs="宋体"/>
          <w:color w:val="FF0000"/>
          <w:kern w:val="0"/>
          <w:sz w:val="24"/>
          <w:szCs w:val="24"/>
        </w:rPr>
        <w:t>交易中心2楼开标大厅</w:t>
      </w:r>
    </w:p>
    <w:p>
      <w:pPr>
        <w:numPr>
          <w:ilvl w:val="0"/>
          <w:numId w:val="2"/>
        </w:numPr>
        <w:spacing w:line="440" w:lineRule="exact"/>
        <w:ind w:left="728" w:hanging="728"/>
        <w:rPr>
          <w:rFonts w:ascii="宋体" w:hAnsi="宋体"/>
          <w:color w:val="0C0C0C"/>
          <w:sz w:val="24"/>
          <w:szCs w:val="24"/>
        </w:rPr>
      </w:pPr>
      <w:r>
        <w:rPr>
          <w:rFonts w:hint="eastAsia" w:ascii="宋体" w:hAnsi="宋体" w:cs="宋体"/>
          <w:b/>
          <w:color w:val="0C0C0C"/>
          <w:kern w:val="0"/>
          <w:sz w:val="24"/>
          <w:szCs w:val="24"/>
          <w:lang w:val="zh-CN"/>
        </w:rPr>
        <w:t>公告期限：</w:t>
      </w:r>
      <w:r>
        <w:rPr>
          <w:rFonts w:hint="eastAsia" w:ascii="宋体" w:hAnsi="宋体"/>
          <w:color w:val="0C0C0C"/>
          <w:sz w:val="24"/>
          <w:szCs w:val="24"/>
        </w:rPr>
        <w:t>自公告发布之日起5个工作日。</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质疑：</w:t>
      </w:r>
    </w:p>
    <w:p>
      <w:pPr>
        <w:spacing w:line="440" w:lineRule="exact"/>
        <w:ind w:firstLine="480" w:firstLineChars="200"/>
        <w:rPr>
          <w:rFonts w:ascii="宋体" w:hAnsi="宋体" w:cs="宋体"/>
          <w:b/>
          <w:color w:val="0C0C0C"/>
          <w:kern w:val="0"/>
          <w:sz w:val="24"/>
          <w:szCs w:val="24"/>
          <w:lang w:val="zh-CN"/>
        </w:rPr>
      </w:pPr>
      <w:r>
        <w:rPr>
          <w:rFonts w:hint="eastAsia" w:ascii="宋体" w:hAnsi="宋体" w:cs="宋体"/>
          <w:color w:val="0C0C0C"/>
          <w:kern w:val="0"/>
          <w:sz w:val="24"/>
          <w:szCs w:val="24"/>
          <w:lang w:val="zh-CN"/>
        </w:rPr>
        <w:t>投标人认为招标文件、招标过程和中标结果使自己的权益受到损害的，可以在知道或者应知其权益受到损害之日起7个</w:t>
      </w:r>
      <w:r>
        <w:rPr>
          <w:rFonts w:hint="eastAsia" w:ascii="宋体" w:hAnsi="宋体" w:cs="宋体"/>
          <w:bCs/>
          <w:color w:val="0C0C0C"/>
          <w:kern w:val="0"/>
          <w:sz w:val="24"/>
          <w:szCs w:val="24"/>
          <w:lang w:val="zh-CN"/>
        </w:rPr>
        <w:t>工作日内，向湖北顺成建设工程招标代理有限公司提出书面质疑。</w:t>
      </w:r>
      <w:r>
        <w:rPr>
          <w:rFonts w:hint="eastAsia" w:ascii="宋体" w:hAnsi="宋体" w:cs="宋体"/>
          <w:bCs/>
          <w:color w:val="0C0C0C"/>
          <w:kern w:val="0"/>
          <w:sz w:val="24"/>
          <w:szCs w:val="24"/>
        </w:rPr>
        <w:t>质疑时请提交书面质疑函一份（法人代表签字、加盖单位公章。具体要</w:t>
      </w:r>
      <w:r>
        <w:rPr>
          <w:rFonts w:hint="eastAsia" w:ascii="宋体" w:hAnsi="宋体" w:cs="宋体"/>
          <w:color w:val="0C0C0C"/>
          <w:kern w:val="0"/>
          <w:sz w:val="24"/>
          <w:szCs w:val="24"/>
        </w:rPr>
        <w:t>求详见本招标文件“第二章 投标人须知”中的第八条之规定），并附相关证据材料。</w:t>
      </w:r>
    </w:p>
    <w:p>
      <w:pPr>
        <w:numPr>
          <w:ilvl w:val="0"/>
          <w:numId w:val="2"/>
        </w:numPr>
        <w:spacing w:line="440" w:lineRule="exact"/>
        <w:ind w:left="728" w:hanging="728"/>
        <w:rPr>
          <w:rFonts w:ascii="宋体" w:hAnsi="宋体" w:cs="宋体"/>
          <w:b/>
          <w:color w:val="0C0C0C"/>
          <w:kern w:val="0"/>
          <w:sz w:val="24"/>
          <w:szCs w:val="24"/>
          <w:lang w:val="zh-CN"/>
        </w:rPr>
      </w:pPr>
      <w:r>
        <w:rPr>
          <w:rFonts w:hint="eastAsia" w:ascii="宋体" w:hAnsi="宋体" w:cs="宋体"/>
          <w:b/>
          <w:color w:val="0C0C0C"/>
          <w:kern w:val="0"/>
          <w:sz w:val="24"/>
          <w:szCs w:val="24"/>
          <w:lang w:val="zh-CN"/>
        </w:rPr>
        <w:t>联系方式：</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采购人：阳新县住房和城乡建设局</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地址：阳新县陵园大道13号</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联系人：柯贤强</w:t>
      </w:r>
    </w:p>
    <w:p>
      <w:pPr>
        <w:widowControl/>
        <w:spacing w:line="440" w:lineRule="exact"/>
        <w:ind w:firstLine="480"/>
        <w:jc w:val="left"/>
        <w:rPr>
          <w:rFonts w:ascii="宋体" w:hAnsi="宋体" w:cs="宋体"/>
          <w:b/>
          <w:color w:val="0C0C0C"/>
          <w:kern w:val="0"/>
          <w:sz w:val="24"/>
          <w:szCs w:val="24"/>
          <w:lang w:val="zh-CN"/>
        </w:rPr>
      </w:pPr>
      <w:r>
        <w:rPr>
          <w:rFonts w:hint="eastAsia" w:ascii="宋体" w:hAnsi="宋体" w:cs="宋体"/>
          <w:bCs/>
          <w:color w:val="0C0C0C"/>
          <w:kern w:val="0"/>
          <w:sz w:val="24"/>
          <w:szCs w:val="24"/>
        </w:rPr>
        <w:t>联系电话：13617210827</w:t>
      </w:r>
    </w:p>
    <w:p>
      <w:pPr>
        <w:widowControl/>
        <w:spacing w:line="440" w:lineRule="exact"/>
        <w:ind w:firstLine="480" w:firstLineChars="200"/>
        <w:jc w:val="left"/>
        <w:rPr>
          <w:rFonts w:ascii="宋体" w:hAnsi="宋体" w:cs="宋体"/>
          <w:bCs/>
          <w:color w:val="0C0C0C"/>
          <w:kern w:val="0"/>
          <w:sz w:val="24"/>
          <w:szCs w:val="24"/>
        </w:rPr>
      </w:pPr>
      <w:r>
        <w:rPr>
          <w:rFonts w:hint="eastAsia" w:ascii="宋体" w:hAnsi="宋体" w:cs="宋体"/>
          <w:bCs/>
          <w:color w:val="0C0C0C"/>
          <w:kern w:val="0"/>
          <w:sz w:val="24"/>
          <w:szCs w:val="24"/>
        </w:rPr>
        <w:t>采购代理机构：湖北顺成建设工程招标代理有限公司</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地址：阳新县陵园大道13号，县住建局7楼</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 xml:space="preserve">联系人：钟威    </w:t>
      </w:r>
    </w:p>
    <w:p>
      <w:pPr>
        <w:widowControl/>
        <w:spacing w:line="440" w:lineRule="exact"/>
        <w:ind w:firstLine="480"/>
        <w:jc w:val="left"/>
        <w:rPr>
          <w:rFonts w:ascii="宋体" w:hAnsi="宋体" w:cs="宋体"/>
          <w:bCs/>
          <w:color w:val="0C0C0C"/>
          <w:kern w:val="0"/>
          <w:sz w:val="24"/>
          <w:szCs w:val="24"/>
        </w:rPr>
      </w:pPr>
      <w:r>
        <w:rPr>
          <w:rFonts w:hint="eastAsia" w:ascii="宋体" w:hAnsi="宋体" w:cs="宋体"/>
          <w:bCs/>
          <w:color w:val="0C0C0C"/>
          <w:kern w:val="0"/>
          <w:sz w:val="24"/>
          <w:szCs w:val="24"/>
        </w:rPr>
        <w:t>联系电话：13972784844</w:t>
      </w:r>
    </w:p>
    <w:p>
      <w:pPr>
        <w:widowControl/>
        <w:spacing w:line="440" w:lineRule="exact"/>
        <w:ind w:firstLine="480"/>
        <w:jc w:val="left"/>
        <w:rPr>
          <w:rFonts w:ascii="宋体" w:hAnsi="宋体" w:cs="宋体"/>
          <w:bCs/>
          <w:color w:val="0C0C0C"/>
          <w:kern w:val="0"/>
          <w:sz w:val="24"/>
          <w:szCs w:val="24"/>
        </w:rPr>
      </w:pPr>
    </w:p>
    <w:p>
      <w:pPr>
        <w:wordWrap w:val="0"/>
        <w:spacing w:line="440" w:lineRule="exact"/>
        <w:jc w:val="right"/>
      </w:pPr>
      <w:r>
        <w:rPr>
          <w:rFonts w:hint="eastAsia" w:ascii="宋体" w:hAnsi="宋体" w:cs="宋体"/>
          <w:color w:val="0C0C0C"/>
          <w:kern w:val="0"/>
          <w:sz w:val="24"/>
          <w:szCs w:val="24"/>
        </w:rPr>
        <w:t>2019年</w:t>
      </w:r>
      <w:r>
        <w:rPr>
          <w:rFonts w:hint="eastAsia" w:ascii="宋体" w:hAnsi="宋体" w:cs="宋体"/>
          <w:color w:val="0C0C0C"/>
          <w:kern w:val="0"/>
          <w:sz w:val="24"/>
          <w:szCs w:val="24"/>
          <w:lang w:val="en-US" w:eastAsia="zh-CN"/>
        </w:rPr>
        <w:t>11</w:t>
      </w:r>
      <w:r>
        <w:rPr>
          <w:rFonts w:hint="eastAsia" w:ascii="宋体" w:hAnsi="宋体" w:cs="宋体"/>
          <w:color w:val="0C0C0C"/>
          <w:kern w:val="0"/>
          <w:sz w:val="24"/>
          <w:szCs w:val="24"/>
        </w:rPr>
        <w:t>月</w:t>
      </w:r>
      <w:r>
        <w:rPr>
          <w:rFonts w:hint="eastAsia" w:ascii="宋体" w:hAnsi="宋体" w:cs="宋体"/>
          <w:color w:val="0C0C0C"/>
          <w:kern w:val="0"/>
          <w:sz w:val="24"/>
          <w:szCs w:val="24"/>
          <w:lang w:val="en-US" w:eastAsia="zh-CN"/>
        </w:rPr>
        <w:t>25</w:t>
      </w:r>
      <w:r>
        <w:rPr>
          <w:rFonts w:hint="eastAsia" w:ascii="宋体" w:hAnsi="宋体" w:cs="宋体"/>
          <w:color w:val="0C0C0C"/>
          <w:kern w:val="0"/>
          <w:sz w:val="24"/>
          <w:szCs w:val="24"/>
        </w:rPr>
        <w:t>日</w:t>
      </w:r>
    </w:p>
    <w:p>
      <w:pPr>
        <w:widowControl/>
        <w:spacing w:line="400" w:lineRule="exact"/>
        <w:ind w:firstLine="480"/>
        <w:jc w:val="left"/>
        <w:rPr>
          <w:rFonts w:ascii="宋体" w:hAnsi="宋体" w:eastAsia="宋体" w:cs="宋体"/>
          <w:bCs/>
          <w:color w:val="0D0D0D" w:themeColor="text1" w:themeTint="F2"/>
          <w:kern w:val="0"/>
          <w:sz w:val="24"/>
          <w:szCs w:val="24"/>
          <w14:textFill>
            <w14:solidFill>
              <w14:schemeClr w14:val="tx1">
                <w14:lumMod w14:val="95000"/>
                <w14:lumOff w14:val="5000"/>
              </w14:schemeClr>
            </w14:solidFill>
          </w14:textFill>
        </w:rPr>
      </w:pPr>
    </w:p>
    <w:p>
      <w:pPr>
        <w:widowControl/>
        <w:spacing w:line="360" w:lineRule="auto"/>
        <w:ind w:firstLine="480"/>
        <w:jc w:val="left"/>
        <w:rPr>
          <w:color w:val="0D0D0D" w:themeColor="text1" w:themeTint="F2"/>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8"/>
          <w:szCs w:val="28"/>
          <w:lang w:val="zh-CN"/>
          <w14:textFill>
            <w14:solidFill>
              <w14:schemeClr w14:val="tx1">
                <w14:lumMod w14:val="95000"/>
                <w14:lumOff w14:val="5000"/>
              </w14:schemeClr>
            </w14:solidFill>
          </w14:textFill>
        </w:rPr>
        <w:br w:type="page"/>
      </w:r>
    </w:p>
    <w:p>
      <w:pPr>
        <w:pStyle w:val="2"/>
        <w:numPr>
          <w:ilvl w:val="0"/>
          <w:numId w:val="1"/>
        </w:numPr>
        <w:spacing w:before="240" w:after="120"/>
        <w:ind w:left="883" w:hanging="883"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9"/>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宋体" w:hAnsi="宋体" w:eastAsia="宋体" w:cs="Times New Roman"/>
                <w:b/>
                <w:color w:val="0D0D0D" w:themeColor="text1" w:themeTint="F2"/>
                <w:sz w:val="24"/>
                <w:szCs w:val="24"/>
                <w:lang w:val="en-US" w:eastAsia="zh-CN"/>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阳新县仙岛湖污水处理厂运营服务项目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rPr>
            </w:pPr>
            <w:r>
              <w:rPr>
                <w:rFonts w:hint="eastAsia" w:ascii="宋体" w:hAnsi="宋体" w:eastAsia="宋体" w:cs="宋体"/>
                <w:color w:val="FF0000"/>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FF0000"/>
                <w:kern w:val="0"/>
                <w:sz w:val="24"/>
                <w:szCs w:val="24"/>
              </w:rPr>
              <w:t>阳新县住房和城乡建设局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color w:val="FF0000"/>
                <w:kern w:val="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5"/>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6"/>
        </w:numPr>
        <w:spacing w:before="100" w:beforeAutospacing="1" w:after="100" w:afterAutospacing="1" w:line="360" w:lineRule="auto"/>
        <w:ind w:left="482" w:hanging="482"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Helvetica" w:asciiTheme="minorEastAsia" w:hAnsiTheme="minorEastAsia"/>
          <w:kern w:val="0"/>
          <w:sz w:val="24"/>
          <w:szCs w:val="24"/>
          <w:lang w:val="zh-CN"/>
        </w:rPr>
        <w:t>阳新县政府采购办公室、阳新县公共资源交易监督管理局</w:t>
      </w:r>
      <w:r>
        <w:rPr>
          <w:rFonts w:hint="eastAsia" w:cs="Times New Roman" w:asciiTheme="minorEastAsia" w:hAnsiTheme="minorEastAsia"/>
          <w:color w:val="FF0000"/>
          <w:sz w:val="24"/>
          <w:szCs w:val="24"/>
          <w:lang w:val="zh-CN"/>
        </w:rPr>
        <w:t>。</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“采购机构”是指：</w:t>
      </w:r>
      <w:r>
        <w:rPr>
          <w:rFonts w:hint="eastAsia" w:cs="Helvetica" w:asciiTheme="minorEastAsia" w:hAnsiTheme="minorEastAsia"/>
          <w:kern w:val="0"/>
          <w:sz w:val="24"/>
          <w:szCs w:val="24"/>
          <w:lang w:val="zh-CN"/>
        </w:rPr>
        <w:t>湖北顺成建设工程招标代理有限公司。</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9"/>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1"/>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10"/>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10"/>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10"/>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2"/>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0"/>
        <w:numPr>
          <w:ilvl w:val="0"/>
          <w:numId w:val="12"/>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40"/>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40"/>
        <w:ind w:left="420" w:firstLine="0" w:firstLineChars="0"/>
        <w:rPr>
          <w:rFonts w:ascii="宋体" w:hAnsi="宋体"/>
          <w:sz w:val="24"/>
          <w:szCs w:val="24"/>
        </w:rPr>
      </w:pPr>
    </w:p>
    <w:tbl>
      <w:tblPr>
        <w:tblStyle w:val="19"/>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EZzrNEAAAAJAQAADwAAAAAAAAABACAAAAAi&#10;AAAAZHJzL2Rvd25yZXYueG1sUEsBAhQAFAAAAAgAh07iQO2Lq47YAQAAswMAAA4AAAAAAAAAAQAg&#10;AAAAIAEAAGRycy9lMm9Eb2MueG1sUEsFBgAAAAAGAAYAWQEAAGo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i4ChtUAAAAIAQAADwAAAAAAAAABACAAAAAi&#10;AAAAZHJzL2Rvd25yZXYueG1sUEsBAhQAFAAAAAgAh07iQPzPQmbUAQAAswMAAA4AAAAAAAAAAQAg&#10;AAAAJAEAAGRycy9lMm9Eb2MueG1sUEsFBgAAAAAGAAYAWQEAAGo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5HTftUAAAAJAQAADwAAAAAAAAABACAAAAAiAAAAZHJzL2Rvd25yZXYueG1s&#10;UEsBAhQAFAAAAAgAh07iQDVwvq7CAQAAlgMAAA4AAAAAAAAAAQAgAAAAJAEAAGRycy9lMm9Eb2Mu&#10;eG1sUEsFBgAAAAAGAAYAWQEAAFg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1000-5000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0.25%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0.35%</w:t>
            </w:r>
          </w:p>
        </w:tc>
      </w:tr>
    </w:tbl>
    <w:p>
      <w:pPr>
        <w:pStyle w:val="40"/>
        <w:adjustRightInd w:val="0"/>
        <w:snapToGrid w:val="0"/>
        <w:spacing w:line="300" w:lineRule="auto"/>
        <w:ind w:left="420" w:firstLine="0" w:firstLineChars="0"/>
        <w:rPr>
          <w:rFonts w:ascii="宋体" w:hAnsi="宋体"/>
          <w:sz w:val="24"/>
          <w:szCs w:val="24"/>
        </w:rPr>
      </w:pP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6" w:name="_Toc494561939"/>
      <w:bookmarkStart w:id="7" w:name="_Toc272247695"/>
      <w:bookmarkStart w:id="8" w:name="_Toc278891592"/>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在招标过程中由采购机构发出的修正和补充文件等</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潜在投标人对招标文件有疑问的，可以向采购机构提出询问，或在6.2规定的时间前以书面的形式向采购机构提交疑问函。</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潜在投标人在项目招标公告期限届满之日起7个工作日内未对招标文件提出疑问的，采购机构将视其认同招标文件，在规定的时间后就招标文件内容提出的疑问将不予受理。</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4"/>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为使潜在投标人有充足时间对招标文件的澄清或者修改的内容进行研究和响应，采购机构和采购人可适当顺延提交投标文件的截止时间，并以书面（或网上公告）的形式通知所有领取招标文件的潜在投标人。</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8"/>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5"/>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0" w:name="_Toc272247696"/>
      <w:bookmarkStart w:id="11" w:name="_Toc278891593"/>
      <w:bookmarkStart w:id="12" w:name="_Toc495861522"/>
      <w:bookmarkStart w:id="13" w:name="_Toc494561940"/>
      <w:r>
        <w:rPr>
          <w:rFonts w:hint="eastAsia" w:cs="Times New Roman" w:asciiTheme="majorEastAsia" w:hAnsiTheme="majorEastAsia"/>
          <w:bCs w:val="0"/>
          <w:lang w:val="zh-CN"/>
        </w:rPr>
        <w:t>投标文件</w:t>
      </w:r>
      <w:bookmarkEnd w:id="10"/>
      <w:bookmarkEnd w:id="11"/>
      <w:bookmarkEnd w:id="12"/>
      <w:bookmarkEnd w:id="13"/>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8"/>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6"/>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投标人应对投标文件中所提供资料的真实性负责，如有虚假，将依法承担相应责任。投标人应自觉接受采购机构对其中任何资料进一步核实的要求。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w:t>
      </w:r>
      <w:r>
        <w:rPr>
          <w:rFonts w:hint="eastAsia" w:cs="Times New Roman" w:asciiTheme="minorEastAsia" w:hAnsiTheme="minorEastAsia"/>
          <w:b/>
          <w:sz w:val="24"/>
          <w:szCs w:val="24"/>
          <w:highlight w:val="yellow"/>
          <w:lang w:val="zh-CN"/>
        </w:rPr>
        <w:t>合并</w:t>
      </w:r>
      <w:r>
        <w:rPr>
          <w:rFonts w:hint="eastAsia" w:cs="Times New Roman" w:asciiTheme="minorEastAsia" w:hAnsiTheme="minorEastAsia"/>
          <w:b/>
          <w:sz w:val="24"/>
          <w:szCs w:val="24"/>
          <w:lang w:val="zh-CN"/>
        </w:rPr>
        <w:t>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6"/>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8"/>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8"/>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8"/>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9"/>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20"/>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8"/>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21"/>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8"/>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投标文件的密封和标记</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投标人应将投标文件第一部分资格证明文件、第二部分商务文件、第三部分技术、服务文件一起合并装订成一本投标文件，一起封装。</w:t>
      </w:r>
    </w:p>
    <w:p>
      <w:pPr>
        <w:numPr>
          <w:ilvl w:val="0"/>
          <w:numId w:val="22"/>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投标人应将投标文件正本和副本密封合装在封包中。</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如果未按要求加写密封、标记或存在错误，采购机构对其误投或提前启封概不负责。</w:t>
      </w:r>
    </w:p>
    <w:p>
      <w:pPr>
        <w:numPr>
          <w:ilvl w:val="0"/>
          <w:numId w:val="23"/>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cs="Times New Roman" w:asciiTheme="minorEastAsia" w:hAnsiTheme="minorEastAsia"/>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4"/>
        </w:numPr>
        <w:spacing w:line="360" w:lineRule="auto"/>
        <w:ind w:left="616" w:hanging="616"/>
        <w:rPr>
          <w:rFonts w:ascii="Helvetica" w:hAnsi="Helvetica" w:eastAsia="宋体" w:cs="Helvetica"/>
          <w:b/>
          <w:kern w:val="0"/>
          <w:sz w:val="24"/>
          <w:szCs w:val="24"/>
          <w:lang w:val="zh-CN"/>
        </w:rPr>
      </w:pPr>
      <w:r>
        <w:rPr>
          <w:rFonts w:hint="eastAsia" w:cs="Times New Roman" w:asciiTheme="minorEastAsia" w:hAnsiTheme="minorEastAsia"/>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cs="Times New Roman" w:asciiTheme="minorEastAsia" w:hAnsiTheme="minorEastAsia"/>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5"/>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495861523"/>
      <w:bookmarkStart w:id="16" w:name="_Toc272247698"/>
      <w:bookmarkStart w:id="17" w:name="_Toc494561942"/>
      <w:r>
        <w:rPr>
          <w:rFonts w:hint="eastAsia" w:cs="Times New Roman" w:asciiTheme="majorEastAsia" w:hAnsiTheme="majorEastAsia"/>
          <w:bCs w:val="0"/>
          <w:lang w:val="zh-CN"/>
        </w:rPr>
        <w:t>开标与评标</w:t>
      </w:r>
      <w:bookmarkEnd w:id="14"/>
      <w:bookmarkEnd w:id="15"/>
      <w:bookmarkEnd w:id="16"/>
      <w:bookmarkEnd w:id="17"/>
    </w:p>
    <w:p>
      <w:pPr>
        <w:numPr>
          <w:ilvl w:val="0"/>
          <w:numId w:val="8"/>
        </w:numPr>
        <w:spacing w:line="360" w:lineRule="auto"/>
        <w:ind w:left="560" w:hanging="560"/>
        <w:rPr>
          <w:rFonts w:cs="Times New Roman" w:asciiTheme="minorEastAsia" w:hAnsiTheme="minorEastAsia"/>
          <w:sz w:val="24"/>
          <w:szCs w:val="24"/>
          <w:lang w:val="zh-CN"/>
        </w:rPr>
      </w:pPr>
      <w:r>
        <w:rPr>
          <w:rFonts w:hint="eastAsia" w:ascii="宋体" w:hAnsi="宋体" w:eastAsia="宋体" w:cs="Times New Roman"/>
          <w:b/>
          <w:sz w:val="24"/>
          <w:szCs w:val="20"/>
          <w:lang w:val="zh-CN"/>
        </w:rPr>
        <w:t>开标</w:t>
      </w:r>
    </w:p>
    <w:p>
      <w:pPr>
        <w:numPr>
          <w:ilvl w:val="0"/>
          <w:numId w:val="26"/>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w:t>
      </w:r>
      <w:r>
        <w:rPr>
          <w:rFonts w:hint="eastAsia" w:ascii="宋体" w:hAnsi="宋体" w:eastAsia="宋体" w:cs="Times New Roman"/>
          <w:sz w:val="24"/>
          <w:szCs w:val="20"/>
          <w:lang w:val="zh-CN"/>
        </w:rPr>
        <w:t>（或代理公司）工作人员当众拆封，宣布投标人名称、投标价格和招标文件规定的需要宣布的其他内容。</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采购人（或代理公司）负责对开标过程进行记录，由参加开标的各投标人代表和相关工作人员对开标记录进行签字确认。</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numPr>
          <w:ilvl w:val="0"/>
          <w:numId w:val="2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sz w:val="24"/>
          <w:szCs w:val="20"/>
          <w:lang w:val="zh-CN"/>
        </w:rPr>
        <w:t>公开招标采购项目开标结束后，采购人和采购代理公司依据法律、法规及招标文件的规定，对投标人的资格进行审查，以确定投</w:t>
      </w:r>
      <w:r>
        <w:rPr>
          <w:rFonts w:hint="eastAsia" w:ascii="宋体" w:hAnsi="宋体" w:eastAsia="宋体" w:cs="Times New Roman"/>
          <w:bCs/>
          <w:sz w:val="24"/>
          <w:szCs w:val="20"/>
          <w:lang w:val="zh-CN"/>
        </w:rPr>
        <w:t>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8"/>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9"/>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9"/>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1"/>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w:t>
      </w:r>
      <w:r>
        <w:rPr>
          <w:rFonts w:ascii="宋体" w:hAnsi="宋体" w:eastAsia="宋体" w:cs="Times New Roman"/>
          <w:sz w:val="24"/>
          <w:szCs w:val="20"/>
          <w:lang w:val="zh-CN"/>
        </w:rPr>
        <w:t>机构或者有关部门报告评标中发现的违法行为。</w:t>
      </w:r>
    </w:p>
    <w:p>
      <w:pPr>
        <w:numPr>
          <w:ilvl w:val="0"/>
          <w:numId w:val="30"/>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2"/>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3"/>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4"/>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3"/>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5"/>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8"/>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采购机构在招标活动中的公告、补充、更正、结果等采购信息均依法在政府采购监管部门指定媒体上（中国湖北政府采购网http://www.ccgp-hubei.gov.cn/）发布。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cs="Helvetica" w:asciiTheme="minorEastAsia" w:hAnsiTheme="minorEastAsia"/>
          <w:b/>
          <w:kern w:val="0"/>
          <w:sz w:val="24"/>
          <w:szCs w:val="24"/>
          <w:lang w:val="zh-CN"/>
        </w:rPr>
      </w:pPr>
      <w:r>
        <w:rPr>
          <w:rFonts w:hint="eastAsia" w:cs="Helvetica" w:asciiTheme="minorEastAsia" w:hAnsiTheme="minorEastAsia"/>
          <w:kern w:val="0"/>
          <w:sz w:val="24"/>
          <w:szCs w:val="24"/>
          <w:lang w:val="zh-CN"/>
        </w:rPr>
        <w:t>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6"/>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投标人认为招标文件、招标过程和中标结果使自己的权益受到损害的，可以在知道或者应知其权益受到损害之日起7个工作日内，向采购人（或代理公司）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7"/>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8"/>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w:t>
      </w:r>
      <w:r>
        <w:rPr>
          <w:rFonts w:hint="eastAsia" w:ascii="宋体" w:hAnsi="宋体" w:eastAsia="宋体" w:cs="Times New Roman"/>
          <w:sz w:val="24"/>
          <w:szCs w:val="20"/>
          <w:highlight w:val="yellow"/>
          <w:lang w:val="zh-CN"/>
        </w:rPr>
        <w:t>对于银行、保险、石油石化、电力、电信等有行业特殊情况的</w:t>
      </w:r>
      <w:r>
        <w:rPr>
          <w:rFonts w:hint="eastAsia" w:ascii="宋体" w:hAnsi="宋体" w:eastAsia="宋体" w:cs="Times New Roman"/>
          <w:sz w:val="24"/>
          <w:szCs w:val="20"/>
          <w:lang w:val="zh-CN"/>
        </w:rPr>
        <w:t>，采购人和采购机构允许其分支机构参与投标。</w:t>
      </w:r>
    </w:p>
    <w:p>
      <w:pPr>
        <w:pStyle w:val="3"/>
        <w:numPr>
          <w:ilvl w:val="0"/>
          <w:numId w:val="7"/>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278891598"/>
      <w:bookmarkStart w:id="34" w:name="_Toc495861530"/>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8"/>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8"/>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7"/>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495861531"/>
      <w:bookmarkStart w:id="38" w:name="_Toc278891599"/>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8"/>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一、</w:t>
      </w:r>
      <w:r>
        <w:rPr>
          <w:rFonts w:hint="eastAsia" w:ascii="宋体" w:hAnsi="宋体" w:eastAsia="宋体" w:cs="Times New Roman"/>
          <w:sz w:val="24"/>
          <w:szCs w:val="20"/>
          <w:lang w:val="zh-CN"/>
        </w:rPr>
        <w:t>采购项目名称：阳新县仙岛湖污水处理厂运营服务项目</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二、</w:t>
      </w:r>
      <w:r>
        <w:rPr>
          <w:rFonts w:hint="eastAsia" w:ascii="宋体" w:hAnsi="宋体" w:eastAsia="宋体" w:cs="Times New Roman"/>
          <w:sz w:val="24"/>
          <w:szCs w:val="20"/>
          <w:lang w:val="zh-CN"/>
        </w:rPr>
        <w:t>采购项目编号：131-Zcg.2019-</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三、</w:t>
      </w:r>
      <w:r>
        <w:rPr>
          <w:rFonts w:hint="eastAsia" w:ascii="宋体" w:hAnsi="宋体" w:eastAsia="宋体" w:cs="Times New Roman"/>
          <w:sz w:val="24"/>
          <w:szCs w:val="20"/>
          <w:lang w:val="zh-CN"/>
        </w:rPr>
        <w:t>采购项目要求：</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1、托管依据：</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符合《中华人民共和国环境保护法》；《中华人民共和国水污染防治法》；《城镇污水处理厂污染物排放标准》（GB18918-2002）；招标人提供的有关废水的水质、水量资料；投标单位方勘察现场或调查的有关内容；投标单位在同类污水处理方面的运营经验。</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、投标人应根据实际情况和技术要求提出相应的运营管理方案。投标人应根据本章有关要求、运营管理方案和实际情况，合理选择服务方案。运营期限为二十八年。</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四、</w:t>
      </w:r>
      <w:r>
        <w:rPr>
          <w:rFonts w:hint="eastAsia" w:ascii="宋体" w:hAnsi="宋体" w:eastAsia="宋体" w:cs="Times New Roman"/>
          <w:sz w:val="24"/>
          <w:szCs w:val="20"/>
          <w:lang w:val="zh-CN"/>
        </w:rPr>
        <w:t>项目概况：</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本项目为阳新县仙岛湖污水处理厂，污水处理能力 3000T/日，本工程接纳的污水主要是宾馆餐饮、生活污水，度假区内无工业废水，根据《室外排水设计规范》，同时也参考湖北省其它类似小城镇生活污水的水质标准，最终确定本工程的设计进厂水质如表所示：</w:t>
      </w:r>
    </w:p>
    <w:p>
      <w:pPr>
        <w:spacing w:line="360" w:lineRule="auto"/>
        <w:jc w:val="center"/>
        <w:rPr>
          <w:rFonts w:ascii="宋体" w:hAnsi="宋体" w:eastAsia="宋体" w:cs="Times New Roman"/>
          <w:sz w:val="24"/>
          <w:szCs w:val="20"/>
          <w:lang w:val="zh-CN"/>
        </w:rPr>
      </w:pPr>
      <w:r>
        <w:rPr>
          <w:rFonts w:hint="eastAsia" w:ascii="宋体" w:hAnsi="宋体" w:eastAsia="宋体" w:cs="Times New Roman"/>
          <w:sz w:val="24"/>
          <w:szCs w:val="20"/>
          <w:lang w:val="zh-CN"/>
        </w:rPr>
        <w:t>表</w:t>
      </w:r>
      <w:r>
        <w:rPr>
          <w:rFonts w:hint="eastAsia" w:ascii="宋体" w:hAnsi="宋体" w:eastAsia="宋体" w:cs="Times New Roman"/>
          <w:sz w:val="24"/>
          <w:szCs w:val="20"/>
        </w:rPr>
        <w:t>1</w:t>
      </w:r>
      <w:r>
        <w:rPr>
          <w:rFonts w:hint="eastAsia" w:ascii="宋体" w:hAnsi="宋体" w:eastAsia="宋体" w:cs="Times New Roman"/>
          <w:sz w:val="24"/>
          <w:szCs w:val="20"/>
          <w:lang w:val="zh-CN"/>
        </w:rPr>
        <w:t>污水处理厂设计进厂水质表</w:t>
      </w:r>
    </w:p>
    <w:tbl>
      <w:tblPr>
        <w:tblStyle w:val="19"/>
        <w:tblW w:w="7897"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5"/>
        <w:gridCol w:w="1067"/>
        <w:gridCol w:w="1067"/>
        <w:gridCol w:w="900"/>
        <w:gridCol w:w="1068"/>
        <w:gridCol w:w="1068"/>
        <w:gridCol w:w="1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1715" w:type="dxa"/>
            <w:tcBorders>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污染控制项目</w:t>
            </w:r>
          </w:p>
        </w:tc>
        <w:tc>
          <w:tcPr>
            <w:tcW w:w="10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BOD5</w:t>
            </w:r>
          </w:p>
        </w:tc>
        <w:tc>
          <w:tcPr>
            <w:tcW w:w="10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CODCr</w:t>
            </w:r>
          </w:p>
        </w:tc>
        <w:tc>
          <w:tcPr>
            <w:tcW w:w="900"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SS</w:t>
            </w:r>
          </w:p>
        </w:tc>
        <w:tc>
          <w:tcPr>
            <w:tcW w:w="1068"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TN</w:t>
            </w:r>
          </w:p>
        </w:tc>
        <w:tc>
          <w:tcPr>
            <w:tcW w:w="1068"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NH</w:t>
            </w:r>
            <w:r>
              <w:rPr>
                <w:rFonts w:hint="eastAsia" w:ascii="宋体" w:hAnsi="宋体" w:eastAsia="宋体" w:cs="Times New Roman"/>
                <w:b/>
                <w:bCs/>
                <w:sz w:val="24"/>
                <w:szCs w:val="20"/>
                <w:vertAlign w:val="subscript"/>
                <w:lang w:val="zh-CN"/>
              </w:rPr>
              <w:t>3</w:t>
            </w:r>
            <w:r>
              <w:rPr>
                <w:rFonts w:hint="eastAsia" w:ascii="宋体" w:hAnsi="宋体" w:eastAsia="宋体" w:cs="Times New Roman"/>
                <w:b/>
                <w:bCs/>
                <w:sz w:val="24"/>
                <w:szCs w:val="20"/>
                <w:lang w:val="zh-CN"/>
              </w:rPr>
              <w:t>-N</w:t>
            </w:r>
          </w:p>
        </w:tc>
        <w:tc>
          <w:tcPr>
            <w:tcW w:w="1012" w:type="dxa"/>
            <w:tcBorders>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1715" w:type="dxa"/>
            <w:tcBorders>
              <w:top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进水水质（mg/L）</w:t>
            </w:r>
          </w:p>
        </w:tc>
        <w:tc>
          <w:tcPr>
            <w:tcW w:w="10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120</w:t>
            </w:r>
          </w:p>
        </w:tc>
        <w:tc>
          <w:tcPr>
            <w:tcW w:w="10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220</w:t>
            </w:r>
          </w:p>
        </w:tc>
        <w:tc>
          <w:tcPr>
            <w:tcW w:w="900"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250</w:t>
            </w:r>
          </w:p>
        </w:tc>
        <w:tc>
          <w:tcPr>
            <w:tcW w:w="1068"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35</w:t>
            </w:r>
          </w:p>
        </w:tc>
        <w:tc>
          <w:tcPr>
            <w:tcW w:w="1068"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25</w:t>
            </w:r>
          </w:p>
        </w:tc>
        <w:tc>
          <w:tcPr>
            <w:tcW w:w="1012" w:type="dxa"/>
            <w:tcBorders>
              <w:top w:val="single" w:color="000000" w:sz="2" w:space="0"/>
              <w:lef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3</w:t>
            </w:r>
          </w:p>
        </w:tc>
      </w:tr>
    </w:tbl>
    <w:p>
      <w:pPr>
        <w:spacing w:line="360" w:lineRule="auto"/>
        <w:ind w:firstLine="480" w:firstLineChars="200"/>
        <w:jc w:val="left"/>
        <w:rPr>
          <w:rFonts w:ascii="宋体" w:hAnsi="宋体" w:eastAsia="宋体" w:cs="Times New Roman"/>
          <w:sz w:val="24"/>
          <w:szCs w:val="20"/>
          <w:lang w:val="zh-CN"/>
        </w:rPr>
      </w:pPr>
      <w:r>
        <w:rPr>
          <w:rFonts w:hint="eastAsia" w:ascii="宋体" w:hAnsi="宋体" w:eastAsia="宋体" w:cs="Times New Roman"/>
          <w:sz w:val="24"/>
          <w:szCs w:val="20"/>
          <w:lang w:val="zh-CN"/>
        </w:rPr>
        <w:t>出厂水质执行《城镇污水处理厂污染物排放标准》（GB18918—2002）一级 A 标准，出厂水质如表：</w:t>
      </w:r>
    </w:p>
    <w:p>
      <w:pPr>
        <w:spacing w:line="360" w:lineRule="auto"/>
        <w:jc w:val="center"/>
        <w:rPr>
          <w:rFonts w:ascii="宋体" w:hAnsi="宋体" w:eastAsia="宋体" w:cs="Times New Roman"/>
          <w:sz w:val="24"/>
          <w:szCs w:val="20"/>
          <w:lang w:val="zh-CN"/>
        </w:rPr>
      </w:pPr>
      <w:r>
        <w:rPr>
          <w:rFonts w:hint="eastAsia" w:ascii="宋体" w:hAnsi="宋体" w:eastAsia="宋体" w:cs="Times New Roman"/>
          <w:sz w:val="24"/>
          <w:szCs w:val="20"/>
          <w:lang w:val="zh-CN"/>
        </w:rPr>
        <w:t>表</w:t>
      </w:r>
      <w:r>
        <w:rPr>
          <w:rFonts w:hint="eastAsia" w:ascii="宋体" w:hAnsi="宋体" w:eastAsia="宋体" w:cs="Times New Roman"/>
          <w:sz w:val="24"/>
          <w:szCs w:val="20"/>
        </w:rPr>
        <w:t>2</w:t>
      </w:r>
      <w:r>
        <w:rPr>
          <w:rFonts w:hint="eastAsia" w:ascii="宋体" w:hAnsi="宋体" w:eastAsia="宋体" w:cs="Times New Roman"/>
          <w:sz w:val="24"/>
          <w:szCs w:val="20"/>
          <w:lang w:val="zh-CN"/>
        </w:rPr>
        <w:t>污水处理厂设计出厂水质表</w:t>
      </w:r>
    </w:p>
    <w:tbl>
      <w:tblPr>
        <w:tblStyle w:val="19"/>
        <w:tblpPr w:leftFromText="180" w:rightFromText="180" w:vertAnchor="text" w:horzAnchor="page" w:tblpX="1839" w:tblpY="48"/>
        <w:tblOverlap w:val="never"/>
        <w:tblW w:w="81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1"/>
        <w:gridCol w:w="874"/>
        <w:gridCol w:w="913"/>
        <w:gridCol w:w="1167"/>
        <w:gridCol w:w="1167"/>
        <w:gridCol w:w="1167"/>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1721" w:type="dxa"/>
            <w:tcBorders>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项目</w:t>
            </w:r>
          </w:p>
        </w:tc>
        <w:tc>
          <w:tcPr>
            <w:tcW w:w="874"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BOD5</w:t>
            </w:r>
          </w:p>
        </w:tc>
        <w:tc>
          <w:tcPr>
            <w:tcW w:w="913"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CODcr</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SS</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TN</w:t>
            </w:r>
          </w:p>
        </w:tc>
        <w:tc>
          <w:tcPr>
            <w:tcW w:w="1167" w:type="dxa"/>
            <w:tcBorders>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NH</w:t>
            </w:r>
            <w:r>
              <w:rPr>
                <w:rFonts w:hint="eastAsia" w:ascii="宋体" w:hAnsi="宋体" w:eastAsia="宋体" w:cs="Times New Roman"/>
                <w:b/>
                <w:bCs/>
                <w:sz w:val="24"/>
                <w:szCs w:val="20"/>
                <w:vertAlign w:val="subscript"/>
                <w:lang w:val="zh-CN"/>
              </w:rPr>
              <w:t>3</w:t>
            </w:r>
            <w:r>
              <w:rPr>
                <w:rFonts w:hint="eastAsia" w:ascii="宋体" w:hAnsi="宋体" w:eastAsia="宋体" w:cs="Times New Roman"/>
                <w:b/>
                <w:bCs/>
                <w:sz w:val="24"/>
                <w:szCs w:val="20"/>
                <w:lang w:val="zh-CN"/>
              </w:rPr>
              <w:t>-N</w:t>
            </w:r>
          </w:p>
        </w:tc>
        <w:tc>
          <w:tcPr>
            <w:tcW w:w="1167" w:type="dxa"/>
            <w:tcBorders>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TP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721" w:type="dxa"/>
            <w:tcBorders>
              <w:top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出水水质(mg/L)</w:t>
            </w:r>
          </w:p>
        </w:tc>
        <w:tc>
          <w:tcPr>
            <w:tcW w:w="874"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10</w:t>
            </w:r>
          </w:p>
        </w:tc>
        <w:tc>
          <w:tcPr>
            <w:tcW w:w="913"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50</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10</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15</w:t>
            </w:r>
          </w:p>
        </w:tc>
        <w:tc>
          <w:tcPr>
            <w:tcW w:w="1167" w:type="dxa"/>
            <w:tcBorders>
              <w:top w:val="single" w:color="000000" w:sz="2" w:space="0"/>
              <w:left w:val="single" w:color="000000" w:sz="2" w:space="0"/>
              <w:bottom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w:t>
            </w:r>
          </w:p>
        </w:tc>
        <w:tc>
          <w:tcPr>
            <w:tcW w:w="1167" w:type="dxa"/>
            <w:tcBorders>
              <w:top w:val="single" w:color="000000" w:sz="2" w:space="0"/>
              <w:left w:val="single" w:color="000000" w:sz="2" w:space="0"/>
              <w:bottom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721" w:type="dxa"/>
            <w:tcBorders>
              <w:top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去除率</w:t>
            </w:r>
          </w:p>
        </w:tc>
        <w:tc>
          <w:tcPr>
            <w:tcW w:w="874"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91.67%</w:t>
            </w:r>
          </w:p>
        </w:tc>
        <w:tc>
          <w:tcPr>
            <w:tcW w:w="913"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77.27%</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96.00%</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57.14%</w:t>
            </w:r>
          </w:p>
        </w:tc>
        <w:tc>
          <w:tcPr>
            <w:tcW w:w="1167" w:type="dxa"/>
            <w:tcBorders>
              <w:top w:val="single" w:color="000000" w:sz="2" w:space="0"/>
              <w:left w:val="single" w:color="000000" w:sz="2" w:space="0"/>
              <w:righ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80.00%</w:t>
            </w:r>
          </w:p>
        </w:tc>
        <w:tc>
          <w:tcPr>
            <w:tcW w:w="1167" w:type="dxa"/>
            <w:tcBorders>
              <w:top w:val="single" w:color="000000" w:sz="2" w:space="0"/>
              <w:left w:val="single" w:color="000000" w:sz="2" w:space="0"/>
            </w:tcBorders>
          </w:tcPr>
          <w:p>
            <w:pPr>
              <w:spacing w:line="360" w:lineRule="auto"/>
              <w:jc w:val="center"/>
              <w:rPr>
                <w:rFonts w:ascii="宋体" w:hAnsi="宋体" w:eastAsia="宋体" w:cs="Times New Roman"/>
                <w:b/>
                <w:bCs/>
                <w:sz w:val="24"/>
                <w:szCs w:val="20"/>
                <w:lang w:val="zh-CN"/>
              </w:rPr>
            </w:pPr>
            <w:r>
              <w:rPr>
                <w:rFonts w:hint="eastAsia" w:ascii="宋体" w:hAnsi="宋体" w:eastAsia="宋体" w:cs="Times New Roman"/>
                <w:b/>
                <w:bCs/>
                <w:sz w:val="24"/>
                <w:szCs w:val="20"/>
                <w:lang w:val="zh-CN"/>
              </w:rPr>
              <w:t>83.3%</w:t>
            </w:r>
          </w:p>
        </w:tc>
      </w:tr>
    </w:tbl>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lang w:val="zh-CN"/>
        </w:rPr>
        <w:t>污水处理厂采用生物接触氧化工艺</w:t>
      </w:r>
      <w:r>
        <w:rPr>
          <w:rFonts w:hint="eastAsia" w:ascii="宋体" w:hAnsi="宋体" w:eastAsia="宋体" w:cs="Times New Roman"/>
          <w:sz w:val="24"/>
          <w:szCs w:val="20"/>
        </w:rPr>
        <w:t>，主要工艺流程如下所示：</w:t>
      </w:r>
    </w:p>
    <w:p>
      <w:pPr>
        <w:pStyle w:val="7"/>
        <w:spacing w:before="60" w:line="374" w:lineRule="auto"/>
        <w:rPr>
          <w:rFonts w:cs="Times New Roman"/>
          <w:b/>
          <w:bCs/>
          <w:szCs w:val="20"/>
        </w:rPr>
      </w:pPr>
      <w:r>
        <w:rPr>
          <w:rFonts w:hint="eastAsia"/>
          <w:b/>
          <w:bCs/>
          <w:spacing w:val="3"/>
          <w:sz w:val="28"/>
          <w:szCs w:val="28"/>
        </w:rPr>
        <w:t>进水</w:t>
      </w:r>
      <w:r>
        <w:rPr>
          <w:b/>
          <w:bCs/>
          <w:spacing w:val="3"/>
          <w:sz w:val="28"/>
          <w:szCs w:val="28"/>
        </w:rPr>
        <w:t>—</w:t>
      </w:r>
      <w:r>
        <w:rPr>
          <w:rFonts w:hint="eastAsia"/>
          <w:b/>
          <w:bCs/>
          <w:spacing w:val="3"/>
          <w:sz w:val="28"/>
          <w:szCs w:val="28"/>
        </w:rPr>
        <w:t>粗</w:t>
      </w:r>
      <w:r>
        <w:rPr>
          <w:b/>
          <w:bCs/>
          <w:spacing w:val="3"/>
          <w:sz w:val="28"/>
          <w:szCs w:val="28"/>
        </w:rPr>
        <w:t>格栅—沉砂</w:t>
      </w:r>
      <w:r>
        <w:rPr>
          <w:rFonts w:hint="eastAsia"/>
          <w:b/>
          <w:bCs/>
          <w:spacing w:val="3"/>
          <w:sz w:val="28"/>
          <w:szCs w:val="28"/>
        </w:rPr>
        <w:t>池</w:t>
      </w:r>
      <w:r>
        <w:rPr>
          <w:b/>
          <w:bCs/>
          <w:spacing w:val="3"/>
          <w:sz w:val="28"/>
          <w:szCs w:val="28"/>
        </w:rPr>
        <w:t>—调节池及提升泵房—</w:t>
      </w:r>
      <w:r>
        <w:rPr>
          <w:rFonts w:hint="eastAsia"/>
          <w:b/>
          <w:bCs/>
          <w:spacing w:val="3"/>
          <w:sz w:val="28"/>
          <w:szCs w:val="28"/>
        </w:rPr>
        <w:t>缺氧池</w:t>
      </w:r>
      <w:r>
        <w:rPr>
          <w:b/>
          <w:bCs/>
          <w:spacing w:val="3"/>
          <w:sz w:val="28"/>
          <w:szCs w:val="28"/>
        </w:rPr>
        <w:t>—</w:t>
      </w:r>
      <w:r>
        <w:rPr>
          <w:rFonts w:hint="eastAsia"/>
          <w:b/>
          <w:bCs/>
          <w:spacing w:val="3"/>
          <w:sz w:val="28"/>
          <w:szCs w:val="28"/>
        </w:rPr>
        <w:t>厌氧池</w:t>
      </w:r>
      <w:r>
        <w:rPr>
          <w:b/>
          <w:bCs/>
          <w:spacing w:val="3"/>
          <w:sz w:val="28"/>
          <w:szCs w:val="28"/>
        </w:rPr>
        <w:t>—</w:t>
      </w:r>
      <w:r>
        <w:rPr>
          <w:rFonts w:hint="eastAsia"/>
          <w:b/>
          <w:bCs/>
          <w:spacing w:val="3"/>
          <w:sz w:val="28"/>
          <w:szCs w:val="28"/>
        </w:rPr>
        <w:t>生物</w:t>
      </w:r>
      <w:r>
        <w:rPr>
          <w:b/>
          <w:bCs/>
          <w:spacing w:val="4"/>
          <w:w w:val="95"/>
          <w:sz w:val="28"/>
          <w:szCs w:val="28"/>
        </w:rPr>
        <w:t>接触氧化池</w:t>
      </w:r>
      <w:r>
        <w:rPr>
          <w:b/>
          <w:bCs/>
          <w:spacing w:val="3"/>
          <w:w w:val="95"/>
          <w:sz w:val="28"/>
          <w:szCs w:val="28"/>
        </w:rPr>
        <w:t>—网格絮凝</w:t>
      </w:r>
      <w:r>
        <w:rPr>
          <w:rFonts w:hint="eastAsia"/>
          <w:b/>
          <w:bCs/>
          <w:spacing w:val="3"/>
          <w:w w:val="95"/>
          <w:sz w:val="28"/>
          <w:szCs w:val="28"/>
        </w:rPr>
        <w:t>池</w:t>
      </w:r>
      <w:r>
        <w:rPr>
          <w:b/>
          <w:bCs/>
          <w:spacing w:val="3"/>
          <w:sz w:val="28"/>
          <w:szCs w:val="28"/>
        </w:rPr>
        <w:t>—</w:t>
      </w:r>
      <w:r>
        <w:rPr>
          <w:b/>
          <w:bCs/>
          <w:spacing w:val="3"/>
          <w:w w:val="95"/>
          <w:sz w:val="28"/>
          <w:szCs w:val="28"/>
        </w:rPr>
        <w:t>平流沉淀池—人工快渗池—接触消毒池—尾水</w:t>
      </w:r>
      <w:r>
        <w:rPr>
          <w:b/>
          <w:bCs/>
          <w:sz w:val="28"/>
          <w:szCs w:val="28"/>
        </w:rPr>
        <w:t>排放。</w:t>
      </w:r>
    </w:p>
    <w:p>
      <w:pPr>
        <w:pStyle w:val="7"/>
        <w:spacing w:before="60" w:line="374" w:lineRule="auto"/>
        <w:ind w:firstLine="550" w:firstLineChars="200"/>
        <w:rPr>
          <w:rFonts w:hint="eastAsia"/>
          <w:b/>
          <w:bCs/>
          <w:spacing w:val="4"/>
          <w:w w:val="95"/>
          <w:sz w:val="28"/>
          <w:szCs w:val="28"/>
        </w:rPr>
      </w:pPr>
      <w:r>
        <w:rPr>
          <w:rFonts w:hint="eastAsia"/>
          <w:b/>
          <w:bCs/>
          <w:spacing w:val="4"/>
          <w:w w:val="95"/>
          <w:sz w:val="28"/>
          <w:szCs w:val="28"/>
        </w:rPr>
        <w:t>污泥经过带式压滤机脱水后外运处置。</w:t>
      </w:r>
    </w:p>
    <w:p>
      <w:pPr>
        <w:pStyle w:val="7"/>
        <w:spacing w:before="60" w:line="374" w:lineRule="auto"/>
        <w:ind w:firstLine="548" w:firstLineChars="200"/>
        <w:rPr>
          <w:rFonts w:hint="eastAsia"/>
          <w:bCs/>
          <w:spacing w:val="4"/>
          <w:w w:val="95"/>
          <w:sz w:val="28"/>
          <w:szCs w:val="28"/>
        </w:rPr>
      </w:pPr>
      <w:r>
        <w:rPr>
          <w:rFonts w:hint="eastAsia"/>
          <w:bCs/>
          <w:spacing w:val="4"/>
          <w:w w:val="95"/>
          <w:sz w:val="28"/>
          <w:szCs w:val="28"/>
        </w:rPr>
        <w:t>仙岛湖污水处理厂主要设备清单如下表所示：</w:t>
      </w:r>
    </w:p>
    <w:p>
      <w:pPr>
        <w:pStyle w:val="7"/>
        <w:spacing w:before="60" w:line="374" w:lineRule="auto"/>
        <w:ind w:firstLine="548" w:firstLineChars="200"/>
        <w:jc w:val="center"/>
        <w:rPr>
          <w:rFonts w:hint="eastAsia"/>
          <w:bCs/>
          <w:spacing w:val="4"/>
          <w:w w:val="95"/>
          <w:sz w:val="28"/>
          <w:szCs w:val="28"/>
        </w:rPr>
      </w:pPr>
      <w:r>
        <w:rPr>
          <w:rFonts w:hint="eastAsia"/>
          <w:bCs/>
          <w:spacing w:val="4"/>
          <w:w w:val="95"/>
          <w:sz w:val="28"/>
          <w:szCs w:val="28"/>
        </w:rPr>
        <w:t>仙岛湖污水处理厂主要设备一览表</w:t>
      </w:r>
    </w:p>
    <w:tbl>
      <w:tblPr>
        <w:tblStyle w:val="19"/>
        <w:tblW w:w="9162" w:type="dxa"/>
        <w:jc w:val="center"/>
        <w:tblLayout w:type="fixed"/>
        <w:tblCellMar>
          <w:top w:w="0" w:type="dxa"/>
          <w:left w:w="108" w:type="dxa"/>
          <w:bottom w:w="0" w:type="dxa"/>
          <w:right w:w="108" w:type="dxa"/>
        </w:tblCellMar>
      </w:tblPr>
      <w:tblGrid>
        <w:gridCol w:w="773"/>
        <w:gridCol w:w="1510"/>
        <w:gridCol w:w="1276"/>
        <w:gridCol w:w="1843"/>
        <w:gridCol w:w="1843"/>
        <w:gridCol w:w="1917"/>
      </w:tblGrid>
      <w:tr>
        <w:tblPrEx>
          <w:tblCellMar>
            <w:top w:w="0" w:type="dxa"/>
            <w:left w:w="108" w:type="dxa"/>
            <w:bottom w:w="0" w:type="dxa"/>
            <w:right w:w="108" w:type="dxa"/>
          </w:tblCellMar>
        </w:tblPrEx>
        <w:trPr>
          <w:trHeight w:val="57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设备数量</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设备型号</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设备功率</w:t>
            </w:r>
          </w:p>
        </w:tc>
        <w:tc>
          <w:tcPr>
            <w:tcW w:w="1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设备位置</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手动闸门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SMYZ 500*500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手动闸门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SMYZ 400*400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粗格栅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SHG-800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1.1KW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皮带输送机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PD-500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调节池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提升泵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Q=100m³/h</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调节池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缺氧池手电一体闸门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A220-18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厌氧池手电一体闸门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SFZ</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MS探头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S1N-PSS100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ORP探头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缺氧池手电一体闸门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A220-18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2#生化缺氧池池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厌氧池手电一体闸门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SFZ</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QLB1.5/8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2#生化厌氧池池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超声波超声波液位计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S1N-2P</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溶氧探头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S1N-DY2900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MS探头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S1N-PSS100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ORP探头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S1N-PH6.0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2#生化好氧池池</w:t>
            </w:r>
          </w:p>
        </w:tc>
      </w:tr>
      <w:tr>
        <w:tblPrEx>
          <w:tblCellMar>
            <w:top w:w="0" w:type="dxa"/>
            <w:left w:w="108" w:type="dxa"/>
            <w:bottom w:w="0" w:type="dxa"/>
            <w:right w:w="108" w:type="dxa"/>
          </w:tblCellMar>
        </w:tblPrEx>
        <w:trPr>
          <w:trHeight w:val="555"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往复式刮吸泥机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SHB-4.5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混凝沉淀池</w:t>
            </w:r>
          </w:p>
        </w:tc>
      </w:tr>
      <w:tr>
        <w:tblPrEx>
          <w:tblCellMar>
            <w:top w:w="0" w:type="dxa"/>
            <w:left w:w="108" w:type="dxa"/>
            <w:bottom w:w="0" w:type="dxa"/>
            <w:right w:w="108" w:type="dxa"/>
          </w:tblCellMar>
        </w:tblPrEx>
        <w:trPr>
          <w:trHeight w:val="585"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电磁阀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6个</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380V 90W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人工快渗池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回用水泵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接触消毒池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COD在线检测仪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氨氮在线检测仪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总磷在线检测仪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总氮在线检测仪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PC-3650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巴式流量计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WL-1A1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数采仪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K37</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出水在线房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龙门吊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罗茨鼓风机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yx3-250M-4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管道式手电一体电动阀门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Ydf56m2-4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管道式空气流量计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EMF8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安全阀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法兰直接100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PLC控制柜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SRE1ESNO</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UPS备用电源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XRM</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220V</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鼓风机房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手电一体闸门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回流污泥池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外回流泵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回流污泥池</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进泥泵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空压机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F2508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清洗泵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y13281-2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DY-1000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螺旋输送机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WLS-J60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Y90S-6</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压滤机房</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二氧化氯加药机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HB-1000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二氧化氯加药间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PAC配药机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PAC加药泵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JWM-B1001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PAM配药机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PAM加药泵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JYB-1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加药间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备用回流泵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AS55-4CB</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储藏室</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备用推流器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QJB1.5/8</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储藏室</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COD在线检测仪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pH计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PC-3650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数采仪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RENQ-1V AC220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进水仪表间</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格栅机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SHG-500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0.37kw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SMXZ 500*500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水泵15kw两台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老1号一体化泵站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WQ/YT-3800-808-3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水泵132kw叁台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粉碎机5.5kw壹台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WQ/YT-1600-76-2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水泵7.5kw两台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WQ/YT-1600-70-2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水泵7.5kw两台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2#一体化泵站</w:t>
            </w:r>
          </w:p>
        </w:tc>
      </w:tr>
      <w:tr>
        <w:tblPrEx>
          <w:tblCellMar>
            <w:top w:w="0" w:type="dxa"/>
            <w:left w:w="108" w:type="dxa"/>
            <w:bottom w:w="0" w:type="dxa"/>
            <w:right w:w="108" w:type="dxa"/>
          </w:tblCellMar>
        </w:tblPrEx>
        <w:trPr>
          <w:trHeight w:val="75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1#一体化泵站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1座</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WQ/YT-2000-72-2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水泵15kw两台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粉碎机3kw壹台</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1#一体化泵站</w:t>
            </w:r>
          </w:p>
        </w:tc>
      </w:tr>
      <w:tr>
        <w:tblPrEx>
          <w:tblCellMar>
            <w:top w:w="0" w:type="dxa"/>
            <w:left w:w="108" w:type="dxa"/>
            <w:bottom w:w="0" w:type="dxa"/>
            <w:right w:w="108" w:type="dxa"/>
          </w:tblCellMar>
        </w:tblPrEx>
        <w:trPr>
          <w:trHeight w:val="60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c>
          <w:tcPr>
            <w:tcW w:w="1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提升泵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200LC3-65-3.5</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90kw</w:t>
            </w:r>
          </w:p>
        </w:tc>
        <w:tc>
          <w:tcPr>
            <w:tcW w:w="1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混凝土泵站</w:t>
            </w:r>
          </w:p>
        </w:tc>
      </w:tr>
    </w:tbl>
    <w:p>
      <w:pPr>
        <w:pStyle w:val="7"/>
        <w:spacing w:before="60" w:line="374" w:lineRule="auto"/>
        <w:ind w:firstLine="550" w:firstLineChars="200"/>
        <w:rPr>
          <w:rFonts w:hint="eastAsia"/>
          <w:b/>
          <w:bCs/>
          <w:spacing w:val="4"/>
          <w:w w:val="95"/>
          <w:sz w:val="28"/>
          <w:szCs w:val="28"/>
        </w:rPr>
      </w:pPr>
      <w:r>
        <w:rPr>
          <w:rFonts w:hint="eastAsia"/>
          <w:b/>
          <w:bCs/>
          <w:spacing w:val="4"/>
          <w:w w:val="95"/>
          <w:sz w:val="28"/>
          <w:szCs w:val="28"/>
        </w:rPr>
        <w:t>说明：设备设施的具体数量、型号、种类以本项目实际移交为准。</w:t>
      </w:r>
    </w:p>
    <w:p>
      <w:pPr>
        <w:pStyle w:val="7"/>
        <w:spacing w:before="60" w:line="374" w:lineRule="auto"/>
        <w:ind w:firstLine="550" w:firstLineChars="200"/>
        <w:rPr>
          <w:b/>
          <w:bCs/>
          <w:spacing w:val="4"/>
          <w:w w:val="95"/>
          <w:sz w:val="28"/>
          <w:szCs w:val="28"/>
        </w:rPr>
      </w:pP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五、</w:t>
      </w:r>
      <w:r>
        <w:rPr>
          <w:rFonts w:hint="eastAsia" w:ascii="宋体" w:hAnsi="宋体" w:eastAsia="宋体" w:cs="Times New Roman"/>
          <w:sz w:val="24"/>
          <w:szCs w:val="20"/>
          <w:lang w:val="zh-CN"/>
        </w:rPr>
        <w:t>招标范围和内容</w:t>
      </w:r>
    </w:p>
    <w:p>
      <w:pPr>
        <w:spacing w:line="360" w:lineRule="auto"/>
        <w:rPr>
          <w:rFonts w:ascii="宋体" w:hAnsi="宋体" w:eastAsia="宋体" w:cs="Times New Roman"/>
          <w:sz w:val="24"/>
          <w:szCs w:val="20"/>
          <w:lang w:val="zh-CN"/>
        </w:rPr>
      </w:pPr>
      <w:r>
        <w:rPr>
          <w:rFonts w:hint="eastAsia" w:ascii="宋体" w:hAnsi="宋体" w:eastAsia="宋体" w:cs="Times New Roman"/>
          <w:sz w:val="24"/>
          <w:szCs w:val="20"/>
          <w:lang w:val="zh-CN"/>
        </w:rPr>
        <w:t>对阳新县仙岛湖污水处理厂全部委托运行和管理，包括但不限</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1.负责污水处理设备、设施日常维护维修及更换，污水管网日常巡查、维修；</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2.负责污水、污泥达标排放所需的所有药剂和原料；</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3.负责电费、水费、化验室、人工工资、药剂、维修费、管理费及税金；</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4.污水处理排放各项指标达到 GB18918-2002 的一级 A 标准；</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5.负责镇区生产企业污水排放口取样化验；</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6.负责活性污泥的稳定；</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lang w:val="zh-CN"/>
        </w:rPr>
        <w:t>7.按时提供环保监测报告及运行资料收集上报。</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六、</w:t>
      </w:r>
      <w:r>
        <w:rPr>
          <w:rFonts w:hint="eastAsia" w:ascii="宋体" w:hAnsi="宋体" w:eastAsia="宋体" w:cs="Times New Roman"/>
          <w:sz w:val="24"/>
          <w:szCs w:val="20"/>
          <w:lang w:val="zh-CN"/>
        </w:rPr>
        <w:t>报价要求：</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项目报价须体现节约财政资金的原则，报价含电费、水费、化验室、人工工资、药剂、维修费、管理费及税金等全部费用（投标人可在分项报价表中详细列出报价，如果所列分项报价不含以上内容，则视为已含在投标总价中。</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对于本招标文件未列明，而投标人认为必需的费用也需列入投标总报价。在合同实施时，招标人将不予支付中标人没有列入的项目费用，并认为此项目的费用已包括在投标总报价中。</w:t>
      </w:r>
    </w:p>
    <w:p>
      <w:pPr>
        <w:spacing w:line="360" w:lineRule="auto"/>
        <w:ind w:firstLine="480" w:firstLineChars="200"/>
        <w:rPr>
          <w:rFonts w:ascii="宋体" w:hAnsi="宋体" w:eastAsia="宋体" w:cs="Times New Roman"/>
          <w:b/>
          <w:bCs/>
          <w:sz w:val="24"/>
          <w:szCs w:val="20"/>
        </w:rPr>
      </w:pPr>
      <w:r>
        <w:rPr>
          <w:rFonts w:hint="eastAsia" w:ascii="宋体" w:hAnsi="宋体" w:eastAsia="宋体" w:cs="Times New Roman"/>
          <w:sz w:val="24"/>
          <w:szCs w:val="20"/>
        </w:rPr>
        <w:t>3.</w:t>
      </w:r>
      <w:r>
        <w:rPr>
          <w:rFonts w:hint="eastAsia" w:ascii="宋体" w:hAnsi="宋体" w:eastAsia="宋体" w:cs="Times New Roman"/>
          <w:sz w:val="24"/>
          <w:szCs w:val="20"/>
          <w:lang w:val="zh-CN"/>
        </w:rPr>
        <w:t>中标人的投标总报价为合同结算价，</w:t>
      </w:r>
      <w:r>
        <w:rPr>
          <w:rFonts w:hint="eastAsia" w:ascii="宋体" w:hAnsi="宋体" w:eastAsia="宋体" w:cs="Times New Roman"/>
          <w:b/>
          <w:bCs/>
          <w:sz w:val="24"/>
          <w:szCs w:val="20"/>
          <w:lang w:val="zh-CN"/>
        </w:rPr>
        <w:t>七个泵站维护维修运营费（采取总价包干</w:t>
      </w:r>
      <w:r>
        <w:rPr>
          <w:rFonts w:hint="eastAsia" w:ascii="宋体" w:hAnsi="宋体" w:eastAsia="宋体" w:cs="Times New Roman"/>
          <w:b/>
          <w:bCs/>
          <w:sz w:val="24"/>
          <w:szCs w:val="20"/>
        </w:rPr>
        <w:t>7万/年）及</w:t>
      </w:r>
      <w:r>
        <w:rPr>
          <w:rFonts w:hint="eastAsia" w:ascii="宋体" w:hAnsi="宋体" w:eastAsia="宋体" w:cs="Times New Roman"/>
          <w:b/>
          <w:bCs/>
          <w:sz w:val="24"/>
          <w:szCs w:val="20"/>
          <w:lang w:val="zh-CN"/>
        </w:rPr>
        <w:t>电费</w:t>
      </w:r>
      <w:r>
        <w:rPr>
          <w:rFonts w:hint="eastAsia" w:ascii="宋体" w:hAnsi="宋体" w:eastAsia="宋体" w:cs="Times New Roman"/>
          <w:b/>
          <w:bCs/>
          <w:sz w:val="24"/>
          <w:szCs w:val="20"/>
        </w:rPr>
        <w:t>(据实结算)</w:t>
      </w:r>
      <w:r>
        <w:rPr>
          <w:rFonts w:hint="eastAsia" w:ascii="宋体" w:hAnsi="宋体" w:eastAsia="宋体" w:cs="Times New Roman"/>
          <w:b/>
          <w:bCs/>
          <w:sz w:val="24"/>
          <w:szCs w:val="20"/>
          <w:lang w:val="zh-CN"/>
        </w:rPr>
        <w:t>。招标人负责协调中标人与阳新当地污泥处置接受机构签订合作协议，以确保经营范围内脱水污泥最终运送至阳新当地进行处置。污泥处理、处置费为</w:t>
      </w:r>
      <w:r>
        <w:rPr>
          <w:rFonts w:hint="eastAsia" w:ascii="宋体" w:hAnsi="宋体" w:eastAsia="宋体" w:cs="Times New Roman"/>
          <w:b/>
          <w:bCs/>
          <w:sz w:val="24"/>
          <w:szCs w:val="20"/>
        </w:rPr>
        <w:t>120元/吨（含物理处理、运输和处置费）,由中标人承担，费用超出部分由招标人承担。在线监测运维费由甲方委托单位监测，中标方支付费用。管网长度暂按57.6公里计算最终长度根据竣工验收长度为准，管网维护维修运营费最高7300元/公里，不得超过此报价。污水处理量按3000吨/天计算(</w:t>
      </w:r>
      <w:r>
        <w:rPr>
          <w:rFonts w:hint="eastAsia" w:ascii="宋体" w:hAnsi="宋体" w:eastAsia="宋体" w:cs="Times New Roman"/>
          <w:color w:val="FF0000"/>
          <w:sz w:val="24"/>
          <w:szCs w:val="20"/>
          <w:lang w:val="zh-CN"/>
        </w:rPr>
        <w:t>污水处理量第一年保底水量</w:t>
      </w:r>
      <w:r>
        <w:rPr>
          <w:rFonts w:hint="eastAsia" w:ascii="宋体" w:hAnsi="宋体" w:eastAsia="宋体" w:cs="Times New Roman"/>
          <w:color w:val="FF0000"/>
          <w:sz w:val="24"/>
          <w:szCs w:val="20"/>
        </w:rPr>
        <w:t>70%，第二年保底水量80%，第三年保底水量90%，第四年至运营期结束保底水量100%。前三年污水处理费按保底水量计算,超出部分据实结算。</w:t>
      </w:r>
      <w:r>
        <w:rPr>
          <w:rFonts w:hint="eastAsia" w:ascii="宋体" w:hAnsi="宋体" w:eastAsia="宋体" w:cs="Times New Roman"/>
          <w:b/>
          <w:bCs/>
          <w:sz w:val="24"/>
          <w:szCs w:val="20"/>
        </w:rPr>
        <w:t>)，污水处理费最高0.79元/吨，不得超过此报价</w:t>
      </w:r>
      <w:r>
        <w:rPr>
          <w:rFonts w:hint="eastAsia" w:ascii="宋体" w:hAnsi="宋体" w:eastAsia="宋体" w:cs="Times New Roman"/>
          <w:sz w:val="24"/>
          <w:szCs w:val="20"/>
          <w:lang w:val="zh-CN"/>
        </w:rPr>
        <w:t>。</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七、</w:t>
      </w:r>
      <w:r>
        <w:rPr>
          <w:rFonts w:hint="eastAsia" w:ascii="宋体" w:hAnsi="宋体" w:eastAsia="宋体" w:cs="Times New Roman"/>
          <w:sz w:val="24"/>
          <w:szCs w:val="20"/>
          <w:lang w:val="zh-CN"/>
        </w:rPr>
        <w:t>质量要求：通过湖北省环保厅或在线监测平台抽样检测。</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八、</w:t>
      </w:r>
      <w:r>
        <w:rPr>
          <w:rFonts w:hint="eastAsia" w:ascii="宋体" w:hAnsi="宋体" w:eastAsia="宋体" w:cs="Times New Roman"/>
          <w:sz w:val="24"/>
          <w:szCs w:val="20"/>
          <w:lang w:val="zh-CN"/>
        </w:rPr>
        <w:t>投标企业具备完成与本工程方案设计相适应的技术人员和经营实力，拟派驻本污水处理系统管理人员：</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项目经理具备给排水、市政或环保专业中级及以上职称，同时运营管理经历 5 年以上；</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技术负责人具备给排水、市政或环保专业中级及以上职称；</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3.</w:t>
      </w:r>
      <w:r>
        <w:rPr>
          <w:rFonts w:hint="eastAsia" w:ascii="宋体" w:hAnsi="宋体" w:eastAsia="宋体" w:cs="Times New Roman"/>
          <w:sz w:val="24"/>
          <w:szCs w:val="20"/>
          <w:lang w:val="zh-CN"/>
        </w:rPr>
        <w:t>设备工程师具备机械、电气或机电一体化专业中级及以上职称；</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4.</w:t>
      </w:r>
      <w:r>
        <w:rPr>
          <w:rFonts w:hint="eastAsia" w:ascii="宋体" w:hAnsi="宋体" w:eastAsia="宋体" w:cs="Times New Roman"/>
          <w:sz w:val="24"/>
          <w:szCs w:val="20"/>
          <w:lang w:val="zh-CN"/>
        </w:rPr>
        <w:t>检验人员具备上岗证；</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5.</w:t>
      </w:r>
      <w:r>
        <w:rPr>
          <w:rFonts w:hint="eastAsia" w:ascii="宋体" w:hAnsi="宋体" w:eastAsia="宋体" w:cs="Times New Roman"/>
          <w:sz w:val="24"/>
          <w:szCs w:val="20"/>
          <w:lang w:val="zh-CN"/>
        </w:rPr>
        <w:t>安全员具备上岗证和安全生产考核合格证书；</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6.</w:t>
      </w:r>
      <w:r>
        <w:rPr>
          <w:rFonts w:hint="eastAsia" w:ascii="宋体" w:hAnsi="宋体" w:eastAsia="宋体" w:cs="Times New Roman"/>
          <w:sz w:val="24"/>
          <w:szCs w:val="20"/>
          <w:lang w:val="zh-CN"/>
        </w:rPr>
        <w:t>污水处理工持有污水处理工《职业资格证书》。</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九、</w:t>
      </w:r>
      <w:r>
        <w:rPr>
          <w:rFonts w:hint="eastAsia" w:ascii="宋体" w:hAnsi="宋体" w:eastAsia="宋体" w:cs="Times New Roman"/>
          <w:sz w:val="24"/>
          <w:szCs w:val="20"/>
          <w:lang w:val="zh-CN"/>
        </w:rPr>
        <w:t>安全要求：中标人须提供所投服务的安全承诺及措施，由业主方监督并严格实施，在服务过程中，不论出于何种原因，出现的所有安全责任事故均由中标人负责，招标人不承担任何安全责任。</w:t>
      </w:r>
    </w:p>
    <w:p>
      <w:pPr>
        <w:spacing w:line="360" w:lineRule="auto"/>
        <w:ind w:left="1687" w:hanging="1687" w:hangingChars="700"/>
        <w:rPr>
          <w:rFonts w:ascii="宋体" w:hAnsi="宋体" w:eastAsia="宋体" w:cs="Times New Roman"/>
          <w:sz w:val="24"/>
          <w:szCs w:val="20"/>
          <w:lang w:val="zh-CN"/>
        </w:rPr>
      </w:pPr>
      <w:r>
        <w:rPr>
          <w:rFonts w:hint="eastAsia" w:ascii="宋体" w:hAnsi="宋体" w:eastAsia="宋体" w:cs="Times New Roman"/>
          <w:b/>
          <w:bCs/>
          <w:sz w:val="24"/>
          <w:szCs w:val="20"/>
          <w:lang w:val="zh-CN"/>
        </w:rPr>
        <w:t>十、</w:t>
      </w:r>
      <w:r>
        <w:rPr>
          <w:rFonts w:hint="eastAsia" w:ascii="宋体" w:hAnsi="宋体" w:eastAsia="宋体" w:cs="Times New Roman"/>
          <w:sz w:val="24"/>
          <w:szCs w:val="20"/>
          <w:lang w:val="zh-CN"/>
        </w:rPr>
        <w:t>付款方式：</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1.</w:t>
      </w:r>
      <w:r>
        <w:rPr>
          <w:rFonts w:hint="eastAsia" w:ascii="宋体" w:hAnsi="宋体" w:eastAsia="宋体" w:cs="Times New Roman"/>
          <w:sz w:val="24"/>
          <w:szCs w:val="20"/>
          <w:lang w:val="zh-CN"/>
        </w:rPr>
        <w:t>污水处理服务费按照“按日计量，按月结算，按年付费”的方式计算和支付。</w:t>
      </w:r>
    </w:p>
    <w:p>
      <w:pPr>
        <w:spacing w:line="360" w:lineRule="auto"/>
        <w:ind w:firstLine="240" w:firstLineChars="100"/>
        <w:rPr>
          <w:rFonts w:ascii="宋体" w:hAnsi="宋体" w:eastAsia="宋体" w:cs="Times New Roman"/>
          <w:sz w:val="24"/>
          <w:szCs w:val="20"/>
          <w:lang w:val="zh-CN"/>
        </w:rPr>
      </w:pPr>
      <w:r>
        <w:rPr>
          <w:rFonts w:hint="eastAsia" w:ascii="宋体" w:hAnsi="宋体" w:eastAsia="宋体" w:cs="Times New Roman"/>
          <w:sz w:val="24"/>
          <w:szCs w:val="20"/>
        </w:rPr>
        <w:t>2.</w:t>
      </w:r>
      <w:r>
        <w:rPr>
          <w:rFonts w:hint="eastAsia" w:ascii="宋体" w:hAnsi="宋体" w:eastAsia="宋体" w:cs="Times New Roman"/>
          <w:sz w:val="24"/>
          <w:szCs w:val="20"/>
          <w:lang w:val="zh-CN"/>
        </w:rPr>
        <w:t>管网运营维护费及其他服务费按年支付。</w:t>
      </w:r>
    </w:p>
    <w:p>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3.</w:t>
      </w:r>
      <w:r>
        <w:rPr>
          <w:bCs/>
          <w:kern w:val="0"/>
          <w:sz w:val="24"/>
          <w:szCs w:val="24"/>
        </w:rPr>
        <w:t>在项目运营期，根据制定的绩效考核指标对</w:t>
      </w:r>
      <w:r>
        <w:rPr>
          <w:rFonts w:hint="eastAsia"/>
          <w:bCs/>
          <w:kern w:val="0"/>
          <w:sz w:val="24"/>
          <w:szCs w:val="24"/>
        </w:rPr>
        <w:t>中标人</w:t>
      </w:r>
      <w:r>
        <w:rPr>
          <w:bCs/>
          <w:kern w:val="0"/>
          <w:sz w:val="24"/>
          <w:szCs w:val="24"/>
        </w:rPr>
        <w:t>进行绩效考核，项目实施机构根据考核情况进行付费。具体考核标准详见附件1</w:t>
      </w:r>
      <w:r>
        <w:rPr>
          <w:rFonts w:hint="eastAsia" w:ascii="宋体" w:hAnsi="宋体" w:eastAsia="宋体" w:cs="Times New Roman"/>
          <w:sz w:val="24"/>
          <w:szCs w:val="20"/>
        </w:rPr>
        <w:t>。</w:t>
      </w:r>
      <w:r>
        <w:rPr>
          <w:bCs/>
          <w:kern w:val="0"/>
          <w:sz w:val="24"/>
          <w:szCs w:val="24"/>
        </w:rPr>
        <w:t>绩效考核在每期运营期结束前60日内进行，30日内完成绩效考核评价。</w:t>
      </w:r>
    </w:p>
    <w:p>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4.运维绩效付费调价机制</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4.1调价周期：每五年调整一次；</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4.2调价因素：人工工资、外购原材料费、外购燃料和动力费、管理费；</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4.3调价计算公式：</w:t>
      </w:r>
    </w:p>
    <w:p>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drawing>
          <wp:inline distT="0" distB="0" distL="114300" distR="114300">
            <wp:extent cx="5247640" cy="509270"/>
            <wp:effectExtent l="0" t="0" r="0" b="5080"/>
            <wp:docPr id="5" name="图片 2" descr="说明: C:\Users\ADMINI~1\AppData\Local\Temp\ksohtml\wps7B3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C:\Users\ADMINI~1\AppData\Local\Temp\ksohtml\wps7B3A.tmp.png"/>
                    <pic:cNvPicPr>
                      <a:picLocks noChangeAspect="1"/>
                    </pic:cNvPicPr>
                  </pic:nvPicPr>
                  <pic:blipFill>
                    <a:blip r:embed="rId8"/>
                    <a:stretch>
                      <a:fillRect/>
                    </a:stretch>
                  </pic:blipFill>
                  <pic:spPr>
                    <a:xfrm>
                      <a:off x="0" y="0"/>
                      <a:ext cx="5247640" cy="509270"/>
                    </a:xfrm>
                    <a:prstGeom prst="rect">
                      <a:avLst/>
                    </a:prstGeom>
                    <a:noFill/>
                    <a:ln>
                      <a:noFill/>
                    </a:ln>
                  </pic:spPr>
                </pic:pic>
              </a:graphicData>
            </a:graphic>
          </wp:inline>
        </w:drawing>
      </w:r>
    </w:p>
    <w:p>
      <w:pPr>
        <w:spacing w:line="360" w:lineRule="auto"/>
        <w:ind w:firstLine="960" w:firstLineChars="400"/>
        <w:rPr>
          <w:rFonts w:hint="eastAsia" w:ascii="宋体" w:hAnsi="宋体" w:eastAsia="宋体" w:cs="Times New Roman"/>
          <w:sz w:val="24"/>
          <w:szCs w:val="20"/>
          <w:lang w:val="en-US" w:eastAsia="zh-CN"/>
        </w:rPr>
      </w:pPr>
      <w:r>
        <w:rPr>
          <w:rFonts w:hint="eastAsia" w:ascii="宋体" w:hAnsi="宋体" w:eastAsia="宋体" w:cs="Times New Roman"/>
          <w:sz w:val="24"/>
          <w:szCs w:val="20"/>
        </w:rPr>
        <w:t>公式中：ΔP——需调整的运营维护服务费的差额；</w:t>
      </w:r>
      <w:r>
        <w:rPr>
          <w:rFonts w:hint="eastAsia" w:ascii="宋体" w:hAnsi="宋体" w:eastAsia="宋体" w:cs="Times New Roman"/>
          <w:sz w:val="24"/>
          <w:szCs w:val="20"/>
          <w:lang w:val="en-US" w:eastAsia="zh-CN"/>
        </w:rPr>
        <w:t>P0为中标价。</w:t>
      </w:r>
    </w:p>
    <w:p>
      <w:pPr>
        <w:spacing w:line="360" w:lineRule="auto"/>
        <w:ind w:firstLine="960" w:firstLineChars="400"/>
        <w:rPr>
          <w:rFonts w:ascii="宋体" w:hAnsi="宋体" w:eastAsia="宋体" w:cs="Times New Roman"/>
          <w:sz w:val="24"/>
          <w:szCs w:val="20"/>
        </w:rPr>
      </w:pPr>
      <w:r>
        <w:rPr>
          <w:rFonts w:hint="eastAsia" w:ascii="宋体" w:hAnsi="宋体" w:eastAsia="宋体" w:cs="Times New Roman"/>
          <w:sz w:val="24"/>
          <w:szCs w:val="20"/>
        </w:rPr>
        <w:t>A——定值权重（不变因子的权重，即项目运维费用中的其他费用所占权重）；</w:t>
      </w:r>
    </w:p>
    <w:p>
      <w:pPr>
        <w:spacing w:line="360" w:lineRule="auto"/>
        <w:ind w:firstLine="960" w:firstLineChars="400"/>
        <w:rPr>
          <w:rFonts w:ascii="宋体" w:hAnsi="宋体" w:eastAsia="宋体" w:cs="Times New Roman"/>
          <w:sz w:val="24"/>
          <w:szCs w:val="20"/>
        </w:rPr>
      </w:pPr>
      <w:r>
        <w:rPr>
          <w:rFonts w:hint="eastAsia" w:ascii="宋体" w:hAnsi="宋体" w:eastAsia="宋体" w:cs="Times New Roman"/>
          <w:sz w:val="24"/>
          <w:szCs w:val="20"/>
        </w:rPr>
        <w:t>B1；B2；B3；B4——各可调因子（即人工工资、外购药剂等原材料、外购燃料和动力费、管理费）的变值权重，为各可调因子在运维成本中所占的比例；</w:t>
      </w:r>
    </w:p>
    <w:p>
      <w:pPr>
        <w:spacing w:line="360" w:lineRule="auto"/>
        <w:ind w:firstLine="960" w:firstLineChars="400"/>
        <w:rPr>
          <w:rFonts w:ascii="宋体" w:hAnsi="宋体" w:eastAsia="宋体" w:cs="Times New Roman"/>
          <w:sz w:val="24"/>
          <w:szCs w:val="20"/>
        </w:rPr>
      </w:pPr>
      <w:r>
        <w:rPr>
          <w:rFonts w:hint="eastAsia" w:ascii="宋体" w:hAnsi="宋体" w:eastAsia="宋体" w:cs="Times New Roman"/>
          <w:sz w:val="24"/>
          <w:szCs w:val="20"/>
        </w:rPr>
        <w:t>Ft1；Ft2；Ft3；Ft4——各可调因子的第t年的价格指数，指约定的付款相关周期最后一天的前42天的各可调因子的价格指数，可调因子分别为人工工资、外购原材料、外购燃料和动力费（以电费表示）、管理费；</w:t>
      </w:r>
    </w:p>
    <w:p>
      <w:pPr>
        <w:spacing w:line="360" w:lineRule="auto"/>
        <w:ind w:firstLine="960" w:firstLineChars="400"/>
        <w:rPr>
          <w:rFonts w:ascii="宋体" w:hAnsi="宋体" w:eastAsia="宋体" w:cs="Times New Roman"/>
          <w:sz w:val="24"/>
          <w:szCs w:val="20"/>
        </w:rPr>
      </w:pPr>
      <w:r>
        <w:rPr>
          <w:rFonts w:hint="eastAsia" w:ascii="宋体" w:hAnsi="宋体" w:eastAsia="宋体" w:cs="Times New Roman"/>
          <w:sz w:val="24"/>
          <w:szCs w:val="20"/>
        </w:rPr>
        <w:t>F01；F02；F03；F04——各可调因子的基本价格指数，指基准日期的各可调因子的价格指数。</w:t>
      </w:r>
    </w:p>
    <w:p>
      <w:pPr>
        <w:spacing w:line="360" w:lineRule="auto"/>
        <w:ind w:firstLine="960" w:firstLineChars="400"/>
        <w:rPr>
          <w:rFonts w:ascii="宋体" w:hAnsi="宋体" w:eastAsia="宋体" w:cs="Times New Roman"/>
          <w:sz w:val="24"/>
          <w:szCs w:val="20"/>
        </w:rPr>
      </w:pPr>
      <w:r>
        <w:rPr>
          <w:rFonts w:hint="eastAsia" w:ascii="宋体" w:hAnsi="宋体" w:eastAsia="宋体" w:cs="Times New Roman"/>
          <w:sz w:val="24"/>
          <w:szCs w:val="20"/>
        </w:rPr>
        <w:t>以上价格调整公式中的各可调因子、定值和变值权重，以及基本价格指数为投标时的数据。</w:t>
      </w:r>
    </w:p>
    <w:p>
      <w:pPr>
        <w:spacing w:line="360" w:lineRule="auto"/>
        <w:rPr>
          <w:rFonts w:ascii="宋体" w:hAnsi="宋体" w:eastAsia="宋体" w:cs="Times New Roman"/>
          <w:sz w:val="24"/>
          <w:szCs w:val="20"/>
          <w:lang w:val="zh-CN"/>
        </w:rPr>
      </w:pPr>
      <w:r>
        <w:rPr>
          <w:rFonts w:hint="eastAsia" w:ascii="宋体" w:hAnsi="宋体" w:eastAsia="宋体" w:cs="Times New Roman"/>
          <w:b/>
          <w:bCs/>
          <w:sz w:val="24"/>
          <w:szCs w:val="20"/>
          <w:lang w:val="zh-CN"/>
        </w:rPr>
        <w:t>十一、</w:t>
      </w:r>
      <w:r>
        <w:rPr>
          <w:rFonts w:hint="eastAsia" w:ascii="宋体" w:hAnsi="宋体" w:eastAsia="宋体" w:cs="Times New Roman"/>
          <w:sz w:val="24"/>
          <w:szCs w:val="20"/>
          <w:lang w:val="zh-CN"/>
        </w:rPr>
        <w:t>合同签订：中标人必须在公示期满后 30 日内与招标人签订合同，逾期不与招标人签订合同者，视为放弃中标并承担相应责任。</w:t>
      </w:r>
    </w:p>
    <w:p>
      <w:pPr>
        <w:spacing w:line="360" w:lineRule="auto"/>
        <w:rPr>
          <w:rFonts w:ascii="宋体" w:hAnsi="宋体" w:eastAsia="宋体" w:cs="Times New Roman"/>
          <w:sz w:val="24"/>
          <w:szCs w:val="20"/>
          <w:lang w:val="zh-CN"/>
        </w:rPr>
        <w:sectPr>
          <w:headerReference r:id="rId3" w:type="default"/>
          <w:footerReference r:id="rId4" w:type="default"/>
          <w:pgSz w:w="11910" w:h="16840"/>
          <w:pgMar w:top="1440" w:right="1800" w:bottom="1440" w:left="1800" w:header="1223" w:footer="992" w:gutter="0"/>
          <w:cols w:space="720" w:num="1"/>
        </w:sectPr>
      </w:pPr>
      <w:r>
        <w:rPr>
          <w:rFonts w:hint="eastAsia" w:ascii="宋体" w:hAnsi="宋体" w:eastAsia="宋体" w:cs="Times New Roman"/>
          <w:b/>
          <w:bCs/>
          <w:sz w:val="24"/>
          <w:szCs w:val="20"/>
          <w:lang w:val="zh-CN"/>
        </w:rPr>
        <w:t>十二、</w:t>
      </w:r>
      <w:r>
        <w:rPr>
          <w:rFonts w:hint="eastAsia" w:ascii="宋体" w:hAnsi="宋体" w:eastAsia="宋体" w:cs="Times New Roman"/>
          <w:sz w:val="24"/>
          <w:szCs w:val="20"/>
          <w:lang w:val="zh-CN"/>
        </w:rPr>
        <w:t>除以上参数外，采购服务均应满足国家法律规定、行业管理部门要求的相关标准</w:t>
      </w:r>
    </w:p>
    <w:p>
      <w:pPr>
        <w:spacing w:line="360" w:lineRule="auto"/>
      </w:pPr>
    </w:p>
    <w:p/>
    <w:p>
      <w:pPr>
        <w:pStyle w:val="2"/>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42" w:name="_Toc495861539"/>
      <w:bookmarkStart w:id="43" w:name="_Toc494561958"/>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pPr>
        <w:pStyle w:val="3"/>
        <w:numPr>
          <w:ilvl w:val="0"/>
          <w:numId w:val="39"/>
        </w:numPr>
        <w:spacing w:before="0" w:after="0" w:line="360" w:lineRule="auto"/>
        <w:ind w:left="616" w:hanging="616"/>
        <w:jc w:val="left"/>
        <w:rPr>
          <w:rFonts w:cs="Times New Roman" w:asciiTheme="majorEastAsia" w:hAnsiTheme="majorEastAsia"/>
          <w:bCs w:val="0"/>
          <w:sz w:val="30"/>
          <w:szCs w:val="30"/>
          <w:lang w:val="zh-CN"/>
        </w:rPr>
      </w:pPr>
      <w:bookmarkStart w:id="44" w:name="_Toc495861540"/>
      <w:bookmarkStart w:id="45" w:name="_Toc494561959"/>
      <w:r>
        <w:rPr>
          <w:rFonts w:hint="eastAsia" w:cs="Times New Roman" w:asciiTheme="majorEastAsia" w:hAnsiTheme="majorEastAsia"/>
          <w:bCs w:val="0"/>
          <w:sz w:val="30"/>
          <w:szCs w:val="30"/>
          <w:lang w:val="zh-CN"/>
        </w:rPr>
        <w:t>资格审查标准</w:t>
      </w:r>
      <w:bookmarkEnd w:id="44"/>
      <w:bookmarkEnd w:id="45"/>
    </w:p>
    <w:p>
      <w:pPr>
        <w:numPr>
          <w:ilvl w:val="0"/>
          <w:numId w:val="40"/>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9"/>
        <w:numPr>
          <w:ilvl w:val="0"/>
          <w:numId w:val="42"/>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9"/>
        <w:numPr>
          <w:ilvl w:val="0"/>
          <w:numId w:val="41"/>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9"/>
        <w:numPr>
          <w:ilvl w:val="0"/>
          <w:numId w:val="43"/>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47" w:name="_Toc278891605"/>
      <w:bookmarkStart w:id="48" w:name="_Toc272247708"/>
      <w:bookmarkStart w:id="49" w:name="_Toc494561961"/>
      <w:bookmarkStart w:id="50" w:name="_Toc495861542"/>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51" w:name="_Toc272247709"/>
      <w:bookmarkStart w:id="52" w:name="_Toc278891606"/>
      <w:bookmarkStart w:id="53" w:name="_Toc494561962"/>
      <w:bookmarkStart w:id="54" w:name="_Toc495861543"/>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ind w:firstLine="480" w:firstLineChars="200"/>
        <w:rPr>
          <w:rFonts w:ascii="宋体" w:hAnsi="宋体" w:eastAsia="宋体" w:cs="Times New Roman"/>
          <w:strike/>
          <w:sz w:val="28"/>
          <w:szCs w:val="28"/>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highlight w:val="yellow"/>
          <w:lang w:val="zh-CN"/>
        </w:rPr>
        <w:t>符合招标文件第二章“投标人须知”中第</w:t>
      </w:r>
      <w:r>
        <w:rPr>
          <w:rFonts w:hint="eastAsia" w:ascii="Times New Roman" w:hAnsi="宋体" w:eastAsia="宋体" w:cs="Times New Roman"/>
          <w:sz w:val="24"/>
          <w:szCs w:val="24"/>
          <w:highlight w:val="yellow"/>
        </w:rPr>
        <w:t>38</w:t>
      </w:r>
      <w:r>
        <w:rPr>
          <w:rFonts w:hint="eastAsia" w:ascii="Times New Roman" w:hAnsi="宋体" w:eastAsia="宋体" w:cs="Times New Roman"/>
          <w:sz w:val="24"/>
          <w:szCs w:val="24"/>
          <w:highlight w:val="yellow"/>
          <w:lang w:val="zh-CN"/>
        </w:rPr>
        <w:t>条中规定情形，以分公司形式参与投标的，法定代表人授权书未由总公司法定代表人签字（盖章）并加盖公章的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w:t>
      </w:r>
      <w:r>
        <w:rPr>
          <w:rFonts w:hint="eastAsia" w:ascii="Times New Roman" w:hAnsi="宋体" w:eastAsia="宋体" w:cs="Times New Roman"/>
          <w:sz w:val="24"/>
          <w:szCs w:val="24"/>
          <w:highlight w:val="yellow"/>
          <w:lang w:val="zh-CN"/>
        </w:rPr>
        <w:t>十 其他注意事项</w:t>
      </w:r>
      <w:r>
        <w:rPr>
          <w:rFonts w:hint="eastAsia" w:ascii="Times New Roman" w:hAnsi="宋体" w:eastAsia="宋体" w:cs="Times New Roman"/>
          <w:sz w:val="24"/>
          <w:szCs w:val="24"/>
          <w:lang w:val="zh-CN"/>
        </w:rPr>
        <w:t>”中规定的书面声明的；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Cs/>
          <w:color w:val="0D0D0D"/>
          <w:sz w:val="24"/>
          <w:szCs w:val="20"/>
          <w:lang w:val="zh-CN"/>
        </w:rPr>
        <w:t>报价合理性说明：评标</w:t>
      </w:r>
      <w:r>
        <w:rPr>
          <w:rFonts w:ascii="宋体" w:hAnsi="宋体" w:eastAsia="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采购机构对各评委的总分进行复核。各项统计结果均精确到小数点后两位。</w:t>
      </w:r>
    </w:p>
    <w:p>
      <w:pPr>
        <w:numPr>
          <w:ilvl w:val="0"/>
          <w:numId w:val="5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3"/>
        <w:numPr>
          <w:ilvl w:val="0"/>
          <w:numId w:val="44"/>
        </w:numPr>
        <w:spacing w:before="0" w:after="0" w:line="360" w:lineRule="auto"/>
        <w:ind w:left="616" w:hanging="616"/>
        <w:jc w:val="left"/>
        <w:rPr>
          <w:rFonts w:cs="Times New Roman" w:asciiTheme="majorEastAsia" w:hAnsiTheme="majorEastAsia"/>
          <w:bCs w:val="0"/>
          <w:sz w:val="30"/>
          <w:szCs w:val="30"/>
          <w:lang w:val="zh-CN"/>
        </w:rPr>
      </w:pPr>
      <w:bookmarkStart w:id="55" w:name="_Toc495861544"/>
      <w:bookmarkStart w:id="56" w:name="_Toc494561963"/>
      <w:r>
        <w:rPr>
          <w:rFonts w:hint="eastAsia" w:cs="Times New Roman" w:asciiTheme="majorEastAsia" w:hAnsiTheme="majorEastAsia"/>
          <w:bCs w:val="0"/>
          <w:sz w:val="30"/>
          <w:szCs w:val="30"/>
          <w:lang w:val="zh-CN"/>
        </w:rPr>
        <w:t>评审因素及评分标准</w:t>
      </w:r>
      <w:bookmarkEnd w:id="55"/>
      <w:bookmarkEnd w:id="56"/>
    </w:p>
    <w:tbl>
      <w:tblPr>
        <w:tblStyle w:val="19"/>
        <w:tblW w:w="9738" w:type="dxa"/>
        <w:jc w:val="center"/>
        <w:tblLayout w:type="fixed"/>
        <w:tblCellMar>
          <w:top w:w="0" w:type="dxa"/>
          <w:left w:w="108" w:type="dxa"/>
          <w:bottom w:w="0" w:type="dxa"/>
          <w:right w:w="108" w:type="dxa"/>
        </w:tblCellMar>
      </w:tblPr>
      <w:tblGrid>
        <w:gridCol w:w="710"/>
        <w:gridCol w:w="935"/>
        <w:gridCol w:w="1032"/>
        <w:gridCol w:w="685"/>
        <w:gridCol w:w="6376"/>
      </w:tblGrid>
      <w:tr>
        <w:tblPrEx>
          <w:tblCellMar>
            <w:top w:w="0" w:type="dxa"/>
            <w:left w:w="108" w:type="dxa"/>
            <w:bottom w:w="0" w:type="dxa"/>
            <w:right w:w="108" w:type="dxa"/>
          </w:tblCellMar>
        </w:tblPrEx>
        <w:trPr>
          <w:trHeight w:val="223" w:hRule="atLeast"/>
          <w:jc w:val="center"/>
        </w:trPr>
        <w:tc>
          <w:tcPr>
            <w:tcW w:w="2677" w:type="dxa"/>
            <w:gridSpan w:val="3"/>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评分项目</w:t>
            </w:r>
          </w:p>
        </w:tc>
        <w:tc>
          <w:tcPr>
            <w:tcW w:w="685" w:type="dxa"/>
            <w:tcBorders>
              <w:top w:val="single" w:color="auto" w:sz="8" w:space="0"/>
              <w:left w:val="nil"/>
              <w:bottom w:val="single" w:color="auto" w:sz="8" w:space="0"/>
              <w:right w:val="single" w:color="auto" w:sz="8" w:space="0"/>
            </w:tcBorders>
            <w:noWrap/>
            <w:vAlign w:val="center"/>
          </w:tcPr>
          <w:p>
            <w:pPr>
              <w:widowControl/>
              <w:jc w:val="both"/>
              <w:rPr>
                <w:rFonts w:ascii="宋体" w:hAnsi="宋体" w:cs="宋体"/>
                <w:b/>
                <w:bCs/>
                <w:kern w:val="0"/>
                <w:szCs w:val="21"/>
              </w:rPr>
            </w:pPr>
            <w:r>
              <w:rPr>
                <w:rFonts w:hint="eastAsia" w:ascii="宋体" w:hAnsi="宋体" w:cs="宋体"/>
                <w:b/>
                <w:bCs/>
                <w:kern w:val="0"/>
                <w:szCs w:val="21"/>
              </w:rPr>
              <w:t>分值</w:t>
            </w:r>
          </w:p>
        </w:tc>
        <w:tc>
          <w:tcPr>
            <w:tcW w:w="6376" w:type="dxa"/>
            <w:tcBorders>
              <w:top w:val="single" w:color="auto" w:sz="8" w:space="0"/>
              <w:left w:val="nil"/>
              <w:bottom w:val="single" w:color="auto" w:sz="8" w:space="0"/>
              <w:right w:val="single" w:color="auto" w:sz="8" w:space="0"/>
            </w:tcBorders>
            <w:noWrap/>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r>
      <w:tr>
        <w:tblPrEx>
          <w:tblCellMar>
            <w:top w:w="0" w:type="dxa"/>
            <w:left w:w="108" w:type="dxa"/>
            <w:bottom w:w="0" w:type="dxa"/>
            <w:right w:w="108" w:type="dxa"/>
          </w:tblCellMar>
        </w:tblPrEx>
        <w:trPr>
          <w:trHeight w:val="1576" w:hRule="atLeast"/>
          <w:jc w:val="center"/>
        </w:trPr>
        <w:tc>
          <w:tcPr>
            <w:tcW w:w="710" w:type="dxa"/>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价格部分</w:t>
            </w:r>
          </w:p>
        </w:tc>
        <w:tc>
          <w:tcPr>
            <w:tcW w:w="1967" w:type="dxa"/>
            <w:gridSpan w:val="2"/>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投标报价</w:t>
            </w:r>
          </w:p>
        </w:tc>
        <w:tc>
          <w:tcPr>
            <w:tcW w:w="685" w:type="dxa"/>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分</w:t>
            </w:r>
          </w:p>
        </w:tc>
        <w:tc>
          <w:tcPr>
            <w:tcW w:w="6376" w:type="dxa"/>
            <w:tcBorders>
              <w:top w:val="nil"/>
              <w:left w:val="nil"/>
              <w:bottom w:val="single" w:color="auto" w:sz="4" w:space="0"/>
              <w:right w:val="single" w:color="auto" w:sz="8" w:space="0"/>
            </w:tcBorders>
            <w:noWrap/>
            <w:vAlign w:val="center"/>
          </w:tcPr>
          <w:p>
            <w:pPr>
              <w:spacing w:line="240" w:lineRule="exact"/>
              <w:outlineLvl w:val="0"/>
              <w:rPr>
                <w:rFonts w:ascii="宋体" w:hAnsi="宋体"/>
                <w:szCs w:val="21"/>
              </w:rPr>
            </w:pPr>
            <w:r>
              <w:rPr>
                <w:rFonts w:hint="eastAsia" w:ascii="宋体" w:hAnsi="宋体"/>
                <w:szCs w:val="21"/>
                <w:lang w:val="zh-TW" w:eastAsia="zh-CN"/>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CellMar>
            <w:top w:w="0" w:type="dxa"/>
            <w:left w:w="108" w:type="dxa"/>
            <w:bottom w:w="0" w:type="dxa"/>
            <w:right w:w="108" w:type="dxa"/>
          </w:tblCellMar>
        </w:tblPrEx>
        <w:trPr>
          <w:trHeight w:val="290" w:hRule="atLeast"/>
          <w:jc w:val="center"/>
        </w:trPr>
        <w:tc>
          <w:tcPr>
            <w:tcW w:w="3362" w:type="dxa"/>
            <w:gridSpan w:val="4"/>
            <w:tcBorders>
              <w:top w:val="nil"/>
              <w:left w:val="single" w:color="auto" w:sz="8" w:space="0"/>
              <w:bottom w:val="single" w:color="000000"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报价分小计</w:t>
            </w:r>
          </w:p>
        </w:tc>
        <w:tc>
          <w:tcPr>
            <w:tcW w:w="6376" w:type="dxa"/>
            <w:tcBorders>
              <w:top w:val="nil"/>
              <w:left w:val="nil"/>
              <w:bottom w:val="single" w:color="auto" w:sz="4" w:space="0"/>
              <w:right w:val="single" w:color="auto" w:sz="8" w:space="0"/>
            </w:tcBorders>
            <w:noWrap/>
            <w:vAlign w:val="center"/>
          </w:tcPr>
          <w:p>
            <w:pPr>
              <w:spacing w:line="240" w:lineRule="exact"/>
              <w:outlineLvl w:val="0"/>
              <w:rPr>
                <w:rFonts w:ascii="宋体" w:hAnsi="宋体"/>
                <w:szCs w:val="21"/>
              </w:rPr>
            </w:pPr>
          </w:p>
        </w:tc>
      </w:tr>
      <w:tr>
        <w:tblPrEx>
          <w:tblCellMar>
            <w:top w:w="0" w:type="dxa"/>
            <w:left w:w="108" w:type="dxa"/>
            <w:bottom w:w="0" w:type="dxa"/>
            <w:right w:w="108" w:type="dxa"/>
          </w:tblCellMar>
        </w:tblPrEx>
        <w:trPr>
          <w:trHeight w:val="474" w:hRule="atLeast"/>
          <w:jc w:val="center"/>
        </w:trPr>
        <w:tc>
          <w:tcPr>
            <w:tcW w:w="710"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商务评议</w:t>
            </w:r>
          </w:p>
          <w:p>
            <w:pPr>
              <w:widowControl/>
              <w:jc w:val="center"/>
              <w:rPr>
                <w:rFonts w:ascii="宋体" w:hAnsi="宋体" w:cs="宋体"/>
                <w:kern w:val="0"/>
                <w:szCs w:val="21"/>
              </w:rPr>
            </w:pPr>
            <w:r>
              <w:rPr>
                <w:rFonts w:hint="eastAsia" w:ascii="宋体" w:hAnsi="宋体" w:cs="宋体"/>
                <w:kern w:val="0"/>
                <w:szCs w:val="21"/>
                <w:lang w:val="en-US" w:eastAsia="zh-CN"/>
              </w:rPr>
              <w:t>30</w:t>
            </w:r>
            <w:r>
              <w:rPr>
                <w:rFonts w:hint="eastAsia" w:ascii="宋体" w:hAnsi="宋体" w:cs="宋体"/>
                <w:kern w:val="0"/>
                <w:szCs w:val="21"/>
              </w:rPr>
              <w:t>分</w:t>
            </w:r>
          </w:p>
        </w:tc>
        <w:tc>
          <w:tcPr>
            <w:tcW w:w="1967" w:type="dxa"/>
            <w:gridSpan w:val="2"/>
            <w:tcBorders>
              <w:top w:val="nil"/>
              <w:left w:val="single" w:color="auto" w:sz="4" w:space="0"/>
              <w:bottom w:val="single" w:color="auto" w:sz="4"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管理体系认证</w:t>
            </w:r>
          </w:p>
        </w:tc>
        <w:tc>
          <w:tcPr>
            <w:tcW w:w="685" w:type="dxa"/>
            <w:tcBorders>
              <w:top w:val="nil"/>
              <w:left w:val="nil"/>
              <w:bottom w:val="single" w:color="auto" w:sz="4"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6分</w:t>
            </w:r>
          </w:p>
        </w:tc>
        <w:tc>
          <w:tcPr>
            <w:tcW w:w="6376" w:type="dxa"/>
            <w:tcBorders>
              <w:top w:val="single" w:color="auto" w:sz="4" w:space="0"/>
              <w:left w:val="nil"/>
              <w:bottom w:val="single" w:color="auto" w:sz="4" w:space="0"/>
              <w:right w:val="single" w:color="auto" w:sz="8" w:space="0"/>
            </w:tcBorders>
            <w:noWrap/>
            <w:vAlign w:val="center"/>
          </w:tcPr>
          <w:p>
            <w:pPr>
              <w:widowControl/>
              <w:rPr>
                <w:rFonts w:ascii="宋体" w:hAnsi="宋体" w:cs="宋体"/>
                <w:kern w:val="0"/>
                <w:szCs w:val="21"/>
              </w:rPr>
            </w:pPr>
            <w:r>
              <w:rPr>
                <w:rFonts w:ascii="宋体" w:hAnsi="宋体" w:cs="宋体"/>
                <w:kern w:val="0"/>
                <w:szCs w:val="21"/>
              </w:rPr>
              <w:t>质量管理体系认证证书、环境管理体系认证证书、职业健康安全管理体系认证证书，每项 2 分，最高 6 分；</w:t>
            </w:r>
          </w:p>
          <w:p>
            <w:pPr>
              <w:widowControl/>
              <w:rPr>
                <w:rFonts w:ascii="宋体" w:hAnsi="宋体" w:cs="宋体"/>
                <w:kern w:val="0"/>
                <w:szCs w:val="21"/>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474" w:hRule="atLeast"/>
          <w:jc w:val="center"/>
        </w:trPr>
        <w:tc>
          <w:tcPr>
            <w:tcW w:w="710" w:type="dxa"/>
            <w:vMerge w:val="continue"/>
            <w:tcBorders>
              <w:left w:val="single" w:color="auto" w:sz="4" w:space="0"/>
              <w:right w:val="single" w:color="auto" w:sz="4" w:space="0"/>
            </w:tcBorders>
            <w:noWrap/>
            <w:vAlign w:val="center"/>
          </w:tcPr>
          <w:p>
            <w:pPr>
              <w:widowControl/>
              <w:jc w:val="center"/>
              <w:rPr>
                <w:rFonts w:ascii="宋体" w:hAnsi="宋体" w:cs="宋体"/>
                <w:kern w:val="0"/>
                <w:szCs w:val="21"/>
              </w:rPr>
            </w:pPr>
          </w:p>
        </w:tc>
        <w:tc>
          <w:tcPr>
            <w:tcW w:w="1967" w:type="dxa"/>
            <w:gridSpan w:val="2"/>
            <w:tcBorders>
              <w:top w:val="nil"/>
              <w:left w:val="single" w:color="auto" w:sz="4" w:space="0"/>
              <w:bottom w:val="single" w:color="auto" w:sz="4"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财务状况</w:t>
            </w:r>
          </w:p>
          <w:p>
            <w:pPr>
              <w:widowControl/>
              <w:jc w:val="center"/>
              <w:rPr>
                <w:rFonts w:ascii="宋体" w:hAnsi="宋体" w:cs="宋体"/>
                <w:kern w:val="0"/>
                <w:szCs w:val="21"/>
              </w:rPr>
            </w:pPr>
          </w:p>
        </w:tc>
        <w:tc>
          <w:tcPr>
            <w:tcW w:w="685" w:type="dxa"/>
            <w:tcBorders>
              <w:top w:val="nil"/>
              <w:left w:val="nil"/>
              <w:bottom w:val="single" w:color="auto" w:sz="4"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财务状况：提供1年的财务审计报告（2018年）。</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1、上一年度的资产负债率（</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"http://baike.baidu.com/view/2885238.htm"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负债总额</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"http://baike.baidu.com/view/1451960.htm"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资产总额</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×100%）小于（含）40%的得2分；大于40%小于（含）60%得1.5分；大于60%小于（含）80%得1分；大于80%得0分。</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val="en-US" w:eastAsia="zh-CN"/>
              </w:rPr>
              <w:t>2、上一年度的流动比率（</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"http://baike.baidu.com/view/4638979.htm"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流动资产合计</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w:t>
            </w: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HYPERLINK "http://baike.baidu.com/view/4218850.htm" \t "_blank" </w:instrText>
            </w:r>
            <w:r>
              <w:rPr>
                <w:rFonts w:hint="eastAsia" w:ascii="宋体" w:hAnsi="宋体" w:cs="宋体"/>
                <w:kern w:val="0"/>
                <w:szCs w:val="21"/>
                <w:lang w:val="en-US" w:eastAsia="zh-CN"/>
              </w:rPr>
              <w:fldChar w:fldCharType="separate"/>
            </w:r>
            <w:r>
              <w:rPr>
                <w:rFonts w:hint="eastAsia" w:ascii="宋体" w:hAnsi="宋体" w:cs="宋体"/>
                <w:kern w:val="0"/>
                <w:szCs w:val="21"/>
                <w:lang w:val="en-US" w:eastAsia="zh-CN"/>
              </w:rPr>
              <w:t>流动负债合计</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*100%）不小于1的得1分。</w:t>
            </w:r>
          </w:p>
          <w:p>
            <w:p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rPr>
              <w:t>需提供</w:t>
            </w:r>
            <w:r>
              <w:rPr>
                <w:rFonts w:hint="eastAsia" w:ascii="宋体" w:hAnsi="宋体" w:cs="宋体"/>
                <w:kern w:val="0"/>
                <w:szCs w:val="21"/>
                <w:lang w:val="en-US" w:eastAsia="zh-CN"/>
              </w:rPr>
              <w:t>2018年经审计的财务报告复印件</w:t>
            </w:r>
            <w:r>
              <w:rPr>
                <w:rFonts w:hint="eastAsia" w:ascii="宋体" w:hAnsi="宋体" w:cs="宋体"/>
                <w:kern w:val="0"/>
                <w:szCs w:val="21"/>
              </w:rPr>
              <w:t>，且证明材料须提供真彩扫描打印件。</w:t>
            </w:r>
          </w:p>
        </w:tc>
      </w:tr>
      <w:tr>
        <w:tblPrEx>
          <w:tblCellMar>
            <w:top w:w="0" w:type="dxa"/>
            <w:left w:w="108" w:type="dxa"/>
            <w:bottom w:w="0" w:type="dxa"/>
            <w:right w:w="108" w:type="dxa"/>
          </w:tblCellMar>
        </w:tblPrEx>
        <w:trPr>
          <w:trHeight w:val="57"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single" w:color="auto" w:sz="4" w:space="0"/>
              <w:left w:val="single" w:color="auto" w:sz="4" w:space="0"/>
              <w:bottom w:val="single" w:color="auto" w:sz="8"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类似项业</w:t>
            </w:r>
          </w:p>
          <w:p>
            <w:pPr>
              <w:widowControl/>
              <w:jc w:val="center"/>
              <w:rPr>
                <w:rFonts w:ascii="宋体" w:hAnsi="宋体" w:cs="宋体"/>
                <w:kern w:val="0"/>
                <w:szCs w:val="21"/>
              </w:rPr>
            </w:pPr>
            <w:r>
              <w:rPr>
                <w:rFonts w:ascii="宋体" w:hAnsi="宋体" w:cs="宋体"/>
                <w:kern w:val="0"/>
                <w:szCs w:val="21"/>
              </w:rPr>
              <w:t>绩</w:t>
            </w:r>
          </w:p>
        </w:tc>
        <w:tc>
          <w:tcPr>
            <w:tcW w:w="685" w:type="dxa"/>
            <w:tcBorders>
              <w:top w:val="single" w:color="auto" w:sz="4" w:space="0"/>
              <w:left w:val="nil"/>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6376" w:type="dxa"/>
            <w:tcBorders>
              <w:top w:val="single" w:color="auto" w:sz="4" w:space="0"/>
              <w:left w:val="nil"/>
              <w:bottom w:val="single" w:color="auto" w:sz="8" w:space="0"/>
              <w:right w:val="single" w:color="auto" w:sz="8" w:space="0"/>
            </w:tcBorders>
            <w:noWrap/>
            <w:vAlign w:val="center"/>
          </w:tcPr>
          <w:p>
            <w:pPr>
              <w:widowControl/>
              <w:rPr>
                <w:rFonts w:ascii="宋体" w:hAnsi="宋体" w:cs="宋体"/>
                <w:kern w:val="0"/>
                <w:szCs w:val="21"/>
              </w:rPr>
            </w:pPr>
            <w:r>
              <w:rPr>
                <w:rFonts w:hint="eastAsia" w:ascii="宋体" w:hAnsi="宋体" w:cs="宋体"/>
                <w:kern w:val="0"/>
                <w:szCs w:val="21"/>
              </w:rPr>
              <w:t xml:space="preserve">企业在全国范围内，有运营过类似污水处理厂业绩，每项业绩得 </w:t>
            </w:r>
            <w:r>
              <w:rPr>
                <w:rFonts w:hint="eastAsia" w:ascii="宋体" w:hAnsi="宋体" w:cs="宋体"/>
                <w:kern w:val="0"/>
                <w:szCs w:val="21"/>
                <w:lang w:val="en-US" w:eastAsia="zh-CN"/>
              </w:rPr>
              <w:t>2</w:t>
            </w:r>
            <w:r>
              <w:rPr>
                <w:rFonts w:hint="eastAsia" w:ascii="宋体" w:hAnsi="宋体" w:cs="宋体"/>
                <w:kern w:val="0"/>
                <w:szCs w:val="21"/>
              </w:rPr>
              <w:t xml:space="preserve"> 分，最多得</w:t>
            </w:r>
            <w:r>
              <w:rPr>
                <w:rFonts w:hint="eastAsia" w:ascii="宋体" w:hAnsi="宋体" w:cs="宋体"/>
                <w:kern w:val="0"/>
                <w:szCs w:val="21"/>
                <w:lang w:val="en-US" w:eastAsia="zh-CN"/>
              </w:rPr>
              <w:t>6</w:t>
            </w:r>
            <w:r>
              <w:rPr>
                <w:rFonts w:hint="eastAsia" w:ascii="宋体" w:hAnsi="宋体" w:cs="宋体"/>
                <w:kern w:val="0"/>
                <w:szCs w:val="21"/>
              </w:rPr>
              <w:t xml:space="preserve"> 分。需提供有效证明材料，且证明材料须提供真彩扫描打印件。</w:t>
            </w:r>
          </w:p>
        </w:tc>
      </w:tr>
      <w:tr>
        <w:tblPrEx>
          <w:tblCellMar>
            <w:top w:w="0" w:type="dxa"/>
            <w:left w:w="108" w:type="dxa"/>
            <w:bottom w:w="0" w:type="dxa"/>
            <w:right w:w="108" w:type="dxa"/>
          </w:tblCellMar>
        </w:tblPrEx>
        <w:trPr>
          <w:trHeight w:val="790"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ascii="宋体" w:hAnsi="宋体" w:cs="宋体"/>
                <w:kern w:val="0"/>
                <w:szCs w:val="21"/>
              </w:rPr>
            </w:pPr>
            <w:r>
              <w:rPr>
                <w:rFonts w:ascii="宋体" w:hAnsi="宋体" w:cs="宋体"/>
                <w:kern w:val="0"/>
                <w:szCs w:val="21"/>
              </w:rPr>
              <w:t>荣誉证</w:t>
            </w:r>
            <w:r>
              <w:rPr>
                <w:rFonts w:hint="eastAsia" w:ascii="宋体" w:hAnsi="宋体" w:cs="宋体"/>
                <w:kern w:val="0"/>
                <w:szCs w:val="21"/>
              </w:rPr>
              <w:t>书</w:t>
            </w:r>
          </w:p>
        </w:tc>
        <w:tc>
          <w:tcPr>
            <w:tcW w:w="685" w:type="dxa"/>
            <w:tcBorders>
              <w:top w:val="nil"/>
              <w:left w:val="nil"/>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3分</w:t>
            </w:r>
          </w:p>
        </w:tc>
        <w:tc>
          <w:tcPr>
            <w:tcW w:w="6376" w:type="dxa"/>
            <w:tcBorders>
              <w:top w:val="nil"/>
              <w:left w:val="nil"/>
              <w:bottom w:val="single" w:color="auto" w:sz="8" w:space="0"/>
              <w:right w:val="single" w:color="auto" w:sz="8" w:space="0"/>
            </w:tcBorders>
            <w:noWrap/>
            <w:vAlign w:val="center"/>
          </w:tcPr>
          <w:p>
            <w:pPr>
              <w:widowControl/>
              <w:rPr>
                <w:rFonts w:ascii="宋体" w:hAnsi="宋体" w:cs="宋体"/>
                <w:kern w:val="0"/>
                <w:szCs w:val="21"/>
              </w:rPr>
            </w:pPr>
            <w:r>
              <w:rPr>
                <w:rFonts w:hint="eastAsia" w:ascii="宋体" w:hAnsi="宋体" w:cs="宋体"/>
                <w:kern w:val="0"/>
                <w:szCs w:val="21"/>
              </w:rPr>
              <w:t>供应商具有环境污染治理设施运行服务能力评价证书的加 3 分，没有不得分。需提供有效证明材料，且证明材料须提供真彩扫描打印件。</w:t>
            </w:r>
          </w:p>
        </w:tc>
      </w:tr>
      <w:tr>
        <w:tblPrEx>
          <w:tblCellMar>
            <w:top w:w="0" w:type="dxa"/>
            <w:left w:w="108" w:type="dxa"/>
            <w:bottom w:w="0" w:type="dxa"/>
            <w:right w:w="108" w:type="dxa"/>
          </w:tblCellMar>
        </w:tblPrEx>
        <w:trPr>
          <w:trHeight w:val="452"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项目</w:t>
            </w:r>
            <w:r>
              <w:rPr>
                <w:rFonts w:hint="eastAsia" w:ascii="宋体" w:hAnsi="宋体" w:cs="宋体"/>
                <w:kern w:val="0"/>
                <w:szCs w:val="21"/>
                <w:lang w:eastAsia="zh-CN"/>
              </w:rPr>
              <w:t>负责人</w:t>
            </w:r>
          </w:p>
        </w:tc>
        <w:tc>
          <w:tcPr>
            <w:tcW w:w="685" w:type="dxa"/>
            <w:tcBorders>
              <w:top w:val="nil"/>
              <w:left w:val="nil"/>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nil"/>
              <w:left w:val="nil"/>
              <w:bottom w:val="single" w:color="auto" w:sz="8" w:space="0"/>
              <w:right w:val="single" w:color="auto" w:sz="8" w:space="0"/>
            </w:tcBorders>
            <w:noWrap/>
            <w:vAlign w:val="center"/>
          </w:tcPr>
          <w:p>
            <w:pPr>
              <w:numPr>
                <w:ilvl w:val="0"/>
                <w:numId w:val="55"/>
              </w:numPr>
              <w:autoSpaceDE w:val="0"/>
              <w:autoSpaceDN w:val="0"/>
              <w:adjustRightInd w:val="0"/>
              <w:jc w:val="left"/>
              <w:rPr>
                <w:rFonts w:hint="eastAsia" w:ascii="宋体" w:hAnsi="宋体" w:cs="宋体"/>
                <w:kern w:val="0"/>
                <w:szCs w:val="21"/>
                <w:lang w:val="en-US" w:eastAsia="zh-CN"/>
              </w:rPr>
            </w:pPr>
            <w:r>
              <w:rPr>
                <w:rFonts w:hint="eastAsia" w:ascii="宋体" w:hAnsi="宋体" w:cs="宋体"/>
                <w:kern w:val="0"/>
                <w:szCs w:val="21"/>
                <w:lang w:eastAsia="zh-CN"/>
              </w:rPr>
              <w:t>拟派本项目负责人具有</w:t>
            </w:r>
            <w:r>
              <w:rPr>
                <w:rFonts w:ascii="宋体" w:hAnsi="宋体" w:cs="宋体"/>
                <w:kern w:val="0"/>
                <w:szCs w:val="21"/>
              </w:rPr>
              <w:t>市政</w:t>
            </w:r>
            <w:r>
              <w:rPr>
                <w:rFonts w:hint="eastAsia" w:ascii="宋体" w:hAnsi="宋体" w:cs="宋体"/>
                <w:kern w:val="0"/>
                <w:szCs w:val="21"/>
                <w:lang w:eastAsia="zh-CN"/>
              </w:rPr>
              <w:t>给排水或环境工程相关专业高级职称或注册环保工程师证书得</w:t>
            </w:r>
            <w:r>
              <w:rPr>
                <w:rFonts w:hint="eastAsia" w:ascii="宋体" w:hAnsi="宋体" w:cs="宋体"/>
                <w:kern w:val="0"/>
                <w:szCs w:val="21"/>
                <w:lang w:val="en-US" w:eastAsia="zh-CN"/>
              </w:rPr>
              <w:t>2分；</w:t>
            </w:r>
            <w:r>
              <w:rPr>
                <w:rFonts w:hint="eastAsia" w:ascii="宋体" w:hAnsi="宋体" w:cs="宋体"/>
                <w:kern w:val="0"/>
                <w:szCs w:val="21"/>
                <w:lang w:eastAsia="zh-CN"/>
              </w:rPr>
              <w:t>拟派本项目负责人具有</w:t>
            </w:r>
            <w:r>
              <w:rPr>
                <w:rFonts w:ascii="宋体" w:hAnsi="宋体" w:cs="宋体"/>
                <w:kern w:val="0"/>
                <w:szCs w:val="21"/>
              </w:rPr>
              <w:t>市政</w:t>
            </w:r>
            <w:r>
              <w:rPr>
                <w:rFonts w:hint="eastAsia" w:ascii="宋体" w:hAnsi="宋体" w:cs="宋体"/>
                <w:kern w:val="0"/>
                <w:szCs w:val="21"/>
                <w:lang w:eastAsia="zh-CN"/>
              </w:rPr>
              <w:t>给排水或环境工程相关专业中级职称的得</w:t>
            </w:r>
            <w:r>
              <w:rPr>
                <w:rFonts w:hint="eastAsia" w:ascii="宋体" w:hAnsi="宋体" w:cs="宋体"/>
                <w:kern w:val="0"/>
                <w:szCs w:val="21"/>
                <w:lang w:val="en-US" w:eastAsia="zh-CN"/>
              </w:rPr>
              <w:t>1分，本项最高得2分，没有不得分；</w:t>
            </w:r>
          </w:p>
          <w:p>
            <w:pPr>
              <w:numPr>
                <w:ilvl w:val="0"/>
                <w:numId w:val="55"/>
              </w:numPr>
              <w:autoSpaceDE w:val="0"/>
              <w:autoSpaceDN w:val="0"/>
              <w:adjustRightInd w:val="0"/>
              <w:jc w:val="left"/>
              <w:rPr>
                <w:rFonts w:hint="default" w:ascii="宋体" w:hAnsi="宋体" w:cs="宋体"/>
                <w:kern w:val="0"/>
                <w:szCs w:val="21"/>
                <w:lang w:val="en-US" w:eastAsia="zh-CN"/>
              </w:rPr>
            </w:pPr>
            <w:r>
              <w:rPr>
                <w:rFonts w:hint="eastAsia" w:ascii="宋体" w:hAnsi="宋体" w:cs="宋体"/>
                <w:kern w:val="0"/>
                <w:szCs w:val="21"/>
                <w:lang w:eastAsia="zh-CN"/>
              </w:rPr>
              <w:t>拟派本项目负责人具有</w:t>
            </w:r>
            <w:r>
              <w:rPr>
                <w:rFonts w:ascii="宋体" w:hAnsi="宋体" w:cs="宋体"/>
                <w:kern w:val="0"/>
                <w:szCs w:val="21"/>
              </w:rPr>
              <w:t>运营管理经历 5 年以上的得</w:t>
            </w:r>
            <w:r>
              <w:rPr>
                <w:rFonts w:hint="eastAsia" w:ascii="宋体" w:hAnsi="宋体" w:cs="宋体"/>
                <w:kern w:val="0"/>
                <w:szCs w:val="21"/>
                <w:lang w:val="en-US" w:eastAsia="zh-CN"/>
              </w:rPr>
              <w:t>3</w:t>
            </w:r>
            <w:r>
              <w:rPr>
                <w:rFonts w:ascii="宋体" w:hAnsi="宋体" w:cs="宋体"/>
                <w:kern w:val="0"/>
                <w:szCs w:val="21"/>
              </w:rPr>
              <w:t>分</w:t>
            </w:r>
            <w:r>
              <w:rPr>
                <w:rFonts w:hint="eastAsia" w:ascii="宋体" w:hAnsi="宋体" w:cs="宋体"/>
                <w:kern w:val="0"/>
                <w:szCs w:val="21"/>
                <w:lang w:eastAsia="zh-CN"/>
              </w:rPr>
              <w:t>；拟派本项目负责人具有</w:t>
            </w:r>
            <w:r>
              <w:rPr>
                <w:rFonts w:ascii="宋体" w:hAnsi="宋体" w:cs="宋体"/>
                <w:kern w:val="0"/>
                <w:szCs w:val="21"/>
              </w:rPr>
              <w:t xml:space="preserve">运营管理经历 </w:t>
            </w:r>
            <w:r>
              <w:rPr>
                <w:rFonts w:hint="eastAsia" w:ascii="宋体" w:hAnsi="宋体" w:cs="宋体"/>
                <w:kern w:val="0"/>
                <w:szCs w:val="21"/>
                <w:lang w:val="en-US" w:eastAsia="zh-CN"/>
              </w:rPr>
              <w:t>3</w:t>
            </w:r>
            <w:r>
              <w:rPr>
                <w:rFonts w:ascii="宋体" w:hAnsi="宋体" w:cs="宋体"/>
                <w:kern w:val="0"/>
                <w:szCs w:val="21"/>
              </w:rPr>
              <w:t>年以上的得</w:t>
            </w:r>
            <w:r>
              <w:rPr>
                <w:rFonts w:hint="eastAsia" w:ascii="宋体" w:hAnsi="宋体" w:cs="宋体"/>
                <w:kern w:val="0"/>
                <w:szCs w:val="21"/>
                <w:lang w:val="en-US" w:eastAsia="zh-CN"/>
              </w:rPr>
              <w:t>2</w:t>
            </w:r>
            <w:r>
              <w:rPr>
                <w:rFonts w:ascii="宋体" w:hAnsi="宋体" w:cs="宋体"/>
                <w:kern w:val="0"/>
                <w:szCs w:val="21"/>
              </w:rPr>
              <w:t>分</w:t>
            </w:r>
            <w:r>
              <w:rPr>
                <w:rFonts w:hint="eastAsia" w:ascii="宋体" w:hAnsi="宋体" w:cs="宋体"/>
                <w:kern w:val="0"/>
                <w:szCs w:val="21"/>
                <w:lang w:eastAsia="zh-CN"/>
              </w:rPr>
              <w:t>；拟派本项目负责人具有</w:t>
            </w:r>
            <w:r>
              <w:rPr>
                <w:rFonts w:ascii="宋体" w:hAnsi="宋体" w:cs="宋体"/>
                <w:kern w:val="0"/>
                <w:szCs w:val="21"/>
              </w:rPr>
              <w:t xml:space="preserve">运营管理经历 </w:t>
            </w:r>
            <w:r>
              <w:rPr>
                <w:rFonts w:hint="eastAsia" w:ascii="宋体" w:hAnsi="宋体" w:cs="宋体"/>
                <w:kern w:val="0"/>
                <w:szCs w:val="21"/>
                <w:lang w:val="en-US" w:eastAsia="zh-CN"/>
              </w:rPr>
              <w:t>1</w:t>
            </w:r>
            <w:r>
              <w:rPr>
                <w:rFonts w:ascii="宋体" w:hAnsi="宋体" w:cs="宋体"/>
                <w:kern w:val="0"/>
                <w:szCs w:val="21"/>
              </w:rPr>
              <w:t>年以上的得</w:t>
            </w:r>
            <w:r>
              <w:rPr>
                <w:rFonts w:hint="eastAsia" w:ascii="宋体" w:hAnsi="宋体" w:cs="宋体"/>
                <w:kern w:val="0"/>
                <w:szCs w:val="21"/>
                <w:lang w:val="en-US" w:eastAsia="zh-CN"/>
              </w:rPr>
              <w:t>1</w:t>
            </w:r>
            <w:r>
              <w:rPr>
                <w:rFonts w:ascii="宋体" w:hAnsi="宋体" w:cs="宋体"/>
                <w:kern w:val="0"/>
                <w:szCs w:val="21"/>
              </w:rPr>
              <w:t>分</w:t>
            </w:r>
            <w:r>
              <w:rPr>
                <w:rFonts w:hint="eastAsia" w:ascii="宋体" w:hAnsi="宋体" w:cs="宋体"/>
                <w:kern w:val="0"/>
                <w:szCs w:val="21"/>
                <w:lang w:eastAsia="zh-CN"/>
              </w:rPr>
              <w:t>，</w:t>
            </w:r>
            <w:r>
              <w:rPr>
                <w:rFonts w:hint="eastAsia" w:ascii="宋体" w:hAnsi="宋体" w:cs="宋体"/>
                <w:kern w:val="0"/>
                <w:szCs w:val="21"/>
                <w:lang w:val="en-US" w:eastAsia="zh-CN"/>
              </w:rPr>
              <w:t>本项最高得3分，没有不得分；</w:t>
            </w:r>
          </w:p>
          <w:p>
            <w:pPr>
              <w:numPr>
                <w:ilvl w:val="0"/>
                <w:numId w:val="0"/>
              </w:numPr>
              <w:autoSpaceDE w:val="0"/>
              <w:autoSpaceDN w:val="0"/>
              <w:adjustRightInd w:val="0"/>
              <w:jc w:val="left"/>
              <w:rPr>
                <w:rFonts w:hint="default" w:ascii="宋体" w:hAnsi="宋体" w:cs="宋体"/>
                <w:kern w:val="0"/>
                <w:szCs w:val="21"/>
                <w:lang w:val="en-US" w:eastAsia="zh-CN"/>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452" w:hRule="atLeast"/>
          <w:jc w:val="center"/>
        </w:trPr>
        <w:tc>
          <w:tcPr>
            <w:tcW w:w="710" w:type="dxa"/>
            <w:vMerge w:val="continue"/>
            <w:tcBorders>
              <w:left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ascii="宋体" w:hAnsi="宋体" w:cs="宋体"/>
                <w:kern w:val="0"/>
                <w:szCs w:val="21"/>
              </w:rPr>
              <w:t>项目班组其他人员</w:t>
            </w:r>
          </w:p>
        </w:tc>
        <w:tc>
          <w:tcPr>
            <w:tcW w:w="685" w:type="dxa"/>
            <w:tcBorders>
              <w:top w:val="nil"/>
              <w:left w:val="nil"/>
              <w:bottom w:val="single" w:color="auto" w:sz="8"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5分</w:t>
            </w:r>
          </w:p>
        </w:tc>
        <w:tc>
          <w:tcPr>
            <w:tcW w:w="6376" w:type="dxa"/>
            <w:tcBorders>
              <w:top w:val="nil"/>
              <w:left w:val="nil"/>
              <w:bottom w:val="single" w:color="auto" w:sz="8" w:space="0"/>
              <w:right w:val="single" w:color="auto" w:sz="8" w:space="0"/>
            </w:tcBorders>
            <w:noWrap/>
            <w:vAlign w:val="center"/>
          </w:tcPr>
          <w:p>
            <w:pPr>
              <w:autoSpaceDE w:val="0"/>
              <w:autoSpaceDN w:val="0"/>
              <w:adjustRightInd w:val="0"/>
              <w:jc w:val="left"/>
              <w:rPr>
                <w:rFonts w:ascii="宋体" w:hAnsi="宋体" w:cs="宋体"/>
                <w:kern w:val="0"/>
                <w:szCs w:val="21"/>
              </w:rPr>
            </w:pPr>
            <w:r>
              <w:rPr>
                <w:rFonts w:ascii="宋体" w:hAnsi="宋体" w:cs="宋体"/>
                <w:kern w:val="0"/>
                <w:szCs w:val="21"/>
              </w:rPr>
              <w:t>设备工程师具备机械、电气或机电一体化专业中级及以上职称；（1 分）</w:t>
            </w:r>
          </w:p>
          <w:p>
            <w:pPr>
              <w:autoSpaceDE w:val="0"/>
              <w:autoSpaceDN w:val="0"/>
              <w:adjustRightInd w:val="0"/>
              <w:jc w:val="left"/>
              <w:rPr>
                <w:rFonts w:ascii="宋体" w:hAnsi="宋体" w:cs="宋体"/>
                <w:kern w:val="0"/>
                <w:szCs w:val="21"/>
              </w:rPr>
            </w:pPr>
            <w:r>
              <w:rPr>
                <w:rFonts w:ascii="宋体" w:hAnsi="宋体" w:cs="宋体"/>
                <w:kern w:val="0"/>
                <w:szCs w:val="21"/>
              </w:rPr>
              <w:t>检验人员</w:t>
            </w:r>
            <w:r>
              <w:rPr>
                <w:rFonts w:hint="eastAsia" w:ascii="宋体" w:hAnsi="宋体" w:cs="宋体"/>
                <w:kern w:val="0"/>
                <w:szCs w:val="21"/>
              </w:rPr>
              <w:t>持有分析化验员</w:t>
            </w:r>
            <w:r>
              <w:rPr>
                <w:rFonts w:ascii="宋体" w:hAnsi="宋体" w:cs="宋体"/>
                <w:kern w:val="0"/>
                <w:szCs w:val="21"/>
              </w:rPr>
              <w:t>《职业资格证书》；（1分）</w:t>
            </w:r>
          </w:p>
          <w:p>
            <w:pPr>
              <w:autoSpaceDE w:val="0"/>
              <w:autoSpaceDN w:val="0"/>
              <w:adjustRightInd w:val="0"/>
              <w:jc w:val="left"/>
              <w:rPr>
                <w:rFonts w:ascii="宋体" w:hAnsi="宋体" w:cs="宋体"/>
                <w:kern w:val="0"/>
                <w:szCs w:val="21"/>
              </w:rPr>
            </w:pPr>
            <w:r>
              <w:rPr>
                <w:rFonts w:ascii="宋体" w:hAnsi="宋体" w:cs="宋体"/>
                <w:kern w:val="0"/>
                <w:szCs w:val="21"/>
              </w:rPr>
              <w:t xml:space="preserve">安全员具备上岗证和安全生产考核合格证书；（1 分） </w:t>
            </w:r>
          </w:p>
          <w:p>
            <w:pPr>
              <w:autoSpaceDE w:val="0"/>
              <w:autoSpaceDN w:val="0"/>
              <w:adjustRightInd w:val="0"/>
              <w:jc w:val="left"/>
              <w:rPr>
                <w:rFonts w:ascii="宋体" w:hAnsi="宋体" w:cs="宋体"/>
                <w:kern w:val="0"/>
                <w:szCs w:val="21"/>
              </w:rPr>
            </w:pPr>
            <w:r>
              <w:rPr>
                <w:rFonts w:ascii="宋体" w:hAnsi="宋体" w:cs="宋体"/>
                <w:kern w:val="0"/>
                <w:szCs w:val="21"/>
              </w:rPr>
              <w:t>污水处理工须持有污水处理工《职业资格证书》；（1 分）</w:t>
            </w:r>
          </w:p>
          <w:p>
            <w:pPr>
              <w:autoSpaceDE w:val="0"/>
              <w:autoSpaceDN w:val="0"/>
              <w:adjustRightInd w:val="0"/>
              <w:jc w:val="left"/>
              <w:rPr>
                <w:rFonts w:ascii="宋体" w:hAnsi="宋体" w:cs="宋体"/>
                <w:kern w:val="0"/>
                <w:szCs w:val="21"/>
              </w:rPr>
            </w:pPr>
            <w:r>
              <w:rPr>
                <w:rFonts w:ascii="宋体" w:hAnsi="宋体" w:cs="宋体"/>
                <w:kern w:val="0"/>
                <w:szCs w:val="21"/>
              </w:rPr>
              <w:t>其他组成人员合理性。（1 分）</w:t>
            </w:r>
          </w:p>
          <w:p>
            <w:pPr>
              <w:autoSpaceDE w:val="0"/>
              <w:autoSpaceDN w:val="0"/>
              <w:adjustRightInd w:val="0"/>
              <w:jc w:val="left"/>
              <w:rPr>
                <w:rFonts w:ascii="宋体" w:hAnsi="宋体" w:cs="宋体"/>
                <w:kern w:val="0"/>
                <w:szCs w:val="21"/>
              </w:rPr>
            </w:pPr>
            <w:r>
              <w:rPr>
                <w:rFonts w:hint="eastAsia" w:ascii="宋体" w:hAnsi="宋体" w:cs="宋体"/>
                <w:kern w:val="0"/>
                <w:szCs w:val="21"/>
              </w:rPr>
              <w:t>需提供有效证明材料，且证明材料须提供真彩扫描打印件。</w:t>
            </w:r>
          </w:p>
        </w:tc>
      </w:tr>
      <w:tr>
        <w:tblPrEx>
          <w:tblCellMar>
            <w:top w:w="0" w:type="dxa"/>
            <w:left w:w="108" w:type="dxa"/>
            <w:bottom w:w="0" w:type="dxa"/>
            <w:right w:w="108" w:type="dxa"/>
          </w:tblCellMar>
        </w:tblPrEx>
        <w:trPr>
          <w:trHeight w:val="90" w:hRule="atLeast"/>
          <w:jc w:val="center"/>
        </w:trPr>
        <w:tc>
          <w:tcPr>
            <w:tcW w:w="710"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967" w:type="dxa"/>
            <w:gridSpan w:val="2"/>
            <w:tcBorders>
              <w:top w:val="nil"/>
              <w:left w:val="single" w:color="auto" w:sz="4" w:space="0"/>
              <w:bottom w:val="single" w:color="auto" w:sz="8" w:space="0"/>
              <w:right w:val="single" w:color="auto" w:sz="8" w:space="0"/>
            </w:tcBorders>
            <w:noWrap/>
            <w:vAlign w:val="center"/>
          </w:tcPr>
          <w:p>
            <w:pPr>
              <w:ind w:left="-21" w:leftChars="-10" w:right="-21" w:rightChars="-10"/>
              <w:jc w:val="center"/>
              <w:rPr>
                <w:rFonts w:ascii="宋体" w:hAnsi="宋体" w:cs="宋体"/>
                <w:kern w:val="0"/>
                <w:sz w:val="21"/>
                <w:szCs w:val="21"/>
              </w:rPr>
            </w:pPr>
            <w:r>
              <w:rPr>
                <w:rFonts w:hint="eastAsia" w:ascii="宋体" w:hAnsi="宋体" w:eastAsia="宋体" w:cs="Times New Roman"/>
                <w:bCs/>
                <w:color w:val="000000" w:themeColor="text1"/>
                <w:sz w:val="21"/>
                <w:szCs w:val="21"/>
                <w14:textFill>
                  <w14:solidFill>
                    <w14:schemeClr w14:val="tx1"/>
                  </w14:solidFill>
                </w14:textFill>
              </w:rPr>
              <w:t>文件编制</w:t>
            </w:r>
          </w:p>
        </w:tc>
        <w:tc>
          <w:tcPr>
            <w:tcW w:w="685" w:type="dxa"/>
            <w:tcBorders>
              <w:top w:val="nil"/>
              <w:left w:val="nil"/>
              <w:bottom w:val="single" w:color="auto" w:sz="8" w:space="0"/>
              <w:right w:val="single" w:color="auto" w:sz="8" w:space="0"/>
            </w:tcBorders>
            <w:noWrap/>
            <w:vAlign w:val="center"/>
          </w:tcPr>
          <w:p>
            <w:pPr>
              <w:spacing w:line="320" w:lineRule="exact"/>
              <w:ind w:left="-48" w:leftChars="-23" w:right="-35" w:rightChars="-17"/>
              <w:jc w:val="center"/>
              <w:rPr>
                <w:rFonts w:hint="eastAsia" w:ascii="宋体" w:hAnsi="宋体" w:cs="宋体"/>
                <w:kern w:val="0"/>
                <w:sz w:val="21"/>
                <w:szCs w:val="21"/>
              </w:rPr>
            </w:pPr>
            <w:r>
              <w:rPr>
                <w:rFonts w:hint="eastAsia" w:ascii="宋体" w:hAnsi="宋体" w:eastAsia="宋体" w:cs="Times New Roman"/>
                <w:bCs/>
                <w:color w:val="000000" w:themeColor="text1"/>
                <w:sz w:val="21"/>
                <w:szCs w:val="21"/>
                <w14:textFill>
                  <w14:solidFill>
                    <w14:schemeClr w14:val="tx1"/>
                  </w14:solidFill>
                </w14:textFill>
              </w:rPr>
              <w:t>2</w:t>
            </w:r>
          </w:p>
        </w:tc>
        <w:tc>
          <w:tcPr>
            <w:tcW w:w="6376" w:type="dxa"/>
            <w:tcBorders>
              <w:top w:val="nil"/>
              <w:left w:val="nil"/>
              <w:bottom w:val="single" w:color="auto" w:sz="8" w:space="0"/>
              <w:right w:val="single" w:color="auto" w:sz="8" w:space="0"/>
            </w:tcBorders>
            <w:noWrap/>
            <w:vAlign w:val="center"/>
          </w:tcPr>
          <w:p>
            <w:pPr>
              <w:spacing w:line="320" w:lineRule="exact"/>
              <w:rPr>
                <w:rFonts w:hint="eastAsia" w:ascii="宋体" w:hAnsi="宋体" w:cs="宋体"/>
                <w:kern w:val="0"/>
                <w:sz w:val="21"/>
                <w:szCs w:val="21"/>
              </w:rPr>
            </w:pPr>
            <w:r>
              <w:rPr>
                <w:rFonts w:hint="eastAsia" w:ascii="宋体" w:hAnsi="宋体" w:eastAsia="宋体" w:cs="Times New Roman"/>
                <w:color w:val="000000" w:themeColor="text1"/>
                <w:sz w:val="21"/>
                <w:szCs w:val="21"/>
                <w14:textFill>
                  <w14:solidFill>
                    <w14:schemeClr w14:val="tx1"/>
                  </w14:solidFill>
                </w14:textFill>
              </w:rPr>
              <w:t>投标文件编制完整，逐页有连续页码，有详细目录、目录与有关材料装订顺序对应清晰，查阅方便，全面响应招标文件得2分。</w:t>
            </w:r>
          </w:p>
        </w:tc>
      </w:tr>
      <w:tr>
        <w:tblPrEx>
          <w:tblCellMar>
            <w:top w:w="0" w:type="dxa"/>
            <w:left w:w="108" w:type="dxa"/>
            <w:bottom w:w="0" w:type="dxa"/>
            <w:right w:w="108" w:type="dxa"/>
          </w:tblCellMar>
        </w:tblPrEx>
        <w:trPr>
          <w:trHeight w:val="286" w:hRule="atLeast"/>
          <w:jc w:val="center"/>
        </w:trPr>
        <w:tc>
          <w:tcPr>
            <w:tcW w:w="3362" w:type="dxa"/>
            <w:gridSpan w:val="4"/>
            <w:tcBorders>
              <w:left w:val="single" w:color="auto" w:sz="8" w:space="0"/>
              <w:bottom w:val="single" w:color="auto" w:sz="8" w:space="0"/>
              <w:right w:val="single" w:color="auto" w:sz="8" w:space="0"/>
            </w:tcBorders>
            <w:noWrap/>
            <w:vAlign w:val="center"/>
          </w:tcPr>
          <w:p>
            <w:pPr>
              <w:widowControl/>
              <w:jc w:val="center"/>
              <w:rPr>
                <w:rFonts w:ascii="宋体" w:hAnsi="宋体" w:cs="宋体"/>
                <w:kern w:val="0"/>
                <w:szCs w:val="21"/>
              </w:rPr>
            </w:pPr>
            <w:r>
              <w:rPr>
                <w:rFonts w:hint="eastAsia" w:ascii="宋体" w:hAnsi="宋体" w:cs="宋体"/>
                <w:kern w:val="0"/>
                <w:szCs w:val="21"/>
              </w:rPr>
              <w:t>商务分小计</w:t>
            </w:r>
          </w:p>
        </w:tc>
        <w:tc>
          <w:tcPr>
            <w:tcW w:w="6376" w:type="dxa"/>
            <w:tcBorders>
              <w:top w:val="nil"/>
              <w:left w:val="nil"/>
              <w:bottom w:val="single" w:color="auto" w:sz="8" w:space="0"/>
              <w:right w:val="single" w:color="auto" w:sz="8" w:space="0"/>
            </w:tcBorders>
            <w:noWrap/>
            <w:vAlign w:val="center"/>
          </w:tcPr>
          <w:p>
            <w:pPr>
              <w:widowControl/>
              <w:rPr>
                <w:rFonts w:ascii="宋体" w:hAnsi="宋体"/>
                <w:szCs w:val="21"/>
              </w:rPr>
            </w:pPr>
          </w:p>
        </w:tc>
      </w:tr>
      <w:tr>
        <w:tblPrEx>
          <w:tblCellMar>
            <w:top w:w="0" w:type="dxa"/>
            <w:left w:w="108" w:type="dxa"/>
            <w:bottom w:w="0" w:type="dxa"/>
            <w:right w:w="108" w:type="dxa"/>
          </w:tblCellMar>
        </w:tblPrEx>
        <w:trPr>
          <w:trHeight w:val="415" w:hRule="atLeast"/>
          <w:jc w:val="center"/>
        </w:trPr>
        <w:tc>
          <w:tcPr>
            <w:tcW w:w="710" w:type="dxa"/>
            <w:vMerge w:val="restart"/>
            <w:tcBorders>
              <w:top w:val="single" w:color="auto" w:sz="4" w:space="0"/>
              <w:left w:val="single" w:color="auto" w:sz="4" w:space="0"/>
              <w:right w:val="single" w:color="auto" w:sz="8" w:space="0"/>
            </w:tcBorders>
            <w:noWrap/>
            <w:vAlign w:val="center"/>
          </w:tcPr>
          <w:p>
            <w:pPr>
              <w:widowControl/>
              <w:jc w:val="left"/>
              <w:rPr>
                <w:rFonts w:ascii="宋体" w:hAnsi="宋体" w:cs="宋体"/>
                <w:kern w:val="0"/>
                <w:szCs w:val="21"/>
              </w:rPr>
            </w:pPr>
            <w:r>
              <w:rPr>
                <w:rFonts w:hint="eastAsia" w:ascii="宋体" w:hAnsi="宋体" w:cs="宋体"/>
                <w:kern w:val="0"/>
                <w:szCs w:val="21"/>
              </w:rPr>
              <w:t>技术服务评议</w:t>
            </w:r>
            <w:r>
              <w:rPr>
                <w:rFonts w:hint="eastAsia" w:ascii="宋体" w:hAnsi="宋体" w:cs="宋体"/>
                <w:kern w:val="0"/>
                <w:szCs w:val="21"/>
                <w:lang w:val="en-US" w:eastAsia="zh-CN"/>
              </w:rPr>
              <w:t>45</w:t>
            </w:r>
            <w:r>
              <w:rPr>
                <w:rFonts w:hint="eastAsia" w:ascii="宋体" w:hAnsi="宋体" w:cs="宋体"/>
                <w:kern w:val="0"/>
                <w:szCs w:val="21"/>
              </w:rPr>
              <w:t>分</w:t>
            </w:r>
          </w:p>
        </w:tc>
        <w:tc>
          <w:tcPr>
            <w:tcW w:w="935" w:type="dxa"/>
            <w:vMerge w:val="restart"/>
            <w:tcBorders>
              <w:top w:val="single" w:color="auto" w:sz="4" w:space="0"/>
              <w:left w:val="nil"/>
              <w:bottom w:val="single" w:color="auto" w:sz="4" w:space="0"/>
              <w:right w:val="single" w:color="auto" w:sz="8" w:space="0"/>
            </w:tcBorders>
            <w:noWrap/>
            <w:vAlign w:val="center"/>
          </w:tcPr>
          <w:p>
            <w:pPr>
              <w:widowControl/>
              <w:jc w:val="center"/>
              <w:rPr>
                <w:rFonts w:hint="default" w:ascii="宋体" w:hAnsi="宋体" w:cs="宋体" w:eastAsiaTheme="minorEastAsia"/>
                <w:kern w:val="0"/>
                <w:szCs w:val="21"/>
                <w:lang w:val="en-US" w:eastAsia="zh-CN"/>
              </w:rPr>
            </w:pPr>
            <w:r>
              <w:rPr>
                <w:rFonts w:ascii="宋体" w:hAnsi="宋体" w:cs="宋体"/>
                <w:kern w:val="0"/>
                <w:szCs w:val="21"/>
              </w:rPr>
              <w:t>移交方案</w:t>
            </w:r>
            <w:r>
              <w:rPr>
                <w:rFonts w:hint="eastAsia" w:ascii="宋体" w:hAnsi="宋体" w:cs="宋体"/>
                <w:kern w:val="0"/>
                <w:szCs w:val="21"/>
                <w:lang w:val="en-US" w:eastAsia="zh-CN"/>
              </w:rPr>
              <w:t>10分</w:t>
            </w:r>
          </w:p>
        </w:tc>
        <w:tc>
          <w:tcPr>
            <w:tcW w:w="1032"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进场时的移交方案</w:t>
            </w:r>
          </w:p>
        </w:tc>
        <w:tc>
          <w:tcPr>
            <w:tcW w:w="685"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eastAsia="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4" w:space="0"/>
            </w:tcBorders>
            <w:noWrap/>
            <w:vAlign w:val="center"/>
          </w:tcPr>
          <w:p>
            <w:pPr>
              <w:autoSpaceDE w:val="0"/>
              <w:autoSpaceDN w:val="0"/>
              <w:adjustRightInd w:val="0"/>
              <w:jc w:val="left"/>
              <w:rPr>
                <w:rFonts w:hint="eastAsia" w:ascii="宋体" w:hAnsi="宋体" w:cs="宋体"/>
                <w:kern w:val="0"/>
                <w:szCs w:val="21"/>
              </w:rPr>
            </w:pPr>
            <w:r>
              <w:rPr>
                <w:rFonts w:ascii="宋体" w:hAnsi="宋体" w:cs="宋体"/>
                <w:kern w:val="0"/>
                <w:szCs w:val="21"/>
              </w:rPr>
              <w:t>由评标小组根据各投标人</w:t>
            </w:r>
            <w:r>
              <w:rPr>
                <w:rFonts w:hint="eastAsia" w:ascii="宋体" w:hAnsi="宋体" w:cs="宋体"/>
                <w:kern w:val="0"/>
                <w:szCs w:val="21"/>
              </w:rPr>
              <w:t>编制的现有污水处理厂进场时的移交方案（如移交范围、移交程序、技术交接方案、人员及物资进场方案等）的合理性进行评分。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926" w:hRule="atLeast"/>
          <w:jc w:val="center"/>
        </w:trPr>
        <w:tc>
          <w:tcPr>
            <w:tcW w:w="710" w:type="dxa"/>
            <w:vMerge w:val="continue"/>
            <w:tcBorders>
              <w:left w:val="single" w:color="auto" w:sz="4" w:space="0"/>
              <w:right w:val="single" w:color="auto" w:sz="8" w:space="0"/>
            </w:tcBorders>
            <w:noWrap/>
            <w:vAlign w:val="center"/>
          </w:tcPr>
          <w:p>
            <w:pPr>
              <w:widowControl/>
              <w:jc w:val="left"/>
              <w:rPr>
                <w:rFonts w:hint="eastAsia" w:ascii="宋体" w:hAnsi="宋体" w:cs="宋体"/>
                <w:kern w:val="0"/>
                <w:szCs w:val="21"/>
              </w:rPr>
            </w:pPr>
          </w:p>
        </w:tc>
        <w:tc>
          <w:tcPr>
            <w:tcW w:w="935" w:type="dxa"/>
            <w:vMerge w:val="continue"/>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kern w:val="0"/>
                <w:szCs w:val="21"/>
              </w:rPr>
            </w:pPr>
          </w:p>
        </w:tc>
        <w:tc>
          <w:tcPr>
            <w:tcW w:w="1032" w:type="dxa"/>
            <w:tcBorders>
              <w:top w:val="single" w:color="auto" w:sz="4" w:space="0"/>
              <w:left w:val="nil"/>
              <w:bottom w:val="single" w:color="auto" w:sz="4" w:space="0"/>
              <w:right w:val="single" w:color="auto" w:sz="8" w:space="0"/>
            </w:tcBorders>
            <w:vAlign w:val="center"/>
          </w:tcPr>
          <w:p>
            <w:pPr>
              <w:widowControl/>
              <w:jc w:val="center"/>
              <w:rPr>
                <w:rFonts w:hint="eastAsia" w:ascii="宋体" w:hAnsi="宋体" w:cs="宋体"/>
                <w:kern w:val="0"/>
                <w:szCs w:val="21"/>
              </w:rPr>
            </w:pPr>
            <w:r>
              <w:rPr>
                <w:rFonts w:hint="eastAsia" w:ascii="宋体" w:hAnsi="宋体" w:cs="宋体"/>
                <w:kern w:val="0"/>
                <w:szCs w:val="21"/>
              </w:rPr>
              <w:t>合同期满后的移交方案</w:t>
            </w:r>
          </w:p>
        </w:tc>
        <w:tc>
          <w:tcPr>
            <w:tcW w:w="685" w:type="dxa"/>
            <w:tcBorders>
              <w:top w:val="single" w:color="auto" w:sz="4" w:space="0"/>
              <w:left w:val="nil"/>
              <w:bottom w:val="single" w:color="auto" w:sz="4" w:space="0"/>
              <w:right w:val="single" w:color="auto" w:sz="8"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ascii="宋体" w:hAnsi="宋体" w:cs="宋体"/>
                <w:kern w:val="0"/>
                <w:szCs w:val="21"/>
              </w:rPr>
              <w:t>由评标小组根据各投标人</w:t>
            </w:r>
            <w:r>
              <w:rPr>
                <w:rFonts w:hint="eastAsia" w:ascii="宋体" w:hAnsi="宋体" w:cs="宋体"/>
                <w:kern w:val="0"/>
                <w:szCs w:val="21"/>
              </w:rPr>
              <w:t>编制的合同期满后的移交方案（如移交范围、移交程序、技术交接方案、人员培训方案、人员及物资撤离方案等）的合理性进行评分。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restart"/>
            <w:tcBorders>
              <w:top w:val="single" w:color="auto" w:sz="4" w:space="0"/>
              <w:left w:val="nil"/>
              <w:right w:val="single" w:color="auto" w:sz="4" w:space="0"/>
            </w:tcBorders>
            <w:noWrap/>
            <w:vAlign w:val="center"/>
          </w:tcPr>
          <w:p>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eastAsia="zh-CN"/>
              </w:rPr>
              <w:t>服务</w:t>
            </w:r>
            <w:r>
              <w:rPr>
                <w:rFonts w:hint="eastAsia" w:ascii="宋体" w:hAnsi="宋体" w:cs="宋体"/>
                <w:kern w:val="0"/>
                <w:szCs w:val="21"/>
              </w:rPr>
              <w:t>方案</w:t>
            </w:r>
            <w:r>
              <w:rPr>
                <w:rFonts w:hint="eastAsia" w:ascii="宋体" w:hAnsi="宋体" w:cs="宋体"/>
                <w:kern w:val="0"/>
                <w:szCs w:val="21"/>
                <w:lang w:val="en-US" w:eastAsia="zh-CN"/>
              </w:rPr>
              <w:t>35分</w:t>
            </w:r>
          </w:p>
        </w:tc>
        <w:tc>
          <w:tcPr>
            <w:tcW w:w="1032" w:type="dxa"/>
            <w:tcBorders>
              <w:top w:val="single" w:color="auto" w:sz="4" w:space="0"/>
              <w:left w:val="single" w:color="auto" w:sz="4" w:space="0"/>
              <w:bottom w:val="single" w:color="auto" w:sz="4" w:space="0"/>
              <w:right w:val="single" w:color="auto" w:sz="4" w:space="0"/>
            </w:tcBorders>
            <w:vAlign w:val="center"/>
          </w:tcPr>
          <w:p>
            <w:pPr>
              <w:spacing w:beforeLines="0" w:afterLines="0"/>
              <w:jc w:val="left"/>
              <w:rPr>
                <w:rFonts w:ascii="宋体" w:hAnsi="宋体" w:cs="宋体"/>
                <w:kern w:val="0"/>
                <w:szCs w:val="21"/>
              </w:rPr>
            </w:pPr>
            <w:r>
              <w:rPr>
                <w:rFonts w:hint="eastAsia" w:ascii="宋体" w:hAnsi="宋体" w:eastAsia="宋体"/>
                <w:sz w:val="21"/>
              </w:rPr>
              <w:t>对运营服务要求的响应</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根据各投标人针对本项目的运营服务要求的响应情况进行评分，完</w:t>
            </w:r>
          </w:p>
          <w:p>
            <w:pPr>
              <w:autoSpaceDE w:val="0"/>
              <w:autoSpaceDN w:val="0"/>
              <w:adjustRightInd w:val="0"/>
              <w:jc w:val="left"/>
              <w:rPr>
                <w:rFonts w:ascii="宋体" w:hAnsi="宋体" w:cs="宋体"/>
                <w:kern w:val="0"/>
                <w:szCs w:val="21"/>
              </w:rPr>
            </w:pPr>
            <w:r>
              <w:rPr>
                <w:rFonts w:hint="eastAsia" w:ascii="宋体" w:hAnsi="宋体" w:cs="宋体"/>
                <w:kern w:val="0"/>
                <w:szCs w:val="21"/>
              </w:rPr>
              <w:t>全满足招标要求的得3 分；有优于招标要求的，每个优于项加0.5分，本项最高得</w:t>
            </w:r>
            <w:r>
              <w:rPr>
                <w:rFonts w:hint="eastAsia" w:ascii="宋体" w:hAnsi="宋体" w:cs="宋体"/>
                <w:kern w:val="0"/>
                <w:szCs w:val="21"/>
                <w:lang w:val="en-US" w:eastAsia="zh-CN"/>
              </w:rPr>
              <w:t>5</w:t>
            </w:r>
            <w:r>
              <w:rPr>
                <w:rFonts w:hint="eastAsia" w:ascii="宋体" w:hAnsi="宋体" w:cs="宋体"/>
                <w:kern w:val="0"/>
                <w:szCs w:val="21"/>
              </w:rPr>
              <w:t>分，有不满足或没有响应招标要求情况的，本项不得分。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lang w:eastAsia="zh-CN"/>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beforeLines="0" w:afterLines="0"/>
              <w:jc w:val="left"/>
              <w:rPr>
                <w:rFonts w:hint="eastAsia" w:ascii="宋体" w:hAnsi="宋体" w:eastAsia="宋体"/>
                <w:sz w:val="21"/>
              </w:rPr>
            </w:pPr>
            <w:r>
              <w:rPr>
                <w:rFonts w:hint="eastAsia" w:ascii="宋体" w:hAnsi="宋体" w:eastAsia="宋体"/>
                <w:sz w:val="21"/>
              </w:rPr>
              <w:t>对本项目的了解及分析</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根据各投标人对</w:t>
            </w:r>
            <w:r>
              <w:rPr>
                <w:rFonts w:hint="eastAsia" w:ascii="宋体" w:hAnsi="宋体" w:cs="宋体"/>
                <w:kern w:val="0"/>
                <w:szCs w:val="21"/>
                <w:lang w:eastAsia="zh-CN"/>
              </w:rPr>
              <w:t>仙岛湖</w:t>
            </w:r>
            <w:r>
              <w:rPr>
                <w:rFonts w:hint="eastAsia" w:ascii="宋体" w:hAnsi="宋体" w:cs="宋体"/>
                <w:kern w:val="0"/>
                <w:szCs w:val="21"/>
              </w:rPr>
              <w:t>生活污水处理厂及其服务片区的调查与分析（内容须包含有厂区运营现状调研、污水处理厂服务片区现状调研、运营过程的重点难点分析、运营思路及合理化建议等）进行评分：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1、调查内容全面细致、切合实际，重点难点分析透彻，并能提出科学合理的运营思路及建议的，得</w:t>
            </w:r>
            <w:r>
              <w:rPr>
                <w:rFonts w:hint="eastAsia" w:ascii="宋体" w:hAnsi="宋体" w:cs="宋体"/>
                <w:kern w:val="0"/>
                <w:szCs w:val="21"/>
                <w:lang w:val="en-US" w:eastAsia="zh-CN"/>
              </w:rPr>
              <w:t>5</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2、调查内容基本全面，重点难点分析能突出重点但提出的技术思路及建议欠缺科学合理性的，得</w:t>
            </w:r>
            <w:r>
              <w:rPr>
                <w:rFonts w:hint="eastAsia" w:ascii="宋体" w:hAnsi="宋体" w:cs="宋体"/>
                <w:kern w:val="0"/>
                <w:szCs w:val="21"/>
                <w:lang w:val="en-US" w:eastAsia="zh-CN"/>
              </w:rPr>
              <w:t>3</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3、调查内容不够充分，重点难点分析未能突出重点且提出的技术思路及建议欠缺科学合理性的，得</w:t>
            </w:r>
            <w:r>
              <w:rPr>
                <w:rFonts w:hint="eastAsia" w:ascii="宋体" w:hAnsi="宋体" w:cs="宋体"/>
                <w:kern w:val="0"/>
                <w:szCs w:val="21"/>
                <w:lang w:val="en-US" w:eastAsia="zh-CN"/>
              </w:rPr>
              <w:t>1</w:t>
            </w:r>
            <w:r>
              <w:rPr>
                <w:rFonts w:hint="eastAsia" w:ascii="宋体" w:hAnsi="宋体" w:cs="宋体"/>
                <w:kern w:val="0"/>
                <w:szCs w:val="21"/>
              </w:rPr>
              <w:t xml:space="preserve">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不提供调查及分析的不得分。</w:t>
            </w:r>
          </w:p>
        </w:tc>
      </w:tr>
      <w:tr>
        <w:tblPrEx>
          <w:tblCellMar>
            <w:top w:w="0" w:type="dxa"/>
            <w:left w:w="108" w:type="dxa"/>
            <w:bottom w:w="0" w:type="dxa"/>
            <w:right w:w="108" w:type="dxa"/>
          </w:tblCellMar>
        </w:tblPrEx>
        <w:trPr>
          <w:trHeight w:val="806"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lang w:eastAsia="zh-CN"/>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rPr>
            </w:pPr>
            <w:r>
              <w:rPr>
                <w:rFonts w:hint="default" w:ascii="宋体" w:hAnsi="宋体" w:cs="宋体"/>
                <w:kern w:val="0"/>
                <w:szCs w:val="21"/>
              </w:rPr>
              <w:t>污水处理厂运行及维护方案</w:t>
            </w:r>
          </w:p>
        </w:tc>
        <w:tc>
          <w:tcPr>
            <w:tcW w:w="685" w:type="dxa"/>
            <w:tcBorders>
              <w:top w:val="single" w:color="auto" w:sz="4" w:space="0"/>
              <w:left w:val="single" w:color="auto" w:sz="4" w:space="0"/>
              <w:bottom w:val="single" w:color="auto" w:sz="4" w:space="0"/>
              <w:right w:val="single" w:color="auto" w:sz="8" w:space="0"/>
            </w:tcBorders>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eastAsia="zh-CN"/>
              </w:rPr>
            </w:pPr>
            <w:r>
              <w:rPr>
                <w:rFonts w:hint="default" w:ascii="宋体" w:hAnsi="宋体" w:cs="宋体"/>
                <w:kern w:val="0"/>
                <w:szCs w:val="21"/>
              </w:rPr>
              <w:t>包括但不限于运营服务组织措施，规章管理制度，工作计划及其保证措施，维修方案，出水检测与报告制度措施等。根据方案的合理性、可行性、先进性等进行评分</w:t>
            </w:r>
            <w:r>
              <w:rPr>
                <w:rFonts w:hint="eastAsia" w:ascii="宋体" w:hAnsi="宋体" w:cs="宋体"/>
                <w:kern w:val="0"/>
                <w:szCs w:val="21"/>
                <w:lang w:eastAsia="zh-CN"/>
              </w:rPr>
              <w:t>：</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、方案内容全面细致，有具体的设施设备维护、更换计划，且方案</w:t>
            </w:r>
          </w:p>
          <w:p>
            <w:pPr>
              <w:spacing w:beforeLines="0" w:afterLines="0"/>
              <w:jc w:val="left"/>
              <w:rPr>
                <w:rFonts w:hint="eastAsia" w:ascii="宋体" w:hAnsi="宋体" w:eastAsia="宋体"/>
                <w:sz w:val="21"/>
              </w:rPr>
            </w:pPr>
            <w:r>
              <w:rPr>
                <w:rFonts w:hint="eastAsia" w:ascii="宋体" w:hAnsi="宋体" w:eastAsia="宋体"/>
                <w:sz w:val="21"/>
              </w:rPr>
              <w:t>具备可行性、可操作性的，得</w:t>
            </w:r>
            <w:r>
              <w:rPr>
                <w:rFonts w:hint="eastAsia" w:ascii="TimesNewRomanPSMT" w:hAnsi="TimesNewRomanPSMT" w:eastAsia="TimesNewRomanPSMT"/>
                <w:sz w:val="21"/>
              </w:rPr>
              <w:t xml:space="preserve">5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、方案内容基本全面，有设施设备维护、更换计划，但方案的可行</w:t>
            </w:r>
          </w:p>
          <w:p>
            <w:pPr>
              <w:spacing w:beforeLines="0" w:afterLines="0"/>
              <w:jc w:val="left"/>
              <w:rPr>
                <w:rFonts w:hint="eastAsia" w:ascii="宋体" w:hAnsi="宋体" w:eastAsia="宋体"/>
                <w:sz w:val="21"/>
              </w:rPr>
            </w:pPr>
            <w:r>
              <w:rPr>
                <w:rFonts w:hint="eastAsia" w:ascii="宋体" w:hAnsi="宋体" w:eastAsia="宋体"/>
                <w:sz w:val="21"/>
              </w:rPr>
              <w:t>性、可操作性一般的，得</w:t>
            </w:r>
            <w:r>
              <w:rPr>
                <w:rFonts w:hint="eastAsia" w:ascii="TimesNewRomanPSMT" w:hAnsi="TimesNewRomanPSMT" w:eastAsia="TimesNewRomanPSMT"/>
                <w:sz w:val="21"/>
              </w:rPr>
              <w:t xml:space="preserve">3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、方案内容有欠缺，方案不具备可行性、可操作性的，得</w:t>
            </w:r>
            <w:r>
              <w:rPr>
                <w:rFonts w:hint="eastAsia" w:ascii="TimesNewRomanPSMT" w:hAnsi="TimesNewRomanPSMT" w:eastAsia="TimesNewRomanPSMT"/>
                <w:sz w:val="21"/>
              </w:rPr>
              <w:t xml:space="preserve">1 </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740"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管网维护方案</w:t>
            </w:r>
          </w:p>
        </w:tc>
        <w:tc>
          <w:tcPr>
            <w:tcW w:w="685" w:type="dxa"/>
            <w:tcBorders>
              <w:top w:val="nil"/>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lang w:eastAsia="zh-CN"/>
              </w:rPr>
            </w:pPr>
            <w:r>
              <w:rPr>
                <w:rFonts w:hint="default" w:ascii="宋体" w:hAnsi="宋体" w:cs="宋体"/>
                <w:kern w:val="0"/>
                <w:szCs w:val="21"/>
              </w:rPr>
              <w:t>根据方案的合理性、可行性、先进性等进行评分</w:t>
            </w:r>
            <w:r>
              <w:rPr>
                <w:rFonts w:hint="eastAsia" w:ascii="宋体" w:hAnsi="宋体" w:cs="宋体"/>
                <w:kern w:val="0"/>
                <w:szCs w:val="21"/>
                <w:lang w:eastAsia="zh-CN"/>
              </w:rPr>
              <w:t>：</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1093"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运营质量保证措施</w:t>
            </w:r>
          </w:p>
        </w:tc>
        <w:tc>
          <w:tcPr>
            <w:tcW w:w="685" w:type="dxa"/>
            <w:tcBorders>
              <w:top w:val="nil"/>
              <w:left w:val="single" w:color="auto" w:sz="4" w:space="0"/>
              <w:bottom w:val="single" w:color="auto" w:sz="4"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服务管理质量及保障措施是否明确、具体、可行、针对性强，各项措施落实情况的保障；</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根据方案的合理性、可行性、先进性等进行评分：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498"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安全防护制度和应急处理措施</w:t>
            </w:r>
          </w:p>
        </w:tc>
        <w:tc>
          <w:tcPr>
            <w:tcW w:w="685" w:type="dxa"/>
            <w:tcBorders>
              <w:top w:val="nil"/>
              <w:left w:val="single" w:color="auto" w:sz="4" w:space="0"/>
              <w:bottom w:val="single" w:color="auto" w:sz="4"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left w:val="nil"/>
              <w:bottom w:val="single" w:color="auto" w:sz="4"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根据各投标人针对安全防护制度和应急突发事件（包括设备设施故障应急保障、可能出现的突发情况及应对方案、应急人员组织等方面）处理制定的应急方案进行评分：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1、方案内容全面、对应急情况制定的处理方案针对性强，得3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2、方案内容较全面、对应急情况制定的处理方案基本可行的，得2</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3、方案内容欠缺全面的，得1 分；</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不提供方案的不得分。</w:t>
            </w:r>
          </w:p>
        </w:tc>
      </w:tr>
      <w:tr>
        <w:tblPrEx>
          <w:tblCellMar>
            <w:top w:w="0" w:type="dxa"/>
            <w:left w:w="108" w:type="dxa"/>
            <w:bottom w:w="0" w:type="dxa"/>
            <w:right w:w="108" w:type="dxa"/>
          </w:tblCellMar>
        </w:tblPrEx>
        <w:trPr>
          <w:trHeight w:val="498" w:hRule="atLeast"/>
          <w:jc w:val="center"/>
        </w:trPr>
        <w:tc>
          <w:tcPr>
            <w:tcW w:w="710" w:type="dxa"/>
            <w:vMerge w:val="continue"/>
            <w:tcBorders>
              <w:left w:val="single" w:color="auto" w:sz="4" w:space="0"/>
              <w:right w:val="single" w:color="auto" w:sz="8" w:space="0"/>
            </w:tcBorders>
            <w:noWrap/>
            <w:vAlign w:val="center"/>
          </w:tcPr>
          <w:p>
            <w:pPr>
              <w:widowControl/>
              <w:jc w:val="left"/>
              <w:rPr>
                <w:rFonts w:ascii="宋体" w:hAnsi="宋体" w:cs="宋体"/>
                <w:kern w:val="0"/>
                <w:szCs w:val="21"/>
              </w:rPr>
            </w:pPr>
          </w:p>
        </w:tc>
        <w:tc>
          <w:tcPr>
            <w:tcW w:w="935" w:type="dxa"/>
            <w:vMerge w:val="continue"/>
            <w:tcBorders>
              <w:left w:val="nil"/>
              <w:right w:val="single" w:color="auto" w:sz="4" w:space="0"/>
            </w:tcBorders>
            <w:noWrap/>
            <w:vAlign w:val="center"/>
          </w:tcPr>
          <w:p>
            <w:pPr>
              <w:widowControl/>
              <w:jc w:val="center"/>
              <w:rPr>
                <w:rFonts w:hint="eastAsia" w:ascii="宋体" w:hAnsi="宋体" w:cs="宋体"/>
                <w:kern w:val="0"/>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运行记录保存和报告计划安排</w:t>
            </w:r>
          </w:p>
        </w:tc>
        <w:tc>
          <w:tcPr>
            <w:tcW w:w="685" w:type="dxa"/>
            <w:tcBorders>
              <w:top w:val="single" w:color="auto" w:sz="4" w:space="0"/>
              <w:left w:val="single" w:color="auto" w:sz="4" w:space="0"/>
              <w:bottom w:val="single" w:color="auto" w:sz="8" w:space="0"/>
              <w:right w:val="single" w:color="auto" w:sz="8" w:space="0"/>
            </w:tcBorders>
            <w:noWrap/>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5分</w:t>
            </w:r>
          </w:p>
        </w:tc>
        <w:tc>
          <w:tcPr>
            <w:tcW w:w="6376" w:type="dxa"/>
            <w:tcBorders>
              <w:top w:val="single" w:color="auto" w:sz="4" w:space="0"/>
              <w:left w:val="nil"/>
              <w:bottom w:val="single" w:color="auto" w:sz="8" w:space="0"/>
              <w:right w:val="single" w:color="auto" w:sz="8" w:space="0"/>
            </w:tcBorders>
            <w:noWrap/>
            <w:vAlign w:val="center"/>
          </w:tcPr>
          <w:p>
            <w:pPr>
              <w:autoSpaceDE w:val="0"/>
              <w:autoSpaceDN w:val="0"/>
              <w:adjustRightInd w:val="0"/>
              <w:jc w:val="left"/>
              <w:rPr>
                <w:rFonts w:hint="eastAsia" w:ascii="宋体" w:hAnsi="宋体" w:cs="宋体"/>
                <w:kern w:val="0"/>
                <w:szCs w:val="21"/>
              </w:rPr>
            </w:pPr>
            <w:r>
              <w:rPr>
                <w:rFonts w:hint="eastAsia" w:ascii="宋体" w:hAnsi="宋体" w:cs="宋体"/>
                <w:kern w:val="0"/>
                <w:szCs w:val="21"/>
              </w:rPr>
              <w:t>对各项维护运行记录保存和报告计划是否全面、具体、针对性强，是否符合本项目需要和要求进行综合评比：</w:t>
            </w:r>
          </w:p>
          <w:p>
            <w:pPr>
              <w:autoSpaceDE w:val="0"/>
              <w:autoSpaceDN w:val="0"/>
              <w:adjustRightInd w:val="0"/>
              <w:jc w:val="left"/>
              <w:rPr>
                <w:rFonts w:hint="eastAsia" w:ascii="宋体" w:hAnsi="宋体" w:cs="宋体"/>
                <w:kern w:val="0"/>
                <w:szCs w:val="21"/>
              </w:rPr>
            </w:pPr>
            <w:r>
              <w:rPr>
                <w:rFonts w:hint="eastAsia" w:ascii="宋体" w:hAnsi="宋体" w:cs="宋体"/>
                <w:kern w:val="0"/>
                <w:szCs w:val="21"/>
              </w:rPr>
              <w:t>根据方案的合理性、可行性、先进性等进行评分：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1</w:t>
            </w:r>
            <w:r>
              <w:rPr>
                <w:rFonts w:hint="eastAsia" w:ascii="宋体" w:hAnsi="宋体" w:eastAsia="宋体"/>
                <w:sz w:val="21"/>
              </w:rPr>
              <w:t>、方案具体全面、科学合理且可操作性强的，得</w:t>
            </w:r>
            <w:r>
              <w:rPr>
                <w:rFonts w:hint="eastAsia" w:ascii="TimesNewRomanPSMT" w:hAnsi="TimesNewRomanPSMT" w:eastAsia="宋体"/>
                <w:sz w:val="21"/>
                <w:lang w:val="en-US" w:eastAsia="zh-CN"/>
              </w:rPr>
              <w:t>5</w:t>
            </w:r>
            <w:r>
              <w:rPr>
                <w:rFonts w:hint="eastAsia" w:ascii="TimesNewRomanPSMT" w:hAnsi="TimesNewRomanPSMT" w:eastAsia="TimesNewRomanPSMT"/>
                <w:sz w:val="21"/>
              </w:rPr>
              <w:t xml:space="preserve"> </w:t>
            </w:r>
            <w:r>
              <w:rPr>
                <w:rFonts w:hint="eastAsia" w:ascii="宋体" w:hAnsi="宋体" w:eastAsia="宋体"/>
                <w:sz w:val="21"/>
              </w:rPr>
              <w:t>分；</w:t>
            </w:r>
          </w:p>
          <w:p>
            <w:pPr>
              <w:spacing w:beforeLines="0" w:afterLines="0"/>
              <w:jc w:val="left"/>
              <w:rPr>
                <w:rFonts w:hint="eastAsia" w:ascii="宋体" w:hAnsi="宋体" w:eastAsia="宋体"/>
                <w:sz w:val="21"/>
              </w:rPr>
            </w:pPr>
            <w:r>
              <w:rPr>
                <w:rFonts w:hint="eastAsia" w:ascii="TimesNewRomanPSMT" w:hAnsi="TimesNewRomanPSMT" w:eastAsia="TimesNewRomanPSMT"/>
                <w:sz w:val="21"/>
              </w:rPr>
              <w:t>2</w:t>
            </w:r>
            <w:r>
              <w:rPr>
                <w:rFonts w:hint="eastAsia" w:ascii="宋体" w:hAnsi="宋体" w:eastAsia="宋体"/>
                <w:sz w:val="21"/>
              </w:rPr>
              <w:t>、方案基本全面合理，但可操作性一般的，得</w:t>
            </w:r>
            <w:r>
              <w:rPr>
                <w:rFonts w:hint="eastAsia" w:ascii="TimesNewRomanPSMT" w:hAnsi="TimesNewRomanPSMT" w:eastAsia="宋体"/>
                <w:sz w:val="21"/>
                <w:lang w:val="en-US" w:eastAsia="zh-CN"/>
              </w:rPr>
              <w:t>3</w:t>
            </w:r>
            <w:r>
              <w:rPr>
                <w:rFonts w:hint="eastAsia" w:ascii="宋体" w:hAnsi="宋体" w:eastAsia="宋体"/>
                <w:sz w:val="21"/>
              </w:rPr>
              <w:t>分；</w:t>
            </w:r>
          </w:p>
          <w:p>
            <w:pPr>
              <w:autoSpaceDE w:val="0"/>
              <w:autoSpaceDN w:val="0"/>
              <w:adjustRightInd w:val="0"/>
              <w:jc w:val="left"/>
              <w:rPr>
                <w:rFonts w:hint="eastAsia" w:ascii="宋体" w:hAnsi="宋体" w:eastAsia="宋体"/>
                <w:sz w:val="21"/>
              </w:rPr>
            </w:pPr>
            <w:r>
              <w:rPr>
                <w:rFonts w:hint="eastAsia" w:ascii="TimesNewRomanPSMT" w:hAnsi="TimesNewRomanPSMT" w:eastAsia="TimesNewRomanPSMT"/>
                <w:sz w:val="21"/>
              </w:rPr>
              <w:t>3</w:t>
            </w:r>
            <w:r>
              <w:rPr>
                <w:rFonts w:hint="eastAsia" w:ascii="宋体" w:hAnsi="宋体" w:eastAsia="宋体"/>
                <w:sz w:val="21"/>
              </w:rPr>
              <w:t>、方案有缺失，不具备可操作性的，得</w:t>
            </w:r>
            <w:r>
              <w:rPr>
                <w:rFonts w:hint="eastAsia" w:ascii="TimesNewRomanPSMT" w:hAnsi="TimesNewRomanPSMT" w:eastAsia="宋体"/>
                <w:sz w:val="21"/>
                <w:lang w:val="en-US" w:eastAsia="zh-CN"/>
              </w:rPr>
              <w:t>1</w:t>
            </w:r>
            <w:r>
              <w:rPr>
                <w:rFonts w:hint="eastAsia" w:ascii="TimesNewRomanPSMT" w:hAnsi="TimesNewRomanPSMT" w:eastAsia="TimesNewRomanPSMT"/>
                <w:sz w:val="21"/>
              </w:rPr>
              <w:t xml:space="preserve"> </w:t>
            </w:r>
            <w:r>
              <w:rPr>
                <w:rFonts w:hint="eastAsia" w:ascii="宋体" w:hAnsi="宋体" w:eastAsia="宋体"/>
                <w:sz w:val="21"/>
              </w:rPr>
              <w:t>分；</w:t>
            </w:r>
          </w:p>
          <w:p>
            <w:pPr>
              <w:autoSpaceDE w:val="0"/>
              <w:autoSpaceDN w:val="0"/>
              <w:adjustRightInd w:val="0"/>
              <w:jc w:val="left"/>
              <w:rPr>
                <w:rFonts w:hint="eastAsia" w:ascii="宋体" w:hAnsi="宋体" w:cs="宋体"/>
                <w:kern w:val="0"/>
                <w:szCs w:val="21"/>
              </w:rPr>
            </w:pPr>
            <w:r>
              <w:rPr>
                <w:rFonts w:hint="eastAsia" w:ascii="宋体" w:hAnsi="宋体" w:eastAsia="宋体"/>
                <w:sz w:val="21"/>
              </w:rPr>
              <w:t>不提供方案的不得分。</w:t>
            </w:r>
          </w:p>
        </w:tc>
      </w:tr>
      <w:tr>
        <w:tblPrEx>
          <w:tblCellMar>
            <w:top w:w="0" w:type="dxa"/>
            <w:left w:w="108" w:type="dxa"/>
            <w:bottom w:w="0" w:type="dxa"/>
            <w:right w:w="108" w:type="dxa"/>
          </w:tblCellMar>
        </w:tblPrEx>
        <w:trPr>
          <w:trHeight w:val="273" w:hRule="atLeast"/>
          <w:jc w:val="center"/>
        </w:trPr>
        <w:tc>
          <w:tcPr>
            <w:tcW w:w="710" w:type="dxa"/>
            <w:vMerge w:val="continue"/>
            <w:tcBorders>
              <w:left w:val="single" w:color="auto" w:sz="4" w:space="0"/>
              <w:bottom w:val="single" w:color="auto" w:sz="4" w:space="0"/>
              <w:right w:val="single" w:color="auto" w:sz="8" w:space="0"/>
            </w:tcBorders>
            <w:noWrap/>
            <w:vAlign w:val="center"/>
          </w:tcPr>
          <w:p>
            <w:pPr>
              <w:widowControl/>
              <w:jc w:val="left"/>
              <w:rPr>
                <w:rFonts w:ascii="宋体" w:hAnsi="宋体" w:cs="宋体"/>
                <w:kern w:val="0"/>
                <w:szCs w:val="21"/>
              </w:rPr>
            </w:pPr>
          </w:p>
        </w:tc>
        <w:tc>
          <w:tcPr>
            <w:tcW w:w="265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技术分小计</w:t>
            </w:r>
          </w:p>
        </w:tc>
        <w:tc>
          <w:tcPr>
            <w:tcW w:w="63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left"/>
              <w:rPr>
                <w:rFonts w:ascii="宋体" w:hAnsi="宋体" w:cs="宋体"/>
                <w:kern w:val="0"/>
                <w:szCs w:val="21"/>
              </w:rPr>
            </w:pPr>
          </w:p>
        </w:tc>
      </w:tr>
      <w:tr>
        <w:tblPrEx>
          <w:tblCellMar>
            <w:top w:w="0" w:type="dxa"/>
            <w:left w:w="108" w:type="dxa"/>
            <w:bottom w:w="0" w:type="dxa"/>
            <w:right w:w="108" w:type="dxa"/>
          </w:tblCellMar>
        </w:tblPrEx>
        <w:trPr>
          <w:trHeight w:val="273" w:hRule="atLeast"/>
          <w:jc w:val="center"/>
        </w:trPr>
        <w:tc>
          <w:tcPr>
            <w:tcW w:w="710" w:type="dxa"/>
            <w:tcBorders>
              <w:top w:val="single" w:color="auto" w:sz="4" w:space="0"/>
              <w:left w:val="single" w:color="auto" w:sz="4" w:space="0"/>
              <w:bottom w:val="single" w:color="auto" w:sz="4" w:space="0"/>
              <w:right w:val="single" w:color="auto" w:sz="8" w:space="0"/>
            </w:tcBorders>
            <w:noWrap/>
            <w:vAlign w:val="center"/>
          </w:tcPr>
          <w:p>
            <w:pPr>
              <w:widowControl/>
              <w:jc w:val="left"/>
              <w:rPr>
                <w:rFonts w:ascii="宋体" w:hAnsi="宋体" w:cs="宋体"/>
                <w:kern w:val="0"/>
                <w:szCs w:val="21"/>
              </w:rPr>
            </w:pPr>
          </w:p>
        </w:tc>
        <w:tc>
          <w:tcPr>
            <w:tcW w:w="2652"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总计得分</w:t>
            </w:r>
          </w:p>
        </w:tc>
        <w:tc>
          <w:tcPr>
            <w:tcW w:w="6376"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szCs w:val="21"/>
              </w:rPr>
            </w:pPr>
          </w:p>
        </w:tc>
      </w:tr>
    </w:tbl>
    <w:p>
      <w:pPr>
        <w:rPr>
          <w:rFonts w:hint="eastAsia"/>
          <w:b/>
        </w:rPr>
      </w:pPr>
    </w:p>
    <w:p>
      <w:r>
        <w:rPr>
          <w:rFonts w:hint="eastAsia"/>
          <w:b/>
        </w:rPr>
        <w:t>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b/>
        </w:rPr>
        <w:br w:type="page"/>
      </w:r>
    </w:p>
    <w:p/>
    <w:p>
      <w:pPr>
        <w:pStyle w:val="2"/>
        <w:numPr>
          <w:ilvl w:val="0"/>
          <w:numId w:val="1"/>
        </w:numPr>
        <w:jc w:val="center"/>
        <w:rPr>
          <w:rFonts w:ascii="黑体" w:hAnsi="黑体" w:eastAsia="黑体"/>
        </w:rPr>
      </w:pPr>
      <w:bookmarkStart w:id="57" w:name="_Toc494665546"/>
      <w:bookmarkStart w:id="58" w:name="_Toc494702263"/>
      <w:bookmarkStart w:id="59" w:name="_Toc494721093"/>
      <w:bookmarkStart w:id="60" w:name="_Toc494745310"/>
      <w:bookmarkStart w:id="61" w:name="_Toc494665943"/>
      <w:bookmarkStart w:id="62" w:name="_Toc494664993"/>
      <w:bookmarkStart w:id="63" w:name="_Toc495861545"/>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采购机构发出的中标通知书；</w:t>
      </w:r>
    </w:p>
    <w:p>
      <w:pPr>
        <w:numPr>
          <w:ilvl w:val="0"/>
          <w:numId w:val="5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64" w:name="_Toc494665944"/>
      <w:bookmarkStart w:id="65" w:name="_Toc494721094"/>
      <w:bookmarkStart w:id="66" w:name="_Toc494665547"/>
      <w:bookmarkStart w:id="67" w:name="_Toc494745311"/>
      <w:bookmarkStart w:id="68" w:name="_Toc494702264"/>
      <w:bookmarkStart w:id="69" w:name="_Toc494664994"/>
      <w:bookmarkStart w:id="70" w:name="_Toc495861546"/>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71" w:name="_Toc494664995"/>
      <w:bookmarkStart w:id="72" w:name="_Toc494702265"/>
      <w:bookmarkStart w:id="73" w:name="_Toc494745312"/>
      <w:bookmarkStart w:id="74" w:name="_Toc494665548"/>
      <w:bookmarkStart w:id="75" w:name="_Toc494665945"/>
      <w:bookmarkStart w:id="76" w:name="_Toc495861547"/>
      <w:bookmarkStart w:id="77" w:name="_Toc49472109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745313"/>
      <w:bookmarkStart w:id="79" w:name="_Toc494665946"/>
      <w:bookmarkStart w:id="80" w:name="_Toc494702266"/>
      <w:bookmarkStart w:id="81" w:name="_Toc494721096"/>
      <w:bookmarkStart w:id="82" w:name="_Toc494664996"/>
      <w:bookmarkStart w:id="83" w:name="_Toc494665549"/>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9"/>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9"/>
        <w:numPr>
          <w:ilvl w:val="0"/>
          <w:numId w:val="6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投标人应提供无行贿犯罪记录查询证明（提供在中国裁判文书网的查询结果截图）；</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84" w:name="_Toc494664997"/>
      <w:bookmarkStart w:id="85" w:name="_Toc495861548"/>
      <w:bookmarkStart w:id="86" w:name="_Toc494665550"/>
      <w:bookmarkStart w:id="87" w:name="_Toc494745314"/>
      <w:bookmarkStart w:id="88" w:name="_Toc494721097"/>
      <w:bookmarkStart w:id="89" w:name="_Toc494702267"/>
      <w:bookmarkStart w:id="90" w:name="_Toc494665947"/>
    </w:p>
    <w:p>
      <w:pPr>
        <w:pStyle w:val="3"/>
        <w:spacing w:before="340" w:after="480" w:line="360" w:lineRule="auto"/>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665551"/>
      <w:bookmarkStart w:id="92" w:name="_Toc494664998"/>
      <w:bookmarkStart w:id="93" w:name="_Toc494665948"/>
      <w:bookmarkStart w:id="94" w:name="_Toc494745315"/>
      <w:bookmarkStart w:id="95" w:name="_Toc494721098"/>
      <w:bookmarkStart w:id="96" w:name="_Toc494702268"/>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w:t>
      </w:r>
      <w:r>
        <w:rPr>
          <w:rFonts w:hint="eastAsia" w:ascii="宋体" w:hAnsi="宋体" w:eastAsia="宋体" w:cs="Courier New"/>
          <w:color w:val="0D0D0D"/>
          <w:sz w:val="24"/>
          <w:szCs w:val="24"/>
          <w:highlight w:val="yellow"/>
        </w:rPr>
        <w:t>十  其他注意事项</w:t>
      </w:r>
      <w:r>
        <w:rPr>
          <w:rFonts w:hint="eastAsia" w:ascii="宋体" w:hAnsi="宋体" w:eastAsia="宋体" w:cs="Courier New"/>
          <w:color w:val="0D0D0D"/>
          <w:sz w:val="24"/>
          <w:szCs w:val="24"/>
        </w:rPr>
        <w:t>”中规定禁止情形的书面声明；</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7" w:name="_Toc494745316"/>
      <w:bookmarkStart w:id="98" w:name="_Toc494721099"/>
      <w:bookmarkStart w:id="99" w:name="_Toc494702269"/>
      <w:bookmarkStart w:id="100" w:name="_Toc495861549"/>
      <w:bookmarkStart w:id="101" w:name="_Toc494665949"/>
      <w:bookmarkStart w:id="102" w:name="_Toc494664999"/>
      <w:bookmarkStart w:id="103" w:name="_Toc494665552"/>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665000"/>
      <w:bookmarkStart w:id="105" w:name="_Toc494665950"/>
      <w:bookmarkStart w:id="106" w:name="_Toc494721100"/>
      <w:bookmarkStart w:id="107" w:name="_Toc494745317"/>
      <w:bookmarkStart w:id="108" w:name="_Toc494665553"/>
      <w:bookmarkStart w:id="109"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10" w:name="_Toc494665001"/>
      <w:bookmarkStart w:id="111" w:name="_Toc494702271"/>
      <w:bookmarkStart w:id="112" w:name="_Toc236473298"/>
      <w:bookmarkStart w:id="113" w:name="_Toc494721101"/>
      <w:bookmarkStart w:id="114" w:name="_Toc494665554"/>
      <w:bookmarkStart w:id="115" w:name="_Toc494745318"/>
      <w:bookmarkStart w:id="116" w:name="_Toc494665951"/>
      <w:bookmarkStart w:id="117" w:name="_Toc238276242"/>
      <w:bookmarkStart w:id="118" w:name="_Toc495861550"/>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19" w:name="_Toc494665952"/>
      <w:bookmarkStart w:id="120" w:name="_Toc494665002"/>
      <w:bookmarkStart w:id="121" w:name="_Toc494665555"/>
      <w:bookmarkStart w:id="122" w:name="_Toc494745319"/>
      <w:bookmarkStart w:id="123" w:name="_Toc494721102"/>
      <w:bookmarkStart w:id="124" w:name="_Toc495861551"/>
      <w:bookmarkStart w:id="125" w:name="_Toc494702272"/>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0"/>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0"/>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26" w:name="_Toc456264006"/>
      <w:bookmarkStart w:id="127" w:name="_Toc494665556"/>
      <w:bookmarkStart w:id="128" w:name="_Toc494665003"/>
      <w:bookmarkStart w:id="129" w:name="_Toc495861552"/>
      <w:bookmarkStart w:id="130" w:name="_Toc494745320"/>
      <w:bookmarkStart w:id="131" w:name="_Toc494665953"/>
      <w:bookmarkStart w:id="132" w:name="_Toc494721103"/>
      <w:bookmarkStart w:id="133" w:name="_Toc494702273"/>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投标时间：</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p>
    <w:p>
      <w:pPr>
        <w:spacing w:before="100" w:beforeAutospacing="1" w:after="100" w:afterAutospacing="1" w:line="360" w:lineRule="auto"/>
        <w:rPr>
          <w:rFonts w:ascii="宋体" w:hAnsi="宋体" w:eastAsia="宋体" w:cs="Times New Roman"/>
          <w:b/>
          <w:bCs/>
          <w:sz w:val="24"/>
          <w:szCs w:val="21"/>
          <w:lang w:val="zh-CN"/>
        </w:rPr>
        <w:sectPr>
          <w:headerReference r:id="rId5" w:type="default"/>
          <w:footerReference r:id="rId6" w:type="default"/>
          <w:pgSz w:w="11906" w:h="16838"/>
          <w:pgMar w:top="1134" w:right="1191" w:bottom="1134" w:left="1191" w:header="851" w:footer="851" w:gutter="0"/>
          <w:cols w:space="425" w:num="1"/>
          <w:docGrid w:type="linesAndChars" w:linePitch="312" w:charSpace="0"/>
        </w:sectPr>
      </w:pPr>
    </w:p>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1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rPr>
        <w:sectPr>
          <w:pgSz w:w="16838" w:h="11906" w:orient="landscape"/>
          <w:pgMar w:top="1191" w:right="1134" w:bottom="1191" w:left="1134" w:header="851" w:footer="851" w:gutter="0"/>
          <w:cols w:space="425" w:num="1"/>
          <w:docGrid w:type="linesAndChars" w:linePitch="312" w:charSpace="0"/>
        </w:sectPr>
      </w:pPr>
      <w:bookmarkStart w:id="135" w:name="_Toc494721104"/>
      <w:bookmarkStart w:id="136" w:name="_Toc494745321"/>
      <w:bookmarkStart w:id="137" w:name="_Toc494665004"/>
      <w:bookmarkStart w:id="138" w:name="_Toc494665954"/>
      <w:bookmarkStart w:id="139" w:name="_Toc494665557"/>
      <w:bookmarkStart w:id="140" w:name="_Toc495861553"/>
      <w:bookmarkStart w:id="141" w:name="_Toc494702274"/>
    </w:p>
    <w:p/>
    <w:p>
      <w:pPr>
        <w:pStyle w:val="3"/>
        <w:numPr>
          <w:ilvl w:val="0"/>
          <w:numId w:val="63"/>
        </w:numPr>
        <w:spacing w:before="100" w:beforeAutospacing="1" w:afterLines="50" w:line="360" w:lineRule="auto"/>
        <w:ind w:left="1288" w:hanging="1288"/>
        <w:rPr>
          <w:rFonts w:ascii="宋体" w:hAnsi="宋体" w:eastAsia="宋体"/>
        </w:rPr>
      </w:pPr>
      <w:r>
        <w:rPr>
          <w:rFonts w:hint="eastAsia" w:ascii="宋体" w:hAnsi="宋体" w:eastAsia="宋体"/>
        </w:rPr>
        <w:t>残疾人福利性单位声明函</w:t>
      </w:r>
      <w:bookmarkEnd w:id="135"/>
      <w:bookmarkEnd w:id="136"/>
      <w:bookmarkEnd w:id="137"/>
      <w:bookmarkEnd w:id="138"/>
      <w:bookmarkEnd w:id="139"/>
      <w:bookmarkEnd w:id="140"/>
      <w:bookmarkEnd w:id="141"/>
    </w:p>
    <w:p/>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10"/>
        <w:spacing w:line="360" w:lineRule="auto"/>
        <w:ind w:firstLine="475" w:firstLineChars="198"/>
        <w:jc w:val="left"/>
        <w:rPr>
          <w:rFonts w:hAnsi="宋体"/>
          <w:sz w:val="24"/>
        </w:rPr>
      </w:pPr>
      <w:r>
        <w:rPr>
          <w:rFonts w:hint="eastAsia" w:hAnsi="宋体"/>
          <w:sz w:val="24"/>
        </w:rPr>
        <w:t>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0"/>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42" w:name="_Toc494702275"/>
      <w:bookmarkStart w:id="143" w:name="_Toc494577410"/>
      <w:bookmarkStart w:id="144" w:name="_Toc494745322"/>
      <w:bookmarkStart w:id="145" w:name="_Toc494665955"/>
      <w:bookmarkStart w:id="146" w:name="_Toc494665558"/>
      <w:bookmarkStart w:id="147" w:name="_Toc494665005"/>
      <w:bookmarkStart w:id="148" w:name="_Toc494721105"/>
      <w:bookmarkStart w:id="149" w:name="_Toc495861554"/>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197"/>
        <w:gridCol w:w="1400"/>
        <w:gridCol w:w="1383"/>
        <w:gridCol w:w="1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197"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w:t>
            </w:r>
            <w:r>
              <w:rPr>
                <w:rFonts w:hint="eastAsia" w:ascii="宋体" w:hAnsi="宋体" w:eastAsia="宋体" w:cs="宋体"/>
                <w:kern w:val="0"/>
                <w:sz w:val="24"/>
                <w:szCs w:val="24"/>
              </w:rPr>
              <w:t>元/人/年</w:t>
            </w:r>
            <w:r>
              <w:rPr>
                <w:rFonts w:hint="eastAsia" w:ascii="宋体" w:hAnsi="宋体" w:cs="宋体"/>
                <w:color w:val="0D0D0D"/>
                <w:kern w:val="0"/>
                <w:sz w:val="24"/>
              </w:rPr>
              <w:t>）</w:t>
            </w:r>
          </w:p>
        </w:tc>
        <w:tc>
          <w:tcPr>
            <w:tcW w:w="1400"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383"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服务期限</w:t>
            </w:r>
          </w:p>
        </w:tc>
        <w:tc>
          <w:tcPr>
            <w:tcW w:w="1935"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197"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35"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p>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r>
        <w:rPr>
          <w:rFonts w:hint="eastAsia" w:ascii="宋体" w:hAnsi="宋体" w:eastAsia="宋体" w:cs="Times New Roman"/>
          <w:b/>
          <w:sz w:val="24"/>
          <w:szCs w:val="24"/>
        </w:rPr>
        <w:t>投保每年每人保费标准不得高于485元，承保期限3年，以1100人计算投标）</w:t>
      </w:r>
      <w:r>
        <w:rPr>
          <w:rFonts w:hint="eastAsia" w:ascii="宋体" w:hAnsi="宋体" w:eastAsia="宋体" w:cs="Times New Roman"/>
          <w:sz w:val="24"/>
          <w:szCs w:val="24"/>
        </w:rPr>
        <w:t>。</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50" w:name="_Toc494721106"/>
      <w:bookmarkStart w:id="151" w:name="_Toc495861555"/>
      <w:bookmarkStart w:id="152" w:name="_Toc494745323"/>
      <w:bookmarkStart w:id="153" w:name="_Toc494665956"/>
      <w:bookmarkStart w:id="154" w:name="_Toc494665006"/>
      <w:bookmarkStart w:id="155" w:name="_Toc494577411"/>
      <w:bookmarkStart w:id="156" w:name="_Toc494702276"/>
      <w:bookmarkStart w:id="157" w:name="_Toc494665559"/>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sz w:val="31"/>
          <w:szCs w:val="31"/>
        </w:rPr>
      </w:pPr>
      <w:bookmarkStart w:id="158" w:name="_Toc494665007"/>
      <w:bookmarkStart w:id="159" w:name="_Toc494665560"/>
      <w:bookmarkStart w:id="160" w:name="_Toc494577412"/>
      <w:bookmarkStart w:id="161" w:name="_Toc494702277"/>
      <w:bookmarkStart w:id="162" w:name="_Toc494745324"/>
      <w:bookmarkStart w:id="163" w:name="_Toc495861556"/>
      <w:bookmarkStart w:id="164" w:name="_Toc494665957"/>
      <w:bookmarkStart w:id="165" w:name="_Toc494721107"/>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66" w:name="_Toc494745325"/>
      <w:bookmarkStart w:id="167" w:name="_Toc495861557"/>
      <w:bookmarkStart w:id="168" w:name="_Toc494721108"/>
      <w:bookmarkStart w:id="169" w:name="_Toc494665008"/>
      <w:bookmarkStart w:id="170" w:name="_Toc494665958"/>
      <w:bookmarkStart w:id="171" w:name="_Toc494702278"/>
      <w:bookmarkStart w:id="172" w:name="_Toc494665561"/>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73" w:name="_Toc494665959"/>
      <w:bookmarkStart w:id="174" w:name="_Toc495861558"/>
      <w:bookmarkStart w:id="175" w:name="_Toc494745326"/>
      <w:bookmarkStart w:id="176" w:name="_Toc494665009"/>
      <w:bookmarkStart w:id="177" w:name="_Toc494721109"/>
      <w:bookmarkStart w:id="178" w:name="_Toc494665562"/>
      <w:bookmarkStart w:id="179" w:name="_Toc494702279"/>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说明：投标人应认真填写银行信息，与转帐或电汇银行凭证的相关信息一致，采购机构将依据此凭证信息查退投标保证金。</w:t>
      </w:r>
    </w:p>
    <w:p>
      <w:r>
        <w:br w:type="page"/>
      </w:r>
    </w:p>
    <w:p>
      <w:pPr>
        <w:pStyle w:val="3"/>
        <w:numPr>
          <w:ilvl w:val="0"/>
          <w:numId w:val="63"/>
        </w:numPr>
        <w:spacing w:before="100" w:beforeAutospacing="1" w:afterLines="50" w:line="360" w:lineRule="auto"/>
        <w:ind w:left="1288" w:hanging="1288"/>
        <w:rPr>
          <w:rFonts w:ascii="宋体" w:hAnsi="宋体" w:eastAsia="宋体"/>
        </w:rPr>
      </w:pPr>
      <w:bookmarkStart w:id="180" w:name="_Toc494745327"/>
      <w:bookmarkStart w:id="181" w:name="_Toc495861559"/>
      <w:bookmarkStart w:id="182" w:name="_Toc494665563"/>
      <w:bookmarkStart w:id="183" w:name="_Toc494721110"/>
      <w:bookmarkStart w:id="184" w:name="_Toc238276247"/>
      <w:bookmarkStart w:id="185" w:name="_Toc494665010"/>
      <w:bookmarkStart w:id="186" w:name="_Toc236473303"/>
      <w:bookmarkStart w:id="187" w:name="_Toc494702280"/>
      <w:bookmarkStart w:id="188" w:name="_Toc494665960"/>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63"/>
        </w:numPr>
        <w:spacing w:before="100" w:beforeAutospacing="1" w:afterLines="50" w:line="360" w:lineRule="auto"/>
        <w:ind w:left="1610" w:hanging="1610"/>
        <w:rPr>
          <w:rFonts w:ascii="宋体" w:hAnsi="宋体" w:eastAsia="宋体"/>
        </w:rPr>
      </w:pPr>
      <w:bookmarkStart w:id="189" w:name="_Toc494665564"/>
      <w:bookmarkStart w:id="190" w:name="_Toc236473304"/>
      <w:bookmarkStart w:id="191" w:name="_Toc494665961"/>
      <w:bookmarkStart w:id="192" w:name="_Toc494702281"/>
      <w:bookmarkStart w:id="193" w:name="_Toc494745328"/>
      <w:bookmarkStart w:id="194" w:name="_Toc495861560"/>
      <w:bookmarkStart w:id="195" w:name="_Toc494721111"/>
      <w:bookmarkStart w:id="196" w:name="_Toc238276248"/>
      <w:bookmarkStart w:id="197" w:name="_Toc494665011"/>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63"/>
        </w:numPr>
        <w:spacing w:before="100" w:beforeAutospacing="1" w:afterLines="50" w:line="360" w:lineRule="auto"/>
        <w:ind w:left="1610" w:hanging="1610"/>
        <w:rPr>
          <w:rFonts w:ascii="宋体" w:hAnsi="宋体" w:eastAsia="宋体"/>
        </w:rPr>
      </w:pPr>
      <w:bookmarkStart w:id="198" w:name="_Toc494702282"/>
      <w:bookmarkStart w:id="199" w:name="_Toc495861561"/>
      <w:bookmarkStart w:id="200" w:name="_Toc494665012"/>
      <w:bookmarkStart w:id="201" w:name="_Toc494721112"/>
      <w:bookmarkStart w:id="202" w:name="_Toc494665565"/>
      <w:bookmarkStart w:id="203" w:name="_Toc494665962"/>
      <w:bookmarkStart w:id="204" w:name="_Toc494745329"/>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05" w:name="_Toc494665963"/>
      <w:bookmarkStart w:id="206" w:name="_Toc494665566"/>
      <w:bookmarkStart w:id="207" w:name="_Toc236473307"/>
      <w:bookmarkStart w:id="208" w:name="_Toc238276251"/>
      <w:bookmarkStart w:id="209" w:name="_Toc494665013"/>
      <w:bookmarkStart w:id="210" w:name="_Toc494721113"/>
      <w:bookmarkStart w:id="211" w:name="_Toc495861562"/>
      <w:bookmarkStart w:id="212" w:name="_Toc494702283"/>
      <w:bookmarkStart w:id="213" w:name="_Toc494745330"/>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14" w:name="_Toc236473312"/>
      <w:bookmarkStart w:id="215" w:name="_Toc494665014"/>
      <w:bookmarkStart w:id="216" w:name="_Toc494721114"/>
      <w:bookmarkStart w:id="217" w:name="_Toc494745331"/>
      <w:bookmarkStart w:id="218" w:name="_Toc494702284"/>
      <w:bookmarkStart w:id="219" w:name="_Toc495861563"/>
      <w:bookmarkStart w:id="220" w:name="_Toc238276256"/>
      <w:bookmarkStart w:id="221" w:name="_Toc494665567"/>
      <w:bookmarkStart w:id="222" w:name="_Toc494665964"/>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23" w:name="_Toc495861564"/>
      <w:bookmarkStart w:id="224" w:name="_Toc494745332"/>
      <w:bookmarkStart w:id="225" w:name="_Toc494721115"/>
      <w:bookmarkStart w:id="226" w:name="_Toc494702285"/>
      <w:bookmarkStart w:id="227" w:name="_Toc494665015"/>
      <w:bookmarkStart w:id="228" w:name="_Toc494665965"/>
      <w:bookmarkStart w:id="229" w:name="_Toc494665568"/>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30" w:name="_Toc494665569"/>
      <w:bookmarkStart w:id="231" w:name="_Toc494702286"/>
      <w:bookmarkStart w:id="232" w:name="_Toc494665016"/>
      <w:bookmarkStart w:id="233" w:name="_Toc494745333"/>
      <w:bookmarkStart w:id="234" w:name="_Toc494665966"/>
      <w:bookmarkStart w:id="235" w:name="_Toc494721116"/>
      <w:bookmarkStart w:id="236" w:name="_Toc495861565"/>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37" w:name="_Toc495861566"/>
      <w:bookmarkStart w:id="238" w:name="_Toc494665967"/>
      <w:bookmarkStart w:id="239" w:name="_Toc494721117"/>
      <w:bookmarkStart w:id="240" w:name="_Toc494665570"/>
      <w:bookmarkStart w:id="241" w:name="_Toc494702287"/>
      <w:bookmarkStart w:id="242" w:name="_Toc494745334"/>
      <w:bookmarkStart w:id="243" w:name="_Toc494665017"/>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44" w:name="_Toc494665968"/>
      <w:bookmarkStart w:id="245" w:name="_Toc494665571"/>
      <w:bookmarkStart w:id="246" w:name="_Toc494745335"/>
      <w:bookmarkStart w:id="247" w:name="_Toc495861567"/>
      <w:bookmarkStart w:id="248" w:name="_Toc494665018"/>
      <w:bookmarkStart w:id="249" w:name="_Toc494721118"/>
      <w:bookmarkStart w:id="250" w:name="_Toc494702288"/>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51" w:name="_Toc494721119"/>
      <w:bookmarkStart w:id="252" w:name="_Toc494745336"/>
      <w:bookmarkStart w:id="253" w:name="_Toc494702289"/>
      <w:bookmarkStart w:id="254" w:name="_Toc494665572"/>
      <w:bookmarkStart w:id="255" w:name="_Toc494665019"/>
      <w:bookmarkStart w:id="256" w:name="_Toc495861568"/>
      <w:bookmarkStart w:id="257" w:name="_Toc494665969"/>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58" w:name="_Toc494665970"/>
      <w:bookmarkStart w:id="259" w:name="_Toc495861569"/>
      <w:bookmarkStart w:id="260" w:name="_Toc494702290"/>
      <w:bookmarkStart w:id="261" w:name="_Toc494745337"/>
      <w:bookmarkStart w:id="262" w:name="_Toc494665573"/>
      <w:bookmarkStart w:id="263" w:name="_Toc494665020"/>
      <w:bookmarkStart w:id="264" w:name="_Toc494721120"/>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63"/>
        </w:numPr>
        <w:spacing w:before="100" w:beforeAutospacing="1" w:afterLines="50" w:line="360" w:lineRule="auto"/>
        <w:ind w:left="1610" w:hanging="1610"/>
        <w:rPr>
          <w:rFonts w:ascii="宋体" w:hAnsi="宋体" w:eastAsia="宋体"/>
        </w:rPr>
      </w:pPr>
      <w:bookmarkStart w:id="266" w:name="_Toc494665971"/>
      <w:bookmarkStart w:id="267" w:name="_Toc494745338"/>
      <w:bookmarkStart w:id="268" w:name="_Toc495861570"/>
      <w:bookmarkStart w:id="269" w:name="_Toc494665574"/>
      <w:bookmarkStart w:id="270" w:name="_Toc494721121"/>
      <w:bookmarkStart w:id="271" w:name="_Toc494665021"/>
      <w:bookmarkStart w:id="272" w:name="_Toc494702291"/>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rPr>
      </w:pPr>
      <w:r>
        <w:rPr>
          <w:rFonts w:hint="eastAsia" w:ascii="宋体" w:hAnsi="宋体" w:eastAsia="宋体" w:cs="Times New Roman"/>
          <w:b/>
          <w:bCs/>
          <w:sz w:val="24"/>
          <w:szCs w:val="21"/>
          <w:lang w:val="zh-CN"/>
        </w:rPr>
        <w:t>投标</w:t>
      </w:r>
      <w:r>
        <w:rPr>
          <w:rFonts w:hint="eastAsia" w:hAnsi="宋体"/>
          <w:b/>
          <w:bCs/>
          <w:sz w:val="24"/>
        </w:rPr>
        <w:t>时间：</w:t>
      </w:r>
    </w:p>
    <w:p>
      <w:pPr>
        <w:spacing w:before="100" w:beforeAutospacing="1" w:after="100" w:afterAutospacing="1" w:line="360" w:lineRule="auto"/>
        <w:ind w:firstLine="3316" w:firstLineChars="1382"/>
        <w:rPr>
          <w:rFonts w:hAnsi="宋体"/>
          <w:b/>
          <w:bCs/>
          <w:sz w:val="24"/>
        </w:rPr>
      </w:pPr>
    </w:p>
    <w:p>
      <w:pPr>
        <w:spacing w:before="100" w:beforeAutospacing="1" w:after="100" w:afterAutospacing="1" w:line="360" w:lineRule="auto"/>
        <w:ind w:firstLine="3316" w:firstLineChars="1382"/>
        <w:rPr>
          <w:rFonts w:hAnsi="宋体"/>
          <w:b/>
          <w:bCs/>
          <w:sz w:val="24"/>
        </w:rPr>
      </w:pPr>
    </w:p>
    <w:p>
      <w:pPr>
        <w:spacing w:before="100" w:beforeAutospacing="1" w:after="100" w:afterAutospacing="1" w:line="360" w:lineRule="auto"/>
        <w:ind w:firstLine="3316" w:firstLineChars="1382"/>
        <w:rPr>
          <w:rFonts w:hAnsi="宋体"/>
          <w:b/>
          <w:bCs/>
          <w:sz w:val="24"/>
        </w:rPr>
      </w:pPr>
    </w:p>
    <w:p>
      <w:pPr>
        <w:pStyle w:val="3"/>
        <w:rPr>
          <w:rFonts w:ascii="Times New Roman" w:hAnsi="Times New Roman"/>
        </w:rPr>
      </w:pPr>
      <w:bookmarkStart w:id="273" w:name="_Toc495481952"/>
      <w:bookmarkStart w:id="274" w:name="_Toc17537"/>
      <w:r>
        <w:rPr>
          <w:rFonts w:ascii="Times New Roman" w:hAnsi="Times New Roman"/>
        </w:rPr>
        <w:t>附件</w:t>
      </w:r>
      <w:r>
        <w:rPr>
          <w:rFonts w:hint="eastAsia" w:ascii="Times New Roman" w:hAnsi="Times New Roman"/>
        </w:rPr>
        <w:t>22</w:t>
      </w:r>
      <w:r>
        <w:rPr>
          <w:rFonts w:ascii="Times New Roman" w:hAnsi="Times New Roman"/>
        </w:rPr>
        <w:t xml:space="preserve">  项目绩效考核实施细则</w:t>
      </w:r>
      <w:bookmarkEnd w:id="273"/>
      <w:bookmarkEnd w:id="274"/>
    </w:p>
    <w:p>
      <w:pPr>
        <w:ind w:firstLine="560" w:firstLineChars="200"/>
        <w:rPr>
          <w:sz w:val="28"/>
          <w:szCs w:val="28"/>
        </w:rPr>
      </w:pPr>
      <w:bookmarkStart w:id="275" w:name="_Toc3839"/>
      <w:r>
        <w:rPr>
          <w:sz w:val="28"/>
          <w:szCs w:val="28"/>
        </w:rPr>
        <w:t xml:space="preserve">一、 </w:t>
      </w:r>
      <w:bookmarkStart w:id="276" w:name="_Toc9821"/>
      <w:bookmarkStart w:id="277" w:name="_Toc24683"/>
      <w:r>
        <w:rPr>
          <w:sz w:val="28"/>
          <w:szCs w:val="28"/>
        </w:rPr>
        <w:t>可用性绩效考核</w:t>
      </w:r>
      <w:bookmarkEnd w:id="276"/>
      <w:bookmarkEnd w:id="277"/>
      <w:r>
        <w:rPr>
          <w:sz w:val="28"/>
          <w:szCs w:val="28"/>
        </w:rPr>
        <w:t>标准</w:t>
      </w:r>
      <w:bookmarkEnd w:id="275"/>
    </w:p>
    <w:p>
      <w:pPr>
        <w:ind w:firstLine="560" w:firstLineChars="200"/>
        <w:rPr>
          <w:rFonts w:eastAsia="新宋体"/>
          <w:sz w:val="28"/>
          <w:szCs w:val="28"/>
        </w:rPr>
      </w:pPr>
      <w:r>
        <w:rPr>
          <w:rFonts w:eastAsia="新宋体"/>
          <w:sz w:val="28"/>
          <w:szCs w:val="28"/>
        </w:rPr>
        <w:t>本项目可用性绩效考核标准如附表1所示。</w:t>
      </w:r>
    </w:p>
    <w:p>
      <w:pPr>
        <w:spacing w:beforeLines="50"/>
        <w:ind w:left="560"/>
        <w:jc w:val="center"/>
        <w:rPr>
          <w:rFonts w:eastAsia="黑体"/>
          <w:b/>
          <w:sz w:val="28"/>
          <w:szCs w:val="28"/>
        </w:rPr>
      </w:pPr>
      <w:r>
        <w:rPr>
          <w:rFonts w:eastAsia="黑体"/>
          <w:b/>
          <w:sz w:val="28"/>
          <w:szCs w:val="28"/>
        </w:rPr>
        <w:t>附表1  可用性绩效考核标准</w:t>
      </w:r>
    </w:p>
    <w:tbl>
      <w:tblPr>
        <w:tblStyle w:val="19"/>
        <w:tblW w:w="95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1196"/>
        <w:gridCol w:w="5387"/>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610" w:hRule="atLeast"/>
          <w:tblHeader/>
          <w:jc w:val="center"/>
        </w:trPr>
        <w:tc>
          <w:tcPr>
            <w:tcW w:w="1196"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指标类别</w:t>
            </w:r>
          </w:p>
        </w:tc>
        <w:tc>
          <w:tcPr>
            <w:tcW w:w="5387"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指标说明</w:t>
            </w:r>
          </w:p>
        </w:tc>
        <w:tc>
          <w:tcPr>
            <w:tcW w:w="2977" w:type="dxa"/>
            <w:shd w:val="clear" w:color="auto" w:fill="auto"/>
            <w:noWrap/>
            <w:vAlign w:val="center"/>
          </w:tcPr>
          <w:p>
            <w:pPr>
              <w:spacing w:line="400" w:lineRule="exact"/>
              <w:jc w:val="center"/>
              <w:rPr>
                <w:rFonts w:eastAsia="仿宋_GB2312"/>
                <w:b/>
                <w:sz w:val="24"/>
                <w:szCs w:val="28"/>
              </w:rPr>
            </w:pPr>
            <w:r>
              <w:rPr>
                <w:rFonts w:eastAsia="仿宋_GB2312"/>
                <w:b/>
                <w:sz w:val="24"/>
                <w:szCs w:val="28"/>
              </w:rPr>
              <w:t>考核说明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highlight w:val="yellow"/>
              </w:rPr>
            </w:pPr>
            <w:r>
              <w:rPr>
                <w:rFonts w:eastAsia="仿宋_GB2312"/>
                <w:sz w:val="24"/>
                <w:szCs w:val="28"/>
              </w:rPr>
              <w:t>资产数量</w:t>
            </w:r>
          </w:p>
        </w:tc>
        <w:tc>
          <w:tcPr>
            <w:tcW w:w="5387" w:type="dxa"/>
            <w:shd w:val="clear" w:color="auto" w:fill="auto"/>
            <w:noWrap/>
          </w:tcPr>
          <w:p>
            <w:pPr>
              <w:spacing w:line="400" w:lineRule="exact"/>
              <w:ind w:firstLine="480" w:firstLineChars="200"/>
              <w:rPr>
                <w:rFonts w:eastAsia="仿宋_GB2312"/>
                <w:sz w:val="24"/>
                <w:szCs w:val="28"/>
                <w:highlight w:val="yellow"/>
              </w:rPr>
            </w:pPr>
            <w:r>
              <w:rPr>
                <w:rFonts w:eastAsia="仿宋_GB2312"/>
                <w:sz w:val="24"/>
                <w:szCs w:val="28"/>
              </w:rPr>
              <w:t>污水处理厂</w:t>
            </w:r>
            <w:r>
              <w:rPr>
                <w:rFonts w:hint="eastAsia" w:eastAsia="仿宋_GB2312"/>
                <w:sz w:val="24"/>
                <w:szCs w:val="28"/>
              </w:rPr>
              <w:t>1</w:t>
            </w:r>
            <w:r>
              <w:rPr>
                <w:rFonts w:eastAsia="仿宋_GB2312"/>
                <w:sz w:val="24"/>
                <w:szCs w:val="28"/>
              </w:rPr>
              <w:t>座</w:t>
            </w:r>
            <w:r>
              <w:rPr>
                <w:rFonts w:hint="eastAsia" w:eastAsia="仿宋_GB2312"/>
                <w:sz w:val="24"/>
                <w:szCs w:val="28"/>
              </w:rPr>
              <w:t>，管网约57.6km</w:t>
            </w:r>
            <w:r>
              <w:rPr>
                <w:rFonts w:eastAsia="仿宋_GB2312"/>
                <w:sz w:val="24"/>
                <w:szCs w:val="28"/>
              </w:rPr>
              <w:t>。</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资产产出数量不符合要求的，不予验收。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资产质量</w:t>
            </w:r>
          </w:p>
        </w:tc>
        <w:tc>
          <w:tcPr>
            <w:tcW w:w="5387" w:type="dxa"/>
            <w:shd w:val="clear" w:color="auto" w:fill="auto"/>
            <w:noWrap/>
          </w:tcPr>
          <w:p>
            <w:pPr>
              <w:spacing w:line="400" w:lineRule="exact"/>
              <w:ind w:firstLine="480" w:firstLineChars="200"/>
              <w:rPr>
                <w:rFonts w:eastAsia="仿宋_GB2312"/>
                <w:sz w:val="24"/>
                <w:szCs w:val="28"/>
              </w:rPr>
            </w:pPr>
            <w:r>
              <w:rPr>
                <w:rFonts w:eastAsia="仿宋_GB2312"/>
                <w:sz w:val="24"/>
                <w:szCs w:val="28"/>
              </w:rPr>
              <w:t>污水处理厂：符合《城市污水处理工程项目建设标准》（2001年修订）、《民用建筑设计通则》、《城市污水处理厂工程质量验收规范》等规范。</w:t>
            </w:r>
          </w:p>
          <w:p>
            <w:pPr>
              <w:spacing w:line="400" w:lineRule="exact"/>
              <w:ind w:firstLine="480" w:firstLineChars="200"/>
              <w:rPr>
                <w:rFonts w:ascii="仿宋_GB2312" w:hAnsi="仿宋" w:eastAsia="仿宋_GB2312"/>
                <w:sz w:val="24"/>
                <w:szCs w:val="28"/>
              </w:rPr>
            </w:pPr>
            <w:r>
              <w:rPr>
                <w:rFonts w:hint="eastAsia" w:ascii="仿宋_GB2312" w:hAnsi="仿宋" w:eastAsia="仿宋_GB2312"/>
                <w:sz w:val="24"/>
                <w:szCs w:val="28"/>
              </w:rPr>
              <w:t>配套管网：符合《给排水管道工程施工及验收规范》、《给排水工程构筑物结构设计规范》等规范。</w:t>
            </w:r>
          </w:p>
          <w:p>
            <w:pPr>
              <w:spacing w:line="400" w:lineRule="exact"/>
              <w:ind w:firstLine="480" w:firstLineChars="200"/>
              <w:rPr>
                <w:rFonts w:eastAsia="仿宋_GB2312"/>
                <w:sz w:val="24"/>
                <w:szCs w:val="28"/>
              </w:rPr>
            </w:pPr>
            <w:r>
              <w:rPr>
                <w:rFonts w:hint="eastAsia" w:ascii="仿宋_GB2312" w:hAnsi="仿宋" w:eastAsia="仿宋_GB2312"/>
                <w:sz w:val="24"/>
                <w:szCs w:val="28"/>
              </w:rPr>
              <w:t>出水质量：《城镇污水处理厂污染物排放标准》(GB18918-2002)的一级A标准。</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污水处理厂建设不符合相关规范的，责令其整改，整改时间计入工期。</w:t>
            </w:r>
          </w:p>
          <w:p>
            <w:pPr>
              <w:spacing w:line="400" w:lineRule="exact"/>
              <w:ind w:firstLine="360" w:firstLineChars="150"/>
              <w:jc w:val="left"/>
              <w:rPr>
                <w:rFonts w:eastAsia="仿宋_GB2312"/>
                <w:sz w:val="24"/>
                <w:szCs w:val="28"/>
              </w:rPr>
            </w:pPr>
            <w:r>
              <w:rPr>
                <w:rFonts w:eastAsia="仿宋_GB2312"/>
                <w:sz w:val="24"/>
                <w:szCs w:val="28"/>
              </w:rPr>
              <w:t>出水质量各指标经第三方检测不能满足要求的，不予验收。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建设工期</w:t>
            </w:r>
          </w:p>
        </w:tc>
        <w:tc>
          <w:tcPr>
            <w:tcW w:w="5387" w:type="dxa"/>
            <w:shd w:val="clear" w:color="auto" w:fill="auto"/>
            <w:noWrap/>
          </w:tcPr>
          <w:p>
            <w:pPr>
              <w:spacing w:line="400" w:lineRule="exact"/>
              <w:ind w:firstLine="480" w:firstLineChars="200"/>
              <w:rPr>
                <w:rFonts w:eastAsia="仿宋_GB2312"/>
                <w:sz w:val="24"/>
                <w:szCs w:val="28"/>
              </w:rPr>
            </w:pPr>
            <w:r>
              <w:rPr>
                <w:rFonts w:eastAsia="仿宋_GB2312"/>
                <w:sz w:val="24"/>
                <w:szCs w:val="28"/>
              </w:rPr>
              <w:t>开工日：实际开工时间以监理工程师的开工令为准。竣工日：以竣工验收通过当日为准。</w:t>
            </w:r>
          </w:p>
        </w:tc>
        <w:tc>
          <w:tcPr>
            <w:tcW w:w="2977" w:type="dxa"/>
            <w:shd w:val="clear" w:color="auto" w:fill="auto"/>
            <w:noWrap/>
          </w:tcPr>
          <w:p>
            <w:pPr>
              <w:spacing w:line="400" w:lineRule="exact"/>
              <w:ind w:firstLine="360" w:firstLineChars="150"/>
              <w:jc w:val="left"/>
              <w:rPr>
                <w:rFonts w:eastAsia="仿宋_GB2312"/>
                <w:sz w:val="24"/>
                <w:szCs w:val="28"/>
              </w:rPr>
            </w:pPr>
            <w:r>
              <w:rPr>
                <w:rFonts w:eastAsia="仿宋_GB2312"/>
                <w:sz w:val="24"/>
                <w:szCs w:val="28"/>
              </w:rPr>
              <w:t>延误建设期限的，按合同约定，收取违约金。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资金使用</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建立完善的财务制度，并定期将资金使用情况以书面形式向政府方报告。</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对超出预算的部分由项目公司自行解决；对节约建设成本的按照一定比例给予奖励。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环境保护</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符合《建设项目环境保护条例》、《建设项目竣工环境保护验收管理办法》等。</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不符合环保相关管理办法的，不予验收。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安全生产</w:t>
            </w:r>
          </w:p>
        </w:tc>
        <w:tc>
          <w:tcPr>
            <w:tcW w:w="5387" w:type="dxa"/>
            <w:shd w:val="clear" w:color="auto" w:fill="auto"/>
            <w:noWrap/>
            <w:vAlign w:val="center"/>
          </w:tcPr>
          <w:p>
            <w:pPr>
              <w:spacing w:line="400" w:lineRule="exact"/>
              <w:ind w:firstLine="480" w:firstLineChars="200"/>
              <w:rPr>
                <w:rFonts w:eastAsia="仿宋_GB2312"/>
                <w:sz w:val="24"/>
                <w:szCs w:val="28"/>
              </w:rPr>
            </w:pPr>
            <w:r>
              <w:rPr>
                <w:rFonts w:eastAsia="仿宋_GB2312"/>
                <w:sz w:val="24"/>
                <w:szCs w:val="28"/>
              </w:rPr>
              <w:t>符合《建筑施工安全检查标准》、《建筑施工安全技术规范》等。</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不符合相关标准规范的，不予验收。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18" w:hRule="atLeast"/>
          <w:jc w:val="center"/>
        </w:trPr>
        <w:tc>
          <w:tcPr>
            <w:tcW w:w="1196" w:type="dxa"/>
            <w:shd w:val="clear" w:color="auto" w:fill="auto"/>
            <w:noWrap/>
            <w:vAlign w:val="center"/>
          </w:tcPr>
          <w:p>
            <w:pPr>
              <w:spacing w:line="400" w:lineRule="exact"/>
              <w:jc w:val="center"/>
              <w:rPr>
                <w:rFonts w:eastAsia="仿宋_GB2312"/>
                <w:sz w:val="24"/>
                <w:szCs w:val="28"/>
              </w:rPr>
            </w:pPr>
            <w:r>
              <w:rPr>
                <w:rFonts w:eastAsia="仿宋_GB2312"/>
                <w:sz w:val="24"/>
                <w:szCs w:val="28"/>
              </w:rPr>
              <w:t>社会影响</w:t>
            </w:r>
          </w:p>
        </w:tc>
        <w:tc>
          <w:tcPr>
            <w:tcW w:w="5387" w:type="dxa"/>
            <w:shd w:val="clear" w:color="auto" w:fill="auto"/>
            <w:noWrap/>
            <w:vAlign w:val="center"/>
          </w:tcPr>
          <w:p>
            <w:pPr>
              <w:spacing w:line="400" w:lineRule="exact"/>
              <w:rPr>
                <w:rFonts w:eastAsia="仿宋_GB2312"/>
                <w:sz w:val="24"/>
                <w:szCs w:val="28"/>
              </w:rPr>
            </w:pPr>
            <w:r>
              <w:rPr>
                <w:rFonts w:eastAsia="仿宋_GB2312"/>
                <w:sz w:val="24"/>
                <w:szCs w:val="28"/>
              </w:rPr>
              <w:t>开展对社会影响的调研，调查对项目建设的满意度。</w:t>
            </w:r>
          </w:p>
        </w:tc>
        <w:tc>
          <w:tcPr>
            <w:tcW w:w="2977" w:type="dxa"/>
            <w:shd w:val="clear" w:color="auto" w:fill="auto"/>
            <w:noWrap/>
            <w:vAlign w:val="center"/>
          </w:tcPr>
          <w:p>
            <w:pPr>
              <w:spacing w:line="400" w:lineRule="exact"/>
              <w:ind w:firstLine="360" w:firstLineChars="150"/>
              <w:rPr>
                <w:rFonts w:eastAsia="仿宋_GB2312"/>
                <w:sz w:val="24"/>
                <w:szCs w:val="28"/>
              </w:rPr>
            </w:pPr>
            <w:r>
              <w:rPr>
                <w:rFonts w:eastAsia="仿宋_GB2312"/>
                <w:sz w:val="24"/>
                <w:szCs w:val="28"/>
              </w:rPr>
              <w:t>社会满意度低，导致群体事件的，除相应处罚外，追加责任。</w:t>
            </w:r>
          </w:p>
        </w:tc>
      </w:tr>
    </w:tbl>
    <w:p>
      <w:pPr>
        <w:ind w:firstLine="560" w:firstLineChars="200"/>
        <w:rPr>
          <w:sz w:val="28"/>
          <w:szCs w:val="28"/>
        </w:rPr>
      </w:pPr>
      <w:bookmarkStart w:id="278" w:name="_Toc7330"/>
    </w:p>
    <w:p>
      <w:pPr>
        <w:ind w:firstLine="560" w:firstLineChars="200"/>
        <w:rPr>
          <w:sz w:val="28"/>
          <w:szCs w:val="28"/>
        </w:rPr>
      </w:pPr>
    </w:p>
    <w:p>
      <w:pPr>
        <w:ind w:firstLine="560" w:firstLineChars="200"/>
        <w:rPr>
          <w:sz w:val="28"/>
          <w:szCs w:val="28"/>
        </w:rPr>
      </w:pPr>
      <w:r>
        <w:rPr>
          <w:sz w:val="28"/>
          <w:szCs w:val="28"/>
        </w:rPr>
        <w:t>二、运维绩效考核标准</w:t>
      </w:r>
      <w:bookmarkEnd w:id="278"/>
    </w:p>
    <w:p>
      <w:pPr>
        <w:ind w:firstLine="560"/>
        <w:jc w:val="left"/>
        <w:rPr>
          <w:sz w:val="24"/>
          <w:szCs w:val="24"/>
        </w:rPr>
      </w:pPr>
      <w:r>
        <w:rPr>
          <w:sz w:val="24"/>
          <w:szCs w:val="24"/>
        </w:rPr>
        <w:t>本项目运维绩效考核标准如附表2所示。进入运营期后，根据实际运营情况需对该标准进行调整的，经甲乙双方同意，可进行适当调整。</w:t>
      </w:r>
    </w:p>
    <w:p>
      <w:pPr>
        <w:ind w:firstLine="560"/>
        <w:jc w:val="center"/>
        <w:rPr>
          <w:rFonts w:eastAsia="黑体"/>
          <w:b/>
          <w:bCs/>
          <w:sz w:val="28"/>
          <w:szCs w:val="28"/>
        </w:rPr>
      </w:pPr>
      <w:r>
        <w:rPr>
          <w:rFonts w:eastAsia="黑体"/>
          <w:b/>
          <w:bCs/>
          <w:sz w:val="28"/>
          <w:szCs w:val="28"/>
        </w:rPr>
        <w:t>附表2  项目运维绩效考核标准</w:t>
      </w:r>
    </w:p>
    <w:p>
      <w:pPr>
        <w:jc w:val="center"/>
        <w:rPr>
          <w:rFonts w:eastAsia="仿宋_GB2312"/>
          <w:b/>
          <w:sz w:val="28"/>
          <w:szCs w:val="32"/>
        </w:rPr>
      </w:pPr>
      <w:r>
        <w:rPr>
          <w:rFonts w:eastAsia="仿宋_GB2312"/>
          <w:b/>
          <w:sz w:val="28"/>
          <w:szCs w:val="32"/>
        </w:rPr>
        <w:t>污水处理厂运维绩效考核指标表</w:t>
      </w:r>
    </w:p>
    <w:tbl>
      <w:tblPr>
        <w:tblStyle w:val="19"/>
        <w:tblW w:w="102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817"/>
        <w:gridCol w:w="817"/>
        <w:gridCol w:w="1508"/>
        <w:gridCol w:w="618"/>
        <w:gridCol w:w="5954"/>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817" w:type="dxa"/>
            <w:shd w:val="clear" w:color="auto" w:fill="auto"/>
            <w:noWrap/>
            <w:vAlign w:val="center"/>
          </w:tcPr>
          <w:p>
            <w:pPr>
              <w:widowControl/>
              <w:jc w:val="center"/>
              <w:rPr>
                <w:rFonts w:eastAsia="仿宋_GB2312"/>
                <w:b/>
                <w:color w:val="000000"/>
                <w:sz w:val="22"/>
              </w:rPr>
            </w:pPr>
            <w:r>
              <w:rPr>
                <w:rFonts w:eastAsia="仿宋_GB2312"/>
                <w:b/>
                <w:color w:val="000000"/>
                <w:sz w:val="22"/>
              </w:rPr>
              <w:t>序号</w:t>
            </w:r>
          </w:p>
        </w:tc>
        <w:tc>
          <w:tcPr>
            <w:tcW w:w="817" w:type="dxa"/>
            <w:shd w:val="clear" w:color="auto" w:fill="auto"/>
            <w:noWrap/>
            <w:vAlign w:val="center"/>
          </w:tcPr>
          <w:p>
            <w:pPr>
              <w:widowControl/>
              <w:jc w:val="center"/>
              <w:rPr>
                <w:rFonts w:eastAsia="仿宋_GB2312"/>
                <w:b/>
                <w:color w:val="000000"/>
                <w:sz w:val="22"/>
              </w:rPr>
            </w:pPr>
            <w:r>
              <w:rPr>
                <w:rFonts w:eastAsia="仿宋_GB2312"/>
                <w:b/>
                <w:color w:val="000000"/>
                <w:sz w:val="22"/>
              </w:rPr>
              <w:t>项目</w:t>
            </w:r>
          </w:p>
        </w:tc>
        <w:tc>
          <w:tcPr>
            <w:tcW w:w="1508" w:type="dxa"/>
            <w:shd w:val="clear" w:color="auto" w:fill="auto"/>
            <w:noWrap/>
            <w:vAlign w:val="center"/>
          </w:tcPr>
          <w:p>
            <w:pPr>
              <w:widowControl/>
              <w:jc w:val="center"/>
              <w:rPr>
                <w:rFonts w:eastAsia="仿宋_GB2312"/>
                <w:b/>
                <w:color w:val="000000"/>
                <w:sz w:val="22"/>
              </w:rPr>
            </w:pPr>
            <w:r>
              <w:rPr>
                <w:rFonts w:eastAsia="仿宋_GB2312"/>
                <w:b/>
                <w:color w:val="000000"/>
                <w:sz w:val="22"/>
              </w:rPr>
              <w:t>考核内容</w:t>
            </w:r>
          </w:p>
        </w:tc>
        <w:tc>
          <w:tcPr>
            <w:tcW w:w="618" w:type="dxa"/>
            <w:shd w:val="clear" w:color="auto" w:fill="auto"/>
            <w:noWrap/>
            <w:vAlign w:val="center"/>
          </w:tcPr>
          <w:p>
            <w:pPr>
              <w:widowControl/>
              <w:jc w:val="center"/>
              <w:rPr>
                <w:rFonts w:eastAsia="仿宋_GB2312"/>
                <w:b/>
                <w:color w:val="000000"/>
                <w:sz w:val="22"/>
              </w:rPr>
            </w:pPr>
            <w:r>
              <w:rPr>
                <w:rFonts w:eastAsia="仿宋_GB2312"/>
                <w:b/>
                <w:color w:val="000000"/>
                <w:sz w:val="22"/>
              </w:rPr>
              <w:t>分值</w:t>
            </w:r>
          </w:p>
        </w:tc>
        <w:tc>
          <w:tcPr>
            <w:tcW w:w="5954" w:type="dxa"/>
            <w:shd w:val="clear" w:color="auto" w:fill="auto"/>
            <w:noWrap/>
            <w:vAlign w:val="center"/>
          </w:tcPr>
          <w:p>
            <w:pPr>
              <w:widowControl/>
              <w:jc w:val="center"/>
              <w:rPr>
                <w:rFonts w:eastAsia="仿宋_GB2312"/>
                <w:b/>
                <w:color w:val="000000"/>
                <w:sz w:val="22"/>
              </w:rPr>
            </w:pPr>
            <w:r>
              <w:rPr>
                <w:rFonts w:eastAsia="仿宋_GB2312"/>
                <w:b/>
                <w:color w:val="000000"/>
                <w:sz w:val="22"/>
              </w:rPr>
              <w:t>评分标准</w:t>
            </w:r>
          </w:p>
        </w:tc>
        <w:tc>
          <w:tcPr>
            <w:tcW w:w="567" w:type="dxa"/>
            <w:noWrap/>
            <w:vAlign w:val="center"/>
          </w:tcPr>
          <w:p>
            <w:pPr>
              <w:widowControl/>
              <w:jc w:val="center"/>
              <w:rPr>
                <w:rFonts w:eastAsia="仿宋_GB2312"/>
                <w:b/>
                <w:color w:val="000000"/>
                <w:sz w:val="22"/>
              </w:rPr>
            </w:pPr>
            <w:r>
              <w:rPr>
                <w:rFonts w:eastAsia="仿宋_GB2312"/>
                <w:b/>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一</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人员管理（8分）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法定代表人及厂长</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rPr>
                <w:rFonts w:eastAsia="仿宋_GB2312"/>
                <w:color w:val="000000"/>
                <w:sz w:val="22"/>
              </w:rPr>
            </w:pPr>
            <w:r>
              <w:rPr>
                <w:rFonts w:eastAsia="仿宋_GB2312"/>
                <w:color w:val="000000"/>
                <w:sz w:val="22"/>
              </w:rPr>
              <w:t>法人代表及厂长（经理）未持有由各地、市级以上安监局及中国水协等部门颁发的安全职业资格证书，扣1分</w:t>
            </w:r>
          </w:p>
        </w:tc>
        <w:tc>
          <w:tcPr>
            <w:tcW w:w="567" w:type="dxa"/>
            <w:vMerge w:val="restart"/>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rPr>
                <w:rFonts w:eastAsia="仿宋_GB2312"/>
                <w:color w:val="000000"/>
                <w:sz w:val="22"/>
              </w:rPr>
            </w:pPr>
            <w:r>
              <w:rPr>
                <w:rFonts w:eastAsia="仿宋_GB2312"/>
                <w:color w:val="000000"/>
                <w:sz w:val="22"/>
              </w:rPr>
              <w:t>工艺管理人员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rPr>
                <w:rFonts w:eastAsia="仿宋_GB2312"/>
                <w:color w:val="000000"/>
                <w:sz w:val="22"/>
              </w:rPr>
            </w:pPr>
            <w:r>
              <w:rPr>
                <w:rFonts w:eastAsia="仿宋_GB2312"/>
                <w:color w:val="000000"/>
                <w:sz w:val="22"/>
              </w:rPr>
              <w:t>未配有专职生产、工艺管理人员，扣0.5分；从岗一年以上的工艺管理人员无对应技术专业及职称，扣0.5分。</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rPr>
                <w:rFonts w:eastAsia="仿宋_GB2312"/>
                <w:color w:val="000000"/>
                <w:sz w:val="22"/>
              </w:rPr>
            </w:pPr>
            <w:r>
              <w:rPr>
                <w:rFonts w:eastAsia="仿宋_GB2312"/>
                <w:color w:val="000000"/>
                <w:sz w:val="22"/>
              </w:rPr>
              <w:t>人员配备不满足处理规模要求，扣1分；生产人员占比低于65%，扣1分。</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运行操作人员</w:t>
            </w:r>
          </w:p>
        </w:tc>
        <w:tc>
          <w:tcPr>
            <w:tcW w:w="618" w:type="dxa"/>
            <w:shd w:val="clear" w:color="auto" w:fill="auto"/>
            <w:noWrap/>
            <w:vAlign w:val="center"/>
          </w:tcPr>
          <w:p>
            <w:pPr>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rPr>
                <w:rFonts w:eastAsia="仿宋_GB2312"/>
                <w:color w:val="000000"/>
                <w:sz w:val="22"/>
              </w:rPr>
            </w:pPr>
            <w:r>
              <w:rPr>
                <w:rFonts w:eastAsia="仿宋_GB2312"/>
                <w:color w:val="000000"/>
                <w:sz w:val="22"/>
              </w:rPr>
              <w:t>运营操作人员持岗上证率得分=2*持证率；持证率=（持证人员数/操作人员总数）</w:t>
            </w:r>
          </w:p>
        </w:tc>
        <w:tc>
          <w:tcPr>
            <w:tcW w:w="567" w:type="dxa"/>
            <w:vMerge w:val="continue"/>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运行管理机构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运行管理机构未配置或不健全的，扣1分。</w:t>
            </w:r>
          </w:p>
        </w:tc>
        <w:tc>
          <w:tcPr>
            <w:tcW w:w="567" w:type="dxa"/>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岗位职责</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岗位职责未制定或不健全的，扣1分。</w:t>
            </w:r>
          </w:p>
        </w:tc>
        <w:tc>
          <w:tcPr>
            <w:tcW w:w="567" w:type="dxa"/>
            <w:noWrap/>
            <w:vAlign w:val="center"/>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二</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工艺运行管理（25分）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工艺运行管理技术规程和工艺技术参数</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未明确、细分各生产工艺环节，扣1分；各工艺环节指定负责人，扣1分；变配电、化验、污泥处理、消毒等各工艺环节未明确技术规程，每缺一项扣0.5分，最高扣2分； </w:t>
            </w:r>
          </w:p>
          <w:p>
            <w:pPr>
              <w:widowControl/>
              <w:rPr>
                <w:rFonts w:eastAsia="仿宋_GB2312"/>
                <w:color w:val="000000"/>
                <w:sz w:val="22"/>
              </w:rPr>
            </w:pPr>
            <w:r>
              <w:rPr>
                <w:rFonts w:eastAsia="仿宋_GB2312"/>
                <w:color w:val="000000"/>
                <w:sz w:val="22"/>
              </w:rPr>
              <w:t>工艺技术控制参数未上墙扣1分。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检修和停水年度计划</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未制定年度分组检修和更新改造停水计划扣3分，其中计划不规范、欠完善，扣1分；全年正常运行天数低于347天，扣2分。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厂区噪音控制和臭味控制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噪音超过65分贝扣1分，有明显臭味扣1分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运行记录和统计报表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运行记录和统计报表不完整、不规范扣1分；生产运行数据不合理扣1分；计算机记录未备份扣1分。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生产运行过程控制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生化池未配置溶氧仪等对工艺调控起指导作用的在线仪表扣1分，管理不善的扣0.5分；未按要求对生化池污泥SV、SVI、MLSS和微生物镜检等分析的，每项次扣1分，最多扣3分；未按要求在中控室显示出厂水流量、脱水前的进泥量、出厂水COD、氨氮（以N计）、总磷（以P计）、生化池表面曝气机电流（或鼓风机风量）、溶解氧、污泥浓度及采用SBR工艺的生化池液位，并形成曲线图，每缺一项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生产运行实际情况</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bottom"/>
          </w:tcPr>
          <w:p>
            <w:pPr>
              <w:widowControl/>
              <w:rPr>
                <w:rFonts w:eastAsia="仿宋_GB2312"/>
                <w:color w:val="000000"/>
                <w:sz w:val="22"/>
              </w:rPr>
            </w:pPr>
            <w:r>
              <w:rPr>
                <w:rFonts w:eastAsia="仿宋_GB2312"/>
                <w:color w:val="000000"/>
                <w:sz w:val="22"/>
              </w:rPr>
              <w:t>根据统计报表检查污水处理量、污泥处理量、自来水用水量、电耗、药耗等记录情况，是否与实际吻合，每发现一次不吻合扣1分。最高扣5分。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生产运行成本分析</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未进行季度生产运行成本分析的，扣0.5分。最高扣2分。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三</w:t>
            </w:r>
          </w:p>
        </w:tc>
        <w:tc>
          <w:tcPr>
            <w:tcW w:w="817" w:type="dxa"/>
            <w:vMerge w:val="restart"/>
            <w:shd w:val="clear" w:color="auto" w:fill="auto"/>
            <w:noWrap/>
            <w:vAlign w:val="center"/>
          </w:tcPr>
          <w:p>
            <w:pPr>
              <w:rPr>
                <w:rFonts w:eastAsia="仿宋_GB2312"/>
                <w:color w:val="000000"/>
                <w:sz w:val="22"/>
              </w:rPr>
            </w:pPr>
            <w:r>
              <w:rPr>
                <w:rFonts w:eastAsia="仿宋_GB2312"/>
                <w:color w:val="000000"/>
                <w:sz w:val="22"/>
              </w:rPr>
              <w:t>水质管理（22分）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水质检测化验机构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未设置水质检测化验机构扣1分；功能室设置和仪器设备不能满足检测要求的，扣1分；不能自检的检测项目未委托检测的，扣1分；未建立实验室质量控制体系，扣1分；危险化学品和剧毒品管理不规范，扣0.5-1分。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在线监控水质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排放口未安装COD、TP、氨氮、pH等主要水质指标的在线监测装置，不得分；在线监测数据未与环保部门监控平台联通且未通过有效性校核的，扣1分；所抽查的在线监测装置记录数据与所汇报资料相差较大，扣0.5分；无环保部门日常监督性监测数据和检查报告，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取样和保管</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水样取样不规范扣1分，保管不规范扣1分。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COD削减率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得分=3×实际COD削减率/设计COD削减率，最高分为3分；COD削减率=（COD年平均进水浓度－COD年平均出水浓度）/COD年平均进水浓度</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水质综合合格率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5</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根据设计出水标准，CODCr、BOD5、氨氮、总磷、SS各项综合合格率=100%，得满分，有一项不达标为一天不达标，一天不达标扣0.1分，最高扣5分。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排放标准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出水水质不符合《城镇污水处理厂污染物排放标准》（GB18918）和环保部门环评批复要求进行的，扣2分。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检测周期和检测报表</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检测周期未按要求执行的，扣1分，检测报表不完整、记录不规范扣1分，检测报表不真实，扣1分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四</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污泥管理（5分）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污泥处置含水率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月平均脱水后污泥含水率超过80%,每月扣0.5分，最高扣1分。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污泥安全处置率</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污泥安全处置率100%得2分；不足100%的按2×污泥安全处置率计算；污泥安全处置率=[处置总量（干化、焚烧、卫生填埋、堆肥等污泥安全稳定化处置或资源化利用）/生成污泥总量]×100%。</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 xml:space="preserve">污泥处置制度及运行记录 </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污泥外运处置未实行污泥转运联单制度，每次扣0.5分，最高扣1分；运行记录和统计报表不完整或记录不规范，每处扣0.5分，最高扣1分。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五</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设备管理（10分）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设备管理人员及管理制度</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未设置设备管理专员扣1分；设备润滑、大中小修管理制度未制订或不健全的，扣1分。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设备完好率统计表和设备日常检查维护统计</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设备完好率统计表不完整、不规范每处扣0.5分，最多扣1分；无设备日常巡视检查维护记录，扣1分，检查维护记录不全，扣0.5分。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vMerge w:val="restart"/>
            <w:shd w:val="clear" w:color="auto" w:fill="auto"/>
            <w:noWrap/>
            <w:vAlign w:val="center"/>
          </w:tcPr>
          <w:p>
            <w:pPr>
              <w:widowControl/>
              <w:rPr>
                <w:rFonts w:eastAsia="仿宋_GB2312"/>
                <w:color w:val="000000"/>
                <w:sz w:val="22"/>
              </w:rPr>
            </w:pPr>
            <w:r>
              <w:rPr>
                <w:rFonts w:eastAsia="仿宋_GB2312"/>
                <w:color w:val="000000"/>
                <w:sz w:val="22"/>
              </w:rPr>
              <w:t>设备及设施运行状况</w:t>
            </w:r>
          </w:p>
        </w:tc>
        <w:tc>
          <w:tcPr>
            <w:tcW w:w="618"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4</w:t>
            </w:r>
          </w:p>
        </w:tc>
        <w:tc>
          <w:tcPr>
            <w:tcW w:w="5954" w:type="dxa"/>
            <w:vMerge w:val="restart"/>
            <w:shd w:val="clear" w:color="auto" w:fill="auto"/>
            <w:noWrap/>
            <w:vAlign w:val="center"/>
          </w:tcPr>
          <w:p>
            <w:pPr>
              <w:rPr>
                <w:rFonts w:eastAsia="仿宋_GB2312"/>
                <w:color w:val="000000"/>
                <w:sz w:val="22"/>
              </w:rPr>
            </w:pPr>
            <w:r>
              <w:rPr>
                <w:rFonts w:eastAsia="仿宋_GB2312"/>
                <w:color w:val="000000"/>
                <w:sz w:val="22"/>
              </w:rPr>
              <w:t>设备外观整洁；螺栓齐全牢固；油漆良好无锈蚀；设备无腐蚀，润滑充分；仪器仪表准确灵敏；附属设备工作正常；整机运行平稳可靠；使用高效节能设备；设施、设备的油箱、水泵、管道等无跑、冒、滴、漏现象；设备完好率应≥95%。设备完好率＜95%，扣2分；设备一处达不到要求扣0.1分，最高扣1分；污水、污泥处理设施不具备或未开展正常生产，且无合理理由，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vMerge w:val="continue"/>
            <w:shd w:val="clear" w:color="auto" w:fill="auto"/>
            <w:noWrap/>
            <w:vAlign w:val="center"/>
          </w:tcPr>
          <w:p>
            <w:pPr>
              <w:widowControl/>
              <w:rPr>
                <w:rFonts w:eastAsia="仿宋_GB2312"/>
                <w:color w:val="000000"/>
                <w:sz w:val="22"/>
              </w:rPr>
            </w:pPr>
          </w:p>
        </w:tc>
        <w:tc>
          <w:tcPr>
            <w:tcW w:w="618" w:type="dxa"/>
            <w:vMerge w:val="continue"/>
            <w:shd w:val="clear" w:color="auto" w:fill="auto"/>
            <w:noWrap/>
            <w:vAlign w:val="center"/>
          </w:tcPr>
          <w:p>
            <w:pPr>
              <w:widowControl/>
              <w:jc w:val="center"/>
              <w:rPr>
                <w:rFonts w:eastAsia="仿宋_GB2312"/>
                <w:color w:val="000000"/>
                <w:sz w:val="22"/>
              </w:rPr>
            </w:pPr>
          </w:p>
        </w:tc>
        <w:tc>
          <w:tcPr>
            <w:tcW w:w="5954" w:type="dxa"/>
            <w:vMerge w:val="continue"/>
            <w:shd w:val="clear" w:color="auto" w:fill="auto"/>
            <w:noWrap/>
            <w:vAlign w:val="center"/>
          </w:tcPr>
          <w:p>
            <w:pPr>
              <w:widowControl/>
              <w:rPr>
                <w:rFonts w:eastAsia="仿宋_GB2312"/>
                <w:color w:val="000000"/>
                <w:sz w:val="22"/>
              </w:rPr>
            </w:pP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自控及在线仪表运行状况</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污水处理中控系统不能正常使用的不得分；控制操作、显示、数据管理、报警、打印、在线仪表等功能，一处不正常扣0.2分，扣完为止。</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六</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安全管理（10分）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安全管理制度及安全生产责任书</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无安全管理制度或不健全，安全管理制度未上墙，扣1分；无逐级签订安全生产责任书，责任未落实，扣1分； </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安全管理人员及管理机构</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未配有专（兼）职安全管理人员、未健全三级安全管理机构各扣1分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安全设施、设备管理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4</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未按规定设置消防器材、定位图、逃生示意图等标志，每一处扣0.5分，最多扣2分；未定期检查或更新安全防护用品的，扣1分；电气设备和特种设备未取得相应的证书或检定报告书，缺一项，扣1分。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应急预案、安全教育培训及其他</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未建立安全应急预案，扣1分；无具体的安全培训计划，扣0.5分；未建立完善的治安管理系统，扣0.5分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七</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厂容厂貌管理（5分）</w:t>
            </w: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建筑物外观、道路、路网、绿化养护</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场区内构筑物和建筑物外观不整洁、池面不干净或有异物，每处扣0.5分；道路不完好、不整洁，路网没有满足安全生产需要，每处扣0.5分；绿化养护未到位，每处扣0.5分。最高扣2分。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生产和办公场所、污水厂简介、工艺流程和效果图</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生产和办公场所不整洁，物品摆放不整齐，每处扣0.5分；污水处理厂简介、工艺流程和效果图未上墙</w:t>
            </w:r>
          </w:p>
          <w:p>
            <w:pPr>
              <w:widowControl/>
              <w:rPr>
                <w:rFonts w:eastAsia="仿宋_GB2312"/>
                <w:color w:val="000000"/>
                <w:sz w:val="22"/>
              </w:rPr>
            </w:pPr>
            <w:r>
              <w:rPr>
                <w:rFonts w:eastAsia="仿宋_GB2312"/>
                <w:color w:val="000000"/>
                <w:sz w:val="22"/>
              </w:rPr>
              <w:t>扣1分。最高扣1分。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tcPr>
          <w:p>
            <w:pPr>
              <w:widowControl/>
              <w:rPr>
                <w:rFonts w:eastAsia="仿宋_GB2312"/>
                <w:color w:val="000000"/>
                <w:sz w:val="22"/>
              </w:rPr>
            </w:pPr>
            <w:r>
              <w:rPr>
                <w:rFonts w:eastAsia="仿宋_GB2312"/>
                <w:color w:val="000000"/>
                <w:sz w:val="22"/>
              </w:rPr>
              <w:t>管道、井盖、</w:t>
            </w:r>
          </w:p>
          <w:p>
            <w:pPr>
              <w:widowControl/>
              <w:rPr>
                <w:rFonts w:eastAsia="仿宋_GB2312"/>
                <w:color w:val="000000"/>
                <w:sz w:val="22"/>
              </w:rPr>
            </w:pPr>
            <w:r>
              <w:rPr>
                <w:rFonts w:eastAsia="仿宋_GB2312"/>
                <w:color w:val="000000"/>
                <w:sz w:val="22"/>
              </w:rPr>
              <w:t>管阀、管件</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2</w:t>
            </w:r>
          </w:p>
        </w:tc>
        <w:tc>
          <w:tcPr>
            <w:tcW w:w="5954" w:type="dxa"/>
            <w:shd w:val="clear" w:color="auto" w:fill="auto"/>
            <w:noWrap/>
          </w:tcPr>
          <w:p>
            <w:pPr>
              <w:widowControl/>
              <w:rPr>
                <w:rFonts w:eastAsia="仿宋_GB2312"/>
                <w:color w:val="000000"/>
                <w:sz w:val="22"/>
              </w:rPr>
            </w:pPr>
            <w:r>
              <w:rPr>
                <w:rFonts w:eastAsia="仿宋_GB2312"/>
                <w:color w:val="000000"/>
                <w:sz w:val="22"/>
              </w:rPr>
              <w:t>管道有破损泄漏，阀门井和计量井等井盖不完好，井内有杂物、积泥和积水，每处扣0.5分；阀门井和计量井等井内和露地管阀、管件有缺损，有明显锈蚀，每处扣0.5分。最高扣2分。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shd w:val="clear" w:color="auto" w:fill="auto"/>
            <w:noWrap/>
            <w:vAlign w:val="center"/>
          </w:tcPr>
          <w:p>
            <w:pPr>
              <w:widowControl/>
              <w:jc w:val="center"/>
              <w:rPr>
                <w:rFonts w:eastAsia="仿宋_GB2312"/>
                <w:color w:val="000000"/>
                <w:sz w:val="22"/>
              </w:rPr>
            </w:pPr>
            <w:r>
              <w:rPr>
                <w:rFonts w:eastAsia="仿宋_GB2312"/>
                <w:color w:val="000000"/>
                <w:sz w:val="22"/>
              </w:rPr>
              <w:t>八</w:t>
            </w:r>
          </w:p>
        </w:tc>
        <w:tc>
          <w:tcPr>
            <w:tcW w:w="817" w:type="dxa"/>
            <w:vMerge w:val="restart"/>
            <w:shd w:val="clear" w:color="auto" w:fill="auto"/>
            <w:noWrap/>
            <w:vAlign w:val="center"/>
          </w:tcPr>
          <w:p>
            <w:pPr>
              <w:widowControl/>
              <w:rPr>
                <w:rFonts w:eastAsia="仿宋_GB2312"/>
                <w:color w:val="000000"/>
                <w:sz w:val="22"/>
              </w:rPr>
            </w:pPr>
            <w:r>
              <w:rPr>
                <w:rFonts w:eastAsia="仿宋_GB2312"/>
                <w:color w:val="000000"/>
                <w:sz w:val="22"/>
              </w:rPr>
              <w:t>档案管理（5分）</w:t>
            </w:r>
          </w:p>
        </w:tc>
        <w:tc>
          <w:tcPr>
            <w:tcW w:w="1508" w:type="dxa"/>
            <w:shd w:val="clear" w:color="auto" w:fill="auto"/>
            <w:noWrap/>
          </w:tcPr>
          <w:p>
            <w:pPr>
              <w:widowControl/>
              <w:rPr>
                <w:rFonts w:eastAsia="仿宋_GB2312"/>
                <w:color w:val="000000"/>
                <w:sz w:val="22"/>
              </w:rPr>
            </w:pPr>
            <w:r>
              <w:rPr>
                <w:rFonts w:eastAsia="仿宋_GB2312"/>
                <w:color w:val="000000"/>
                <w:sz w:val="22"/>
              </w:rPr>
              <w:t>档案室和专（兼）职档案人员</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tcPr>
          <w:p>
            <w:pPr>
              <w:widowControl/>
              <w:rPr>
                <w:rFonts w:eastAsia="仿宋_GB2312"/>
                <w:color w:val="000000"/>
                <w:sz w:val="22"/>
              </w:rPr>
            </w:pPr>
            <w:r>
              <w:rPr>
                <w:rFonts w:eastAsia="仿宋_GB2312"/>
                <w:color w:val="000000"/>
                <w:sz w:val="22"/>
              </w:rPr>
              <w:t>设置档案室和配备专（兼）职档案人员，得1分；</w:t>
            </w:r>
          </w:p>
          <w:p>
            <w:pPr>
              <w:widowControl/>
              <w:rPr>
                <w:rFonts w:eastAsia="仿宋_GB2312"/>
                <w:color w:val="000000"/>
                <w:sz w:val="22"/>
              </w:rPr>
            </w:pPr>
            <w:r>
              <w:rPr>
                <w:rFonts w:eastAsia="仿宋_GB2312"/>
                <w:color w:val="000000"/>
                <w:sz w:val="22"/>
              </w:rPr>
              <w:t>少一项，扣0.5分。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档案管理</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3</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档案管理不规范、不完整扣1分；未按要求建立有生产运行、水质、设备、材料管理、安全、财务、人事等档案，少一项，扣0.5分。最高扣3分。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shd w:val="clear" w:color="auto" w:fill="auto"/>
            <w:noWrap/>
          </w:tcPr>
          <w:p>
            <w:pPr>
              <w:widowControl/>
              <w:rPr>
                <w:rFonts w:eastAsia="仿宋_GB2312"/>
                <w:color w:val="000000"/>
                <w:sz w:val="22"/>
              </w:rPr>
            </w:pPr>
          </w:p>
        </w:tc>
        <w:tc>
          <w:tcPr>
            <w:tcW w:w="817" w:type="dxa"/>
            <w:vMerge w:val="continue"/>
            <w:shd w:val="clear" w:color="auto" w:fill="auto"/>
            <w:noWrap/>
            <w:vAlign w:val="center"/>
          </w:tcPr>
          <w:p>
            <w:pPr>
              <w:widowControl/>
              <w:rPr>
                <w:rFonts w:eastAsia="仿宋_GB2312"/>
                <w:color w:val="000000"/>
                <w:sz w:val="22"/>
              </w:rPr>
            </w:pPr>
          </w:p>
        </w:tc>
        <w:tc>
          <w:tcPr>
            <w:tcW w:w="1508" w:type="dxa"/>
            <w:shd w:val="clear" w:color="auto" w:fill="auto"/>
            <w:noWrap/>
            <w:vAlign w:val="center"/>
          </w:tcPr>
          <w:p>
            <w:pPr>
              <w:widowControl/>
              <w:rPr>
                <w:rFonts w:eastAsia="仿宋_GB2312"/>
                <w:color w:val="000000"/>
                <w:sz w:val="22"/>
              </w:rPr>
            </w:pPr>
            <w:r>
              <w:rPr>
                <w:rFonts w:eastAsia="仿宋_GB2312"/>
                <w:color w:val="000000"/>
                <w:sz w:val="22"/>
              </w:rPr>
              <w:t>管理信息系统</w:t>
            </w:r>
          </w:p>
        </w:tc>
        <w:tc>
          <w:tcPr>
            <w:tcW w:w="618" w:type="dxa"/>
            <w:shd w:val="clear" w:color="auto" w:fill="auto"/>
            <w:noWrap/>
            <w:vAlign w:val="center"/>
          </w:tcPr>
          <w:p>
            <w:pPr>
              <w:widowControl/>
              <w:jc w:val="center"/>
              <w:rPr>
                <w:rFonts w:eastAsia="仿宋_GB2312"/>
                <w:color w:val="000000"/>
                <w:sz w:val="22"/>
              </w:rPr>
            </w:pPr>
            <w:r>
              <w:rPr>
                <w:rFonts w:eastAsia="仿宋_GB2312"/>
                <w:color w:val="000000"/>
                <w:sz w:val="22"/>
              </w:rPr>
              <w:t>1</w:t>
            </w:r>
          </w:p>
        </w:tc>
        <w:tc>
          <w:tcPr>
            <w:tcW w:w="5954" w:type="dxa"/>
            <w:shd w:val="clear" w:color="auto" w:fill="auto"/>
            <w:noWrap/>
            <w:vAlign w:val="center"/>
          </w:tcPr>
          <w:p>
            <w:pPr>
              <w:widowControl/>
              <w:rPr>
                <w:rFonts w:eastAsia="仿宋_GB2312"/>
                <w:color w:val="000000"/>
                <w:sz w:val="22"/>
              </w:rPr>
            </w:pPr>
            <w:r>
              <w:rPr>
                <w:rFonts w:eastAsia="仿宋_GB2312"/>
                <w:color w:val="000000"/>
                <w:sz w:val="22"/>
              </w:rPr>
              <w:t xml:space="preserve">按要求及时完整的填报“全国城镇污水处理管理信息系统”数据，得1分；缺报一个月不得分，相关数据每缺一项扣0.1分。最高扣1分。 </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noWrap/>
            <w:vAlign w:val="center"/>
          </w:tcPr>
          <w:p>
            <w:pPr>
              <w:widowControl/>
              <w:jc w:val="center"/>
              <w:rPr>
                <w:rFonts w:eastAsia="仿宋_GB2312"/>
                <w:color w:val="000000"/>
                <w:sz w:val="22"/>
              </w:rPr>
            </w:pPr>
            <w:r>
              <w:rPr>
                <w:rFonts w:eastAsia="仿宋_GB2312"/>
                <w:color w:val="000000"/>
                <w:sz w:val="22"/>
              </w:rPr>
              <w:t>九</w:t>
            </w:r>
          </w:p>
        </w:tc>
        <w:tc>
          <w:tcPr>
            <w:tcW w:w="817" w:type="dxa"/>
            <w:vMerge w:val="restart"/>
            <w:noWrap/>
            <w:vAlign w:val="center"/>
          </w:tcPr>
          <w:p>
            <w:pPr>
              <w:widowControl/>
              <w:rPr>
                <w:rFonts w:eastAsia="仿宋_GB2312"/>
                <w:color w:val="000000"/>
                <w:sz w:val="22"/>
              </w:rPr>
            </w:pPr>
            <w:r>
              <w:rPr>
                <w:rFonts w:eastAsia="仿宋_GB2312"/>
                <w:color w:val="000000"/>
                <w:sz w:val="22"/>
              </w:rPr>
              <w:t>财务管理（5分）</w:t>
            </w:r>
          </w:p>
        </w:tc>
        <w:tc>
          <w:tcPr>
            <w:tcW w:w="1508" w:type="dxa"/>
            <w:noWrap/>
            <w:vAlign w:val="center"/>
          </w:tcPr>
          <w:p>
            <w:pPr>
              <w:widowControl/>
              <w:rPr>
                <w:rFonts w:eastAsia="仿宋_GB2312"/>
                <w:color w:val="000000"/>
                <w:sz w:val="22"/>
              </w:rPr>
            </w:pPr>
            <w:r>
              <w:rPr>
                <w:rFonts w:eastAsia="仿宋_GB2312"/>
                <w:color w:val="000000"/>
                <w:sz w:val="22"/>
              </w:rPr>
              <w:t>财务账册</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财务账册健全、真实、清楚得2分；账册不健全扣1分，不真实、不清楚，每发现一处扣1分。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vAlign w:val="center"/>
          </w:tcPr>
          <w:p>
            <w:pPr>
              <w:widowControl/>
              <w:jc w:val="center"/>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财务管理制度和监督机制</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建立良好的财务管理管理和监督制度的，得2分，少一项，扣1分。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vAlign w:val="center"/>
          </w:tcPr>
          <w:p>
            <w:pPr>
              <w:widowControl/>
              <w:jc w:val="center"/>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报表和财务计划</w:t>
            </w:r>
          </w:p>
        </w:tc>
        <w:tc>
          <w:tcPr>
            <w:tcW w:w="618" w:type="dxa"/>
            <w:noWrap/>
            <w:vAlign w:val="center"/>
          </w:tcPr>
          <w:p>
            <w:pPr>
              <w:widowControl/>
              <w:jc w:val="center"/>
              <w:rPr>
                <w:rFonts w:eastAsia="仿宋_GB2312"/>
                <w:color w:val="000000"/>
                <w:sz w:val="22"/>
              </w:rPr>
            </w:pPr>
            <w:r>
              <w:rPr>
                <w:rFonts w:eastAsia="仿宋_GB2312"/>
                <w:color w:val="000000"/>
                <w:sz w:val="22"/>
              </w:rPr>
              <w:t>1</w:t>
            </w:r>
          </w:p>
        </w:tc>
        <w:tc>
          <w:tcPr>
            <w:tcW w:w="5954" w:type="dxa"/>
            <w:noWrap/>
            <w:vAlign w:val="center"/>
          </w:tcPr>
          <w:p>
            <w:pPr>
              <w:widowControl/>
              <w:rPr>
                <w:rFonts w:eastAsia="仿宋_GB2312"/>
                <w:color w:val="000000"/>
                <w:sz w:val="22"/>
              </w:rPr>
            </w:pPr>
            <w:r>
              <w:rPr>
                <w:rFonts w:eastAsia="仿宋_GB2312"/>
                <w:color w:val="000000"/>
                <w:sz w:val="22"/>
              </w:rPr>
              <w:t>按时提交月、季、半年和年度报表和财务计划，得1分；未按时提交，不得分。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restart"/>
            <w:noWrap/>
            <w:vAlign w:val="center"/>
          </w:tcPr>
          <w:p>
            <w:pPr>
              <w:widowControl/>
              <w:jc w:val="center"/>
              <w:rPr>
                <w:rFonts w:eastAsia="仿宋_GB2312"/>
                <w:color w:val="000000"/>
                <w:sz w:val="22"/>
              </w:rPr>
            </w:pPr>
            <w:r>
              <w:rPr>
                <w:rFonts w:eastAsia="仿宋_GB2312"/>
                <w:color w:val="000000"/>
                <w:sz w:val="22"/>
              </w:rPr>
              <w:t>十</w:t>
            </w:r>
          </w:p>
        </w:tc>
        <w:tc>
          <w:tcPr>
            <w:tcW w:w="817" w:type="dxa"/>
            <w:vMerge w:val="restart"/>
            <w:noWrap/>
            <w:vAlign w:val="center"/>
          </w:tcPr>
          <w:p>
            <w:pPr>
              <w:widowControl/>
              <w:rPr>
                <w:rFonts w:eastAsia="仿宋_GB2312"/>
                <w:color w:val="000000"/>
                <w:sz w:val="22"/>
              </w:rPr>
            </w:pPr>
            <w:r>
              <w:rPr>
                <w:rFonts w:eastAsia="仿宋_GB2312"/>
                <w:color w:val="000000"/>
                <w:sz w:val="22"/>
              </w:rPr>
              <w:t>社会评价（5分）</w:t>
            </w:r>
          </w:p>
        </w:tc>
        <w:tc>
          <w:tcPr>
            <w:tcW w:w="1508" w:type="dxa"/>
            <w:noWrap/>
            <w:vAlign w:val="center"/>
          </w:tcPr>
          <w:p>
            <w:pPr>
              <w:widowControl/>
              <w:rPr>
                <w:rFonts w:eastAsia="仿宋_GB2312"/>
                <w:color w:val="000000"/>
                <w:sz w:val="22"/>
              </w:rPr>
            </w:pPr>
            <w:r>
              <w:rPr>
                <w:rFonts w:eastAsia="仿宋_GB2312"/>
                <w:color w:val="000000"/>
                <w:sz w:val="22"/>
              </w:rPr>
              <w:t>公众监督</w:t>
            </w:r>
          </w:p>
        </w:tc>
        <w:tc>
          <w:tcPr>
            <w:tcW w:w="618" w:type="dxa"/>
            <w:noWrap/>
            <w:vAlign w:val="center"/>
          </w:tcPr>
          <w:p>
            <w:pPr>
              <w:widowControl/>
              <w:jc w:val="center"/>
              <w:rPr>
                <w:rFonts w:eastAsia="仿宋_GB2312"/>
                <w:color w:val="000000"/>
                <w:sz w:val="22"/>
              </w:rPr>
            </w:pPr>
            <w:r>
              <w:rPr>
                <w:rFonts w:eastAsia="仿宋_GB2312"/>
                <w:color w:val="000000"/>
                <w:sz w:val="22"/>
              </w:rPr>
              <w:t>3</w:t>
            </w:r>
          </w:p>
        </w:tc>
        <w:tc>
          <w:tcPr>
            <w:tcW w:w="5954" w:type="dxa"/>
            <w:noWrap/>
            <w:vAlign w:val="center"/>
          </w:tcPr>
          <w:p>
            <w:pPr>
              <w:widowControl/>
              <w:rPr>
                <w:rFonts w:eastAsia="仿宋_GB2312"/>
                <w:color w:val="000000"/>
                <w:sz w:val="22"/>
              </w:rPr>
            </w:pPr>
            <w:r>
              <w:rPr>
                <w:rFonts w:eastAsia="仿宋_GB2312"/>
                <w:color w:val="000000"/>
                <w:sz w:val="22"/>
              </w:rPr>
              <w:t>无不良投诉，得3分；投诉一次扣1分，最高扣3分。</w:t>
            </w:r>
          </w:p>
        </w:tc>
        <w:tc>
          <w:tcPr>
            <w:tcW w:w="567" w:type="dxa"/>
            <w:noWrap/>
          </w:tcPr>
          <w:p>
            <w:pPr>
              <w:widowControl/>
              <w:rPr>
                <w:rFonts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817" w:type="dxa"/>
            <w:vMerge w:val="continue"/>
            <w:noWrap/>
          </w:tcPr>
          <w:p>
            <w:pPr>
              <w:widowControl/>
              <w:rPr>
                <w:rFonts w:eastAsia="仿宋_GB2312"/>
                <w:color w:val="000000"/>
                <w:sz w:val="22"/>
              </w:rPr>
            </w:pPr>
          </w:p>
        </w:tc>
        <w:tc>
          <w:tcPr>
            <w:tcW w:w="817" w:type="dxa"/>
            <w:vMerge w:val="continue"/>
            <w:noWrap/>
          </w:tcPr>
          <w:p>
            <w:pPr>
              <w:widowControl/>
              <w:rPr>
                <w:rFonts w:eastAsia="仿宋_GB2312"/>
                <w:color w:val="000000"/>
                <w:sz w:val="22"/>
              </w:rPr>
            </w:pPr>
          </w:p>
        </w:tc>
        <w:tc>
          <w:tcPr>
            <w:tcW w:w="1508" w:type="dxa"/>
            <w:noWrap/>
            <w:vAlign w:val="center"/>
          </w:tcPr>
          <w:p>
            <w:pPr>
              <w:widowControl/>
              <w:rPr>
                <w:rFonts w:eastAsia="仿宋_GB2312"/>
                <w:color w:val="000000"/>
                <w:sz w:val="22"/>
              </w:rPr>
            </w:pPr>
            <w:r>
              <w:rPr>
                <w:rFonts w:eastAsia="仿宋_GB2312"/>
                <w:color w:val="000000"/>
                <w:sz w:val="22"/>
              </w:rPr>
              <w:t>整改情况</w:t>
            </w:r>
          </w:p>
        </w:tc>
        <w:tc>
          <w:tcPr>
            <w:tcW w:w="618" w:type="dxa"/>
            <w:noWrap/>
            <w:vAlign w:val="center"/>
          </w:tcPr>
          <w:p>
            <w:pPr>
              <w:widowControl/>
              <w:jc w:val="center"/>
              <w:rPr>
                <w:rFonts w:eastAsia="仿宋_GB2312"/>
                <w:color w:val="000000"/>
                <w:sz w:val="22"/>
              </w:rPr>
            </w:pPr>
            <w:r>
              <w:rPr>
                <w:rFonts w:eastAsia="仿宋_GB2312"/>
                <w:color w:val="000000"/>
                <w:sz w:val="22"/>
              </w:rPr>
              <w:t>2</w:t>
            </w:r>
          </w:p>
        </w:tc>
        <w:tc>
          <w:tcPr>
            <w:tcW w:w="5954" w:type="dxa"/>
            <w:noWrap/>
            <w:vAlign w:val="center"/>
          </w:tcPr>
          <w:p>
            <w:pPr>
              <w:widowControl/>
              <w:rPr>
                <w:rFonts w:eastAsia="仿宋_GB2312"/>
                <w:color w:val="000000"/>
                <w:sz w:val="22"/>
              </w:rPr>
            </w:pPr>
            <w:r>
              <w:rPr>
                <w:rFonts w:eastAsia="仿宋_GB2312"/>
                <w:color w:val="000000"/>
                <w:sz w:val="22"/>
              </w:rPr>
              <w:t>对各项检查中存在的问题和各种投诉能及时整改，得2分；整改不及时或整改不到位，不得分。</w:t>
            </w:r>
          </w:p>
        </w:tc>
        <w:tc>
          <w:tcPr>
            <w:tcW w:w="567" w:type="dxa"/>
            <w:noWrap/>
          </w:tcPr>
          <w:p>
            <w:pPr>
              <w:widowControl/>
              <w:rPr>
                <w:rFonts w:eastAsia="仿宋_GB2312"/>
                <w:color w:val="000000"/>
                <w:sz w:val="22"/>
              </w:rPr>
            </w:pPr>
          </w:p>
        </w:tc>
      </w:tr>
    </w:tbl>
    <w:p>
      <w:pPr>
        <w:jc w:val="center"/>
        <w:rPr>
          <w:rFonts w:eastAsia="仿宋_GB2312"/>
          <w:b/>
          <w:sz w:val="28"/>
          <w:szCs w:val="32"/>
        </w:rPr>
      </w:pPr>
    </w:p>
    <w:p>
      <w:pPr>
        <w:jc w:val="center"/>
        <w:rPr>
          <w:rFonts w:eastAsia="仿宋_GB2312"/>
          <w:b/>
          <w:sz w:val="28"/>
          <w:szCs w:val="32"/>
        </w:rPr>
      </w:pPr>
      <w:r>
        <w:rPr>
          <w:rFonts w:hint="eastAsia" w:eastAsia="仿宋_GB2312"/>
          <w:b/>
          <w:sz w:val="28"/>
          <w:szCs w:val="32"/>
        </w:rPr>
        <w:t>配套</w:t>
      </w:r>
      <w:r>
        <w:rPr>
          <w:rFonts w:eastAsia="仿宋_GB2312"/>
          <w:b/>
          <w:sz w:val="28"/>
          <w:szCs w:val="32"/>
        </w:rPr>
        <w:t>管网运维绩效考核指标表</w:t>
      </w:r>
    </w:p>
    <w:tbl>
      <w:tblPr>
        <w:tblStyle w:val="19"/>
        <w:tblW w:w="10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75"/>
        <w:gridCol w:w="1275"/>
        <w:gridCol w:w="850"/>
        <w:gridCol w:w="5531"/>
        <w:gridCol w:w="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47" w:type="dxa"/>
            <w:shd w:val="clear" w:color="auto" w:fill="auto"/>
            <w:noWrap/>
            <w:vAlign w:val="center"/>
          </w:tcPr>
          <w:p>
            <w:pPr>
              <w:jc w:val="center"/>
              <w:rPr>
                <w:rFonts w:eastAsia="仿宋_GB2312"/>
                <w:b/>
                <w:sz w:val="22"/>
              </w:rPr>
            </w:pPr>
            <w:r>
              <w:rPr>
                <w:rFonts w:eastAsia="仿宋_GB2312"/>
                <w:b/>
                <w:sz w:val="22"/>
              </w:rPr>
              <w:t>序号</w:t>
            </w:r>
          </w:p>
        </w:tc>
        <w:tc>
          <w:tcPr>
            <w:tcW w:w="1275" w:type="dxa"/>
            <w:shd w:val="clear" w:color="auto" w:fill="auto"/>
            <w:noWrap/>
            <w:vAlign w:val="center"/>
          </w:tcPr>
          <w:p>
            <w:pPr>
              <w:jc w:val="center"/>
              <w:rPr>
                <w:rFonts w:eastAsia="仿宋_GB2312"/>
                <w:b/>
                <w:sz w:val="22"/>
              </w:rPr>
            </w:pPr>
            <w:r>
              <w:rPr>
                <w:rFonts w:eastAsia="仿宋_GB2312"/>
                <w:b/>
                <w:sz w:val="22"/>
              </w:rPr>
              <w:t>考核项目</w:t>
            </w:r>
          </w:p>
        </w:tc>
        <w:tc>
          <w:tcPr>
            <w:tcW w:w="1275" w:type="dxa"/>
            <w:shd w:val="clear" w:color="auto" w:fill="auto"/>
            <w:noWrap/>
            <w:vAlign w:val="center"/>
          </w:tcPr>
          <w:p>
            <w:pPr>
              <w:jc w:val="center"/>
              <w:rPr>
                <w:rFonts w:eastAsia="仿宋_GB2312"/>
                <w:b/>
                <w:sz w:val="22"/>
              </w:rPr>
            </w:pPr>
            <w:r>
              <w:rPr>
                <w:rFonts w:eastAsia="仿宋_GB2312"/>
                <w:b/>
                <w:sz w:val="22"/>
              </w:rPr>
              <w:t>考核内容</w:t>
            </w:r>
          </w:p>
        </w:tc>
        <w:tc>
          <w:tcPr>
            <w:tcW w:w="850" w:type="dxa"/>
            <w:shd w:val="clear" w:color="auto" w:fill="auto"/>
            <w:noWrap/>
            <w:vAlign w:val="center"/>
          </w:tcPr>
          <w:p>
            <w:pPr>
              <w:jc w:val="center"/>
              <w:rPr>
                <w:rFonts w:eastAsia="仿宋_GB2312"/>
                <w:b/>
                <w:sz w:val="22"/>
              </w:rPr>
            </w:pPr>
            <w:r>
              <w:rPr>
                <w:rFonts w:eastAsia="仿宋_GB2312"/>
                <w:b/>
                <w:sz w:val="22"/>
              </w:rPr>
              <w:t>分值</w:t>
            </w:r>
          </w:p>
        </w:tc>
        <w:tc>
          <w:tcPr>
            <w:tcW w:w="5531" w:type="dxa"/>
            <w:shd w:val="clear" w:color="auto" w:fill="auto"/>
            <w:noWrap/>
            <w:vAlign w:val="center"/>
          </w:tcPr>
          <w:p>
            <w:pPr>
              <w:jc w:val="center"/>
              <w:rPr>
                <w:rFonts w:eastAsia="仿宋_GB2312"/>
                <w:b/>
                <w:sz w:val="22"/>
              </w:rPr>
            </w:pPr>
            <w:r>
              <w:rPr>
                <w:rFonts w:hint="eastAsia" w:eastAsia="仿宋_GB2312"/>
                <w:b/>
                <w:sz w:val="22"/>
              </w:rPr>
              <w:t>考核指标</w:t>
            </w:r>
          </w:p>
        </w:tc>
        <w:tc>
          <w:tcPr>
            <w:tcW w:w="688" w:type="dxa"/>
            <w:shd w:val="clear" w:color="auto" w:fill="auto"/>
            <w:noWrap/>
            <w:vAlign w:val="center"/>
          </w:tcPr>
          <w:p>
            <w:pPr>
              <w:jc w:val="center"/>
              <w:rPr>
                <w:rFonts w:eastAsia="仿宋_GB2312"/>
                <w:b/>
                <w:sz w:val="22"/>
              </w:rPr>
            </w:pPr>
            <w:r>
              <w:rPr>
                <w:rFonts w:hint="eastAsia" w:eastAsia="仿宋_GB2312"/>
                <w:b/>
                <w:sz w:val="22"/>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一</w:t>
            </w:r>
          </w:p>
        </w:tc>
        <w:tc>
          <w:tcPr>
            <w:tcW w:w="1275" w:type="dxa"/>
            <w:vMerge w:val="restart"/>
            <w:shd w:val="clear" w:color="auto" w:fill="auto"/>
            <w:noWrap/>
            <w:vAlign w:val="center"/>
          </w:tcPr>
          <w:p>
            <w:pPr>
              <w:jc w:val="center"/>
              <w:rPr>
                <w:rFonts w:eastAsia="仿宋_GB2312"/>
                <w:sz w:val="22"/>
              </w:rPr>
            </w:pPr>
            <w:r>
              <w:rPr>
                <w:rFonts w:eastAsia="仿宋_GB2312"/>
                <w:sz w:val="22"/>
              </w:rPr>
              <w:t>组织管理（15分）</w:t>
            </w:r>
          </w:p>
        </w:tc>
        <w:tc>
          <w:tcPr>
            <w:tcW w:w="1275" w:type="dxa"/>
            <w:shd w:val="clear" w:color="auto" w:fill="auto"/>
            <w:noWrap/>
            <w:vAlign w:val="center"/>
          </w:tcPr>
          <w:p>
            <w:pPr>
              <w:jc w:val="center"/>
              <w:rPr>
                <w:rFonts w:eastAsia="仿宋_GB2312"/>
                <w:sz w:val="22"/>
              </w:rPr>
            </w:pPr>
            <w:r>
              <w:rPr>
                <w:rFonts w:eastAsia="仿宋_GB2312"/>
                <w:sz w:val="22"/>
              </w:rPr>
              <w:t>人员配置情况</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未配有专职生产、工艺管理人员，扣1分；从岗一年以上的工艺管理人员无对应技术专业及职称，扣1分。人员配备不满足处理规模要求，扣1分；生产人员占比低于65%，扣1分。</w:t>
            </w:r>
            <w:r>
              <w:rPr>
                <w:rFonts w:eastAsia="仿宋_GB2312"/>
                <w:color w:val="000000"/>
                <w:sz w:val="22"/>
              </w:rPr>
              <w:t>运行管理机构未配置或不健全的，扣1分。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规章制度建设</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管理体制和运营机制、机构设置和人员配备、精神文明、规章制度、档案管理等工作准备完善；缺一项扣1分。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员工技能培训</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eastAsia="仿宋_GB2312"/>
                <w:sz w:val="22"/>
              </w:rPr>
              <w:t>无具体的</w:t>
            </w:r>
            <w:r>
              <w:rPr>
                <w:rFonts w:hint="eastAsia" w:eastAsia="仿宋_GB2312"/>
                <w:sz w:val="22"/>
              </w:rPr>
              <w:t>员工技能培训</w:t>
            </w:r>
            <w:r>
              <w:rPr>
                <w:rFonts w:eastAsia="仿宋_GB2312"/>
                <w:sz w:val="22"/>
              </w:rPr>
              <w:t>计划，扣</w:t>
            </w:r>
            <w:r>
              <w:rPr>
                <w:rFonts w:hint="eastAsia" w:eastAsia="仿宋_GB2312"/>
                <w:sz w:val="22"/>
              </w:rPr>
              <w:t>3</w:t>
            </w:r>
            <w:r>
              <w:rPr>
                <w:rFonts w:eastAsia="仿宋_GB2312"/>
                <w:sz w:val="22"/>
              </w:rPr>
              <w:t>分；</w:t>
            </w:r>
            <w:r>
              <w:rPr>
                <w:rFonts w:hint="eastAsia" w:eastAsia="仿宋_GB2312"/>
                <w:sz w:val="22"/>
              </w:rPr>
              <w:t>未开展员工技能培训</w:t>
            </w:r>
            <w:r>
              <w:rPr>
                <w:rFonts w:eastAsia="仿宋_GB2312"/>
                <w:sz w:val="22"/>
              </w:rPr>
              <w:t>，扣</w:t>
            </w:r>
            <w:r>
              <w:rPr>
                <w:rFonts w:hint="eastAsia" w:eastAsia="仿宋_GB2312"/>
                <w:sz w:val="22"/>
              </w:rPr>
              <w:t>2</w:t>
            </w:r>
            <w:r>
              <w:rPr>
                <w:rFonts w:eastAsia="仿宋_GB2312"/>
                <w:sz w:val="22"/>
              </w:rPr>
              <w:t>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二</w:t>
            </w:r>
          </w:p>
        </w:tc>
        <w:tc>
          <w:tcPr>
            <w:tcW w:w="1275" w:type="dxa"/>
            <w:vMerge w:val="restart"/>
            <w:shd w:val="clear" w:color="auto" w:fill="auto"/>
            <w:noWrap/>
            <w:vAlign w:val="center"/>
          </w:tcPr>
          <w:p>
            <w:pPr>
              <w:jc w:val="center"/>
              <w:rPr>
                <w:rFonts w:eastAsia="仿宋_GB2312"/>
                <w:sz w:val="22"/>
              </w:rPr>
            </w:pPr>
            <w:r>
              <w:rPr>
                <w:rFonts w:hint="eastAsia" w:eastAsia="仿宋_GB2312"/>
                <w:sz w:val="22"/>
              </w:rPr>
              <w:t>配套</w:t>
            </w:r>
            <w:r>
              <w:rPr>
                <w:rFonts w:eastAsia="仿宋_GB2312"/>
                <w:sz w:val="22"/>
              </w:rPr>
              <w:t>管网维护质量（35）</w:t>
            </w:r>
          </w:p>
        </w:tc>
        <w:tc>
          <w:tcPr>
            <w:tcW w:w="1275" w:type="dxa"/>
            <w:shd w:val="clear" w:color="auto" w:fill="auto"/>
            <w:noWrap/>
            <w:vAlign w:val="center"/>
          </w:tcPr>
          <w:p>
            <w:pPr>
              <w:jc w:val="center"/>
              <w:rPr>
                <w:rFonts w:eastAsia="仿宋_GB2312"/>
                <w:sz w:val="22"/>
              </w:rPr>
            </w:pPr>
            <w:r>
              <w:rPr>
                <w:rFonts w:hint="eastAsia" w:eastAsia="仿宋_GB2312"/>
                <w:sz w:val="22"/>
              </w:rPr>
              <w:t>泵站</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雨水口</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检查井</w:t>
            </w:r>
            <w:r>
              <w:rPr>
                <w:rFonts w:hint="eastAsia" w:eastAsia="仿宋_GB2312"/>
                <w:sz w:val="22"/>
              </w:rPr>
              <w:t>、</w:t>
            </w:r>
            <w:r>
              <w:rPr>
                <w:rFonts w:eastAsia="仿宋_GB2312"/>
                <w:sz w:val="22"/>
              </w:rPr>
              <w:t>井盖</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管道</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渠道</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截污设施</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排放口</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r>
              <w:rPr>
                <w:rFonts w:hint="eastAsia" w:eastAsia="仿宋_GB2312"/>
                <w:sz w:val="22"/>
              </w:rPr>
              <w:t>破损25%（含）以上得0分，每降低1%得1分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三</w:t>
            </w:r>
          </w:p>
        </w:tc>
        <w:tc>
          <w:tcPr>
            <w:tcW w:w="1275" w:type="dxa"/>
            <w:vMerge w:val="restart"/>
            <w:shd w:val="clear" w:color="auto" w:fill="auto"/>
            <w:noWrap/>
            <w:vAlign w:val="center"/>
          </w:tcPr>
          <w:p>
            <w:pPr>
              <w:jc w:val="center"/>
              <w:rPr>
                <w:rFonts w:eastAsia="仿宋_GB2312"/>
                <w:sz w:val="22"/>
              </w:rPr>
            </w:pPr>
            <w:r>
              <w:rPr>
                <w:rFonts w:eastAsia="仿宋_GB2312"/>
                <w:sz w:val="22"/>
              </w:rPr>
              <w:t>日常管理（17）</w:t>
            </w:r>
          </w:p>
        </w:tc>
        <w:tc>
          <w:tcPr>
            <w:tcW w:w="1275" w:type="dxa"/>
            <w:shd w:val="clear" w:color="auto" w:fill="auto"/>
            <w:noWrap/>
            <w:vAlign w:val="center"/>
          </w:tcPr>
          <w:p>
            <w:pPr>
              <w:jc w:val="center"/>
              <w:rPr>
                <w:rFonts w:eastAsia="仿宋_GB2312"/>
                <w:sz w:val="22"/>
              </w:rPr>
            </w:pPr>
            <w:r>
              <w:rPr>
                <w:rFonts w:eastAsia="仿宋_GB2312"/>
                <w:sz w:val="22"/>
              </w:rPr>
              <w:t>日常维护制度</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rPr>
                <w:rFonts w:eastAsia="仿宋_GB2312"/>
                <w:sz w:val="22"/>
              </w:rPr>
            </w:pPr>
            <w:r>
              <w:rPr>
                <w:rFonts w:hint="eastAsia" w:eastAsia="仿宋_GB2312"/>
                <w:sz w:val="22"/>
              </w:rPr>
              <w:t>管道有破损泄漏，阀门井和计量井等井盖不完好，井内有杂物、积泥和积水，每处扣0.5分；阀门井和计量井等井内和露地管阀、管件有缺损，有明显锈蚀，每处扣0.5分。最高扣2分。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污水收集率</w:t>
            </w:r>
          </w:p>
        </w:tc>
        <w:tc>
          <w:tcPr>
            <w:tcW w:w="850" w:type="dxa"/>
            <w:shd w:val="clear" w:color="auto" w:fill="auto"/>
            <w:noWrap/>
            <w:vAlign w:val="center"/>
          </w:tcPr>
          <w:p>
            <w:pPr>
              <w:jc w:val="center"/>
              <w:rPr>
                <w:rFonts w:eastAsia="仿宋_GB2312"/>
                <w:sz w:val="22"/>
              </w:rPr>
            </w:pPr>
            <w:r>
              <w:rPr>
                <w:rFonts w:eastAsia="仿宋_GB2312"/>
                <w:sz w:val="22"/>
              </w:rPr>
              <w:t>8</w:t>
            </w:r>
          </w:p>
        </w:tc>
        <w:tc>
          <w:tcPr>
            <w:tcW w:w="5531" w:type="dxa"/>
            <w:shd w:val="clear" w:color="auto" w:fill="auto"/>
            <w:noWrap/>
            <w:vAlign w:val="center"/>
          </w:tcPr>
          <w:p>
            <w:pPr>
              <w:rPr>
                <w:rFonts w:eastAsia="仿宋_GB2312"/>
                <w:sz w:val="22"/>
              </w:rPr>
            </w:pPr>
            <w:r>
              <w:rPr>
                <w:rFonts w:hint="eastAsia" w:eastAsia="仿宋_GB2312"/>
                <w:sz w:val="22"/>
              </w:rPr>
              <w:t>污水收集率100%得8分，每降低2%扣1分。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滞水处理情况</w:t>
            </w:r>
          </w:p>
        </w:tc>
        <w:tc>
          <w:tcPr>
            <w:tcW w:w="850" w:type="dxa"/>
            <w:shd w:val="clear" w:color="auto" w:fill="auto"/>
            <w:noWrap/>
            <w:vAlign w:val="center"/>
          </w:tcPr>
          <w:p>
            <w:pPr>
              <w:jc w:val="center"/>
              <w:rPr>
                <w:rFonts w:eastAsia="仿宋_GB2312"/>
                <w:sz w:val="22"/>
              </w:rPr>
            </w:pPr>
            <w:r>
              <w:rPr>
                <w:rFonts w:eastAsia="仿宋_GB2312"/>
                <w:sz w:val="22"/>
              </w:rPr>
              <w:t>4</w:t>
            </w:r>
          </w:p>
        </w:tc>
        <w:tc>
          <w:tcPr>
            <w:tcW w:w="5531" w:type="dxa"/>
            <w:shd w:val="clear" w:color="auto" w:fill="auto"/>
            <w:noWrap/>
            <w:vAlign w:val="center"/>
          </w:tcPr>
          <w:p>
            <w:pPr>
              <w:jc w:val="left"/>
              <w:rPr>
                <w:rFonts w:eastAsia="仿宋_GB2312"/>
                <w:sz w:val="22"/>
              </w:rPr>
            </w:pPr>
            <w:r>
              <w:rPr>
                <w:rFonts w:hint="eastAsia" w:eastAsia="仿宋_GB2312"/>
                <w:sz w:val="22"/>
              </w:rPr>
              <w:t>存在</w:t>
            </w:r>
            <w:r>
              <w:rPr>
                <w:rFonts w:eastAsia="仿宋_GB2312"/>
                <w:sz w:val="22"/>
              </w:rPr>
              <w:t>滞水</w:t>
            </w:r>
            <w:r>
              <w:rPr>
                <w:rFonts w:hint="eastAsia" w:eastAsia="仿宋_GB2312"/>
                <w:sz w:val="22"/>
              </w:rPr>
              <w:t>现象扣4分。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维护日志</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jc w:val="center"/>
              <w:rPr>
                <w:rFonts w:eastAsia="仿宋_GB2312"/>
                <w:sz w:val="22"/>
              </w:rPr>
            </w:pPr>
            <w:r>
              <w:rPr>
                <w:rFonts w:hint="eastAsia" w:eastAsia="仿宋_GB2312"/>
                <w:sz w:val="22"/>
              </w:rPr>
              <w:t>根据实际情况记录维护日志，得3分，否则不得分。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四</w:t>
            </w:r>
          </w:p>
        </w:tc>
        <w:tc>
          <w:tcPr>
            <w:tcW w:w="1275" w:type="dxa"/>
            <w:vMerge w:val="restart"/>
            <w:shd w:val="clear" w:color="auto" w:fill="auto"/>
            <w:noWrap/>
            <w:vAlign w:val="center"/>
          </w:tcPr>
          <w:p>
            <w:pPr>
              <w:jc w:val="center"/>
              <w:rPr>
                <w:rFonts w:eastAsia="仿宋_GB2312"/>
                <w:sz w:val="22"/>
              </w:rPr>
            </w:pPr>
            <w:r>
              <w:rPr>
                <w:rFonts w:eastAsia="仿宋_GB2312"/>
                <w:sz w:val="22"/>
              </w:rPr>
              <w:t>安全管理（10）</w:t>
            </w:r>
          </w:p>
        </w:tc>
        <w:tc>
          <w:tcPr>
            <w:tcW w:w="1275" w:type="dxa"/>
            <w:shd w:val="clear" w:color="auto" w:fill="auto"/>
            <w:noWrap/>
            <w:vAlign w:val="center"/>
          </w:tcPr>
          <w:p>
            <w:pPr>
              <w:jc w:val="center"/>
              <w:rPr>
                <w:rFonts w:eastAsia="仿宋_GB2312"/>
                <w:sz w:val="22"/>
              </w:rPr>
            </w:pPr>
            <w:r>
              <w:rPr>
                <w:rFonts w:eastAsia="仿宋_GB2312"/>
                <w:sz w:val="22"/>
              </w:rPr>
              <w:t>安全管理制度建设</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jc w:val="center"/>
              <w:rPr>
                <w:rFonts w:eastAsia="仿宋_GB2312"/>
                <w:sz w:val="22"/>
              </w:rPr>
            </w:pPr>
            <w:r>
              <w:rPr>
                <w:rFonts w:eastAsia="仿宋_GB2312"/>
                <w:color w:val="000000"/>
                <w:sz w:val="22"/>
              </w:rPr>
              <w:t>无安全管理制度或不健全，安全管理制度未上墙，扣1分；无逐级签订安全生产责任书，责任未落实，扣1分；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应急预案</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jc w:val="center"/>
              <w:rPr>
                <w:rFonts w:eastAsia="仿宋_GB2312"/>
                <w:sz w:val="22"/>
              </w:rPr>
            </w:pPr>
            <w:r>
              <w:rPr>
                <w:rFonts w:eastAsia="仿宋_GB2312"/>
                <w:color w:val="000000"/>
                <w:sz w:val="22"/>
              </w:rPr>
              <w:t>未建立安全应急预案，扣1分；无具体的安全培训计划，扣0.5分；未建立完善的治安管理系统，扣0.5分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安全事故</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vAlign w:val="center"/>
          </w:tcPr>
          <w:p>
            <w:pPr>
              <w:rPr>
                <w:rFonts w:eastAsia="仿宋_GB2312"/>
                <w:sz w:val="22"/>
              </w:rPr>
            </w:pPr>
            <w:r>
              <w:rPr>
                <w:rFonts w:hint="eastAsia" w:eastAsia="仿宋_GB2312"/>
                <w:sz w:val="22"/>
              </w:rPr>
              <w:t>发生安全事故，扣5分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五</w:t>
            </w:r>
          </w:p>
        </w:tc>
        <w:tc>
          <w:tcPr>
            <w:tcW w:w="1275" w:type="dxa"/>
            <w:vMerge w:val="restart"/>
            <w:shd w:val="clear" w:color="auto" w:fill="auto"/>
            <w:noWrap/>
            <w:vAlign w:val="center"/>
          </w:tcPr>
          <w:p>
            <w:pPr>
              <w:jc w:val="center"/>
              <w:rPr>
                <w:rFonts w:eastAsia="仿宋_GB2312"/>
                <w:sz w:val="22"/>
              </w:rPr>
            </w:pPr>
            <w:r>
              <w:rPr>
                <w:rFonts w:eastAsia="仿宋_GB2312"/>
                <w:sz w:val="22"/>
              </w:rPr>
              <w:t>档案管理（5）</w:t>
            </w:r>
          </w:p>
        </w:tc>
        <w:tc>
          <w:tcPr>
            <w:tcW w:w="1275" w:type="dxa"/>
            <w:shd w:val="clear" w:color="auto" w:fill="auto"/>
            <w:noWrap/>
            <w:vAlign w:val="center"/>
          </w:tcPr>
          <w:p>
            <w:pPr>
              <w:jc w:val="center"/>
              <w:rPr>
                <w:rFonts w:eastAsia="仿宋_GB2312"/>
                <w:sz w:val="22"/>
              </w:rPr>
            </w:pPr>
            <w:r>
              <w:rPr>
                <w:rFonts w:eastAsia="仿宋_GB2312"/>
                <w:sz w:val="22"/>
              </w:rPr>
              <w:t>档案管理制度建设</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vAlign w:val="center"/>
          </w:tcPr>
          <w:p>
            <w:pPr>
              <w:widowControl/>
              <w:rPr>
                <w:rFonts w:eastAsia="仿宋_GB2312"/>
                <w:color w:val="000000"/>
                <w:sz w:val="22"/>
              </w:rPr>
            </w:pPr>
            <w:r>
              <w:rPr>
                <w:rFonts w:eastAsia="仿宋_GB2312"/>
                <w:color w:val="000000"/>
                <w:sz w:val="22"/>
              </w:rPr>
              <w:t>档案管理不规范、不完整扣1分；未按要求建立有生产运行、水质、设备、材料管理、安全、财务、人事等档案，少一项，扣0.5分。最高扣3分。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档案信息化程度</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vAlign w:val="center"/>
          </w:tcPr>
          <w:p>
            <w:pPr>
              <w:widowControl/>
              <w:rPr>
                <w:rFonts w:eastAsia="仿宋_GB2312"/>
                <w:color w:val="000000"/>
                <w:sz w:val="22"/>
              </w:rPr>
            </w:pPr>
            <w:r>
              <w:rPr>
                <w:rFonts w:eastAsia="仿宋_GB2312"/>
                <w:color w:val="000000"/>
                <w:sz w:val="22"/>
              </w:rPr>
              <w:t xml:space="preserve">按要求及时完整的填报“全国城镇污水处理管理信息系统”数据，得1分；缺报一个月不得分，相关数据每缺一项扣0.1分。最高扣1分。 </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六</w:t>
            </w:r>
          </w:p>
        </w:tc>
        <w:tc>
          <w:tcPr>
            <w:tcW w:w="1275" w:type="dxa"/>
            <w:vMerge w:val="restart"/>
            <w:shd w:val="clear" w:color="auto" w:fill="auto"/>
            <w:noWrap/>
            <w:vAlign w:val="center"/>
          </w:tcPr>
          <w:p>
            <w:pPr>
              <w:jc w:val="center"/>
              <w:rPr>
                <w:rFonts w:eastAsia="仿宋_GB2312"/>
                <w:sz w:val="22"/>
              </w:rPr>
            </w:pPr>
            <w:r>
              <w:rPr>
                <w:rFonts w:eastAsia="仿宋_GB2312"/>
                <w:sz w:val="22"/>
              </w:rPr>
              <w:t>财务管理（5）</w:t>
            </w:r>
          </w:p>
        </w:tc>
        <w:tc>
          <w:tcPr>
            <w:tcW w:w="1275" w:type="dxa"/>
            <w:shd w:val="clear" w:color="auto" w:fill="auto"/>
            <w:noWrap/>
            <w:vAlign w:val="center"/>
          </w:tcPr>
          <w:p>
            <w:pPr>
              <w:jc w:val="center"/>
              <w:rPr>
                <w:rFonts w:eastAsia="仿宋_GB2312"/>
                <w:sz w:val="22"/>
              </w:rPr>
            </w:pPr>
            <w:r>
              <w:rPr>
                <w:rFonts w:eastAsia="仿宋_GB2312"/>
                <w:sz w:val="22"/>
              </w:rPr>
              <w:t>财务账本健全</w:t>
            </w:r>
          </w:p>
        </w:tc>
        <w:tc>
          <w:tcPr>
            <w:tcW w:w="850" w:type="dxa"/>
            <w:shd w:val="clear" w:color="auto" w:fill="auto"/>
            <w:noWrap/>
            <w:vAlign w:val="center"/>
          </w:tcPr>
          <w:p>
            <w:pPr>
              <w:jc w:val="center"/>
              <w:rPr>
                <w:rFonts w:eastAsia="仿宋_GB2312"/>
                <w:sz w:val="22"/>
              </w:rPr>
            </w:pPr>
            <w:r>
              <w:rPr>
                <w:rFonts w:eastAsia="仿宋_GB2312"/>
                <w:sz w:val="22"/>
              </w:rPr>
              <w:t>3</w:t>
            </w:r>
          </w:p>
        </w:tc>
        <w:tc>
          <w:tcPr>
            <w:tcW w:w="5531" w:type="dxa"/>
            <w:shd w:val="clear" w:color="auto" w:fill="auto"/>
            <w:noWrap/>
          </w:tcPr>
          <w:p>
            <w:pPr>
              <w:widowControl/>
              <w:rPr>
                <w:rFonts w:eastAsia="仿宋_GB2312"/>
                <w:sz w:val="22"/>
              </w:rPr>
            </w:pPr>
            <w:r>
              <w:rPr>
                <w:rFonts w:eastAsia="仿宋_GB2312"/>
                <w:color w:val="000000"/>
                <w:sz w:val="22"/>
              </w:rPr>
              <w:t>财务账册健全、真实、清楚得2分；账册不健全扣1分，不真实、不清楚，每发现一处扣1分。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财务报表和计划</w:t>
            </w:r>
          </w:p>
        </w:tc>
        <w:tc>
          <w:tcPr>
            <w:tcW w:w="850" w:type="dxa"/>
            <w:shd w:val="clear" w:color="auto" w:fill="auto"/>
            <w:noWrap/>
            <w:vAlign w:val="center"/>
          </w:tcPr>
          <w:p>
            <w:pPr>
              <w:jc w:val="center"/>
              <w:rPr>
                <w:rFonts w:eastAsia="仿宋_GB2312"/>
                <w:sz w:val="22"/>
              </w:rPr>
            </w:pPr>
            <w:r>
              <w:rPr>
                <w:rFonts w:eastAsia="仿宋_GB2312"/>
                <w:sz w:val="22"/>
              </w:rPr>
              <w:t>2</w:t>
            </w:r>
          </w:p>
        </w:tc>
        <w:tc>
          <w:tcPr>
            <w:tcW w:w="5531" w:type="dxa"/>
            <w:shd w:val="clear" w:color="auto" w:fill="auto"/>
            <w:noWrap/>
          </w:tcPr>
          <w:p>
            <w:pPr>
              <w:rPr>
                <w:rFonts w:eastAsia="仿宋_GB2312"/>
                <w:sz w:val="22"/>
              </w:rPr>
            </w:pPr>
            <w:r>
              <w:rPr>
                <w:rFonts w:eastAsia="仿宋_GB2312"/>
                <w:color w:val="000000"/>
                <w:sz w:val="22"/>
              </w:rPr>
              <w:t>按时提交月、季、半年和年度报表和财务计划，得</w:t>
            </w:r>
            <w:r>
              <w:rPr>
                <w:rFonts w:hint="eastAsia" w:eastAsia="仿宋_GB2312"/>
                <w:color w:val="000000"/>
                <w:sz w:val="22"/>
              </w:rPr>
              <w:t>2</w:t>
            </w:r>
            <w:r>
              <w:rPr>
                <w:rFonts w:eastAsia="仿宋_GB2312"/>
                <w:color w:val="000000"/>
                <w:sz w:val="22"/>
              </w:rPr>
              <w:t>分；未按时提交，不得分。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restart"/>
            <w:shd w:val="clear" w:color="auto" w:fill="auto"/>
            <w:noWrap/>
            <w:vAlign w:val="center"/>
          </w:tcPr>
          <w:p>
            <w:pPr>
              <w:jc w:val="center"/>
              <w:rPr>
                <w:rFonts w:eastAsia="仿宋_GB2312"/>
                <w:sz w:val="22"/>
              </w:rPr>
            </w:pPr>
            <w:r>
              <w:rPr>
                <w:rFonts w:eastAsia="仿宋_GB2312"/>
                <w:sz w:val="22"/>
              </w:rPr>
              <w:t>七</w:t>
            </w:r>
          </w:p>
        </w:tc>
        <w:tc>
          <w:tcPr>
            <w:tcW w:w="1275" w:type="dxa"/>
            <w:vMerge w:val="restart"/>
            <w:shd w:val="clear" w:color="auto" w:fill="auto"/>
            <w:noWrap/>
            <w:vAlign w:val="center"/>
          </w:tcPr>
          <w:p>
            <w:pPr>
              <w:jc w:val="center"/>
              <w:rPr>
                <w:rFonts w:eastAsia="仿宋_GB2312"/>
                <w:sz w:val="22"/>
              </w:rPr>
            </w:pPr>
            <w:r>
              <w:rPr>
                <w:rFonts w:eastAsia="仿宋_GB2312"/>
                <w:sz w:val="22"/>
              </w:rPr>
              <w:t>维护质量（13）</w:t>
            </w:r>
          </w:p>
        </w:tc>
        <w:tc>
          <w:tcPr>
            <w:tcW w:w="1275" w:type="dxa"/>
            <w:shd w:val="clear" w:color="auto" w:fill="auto"/>
            <w:noWrap/>
            <w:vAlign w:val="center"/>
          </w:tcPr>
          <w:p>
            <w:pPr>
              <w:jc w:val="center"/>
              <w:rPr>
                <w:rFonts w:eastAsia="仿宋_GB2312"/>
                <w:sz w:val="22"/>
              </w:rPr>
            </w:pPr>
            <w:r>
              <w:rPr>
                <w:rFonts w:eastAsia="仿宋_GB2312"/>
                <w:sz w:val="22"/>
              </w:rPr>
              <w:t>维护效率</w:t>
            </w:r>
          </w:p>
        </w:tc>
        <w:tc>
          <w:tcPr>
            <w:tcW w:w="850" w:type="dxa"/>
            <w:shd w:val="clear" w:color="auto" w:fill="auto"/>
            <w:noWrap/>
            <w:vAlign w:val="center"/>
          </w:tcPr>
          <w:p>
            <w:pPr>
              <w:jc w:val="center"/>
              <w:rPr>
                <w:rFonts w:eastAsia="仿宋_GB2312"/>
                <w:sz w:val="22"/>
              </w:rPr>
            </w:pPr>
            <w:r>
              <w:rPr>
                <w:rFonts w:eastAsia="仿宋_GB2312"/>
                <w:sz w:val="22"/>
              </w:rPr>
              <w:t>5</w:t>
            </w:r>
          </w:p>
        </w:tc>
        <w:tc>
          <w:tcPr>
            <w:tcW w:w="5531" w:type="dxa"/>
            <w:shd w:val="clear" w:color="auto" w:fill="auto"/>
            <w:noWrap/>
          </w:tcPr>
          <w:p>
            <w:pPr>
              <w:rPr>
                <w:rFonts w:eastAsia="仿宋_GB2312"/>
                <w:sz w:val="22"/>
              </w:rPr>
            </w:pPr>
            <w:r>
              <w:rPr>
                <w:rFonts w:hint="eastAsia" w:eastAsia="仿宋_GB2312"/>
                <w:sz w:val="22"/>
              </w:rPr>
              <w:t>对各项检查中存在的问题和各种投诉能及时整改，得5分；整改不及时或整改不到位，不得分。</w:t>
            </w:r>
          </w:p>
        </w:tc>
        <w:tc>
          <w:tcPr>
            <w:tcW w:w="688" w:type="dxa"/>
            <w:shd w:val="clear" w:color="auto" w:fill="auto"/>
            <w:noWrap/>
          </w:tcPr>
          <w:p>
            <w:pPr>
              <w:jc w:val="center"/>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7" w:type="dxa"/>
            <w:vMerge w:val="continue"/>
            <w:shd w:val="clear" w:color="auto" w:fill="auto"/>
            <w:noWrap/>
            <w:vAlign w:val="center"/>
          </w:tcPr>
          <w:p>
            <w:pPr>
              <w:jc w:val="center"/>
              <w:rPr>
                <w:rFonts w:eastAsia="仿宋_GB2312"/>
                <w:sz w:val="22"/>
              </w:rPr>
            </w:pPr>
          </w:p>
        </w:tc>
        <w:tc>
          <w:tcPr>
            <w:tcW w:w="1275" w:type="dxa"/>
            <w:vMerge w:val="continue"/>
            <w:shd w:val="clear" w:color="auto" w:fill="auto"/>
            <w:noWrap/>
            <w:vAlign w:val="center"/>
          </w:tcPr>
          <w:p>
            <w:pPr>
              <w:jc w:val="center"/>
              <w:rPr>
                <w:rFonts w:eastAsia="仿宋_GB2312"/>
                <w:sz w:val="22"/>
              </w:rPr>
            </w:pPr>
          </w:p>
        </w:tc>
        <w:tc>
          <w:tcPr>
            <w:tcW w:w="1275" w:type="dxa"/>
            <w:shd w:val="clear" w:color="auto" w:fill="auto"/>
            <w:noWrap/>
            <w:vAlign w:val="center"/>
          </w:tcPr>
          <w:p>
            <w:pPr>
              <w:jc w:val="center"/>
              <w:rPr>
                <w:rFonts w:eastAsia="仿宋_GB2312"/>
                <w:sz w:val="22"/>
              </w:rPr>
            </w:pPr>
            <w:r>
              <w:rPr>
                <w:rFonts w:eastAsia="仿宋_GB2312"/>
                <w:sz w:val="22"/>
              </w:rPr>
              <w:t>投诉情况</w:t>
            </w:r>
          </w:p>
        </w:tc>
        <w:tc>
          <w:tcPr>
            <w:tcW w:w="850" w:type="dxa"/>
            <w:shd w:val="clear" w:color="auto" w:fill="auto"/>
            <w:noWrap/>
            <w:vAlign w:val="center"/>
          </w:tcPr>
          <w:p>
            <w:pPr>
              <w:jc w:val="center"/>
              <w:rPr>
                <w:rFonts w:eastAsia="仿宋_GB2312"/>
                <w:sz w:val="22"/>
              </w:rPr>
            </w:pPr>
            <w:r>
              <w:rPr>
                <w:rFonts w:eastAsia="仿宋_GB2312"/>
                <w:sz w:val="22"/>
              </w:rPr>
              <w:t>8</w:t>
            </w:r>
          </w:p>
        </w:tc>
        <w:tc>
          <w:tcPr>
            <w:tcW w:w="5531" w:type="dxa"/>
            <w:shd w:val="clear" w:color="auto" w:fill="auto"/>
            <w:noWrap/>
          </w:tcPr>
          <w:p>
            <w:pPr>
              <w:rPr>
                <w:rFonts w:eastAsia="仿宋_GB2312"/>
                <w:sz w:val="22"/>
              </w:rPr>
            </w:pPr>
            <w:r>
              <w:rPr>
                <w:rFonts w:eastAsia="仿宋_GB2312"/>
                <w:color w:val="000000"/>
                <w:sz w:val="22"/>
              </w:rPr>
              <w:t>投诉一次扣1分，最高扣</w:t>
            </w:r>
            <w:r>
              <w:rPr>
                <w:rFonts w:hint="eastAsia" w:eastAsia="仿宋_GB2312"/>
                <w:color w:val="000000"/>
                <w:sz w:val="22"/>
              </w:rPr>
              <w:t>8</w:t>
            </w:r>
            <w:r>
              <w:rPr>
                <w:rFonts w:eastAsia="仿宋_GB2312"/>
                <w:color w:val="000000"/>
                <w:sz w:val="22"/>
              </w:rPr>
              <w:t>分。</w:t>
            </w:r>
          </w:p>
        </w:tc>
        <w:tc>
          <w:tcPr>
            <w:tcW w:w="688" w:type="dxa"/>
            <w:shd w:val="clear" w:color="auto" w:fill="auto"/>
            <w:noWrap/>
          </w:tcPr>
          <w:p>
            <w:pPr>
              <w:jc w:val="center"/>
              <w:rPr>
                <w:rFonts w:eastAsia="仿宋_GB2312"/>
                <w:sz w:val="22"/>
              </w:rPr>
            </w:pPr>
          </w:p>
        </w:tc>
      </w:tr>
    </w:tbl>
    <w:p>
      <w:pPr>
        <w:ind w:firstLine="560"/>
        <w:jc w:val="center"/>
        <w:rPr>
          <w:rFonts w:eastAsia="黑体"/>
          <w:b/>
          <w:bCs/>
          <w:sz w:val="28"/>
          <w:szCs w:val="28"/>
        </w:rPr>
      </w:pPr>
    </w:p>
    <w:p>
      <w:pPr>
        <w:spacing w:beforeLines="50"/>
        <w:ind w:firstLine="560" w:firstLineChars="200"/>
        <w:rPr>
          <w:sz w:val="28"/>
          <w:szCs w:val="28"/>
        </w:rPr>
      </w:pPr>
      <w:bookmarkStart w:id="279" w:name="_Toc1536"/>
      <w:r>
        <w:rPr>
          <w:sz w:val="28"/>
          <w:szCs w:val="28"/>
        </w:rPr>
        <w:t>三、 绩效考核付费机制</w:t>
      </w:r>
      <w:bookmarkEnd w:id="279"/>
    </w:p>
    <w:p>
      <w:pPr>
        <w:ind w:firstLine="480" w:firstLineChars="200"/>
        <w:rPr>
          <w:sz w:val="24"/>
          <w:szCs w:val="24"/>
        </w:rPr>
      </w:pPr>
      <w:r>
        <w:rPr>
          <w:sz w:val="24"/>
          <w:szCs w:val="24"/>
        </w:rPr>
        <w:t>（1）打分方法</w:t>
      </w:r>
    </w:p>
    <w:p>
      <w:pPr>
        <w:pStyle w:val="44"/>
        <w:ind w:firstLine="480" w:firstLineChars="200"/>
        <w:rPr>
          <w:rFonts w:ascii="宋体" w:hAnsi="宋体" w:eastAsia="宋体" w:cs="Times New Roman"/>
          <w:color w:val="auto"/>
        </w:rPr>
      </w:pPr>
      <w:r>
        <w:rPr>
          <w:rFonts w:ascii="宋体" w:hAnsi="宋体" w:eastAsia="宋体" w:cs="Times New Roman"/>
          <w:color w:val="auto"/>
        </w:rPr>
        <w:t>考核实行100分制。</w:t>
      </w:r>
    </w:p>
    <w:p>
      <w:pPr>
        <w:ind w:firstLine="480" w:firstLineChars="200"/>
        <w:rPr>
          <w:sz w:val="24"/>
          <w:szCs w:val="24"/>
        </w:rPr>
      </w:pPr>
      <w:r>
        <w:rPr>
          <w:sz w:val="24"/>
          <w:szCs w:val="24"/>
        </w:rPr>
        <w:t>（2）付费比例</w:t>
      </w:r>
    </w:p>
    <w:p>
      <w:pPr>
        <w:autoSpaceDE w:val="0"/>
        <w:autoSpaceDN w:val="0"/>
        <w:adjustRightInd w:val="0"/>
        <w:ind w:firstLine="480" w:firstLineChars="200"/>
        <w:rPr>
          <w:kern w:val="0"/>
          <w:sz w:val="24"/>
          <w:szCs w:val="24"/>
        </w:rPr>
      </w:pPr>
      <w:r>
        <w:rPr>
          <w:rFonts w:hint="eastAsia"/>
          <w:kern w:val="0"/>
          <w:sz w:val="24"/>
          <w:szCs w:val="24"/>
        </w:rPr>
        <w:t>污水处理年度可用性最终服务费（万元/年）＝污水处理年度可用性服务费（万元/年）×（70%+30%×α</w:t>
      </w:r>
      <w:r>
        <w:rPr>
          <w:rFonts w:hint="eastAsia"/>
          <w:kern w:val="0"/>
          <w:sz w:val="24"/>
          <w:szCs w:val="24"/>
          <w:vertAlign w:val="subscript"/>
        </w:rPr>
        <w:t>1</w:t>
      </w:r>
      <w:r>
        <w:rPr>
          <w:rFonts w:hint="eastAsia"/>
          <w:kern w:val="0"/>
          <w:sz w:val="24"/>
          <w:szCs w:val="24"/>
        </w:rPr>
        <w:t>）</w:t>
      </w:r>
    </w:p>
    <w:p>
      <w:pPr>
        <w:autoSpaceDE w:val="0"/>
        <w:autoSpaceDN w:val="0"/>
        <w:adjustRightInd w:val="0"/>
        <w:ind w:firstLine="480" w:firstLineChars="200"/>
        <w:rPr>
          <w:kern w:val="0"/>
          <w:sz w:val="24"/>
          <w:szCs w:val="24"/>
        </w:rPr>
      </w:pPr>
      <w:r>
        <w:rPr>
          <w:rFonts w:hint="eastAsia"/>
          <w:kern w:val="0"/>
          <w:sz w:val="24"/>
          <w:szCs w:val="24"/>
        </w:rPr>
        <w:t>污水处理年度运维最终服务费（万元/年）＝污水处理年度运维服务费（万元/年）×α</w:t>
      </w:r>
      <w:r>
        <w:rPr>
          <w:rFonts w:hint="eastAsia"/>
          <w:kern w:val="0"/>
          <w:sz w:val="24"/>
          <w:szCs w:val="24"/>
          <w:vertAlign w:val="subscript"/>
        </w:rPr>
        <w:t>1</w:t>
      </w:r>
    </w:p>
    <w:p>
      <w:pPr>
        <w:autoSpaceDE w:val="0"/>
        <w:autoSpaceDN w:val="0"/>
        <w:adjustRightInd w:val="0"/>
        <w:ind w:firstLine="480" w:firstLineChars="200"/>
        <w:rPr>
          <w:kern w:val="0"/>
          <w:sz w:val="24"/>
          <w:szCs w:val="24"/>
        </w:rPr>
      </w:pPr>
      <w:r>
        <w:rPr>
          <w:rFonts w:hint="eastAsia"/>
          <w:kern w:val="0"/>
          <w:sz w:val="24"/>
          <w:szCs w:val="24"/>
        </w:rPr>
        <w:t>管网年度运维最终服务费（万元/年）＝管网年度运维服务费（万元/年）×α</w:t>
      </w:r>
      <w:r>
        <w:rPr>
          <w:rFonts w:hint="eastAsia"/>
          <w:kern w:val="0"/>
          <w:sz w:val="24"/>
          <w:szCs w:val="24"/>
          <w:vertAlign w:val="subscript"/>
        </w:rPr>
        <w:t>2</w:t>
      </w:r>
    </w:p>
    <w:p>
      <w:pPr>
        <w:autoSpaceDE w:val="0"/>
        <w:autoSpaceDN w:val="0"/>
        <w:adjustRightInd w:val="0"/>
        <w:ind w:firstLine="480" w:firstLineChars="200"/>
        <w:rPr>
          <w:kern w:val="0"/>
          <w:sz w:val="24"/>
          <w:szCs w:val="24"/>
        </w:rPr>
      </w:pPr>
      <w:r>
        <w:rPr>
          <w:rFonts w:hint="eastAsia"/>
          <w:kern w:val="0"/>
          <w:sz w:val="24"/>
          <w:szCs w:val="24"/>
        </w:rPr>
        <w:t>其中：</w:t>
      </w:r>
    </w:p>
    <w:p>
      <w:pPr>
        <w:autoSpaceDE w:val="0"/>
        <w:autoSpaceDN w:val="0"/>
        <w:adjustRightInd w:val="0"/>
        <w:ind w:firstLine="480" w:firstLineChars="200"/>
        <w:rPr>
          <w:kern w:val="0"/>
          <w:sz w:val="24"/>
          <w:szCs w:val="24"/>
        </w:rPr>
      </w:pPr>
      <w:r>
        <w:rPr>
          <w:rFonts w:hint="eastAsia"/>
          <w:kern w:val="0"/>
          <w:sz w:val="24"/>
          <w:szCs w:val="24"/>
        </w:rPr>
        <w:t>α</w:t>
      </w:r>
      <w:r>
        <w:rPr>
          <w:rFonts w:hint="eastAsia"/>
          <w:kern w:val="0"/>
          <w:sz w:val="24"/>
          <w:szCs w:val="24"/>
          <w:vertAlign w:val="subscript"/>
        </w:rPr>
        <w:t>1</w:t>
      </w:r>
      <w:r>
        <w:rPr>
          <w:rFonts w:hint="eastAsia"/>
          <w:kern w:val="0"/>
          <w:sz w:val="24"/>
          <w:szCs w:val="24"/>
        </w:rPr>
        <w:t>、α</w:t>
      </w:r>
      <w:r>
        <w:rPr>
          <w:rFonts w:hint="eastAsia"/>
          <w:kern w:val="0"/>
          <w:sz w:val="24"/>
          <w:szCs w:val="24"/>
          <w:vertAlign w:val="subscript"/>
        </w:rPr>
        <w:t>2</w:t>
      </w:r>
      <w:r>
        <w:rPr>
          <w:rFonts w:hint="eastAsia"/>
          <w:kern w:val="0"/>
          <w:sz w:val="24"/>
          <w:szCs w:val="24"/>
        </w:rPr>
        <w:t>分别为污水处理厂运维绩效因子、管网运维绩效因子。运维绩效因子是根据绩效考核打分设定的付费比例，付费比例设定方式为：当绩效考核得分超过85时，付费比例100%，绩效考核低于85时，每低一分则付费比例减少1%，低于60分时，付费比例为0。总评分连续两次以上低于60分或总评分累计四次不及格，可启动相关违约条款。</w:t>
      </w:r>
    </w:p>
    <w:p>
      <w:pPr>
        <w:ind w:firstLine="480" w:firstLineChars="200"/>
        <w:rPr>
          <w:sz w:val="24"/>
          <w:szCs w:val="24"/>
        </w:rPr>
      </w:pPr>
      <w:bookmarkStart w:id="280" w:name="_Toc5697"/>
      <w:r>
        <w:rPr>
          <w:sz w:val="24"/>
          <w:szCs w:val="24"/>
        </w:rPr>
        <w:t>四、移交绩效考核</w:t>
      </w:r>
      <w:bookmarkEnd w:id="280"/>
    </w:p>
    <w:p>
      <w:pPr>
        <w:pStyle w:val="44"/>
        <w:adjustRightInd/>
        <w:ind w:firstLine="480" w:firstLineChars="200"/>
        <w:rPr>
          <w:rFonts w:ascii="宋体" w:hAnsi="宋体" w:eastAsia="宋体" w:cs="Times New Roman"/>
          <w:color w:val="auto"/>
        </w:rPr>
      </w:pPr>
      <w:r>
        <w:rPr>
          <w:rFonts w:ascii="宋体" w:hAnsi="宋体" w:eastAsia="宋体" w:cs="Times New Roman"/>
          <w:color w:val="auto"/>
        </w:rPr>
        <w:t>项目移交绩效考核主要针对项目移交时的可用性和负债情况两个方面来考核，确保项目移交时零负债和正常运转，不损坏项目使用者和政府方的正当利益。</w:t>
      </w:r>
    </w:p>
    <w:p>
      <w:pPr>
        <w:autoSpaceDE w:val="0"/>
        <w:autoSpaceDN w:val="0"/>
        <w:ind w:firstLine="480" w:firstLineChars="200"/>
        <w:rPr>
          <w:rFonts w:ascii="宋体" w:hAnsi="宋体"/>
          <w:kern w:val="0"/>
          <w:sz w:val="24"/>
          <w:szCs w:val="24"/>
        </w:rPr>
      </w:pPr>
      <w:r>
        <w:rPr>
          <w:rFonts w:ascii="宋体" w:hAnsi="宋体"/>
          <w:sz w:val="24"/>
          <w:szCs w:val="24"/>
        </w:rPr>
        <w:t>本项目在移交时达到项目运维绩效考核指标的95%以上，至少不影响提供公共服务的使用标准。项目移交时具体的绩效考核指标参考运营期的绩效考核指标。针对本项目的移交时的负债情况，项目公司应接受有资质的第三方社会机构对项目进行评估、清算，并将项目资产（含设备和不动产等）移交给阳新县人民政府或其授权机构。项目公司在项目移交时须偿还项目公司名下的所有债务，不得将债务转移给政府。</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pPr>
    <w:r>
      <w:rPr>
        <w:rFonts w:hint="eastAsia" w:asciiTheme="minorEastAsia" w:hAnsiTheme="minorEastAsia"/>
      </w:rPr>
      <w:t>编制项目编号：</w:t>
    </w:r>
    <w:r>
      <w:rPr>
        <w:rFonts w:hint="eastAsia" w:asciiTheme="minorEastAsia" w:hAnsiTheme="minorEastAsia"/>
        <w:lang w:val="en-US" w:eastAsia="zh-CN"/>
      </w:rPr>
      <w:t xml:space="preserve">                                               </w:t>
    </w:r>
    <w:r>
      <w:rPr>
        <w:rFonts w:hint="eastAsia" w:ascii="宋体" w:hAnsi="宋体" w:eastAsia="宋体" w:cs="宋体"/>
        <w:kern w:val="0"/>
        <w:u w:val="single"/>
      </w:rPr>
      <w:t>湖北顺成建设工程招标代理有限公司制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75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75</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：阳新县仙岛湖污水处理厂运营服务项目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B74EE"/>
    <w:multiLevelType w:val="singleLevel"/>
    <w:tmpl w:val="AA1B74EE"/>
    <w:lvl w:ilvl="0" w:tentative="0">
      <w:start w:val="1"/>
      <w:numFmt w:val="decimal"/>
      <w:lvlText w:val="%1."/>
      <w:lvlJc w:val="left"/>
      <w:pPr>
        <w:tabs>
          <w:tab w:val="left" w:pos="312"/>
        </w:tabs>
      </w:pPr>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2">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4">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8">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2">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8">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0">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5A41A210"/>
    <w:multiLevelType w:val="singleLevel"/>
    <w:tmpl w:val="5A41A210"/>
    <w:lvl w:ilvl="0" w:tentative="0">
      <w:start w:val="1"/>
      <w:numFmt w:val="decimal"/>
      <w:suff w:val="nothing"/>
      <w:lvlText w:val="%1、"/>
      <w:lvlJc w:val="left"/>
    </w:lvl>
  </w:abstractNum>
  <w:abstractNum w:abstractNumId="5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3"/>
  </w:num>
  <w:num w:numId="3">
    <w:abstractNumId w:val="19"/>
  </w:num>
  <w:num w:numId="4">
    <w:abstractNumId w:val="52"/>
  </w:num>
  <w:num w:numId="5">
    <w:abstractNumId w:val="32"/>
  </w:num>
  <w:num w:numId="6">
    <w:abstractNumId w:val="46"/>
  </w:num>
  <w:num w:numId="7">
    <w:abstractNumId w:val="4"/>
  </w:num>
  <w:num w:numId="8">
    <w:abstractNumId w:val="40"/>
  </w:num>
  <w:num w:numId="9">
    <w:abstractNumId w:val="16"/>
  </w:num>
  <w:num w:numId="10">
    <w:abstractNumId w:val="7"/>
  </w:num>
  <w:num w:numId="11">
    <w:abstractNumId w:val="54"/>
  </w:num>
  <w:num w:numId="12">
    <w:abstractNumId w:val="34"/>
  </w:num>
  <w:num w:numId="13">
    <w:abstractNumId w:val="49"/>
  </w:num>
  <w:num w:numId="14">
    <w:abstractNumId w:val="31"/>
  </w:num>
  <w:num w:numId="15">
    <w:abstractNumId w:val="6"/>
  </w:num>
  <w:num w:numId="16">
    <w:abstractNumId w:val="24"/>
  </w:num>
  <w:num w:numId="17">
    <w:abstractNumId w:val="25"/>
  </w:num>
  <w:num w:numId="18">
    <w:abstractNumId w:val="10"/>
  </w:num>
  <w:num w:numId="19">
    <w:abstractNumId w:val="9"/>
  </w:num>
  <w:num w:numId="20">
    <w:abstractNumId w:val="63"/>
  </w:num>
  <w:num w:numId="21">
    <w:abstractNumId w:val="11"/>
  </w:num>
  <w:num w:numId="22">
    <w:abstractNumId w:val="30"/>
  </w:num>
  <w:num w:numId="23">
    <w:abstractNumId w:val="36"/>
  </w:num>
  <w:num w:numId="24">
    <w:abstractNumId w:val="39"/>
  </w:num>
  <w:num w:numId="25">
    <w:abstractNumId w:val="66"/>
  </w:num>
  <w:num w:numId="26">
    <w:abstractNumId w:val="47"/>
  </w:num>
  <w:num w:numId="27">
    <w:abstractNumId w:val="59"/>
  </w:num>
  <w:num w:numId="28">
    <w:abstractNumId w:val="64"/>
  </w:num>
  <w:num w:numId="29">
    <w:abstractNumId w:val="45"/>
  </w:num>
  <w:num w:numId="30">
    <w:abstractNumId w:val="8"/>
  </w:num>
  <w:num w:numId="31">
    <w:abstractNumId w:val="21"/>
  </w:num>
  <w:num w:numId="32">
    <w:abstractNumId w:val="60"/>
  </w:num>
  <w:num w:numId="33">
    <w:abstractNumId w:val="55"/>
  </w:num>
  <w:num w:numId="34">
    <w:abstractNumId w:val="38"/>
  </w:num>
  <w:num w:numId="35">
    <w:abstractNumId w:val="53"/>
  </w:num>
  <w:num w:numId="36">
    <w:abstractNumId w:val="26"/>
  </w:num>
  <w:num w:numId="37">
    <w:abstractNumId w:val="56"/>
  </w:num>
  <w:num w:numId="38">
    <w:abstractNumId w:val="2"/>
  </w:num>
  <w:num w:numId="39">
    <w:abstractNumId w:val="48"/>
  </w:num>
  <w:num w:numId="40">
    <w:abstractNumId w:val="28"/>
  </w:num>
  <w:num w:numId="41">
    <w:abstractNumId w:val="44"/>
  </w:num>
  <w:num w:numId="42">
    <w:abstractNumId w:val="33"/>
  </w:num>
  <w:num w:numId="43">
    <w:abstractNumId w:val="41"/>
  </w:num>
  <w:num w:numId="44">
    <w:abstractNumId w:val="35"/>
  </w:num>
  <w:num w:numId="45">
    <w:abstractNumId w:val="18"/>
  </w:num>
  <w:num w:numId="46">
    <w:abstractNumId w:val="51"/>
  </w:num>
  <w:num w:numId="47">
    <w:abstractNumId w:val="67"/>
  </w:num>
  <w:num w:numId="48">
    <w:abstractNumId w:val="20"/>
  </w:num>
  <w:num w:numId="49">
    <w:abstractNumId w:val="17"/>
  </w:num>
  <w:num w:numId="50">
    <w:abstractNumId w:val="1"/>
  </w:num>
  <w:num w:numId="51">
    <w:abstractNumId w:val="50"/>
    <w:lvlOverride w:ilvl="0">
      <w:startOverride w:val="1"/>
    </w:lvlOverride>
  </w:num>
  <w:num w:numId="52">
    <w:abstractNumId w:val="14"/>
  </w:num>
  <w:num w:numId="53">
    <w:abstractNumId w:val="27"/>
  </w:num>
  <w:num w:numId="54">
    <w:abstractNumId w:val="65"/>
  </w:num>
  <w:num w:numId="55">
    <w:abstractNumId w:val="0"/>
  </w:num>
  <w:num w:numId="56">
    <w:abstractNumId w:val="58"/>
  </w:num>
  <w:num w:numId="57">
    <w:abstractNumId w:val="42"/>
  </w:num>
  <w:num w:numId="58">
    <w:abstractNumId w:val="13"/>
  </w:num>
  <w:num w:numId="59">
    <w:abstractNumId w:val="23"/>
  </w:num>
  <w:num w:numId="60">
    <w:abstractNumId w:val="61"/>
  </w:num>
  <w:num w:numId="61">
    <w:abstractNumId w:val="37"/>
  </w:num>
  <w:num w:numId="62">
    <w:abstractNumId w:val="62"/>
  </w:num>
  <w:num w:numId="63">
    <w:abstractNumId w:val="12"/>
  </w:num>
  <w:num w:numId="64">
    <w:abstractNumId w:val="57"/>
  </w:num>
  <w:num w:numId="65">
    <w:abstractNumId w:val="22"/>
  </w:num>
  <w:num w:numId="66">
    <w:abstractNumId w:val="5"/>
  </w:num>
  <w:num w:numId="67">
    <w:abstractNumId w:val="15"/>
  </w:num>
  <w:num w:numId="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983"/>
    <w:rsid w:val="00016562"/>
    <w:rsid w:val="00017BE8"/>
    <w:rsid w:val="00020344"/>
    <w:rsid w:val="00040B72"/>
    <w:rsid w:val="00046CAA"/>
    <w:rsid w:val="000658A4"/>
    <w:rsid w:val="00077E85"/>
    <w:rsid w:val="000812D6"/>
    <w:rsid w:val="00082A9F"/>
    <w:rsid w:val="000855FE"/>
    <w:rsid w:val="00092450"/>
    <w:rsid w:val="00095415"/>
    <w:rsid w:val="000B1EA5"/>
    <w:rsid w:val="000B3053"/>
    <w:rsid w:val="000B42CE"/>
    <w:rsid w:val="000C1DBB"/>
    <w:rsid w:val="000C2224"/>
    <w:rsid w:val="000C46E9"/>
    <w:rsid w:val="000D274B"/>
    <w:rsid w:val="000E0271"/>
    <w:rsid w:val="000E4686"/>
    <w:rsid w:val="000F23CD"/>
    <w:rsid w:val="000F64E0"/>
    <w:rsid w:val="00100585"/>
    <w:rsid w:val="00122C84"/>
    <w:rsid w:val="00133220"/>
    <w:rsid w:val="001338E8"/>
    <w:rsid w:val="001641C9"/>
    <w:rsid w:val="00177C62"/>
    <w:rsid w:val="00182264"/>
    <w:rsid w:val="00185E9A"/>
    <w:rsid w:val="001A0AB1"/>
    <w:rsid w:val="001A1335"/>
    <w:rsid w:val="001A2B2A"/>
    <w:rsid w:val="001A4EBA"/>
    <w:rsid w:val="001A54E8"/>
    <w:rsid w:val="001B03BB"/>
    <w:rsid w:val="001B38CD"/>
    <w:rsid w:val="001C7B23"/>
    <w:rsid w:val="001D2460"/>
    <w:rsid w:val="001D3EE7"/>
    <w:rsid w:val="001E157C"/>
    <w:rsid w:val="001E5D69"/>
    <w:rsid w:val="001E7CEA"/>
    <w:rsid w:val="001F5375"/>
    <w:rsid w:val="00200DBC"/>
    <w:rsid w:val="00220470"/>
    <w:rsid w:val="00222B0D"/>
    <w:rsid w:val="00223408"/>
    <w:rsid w:val="00226B3A"/>
    <w:rsid w:val="002314EF"/>
    <w:rsid w:val="002334D5"/>
    <w:rsid w:val="00236772"/>
    <w:rsid w:val="002426EA"/>
    <w:rsid w:val="002446C6"/>
    <w:rsid w:val="00245792"/>
    <w:rsid w:val="00245EC8"/>
    <w:rsid w:val="0026342E"/>
    <w:rsid w:val="00266929"/>
    <w:rsid w:val="00276CFD"/>
    <w:rsid w:val="00277541"/>
    <w:rsid w:val="00293211"/>
    <w:rsid w:val="00295F64"/>
    <w:rsid w:val="002B7581"/>
    <w:rsid w:val="002C38E4"/>
    <w:rsid w:val="002D07BB"/>
    <w:rsid w:val="002D412B"/>
    <w:rsid w:val="002F4DBD"/>
    <w:rsid w:val="00310B7E"/>
    <w:rsid w:val="00310F98"/>
    <w:rsid w:val="00314B08"/>
    <w:rsid w:val="00315BC1"/>
    <w:rsid w:val="00316026"/>
    <w:rsid w:val="00320ACF"/>
    <w:rsid w:val="00323F1C"/>
    <w:rsid w:val="00333225"/>
    <w:rsid w:val="0033323B"/>
    <w:rsid w:val="00352AE1"/>
    <w:rsid w:val="00353542"/>
    <w:rsid w:val="003540BC"/>
    <w:rsid w:val="00360712"/>
    <w:rsid w:val="0036309F"/>
    <w:rsid w:val="0036474B"/>
    <w:rsid w:val="003661C8"/>
    <w:rsid w:val="00366E30"/>
    <w:rsid w:val="00377B5F"/>
    <w:rsid w:val="00383221"/>
    <w:rsid w:val="0038707A"/>
    <w:rsid w:val="00393E94"/>
    <w:rsid w:val="003B4F8E"/>
    <w:rsid w:val="003B718F"/>
    <w:rsid w:val="003B7A0D"/>
    <w:rsid w:val="003C2008"/>
    <w:rsid w:val="003C2241"/>
    <w:rsid w:val="003C305C"/>
    <w:rsid w:val="003C6083"/>
    <w:rsid w:val="003D1759"/>
    <w:rsid w:val="003D5E80"/>
    <w:rsid w:val="003E5CA0"/>
    <w:rsid w:val="003F2B92"/>
    <w:rsid w:val="003F3007"/>
    <w:rsid w:val="0040329E"/>
    <w:rsid w:val="0040679C"/>
    <w:rsid w:val="004110F8"/>
    <w:rsid w:val="00414A80"/>
    <w:rsid w:val="004161BA"/>
    <w:rsid w:val="0043068D"/>
    <w:rsid w:val="00436CC2"/>
    <w:rsid w:val="00442EA3"/>
    <w:rsid w:val="004475F1"/>
    <w:rsid w:val="00461DFE"/>
    <w:rsid w:val="004651B7"/>
    <w:rsid w:val="00476E59"/>
    <w:rsid w:val="004871A8"/>
    <w:rsid w:val="00495635"/>
    <w:rsid w:val="004A4F81"/>
    <w:rsid w:val="004B0CC2"/>
    <w:rsid w:val="004B118F"/>
    <w:rsid w:val="004B4BED"/>
    <w:rsid w:val="004C1027"/>
    <w:rsid w:val="004C5C02"/>
    <w:rsid w:val="004C62F7"/>
    <w:rsid w:val="004C750B"/>
    <w:rsid w:val="004D548F"/>
    <w:rsid w:val="004E00F2"/>
    <w:rsid w:val="004E40B4"/>
    <w:rsid w:val="004E48AF"/>
    <w:rsid w:val="004E5A44"/>
    <w:rsid w:val="004F21F4"/>
    <w:rsid w:val="004F3D90"/>
    <w:rsid w:val="004F43AD"/>
    <w:rsid w:val="005025B6"/>
    <w:rsid w:val="0050300A"/>
    <w:rsid w:val="00511E96"/>
    <w:rsid w:val="0051431F"/>
    <w:rsid w:val="0052212F"/>
    <w:rsid w:val="00522D80"/>
    <w:rsid w:val="00525A93"/>
    <w:rsid w:val="005419E9"/>
    <w:rsid w:val="005437D7"/>
    <w:rsid w:val="005445A9"/>
    <w:rsid w:val="00545B0F"/>
    <w:rsid w:val="00545EDA"/>
    <w:rsid w:val="00552BFE"/>
    <w:rsid w:val="00556850"/>
    <w:rsid w:val="00560FA5"/>
    <w:rsid w:val="0056679F"/>
    <w:rsid w:val="00573437"/>
    <w:rsid w:val="0057573F"/>
    <w:rsid w:val="00580FFF"/>
    <w:rsid w:val="005813AA"/>
    <w:rsid w:val="005967BA"/>
    <w:rsid w:val="005A28F2"/>
    <w:rsid w:val="005A58A0"/>
    <w:rsid w:val="005B12FC"/>
    <w:rsid w:val="005B6D3E"/>
    <w:rsid w:val="005B713A"/>
    <w:rsid w:val="005B765D"/>
    <w:rsid w:val="005C31D8"/>
    <w:rsid w:val="005D6632"/>
    <w:rsid w:val="005E3CD4"/>
    <w:rsid w:val="005E43F6"/>
    <w:rsid w:val="005E6BF0"/>
    <w:rsid w:val="005F1588"/>
    <w:rsid w:val="00601112"/>
    <w:rsid w:val="00601990"/>
    <w:rsid w:val="00605C0D"/>
    <w:rsid w:val="00606E54"/>
    <w:rsid w:val="006227DA"/>
    <w:rsid w:val="00623CBB"/>
    <w:rsid w:val="006302AC"/>
    <w:rsid w:val="006440C5"/>
    <w:rsid w:val="00663B35"/>
    <w:rsid w:val="00666B23"/>
    <w:rsid w:val="00671C4A"/>
    <w:rsid w:val="0067786F"/>
    <w:rsid w:val="00680A96"/>
    <w:rsid w:val="00690659"/>
    <w:rsid w:val="006A6C1D"/>
    <w:rsid w:val="006A6C51"/>
    <w:rsid w:val="006A7A3D"/>
    <w:rsid w:val="006B01CC"/>
    <w:rsid w:val="006B62FC"/>
    <w:rsid w:val="006C0B5F"/>
    <w:rsid w:val="006C1AF1"/>
    <w:rsid w:val="006C2D53"/>
    <w:rsid w:val="006C6FDC"/>
    <w:rsid w:val="006C718A"/>
    <w:rsid w:val="006D1D6E"/>
    <w:rsid w:val="006D79E6"/>
    <w:rsid w:val="006F0D07"/>
    <w:rsid w:val="00715E44"/>
    <w:rsid w:val="00722075"/>
    <w:rsid w:val="00723103"/>
    <w:rsid w:val="00725899"/>
    <w:rsid w:val="00725F67"/>
    <w:rsid w:val="007318D6"/>
    <w:rsid w:val="00732E91"/>
    <w:rsid w:val="00737211"/>
    <w:rsid w:val="00744ECC"/>
    <w:rsid w:val="00771613"/>
    <w:rsid w:val="00773A2C"/>
    <w:rsid w:val="00774EB7"/>
    <w:rsid w:val="00775A96"/>
    <w:rsid w:val="00780DBA"/>
    <w:rsid w:val="00784AEB"/>
    <w:rsid w:val="00784ED7"/>
    <w:rsid w:val="00786E84"/>
    <w:rsid w:val="00795F5C"/>
    <w:rsid w:val="007A27DA"/>
    <w:rsid w:val="007A2D91"/>
    <w:rsid w:val="007A427D"/>
    <w:rsid w:val="007C0DA7"/>
    <w:rsid w:val="007C132C"/>
    <w:rsid w:val="007C1D03"/>
    <w:rsid w:val="007D0A7D"/>
    <w:rsid w:val="007D72CF"/>
    <w:rsid w:val="007E3D3C"/>
    <w:rsid w:val="007F013A"/>
    <w:rsid w:val="007F07F2"/>
    <w:rsid w:val="007F504A"/>
    <w:rsid w:val="007F6863"/>
    <w:rsid w:val="007F6F97"/>
    <w:rsid w:val="00802536"/>
    <w:rsid w:val="00804419"/>
    <w:rsid w:val="0081114F"/>
    <w:rsid w:val="00812664"/>
    <w:rsid w:val="0081507A"/>
    <w:rsid w:val="00816910"/>
    <w:rsid w:val="00820E08"/>
    <w:rsid w:val="0082486D"/>
    <w:rsid w:val="008456E3"/>
    <w:rsid w:val="00863EDD"/>
    <w:rsid w:val="00876E59"/>
    <w:rsid w:val="00877211"/>
    <w:rsid w:val="00880069"/>
    <w:rsid w:val="0088586B"/>
    <w:rsid w:val="008879F9"/>
    <w:rsid w:val="008966BE"/>
    <w:rsid w:val="008A30BA"/>
    <w:rsid w:val="008B5601"/>
    <w:rsid w:val="008B6529"/>
    <w:rsid w:val="008D35F1"/>
    <w:rsid w:val="008D3612"/>
    <w:rsid w:val="008D5777"/>
    <w:rsid w:val="008D7D59"/>
    <w:rsid w:val="008E2203"/>
    <w:rsid w:val="008F1B81"/>
    <w:rsid w:val="008F2A18"/>
    <w:rsid w:val="008F3383"/>
    <w:rsid w:val="009020C7"/>
    <w:rsid w:val="0090240A"/>
    <w:rsid w:val="00903A2D"/>
    <w:rsid w:val="00907388"/>
    <w:rsid w:val="00914F14"/>
    <w:rsid w:val="009309F4"/>
    <w:rsid w:val="0093723A"/>
    <w:rsid w:val="009402E6"/>
    <w:rsid w:val="00943F98"/>
    <w:rsid w:val="00947542"/>
    <w:rsid w:val="00954A2F"/>
    <w:rsid w:val="00956AAC"/>
    <w:rsid w:val="00967D22"/>
    <w:rsid w:val="0097080D"/>
    <w:rsid w:val="009714FE"/>
    <w:rsid w:val="009720F8"/>
    <w:rsid w:val="00973398"/>
    <w:rsid w:val="00982AD3"/>
    <w:rsid w:val="009849C0"/>
    <w:rsid w:val="0098774A"/>
    <w:rsid w:val="009944A9"/>
    <w:rsid w:val="00996DEE"/>
    <w:rsid w:val="00997631"/>
    <w:rsid w:val="009B11C0"/>
    <w:rsid w:val="009B3048"/>
    <w:rsid w:val="009B3424"/>
    <w:rsid w:val="009C619C"/>
    <w:rsid w:val="009D36C0"/>
    <w:rsid w:val="009D7779"/>
    <w:rsid w:val="009E04AF"/>
    <w:rsid w:val="00A05AF5"/>
    <w:rsid w:val="00A0777C"/>
    <w:rsid w:val="00A30AE5"/>
    <w:rsid w:val="00A30DFD"/>
    <w:rsid w:val="00A33A80"/>
    <w:rsid w:val="00A36FFA"/>
    <w:rsid w:val="00A40BC9"/>
    <w:rsid w:val="00A41E96"/>
    <w:rsid w:val="00A46DEF"/>
    <w:rsid w:val="00A51D8F"/>
    <w:rsid w:val="00A5260C"/>
    <w:rsid w:val="00A52A2B"/>
    <w:rsid w:val="00A62860"/>
    <w:rsid w:val="00A813D2"/>
    <w:rsid w:val="00A81577"/>
    <w:rsid w:val="00A81E3B"/>
    <w:rsid w:val="00A879DB"/>
    <w:rsid w:val="00AB2B17"/>
    <w:rsid w:val="00AB3343"/>
    <w:rsid w:val="00AC14AA"/>
    <w:rsid w:val="00AC399F"/>
    <w:rsid w:val="00AC584B"/>
    <w:rsid w:val="00AD05AC"/>
    <w:rsid w:val="00AD18FC"/>
    <w:rsid w:val="00AD52A3"/>
    <w:rsid w:val="00AD634F"/>
    <w:rsid w:val="00AE02A5"/>
    <w:rsid w:val="00AE6C92"/>
    <w:rsid w:val="00AF18BF"/>
    <w:rsid w:val="00B002B6"/>
    <w:rsid w:val="00B0070A"/>
    <w:rsid w:val="00B154ED"/>
    <w:rsid w:val="00B161F2"/>
    <w:rsid w:val="00B36D9B"/>
    <w:rsid w:val="00B52520"/>
    <w:rsid w:val="00B67CCB"/>
    <w:rsid w:val="00B84A3B"/>
    <w:rsid w:val="00B956F2"/>
    <w:rsid w:val="00B9792D"/>
    <w:rsid w:val="00BA4681"/>
    <w:rsid w:val="00BA6CD0"/>
    <w:rsid w:val="00BB78CC"/>
    <w:rsid w:val="00BC386C"/>
    <w:rsid w:val="00BC3AA1"/>
    <w:rsid w:val="00BD0C54"/>
    <w:rsid w:val="00BD2144"/>
    <w:rsid w:val="00BD62C1"/>
    <w:rsid w:val="00BD681B"/>
    <w:rsid w:val="00BE3563"/>
    <w:rsid w:val="00BF5732"/>
    <w:rsid w:val="00C0257A"/>
    <w:rsid w:val="00C040D1"/>
    <w:rsid w:val="00C139A6"/>
    <w:rsid w:val="00C1592E"/>
    <w:rsid w:val="00C37092"/>
    <w:rsid w:val="00C37FEA"/>
    <w:rsid w:val="00C52140"/>
    <w:rsid w:val="00C64D3E"/>
    <w:rsid w:val="00C6680F"/>
    <w:rsid w:val="00C66A06"/>
    <w:rsid w:val="00C66ACC"/>
    <w:rsid w:val="00C72415"/>
    <w:rsid w:val="00C77E82"/>
    <w:rsid w:val="00C8468C"/>
    <w:rsid w:val="00C9289E"/>
    <w:rsid w:val="00C92F51"/>
    <w:rsid w:val="00CA0F95"/>
    <w:rsid w:val="00CB10F9"/>
    <w:rsid w:val="00CB3DF8"/>
    <w:rsid w:val="00CB413B"/>
    <w:rsid w:val="00CF09A9"/>
    <w:rsid w:val="00CF2445"/>
    <w:rsid w:val="00CF76A5"/>
    <w:rsid w:val="00D040E5"/>
    <w:rsid w:val="00D14E3A"/>
    <w:rsid w:val="00D204F5"/>
    <w:rsid w:val="00D5042D"/>
    <w:rsid w:val="00D5212A"/>
    <w:rsid w:val="00D64AB9"/>
    <w:rsid w:val="00D7177A"/>
    <w:rsid w:val="00D90694"/>
    <w:rsid w:val="00D94CD4"/>
    <w:rsid w:val="00D95940"/>
    <w:rsid w:val="00DA30A9"/>
    <w:rsid w:val="00DA4143"/>
    <w:rsid w:val="00DB00B6"/>
    <w:rsid w:val="00DB3C8A"/>
    <w:rsid w:val="00DC1131"/>
    <w:rsid w:val="00DC4938"/>
    <w:rsid w:val="00DD6657"/>
    <w:rsid w:val="00DE492C"/>
    <w:rsid w:val="00DE4A9E"/>
    <w:rsid w:val="00E02B75"/>
    <w:rsid w:val="00E05B42"/>
    <w:rsid w:val="00E14D3C"/>
    <w:rsid w:val="00E15A50"/>
    <w:rsid w:val="00E22388"/>
    <w:rsid w:val="00E2369D"/>
    <w:rsid w:val="00E32C21"/>
    <w:rsid w:val="00E34D2C"/>
    <w:rsid w:val="00E3763E"/>
    <w:rsid w:val="00E41743"/>
    <w:rsid w:val="00E54453"/>
    <w:rsid w:val="00E57570"/>
    <w:rsid w:val="00E971BC"/>
    <w:rsid w:val="00EA0C6D"/>
    <w:rsid w:val="00EB1E3A"/>
    <w:rsid w:val="00EB4033"/>
    <w:rsid w:val="00EC6C01"/>
    <w:rsid w:val="00ED0545"/>
    <w:rsid w:val="00EE3C83"/>
    <w:rsid w:val="00EE44CD"/>
    <w:rsid w:val="00EE715C"/>
    <w:rsid w:val="00F04B4C"/>
    <w:rsid w:val="00F05FC4"/>
    <w:rsid w:val="00F152FA"/>
    <w:rsid w:val="00F17360"/>
    <w:rsid w:val="00F242DA"/>
    <w:rsid w:val="00F24BF3"/>
    <w:rsid w:val="00F42684"/>
    <w:rsid w:val="00F43754"/>
    <w:rsid w:val="00F47226"/>
    <w:rsid w:val="00F5567D"/>
    <w:rsid w:val="00F63420"/>
    <w:rsid w:val="00F71D83"/>
    <w:rsid w:val="00FB2B31"/>
    <w:rsid w:val="00FC2E73"/>
    <w:rsid w:val="00FD44A8"/>
    <w:rsid w:val="00FE2024"/>
    <w:rsid w:val="00FE51C1"/>
    <w:rsid w:val="00FF4FBA"/>
    <w:rsid w:val="00FF6E00"/>
    <w:rsid w:val="01C13F4A"/>
    <w:rsid w:val="02D13E30"/>
    <w:rsid w:val="03981B69"/>
    <w:rsid w:val="03E86BF3"/>
    <w:rsid w:val="047479F9"/>
    <w:rsid w:val="05610386"/>
    <w:rsid w:val="061658EF"/>
    <w:rsid w:val="062816FB"/>
    <w:rsid w:val="06415E15"/>
    <w:rsid w:val="079C46AD"/>
    <w:rsid w:val="081A1DCD"/>
    <w:rsid w:val="09630AAF"/>
    <w:rsid w:val="09804EAF"/>
    <w:rsid w:val="0A25538F"/>
    <w:rsid w:val="0AD54518"/>
    <w:rsid w:val="0C025750"/>
    <w:rsid w:val="0C386795"/>
    <w:rsid w:val="0CE17783"/>
    <w:rsid w:val="0CF46A33"/>
    <w:rsid w:val="0D9F4347"/>
    <w:rsid w:val="0DAE3692"/>
    <w:rsid w:val="0DBD7530"/>
    <w:rsid w:val="0DF30880"/>
    <w:rsid w:val="10173D1C"/>
    <w:rsid w:val="118F1548"/>
    <w:rsid w:val="132B599E"/>
    <w:rsid w:val="13310FAA"/>
    <w:rsid w:val="133A582D"/>
    <w:rsid w:val="159A33B0"/>
    <w:rsid w:val="166C60A6"/>
    <w:rsid w:val="16CE3B28"/>
    <w:rsid w:val="17B95E09"/>
    <w:rsid w:val="18C04121"/>
    <w:rsid w:val="194F1748"/>
    <w:rsid w:val="196D63C8"/>
    <w:rsid w:val="19B917DA"/>
    <w:rsid w:val="19B945D2"/>
    <w:rsid w:val="1A6D2A0F"/>
    <w:rsid w:val="1B4E677F"/>
    <w:rsid w:val="1B5213DF"/>
    <w:rsid w:val="1E0C38B8"/>
    <w:rsid w:val="1EA01C06"/>
    <w:rsid w:val="1EED3BE1"/>
    <w:rsid w:val="1F384406"/>
    <w:rsid w:val="1F477FA2"/>
    <w:rsid w:val="1F4B56C9"/>
    <w:rsid w:val="20003306"/>
    <w:rsid w:val="200516A9"/>
    <w:rsid w:val="20C56652"/>
    <w:rsid w:val="20F61577"/>
    <w:rsid w:val="22800954"/>
    <w:rsid w:val="23391CAE"/>
    <w:rsid w:val="237D6847"/>
    <w:rsid w:val="25842D8C"/>
    <w:rsid w:val="26592275"/>
    <w:rsid w:val="26F855C1"/>
    <w:rsid w:val="276B4CEB"/>
    <w:rsid w:val="27BD651C"/>
    <w:rsid w:val="2AC14CB9"/>
    <w:rsid w:val="2C9C46FA"/>
    <w:rsid w:val="2E8807BB"/>
    <w:rsid w:val="30AA67E3"/>
    <w:rsid w:val="31614F93"/>
    <w:rsid w:val="319775BE"/>
    <w:rsid w:val="32302BD5"/>
    <w:rsid w:val="32B5598F"/>
    <w:rsid w:val="32FC1F89"/>
    <w:rsid w:val="33FB1F07"/>
    <w:rsid w:val="3450699F"/>
    <w:rsid w:val="34B306B3"/>
    <w:rsid w:val="34D760DE"/>
    <w:rsid w:val="359D72AE"/>
    <w:rsid w:val="361463CE"/>
    <w:rsid w:val="3A9D7C3F"/>
    <w:rsid w:val="3AE6651C"/>
    <w:rsid w:val="3B7453FA"/>
    <w:rsid w:val="3BEE5866"/>
    <w:rsid w:val="3DF061C6"/>
    <w:rsid w:val="3E591D55"/>
    <w:rsid w:val="3ECC71AB"/>
    <w:rsid w:val="3F187646"/>
    <w:rsid w:val="3F1A3922"/>
    <w:rsid w:val="409B0C9E"/>
    <w:rsid w:val="44946F91"/>
    <w:rsid w:val="472F0412"/>
    <w:rsid w:val="47D1088B"/>
    <w:rsid w:val="49620705"/>
    <w:rsid w:val="4A72682B"/>
    <w:rsid w:val="4C397729"/>
    <w:rsid w:val="4C601742"/>
    <w:rsid w:val="4CA2324F"/>
    <w:rsid w:val="4CA60FBC"/>
    <w:rsid w:val="4D3811D6"/>
    <w:rsid w:val="4E9109D0"/>
    <w:rsid w:val="4EB17FED"/>
    <w:rsid w:val="4ED73B67"/>
    <w:rsid w:val="4F5B7ABC"/>
    <w:rsid w:val="50035D02"/>
    <w:rsid w:val="50125516"/>
    <w:rsid w:val="503D5502"/>
    <w:rsid w:val="51D00353"/>
    <w:rsid w:val="51E616F3"/>
    <w:rsid w:val="51EA0AA4"/>
    <w:rsid w:val="520B0C95"/>
    <w:rsid w:val="52394ED9"/>
    <w:rsid w:val="52954292"/>
    <w:rsid w:val="534A60FA"/>
    <w:rsid w:val="5470699E"/>
    <w:rsid w:val="549C79A4"/>
    <w:rsid w:val="57AA3A0D"/>
    <w:rsid w:val="581A0C35"/>
    <w:rsid w:val="589E556A"/>
    <w:rsid w:val="59196C9E"/>
    <w:rsid w:val="59287DF6"/>
    <w:rsid w:val="5A201009"/>
    <w:rsid w:val="5AAF5FB6"/>
    <w:rsid w:val="5B5831A1"/>
    <w:rsid w:val="5BDF137D"/>
    <w:rsid w:val="5BF179CD"/>
    <w:rsid w:val="5D0E7285"/>
    <w:rsid w:val="5E3D3378"/>
    <w:rsid w:val="5EA9184E"/>
    <w:rsid w:val="5F01496B"/>
    <w:rsid w:val="5F770FBA"/>
    <w:rsid w:val="604629C6"/>
    <w:rsid w:val="60973BBE"/>
    <w:rsid w:val="609F42CB"/>
    <w:rsid w:val="60A96BD4"/>
    <w:rsid w:val="60B176D4"/>
    <w:rsid w:val="60B27FA5"/>
    <w:rsid w:val="61715A57"/>
    <w:rsid w:val="61B932C2"/>
    <w:rsid w:val="626F2CAB"/>
    <w:rsid w:val="62955A7C"/>
    <w:rsid w:val="63867FB6"/>
    <w:rsid w:val="660379F4"/>
    <w:rsid w:val="66552041"/>
    <w:rsid w:val="66A240EE"/>
    <w:rsid w:val="671C564E"/>
    <w:rsid w:val="679D645D"/>
    <w:rsid w:val="67A108D0"/>
    <w:rsid w:val="67A52B39"/>
    <w:rsid w:val="67F6606A"/>
    <w:rsid w:val="67FD7B0B"/>
    <w:rsid w:val="6A3276B4"/>
    <w:rsid w:val="6AD72BF2"/>
    <w:rsid w:val="6AF6570B"/>
    <w:rsid w:val="6B6B5159"/>
    <w:rsid w:val="6D1E19C3"/>
    <w:rsid w:val="6F0811BB"/>
    <w:rsid w:val="6F1700E0"/>
    <w:rsid w:val="6F486FB8"/>
    <w:rsid w:val="6FF15B43"/>
    <w:rsid w:val="70806DD9"/>
    <w:rsid w:val="70CB37C2"/>
    <w:rsid w:val="727F2850"/>
    <w:rsid w:val="74776DEA"/>
    <w:rsid w:val="74895C10"/>
    <w:rsid w:val="74CD49F8"/>
    <w:rsid w:val="750F68B4"/>
    <w:rsid w:val="752174CE"/>
    <w:rsid w:val="77386B5F"/>
    <w:rsid w:val="7802143F"/>
    <w:rsid w:val="788953C3"/>
    <w:rsid w:val="797315A3"/>
    <w:rsid w:val="7BC15133"/>
    <w:rsid w:val="7D883202"/>
    <w:rsid w:val="7EF6437B"/>
    <w:rsid w:val="7FCF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spacing w:before="160"/>
      <w:ind w:left="242"/>
      <w:outlineLvl w:val="2"/>
    </w:pPr>
    <w:rPr>
      <w:rFonts w:ascii="宋体" w:hAnsi="宋体" w:eastAsia="宋体" w:cs="宋体"/>
      <w:b/>
      <w:bCs/>
      <w:sz w:val="24"/>
      <w:szCs w:val="24"/>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8"/>
    <w:qFormat/>
    <w:uiPriority w:val="0"/>
    <w:pPr>
      <w:ind w:firstLine="420"/>
    </w:pPr>
  </w:style>
  <w:style w:type="paragraph" w:styleId="6">
    <w:name w:val="annotation text"/>
    <w:basedOn w:val="1"/>
    <w:link w:val="32"/>
    <w:unhideWhenUsed/>
    <w:qFormat/>
    <w:uiPriority w:val="99"/>
    <w:pPr>
      <w:jc w:val="left"/>
    </w:pPr>
  </w:style>
  <w:style w:type="paragraph" w:styleId="7">
    <w:name w:val="Body Text"/>
    <w:basedOn w:val="1"/>
    <w:qFormat/>
    <w:uiPriority w:val="1"/>
    <w:rPr>
      <w:rFonts w:ascii="宋体" w:hAnsi="宋体" w:eastAsia="宋体" w:cs="宋体"/>
      <w:sz w:val="24"/>
      <w:szCs w:val="24"/>
      <w:lang w:val="zh-CN" w:bidi="zh-CN"/>
    </w:rPr>
  </w:style>
  <w:style w:type="paragraph" w:styleId="8">
    <w:name w:val="Body Text Indent"/>
    <w:basedOn w:val="1"/>
    <w:unhideWhenUsed/>
    <w:qFormat/>
    <w:uiPriority w:val="99"/>
    <w:pPr>
      <w:widowControl/>
      <w:spacing w:after="120"/>
      <w:ind w:left="420"/>
    </w:pPr>
    <w:rPr>
      <w:rFonts w:ascii="Times New Roman" w:hAnsi="Times New Roman" w:cs="Times New Roman"/>
      <w:szCs w:val="21"/>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5"/>
    <w:qFormat/>
    <w:uiPriority w:val="0"/>
    <w:rPr>
      <w:rFonts w:ascii="宋体" w:hAnsi="Courier New" w:cs="Courier New"/>
      <w:szCs w:val="21"/>
    </w:rPr>
  </w:style>
  <w:style w:type="paragraph" w:styleId="11">
    <w:name w:val="endnote text"/>
    <w:basedOn w:val="1"/>
    <w:link w:val="34"/>
    <w:unhideWhenUsed/>
    <w:qFormat/>
    <w:uiPriority w:val="99"/>
    <w:pPr>
      <w:snapToGrid w:val="0"/>
      <w:jc w:val="left"/>
    </w:pPr>
  </w:style>
  <w:style w:type="paragraph" w:styleId="12">
    <w:name w:val="Balloon Text"/>
    <w:basedOn w:val="1"/>
    <w:link w:val="28"/>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line="440" w:lineRule="exact"/>
      <w:jc w:val="left"/>
    </w:pPr>
    <w:rPr>
      <w:rFonts w:eastAsia="黑体"/>
      <w:b/>
      <w:kern w:val="0"/>
      <w:sz w:val="28"/>
    </w:rPr>
  </w:style>
  <w:style w:type="paragraph" w:styleId="16">
    <w:name w:val="toc 2"/>
    <w:basedOn w:val="17"/>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7">
    <w:name w:val="引用1"/>
    <w:basedOn w:val="1"/>
    <w:next w:val="1"/>
    <w:link w:val="37"/>
    <w:qFormat/>
    <w:uiPriority w:val="29"/>
    <w:rPr>
      <w:i/>
      <w:iCs/>
      <w:color w:val="000000" w:themeColor="text1"/>
      <w14:textFill>
        <w14:solidFill>
          <w14:schemeClr w14:val="tx1"/>
        </w14:solidFill>
      </w14:textFill>
    </w:rPr>
  </w:style>
  <w:style w:type="paragraph" w:styleId="18">
    <w:name w:val="annotation subject"/>
    <w:basedOn w:val="6"/>
    <w:next w:val="6"/>
    <w:link w:val="39"/>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rPr>
  </w:style>
  <w:style w:type="character" w:styleId="23">
    <w:name w:val="endnote reference"/>
    <w:basedOn w:val="21"/>
    <w:unhideWhenUsed/>
    <w:qFormat/>
    <w:uiPriority w:val="99"/>
    <w:rPr>
      <w:vertAlign w:val="superscript"/>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qFormat/>
    <w:uiPriority w:val="99"/>
    <w:rPr>
      <w:sz w:val="21"/>
    </w:rPr>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批注框文本 Char"/>
    <w:basedOn w:val="21"/>
    <w:link w:val="12"/>
    <w:semiHidden/>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标题 1 Char"/>
    <w:basedOn w:val="21"/>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文字 Char"/>
    <w:basedOn w:val="21"/>
    <w:link w:val="6"/>
    <w:qFormat/>
    <w:uiPriority w:val="99"/>
  </w:style>
  <w:style w:type="character" w:customStyle="1" w:styleId="33">
    <w:name w:val="标题 2 Char"/>
    <w:basedOn w:val="21"/>
    <w:link w:val="3"/>
    <w:qFormat/>
    <w:uiPriority w:val="9"/>
    <w:rPr>
      <w:rFonts w:asciiTheme="majorHAnsi" w:hAnsiTheme="majorHAnsi" w:eastAsiaTheme="majorEastAsia" w:cstheme="majorBidi"/>
      <w:b/>
      <w:bCs/>
      <w:sz w:val="32"/>
      <w:szCs w:val="32"/>
    </w:rPr>
  </w:style>
  <w:style w:type="character" w:customStyle="1" w:styleId="34">
    <w:name w:val="尾注文本 Char"/>
    <w:basedOn w:val="21"/>
    <w:link w:val="11"/>
    <w:semiHidden/>
    <w:qFormat/>
    <w:uiPriority w:val="99"/>
  </w:style>
  <w:style w:type="character" w:customStyle="1" w:styleId="35">
    <w:name w:val="纯文本 Char"/>
    <w:link w:val="10"/>
    <w:qFormat/>
    <w:uiPriority w:val="0"/>
    <w:rPr>
      <w:rFonts w:ascii="宋体" w:hAnsi="Courier New" w:cs="Courier New"/>
      <w:szCs w:val="21"/>
    </w:rPr>
  </w:style>
  <w:style w:type="character" w:customStyle="1" w:styleId="36">
    <w:name w:val="纯文本 Char1"/>
    <w:basedOn w:val="21"/>
    <w:semiHidden/>
    <w:qFormat/>
    <w:uiPriority w:val="99"/>
    <w:rPr>
      <w:rFonts w:ascii="宋体" w:hAnsi="Courier New" w:eastAsia="宋体" w:cs="Courier New"/>
      <w:szCs w:val="21"/>
    </w:rPr>
  </w:style>
  <w:style w:type="character" w:customStyle="1" w:styleId="37">
    <w:name w:val="引用 Char"/>
    <w:basedOn w:val="21"/>
    <w:link w:val="17"/>
    <w:qFormat/>
    <w:uiPriority w:val="29"/>
    <w:rPr>
      <w:i/>
      <w:iCs/>
      <w:color w:val="000000" w:themeColor="text1"/>
      <w14:textFill>
        <w14:solidFill>
          <w14:schemeClr w14:val="tx1"/>
        </w14:solidFill>
      </w14:textFill>
    </w:rPr>
  </w:style>
  <w:style w:type="character" w:customStyle="1" w:styleId="38">
    <w:name w:val="正文缩进 Char"/>
    <w:link w:val="5"/>
    <w:qFormat/>
    <w:uiPriority w:val="0"/>
  </w:style>
  <w:style w:type="character" w:customStyle="1" w:styleId="39">
    <w:name w:val="批注主题 Char"/>
    <w:basedOn w:val="32"/>
    <w:link w:val="18"/>
    <w:semiHidden/>
    <w:qFormat/>
    <w:uiPriority w:val="99"/>
    <w:rPr>
      <w:b/>
      <w:bCs/>
    </w:rPr>
  </w:style>
  <w:style w:type="paragraph" w:customStyle="1" w:styleId="40">
    <w:name w:val="列出段落2"/>
    <w:basedOn w:val="1"/>
    <w:unhideWhenUsed/>
    <w:qFormat/>
    <w:uiPriority w:val="99"/>
    <w:pPr>
      <w:ind w:firstLine="420" w:firstLineChars="200"/>
    </w:pPr>
  </w:style>
  <w:style w:type="paragraph" w:customStyle="1" w:styleId="41">
    <w:name w:val="_Style 1"/>
    <w:qFormat/>
    <w:uiPriority w:val="1"/>
    <w:pPr>
      <w:adjustRightInd w:val="0"/>
      <w:snapToGrid w:val="0"/>
    </w:pPr>
    <w:rPr>
      <w:rFonts w:ascii="Tahoma" w:hAnsi="Tahoma" w:eastAsia="宋体" w:cs="Times New Roman"/>
      <w:sz w:val="22"/>
      <w:szCs w:val="22"/>
      <w:lang w:val="en-US" w:eastAsia="zh-CN" w:bidi="ar-SA"/>
    </w:rPr>
  </w:style>
  <w:style w:type="paragraph" w:styleId="42">
    <w:name w:val="List Paragraph"/>
    <w:basedOn w:val="1"/>
    <w:qFormat/>
    <w:uiPriority w:val="1"/>
    <w:pPr>
      <w:ind w:left="242" w:firstLine="479"/>
    </w:pPr>
    <w:rPr>
      <w:rFonts w:ascii="宋体" w:hAnsi="宋体" w:eastAsia="宋体" w:cs="宋体"/>
      <w:lang w:val="zh-CN" w:bidi="zh-CN"/>
    </w:rPr>
  </w:style>
  <w:style w:type="paragraph" w:customStyle="1" w:styleId="43">
    <w:name w:val="Table Paragraph"/>
    <w:basedOn w:val="1"/>
    <w:qFormat/>
    <w:uiPriority w:val="1"/>
    <w:rPr>
      <w:rFonts w:ascii="宋体" w:hAnsi="宋体" w:eastAsia="宋体" w:cs="宋体"/>
      <w:lang w:val="zh-CN" w:bidi="zh-CN"/>
    </w:rPr>
  </w:style>
  <w:style w:type="paragraph" w:customStyle="1" w:styleId="44">
    <w:name w:val="Default"/>
    <w:qFormat/>
    <w:uiPriority w:val="0"/>
    <w:pPr>
      <w:widowControl w:val="0"/>
      <w:autoSpaceDE w:val="0"/>
      <w:autoSpaceDN w:val="0"/>
      <w:adjustRightInd w:val="0"/>
      <w:spacing w:line="360" w:lineRule="auto"/>
      <w:jc w:val="both"/>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3ABEA-4F90-4E95-A8BA-57E53F22050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75</Pages>
  <Words>6580</Words>
  <Characters>37512</Characters>
  <Lines>312</Lines>
  <Paragraphs>88</Paragraphs>
  <TotalTime>0</TotalTime>
  <ScaleCrop>false</ScaleCrop>
  <LinksUpToDate>false</LinksUpToDate>
  <CharactersWithSpaces>44004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章佳</cp:lastModifiedBy>
  <cp:lastPrinted>2019-11-25T00:31:00Z</cp:lastPrinted>
  <dcterms:modified xsi:type="dcterms:W3CDTF">2019-11-25T09:15:21Z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