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sz w:val="24"/>
          <w:szCs w:val="24"/>
        </w:rPr>
      </w:pPr>
      <w:r>
        <w:rPr>
          <w:rFonts w:hint="eastAsia"/>
          <w:sz w:val="24"/>
          <w:szCs w:val="24"/>
        </w:rPr>
        <w:t>附件</w:t>
      </w:r>
      <w:r>
        <w:rPr>
          <w:sz w:val="24"/>
          <w:szCs w:val="24"/>
        </w:rPr>
        <w:t>1</w:t>
      </w:r>
      <w:r>
        <w:rPr>
          <w:rFonts w:hint="eastAsia"/>
          <w:sz w:val="24"/>
          <w:szCs w:val="24"/>
        </w:rPr>
        <w:t>：</w:t>
      </w:r>
    </w:p>
    <w:p>
      <w:pPr>
        <w:spacing w:line="360" w:lineRule="auto"/>
        <w:jc w:val="center"/>
        <w:rPr>
          <w:bCs/>
          <w:sz w:val="32"/>
          <w:szCs w:val="32"/>
        </w:rPr>
      </w:pPr>
      <w:r>
        <w:rPr>
          <w:rFonts w:hint="eastAsia"/>
          <w:sz w:val="32"/>
          <w:szCs w:val="32"/>
        </w:rPr>
        <w:t>阳新县妇幼保健院</w:t>
      </w:r>
      <w:r>
        <w:rPr>
          <w:rFonts w:hint="eastAsia"/>
          <w:bCs/>
          <w:sz w:val="32"/>
          <w:szCs w:val="32"/>
        </w:rPr>
        <w:t>2020年度医疗责任保险服务项目</w:t>
      </w:r>
    </w:p>
    <w:p>
      <w:pPr>
        <w:spacing w:line="360" w:lineRule="auto"/>
        <w:jc w:val="center"/>
        <w:rPr>
          <w:sz w:val="32"/>
          <w:szCs w:val="32"/>
        </w:rPr>
      </w:pPr>
      <w:r>
        <w:rPr>
          <w:rFonts w:hint="eastAsia"/>
          <w:sz w:val="32"/>
          <w:szCs w:val="32"/>
        </w:rPr>
        <w:t>采购需求</w:t>
      </w:r>
    </w:p>
    <w:p>
      <w:pPr>
        <w:pStyle w:val="2"/>
        <w:numPr>
          <w:ilvl w:val="0"/>
          <w:numId w:val="2"/>
        </w:numPr>
        <w:tabs>
          <w:tab w:val="clear" w:pos="576"/>
        </w:tabs>
        <w:spacing w:before="0" w:after="0" w:line="360" w:lineRule="auto"/>
        <w:ind w:left="616" w:hanging="616"/>
        <w:jc w:val="left"/>
        <w:rPr>
          <w:rFonts w:ascii="宋体" w:hAnsi="宋体" w:cs="Times New Roman"/>
          <w:bCs w:val="0"/>
          <w:sz w:val="30"/>
          <w:szCs w:val="30"/>
          <w:lang w:val="zh-CN"/>
        </w:rPr>
      </w:pPr>
      <w:bookmarkStart w:id="0" w:name="_Toc495861533"/>
      <w:bookmarkStart w:id="1" w:name="_Toc494561952"/>
      <w:bookmarkStart w:id="2" w:name="_Toc338065593"/>
      <w:bookmarkStart w:id="3" w:name="_Toc339378679"/>
      <w:r>
        <w:rPr>
          <w:rFonts w:hint="eastAsia" w:ascii="宋体" w:hAnsi="宋体" w:cs="Times New Roman"/>
          <w:bCs w:val="0"/>
          <w:sz w:val="30"/>
          <w:szCs w:val="30"/>
          <w:lang w:val="zh-CN"/>
        </w:rPr>
        <w:t>采购清单</w:t>
      </w:r>
      <w:bookmarkEnd w:id="0"/>
      <w:bookmarkEnd w:id="1"/>
    </w:p>
    <w:tbl>
      <w:tblPr>
        <w:tblStyle w:val="10"/>
        <w:tblW w:w="10020"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1007"/>
        <w:gridCol w:w="1970"/>
        <w:gridCol w:w="1843"/>
        <w:gridCol w:w="1559"/>
        <w:gridCol w:w="1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2268" w:type="dxa"/>
            <w:shd w:val="clear" w:color="auto" w:fill="auto"/>
            <w:vAlign w:val="center"/>
          </w:tcPr>
          <w:p>
            <w:pPr>
              <w:adjustRightInd w:val="0"/>
              <w:snapToGrid w:val="0"/>
              <w:spacing w:beforeAutospacing="1"/>
              <w:ind w:left="420" w:leftChars="200" w:right="283" w:rightChars="135"/>
              <w:jc w:val="center"/>
              <w:rPr>
                <w:bCs/>
                <w:color w:val="000000"/>
                <w:szCs w:val="21"/>
              </w:rPr>
            </w:pPr>
            <w:r>
              <w:rPr>
                <w:rFonts w:hAnsi="宋体"/>
                <w:bCs/>
                <w:color w:val="000000"/>
                <w:szCs w:val="21"/>
              </w:rPr>
              <w:t>服务项目</w:t>
            </w:r>
          </w:p>
        </w:tc>
        <w:tc>
          <w:tcPr>
            <w:tcW w:w="1007" w:type="dxa"/>
            <w:shd w:val="clear" w:color="auto" w:fill="auto"/>
            <w:vAlign w:val="center"/>
          </w:tcPr>
          <w:p>
            <w:pPr>
              <w:adjustRightInd w:val="0"/>
              <w:snapToGrid w:val="0"/>
              <w:spacing w:beforeAutospacing="1"/>
              <w:ind w:right="283" w:rightChars="135"/>
              <w:jc w:val="center"/>
              <w:rPr>
                <w:bCs/>
                <w:color w:val="000000"/>
                <w:szCs w:val="21"/>
              </w:rPr>
            </w:pPr>
            <w:r>
              <w:rPr>
                <w:rFonts w:hint="eastAsia" w:hAnsi="宋体"/>
                <w:bCs/>
                <w:color w:val="000000"/>
                <w:szCs w:val="21"/>
              </w:rPr>
              <w:t>承保期限</w:t>
            </w:r>
          </w:p>
        </w:tc>
        <w:tc>
          <w:tcPr>
            <w:tcW w:w="1970" w:type="dxa"/>
            <w:shd w:val="clear" w:color="auto" w:fill="auto"/>
            <w:vAlign w:val="center"/>
          </w:tcPr>
          <w:p>
            <w:pPr>
              <w:adjustRightInd w:val="0"/>
              <w:snapToGrid w:val="0"/>
              <w:spacing w:beforeAutospacing="1"/>
              <w:ind w:right="283" w:rightChars="135"/>
              <w:jc w:val="center"/>
              <w:rPr>
                <w:bCs/>
                <w:color w:val="000000"/>
                <w:szCs w:val="21"/>
              </w:rPr>
            </w:pPr>
            <w:r>
              <w:rPr>
                <w:rFonts w:hint="eastAsia" w:hAnsi="宋体"/>
                <w:bCs/>
                <w:color w:val="000000"/>
                <w:szCs w:val="21"/>
              </w:rPr>
              <w:t>一年总理赔金额</w:t>
            </w:r>
            <w:r>
              <w:rPr>
                <w:rFonts w:hAnsi="宋体"/>
                <w:bCs/>
                <w:color w:val="000000"/>
                <w:szCs w:val="21"/>
              </w:rPr>
              <w:t>（万元）</w:t>
            </w:r>
          </w:p>
        </w:tc>
        <w:tc>
          <w:tcPr>
            <w:tcW w:w="1843" w:type="dxa"/>
            <w:shd w:val="clear" w:color="auto" w:fill="auto"/>
            <w:vAlign w:val="center"/>
          </w:tcPr>
          <w:p>
            <w:pPr>
              <w:adjustRightInd w:val="0"/>
              <w:snapToGrid w:val="0"/>
              <w:spacing w:beforeAutospacing="1"/>
              <w:ind w:right="283" w:rightChars="135"/>
              <w:jc w:val="center"/>
              <w:rPr>
                <w:rFonts w:hAnsi="宋体"/>
                <w:bCs/>
                <w:color w:val="000000"/>
                <w:szCs w:val="21"/>
              </w:rPr>
            </w:pPr>
            <w:r>
              <w:rPr>
                <w:rFonts w:hAnsi="宋体"/>
                <w:bCs/>
                <w:color w:val="000000"/>
                <w:szCs w:val="21"/>
              </w:rPr>
              <w:t>每次事故</w:t>
            </w:r>
            <w:r>
              <w:rPr>
                <w:rFonts w:hint="eastAsia" w:hAnsi="宋体"/>
                <w:bCs/>
                <w:color w:val="000000"/>
                <w:szCs w:val="21"/>
              </w:rPr>
              <w:t>理赔金额（</w:t>
            </w:r>
            <w:r>
              <w:rPr>
                <w:rFonts w:hAnsi="宋体" w:cs="宋体"/>
                <w:bCs/>
                <w:color w:val="000000"/>
                <w:szCs w:val="21"/>
              </w:rPr>
              <w:t>万元</w:t>
            </w:r>
            <w:r>
              <w:rPr>
                <w:rFonts w:cs="宋体"/>
                <w:bCs/>
                <w:color w:val="000000"/>
                <w:szCs w:val="21"/>
              </w:rPr>
              <w:t xml:space="preserve"> /</w:t>
            </w:r>
            <w:r>
              <w:rPr>
                <w:rFonts w:hAnsi="宋体" w:cs="宋体"/>
                <w:bCs/>
                <w:color w:val="000000"/>
                <w:szCs w:val="21"/>
              </w:rPr>
              <w:t>次</w:t>
            </w:r>
            <w:r>
              <w:rPr>
                <w:rFonts w:hint="eastAsia" w:hAnsi="宋体"/>
                <w:bCs/>
                <w:color w:val="000000"/>
                <w:szCs w:val="21"/>
              </w:rPr>
              <w:t>）</w:t>
            </w:r>
          </w:p>
        </w:tc>
        <w:tc>
          <w:tcPr>
            <w:tcW w:w="1559" w:type="dxa"/>
            <w:shd w:val="clear" w:color="auto" w:fill="auto"/>
            <w:vAlign w:val="center"/>
          </w:tcPr>
          <w:p>
            <w:pPr>
              <w:widowControl/>
              <w:jc w:val="center"/>
              <w:rPr>
                <w:rFonts w:hAnsi="宋体"/>
                <w:bCs/>
                <w:color w:val="000000"/>
                <w:szCs w:val="21"/>
              </w:rPr>
            </w:pPr>
            <w:r>
              <w:rPr>
                <w:rFonts w:hAnsi="宋体"/>
                <w:bCs/>
                <w:color w:val="000000"/>
                <w:szCs w:val="21"/>
              </w:rPr>
              <w:t>每人</w:t>
            </w:r>
            <w:r>
              <w:rPr>
                <w:rFonts w:hint="eastAsia" w:hAnsi="宋体"/>
                <w:bCs/>
                <w:color w:val="000000"/>
                <w:szCs w:val="21"/>
              </w:rPr>
              <w:t>理赔金额</w:t>
            </w:r>
          </w:p>
          <w:p>
            <w:pPr>
              <w:widowControl/>
              <w:jc w:val="center"/>
              <w:rPr>
                <w:bCs/>
                <w:color w:val="000000"/>
                <w:szCs w:val="21"/>
              </w:rPr>
            </w:pPr>
            <w:r>
              <w:rPr>
                <w:rFonts w:hint="eastAsia" w:hAnsi="宋体"/>
                <w:bCs/>
                <w:color w:val="000000"/>
                <w:szCs w:val="21"/>
              </w:rPr>
              <w:t>（</w:t>
            </w:r>
            <w:r>
              <w:rPr>
                <w:rFonts w:hAnsi="宋体" w:cs="宋体"/>
                <w:bCs/>
                <w:color w:val="000000"/>
                <w:szCs w:val="21"/>
              </w:rPr>
              <w:t>万元</w:t>
            </w:r>
            <w:r>
              <w:rPr>
                <w:rFonts w:cs="宋体"/>
                <w:bCs/>
                <w:color w:val="000000"/>
                <w:szCs w:val="21"/>
              </w:rPr>
              <w:t xml:space="preserve"> /</w:t>
            </w:r>
            <w:r>
              <w:rPr>
                <w:rFonts w:hAnsi="宋体" w:cs="宋体"/>
                <w:bCs/>
                <w:color w:val="000000"/>
                <w:szCs w:val="21"/>
              </w:rPr>
              <w:t>人</w:t>
            </w:r>
            <w:r>
              <w:rPr>
                <w:rFonts w:hint="eastAsia" w:hAnsi="宋体"/>
                <w:bCs/>
                <w:color w:val="000000"/>
                <w:szCs w:val="21"/>
              </w:rPr>
              <w:t>）</w:t>
            </w:r>
          </w:p>
        </w:tc>
        <w:tc>
          <w:tcPr>
            <w:tcW w:w="1373" w:type="dxa"/>
            <w:shd w:val="clear" w:color="auto" w:fill="auto"/>
            <w:vAlign w:val="center"/>
          </w:tcPr>
          <w:p>
            <w:pPr>
              <w:widowControl/>
              <w:rPr>
                <w:rFonts w:hAnsi="宋体"/>
                <w:bCs/>
                <w:color w:val="000000"/>
                <w:szCs w:val="21"/>
              </w:rPr>
            </w:pPr>
            <w:r>
              <w:rPr>
                <w:rFonts w:hAnsi="宋体"/>
                <w:bCs/>
                <w:color w:val="000000"/>
                <w:szCs w:val="21"/>
              </w:rPr>
              <w:t>总保费</w:t>
            </w:r>
          </w:p>
          <w:p>
            <w:pPr>
              <w:widowControl/>
              <w:rPr>
                <w:bCs/>
                <w:color w:val="000000"/>
                <w:szCs w:val="21"/>
              </w:rPr>
            </w:pPr>
            <w:r>
              <w:rPr>
                <w:rFonts w:hAnsi="宋体"/>
                <w:bCs/>
                <w:color w:val="000000"/>
                <w:szCs w:val="21"/>
              </w:rPr>
              <w:t>（万</w:t>
            </w:r>
            <w:r>
              <w:rPr>
                <w:rFonts w:hint="eastAsia" w:hAnsi="宋体"/>
                <w:bCs/>
                <w:color w:val="000000"/>
                <w:szCs w:val="21"/>
              </w:rPr>
              <w:t>元</w:t>
            </w:r>
            <w:r>
              <w:rPr>
                <w:rFonts w:hAnsi="宋体"/>
                <w:bCs/>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2268" w:type="dxa"/>
            <w:shd w:val="clear" w:color="auto" w:fill="auto"/>
            <w:vAlign w:val="center"/>
          </w:tcPr>
          <w:p>
            <w:pPr>
              <w:adjustRightInd w:val="0"/>
              <w:snapToGrid w:val="0"/>
              <w:spacing w:beforeAutospacing="1"/>
              <w:ind w:left="420" w:leftChars="200" w:right="283" w:rightChars="135"/>
              <w:jc w:val="center"/>
              <w:rPr>
                <w:rFonts w:cs="宋体"/>
                <w:bCs/>
                <w:color w:val="000000"/>
                <w:szCs w:val="21"/>
              </w:rPr>
            </w:pPr>
            <w:r>
              <w:rPr>
                <w:rFonts w:hint="eastAsia" w:cs="宋体"/>
                <w:bCs/>
                <w:color w:val="000000"/>
                <w:szCs w:val="21"/>
              </w:rPr>
              <w:t>2020年度医疗责任保险服务</w:t>
            </w:r>
          </w:p>
        </w:tc>
        <w:tc>
          <w:tcPr>
            <w:tcW w:w="1007" w:type="dxa"/>
            <w:shd w:val="clear" w:color="auto" w:fill="auto"/>
            <w:vAlign w:val="center"/>
          </w:tcPr>
          <w:p>
            <w:pPr>
              <w:adjustRightInd w:val="0"/>
              <w:snapToGrid w:val="0"/>
              <w:spacing w:beforeAutospacing="1"/>
              <w:ind w:right="283" w:rightChars="135"/>
              <w:jc w:val="center"/>
              <w:rPr>
                <w:rFonts w:cs="宋体"/>
                <w:bCs/>
                <w:color w:val="000000"/>
                <w:szCs w:val="21"/>
              </w:rPr>
            </w:pPr>
            <w:r>
              <w:rPr>
                <w:rFonts w:cs="宋体"/>
                <w:bCs/>
                <w:color w:val="000000"/>
                <w:szCs w:val="21"/>
              </w:rPr>
              <w:t>1</w:t>
            </w:r>
            <w:r>
              <w:rPr>
                <w:rFonts w:hAnsi="宋体" w:cs="宋体"/>
                <w:bCs/>
                <w:color w:val="000000"/>
                <w:szCs w:val="21"/>
              </w:rPr>
              <w:t>年</w:t>
            </w:r>
          </w:p>
        </w:tc>
        <w:tc>
          <w:tcPr>
            <w:tcW w:w="1970" w:type="dxa"/>
            <w:shd w:val="clear" w:color="auto" w:fill="auto"/>
            <w:vAlign w:val="center"/>
          </w:tcPr>
          <w:p>
            <w:pPr>
              <w:adjustRightInd w:val="0"/>
              <w:snapToGrid w:val="0"/>
              <w:spacing w:beforeAutospacing="1"/>
              <w:ind w:right="283" w:rightChars="135"/>
              <w:jc w:val="center"/>
              <w:rPr>
                <w:rFonts w:cs="宋体"/>
                <w:bCs/>
                <w:color w:val="000000"/>
                <w:szCs w:val="21"/>
              </w:rPr>
            </w:pPr>
            <w:r>
              <w:rPr>
                <w:rFonts w:hint="eastAsia" w:cs="宋体"/>
                <w:bCs/>
                <w:color w:val="000000"/>
                <w:szCs w:val="21"/>
              </w:rPr>
              <w:t>142.5</w:t>
            </w:r>
          </w:p>
        </w:tc>
        <w:tc>
          <w:tcPr>
            <w:tcW w:w="1843" w:type="dxa"/>
            <w:shd w:val="clear" w:color="auto" w:fill="auto"/>
            <w:vAlign w:val="center"/>
          </w:tcPr>
          <w:p>
            <w:pPr>
              <w:adjustRightInd w:val="0"/>
              <w:snapToGrid w:val="0"/>
              <w:spacing w:beforeAutospacing="1"/>
              <w:ind w:right="283" w:rightChars="135"/>
              <w:jc w:val="center"/>
              <w:rPr>
                <w:rFonts w:cs="宋体"/>
                <w:bCs/>
                <w:color w:val="000000"/>
                <w:szCs w:val="21"/>
              </w:rPr>
            </w:pPr>
            <w:r>
              <w:rPr>
                <w:rFonts w:hint="eastAsia" w:cs="宋体"/>
                <w:bCs/>
                <w:color w:val="000000"/>
                <w:szCs w:val="21"/>
              </w:rPr>
              <w:t>≤</w:t>
            </w:r>
            <w:r>
              <w:rPr>
                <w:rFonts w:hAnsi="宋体" w:cs="宋体"/>
                <w:bCs/>
                <w:color w:val="000000"/>
                <w:szCs w:val="21"/>
              </w:rPr>
              <w:t>60</w:t>
            </w:r>
          </w:p>
        </w:tc>
        <w:tc>
          <w:tcPr>
            <w:tcW w:w="1559" w:type="dxa"/>
            <w:shd w:val="clear" w:color="auto" w:fill="auto"/>
            <w:vAlign w:val="center"/>
          </w:tcPr>
          <w:p>
            <w:pPr>
              <w:adjustRightInd w:val="0"/>
              <w:snapToGrid w:val="0"/>
              <w:spacing w:beforeAutospacing="1"/>
              <w:ind w:right="283" w:rightChars="135"/>
              <w:jc w:val="center"/>
              <w:rPr>
                <w:rFonts w:cs="宋体"/>
                <w:bCs/>
                <w:color w:val="000000"/>
                <w:szCs w:val="21"/>
              </w:rPr>
            </w:pPr>
            <w:r>
              <w:rPr>
                <w:rFonts w:hint="eastAsia" w:cs="宋体"/>
                <w:bCs/>
                <w:color w:val="000000"/>
                <w:szCs w:val="21"/>
              </w:rPr>
              <w:t>≤</w:t>
            </w:r>
            <w:r>
              <w:rPr>
                <w:rFonts w:hAnsi="宋体" w:cs="宋体"/>
                <w:bCs/>
                <w:color w:val="000000"/>
                <w:szCs w:val="21"/>
              </w:rPr>
              <w:t>60</w:t>
            </w:r>
          </w:p>
        </w:tc>
        <w:tc>
          <w:tcPr>
            <w:tcW w:w="1373" w:type="dxa"/>
            <w:shd w:val="clear" w:color="auto" w:fill="auto"/>
            <w:vAlign w:val="center"/>
          </w:tcPr>
          <w:p>
            <w:pPr>
              <w:adjustRightInd w:val="0"/>
              <w:snapToGrid w:val="0"/>
              <w:spacing w:beforeAutospacing="1"/>
              <w:ind w:right="283" w:rightChars="135"/>
              <w:jc w:val="center"/>
              <w:rPr>
                <w:rFonts w:cs="宋体"/>
                <w:bCs/>
                <w:color w:val="000000"/>
                <w:szCs w:val="21"/>
              </w:rPr>
            </w:pPr>
            <w:r>
              <w:rPr>
                <w:rFonts w:hint="eastAsia" w:cs="宋体"/>
                <w:bCs/>
                <w:color w:val="000000"/>
                <w:szCs w:val="21"/>
              </w:rPr>
              <w:t>≤71</w:t>
            </w:r>
          </w:p>
        </w:tc>
      </w:tr>
    </w:tbl>
    <w:p>
      <w:pPr>
        <w:rPr>
          <w:lang w:val="zh-CN"/>
        </w:rPr>
      </w:pPr>
      <w:r>
        <w:rPr>
          <w:rFonts w:hint="eastAsia"/>
          <w:lang w:val="zh-CN"/>
        </w:rPr>
        <w:t>注：本项目价格分以总保费为准。</w:t>
      </w:r>
    </w:p>
    <w:bookmarkEnd w:id="2"/>
    <w:bookmarkEnd w:id="3"/>
    <w:p>
      <w:pPr>
        <w:pStyle w:val="2"/>
        <w:numPr>
          <w:ilvl w:val="0"/>
          <w:numId w:val="2"/>
        </w:numPr>
        <w:tabs>
          <w:tab w:val="clear" w:pos="576"/>
        </w:tabs>
        <w:spacing w:before="0" w:after="0" w:line="360" w:lineRule="auto"/>
        <w:ind w:left="616" w:hanging="616"/>
        <w:jc w:val="left"/>
        <w:rPr>
          <w:rFonts w:ascii="宋体" w:hAnsi="宋体" w:cs="Times New Roman"/>
          <w:bCs w:val="0"/>
          <w:sz w:val="30"/>
          <w:szCs w:val="30"/>
          <w:lang w:val="zh-CN"/>
        </w:rPr>
      </w:pPr>
      <w:bookmarkStart w:id="4" w:name="_Toc494561953"/>
      <w:bookmarkStart w:id="5" w:name="_Toc495861534"/>
      <w:bookmarkStart w:id="6" w:name="_Toc339378680"/>
      <w:bookmarkStart w:id="7" w:name="_Toc338065594"/>
      <w:r>
        <w:rPr>
          <w:rFonts w:hint="eastAsia" w:ascii="宋体" w:hAnsi="宋体" w:cs="Times New Roman"/>
          <w:bCs w:val="0"/>
          <w:sz w:val="30"/>
          <w:szCs w:val="30"/>
          <w:lang w:val="zh-CN"/>
        </w:rPr>
        <w:t>概述及简介</w:t>
      </w:r>
      <w:bookmarkEnd w:id="4"/>
      <w:bookmarkEnd w:id="5"/>
    </w:p>
    <w:p>
      <w:pPr>
        <w:pStyle w:val="19"/>
        <w:spacing w:line="360" w:lineRule="auto"/>
        <w:ind w:left="420" w:firstLine="480"/>
        <w:rPr>
          <w:rFonts w:ascii="宋体" w:hAnsi="宋体"/>
          <w:color w:val="000000"/>
          <w:sz w:val="24"/>
          <w:szCs w:val="24"/>
          <w:lang w:val="zh-CN"/>
        </w:rPr>
      </w:pPr>
      <w:r>
        <w:rPr>
          <w:rFonts w:hAnsi="宋体" w:cs="宋体"/>
          <w:bCs/>
          <w:color w:val="000000"/>
          <w:sz w:val="24"/>
          <w:szCs w:val="24"/>
        </w:rPr>
        <w:t>为了加强阳新县妇幼保健院医疗责任保险工作的顺利开展，以及对医疗事件的有效防范和纠纷有效理赔，针对</w:t>
      </w:r>
      <w:r>
        <w:rPr>
          <w:rFonts w:cs="宋体"/>
          <w:bCs/>
          <w:color w:val="000000"/>
          <w:sz w:val="24"/>
          <w:szCs w:val="24"/>
        </w:rPr>
        <w:t>20</w:t>
      </w:r>
      <w:r>
        <w:rPr>
          <w:rFonts w:hint="eastAsia" w:cs="宋体"/>
          <w:bCs/>
          <w:color w:val="000000"/>
          <w:sz w:val="24"/>
          <w:szCs w:val="24"/>
        </w:rPr>
        <w:t>20</w:t>
      </w:r>
      <w:r>
        <w:rPr>
          <w:rFonts w:hAnsi="宋体" w:cs="宋体"/>
          <w:bCs/>
          <w:color w:val="000000"/>
          <w:sz w:val="24"/>
          <w:szCs w:val="24"/>
        </w:rPr>
        <w:t>年度医疗责任保险</w:t>
      </w:r>
      <w:r>
        <w:rPr>
          <w:rFonts w:hint="eastAsia" w:hAnsi="宋体" w:cs="宋体"/>
          <w:bCs/>
          <w:color w:val="000000"/>
          <w:sz w:val="24"/>
          <w:szCs w:val="24"/>
        </w:rPr>
        <w:t>，承保</w:t>
      </w:r>
      <w:r>
        <w:rPr>
          <w:rFonts w:hAnsi="宋体" w:cs="宋体"/>
          <w:bCs/>
          <w:color w:val="000000"/>
          <w:sz w:val="24"/>
          <w:szCs w:val="24"/>
        </w:rPr>
        <w:t>阳新县妇幼保健院20</w:t>
      </w:r>
      <w:r>
        <w:rPr>
          <w:rFonts w:hint="eastAsia" w:hAnsi="宋体" w:cs="宋体"/>
          <w:bCs/>
          <w:color w:val="000000"/>
          <w:sz w:val="24"/>
          <w:szCs w:val="24"/>
        </w:rPr>
        <w:t>20</w:t>
      </w:r>
      <w:r>
        <w:rPr>
          <w:rFonts w:hAnsi="宋体" w:cs="宋体"/>
          <w:bCs/>
          <w:color w:val="000000"/>
          <w:sz w:val="24"/>
          <w:szCs w:val="24"/>
        </w:rPr>
        <w:t>年度医疗责任保险</w:t>
      </w:r>
      <w:r>
        <w:rPr>
          <w:rFonts w:hint="eastAsia" w:hAnsi="宋体" w:cs="宋体"/>
          <w:bCs/>
          <w:color w:val="000000"/>
          <w:sz w:val="24"/>
          <w:szCs w:val="24"/>
        </w:rPr>
        <w:t>业务，确定一家商业保险公司承保。</w:t>
      </w:r>
    </w:p>
    <w:p>
      <w:pPr>
        <w:spacing w:line="360" w:lineRule="auto"/>
        <w:ind w:firstLine="480" w:firstLineChars="200"/>
        <w:rPr>
          <w:rFonts w:ascii="宋体" w:hAnsi="宋体" w:cs="Times New Roman"/>
          <w:sz w:val="24"/>
          <w:szCs w:val="20"/>
          <w:lang w:val="zh-CN"/>
        </w:rPr>
      </w:pPr>
    </w:p>
    <w:p>
      <w:pPr>
        <w:pStyle w:val="2"/>
        <w:numPr>
          <w:ilvl w:val="0"/>
          <w:numId w:val="2"/>
        </w:numPr>
        <w:tabs>
          <w:tab w:val="clear" w:pos="576"/>
        </w:tabs>
        <w:spacing w:before="0" w:after="0" w:line="360" w:lineRule="auto"/>
        <w:ind w:left="616" w:hanging="616"/>
        <w:jc w:val="left"/>
        <w:rPr>
          <w:rFonts w:ascii="宋体" w:hAnsi="宋体" w:cs="Times New Roman"/>
          <w:bCs w:val="0"/>
          <w:sz w:val="30"/>
          <w:szCs w:val="30"/>
          <w:lang w:val="zh-CN"/>
        </w:rPr>
      </w:pPr>
      <w:bookmarkStart w:id="8" w:name="_Toc495861535"/>
      <w:bookmarkStart w:id="9" w:name="_Toc494561954"/>
      <w:r>
        <w:rPr>
          <w:rFonts w:hint="eastAsia" w:ascii="宋体" w:hAnsi="宋体" w:cs="Times New Roman"/>
          <w:bCs w:val="0"/>
          <w:sz w:val="30"/>
          <w:szCs w:val="30"/>
          <w:lang w:val="zh-CN"/>
        </w:rPr>
        <w:t>国家相关行政主管部门颁布的强制标准、规范</w:t>
      </w:r>
      <w:bookmarkEnd w:id="8"/>
      <w:bookmarkEnd w:id="9"/>
    </w:p>
    <w:p>
      <w:pPr>
        <w:spacing w:line="360" w:lineRule="auto"/>
        <w:ind w:firstLine="475" w:firstLineChars="198"/>
        <w:rPr>
          <w:rFonts w:ascii="Helvetica" w:hAnsi="Helvetica" w:cs="Helvetica"/>
          <w:kern w:val="0"/>
          <w:sz w:val="24"/>
          <w:szCs w:val="24"/>
        </w:rPr>
      </w:pPr>
      <w:r>
        <w:rPr>
          <w:rFonts w:ascii="Helvetica" w:hAnsi="Helvetica" w:cs="Helvetica"/>
          <w:kern w:val="0"/>
          <w:sz w:val="24"/>
          <w:szCs w:val="24"/>
        </w:rPr>
        <w:t>采购</w:t>
      </w:r>
      <w:r>
        <w:rPr>
          <w:rFonts w:hint="eastAsia" w:ascii="Helvetica" w:hAnsi="Helvetica" w:cs="Helvetica"/>
          <w:kern w:val="0"/>
          <w:sz w:val="24"/>
          <w:szCs w:val="24"/>
        </w:rPr>
        <w:t>内容</w:t>
      </w:r>
      <w:r>
        <w:rPr>
          <w:rFonts w:ascii="Helvetica" w:hAnsi="Helvetica" w:cs="Helvetica"/>
          <w:kern w:val="0"/>
          <w:sz w:val="24"/>
          <w:szCs w:val="24"/>
        </w:rPr>
        <w:t>需执行的国家相关标准、行业标准、地方标准或者其他标准、规范</w:t>
      </w:r>
      <w:r>
        <w:rPr>
          <w:rFonts w:hint="eastAsia" w:ascii="Helvetica" w:hAnsi="Helvetica" w:cs="Helvetica"/>
          <w:kern w:val="0"/>
          <w:sz w:val="24"/>
          <w:szCs w:val="24"/>
        </w:rPr>
        <w:t>。</w:t>
      </w:r>
    </w:p>
    <w:p>
      <w:pPr>
        <w:spacing w:line="360" w:lineRule="auto"/>
        <w:ind w:firstLine="480" w:firstLineChars="200"/>
        <w:rPr>
          <w:rFonts w:ascii="宋体" w:hAnsi="宋体" w:cs="Times New Roman"/>
          <w:sz w:val="24"/>
          <w:szCs w:val="20"/>
          <w:lang w:val="zh-CN"/>
        </w:rPr>
      </w:pPr>
    </w:p>
    <w:bookmarkEnd w:id="6"/>
    <w:bookmarkEnd w:id="7"/>
    <w:p>
      <w:pPr>
        <w:pStyle w:val="2"/>
        <w:numPr>
          <w:ilvl w:val="0"/>
          <w:numId w:val="2"/>
        </w:numPr>
        <w:tabs>
          <w:tab w:val="clear" w:pos="576"/>
        </w:tabs>
        <w:spacing w:before="0" w:after="0" w:line="360" w:lineRule="auto"/>
        <w:ind w:left="616" w:hanging="616"/>
        <w:jc w:val="left"/>
        <w:rPr>
          <w:rFonts w:ascii="宋体" w:hAnsi="宋体" w:cs="Times New Roman"/>
          <w:bCs w:val="0"/>
          <w:sz w:val="30"/>
          <w:szCs w:val="30"/>
          <w:lang w:val="zh-CN"/>
        </w:rPr>
      </w:pPr>
      <w:bookmarkStart w:id="10" w:name="_Toc494561955"/>
      <w:bookmarkStart w:id="11" w:name="_Toc495861536"/>
      <w:r>
        <w:rPr>
          <w:rFonts w:hint="eastAsia" w:ascii="宋体" w:hAnsi="宋体" w:cs="Times New Roman"/>
          <w:bCs w:val="0"/>
          <w:sz w:val="30"/>
          <w:szCs w:val="30"/>
          <w:lang w:val="zh-CN"/>
        </w:rPr>
        <w:t>技术、服务要求</w:t>
      </w:r>
      <w:bookmarkEnd w:id="10"/>
      <w:bookmarkEnd w:id="11"/>
    </w:p>
    <w:p>
      <w:pPr>
        <w:spacing w:line="360" w:lineRule="auto"/>
        <w:rPr>
          <w:b/>
          <w:bCs/>
          <w:color w:val="000000"/>
        </w:rPr>
      </w:pPr>
      <w:r>
        <w:rPr>
          <w:rFonts w:hint="eastAsia"/>
          <w:b/>
          <w:bCs/>
          <w:color w:val="000000"/>
          <w:sz w:val="24"/>
          <w:szCs w:val="24"/>
        </w:rPr>
        <w:t>（一）保险费</w:t>
      </w:r>
    </w:p>
    <w:p>
      <w:pPr>
        <w:spacing w:line="360" w:lineRule="auto"/>
        <w:rPr>
          <w:color w:val="000000"/>
          <w:sz w:val="24"/>
          <w:szCs w:val="24"/>
        </w:rPr>
      </w:pPr>
      <w:r>
        <w:rPr>
          <w:rFonts w:hint="eastAsia"/>
          <w:color w:val="000000"/>
        </w:rPr>
        <w:t xml:space="preserve">       </w:t>
      </w:r>
      <w:r>
        <w:rPr>
          <w:rFonts w:hint="eastAsia"/>
          <w:color w:val="000000"/>
          <w:sz w:val="24"/>
          <w:szCs w:val="24"/>
        </w:rPr>
        <w:t xml:space="preserve">  1、每年保险费按前一年的业务收入的0. 5%以下（含0.5%）计算。</w:t>
      </w:r>
    </w:p>
    <w:p>
      <w:pPr>
        <w:spacing w:line="360" w:lineRule="auto"/>
        <w:rPr>
          <w:color w:val="000000"/>
          <w:sz w:val="24"/>
          <w:szCs w:val="24"/>
        </w:rPr>
      </w:pPr>
      <w:r>
        <w:rPr>
          <w:rFonts w:hint="eastAsia"/>
          <w:b/>
          <w:bCs/>
          <w:color w:val="000000"/>
          <w:sz w:val="24"/>
          <w:szCs w:val="24"/>
        </w:rPr>
        <w:t>（二）赔偿依据</w:t>
      </w:r>
      <w:r>
        <w:rPr>
          <w:rFonts w:hint="eastAsia"/>
          <w:color w:val="000000"/>
          <w:sz w:val="24"/>
          <w:szCs w:val="24"/>
        </w:rPr>
        <w:t>（符合以下任何一条均可作为赔偿依据）</w:t>
      </w:r>
    </w:p>
    <w:p>
      <w:pPr>
        <w:spacing w:line="360" w:lineRule="auto"/>
        <w:ind w:firstLine="420"/>
        <w:rPr>
          <w:color w:val="000000"/>
          <w:sz w:val="24"/>
          <w:szCs w:val="24"/>
        </w:rPr>
      </w:pPr>
      <w:r>
        <w:rPr>
          <w:rFonts w:hint="eastAsia"/>
          <w:color w:val="000000"/>
          <w:sz w:val="24"/>
          <w:szCs w:val="24"/>
        </w:rPr>
        <w:t xml:space="preserve">    (1)医学会、司法鉴定机构出具的鉴定书；</w:t>
      </w:r>
    </w:p>
    <w:p>
      <w:pPr>
        <w:spacing w:line="360" w:lineRule="auto"/>
        <w:ind w:firstLine="420"/>
        <w:rPr>
          <w:color w:val="000000"/>
          <w:sz w:val="24"/>
          <w:szCs w:val="24"/>
        </w:rPr>
      </w:pPr>
      <w:r>
        <w:rPr>
          <w:rFonts w:hint="eastAsia"/>
          <w:color w:val="000000"/>
          <w:sz w:val="24"/>
          <w:szCs w:val="24"/>
        </w:rPr>
        <w:t xml:space="preserve">    (2)阳新县医疗纠纷人民调解委员会出具的调解协议书；</w:t>
      </w:r>
    </w:p>
    <w:p>
      <w:pPr>
        <w:spacing w:line="360" w:lineRule="auto"/>
        <w:ind w:firstLine="420"/>
        <w:rPr>
          <w:color w:val="000000"/>
          <w:sz w:val="24"/>
          <w:szCs w:val="24"/>
        </w:rPr>
      </w:pPr>
      <w:r>
        <w:rPr>
          <w:rFonts w:hint="eastAsia"/>
          <w:color w:val="000000"/>
          <w:sz w:val="24"/>
          <w:szCs w:val="24"/>
        </w:rPr>
        <w:t xml:space="preserve">    (3)各级法院作出的调解书或判决书；</w:t>
      </w:r>
    </w:p>
    <w:p>
      <w:pPr>
        <w:spacing w:line="360" w:lineRule="auto"/>
        <w:ind w:firstLine="420"/>
        <w:rPr>
          <w:color w:val="000000"/>
          <w:sz w:val="24"/>
          <w:szCs w:val="24"/>
        </w:rPr>
      </w:pPr>
      <w:r>
        <w:rPr>
          <w:rFonts w:hint="eastAsia"/>
          <w:color w:val="000000"/>
          <w:sz w:val="24"/>
          <w:szCs w:val="24"/>
        </w:rPr>
        <w:t xml:space="preserve">    (4)被保险人和向其提出损害赔偿请求或其代理人协商并经供应商确认的</w:t>
      </w:r>
    </w:p>
    <w:p>
      <w:pPr>
        <w:spacing w:line="360" w:lineRule="auto"/>
        <w:ind w:firstLine="420"/>
        <w:rPr>
          <w:color w:val="000000"/>
          <w:sz w:val="24"/>
          <w:szCs w:val="24"/>
        </w:rPr>
      </w:pPr>
      <w:r>
        <w:rPr>
          <w:rFonts w:hint="eastAsia"/>
          <w:color w:val="000000"/>
          <w:sz w:val="24"/>
          <w:szCs w:val="24"/>
        </w:rPr>
        <w:t>赔偿协议书；</w:t>
      </w:r>
    </w:p>
    <w:p>
      <w:pPr>
        <w:spacing w:line="360" w:lineRule="auto"/>
        <w:ind w:firstLine="420"/>
        <w:rPr>
          <w:color w:val="000000"/>
          <w:sz w:val="24"/>
          <w:szCs w:val="24"/>
        </w:rPr>
      </w:pPr>
      <w:r>
        <w:rPr>
          <w:rFonts w:hint="eastAsia"/>
          <w:color w:val="000000"/>
          <w:sz w:val="24"/>
          <w:szCs w:val="24"/>
        </w:rPr>
        <w:t xml:space="preserve">    (5)供应商和被保险人双方认可的其它依据（可不含火化证明、死亡证明</w:t>
      </w:r>
    </w:p>
    <w:p>
      <w:pPr>
        <w:spacing w:line="360" w:lineRule="auto"/>
        <w:ind w:firstLine="420"/>
        <w:rPr>
          <w:color w:val="000000"/>
          <w:sz w:val="24"/>
          <w:szCs w:val="24"/>
        </w:rPr>
      </w:pPr>
      <w:r>
        <w:rPr>
          <w:rFonts w:hint="eastAsia"/>
          <w:color w:val="000000"/>
          <w:sz w:val="24"/>
          <w:szCs w:val="24"/>
        </w:rPr>
        <w:t>和户口注销证明等）。</w:t>
      </w:r>
    </w:p>
    <w:p>
      <w:pPr>
        <w:spacing w:line="360" w:lineRule="auto"/>
        <w:rPr>
          <w:color w:val="000000"/>
          <w:sz w:val="24"/>
          <w:szCs w:val="24"/>
        </w:rPr>
      </w:pPr>
      <w:r>
        <w:rPr>
          <w:rFonts w:hint="eastAsia"/>
          <w:b/>
          <w:bCs/>
          <w:color w:val="000000"/>
          <w:sz w:val="24"/>
          <w:szCs w:val="24"/>
        </w:rPr>
        <w:t>（三）保险赔偿及限额</w:t>
      </w:r>
    </w:p>
    <w:p>
      <w:pPr>
        <w:spacing w:line="360" w:lineRule="auto"/>
        <w:ind w:firstLine="420"/>
        <w:rPr>
          <w:color w:val="000000"/>
          <w:sz w:val="24"/>
          <w:szCs w:val="24"/>
        </w:rPr>
      </w:pPr>
      <w:r>
        <w:rPr>
          <w:rFonts w:hint="eastAsia"/>
          <w:color w:val="000000"/>
          <w:sz w:val="24"/>
          <w:szCs w:val="24"/>
        </w:rPr>
        <w:t xml:space="preserve">    1、赔付范围：承保公司赔付范围为被保险人及其医务人员在诊疗过程中发</w:t>
      </w:r>
    </w:p>
    <w:p>
      <w:pPr>
        <w:spacing w:line="360" w:lineRule="auto"/>
        <w:ind w:firstLine="420"/>
        <w:rPr>
          <w:color w:val="000000"/>
          <w:sz w:val="24"/>
          <w:szCs w:val="24"/>
        </w:rPr>
      </w:pPr>
      <w:r>
        <w:rPr>
          <w:rFonts w:hint="eastAsia"/>
          <w:color w:val="000000"/>
          <w:sz w:val="24"/>
          <w:szCs w:val="24"/>
        </w:rPr>
        <w:t>生医疗损害纠纷，根据《医疗事故处理条例》、《中华人民共和国侵权责任法》和</w:t>
      </w:r>
    </w:p>
    <w:p>
      <w:pPr>
        <w:spacing w:line="360" w:lineRule="auto"/>
        <w:ind w:firstLine="420"/>
        <w:rPr>
          <w:color w:val="000000"/>
          <w:sz w:val="24"/>
          <w:szCs w:val="24"/>
        </w:rPr>
      </w:pPr>
      <w:r>
        <w:rPr>
          <w:rFonts w:hint="eastAsia"/>
          <w:color w:val="000000"/>
          <w:sz w:val="24"/>
          <w:szCs w:val="24"/>
        </w:rPr>
        <w:t>《最高人民法院关于审理人身损害赔偿案件适用法律若干问题的解释》等法律法</w:t>
      </w:r>
    </w:p>
    <w:p>
      <w:pPr>
        <w:spacing w:line="360" w:lineRule="auto"/>
        <w:ind w:firstLine="420"/>
        <w:rPr>
          <w:color w:val="000000"/>
          <w:sz w:val="24"/>
          <w:szCs w:val="24"/>
        </w:rPr>
      </w:pPr>
      <w:r>
        <w:rPr>
          <w:rFonts w:hint="eastAsia"/>
          <w:color w:val="000000"/>
          <w:sz w:val="24"/>
          <w:szCs w:val="24"/>
        </w:rPr>
        <w:t>规规定的所有法定赔偿项目，供应商均应当按照规定赔偿，被保险人因本医疗损</w:t>
      </w:r>
    </w:p>
    <w:p>
      <w:pPr>
        <w:spacing w:line="360" w:lineRule="auto"/>
        <w:ind w:firstLine="420"/>
        <w:rPr>
          <w:color w:val="000000"/>
          <w:sz w:val="24"/>
          <w:szCs w:val="24"/>
        </w:rPr>
      </w:pPr>
      <w:r>
        <w:rPr>
          <w:rFonts w:hint="eastAsia"/>
          <w:color w:val="000000"/>
          <w:sz w:val="24"/>
          <w:szCs w:val="24"/>
        </w:rPr>
        <w:t>害纠纷所产生的律师费、鉴定费、尸检费、聘请专家事件分析费用、诉讼费和交</w:t>
      </w:r>
    </w:p>
    <w:p>
      <w:pPr>
        <w:spacing w:line="360" w:lineRule="auto"/>
        <w:ind w:firstLine="420"/>
        <w:rPr>
          <w:color w:val="000000"/>
          <w:sz w:val="24"/>
          <w:szCs w:val="24"/>
        </w:rPr>
      </w:pPr>
      <w:r>
        <w:rPr>
          <w:rFonts w:hint="eastAsia"/>
          <w:color w:val="000000"/>
          <w:sz w:val="24"/>
          <w:szCs w:val="24"/>
        </w:rPr>
        <w:t>通费等费用亦应当赔偿。</w:t>
      </w:r>
    </w:p>
    <w:p>
      <w:pPr>
        <w:spacing w:line="360" w:lineRule="auto"/>
        <w:ind w:firstLine="420"/>
        <w:rPr>
          <w:color w:val="000000"/>
          <w:sz w:val="24"/>
          <w:szCs w:val="24"/>
        </w:rPr>
      </w:pPr>
      <w:r>
        <w:rPr>
          <w:rFonts w:hint="eastAsia"/>
          <w:color w:val="000000"/>
          <w:sz w:val="24"/>
          <w:szCs w:val="24"/>
        </w:rPr>
        <w:t xml:space="preserve">    2、赔付额：供应商按照赔偿约定方案进行赔付，可按分段赔付和封顶线赔</w:t>
      </w:r>
    </w:p>
    <w:p>
      <w:pPr>
        <w:spacing w:line="360" w:lineRule="auto"/>
        <w:ind w:firstLine="420"/>
        <w:rPr>
          <w:color w:val="000000"/>
          <w:sz w:val="24"/>
          <w:szCs w:val="24"/>
        </w:rPr>
      </w:pPr>
      <w:r>
        <w:rPr>
          <w:rFonts w:hint="eastAsia"/>
          <w:color w:val="000000"/>
          <w:sz w:val="24"/>
          <w:szCs w:val="24"/>
        </w:rPr>
        <w:t>付的原则，个案赔偿系数按赔偿额5万元（含5万元）以下的个案减去免赔额后</w:t>
      </w:r>
    </w:p>
    <w:p>
      <w:pPr>
        <w:spacing w:line="360" w:lineRule="auto"/>
        <w:ind w:firstLine="420"/>
        <w:rPr>
          <w:color w:val="000000"/>
          <w:sz w:val="24"/>
          <w:szCs w:val="24"/>
        </w:rPr>
      </w:pPr>
      <w:r>
        <w:rPr>
          <w:rFonts w:hint="eastAsia"/>
          <w:color w:val="000000"/>
          <w:sz w:val="24"/>
          <w:szCs w:val="24"/>
        </w:rPr>
        <w:t>全额理赔；5-10万元（含10万元）不低于90%;10 - 20万元不低于80%; 20-</w:t>
      </w:r>
    </w:p>
    <w:p>
      <w:pPr>
        <w:spacing w:line="360" w:lineRule="auto"/>
        <w:ind w:firstLine="420"/>
        <w:rPr>
          <w:color w:val="000000"/>
          <w:sz w:val="24"/>
          <w:szCs w:val="24"/>
        </w:rPr>
      </w:pPr>
      <w:r>
        <w:rPr>
          <w:rFonts w:hint="eastAsia"/>
          <w:color w:val="000000"/>
          <w:sz w:val="24"/>
          <w:szCs w:val="24"/>
        </w:rPr>
        <w:t>30万元不低于70%;以此例推，个案最多赔付60万元封顶，当年度供应商赔偿</w:t>
      </w:r>
    </w:p>
    <w:p>
      <w:pPr>
        <w:spacing w:line="360" w:lineRule="auto"/>
        <w:ind w:firstLine="420"/>
        <w:rPr>
          <w:color w:val="000000"/>
          <w:sz w:val="24"/>
          <w:szCs w:val="24"/>
        </w:rPr>
      </w:pPr>
      <w:r>
        <w:rPr>
          <w:rFonts w:hint="eastAsia"/>
          <w:color w:val="000000"/>
          <w:sz w:val="24"/>
          <w:szCs w:val="24"/>
        </w:rPr>
        <w:t>总额最高可达到被保险人本年度保费总额的两倍。</w:t>
      </w:r>
    </w:p>
    <w:p>
      <w:pPr>
        <w:spacing w:line="360" w:lineRule="auto"/>
        <w:ind w:firstLine="420"/>
        <w:rPr>
          <w:color w:val="000000"/>
          <w:sz w:val="24"/>
          <w:szCs w:val="24"/>
        </w:rPr>
      </w:pPr>
      <w:r>
        <w:rPr>
          <w:rFonts w:hint="eastAsia"/>
          <w:color w:val="000000"/>
          <w:sz w:val="24"/>
          <w:szCs w:val="24"/>
        </w:rPr>
        <w:t xml:space="preserve">    3、免赔额：保险公司理赔实行个案1000元以下免赔。</w:t>
      </w:r>
    </w:p>
    <w:p>
      <w:pPr>
        <w:spacing w:line="360" w:lineRule="auto"/>
        <w:rPr>
          <w:color w:val="000000"/>
          <w:sz w:val="24"/>
          <w:szCs w:val="24"/>
        </w:rPr>
      </w:pPr>
      <w:r>
        <w:rPr>
          <w:rFonts w:hint="eastAsia"/>
          <w:b/>
          <w:bCs/>
          <w:color w:val="000000"/>
          <w:sz w:val="24"/>
          <w:szCs w:val="24"/>
        </w:rPr>
        <w:t>（四）理赔流程</w:t>
      </w:r>
    </w:p>
    <w:p>
      <w:pPr>
        <w:spacing w:line="360" w:lineRule="auto"/>
        <w:ind w:firstLine="420"/>
        <w:rPr>
          <w:color w:val="000000"/>
          <w:sz w:val="24"/>
          <w:szCs w:val="24"/>
        </w:rPr>
      </w:pPr>
      <w:r>
        <w:rPr>
          <w:rFonts w:hint="eastAsia"/>
          <w:color w:val="000000"/>
          <w:sz w:val="24"/>
          <w:szCs w:val="24"/>
        </w:rPr>
        <w:t xml:space="preserve">    1、案件受理：被保险人发生医疗损害纠纷后，及时向承保公司理赔专线或</w:t>
      </w:r>
    </w:p>
    <w:p>
      <w:pPr>
        <w:spacing w:line="360" w:lineRule="auto"/>
        <w:ind w:firstLine="420"/>
        <w:rPr>
          <w:color w:val="000000"/>
          <w:sz w:val="24"/>
          <w:szCs w:val="24"/>
        </w:rPr>
      </w:pPr>
      <w:r>
        <w:rPr>
          <w:rFonts w:hint="eastAsia"/>
          <w:color w:val="000000"/>
          <w:sz w:val="24"/>
          <w:szCs w:val="24"/>
        </w:rPr>
        <w:t>专人（保险合同中指定）报案，供应商应立即安排专职理赔处理人员赶赴现场，</w:t>
      </w:r>
    </w:p>
    <w:p>
      <w:pPr>
        <w:spacing w:line="360" w:lineRule="auto"/>
        <w:ind w:firstLine="420"/>
        <w:rPr>
          <w:color w:val="000000"/>
          <w:sz w:val="24"/>
          <w:szCs w:val="24"/>
        </w:rPr>
      </w:pPr>
      <w:r>
        <w:rPr>
          <w:rFonts w:hint="eastAsia"/>
          <w:color w:val="000000"/>
          <w:sz w:val="24"/>
          <w:szCs w:val="24"/>
        </w:rPr>
        <w:t>一般要求60分钟内到现场。承保公司受理医疗损害纠纷报告后，应告知医院的</w:t>
      </w:r>
    </w:p>
    <w:p>
      <w:pPr>
        <w:spacing w:line="360" w:lineRule="auto"/>
        <w:ind w:firstLine="420"/>
        <w:rPr>
          <w:color w:val="000000"/>
          <w:sz w:val="24"/>
          <w:szCs w:val="24"/>
        </w:rPr>
      </w:pPr>
      <w:r>
        <w:rPr>
          <w:rFonts w:hint="eastAsia"/>
          <w:color w:val="000000"/>
          <w:sz w:val="24"/>
          <w:szCs w:val="24"/>
        </w:rPr>
        <w:t>权力和义务，并提供建议性医疗损害纠纷处理办法、途径、程序，全程代表医院</w:t>
      </w:r>
    </w:p>
    <w:p>
      <w:pPr>
        <w:spacing w:line="360" w:lineRule="auto"/>
        <w:ind w:firstLine="420"/>
        <w:rPr>
          <w:color w:val="000000"/>
          <w:sz w:val="24"/>
          <w:szCs w:val="24"/>
        </w:rPr>
      </w:pPr>
      <w:r>
        <w:rPr>
          <w:rFonts w:hint="eastAsia"/>
          <w:color w:val="000000"/>
          <w:sz w:val="24"/>
          <w:szCs w:val="24"/>
        </w:rPr>
        <w:t>参与和监督依法依规处理医疗损害纠纷。在医疗损害纠纷调处、谈判、赔偿过程</w:t>
      </w:r>
    </w:p>
    <w:p>
      <w:pPr>
        <w:spacing w:line="360" w:lineRule="auto"/>
        <w:ind w:firstLine="480" w:firstLineChars="200"/>
        <w:rPr>
          <w:color w:val="000000"/>
          <w:sz w:val="24"/>
          <w:szCs w:val="24"/>
        </w:rPr>
      </w:pPr>
      <w:r>
        <w:rPr>
          <w:rFonts w:hint="eastAsia"/>
          <w:color w:val="000000"/>
          <w:sz w:val="24"/>
          <w:szCs w:val="24"/>
        </w:rPr>
        <w:t>中，供应商要积极参与到整个过程中，并且要站到第一线，配合人民调解委员会</w:t>
      </w:r>
    </w:p>
    <w:p>
      <w:pPr>
        <w:spacing w:line="360" w:lineRule="auto"/>
        <w:ind w:firstLine="420"/>
        <w:rPr>
          <w:color w:val="000000"/>
          <w:sz w:val="24"/>
          <w:szCs w:val="24"/>
        </w:rPr>
      </w:pPr>
      <w:r>
        <w:rPr>
          <w:rFonts w:hint="eastAsia"/>
          <w:color w:val="000000"/>
          <w:sz w:val="24"/>
          <w:szCs w:val="24"/>
        </w:rPr>
        <w:t>和被供应商开展工作。患方索赔金额在1万元以内（含1万元）的，可由医患双</w:t>
      </w:r>
    </w:p>
    <w:p>
      <w:pPr>
        <w:spacing w:line="360" w:lineRule="auto"/>
        <w:ind w:firstLine="420"/>
        <w:rPr>
          <w:color w:val="000000"/>
          <w:sz w:val="24"/>
          <w:szCs w:val="24"/>
        </w:rPr>
      </w:pPr>
      <w:r>
        <w:rPr>
          <w:rFonts w:hint="eastAsia"/>
          <w:color w:val="000000"/>
          <w:sz w:val="24"/>
          <w:szCs w:val="24"/>
        </w:rPr>
        <w:t>方自主协商赔付，但必须在阳新县医疗纠纷人民调解委员会备案。</w:t>
      </w:r>
    </w:p>
    <w:p>
      <w:pPr>
        <w:spacing w:line="360" w:lineRule="auto"/>
        <w:ind w:firstLine="420"/>
        <w:rPr>
          <w:color w:val="000000"/>
          <w:sz w:val="24"/>
          <w:szCs w:val="24"/>
        </w:rPr>
      </w:pPr>
      <w:r>
        <w:rPr>
          <w:rFonts w:hint="eastAsia"/>
          <w:color w:val="000000"/>
          <w:sz w:val="24"/>
          <w:szCs w:val="24"/>
        </w:rPr>
        <w:t xml:space="preserve">    2、理赔核算：发生医疗损害纠纷并赔偿的案件，被保险人提供有效赔偿依</w:t>
      </w:r>
    </w:p>
    <w:p>
      <w:pPr>
        <w:spacing w:line="360" w:lineRule="auto"/>
        <w:ind w:firstLine="420"/>
        <w:rPr>
          <w:color w:val="000000"/>
          <w:sz w:val="24"/>
          <w:szCs w:val="24"/>
        </w:rPr>
      </w:pPr>
      <w:r>
        <w:rPr>
          <w:rFonts w:hint="eastAsia"/>
          <w:color w:val="000000"/>
          <w:sz w:val="24"/>
          <w:szCs w:val="24"/>
        </w:rPr>
        <w:t>据及相关索赔资料，供应商在收到被保险人的理赔资料后，个案赔偿10万元（含</w:t>
      </w:r>
    </w:p>
    <w:p>
      <w:pPr>
        <w:spacing w:line="360" w:lineRule="auto"/>
        <w:ind w:firstLine="420"/>
        <w:rPr>
          <w:color w:val="000000"/>
          <w:sz w:val="24"/>
          <w:szCs w:val="24"/>
        </w:rPr>
      </w:pPr>
      <w:r>
        <w:rPr>
          <w:rFonts w:hint="eastAsia"/>
          <w:color w:val="000000"/>
          <w:sz w:val="24"/>
          <w:szCs w:val="24"/>
        </w:rPr>
        <w:t>10万元）以下的案件应当在7个工作日内、10万元以上的案件应当在15个工作</w:t>
      </w:r>
    </w:p>
    <w:p>
      <w:pPr>
        <w:spacing w:line="360" w:lineRule="auto"/>
        <w:ind w:firstLine="420"/>
        <w:rPr>
          <w:color w:val="000000"/>
          <w:sz w:val="24"/>
          <w:szCs w:val="24"/>
        </w:rPr>
      </w:pPr>
      <w:r>
        <w:rPr>
          <w:rFonts w:hint="eastAsia"/>
          <w:color w:val="000000"/>
          <w:sz w:val="24"/>
          <w:szCs w:val="24"/>
        </w:rPr>
        <w:t>日内按保险合同进行理算、核赔和支付赔款结案，并按被保险人提供的银行账号，</w:t>
      </w:r>
    </w:p>
    <w:p>
      <w:pPr>
        <w:spacing w:line="360" w:lineRule="auto"/>
        <w:ind w:firstLine="420"/>
        <w:rPr>
          <w:color w:val="000000"/>
          <w:sz w:val="24"/>
          <w:szCs w:val="24"/>
        </w:rPr>
      </w:pPr>
      <w:r>
        <w:rPr>
          <w:rFonts w:hint="eastAsia"/>
          <w:color w:val="000000"/>
          <w:sz w:val="24"/>
          <w:szCs w:val="24"/>
        </w:rPr>
        <w:t>主动将理赔款在约定时间内划入被供应商银行账户。</w:t>
      </w:r>
    </w:p>
    <w:p>
      <w:pPr>
        <w:spacing w:line="360" w:lineRule="auto"/>
        <w:rPr>
          <w:color w:val="000000"/>
          <w:sz w:val="24"/>
          <w:szCs w:val="24"/>
        </w:rPr>
      </w:pPr>
      <w:r>
        <w:rPr>
          <w:rFonts w:hint="eastAsia"/>
          <w:b/>
          <w:bCs/>
          <w:color w:val="000000"/>
          <w:sz w:val="24"/>
          <w:szCs w:val="24"/>
        </w:rPr>
        <w:t>（五）追溯期</w:t>
      </w:r>
    </w:p>
    <w:p>
      <w:pPr>
        <w:spacing w:line="360" w:lineRule="auto"/>
        <w:ind w:firstLine="420"/>
        <w:rPr>
          <w:color w:val="000000"/>
          <w:sz w:val="24"/>
          <w:szCs w:val="24"/>
        </w:rPr>
      </w:pPr>
      <w:r>
        <w:rPr>
          <w:rFonts w:hint="eastAsia"/>
          <w:color w:val="000000"/>
          <w:sz w:val="24"/>
          <w:szCs w:val="24"/>
        </w:rPr>
        <w:t xml:space="preserve">    供应商和被保险人约定，本保险合同周期内的理赔追溯期为从本保险合同保</w:t>
      </w:r>
    </w:p>
    <w:p>
      <w:pPr>
        <w:spacing w:line="360" w:lineRule="auto"/>
        <w:ind w:firstLine="960" w:firstLineChars="400"/>
        <w:rPr>
          <w:color w:val="000000"/>
          <w:sz w:val="24"/>
          <w:szCs w:val="24"/>
        </w:rPr>
      </w:pPr>
      <w:r>
        <w:rPr>
          <w:rFonts w:hint="eastAsia"/>
          <w:color w:val="000000"/>
          <w:sz w:val="24"/>
          <w:szCs w:val="24"/>
        </w:rPr>
        <w:t>险期最后一天开始计算叁年（如：保险合同保险期内来就诊的患者，直到后3年内才到被保险人处主张权利的情形）。</w:t>
      </w:r>
    </w:p>
    <w:p>
      <w:pPr>
        <w:spacing w:line="360" w:lineRule="auto"/>
        <w:ind w:left="716" w:hanging="716" w:hangingChars="297"/>
        <w:rPr>
          <w:rFonts w:ascii="宋体" w:hAnsi="宋体" w:cs="宋体"/>
          <w:b/>
          <w:color w:val="000000"/>
          <w:sz w:val="24"/>
          <w:szCs w:val="24"/>
        </w:rPr>
      </w:pPr>
    </w:p>
    <w:p>
      <w:pPr>
        <w:pStyle w:val="2"/>
        <w:numPr>
          <w:ilvl w:val="0"/>
          <w:numId w:val="2"/>
        </w:numPr>
        <w:tabs>
          <w:tab w:val="clear" w:pos="576"/>
        </w:tabs>
        <w:spacing w:before="0" w:after="0" w:line="360" w:lineRule="auto"/>
        <w:ind w:left="616" w:hanging="616"/>
        <w:jc w:val="left"/>
        <w:rPr>
          <w:rFonts w:ascii="宋体" w:hAnsi="宋体" w:cs="Times New Roman"/>
          <w:bCs w:val="0"/>
          <w:sz w:val="30"/>
          <w:szCs w:val="30"/>
          <w:lang w:val="zh-CN"/>
        </w:rPr>
      </w:pPr>
      <w:bookmarkStart w:id="12" w:name="_Toc494561956"/>
      <w:bookmarkStart w:id="13" w:name="_Toc495861537"/>
      <w:r>
        <w:rPr>
          <w:rFonts w:hint="eastAsia" w:ascii="宋体" w:hAnsi="宋体" w:cs="Times New Roman"/>
          <w:bCs w:val="0"/>
          <w:sz w:val="30"/>
          <w:szCs w:val="30"/>
          <w:lang w:val="zh-CN"/>
        </w:rPr>
        <w:t>商务要求</w:t>
      </w:r>
      <w:bookmarkEnd w:id="12"/>
      <w:bookmarkEnd w:id="13"/>
    </w:p>
    <w:p>
      <w:pPr>
        <w:spacing w:line="360" w:lineRule="auto"/>
        <w:ind w:firstLine="960" w:firstLineChars="400"/>
        <w:rPr>
          <w:color w:val="000000"/>
          <w:sz w:val="24"/>
          <w:szCs w:val="24"/>
        </w:rPr>
      </w:pPr>
      <w:r>
        <w:rPr>
          <w:rFonts w:hint="eastAsia"/>
          <w:color w:val="000000"/>
          <w:sz w:val="24"/>
          <w:szCs w:val="24"/>
        </w:rPr>
        <w:t>l、其它未涉及到的有关项目内容，供应商应按相关规定和主管部门的管理要求执行，或由被供应商与供应商在签订合同时另行协定。</w:t>
      </w:r>
    </w:p>
    <w:p>
      <w:pPr>
        <w:spacing w:line="360" w:lineRule="auto"/>
        <w:ind w:firstLine="420"/>
        <w:rPr>
          <w:color w:val="000000"/>
          <w:sz w:val="24"/>
          <w:szCs w:val="24"/>
        </w:rPr>
      </w:pPr>
      <w:r>
        <w:rPr>
          <w:rFonts w:hint="eastAsia"/>
          <w:color w:val="000000"/>
          <w:sz w:val="24"/>
          <w:szCs w:val="24"/>
        </w:rPr>
        <w:t xml:space="preserve">    2、供应商承诺简化医疗损害纠纷处理程序，建立便捷可行的理赔工作机制。对于未经第三方进行鉴定的医疗纠纷案例，只要是由省、市、县医疗纠纷人民调解委员会国家现行的法律法规计算、医患双方同意并签订协议书的，供应商都应按照本合同履约。对于法院判决的医疗损害纠纷案例，则凭判决书按照本合同直接理赔。</w:t>
      </w:r>
    </w:p>
    <w:p>
      <w:pPr>
        <w:spacing w:line="360" w:lineRule="auto"/>
        <w:ind w:firstLine="420"/>
        <w:rPr>
          <w:color w:val="000000"/>
          <w:sz w:val="24"/>
          <w:szCs w:val="24"/>
        </w:rPr>
      </w:pPr>
      <w:r>
        <w:rPr>
          <w:rFonts w:hint="eastAsia"/>
          <w:color w:val="000000"/>
          <w:sz w:val="24"/>
          <w:szCs w:val="24"/>
        </w:rPr>
        <w:t xml:space="preserve">    3、违约行为的法律责任。违约行为包括供应商的职员工作懈怠、拒赔时没有书面向被供应商说明理由、不在合同约定的时间内赔付等等。被供应商可根据中标供应商的履约情况扣除履约保证金，对中标供应商第一次违约给予书面警告；第二次违约则扣除履约保证金的10</w:t>
      </w:r>
      <w:r>
        <w:rPr>
          <w:rFonts w:hint="eastAsia" w:ascii="宋体" w:hAnsi="宋体" w:cs="宋体"/>
          <w:color w:val="000000"/>
          <w:sz w:val="24"/>
          <w:szCs w:val="24"/>
        </w:rPr>
        <w:t>％；</w:t>
      </w:r>
      <w:r>
        <w:rPr>
          <w:rFonts w:hint="eastAsia"/>
          <w:color w:val="000000"/>
          <w:sz w:val="24"/>
          <w:szCs w:val="24"/>
        </w:rPr>
        <w:t>以后每次违约按上一次违约扣除的履约保证金的双倍金额扣除履约保证金，以此类推，直至扣完全部履约保证金，并将该供应商视为失去下一年度投标资格。</w:t>
      </w:r>
    </w:p>
    <w:p>
      <w:pPr>
        <w:spacing w:line="360" w:lineRule="auto"/>
        <w:ind w:firstLine="420"/>
        <w:rPr>
          <w:color w:val="000000"/>
          <w:sz w:val="24"/>
          <w:szCs w:val="24"/>
        </w:rPr>
      </w:pPr>
      <w:r>
        <w:rPr>
          <w:rFonts w:hint="eastAsia"/>
          <w:color w:val="000000"/>
          <w:sz w:val="24"/>
          <w:szCs w:val="24"/>
        </w:rPr>
        <w:t xml:space="preserve">    4、投保范围：在保险合同载明的保险期间、法定民事责任追溯期内及承保区域范围内，被供应商（含投保的医院本部及下设的分院、门诊部等）的医务人员在开展诊疗活动中，因发生医疗损害赔偿纠纷，经人民调解、行政调解或民事诉讼，应由被保险人承担经济赔偿责任的，依照医疗责任保险条款约定，由承保公司负责赔偿。</w:t>
      </w:r>
    </w:p>
    <w:p>
      <w:pPr>
        <w:spacing w:line="360" w:lineRule="auto"/>
        <w:ind w:firstLine="851"/>
        <w:rPr>
          <w:rFonts w:hAnsi="宋体" w:cs="宋体"/>
          <w:bCs/>
          <w:color w:val="000000"/>
          <w:sz w:val="24"/>
          <w:szCs w:val="24"/>
        </w:rPr>
      </w:pPr>
      <w:r>
        <w:rPr>
          <w:rFonts w:hint="eastAsia"/>
          <w:color w:val="000000"/>
          <w:sz w:val="24"/>
          <w:szCs w:val="24"/>
        </w:rPr>
        <w:t>5、服务期：1年（2020年1月1日~2020年12月31日）</w:t>
      </w:r>
      <w:r>
        <w:rPr>
          <w:rFonts w:hint="eastAsia" w:hAnsi="宋体" w:cs="宋体"/>
          <w:bCs/>
          <w:color w:val="000000"/>
          <w:sz w:val="24"/>
          <w:szCs w:val="24"/>
        </w:rPr>
        <w:t>。</w:t>
      </w:r>
    </w:p>
    <w:p>
      <w:pPr>
        <w:spacing w:line="360" w:lineRule="auto"/>
        <w:ind w:firstLine="851"/>
        <w:rPr>
          <w:color w:val="000000"/>
          <w:sz w:val="24"/>
          <w:szCs w:val="24"/>
        </w:rPr>
      </w:pPr>
      <w:r>
        <w:rPr>
          <w:rFonts w:hint="eastAsia" w:hAnsi="宋体" w:cs="宋体"/>
          <w:bCs/>
          <w:color w:val="000000"/>
          <w:sz w:val="24"/>
          <w:szCs w:val="24"/>
        </w:rPr>
        <w:t>6、付款方式：</w:t>
      </w:r>
      <w:r>
        <w:rPr>
          <w:rFonts w:hint="eastAsia"/>
          <w:color w:val="000000"/>
          <w:sz w:val="24"/>
          <w:szCs w:val="24"/>
        </w:rPr>
        <w:t>被保险人与供应商确定保险内容和责任、签订保险合同书后，被保险人在叁天内一次性支付保险费的95%，另5%的履约保证金在保险合同到期的前15日历天内支付，在服务期间出现对工作不配合、理赔不及时等情形，第一次扣除履约保证金中1000元，以后累加，直至扣完为止。</w:t>
      </w:r>
    </w:p>
    <w:p>
      <w:pPr>
        <w:spacing w:line="360" w:lineRule="auto"/>
        <w:ind w:firstLine="851"/>
        <w:rPr>
          <w:color w:val="000000"/>
          <w:sz w:val="24"/>
          <w:szCs w:val="24"/>
        </w:rPr>
      </w:pPr>
      <w:r>
        <w:rPr>
          <w:rFonts w:hint="eastAsia"/>
          <w:color w:val="000000"/>
          <w:sz w:val="24"/>
          <w:szCs w:val="24"/>
        </w:rPr>
        <w:t>7、服务地：在项目实施地需有正规的医疗责任险理赔部（提供房屋租赁合同或房屋购买合同等有效证明文件）。</w:t>
      </w:r>
    </w:p>
    <w:p>
      <w:pPr>
        <w:spacing w:line="360" w:lineRule="auto"/>
        <w:ind w:firstLine="851"/>
        <w:rPr>
          <w:color w:val="000000"/>
          <w:sz w:val="24"/>
          <w:szCs w:val="24"/>
        </w:rPr>
      </w:pPr>
      <w:r>
        <w:rPr>
          <w:rFonts w:hint="eastAsia"/>
          <w:color w:val="000000"/>
          <w:sz w:val="24"/>
          <w:szCs w:val="24"/>
        </w:rPr>
        <w:t>8、最高限价：本项目采购预算控制金额为71万元，超出预算控制金额将导致本次谈判无效。</w:t>
      </w:r>
    </w:p>
    <w:p>
      <w:pPr>
        <w:adjustRightInd w:val="0"/>
        <w:snapToGrid w:val="0"/>
        <w:spacing w:line="360" w:lineRule="auto"/>
        <w:jc w:val="center"/>
        <w:outlineLvl w:val="0"/>
        <w:rPr>
          <w:rFonts w:ascii="Times New Roman" w:hAnsi="Times New Roman" w:cs="Times New Roman"/>
          <w:b/>
          <w:sz w:val="36"/>
          <w:szCs w:val="36"/>
        </w:rPr>
      </w:pPr>
      <w:r>
        <w:rPr>
          <w:sz w:val="24"/>
          <w:szCs w:val="24"/>
        </w:rPr>
        <w:br w:type="page"/>
      </w:r>
      <w:r>
        <w:rPr>
          <w:rFonts w:ascii="Times New Roman" w:hAnsi="Times New Roman" w:cs="Times New Roman"/>
          <w:b/>
          <w:sz w:val="36"/>
          <w:szCs w:val="36"/>
        </w:rPr>
        <w:t>评审办法及评分标准</w:t>
      </w:r>
    </w:p>
    <w:tbl>
      <w:tblPr>
        <w:tblStyle w:val="10"/>
        <w:tblW w:w="9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1189"/>
        <w:gridCol w:w="9"/>
        <w:gridCol w:w="667"/>
        <w:gridCol w:w="7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11" w:type="dxa"/>
            <w:vMerge w:val="restart"/>
            <w:shd w:val="pct10" w:color="auto" w:fill="auto"/>
            <w:vAlign w:val="center"/>
          </w:tcPr>
          <w:p>
            <w:pPr>
              <w:ind w:left="-78" w:leftChars="-37" w:right="-86" w:rightChars="-41"/>
              <w:jc w:val="center"/>
              <w:rPr>
                <w:rFonts w:ascii="宋体" w:hAnsi="宋体" w:cs="Times New Roman"/>
                <w:b/>
                <w:color w:val="000000"/>
                <w:sz w:val="24"/>
                <w:szCs w:val="24"/>
                <w:highlight w:val="yellow"/>
              </w:rPr>
            </w:pPr>
            <w:r>
              <w:rPr>
                <w:rFonts w:hint="eastAsia" w:ascii="宋体" w:hAnsi="宋体" w:cs="Times New Roman"/>
                <w:b/>
                <w:color w:val="000000"/>
                <w:sz w:val="24"/>
                <w:szCs w:val="24"/>
              </w:rPr>
              <w:t>商务评议</w:t>
            </w:r>
          </w:p>
        </w:tc>
        <w:tc>
          <w:tcPr>
            <w:tcW w:w="1198" w:type="dxa"/>
            <w:gridSpan w:val="2"/>
            <w:shd w:val="pct10" w:color="auto" w:fill="auto"/>
            <w:vAlign w:val="center"/>
          </w:tcPr>
          <w:p>
            <w:pPr>
              <w:jc w:val="center"/>
              <w:rPr>
                <w:rFonts w:ascii="宋体" w:hAnsi="宋体" w:cs="Times New Roman"/>
                <w:b/>
                <w:color w:val="000000"/>
                <w:sz w:val="24"/>
                <w:szCs w:val="24"/>
              </w:rPr>
            </w:pPr>
            <w:r>
              <w:rPr>
                <w:rFonts w:hint="eastAsia" w:ascii="宋体" w:hAnsi="宋体" w:cs="Times New Roman"/>
                <w:b/>
                <w:color w:val="000000"/>
                <w:sz w:val="24"/>
                <w:szCs w:val="24"/>
              </w:rPr>
              <w:t>评审因素</w:t>
            </w:r>
          </w:p>
        </w:tc>
        <w:tc>
          <w:tcPr>
            <w:tcW w:w="667" w:type="dxa"/>
            <w:shd w:val="pct10" w:color="auto" w:fill="auto"/>
            <w:vAlign w:val="center"/>
          </w:tcPr>
          <w:p>
            <w:pPr>
              <w:ind w:left="-73" w:leftChars="-35" w:right="-80" w:rightChars="-38"/>
              <w:jc w:val="center"/>
              <w:rPr>
                <w:rFonts w:ascii="宋体" w:hAnsi="宋体" w:cs="Times New Roman"/>
                <w:b/>
                <w:color w:val="000000"/>
                <w:sz w:val="24"/>
                <w:szCs w:val="24"/>
              </w:rPr>
            </w:pPr>
            <w:r>
              <w:rPr>
                <w:rFonts w:hint="eastAsia" w:ascii="宋体" w:hAnsi="宋体" w:cs="Times New Roman"/>
                <w:b/>
                <w:color w:val="000000"/>
                <w:sz w:val="24"/>
                <w:szCs w:val="24"/>
              </w:rPr>
              <w:t>分值</w:t>
            </w:r>
          </w:p>
        </w:tc>
        <w:tc>
          <w:tcPr>
            <w:tcW w:w="7264" w:type="dxa"/>
            <w:shd w:val="pct10" w:color="auto" w:fill="auto"/>
            <w:vAlign w:val="center"/>
          </w:tcPr>
          <w:p>
            <w:pPr>
              <w:spacing w:line="280" w:lineRule="exact"/>
              <w:jc w:val="center"/>
              <w:rPr>
                <w:rFonts w:ascii="宋体" w:hAnsi="宋体" w:cs="Times New Roman"/>
                <w:b/>
                <w:color w:val="000000"/>
                <w:sz w:val="24"/>
                <w:szCs w:val="24"/>
              </w:rPr>
            </w:pPr>
            <w:r>
              <w:rPr>
                <w:rFonts w:hint="eastAsia" w:ascii="宋体" w:hAnsi="宋体" w:cs="Times New Roman"/>
                <w:b/>
                <w:color w:val="000000"/>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11" w:type="dxa"/>
            <w:vMerge w:val="continue"/>
            <w:vAlign w:val="center"/>
          </w:tcPr>
          <w:p>
            <w:pPr>
              <w:numPr>
                <w:ilvl w:val="0"/>
                <w:numId w:val="3"/>
              </w:numPr>
              <w:tabs>
                <w:tab w:val="left" w:pos="322"/>
              </w:tabs>
              <w:spacing w:line="320" w:lineRule="exact"/>
              <w:ind w:left="-42" w:right="-42" w:rightChars="-20" w:firstLine="0"/>
              <w:jc w:val="right"/>
              <w:rPr>
                <w:rFonts w:ascii="宋体" w:hAnsi="宋体" w:cs="Times New Roman"/>
                <w:b/>
                <w:color w:val="000000"/>
                <w:sz w:val="24"/>
                <w:highlight w:val="yellow"/>
              </w:rPr>
            </w:pPr>
          </w:p>
        </w:tc>
        <w:tc>
          <w:tcPr>
            <w:tcW w:w="1198" w:type="dxa"/>
            <w:gridSpan w:val="2"/>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财务状况</w:t>
            </w:r>
          </w:p>
        </w:tc>
        <w:tc>
          <w:tcPr>
            <w:tcW w:w="667"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6分</w:t>
            </w:r>
          </w:p>
        </w:tc>
        <w:tc>
          <w:tcPr>
            <w:tcW w:w="7264" w:type="dxa"/>
            <w:vAlign w:val="center"/>
          </w:tcPr>
          <w:p>
            <w:pPr>
              <w:autoSpaceDE w:val="0"/>
              <w:autoSpaceDN w:val="0"/>
              <w:adjustRightInd w:val="0"/>
              <w:rPr>
                <w:rFonts w:ascii="宋体" w:hAnsi="宋体" w:cs="宋体"/>
                <w:kern w:val="0"/>
                <w:szCs w:val="21"/>
              </w:rPr>
            </w:pPr>
            <w:r>
              <w:rPr>
                <w:rFonts w:hint="eastAsia" w:ascii="宋体" w:hAnsi="宋体" w:cs="宋体"/>
                <w:kern w:val="0"/>
                <w:szCs w:val="21"/>
              </w:rPr>
              <w:t>根据供应商提供的经会计师事务所审计的2016年、2017年、2018年财务审计报告中三年均盈利或未亏损的得6分，两年盈利或未亏损的得4分，一年盈利或未亏损的得2分，三年均亏损的得</w:t>
            </w:r>
            <w:r>
              <w:rPr>
                <w:rFonts w:ascii="宋体" w:hAnsi="宋体" w:cs="宋体"/>
                <w:kern w:val="0"/>
                <w:szCs w:val="21"/>
              </w:rPr>
              <w:t>0</w:t>
            </w:r>
            <w:r>
              <w:rPr>
                <w:rFonts w:hint="eastAsia" w:ascii="宋体" w:hAnsi="宋体" w:cs="宋体"/>
                <w:kern w:val="0"/>
                <w:szCs w:val="21"/>
              </w:rPr>
              <w:t>分；成立时间大于二年少于三年的，两年均盈利或未亏损得6分，一年盈利或未亏损的得4分，二年均亏损的得</w:t>
            </w:r>
            <w:r>
              <w:rPr>
                <w:rFonts w:ascii="宋体" w:hAnsi="宋体" w:cs="宋体"/>
                <w:kern w:val="0"/>
                <w:szCs w:val="21"/>
              </w:rPr>
              <w:t>0</w:t>
            </w:r>
            <w:r>
              <w:rPr>
                <w:rFonts w:hint="eastAsia" w:ascii="宋体" w:hAnsi="宋体" w:cs="宋体"/>
                <w:kern w:val="0"/>
                <w:szCs w:val="21"/>
              </w:rPr>
              <w:t>分；成立时间少于二年的，一年均盈利或未亏损得6分，否则得</w:t>
            </w:r>
            <w:r>
              <w:rPr>
                <w:rFonts w:ascii="宋体" w:hAnsi="宋体" w:cs="宋体"/>
                <w:kern w:val="0"/>
                <w:szCs w:val="21"/>
              </w:rPr>
              <w:t>0</w:t>
            </w:r>
            <w:r>
              <w:rPr>
                <w:rFonts w:hint="eastAsia" w:ascii="宋体" w:hAnsi="宋体" w:cs="宋体"/>
                <w:kern w:val="0"/>
                <w:szCs w:val="21"/>
              </w:rPr>
              <w:t>分。</w:t>
            </w:r>
            <w:r>
              <w:rPr>
                <w:rFonts w:hint="eastAsia" w:ascii="宋体" w:hAnsi="宋体" w:cs="宋体"/>
                <w:b/>
                <w:kern w:val="0"/>
                <w:szCs w:val="21"/>
              </w:rPr>
              <w:t>（提供复印件加盖公章）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11" w:type="dxa"/>
            <w:vMerge w:val="continue"/>
            <w:vAlign w:val="center"/>
          </w:tcPr>
          <w:p>
            <w:pPr>
              <w:numPr>
                <w:ilvl w:val="0"/>
                <w:numId w:val="3"/>
              </w:numPr>
              <w:tabs>
                <w:tab w:val="left" w:pos="322"/>
              </w:tabs>
              <w:spacing w:line="320" w:lineRule="exact"/>
              <w:ind w:left="-42" w:right="-42" w:rightChars="-20" w:firstLine="0"/>
              <w:jc w:val="right"/>
              <w:rPr>
                <w:rFonts w:ascii="宋体" w:hAnsi="宋体" w:cs="Times New Roman"/>
                <w:b/>
                <w:color w:val="000000"/>
                <w:sz w:val="24"/>
                <w:highlight w:val="yellow"/>
              </w:rPr>
            </w:pPr>
          </w:p>
        </w:tc>
        <w:tc>
          <w:tcPr>
            <w:tcW w:w="1198" w:type="dxa"/>
            <w:gridSpan w:val="2"/>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偿付能力</w:t>
            </w:r>
          </w:p>
        </w:tc>
        <w:tc>
          <w:tcPr>
            <w:tcW w:w="667"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16分</w:t>
            </w:r>
          </w:p>
        </w:tc>
        <w:tc>
          <w:tcPr>
            <w:tcW w:w="7264" w:type="dxa"/>
            <w:vAlign w:val="center"/>
          </w:tcPr>
          <w:p>
            <w:pPr>
              <w:widowControl/>
              <w:rPr>
                <w:rFonts w:ascii="宋体" w:hAnsi="宋体" w:cs="宋体"/>
                <w:kern w:val="0"/>
                <w:szCs w:val="21"/>
              </w:rPr>
            </w:pPr>
            <w:r>
              <w:rPr>
                <w:rFonts w:hint="eastAsia" w:ascii="宋体" w:hAnsi="宋体" w:cs="宋体"/>
                <w:bCs/>
                <w:kern w:val="0"/>
                <w:szCs w:val="21"/>
              </w:rPr>
              <w:t>根据供应商2018年偿付充足率进行打分：高于2</w:t>
            </w:r>
            <w:r>
              <w:rPr>
                <w:rFonts w:ascii="宋体" w:hAnsi="宋体" w:cs="宋体"/>
                <w:bCs/>
                <w:kern w:val="0"/>
                <w:szCs w:val="21"/>
              </w:rPr>
              <w:t>0</w:t>
            </w:r>
            <w:r>
              <w:rPr>
                <w:rFonts w:hint="eastAsia" w:ascii="宋体" w:hAnsi="宋体" w:cs="宋体"/>
                <w:bCs/>
                <w:kern w:val="0"/>
                <w:szCs w:val="21"/>
              </w:rPr>
              <w:t>0%（含）得16分、190%（含）-2</w:t>
            </w:r>
            <w:r>
              <w:rPr>
                <w:rFonts w:ascii="宋体" w:hAnsi="宋体" w:cs="宋体"/>
                <w:bCs/>
                <w:kern w:val="0"/>
                <w:szCs w:val="21"/>
              </w:rPr>
              <w:t>0</w:t>
            </w:r>
            <w:r>
              <w:rPr>
                <w:rFonts w:hint="eastAsia" w:ascii="宋体" w:hAnsi="宋体" w:cs="宋体"/>
                <w:bCs/>
                <w:kern w:val="0"/>
                <w:szCs w:val="21"/>
              </w:rPr>
              <w:t>0%得15分、180%（含）-190%得14分，以此类推，低于100%不得分，</w:t>
            </w:r>
            <w:r>
              <w:rPr>
                <w:rFonts w:hint="eastAsia" w:ascii="宋体" w:hAnsi="宋体" w:cs="宋体"/>
                <w:kern w:val="0"/>
                <w:szCs w:val="21"/>
              </w:rPr>
              <w:t>以201</w:t>
            </w:r>
            <w:r>
              <w:rPr>
                <w:rFonts w:ascii="宋体" w:hAnsi="宋体" w:cs="宋体"/>
                <w:kern w:val="0"/>
                <w:szCs w:val="21"/>
              </w:rPr>
              <w:t>8</w:t>
            </w:r>
            <w:r>
              <w:rPr>
                <w:rFonts w:hint="eastAsia" w:ascii="宋体" w:hAnsi="宋体" w:cs="宋体"/>
                <w:kern w:val="0"/>
                <w:szCs w:val="21"/>
              </w:rPr>
              <w:t>年经审计的财务报表为准。</w:t>
            </w:r>
            <w:r>
              <w:rPr>
                <w:rFonts w:hint="eastAsia" w:ascii="宋体" w:hAnsi="宋体" w:cs="宋体"/>
                <w:b/>
                <w:kern w:val="0"/>
                <w:szCs w:val="21"/>
              </w:rPr>
              <w:t>（提供复印件加盖公章）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11" w:type="dxa"/>
            <w:vMerge w:val="continue"/>
            <w:vAlign w:val="center"/>
          </w:tcPr>
          <w:p>
            <w:pPr>
              <w:numPr>
                <w:ilvl w:val="0"/>
                <w:numId w:val="3"/>
              </w:numPr>
              <w:tabs>
                <w:tab w:val="left" w:pos="322"/>
              </w:tabs>
              <w:spacing w:line="320" w:lineRule="exact"/>
              <w:ind w:left="-42" w:right="-42" w:rightChars="-20" w:firstLine="0"/>
              <w:jc w:val="right"/>
              <w:rPr>
                <w:rFonts w:ascii="宋体" w:hAnsi="宋体" w:cs="Times New Roman"/>
                <w:b/>
                <w:color w:val="000000"/>
                <w:sz w:val="24"/>
                <w:highlight w:val="yellow"/>
              </w:rPr>
            </w:pPr>
          </w:p>
        </w:tc>
        <w:tc>
          <w:tcPr>
            <w:tcW w:w="1198" w:type="dxa"/>
            <w:gridSpan w:val="2"/>
            <w:vAlign w:val="center"/>
          </w:tcPr>
          <w:p>
            <w:pPr>
              <w:widowControl/>
              <w:jc w:val="center"/>
              <w:rPr>
                <w:rFonts w:ascii="宋体" w:hAnsi="宋体" w:cs="宋体"/>
                <w:kern w:val="0"/>
                <w:szCs w:val="21"/>
              </w:rPr>
            </w:pPr>
            <w:r>
              <w:rPr>
                <w:rFonts w:hint="eastAsia" w:ascii="宋体" w:hAnsi="宋体" w:cs="宋体"/>
                <w:kern w:val="0"/>
                <w:szCs w:val="21"/>
              </w:rPr>
              <w:t>口碑信誉</w:t>
            </w:r>
          </w:p>
        </w:tc>
        <w:tc>
          <w:tcPr>
            <w:tcW w:w="667" w:type="dxa"/>
            <w:vAlign w:val="center"/>
          </w:tcPr>
          <w:p>
            <w:pPr>
              <w:widowControl/>
              <w:jc w:val="center"/>
              <w:rPr>
                <w:rFonts w:ascii="宋体" w:hAnsi="宋体" w:cs="宋体"/>
                <w:kern w:val="0"/>
                <w:szCs w:val="21"/>
              </w:rPr>
            </w:pPr>
            <w:r>
              <w:rPr>
                <w:rFonts w:hint="eastAsia" w:ascii="宋体" w:hAnsi="宋体" w:cs="宋体"/>
                <w:kern w:val="0"/>
                <w:szCs w:val="21"/>
              </w:rPr>
              <w:t>6分</w:t>
            </w:r>
          </w:p>
        </w:tc>
        <w:tc>
          <w:tcPr>
            <w:tcW w:w="7264" w:type="dxa"/>
            <w:vAlign w:val="center"/>
          </w:tcPr>
          <w:p>
            <w:pPr>
              <w:widowControl/>
              <w:rPr>
                <w:rFonts w:ascii="宋体" w:hAnsi="宋体" w:cs="宋体"/>
                <w:kern w:val="0"/>
                <w:szCs w:val="21"/>
              </w:rPr>
            </w:pPr>
            <w:r>
              <w:rPr>
                <w:rFonts w:hint="eastAsia" w:ascii="宋体" w:hAnsi="宋体" w:cs="宋体"/>
                <w:kern w:val="0"/>
                <w:szCs w:val="21"/>
              </w:rPr>
              <w:t>根据供应商国际信誉</w:t>
            </w:r>
            <w:r>
              <w:rPr>
                <w:rFonts w:ascii="宋体" w:hAnsi="宋体" w:cs="宋体"/>
                <w:kern w:val="0"/>
                <w:szCs w:val="21"/>
              </w:rPr>
              <w:t>评级</w:t>
            </w:r>
            <w:r>
              <w:rPr>
                <w:rFonts w:hint="eastAsia" w:ascii="宋体" w:hAnsi="宋体" w:cs="宋体"/>
                <w:kern w:val="0"/>
                <w:szCs w:val="21"/>
              </w:rPr>
              <w:t>进行打分：</w:t>
            </w:r>
            <w:r>
              <w:rPr>
                <w:rFonts w:ascii="宋体" w:hAnsi="宋体" w:cs="宋体"/>
                <w:kern w:val="0"/>
                <w:szCs w:val="21"/>
              </w:rPr>
              <w:t>信誉评级</w:t>
            </w:r>
            <w:r>
              <w:rPr>
                <w:rFonts w:hint="eastAsia" w:ascii="宋体" w:hAnsi="宋体" w:cs="宋体"/>
                <w:kern w:val="0"/>
                <w:szCs w:val="21"/>
              </w:rPr>
              <w:t>为A级得6分；</w:t>
            </w:r>
            <w:r>
              <w:rPr>
                <w:rFonts w:ascii="宋体" w:hAnsi="宋体" w:cs="宋体"/>
                <w:kern w:val="0"/>
                <w:szCs w:val="21"/>
              </w:rPr>
              <w:t>信誉评级</w:t>
            </w:r>
            <w:r>
              <w:rPr>
                <w:rFonts w:hint="eastAsia" w:ascii="宋体" w:hAnsi="宋体" w:cs="宋体"/>
                <w:kern w:val="0"/>
                <w:szCs w:val="21"/>
              </w:rPr>
              <w:t>B级得4分；</w:t>
            </w:r>
            <w:r>
              <w:rPr>
                <w:rFonts w:ascii="宋体" w:hAnsi="宋体" w:cs="宋体"/>
                <w:kern w:val="0"/>
                <w:szCs w:val="21"/>
              </w:rPr>
              <w:t>信誉评级</w:t>
            </w:r>
            <w:r>
              <w:rPr>
                <w:rFonts w:hint="eastAsia" w:ascii="宋体" w:hAnsi="宋体" w:cs="宋体"/>
                <w:kern w:val="0"/>
                <w:szCs w:val="21"/>
              </w:rPr>
              <w:t>为</w:t>
            </w:r>
            <w:r>
              <w:rPr>
                <w:rFonts w:ascii="宋体" w:hAnsi="宋体" w:cs="宋体"/>
                <w:kern w:val="0"/>
                <w:szCs w:val="21"/>
              </w:rPr>
              <w:t>C</w:t>
            </w:r>
            <w:r>
              <w:rPr>
                <w:rFonts w:hint="eastAsia" w:ascii="宋体" w:hAnsi="宋体" w:cs="宋体"/>
                <w:kern w:val="0"/>
                <w:szCs w:val="21"/>
              </w:rPr>
              <w:t>级得2分；未提供不得分。</w:t>
            </w:r>
            <w:r>
              <w:rPr>
                <w:rFonts w:hint="eastAsia" w:ascii="宋体" w:hAnsi="宋体" w:cs="宋体"/>
                <w:b/>
                <w:kern w:val="0"/>
                <w:szCs w:val="21"/>
              </w:rPr>
              <w:t>（提供有效证明材料复印件加盖公章）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11" w:type="dxa"/>
            <w:vMerge w:val="continue"/>
            <w:vAlign w:val="center"/>
          </w:tcPr>
          <w:p>
            <w:pPr>
              <w:numPr>
                <w:ilvl w:val="0"/>
                <w:numId w:val="3"/>
              </w:numPr>
              <w:tabs>
                <w:tab w:val="left" w:pos="322"/>
              </w:tabs>
              <w:spacing w:line="320" w:lineRule="exact"/>
              <w:ind w:left="-42" w:right="-42" w:rightChars="-20" w:firstLine="0"/>
              <w:jc w:val="right"/>
              <w:rPr>
                <w:rFonts w:ascii="宋体" w:hAnsi="宋体" w:cs="Times New Roman"/>
                <w:b/>
                <w:color w:val="000000"/>
                <w:sz w:val="24"/>
                <w:highlight w:val="yellow"/>
              </w:rPr>
            </w:pPr>
          </w:p>
        </w:tc>
        <w:tc>
          <w:tcPr>
            <w:tcW w:w="1198" w:type="dxa"/>
            <w:gridSpan w:val="2"/>
            <w:vAlign w:val="center"/>
          </w:tcPr>
          <w:p>
            <w:pPr>
              <w:widowControl/>
              <w:jc w:val="center"/>
              <w:rPr>
                <w:rFonts w:ascii="宋体" w:hAnsi="宋体" w:cs="宋体"/>
                <w:kern w:val="0"/>
                <w:szCs w:val="21"/>
              </w:rPr>
            </w:pPr>
            <w:r>
              <w:rPr>
                <w:rFonts w:hint="eastAsia" w:ascii="宋体" w:hAnsi="宋体" w:cs="宋体"/>
                <w:kern w:val="0"/>
                <w:szCs w:val="21"/>
              </w:rPr>
              <w:t>类似成功案例</w:t>
            </w:r>
          </w:p>
        </w:tc>
        <w:tc>
          <w:tcPr>
            <w:tcW w:w="667" w:type="dxa"/>
            <w:vAlign w:val="center"/>
          </w:tcPr>
          <w:p>
            <w:pPr>
              <w:widowControl/>
              <w:jc w:val="center"/>
              <w:rPr>
                <w:rFonts w:ascii="宋体" w:hAnsi="宋体" w:cs="宋体"/>
                <w:kern w:val="0"/>
                <w:szCs w:val="21"/>
              </w:rPr>
            </w:pPr>
            <w:r>
              <w:rPr>
                <w:rFonts w:hint="eastAsia" w:ascii="宋体" w:hAnsi="宋体" w:cs="宋体"/>
                <w:kern w:val="0"/>
                <w:szCs w:val="21"/>
              </w:rPr>
              <w:t>10分</w:t>
            </w:r>
          </w:p>
        </w:tc>
        <w:tc>
          <w:tcPr>
            <w:tcW w:w="7264" w:type="dxa"/>
            <w:vAlign w:val="center"/>
          </w:tcPr>
          <w:p>
            <w:pPr>
              <w:widowControl/>
              <w:rPr>
                <w:rFonts w:ascii="宋体" w:hAnsi="宋体" w:cs="宋体"/>
                <w:kern w:val="0"/>
                <w:szCs w:val="21"/>
              </w:rPr>
            </w:pPr>
            <w:r>
              <w:rPr>
                <w:rFonts w:hint="eastAsia" w:ascii="宋体" w:hAnsi="宋体" w:cs="宋体"/>
                <w:kern w:val="0"/>
                <w:szCs w:val="21"/>
              </w:rPr>
              <w:t>根据供应商提供的2015-2019年类似项目成功案例数量进行打分：每提供一个得2分，本项最高得10分。</w:t>
            </w:r>
            <w:r>
              <w:rPr>
                <w:rFonts w:hint="eastAsia" w:ascii="宋体" w:hAnsi="宋体" w:cs="宋体"/>
                <w:b/>
                <w:kern w:val="0"/>
                <w:szCs w:val="21"/>
              </w:rPr>
              <w:t>（提供与采购人签订的合同或保单复印件加盖公章）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11" w:type="dxa"/>
            <w:vMerge w:val="continue"/>
            <w:vAlign w:val="center"/>
          </w:tcPr>
          <w:p>
            <w:pPr>
              <w:numPr>
                <w:ilvl w:val="0"/>
                <w:numId w:val="3"/>
              </w:numPr>
              <w:tabs>
                <w:tab w:val="left" w:pos="322"/>
              </w:tabs>
              <w:spacing w:line="320" w:lineRule="exact"/>
              <w:ind w:left="-42" w:right="-42" w:rightChars="-20" w:firstLine="0"/>
              <w:jc w:val="right"/>
              <w:rPr>
                <w:rFonts w:ascii="宋体" w:hAnsi="宋体" w:cs="Times New Roman"/>
                <w:b/>
                <w:color w:val="000000"/>
                <w:sz w:val="24"/>
                <w:highlight w:val="yellow"/>
              </w:rPr>
            </w:pPr>
          </w:p>
        </w:tc>
        <w:tc>
          <w:tcPr>
            <w:tcW w:w="1198" w:type="dxa"/>
            <w:gridSpan w:val="2"/>
            <w:vAlign w:val="center"/>
          </w:tcPr>
          <w:p>
            <w:pPr>
              <w:widowControl/>
              <w:jc w:val="center"/>
              <w:rPr>
                <w:rFonts w:ascii="宋体" w:hAnsi="宋体" w:cs="宋体"/>
                <w:kern w:val="0"/>
                <w:szCs w:val="21"/>
              </w:rPr>
            </w:pPr>
            <w:r>
              <w:rPr>
                <w:rFonts w:hint="eastAsia" w:ascii="宋体" w:hAnsi="宋体" w:cs="宋体"/>
                <w:kern w:val="0"/>
                <w:szCs w:val="21"/>
              </w:rPr>
              <w:t>文件完整性</w:t>
            </w:r>
          </w:p>
        </w:tc>
        <w:tc>
          <w:tcPr>
            <w:tcW w:w="667" w:type="dxa"/>
            <w:vAlign w:val="center"/>
          </w:tcPr>
          <w:p>
            <w:pPr>
              <w:widowControl/>
              <w:jc w:val="center"/>
              <w:rPr>
                <w:rFonts w:ascii="宋体" w:hAnsi="宋体" w:cs="宋体"/>
                <w:kern w:val="0"/>
                <w:szCs w:val="21"/>
              </w:rPr>
            </w:pPr>
            <w:r>
              <w:rPr>
                <w:rFonts w:hint="eastAsia" w:ascii="宋体" w:hAnsi="宋体" w:cs="宋体"/>
                <w:kern w:val="0"/>
                <w:szCs w:val="21"/>
              </w:rPr>
              <w:t>2分</w:t>
            </w:r>
          </w:p>
        </w:tc>
        <w:tc>
          <w:tcPr>
            <w:tcW w:w="7264" w:type="dxa"/>
            <w:vAlign w:val="center"/>
          </w:tcPr>
          <w:p>
            <w:pPr>
              <w:autoSpaceDE w:val="0"/>
              <w:autoSpaceDN w:val="0"/>
              <w:adjustRightInd w:val="0"/>
              <w:jc w:val="left"/>
              <w:rPr>
                <w:rFonts w:ascii="宋体" w:hAnsi="宋体" w:cs="宋体"/>
                <w:kern w:val="0"/>
                <w:szCs w:val="21"/>
              </w:rPr>
            </w:pPr>
            <w:r>
              <w:rPr>
                <w:rFonts w:hint="eastAsia" w:ascii="宋体" w:hAnsi="宋体" w:cs="宋体"/>
                <w:kern w:val="0"/>
                <w:szCs w:val="21"/>
              </w:rPr>
              <w:t>磋商响应文件</w:t>
            </w:r>
            <w:r>
              <w:rPr>
                <w:rFonts w:ascii="宋体" w:hAnsi="宋体" w:cs="宋体"/>
                <w:kern w:val="0"/>
                <w:szCs w:val="21"/>
              </w:rPr>
              <w:t>全面</w:t>
            </w:r>
            <w:r>
              <w:rPr>
                <w:rFonts w:hint="eastAsia" w:ascii="宋体" w:hAnsi="宋体" w:cs="宋体"/>
                <w:kern w:val="0"/>
                <w:szCs w:val="21"/>
              </w:rPr>
              <w:t>响应磋商文件</w:t>
            </w:r>
            <w:r>
              <w:rPr>
                <w:rFonts w:ascii="宋体" w:hAnsi="宋体" w:cs="宋体"/>
                <w:kern w:val="0"/>
                <w:szCs w:val="21"/>
              </w:rPr>
              <w:t>要求，编制完整、非活页装订，且有详细目录、连续页码、目录与有关材料装订顺序对应清晰、查阅方便得</w:t>
            </w:r>
            <w:r>
              <w:rPr>
                <w:rFonts w:hint="eastAsia" w:ascii="宋体" w:hAnsi="宋体" w:cs="宋体"/>
                <w:kern w:val="0"/>
                <w:szCs w:val="21"/>
              </w:rPr>
              <w:t>2</w:t>
            </w:r>
            <w:r>
              <w:rPr>
                <w:rFonts w:ascii="宋体" w:hAnsi="宋体" w:cs="宋体"/>
                <w:kern w:val="0"/>
                <w:szCs w:val="21"/>
              </w:rPr>
              <w:t>分。编排杂乱无章、叙述答非所问、资料残缺不全、资料模糊不清、前后不一致等，每处扣</w:t>
            </w:r>
            <w:r>
              <w:rPr>
                <w:rFonts w:hint="eastAsia" w:ascii="宋体" w:hAnsi="宋体" w:cs="宋体"/>
                <w:kern w:val="0"/>
                <w:szCs w:val="21"/>
              </w:rPr>
              <w:t>0.5</w:t>
            </w:r>
            <w:r>
              <w:rPr>
                <w:rFonts w:ascii="宋体" w:hAnsi="宋体" w:cs="宋体"/>
                <w:kern w:val="0"/>
                <w:szCs w:val="21"/>
              </w:rPr>
              <w:t>分，扣完为止</w:t>
            </w:r>
            <w:r>
              <w:rPr>
                <w:rFonts w:hint="eastAsia" w:ascii="宋体" w:hAnsi="宋体" w:cs="宋体"/>
                <w:kern w:val="0"/>
                <w:szCs w:val="21"/>
              </w:rPr>
              <w:t>，活页装订不得分。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76" w:type="dxa"/>
            <w:gridSpan w:val="4"/>
            <w:vAlign w:val="center"/>
          </w:tcPr>
          <w:p>
            <w:pPr>
              <w:spacing w:line="320" w:lineRule="exact"/>
              <w:ind w:left="-65" w:leftChars="-31" w:right="-36" w:rightChars="-17"/>
              <w:jc w:val="center"/>
              <w:rPr>
                <w:rFonts w:hint="eastAsia" w:ascii="宋体" w:hAnsi="宋体" w:cs="Times New Roman"/>
                <w:b/>
                <w:color w:val="000000"/>
                <w:szCs w:val="21"/>
              </w:rPr>
            </w:pPr>
            <w:r>
              <w:rPr>
                <w:rFonts w:hint="eastAsia" w:ascii="宋体" w:hAnsi="宋体" w:cs="Times New Roman"/>
                <w:b/>
                <w:color w:val="000000"/>
                <w:szCs w:val="21"/>
              </w:rPr>
              <w:t>商务分合计</w:t>
            </w:r>
          </w:p>
        </w:tc>
        <w:tc>
          <w:tcPr>
            <w:tcW w:w="7264" w:type="dxa"/>
            <w:vAlign w:val="center"/>
          </w:tcPr>
          <w:p>
            <w:pPr>
              <w:spacing w:line="320" w:lineRule="exact"/>
              <w:ind w:left="-65" w:leftChars="-31" w:right="-36" w:rightChars="-17"/>
              <w:jc w:val="center"/>
              <w:rPr>
                <w:rFonts w:hint="eastAsia" w:ascii="宋体" w:hAnsi="宋体" w:cs="Times New Roman"/>
                <w:b/>
                <w:color w:val="000000"/>
                <w:szCs w:val="21"/>
              </w:rPr>
            </w:pPr>
            <w:r>
              <w:rPr>
                <w:rFonts w:hint="eastAsia" w:ascii="宋体" w:hAnsi="宋体" w:cs="Times New Roman"/>
                <w:b/>
                <w:color w:val="000000"/>
                <w:szCs w:val="21"/>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vMerge w:val="restart"/>
            <w:shd w:val="pct10" w:color="auto" w:fill="auto"/>
            <w:vAlign w:val="center"/>
          </w:tcPr>
          <w:p>
            <w:pPr>
              <w:tabs>
                <w:tab w:val="left" w:pos="322"/>
              </w:tabs>
              <w:spacing w:line="320" w:lineRule="exact"/>
              <w:ind w:left="-42" w:right="-42" w:rightChars="-20"/>
              <w:jc w:val="right"/>
              <w:rPr>
                <w:rFonts w:ascii="宋体" w:hAnsi="宋体" w:cs="Times New Roman"/>
                <w:b/>
                <w:color w:val="000000"/>
                <w:sz w:val="24"/>
                <w:szCs w:val="24"/>
                <w:highlight w:val="yellow"/>
              </w:rPr>
            </w:pPr>
            <w:r>
              <w:rPr>
                <w:rFonts w:hint="eastAsia" w:ascii="宋体" w:hAnsi="宋体" w:cs="Times New Roman"/>
                <w:b/>
                <w:color w:val="000000"/>
                <w:sz w:val="24"/>
                <w:szCs w:val="24"/>
              </w:rPr>
              <w:t>技术服务评议</w:t>
            </w:r>
          </w:p>
        </w:tc>
        <w:tc>
          <w:tcPr>
            <w:tcW w:w="1198" w:type="dxa"/>
            <w:gridSpan w:val="2"/>
            <w:shd w:val="pct10" w:color="auto" w:fill="auto"/>
            <w:vAlign w:val="center"/>
          </w:tcPr>
          <w:p>
            <w:pPr>
              <w:ind w:left="-78" w:leftChars="-37" w:right="-86" w:rightChars="-41"/>
              <w:jc w:val="center"/>
              <w:rPr>
                <w:rFonts w:ascii="宋体" w:hAnsi="宋体" w:cs="Times New Roman"/>
                <w:b/>
                <w:color w:val="000000"/>
                <w:sz w:val="24"/>
                <w:szCs w:val="24"/>
              </w:rPr>
            </w:pPr>
            <w:r>
              <w:rPr>
                <w:rFonts w:hint="eastAsia" w:ascii="宋体" w:hAnsi="宋体" w:cs="Times New Roman"/>
                <w:b/>
                <w:color w:val="000000"/>
                <w:sz w:val="24"/>
                <w:szCs w:val="24"/>
              </w:rPr>
              <w:t>评审因素</w:t>
            </w:r>
          </w:p>
        </w:tc>
        <w:tc>
          <w:tcPr>
            <w:tcW w:w="667" w:type="dxa"/>
            <w:shd w:val="pct10" w:color="auto" w:fill="auto"/>
            <w:vAlign w:val="center"/>
          </w:tcPr>
          <w:p>
            <w:pPr>
              <w:ind w:left="-73" w:leftChars="-35" w:right="-80" w:rightChars="-38"/>
              <w:jc w:val="center"/>
              <w:rPr>
                <w:rFonts w:ascii="宋体" w:hAnsi="宋体" w:cs="Times New Roman"/>
                <w:b/>
                <w:color w:val="000000"/>
                <w:sz w:val="24"/>
                <w:szCs w:val="24"/>
              </w:rPr>
            </w:pPr>
            <w:r>
              <w:rPr>
                <w:rFonts w:hint="eastAsia" w:ascii="宋体" w:hAnsi="宋体" w:cs="Times New Roman"/>
                <w:b/>
                <w:color w:val="000000"/>
                <w:sz w:val="24"/>
                <w:szCs w:val="24"/>
              </w:rPr>
              <w:t>分值</w:t>
            </w:r>
          </w:p>
        </w:tc>
        <w:tc>
          <w:tcPr>
            <w:tcW w:w="7264" w:type="dxa"/>
            <w:shd w:val="pct10" w:color="auto" w:fill="auto"/>
            <w:vAlign w:val="center"/>
          </w:tcPr>
          <w:p>
            <w:pPr>
              <w:spacing w:line="280" w:lineRule="exact"/>
              <w:jc w:val="center"/>
              <w:rPr>
                <w:rFonts w:ascii="宋体" w:hAnsi="宋体" w:cs="Times New Roman"/>
                <w:b/>
                <w:color w:val="000000"/>
                <w:sz w:val="24"/>
                <w:szCs w:val="24"/>
              </w:rPr>
            </w:pPr>
            <w:r>
              <w:rPr>
                <w:rFonts w:hint="eastAsia" w:ascii="宋体" w:hAnsi="宋体" w:cs="Times New Roman"/>
                <w:b/>
                <w:color w:val="000000"/>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11" w:type="dxa"/>
            <w:vMerge w:val="continue"/>
            <w:vAlign w:val="center"/>
          </w:tcPr>
          <w:p>
            <w:pPr>
              <w:tabs>
                <w:tab w:val="left" w:pos="322"/>
              </w:tabs>
              <w:spacing w:line="320" w:lineRule="exact"/>
              <w:ind w:left="-42" w:right="-42" w:rightChars="-20"/>
              <w:jc w:val="right"/>
              <w:rPr>
                <w:rFonts w:ascii="宋体" w:hAnsi="宋体" w:cs="Times New Roman"/>
                <w:b/>
                <w:color w:val="000000"/>
                <w:sz w:val="24"/>
                <w:highlight w:val="yellow"/>
              </w:rPr>
            </w:pPr>
          </w:p>
        </w:tc>
        <w:tc>
          <w:tcPr>
            <w:tcW w:w="1198" w:type="dxa"/>
            <w:gridSpan w:val="2"/>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重点服务项目理赔</w:t>
            </w:r>
          </w:p>
          <w:p>
            <w:pPr>
              <w:widowControl/>
              <w:jc w:val="center"/>
              <w:rPr>
                <w:rFonts w:ascii="宋体" w:hAnsi="宋体" w:cs="宋体"/>
                <w:color w:val="000000"/>
                <w:kern w:val="0"/>
                <w:szCs w:val="21"/>
              </w:rPr>
            </w:pPr>
            <w:r>
              <w:rPr>
                <w:rFonts w:hint="eastAsia" w:ascii="宋体" w:hAnsi="宋体" w:cs="宋体"/>
                <w:color w:val="000000"/>
                <w:kern w:val="0"/>
                <w:szCs w:val="21"/>
              </w:rPr>
              <w:t>方案</w:t>
            </w:r>
          </w:p>
        </w:tc>
        <w:tc>
          <w:tcPr>
            <w:tcW w:w="667"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5分</w:t>
            </w:r>
          </w:p>
        </w:tc>
        <w:tc>
          <w:tcPr>
            <w:tcW w:w="7264" w:type="dxa"/>
            <w:vAlign w:val="center"/>
          </w:tcPr>
          <w:p>
            <w:pPr>
              <w:autoSpaceDE w:val="0"/>
              <w:autoSpaceDN w:val="0"/>
              <w:adjustRightInd w:val="0"/>
              <w:jc w:val="left"/>
              <w:rPr>
                <w:rFonts w:ascii="宋体" w:hAnsi="宋体" w:cs="宋体"/>
                <w:color w:val="000000"/>
                <w:kern w:val="0"/>
                <w:szCs w:val="21"/>
              </w:rPr>
            </w:pPr>
            <w:r>
              <w:rPr>
                <w:rFonts w:hint="eastAsia" w:ascii="宋体" w:hAnsi="宋体" w:cs="宋体"/>
                <w:color w:val="000000"/>
                <w:kern w:val="0"/>
                <w:szCs w:val="21"/>
              </w:rPr>
              <w:t>根据供应商针对本项目制定的重点服务项目理赔方案进行打分：明</w:t>
            </w:r>
            <w:r>
              <w:rPr>
                <w:rFonts w:ascii="宋体" w:hAnsi="宋体" w:cs="宋体"/>
                <w:color w:val="000000"/>
                <w:kern w:val="0"/>
                <w:szCs w:val="21"/>
              </w:rPr>
              <w:t>确</w:t>
            </w:r>
            <w:r>
              <w:rPr>
                <w:rFonts w:hint="eastAsia" w:ascii="宋体" w:hAnsi="宋体" w:cs="宋体"/>
                <w:color w:val="000000"/>
                <w:kern w:val="0"/>
                <w:szCs w:val="21"/>
              </w:rPr>
              <w:t>理赔时效，包括接</w:t>
            </w:r>
            <w:r>
              <w:rPr>
                <w:rFonts w:ascii="宋体" w:hAnsi="宋体" w:cs="宋体"/>
                <w:color w:val="000000"/>
                <w:kern w:val="0"/>
                <w:szCs w:val="21"/>
              </w:rPr>
              <w:t>报案时效、</w:t>
            </w:r>
            <w:r>
              <w:rPr>
                <w:rFonts w:hint="eastAsia" w:ascii="宋体" w:hAnsi="宋体" w:cs="宋体"/>
                <w:color w:val="000000"/>
                <w:kern w:val="0"/>
                <w:szCs w:val="21"/>
              </w:rPr>
              <w:t>现</w:t>
            </w:r>
            <w:r>
              <w:rPr>
                <w:rFonts w:ascii="宋体" w:hAnsi="宋体" w:cs="宋体"/>
                <w:color w:val="000000"/>
                <w:kern w:val="0"/>
                <w:szCs w:val="21"/>
              </w:rPr>
              <w:t>场查勘时效、理赔时效、</w:t>
            </w:r>
            <w:r>
              <w:rPr>
                <w:rFonts w:hint="eastAsia" w:ascii="宋体" w:hAnsi="宋体" w:cs="宋体"/>
                <w:color w:val="000000"/>
                <w:kern w:val="0"/>
                <w:szCs w:val="21"/>
              </w:rPr>
              <w:t>小</w:t>
            </w:r>
            <w:r>
              <w:rPr>
                <w:rFonts w:ascii="宋体" w:hAnsi="宋体" w:cs="宋体"/>
                <w:color w:val="000000"/>
                <w:kern w:val="0"/>
                <w:szCs w:val="21"/>
              </w:rPr>
              <w:t>额赔款时效、</w:t>
            </w:r>
            <w:r>
              <w:rPr>
                <w:rFonts w:hint="eastAsia" w:ascii="宋体" w:hAnsi="宋体" w:cs="宋体"/>
                <w:color w:val="000000"/>
                <w:kern w:val="0"/>
                <w:szCs w:val="21"/>
              </w:rPr>
              <w:t>预</w:t>
            </w:r>
            <w:r>
              <w:rPr>
                <w:rFonts w:ascii="宋体" w:hAnsi="宋体" w:cs="宋体"/>
                <w:color w:val="000000"/>
                <w:kern w:val="0"/>
                <w:szCs w:val="21"/>
              </w:rPr>
              <w:t>付款时效、</w:t>
            </w:r>
            <w:r>
              <w:rPr>
                <w:rFonts w:hint="eastAsia" w:ascii="宋体" w:hAnsi="宋体" w:cs="宋体"/>
                <w:color w:val="000000"/>
                <w:kern w:val="0"/>
                <w:szCs w:val="21"/>
              </w:rPr>
              <w:t>结案</w:t>
            </w:r>
            <w:r>
              <w:rPr>
                <w:rFonts w:ascii="宋体" w:hAnsi="宋体" w:cs="宋体"/>
                <w:color w:val="000000"/>
                <w:kern w:val="0"/>
                <w:szCs w:val="21"/>
              </w:rPr>
              <w:t>及</w:t>
            </w:r>
            <w:r>
              <w:rPr>
                <w:rFonts w:hint="eastAsia" w:ascii="宋体" w:hAnsi="宋体" w:cs="宋体"/>
                <w:color w:val="000000"/>
                <w:kern w:val="0"/>
                <w:szCs w:val="21"/>
              </w:rPr>
              <w:t>赔付</w:t>
            </w:r>
            <w:r>
              <w:rPr>
                <w:rFonts w:ascii="宋体" w:hAnsi="宋体" w:cs="宋体"/>
                <w:color w:val="000000"/>
                <w:kern w:val="0"/>
                <w:szCs w:val="21"/>
              </w:rPr>
              <w:t>时效</w:t>
            </w:r>
            <w:r>
              <w:rPr>
                <w:rFonts w:hint="eastAsia" w:ascii="宋体" w:hAnsi="宋体" w:cs="宋体"/>
                <w:color w:val="000000"/>
                <w:kern w:val="0"/>
                <w:szCs w:val="21"/>
              </w:rPr>
              <w:t>以及查勘流程的</w:t>
            </w:r>
            <w:r>
              <w:rPr>
                <w:rFonts w:ascii="宋体" w:hAnsi="宋体" w:cs="宋体"/>
                <w:color w:val="000000"/>
                <w:kern w:val="0"/>
                <w:szCs w:val="21"/>
              </w:rPr>
              <w:t>得</w:t>
            </w:r>
            <w:r>
              <w:rPr>
                <w:rFonts w:hint="eastAsia" w:ascii="宋体" w:hAnsi="宋体" w:cs="宋体"/>
                <w:color w:val="000000"/>
                <w:kern w:val="0"/>
                <w:szCs w:val="21"/>
              </w:rPr>
              <w:t>5分</w:t>
            </w:r>
            <w:r>
              <w:rPr>
                <w:rFonts w:ascii="宋体" w:hAnsi="宋体" w:cs="宋体"/>
                <w:color w:val="000000"/>
                <w:kern w:val="0"/>
                <w:szCs w:val="21"/>
              </w:rPr>
              <w:t>，</w:t>
            </w:r>
            <w:r>
              <w:rPr>
                <w:rFonts w:hint="eastAsia" w:ascii="宋体" w:hAnsi="宋体" w:cs="宋体"/>
                <w:color w:val="000000"/>
                <w:kern w:val="0"/>
                <w:szCs w:val="21"/>
              </w:rPr>
              <w:t>每缺少</w:t>
            </w:r>
            <w:r>
              <w:rPr>
                <w:rFonts w:ascii="宋体" w:hAnsi="宋体" w:cs="宋体"/>
                <w:color w:val="000000"/>
                <w:kern w:val="0"/>
                <w:szCs w:val="21"/>
              </w:rPr>
              <w:t>一项扣</w:t>
            </w:r>
            <w:r>
              <w:rPr>
                <w:rFonts w:hint="eastAsia" w:ascii="宋体" w:hAnsi="宋体" w:cs="宋体"/>
                <w:color w:val="000000"/>
                <w:kern w:val="0"/>
                <w:szCs w:val="21"/>
              </w:rPr>
              <w:t>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11" w:type="dxa"/>
            <w:vMerge w:val="continue"/>
            <w:vAlign w:val="center"/>
          </w:tcPr>
          <w:p>
            <w:pPr>
              <w:tabs>
                <w:tab w:val="left" w:pos="322"/>
              </w:tabs>
              <w:spacing w:line="320" w:lineRule="exact"/>
              <w:ind w:left="-42" w:right="-42" w:rightChars="-20"/>
              <w:jc w:val="right"/>
              <w:rPr>
                <w:rFonts w:ascii="宋体" w:hAnsi="宋体" w:cs="Times New Roman"/>
                <w:b/>
                <w:color w:val="000000"/>
                <w:sz w:val="24"/>
                <w:highlight w:val="yellow"/>
              </w:rPr>
            </w:pPr>
          </w:p>
        </w:tc>
        <w:tc>
          <w:tcPr>
            <w:tcW w:w="1198" w:type="dxa"/>
            <w:gridSpan w:val="2"/>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服务方案</w:t>
            </w:r>
          </w:p>
        </w:tc>
        <w:tc>
          <w:tcPr>
            <w:tcW w:w="667" w:type="dxa"/>
            <w:vAlign w:val="center"/>
          </w:tcPr>
          <w:p>
            <w:pPr>
              <w:widowControl/>
              <w:jc w:val="center"/>
              <w:rPr>
                <w:rFonts w:ascii="宋体" w:hAnsi="宋体" w:cs="宋体"/>
                <w:color w:val="000000"/>
                <w:kern w:val="0"/>
                <w:szCs w:val="21"/>
              </w:rPr>
            </w:pPr>
            <w:r>
              <w:rPr>
                <w:rFonts w:ascii="宋体" w:hAnsi="宋体" w:cs="宋体"/>
                <w:color w:val="000000"/>
                <w:kern w:val="0"/>
                <w:szCs w:val="21"/>
              </w:rPr>
              <w:t>6</w:t>
            </w:r>
            <w:r>
              <w:rPr>
                <w:rFonts w:hint="eastAsia" w:ascii="宋体" w:hAnsi="宋体" w:cs="宋体"/>
                <w:color w:val="000000"/>
                <w:kern w:val="0"/>
                <w:szCs w:val="21"/>
              </w:rPr>
              <w:t>分</w:t>
            </w:r>
          </w:p>
        </w:tc>
        <w:tc>
          <w:tcPr>
            <w:tcW w:w="7264" w:type="dxa"/>
            <w:vAlign w:val="center"/>
          </w:tcPr>
          <w:p>
            <w:pPr>
              <w:autoSpaceDE w:val="0"/>
              <w:autoSpaceDN w:val="0"/>
              <w:adjustRightInd w:val="0"/>
              <w:jc w:val="left"/>
              <w:rPr>
                <w:rFonts w:ascii="宋体" w:hAnsi="宋体" w:cs="宋体"/>
                <w:color w:val="000000"/>
                <w:kern w:val="0"/>
                <w:szCs w:val="21"/>
              </w:rPr>
            </w:pPr>
            <w:r>
              <w:rPr>
                <w:rFonts w:hint="eastAsia" w:ascii="宋体" w:hAnsi="宋体" w:cs="宋体"/>
                <w:color w:val="000000"/>
                <w:kern w:val="0"/>
                <w:szCs w:val="21"/>
              </w:rPr>
              <w:t>根据供应商提供的承保服务和理赔程序方案进行打分：方案合理、全面、服务内容涵盖广泛、理赔程序完善且可实施强得</w:t>
            </w:r>
            <w:r>
              <w:rPr>
                <w:rFonts w:ascii="宋体" w:hAnsi="宋体" w:cs="宋体"/>
                <w:color w:val="000000"/>
                <w:kern w:val="0"/>
                <w:szCs w:val="21"/>
              </w:rPr>
              <w:t>6-5</w:t>
            </w:r>
            <w:r>
              <w:rPr>
                <w:rFonts w:hint="eastAsia" w:ascii="宋体" w:hAnsi="宋体" w:cs="宋体"/>
                <w:color w:val="000000"/>
                <w:kern w:val="0"/>
                <w:szCs w:val="21"/>
              </w:rPr>
              <w:t>分；方案基本合理、内容较为全面、理赔程序有一定可实施性得</w:t>
            </w:r>
            <w:r>
              <w:rPr>
                <w:rFonts w:ascii="宋体" w:hAnsi="宋体" w:cs="宋体"/>
                <w:color w:val="000000"/>
                <w:kern w:val="0"/>
                <w:szCs w:val="21"/>
              </w:rPr>
              <w:t>4-3</w:t>
            </w:r>
            <w:r>
              <w:rPr>
                <w:rFonts w:hint="eastAsia" w:ascii="宋体" w:hAnsi="宋体" w:cs="宋体"/>
                <w:color w:val="000000"/>
                <w:kern w:val="0"/>
                <w:szCs w:val="21"/>
              </w:rPr>
              <w:t>分；方案基本合理、内容有所欠缺、理赔程序实施较为复杂得2-1分，未提供则不得分。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11" w:type="dxa"/>
            <w:vMerge w:val="continue"/>
            <w:vAlign w:val="center"/>
          </w:tcPr>
          <w:p>
            <w:pPr>
              <w:tabs>
                <w:tab w:val="left" w:pos="322"/>
              </w:tabs>
              <w:spacing w:line="320" w:lineRule="exact"/>
              <w:ind w:left="-42" w:right="-42" w:rightChars="-20"/>
              <w:jc w:val="right"/>
              <w:rPr>
                <w:rFonts w:ascii="宋体" w:hAnsi="宋体" w:cs="Times New Roman"/>
                <w:b/>
                <w:color w:val="000000"/>
                <w:sz w:val="24"/>
                <w:highlight w:val="yellow"/>
              </w:rPr>
            </w:pPr>
          </w:p>
        </w:tc>
        <w:tc>
          <w:tcPr>
            <w:tcW w:w="1198" w:type="dxa"/>
            <w:gridSpan w:val="2"/>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人员安排</w:t>
            </w:r>
          </w:p>
        </w:tc>
        <w:tc>
          <w:tcPr>
            <w:tcW w:w="667"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10分</w:t>
            </w:r>
          </w:p>
        </w:tc>
        <w:tc>
          <w:tcPr>
            <w:tcW w:w="7264" w:type="dxa"/>
            <w:vAlign w:val="center"/>
          </w:tcPr>
          <w:p>
            <w:pPr>
              <w:autoSpaceDE w:val="0"/>
              <w:autoSpaceDN w:val="0"/>
              <w:adjustRightInd w:val="0"/>
              <w:jc w:val="left"/>
              <w:rPr>
                <w:rFonts w:ascii="宋体" w:hAnsi="宋体" w:cs="宋体"/>
                <w:color w:val="000000"/>
                <w:kern w:val="0"/>
                <w:szCs w:val="21"/>
              </w:rPr>
            </w:pPr>
            <w:r>
              <w:rPr>
                <w:rFonts w:hint="eastAsia" w:ascii="宋体" w:hAnsi="宋体" w:cs="宋体"/>
                <w:color w:val="000000"/>
                <w:kern w:val="0"/>
                <w:szCs w:val="21"/>
              </w:rPr>
              <w:t>根据供应商提供的有医学等专业背景、具有较强的责任保险专职团队，能够实现保险业务单独核算（即：管理、财务、医学、稽查、咨询等专业人员情况）进行打分：拟投入人员10人（含）以上、其中有医学专业人员2人（含）以上的得10分，医学专业人员每少一人扣2分，其他工作人员每少一人扣1分，扣完为止；理赔服务人员须为本公司员工，提供身份证、劳务合同、公司为其缴纳的社保证明材料，医学专业人员还须提供相关专业证明文件。</w:t>
            </w:r>
            <w:r>
              <w:rPr>
                <w:rFonts w:hint="eastAsia" w:ascii="宋体" w:hAnsi="宋体" w:cs="宋体"/>
                <w:b/>
                <w:kern w:val="0"/>
                <w:szCs w:val="21"/>
              </w:rPr>
              <w:t>（提供复印件加盖公章）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11" w:type="dxa"/>
            <w:vMerge w:val="continue"/>
            <w:vAlign w:val="center"/>
          </w:tcPr>
          <w:p>
            <w:pPr>
              <w:tabs>
                <w:tab w:val="left" w:pos="322"/>
              </w:tabs>
              <w:spacing w:line="320" w:lineRule="exact"/>
              <w:ind w:left="-42" w:right="-42" w:rightChars="-20"/>
              <w:jc w:val="right"/>
              <w:rPr>
                <w:rFonts w:ascii="宋体" w:hAnsi="宋体" w:cs="Times New Roman"/>
                <w:b/>
                <w:color w:val="000000"/>
                <w:sz w:val="24"/>
                <w:highlight w:val="yellow"/>
              </w:rPr>
            </w:pPr>
          </w:p>
        </w:tc>
        <w:tc>
          <w:tcPr>
            <w:tcW w:w="1198" w:type="dxa"/>
            <w:gridSpan w:val="2"/>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信息管理</w:t>
            </w:r>
          </w:p>
        </w:tc>
        <w:tc>
          <w:tcPr>
            <w:tcW w:w="667"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2分</w:t>
            </w:r>
          </w:p>
        </w:tc>
        <w:tc>
          <w:tcPr>
            <w:tcW w:w="7264" w:type="dxa"/>
            <w:vAlign w:val="center"/>
          </w:tcPr>
          <w:p>
            <w:pPr>
              <w:autoSpaceDE w:val="0"/>
              <w:autoSpaceDN w:val="0"/>
              <w:adjustRightInd w:val="0"/>
              <w:jc w:val="left"/>
              <w:rPr>
                <w:rFonts w:ascii="宋体" w:hAnsi="宋体" w:cs="宋体"/>
                <w:color w:val="000000"/>
                <w:kern w:val="0"/>
                <w:szCs w:val="21"/>
              </w:rPr>
            </w:pPr>
            <w:r>
              <w:rPr>
                <w:rFonts w:hint="eastAsia" w:ascii="宋体" w:hAnsi="宋体" w:cs="宋体"/>
                <w:color w:val="000000"/>
                <w:kern w:val="0"/>
                <w:szCs w:val="21"/>
              </w:rPr>
              <w:t>在项目所在地具备完善的服务、连接网络和信息管理、结算系统得2分，未提供则不得分；</w:t>
            </w:r>
            <w:r>
              <w:rPr>
                <w:rFonts w:hint="eastAsia" w:ascii="宋体" w:hAnsi="宋体" w:cs="宋体"/>
                <w:b/>
                <w:color w:val="000000"/>
                <w:kern w:val="0"/>
                <w:szCs w:val="21"/>
              </w:rPr>
              <w:t>（提供证明材料</w:t>
            </w:r>
            <w:r>
              <w:rPr>
                <w:rFonts w:hint="eastAsia" w:ascii="宋体" w:hAnsi="宋体" w:cs="宋体"/>
                <w:b/>
                <w:kern w:val="0"/>
                <w:szCs w:val="21"/>
              </w:rPr>
              <w:t>复印件加盖公章</w:t>
            </w:r>
            <w:r>
              <w:rPr>
                <w:rFonts w:hint="eastAsia" w:ascii="宋体" w:hAnsi="宋体" w:cs="宋体"/>
                <w:b/>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11" w:type="dxa"/>
            <w:vMerge w:val="continue"/>
            <w:vAlign w:val="center"/>
          </w:tcPr>
          <w:p>
            <w:pPr>
              <w:tabs>
                <w:tab w:val="left" w:pos="322"/>
              </w:tabs>
              <w:spacing w:line="320" w:lineRule="exact"/>
              <w:ind w:left="-42" w:right="-42" w:rightChars="-20"/>
              <w:jc w:val="right"/>
              <w:rPr>
                <w:rFonts w:ascii="宋体" w:hAnsi="宋体" w:cs="Times New Roman"/>
                <w:b/>
                <w:color w:val="000000"/>
                <w:sz w:val="24"/>
                <w:highlight w:val="yellow"/>
              </w:rPr>
            </w:pPr>
          </w:p>
        </w:tc>
        <w:tc>
          <w:tcPr>
            <w:tcW w:w="1198" w:type="dxa"/>
            <w:gridSpan w:val="2"/>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措施办法</w:t>
            </w:r>
          </w:p>
        </w:tc>
        <w:tc>
          <w:tcPr>
            <w:tcW w:w="667" w:type="dxa"/>
            <w:vAlign w:val="center"/>
          </w:tcPr>
          <w:p>
            <w:pPr>
              <w:widowControl/>
              <w:jc w:val="center"/>
              <w:rPr>
                <w:rFonts w:ascii="宋体" w:hAnsi="宋体" w:cs="宋体"/>
                <w:color w:val="000000"/>
                <w:kern w:val="0"/>
                <w:szCs w:val="21"/>
              </w:rPr>
            </w:pPr>
            <w:r>
              <w:rPr>
                <w:rFonts w:ascii="宋体" w:hAnsi="宋体" w:cs="宋体"/>
                <w:color w:val="000000"/>
                <w:kern w:val="0"/>
                <w:szCs w:val="21"/>
              </w:rPr>
              <w:t>6</w:t>
            </w:r>
            <w:r>
              <w:rPr>
                <w:rFonts w:hint="eastAsia" w:ascii="宋体" w:hAnsi="宋体" w:cs="宋体"/>
                <w:color w:val="000000"/>
                <w:kern w:val="0"/>
                <w:szCs w:val="21"/>
              </w:rPr>
              <w:t>分</w:t>
            </w:r>
          </w:p>
        </w:tc>
        <w:tc>
          <w:tcPr>
            <w:tcW w:w="7264" w:type="dxa"/>
          </w:tcPr>
          <w:p>
            <w:pPr>
              <w:autoSpaceDE w:val="0"/>
              <w:autoSpaceDN w:val="0"/>
              <w:adjustRightInd w:val="0"/>
              <w:jc w:val="left"/>
              <w:rPr>
                <w:rFonts w:ascii="宋体" w:hAnsi="宋体" w:cs="宋体"/>
                <w:color w:val="000000"/>
                <w:kern w:val="0"/>
                <w:szCs w:val="21"/>
              </w:rPr>
            </w:pPr>
            <w:r>
              <w:rPr>
                <w:rFonts w:hint="eastAsia" w:ascii="宋体" w:hAnsi="宋体" w:cs="宋体"/>
                <w:color w:val="000000"/>
                <w:kern w:val="0"/>
                <w:szCs w:val="21"/>
              </w:rPr>
              <w:t>根据供应商针对本项目开设专门服务窗口、提供“一站式”服务，制定相应管理制度和考核办法进行打分：管理制度严格、考核办法全面、服务针对性强得</w:t>
            </w:r>
            <w:r>
              <w:rPr>
                <w:rFonts w:ascii="宋体" w:hAnsi="宋体" w:cs="宋体"/>
                <w:color w:val="000000"/>
                <w:kern w:val="0"/>
                <w:szCs w:val="21"/>
              </w:rPr>
              <w:t>6-5</w:t>
            </w:r>
            <w:r>
              <w:rPr>
                <w:rFonts w:hint="eastAsia" w:ascii="宋体" w:hAnsi="宋体" w:cs="宋体"/>
                <w:color w:val="000000"/>
                <w:kern w:val="0"/>
                <w:szCs w:val="21"/>
              </w:rPr>
              <w:t>分；管理制度较为严格、考核办法较为全面、服务有一定针对性得</w:t>
            </w:r>
            <w:r>
              <w:rPr>
                <w:rFonts w:ascii="宋体" w:hAnsi="宋体" w:cs="宋体"/>
                <w:color w:val="000000"/>
                <w:kern w:val="0"/>
                <w:szCs w:val="21"/>
              </w:rPr>
              <w:t>4-3</w:t>
            </w:r>
            <w:r>
              <w:rPr>
                <w:rFonts w:hint="eastAsia" w:ascii="宋体" w:hAnsi="宋体" w:cs="宋体"/>
                <w:color w:val="000000"/>
                <w:kern w:val="0"/>
                <w:szCs w:val="21"/>
              </w:rPr>
              <w:t>分；有简单的管理制度和考核办法、能提供基本服务得2</w:t>
            </w:r>
            <w:r>
              <w:rPr>
                <w:rFonts w:ascii="宋体" w:hAnsi="宋体" w:cs="宋体"/>
                <w:color w:val="000000"/>
                <w:kern w:val="0"/>
                <w:szCs w:val="21"/>
              </w:rPr>
              <w:t>-</w:t>
            </w:r>
            <w:r>
              <w:rPr>
                <w:rFonts w:hint="eastAsia" w:ascii="宋体" w:hAnsi="宋体" w:cs="宋体"/>
                <w:color w:val="000000"/>
                <w:kern w:val="0"/>
                <w:szCs w:val="21"/>
              </w:rPr>
              <w:t>1分；未提供则不得分。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11" w:type="dxa"/>
            <w:vMerge w:val="continue"/>
            <w:vAlign w:val="center"/>
          </w:tcPr>
          <w:p>
            <w:pPr>
              <w:tabs>
                <w:tab w:val="left" w:pos="322"/>
              </w:tabs>
              <w:spacing w:line="320" w:lineRule="exact"/>
              <w:ind w:left="-42" w:right="-42" w:rightChars="-20"/>
              <w:jc w:val="right"/>
              <w:rPr>
                <w:rFonts w:ascii="宋体" w:hAnsi="宋体" w:cs="Times New Roman"/>
                <w:b/>
                <w:color w:val="000000"/>
                <w:sz w:val="24"/>
                <w:highlight w:val="yellow"/>
              </w:rPr>
            </w:pPr>
          </w:p>
        </w:tc>
        <w:tc>
          <w:tcPr>
            <w:tcW w:w="1198" w:type="dxa"/>
            <w:gridSpan w:val="2"/>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赔付</w:t>
            </w:r>
          </w:p>
          <w:p>
            <w:pPr>
              <w:widowControl/>
              <w:jc w:val="center"/>
              <w:rPr>
                <w:rFonts w:ascii="宋体" w:hAnsi="宋体" w:cs="宋体"/>
                <w:color w:val="000000"/>
                <w:kern w:val="0"/>
                <w:szCs w:val="21"/>
              </w:rPr>
            </w:pPr>
            <w:r>
              <w:rPr>
                <w:rFonts w:hint="eastAsia" w:ascii="宋体" w:hAnsi="宋体" w:cs="宋体"/>
                <w:color w:val="000000"/>
                <w:kern w:val="0"/>
                <w:szCs w:val="21"/>
              </w:rPr>
              <w:t>时限</w:t>
            </w:r>
          </w:p>
        </w:tc>
        <w:tc>
          <w:tcPr>
            <w:tcW w:w="667"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2分</w:t>
            </w:r>
          </w:p>
        </w:tc>
        <w:tc>
          <w:tcPr>
            <w:tcW w:w="7264" w:type="dxa"/>
            <w:vAlign w:val="center"/>
          </w:tcPr>
          <w:p>
            <w:pPr>
              <w:widowControl/>
              <w:rPr>
                <w:rFonts w:ascii="宋体" w:hAnsi="宋体" w:cs="宋体"/>
                <w:color w:val="000000"/>
                <w:kern w:val="0"/>
                <w:szCs w:val="21"/>
              </w:rPr>
            </w:pPr>
            <w:r>
              <w:rPr>
                <w:rFonts w:hint="eastAsia" w:ascii="宋体" w:hAnsi="宋体" w:cs="宋体"/>
                <w:color w:val="000000"/>
                <w:kern w:val="0"/>
                <w:szCs w:val="21"/>
              </w:rPr>
              <w:t>根据供应商制订的赔付时限及结付方式进行打分：方式合理、时限最快得2分；方式、时限基本合理得1分；未提供则不得分。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11" w:type="dxa"/>
            <w:vMerge w:val="continue"/>
            <w:vAlign w:val="center"/>
          </w:tcPr>
          <w:p>
            <w:pPr>
              <w:tabs>
                <w:tab w:val="left" w:pos="322"/>
              </w:tabs>
              <w:spacing w:line="320" w:lineRule="exact"/>
              <w:ind w:left="-42" w:right="-42" w:rightChars="-20"/>
              <w:jc w:val="right"/>
              <w:rPr>
                <w:rFonts w:ascii="宋体" w:hAnsi="宋体" w:cs="Times New Roman"/>
                <w:b/>
                <w:color w:val="000000"/>
                <w:sz w:val="24"/>
                <w:highlight w:val="yellow"/>
              </w:rPr>
            </w:pPr>
          </w:p>
        </w:tc>
        <w:tc>
          <w:tcPr>
            <w:tcW w:w="1198" w:type="dxa"/>
            <w:gridSpan w:val="2"/>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热线电话</w:t>
            </w:r>
          </w:p>
        </w:tc>
        <w:tc>
          <w:tcPr>
            <w:tcW w:w="667"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1分</w:t>
            </w:r>
          </w:p>
        </w:tc>
        <w:tc>
          <w:tcPr>
            <w:tcW w:w="7264" w:type="dxa"/>
          </w:tcPr>
          <w:p>
            <w:pPr>
              <w:autoSpaceDE w:val="0"/>
              <w:autoSpaceDN w:val="0"/>
              <w:adjustRightInd w:val="0"/>
              <w:jc w:val="left"/>
              <w:rPr>
                <w:rFonts w:ascii="宋体" w:hAnsi="宋体" w:cs="宋体"/>
                <w:color w:val="000000"/>
                <w:kern w:val="0"/>
                <w:szCs w:val="21"/>
              </w:rPr>
            </w:pPr>
            <w:r>
              <w:rPr>
                <w:rFonts w:hint="eastAsia" w:ascii="宋体" w:hAnsi="宋体" w:cs="宋体"/>
                <w:color w:val="000000"/>
                <w:kern w:val="0"/>
                <w:szCs w:val="21"/>
              </w:rPr>
              <w:t>供应商承诺开设服务热线电话号码，且为指定专用电话， 24小时专线服务，全天候保险咨询、报案、查勘热线得1分。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11" w:type="dxa"/>
            <w:vMerge w:val="continue"/>
            <w:vAlign w:val="center"/>
          </w:tcPr>
          <w:p>
            <w:pPr>
              <w:tabs>
                <w:tab w:val="left" w:pos="322"/>
              </w:tabs>
              <w:spacing w:line="320" w:lineRule="exact"/>
              <w:ind w:left="-42" w:right="-42" w:rightChars="-20"/>
              <w:jc w:val="right"/>
              <w:rPr>
                <w:rFonts w:ascii="宋体" w:hAnsi="宋体" w:cs="Times New Roman"/>
                <w:b/>
                <w:color w:val="000000"/>
                <w:sz w:val="24"/>
                <w:highlight w:val="yellow"/>
              </w:rPr>
            </w:pPr>
          </w:p>
        </w:tc>
        <w:tc>
          <w:tcPr>
            <w:tcW w:w="1198" w:type="dxa"/>
            <w:gridSpan w:val="2"/>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增值服务</w:t>
            </w:r>
          </w:p>
        </w:tc>
        <w:tc>
          <w:tcPr>
            <w:tcW w:w="667"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3分</w:t>
            </w:r>
          </w:p>
        </w:tc>
        <w:tc>
          <w:tcPr>
            <w:tcW w:w="7264" w:type="dxa"/>
          </w:tcPr>
          <w:p>
            <w:pPr>
              <w:autoSpaceDE w:val="0"/>
              <w:autoSpaceDN w:val="0"/>
              <w:adjustRightInd w:val="0"/>
              <w:jc w:val="left"/>
              <w:rPr>
                <w:color w:val="000000"/>
                <w:kern w:val="0"/>
                <w:szCs w:val="21"/>
              </w:rPr>
            </w:pPr>
            <w:r>
              <w:rPr>
                <w:rFonts w:hint="eastAsia" w:ascii="宋体" w:hAnsi="宋体" w:cs="宋体"/>
                <w:color w:val="000000"/>
                <w:kern w:val="0"/>
                <w:szCs w:val="21"/>
              </w:rPr>
              <w:t>根据供应商提出其它优于磋商文件要求的服务承诺（如承诺采购人对本项目要求以外的增值服务）且切实可行的，每增加一个增值服务承诺得1分，本项最多得3分。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11" w:type="dxa"/>
            <w:vMerge w:val="continue"/>
            <w:vAlign w:val="center"/>
          </w:tcPr>
          <w:p>
            <w:pPr>
              <w:tabs>
                <w:tab w:val="left" w:pos="322"/>
              </w:tabs>
              <w:spacing w:line="320" w:lineRule="exact"/>
              <w:ind w:left="-42" w:right="-42" w:rightChars="-20"/>
              <w:jc w:val="right"/>
              <w:rPr>
                <w:rFonts w:ascii="宋体" w:hAnsi="宋体" w:cs="Times New Roman"/>
                <w:b/>
                <w:color w:val="000000"/>
                <w:sz w:val="24"/>
                <w:highlight w:val="yellow"/>
              </w:rPr>
            </w:pPr>
          </w:p>
        </w:tc>
        <w:tc>
          <w:tcPr>
            <w:tcW w:w="1198" w:type="dxa"/>
            <w:gridSpan w:val="2"/>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技术响应</w:t>
            </w:r>
          </w:p>
        </w:tc>
        <w:tc>
          <w:tcPr>
            <w:tcW w:w="667"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10分</w:t>
            </w:r>
          </w:p>
        </w:tc>
        <w:tc>
          <w:tcPr>
            <w:tcW w:w="7264" w:type="dxa"/>
          </w:tcPr>
          <w:p>
            <w:pPr>
              <w:autoSpaceDE w:val="0"/>
              <w:autoSpaceDN w:val="0"/>
              <w:adjustRightInd w:val="0"/>
              <w:jc w:val="left"/>
              <w:rPr>
                <w:rFonts w:ascii="宋体" w:hAnsi="宋体" w:cs="宋体"/>
                <w:color w:val="000000"/>
                <w:kern w:val="0"/>
                <w:szCs w:val="21"/>
              </w:rPr>
            </w:pPr>
            <w:r>
              <w:rPr>
                <w:rFonts w:hint="eastAsia" w:ascii="宋体" w:hAnsi="宋体" w:cs="宋体"/>
                <w:color w:val="000000"/>
                <w:kern w:val="0"/>
                <w:szCs w:val="21"/>
              </w:rPr>
              <w:t>完全满足磋商文件要求，对文件中的政策、服务、建设、等其他要求</w:t>
            </w:r>
            <w:r>
              <w:rPr>
                <w:rFonts w:ascii="宋体" w:hAnsi="宋体" w:cs="宋体"/>
                <w:color w:val="000000"/>
                <w:kern w:val="0"/>
                <w:szCs w:val="21"/>
              </w:rPr>
              <w:t>能详细描述</w:t>
            </w:r>
            <w:r>
              <w:rPr>
                <w:rFonts w:hint="eastAsia" w:ascii="宋体" w:hAnsi="宋体" w:cs="宋体"/>
                <w:color w:val="000000"/>
                <w:kern w:val="0"/>
                <w:szCs w:val="21"/>
              </w:rPr>
              <w:t>，综合评价最优得10分,每项负偏离扣2分，扣完为止。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11" w:type="dxa"/>
            <w:vMerge w:val="continue"/>
            <w:vAlign w:val="center"/>
          </w:tcPr>
          <w:p>
            <w:pPr>
              <w:tabs>
                <w:tab w:val="left" w:pos="322"/>
              </w:tabs>
              <w:spacing w:line="320" w:lineRule="exact"/>
              <w:ind w:left="-42" w:right="-42" w:rightChars="-20"/>
              <w:jc w:val="right"/>
              <w:rPr>
                <w:rFonts w:ascii="宋体" w:hAnsi="宋体" w:cs="Times New Roman"/>
                <w:b/>
                <w:color w:val="000000"/>
                <w:sz w:val="24"/>
                <w:highlight w:val="yellow"/>
              </w:rPr>
            </w:pPr>
          </w:p>
        </w:tc>
        <w:tc>
          <w:tcPr>
            <w:tcW w:w="1198" w:type="dxa"/>
            <w:gridSpan w:val="2"/>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档案资料管理</w:t>
            </w:r>
          </w:p>
        </w:tc>
        <w:tc>
          <w:tcPr>
            <w:tcW w:w="667" w:type="dxa"/>
          </w:tcPr>
          <w:p>
            <w:pPr>
              <w:autoSpaceDE w:val="0"/>
              <w:autoSpaceDN w:val="0"/>
              <w:adjustRightInd w:val="0"/>
              <w:jc w:val="left"/>
              <w:rPr>
                <w:rFonts w:ascii="宋体" w:hAnsi="宋体" w:cs="宋体"/>
                <w:color w:val="000000"/>
                <w:kern w:val="0"/>
                <w:szCs w:val="21"/>
              </w:rPr>
            </w:pPr>
          </w:p>
          <w:p>
            <w:pPr>
              <w:autoSpaceDE w:val="0"/>
              <w:autoSpaceDN w:val="0"/>
              <w:adjustRightInd w:val="0"/>
              <w:jc w:val="left"/>
              <w:rPr>
                <w:rFonts w:ascii="宋体" w:hAnsi="宋体" w:cs="宋体"/>
                <w:color w:val="000000"/>
                <w:kern w:val="0"/>
                <w:szCs w:val="21"/>
              </w:rPr>
            </w:pPr>
            <w:r>
              <w:rPr>
                <w:rFonts w:hint="eastAsia" w:ascii="宋体" w:hAnsi="宋体" w:cs="宋体"/>
                <w:color w:val="000000"/>
                <w:kern w:val="0"/>
                <w:szCs w:val="21"/>
              </w:rPr>
              <w:t>5分</w:t>
            </w:r>
          </w:p>
        </w:tc>
        <w:tc>
          <w:tcPr>
            <w:tcW w:w="7264" w:type="dxa"/>
          </w:tcPr>
          <w:p>
            <w:pPr>
              <w:autoSpaceDE w:val="0"/>
              <w:autoSpaceDN w:val="0"/>
              <w:adjustRightInd w:val="0"/>
              <w:jc w:val="left"/>
              <w:rPr>
                <w:rFonts w:ascii="宋体" w:hAnsi="宋体" w:cs="宋体"/>
                <w:color w:val="000000"/>
                <w:kern w:val="0"/>
                <w:szCs w:val="21"/>
              </w:rPr>
            </w:pPr>
            <w:r>
              <w:rPr>
                <w:rFonts w:hint="eastAsia" w:ascii="宋体" w:hAnsi="宋体" w:cs="宋体"/>
                <w:color w:val="000000"/>
                <w:kern w:val="0"/>
                <w:szCs w:val="21"/>
              </w:rPr>
              <w:t>供应商须符合国家档案管理办法要求，且具备档案管理室、存放档案资料的专用设备、档案资料归档齐整完备，有专人负责档案管理，档案资料存保年限不低于十年（提供设备、档案室实地图片）得5分，每缺少一项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76" w:type="dxa"/>
            <w:gridSpan w:val="4"/>
            <w:vAlign w:val="center"/>
          </w:tcPr>
          <w:p>
            <w:pPr>
              <w:spacing w:line="320" w:lineRule="exact"/>
              <w:ind w:left="-65" w:leftChars="-31" w:right="-36" w:rightChars="-17"/>
              <w:jc w:val="center"/>
              <w:rPr>
                <w:rFonts w:hint="eastAsia" w:ascii="宋体" w:hAnsi="宋体" w:cs="Times New Roman"/>
                <w:b/>
                <w:color w:val="000000"/>
                <w:szCs w:val="21"/>
              </w:rPr>
            </w:pPr>
            <w:r>
              <w:rPr>
                <w:rFonts w:hint="eastAsia" w:ascii="宋体" w:hAnsi="宋体" w:cs="Times New Roman"/>
                <w:b/>
                <w:color w:val="000000"/>
                <w:szCs w:val="21"/>
              </w:rPr>
              <w:t>技术分合计</w:t>
            </w:r>
          </w:p>
        </w:tc>
        <w:tc>
          <w:tcPr>
            <w:tcW w:w="7264" w:type="dxa"/>
            <w:vAlign w:val="center"/>
          </w:tcPr>
          <w:p>
            <w:pPr>
              <w:spacing w:line="320" w:lineRule="exact"/>
              <w:ind w:left="-65" w:leftChars="-31" w:right="-36" w:rightChars="-17"/>
              <w:jc w:val="center"/>
              <w:rPr>
                <w:rFonts w:hint="eastAsia" w:ascii="宋体" w:hAnsi="宋体" w:cs="Times New Roman"/>
                <w:b/>
                <w:color w:val="000000"/>
                <w:szCs w:val="21"/>
              </w:rPr>
            </w:pPr>
            <w:r>
              <w:rPr>
                <w:rFonts w:hint="eastAsia" w:ascii="宋体" w:hAnsi="宋体" w:cs="Times New Roman"/>
                <w:b/>
                <w:color w:val="000000"/>
                <w:szCs w:val="21"/>
              </w:rPr>
              <w:t>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800" w:type="dxa"/>
            <w:gridSpan w:val="2"/>
            <w:vAlign w:val="center"/>
          </w:tcPr>
          <w:p>
            <w:pPr>
              <w:ind w:left="-78" w:leftChars="-37" w:right="-86" w:rightChars="-41"/>
              <w:jc w:val="center"/>
              <w:rPr>
                <w:rFonts w:ascii="宋体" w:hAnsi="宋体" w:cs="Times New Roman"/>
                <w:b/>
                <w:bCs/>
                <w:color w:val="000000"/>
                <w:sz w:val="24"/>
                <w:szCs w:val="24"/>
              </w:rPr>
            </w:pPr>
            <w:r>
              <w:rPr>
                <w:rFonts w:hint="eastAsia" w:ascii="宋体" w:hAnsi="宋体" w:cs="Times New Roman"/>
                <w:b/>
                <w:bCs/>
                <w:color w:val="000000"/>
                <w:sz w:val="24"/>
                <w:szCs w:val="24"/>
              </w:rPr>
              <w:t>价格评议</w:t>
            </w:r>
          </w:p>
        </w:tc>
        <w:tc>
          <w:tcPr>
            <w:tcW w:w="676" w:type="dxa"/>
            <w:gridSpan w:val="2"/>
            <w:vAlign w:val="center"/>
          </w:tcPr>
          <w:p>
            <w:pPr>
              <w:spacing w:line="320" w:lineRule="exact"/>
              <w:rPr>
                <w:rFonts w:ascii="宋体" w:hAnsi="宋体" w:cs="Times New Roman"/>
                <w:color w:val="000000"/>
                <w:kern w:val="0"/>
                <w:szCs w:val="21"/>
              </w:rPr>
            </w:pPr>
            <w:r>
              <w:rPr>
                <w:rFonts w:hint="eastAsia" w:ascii="宋体" w:hAnsi="宋体" w:cs="Times New Roman"/>
                <w:color w:val="000000"/>
                <w:kern w:val="0"/>
                <w:szCs w:val="21"/>
              </w:rPr>
              <w:t>10分</w:t>
            </w:r>
          </w:p>
        </w:tc>
        <w:tc>
          <w:tcPr>
            <w:tcW w:w="7264" w:type="dxa"/>
            <w:vAlign w:val="center"/>
          </w:tcPr>
          <w:p>
            <w:pPr>
              <w:adjustRightInd w:val="0"/>
              <w:snapToGrid w:val="0"/>
              <w:rPr>
                <w:rFonts w:ascii="宋体" w:hAnsi="宋体" w:cs="Times New Roman"/>
                <w:color w:val="000000"/>
                <w:szCs w:val="21"/>
              </w:rPr>
            </w:pPr>
            <w:r>
              <w:rPr>
                <w:rFonts w:hint="eastAsia" w:ascii="宋体" w:hAnsi="宋体" w:cs="Times New Roman"/>
                <w:color w:val="000000"/>
                <w:szCs w:val="21"/>
              </w:rPr>
              <w:t>满足磋商文件要求且投标价格最低的投标报价为评标基准价，价格分按照下列公式计算：投标报价得分=（评标基准价/投标报价）×价格权值×100。计算时按四舍五入后保留小数点后两位小数。为保证产品质量，投标报价低于采购预算时，评标委员会将对其进行成本分析，评标委员会认为报价低于成本价时将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76" w:type="dxa"/>
            <w:gridSpan w:val="4"/>
            <w:vAlign w:val="center"/>
          </w:tcPr>
          <w:p>
            <w:pPr>
              <w:spacing w:line="320" w:lineRule="exact"/>
              <w:ind w:left="-65" w:leftChars="-31" w:right="-36" w:rightChars="-17"/>
              <w:jc w:val="center"/>
              <w:rPr>
                <w:rFonts w:hint="eastAsia" w:ascii="宋体" w:hAnsi="宋体" w:cs="Times New Roman"/>
                <w:b/>
                <w:color w:val="000000"/>
                <w:szCs w:val="21"/>
              </w:rPr>
            </w:pPr>
            <w:r>
              <w:rPr>
                <w:rFonts w:hint="eastAsia" w:ascii="宋体" w:hAnsi="宋体" w:cs="Times New Roman"/>
                <w:b/>
                <w:color w:val="000000"/>
                <w:szCs w:val="21"/>
              </w:rPr>
              <w:t>报价分合计</w:t>
            </w:r>
          </w:p>
        </w:tc>
        <w:tc>
          <w:tcPr>
            <w:tcW w:w="7264" w:type="dxa"/>
            <w:vAlign w:val="center"/>
          </w:tcPr>
          <w:p>
            <w:pPr>
              <w:spacing w:line="320" w:lineRule="exact"/>
              <w:ind w:left="-65" w:leftChars="-31" w:right="-36" w:rightChars="-17"/>
              <w:jc w:val="center"/>
              <w:rPr>
                <w:rFonts w:hint="eastAsia" w:ascii="宋体" w:hAnsi="宋体" w:cs="Times New Roman"/>
                <w:b/>
                <w:color w:val="000000"/>
                <w:szCs w:val="21"/>
              </w:rPr>
            </w:pPr>
            <w:r>
              <w:rPr>
                <w:rFonts w:hint="eastAsia" w:ascii="宋体" w:hAnsi="宋体" w:cs="Times New Roman"/>
                <w:b/>
                <w:color w:val="000000"/>
                <w:szCs w:val="21"/>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76" w:type="dxa"/>
            <w:gridSpan w:val="4"/>
            <w:vAlign w:val="center"/>
          </w:tcPr>
          <w:p>
            <w:pPr>
              <w:spacing w:line="320" w:lineRule="exact"/>
              <w:ind w:left="-65" w:leftChars="-31" w:right="-36" w:rightChars="-17"/>
              <w:jc w:val="center"/>
              <w:rPr>
                <w:rFonts w:hint="eastAsia" w:ascii="宋体" w:hAnsi="宋体" w:cs="Times New Roman"/>
                <w:b/>
                <w:color w:val="000000"/>
                <w:szCs w:val="21"/>
              </w:rPr>
            </w:pPr>
            <w:r>
              <w:rPr>
                <w:rFonts w:hint="eastAsia" w:ascii="宋体" w:hAnsi="宋体" w:cs="Times New Roman"/>
                <w:b/>
                <w:color w:val="000000"/>
                <w:szCs w:val="21"/>
              </w:rPr>
              <w:t>得分总计</w:t>
            </w:r>
          </w:p>
        </w:tc>
        <w:tc>
          <w:tcPr>
            <w:tcW w:w="7264" w:type="dxa"/>
            <w:vAlign w:val="center"/>
          </w:tcPr>
          <w:p>
            <w:pPr>
              <w:spacing w:line="320" w:lineRule="exact"/>
              <w:ind w:left="-65" w:leftChars="-31" w:right="-36" w:rightChars="-17"/>
              <w:jc w:val="center"/>
              <w:rPr>
                <w:rFonts w:hint="eastAsia" w:ascii="宋体" w:hAnsi="宋体" w:cs="Times New Roman"/>
                <w:b/>
                <w:color w:val="000000"/>
                <w:szCs w:val="21"/>
              </w:rPr>
            </w:pPr>
            <w:r>
              <w:rPr>
                <w:rFonts w:hint="eastAsia" w:ascii="宋体" w:hAnsi="宋体" w:cs="Times New Roman"/>
                <w:b/>
                <w:color w:val="000000"/>
                <w:szCs w:val="21"/>
              </w:rPr>
              <w:t>100分</w:t>
            </w:r>
            <w:bookmarkStart w:id="14" w:name="_GoBack"/>
            <w:bookmarkEnd w:id="14"/>
          </w:p>
        </w:tc>
      </w:tr>
    </w:tbl>
    <w:p>
      <w:pPr>
        <w:pStyle w:val="4"/>
        <w:rPr>
          <w:rFonts w:hAnsi="宋体" w:cs="宋体"/>
          <w:sz w:val="28"/>
          <w:szCs w:val="28"/>
        </w:rPr>
      </w:pPr>
      <w:r>
        <w:rPr>
          <w:rFonts w:hint="eastAsia" w:hAnsi="宋体" w:cs="宋体"/>
          <w:sz w:val="28"/>
          <w:szCs w:val="28"/>
        </w:rPr>
        <w:t>备注：以上所有须提供的证件、证书、有关资料等供应商都须提供原始资料的真彩扫描打印件供专家评委评审，否则不得分。供应商投标时须认真对待、如实应标。凡提供虚假材料谋取中标的，一经查实，根据《政府采购法》第七十七条之规定，将对供应商处以罚款、列入不良行为记录名单、依法追究刑事责任等。</w:t>
      </w:r>
    </w:p>
    <w:p>
      <w:pPr>
        <w:jc w:val="center"/>
        <w:rPr>
          <w:sz w:val="32"/>
          <w:szCs w:val="32"/>
        </w:rPr>
      </w:pPr>
      <w:r>
        <w:rPr>
          <w:sz w:val="32"/>
          <w:szCs w:val="32"/>
        </w:rPr>
        <w:br w:type="page"/>
      </w:r>
      <w:r>
        <w:rPr>
          <w:rFonts w:hint="eastAsia"/>
          <w:sz w:val="32"/>
          <w:szCs w:val="32"/>
        </w:rPr>
        <w:t>供应商报名表</w:t>
      </w:r>
    </w:p>
    <w:p>
      <w:pPr>
        <w:rPr>
          <w:sz w:val="24"/>
          <w:szCs w:val="24"/>
        </w:rPr>
      </w:pPr>
      <w:r>
        <w:rPr>
          <w:rFonts w:hint="eastAsia"/>
          <w:sz w:val="24"/>
          <w:szCs w:val="24"/>
        </w:rPr>
        <w:t>项目编号：</w:t>
      </w:r>
      <w:r>
        <w:rPr>
          <w:sz w:val="24"/>
          <w:szCs w:val="24"/>
          <w:u w:val="single"/>
        </w:rPr>
        <w:t xml:space="preserve">                </w:t>
      </w:r>
    </w:p>
    <w:p>
      <w:pPr>
        <w:rPr>
          <w:sz w:val="24"/>
          <w:szCs w:val="24"/>
        </w:rPr>
      </w:pPr>
      <w:r>
        <w:rPr>
          <w:rFonts w:hint="eastAsia"/>
          <w:sz w:val="24"/>
          <w:szCs w:val="24"/>
        </w:rPr>
        <w:t>项目名称：</w:t>
      </w:r>
      <w:r>
        <w:rPr>
          <w:sz w:val="24"/>
          <w:szCs w:val="24"/>
        </w:rPr>
        <w:t xml:space="preserve">  </w:t>
      </w:r>
      <w:r>
        <w:rPr>
          <w:sz w:val="24"/>
          <w:szCs w:val="24"/>
          <w:u w:val="single"/>
        </w:rPr>
        <w:t xml:space="preserve">                </w:t>
      </w:r>
      <w:r>
        <w:rPr>
          <w:sz w:val="24"/>
          <w:szCs w:val="24"/>
        </w:rPr>
        <w:t xml:space="preserve">                       </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4"/>
        <w:gridCol w:w="6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34" w:type="dxa"/>
            <w:vAlign w:val="center"/>
          </w:tcPr>
          <w:p>
            <w:pPr>
              <w:widowControl/>
              <w:spacing w:before="100" w:beforeAutospacing="1" w:after="100" w:afterAutospacing="1"/>
              <w:jc w:val="left"/>
              <w:rPr>
                <w:rFonts w:ascii="宋体" w:cs="宋体"/>
                <w:kern w:val="0"/>
                <w:sz w:val="24"/>
                <w:szCs w:val="24"/>
              </w:rPr>
            </w:pPr>
            <w:r>
              <w:rPr>
                <w:rFonts w:hint="eastAsia" w:ascii="宋体" w:hAnsi="宋体" w:cs="宋体"/>
                <w:kern w:val="0"/>
                <w:sz w:val="24"/>
                <w:szCs w:val="24"/>
              </w:rPr>
              <w:t>供应商名称（盖章）</w:t>
            </w:r>
          </w:p>
        </w:tc>
        <w:tc>
          <w:tcPr>
            <w:tcW w:w="6288" w:type="dxa"/>
            <w:vAlign w:val="center"/>
          </w:tcPr>
          <w:p>
            <w:pPr>
              <w:widowControl/>
              <w:spacing w:before="100" w:beforeAutospacing="1" w:after="100" w:afterAutospacing="1"/>
              <w:jc w:val="left"/>
              <w:rPr>
                <w:rFonts w:ascii="宋体" w:cs="宋体"/>
                <w:kern w:val="0"/>
                <w:sz w:val="24"/>
                <w:szCs w:val="24"/>
              </w:rPr>
            </w:pPr>
            <w:r>
              <w:rPr>
                <w:rFonts w:asci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34" w:type="dxa"/>
            <w:vAlign w:val="center"/>
          </w:tcPr>
          <w:p>
            <w:pPr>
              <w:widowControl/>
              <w:spacing w:before="100" w:beforeAutospacing="1" w:after="100" w:afterAutospacing="1"/>
              <w:jc w:val="left"/>
              <w:rPr>
                <w:rFonts w:ascii="宋体" w:cs="宋体"/>
                <w:kern w:val="0"/>
                <w:sz w:val="24"/>
                <w:szCs w:val="24"/>
              </w:rPr>
            </w:pPr>
            <w:r>
              <w:rPr>
                <w:rFonts w:hint="eastAsia" w:ascii="宋体" w:hAnsi="宋体" w:cs="宋体"/>
                <w:kern w:val="0"/>
                <w:sz w:val="24"/>
                <w:szCs w:val="24"/>
              </w:rPr>
              <w:t>联系人姓名</w:t>
            </w:r>
          </w:p>
        </w:tc>
        <w:tc>
          <w:tcPr>
            <w:tcW w:w="6288" w:type="dxa"/>
            <w:vAlign w:val="center"/>
          </w:tcPr>
          <w:p>
            <w:pPr>
              <w:widowControl/>
              <w:spacing w:before="100" w:beforeAutospacing="1" w:after="100" w:afterAutospacing="1"/>
              <w:jc w:val="left"/>
              <w:rPr>
                <w:rFonts w:ascii="宋体" w:cs="宋体"/>
                <w:kern w:val="0"/>
                <w:sz w:val="24"/>
                <w:szCs w:val="24"/>
              </w:rPr>
            </w:pPr>
            <w:r>
              <w:rPr>
                <w:rFonts w:asci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34" w:type="dxa"/>
            <w:vAlign w:val="center"/>
          </w:tcPr>
          <w:p>
            <w:pPr>
              <w:widowControl/>
              <w:spacing w:before="100" w:beforeAutospacing="1" w:after="100" w:afterAutospacing="1"/>
              <w:jc w:val="left"/>
              <w:rPr>
                <w:rFonts w:ascii="宋体" w:cs="宋体"/>
                <w:kern w:val="0"/>
                <w:sz w:val="24"/>
                <w:szCs w:val="24"/>
              </w:rPr>
            </w:pPr>
            <w:r>
              <w:rPr>
                <w:rFonts w:hint="eastAsia" w:ascii="宋体" w:hAnsi="宋体" w:cs="宋体"/>
                <w:kern w:val="0"/>
                <w:sz w:val="24"/>
                <w:szCs w:val="24"/>
              </w:rPr>
              <w:t>联系人电话（办公电话和手机）</w:t>
            </w:r>
          </w:p>
        </w:tc>
        <w:tc>
          <w:tcPr>
            <w:tcW w:w="6288" w:type="dxa"/>
            <w:vAlign w:val="center"/>
          </w:tcPr>
          <w:p>
            <w:pPr>
              <w:widowControl/>
              <w:spacing w:before="100" w:beforeAutospacing="1" w:after="100" w:afterAutospacing="1"/>
              <w:jc w:val="left"/>
              <w:rPr>
                <w:rFonts w:ascii="宋体" w:cs="宋体"/>
                <w:kern w:val="0"/>
                <w:sz w:val="24"/>
                <w:szCs w:val="24"/>
              </w:rPr>
            </w:pPr>
            <w:r>
              <w:rPr>
                <w:rFonts w:asci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34" w:type="dxa"/>
            <w:vAlign w:val="center"/>
          </w:tcPr>
          <w:p>
            <w:pPr>
              <w:widowControl/>
              <w:spacing w:before="100" w:beforeAutospacing="1" w:after="100" w:afterAutospacing="1"/>
              <w:jc w:val="left"/>
              <w:rPr>
                <w:rFonts w:ascii="宋体" w:cs="宋体"/>
                <w:kern w:val="0"/>
                <w:sz w:val="24"/>
                <w:szCs w:val="24"/>
              </w:rPr>
            </w:pPr>
            <w:r>
              <w:rPr>
                <w:rFonts w:hint="eastAsia" w:ascii="宋体" w:hAnsi="宋体" w:cs="宋体"/>
                <w:kern w:val="0"/>
                <w:sz w:val="24"/>
                <w:szCs w:val="24"/>
              </w:rPr>
              <w:t>联系人邮箱</w:t>
            </w:r>
          </w:p>
        </w:tc>
        <w:tc>
          <w:tcPr>
            <w:tcW w:w="6288" w:type="dxa"/>
            <w:vAlign w:val="center"/>
          </w:tcPr>
          <w:p>
            <w:pPr>
              <w:widowControl/>
              <w:spacing w:before="100" w:beforeAutospacing="1" w:after="100" w:afterAutospacing="1"/>
              <w:jc w:val="left"/>
              <w:rPr>
                <w:rFonts w:ascii="宋体" w:cs="宋体"/>
                <w:kern w:val="0"/>
                <w:sz w:val="24"/>
                <w:szCs w:val="24"/>
              </w:rPr>
            </w:pPr>
            <w:r>
              <w:rPr>
                <w:rFonts w:asci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34" w:type="dxa"/>
            <w:vMerge w:val="restart"/>
            <w:vAlign w:val="center"/>
          </w:tcPr>
          <w:p>
            <w:pPr>
              <w:widowControl/>
              <w:spacing w:before="100" w:beforeAutospacing="1" w:after="100" w:afterAutospacing="1"/>
              <w:jc w:val="left"/>
              <w:rPr>
                <w:rFonts w:ascii="宋体" w:cs="宋体"/>
                <w:kern w:val="0"/>
                <w:sz w:val="24"/>
                <w:szCs w:val="24"/>
              </w:rPr>
            </w:pPr>
            <w:r>
              <w:rPr>
                <w:rFonts w:hint="eastAsia" w:ascii="宋体" w:hAnsi="宋体" w:cs="宋体"/>
                <w:kern w:val="0"/>
                <w:sz w:val="24"/>
                <w:szCs w:val="24"/>
              </w:rPr>
              <w:t>供应商提供的</w:t>
            </w:r>
          </w:p>
          <w:p>
            <w:pPr>
              <w:widowControl/>
              <w:spacing w:before="100" w:beforeAutospacing="1" w:after="100" w:afterAutospacing="1"/>
              <w:jc w:val="left"/>
              <w:rPr>
                <w:rFonts w:ascii="宋体" w:cs="宋体"/>
                <w:kern w:val="0"/>
                <w:sz w:val="24"/>
                <w:szCs w:val="24"/>
              </w:rPr>
            </w:pPr>
            <w:r>
              <w:rPr>
                <w:rFonts w:hint="eastAsia" w:ascii="宋体" w:hAnsi="宋体" w:cs="宋体"/>
                <w:kern w:val="0"/>
                <w:sz w:val="24"/>
                <w:szCs w:val="24"/>
              </w:rPr>
              <w:t>报名资料</w:t>
            </w:r>
          </w:p>
        </w:tc>
        <w:tc>
          <w:tcPr>
            <w:tcW w:w="6288" w:type="dxa"/>
          </w:tcPr>
          <w:p>
            <w:pPr>
              <w:rPr>
                <w:sz w:val="24"/>
                <w:szCs w:val="24"/>
              </w:rPr>
            </w:pPr>
            <w:r>
              <w:rPr>
                <w:sz w:val="24"/>
                <w:szCs w:val="24"/>
              </w:rPr>
              <w:t>1.</w:t>
            </w:r>
            <w:r>
              <w:rPr>
                <w:rFonts w:hint="eastAsia"/>
                <w:sz w:val="24"/>
                <w:szCs w:val="24"/>
              </w:rPr>
              <w:t>法人或者其他组织的营业执照等证明文件，如供应商是自然人的提供身份证明材料。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34" w:type="dxa"/>
            <w:vMerge w:val="continue"/>
            <w:vAlign w:val="center"/>
          </w:tcPr>
          <w:p>
            <w:pPr>
              <w:widowControl/>
              <w:jc w:val="left"/>
              <w:rPr>
                <w:rFonts w:ascii="宋体" w:cs="宋体"/>
                <w:kern w:val="0"/>
                <w:sz w:val="24"/>
                <w:szCs w:val="24"/>
              </w:rPr>
            </w:pPr>
          </w:p>
        </w:tc>
        <w:tc>
          <w:tcPr>
            <w:tcW w:w="6288" w:type="dxa"/>
          </w:tcPr>
          <w:p>
            <w:pPr>
              <w:rPr>
                <w:sz w:val="24"/>
                <w:szCs w:val="24"/>
              </w:rPr>
            </w:pPr>
            <w:r>
              <w:rPr>
                <w:sz w:val="24"/>
                <w:szCs w:val="24"/>
              </w:rPr>
              <w:t>2.</w:t>
            </w:r>
            <w:r>
              <w:rPr>
                <w:rFonts w:hint="eastAsia"/>
                <w:sz w:val="24"/>
                <w:szCs w:val="24"/>
              </w:rPr>
              <w:t>财务状况报告，依法缴纳税收和社会保障资金的相关材料。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34" w:type="dxa"/>
            <w:vMerge w:val="continue"/>
            <w:vAlign w:val="center"/>
          </w:tcPr>
          <w:p>
            <w:pPr>
              <w:widowControl/>
              <w:jc w:val="left"/>
              <w:rPr>
                <w:rFonts w:ascii="宋体" w:cs="宋体"/>
                <w:kern w:val="0"/>
                <w:sz w:val="24"/>
                <w:szCs w:val="24"/>
              </w:rPr>
            </w:pPr>
          </w:p>
        </w:tc>
        <w:tc>
          <w:tcPr>
            <w:tcW w:w="6288" w:type="dxa"/>
          </w:tcPr>
          <w:p>
            <w:pPr>
              <w:rPr>
                <w:sz w:val="24"/>
                <w:szCs w:val="24"/>
              </w:rPr>
            </w:pPr>
            <w:r>
              <w:rPr>
                <w:sz w:val="24"/>
                <w:szCs w:val="24"/>
              </w:rPr>
              <w:t>3.</w:t>
            </w:r>
            <w:r>
              <w:rPr>
                <w:rFonts w:hint="eastAsia"/>
                <w:sz w:val="24"/>
                <w:szCs w:val="24"/>
              </w:rPr>
              <w:t>具备履行合同所必需的设备和专业技术能力的证明材料。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34" w:type="dxa"/>
            <w:vMerge w:val="continue"/>
            <w:vAlign w:val="center"/>
          </w:tcPr>
          <w:p>
            <w:pPr>
              <w:widowControl/>
              <w:jc w:val="left"/>
              <w:rPr>
                <w:rFonts w:ascii="宋体" w:cs="宋体"/>
                <w:kern w:val="0"/>
                <w:sz w:val="24"/>
                <w:szCs w:val="24"/>
              </w:rPr>
            </w:pPr>
          </w:p>
        </w:tc>
        <w:tc>
          <w:tcPr>
            <w:tcW w:w="6288" w:type="dxa"/>
          </w:tcPr>
          <w:p>
            <w:pPr>
              <w:rPr>
                <w:sz w:val="24"/>
                <w:szCs w:val="24"/>
              </w:rPr>
            </w:pPr>
            <w:r>
              <w:rPr>
                <w:sz w:val="24"/>
                <w:szCs w:val="24"/>
              </w:rPr>
              <w:t>4.</w:t>
            </w:r>
            <w:r>
              <w:rPr>
                <w:rFonts w:hint="eastAsia"/>
                <w:sz w:val="24"/>
                <w:szCs w:val="24"/>
              </w:rPr>
              <w:t>参加政府采购活动前</w:t>
            </w:r>
            <w:r>
              <w:rPr>
                <w:sz w:val="24"/>
                <w:szCs w:val="24"/>
              </w:rPr>
              <w:t>3</w:t>
            </w:r>
            <w:r>
              <w:rPr>
                <w:rFonts w:hint="eastAsia"/>
                <w:sz w:val="24"/>
                <w:szCs w:val="24"/>
              </w:rPr>
              <w:t>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34" w:type="dxa"/>
            <w:vMerge w:val="continue"/>
            <w:vAlign w:val="center"/>
          </w:tcPr>
          <w:p>
            <w:pPr>
              <w:widowControl/>
              <w:jc w:val="left"/>
              <w:rPr>
                <w:rFonts w:ascii="宋体" w:cs="宋体"/>
                <w:kern w:val="0"/>
                <w:sz w:val="24"/>
                <w:szCs w:val="24"/>
              </w:rPr>
            </w:pPr>
          </w:p>
        </w:tc>
        <w:tc>
          <w:tcPr>
            <w:tcW w:w="6288" w:type="dxa"/>
          </w:tcPr>
          <w:p>
            <w:pPr>
              <w:rPr>
                <w:sz w:val="24"/>
                <w:szCs w:val="24"/>
              </w:rPr>
            </w:pPr>
            <w:r>
              <w:rPr>
                <w:sz w:val="24"/>
                <w:szCs w:val="24"/>
              </w:rPr>
              <w:t>5.</w:t>
            </w:r>
            <w:r>
              <w:rPr>
                <w:rFonts w:hint="eastAsia"/>
                <w:sz w:val="24"/>
                <w:szCs w:val="24"/>
              </w:rPr>
              <w:t>具备法律、行政法规规定的其他条件的证明材料。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34" w:type="dxa"/>
            <w:vMerge w:val="continue"/>
            <w:vAlign w:val="center"/>
          </w:tcPr>
          <w:p>
            <w:pPr>
              <w:widowControl/>
              <w:jc w:val="left"/>
              <w:rPr>
                <w:rFonts w:ascii="宋体" w:cs="宋体"/>
                <w:kern w:val="0"/>
                <w:sz w:val="24"/>
                <w:szCs w:val="24"/>
              </w:rPr>
            </w:pPr>
          </w:p>
        </w:tc>
        <w:tc>
          <w:tcPr>
            <w:tcW w:w="6288" w:type="dxa"/>
          </w:tcPr>
          <w:p>
            <w:pPr>
              <w:rPr>
                <w:sz w:val="24"/>
                <w:szCs w:val="24"/>
              </w:rPr>
            </w:pPr>
            <w:r>
              <w:rPr>
                <w:sz w:val="24"/>
                <w:szCs w:val="24"/>
              </w:rPr>
              <w:t>6.</w:t>
            </w:r>
            <w:r>
              <w:rPr>
                <w:rFonts w:hint="eastAsia" w:ascii="Times New Roman" w:hAnsi="Times New Roman" w:cs="Times New Roman"/>
                <w:bCs/>
                <w:color w:val="000000"/>
                <w:sz w:val="24"/>
                <w:szCs w:val="24"/>
              </w:rPr>
              <w:t xml:space="preserve"> </w:t>
            </w:r>
            <w:r>
              <w:rPr>
                <w:rFonts w:hint="eastAsia"/>
                <w:bCs/>
                <w:sz w:val="24"/>
                <w:szCs w:val="24"/>
              </w:rPr>
              <w:t>未被列入“信用中国”网站(www.creditchina. gov.cn)失信被执行人、重大税收违法案件当事人名单和“中国政府采购”网站（</w:t>
            </w:r>
            <w:r>
              <w:rPr>
                <w:bCs/>
                <w:sz w:val="24"/>
                <w:szCs w:val="24"/>
              </w:rPr>
              <w:t>www.ccgp.gov.cn</w:t>
            </w:r>
            <w:r>
              <w:rPr>
                <w:rFonts w:hint="eastAsia"/>
                <w:bCs/>
                <w:sz w:val="24"/>
                <w:szCs w:val="24"/>
              </w:rPr>
              <w:t>）政府采购严重违法失信行为记录名单</w:t>
            </w:r>
            <w:r>
              <w:rPr>
                <w:rFonts w:hint="eastAsia"/>
                <w:sz w:val="24"/>
                <w:szCs w:val="24"/>
              </w:rPr>
              <w:t>的网页打印件。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trPr>
        <w:tc>
          <w:tcPr>
            <w:tcW w:w="2234" w:type="dxa"/>
            <w:vMerge w:val="continue"/>
            <w:vAlign w:val="center"/>
          </w:tcPr>
          <w:p>
            <w:pPr>
              <w:widowControl/>
              <w:jc w:val="left"/>
              <w:rPr>
                <w:rFonts w:ascii="宋体" w:cs="宋体"/>
                <w:kern w:val="0"/>
                <w:sz w:val="24"/>
                <w:szCs w:val="24"/>
              </w:rPr>
            </w:pPr>
          </w:p>
        </w:tc>
        <w:tc>
          <w:tcPr>
            <w:tcW w:w="6288" w:type="dxa"/>
          </w:tcPr>
          <w:p>
            <w:pPr>
              <w:rPr>
                <w:sz w:val="24"/>
                <w:szCs w:val="24"/>
              </w:rPr>
            </w:pPr>
            <w:r>
              <w:rPr>
                <w:rFonts w:hint="eastAsia"/>
                <w:sz w:val="24"/>
                <w:szCs w:val="24"/>
              </w:rPr>
              <w:t>7</w:t>
            </w:r>
            <w:r>
              <w:rPr>
                <w:sz w:val="24"/>
                <w:szCs w:val="24"/>
              </w:rPr>
              <w:t>.</w:t>
            </w:r>
            <w:r>
              <w:rPr>
                <w:rFonts w:hint="eastAsia"/>
                <w:sz w:val="24"/>
                <w:szCs w:val="24"/>
              </w:rPr>
              <w:t>特定条件：</w:t>
            </w:r>
          </w:p>
          <w:p>
            <w:pPr>
              <w:outlineLvl w:val="0"/>
              <w:rPr>
                <w:sz w:val="24"/>
              </w:rPr>
            </w:pPr>
            <w:r>
              <w:rPr>
                <w:rFonts w:hint="eastAsia"/>
                <w:sz w:val="24"/>
              </w:rPr>
              <w:t>供应商必须具备中国保险监督管理委员会核发的《中华人民共和国经营保险业务许可证》，同一家总公司只能授权一家分支机构（或代理商）参与投标，且总公司不能与下属的分支机构同时参与投标。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234" w:type="dxa"/>
            <w:vMerge w:val="continue"/>
            <w:vAlign w:val="center"/>
          </w:tcPr>
          <w:p>
            <w:pPr>
              <w:widowControl/>
              <w:jc w:val="left"/>
              <w:rPr>
                <w:rFonts w:ascii="宋体" w:cs="宋体"/>
                <w:kern w:val="0"/>
                <w:sz w:val="24"/>
                <w:szCs w:val="24"/>
              </w:rPr>
            </w:pPr>
          </w:p>
        </w:tc>
        <w:tc>
          <w:tcPr>
            <w:tcW w:w="6288" w:type="dxa"/>
          </w:tcPr>
          <w:p>
            <w:pPr>
              <w:outlineLvl w:val="0"/>
              <w:rPr>
                <w:sz w:val="24"/>
                <w:szCs w:val="24"/>
              </w:rPr>
            </w:pPr>
            <w:r>
              <w:rPr>
                <w:rFonts w:hint="eastAsia"/>
                <w:sz w:val="24"/>
              </w:rPr>
              <w:t>8.本项目不接受联合体。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34" w:type="dxa"/>
            <w:vAlign w:val="center"/>
          </w:tcPr>
          <w:p>
            <w:pPr>
              <w:widowControl/>
              <w:jc w:val="left"/>
              <w:rPr>
                <w:rFonts w:ascii="宋体" w:cs="宋体"/>
                <w:b/>
                <w:kern w:val="0"/>
                <w:sz w:val="24"/>
                <w:szCs w:val="24"/>
              </w:rPr>
            </w:pPr>
            <w:r>
              <w:rPr>
                <w:rFonts w:hint="eastAsia" w:ascii="宋体" w:hAnsi="宋体" w:cs="宋体"/>
                <w:b/>
                <w:kern w:val="0"/>
                <w:sz w:val="24"/>
                <w:szCs w:val="24"/>
              </w:rPr>
              <w:t>供应商意见</w:t>
            </w:r>
          </w:p>
        </w:tc>
        <w:tc>
          <w:tcPr>
            <w:tcW w:w="6288" w:type="dxa"/>
          </w:tcPr>
          <w:p>
            <w:pPr>
              <w:rPr>
                <w:b/>
                <w:sz w:val="24"/>
                <w:szCs w:val="24"/>
              </w:rPr>
            </w:pPr>
            <w:r>
              <w:rPr>
                <w:rFonts w:hint="eastAsia"/>
                <w:b/>
                <w:sz w:val="24"/>
                <w:szCs w:val="24"/>
              </w:rPr>
              <w:t>供应商可对本项目采购需求的公正性、专业性、合理性等提出自己正确的意见、建议等（可另页详细表述）。</w:t>
            </w:r>
          </w:p>
        </w:tc>
      </w:tr>
    </w:tbl>
    <w:p>
      <w:pPr>
        <w:pStyle w:val="9"/>
        <w:shd w:val="clear" w:color="auto" w:fill="FFFFFF"/>
        <w:spacing w:before="150" w:beforeAutospacing="0" w:after="150" w:afterAutospacing="0"/>
        <w:ind w:left="150"/>
        <w:rPr>
          <w:rStyle w:val="13"/>
          <w:b w:val="0"/>
          <w:color w:val="000000"/>
        </w:rPr>
      </w:pPr>
      <w:r>
        <w:rPr>
          <w:rStyle w:val="13"/>
          <w:rFonts w:hint="eastAsia"/>
          <w:b w:val="0"/>
          <w:color w:val="000000"/>
        </w:rPr>
        <w:t>注意事项：</w:t>
      </w:r>
    </w:p>
    <w:p>
      <w:pPr>
        <w:pStyle w:val="9"/>
        <w:shd w:val="clear" w:color="auto" w:fill="FFFFFF"/>
        <w:spacing w:before="150" w:beforeAutospacing="0" w:after="150" w:afterAutospacing="0"/>
        <w:ind w:left="150" w:firstLine="480" w:firstLineChars="200"/>
        <w:rPr>
          <w:rStyle w:val="13"/>
          <w:b w:val="0"/>
          <w:color w:val="000000"/>
        </w:rPr>
      </w:pPr>
      <w:r>
        <w:rPr>
          <w:color w:val="000000"/>
        </w:rPr>
        <w:t>1.</w:t>
      </w:r>
      <w:r>
        <w:rPr>
          <w:rFonts w:hint="eastAsia"/>
          <w:color w:val="000000"/>
        </w:rPr>
        <w:t>供应商必须严格按照公告的内容和要求，完整递交有关资料，</w:t>
      </w:r>
      <w:r>
        <w:rPr>
          <w:rStyle w:val="13"/>
          <w:rFonts w:hint="eastAsia"/>
          <w:b w:val="0"/>
          <w:color w:val="000000"/>
        </w:rPr>
        <w:t>逾期递交的将予以拒收。</w:t>
      </w:r>
    </w:p>
    <w:p>
      <w:pPr>
        <w:pStyle w:val="9"/>
        <w:shd w:val="clear" w:color="auto" w:fill="FFFFFF"/>
        <w:spacing w:before="150" w:beforeAutospacing="0" w:after="150" w:afterAutospacing="0"/>
        <w:ind w:left="150" w:firstLine="480" w:firstLineChars="200"/>
        <w:rPr>
          <w:rFonts w:ascii="微软雅黑" w:hAnsi="微软雅黑" w:eastAsia="微软雅黑"/>
          <w:color w:val="000000"/>
          <w:sz w:val="18"/>
          <w:szCs w:val="18"/>
        </w:rPr>
      </w:pPr>
      <w:r>
        <w:rPr>
          <w:rFonts w:ascii="宋体" w:hAnsi="宋体" w:cs="宋体"/>
          <w:color w:val="000000"/>
          <w:szCs w:val="24"/>
        </w:rPr>
        <w:t>2.</w:t>
      </w:r>
      <w:r>
        <w:rPr>
          <w:rFonts w:hint="eastAsia" w:ascii="宋体" w:hAnsi="宋体" w:cs="宋体"/>
          <w:bCs/>
          <w:color w:val="000000"/>
          <w:szCs w:val="24"/>
        </w:rPr>
        <w:t>供应商所递交的资料（全部盖有单位公章）必须为一般常用电脑办公软件能够读取的清晰、易于辨识的彩色电子扫描件、照片（相关证书和证明材料的原件）</w:t>
      </w:r>
      <w:r>
        <w:rPr>
          <w:rFonts w:ascii="宋体" w:cs="宋体"/>
          <w:bCs/>
          <w:color w:val="000000"/>
          <w:szCs w:val="24"/>
        </w:rPr>
        <w:t>,</w:t>
      </w:r>
      <w:r>
        <w:rPr>
          <w:rFonts w:hint="eastAsia" w:ascii="宋体" w:hAnsi="宋体" w:cs="宋体"/>
          <w:bCs/>
          <w:color w:val="000000"/>
          <w:szCs w:val="24"/>
        </w:rPr>
        <w:t>并对其他递交资料内容的真实性、有效性及完整性负责，如提供文件资料有错漏、模糊不清、复印件的电子扫描件、照片、无法读取识别或弄虚作假等，一律属于无效文件。</w:t>
      </w:r>
      <w:r>
        <w:rPr>
          <w:rFonts w:ascii="宋体" w:hAnsi="宋体" w:cs="宋体"/>
          <w:bCs/>
          <w:color w:val="000000"/>
          <w:szCs w:val="24"/>
        </w:rPr>
        <w:t xml:space="preserve"> </w:t>
      </w:r>
    </w:p>
    <w:p>
      <w:pPr>
        <w:pStyle w:val="9"/>
        <w:shd w:val="clear" w:color="auto" w:fill="FFFFFF"/>
        <w:spacing w:before="150" w:beforeAutospacing="0" w:after="150" w:afterAutospacing="0"/>
        <w:ind w:left="150" w:firstLine="480" w:firstLineChars="200"/>
        <w:rPr>
          <w:rFonts w:ascii="微软雅黑" w:hAnsi="微软雅黑" w:eastAsia="微软雅黑"/>
          <w:color w:val="000000"/>
          <w:sz w:val="18"/>
          <w:szCs w:val="18"/>
        </w:rPr>
      </w:pPr>
      <w:r>
        <w:rPr>
          <w:color w:val="000000"/>
        </w:rPr>
        <w:t>3.</w:t>
      </w:r>
      <w:r>
        <w:rPr>
          <w:rFonts w:hint="eastAsia"/>
          <w:color w:val="000000"/>
        </w:rPr>
        <w:t>须在邮件（附件文件名注明公司全称）注明公司全称、项目名称及项目编号（不注明我单位将拒收报名邮件）。</w:t>
      </w:r>
    </w:p>
    <w:p>
      <w:pPr>
        <w:rPr>
          <w:sz w:val="24"/>
          <w:szCs w:val="24"/>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Helvetica">
    <w:altName w:val="Arial"/>
    <w:panose1 w:val="020B0604020202020204"/>
    <w:charset w:val="00"/>
    <w:family w:val="swiss"/>
    <w:pitch w:val="default"/>
    <w:sig w:usb0="00000000" w:usb1="00000000" w:usb2="00000008" w:usb3="00000000" w:csb0="000001FF"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853BA"/>
    <w:multiLevelType w:val="multilevel"/>
    <w:tmpl w:val="336853BA"/>
    <w:lvl w:ilvl="0" w:tentative="0">
      <w:start w:val="1"/>
      <w:numFmt w:val="chineseCountingThousand"/>
      <w:lvlText w:val="%1、"/>
      <w:lvlJc w:val="left"/>
      <w:pPr>
        <w:ind w:left="42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5C42C9A"/>
    <w:multiLevelType w:val="multilevel"/>
    <w:tmpl w:val="45C42C9A"/>
    <w:lvl w:ilvl="0" w:tentative="0">
      <w:start w:val="1"/>
      <w:numFmt w:val="decimal"/>
      <w:lvlText w:val="%1"/>
      <w:lvlJc w:val="left"/>
      <w:pPr>
        <w:tabs>
          <w:tab w:val="left" w:pos="432"/>
        </w:tabs>
        <w:ind w:left="432" w:hanging="432"/>
      </w:pPr>
    </w:lvl>
    <w:lvl w:ilvl="1" w:tentative="0">
      <w:start w:val="1"/>
      <w:numFmt w:val="decimal"/>
      <w:pStyle w:val="2"/>
      <w:lvlText w:val="%1.%2"/>
      <w:lvlJc w:val="left"/>
      <w:pPr>
        <w:tabs>
          <w:tab w:val="left" w:pos="576"/>
        </w:tabs>
        <w:ind w:left="576" w:hanging="576"/>
      </w:pPr>
    </w:lvl>
    <w:lvl w:ilvl="2" w:tentative="0">
      <w:start w:val="1"/>
      <w:numFmt w:val="decimal"/>
      <w:lvlText w:val="%1.%2.%3"/>
      <w:lvlJc w:val="left"/>
      <w:pPr>
        <w:tabs>
          <w:tab w:val="left" w:pos="1260"/>
        </w:tabs>
        <w:ind w:left="126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
    <w:nsid w:val="589C2C0F"/>
    <w:multiLevelType w:val="multilevel"/>
    <w:tmpl w:val="589C2C0F"/>
    <w:lvl w:ilvl="0" w:tentative="0">
      <w:start w:val="1"/>
      <w:numFmt w:val="decimal"/>
      <w:lvlText w:val="1.%1"/>
      <w:lvlJc w:val="left"/>
      <w:pPr>
        <w:ind w:left="372" w:hanging="420"/>
      </w:pPr>
      <w:rPr>
        <w:rFonts w:hint="default" w:ascii="宋体" w:hAnsi="宋体" w:eastAsia="宋体"/>
        <w:b/>
        <w:color w:val="auto"/>
      </w:rPr>
    </w:lvl>
    <w:lvl w:ilvl="1" w:tentative="0">
      <w:start w:val="1"/>
      <w:numFmt w:val="lowerLetter"/>
      <w:lvlText w:val="%2)"/>
      <w:lvlJc w:val="left"/>
      <w:pPr>
        <w:ind w:left="792" w:hanging="420"/>
      </w:pPr>
    </w:lvl>
    <w:lvl w:ilvl="2" w:tentative="0">
      <w:start w:val="1"/>
      <w:numFmt w:val="lowerRoman"/>
      <w:lvlText w:val="%3."/>
      <w:lvlJc w:val="right"/>
      <w:pPr>
        <w:ind w:left="1212" w:hanging="420"/>
      </w:pPr>
    </w:lvl>
    <w:lvl w:ilvl="3" w:tentative="0">
      <w:start w:val="1"/>
      <w:numFmt w:val="decimal"/>
      <w:lvlText w:val="%4."/>
      <w:lvlJc w:val="left"/>
      <w:pPr>
        <w:ind w:left="1632" w:hanging="420"/>
      </w:pPr>
    </w:lvl>
    <w:lvl w:ilvl="4" w:tentative="0">
      <w:start w:val="1"/>
      <w:numFmt w:val="lowerLetter"/>
      <w:lvlText w:val="%5)"/>
      <w:lvlJc w:val="left"/>
      <w:pPr>
        <w:ind w:left="2052" w:hanging="420"/>
      </w:pPr>
    </w:lvl>
    <w:lvl w:ilvl="5" w:tentative="0">
      <w:start w:val="1"/>
      <w:numFmt w:val="lowerRoman"/>
      <w:lvlText w:val="%6."/>
      <w:lvlJc w:val="right"/>
      <w:pPr>
        <w:ind w:left="2472" w:hanging="420"/>
      </w:pPr>
    </w:lvl>
    <w:lvl w:ilvl="6" w:tentative="0">
      <w:start w:val="1"/>
      <w:numFmt w:val="decimal"/>
      <w:lvlText w:val="%7."/>
      <w:lvlJc w:val="left"/>
      <w:pPr>
        <w:ind w:left="2892" w:hanging="420"/>
      </w:pPr>
    </w:lvl>
    <w:lvl w:ilvl="7" w:tentative="0">
      <w:start w:val="1"/>
      <w:numFmt w:val="lowerLetter"/>
      <w:lvlText w:val="%8)"/>
      <w:lvlJc w:val="left"/>
      <w:pPr>
        <w:ind w:left="3312" w:hanging="420"/>
      </w:pPr>
    </w:lvl>
    <w:lvl w:ilvl="8" w:tentative="0">
      <w:start w:val="1"/>
      <w:numFmt w:val="lowerRoman"/>
      <w:lvlText w:val="%9."/>
      <w:lvlJc w:val="right"/>
      <w:pPr>
        <w:ind w:left="3732"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DE9"/>
    <w:rsid w:val="00016BFD"/>
    <w:rsid w:val="00021D98"/>
    <w:rsid w:val="00026D00"/>
    <w:rsid w:val="000527BB"/>
    <w:rsid w:val="00056AED"/>
    <w:rsid w:val="000660E7"/>
    <w:rsid w:val="0008654C"/>
    <w:rsid w:val="0009726D"/>
    <w:rsid w:val="000A6872"/>
    <w:rsid w:val="000B7095"/>
    <w:rsid w:val="000D728B"/>
    <w:rsid w:val="00101CA6"/>
    <w:rsid w:val="00104393"/>
    <w:rsid w:val="00120CEA"/>
    <w:rsid w:val="00122B5C"/>
    <w:rsid w:val="00127B67"/>
    <w:rsid w:val="00162BF4"/>
    <w:rsid w:val="00174B5D"/>
    <w:rsid w:val="001B3DD1"/>
    <w:rsid w:val="00227C74"/>
    <w:rsid w:val="00241FC1"/>
    <w:rsid w:val="00247E29"/>
    <w:rsid w:val="00251305"/>
    <w:rsid w:val="00263F2E"/>
    <w:rsid w:val="00263FDD"/>
    <w:rsid w:val="0027306D"/>
    <w:rsid w:val="00286F91"/>
    <w:rsid w:val="002912E3"/>
    <w:rsid w:val="002C0DCE"/>
    <w:rsid w:val="002D3A86"/>
    <w:rsid w:val="002E6F83"/>
    <w:rsid w:val="002E70BC"/>
    <w:rsid w:val="00326E19"/>
    <w:rsid w:val="00354132"/>
    <w:rsid w:val="00356FB9"/>
    <w:rsid w:val="0038354E"/>
    <w:rsid w:val="003A25F1"/>
    <w:rsid w:val="003A3307"/>
    <w:rsid w:val="003C173C"/>
    <w:rsid w:val="00414F81"/>
    <w:rsid w:val="0042465C"/>
    <w:rsid w:val="00431D7E"/>
    <w:rsid w:val="004357AA"/>
    <w:rsid w:val="004451C8"/>
    <w:rsid w:val="00462B04"/>
    <w:rsid w:val="00465FFA"/>
    <w:rsid w:val="0048653B"/>
    <w:rsid w:val="004C1482"/>
    <w:rsid w:val="004D26D1"/>
    <w:rsid w:val="0051396C"/>
    <w:rsid w:val="00514689"/>
    <w:rsid w:val="00526415"/>
    <w:rsid w:val="005517D8"/>
    <w:rsid w:val="00577CD8"/>
    <w:rsid w:val="00587588"/>
    <w:rsid w:val="006101C6"/>
    <w:rsid w:val="0061402D"/>
    <w:rsid w:val="0067218F"/>
    <w:rsid w:val="006763BF"/>
    <w:rsid w:val="00680095"/>
    <w:rsid w:val="006A40A7"/>
    <w:rsid w:val="006A74A1"/>
    <w:rsid w:val="006B1667"/>
    <w:rsid w:val="006B566D"/>
    <w:rsid w:val="006C1C27"/>
    <w:rsid w:val="00710283"/>
    <w:rsid w:val="00714951"/>
    <w:rsid w:val="00731C4C"/>
    <w:rsid w:val="00746989"/>
    <w:rsid w:val="00770BDF"/>
    <w:rsid w:val="0081133A"/>
    <w:rsid w:val="00841971"/>
    <w:rsid w:val="00843EA0"/>
    <w:rsid w:val="0085685E"/>
    <w:rsid w:val="00862199"/>
    <w:rsid w:val="008632F9"/>
    <w:rsid w:val="00877547"/>
    <w:rsid w:val="008B1DBA"/>
    <w:rsid w:val="008D5B51"/>
    <w:rsid w:val="009111CF"/>
    <w:rsid w:val="00912E34"/>
    <w:rsid w:val="00917353"/>
    <w:rsid w:val="00965878"/>
    <w:rsid w:val="00973CEA"/>
    <w:rsid w:val="00984E78"/>
    <w:rsid w:val="009F57B7"/>
    <w:rsid w:val="00A06B58"/>
    <w:rsid w:val="00A4367A"/>
    <w:rsid w:val="00AC4743"/>
    <w:rsid w:val="00AC4FF6"/>
    <w:rsid w:val="00AC7064"/>
    <w:rsid w:val="00AD57E9"/>
    <w:rsid w:val="00AE0050"/>
    <w:rsid w:val="00B0067A"/>
    <w:rsid w:val="00B02FC2"/>
    <w:rsid w:val="00B26DEA"/>
    <w:rsid w:val="00B37D97"/>
    <w:rsid w:val="00B422CC"/>
    <w:rsid w:val="00B87DB2"/>
    <w:rsid w:val="00B93014"/>
    <w:rsid w:val="00BD15BE"/>
    <w:rsid w:val="00C045C9"/>
    <w:rsid w:val="00C04CDB"/>
    <w:rsid w:val="00C543C7"/>
    <w:rsid w:val="00C554DF"/>
    <w:rsid w:val="00C7441B"/>
    <w:rsid w:val="00C7583C"/>
    <w:rsid w:val="00C77263"/>
    <w:rsid w:val="00C8060B"/>
    <w:rsid w:val="00C81BC1"/>
    <w:rsid w:val="00C94576"/>
    <w:rsid w:val="00CA0AA0"/>
    <w:rsid w:val="00D049F5"/>
    <w:rsid w:val="00D239DE"/>
    <w:rsid w:val="00D34002"/>
    <w:rsid w:val="00D63126"/>
    <w:rsid w:val="00D64C90"/>
    <w:rsid w:val="00D665CD"/>
    <w:rsid w:val="00D9157E"/>
    <w:rsid w:val="00DA12FB"/>
    <w:rsid w:val="00DA3AC3"/>
    <w:rsid w:val="00DC47E0"/>
    <w:rsid w:val="00DD4640"/>
    <w:rsid w:val="00DE7188"/>
    <w:rsid w:val="00DE75E6"/>
    <w:rsid w:val="00E14B01"/>
    <w:rsid w:val="00E5330B"/>
    <w:rsid w:val="00E6320A"/>
    <w:rsid w:val="00E652DF"/>
    <w:rsid w:val="00E721AB"/>
    <w:rsid w:val="00E849D4"/>
    <w:rsid w:val="00E94B33"/>
    <w:rsid w:val="00EB2A5E"/>
    <w:rsid w:val="00EB4553"/>
    <w:rsid w:val="00EB5D3C"/>
    <w:rsid w:val="00EC51EB"/>
    <w:rsid w:val="00ED3F8E"/>
    <w:rsid w:val="00EF6F42"/>
    <w:rsid w:val="00F10D7E"/>
    <w:rsid w:val="00F27BC7"/>
    <w:rsid w:val="00F52DE9"/>
    <w:rsid w:val="00F67B38"/>
    <w:rsid w:val="00F76F50"/>
    <w:rsid w:val="00F83087"/>
    <w:rsid w:val="00FD4208"/>
    <w:rsid w:val="00FF19EE"/>
    <w:rsid w:val="05EB380B"/>
    <w:rsid w:val="1D3A4920"/>
    <w:rsid w:val="202042A9"/>
    <w:rsid w:val="22584D7B"/>
    <w:rsid w:val="24AF6192"/>
    <w:rsid w:val="4F1E5C9D"/>
    <w:rsid w:val="5045265C"/>
    <w:rsid w:val="54117053"/>
    <w:rsid w:val="570C6CFC"/>
    <w:rsid w:val="5A07478A"/>
    <w:rsid w:val="5A452253"/>
    <w:rsid w:val="5DB549BD"/>
    <w:rsid w:val="68D24476"/>
    <w:rsid w:val="6F00649B"/>
    <w:rsid w:val="72276050"/>
    <w:rsid w:val="77471B72"/>
    <w:rsid w:val="7DDA435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3">
    <w:name w:val="heading 1"/>
    <w:basedOn w:val="1"/>
    <w:next w:val="1"/>
    <w:link w:val="14"/>
    <w:qFormat/>
    <w:uiPriority w:val="99"/>
    <w:pPr>
      <w:keepNext/>
      <w:keepLines/>
      <w:spacing w:before="340" w:after="330" w:line="576" w:lineRule="auto"/>
      <w:outlineLvl w:val="0"/>
    </w:pPr>
    <w:rPr>
      <w:b/>
      <w:bCs/>
      <w:kern w:val="44"/>
      <w:sz w:val="44"/>
      <w:szCs w:val="44"/>
    </w:rPr>
  </w:style>
  <w:style w:type="paragraph" w:styleId="2">
    <w:name w:val="heading 2"/>
    <w:basedOn w:val="1"/>
    <w:next w:val="1"/>
    <w:qFormat/>
    <w:locked/>
    <w:uiPriority w:val="0"/>
    <w:pPr>
      <w:keepNext/>
      <w:keepLines/>
      <w:numPr>
        <w:ilvl w:val="1"/>
        <w:numId w:val="1"/>
      </w:numPr>
      <w:spacing w:before="260" w:after="260" w:line="416" w:lineRule="auto"/>
      <w:ind w:left="0" w:firstLine="0"/>
      <w:outlineLvl w:val="1"/>
    </w:pPr>
    <w:rPr>
      <w:rFonts w:ascii="Cambria" w:hAnsi="Cambria"/>
      <w:b/>
      <w:bCs/>
      <w:szCs w:val="32"/>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Body Text"/>
    <w:basedOn w:val="1"/>
    <w:link w:val="20"/>
    <w:qFormat/>
    <w:uiPriority w:val="0"/>
    <w:pPr>
      <w:spacing w:after="120"/>
    </w:pPr>
    <w:rPr>
      <w:rFonts w:ascii="Times New Roman" w:hAnsi="Times New Roman" w:cs="Times New Roman"/>
      <w:szCs w:val="24"/>
    </w:rPr>
  </w:style>
  <w:style w:type="paragraph" w:styleId="5">
    <w:name w:val="Plain Text"/>
    <w:basedOn w:val="1"/>
    <w:link w:val="18"/>
    <w:qFormat/>
    <w:uiPriority w:val="0"/>
    <w:rPr>
      <w:rFonts w:ascii="宋体" w:hAnsi="Courier New" w:cs="Courier New"/>
      <w:szCs w:val="21"/>
    </w:rPr>
  </w:style>
  <w:style w:type="paragraph" w:styleId="6">
    <w:name w:val="Balloon Text"/>
    <w:basedOn w:val="1"/>
    <w:link w:val="15"/>
    <w:uiPriority w:val="99"/>
    <w:rPr>
      <w:sz w:val="18"/>
      <w:szCs w:val="18"/>
    </w:rPr>
  </w:style>
  <w:style w:type="paragraph" w:styleId="7">
    <w:name w:val="footer"/>
    <w:basedOn w:val="1"/>
    <w:link w:val="16"/>
    <w:qFormat/>
    <w:uiPriority w:val="99"/>
    <w:pPr>
      <w:tabs>
        <w:tab w:val="center" w:pos="4153"/>
        <w:tab w:val="right" w:pos="8306"/>
      </w:tabs>
      <w:snapToGrid w:val="0"/>
      <w:jc w:val="left"/>
    </w:pPr>
    <w:rPr>
      <w:sz w:val="18"/>
      <w:szCs w:val="18"/>
    </w:rPr>
  </w:style>
  <w:style w:type="paragraph" w:styleId="8">
    <w:name w:val="header"/>
    <w:basedOn w:val="1"/>
    <w:link w:val="17"/>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spacing w:beforeAutospacing="1" w:afterAutospacing="1"/>
      <w:jc w:val="left"/>
    </w:pPr>
    <w:rPr>
      <w:rFonts w:cs="Times New Roman"/>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99"/>
    <w:rPr>
      <w:rFonts w:cs="Times New Roman"/>
      <w:b/>
      <w:bCs/>
    </w:rPr>
  </w:style>
  <w:style w:type="character" w:customStyle="1" w:styleId="14">
    <w:name w:val="标题 1 Char"/>
    <w:link w:val="3"/>
    <w:locked/>
    <w:uiPriority w:val="99"/>
    <w:rPr>
      <w:rFonts w:eastAsia="宋体" w:cs="Times New Roman"/>
      <w:b/>
      <w:bCs/>
      <w:kern w:val="44"/>
      <w:sz w:val="44"/>
      <w:szCs w:val="44"/>
    </w:rPr>
  </w:style>
  <w:style w:type="character" w:customStyle="1" w:styleId="15">
    <w:name w:val="批注框文本 Char"/>
    <w:link w:val="6"/>
    <w:semiHidden/>
    <w:qFormat/>
    <w:locked/>
    <w:uiPriority w:val="99"/>
    <w:rPr>
      <w:rFonts w:cs="Times New Roman"/>
      <w:sz w:val="18"/>
      <w:szCs w:val="18"/>
    </w:rPr>
  </w:style>
  <w:style w:type="character" w:customStyle="1" w:styleId="16">
    <w:name w:val="页脚 Char"/>
    <w:link w:val="7"/>
    <w:qFormat/>
    <w:locked/>
    <w:uiPriority w:val="99"/>
    <w:rPr>
      <w:rFonts w:cs="Times New Roman"/>
      <w:sz w:val="18"/>
      <w:szCs w:val="18"/>
    </w:rPr>
  </w:style>
  <w:style w:type="character" w:customStyle="1" w:styleId="17">
    <w:name w:val="页眉 Char"/>
    <w:link w:val="8"/>
    <w:qFormat/>
    <w:locked/>
    <w:uiPriority w:val="99"/>
    <w:rPr>
      <w:rFonts w:cs="Times New Roman"/>
      <w:sz w:val="18"/>
      <w:szCs w:val="18"/>
    </w:rPr>
  </w:style>
  <w:style w:type="character" w:customStyle="1" w:styleId="18">
    <w:name w:val="纯文本 Char"/>
    <w:link w:val="5"/>
    <w:qFormat/>
    <w:uiPriority w:val="0"/>
    <w:rPr>
      <w:rFonts w:ascii="宋体" w:hAnsi="Courier New" w:cs="Courier New"/>
      <w:kern w:val="2"/>
      <w:sz w:val="21"/>
      <w:szCs w:val="21"/>
    </w:rPr>
  </w:style>
  <w:style w:type="paragraph" w:styleId="19">
    <w:name w:val="List Paragraph"/>
    <w:basedOn w:val="1"/>
    <w:qFormat/>
    <w:uiPriority w:val="99"/>
    <w:pPr>
      <w:ind w:firstLine="420" w:firstLineChars="200"/>
    </w:pPr>
    <w:rPr>
      <w:rFonts w:cs="Times New Roman"/>
      <w:szCs w:val="21"/>
    </w:rPr>
  </w:style>
  <w:style w:type="character" w:customStyle="1" w:styleId="20">
    <w:name w:val="正文文本 Char"/>
    <w:link w:val="4"/>
    <w:qFormat/>
    <w:uiPriority w:val="0"/>
    <w:rPr>
      <w:rFonts w:ascii="Times New Roman" w:hAnsi="Times New Roman"/>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4769</Words>
  <Characters>565</Characters>
  <Lines>4</Lines>
  <Paragraphs>10</Paragraphs>
  <TotalTime>6</TotalTime>
  <ScaleCrop>false</ScaleCrop>
  <LinksUpToDate>false</LinksUpToDate>
  <CharactersWithSpaces>5324</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2017-04-17T01:17:00Z</dcterms:created>
  <dc:creator>wangh</dc:creator>
  <cp:lastModifiedBy>章佳</cp:lastModifiedBy>
  <cp:lastPrinted>2019-11-27T03:39:00Z</cp:lastPrinted>
  <dcterms:modified xsi:type="dcterms:W3CDTF">2019-11-27T08:31:04Z</dcterms:modified>
  <dc:title>湖北省省级政府采购需求公示</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