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936" w:afterLines="300"/>
        <w:jc w:val="center"/>
        <w:rPr>
          <w:rFonts w:cs="Times New Roman"/>
        </w:rPr>
      </w:pPr>
      <w:r>
        <w:rPr>
          <w:rFonts w:cs="Times New Roman"/>
        </w:rPr>
        <w:drawing>
          <wp:inline distT="0" distB="0" distL="0" distR="0">
            <wp:extent cx="4436745" cy="787400"/>
            <wp:effectExtent l="19050" t="0" r="1905" b="0"/>
            <wp:docPr id="1" name="图片 1" descr="QQ截图20190429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90429100024"/>
                    <pic:cNvPicPr>
                      <a:picLocks noChangeAspect="1" noChangeArrowheads="1"/>
                    </pic:cNvPicPr>
                  </pic:nvPicPr>
                  <pic:blipFill>
                    <a:blip r:embed="rId9"/>
                    <a:srcRect/>
                    <a:stretch>
                      <a:fillRect/>
                    </a:stretch>
                  </pic:blipFill>
                  <pic:spPr>
                    <a:xfrm>
                      <a:off x="0" y="0"/>
                      <a:ext cx="4436745" cy="787400"/>
                    </a:xfrm>
                    <a:prstGeom prst="rect">
                      <a:avLst/>
                    </a:prstGeom>
                    <a:noFill/>
                    <a:ln w="9525">
                      <a:noFill/>
                      <a:miter lim="800000"/>
                      <a:headEnd/>
                      <a:tailEnd/>
                    </a:ln>
                  </pic:spPr>
                </pic:pic>
              </a:graphicData>
            </a:graphic>
          </wp:inline>
        </w:drawing>
      </w:r>
    </w:p>
    <w:p>
      <w:pPr>
        <w:spacing w:after="936" w:afterLines="300"/>
        <w:jc w:val="center"/>
        <w:rPr>
          <w:rFonts w:ascii="黑体" w:hAnsi="黑体" w:eastAsia="黑体" w:cs="Times New Roman"/>
          <w:b/>
          <w:bCs/>
          <w:sz w:val="52"/>
          <w:szCs w:val="52"/>
        </w:rPr>
      </w:pPr>
      <w:r>
        <w:rPr>
          <w:rFonts w:hint="eastAsia" w:ascii="黑体" w:hAnsi="黑体" w:eastAsia="黑体" w:cs="黑体"/>
          <w:b/>
          <w:bCs/>
          <w:sz w:val="52"/>
          <w:szCs w:val="52"/>
        </w:rPr>
        <w:t>阳新县县级政府采购</w:t>
      </w:r>
    </w:p>
    <w:p>
      <w:pPr>
        <w:spacing w:after="936" w:afterLines="300"/>
        <w:jc w:val="center"/>
        <w:rPr>
          <w:rFonts w:ascii="黑体" w:hAnsi="黑体" w:eastAsia="黑体" w:cs="Times New Roman"/>
          <w:b/>
          <w:bCs/>
          <w:sz w:val="36"/>
          <w:szCs w:val="36"/>
        </w:rPr>
      </w:pPr>
      <w:r>
        <w:rPr>
          <w:rFonts w:hint="eastAsia" w:ascii="黑体" w:hAnsi="黑体" w:eastAsia="黑体" w:cs="黑体"/>
          <w:b/>
          <w:bCs/>
          <w:sz w:val="120"/>
          <w:szCs w:val="120"/>
        </w:rPr>
        <w:t>招</w:t>
      </w:r>
      <w:r>
        <w:rPr>
          <w:rFonts w:ascii="黑体" w:hAnsi="黑体" w:eastAsia="黑体" w:cs="黑体"/>
          <w:b/>
          <w:bCs/>
          <w:sz w:val="120"/>
          <w:szCs w:val="120"/>
        </w:rPr>
        <w:t xml:space="preserve"> </w:t>
      </w:r>
      <w:r>
        <w:rPr>
          <w:rFonts w:hint="eastAsia" w:ascii="黑体" w:hAnsi="黑体" w:eastAsia="黑体" w:cs="黑体"/>
          <w:b/>
          <w:bCs/>
          <w:sz w:val="120"/>
          <w:szCs w:val="120"/>
        </w:rPr>
        <w:t>标</w:t>
      </w:r>
      <w:r>
        <w:rPr>
          <w:rFonts w:ascii="黑体" w:hAnsi="黑体" w:eastAsia="黑体" w:cs="黑体"/>
          <w:b/>
          <w:bCs/>
          <w:sz w:val="120"/>
          <w:szCs w:val="120"/>
        </w:rPr>
        <w:t xml:space="preserve"> </w:t>
      </w:r>
      <w:r>
        <w:rPr>
          <w:rFonts w:hint="eastAsia" w:ascii="黑体" w:hAnsi="黑体" w:eastAsia="黑体" w:cs="黑体"/>
          <w:b/>
          <w:bCs/>
          <w:sz w:val="120"/>
          <w:szCs w:val="120"/>
        </w:rPr>
        <w:t>文</w:t>
      </w:r>
      <w:r>
        <w:rPr>
          <w:rFonts w:ascii="黑体" w:hAnsi="黑体" w:eastAsia="黑体" w:cs="黑体"/>
          <w:b/>
          <w:bCs/>
          <w:sz w:val="120"/>
          <w:szCs w:val="120"/>
        </w:rPr>
        <w:t xml:space="preserve"> </w:t>
      </w:r>
      <w:r>
        <w:rPr>
          <w:rFonts w:hint="eastAsia" w:ascii="黑体" w:hAnsi="黑体" w:eastAsia="黑体" w:cs="黑体"/>
          <w:b/>
          <w:bCs/>
          <w:sz w:val="120"/>
          <w:szCs w:val="120"/>
        </w:rPr>
        <w:t>件</w:t>
      </w:r>
    </w:p>
    <w:p>
      <w:pPr>
        <w:spacing w:line="600" w:lineRule="exact"/>
        <w:ind w:firstLine="1279" w:firstLineChars="398"/>
        <w:rPr>
          <w:rFonts w:ascii="仿宋_GB2312" w:eastAsia="仿宋_GB2312" w:cs="Times New Roman"/>
          <w:b/>
          <w:bCs/>
          <w:sz w:val="32"/>
          <w:szCs w:val="32"/>
        </w:rPr>
      </w:pPr>
      <w:r>
        <w:rPr>
          <w:rFonts w:hint="eastAsia" w:ascii="仿宋_GB2312" w:eastAsia="仿宋_GB2312" w:cs="仿宋_GB2312"/>
          <w:b/>
          <w:bCs/>
          <w:sz w:val="32"/>
          <w:szCs w:val="32"/>
        </w:rPr>
        <w:t>项目编号：</w:t>
      </w:r>
      <w:r>
        <w:rPr>
          <w:rFonts w:hint="eastAsia" w:ascii="仿宋_GB2312" w:hAnsi="宋体" w:eastAsia="仿宋_GB2312" w:cs="仿宋_GB2312"/>
          <w:b/>
          <w:bCs/>
          <w:kern w:val="0"/>
          <w:sz w:val="32"/>
          <w:szCs w:val="32"/>
        </w:rPr>
        <w:t>131-2019CG-211</w:t>
      </w:r>
    </w:p>
    <w:p>
      <w:pPr>
        <w:spacing w:line="600" w:lineRule="exact"/>
        <w:ind w:firstLine="1124" w:firstLineChars="350"/>
        <w:rPr>
          <w:rFonts w:ascii="仿宋_GB2312" w:eastAsia="仿宋_GB2312" w:cs="Times New Roman"/>
          <w:b/>
          <w:bCs/>
          <w:sz w:val="32"/>
          <w:szCs w:val="32"/>
        </w:rPr>
      </w:pPr>
      <w:r>
        <w:rPr>
          <w:rFonts w:ascii="仿宋_GB2312" w:eastAsia="仿宋_GB2312" w:cs="仿宋_GB2312"/>
          <w:b/>
          <w:bCs/>
          <w:sz w:val="32"/>
          <w:szCs w:val="32"/>
        </w:rPr>
        <w:t xml:space="preserve"> </w:t>
      </w:r>
      <w:r>
        <w:rPr>
          <w:rFonts w:hint="eastAsia" w:ascii="仿宋_GB2312" w:eastAsia="仿宋_GB2312" w:cs="仿宋_GB2312"/>
          <w:b/>
          <w:bCs/>
          <w:sz w:val="32"/>
          <w:szCs w:val="32"/>
        </w:rPr>
        <w:t>采</w:t>
      </w:r>
      <w:r>
        <w:rPr>
          <w:rFonts w:ascii="仿宋_GB2312" w:eastAsia="仿宋_GB2312" w:cs="仿宋_GB2312"/>
          <w:b/>
          <w:bCs/>
          <w:sz w:val="32"/>
          <w:szCs w:val="32"/>
        </w:rPr>
        <w:t xml:space="preserve"> </w:t>
      </w:r>
      <w:r>
        <w:rPr>
          <w:rFonts w:hint="eastAsia" w:ascii="仿宋_GB2312" w:eastAsia="仿宋_GB2312" w:cs="仿宋_GB2312"/>
          <w:b/>
          <w:bCs/>
          <w:sz w:val="32"/>
          <w:szCs w:val="32"/>
        </w:rPr>
        <w:t>购</w:t>
      </w:r>
      <w:r>
        <w:rPr>
          <w:rFonts w:ascii="仿宋_GB2312" w:eastAsia="仿宋_GB2312" w:cs="仿宋_GB2312"/>
          <w:b/>
          <w:bCs/>
          <w:sz w:val="32"/>
          <w:szCs w:val="32"/>
        </w:rPr>
        <w:t xml:space="preserve"> </w:t>
      </w:r>
      <w:r>
        <w:rPr>
          <w:rFonts w:hint="eastAsia" w:ascii="仿宋_GB2312" w:eastAsia="仿宋_GB2312" w:cs="仿宋_GB2312"/>
          <w:b/>
          <w:bCs/>
          <w:sz w:val="32"/>
          <w:szCs w:val="32"/>
        </w:rPr>
        <w:t>人：阳新县应急管理局</w:t>
      </w:r>
    </w:p>
    <w:p>
      <w:pPr>
        <w:spacing w:line="600" w:lineRule="exact"/>
        <w:ind w:firstLine="1285" w:firstLineChars="400"/>
        <w:rPr>
          <w:rFonts w:ascii="仿宋_GB2312" w:eastAsia="仿宋_GB2312" w:cs="Times New Roman"/>
          <w:b/>
          <w:bCs/>
          <w:sz w:val="32"/>
          <w:szCs w:val="32"/>
        </w:rPr>
      </w:pPr>
      <w:r>
        <w:rPr>
          <w:rFonts w:hint="eastAsia" w:ascii="仿宋_GB2312" w:eastAsia="仿宋_GB2312" w:cs="仿宋_GB2312"/>
          <w:b/>
          <w:bCs/>
          <w:sz w:val="32"/>
          <w:szCs w:val="32"/>
        </w:rPr>
        <w:t>项目名称：阳新县应急指挥中心建设项目</w:t>
      </w:r>
    </w:p>
    <w:p>
      <w:pPr>
        <w:spacing w:line="480" w:lineRule="auto"/>
        <w:ind w:left="210" w:leftChars="100" w:firstLine="1124" w:firstLineChars="350"/>
        <w:rPr>
          <w:b/>
          <w:color w:val="000000"/>
          <w:sz w:val="30"/>
          <w:szCs w:val="30"/>
        </w:rPr>
      </w:pPr>
      <w:r>
        <w:rPr>
          <w:rFonts w:hint="eastAsia" w:ascii="仿宋_GB2312" w:eastAsia="仿宋_GB2312" w:cs="仿宋_GB2312"/>
          <w:b/>
          <w:bCs/>
          <w:sz w:val="32"/>
          <w:szCs w:val="32"/>
        </w:rPr>
        <w:t>采购内容：</w:t>
      </w:r>
      <w:r>
        <w:rPr>
          <w:rFonts w:hint="eastAsia"/>
          <w:b/>
          <w:color w:val="000000"/>
          <w:sz w:val="30"/>
          <w:szCs w:val="30"/>
        </w:rPr>
        <w:t>大屏显示系统、数字会议系统、数据接入</w:t>
      </w:r>
    </w:p>
    <w:p>
      <w:pPr>
        <w:spacing w:line="480" w:lineRule="auto"/>
        <w:ind w:left="210" w:leftChars="100" w:firstLine="1054" w:firstLineChars="350"/>
        <w:rPr>
          <w:b/>
          <w:color w:val="000000"/>
          <w:sz w:val="30"/>
          <w:szCs w:val="30"/>
        </w:rPr>
      </w:pPr>
      <w:r>
        <w:rPr>
          <w:rFonts w:hint="eastAsia"/>
          <w:b/>
          <w:color w:val="000000"/>
          <w:sz w:val="30"/>
          <w:szCs w:val="30"/>
        </w:rPr>
        <w:t xml:space="preserve">           平台、远程视频及中控系统、办公设备及</w:t>
      </w:r>
    </w:p>
    <w:p>
      <w:pPr>
        <w:spacing w:line="480" w:lineRule="auto"/>
        <w:ind w:left="210" w:leftChars="100" w:firstLine="1054" w:firstLineChars="350"/>
        <w:rPr>
          <w:b/>
          <w:color w:val="000000"/>
          <w:sz w:val="30"/>
          <w:szCs w:val="30"/>
        </w:rPr>
      </w:pPr>
      <w:r>
        <w:rPr>
          <w:rFonts w:hint="eastAsia"/>
          <w:b/>
          <w:color w:val="000000"/>
          <w:sz w:val="30"/>
          <w:szCs w:val="30"/>
        </w:rPr>
        <w:t xml:space="preserve">           辅材、无人机及卫星电话等</w:t>
      </w:r>
    </w:p>
    <w:p>
      <w:pPr>
        <w:spacing w:line="600" w:lineRule="exact"/>
        <w:ind w:firstLine="723" w:firstLineChars="400"/>
        <w:rPr>
          <w:rFonts w:ascii="黑体" w:hAnsi="黑体" w:eastAsia="黑体" w:cs="Times New Roman"/>
          <w:b/>
          <w:bCs/>
          <w:sz w:val="18"/>
          <w:szCs w:val="18"/>
        </w:rPr>
      </w:pPr>
    </w:p>
    <w:p>
      <w:pPr>
        <w:pStyle w:val="2"/>
        <w:ind w:firstLine="420"/>
        <w:rPr>
          <w:rFonts w:cs="Times New Roman"/>
        </w:rPr>
      </w:pPr>
    </w:p>
    <w:p>
      <w:pPr>
        <w:tabs>
          <w:tab w:val="left" w:pos="7939"/>
        </w:tabs>
        <w:spacing w:line="360" w:lineRule="auto"/>
        <w:jc w:val="center"/>
        <w:rPr>
          <w:rFonts w:ascii="黑体" w:hAnsi="黑体" w:eastAsia="黑体" w:cs="Times New Roman"/>
          <w:b/>
          <w:bCs/>
          <w:sz w:val="52"/>
          <w:szCs w:val="52"/>
        </w:rPr>
      </w:pPr>
      <w:r>
        <w:rPr>
          <w:rFonts w:hint="eastAsia" w:ascii="黑体" w:hAnsi="黑体" w:eastAsia="黑体" w:cs="黑体"/>
          <w:b/>
          <w:bCs/>
          <w:sz w:val="52"/>
          <w:szCs w:val="52"/>
        </w:rPr>
        <w:t>大华建设项目管理有限公司</w:t>
      </w:r>
    </w:p>
    <w:p>
      <w:pPr>
        <w:jc w:val="center"/>
        <w:rPr>
          <w:rFonts w:ascii="黑体" w:hAnsi="黑体" w:eastAsia="黑体" w:cs="Times New Roman"/>
          <w:b/>
          <w:bCs/>
          <w:sz w:val="44"/>
          <w:szCs w:val="44"/>
        </w:rPr>
      </w:pPr>
      <w:r>
        <w:rPr>
          <w:rFonts w:ascii="黑体" w:hAnsi="黑体" w:eastAsia="黑体" w:cs="黑体"/>
          <w:b/>
          <w:bCs/>
          <w:sz w:val="36"/>
          <w:szCs w:val="36"/>
          <w:u w:val="single"/>
        </w:rPr>
        <w:t xml:space="preserve"> 2019  </w:t>
      </w:r>
      <w:r>
        <w:rPr>
          <w:rFonts w:hint="eastAsia" w:ascii="黑体" w:hAnsi="黑体" w:eastAsia="黑体" w:cs="黑体"/>
          <w:b/>
          <w:bCs/>
          <w:sz w:val="44"/>
          <w:szCs w:val="44"/>
        </w:rPr>
        <w:t>年</w:t>
      </w:r>
      <w:r>
        <w:rPr>
          <w:rFonts w:ascii="黑体" w:hAnsi="黑体" w:eastAsia="黑体" w:cs="黑体"/>
          <w:b/>
          <w:bCs/>
          <w:sz w:val="36"/>
          <w:szCs w:val="36"/>
          <w:u w:val="single"/>
        </w:rPr>
        <w:t xml:space="preserve">  </w:t>
      </w:r>
      <w:r>
        <w:rPr>
          <w:rFonts w:hint="eastAsia" w:ascii="黑体" w:hAnsi="黑体" w:eastAsia="黑体" w:cs="黑体"/>
          <w:b/>
          <w:bCs/>
          <w:sz w:val="36"/>
          <w:szCs w:val="36"/>
          <w:u w:val="single"/>
        </w:rPr>
        <w:t>12</w:t>
      </w:r>
      <w:r>
        <w:rPr>
          <w:rFonts w:ascii="黑体" w:hAnsi="黑体" w:eastAsia="黑体" w:cs="黑体"/>
          <w:b/>
          <w:bCs/>
          <w:sz w:val="36"/>
          <w:szCs w:val="36"/>
          <w:u w:val="single"/>
        </w:rPr>
        <w:t xml:space="preserve"> </w:t>
      </w:r>
      <w:r>
        <w:rPr>
          <w:rFonts w:hint="eastAsia" w:ascii="黑体" w:hAnsi="黑体" w:eastAsia="黑体" w:cs="黑体"/>
          <w:b/>
          <w:bCs/>
          <w:sz w:val="44"/>
          <w:szCs w:val="44"/>
        </w:rPr>
        <w:t>月</w:t>
      </w:r>
    </w:p>
    <w:p>
      <w:pPr>
        <w:rPr>
          <w:rFonts w:cs="Times New Roman"/>
        </w:rPr>
        <w:sectPr>
          <w:headerReference r:id="rId3" w:type="default"/>
          <w:footerReference r:id="rId4" w:type="default"/>
          <w:pgSz w:w="11906" w:h="16838"/>
          <w:pgMar w:top="1134" w:right="1191" w:bottom="1134" w:left="1191" w:header="680" w:footer="680" w:gutter="0"/>
          <w:cols w:space="425" w:num="1"/>
          <w:docGrid w:type="lines" w:linePitch="312" w:charSpace="0"/>
        </w:sectPr>
      </w:pPr>
    </w:p>
    <w:p>
      <w:pPr>
        <w:pStyle w:val="45"/>
        <w:jc w:val="center"/>
        <w:rPr>
          <w:rFonts w:cs="Times New Roman"/>
          <w:color w:val="auto"/>
        </w:rPr>
      </w:pPr>
      <w:r>
        <w:rPr>
          <w:rFonts w:hint="eastAsia" w:cs="宋体"/>
          <w:color w:val="auto"/>
          <w:lang w:val="zh-CN"/>
        </w:rPr>
        <w:t>目录</w:t>
      </w:r>
    </w:p>
    <w:p>
      <w:pPr>
        <w:pStyle w:val="16"/>
        <w:tabs>
          <w:tab w:val="left" w:pos="1260"/>
          <w:tab w:val="right" w:leader="dot" w:pos="9514"/>
        </w:tabs>
        <w:rPr>
          <w:rFonts w:eastAsia="宋体" w:cs="Times New Roman"/>
          <w:b w:val="0"/>
          <w:bCs w:val="0"/>
          <w:color w:val="auto"/>
          <w:kern w:val="2"/>
          <w:sz w:val="21"/>
          <w:szCs w:val="21"/>
        </w:rPr>
      </w:pPr>
      <w:r>
        <w:rPr>
          <w:b w:val="0"/>
          <w:bCs w:val="0"/>
          <w:color w:val="auto"/>
        </w:rPr>
        <w:fldChar w:fldCharType="begin"/>
      </w:r>
      <w:r>
        <w:rPr>
          <w:b w:val="0"/>
          <w:bCs w:val="0"/>
          <w:color w:val="auto"/>
        </w:rPr>
        <w:instrText xml:space="preserve"> TOC \o "1-3" \h \z \u </w:instrText>
      </w:r>
      <w:r>
        <w:rPr>
          <w:b w:val="0"/>
          <w:bCs w:val="0"/>
          <w:color w:val="auto"/>
        </w:rPr>
        <w:fldChar w:fldCharType="separate"/>
      </w:r>
      <w:r>
        <w:fldChar w:fldCharType="begin"/>
      </w:r>
      <w:r>
        <w:instrText xml:space="preserve"> HYPERLINK \l "_Toc509323114" </w:instrText>
      </w:r>
      <w:r>
        <w:fldChar w:fldCharType="separate"/>
      </w:r>
      <w:r>
        <w:rPr>
          <w:rStyle w:val="26"/>
          <w:rFonts w:hint="eastAsia" w:ascii="黑体" w:hAnsi="黑体" w:cs="黑体"/>
          <w:color w:val="auto"/>
        </w:rPr>
        <w:t>第一章</w:t>
      </w:r>
      <w:r>
        <w:rPr>
          <w:rFonts w:eastAsia="宋体" w:cs="Times New Roman"/>
          <w:b w:val="0"/>
          <w:bCs w:val="0"/>
          <w:color w:val="auto"/>
          <w:kern w:val="2"/>
          <w:sz w:val="21"/>
          <w:szCs w:val="21"/>
        </w:rPr>
        <w:tab/>
      </w:r>
      <w:r>
        <w:rPr>
          <w:rStyle w:val="26"/>
          <w:rFonts w:hint="eastAsia" w:ascii="黑体" w:hAnsi="黑体" w:cs="黑体"/>
          <w:color w:val="auto"/>
        </w:rPr>
        <w:t>投标邀请书</w:t>
      </w:r>
      <w:r>
        <w:rPr>
          <w:rFonts w:cs="Times New Roman"/>
          <w:color w:val="auto"/>
        </w:rPr>
        <w:tab/>
      </w:r>
      <w:r>
        <w:rPr>
          <w:color w:val="auto"/>
        </w:rPr>
        <w:fldChar w:fldCharType="begin"/>
      </w:r>
      <w:r>
        <w:rPr>
          <w:color w:val="auto"/>
        </w:rPr>
        <w:instrText xml:space="preserve"> PAGEREF _Toc509323114 \h </w:instrText>
      </w:r>
      <w:r>
        <w:rPr>
          <w:color w:val="auto"/>
        </w:rPr>
        <w:fldChar w:fldCharType="separate"/>
      </w:r>
      <w:r>
        <w:rPr>
          <w:color w:val="auto"/>
        </w:rPr>
        <w:t>4</w:t>
      </w:r>
      <w:r>
        <w:rPr>
          <w:color w:val="auto"/>
        </w:rPr>
        <w:fldChar w:fldCharType="end"/>
      </w:r>
      <w:r>
        <w:rPr>
          <w:color w:val="auto"/>
        </w:rPr>
        <w:fldChar w:fldCharType="end"/>
      </w:r>
    </w:p>
    <w:p>
      <w:pPr>
        <w:pStyle w:val="16"/>
        <w:tabs>
          <w:tab w:val="left" w:pos="1260"/>
          <w:tab w:val="right" w:leader="dot" w:pos="9514"/>
        </w:tabs>
        <w:rPr>
          <w:rFonts w:eastAsia="宋体" w:cs="Times New Roman"/>
          <w:b w:val="0"/>
          <w:bCs w:val="0"/>
          <w:color w:val="auto"/>
          <w:kern w:val="2"/>
          <w:sz w:val="21"/>
          <w:szCs w:val="21"/>
        </w:rPr>
      </w:pPr>
      <w:r>
        <w:fldChar w:fldCharType="begin"/>
      </w:r>
      <w:r>
        <w:instrText xml:space="preserve"> HYPERLINK \l "_Toc509323115" </w:instrText>
      </w:r>
      <w:r>
        <w:fldChar w:fldCharType="separate"/>
      </w:r>
      <w:r>
        <w:rPr>
          <w:rStyle w:val="26"/>
          <w:rFonts w:hint="eastAsia" w:ascii="黑体" w:hAnsi="黑体" w:cs="黑体"/>
          <w:color w:val="auto"/>
        </w:rPr>
        <w:t>第二章</w:t>
      </w:r>
      <w:r>
        <w:rPr>
          <w:rFonts w:eastAsia="宋体" w:cs="Times New Roman"/>
          <w:b w:val="0"/>
          <w:bCs w:val="0"/>
          <w:color w:val="auto"/>
          <w:kern w:val="2"/>
          <w:sz w:val="21"/>
          <w:szCs w:val="21"/>
        </w:rPr>
        <w:tab/>
      </w:r>
      <w:r>
        <w:rPr>
          <w:rStyle w:val="26"/>
          <w:rFonts w:hint="eastAsia" w:ascii="黑体" w:hAnsi="黑体" w:cs="黑体"/>
          <w:color w:val="auto"/>
        </w:rPr>
        <w:t>投标人须知</w:t>
      </w:r>
      <w:r>
        <w:rPr>
          <w:rFonts w:cs="Times New Roman"/>
          <w:color w:val="auto"/>
        </w:rPr>
        <w:tab/>
      </w:r>
      <w:r>
        <w:rPr>
          <w:color w:val="auto"/>
        </w:rPr>
        <w:fldChar w:fldCharType="begin"/>
      </w:r>
      <w:r>
        <w:rPr>
          <w:color w:val="auto"/>
        </w:rPr>
        <w:instrText xml:space="preserve"> PAGEREF _Toc509323115 \h </w:instrText>
      </w:r>
      <w:r>
        <w:rPr>
          <w:color w:val="auto"/>
        </w:rPr>
        <w:fldChar w:fldCharType="separate"/>
      </w:r>
      <w:r>
        <w:rPr>
          <w:color w:val="auto"/>
        </w:rPr>
        <w:t>5</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"_Toc509323116" </w:instrText>
      </w:r>
      <w:r>
        <w:fldChar w:fldCharType="separate"/>
      </w:r>
      <w:r>
        <w:rPr>
          <w:rStyle w:val="26"/>
          <w:rFonts w:hint="eastAsia"/>
          <w:b/>
          <w:bCs/>
          <w:color w:val="auto"/>
          <w:lang w:val="zh-CN"/>
        </w:rPr>
        <w:t>投标须知前附表</w:t>
      </w:r>
      <w:r>
        <w:rPr>
          <w:rFonts w:cs="Times New Roman"/>
          <w:color w:val="auto"/>
        </w:rPr>
        <w:tab/>
      </w:r>
      <w:r>
        <w:rPr>
          <w:color w:val="auto"/>
        </w:rPr>
        <w:fldChar w:fldCharType="begin"/>
      </w:r>
      <w:r>
        <w:rPr>
          <w:color w:val="auto"/>
        </w:rPr>
        <w:instrText xml:space="preserve"> PAGEREF _Toc509323116 \h </w:instrText>
      </w:r>
      <w:r>
        <w:rPr>
          <w:color w:val="auto"/>
        </w:rPr>
        <w:fldChar w:fldCharType="separate"/>
      </w:r>
      <w:r>
        <w:rPr>
          <w:color w:val="auto"/>
        </w:rPr>
        <w:t>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"_Toc509323117" </w:instrText>
      </w:r>
      <w:r>
        <w:fldChar w:fldCharType="separate"/>
      </w:r>
      <w:r>
        <w:rPr>
          <w:rStyle w:val="26"/>
          <w:rFonts w:hint="eastAsia"/>
          <w:color w:val="auto"/>
          <w:lang w:val="zh-CN"/>
        </w:rPr>
        <w:t>一、</w:t>
      </w:r>
      <w:r>
        <w:rPr>
          <w:rFonts w:ascii="Calibri" w:hAnsi="Calibri" w:cs="Calibri"/>
          <w:color w:val="auto"/>
          <w:kern w:val="2"/>
          <w:sz w:val="21"/>
          <w:szCs w:val="21"/>
        </w:rPr>
        <w:tab/>
      </w:r>
      <w:r>
        <w:rPr>
          <w:rStyle w:val="26"/>
          <w:rFonts w:hint="eastAsia"/>
          <w:color w:val="auto"/>
          <w:lang w:val="zh-CN"/>
        </w:rPr>
        <w:t>说</w:t>
      </w:r>
      <w:r>
        <w:rPr>
          <w:rStyle w:val="26"/>
          <w:color w:val="auto"/>
          <w:lang w:val="zh-CN"/>
        </w:rPr>
        <w:t xml:space="preserve">  </w:t>
      </w:r>
      <w:r>
        <w:rPr>
          <w:rStyle w:val="26"/>
          <w:rFonts w:hint="eastAsia"/>
          <w:color w:val="auto"/>
          <w:lang w:val="zh-CN"/>
        </w:rPr>
        <w:t>明</w:t>
      </w:r>
      <w:r>
        <w:rPr>
          <w:rFonts w:cs="Times New Roman"/>
          <w:color w:val="auto"/>
        </w:rPr>
        <w:tab/>
      </w:r>
      <w:r>
        <w:rPr>
          <w:color w:val="auto"/>
        </w:rPr>
        <w:fldChar w:fldCharType="begin"/>
      </w:r>
      <w:r>
        <w:rPr>
          <w:color w:val="auto"/>
        </w:rPr>
        <w:instrText xml:space="preserve"> PAGEREF _Toc509323117 \h </w:instrText>
      </w:r>
      <w:r>
        <w:rPr>
          <w:color w:val="auto"/>
        </w:rPr>
        <w:fldChar w:fldCharType="separate"/>
      </w:r>
      <w:r>
        <w:rPr>
          <w:color w:val="auto"/>
        </w:rPr>
        <w:t>8</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"_Toc509323118" </w:instrText>
      </w:r>
      <w:r>
        <w:fldChar w:fldCharType="separate"/>
      </w:r>
      <w:r>
        <w:rPr>
          <w:rStyle w:val="26"/>
          <w:rFonts w:hint="eastAsia"/>
          <w:color w:val="auto"/>
          <w:lang w:val="zh-CN"/>
        </w:rPr>
        <w:t>二、</w:t>
      </w:r>
      <w:r>
        <w:rPr>
          <w:rFonts w:ascii="Calibri" w:hAnsi="Calibri" w:cs="Calibri"/>
          <w:color w:val="auto"/>
          <w:kern w:val="2"/>
          <w:sz w:val="21"/>
          <w:szCs w:val="21"/>
        </w:rPr>
        <w:tab/>
      </w:r>
      <w:r>
        <w:rPr>
          <w:rStyle w:val="26"/>
          <w:rFonts w:hint="eastAsia"/>
          <w:color w:val="auto"/>
          <w:lang w:val="zh-CN"/>
        </w:rPr>
        <w:t>招标文件</w:t>
      </w:r>
      <w:r>
        <w:rPr>
          <w:rFonts w:cs="Times New Roman"/>
          <w:color w:val="auto"/>
        </w:rPr>
        <w:tab/>
      </w:r>
      <w:r>
        <w:rPr>
          <w:color w:val="auto"/>
        </w:rPr>
        <w:fldChar w:fldCharType="begin"/>
      </w:r>
      <w:r>
        <w:rPr>
          <w:color w:val="auto"/>
        </w:rPr>
        <w:instrText xml:space="preserve"> PAGEREF _Toc509323118 \h </w:instrText>
      </w:r>
      <w:r>
        <w:rPr>
          <w:color w:val="auto"/>
        </w:rPr>
        <w:fldChar w:fldCharType="separate"/>
      </w:r>
      <w:r>
        <w:rPr>
          <w:color w:val="auto"/>
        </w:rPr>
        <w:t>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"_Toc509323119" </w:instrText>
      </w:r>
      <w:r>
        <w:fldChar w:fldCharType="separate"/>
      </w:r>
      <w:r>
        <w:rPr>
          <w:rStyle w:val="26"/>
          <w:rFonts w:hint="eastAsia"/>
          <w:color w:val="auto"/>
          <w:lang w:val="zh-CN"/>
        </w:rPr>
        <w:t>三、</w:t>
      </w:r>
      <w:r>
        <w:rPr>
          <w:rFonts w:ascii="Calibri" w:hAnsi="Calibri" w:cs="Calibri"/>
          <w:color w:val="auto"/>
          <w:kern w:val="2"/>
          <w:sz w:val="21"/>
          <w:szCs w:val="21"/>
        </w:rPr>
        <w:tab/>
      </w:r>
      <w:r>
        <w:rPr>
          <w:rStyle w:val="26"/>
          <w:rFonts w:hint="eastAsia"/>
          <w:color w:val="auto"/>
          <w:lang w:val="zh-CN"/>
        </w:rPr>
        <w:t>投标文件</w:t>
      </w:r>
      <w:r>
        <w:rPr>
          <w:rFonts w:cs="Times New Roman"/>
          <w:color w:val="auto"/>
        </w:rPr>
        <w:tab/>
      </w:r>
      <w:r>
        <w:rPr>
          <w:color w:val="auto"/>
        </w:rPr>
        <w:fldChar w:fldCharType="begin"/>
      </w:r>
      <w:r>
        <w:rPr>
          <w:color w:val="auto"/>
        </w:rPr>
        <w:instrText xml:space="preserve"> PAGEREF _Toc509323119 \h </w:instrText>
      </w:r>
      <w:r>
        <w:rPr>
          <w:color w:val="auto"/>
        </w:rPr>
        <w:fldChar w:fldCharType="separate"/>
      </w:r>
      <w:r>
        <w:rPr>
          <w:color w:val="auto"/>
        </w:rPr>
        <w:t>10</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"_Toc509323120" </w:instrText>
      </w:r>
      <w:r>
        <w:fldChar w:fldCharType="separate"/>
      </w:r>
      <w:r>
        <w:rPr>
          <w:rStyle w:val="26"/>
          <w:rFonts w:hint="eastAsia"/>
          <w:color w:val="auto"/>
          <w:lang w:val="zh-CN"/>
        </w:rPr>
        <w:t>四、</w:t>
      </w:r>
      <w:r>
        <w:rPr>
          <w:rFonts w:ascii="Calibri" w:hAnsi="Calibri" w:cs="Calibri"/>
          <w:color w:val="auto"/>
          <w:kern w:val="2"/>
          <w:sz w:val="21"/>
          <w:szCs w:val="21"/>
        </w:rPr>
        <w:tab/>
      </w:r>
      <w:r>
        <w:rPr>
          <w:rStyle w:val="26"/>
          <w:rFonts w:hint="eastAsia"/>
          <w:color w:val="auto"/>
          <w:lang w:val="zh-CN"/>
        </w:rPr>
        <w:t>开标与评标</w:t>
      </w:r>
      <w:r>
        <w:rPr>
          <w:rFonts w:cs="Times New Roman"/>
          <w:color w:val="auto"/>
        </w:rPr>
        <w:tab/>
      </w:r>
      <w:r>
        <w:rPr>
          <w:color w:val="auto"/>
        </w:rPr>
        <w:fldChar w:fldCharType="begin"/>
      </w:r>
      <w:r>
        <w:rPr>
          <w:color w:val="auto"/>
        </w:rPr>
        <w:instrText xml:space="preserve"> PAGEREF _Toc509323120 \h </w:instrText>
      </w:r>
      <w:r>
        <w:rPr>
          <w:color w:val="auto"/>
        </w:rPr>
        <w:fldChar w:fldCharType="separate"/>
      </w:r>
      <w:r>
        <w:rPr>
          <w:color w:val="auto"/>
        </w:rPr>
        <w:t>14</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"_Toc509323121" </w:instrText>
      </w:r>
      <w:r>
        <w:fldChar w:fldCharType="separate"/>
      </w:r>
      <w:r>
        <w:rPr>
          <w:rStyle w:val="26"/>
          <w:rFonts w:hint="eastAsia"/>
          <w:color w:val="auto"/>
          <w:lang w:val="zh-CN"/>
        </w:rPr>
        <w:t>五、</w:t>
      </w:r>
      <w:r>
        <w:rPr>
          <w:rFonts w:ascii="Calibri" w:hAnsi="Calibri" w:cs="Calibri"/>
          <w:color w:val="auto"/>
          <w:kern w:val="2"/>
          <w:sz w:val="21"/>
          <w:szCs w:val="21"/>
        </w:rPr>
        <w:tab/>
      </w:r>
      <w:r>
        <w:rPr>
          <w:rStyle w:val="26"/>
          <w:rFonts w:hint="eastAsia"/>
          <w:color w:val="auto"/>
          <w:lang w:val="zh-CN"/>
        </w:rPr>
        <w:t>投标人信用信息及查询</w:t>
      </w:r>
      <w:r>
        <w:rPr>
          <w:rFonts w:cs="Times New Roman"/>
          <w:color w:val="auto"/>
        </w:rPr>
        <w:tab/>
      </w:r>
      <w:r>
        <w:rPr>
          <w:color w:val="auto"/>
        </w:rPr>
        <w:fldChar w:fldCharType="begin"/>
      </w:r>
      <w:r>
        <w:rPr>
          <w:color w:val="auto"/>
        </w:rPr>
        <w:instrText xml:space="preserve"> PAGEREF _Toc509323121 \h </w:instrText>
      </w:r>
      <w:r>
        <w:rPr>
          <w:color w:val="auto"/>
        </w:rPr>
        <w:fldChar w:fldCharType="separate"/>
      </w:r>
      <w:r>
        <w:rPr>
          <w:color w:val="auto"/>
        </w:rPr>
        <w:t>16</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"_Toc509323122" </w:instrText>
      </w:r>
      <w:r>
        <w:fldChar w:fldCharType="separate"/>
      </w:r>
      <w:r>
        <w:rPr>
          <w:rStyle w:val="26"/>
          <w:rFonts w:hint="eastAsia"/>
          <w:color w:val="auto"/>
          <w:lang w:val="zh-CN"/>
        </w:rPr>
        <w:t>六、</w:t>
      </w:r>
      <w:r>
        <w:rPr>
          <w:rFonts w:ascii="Calibri" w:hAnsi="Calibri" w:cs="Calibri"/>
          <w:color w:val="auto"/>
          <w:kern w:val="2"/>
          <w:sz w:val="21"/>
          <w:szCs w:val="21"/>
        </w:rPr>
        <w:tab/>
      </w:r>
      <w:r>
        <w:rPr>
          <w:rStyle w:val="26"/>
          <w:rFonts w:hint="eastAsia"/>
          <w:color w:val="auto"/>
          <w:lang w:val="zh-CN"/>
        </w:rPr>
        <w:t>中标与合同</w:t>
      </w:r>
      <w:r>
        <w:rPr>
          <w:rFonts w:cs="Times New Roman"/>
          <w:color w:val="auto"/>
        </w:rPr>
        <w:tab/>
      </w:r>
      <w:r>
        <w:rPr>
          <w:color w:val="auto"/>
        </w:rPr>
        <w:fldChar w:fldCharType="begin"/>
      </w:r>
      <w:r>
        <w:rPr>
          <w:color w:val="auto"/>
        </w:rPr>
        <w:instrText xml:space="preserve"> PAGEREF _Toc509323122 \h </w:instrText>
      </w:r>
      <w:r>
        <w:rPr>
          <w:color w:val="auto"/>
        </w:rPr>
        <w:fldChar w:fldCharType="separate"/>
      </w:r>
      <w:r>
        <w:rPr>
          <w:color w:val="auto"/>
        </w:rPr>
        <w:t>16</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"_Toc509323123" </w:instrText>
      </w:r>
      <w:r>
        <w:fldChar w:fldCharType="separate"/>
      </w:r>
      <w:r>
        <w:rPr>
          <w:rStyle w:val="26"/>
          <w:rFonts w:hint="eastAsia"/>
          <w:color w:val="auto"/>
          <w:lang w:val="zh-CN"/>
        </w:rPr>
        <w:t>七、</w:t>
      </w:r>
      <w:r>
        <w:rPr>
          <w:rFonts w:ascii="Calibri" w:hAnsi="Calibri" w:cs="Calibri"/>
          <w:color w:val="auto"/>
          <w:kern w:val="2"/>
          <w:sz w:val="21"/>
          <w:szCs w:val="21"/>
        </w:rPr>
        <w:tab/>
      </w:r>
      <w:r>
        <w:rPr>
          <w:rStyle w:val="26"/>
          <w:rFonts w:hint="eastAsia"/>
          <w:color w:val="auto"/>
          <w:lang w:val="zh-CN"/>
        </w:rPr>
        <w:t>采购信息公告</w:t>
      </w:r>
      <w:r>
        <w:rPr>
          <w:rFonts w:cs="Times New Roman"/>
          <w:color w:val="auto"/>
        </w:rPr>
        <w:tab/>
      </w:r>
      <w:r>
        <w:rPr>
          <w:color w:val="auto"/>
        </w:rPr>
        <w:fldChar w:fldCharType="begin"/>
      </w:r>
      <w:r>
        <w:rPr>
          <w:color w:val="auto"/>
        </w:rPr>
        <w:instrText xml:space="preserve"> PAGEREF _Toc509323123 \h </w:instrText>
      </w:r>
      <w:r>
        <w:rPr>
          <w:color w:val="auto"/>
        </w:rPr>
        <w:fldChar w:fldCharType="separate"/>
      </w:r>
      <w:r>
        <w:rPr>
          <w:color w:val="auto"/>
        </w:rPr>
        <w:t>17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"_Toc509323124" </w:instrText>
      </w:r>
      <w:r>
        <w:fldChar w:fldCharType="separate"/>
      </w:r>
      <w:r>
        <w:rPr>
          <w:rStyle w:val="26"/>
          <w:rFonts w:hint="eastAsia"/>
          <w:color w:val="auto"/>
          <w:lang w:val="zh-CN"/>
        </w:rPr>
        <w:t>八、</w:t>
      </w:r>
      <w:r>
        <w:rPr>
          <w:rFonts w:ascii="Calibri" w:hAnsi="Calibri" w:cs="Calibri"/>
          <w:color w:val="auto"/>
          <w:kern w:val="2"/>
          <w:sz w:val="21"/>
          <w:szCs w:val="21"/>
        </w:rPr>
        <w:tab/>
      </w:r>
      <w:r>
        <w:rPr>
          <w:rStyle w:val="26"/>
          <w:rFonts w:hint="eastAsia"/>
          <w:color w:val="auto"/>
          <w:lang w:val="zh-CN"/>
        </w:rPr>
        <w:t>质疑及提交</w:t>
      </w:r>
      <w:r>
        <w:rPr>
          <w:rFonts w:cs="Times New Roman"/>
          <w:color w:val="auto"/>
        </w:rPr>
        <w:tab/>
      </w:r>
      <w:r>
        <w:rPr>
          <w:color w:val="auto"/>
        </w:rPr>
        <w:fldChar w:fldCharType="begin"/>
      </w:r>
      <w:r>
        <w:rPr>
          <w:color w:val="auto"/>
        </w:rPr>
        <w:instrText xml:space="preserve"> PAGEREF _Toc509323124 \h </w:instrText>
      </w:r>
      <w:r>
        <w:rPr>
          <w:color w:val="auto"/>
        </w:rPr>
        <w:fldChar w:fldCharType="separate"/>
      </w:r>
      <w:r>
        <w:rPr>
          <w:color w:val="auto"/>
        </w:rPr>
        <w:t>17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"_Toc509323125" </w:instrText>
      </w:r>
      <w:r>
        <w:fldChar w:fldCharType="separate"/>
      </w:r>
      <w:r>
        <w:rPr>
          <w:rStyle w:val="26"/>
          <w:rFonts w:hint="eastAsia"/>
          <w:color w:val="auto"/>
          <w:lang w:val="zh-CN"/>
        </w:rPr>
        <w:t>九、</w:t>
      </w:r>
      <w:r>
        <w:rPr>
          <w:rFonts w:ascii="Calibri" w:hAnsi="Calibri" w:cs="Calibri"/>
          <w:color w:val="auto"/>
          <w:kern w:val="2"/>
          <w:sz w:val="21"/>
          <w:szCs w:val="21"/>
        </w:rPr>
        <w:tab/>
      </w:r>
      <w:r>
        <w:rPr>
          <w:rStyle w:val="26"/>
          <w:rFonts w:hint="eastAsia"/>
          <w:color w:val="auto"/>
          <w:lang w:val="zh-CN"/>
        </w:rPr>
        <w:t>相关条文解读</w:t>
      </w:r>
      <w:r>
        <w:rPr>
          <w:rFonts w:cs="Times New Roman"/>
          <w:color w:val="auto"/>
        </w:rPr>
        <w:tab/>
      </w:r>
      <w:r>
        <w:rPr>
          <w:color w:val="auto"/>
        </w:rPr>
        <w:fldChar w:fldCharType="begin"/>
      </w:r>
      <w:r>
        <w:rPr>
          <w:color w:val="auto"/>
        </w:rPr>
        <w:instrText xml:space="preserve"> PAGEREF _Toc509323125 \h </w:instrText>
      </w:r>
      <w:r>
        <w:rPr>
          <w:color w:val="auto"/>
        </w:rPr>
        <w:fldChar w:fldCharType="separate"/>
      </w:r>
      <w:r>
        <w:rPr>
          <w:color w:val="auto"/>
        </w:rPr>
        <w:t>18</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"_Toc509323126" </w:instrText>
      </w:r>
      <w:r>
        <w:fldChar w:fldCharType="separate"/>
      </w:r>
      <w:r>
        <w:rPr>
          <w:rStyle w:val="26"/>
          <w:rFonts w:hint="eastAsia"/>
          <w:color w:val="auto"/>
          <w:lang w:val="zh-CN"/>
        </w:rPr>
        <w:t>十、</w:t>
      </w:r>
      <w:r>
        <w:rPr>
          <w:rFonts w:ascii="Calibri" w:hAnsi="Calibri" w:cs="Calibri"/>
          <w:color w:val="auto"/>
          <w:kern w:val="2"/>
          <w:sz w:val="21"/>
          <w:szCs w:val="21"/>
        </w:rPr>
        <w:tab/>
      </w:r>
      <w:r>
        <w:rPr>
          <w:rStyle w:val="26"/>
          <w:rFonts w:hint="eastAsia"/>
          <w:color w:val="auto"/>
          <w:lang w:val="zh-CN"/>
        </w:rPr>
        <w:t>其他注意事项</w:t>
      </w:r>
      <w:r>
        <w:rPr>
          <w:rFonts w:cs="Times New Roman"/>
          <w:color w:val="auto"/>
        </w:rPr>
        <w:tab/>
      </w:r>
      <w:r>
        <w:rPr>
          <w:color w:val="auto"/>
        </w:rPr>
        <w:fldChar w:fldCharType="begin"/>
      </w:r>
      <w:r>
        <w:rPr>
          <w:color w:val="auto"/>
        </w:rPr>
        <w:instrText xml:space="preserve"> PAGEREF _Toc509323126 \h </w:instrText>
      </w:r>
      <w:r>
        <w:rPr>
          <w:color w:val="auto"/>
        </w:rPr>
        <w:fldChar w:fldCharType="separate"/>
      </w:r>
      <w:r>
        <w:rPr>
          <w:color w:val="auto"/>
        </w:rPr>
        <w:t>19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"_Toc509323127" </w:instrText>
      </w:r>
      <w:r>
        <w:fldChar w:fldCharType="separate"/>
      </w:r>
      <w:r>
        <w:rPr>
          <w:rStyle w:val="26"/>
          <w:rFonts w:hint="eastAsia"/>
          <w:color w:val="auto"/>
          <w:lang w:val="zh-CN"/>
        </w:rPr>
        <w:t>十一、</w:t>
      </w:r>
      <w:r>
        <w:rPr>
          <w:rFonts w:ascii="Calibri" w:hAnsi="Calibri" w:cs="Calibri"/>
          <w:color w:val="auto"/>
          <w:kern w:val="2"/>
          <w:sz w:val="21"/>
          <w:szCs w:val="21"/>
        </w:rPr>
        <w:tab/>
      </w:r>
      <w:r>
        <w:rPr>
          <w:rStyle w:val="26"/>
          <w:rFonts w:hint="eastAsia"/>
          <w:color w:val="auto"/>
          <w:lang w:val="zh-CN"/>
        </w:rPr>
        <w:t>适用法律</w:t>
      </w:r>
      <w:r>
        <w:rPr>
          <w:rFonts w:cs="Times New Roman"/>
          <w:color w:val="auto"/>
        </w:rPr>
        <w:tab/>
      </w:r>
      <w:r>
        <w:rPr>
          <w:color w:val="auto"/>
        </w:rPr>
        <w:fldChar w:fldCharType="begin"/>
      </w:r>
      <w:r>
        <w:rPr>
          <w:color w:val="auto"/>
        </w:rPr>
        <w:instrText xml:space="preserve"> PAGEREF _Toc509323127 \h </w:instrText>
      </w:r>
      <w:r>
        <w:rPr>
          <w:color w:val="auto"/>
        </w:rPr>
        <w:fldChar w:fldCharType="separate"/>
      </w:r>
      <w:r>
        <w:rPr>
          <w:color w:val="auto"/>
        </w:rPr>
        <w:t>19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"_Toc509323128" </w:instrText>
      </w:r>
      <w:r>
        <w:fldChar w:fldCharType="separate"/>
      </w:r>
      <w:r>
        <w:rPr>
          <w:rStyle w:val="26"/>
          <w:rFonts w:hint="eastAsia"/>
          <w:color w:val="auto"/>
          <w:lang w:val="zh-CN"/>
        </w:rPr>
        <w:t>十二、</w:t>
      </w:r>
      <w:r>
        <w:rPr>
          <w:rFonts w:ascii="Calibri" w:hAnsi="Calibri" w:cs="Calibri"/>
          <w:color w:val="auto"/>
          <w:kern w:val="2"/>
          <w:sz w:val="21"/>
          <w:szCs w:val="21"/>
        </w:rPr>
        <w:tab/>
      </w:r>
      <w:r>
        <w:rPr>
          <w:rStyle w:val="26"/>
          <w:rFonts w:hint="eastAsia"/>
          <w:color w:val="auto"/>
          <w:lang w:val="zh-CN"/>
        </w:rPr>
        <w:t>招标文件的解释权</w:t>
      </w:r>
      <w:r>
        <w:rPr>
          <w:rFonts w:cs="Times New Roman"/>
          <w:color w:val="auto"/>
        </w:rPr>
        <w:tab/>
      </w:r>
      <w:r>
        <w:rPr>
          <w:color w:val="auto"/>
        </w:rPr>
        <w:fldChar w:fldCharType="begin"/>
      </w:r>
      <w:r>
        <w:rPr>
          <w:color w:val="auto"/>
        </w:rPr>
        <w:instrText xml:space="preserve"> PAGEREF _Toc509323128 \h </w:instrText>
      </w:r>
      <w:r>
        <w:rPr>
          <w:color w:val="auto"/>
        </w:rPr>
        <w:fldChar w:fldCharType="separate"/>
      </w:r>
      <w:r>
        <w:rPr>
          <w:color w:val="auto"/>
        </w:rPr>
        <w:t>19</w:t>
      </w:r>
      <w:r>
        <w:rPr>
          <w:color w:val="auto"/>
        </w:rPr>
        <w:fldChar w:fldCharType="end"/>
      </w:r>
      <w:r>
        <w:rPr>
          <w:color w:val="auto"/>
        </w:rPr>
        <w:fldChar w:fldCharType="end"/>
      </w:r>
    </w:p>
    <w:p>
      <w:pPr>
        <w:pStyle w:val="16"/>
        <w:tabs>
          <w:tab w:val="right" w:leader="dot" w:pos="9514"/>
        </w:tabs>
        <w:rPr>
          <w:rFonts w:eastAsia="宋体" w:cs="Times New Roman"/>
          <w:b w:val="0"/>
          <w:bCs w:val="0"/>
          <w:color w:val="auto"/>
          <w:kern w:val="2"/>
          <w:sz w:val="21"/>
          <w:szCs w:val="21"/>
        </w:rPr>
      </w:pPr>
      <w:r>
        <w:fldChar w:fldCharType="begin"/>
      </w:r>
      <w:r>
        <w:instrText xml:space="preserve"> HYPERLINK \l "_Toc509323129" </w:instrText>
      </w:r>
      <w:r>
        <w:fldChar w:fldCharType="separate"/>
      </w:r>
      <w:r>
        <w:rPr>
          <w:rStyle w:val="26"/>
          <w:rFonts w:hint="eastAsia" w:ascii="黑体" w:hAnsi="黑体" w:cs="黑体"/>
          <w:color w:val="auto"/>
        </w:rPr>
        <w:t>第三章</w:t>
      </w:r>
      <w:r>
        <w:rPr>
          <w:rStyle w:val="26"/>
          <w:rFonts w:ascii="黑体" w:hAnsi="黑体" w:cs="黑体"/>
          <w:color w:val="auto"/>
        </w:rPr>
        <w:t xml:space="preserve"> </w:t>
      </w:r>
      <w:r>
        <w:rPr>
          <w:rStyle w:val="26"/>
          <w:rFonts w:hint="eastAsia" w:ascii="黑体" w:hAnsi="黑体" w:cs="黑体"/>
          <w:color w:val="auto"/>
        </w:rPr>
        <w:t>项目技术、服务及商务要求</w:t>
      </w:r>
      <w:r>
        <w:rPr>
          <w:rFonts w:cs="Times New Roman"/>
          <w:color w:val="auto"/>
        </w:rPr>
        <w:tab/>
      </w:r>
      <w:r>
        <w:rPr>
          <w:color w:val="auto"/>
        </w:rPr>
        <w:fldChar w:fldCharType="begin"/>
      </w:r>
      <w:r>
        <w:rPr>
          <w:color w:val="auto"/>
        </w:rPr>
        <w:instrText xml:space="preserve"> PAGEREF _Toc509323129 \h </w:instrText>
      </w:r>
      <w:r>
        <w:rPr>
          <w:color w:val="auto"/>
        </w:rPr>
        <w:fldChar w:fldCharType="separate"/>
      </w:r>
      <w:r>
        <w:rPr>
          <w:color w:val="auto"/>
        </w:rPr>
        <w:t>20</w:t>
      </w:r>
      <w:r>
        <w:rPr>
          <w:color w:val="auto"/>
        </w:rPr>
        <w:fldChar w:fldCharType="end"/>
      </w:r>
      <w:r>
        <w:rPr>
          <w:color w:val="auto"/>
        </w:rPr>
        <w:fldChar w:fldCharType="end"/>
      </w:r>
    </w:p>
    <w:p>
      <w:pPr>
        <w:pStyle w:val="16"/>
        <w:tabs>
          <w:tab w:val="right" w:leader="dot" w:pos="9514"/>
        </w:tabs>
        <w:rPr>
          <w:rFonts w:eastAsia="宋体" w:cs="Times New Roman"/>
          <w:b w:val="0"/>
          <w:bCs w:val="0"/>
          <w:color w:val="auto"/>
          <w:kern w:val="2"/>
          <w:sz w:val="21"/>
          <w:szCs w:val="21"/>
        </w:rPr>
      </w:pPr>
      <w:r>
        <w:fldChar w:fldCharType="begin"/>
      </w:r>
      <w:r>
        <w:instrText xml:space="preserve"> HYPERLINK \l "_Toc509323130" </w:instrText>
      </w:r>
      <w:r>
        <w:fldChar w:fldCharType="separate"/>
      </w:r>
      <w:r>
        <w:rPr>
          <w:rStyle w:val="26"/>
          <w:rFonts w:hint="eastAsia" w:ascii="黑体" w:hAnsi="黑体" w:cs="黑体"/>
          <w:color w:val="auto"/>
        </w:rPr>
        <w:t>第四章</w:t>
      </w:r>
      <w:r>
        <w:rPr>
          <w:rStyle w:val="26"/>
          <w:rFonts w:ascii="黑体" w:hAnsi="黑体" w:cs="黑体"/>
          <w:color w:val="auto"/>
        </w:rPr>
        <w:t xml:space="preserve"> </w:t>
      </w:r>
      <w:r>
        <w:rPr>
          <w:rStyle w:val="26"/>
          <w:rFonts w:hint="eastAsia" w:ascii="黑体" w:hAnsi="黑体" w:cs="黑体"/>
          <w:color w:val="auto"/>
        </w:rPr>
        <w:t>资格审查方法及标准</w:t>
      </w:r>
      <w:r>
        <w:rPr>
          <w:rFonts w:cs="Times New Roman"/>
          <w:color w:val="auto"/>
        </w:rPr>
        <w:tab/>
      </w:r>
      <w:r>
        <w:rPr>
          <w:color w:val="auto"/>
        </w:rPr>
        <w:fldChar w:fldCharType="begin"/>
      </w:r>
      <w:r>
        <w:rPr>
          <w:color w:val="auto"/>
        </w:rPr>
        <w:instrText xml:space="preserve"> PAGEREF _Toc509323130 \h </w:instrText>
      </w:r>
      <w:r>
        <w:rPr>
          <w:color w:val="auto"/>
        </w:rPr>
        <w:fldChar w:fldCharType="separate"/>
      </w:r>
      <w:r>
        <w:rPr>
          <w:color w:val="auto"/>
        </w:rPr>
        <w:t>31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"_Toc509323131" </w:instrText>
      </w:r>
      <w:r>
        <w:fldChar w:fldCharType="separate"/>
      </w:r>
      <w:r>
        <w:rPr>
          <w:rStyle w:val="26"/>
          <w:rFonts w:hint="eastAsia"/>
          <w:color w:val="auto"/>
          <w:lang w:val="zh-CN"/>
        </w:rPr>
        <w:t>一、</w:t>
      </w:r>
      <w:r>
        <w:rPr>
          <w:rFonts w:ascii="Calibri" w:hAnsi="Calibri" w:cs="Calibri"/>
          <w:color w:val="auto"/>
          <w:kern w:val="2"/>
          <w:sz w:val="21"/>
          <w:szCs w:val="21"/>
        </w:rPr>
        <w:tab/>
      </w:r>
      <w:r>
        <w:rPr>
          <w:rStyle w:val="26"/>
          <w:rFonts w:hint="eastAsia"/>
          <w:color w:val="auto"/>
          <w:lang w:val="zh-CN"/>
        </w:rPr>
        <w:t>资格审查方法</w:t>
      </w:r>
      <w:r>
        <w:rPr>
          <w:rFonts w:cs="Times New Roman"/>
          <w:color w:val="auto"/>
        </w:rPr>
        <w:tab/>
      </w:r>
      <w:r>
        <w:rPr>
          <w:color w:val="auto"/>
        </w:rPr>
        <w:fldChar w:fldCharType="begin"/>
      </w:r>
      <w:r>
        <w:rPr>
          <w:color w:val="auto"/>
        </w:rPr>
        <w:instrText xml:space="preserve"> PAGEREF _Toc509323131 \h </w:instrText>
      </w:r>
      <w:r>
        <w:rPr>
          <w:color w:val="auto"/>
        </w:rPr>
        <w:fldChar w:fldCharType="separate"/>
      </w:r>
      <w:r>
        <w:rPr>
          <w:color w:val="auto"/>
        </w:rPr>
        <w:t>31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"_Toc509323132" </w:instrText>
      </w:r>
      <w:r>
        <w:fldChar w:fldCharType="separate"/>
      </w:r>
      <w:r>
        <w:rPr>
          <w:rStyle w:val="26"/>
          <w:rFonts w:hint="eastAsia"/>
          <w:color w:val="auto"/>
          <w:lang w:val="zh-CN"/>
        </w:rPr>
        <w:t>二、</w:t>
      </w:r>
      <w:r>
        <w:rPr>
          <w:rFonts w:ascii="Calibri" w:hAnsi="Calibri" w:cs="Calibri"/>
          <w:color w:val="auto"/>
          <w:kern w:val="2"/>
          <w:sz w:val="21"/>
          <w:szCs w:val="21"/>
        </w:rPr>
        <w:tab/>
      </w:r>
      <w:r>
        <w:rPr>
          <w:rStyle w:val="26"/>
          <w:rFonts w:hint="eastAsia"/>
          <w:color w:val="auto"/>
          <w:lang w:val="zh-CN"/>
        </w:rPr>
        <w:t>资格审查标准</w:t>
      </w:r>
      <w:r>
        <w:rPr>
          <w:rFonts w:cs="Times New Roman"/>
          <w:color w:val="auto"/>
        </w:rPr>
        <w:tab/>
      </w:r>
      <w:r>
        <w:rPr>
          <w:color w:val="auto"/>
        </w:rPr>
        <w:fldChar w:fldCharType="begin"/>
      </w:r>
      <w:r>
        <w:rPr>
          <w:color w:val="auto"/>
        </w:rPr>
        <w:instrText xml:space="preserve"> PAGEREF _Toc509323132 \h </w:instrText>
      </w:r>
      <w:r>
        <w:rPr>
          <w:color w:val="auto"/>
        </w:rPr>
        <w:fldChar w:fldCharType="separate"/>
      </w:r>
      <w:r>
        <w:rPr>
          <w:color w:val="auto"/>
        </w:rPr>
        <w:t>31</w:t>
      </w:r>
      <w:r>
        <w:rPr>
          <w:color w:val="auto"/>
        </w:rPr>
        <w:fldChar w:fldCharType="end"/>
      </w:r>
      <w:r>
        <w:rPr>
          <w:color w:val="auto"/>
        </w:rPr>
        <w:fldChar w:fldCharType="end"/>
      </w:r>
    </w:p>
    <w:p>
      <w:pPr>
        <w:pStyle w:val="16"/>
        <w:tabs>
          <w:tab w:val="left" w:pos="1260"/>
          <w:tab w:val="right" w:leader="dot" w:pos="9514"/>
        </w:tabs>
        <w:rPr>
          <w:rFonts w:eastAsia="宋体" w:cs="Times New Roman"/>
          <w:b w:val="0"/>
          <w:bCs w:val="0"/>
          <w:color w:val="auto"/>
          <w:kern w:val="2"/>
          <w:sz w:val="21"/>
          <w:szCs w:val="21"/>
        </w:rPr>
      </w:pPr>
      <w:r>
        <w:fldChar w:fldCharType="begin"/>
      </w:r>
      <w:r>
        <w:instrText xml:space="preserve"> HYPERLINK \l "_Toc509323133" </w:instrText>
      </w:r>
      <w:r>
        <w:fldChar w:fldCharType="separate"/>
      </w:r>
      <w:r>
        <w:rPr>
          <w:rStyle w:val="26"/>
          <w:rFonts w:hint="eastAsia" w:ascii="黑体" w:hAnsi="黑体" w:cs="黑体"/>
          <w:color w:val="auto"/>
        </w:rPr>
        <w:t>第五章</w:t>
      </w:r>
      <w:r>
        <w:rPr>
          <w:rFonts w:eastAsia="宋体" w:cs="Times New Roman"/>
          <w:b w:val="0"/>
          <w:bCs w:val="0"/>
          <w:color w:val="auto"/>
          <w:kern w:val="2"/>
          <w:sz w:val="21"/>
          <w:szCs w:val="21"/>
        </w:rPr>
        <w:tab/>
      </w:r>
      <w:r>
        <w:rPr>
          <w:rStyle w:val="26"/>
          <w:rFonts w:hint="eastAsia" w:ascii="黑体" w:hAnsi="黑体" w:cs="黑体"/>
          <w:color w:val="auto"/>
        </w:rPr>
        <w:t>评标方法、程序及标准</w:t>
      </w:r>
      <w:r>
        <w:rPr>
          <w:rFonts w:cs="Times New Roman"/>
          <w:color w:val="auto"/>
        </w:rPr>
        <w:tab/>
      </w:r>
      <w:r>
        <w:rPr>
          <w:color w:val="auto"/>
        </w:rPr>
        <w:fldChar w:fldCharType="begin"/>
      </w:r>
      <w:r>
        <w:rPr>
          <w:color w:val="auto"/>
        </w:rPr>
        <w:instrText xml:space="preserve"> PAGEREF _Toc509323133 \h </w:instrText>
      </w:r>
      <w:r>
        <w:rPr>
          <w:color w:val="auto"/>
        </w:rPr>
        <w:fldChar w:fldCharType="separate"/>
      </w:r>
      <w:r>
        <w:rPr>
          <w:color w:val="auto"/>
        </w:rPr>
        <w:t>33</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"_Toc509323134" </w:instrText>
      </w:r>
      <w:r>
        <w:fldChar w:fldCharType="separate"/>
      </w:r>
      <w:r>
        <w:rPr>
          <w:rStyle w:val="26"/>
          <w:rFonts w:hint="eastAsia"/>
          <w:color w:val="auto"/>
          <w:lang w:val="zh-CN"/>
        </w:rPr>
        <w:t>一、</w:t>
      </w:r>
      <w:r>
        <w:rPr>
          <w:rFonts w:ascii="Calibri" w:hAnsi="Calibri" w:cs="Calibri"/>
          <w:color w:val="auto"/>
          <w:kern w:val="2"/>
          <w:sz w:val="21"/>
          <w:szCs w:val="21"/>
        </w:rPr>
        <w:tab/>
      </w:r>
      <w:r>
        <w:rPr>
          <w:rStyle w:val="26"/>
          <w:rFonts w:hint="eastAsia"/>
          <w:color w:val="auto"/>
          <w:lang w:val="zh-CN"/>
        </w:rPr>
        <w:t>评标方法</w:t>
      </w:r>
      <w:r>
        <w:rPr>
          <w:rFonts w:cs="Times New Roman"/>
          <w:color w:val="auto"/>
        </w:rPr>
        <w:tab/>
      </w:r>
      <w:r>
        <w:rPr>
          <w:color w:val="auto"/>
        </w:rPr>
        <w:fldChar w:fldCharType="begin"/>
      </w:r>
      <w:r>
        <w:rPr>
          <w:color w:val="auto"/>
        </w:rPr>
        <w:instrText xml:space="preserve"> PAGEREF _Toc509323134 \h </w:instrText>
      </w:r>
      <w:r>
        <w:rPr>
          <w:color w:val="auto"/>
        </w:rPr>
        <w:fldChar w:fldCharType="separate"/>
      </w:r>
      <w:r>
        <w:rPr>
          <w:color w:val="auto"/>
        </w:rPr>
        <w:t>33</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"_Toc509323135" </w:instrText>
      </w:r>
      <w:r>
        <w:fldChar w:fldCharType="separate"/>
      </w:r>
      <w:r>
        <w:rPr>
          <w:rStyle w:val="26"/>
          <w:rFonts w:hint="eastAsia"/>
          <w:color w:val="auto"/>
          <w:lang w:val="zh-CN"/>
        </w:rPr>
        <w:t>二、</w:t>
      </w:r>
      <w:r>
        <w:rPr>
          <w:rFonts w:ascii="Calibri" w:hAnsi="Calibri" w:cs="Calibri"/>
          <w:color w:val="auto"/>
          <w:kern w:val="2"/>
          <w:sz w:val="21"/>
          <w:szCs w:val="21"/>
        </w:rPr>
        <w:tab/>
      </w:r>
      <w:r>
        <w:rPr>
          <w:rStyle w:val="26"/>
          <w:rFonts w:hint="eastAsia"/>
          <w:color w:val="auto"/>
          <w:lang w:val="zh-CN"/>
        </w:rPr>
        <w:t>评标程序及标准</w:t>
      </w:r>
      <w:r>
        <w:rPr>
          <w:rFonts w:cs="Times New Roman"/>
          <w:color w:val="auto"/>
        </w:rPr>
        <w:tab/>
      </w:r>
      <w:r>
        <w:rPr>
          <w:color w:val="auto"/>
        </w:rPr>
        <w:fldChar w:fldCharType="begin"/>
      </w:r>
      <w:r>
        <w:rPr>
          <w:color w:val="auto"/>
        </w:rPr>
        <w:instrText xml:space="preserve"> PAGEREF _Toc509323135 \h </w:instrText>
      </w:r>
      <w:r>
        <w:rPr>
          <w:color w:val="auto"/>
        </w:rPr>
        <w:fldChar w:fldCharType="separate"/>
      </w:r>
      <w:r>
        <w:rPr>
          <w:color w:val="auto"/>
        </w:rPr>
        <w:t>33</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"_Toc509323136" </w:instrText>
      </w:r>
      <w:r>
        <w:fldChar w:fldCharType="separate"/>
      </w:r>
      <w:r>
        <w:rPr>
          <w:rStyle w:val="26"/>
          <w:rFonts w:hint="eastAsia"/>
          <w:color w:val="auto"/>
          <w:lang w:val="zh-CN"/>
        </w:rPr>
        <w:t>三、</w:t>
      </w:r>
      <w:r>
        <w:rPr>
          <w:rFonts w:ascii="Calibri" w:hAnsi="Calibri" w:cs="Calibri"/>
          <w:color w:val="auto"/>
          <w:kern w:val="2"/>
          <w:sz w:val="21"/>
          <w:szCs w:val="21"/>
        </w:rPr>
        <w:tab/>
      </w:r>
      <w:r>
        <w:rPr>
          <w:rStyle w:val="26"/>
          <w:rFonts w:hint="eastAsia"/>
          <w:color w:val="auto"/>
          <w:lang w:val="zh-CN"/>
        </w:rPr>
        <w:t>评审因素及评分标准</w:t>
      </w:r>
      <w:r>
        <w:rPr>
          <w:rFonts w:cs="Times New Roman"/>
          <w:color w:val="auto"/>
        </w:rPr>
        <w:tab/>
      </w:r>
      <w:r>
        <w:rPr>
          <w:color w:val="auto"/>
        </w:rPr>
        <w:fldChar w:fldCharType="begin"/>
      </w:r>
      <w:r>
        <w:rPr>
          <w:color w:val="auto"/>
        </w:rPr>
        <w:instrText xml:space="preserve"> PAGEREF _Toc509323136 \h </w:instrText>
      </w:r>
      <w:r>
        <w:rPr>
          <w:color w:val="auto"/>
        </w:rPr>
        <w:fldChar w:fldCharType="separate"/>
      </w:r>
      <w:r>
        <w:rPr>
          <w:color w:val="auto"/>
        </w:rPr>
        <w:t>37</w:t>
      </w:r>
      <w:r>
        <w:rPr>
          <w:color w:val="auto"/>
        </w:rPr>
        <w:fldChar w:fldCharType="end"/>
      </w:r>
      <w:r>
        <w:rPr>
          <w:color w:val="auto"/>
        </w:rPr>
        <w:fldChar w:fldCharType="end"/>
      </w:r>
    </w:p>
    <w:p>
      <w:pPr>
        <w:pStyle w:val="16"/>
        <w:tabs>
          <w:tab w:val="left" w:pos="1260"/>
          <w:tab w:val="right" w:leader="dot" w:pos="9514"/>
        </w:tabs>
        <w:rPr>
          <w:rFonts w:eastAsia="宋体" w:cs="Times New Roman"/>
          <w:b w:val="0"/>
          <w:bCs w:val="0"/>
          <w:color w:val="auto"/>
          <w:kern w:val="2"/>
          <w:sz w:val="21"/>
          <w:szCs w:val="21"/>
        </w:rPr>
      </w:pPr>
      <w:r>
        <w:fldChar w:fldCharType="begin"/>
      </w:r>
      <w:r>
        <w:instrText xml:space="preserve"> HYPERLINK \l "_Toc509323137" </w:instrText>
      </w:r>
      <w:r>
        <w:fldChar w:fldCharType="separate"/>
      </w:r>
      <w:r>
        <w:rPr>
          <w:rStyle w:val="26"/>
          <w:rFonts w:hint="eastAsia" w:ascii="黑体" w:hAnsi="黑体" w:cs="黑体"/>
          <w:color w:val="auto"/>
        </w:rPr>
        <w:t>第六章</w:t>
      </w:r>
      <w:r>
        <w:rPr>
          <w:rFonts w:eastAsia="宋体" w:cs="Times New Roman"/>
          <w:b w:val="0"/>
          <w:bCs w:val="0"/>
          <w:color w:val="auto"/>
          <w:kern w:val="2"/>
          <w:sz w:val="21"/>
          <w:szCs w:val="21"/>
        </w:rPr>
        <w:tab/>
      </w:r>
      <w:r>
        <w:rPr>
          <w:rStyle w:val="26"/>
          <w:rFonts w:hint="eastAsia" w:ascii="黑体" w:hAnsi="黑体" w:cs="黑体"/>
          <w:color w:val="auto"/>
        </w:rPr>
        <w:t>合同书格式（参考）</w:t>
      </w:r>
      <w:r>
        <w:rPr>
          <w:rFonts w:cs="Times New Roman"/>
          <w:color w:val="auto"/>
        </w:rPr>
        <w:tab/>
      </w:r>
      <w:r>
        <w:rPr>
          <w:color w:val="auto"/>
        </w:rPr>
        <w:fldChar w:fldCharType="begin"/>
      </w:r>
      <w:r>
        <w:rPr>
          <w:color w:val="auto"/>
        </w:rPr>
        <w:instrText xml:space="preserve"> PAGEREF _Toc509323137 \h </w:instrText>
      </w:r>
      <w:r>
        <w:rPr>
          <w:color w:val="auto"/>
        </w:rPr>
        <w:fldChar w:fldCharType="separate"/>
      </w:r>
      <w:r>
        <w:rPr>
          <w:color w:val="auto"/>
        </w:rPr>
        <w:t>39</w:t>
      </w:r>
      <w:r>
        <w:rPr>
          <w:color w:val="auto"/>
        </w:rPr>
        <w:fldChar w:fldCharType="end"/>
      </w:r>
      <w:r>
        <w:rPr>
          <w:color w:val="auto"/>
        </w:rPr>
        <w:fldChar w:fldCharType="end"/>
      </w:r>
    </w:p>
    <w:p>
      <w:pPr>
        <w:pStyle w:val="16"/>
        <w:tabs>
          <w:tab w:val="left" w:pos="1260"/>
          <w:tab w:val="right" w:leader="dot" w:pos="9514"/>
        </w:tabs>
        <w:rPr>
          <w:rFonts w:eastAsia="宋体" w:cs="Times New Roman"/>
          <w:b w:val="0"/>
          <w:bCs w:val="0"/>
          <w:color w:val="auto"/>
          <w:kern w:val="2"/>
          <w:sz w:val="21"/>
          <w:szCs w:val="21"/>
        </w:rPr>
      </w:pPr>
      <w:r>
        <w:fldChar w:fldCharType="begin"/>
      </w:r>
      <w:r>
        <w:instrText xml:space="preserve"> HYPERLINK \l "_Toc509323138" </w:instrText>
      </w:r>
      <w:r>
        <w:fldChar w:fldCharType="separate"/>
      </w:r>
      <w:r>
        <w:rPr>
          <w:rStyle w:val="26"/>
          <w:rFonts w:hint="eastAsia" w:ascii="黑体" w:hAnsi="黑体" w:cs="黑体"/>
          <w:color w:val="auto"/>
        </w:rPr>
        <w:t>第七章</w:t>
      </w:r>
      <w:r>
        <w:rPr>
          <w:rFonts w:eastAsia="宋体" w:cs="Times New Roman"/>
          <w:b w:val="0"/>
          <w:bCs w:val="0"/>
          <w:color w:val="auto"/>
          <w:kern w:val="2"/>
          <w:sz w:val="21"/>
          <w:szCs w:val="21"/>
        </w:rPr>
        <w:tab/>
      </w:r>
      <w:r>
        <w:rPr>
          <w:rStyle w:val="26"/>
          <w:rFonts w:hint="eastAsia" w:ascii="黑体" w:hAnsi="黑体" w:cs="黑体"/>
          <w:color w:val="auto"/>
        </w:rPr>
        <w:t>投标文件格式（参考）</w:t>
      </w:r>
      <w:r>
        <w:rPr>
          <w:rFonts w:cs="Times New Roman"/>
          <w:color w:val="auto"/>
        </w:rPr>
        <w:tab/>
      </w:r>
      <w:r>
        <w:rPr>
          <w:color w:val="auto"/>
        </w:rPr>
        <w:fldChar w:fldCharType="begin"/>
      </w:r>
      <w:r>
        <w:rPr>
          <w:color w:val="auto"/>
        </w:rPr>
        <w:instrText xml:space="preserve"> PAGEREF _Toc509323138 \h </w:instrText>
      </w:r>
      <w:r>
        <w:rPr>
          <w:color w:val="auto"/>
        </w:rPr>
        <w:fldChar w:fldCharType="separate"/>
      </w:r>
      <w:r>
        <w:rPr>
          <w:color w:val="auto"/>
        </w:rPr>
        <w:t>41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"_Toc509323139" </w:instrText>
      </w:r>
      <w:r>
        <w:fldChar w:fldCharType="separate"/>
      </w:r>
      <w:r>
        <w:rPr>
          <w:rStyle w:val="26"/>
          <w:rFonts w:hint="eastAsia"/>
          <w:color w:val="auto"/>
          <w:lang w:val="zh-CN"/>
        </w:rPr>
        <w:t>第一部分</w:t>
      </w:r>
      <w:r>
        <w:rPr>
          <w:rStyle w:val="26"/>
          <w:color w:val="auto"/>
          <w:lang w:val="zh-CN"/>
        </w:rPr>
        <w:t xml:space="preserve"> </w:t>
      </w:r>
      <w:r>
        <w:rPr>
          <w:rStyle w:val="26"/>
          <w:rFonts w:hint="eastAsia"/>
          <w:color w:val="auto"/>
          <w:lang w:val="zh-CN"/>
        </w:rPr>
        <w:t>资格证明文件</w:t>
      </w:r>
      <w:r>
        <w:rPr>
          <w:rFonts w:cs="Times New Roman"/>
          <w:color w:val="auto"/>
        </w:rPr>
        <w:tab/>
      </w:r>
      <w:r>
        <w:rPr>
          <w:color w:val="auto"/>
        </w:rPr>
        <w:fldChar w:fldCharType="begin"/>
      </w:r>
      <w:r>
        <w:rPr>
          <w:color w:val="auto"/>
        </w:rPr>
        <w:instrText xml:space="preserve"> PAGEREF _Toc509323139 \h </w:instrText>
      </w:r>
      <w:r>
        <w:rPr>
          <w:color w:val="auto"/>
        </w:rPr>
        <w:fldChar w:fldCharType="separate"/>
      </w:r>
      <w:r>
        <w:rPr>
          <w:color w:val="auto"/>
        </w:rPr>
        <w:t>41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"_Toc509323140" </w:instrText>
      </w:r>
      <w:r>
        <w:fldChar w:fldCharType="separate"/>
      </w:r>
      <w:r>
        <w:rPr>
          <w:rStyle w:val="26"/>
          <w:rFonts w:hint="eastAsia"/>
          <w:color w:val="auto"/>
          <w:lang w:val="zh-CN"/>
        </w:rPr>
        <w:t>第二部分</w:t>
      </w:r>
      <w:r>
        <w:rPr>
          <w:rStyle w:val="26"/>
          <w:color w:val="auto"/>
          <w:lang w:val="zh-CN"/>
        </w:rPr>
        <w:t xml:space="preserve"> </w:t>
      </w:r>
      <w:r>
        <w:rPr>
          <w:rStyle w:val="26"/>
          <w:rFonts w:hint="eastAsia"/>
          <w:color w:val="auto"/>
          <w:lang w:val="zh-CN"/>
        </w:rPr>
        <w:t>商务文件</w:t>
      </w:r>
      <w:r>
        <w:rPr>
          <w:rFonts w:cs="Times New Roman"/>
          <w:color w:val="auto"/>
        </w:rPr>
        <w:tab/>
      </w:r>
      <w:r>
        <w:rPr>
          <w:color w:val="auto"/>
        </w:rPr>
        <w:fldChar w:fldCharType="begin"/>
      </w:r>
      <w:r>
        <w:rPr>
          <w:color w:val="auto"/>
        </w:rPr>
        <w:instrText xml:space="preserve"> PAGEREF _Toc509323140 \h </w:instrText>
      </w:r>
      <w:r>
        <w:rPr>
          <w:color w:val="auto"/>
        </w:rPr>
        <w:fldChar w:fldCharType="separate"/>
      </w:r>
      <w:r>
        <w:rPr>
          <w:color w:val="auto"/>
        </w:rPr>
        <w:t>43</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"_Toc509323141" </w:instrText>
      </w:r>
      <w:r>
        <w:fldChar w:fldCharType="separate"/>
      </w:r>
      <w:r>
        <w:rPr>
          <w:rStyle w:val="26"/>
          <w:rFonts w:hint="eastAsia"/>
          <w:color w:val="auto"/>
          <w:lang w:val="zh-CN"/>
        </w:rPr>
        <w:t>第三部分</w:t>
      </w:r>
      <w:r>
        <w:rPr>
          <w:rStyle w:val="26"/>
          <w:color w:val="auto"/>
          <w:lang w:val="zh-CN"/>
        </w:rPr>
        <w:t xml:space="preserve"> </w:t>
      </w:r>
      <w:r>
        <w:rPr>
          <w:rStyle w:val="26"/>
          <w:rFonts w:hint="eastAsia"/>
          <w:color w:val="auto"/>
          <w:lang w:val="zh-CN"/>
        </w:rPr>
        <w:t>技术、服务文件</w:t>
      </w:r>
      <w:r>
        <w:rPr>
          <w:rFonts w:cs="Times New Roman"/>
          <w:color w:val="auto"/>
        </w:rPr>
        <w:tab/>
      </w:r>
      <w:r>
        <w:rPr>
          <w:color w:val="auto"/>
        </w:rPr>
        <w:fldChar w:fldCharType="begin"/>
      </w:r>
      <w:r>
        <w:rPr>
          <w:color w:val="auto"/>
        </w:rPr>
        <w:instrText xml:space="preserve"> PAGEREF _Toc509323141 \h </w:instrText>
      </w:r>
      <w:r>
        <w:rPr>
          <w:color w:val="auto"/>
        </w:rPr>
        <w:fldChar w:fldCharType="separate"/>
      </w:r>
      <w:r>
        <w:rPr>
          <w:color w:val="auto"/>
        </w:rPr>
        <w:t>45</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"_Toc509323142" </w:instrText>
      </w:r>
      <w:r>
        <w:fldChar w:fldCharType="separate"/>
      </w:r>
      <w:r>
        <w:rPr>
          <w:rStyle w:val="26"/>
          <w:rFonts w:hint="eastAsia"/>
          <w:color w:val="auto"/>
        </w:rPr>
        <w:t>附件一、</w:t>
      </w:r>
      <w:r>
        <w:rPr>
          <w:rFonts w:ascii="Calibri" w:hAnsi="Calibri" w:cs="Calibri"/>
          <w:color w:val="auto"/>
          <w:kern w:val="2"/>
          <w:sz w:val="21"/>
          <w:szCs w:val="21"/>
        </w:rPr>
        <w:tab/>
      </w:r>
      <w:r>
        <w:rPr>
          <w:rStyle w:val="26"/>
          <w:rFonts w:hint="eastAsia"/>
          <w:color w:val="auto"/>
        </w:rPr>
        <w:t>投标书</w:t>
      </w:r>
      <w:r>
        <w:rPr>
          <w:rFonts w:cs="Times New Roman"/>
          <w:color w:val="auto"/>
        </w:rPr>
        <w:tab/>
      </w:r>
      <w:r>
        <w:rPr>
          <w:color w:val="auto"/>
        </w:rPr>
        <w:fldChar w:fldCharType="begin"/>
      </w:r>
      <w:r>
        <w:rPr>
          <w:color w:val="auto"/>
        </w:rPr>
        <w:instrText xml:space="preserve"> PAGEREF _Toc509323142 \h </w:instrText>
      </w:r>
      <w:r>
        <w:rPr>
          <w:color w:val="auto"/>
        </w:rPr>
        <w:fldChar w:fldCharType="separate"/>
      </w:r>
      <w:r>
        <w:rPr>
          <w:color w:val="auto"/>
        </w:rPr>
        <w:t>47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"_Toc509323143" </w:instrText>
      </w:r>
      <w:r>
        <w:fldChar w:fldCharType="separate"/>
      </w:r>
      <w:r>
        <w:rPr>
          <w:rStyle w:val="26"/>
          <w:rFonts w:hint="eastAsia"/>
          <w:color w:val="auto"/>
        </w:rPr>
        <w:t>附件二、</w:t>
      </w:r>
      <w:r>
        <w:rPr>
          <w:rFonts w:ascii="Calibri" w:hAnsi="Calibri" w:cs="Calibri"/>
          <w:color w:val="auto"/>
          <w:kern w:val="2"/>
          <w:sz w:val="21"/>
          <w:szCs w:val="21"/>
        </w:rPr>
        <w:tab/>
      </w:r>
      <w:r>
        <w:rPr>
          <w:rStyle w:val="26"/>
          <w:rFonts w:hint="eastAsia"/>
          <w:color w:val="auto"/>
        </w:rPr>
        <w:t>制造商中小企业声明函</w:t>
      </w:r>
      <w:r>
        <w:rPr>
          <w:rFonts w:cs="Times New Roman"/>
          <w:color w:val="auto"/>
        </w:rPr>
        <w:tab/>
      </w:r>
      <w:r>
        <w:rPr>
          <w:color w:val="auto"/>
        </w:rPr>
        <w:fldChar w:fldCharType="begin"/>
      </w:r>
      <w:r>
        <w:rPr>
          <w:color w:val="auto"/>
        </w:rPr>
        <w:instrText xml:space="preserve"> PAGEREF _Toc509323143 \h </w:instrText>
      </w:r>
      <w:r>
        <w:rPr>
          <w:color w:val="auto"/>
        </w:rPr>
        <w:fldChar w:fldCharType="separate"/>
      </w:r>
      <w:r>
        <w:rPr>
          <w:color w:val="auto"/>
        </w:rPr>
        <w:t>48</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"_Toc509323144" </w:instrText>
      </w:r>
      <w:r>
        <w:fldChar w:fldCharType="separate"/>
      </w:r>
      <w:r>
        <w:rPr>
          <w:rStyle w:val="26"/>
          <w:rFonts w:hint="eastAsia"/>
          <w:color w:val="auto"/>
        </w:rPr>
        <w:t>附件三、</w:t>
      </w:r>
      <w:r>
        <w:rPr>
          <w:rFonts w:ascii="Calibri" w:hAnsi="Calibri" w:cs="Calibri"/>
          <w:color w:val="auto"/>
          <w:kern w:val="2"/>
          <w:sz w:val="21"/>
          <w:szCs w:val="21"/>
        </w:rPr>
        <w:tab/>
      </w:r>
      <w:r>
        <w:rPr>
          <w:rStyle w:val="26"/>
          <w:rFonts w:hint="eastAsia"/>
          <w:color w:val="auto"/>
        </w:rPr>
        <w:t>中小企业声明函</w:t>
      </w:r>
      <w:r>
        <w:rPr>
          <w:rFonts w:cs="Times New Roman"/>
          <w:color w:val="auto"/>
        </w:rPr>
        <w:tab/>
      </w:r>
      <w:r>
        <w:rPr>
          <w:color w:val="auto"/>
        </w:rPr>
        <w:fldChar w:fldCharType="begin"/>
      </w:r>
      <w:r>
        <w:rPr>
          <w:color w:val="auto"/>
        </w:rPr>
        <w:instrText xml:space="preserve"> PAGEREF _Toc509323144 \h </w:instrText>
      </w:r>
      <w:r>
        <w:rPr>
          <w:color w:val="auto"/>
        </w:rPr>
        <w:fldChar w:fldCharType="separate"/>
      </w:r>
      <w:r>
        <w:rPr>
          <w:color w:val="auto"/>
        </w:rPr>
        <w:t>49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"_Toc509323145" </w:instrText>
      </w:r>
      <w:r>
        <w:fldChar w:fldCharType="separate"/>
      </w:r>
      <w:r>
        <w:rPr>
          <w:rStyle w:val="26"/>
          <w:rFonts w:hint="eastAsia"/>
          <w:color w:val="auto"/>
        </w:rPr>
        <w:t>附件四、</w:t>
      </w:r>
      <w:r>
        <w:rPr>
          <w:rFonts w:ascii="Calibri" w:hAnsi="Calibri" w:cs="Calibri"/>
          <w:color w:val="auto"/>
          <w:kern w:val="2"/>
          <w:sz w:val="21"/>
          <w:szCs w:val="21"/>
        </w:rPr>
        <w:tab/>
      </w:r>
      <w:r>
        <w:rPr>
          <w:rStyle w:val="26"/>
          <w:rFonts w:hint="eastAsia"/>
          <w:color w:val="auto"/>
        </w:rPr>
        <w:t>残疾人福利性单位声明函</w:t>
      </w:r>
      <w:r>
        <w:rPr>
          <w:rFonts w:cs="Times New Roman"/>
          <w:color w:val="auto"/>
        </w:rPr>
        <w:tab/>
      </w:r>
      <w:r>
        <w:rPr>
          <w:color w:val="auto"/>
        </w:rPr>
        <w:fldChar w:fldCharType="begin"/>
      </w:r>
      <w:r>
        <w:rPr>
          <w:color w:val="auto"/>
        </w:rPr>
        <w:instrText xml:space="preserve"> PAGEREF _Toc509323145 \h </w:instrText>
      </w:r>
      <w:r>
        <w:rPr>
          <w:color w:val="auto"/>
        </w:rPr>
        <w:fldChar w:fldCharType="separate"/>
      </w:r>
      <w:r>
        <w:rPr>
          <w:color w:val="auto"/>
        </w:rPr>
        <w:t>51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"_Toc509323146" </w:instrText>
      </w:r>
      <w:r>
        <w:fldChar w:fldCharType="separate"/>
      </w:r>
      <w:r>
        <w:rPr>
          <w:rStyle w:val="26"/>
          <w:rFonts w:hint="eastAsia"/>
          <w:color w:val="auto"/>
        </w:rPr>
        <w:t>附件五、</w:t>
      </w:r>
      <w:r>
        <w:rPr>
          <w:rFonts w:ascii="Calibri" w:hAnsi="Calibri" w:cs="Calibri"/>
          <w:color w:val="auto"/>
          <w:kern w:val="2"/>
          <w:sz w:val="21"/>
          <w:szCs w:val="21"/>
        </w:rPr>
        <w:tab/>
      </w:r>
      <w:r>
        <w:rPr>
          <w:rStyle w:val="26"/>
          <w:rFonts w:hint="eastAsia"/>
          <w:color w:val="auto"/>
        </w:rPr>
        <w:t>开标一览表</w:t>
      </w:r>
      <w:r>
        <w:rPr>
          <w:rFonts w:cs="Times New Roman"/>
          <w:color w:val="auto"/>
        </w:rPr>
        <w:tab/>
      </w:r>
      <w:r>
        <w:rPr>
          <w:color w:val="auto"/>
        </w:rPr>
        <w:fldChar w:fldCharType="begin"/>
      </w:r>
      <w:r>
        <w:rPr>
          <w:color w:val="auto"/>
        </w:rPr>
        <w:instrText xml:space="preserve"> PAGEREF _Toc509323146 \h </w:instrText>
      </w:r>
      <w:r>
        <w:rPr>
          <w:color w:val="auto"/>
        </w:rPr>
        <w:fldChar w:fldCharType="separate"/>
      </w:r>
      <w:r>
        <w:rPr>
          <w:color w:val="auto"/>
        </w:rPr>
        <w:t>54</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"_Toc509323147" </w:instrText>
      </w:r>
      <w:r>
        <w:fldChar w:fldCharType="separate"/>
      </w:r>
      <w:r>
        <w:rPr>
          <w:rStyle w:val="26"/>
          <w:rFonts w:hint="eastAsia"/>
          <w:color w:val="auto"/>
        </w:rPr>
        <w:t>附件六、</w:t>
      </w:r>
      <w:r>
        <w:rPr>
          <w:rFonts w:ascii="Calibri" w:hAnsi="Calibri" w:cs="Calibri"/>
          <w:color w:val="auto"/>
          <w:kern w:val="2"/>
          <w:sz w:val="21"/>
          <w:szCs w:val="21"/>
        </w:rPr>
        <w:tab/>
      </w:r>
      <w:r>
        <w:rPr>
          <w:rStyle w:val="26"/>
          <w:rFonts w:hint="eastAsia"/>
          <w:color w:val="auto"/>
        </w:rPr>
        <w:t>投标报价明细表</w:t>
      </w:r>
      <w:r>
        <w:rPr>
          <w:rFonts w:cs="Times New Roman"/>
          <w:color w:val="auto"/>
        </w:rPr>
        <w:tab/>
      </w:r>
      <w:r>
        <w:rPr>
          <w:color w:val="auto"/>
        </w:rPr>
        <w:fldChar w:fldCharType="begin"/>
      </w:r>
      <w:r>
        <w:rPr>
          <w:color w:val="auto"/>
        </w:rPr>
        <w:instrText xml:space="preserve"> PAGEREF _Toc509323147 \h </w:instrText>
      </w:r>
      <w:r>
        <w:rPr>
          <w:color w:val="auto"/>
        </w:rPr>
        <w:fldChar w:fldCharType="separate"/>
      </w:r>
      <w:r>
        <w:rPr>
          <w:color w:val="auto"/>
        </w:rPr>
        <w:t>55</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"_Toc509323148" </w:instrText>
      </w:r>
      <w:r>
        <w:fldChar w:fldCharType="separate"/>
      </w:r>
      <w:r>
        <w:rPr>
          <w:rStyle w:val="26"/>
          <w:rFonts w:hint="eastAsia"/>
          <w:color w:val="auto"/>
        </w:rPr>
        <w:t>附件七、</w:t>
      </w:r>
      <w:r>
        <w:rPr>
          <w:rFonts w:ascii="Calibri" w:hAnsi="Calibri" w:cs="Calibri"/>
          <w:color w:val="auto"/>
          <w:kern w:val="2"/>
          <w:sz w:val="21"/>
          <w:szCs w:val="21"/>
        </w:rPr>
        <w:tab/>
      </w:r>
      <w:r>
        <w:rPr>
          <w:rStyle w:val="26"/>
          <w:rFonts w:hint="eastAsia"/>
          <w:color w:val="auto"/>
        </w:rPr>
        <w:t>小型和微型企业、监狱企业、残疾人福利性单位货物汇总表</w:t>
      </w:r>
      <w:r>
        <w:rPr>
          <w:rFonts w:cs="Times New Roman"/>
          <w:color w:val="auto"/>
        </w:rPr>
        <w:tab/>
      </w:r>
      <w:r>
        <w:rPr>
          <w:color w:val="auto"/>
        </w:rPr>
        <w:fldChar w:fldCharType="begin"/>
      </w:r>
      <w:r>
        <w:rPr>
          <w:color w:val="auto"/>
        </w:rPr>
        <w:instrText xml:space="preserve"> PAGEREF _Toc509323148 \h </w:instrText>
      </w:r>
      <w:r>
        <w:rPr>
          <w:color w:val="auto"/>
        </w:rPr>
        <w:fldChar w:fldCharType="separate"/>
      </w:r>
      <w:r>
        <w:rPr>
          <w:color w:val="auto"/>
        </w:rPr>
        <w:t>56</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"_Toc509323149" </w:instrText>
      </w:r>
      <w:r>
        <w:fldChar w:fldCharType="separate"/>
      </w:r>
      <w:r>
        <w:rPr>
          <w:rStyle w:val="26"/>
          <w:rFonts w:hint="eastAsia"/>
          <w:color w:val="auto"/>
        </w:rPr>
        <w:t>附件八、</w:t>
      </w:r>
      <w:r>
        <w:rPr>
          <w:rFonts w:ascii="Calibri" w:hAnsi="Calibri" w:cs="Calibri"/>
          <w:color w:val="auto"/>
          <w:kern w:val="2"/>
          <w:sz w:val="21"/>
          <w:szCs w:val="21"/>
        </w:rPr>
        <w:tab/>
      </w:r>
      <w:r>
        <w:rPr>
          <w:rStyle w:val="26"/>
          <w:rFonts w:hint="eastAsia"/>
          <w:color w:val="auto"/>
        </w:rPr>
        <w:t>投标货物（工程或服务）清单</w:t>
      </w:r>
      <w:r>
        <w:rPr>
          <w:rFonts w:cs="Times New Roman"/>
          <w:color w:val="auto"/>
        </w:rPr>
        <w:tab/>
      </w:r>
      <w:r>
        <w:rPr>
          <w:color w:val="auto"/>
        </w:rPr>
        <w:fldChar w:fldCharType="begin"/>
      </w:r>
      <w:r>
        <w:rPr>
          <w:color w:val="auto"/>
        </w:rPr>
        <w:instrText xml:space="preserve"> PAGEREF _Toc509323149 \h </w:instrText>
      </w:r>
      <w:r>
        <w:rPr>
          <w:color w:val="auto"/>
        </w:rPr>
        <w:fldChar w:fldCharType="separate"/>
      </w:r>
      <w:r>
        <w:rPr>
          <w:color w:val="auto"/>
        </w:rPr>
        <w:t>57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"_Toc509323150" </w:instrText>
      </w:r>
      <w:r>
        <w:fldChar w:fldCharType="separate"/>
      </w:r>
      <w:r>
        <w:rPr>
          <w:rStyle w:val="26"/>
          <w:rFonts w:hint="eastAsia"/>
          <w:color w:val="auto"/>
        </w:rPr>
        <w:t>附件九、</w:t>
      </w:r>
      <w:r>
        <w:rPr>
          <w:rFonts w:ascii="Calibri" w:hAnsi="Calibri" w:cs="Calibri"/>
          <w:color w:val="auto"/>
          <w:kern w:val="2"/>
          <w:sz w:val="21"/>
          <w:szCs w:val="21"/>
        </w:rPr>
        <w:tab/>
      </w:r>
      <w:r>
        <w:rPr>
          <w:rStyle w:val="26"/>
          <w:rFonts w:hint="eastAsia"/>
          <w:color w:val="auto"/>
        </w:rPr>
        <w:t>交纳投标保证金的银行凭证</w:t>
      </w:r>
      <w:r>
        <w:rPr>
          <w:rFonts w:cs="Times New Roman"/>
          <w:color w:val="auto"/>
        </w:rPr>
        <w:tab/>
      </w:r>
      <w:r>
        <w:rPr>
          <w:color w:val="auto"/>
        </w:rPr>
        <w:fldChar w:fldCharType="begin"/>
      </w:r>
      <w:r>
        <w:rPr>
          <w:color w:val="auto"/>
        </w:rPr>
        <w:instrText xml:space="preserve"> PAGEREF _Toc509323150 \h </w:instrText>
      </w:r>
      <w:r>
        <w:rPr>
          <w:color w:val="auto"/>
        </w:rPr>
        <w:fldChar w:fldCharType="separate"/>
      </w:r>
      <w:r>
        <w:rPr>
          <w:color w:val="auto"/>
        </w:rPr>
        <w:t>58</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"_Toc509323151" </w:instrText>
      </w:r>
      <w:r>
        <w:fldChar w:fldCharType="separate"/>
      </w:r>
      <w:r>
        <w:rPr>
          <w:rStyle w:val="26"/>
          <w:rFonts w:hint="eastAsia"/>
          <w:color w:val="auto"/>
        </w:rPr>
        <w:t>附件十、</w:t>
      </w:r>
      <w:r>
        <w:rPr>
          <w:rFonts w:ascii="Calibri" w:hAnsi="Calibri" w:cs="Calibri"/>
          <w:color w:val="auto"/>
          <w:kern w:val="2"/>
          <w:sz w:val="21"/>
          <w:szCs w:val="21"/>
        </w:rPr>
        <w:tab/>
      </w:r>
      <w:r>
        <w:rPr>
          <w:rStyle w:val="26"/>
          <w:rFonts w:hint="eastAsia"/>
          <w:color w:val="auto"/>
        </w:rPr>
        <w:t>法定代表人授权书</w:t>
      </w:r>
      <w:r>
        <w:rPr>
          <w:rFonts w:cs="Times New Roman"/>
          <w:color w:val="auto"/>
        </w:rPr>
        <w:tab/>
      </w:r>
      <w:r>
        <w:rPr>
          <w:color w:val="auto"/>
        </w:rPr>
        <w:fldChar w:fldCharType="begin"/>
      </w:r>
      <w:r>
        <w:rPr>
          <w:color w:val="auto"/>
        </w:rPr>
        <w:instrText xml:space="preserve"> PAGEREF _Toc509323151 \h </w:instrText>
      </w:r>
      <w:r>
        <w:rPr>
          <w:color w:val="auto"/>
        </w:rPr>
        <w:fldChar w:fldCharType="separate"/>
      </w:r>
      <w:r>
        <w:rPr>
          <w:color w:val="auto"/>
        </w:rPr>
        <w:t>59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"_Toc509323152" </w:instrText>
      </w:r>
      <w:r>
        <w:fldChar w:fldCharType="separate"/>
      </w:r>
      <w:r>
        <w:rPr>
          <w:rStyle w:val="26"/>
          <w:rFonts w:hint="eastAsia"/>
          <w:color w:val="auto"/>
        </w:rPr>
        <w:t>附件十一、</w:t>
      </w:r>
      <w:r>
        <w:rPr>
          <w:rFonts w:ascii="Calibri" w:hAnsi="Calibri" w:cs="Calibri"/>
          <w:color w:val="auto"/>
          <w:kern w:val="2"/>
          <w:sz w:val="21"/>
          <w:szCs w:val="21"/>
        </w:rPr>
        <w:tab/>
      </w:r>
      <w:r>
        <w:rPr>
          <w:rStyle w:val="26"/>
          <w:rFonts w:hint="eastAsia"/>
          <w:color w:val="auto"/>
        </w:rPr>
        <w:t>投标人的资格声明</w:t>
      </w:r>
      <w:r>
        <w:rPr>
          <w:rFonts w:cs="Times New Roman"/>
          <w:color w:val="auto"/>
        </w:rPr>
        <w:tab/>
      </w:r>
      <w:r>
        <w:rPr>
          <w:color w:val="auto"/>
        </w:rPr>
        <w:fldChar w:fldCharType="begin"/>
      </w:r>
      <w:r>
        <w:rPr>
          <w:color w:val="auto"/>
        </w:rPr>
        <w:instrText xml:space="preserve"> PAGEREF _Toc509323152 \h </w:instrText>
      </w:r>
      <w:r>
        <w:rPr>
          <w:color w:val="auto"/>
        </w:rPr>
        <w:fldChar w:fldCharType="separate"/>
      </w:r>
      <w:r>
        <w:rPr>
          <w:color w:val="auto"/>
        </w:rPr>
        <w:t>60</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"_Toc509323153" </w:instrText>
      </w:r>
      <w:r>
        <w:fldChar w:fldCharType="separate"/>
      </w:r>
      <w:r>
        <w:rPr>
          <w:rStyle w:val="26"/>
          <w:rFonts w:hint="eastAsia"/>
          <w:color w:val="auto"/>
        </w:rPr>
        <w:t>附件十二、</w:t>
      </w:r>
      <w:r>
        <w:rPr>
          <w:rFonts w:ascii="Calibri" w:hAnsi="Calibri" w:cs="Calibri"/>
          <w:color w:val="auto"/>
          <w:kern w:val="2"/>
          <w:sz w:val="21"/>
          <w:szCs w:val="21"/>
        </w:rPr>
        <w:tab/>
      </w:r>
      <w:r>
        <w:rPr>
          <w:rStyle w:val="26"/>
          <w:rFonts w:hint="eastAsia"/>
          <w:color w:val="auto"/>
        </w:rPr>
        <w:t>项目负责人、技术负责人简历表</w:t>
      </w:r>
      <w:r>
        <w:rPr>
          <w:rFonts w:cs="Times New Roman"/>
          <w:color w:val="auto"/>
        </w:rPr>
        <w:tab/>
      </w:r>
      <w:r>
        <w:rPr>
          <w:color w:val="auto"/>
        </w:rPr>
        <w:fldChar w:fldCharType="begin"/>
      </w:r>
      <w:r>
        <w:rPr>
          <w:color w:val="auto"/>
        </w:rPr>
        <w:instrText xml:space="preserve"> PAGEREF _Toc509323153 \h </w:instrText>
      </w:r>
      <w:r>
        <w:rPr>
          <w:color w:val="auto"/>
        </w:rPr>
        <w:fldChar w:fldCharType="separate"/>
      </w:r>
      <w:r>
        <w:rPr>
          <w:color w:val="auto"/>
        </w:rPr>
        <w:t>61</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"_Toc509323154" </w:instrText>
      </w:r>
      <w:r>
        <w:fldChar w:fldCharType="separate"/>
      </w:r>
      <w:r>
        <w:rPr>
          <w:rStyle w:val="26"/>
          <w:rFonts w:hint="eastAsia"/>
          <w:color w:val="auto"/>
        </w:rPr>
        <w:t>附件十三、</w:t>
      </w:r>
      <w:r>
        <w:rPr>
          <w:rFonts w:ascii="Calibri" w:hAnsi="Calibri" w:cs="Calibri"/>
          <w:color w:val="auto"/>
          <w:kern w:val="2"/>
          <w:sz w:val="21"/>
          <w:szCs w:val="21"/>
        </w:rPr>
        <w:tab/>
      </w:r>
      <w:r>
        <w:rPr>
          <w:rStyle w:val="26"/>
          <w:rFonts w:hint="eastAsia"/>
          <w:color w:val="auto"/>
        </w:rPr>
        <w:t>项目班子成员情况表</w:t>
      </w:r>
      <w:r>
        <w:rPr>
          <w:rFonts w:cs="Times New Roman"/>
          <w:color w:val="auto"/>
        </w:rPr>
        <w:tab/>
      </w:r>
      <w:r>
        <w:rPr>
          <w:color w:val="auto"/>
        </w:rPr>
        <w:fldChar w:fldCharType="begin"/>
      </w:r>
      <w:r>
        <w:rPr>
          <w:color w:val="auto"/>
        </w:rPr>
        <w:instrText xml:space="preserve"> PAGEREF _Toc509323154 \h </w:instrText>
      </w:r>
      <w:r>
        <w:rPr>
          <w:color w:val="auto"/>
        </w:rPr>
        <w:fldChar w:fldCharType="separate"/>
      </w:r>
      <w:r>
        <w:rPr>
          <w:color w:val="auto"/>
        </w:rPr>
        <w:t>62</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"_Toc509323155" </w:instrText>
      </w:r>
      <w:r>
        <w:fldChar w:fldCharType="separate"/>
      </w:r>
      <w:r>
        <w:rPr>
          <w:rStyle w:val="26"/>
          <w:rFonts w:hint="eastAsia"/>
          <w:color w:val="auto"/>
        </w:rPr>
        <w:t>附件十四、</w:t>
      </w:r>
      <w:r>
        <w:rPr>
          <w:rFonts w:ascii="Calibri" w:hAnsi="Calibri" w:cs="Calibri"/>
          <w:color w:val="auto"/>
          <w:kern w:val="2"/>
          <w:sz w:val="21"/>
          <w:szCs w:val="21"/>
        </w:rPr>
        <w:tab/>
      </w:r>
      <w:r>
        <w:rPr>
          <w:rStyle w:val="26"/>
          <w:rFonts w:hint="eastAsia"/>
          <w:color w:val="auto"/>
        </w:rPr>
        <w:t>投标人类似项目业绩表</w:t>
      </w:r>
      <w:r>
        <w:rPr>
          <w:rFonts w:cs="Times New Roman"/>
          <w:color w:val="auto"/>
        </w:rPr>
        <w:tab/>
      </w:r>
      <w:r>
        <w:rPr>
          <w:color w:val="auto"/>
        </w:rPr>
        <w:fldChar w:fldCharType="begin"/>
      </w:r>
      <w:r>
        <w:rPr>
          <w:color w:val="auto"/>
        </w:rPr>
        <w:instrText xml:space="preserve"> PAGEREF _Toc509323155 \h </w:instrText>
      </w:r>
      <w:r>
        <w:rPr>
          <w:color w:val="auto"/>
        </w:rPr>
        <w:fldChar w:fldCharType="separate"/>
      </w:r>
      <w:r>
        <w:rPr>
          <w:color w:val="auto"/>
        </w:rPr>
        <w:t>63</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"_Toc509323156" </w:instrText>
      </w:r>
      <w:r>
        <w:fldChar w:fldCharType="separate"/>
      </w:r>
      <w:r>
        <w:rPr>
          <w:rStyle w:val="26"/>
          <w:rFonts w:hint="eastAsia"/>
          <w:color w:val="auto"/>
        </w:rPr>
        <w:t>附件十五、</w:t>
      </w:r>
      <w:r>
        <w:rPr>
          <w:rFonts w:ascii="Calibri" w:hAnsi="Calibri" w:cs="Calibri"/>
          <w:color w:val="auto"/>
          <w:kern w:val="2"/>
          <w:sz w:val="21"/>
          <w:szCs w:val="21"/>
        </w:rPr>
        <w:tab/>
      </w:r>
      <w:r>
        <w:rPr>
          <w:rStyle w:val="26"/>
          <w:rFonts w:hint="eastAsia"/>
          <w:color w:val="auto"/>
        </w:rPr>
        <w:t>符合性审查对照表</w:t>
      </w:r>
      <w:r>
        <w:rPr>
          <w:rFonts w:cs="Times New Roman"/>
          <w:color w:val="auto"/>
        </w:rPr>
        <w:tab/>
      </w:r>
      <w:r>
        <w:rPr>
          <w:color w:val="auto"/>
        </w:rPr>
        <w:fldChar w:fldCharType="begin"/>
      </w:r>
      <w:r>
        <w:rPr>
          <w:color w:val="auto"/>
        </w:rPr>
        <w:instrText xml:space="preserve"> PAGEREF _Toc509323156 \h </w:instrText>
      </w:r>
      <w:r>
        <w:rPr>
          <w:color w:val="auto"/>
        </w:rPr>
        <w:fldChar w:fldCharType="separate"/>
      </w:r>
      <w:r>
        <w:rPr>
          <w:color w:val="auto"/>
        </w:rPr>
        <w:t>64</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"_Toc509323157" </w:instrText>
      </w:r>
      <w:r>
        <w:fldChar w:fldCharType="separate"/>
      </w:r>
      <w:r>
        <w:rPr>
          <w:rStyle w:val="26"/>
          <w:rFonts w:hint="eastAsia"/>
          <w:color w:val="auto"/>
        </w:rPr>
        <w:t>附件十六：商务要求响应、偏离说明表</w:t>
      </w:r>
      <w:r>
        <w:rPr>
          <w:rFonts w:cs="Times New Roman"/>
          <w:color w:val="auto"/>
        </w:rPr>
        <w:tab/>
      </w:r>
      <w:r>
        <w:rPr>
          <w:color w:val="auto"/>
        </w:rPr>
        <w:fldChar w:fldCharType="begin"/>
      </w:r>
      <w:r>
        <w:rPr>
          <w:color w:val="auto"/>
        </w:rPr>
        <w:instrText xml:space="preserve"> PAGEREF _Toc509323157 \h </w:instrText>
      </w:r>
      <w:r>
        <w:rPr>
          <w:color w:val="auto"/>
        </w:rPr>
        <w:fldChar w:fldCharType="separate"/>
      </w:r>
      <w:r>
        <w:rPr>
          <w:color w:val="auto"/>
        </w:rPr>
        <w:t>65</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"_Toc509323158" </w:instrText>
      </w:r>
      <w:r>
        <w:fldChar w:fldCharType="separate"/>
      </w:r>
      <w:r>
        <w:rPr>
          <w:rStyle w:val="26"/>
          <w:rFonts w:hint="eastAsia"/>
          <w:color w:val="auto"/>
        </w:rPr>
        <w:t>附件十七：商务要求“★”号条款响应、偏离说明表</w:t>
      </w:r>
      <w:r>
        <w:rPr>
          <w:rFonts w:cs="Times New Roman"/>
          <w:color w:val="auto"/>
        </w:rPr>
        <w:tab/>
      </w:r>
      <w:r>
        <w:rPr>
          <w:color w:val="auto"/>
        </w:rPr>
        <w:fldChar w:fldCharType="begin"/>
      </w:r>
      <w:r>
        <w:rPr>
          <w:color w:val="auto"/>
        </w:rPr>
        <w:instrText xml:space="preserve"> PAGEREF _Toc509323158 \h </w:instrText>
      </w:r>
      <w:r>
        <w:rPr>
          <w:color w:val="auto"/>
        </w:rPr>
        <w:fldChar w:fldCharType="separate"/>
      </w:r>
      <w:r>
        <w:rPr>
          <w:color w:val="auto"/>
        </w:rPr>
        <w:t>66</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"_Toc509323159" </w:instrText>
      </w:r>
      <w:r>
        <w:fldChar w:fldCharType="separate"/>
      </w:r>
      <w:r>
        <w:rPr>
          <w:rStyle w:val="26"/>
          <w:rFonts w:hint="eastAsia"/>
          <w:color w:val="auto"/>
        </w:rPr>
        <w:t>附件十八：商务评议对照表</w:t>
      </w:r>
      <w:r>
        <w:rPr>
          <w:rFonts w:cs="Times New Roman"/>
          <w:color w:val="auto"/>
        </w:rPr>
        <w:tab/>
      </w:r>
      <w:r>
        <w:rPr>
          <w:color w:val="auto"/>
        </w:rPr>
        <w:fldChar w:fldCharType="begin"/>
      </w:r>
      <w:r>
        <w:rPr>
          <w:color w:val="auto"/>
        </w:rPr>
        <w:instrText xml:space="preserve"> PAGEREF _Toc509323159 \h </w:instrText>
      </w:r>
      <w:r>
        <w:rPr>
          <w:color w:val="auto"/>
        </w:rPr>
        <w:fldChar w:fldCharType="separate"/>
      </w:r>
      <w:r>
        <w:rPr>
          <w:color w:val="auto"/>
        </w:rPr>
        <w:t>67</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"_Toc509323160" </w:instrText>
      </w:r>
      <w:r>
        <w:fldChar w:fldCharType="separate"/>
      </w:r>
      <w:r>
        <w:rPr>
          <w:rStyle w:val="26"/>
          <w:rFonts w:hint="eastAsia"/>
          <w:color w:val="auto"/>
        </w:rPr>
        <w:t>附件十九：技术、服务要求响应、偏离说明表</w:t>
      </w:r>
      <w:r>
        <w:rPr>
          <w:rFonts w:cs="Times New Roman"/>
          <w:color w:val="auto"/>
        </w:rPr>
        <w:tab/>
      </w:r>
      <w:r>
        <w:rPr>
          <w:color w:val="auto"/>
        </w:rPr>
        <w:fldChar w:fldCharType="begin"/>
      </w:r>
      <w:r>
        <w:rPr>
          <w:color w:val="auto"/>
        </w:rPr>
        <w:instrText xml:space="preserve"> PAGEREF _Toc509323160 \h </w:instrText>
      </w:r>
      <w:r>
        <w:rPr>
          <w:color w:val="auto"/>
        </w:rPr>
        <w:fldChar w:fldCharType="separate"/>
      </w:r>
      <w:r>
        <w:rPr>
          <w:color w:val="auto"/>
        </w:rPr>
        <w:t>68</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"_Toc509323161" </w:instrText>
      </w:r>
      <w:r>
        <w:fldChar w:fldCharType="separate"/>
      </w:r>
      <w:r>
        <w:rPr>
          <w:rStyle w:val="26"/>
          <w:rFonts w:hint="eastAsia"/>
          <w:color w:val="auto"/>
        </w:rPr>
        <w:t>附件二十：技术、服务要求“★”号条款响应、偏离说明表</w:t>
      </w:r>
      <w:r>
        <w:rPr>
          <w:rFonts w:cs="Times New Roman"/>
          <w:color w:val="auto"/>
        </w:rPr>
        <w:tab/>
      </w:r>
      <w:r>
        <w:rPr>
          <w:color w:val="auto"/>
        </w:rPr>
        <w:fldChar w:fldCharType="begin"/>
      </w:r>
      <w:r>
        <w:rPr>
          <w:color w:val="auto"/>
        </w:rPr>
        <w:instrText xml:space="preserve"> PAGEREF _Toc509323161 \h </w:instrText>
      </w:r>
      <w:r>
        <w:rPr>
          <w:color w:val="auto"/>
        </w:rPr>
        <w:fldChar w:fldCharType="separate"/>
      </w:r>
      <w:r>
        <w:rPr>
          <w:color w:val="auto"/>
        </w:rPr>
        <w:t>69</w:t>
      </w:r>
      <w:r>
        <w:rPr>
          <w:color w:val="auto"/>
        </w:rPr>
        <w:fldChar w:fldCharType="end"/>
      </w:r>
      <w:r>
        <w:rPr>
          <w:color w:val="auto"/>
        </w:rPr>
        <w:fldChar w:fldCharType="end"/>
      </w:r>
    </w:p>
    <w:p>
      <w:pPr>
        <w:pStyle w:val="18"/>
        <w:rPr>
          <w:rFonts w:ascii="Calibri" w:hAnsi="Calibri" w:cs="Calibri"/>
          <w:color w:val="auto"/>
          <w:kern w:val="2"/>
          <w:sz w:val="21"/>
          <w:szCs w:val="21"/>
        </w:rPr>
      </w:pPr>
      <w:r>
        <w:fldChar w:fldCharType="begin"/>
      </w:r>
      <w:r>
        <w:instrText xml:space="preserve"> HYPERLINK \l "_Toc509323162" </w:instrText>
      </w:r>
      <w:r>
        <w:fldChar w:fldCharType="separate"/>
      </w:r>
      <w:r>
        <w:rPr>
          <w:rStyle w:val="26"/>
          <w:rFonts w:hint="eastAsia"/>
          <w:color w:val="auto"/>
        </w:rPr>
        <w:t>附件二十一：技术、服务评议对照表</w:t>
      </w:r>
      <w:r>
        <w:rPr>
          <w:rFonts w:cs="Times New Roman"/>
          <w:color w:val="auto"/>
        </w:rPr>
        <w:tab/>
      </w:r>
      <w:r>
        <w:rPr>
          <w:color w:val="auto"/>
        </w:rPr>
        <w:fldChar w:fldCharType="begin"/>
      </w:r>
      <w:r>
        <w:rPr>
          <w:color w:val="auto"/>
        </w:rPr>
        <w:instrText xml:space="preserve"> PAGEREF _Toc509323162 \h </w:instrText>
      </w:r>
      <w:r>
        <w:rPr>
          <w:color w:val="auto"/>
        </w:rPr>
        <w:fldChar w:fldCharType="separate"/>
      </w:r>
      <w:r>
        <w:rPr>
          <w:color w:val="auto"/>
        </w:rPr>
        <w:t>70</w:t>
      </w:r>
      <w:r>
        <w:rPr>
          <w:color w:val="auto"/>
        </w:rPr>
        <w:fldChar w:fldCharType="end"/>
      </w:r>
      <w:r>
        <w:rPr>
          <w:color w:val="auto"/>
        </w:rPr>
        <w:fldChar w:fldCharType="end"/>
      </w:r>
    </w:p>
    <w:p>
      <w:pPr>
        <w:rPr>
          <w:rFonts w:cs="Times New Roman"/>
        </w:rPr>
      </w:pPr>
      <w:r>
        <w:rPr>
          <w:b/>
          <w:bCs/>
        </w:rPr>
        <w:fldChar w:fldCharType="end"/>
      </w:r>
    </w:p>
    <w:p>
      <w:pPr>
        <w:rPr>
          <w:rFonts w:cs="Times New Roman"/>
        </w:rPr>
      </w:pPr>
      <w:r>
        <w:rPr>
          <w:rFonts w:cs="Times New Roman"/>
        </w:rPr>
        <w:br w:type="page"/>
      </w:r>
    </w:p>
    <w:p>
      <w:pPr>
        <w:pStyle w:val="3"/>
        <w:numPr>
          <w:ilvl w:val="0"/>
          <w:numId w:val="1"/>
        </w:numPr>
        <w:spacing w:before="240" w:after="120"/>
        <w:ind w:left="883" w:hanging="883" w:hangingChars="200"/>
        <w:jc w:val="center"/>
        <w:rPr>
          <w:rFonts w:ascii="黑体" w:hAnsi="黑体" w:eastAsia="黑体" w:cs="Times New Roman"/>
        </w:rPr>
      </w:pPr>
      <w:bookmarkStart w:id="0" w:name="_Toc509323114"/>
      <w:bookmarkStart w:id="1" w:name="_Toc495861517"/>
      <w:r>
        <w:rPr>
          <w:rFonts w:hint="eastAsia" w:ascii="黑体" w:hAnsi="黑体" w:eastAsia="黑体" w:cs="黑体"/>
        </w:rPr>
        <w:t>投标邀请书</w:t>
      </w:r>
      <w:bookmarkEnd w:id="0"/>
      <w:bookmarkEnd w:id="1"/>
    </w:p>
    <w:p>
      <w:pPr>
        <w:spacing w:line="600" w:lineRule="exact"/>
        <w:ind w:firstLine="480" w:firstLineChars="200"/>
        <w:rPr>
          <w:rFonts w:ascii="宋体" w:cs="Times New Roman"/>
          <w:sz w:val="24"/>
          <w:szCs w:val="24"/>
        </w:rPr>
      </w:pPr>
      <w:r>
        <w:rPr>
          <w:rFonts w:hint="eastAsia" w:ascii="宋体" w:hAnsi="宋体" w:cs="宋体"/>
          <w:kern w:val="0"/>
          <w:sz w:val="24"/>
          <w:szCs w:val="24"/>
        </w:rPr>
        <w:t>依据阳财采计备</w:t>
      </w:r>
      <w:r>
        <w:rPr>
          <w:rFonts w:ascii="宋体" w:hAnsi="宋体" w:cs="宋体"/>
          <w:kern w:val="0"/>
          <w:sz w:val="24"/>
          <w:szCs w:val="24"/>
        </w:rPr>
        <w:t>[2019]A</w:t>
      </w:r>
      <w:r>
        <w:rPr>
          <w:rFonts w:hint="eastAsia" w:ascii="宋体" w:hAnsi="宋体" w:cs="宋体"/>
          <w:kern w:val="0"/>
          <w:sz w:val="24"/>
          <w:szCs w:val="24"/>
          <w:u w:val="single"/>
        </w:rPr>
        <w:t>183</w:t>
      </w:r>
      <w:r>
        <w:rPr>
          <w:rFonts w:hint="eastAsia" w:ascii="宋体" w:hAnsi="宋体" w:cs="宋体"/>
          <w:kern w:val="0"/>
          <w:sz w:val="24"/>
          <w:szCs w:val="24"/>
        </w:rPr>
        <w:t>号备案表要求</w:t>
      </w:r>
      <w:r>
        <w:rPr>
          <w:rFonts w:hint="eastAsia" w:ascii="宋体" w:hAnsi="宋体" w:cs="宋体"/>
          <w:sz w:val="24"/>
          <w:szCs w:val="24"/>
        </w:rPr>
        <w:t>，</w:t>
      </w:r>
      <w:r>
        <w:rPr>
          <w:rFonts w:hint="eastAsia" w:ascii="宋体" w:hAnsi="宋体" w:cs="宋体"/>
          <w:sz w:val="24"/>
          <w:szCs w:val="24"/>
          <w:u w:val="single"/>
        </w:rPr>
        <w:t>大华建设项目管理有限公司</w:t>
      </w:r>
      <w:r>
        <w:rPr>
          <w:rFonts w:hint="eastAsia" w:ascii="宋体" w:hAnsi="宋体" w:cs="宋体"/>
          <w:sz w:val="24"/>
          <w:szCs w:val="24"/>
        </w:rPr>
        <w:t>受</w:t>
      </w:r>
      <w:r>
        <w:rPr>
          <w:rFonts w:hint="eastAsia" w:ascii="宋体" w:hAnsi="宋体" w:cs="宋体"/>
          <w:sz w:val="24"/>
          <w:szCs w:val="24"/>
          <w:u w:val="single"/>
        </w:rPr>
        <w:t>阳新县应急管理局</w:t>
      </w:r>
      <w:r>
        <w:rPr>
          <w:rFonts w:hint="eastAsia" w:ascii="宋体" w:hAnsi="宋体" w:cs="宋体"/>
          <w:sz w:val="24"/>
          <w:szCs w:val="24"/>
        </w:rPr>
        <w:t>委托，就</w:t>
      </w:r>
      <w:r>
        <w:rPr>
          <w:rFonts w:hint="eastAsia" w:ascii="宋体" w:hAnsi="宋体" w:cs="宋体"/>
          <w:sz w:val="24"/>
          <w:szCs w:val="24"/>
          <w:u w:val="single"/>
        </w:rPr>
        <w:t>阳新县应急指挥中心建设项目</w:t>
      </w:r>
      <w:r>
        <w:rPr>
          <w:rFonts w:hint="eastAsia" w:ascii="宋体" w:hAnsi="宋体" w:cs="宋体"/>
          <w:sz w:val="24"/>
          <w:szCs w:val="24"/>
        </w:rPr>
        <w:t>进行公开招标采购，欢迎符合条件的供应商投标。</w:t>
      </w:r>
    </w:p>
    <w:p>
      <w:pPr>
        <w:pStyle w:val="43"/>
        <w:spacing w:line="600" w:lineRule="exact"/>
        <w:ind w:firstLine="0" w:firstLineChars="0"/>
        <w:rPr>
          <w:rFonts w:ascii="宋体" w:cs="Times New Roman"/>
          <w:u w:val="single"/>
        </w:rPr>
      </w:pPr>
      <w:r>
        <w:rPr>
          <w:rFonts w:hint="eastAsia" w:ascii="宋体" w:hAnsi="宋体" w:cs="宋体"/>
          <w:b/>
          <w:bCs/>
          <w:sz w:val="24"/>
          <w:szCs w:val="24"/>
        </w:rPr>
        <w:t>一、项目编号：</w:t>
      </w:r>
      <w:r>
        <w:rPr>
          <w:rFonts w:hint="eastAsia" w:ascii="宋体" w:hAnsi="宋体" w:cs="宋体"/>
          <w:b/>
          <w:bCs/>
          <w:sz w:val="24"/>
          <w:szCs w:val="24"/>
          <w:u w:val="single"/>
        </w:rPr>
        <w:t>131-2019CG-211</w:t>
      </w:r>
    </w:p>
    <w:p>
      <w:pPr>
        <w:pStyle w:val="43"/>
        <w:spacing w:line="360" w:lineRule="auto"/>
        <w:ind w:firstLine="0" w:firstLineChars="0"/>
        <w:rPr>
          <w:rFonts w:ascii="宋体" w:cs="Times New Roman"/>
          <w:b/>
          <w:bCs/>
          <w:sz w:val="24"/>
          <w:szCs w:val="24"/>
        </w:rPr>
      </w:pPr>
      <w:r>
        <w:rPr>
          <w:rFonts w:hint="eastAsia" w:ascii="宋体" w:hAnsi="宋体" w:cs="宋体"/>
          <w:b/>
          <w:bCs/>
          <w:sz w:val="24"/>
          <w:szCs w:val="24"/>
        </w:rPr>
        <w:t>二、项目名称：</w:t>
      </w:r>
      <w:r>
        <w:rPr>
          <w:rFonts w:hint="eastAsia" w:ascii="宋体" w:hAnsi="宋体" w:cs="宋体"/>
          <w:sz w:val="24"/>
          <w:szCs w:val="24"/>
          <w:u w:val="single"/>
        </w:rPr>
        <w:t>阳新县应急指挥中心建设项目</w:t>
      </w:r>
      <w:r>
        <w:rPr>
          <w:rFonts w:ascii="宋体" w:hAnsi="宋体" w:cs="宋体"/>
          <w:sz w:val="24"/>
          <w:szCs w:val="24"/>
          <w:u w:val="single"/>
        </w:rPr>
        <w:t xml:space="preserve"> </w:t>
      </w:r>
    </w:p>
    <w:p>
      <w:pPr>
        <w:spacing w:line="360" w:lineRule="auto"/>
        <w:rPr>
          <w:rFonts w:ascii="宋体" w:hAnsi="宋体" w:cs="宋体"/>
          <w:sz w:val="24"/>
          <w:szCs w:val="24"/>
        </w:rPr>
      </w:pPr>
      <w:r>
        <w:rPr>
          <w:rFonts w:hint="eastAsia" w:ascii="宋体" w:hAnsi="宋体" w:cs="宋体"/>
          <w:b/>
          <w:bCs/>
          <w:sz w:val="24"/>
          <w:szCs w:val="24"/>
        </w:rPr>
        <w:t>三、招标内容：</w:t>
      </w:r>
      <w:r>
        <w:rPr>
          <w:rFonts w:hint="eastAsia" w:ascii="宋体" w:hAnsi="宋体" w:cs="宋体"/>
          <w:sz w:val="24"/>
          <w:szCs w:val="24"/>
        </w:rPr>
        <w:t>1.大屏显示系统；2、数字会议系统；3、数据接入平台；4、远程视频及中控系统；5、办公设备及辅材；6、无人机及卫星电话（详见招标文件《采购清单》）</w:t>
      </w:r>
    </w:p>
    <w:p>
      <w:pPr>
        <w:pStyle w:val="43"/>
        <w:spacing w:line="360" w:lineRule="auto"/>
        <w:ind w:firstLine="0" w:firstLineChars="0"/>
        <w:rPr>
          <w:rFonts w:ascii="宋体" w:cs="Times New Roman"/>
          <w:sz w:val="24"/>
          <w:szCs w:val="24"/>
        </w:rPr>
      </w:pPr>
      <w:r>
        <w:rPr>
          <w:rFonts w:hint="eastAsia" w:ascii="宋体" w:hAnsi="宋体" w:cs="宋体"/>
          <w:b/>
          <w:bCs/>
          <w:sz w:val="24"/>
          <w:szCs w:val="24"/>
        </w:rPr>
        <w:t>四、采购预算：</w:t>
      </w:r>
      <w:r>
        <w:rPr>
          <w:rFonts w:hint="eastAsia" w:ascii="宋体" w:hAnsi="宋体" w:cs="宋体"/>
          <w:sz w:val="24"/>
          <w:szCs w:val="24"/>
        </w:rPr>
        <w:t>人民币</w:t>
      </w:r>
      <w:r>
        <w:rPr>
          <w:rFonts w:ascii="宋体" w:hAnsi="宋体" w:cs="宋体"/>
          <w:b/>
          <w:bCs/>
          <w:sz w:val="24"/>
          <w:szCs w:val="24"/>
          <w:u w:val="single"/>
        </w:rPr>
        <w:t xml:space="preserve">  </w:t>
      </w:r>
      <w:r>
        <w:rPr>
          <w:rFonts w:hint="eastAsia" w:ascii="宋体" w:hAnsi="宋体" w:cs="宋体"/>
          <w:b/>
          <w:bCs/>
          <w:sz w:val="24"/>
          <w:szCs w:val="24"/>
          <w:u w:val="single"/>
        </w:rPr>
        <w:t>189</w:t>
      </w:r>
      <w:r>
        <w:rPr>
          <w:rFonts w:ascii="宋体" w:hAnsi="宋体" w:cs="宋体"/>
          <w:b/>
          <w:bCs/>
          <w:sz w:val="24"/>
          <w:szCs w:val="24"/>
          <w:u w:val="single"/>
        </w:rPr>
        <w:t xml:space="preserve"> </w:t>
      </w:r>
      <w:r>
        <w:rPr>
          <w:rFonts w:hint="eastAsia" w:ascii="宋体" w:hAnsi="宋体" w:cs="宋体"/>
          <w:sz w:val="24"/>
          <w:szCs w:val="24"/>
        </w:rPr>
        <w:t>万元整。</w:t>
      </w:r>
    </w:p>
    <w:p>
      <w:pPr>
        <w:pStyle w:val="43"/>
        <w:spacing w:line="360" w:lineRule="auto"/>
        <w:ind w:firstLine="0" w:firstLineChars="0"/>
        <w:rPr>
          <w:rFonts w:ascii="宋体" w:cs="Times New Roman"/>
          <w:sz w:val="24"/>
          <w:szCs w:val="24"/>
        </w:rPr>
      </w:pPr>
      <w:r>
        <w:rPr>
          <w:rFonts w:hint="eastAsia" w:ascii="宋体" w:hAnsi="宋体" w:cs="宋体"/>
          <w:b/>
          <w:bCs/>
          <w:sz w:val="24"/>
          <w:szCs w:val="24"/>
        </w:rPr>
        <w:t>五、资金来源：</w:t>
      </w:r>
      <w:r>
        <w:rPr>
          <w:rFonts w:hint="eastAsia" w:ascii="宋体" w:hAnsi="宋体" w:cs="宋体"/>
          <w:sz w:val="24"/>
          <w:szCs w:val="24"/>
        </w:rPr>
        <w:t>财政性资金</w:t>
      </w:r>
    </w:p>
    <w:p>
      <w:pPr>
        <w:pStyle w:val="43"/>
        <w:spacing w:line="360" w:lineRule="auto"/>
        <w:ind w:firstLine="0" w:firstLineChars="0"/>
        <w:rPr>
          <w:rFonts w:ascii="宋体" w:cs="Times New Roman"/>
          <w:sz w:val="24"/>
          <w:szCs w:val="24"/>
        </w:rPr>
      </w:pPr>
      <w:r>
        <w:rPr>
          <w:rFonts w:hint="eastAsia" w:ascii="宋体" w:hAnsi="宋体" w:cs="宋体"/>
          <w:b/>
          <w:bCs/>
          <w:sz w:val="24"/>
          <w:szCs w:val="24"/>
        </w:rPr>
        <w:t>六、政府集中采购项目：否</w:t>
      </w:r>
    </w:p>
    <w:p>
      <w:pPr>
        <w:spacing w:line="360" w:lineRule="auto"/>
        <w:rPr>
          <w:rFonts w:ascii="宋体" w:cs="Times New Roman"/>
          <w:b/>
          <w:bCs/>
          <w:sz w:val="24"/>
          <w:szCs w:val="24"/>
        </w:rPr>
      </w:pPr>
      <w:r>
        <w:rPr>
          <w:rFonts w:hint="eastAsia" w:ascii="宋体" w:hAnsi="宋体" w:cs="宋体"/>
          <w:b/>
          <w:bCs/>
          <w:sz w:val="24"/>
          <w:szCs w:val="24"/>
        </w:rPr>
        <w:t>七、投标人资格要求：</w:t>
      </w:r>
    </w:p>
    <w:p>
      <w:pPr>
        <w:adjustRightInd w:val="0"/>
        <w:snapToGrid w:val="0"/>
        <w:spacing w:line="400" w:lineRule="exact"/>
        <w:ind w:firstLine="480" w:firstLineChars="200"/>
        <w:rPr>
          <w:rFonts w:cs="Times New Roman"/>
          <w:sz w:val="24"/>
          <w:szCs w:val="24"/>
        </w:rPr>
      </w:pPr>
      <w:r>
        <w:rPr>
          <w:rFonts w:hint="eastAsia" w:cs="宋体"/>
          <w:sz w:val="24"/>
          <w:szCs w:val="24"/>
        </w:rPr>
        <w:t>（一）应具备《政府采购法》第二十二条第一款之规定的基本条件。</w:t>
      </w:r>
    </w:p>
    <w:p>
      <w:pPr>
        <w:adjustRightInd w:val="0"/>
        <w:snapToGrid w:val="0"/>
        <w:spacing w:line="400" w:lineRule="exact"/>
        <w:ind w:firstLine="480" w:firstLineChars="200"/>
        <w:rPr>
          <w:rFonts w:cs="Times New Roman"/>
          <w:sz w:val="24"/>
          <w:szCs w:val="24"/>
        </w:rPr>
      </w:pPr>
      <w:r>
        <w:rPr>
          <w:rFonts w:hint="eastAsia" w:cs="宋体"/>
          <w:sz w:val="24"/>
          <w:szCs w:val="24"/>
        </w:rPr>
        <w:t>（二）参加本次政府采购活动前三年内，在经营活动中没有重大违法记录并须提交《参加政府采购活动前</w:t>
      </w:r>
      <w:r>
        <w:rPr>
          <w:sz w:val="24"/>
          <w:szCs w:val="24"/>
        </w:rPr>
        <w:t>3</w:t>
      </w:r>
      <w:r>
        <w:rPr>
          <w:rFonts w:hint="eastAsia" w:cs="宋体"/>
          <w:sz w:val="24"/>
          <w:szCs w:val="24"/>
        </w:rPr>
        <w:t>年内在经营活动中没有重大违法记录的书面声明》，且必须未被列入</w:t>
      </w:r>
      <w:r>
        <w:rPr>
          <w:sz w:val="24"/>
          <w:szCs w:val="24"/>
        </w:rPr>
        <w:t>"</w:t>
      </w:r>
      <w:r>
        <w:rPr>
          <w:rFonts w:hint="eastAsia" w:cs="宋体"/>
          <w:sz w:val="24"/>
          <w:szCs w:val="24"/>
        </w:rPr>
        <w:t>信用中国</w:t>
      </w:r>
      <w:r>
        <w:rPr>
          <w:sz w:val="24"/>
          <w:szCs w:val="24"/>
        </w:rPr>
        <w:t>"</w:t>
      </w:r>
      <w:r>
        <w:rPr>
          <w:rFonts w:hint="eastAsia" w:cs="宋体"/>
          <w:sz w:val="24"/>
          <w:szCs w:val="24"/>
        </w:rPr>
        <w:t>网站</w:t>
      </w:r>
      <w:r>
        <w:rPr>
          <w:sz w:val="24"/>
          <w:szCs w:val="24"/>
        </w:rPr>
        <w:t>(www.creditchina.gov.cn)</w:t>
      </w:r>
      <w:r>
        <w:rPr>
          <w:rFonts w:hint="eastAsia" w:cs="宋体"/>
          <w:sz w:val="24"/>
          <w:szCs w:val="24"/>
        </w:rPr>
        <w:t>失信被执行人（须提供网站截图）、重大税收违法案件当事人、政府采购严重违法失信行为记录名单。</w:t>
      </w:r>
    </w:p>
    <w:p>
      <w:pPr>
        <w:adjustRightInd w:val="0"/>
        <w:snapToGrid w:val="0"/>
        <w:spacing w:line="400" w:lineRule="exact"/>
        <w:ind w:firstLine="482" w:firstLineChars="200"/>
        <w:rPr>
          <w:sz w:val="24"/>
          <w:szCs w:val="24"/>
        </w:rPr>
      </w:pPr>
      <w:r>
        <w:rPr>
          <w:rFonts w:hint="eastAsia" w:cs="宋体"/>
          <w:b/>
          <w:bCs/>
          <w:sz w:val="24"/>
          <w:szCs w:val="24"/>
        </w:rPr>
        <w:t>（</w:t>
      </w:r>
      <w:r>
        <w:rPr>
          <w:rFonts w:hint="eastAsia" w:cs="宋体"/>
          <w:sz w:val="24"/>
          <w:szCs w:val="24"/>
        </w:rPr>
        <w:t>三）特定条件</w:t>
      </w:r>
      <w:r>
        <w:rPr>
          <w:sz w:val="24"/>
          <w:szCs w:val="24"/>
        </w:rPr>
        <w:t>:</w:t>
      </w:r>
    </w:p>
    <w:p>
      <w:pPr>
        <w:adjustRightInd w:val="0"/>
        <w:snapToGrid w:val="0"/>
        <w:spacing w:line="400" w:lineRule="exact"/>
        <w:ind w:firstLine="480" w:firstLineChars="200"/>
        <w:rPr>
          <w:rFonts w:cs="宋体"/>
          <w:sz w:val="24"/>
          <w:szCs w:val="24"/>
        </w:rPr>
      </w:pPr>
      <w:r>
        <w:rPr>
          <w:rFonts w:hint="eastAsia" w:cs="宋体"/>
          <w:sz w:val="24"/>
          <w:szCs w:val="24"/>
        </w:rPr>
        <w:t>1.供应商在中华人民共和国境内注册并取得营业执照的独</w:t>
      </w:r>
      <w:bookmarkStart w:id="322" w:name="_GoBack"/>
      <w:bookmarkEnd w:id="322"/>
      <w:r>
        <w:rPr>
          <w:rFonts w:hint="eastAsia" w:cs="宋体"/>
          <w:sz w:val="24"/>
          <w:szCs w:val="24"/>
        </w:rPr>
        <w:t>立法人，且有相应的经营范围，提供有效的营业执照副本、税务登记证副本、组织机构代码证副本或三证合一的营业执照副本；</w:t>
      </w:r>
    </w:p>
    <w:p>
      <w:pPr>
        <w:adjustRightInd w:val="0"/>
        <w:snapToGrid w:val="0"/>
        <w:spacing w:line="400" w:lineRule="exact"/>
        <w:ind w:firstLine="480" w:firstLineChars="200"/>
        <w:rPr>
          <w:rFonts w:cs="宋体"/>
          <w:sz w:val="24"/>
          <w:szCs w:val="24"/>
        </w:rPr>
      </w:pPr>
      <w:r>
        <w:rPr>
          <w:rFonts w:hint="eastAsia" w:cs="宋体"/>
          <w:sz w:val="24"/>
          <w:szCs w:val="24"/>
        </w:rPr>
        <w:t>2.供应商须提供具有良好的商业信誉和健全的财务会计制度的证明材料，提供近三个月的纳税证明材料及近三个月社保缴纳明细清单；</w:t>
      </w:r>
    </w:p>
    <w:p>
      <w:pPr>
        <w:adjustRightInd w:val="0"/>
        <w:snapToGrid w:val="0"/>
        <w:spacing w:line="400" w:lineRule="exact"/>
        <w:ind w:firstLine="480" w:firstLineChars="200"/>
        <w:rPr>
          <w:rFonts w:cs="宋体"/>
          <w:sz w:val="24"/>
          <w:szCs w:val="24"/>
        </w:rPr>
      </w:pPr>
      <w:r>
        <w:rPr>
          <w:rFonts w:hint="eastAsia" w:cs="宋体"/>
          <w:sz w:val="24"/>
          <w:szCs w:val="24"/>
        </w:rPr>
        <w:t>3.供应商应具有履行合同所必需的技术力量、经济实力和良好信誉。</w:t>
      </w:r>
    </w:p>
    <w:p>
      <w:pPr>
        <w:adjustRightInd w:val="0"/>
        <w:snapToGrid w:val="0"/>
        <w:spacing w:line="400" w:lineRule="exact"/>
        <w:ind w:firstLine="480" w:firstLineChars="200"/>
        <w:rPr>
          <w:rFonts w:cs="宋体"/>
          <w:sz w:val="24"/>
          <w:szCs w:val="24"/>
        </w:rPr>
      </w:pPr>
      <w:r>
        <w:rPr>
          <w:rFonts w:hint="eastAsia" w:cs="宋体"/>
          <w:sz w:val="24"/>
          <w:szCs w:val="24"/>
        </w:rPr>
        <w:t>4.供应商须提供参加本项目投标活动前三年内，在经营活动中无重大违法记录，且遵守有关的国家法律、法令、条例和政府采购有关制度，一旦参加投标，则应承担相关法律责任的承诺函及中国裁判文书网站查询（http://wenshu.court.gov.cn/）查询企业及其法定代表人的加盖公司公章的截图证明材料；</w:t>
      </w:r>
    </w:p>
    <w:p>
      <w:pPr>
        <w:adjustRightInd w:val="0"/>
        <w:snapToGrid w:val="0"/>
        <w:spacing w:line="400" w:lineRule="exact"/>
        <w:ind w:firstLine="480" w:firstLineChars="200"/>
        <w:rPr>
          <w:rFonts w:cs="宋体"/>
          <w:sz w:val="24"/>
          <w:szCs w:val="24"/>
        </w:rPr>
      </w:pPr>
      <w:r>
        <w:rPr>
          <w:rFonts w:hint="eastAsia" w:cs="宋体"/>
          <w:sz w:val="24"/>
          <w:szCs w:val="24"/>
        </w:rPr>
        <w:t>5.供应商需保证在本项目提供的报名资料均真实有效，若弄虚作假将自行承担一切法律责任，提供《书面材料真实性保证书》；</w:t>
      </w:r>
    </w:p>
    <w:p>
      <w:pPr>
        <w:adjustRightInd w:val="0"/>
        <w:snapToGrid w:val="0"/>
        <w:spacing w:line="400" w:lineRule="exact"/>
        <w:ind w:firstLine="480" w:firstLineChars="200"/>
        <w:rPr>
          <w:rFonts w:cs="宋体"/>
          <w:sz w:val="24"/>
          <w:szCs w:val="24"/>
        </w:rPr>
      </w:pPr>
      <w:r>
        <w:rPr>
          <w:rFonts w:hint="eastAsia" w:cs="宋体"/>
          <w:sz w:val="24"/>
          <w:szCs w:val="24"/>
        </w:rPr>
        <w:t>6.本项目不接受联合体竞标。</w:t>
      </w:r>
    </w:p>
    <w:p>
      <w:pPr>
        <w:adjustRightInd w:val="0"/>
        <w:snapToGrid w:val="0"/>
        <w:spacing w:line="400" w:lineRule="exact"/>
        <w:ind w:firstLine="480" w:firstLineChars="200"/>
        <w:rPr>
          <w:rFonts w:cs="宋体"/>
          <w:sz w:val="24"/>
          <w:szCs w:val="24"/>
        </w:rPr>
      </w:pPr>
      <w:r>
        <w:rPr>
          <w:rFonts w:hint="eastAsia" w:cs="宋体"/>
          <w:sz w:val="24"/>
          <w:szCs w:val="24"/>
        </w:rPr>
        <w:t>注：1）如供应商相关资格证明文件正在年检、核准等相关手续办理，可提供相关部门出具的（通过年检、核准）证明材料；</w:t>
      </w:r>
    </w:p>
    <w:p>
      <w:pPr>
        <w:adjustRightInd w:val="0"/>
        <w:snapToGrid w:val="0"/>
        <w:spacing w:line="400" w:lineRule="exact"/>
        <w:ind w:firstLine="960" w:firstLineChars="400"/>
        <w:rPr>
          <w:rFonts w:cs="宋体"/>
          <w:sz w:val="24"/>
          <w:szCs w:val="24"/>
        </w:rPr>
      </w:pPr>
      <w:r>
        <w:rPr>
          <w:rFonts w:hint="eastAsia" w:cs="宋体"/>
          <w:sz w:val="24"/>
          <w:szCs w:val="24"/>
        </w:rPr>
        <w:t>2）如供应商有减免或零申报纳税情况的须递交减免或零报税的截图证明材料；</w:t>
      </w:r>
    </w:p>
    <w:p>
      <w:pPr>
        <w:adjustRightInd w:val="0"/>
        <w:snapToGrid w:val="0"/>
        <w:spacing w:line="400" w:lineRule="exact"/>
        <w:ind w:firstLine="480" w:firstLineChars="200"/>
        <w:rPr>
          <w:rFonts w:cs="宋体"/>
          <w:sz w:val="24"/>
          <w:szCs w:val="24"/>
        </w:rPr>
      </w:pPr>
      <w:r>
        <w:rPr>
          <w:rFonts w:hint="eastAsia" w:cs="宋体"/>
          <w:sz w:val="24"/>
          <w:szCs w:val="24"/>
        </w:rPr>
        <w:t>3.7如国家法律法规对市场准入有要求的还应符合相关规定。</w:t>
      </w:r>
    </w:p>
    <w:p>
      <w:pPr>
        <w:adjustRightInd w:val="0"/>
        <w:snapToGrid w:val="0"/>
        <w:spacing w:line="400" w:lineRule="exact"/>
        <w:ind w:firstLine="480" w:firstLineChars="200"/>
        <w:rPr>
          <w:rFonts w:cs="宋体"/>
          <w:sz w:val="24"/>
          <w:szCs w:val="24"/>
        </w:rPr>
      </w:pPr>
      <w:r>
        <w:rPr>
          <w:rFonts w:hint="eastAsia" w:cs="宋体"/>
          <w:sz w:val="24"/>
          <w:szCs w:val="24"/>
        </w:rPr>
        <w:t>以上资格要求为本次供应商应具备的基本条件，参加各标段的供应商必须满足资格要求中的所有条款，并按照相关规定递交资格证明文件。</w:t>
      </w:r>
    </w:p>
    <w:p>
      <w:pPr>
        <w:adjustRightInd w:val="0"/>
        <w:snapToGrid w:val="0"/>
        <w:spacing w:line="400" w:lineRule="exact"/>
        <w:ind w:firstLine="480" w:firstLineChars="200"/>
        <w:rPr>
          <w:rFonts w:cs="Times New Roman"/>
          <w:sz w:val="24"/>
          <w:szCs w:val="24"/>
        </w:rPr>
      </w:pPr>
      <w:r>
        <w:rPr>
          <w:rFonts w:hint="eastAsia" w:cs="宋体"/>
          <w:sz w:val="24"/>
          <w:szCs w:val="24"/>
        </w:rPr>
        <w:t>（四）本项目不接受联合体。</w:t>
      </w:r>
    </w:p>
    <w:p>
      <w:pPr>
        <w:widowControl/>
        <w:shd w:val="clear" w:color="auto" w:fill="FFFFFF"/>
        <w:spacing w:line="360" w:lineRule="auto"/>
        <w:jc w:val="left"/>
        <w:rPr>
          <w:rFonts w:ascii="微软雅黑" w:hAnsi="微软雅黑" w:eastAsia="微软雅黑" w:cs="Times New Roman"/>
          <w:kern w:val="0"/>
          <w:sz w:val="18"/>
          <w:szCs w:val="18"/>
        </w:rPr>
      </w:pPr>
      <w:r>
        <w:rPr>
          <w:rFonts w:hint="eastAsia" w:ascii="宋体" w:hAnsi="宋体" w:cs="宋体"/>
          <w:b/>
          <w:bCs/>
          <w:kern w:val="0"/>
          <w:sz w:val="24"/>
          <w:szCs w:val="24"/>
        </w:rPr>
        <w:t>八、是否专门面向中小企业、监狱企业、残疾人福利性单位：否。</w:t>
      </w:r>
    </w:p>
    <w:p>
      <w:pPr>
        <w:pStyle w:val="43"/>
        <w:widowControl/>
        <w:adjustRightInd w:val="0"/>
        <w:snapToGrid w:val="0"/>
        <w:spacing w:line="360" w:lineRule="auto"/>
        <w:ind w:firstLine="0" w:firstLineChars="0"/>
        <w:jc w:val="left"/>
        <w:rPr>
          <w:rFonts w:ascii="宋体" w:cs="Times New Roman"/>
          <w:sz w:val="24"/>
          <w:szCs w:val="24"/>
        </w:rPr>
      </w:pPr>
      <w:r>
        <w:rPr>
          <w:rFonts w:hint="eastAsia" w:ascii="宋体" w:hAnsi="宋体" w:cs="宋体"/>
          <w:b/>
          <w:bCs/>
          <w:kern w:val="0"/>
          <w:sz w:val="24"/>
          <w:szCs w:val="24"/>
          <w:lang w:val="zh-CN"/>
        </w:rPr>
        <w:t>九、招标文件获取</w:t>
      </w:r>
      <w:r>
        <w:rPr>
          <w:rFonts w:hint="eastAsia" w:ascii="宋体" w:hAnsi="宋体" w:cs="宋体"/>
          <w:b/>
          <w:bCs/>
          <w:kern w:val="0"/>
          <w:sz w:val="24"/>
          <w:szCs w:val="24"/>
        </w:rPr>
        <w:t>：</w:t>
      </w:r>
    </w:p>
    <w:p>
      <w:pPr>
        <w:widowControl/>
        <w:shd w:val="clear" w:color="auto" w:fill="FFFFFF"/>
        <w:spacing w:line="360" w:lineRule="auto"/>
        <w:ind w:left="150" w:firstLine="480"/>
        <w:jc w:val="left"/>
        <w:rPr>
          <w:rFonts w:ascii="微软雅黑" w:hAnsi="微软雅黑" w:eastAsia="微软雅黑" w:cs="Times New Roman"/>
          <w:kern w:val="0"/>
          <w:sz w:val="18"/>
          <w:szCs w:val="18"/>
        </w:rPr>
      </w:pPr>
      <w:bookmarkStart w:id="2" w:name="_Toc495861518"/>
      <w:bookmarkStart w:id="3" w:name="_Toc509323115"/>
      <w:r>
        <w:rPr>
          <w:rFonts w:hint="eastAsia" w:ascii="宋体" w:hAnsi="宋体" w:cs="宋体"/>
          <w:kern w:val="0"/>
          <w:sz w:val="24"/>
          <w:szCs w:val="24"/>
        </w:rPr>
        <w:t>本项目实行网上下载标书，招标文件与本招标公告同时发布（见招标文件下载），凡自愿参加本项目投标者，请于</w:t>
      </w:r>
      <w:r>
        <w:rPr>
          <w:rFonts w:ascii="宋体" w:hAnsi="宋体" w:cs="宋体"/>
          <w:b/>
          <w:bCs/>
          <w:kern w:val="0"/>
          <w:sz w:val="24"/>
          <w:szCs w:val="24"/>
          <w:u w:val="single"/>
        </w:rPr>
        <w:t>2019</w:t>
      </w:r>
      <w:r>
        <w:rPr>
          <w:rFonts w:hint="eastAsia" w:ascii="宋体" w:hAnsi="宋体" w:cs="宋体"/>
          <w:b/>
          <w:bCs/>
          <w:kern w:val="0"/>
          <w:sz w:val="24"/>
          <w:szCs w:val="24"/>
          <w:u w:val="single"/>
        </w:rPr>
        <w:t>年12月03日至</w:t>
      </w:r>
      <w:r>
        <w:rPr>
          <w:rFonts w:ascii="宋体" w:hAnsi="宋体" w:cs="宋体"/>
          <w:b/>
          <w:bCs/>
          <w:kern w:val="0"/>
          <w:sz w:val="24"/>
          <w:szCs w:val="24"/>
          <w:u w:val="single"/>
        </w:rPr>
        <w:t>2019</w:t>
      </w:r>
      <w:r>
        <w:rPr>
          <w:rFonts w:hint="eastAsia" w:ascii="宋体" w:hAnsi="宋体" w:cs="宋体"/>
          <w:b/>
          <w:bCs/>
          <w:kern w:val="0"/>
          <w:sz w:val="24"/>
          <w:szCs w:val="24"/>
          <w:u w:val="single"/>
        </w:rPr>
        <w:t>年12月 10日</w:t>
      </w:r>
      <w:r>
        <w:rPr>
          <w:rFonts w:ascii="宋体" w:hAnsi="宋体" w:cs="宋体"/>
          <w:b/>
          <w:bCs/>
          <w:kern w:val="0"/>
          <w:sz w:val="24"/>
          <w:szCs w:val="24"/>
        </w:rPr>
        <w:t>17</w:t>
      </w:r>
      <w:r>
        <w:rPr>
          <w:rFonts w:hint="eastAsia" w:ascii="宋体" w:hAnsi="宋体" w:cs="宋体"/>
          <w:b/>
          <w:bCs/>
          <w:kern w:val="0"/>
          <w:sz w:val="24"/>
          <w:szCs w:val="24"/>
        </w:rPr>
        <w:t>：</w:t>
      </w:r>
      <w:r>
        <w:rPr>
          <w:rFonts w:ascii="宋体" w:hAnsi="宋体" w:cs="宋体"/>
          <w:b/>
          <w:bCs/>
          <w:kern w:val="0"/>
          <w:sz w:val="24"/>
          <w:szCs w:val="24"/>
        </w:rPr>
        <w:t>30</w:t>
      </w:r>
      <w:r>
        <w:rPr>
          <w:rFonts w:hint="eastAsia" w:ascii="宋体" w:hAnsi="宋体" w:cs="宋体"/>
          <w:kern w:val="0"/>
          <w:sz w:val="24"/>
          <w:szCs w:val="24"/>
        </w:rPr>
        <w:t>前点击项目招标公告中的链接免费下载招标文件，并在投标截止时间前办理所有投标手续并同时递交投标文件。</w:t>
      </w:r>
    </w:p>
    <w:p>
      <w:pPr>
        <w:widowControl/>
        <w:shd w:val="clear" w:color="auto" w:fill="FFFFFF"/>
        <w:spacing w:line="360" w:lineRule="auto"/>
        <w:ind w:left="150" w:firstLine="480"/>
        <w:jc w:val="left"/>
        <w:rPr>
          <w:rFonts w:ascii="微软雅黑" w:hAnsi="微软雅黑" w:eastAsia="微软雅黑" w:cs="微软雅黑"/>
          <w:kern w:val="0"/>
          <w:sz w:val="18"/>
          <w:szCs w:val="18"/>
        </w:rPr>
      </w:pPr>
      <w:r>
        <w:rPr>
          <w:rFonts w:hint="eastAsia" w:ascii="宋体" w:hAnsi="宋体" w:cs="宋体"/>
          <w:kern w:val="0"/>
          <w:sz w:val="24"/>
          <w:szCs w:val="24"/>
        </w:rPr>
        <w:t>招标文件下载</w:t>
      </w:r>
      <w:r>
        <w:rPr>
          <w:rFonts w:ascii="宋体" w:hAnsi="宋体" w:cs="宋体"/>
          <w:kern w:val="0"/>
          <w:sz w:val="24"/>
          <w:szCs w:val="24"/>
        </w:rPr>
        <w:t>:</w:t>
      </w:r>
      <w:r>
        <w:rPr>
          <w:rFonts w:ascii="微软雅黑" w:hAnsi="微软雅黑" w:eastAsia="微软雅黑" w:cs="微软雅黑"/>
          <w:kern w:val="0"/>
          <w:sz w:val="18"/>
          <w:szCs w:val="18"/>
        </w:rPr>
        <w:t xml:space="preserve"> </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b/>
          <w:bCs/>
          <w:kern w:val="0"/>
          <w:sz w:val="24"/>
          <w:szCs w:val="24"/>
        </w:rPr>
        <w:t>十、投标信息：</w:t>
      </w:r>
    </w:p>
    <w:p>
      <w:pPr>
        <w:widowControl/>
        <w:shd w:val="clear" w:color="auto" w:fill="FFFFFF"/>
        <w:spacing w:line="360" w:lineRule="auto"/>
        <w:ind w:left="150" w:firstLine="465"/>
        <w:jc w:val="left"/>
        <w:rPr>
          <w:rFonts w:ascii="微软雅黑" w:hAnsi="微软雅黑" w:eastAsia="微软雅黑" w:cs="Times New Roman"/>
          <w:kern w:val="0"/>
          <w:sz w:val="18"/>
          <w:szCs w:val="18"/>
        </w:rPr>
      </w:pPr>
      <w:r>
        <w:rPr>
          <w:rFonts w:hint="eastAsia" w:ascii="宋体" w:hAnsi="宋体" w:cs="宋体"/>
          <w:kern w:val="0"/>
          <w:sz w:val="24"/>
          <w:szCs w:val="24"/>
        </w:rPr>
        <w:t>投标文件递交截止时间：</w:t>
      </w:r>
      <w:r>
        <w:rPr>
          <w:rFonts w:ascii="宋体" w:hAnsi="宋体" w:cs="宋体"/>
          <w:b/>
          <w:bCs/>
          <w:kern w:val="0"/>
          <w:sz w:val="24"/>
          <w:szCs w:val="24"/>
          <w:u w:val="single"/>
        </w:rPr>
        <w:t>2019</w:t>
      </w:r>
      <w:r>
        <w:rPr>
          <w:rFonts w:hint="eastAsia" w:ascii="宋体" w:hAnsi="宋体" w:cs="宋体"/>
          <w:b/>
          <w:bCs/>
          <w:kern w:val="0"/>
          <w:sz w:val="24"/>
          <w:szCs w:val="24"/>
          <w:u w:val="single"/>
        </w:rPr>
        <w:t>年12月25日</w:t>
      </w:r>
      <w:r>
        <w:rPr>
          <w:rFonts w:ascii="宋体" w:hAnsi="宋体" w:cs="宋体"/>
          <w:b/>
          <w:bCs/>
          <w:kern w:val="0"/>
          <w:sz w:val="24"/>
          <w:szCs w:val="24"/>
          <w:u w:val="single"/>
        </w:rPr>
        <w:t>9</w:t>
      </w:r>
      <w:r>
        <w:rPr>
          <w:rFonts w:hint="eastAsia" w:ascii="宋体" w:hAnsi="宋体" w:cs="宋体"/>
          <w:b/>
          <w:bCs/>
          <w:kern w:val="0"/>
          <w:sz w:val="24"/>
          <w:szCs w:val="24"/>
          <w:u w:val="single"/>
        </w:rPr>
        <w:t>：</w:t>
      </w:r>
      <w:r>
        <w:rPr>
          <w:rFonts w:ascii="宋体" w:cs="宋体"/>
          <w:b/>
          <w:bCs/>
          <w:kern w:val="0"/>
          <w:sz w:val="24"/>
          <w:szCs w:val="24"/>
          <w:u w:val="single"/>
        </w:rPr>
        <w:t>00</w:t>
      </w:r>
      <w:r>
        <w:rPr>
          <w:rFonts w:hint="eastAsia" w:ascii="宋体" w:hAnsi="宋体" w:cs="宋体"/>
          <w:b/>
          <w:bCs/>
          <w:kern w:val="0"/>
          <w:sz w:val="24"/>
          <w:szCs w:val="24"/>
          <w:u w:val="single"/>
        </w:rPr>
        <w:t>（</w:t>
      </w:r>
      <w:r>
        <w:rPr>
          <w:rFonts w:ascii="宋体" w:hAnsi="宋体" w:cs="宋体"/>
          <w:b/>
          <w:bCs/>
          <w:kern w:val="0"/>
          <w:sz w:val="24"/>
          <w:szCs w:val="24"/>
          <w:u w:val="single"/>
        </w:rPr>
        <w:t>8</w:t>
      </w:r>
      <w:r>
        <w:rPr>
          <w:rFonts w:hint="eastAsia" w:ascii="宋体" w:hAnsi="宋体" w:cs="宋体"/>
          <w:b/>
          <w:bCs/>
          <w:kern w:val="0"/>
          <w:sz w:val="24"/>
          <w:szCs w:val="24"/>
          <w:u w:val="single"/>
        </w:rPr>
        <w:t>时</w:t>
      </w:r>
      <w:r>
        <w:rPr>
          <w:rFonts w:ascii="宋体" w:hAnsi="宋体" w:cs="宋体"/>
          <w:b/>
          <w:bCs/>
          <w:kern w:val="0"/>
          <w:sz w:val="24"/>
          <w:szCs w:val="24"/>
          <w:u w:val="single"/>
        </w:rPr>
        <w:t>30</w:t>
      </w:r>
      <w:r>
        <w:rPr>
          <w:rFonts w:hint="eastAsia" w:ascii="宋体" w:hAnsi="宋体" w:cs="宋体"/>
          <w:b/>
          <w:bCs/>
          <w:kern w:val="0"/>
          <w:sz w:val="24"/>
          <w:szCs w:val="24"/>
          <w:u w:val="single"/>
        </w:rPr>
        <w:t>分</w:t>
      </w:r>
      <w:r>
        <w:rPr>
          <w:rFonts w:hint="eastAsia" w:ascii="宋体" w:hAnsi="宋体" w:cs="宋体"/>
          <w:kern w:val="0"/>
          <w:sz w:val="24"/>
          <w:szCs w:val="24"/>
        </w:rPr>
        <w:t>开始接收投标文件，拒收逾期送达或者未按招标文件要求密封的投标文件）</w:t>
      </w:r>
    </w:p>
    <w:p>
      <w:pPr>
        <w:widowControl/>
        <w:shd w:val="clear" w:color="auto" w:fill="FFFFFF"/>
        <w:spacing w:line="360" w:lineRule="auto"/>
        <w:ind w:left="150" w:firstLine="465"/>
        <w:jc w:val="left"/>
        <w:rPr>
          <w:rFonts w:ascii="微软雅黑" w:hAnsi="微软雅黑" w:eastAsia="微软雅黑" w:cs="Times New Roman"/>
          <w:kern w:val="0"/>
          <w:sz w:val="18"/>
          <w:szCs w:val="18"/>
        </w:rPr>
      </w:pPr>
      <w:r>
        <w:rPr>
          <w:rFonts w:hint="eastAsia" w:ascii="宋体" w:hAnsi="宋体" w:cs="宋体"/>
          <w:kern w:val="0"/>
          <w:sz w:val="24"/>
          <w:szCs w:val="24"/>
        </w:rPr>
        <w:t>投标文件递交地点：阳新县公共资源交易中心</w:t>
      </w:r>
      <w:r>
        <w:rPr>
          <w:rFonts w:ascii="宋体" w:hAnsi="宋体" w:cs="宋体"/>
          <w:kern w:val="0"/>
          <w:sz w:val="24"/>
          <w:szCs w:val="24"/>
          <w:u w:val="single"/>
        </w:rPr>
        <w:t xml:space="preserve"> </w:t>
      </w:r>
      <w:r>
        <w:rPr>
          <w:rFonts w:hint="eastAsia" w:ascii="宋体" w:hAnsi="宋体" w:cs="宋体"/>
          <w:kern w:val="0"/>
          <w:sz w:val="24"/>
          <w:szCs w:val="24"/>
          <w:u w:val="single"/>
        </w:rPr>
        <w:t>二</w:t>
      </w:r>
      <w:r>
        <w:rPr>
          <w:rFonts w:ascii="宋体" w:hAnsi="宋体" w:cs="宋体"/>
          <w:kern w:val="0"/>
          <w:sz w:val="24"/>
          <w:szCs w:val="24"/>
          <w:u w:val="single"/>
        </w:rPr>
        <w:t xml:space="preserve"> </w:t>
      </w:r>
      <w:r>
        <w:rPr>
          <w:rFonts w:hint="eastAsia" w:ascii="宋体" w:hAnsi="宋体" w:cs="宋体"/>
          <w:kern w:val="0"/>
          <w:sz w:val="24"/>
          <w:szCs w:val="24"/>
        </w:rPr>
        <w:t>楼开标大厅（阳新县熊家垴安置小区东侧）</w:t>
      </w:r>
    </w:p>
    <w:p>
      <w:pPr>
        <w:widowControl/>
        <w:shd w:val="clear" w:color="auto" w:fill="FFFFFF"/>
        <w:spacing w:line="360" w:lineRule="auto"/>
        <w:ind w:left="150" w:firstLine="480"/>
        <w:jc w:val="left"/>
        <w:textAlignment w:val="baseline"/>
        <w:rPr>
          <w:rFonts w:ascii="微软雅黑" w:hAnsi="微软雅黑" w:eastAsia="微软雅黑" w:cs="Times New Roman"/>
          <w:kern w:val="0"/>
          <w:sz w:val="18"/>
          <w:szCs w:val="18"/>
        </w:rPr>
      </w:pPr>
      <w:r>
        <w:rPr>
          <w:rFonts w:hint="eastAsia" w:ascii="宋体" w:hAnsi="宋体" w:cs="宋体"/>
          <w:kern w:val="0"/>
          <w:sz w:val="24"/>
          <w:szCs w:val="24"/>
        </w:rPr>
        <w:t>届时请参加投标的授权代表携带有效身份证、法人身份证明书或法人委托授权书（原件）出席开标大会，否则视同认可开标结果。</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b/>
          <w:bCs/>
          <w:kern w:val="0"/>
          <w:sz w:val="24"/>
          <w:szCs w:val="24"/>
        </w:rPr>
        <w:t>十一、开标信息：</w:t>
      </w:r>
    </w:p>
    <w:p>
      <w:pPr>
        <w:widowControl/>
        <w:shd w:val="clear" w:color="auto" w:fill="FFFFFF"/>
        <w:spacing w:line="360" w:lineRule="auto"/>
        <w:ind w:left="150" w:firstLine="465"/>
        <w:jc w:val="left"/>
        <w:rPr>
          <w:rFonts w:ascii="微软雅黑" w:hAnsi="微软雅黑" w:eastAsia="微软雅黑" w:cs="Times New Roman"/>
          <w:kern w:val="0"/>
          <w:sz w:val="18"/>
          <w:szCs w:val="18"/>
        </w:rPr>
      </w:pPr>
      <w:r>
        <w:rPr>
          <w:rFonts w:hint="eastAsia" w:ascii="宋体" w:hAnsi="宋体" w:cs="宋体"/>
          <w:kern w:val="0"/>
          <w:sz w:val="24"/>
          <w:szCs w:val="24"/>
        </w:rPr>
        <w:t>开标时间：</w:t>
      </w:r>
      <w:r>
        <w:rPr>
          <w:rFonts w:ascii="宋体" w:hAnsi="宋体" w:cs="宋体"/>
          <w:b/>
          <w:bCs/>
          <w:kern w:val="0"/>
          <w:sz w:val="24"/>
          <w:szCs w:val="24"/>
        </w:rPr>
        <w:t>2019</w:t>
      </w:r>
      <w:r>
        <w:rPr>
          <w:rFonts w:hint="eastAsia" w:ascii="宋体" w:hAnsi="宋体" w:cs="宋体"/>
          <w:b/>
          <w:bCs/>
          <w:kern w:val="0"/>
          <w:sz w:val="24"/>
          <w:szCs w:val="24"/>
        </w:rPr>
        <w:t>年12月25日</w:t>
      </w:r>
      <w:r>
        <w:rPr>
          <w:rFonts w:ascii="宋体" w:hAnsi="宋体" w:cs="宋体"/>
          <w:b/>
          <w:bCs/>
          <w:kern w:val="0"/>
          <w:sz w:val="24"/>
          <w:szCs w:val="24"/>
        </w:rPr>
        <w:t>9</w:t>
      </w:r>
      <w:r>
        <w:rPr>
          <w:rFonts w:hint="eastAsia" w:ascii="宋体" w:hAnsi="宋体" w:cs="宋体"/>
          <w:b/>
          <w:bCs/>
          <w:kern w:val="0"/>
          <w:sz w:val="24"/>
          <w:szCs w:val="24"/>
        </w:rPr>
        <w:t>：</w:t>
      </w:r>
      <w:r>
        <w:rPr>
          <w:rFonts w:ascii="宋体" w:hAnsi="宋体" w:cs="宋体"/>
          <w:b/>
          <w:bCs/>
          <w:kern w:val="0"/>
          <w:sz w:val="24"/>
          <w:szCs w:val="24"/>
        </w:rPr>
        <w:t xml:space="preserve">00 </w:t>
      </w:r>
    </w:p>
    <w:p>
      <w:pPr>
        <w:widowControl/>
        <w:shd w:val="clear" w:color="auto" w:fill="FFFFFF"/>
        <w:spacing w:line="360" w:lineRule="auto"/>
        <w:ind w:left="150" w:firstLine="465"/>
        <w:jc w:val="left"/>
        <w:rPr>
          <w:rFonts w:ascii="微软雅黑" w:hAnsi="微软雅黑" w:eastAsia="微软雅黑" w:cs="Times New Roman"/>
          <w:kern w:val="0"/>
          <w:sz w:val="18"/>
          <w:szCs w:val="18"/>
        </w:rPr>
      </w:pPr>
      <w:r>
        <w:rPr>
          <w:rFonts w:hint="eastAsia" w:ascii="宋体" w:hAnsi="宋体" w:cs="宋体"/>
          <w:kern w:val="0"/>
          <w:sz w:val="24"/>
          <w:szCs w:val="24"/>
        </w:rPr>
        <w:t>开标地点：阳新县公共资源交易中心</w:t>
      </w:r>
      <w:r>
        <w:rPr>
          <w:rFonts w:ascii="宋体" w:hAnsi="宋体" w:cs="宋体"/>
          <w:kern w:val="0"/>
          <w:sz w:val="24"/>
          <w:szCs w:val="24"/>
          <w:u w:val="single"/>
        </w:rPr>
        <w:t xml:space="preserve"> </w:t>
      </w:r>
      <w:r>
        <w:rPr>
          <w:rFonts w:hint="eastAsia" w:ascii="宋体" w:hAnsi="宋体" w:cs="宋体"/>
          <w:kern w:val="0"/>
          <w:sz w:val="24"/>
          <w:szCs w:val="24"/>
          <w:u w:val="single"/>
        </w:rPr>
        <w:t>二</w:t>
      </w:r>
      <w:r>
        <w:rPr>
          <w:rFonts w:ascii="宋体" w:hAnsi="宋体" w:cs="宋体"/>
          <w:kern w:val="0"/>
          <w:sz w:val="24"/>
          <w:szCs w:val="24"/>
          <w:u w:val="single"/>
        </w:rPr>
        <w:t xml:space="preserve"> </w:t>
      </w:r>
      <w:r>
        <w:rPr>
          <w:rFonts w:hint="eastAsia" w:ascii="宋体" w:hAnsi="宋体" w:cs="宋体"/>
          <w:kern w:val="0"/>
          <w:sz w:val="24"/>
          <w:szCs w:val="24"/>
        </w:rPr>
        <w:t>楼开标大厅（阳新县熊家垴安置小区东侧）</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b/>
          <w:bCs/>
          <w:kern w:val="0"/>
          <w:sz w:val="24"/>
          <w:szCs w:val="24"/>
        </w:rPr>
        <w:t>十二、公告期限：</w:t>
      </w:r>
      <w:r>
        <w:rPr>
          <w:rFonts w:hint="eastAsia" w:ascii="宋体" w:hAnsi="宋体" w:cs="宋体"/>
          <w:kern w:val="0"/>
          <w:sz w:val="24"/>
          <w:szCs w:val="24"/>
        </w:rPr>
        <w:t>自公告发布之日起</w:t>
      </w:r>
      <w:r>
        <w:rPr>
          <w:rFonts w:ascii="宋体" w:hAnsi="宋体" w:cs="宋体"/>
          <w:kern w:val="0"/>
          <w:sz w:val="24"/>
          <w:szCs w:val="24"/>
        </w:rPr>
        <w:t>5</w:t>
      </w:r>
      <w:r>
        <w:rPr>
          <w:rFonts w:hint="eastAsia" w:ascii="宋体" w:hAnsi="宋体" w:cs="宋体"/>
          <w:kern w:val="0"/>
          <w:sz w:val="24"/>
          <w:szCs w:val="24"/>
        </w:rPr>
        <w:t>个工作日。</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b/>
          <w:bCs/>
          <w:kern w:val="0"/>
          <w:sz w:val="24"/>
          <w:szCs w:val="24"/>
        </w:rPr>
        <w:t>十三、质疑：</w:t>
      </w:r>
    </w:p>
    <w:p>
      <w:pPr>
        <w:widowControl/>
        <w:shd w:val="clear" w:color="auto" w:fill="FFFFFF"/>
        <w:spacing w:line="360" w:lineRule="auto"/>
        <w:ind w:left="150" w:firstLine="480"/>
        <w:jc w:val="left"/>
        <w:rPr>
          <w:rFonts w:ascii="宋体" w:hAnsi="宋体" w:cs="宋体"/>
          <w:kern w:val="0"/>
          <w:sz w:val="24"/>
          <w:szCs w:val="24"/>
        </w:rPr>
      </w:pPr>
      <w:r>
        <w:rPr>
          <w:rFonts w:hint="eastAsia" w:ascii="宋体" w:hAnsi="宋体" w:cs="宋体"/>
          <w:kern w:val="0"/>
          <w:sz w:val="24"/>
          <w:szCs w:val="24"/>
        </w:rPr>
        <w:t>投标人认为招标文件、招标过程和中标结果使自己的权益受到损害的，可以在知道或者应知其权益受到损害之日起</w:t>
      </w:r>
      <w:r>
        <w:rPr>
          <w:rFonts w:ascii="宋体" w:hAnsi="宋体" w:cs="宋体"/>
          <w:kern w:val="0"/>
          <w:sz w:val="24"/>
          <w:szCs w:val="24"/>
        </w:rPr>
        <w:t>7</w:t>
      </w:r>
      <w:r>
        <w:rPr>
          <w:rFonts w:hint="eastAsia" w:ascii="宋体" w:hAnsi="宋体" w:cs="宋体"/>
          <w:kern w:val="0"/>
          <w:sz w:val="24"/>
          <w:szCs w:val="24"/>
        </w:rPr>
        <w:t>个工作日内，向</w:t>
      </w:r>
      <w:r>
        <w:rPr>
          <w:rFonts w:hint="eastAsia" w:ascii="宋体" w:hAnsi="宋体" w:cs="宋体"/>
          <w:kern w:val="0"/>
          <w:sz w:val="24"/>
          <w:szCs w:val="24"/>
          <w:u w:val="single"/>
        </w:rPr>
        <w:t>大华建设项目管理有限公司</w:t>
      </w:r>
      <w:r>
        <w:rPr>
          <w:rFonts w:ascii="宋体" w:hAnsi="宋体" w:cs="宋体"/>
          <w:kern w:val="0"/>
          <w:sz w:val="24"/>
          <w:szCs w:val="24"/>
          <w:u w:val="single"/>
        </w:rPr>
        <w:t xml:space="preserve"> </w:t>
      </w:r>
      <w:r>
        <w:rPr>
          <w:rFonts w:hint="eastAsia" w:ascii="宋体" w:hAnsi="宋体" w:cs="宋体"/>
          <w:kern w:val="0"/>
          <w:sz w:val="24"/>
          <w:szCs w:val="24"/>
        </w:rPr>
        <w:t>提出书面质疑。质疑时</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kern w:val="0"/>
          <w:sz w:val="24"/>
          <w:szCs w:val="24"/>
        </w:rPr>
        <w:t>请提交书面质疑函一份（法人代表签字、加盖单位公章。具体要求详见本招标文件“第二章</w:t>
      </w:r>
      <w:r>
        <w:rPr>
          <w:rFonts w:ascii="宋体" w:hAnsi="宋体" w:cs="宋体"/>
          <w:kern w:val="0"/>
          <w:sz w:val="24"/>
          <w:szCs w:val="24"/>
        </w:rPr>
        <w:t xml:space="preserve"> </w:t>
      </w:r>
      <w:r>
        <w:rPr>
          <w:rFonts w:hint="eastAsia" w:ascii="宋体" w:hAnsi="宋体" w:cs="宋体"/>
          <w:kern w:val="0"/>
          <w:sz w:val="24"/>
          <w:szCs w:val="24"/>
        </w:rPr>
        <w:t>投标人须知”中的第八条之规定），并附相关证据材料。</w:t>
      </w:r>
    </w:p>
    <w:p>
      <w:pPr>
        <w:widowControl/>
        <w:shd w:val="clear" w:color="auto" w:fill="FFFFFF"/>
        <w:spacing w:line="360" w:lineRule="auto"/>
        <w:ind w:left="150"/>
        <w:jc w:val="left"/>
        <w:rPr>
          <w:rFonts w:ascii="微软雅黑" w:hAnsi="微软雅黑" w:eastAsia="微软雅黑" w:cs="Times New Roman"/>
          <w:kern w:val="0"/>
          <w:sz w:val="18"/>
          <w:szCs w:val="18"/>
        </w:rPr>
      </w:pPr>
      <w:r>
        <w:rPr>
          <w:rFonts w:hint="eastAsia" w:ascii="宋体" w:hAnsi="宋体" w:cs="宋体"/>
          <w:b/>
          <w:bCs/>
          <w:kern w:val="0"/>
          <w:sz w:val="24"/>
          <w:szCs w:val="24"/>
        </w:rPr>
        <w:t>十四、联系方式：</w:t>
      </w:r>
    </w:p>
    <w:p>
      <w:pPr>
        <w:widowControl/>
        <w:shd w:val="clear" w:color="auto" w:fill="FFFFFF"/>
        <w:spacing w:line="360" w:lineRule="auto"/>
        <w:ind w:left="150" w:firstLine="480"/>
        <w:jc w:val="left"/>
        <w:rPr>
          <w:rFonts w:ascii="微软雅黑" w:hAnsi="微软雅黑" w:eastAsia="微软雅黑" w:cs="Times New Roman"/>
          <w:kern w:val="0"/>
          <w:sz w:val="18"/>
          <w:szCs w:val="18"/>
        </w:rPr>
      </w:pPr>
      <w:r>
        <w:rPr>
          <w:rFonts w:hint="eastAsia" w:ascii="宋体" w:hAnsi="宋体" w:cs="宋体"/>
          <w:kern w:val="0"/>
          <w:sz w:val="24"/>
          <w:szCs w:val="24"/>
        </w:rPr>
        <w:t>采购代理机构：大华建设项目管理有限公司</w:t>
      </w:r>
      <w:r>
        <w:rPr>
          <w:rFonts w:ascii="宋体" w:hAnsi="宋体" w:cs="宋体"/>
          <w:kern w:val="0"/>
          <w:sz w:val="24"/>
          <w:szCs w:val="24"/>
        </w:rPr>
        <w:t xml:space="preserve"> </w:t>
      </w:r>
    </w:p>
    <w:p>
      <w:pPr>
        <w:widowControl/>
        <w:shd w:val="clear" w:color="auto" w:fill="FFFFFF"/>
        <w:spacing w:line="360" w:lineRule="auto"/>
        <w:ind w:left="150" w:firstLine="480"/>
        <w:jc w:val="left"/>
        <w:rPr>
          <w:rFonts w:ascii="微软雅黑" w:hAnsi="微软雅黑" w:eastAsia="微软雅黑" w:cs="Times New Roman"/>
          <w:kern w:val="0"/>
          <w:sz w:val="18"/>
          <w:szCs w:val="18"/>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人：李露</w:t>
      </w:r>
    </w:p>
    <w:p>
      <w:pPr>
        <w:widowControl/>
        <w:shd w:val="clear" w:color="auto" w:fill="FFFFFF"/>
        <w:spacing w:line="360" w:lineRule="auto"/>
        <w:ind w:left="150" w:firstLine="480"/>
        <w:jc w:val="left"/>
        <w:rPr>
          <w:rFonts w:ascii="微软雅黑" w:eastAsia="微软雅黑" w:cs="Times New Roman"/>
          <w:kern w:val="0"/>
          <w:sz w:val="18"/>
          <w:szCs w:val="18"/>
        </w:rPr>
      </w:pPr>
      <w:r>
        <w:rPr>
          <w:rFonts w:hint="eastAsia" w:ascii="宋体" w:hAnsi="宋体" w:cs="宋体"/>
          <w:kern w:val="0"/>
          <w:sz w:val="24"/>
          <w:szCs w:val="24"/>
        </w:rPr>
        <w:t>联系电话：</w:t>
      </w:r>
      <w:r>
        <w:rPr>
          <w:rFonts w:ascii="宋体" w:hAnsi="宋体" w:cs="宋体"/>
          <w:kern w:val="0"/>
          <w:sz w:val="24"/>
          <w:szCs w:val="24"/>
        </w:rPr>
        <w:t>18772291258</w:t>
      </w:r>
    </w:p>
    <w:p>
      <w:pPr>
        <w:widowControl/>
        <w:shd w:val="clear" w:color="auto" w:fill="FFFFFF"/>
        <w:spacing w:line="360" w:lineRule="auto"/>
        <w:ind w:left="150" w:firstLine="480"/>
        <w:jc w:val="left"/>
        <w:rPr>
          <w:rFonts w:ascii="微软雅黑" w:hAnsi="微软雅黑" w:eastAsia="微软雅黑" w:cs="Times New Roman"/>
          <w:kern w:val="0"/>
          <w:sz w:val="18"/>
          <w:szCs w:val="18"/>
        </w:rPr>
      </w:pPr>
      <w:r>
        <w:rPr>
          <w:rFonts w:hint="eastAsia" w:ascii="宋体" w:hAnsi="宋体" w:cs="宋体"/>
          <w:kern w:val="0"/>
          <w:sz w:val="24"/>
          <w:szCs w:val="24"/>
        </w:rPr>
        <w:t>采</w:t>
      </w:r>
      <w:r>
        <w:rPr>
          <w:rFonts w:ascii="宋体" w:hAnsi="宋体" w:cs="宋体"/>
          <w:kern w:val="0"/>
          <w:sz w:val="24"/>
          <w:szCs w:val="24"/>
        </w:rPr>
        <w:t xml:space="preserve"> </w:t>
      </w:r>
      <w:r>
        <w:rPr>
          <w:rFonts w:hint="eastAsia" w:ascii="宋体" w:hAnsi="宋体" w:cs="宋体"/>
          <w:kern w:val="0"/>
          <w:sz w:val="24"/>
          <w:szCs w:val="24"/>
        </w:rPr>
        <w:t>购</w:t>
      </w:r>
      <w:r>
        <w:rPr>
          <w:rFonts w:ascii="宋体" w:hAnsi="宋体" w:cs="宋体"/>
          <w:kern w:val="0"/>
          <w:sz w:val="24"/>
          <w:szCs w:val="24"/>
        </w:rPr>
        <w:t xml:space="preserve"> </w:t>
      </w:r>
      <w:r>
        <w:rPr>
          <w:rFonts w:hint="eastAsia" w:ascii="宋体" w:hAnsi="宋体" w:cs="宋体"/>
          <w:kern w:val="0"/>
          <w:sz w:val="24"/>
          <w:szCs w:val="24"/>
        </w:rPr>
        <w:t>人：阳新县应急管理局</w:t>
      </w:r>
      <w:r>
        <w:rPr>
          <w:rFonts w:ascii="宋体" w:cs="Times New Roman"/>
          <w:kern w:val="0"/>
          <w:sz w:val="24"/>
          <w:szCs w:val="24"/>
        </w:rPr>
        <w:t> </w:t>
      </w:r>
      <w:r>
        <w:rPr>
          <w:rFonts w:ascii="宋体" w:hAnsi="宋体" w:cs="宋体"/>
          <w:kern w:val="0"/>
          <w:sz w:val="24"/>
          <w:szCs w:val="24"/>
        </w:rPr>
        <w:t xml:space="preserve">    </w:t>
      </w:r>
    </w:p>
    <w:p>
      <w:pPr>
        <w:widowControl/>
        <w:shd w:val="clear" w:color="auto" w:fill="FFFFFF"/>
        <w:spacing w:line="360" w:lineRule="auto"/>
        <w:ind w:left="150" w:firstLine="480"/>
        <w:jc w:val="left"/>
        <w:rPr>
          <w:rFonts w:ascii="微软雅黑" w:hAnsi="微软雅黑" w:eastAsia="微软雅黑" w:cs="Times New Roman"/>
          <w:kern w:val="0"/>
          <w:sz w:val="18"/>
          <w:szCs w:val="18"/>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人：胡家智</w:t>
      </w:r>
    </w:p>
    <w:p>
      <w:pPr>
        <w:widowControl/>
        <w:shd w:val="clear" w:color="auto" w:fill="FFFFFF"/>
        <w:spacing w:line="360" w:lineRule="auto"/>
        <w:ind w:left="150" w:firstLine="360" w:firstLineChars="150"/>
        <w:jc w:val="left"/>
        <w:rPr>
          <w:rFonts w:ascii="微软雅黑" w:hAnsi="微软雅黑" w:eastAsia="微软雅黑" w:cs="Times New Roman"/>
          <w:kern w:val="0"/>
          <w:sz w:val="18"/>
          <w:szCs w:val="18"/>
        </w:rPr>
      </w:pPr>
      <w:r>
        <w:rPr>
          <w:rFonts w:hint="eastAsia" w:ascii="宋体" w:cs="Times New Roman"/>
          <w:kern w:val="0"/>
          <w:sz w:val="24"/>
          <w:szCs w:val="24"/>
        </w:rPr>
        <w:t xml:space="preserve"> </w:t>
      </w:r>
      <w:r>
        <w:rPr>
          <w:rFonts w:hint="eastAsia" w:ascii="宋体" w:hAnsi="宋体" w:cs="宋体"/>
          <w:kern w:val="0"/>
          <w:sz w:val="24"/>
          <w:szCs w:val="24"/>
        </w:rPr>
        <w:t>联系电话：13581298688</w:t>
      </w:r>
    </w:p>
    <w:p>
      <w:pPr>
        <w:widowControl/>
        <w:shd w:val="clear" w:color="auto" w:fill="FFFFFF"/>
        <w:spacing w:line="360" w:lineRule="auto"/>
        <w:ind w:left="150"/>
        <w:jc w:val="right"/>
        <w:rPr>
          <w:rFonts w:ascii="宋体" w:cs="Times New Roman"/>
          <w:kern w:val="0"/>
          <w:sz w:val="29"/>
          <w:szCs w:val="29"/>
        </w:rPr>
      </w:pPr>
      <w:r>
        <w:rPr>
          <w:rFonts w:ascii="宋体" w:hAnsi="宋体" w:cs="宋体"/>
          <w:kern w:val="0"/>
          <w:sz w:val="29"/>
          <w:szCs w:val="29"/>
        </w:rPr>
        <w:t>2019</w:t>
      </w:r>
      <w:r>
        <w:rPr>
          <w:rFonts w:ascii="微软雅黑" w:hAnsi="微软雅黑" w:eastAsia="微软雅黑" w:cs="微软雅黑"/>
          <w:kern w:val="0"/>
          <w:sz w:val="18"/>
          <w:szCs w:val="18"/>
        </w:rPr>
        <w:t xml:space="preserve"> </w:t>
      </w:r>
      <w:r>
        <w:rPr>
          <w:rFonts w:hint="eastAsia" w:ascii="宋体" w:hAnsi="宋体" w:cs="宋体"/>
          <w:kern w:val="0"/>
          <w:sz w:val="29"/>
          <w:szCs w:val="29"/>
        </w:rPr>
        <w:t>年12月3日</w:t>
      </w:r>
    </w:p>
    <w:p>
      <w:pPr>
        <w:widowControl/>
        <w:shd w:val="clear" w:color="auto" w:fill="FFFFFF"/>
        <w:spacing w:line="360" w:lineRule="auto"/>
        <w:ind w:left="150" w:firstLine="480"/>
        <w:jc w:val="left"/>
        <w:rPr>
          <w:rFonts w:ascii="宋体" w:cs="Times New Roman"/>
          <w:kern w:val="0"/>
          <w:sz w:val="29"/>
          <w:szCs w:val="29"/>
        </w:rPr>
      </w:pPr>
    </w:p>
    <w:p>
      <w:pPr>
        <w:widowControl/>
        <w:shd w:val="clear" w:color="auto" w:fill="FFFFFF"/>
        <w:spacing w:line="360" w:lineRule="auto"/>
        <w:ind w:left="150" w:firstLine="480"/>
        <w:jc w:val="left"/>
        <w:rPr>
          <w:rFonts w:ascii="宋体" w:cs="Times New Roman"/>
          <w:kern w:val="0"/>
          <w:sz w:val="29"/>
          <w:szCs w:val="29"/>
        </w:rPr>
      </w:pPr>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
      <w:pPr>
        <w:pStyle w:val="2"/>
        <w:ind w:firstLine="420"/>
      </w:pPr>
    </w:p>
    <w:p>
      <w:pPr>
        <w:pStyle w:val="2"/>
        <w:ind w:firstLine="420"/>
      </w:pPr>
    </w:p>
    <w:p/>
    <w:p>
      <w:pPr>
        <w:pStyle w:val="2"/>
        <w:ind w:firstLine="420"/>
      </w:pPr>
    </w:p>
    <w:p/>
    <w:p>
      <w:pPr>
        <w:pStyle w:val="2"/>
        <w:ind w:firstLine="420"/>
      </w:pPr>
    </w:p>
    <w:p/>
    <w:p>
      <w:pPr>
        <w:jc w:val="center"/>
        <w:rPr>
          <w:b/>
          <w:sz w:val="36"/>
          <w:szCs w:val="36"/>
        </w:rPr>
      </w:pPr>
      <w:r>
        <w:rPr>
          <w:rFonts w:hint="eastAsia"/>
          <w:b/>
          <w:sz w:val="36"/>
          <w:szCs w:val="36"/>
        </w:rPr>
        <w:t>第二章、投标人须知</w:t>
      </w:r>
      <w:bookmarkEnd w:id="2"/>
      <w:bookmarkEnd w:id="3"/>
    </w:p>
    <w:p>
      <w:pPr>
        <w:keepNext/>
        <w:keepLines/>
        <w:spacing w:line="360" w:lineRule="auto"/>
        <w:jc w:val="center"/>
        <w:outlineLvl w:val="1"/>
        <w:rPr>
          <w:rFonts w:ascii="宋体" w:cs="Times New Roman"/>
          <w:b/>
          <w:bCs/>
          <w:sz w:val="32"/>
          <w:szCs w:val="32"/>
          <w:lang w:val="zh-CN"/>
        </w:rPr>
      </w:pPr>
      <w:bookmarkStart w:id="4" w:name="_Toc495861519"/>
      <w:bookmarkStart w:id="5" w:name="_Toc494561937"/>
      <w:bookmarkStart w:id="6" w:name="_Toc509323116"/>
      <w:r>
        <w:rPr>
          <w:rFonts w:hint="eastAsia" w:ascii="宋体" w:hAnsi="宋体" w:cs="宋体"/>
          <w:b/>
          <w:bCs/>
          <w:sz w:val="32"/>
          <w:szCs w:val="32"/>
          <w:lang w:val="zh-CN"/>
        </w:rPr>
        <w:t>投标须知前附表</w:t>
      </w:r>
      <w:bookmarkEnd w:id="4"/>
      <w:bookmarkEnd w:id="5"/>
      <w:bookmarkEnd w:id="6"/>
    </w:p>
    <w:tbl>
      <w:tblPr>
        <w:tblStyle w:val="21"/>
        <w:tblW w:w="9354"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3" w:leftChars="-25" w:right="-27" w:rightChars="-13"/>
              <w:jc w:val="center"/>
              <w:rPr>
                <w:rFonts w:ascii="宋体" w:cs="Times New Roman"/>
                <w:b/>
                <w:bCs/>
                <w:sz w:val="24"/>
                <w:szCs w:val="24"/>
              </w:rPr>
            </w:pPr>
            <w:r>
              <w:rPr>
                <w:rFonts w:hint="eastAsia" w:ascii="宋体" w:hAnsi="宋体" w:cs="宋体"/>
                <w:b/>
                <w:bCs/>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cs="Times New Roman"/>
                <w:b/>
                <w:bCs/>
                <w:sz w:val="24"/>
                <w:szCs w:val="24"/>
              </w:rPr>
            </w:pPr>
            <w:r>
              <w:rPr>
                <w:rFonts w:hint="eastAsia" w:ascii="Times New Roman" w:hAnsi="宋体" w:cs="宋体"/>
                <w:b/>
                <w:bCs/>
                <w:sz w:val="24"/>
                <w:szCs w:val="24"/>
              </w:rPr>
              <w:t>名</w:t>
            </w:r>
            <w:r>
              <w:rPr>
                <w:rFonts w:ascii="Times New Roman" w:hAnsi="宋体" w:cs="Times New Roman"/>
                <w:b/>
                <w:bCs/>
                <w:sz w:val="24"/>
                <w:szCs w:val="24"/>
              </w:rPr>
              <w:t xml:space="preserve">  </w:t>
            </w:r>
            <w:r>
              <w:rPr>
                <w:rFonts w:hint="eastAsia" w:ascii="Times New Roman" w:hAnsi="宋体" w:cs="宋体"/>
                <w:b/>
                <w:bCs/>
                <w:sz w:val="24"/>
                <w:szCs w:val="24"/>
              </w:rPr>
              <w:t>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4" w:firstLineChars="201"/>
              <w:jc w:val="center"/>
              <w:rPr>
                <w:rFonts w:ascii="Times New Roman" w:hAnsi="Times New Roman" w:cs="Times New Roman"/>
                <w:b/>
                <w:bCs/>
                <w:sz w:val="24"/>
                <w:szCs w:val="24"/>
              </w:rPr>
            </w:pPr>
            <w:r>
              <w:rPr>
                <w:rFonts w:hint="eastAsia" w:ascii="Times New Roman" w:hAnsi="宋体" w:cs="宋体"/>
                <w:b/>
                <w:bCs/>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宋体" w:cs="Times New Roman"/>
                <w:sz w:val="24"/>
                <w:szCs w:val="24"/>
              </w:rPr>
            </w:pPr>
            <w:r>
              <w:rPr>
                <w:rFonts w:hint="eastAsia" w:ascii="Times New Roman" w:hAnsi="宋体" w:cs="Times New Roman"/>
                <w:bCs/>
                <w:sz w:val="24"/>
                <w:szCs w:val="24"/>
              </w:rPr>
              <w:t>131-2019CG-211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宋体" w:cs="Times New Roman"/>
                <w:sz w:val="24"/>
                <w:szCs w:val="24"/>
              </w:rPr>
            </w:pPr>
            <w:r>
              <w:rPr>
                <w:rFonts w:hint="eastAsia" w:ascii="宋体" w:hAnsi="宋体" w:cs="宋体"/>
                <w:sz w:val="24"/>
                <w:szCs w:val="24"/>
              </w:rPr>
              <w:t>阳新县应急指挥中心建设项目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cs="Times New Roman"/>
                <w:kern w:val="0"/>
                <w:sz w:val="24"/>
                <w:szCs w:val="24"/>
              </w:rPr>
            </w:pPr>
            <w:r>
              <w:rPr>
                <w:rFonts w:hint="eastAsia" w:ascii="宋体" w:hAnsi="宋体" w:cs="宋体"/>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cs="Times New Roman"/>
                <w:kern w:val="0"/>
                <w:sz w:val="24"/>
                <w:szCs w:val="24"/>
              </w:rPr>
            </w:pPr>
            <w:r>
              <w:rPr>
                <w:rFonts w:hint="eastAsia" w:ascii="Times New Roman" w:hAnsi="宋体" w:cs="宋体"/>
                <w:sz w:val="24"/>
                <w:szCs w:val="24"/>
              </w:rPr>
              <w:t>阳新县应急管理局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宋体" w:hAnsi="宋体" w:cs="宋体"/>
                <w:kern w:val="0"/>
                <w:sz w:val="24"/>
                <w:szCs w:val="24"/>
              </w:rPr>
              <w:t>提交投标文件截止之日起</w:t>
            </w:r>
            <w:r>
              <w:rPr>
                <w:rFonts w:ascii="宋体" w:hAnsi="宋体" w:cs="宋体"/>
                <w:kern w:val="0"/>
                <w:sz w:val="24"/>
                <w:szCs w:val="24"/>
              </w:rPr>
              <w:t>90</w:t>
            </w:r>
            <w:r>
              <w:rPr>
                <w:rFonts w:hint="eastAsia" w:ascii="宋体" w:hAnsi="宋体" w:cs="宋体"/>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开标时间、地点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不允许</w:t>
            </w:r>
          </w:p>
          <w:p>
            <w:pPr>
              <w:rPr>
                <w:rFonts w:ascii="Times New Roman" w:hAnsi="Times New Roman" w:cs="Times New Roman"/>
                <w:sz w:val="24"/>
                <w:szCs w:val="24"/>
              </w:rPr>
            </w:pPr>
            <w:r>
              <w:rPr>
                <w:rFonts w:hint="eastAsia" w:ascii="Times New Roman" w:hAnsi="Times New Roman" w:cs="宋体"/>
                <w:sz w:val="24"/>
                <w:szCs w:val="24"/>
              </w:rPr>
              <w:t>详见第三章“</w:t>
            </w:r>
            <w:r>
              <w:rPr>
                <w:rFonts w:hint="eastAsia" w:ascii="宋体" w:hAnsi="宋体" w:cs="宋体"/>
                <w:sz w:val="24"/>
                <w:szCs w:val="24"/>
              </w:rPr>
              <w:t>项目技术、服务及商务要求</w:t>
            </w:r>
            <w:r>
              <w:rPr>
                <w:rFonts w:hint="eastAsia" w:ascii="Times New Roman" w:hAnsi="Times New Roman"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宋体" w:cs="宋体"/>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不提交</w:t>
            </w:r>
          </w:p>
          <w:p>
            <w:pPr>
              <w:rPr>
                <w:rFonts w:ascii="Times New Roman" w:hAnsi="Times New Roman" w:cs="Times New Roman"/>
                <w:sz w:val="24"/>
                <w:szCs w:val="24"/>
              </w:rPr>
            </w:pPr>
            <w:r>
              <w:rPr>
                <w:rFonts w:hint="eastAsia" w:ascii="Times New Roman" w:hAnsi="Times New Roman" w:cs="宋体"/>
                <w:sz w:val="24"/>
                <w:szCs w:val="24"/>
              </w:rPr>
              <w:t>详见第三章“</w:t>
            </w:r>
            <w:r>
              <w:rPr>
                <w:rFonts w:hint="eastAsia" w:ascii="宋体" w:hAnsi="宋体" w:cs="宋体"/>
                <w:sz w:val="24"/>
                <w:szCs w:val="24"/>
              </w:rPr>
              <w:t>项目技术、服务及商务要求</w:t>
            </w:r>
            <w:r>
              <w:rPr>
                <w:rFonts w:hint="eastAsia" w:ascii="Times New Roman" w:hAnsi="Times New Roman"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宋体" w:hAnsi="宋体" w:cs="宋体"/>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cs="Times New Roman"/>
                <w:sz w:val="24"/>
                <w:szCs w:val="24"/>
              </w:rPr>
            </w:pPr>
            <w:r>
              <w:rPr>
                <w:rFonts w:hint="eastAsia" w:ascii="Times New Roman" w:hAnsi="Times New Roman" w:cs="宋体"/>
                <w:sz w:val="24"/>
                <w:szCs w:val="24"/>
              </w:rPr>
              <w:t>不组织</w:t>
            </w:r>
          </w:p>
          <w:p>
            <w:pPr>
              <w:ind w:right="-105" w:rightChars="-50"/>
              <w:rPr>
                <w:rFonts w:ascii="Times New Roman" w:hAnsi="Times New Roman" w:cs="Times New Roman"/>
                <w:sz w:val="24"/>
                <w:szCs w:val="24"/>
              </w:rPr>
            </w:pPr>
            <w:r>
              <w:rPr>
                <w:rFonts w:hint="eastAsia" w:ascii="Times New Roman" w:hAnsi="Times New Roman" w:cs="宋体"/>
                <w:sz w:val="24"/>
                <w:szCs w:val="24"/>
              </w:rPr>
              <w:t>详见第三章“</w:t>
            </w:r>
            <w:r>
              <w:rPr>
                <w:rFonts w:hint="eastAsia" w:ascii="宋体" w:hAnsi="宋体" w:cs="宋体"/>
                <w:sz w:val="24"/>
                <w:szCs w:val="24"/>
              </w:rPr>
              <w:t>项目技术、服务及商务要求</w:t>
            </w:r>
            <w:r>
              <w:rPr>
                <w:rFonts w:hint="eastAsia" w:ascii="Times New Roman" w:hAnsi="Times New Roman"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不允许</w:t>
            </w:r>
          </w:p>
          <w:p>
            <w:pPr>
              <w:rPr>
                <w:rFonts w:ascii="Times New Roman" w:hAnsi="Times New Roman" w:cs="Times New Roman"/>
                <w:sz w:val="24"/>
                <w:szCs w:val="24"/>
              </w:rPr>
            </w:pPr>
            <w:r>
              <w:rPr>
                <w:rFonts w:hint="eastAsia" w:ascii="Times New Roman" w:hAnsi="Times New Roman" w:cs="宋体"/>
                <w:sz w:val="24"/>
                <w:szCs w:val="24"/>
              </w:rPr>
              <w:t>详见第三章“</w:t>
            </w:r>
            <w:r>
              <w:rPr>
                <w:rFonts w:hint="eastAsia" w:ascii="宋体" w:hAnsi="宋体" w:cs="宋体"/>
                <w:sz w:val="24"/>
                <w:szCs w:val="24"/>
              </w:rPr>
              <w:t>项目技术、服务及商务要求</w:t>
            </w:r>
            <w:r>
              <w:rPr>
                <w:rFonts w:hint="eastAsia" w:ascii="Times New Roman" w:hAnsi="Times New Roman" w:cs="宋体"/>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综合评分法</w:t>
            </w:r>
          </w:p>
          <w:p>
            <w:pPr>
              <w:rPr>
                <w:rFonts w:ascii="Times New Roman" w:hAnsi="Times New Roman" w:cs="Times New Roman"/>
                <w:sz w:val="24"/>
                <w:szCs w:val="24"/>
                <w:lang w:val="zh-CN"/>
              </w:rPr>
            </w:pPr>
            <w:r>
              <w:rPr>
                <w:rFonts w:hint="eastAsia" w:ascii="Times New Roman" w:hAnsi="Times New Roman" w:cs="宋体"/>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宋体"/>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Times New Roman"/>
                <w:sz w:val="24"/>
                <w:szCs w:val="24"/>
              </w:rPr>
            </w:pPr>
            <w:r>
              <w:rPr>
                <w:rFonts w:hint="eastAsia" w:ascii="Times New Roman" w:hAnsi="宋体" w:cs="宋体"/>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宋体" w:cs="Times New Roman"/>
                <w:sz w:val="24"/>
                <w:szCs w:val="24"/>
              </w:rPr>
            </w:pPr>
            <w:r>
              <w:rPr>
                <w:rFonts w:hint="eastAsia" w:ascii="宋体" w:hAnsi="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cs="Times New Roman"/>
                <w:b/>
                <w:bCs/>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s="宋体"/>
                <w:sz w:val="24"/>
                <w:szCs w:val="24"/>
              </w:rPr>
            </w:pPr>
            <w:r>
              <w:rPr>
                <w:rFonts w:hint="eastAsia" w:ascii="Times New Roman" w:hAnsi="宋体" w:cs="宋体"/>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cs="宋体"/>
                <w:sz w:val="24"/>
                <w:szCs w:val="24"/>
              </w:rPr>
            </w:pPr>
            <w:r>
              <w:rPr>
                <w:rFonts w:hint="eastAsia" w:ascii="宋体" w:hAnsi="宋体" w:cs="宋体"/>
                <w:sz w:val="24"/>
                <w:szCs w:val="24"/>
              </w:rPr>
              <w:t>无</w:t>
            </w:r>
          </w:p>
        </w:tc>
      </w:tr>
    </w:tbl>
    <w:p>
      <w:pPr>
        <w:keepNext/>
        <w:keepLines/>
        <w:spacing w:before="100" w:beforeAutospacing="1" w:after="100" w:afterAutospacing="1" w:line="360" w:lineRule="auto"/>
        <w:outlineLvl w:val="1"/>
        <w:rPr>
          <w:rFonts w:ascii="黑体" w:hAnsi="黑体" w:eastAsia="黑体" w:cs="Times New Roman"/>
          <w:b/>
          <w:bCs/>
          <w:sz w:val="32"/>
          <w:szCs w:val="32"/>
          <w:lang w:val="zh-CN"/>
        </w:rPr>
      </w:pPr>
      <w:bookmarkStart w:id="7" w:name="_Toc494561938"/>
    </w:p>
    <w:p>
      <w:pPr>
        <w:pStyle w:val="2"/>
        <w:ind w:firstLine="420"/>
        <w:rPr>
          <w:lang w:val="zh-CN"/>
        </w:rPr>
      </w:pPr>
    </w:p>
    <w:p>
      <w:pPr>
        <w:rPr>
          <w:lang w:val="zh-CN"/>
        </w:rPr>
      </w:pPr>
    </w:p>
    <w:p>
      <w:pPr>
        <w:pStyle w:val="2"/>
        <w:ind w:firstLine="420"/>
        <w:rPr>
          <w:lang w:val="zh-CN"/>
        </w:rPr>
      </w:pPr>
    </w:p>
    <w:p>
      <w:pPr>
        <w:rPr>
          <w:lang w:val="zh-CN"/>
        </w:rPr>
      </w:pPr>
    </w:p>
    <w:p>
      <w:pPr>
        <w:pStyle w:val="2"/>
        <w:ind w:firstLine="420"/>
        <w:rPr>
          <w:lang w:val="zh-CN"/>
        </w:rPr>
      </w:pPr>
    </w:p>
    <w:p>
      <w:pPr>
        <w:rPr>
          <w:lang w:val="zh-CN"/>
        </w:rPr>
      </w:pPr>
    </w:p>
    <w:p>
      <w:pPr>
        <w:pStyle w:val="2"/>
        <w:ind w:firstLine="420"/>
        <w:rPr>
          <w:lang w:val="zh-CN"/>
        </w:rPr>
      </w:pPr>
    </w:p>
    <w:p>
      <w:pPr>
        <w:rPr>
          <w:lang w:val="zh-CN"/>
        </w:rPr>
      </w:pPr>
    </w:p>
    <w:p>
      <w:pPr>
        <w:pStyle w:val="2"/>
        <w:ind w:firstLine="420"/>
        <w:rPr>
          <w:lang w:val="zh-CN"/>
        </w:rPr>
      </w:pPr>
    </w:p>
    <w:p>
      <w:pPr>
        <w:rPr>
          <w:lang w:val="zh-CN"/>
        </w:rPr>
      </w:pPr>
    </w:p>
    <w:p>
      <w:pPr>
        <w:pStyle w:val="2"/>
        <w:ind w:firstLine="420"/>
        <w:rPr>
          <w:lang w:val="zh-CN"/>
        </w:rPr>
      </w:pPr>
    </w:p>
    <w:p>
      <w:pPr>
        <w:rPr>
          <w:lang w:val="zh-CN"/>
        </w:rPr>
      </w:pPr>
    </w:p>
    <w:p>
      <w:pPr>
        <w:rPr>
          <w:lang w:val="zh-CN"/>
        </w:rPr>
      </w:pPr>
    </w:p>
    <w:p>
      <w:pPr>
        <w:pStyle w:val="4"/>
        <w:numPr>
          <w:ilvl w:val="0"/>
          <w:numId w:val="3"/>
        </w:numPr>
        <w:spacing w:before="40" w:after="40" w:line="360" w:lineRule="auto"/>
        <w:ind w:left="658" w:hanging="658"/>
        <w:jc w:val="left"/>
        <w:rPr>
          <w:rFonts w:ascii="宋体" w:cs="Times New Roman"/>
          <w:lang w:val="zh-CN"/>
        </w:rPr>
      </w:pPr>
      <w:bookmarkStart w:id="8" w:name="_Toc495861520"/>
      <w:bookmarkStart w:id="9" w:name="_Toc509323117"/>
      <w:r>
        <w:rPr>
          <w:rFonts w:hint="eastAsia" w:ascii="宋体" w:hAnsi="宋体" w:cs="宋体"/>
          <w:lang w:val="zh-CN"/>
        </w:rPr>
        <w:t>说</w:t>
      </w:r>
      <w:r>
        <w:rPr>
          <w:rFonts w:ascii="宋体" w:hAnsi="宋体" w:cs="宋体"/>
          <w:lang w:val="zh-CN"/>
        </w:rPr>
        <w:t xml:space="preserve">  </w:t>
      </w:r>
      <w:r>
        <w:rPr>
          <w:rFonts w:hint="eastAsia" w:ascii="宋体" w:hAnsi="宋体" w:cs="宋体"/>
          <w:lang w:val="zh-CN"/>
        </w:rPr>
        <w:t>明</w:t>
      </w:r>
      <w:bookmarkEnd w:id="7"/>
      <w:bookmarkEnd w:id="8"/>
      <w:bookmarkEnd w:id="9"/>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适用范围</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招标文件仅适用于第一章“投标邀请书”中所述项目的货物、工程及服务的采购。</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当事人定义</w:t>
      </w:r>
    </w:p>
    <w:p>
      <w:pPr>
        <w:numPr>
          <w:ilvl w:val="0"/>
          <w:numId w:val="5"/>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“采购人”是指：</w:t>
      </w:r>
      <w:r>
        <w:rPr>
          <w:rFonts w:hint="eastAsia" w:ascii="宋体" w:hAnsi="宋体" w:cs="宋体"/>
          <w:sz w:val="24"/>
          <w:szCs w:val="24"/>
          <w:lang w:val="zh-CN"/>
        </w:rPr>
        <w:t>详见第一章“投标邀请书”。</w:t>
      </w:r>
    </w:p>
    <w:p>
      <w:pPr>
        <w:numPr>
          <w:ilvl w:val="0"/>
          <w:numId w:val="5"/>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“监管部门”是指：</w:t>
      </w:r>
      <w:r>
        <w:rPr>
          <w:rFonts w:hint="eastAsia" w:ascii="宋体" w:hAnsi="宋体" w:cs="宋体"/>
          <w:sz w:val="24"/>
          <w:szCs w:val="24"/>
          <w:lang w:val="zh-CN"/>
        </w:rPr>
        <w:t>阳新县政府采购办公室、阳新县公共资源交易监督管理局。</w:t>
      </w:r>
    </w:p>
    <w:p>
      <w:pPr>
        <w:numPr>
          <w:ilvl w:val="0"/>
          <w:numId w:val="5"/>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“采购机构”是指：</w:t>
      </w:r>
      <w:r>
        <w:rPr>
          <w:rFonts w:hint="eastAsia" w:ascii="宋体" w:hAnsi="宋体" w:cs="宋体"/>
          <w:sz w:val="24"/>
          <w:szCs w:val="24"/>
          <w:u w:val="single"/>
          <w:lang w:val="zh-CN"/>
        </w:rPr>
        <w:t>大华建设项目管理有限公司</w:t>
      </w:r>
      <w:r>
        <w:rPr>
          <w:rFonts w:hint="eastAsia" w:ascii="宋体" w:hAnsi="宋体" w:cs="宋体"/>
          <w:sz w:val="24"/>
          <w:szCs w:val="24"/>
          <w:lang w:val="zh-CN"/>
        </w:rPr>
        <w:t>。</w:t>
      </w:r>
    </w:p>
    <w:p>
      <w:pPr>
        <w:numPr>
          <w:ilvl w:val="0"/>
          <w:numId w:val="5"/>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“投标人”是指：</w:t>
      </w:r>
      <w:r>
        <w:rPr>
          <w:rFonts w:hint="eastAsia" w:ascii="宋体" w:hAnsi="宋体" w:cs="宋体"/>
          <w:kern w:val="0"/>
          <w:sz w:val="24"/>
          <w:szCs w:val="24"/>
          <w:lang w:val="zh-CN"/>
        </w:rPr>
        <w:t>响应招标、参加投标竞争的法人、其他组织或者自然人。</w:t>
      </w:r>
    </w:p>
    <w:p>
      <w:pPr>
        <w:numPr>
          <w:ilvl w:val="0"/>
          <w:numId w:val="5"/>
        </w:numPr>
        <w:spacing w:line="360" w:lineRule="auto"/>
        <w:ind w:left="476" w:hanging="476"/>
        <w:rPr>
          <w:rFonts w:ascii="宋体" w:cs="Times New Roman"/>
          <w:kern w:val="0"/>
          <w:sz w:val="24"/>
          <w:szCs w:val="24"/>
          <w:lang w:val="zh-CN"/>
        </w:rPr>
      </w:pPr>
      <w:r>
        <w:rPr>
          <w:rFonts w:hint="eastAsia" w:ascii="宋体" w:hAnsi="宋体" w:cs="宋体"/>
          <w:b/>
          <w:bCs/>
          <w:sz w:val="24"/>
          <w:szCs w:val="24"/>
          <w:lang w:val="zh-CN"/>
        </w:rPr>
        <w:t>“合格的投标人”是指：</w:t>
      </w:r>
      <w:r>
        <w:rPr>
          <w:rFonts w:hint="eastAsia" w:ascii="宋体" w:hAnsi="宋体" w:cs="宋体"/>
          <w:kern w:val="0"/>
          <w:sz w:val="24"/>
          <w:szCs w:val="24"/>
          <w:lang w:val="zh-CN"/>
        </w:rPr>
        <w:t>资格审查和符合性审查合格的投标人。</w:t>
      </w:r>
    </w:p>
    <w:p>
      <w:pPr>
        <w:numPr>
          <w:ilvl w:val="0"/>
          <w:numId w:val="5"/>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“中标人”是指：</w:t>
      </w:r>
      <w:r>
        <w:rPr>
          <w:rFonts w:hint="eastAsia" w:ascii="宋体" w:hAnsi="宋体" w:cs="宋体"/>
          <w:sz w:val="24"/>
          <w:szCs w:val="24"/>
          <w:lang w:val="zh-CN"/>
        </w:rPr>
        <w:t>经评标委员会评审，授予合同的投标人。</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项目属性及定义</w:t>
      </w:r>
    </w:p>
    <w:p>
      <w:pPr>
        <w:numPr>
          <w:ilvl w:val="0"/>
          <w:numId w:val="6"/>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“货物”是指</w:t>
      </w:r>
      <w:r>
        <w:rPr>
          <w:rFonts w:hint="eastAsia" w:ascii="宋体" w:hAnsi="宋体" w:cs="宋体"/>
          <w:sz w:val="24"/>
          <w:szCs w:val="24"/>
          <w:lang w:val="zh-CN"/>
        </w:rPr>
        <w:t>：各种形态和种类的物品，包括原材料、燃料、设备、产品等。</w:t>
      </w:r>
    </w:p>
    <w:p>
      <w:pPr>
        <w:numPr>
          <w:ilvl w:val="0"/>
          <w:numId w:val="7"/>
        </w:numPr>
        <w:spacing w:line="360" w:lineRule="auto"/>
        <w:ind w:left="854" w:hanging="728"/>
        <w:rPr>
          <w:rFonts w:ascii="宋体" w:cs="Times New Roman"/>
          <w:sz w:val="24"/>
          <w:szCs w:val="24"/>
          <w:lang w:val="zh-CN"/>
        </w:rPr>
      </w:pPr>
      <w:r>
        <w:rPr>
          <w:rFonts w:hint="eastAsia" w:ascii="宋体" w:hAnsi="宋体" w:cs="宋体"/>
          <w:sz w:val="24"/>
          <w:szCs w:val="24"/>
          <w:lang w:val="zh-CN"/>
        </w:rPr>
        <w:t>招标文件中没有提及招标货物来源地的，根据《政府采购法》及相关规定均应是本国货物，另有规定的除外。</w:t>
      </w:r>
    </w:p>
    <w:p>
      <w:pPr>
        <w:numPr>
          <w:ilvl w:val="0"/>
          <w:numId w:val="7"/>
        </w:numPr>
        <w:spacing w:line="360" w:lineRule="auto"/>
        <w:ind w:left="854" w:hanging="728"/>
        <w:rPr>
          <w:rFonts w:ascii="宋体" w:cs="Times New Roman"/>
          <w:sz w:val="24"/>
          <w:szCs w:val="24"/>
          <w:lang w:val="zh-CN"/>
        </w:rPr>
      </w:pPr>
      <w:r>
        <w:rPr>
          <w:rFonts w:hint="eastAsia" w:ascii="宋体" w:hAnsi="宋体" w:cs="宋体"/>
          <w:sz w:val="24"/>
          <w:szCs w:val="24"/>
          <w:lang w:val="zh-CN"/>
        </w:rPr>
        <w:t>投标的货物应是合法生产的符合国家有关标准要求的货物，并能够按照合同规定的品牌、产地、质量、价格和有效期等履约。</w:t>
      </w:r>
    </w:p>
    <w:p>
      <w:pPr>
        <w:numPr>
          <w:ilvl w:val="0"/>
          <w:numId w:val="6"/>
        </w:numPr>
        <w:spacing w:line="360" w:lineRule="auto"/>
        <w:ind w:left="476" w:hanging="476"/>
        <w:rPr>
          <w:rFonts w:ascii="宋体" w:cs="Times New Roman"/>
          <w:b/>
          <w:bCs/>
          <w:sz w:val="24"/>
          <w:szCs w:val="24"/>
          <w:lang w:val="zh-CN"/>
        </w:rPr>
      </w:pPr>
      <w:r>
        <w:rPr>
          <w:rFonts w:hint="eastAsia" w:ascii="宋体" w:hAnsi="宋体" w:cs="宋体"/>
          <w:b/>
          <w:bCs/>
          <w:sz w:val="24"/>
          <w:szCs w:val="24"/>
          <w:lang w:val="zh-CN"/>
        </w:rPr>
        <w:t>“工程”是指</w:t>
      </w:r>
      <w:r>
        <w:rPr>
          <w:rFonts w:hint="eastAsia" w:ascii="宋体" w:hAnsi="宋体" w:cs="宋体"/>
          <w:sz w:val="24"/>
          <w:szCs w:val="24"/>
          <w:lang w:val="zh-CN"/>
        </w:rPr>
        <w:t>：与建筑物和构筑物的新建、改建、扩建及其相关的装修、拆除、修缮无关的工程。</w:t>
      </w:r>
    </w:p>
    <w:p>
      <w:pPr>
        <w:numPr>
          <w:ilvl w:val="0"/>
          <w:numId w:val="6"/>
        </w:numPr>
        <w:spacing w:line="360" w:lineRule="auto"/>
        <w:ind w:left="476" w:hanging="476"/>
        <w:rPr>
          <w:rFonts w:ascii="宋体" w:cs="Times New Roman"/>
          <w:sz w:val="24"/>
          <w:szCs w:val="24"/>
          <w:lang w:val="zh-CN"/>
        </w:rPr>
      </w:pPr>
      <w:r>
        <w:rPr>
          <w:rFonts w:hint="eastAsia" w:ascii="宋体" w:hAnsi="宋体" w:cs="宋体"/>
          <w:b/>
          <w:bCs/>
          <w:sz w:val="24"/>
          <w:szCs w:val="24"/>
          <w:lang w:val="zh-CN"/>
        </w:rPr>
        <w:t>“服务”是指：</w:t>
      </w:r>
      <w:r>
        <w:rPr>
          <w:rFonts w:hint="eastAsia" w:ascii="宋体" w:hAnsi="宋体" w:cs="宋体"/>
          <w:sz w:val="24"/>
          <w:szCs w:val="24"/>
          <w:lang w:val="zh-CN"/>
        </w:rPr>
        <w:t>除货物和工程（含本章</w:t>
      </w:r>
      <w:r>
        <w:rPr>
          <w:rFonts w:ascii="宋体" w:hAnsi="宋体" w:cs="宋体"/>
          <w:sz w:val="24"/>
          <w:szCs w:val="24"/>
          <w:lang w:val="zh-CN"/>
        </w:rPr>
        <w:t>3.2</w:t>
      </w:r>
      <w:r>
        <w:rPr>
          <w:rFonts w:hint="eastAsia" w:ascii="宋体" w:hAnsi="宋体" w:cs="宋体"/>
          <w:sz w:val="24"/>
          <w:szCs w:val="24"/>
          <w:lang w:val="zh-CN"/>
        </w:rPr>
        <w:t>条所述工程及《招标投标法》所定义工程）以外的其他政府采购对象</w:t>
      </w:r>
      <w:r>
        <w:rPr>
          <w:rFonts w:ascii="宋体" w:cs="宋体"/>
          <w:sz w:val="24"/>
          <w:szCs w:val="24"/>
          <w:lang w:val="zh-CN"/>
        </w:rPr>
        <w:t>,</w:t>
      </w:r>
      <w:r>
        <w:rPr>
          <w:rFonts w:hint="eastAsia" w:ascii="宋体" w:hAnsi="宋体" w:cs="宋体"/>
          <w:sz w:val="24"/>
          <w:szCs w:val="24"/>
          <w:lang w:val="zh-CN"/>
        </w:rPr>
        <w:t>包括政府自身需要的服务和政府向社会公众提供的公共服务。</w:t>
      </w:r>
    </w:p>
    <w:p>
      <w:pPr>
        <w:numPr>
          <w:ilvl w:val="0"/>
          <w:numId w:val="6"/>
        </w:numPr>
        <w:spacing w:line="360" w:lineRule="auto"/>
        <w:ind w:left="476" w:hanging="476"/>
        <w:rPr>
          <w:rFonts w:ascii="宋体" w:cs="Times New Roman"/>
          <w:sz w:val="24"/>
          <w:szCs w:val="24"/>
          <w:lang w:val="zh-CN"/>
        </w:rPr>
      </w:pPr>
      <w:r>
        <w:rPr>
          <w:rFonts w:hint="eastAsia" w:ascii="宋体" w:hAnsi="宋体" w:cs="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投标费用</w:t>
      </w:r>
    </w:p>
    <w:p>
      <w:pPr>
        <w:numPr>
          <w:ilvl w:val="0"/>
          <w:numId w:val="8"/>
        </w:numPr>
        <w:spacing w:line="360" w:lineRule="auto"/>
        <w:ind w:left="476" w:hanging="476"/>
        <w:rPr>
          <w:rFonts w:ascii="宋体" w:cs="Times New Roman"/>
          <w:sz w:val="24"/>
          <w:szCs w:val="24"/>
          <w:lang w:val="zh-CN"/>
        </w:rPr>
      </w:pPr>
      <w:r>
        <w:rPr>
          <w:rFonts w:hint="eastAsia" w:ascii="宋体" w:hAnsi="宋体" w:cs="宋体"/>
          <w:sz w:val="24"/>
          <w:szCs w:val="24"/>
          <w:lang w:val="zh-CN"/>
        </w:rPr>
        <w:t>投标人应承担所有与准备和参加投标有关的费用。不论投标的结果如何，采购代理机构和采购人均无义务和责任承担这些费用。</w:t>
      </w:r>
    </w:p>
    <w:p>
      <w:pPr>
        <w:pStyle w:val="43"/>
        <w:numPr>
          <w:ilvl w:val="0"/>
          <w:numId w:val="8"/>
        </w:numPr>
        <w:adjustRightInd w:val="0"/>
        <w:snapToGrid w:val="0"/>
        <w:spacing w:line="300" w:lineRule="auto"/>
        <w:ind w:firstLineChars="0"/>
        <w:rPr>
          <w:rFonts w:ascii="宋体" w:cs="Times New Roman"/>
          <w:sz w:val="24"/>
          <w:szCs w:val="24"/>
        </w:rPr>
      </w:pPr>
      <w:r>
        <w:rPr>
          <w:rFonts w:hint="eastAsia" w:ascii="宋体" w:hAnsi="宋体" w:cs="宋体"/>
          <w:sz w:val="24"/>
          <w:szCs w:val="24"/>
        </w:rPr>
        <w:t>采购代理服务费</w:t>
      </w:r>
    </w:p>
    <w:p>
      <w:pPr>
        <w:pStyle w:val="43"/>
        <w:ind w:left="420" w:firstLine="0" w:firstLineChars="0"/>
        <w:rPr>
          <w:rFonts w:ascii="宋体" w:cs="Times New Roman"/>
          <w:sz w:val="24"/>
          <w:szCs w:val="24"/>
        </w:rPr>
      </w:pPr>
      <w:r>
        <w:rPr>
          <w:rFonts w:hint="eastAsia" w:ascii="宋体" w:hAnsi="宋体" w:cs="宋体"/>
          <w:sz w:val="24"/>
          <w:szCs w:val="24"/>
        </w:rPr>
        <w:t>经过采购代理机构与采购人协议，规定由中标单位支付。采购代理服务费收费标准如下：</w:t>
      </w:r>
    </w:p>
    <w:p>
      <w:pPr>
        <w:pStyle w:val="43"/>
        <w:ind w:left="420" w:firstLine="0" w:firstLineChars="0"/>
        <w:rPr>
          <w:rFonts w:ascii="宋体" w:cs="Times New Roman"/>
          <w:sz w:val="24"/>
          <w:szCs w:val="24"/>
        </w:rPr>
      </w:pPr>
    </w:p>
    <w:p>
      <w:pPr>
        <w:pStyle w:val="43"/>
        <w:ind w:left="420" w:firstLine="0" w:firstLineChars="0"/>
        <w:rPr>
          <w:rFonts w:ascii="宋体" w:cs="Times New Roman"/>
          <w:sz w:val="24"/>
          <w:szCs w:val="24"/>
        </w:rPr>
      </w:pPr>
    </w:p>
    <w:p>
      <w:pPr>
        <w:pStyle w:val="43"/>
        <w:ind w:left="420" w:firstLine="0" w:firstLineChars="0"/>
        <w:rPr>
          <w:rFonts w:ascii="宋体" w:cs="Times New Roman"/>
          <w:sz w:val="24"/>
          <w:szCs w:val="24"/>
        </w:rPr>
      </w:pPr>
    </w:p>
    <w:tbl>
      <w:tblPr>
        <w:tblStyle w:val="21"/>
        <w:tblW w:w="92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873" w:firstLineChars="416"/>
              <w:rPr>
                <w:rFonts w:ascii="宋体" w:cs="Times New Roman"/>
                <w:sz w:val="24"/>
                <w:szCs w:val="24"/>
              </w:rPr>
            </w:pPr>
            <w: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5"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7216;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BGc6zRAAAACQEAAA8AAAAAAAAAAQAgAAAAIgAAAGRy&#10;cy9kb3ducmV2LnhtbFBLAQIUABQAAAAIAIdO4kAo0RJf0wEAAKUDAAAOAAAAAAAAAAEAIAAAACA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6"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58240;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&#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4uAobVAAAACAEAAA8AAAAAAAAAAQAgAAAAIgAAAGRy&#10;cy9kb3ducmV2LnhtbFBLAQIUABQAAAAIAIdO4kButCmPzwEAAKUDAAAOAAAAAAAAAAEAIAAAACQ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0" t="0" r="0" b="0"/>
                      <wp:wrapNone/>
                      <wp:docPr id="7"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kdN+1QAAAAkBAAAPAAAAAAAAAAEAIAAAACIAAABkcnMvZG93bnJldi54bWxQSwEC&#10;FAAUAAAACACHTuJAEf6esb4BAACI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sz w:val="24"/>
                <w:szCs w:val="24"/>
              </w:rPr>
              <w:t>中标　　　</w:t>
            </w:r>
            <w:r>
              <w:rPr>
                <w:rFonts w:ascii="宋体" w:hAnsi="宋体" w:cs="宋体"/>
                <w:sz w:val="24"/>
                <w:szCs w:val="24"/>
              </w:rPr>
              <w:t xml:space="preserve"> </w:t>
            </w:r>
          </w:p>
          <w:p>
            <w:pPr>
              <w:spacing w:line="300" w:lineRule="auto"/>
              <w:ind w:firstLine="1504" w:firstLineChars="627"/>
              <w:rPr>
                <w:rFonts w:ascii="宋体" w:cs="Times New Roman"/>
                <w:sz w:val="24"/>
                <w:szCs w:val="24"/>
              </w:rPr>
            </w:pPr>
            <w:r>
              <w:rPr>
                <w:rFonts w:hint="eastAsia" w:ascii="宋体" w:hAnsi="宋体" w:cs="宋体"/>
                <w:sz w:val="24"/>
                <w:szCs w:val="24"/>
              </w:rPr>
              <w:t>费率</w:t>
            </w:r>
          </w:p>
          <w:p>
            <w:pPr>
              <w:spacing w:line="300" w:lineRule="auto"/>
              <w:rPr>
                <w:rFonts w:ascii="宋体" w:cs="Times New Roman"/>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cs="Times New Roman"/>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cs="Times New Roman"/>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cs="Times New Roman"/>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cs="Times New Roman"/>
                <w:sz w:val="24"/>
                <w:szCs w:val="24"/>
              </w:rPr>
            </w:pPr>
            <w:r>
              <w:rPr>
                <w:rFonts w:ascii="宋体" w:hAnsi="宋体" w:cs="宋体"/>
                <w:sz w:val="24"/>
                <w:szCs w:val="24"/>
              </w:rPr>
              <w:t>100</w:t>
            </w:r>
            <w:r>
              <w:rPr>
                <w:rFonts w:hint="eastAsia" w:ascii="宋体" w:hAnsi="宋体" w:cs="宋体"/>
                <w:sz w:val="24"/>
                <w:szCs w:val="24"/>
              </w:rPr>
              <w:t>以下</w:t>
            </w:r>
          </w:p>
        </w:tc>
        <w:tc>
          <w:tcPr>
            <w:tcW w:w="2470" w:type="dxa"/>
          </w:tcPr>
          <w:p>
            <w:pPr>
              <w:spacing w:line="300" w:lineRule="auto"/>
              <w:jc w:val="center"/>
              <w:rPr>
                <w:rFonts w:ascii="宋体" w:hAnsi="宋体" w:cs="宋体"/>
                <w:sz w:val="24"/>
                <w:szCs w:val="24"/>
              </w:rPr>
            </w:pPr>
            <w:r>
              <w:rPr>
                <w:rFonts w:ascii="宋体" w:hAnsi="宋体" w:cs="宋体"/>
                <w:sz w:val="24"/>
                <w:szCs w:val="24"/>
              </w:rPr>
              <w:t>1.5%</w:t>
            </w:r>
          </w:p>
        </w:tc>
        <w:tc>
          <w:tcPr>
            <w:tcW w:w="2148" w:type="dxa"/>
          </w:tcPr>
          <w:p>
            <w:pPr>
              <w:spacing w:line="300" w:lineRule="auto"/>
              <w:jc w:val="center"/>
              <w:rPr>
                <w:rFonts w:ascii="宋体" w:hAnsi="宋体" w:cs="宋体"/>
                <w:sz w:val="24"/>
                <w:szCs w:val="24"/>
              </w:rPr>
            </w:pPr>
            <w:r>
              <w:rPr>
                <w:rFonts w:ascii="宋体" w:hAnsi="宋体" w:cs="宋体"/>
                <w:sz w:val="24"/>
                <w:szCs w:val="24"/>
              </w:rPr>
              <w:t>1.5%</w:t>
            </w:r>
          </w:p>
        </w:tc>
        <w:tc>
          <w:tcPr>
            <w:tcW w:w="2148" w:type="dxa"/>
          </w:tcPr>
          <w:p>
            <w:pPr>
              <w:spacing w:line="300" w:lineRule="auto"/>
              <w:jc w:val="center"/>
              <w:rPr>
                <w:rFonts w:ascii="宋体" w:cs="Times New Roman"/>
                <w:sz w:val="24"/>
                <w:szCs w:val="24"/>
              </w:rPr>
            </w:pPr>
            <w:r>
              <w:rPr>
                <w:rFonts w:ascii="宋体" w:hAnsi="宋体" w:cs="宋体"/>
                <w:sz w:val="24"/>
                <w:szCs w:val="24"/>
              </w:rPr>
              <w:t>1.00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ascii="宋体" w:hAnsi="宋体" w:cs="宋体"/>
                <w:sz w:val="24"/>
                <w:szCs w:val="24"/>
              </w:rPr>
              <w:t>100-500</w:t>
            </w:r>
          </w:p>
        </w:tc>
        <w:tc>
          <w:tcPr>
            <w:tcW w:w="2470" w:type="dxa"/>
          </w:tcPr>
          <w:p>
            <w:pPr>
              <w:spacing w:line="300" w:lineRule="auto"/>
              <w:jc w:val="center"/>
              <w:rPr>
                <w:rFonts w:ascii="宋体" w:hAnsi="宋体" w:cs="宋体"/>
                <w:sz w:val="24"/>
                <w:szCs w:val="24"/>
              </w:rPr>
            </w:pPr>
            <w:r>
              <w:rPr>
                <w:rFonts w:ascii="宋体" w:hAnsi="宋体" w:cs="宋体"/>
                <w:sz w:val="24"/>
                <w:szCs w:val="24"/>
              </w:rPr>
              <w:t>1.1%</w:t>
            </w:r>
          </w:p>
        </w:tc>
        <w:tc>
          <w:tcPr>
            <w:tcW w:w="2148" w:type="dxa"/>
          </w:tcPr>
          <w:p>
            <w:pPr>
              <w:spacing w:line="300" w:lineRule="auto"/>
              <w:jc w:val="center"/>
              <w:rPr>
                <w:rFonts w:ascii="宋体" w:hAnsi="宋体" w:cs="宋体"/>
                <w:sz w:val="24"/>
                <w:szCs w:val="24"/>
              </w:rPr>
            </w:pPr>
            <w:r>
              <w:rPr>
                <w:rFonts w:ascii="宋体" w:hAnsi="宋体" w:cs="宋体"/>
                <w:sz w:val="24"/>
                <w:szCs w:val="24"/>
              </w:rPr>
              <w:t>0.8%</w:t>
            </w:r>
          </w:p>
        </w:tc>
        <w:tc>
          <w:tcPr>
            <w:tcW w:w="2148" w:type="dxa"/>
          </w:tcPr>
          <w:p>
            <w:pPr>
              <w:spacing w:line="300" w:lineRule="auto"/>
              <w:jc w:val="center"/>
              <w:rPr>
                <w:rFonts w:ascii="宋体" w:cs="Times New Roman"/>
                <w:sz w:val="24"/>
                <w:szCs w:val="24"/>
              </w:rPr>
            </w:pPr>
            <w:r>
              <w:rPr>
                <w:rFonts w:ascii="宋体" w:hAnsi="宋体" w:cs="宋体"/>
                <w:sz w:val="24"/>
                <w:szCs w:val="24"/>
              </w:rPr>
              <w:t>0.70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ascii="宋体" w:hAnsi="宋体" w:cs="宋体"/>
                <w:sz w:val="24"/>
                <w:szCs w:val="24"/>
              </w:rPr>
              <w:t>0.8%</w:t>
            </w:r>
          </w:p>
        </w:tc>
        <w:tc>
          <w:tcPr>
            <w:tcW w:w="2148" w:type="dxa"/>
          </w:tcPr>
          <w:p>
            <w:pPr>
              <w:spacing w:line="300" w:lineRule="auto"/>
              <w:jc w:val="center"/>
              <w:rPr>
                <w:rFonts w:ascii="宋体" w:hAnsi="宋体" w:cs="宋体"/>
                <w:sz w:val="24"/>
                <w:szCs w:val="24"/>
              </w:rPr>
            </w:pPr>
            <w:r>
              <w:rPr>
                <w:rFonts w:ascii="宋体" w:hAnsi="宋体" w:cs="宋体"/>
                <w:sz w:val="24"/>
                <w:szCs w:val="24"/>
              </w:rPr>
              <w:t>0.45%</w:t>
            </w:r>
          </w:p>
        </w:tc>
        <w:tc>
          <w:tcPr>
            <w:tcW w:w="2148" w:type="dxa"/>
          </w:tcPr>
          <w:p>
            <w:pPr>
              <w:spacing w:line="300" w:lineRule="auto"/>
              <w:jc w:val="center"/>
              <w:rPr>
                <w:rFonts w:ascii="宋体" w:cs="Times New Roman"/>
                <w:sz w:val="24"/>
                <w:szCs w:val="24"/>
              </w:rPr>
            </w:pPr>
            <w:r>
              <w:rPr>
                <w:rFonts w:ascii="宋体" w:hAnsi="宋体" w:cs="宋体"/>
                <w:sz w:val="24"/>
                <w:szCs w:val="24"/>
              </w:rPr>
              <w:t>0.55</w:t>
            </w:r>
            <w:r>
              <w:rPr>
                <w:rFonts w:hint="eastAsia" w:ascii="宋体" w:hAnsi="宋体" w:cs="宋体"/>
                <w:sz w:val="24"/>
                <w:szCs w:val="24"/>
              </w:rPr>
              <w:t>％</w:t>
            </w:r>
          </w:p>
        </w:tc>
      </w:tr>
    </w:tbl>
    <w:p>
      <w:pPr>
        <w:pStyle w:val="43"/>
        <w:adjustRightInd w:val="0"/>
        <w:snapToGrid w:val="0"/>
        <w:spacing w:line="300" w:lineRule="auto"/>
        <w:ind w:left="420" w:firstLine="0" w:firstLineChars="0"/>
        <w:rPr>
          <w:rFonts w:ascii="宋体" w:cs="Times New Roman"/>
          <w:sz w:val="24"/>
          <w:szCs w:val="24"/>
        </w:rPr>
      </w:pPr>
    </w:p>
    <w:p>
      <w:pPr>
        <w:pStyle w:val="4"/>
        <w:numPr>
          <w:ilvl w:val="0"/>
          <w:numId w:val="3"/>
        </w:numPr>
        <w:spacing w:before="40" w:after="40" w:line="360" w:lineRule="auto"/>
        <w:ind w:left="658" w:hanging="658"/>
        <w:jc w:val="left"/>
        <w:rPr>
          <w:rFonts w:ascii="宋体" w:cs="Times New Roman"/>
          <w:lang w:val="zh-CN"/>
        </w:rPr>
      </w:pPr>
      <w:bookmarkStart w:id="10" w:name="_Toc494561939"/>
      <w:bookmarkStart w:id="11" w:name="_Toc272247695"/>
      <w:bookmarkStart w:id="12" w:name="_Toc278891592"/>
      <w:bookmarkStart w:id="13" w:name="_Toc509323118"/>
      <w:bookmarkStart w:id="14" w:name="_Toc495861521"/>
      <w:r>
        <w:rPr>
          <w:rFonts w:hint="eastAsia" w:ascii="宋体" w:hAnsi="宋体" w:cs="宋体"/>
          <w:lang w:val="zh-CN"/>
        </w:rPr>
        <w:t>招标文件</w:t>
      </w:r>
      <w:bookmarkEnd w:id="10"/>
      <w:bookmarkEnd w:id="11"/>
      <w:bookmarkEnd w:id="12"/>
      <w:bookmarkEnd w:id="13"/>
      <w:bookmarkEnd w:id="14"/>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招标文件的构成</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第一章</w:t>
      </w:r>
      <w:r>
        <w:rPr>
          <w:rFonts w:ascii="宋体" w:hAnsi="宋体" w:cs="宋体"/>
          <w:sz w:val="24"/>
          <w:szCs w:val="24"/>
          <w:lang w:val="zh-CN"/>
        </w:rPr>
        <w:t xml:space="preserve"> </w:t>
      </w:r>
      <w:r>
        <w:rPr>
          <w:rFonts w:hint="eastAsia" w:ascii="宋体" w:hAnsi="宋体" w:cs="宋体"/>
          <w:sz w:val="24"/>
          <w:szCs w:val="24"/>
          <w:lang w:val="zh-CN"/>
        </w:rPr>
        <w:t>投标邀请书</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第二章</w:t>
      </w:r>
      <w:r>
        <w:rPr>
          <w:rFonts w:ascii="宋体" w:hAnsi="宋体" w:cs="宋体"/>
          <w:sz w:val="24"/>
          <w:szCs w:val="24"/>
          <w:lang w:val="zh-CN"/>
        </w:rPr>
        <w:t xml:space="preserve"> </w:t>
      </w:r>
      <w:r>
        <w:rPr>
          <w:rFonts w:hint="eastAsia" w:ascii="宋体" w:hAnsi="宋体" w:cs="宋体"/>
          <w:sz w:val="24"/>
          <w:szCs w:val="24"/>
          <w:lang w:val="zh-CN"/>
        </w:rPr>
        <w:t>投标人须知</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第三章</w:t>
      </w:r>
      <w:r>
        <w:rPr>
          <w:rFonts w:ascii="宋体" w:hAnsi="宋体" w:cs="宋体"/>
          <w:sz w:val="24"/>
          <w:szCs w:val="24"/>
          <w:lang w:val="zh-CN"/>
        </w:rPr>
        <w:t xml:space="preserve"> </w:t>
      </w:r>
      <w:r>
        <w:rPr>
          <w:rFonts w:hint="eastAsia" w:ascii="宋体" w:hAnsi="宋体" w:cs="宋体"/>
          <w:sz w:val="24"/>
          <w:szCs w:val="24"/>
          <w:lang w:val="zh-CN"/>
        </w:rPr>
        <w:t>项目技术、服务及商务要求</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第四章</w:t>
      </w:r>
      <w:r>
        <w:rPr>
          <w:rFonts w:ascii="宋体" w:hAnsi="宋体" w:cs="宋体"/>
          <w:sz w:val="24"/>
          <w:szCs w:val="24"/>
          <w:lang w:val="zh-CN"/>
        </w:rPr>
        <w:t xml:space="preserve"> </w:t>
      </w:r>
      <w:r>
        <w:rPr>
          <w:rFonts w:hint="eastAsia" w:ascii="宋体" w:hAnsi="宋体" w:cs="宋体"/>
          <w:sz w:val="24"/>
          <w:szCs w:val="24"/>
          <w:lang w:val="zh-CN"/>
        </w:rPr>
        <w:t>资格审查方法及标准</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第五章</w:t>
      </w:r>
      <w:r>
        <w:rPr>
          <w:rFonts w:ascii="宋体" w:hAnsi="宋体" w:cs="宋体"/>
          <w:sz w:val="24"/>
          <w:szCs w:val="24"/>
          <w:lang w:val="zh-CN"/>
        </w:rPr>
        <w:t xml:space="preserve"> </w:t>
      </w:r>
      <w:r>
        <w:rPr>
          <w:rFonts w:hint="eastAsia" w:ascii="宋体" w:hAnsi="宋体" w:cs="宋体"/>
          <w:sz w:val="24"/>
          <w:szCs w:val="24"/>
          <w:lang w:val="zh-CN"/>
        </w:rPr>
        <w:t>评标方法、程序及标准</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第六章</w:t>
      </w:r>
      <w:r>
        <w:rPr>
          <w:rFonts w:ascii="宋体" w:hAnsi="宋体" w:cs="宋体"/>
          <w:sz w:val="24"/>
          <w:szCs w:val="24"/>
          <w:lang w:val="zh-CN"/>
        </w:rPr>
        <w:t xml:space="preserve"> </w:t>
      </w:r>
      <w:r>
        <w:rPr>
          <w:rFonts w:hint="eastAsia" w:ascii="宋体" w:hAnsi="宋体" w:cs="宋体"/>
          <w:sz w:val="24"/>
          <w:szCs w:val="24"/>
          <w:lang w:val="zh-CN"/>
        </w:rPr>
        <w:t>合同书格式（参考）</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第七章</w:t>
      </w:r>
      <w:r>
        <w:rPr>
          <w:rFonts w:ascii="宋体" w:hAnsi="宋体" w:cs="宋体"/>
          <w:sz w:val="24"/>
          <w:szCs w:val="24"/>
          <w:lang w:val="zh-CN"/>
        </w:rPr>
        <w:t xml:space="preserve"> </w:t>
      </w:r>
      <w:r>
        <w:rPr>
          <w:rFonts w:hint="eastAsia" w:ascii="宋体" w:hAnsi="宋体" w:cs="宋体"/>
          <w:sz w:val="24"/>
          <w:szCs w:val="24"/>
          <w:lang w:val="zh-CN"/>
        </w:rPr>
        <w:t>投标文件格式（参考）</w:t>
      </w:r>
    </w:p>
    <w:p>
      <w:pPr>
        <w:tabs>
          <w:tab w:val="left" w:pos="476"/>
        </w:tabs>
        <w:spacing w:line="360" w:lineRule="auto"/>
        <w:ind w:left="476"/>
        <w:rPr>
          <w:rFonts w:ascii="宋体" w:cs="Times New Roman"/>
          <w:sz w:val="24"/>
          <w:szCs w:val="24"/>
          <w:lang w:val="zh-CN"/>
        </w:rPr>
      </w:pPr>
      <w:r>
        <w:rPr>
          <w:rFonts w:hint="eastAsia" w:ascii="宋体" w:hAnsi="宋体" w:cs="宋体"/>
          <w:sz w:val="24"/>
          <w:szCs w:val="24"/>
          <w:lang w:val="zh-CN"/>
        </w:rPr>
        <w:t>其</w:t>
      </w:r>
      <w:r>
        <w:rPr>
          <w:rFonts w:ascii="宋体" w:hAnsi="宋体" w:cs="宋体"/>
          <w:sz w:val="24"/>
          <w:szCs w:val="24"/>
          <w:lang w:val="zh-CN"/>
        </w:rPr>
        <w:t xml:space="preserve"> </w:t>
      </w:r>
      <w:r>
        <w:rPr>
          <w:rFonts w:hint="eastAsia" w:ascii="宋体" w:hAnsi="宋体" w:cs="宋体"/>
          <w:sz w:val="24"/>
          <w:szCs w:val="24"/>
          <w:lang w:val="zh-CN"/>
        </w:rPr>
        <w:t>他</w:t>
      </w:r>
      <w:r>
        <w:rPr>
          <w:rFonts w:ascii="宋体" w:hAnsi="宋体" w:cs="宋体"/>
          <w:sz w:val="24"/>
          <w:szCs w:val="24"/>
          <w:lang w:val="zh-CN"/>
        </w:rPr>
        <w:t xml:space="preserve">  </w:t>
      </w:r>
      <w:r>
        <w:rPr>
          <w:rFonts w:hint="eastAsia" w:ascii="宋体" w:hAnsi="宋体" w:cs="宋体"/>
          <w:sz w:val="24"/>
          <w:szCs w:val="24"/>
          <w:lang w:val="zh-CN"/>
        </w:rPr>
        <w:t>在招标过程中由采购</w:t>
      </w:r>
      <w:r>
        <w:rPr>
          <w:rFonts w:hint="eastAsia" w:ascii="宋体" w:hAnsi="宋体" w:cs="宋体"/>
          <w:sz w:val="24"/>
          <w:szCs w:val="24"/>
        </w:rPr>
        <w:t>代理</w:t>
      </w:r>
      <w:r>
        <w:rPr>
          <w:rFonts w:hint="eastAsia" w:ascii="宋体" w:hAnsi="宋体" w:cs="宋体"/>
          <w:sz w:val="24"/>
          <w:szCs w:val="24"/>
          <w:lang w:val="zh-CN"/>
        </w:rPr>
        <w:t>机构发出的修正和补充文件等</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招标文件疑问的提交</w:t>
      </w:r>
    </w:p>
    <w:p>
      <w:pPr>
        <w:numPr>
          <w:ilvl w:val="0"/>
          <w:numId w:val="9"/>
        </w:numPr>
        <w:spacing w:line="360" w:lineRule="auto"/>
        <w:ind w:left="476" w:hanging="476"/>
        <w:rPr>
          <w:rFonts w:ascii="宋体" w:cs="Times New Roman"/>
          <w:sz w:val="24"/>
          <w:szCs w:val="24"/>
          <w:lang w:val="zh-CN"/>
        </w:rPr>
      </w:pPr>
      <w:r>
        <w:rPr>
          <w:rFonts w:hint="eastAsia" w:ascii="宋体" w:hAnsi="宋体" w:cs="宋体"/>
          <w:sz w:val="24"/>
          <w:szCs w:val="24"/>
          <w:lang w:val="zh-CN"/>
        </w:rPr>
        <w:t>潜在投标人对招标文件有疑问的，可以向采购</w:t>
      </w:r>
      <w:r>
        <w:rPr>
          <w:rFonts w:hint="eastAsia" w:ascii="宋体" w:hAnsi="宋体" w:cs="宋体"/>
          <w:sz w:val="24"/>
          <w:szCs w:val="24"/>
        </w:rPr>
        <w:t>代理</w:t>
      </w:r>
      <w:r>
        <w:rPr>
          <w:rFonts w:hint="eastAsia" w:ascii="宋体" w:hAnsi="宋体" w:cs="宋体"/>
          <w:sz w:val="24"/>
          <w:szCs w:val="24"/>
          <w:lang w:val="zh-CN"/>
        </w:rPr>
        <w:t>机构提出询问，或在</w:t>
      </w:r>
      <w:r>
        <w:rPr>
          <w:rFonts w:ascii="宋体" w:hAnsi="宋体" w:cs="宋体"/>
          <w:sz w:val="24"/>
          <w:szCs w:val="24"/>
          <w:lang w:val="zh-CN"/>
        </w:rPr>
        <w:t>6.2</w:t>
      </w:r>
      <w:r>
        <w:rPr>
          <w:rFonts w:hint="eastAsia" w:ascii="宋体" w:hAnsi="宋体" w:cs="宋体"/>
          <w:sz w:val="24"/>
          <w:szCs w:val="24"/>
          <w:lang w:val="zh-CN"/>
        </w:rPr>
        <w:t>规定的时间前以书面的形式向采购</w:t>
      </w:r>
      <w:r>
        <w:rPr>
          <w:rFonts w:hint="eastAsia" w:ascii="宋体" w:hAnsi="宋体" w:cs="宋体"/>
          <w:sz w:val="24"/>
          <w:szCs w:val="24"/>
        </w:rPr>
        <w:t>代理</w:t>
      </w:r>
      <w:r>
        <w:rPr>
          <w:rFonts w:hint="eastAsia" w:ascii="宋体" w:hAnsi="宋体" w:cs="宋体"/>
          <w:sz w:val="24"/>
          <w:szCs w:val="24"/>
          <w:lang w:val="zh-CN"/>
        </w:rPr>
        <w:t>机构提交疑问函。</w:t>
      </w:r>
    </w:p>
    <w:p>
      <w:pPr>
        <w:numPr>
          <w:ilvl w:val="0"/>
          <w:numId w:val="9"/>
        </w:numPr>
        <w:spacing w:line="360" w:lineRule="auto"/>
        <w:ind w:left="476" w:hanging="476"/>
        <w:rPr>
          <w:rFonts w:ascii="宋体" w:cs="Times New Roman"/>
          <w:sz w:val="24"/>
          <w:szCs w:val="24"/>
          <w:lang w:val="zh-CN"/>
        </w:rPr>
      </w:pPr>
      <w:r>
        <w:rPr>
          <w:rFonts w:hint="eastAsia" w:ascii="宋体" w:hAnsi="宋体" w:cs="宋体"/>
          <w:sz w:val="24"/>
          <w:szCs w:val="24"/>
          <w:lang w:val="zh-CN"/>
        </w:rPr>
        <w:t>潜在投标人在项目招标公告期限届满之日起</w:t>
      </w:r>
      <w:r>
        <w:rPr>
          <w:rFonts w:ascii="宋体" w:hAnsi="宋体" w:cs="宋体"/>
          <w:sz w:val="24"/>
          <w:szCs w:val="24"/>
          <w:lang w:val="zh-CN"/>
        </w:rPr>
        <w:t>7</w:t>
      </w:r>
      <w:r>
        <w:rPr>
          <w:rFonts w:hint="eastAsia" w:ascii="宋体" w:hAnsi="宋体" w:cs="宋体"/>
          <w:sz w:val="24"/>
          <w:szCs w:val="24"/>
          <w:lang w:val="zh-CN"/>
        </w:rPr>
        <w:t>个工作日内未对招标文件提出疑问的，采购</w:t>
      </w:r>
      <w:r>
        <w:rPr>
          <w:rFonts w:hint="eastAsia" w:ascii="宋体" w:hAnsi="宋体" w:cs="宋体"/>
          <w:sz w:val="24"/>
          <w:szCs w:val="24"/>
        </w:rPr>
        <w:t>代理</w:t>
      </w:r>
      <w:r>
        <w:rPr>
          <w:rFonts w:hint="eastAsia" w:ascii="宋体" w:hAnsi="宋体" w:cs="宋体"/>
          <w:sz w:val="24"/>
          <w:szCs w:val="24"/>
          <w:lang w:val="zh-CN"/>
        </w:rPr>
        <w:t>机构将视其认同招标文件，在规定的时间后就招标文件内容提出的疑问将不予受理。</w:t>
      </w:r>
    </w:p>
    <w:p>
      <w:pPr>
        <w:numPr>
          <w:ilvl w:val="0"/>
          <w:numId w:val="9"/>
        </w:numPr>
        <w:spacing w:line="360" w:lineRule="auto"/>
        <w:ind w:left="476" w:hanging="476"/>
        <w:rPr>
          <w:rFonts w:ascii="宋体" w:cs="Times New Roman"/>
          <w:sz w:val="24"/>
          <w:szCs w:val="24"/>
          <w:lang w:val="zh-CN"/>
        </w:rPr>
      </w:pPr>
      <w:r>
        <w:rPr>
          <w:rFonts w:hint="eastAsia" w:ascii="宋体" w:hAnsi="宋体" w:cs="宋体"/>
          <w:sz w:val="24"/>
          <w:szCs w:val="24"/>
          <w:lang w:val="zh-CN"/>
        </w:rPr>
        <w:t>采购</w:t>
      </w:r>
      <w:r>
        <w:rPr>
          <w:rFonts w:hint="eastAsia" w:ascii="宋体" w:hAnsi="宋体" w:cs="宋体"/>
          <w:sz w:val="24"/>
          <w:szCs w:val="24"/>
        </w:rPr>
        <w:t>代理</w:t>
      </w:r>
      <w:r>
        <w:rPr>
          <w:rFonts w:hint="eastAsia" w:ascii="宋体" w:hAnsi="宋体" w:cs="宋体"/>
          <w:sz w:val="24"/>
          <w:szCs w:val="24"/>
          <w:lang w:val="zh-CN"/>
        </w:rPr>
        <w:t>机构将组织采购人对潜在投标人所提交疑问以书面（或网上公告）的形式予以答复。必要时，采购</w:t>
      </w:r>
      <w:r>
        <w:rPr>
          <w:rFonts w:hint="eastAsia" w:ascii="宋体" w:hAnsi="宋体" w:cs="宋体"/>
          <w:sz w:val="24"/>
          <w:szCs w:val="24"/>
        </w:rPr>
        <w:t>代理</w:t>
      </w:r>
      <w:r>
        <w:rPr>
          <w:rFonts w:hint="eastAsia" w:ascii="宋体" w:hAnsi="宋体" w:cs="宋体"/>
          <w:sz w:val="24"/>
          <w:szCs w:val="24"/>
          <w:lang w:val="zh-CN"/>
        </w:rPr>
        <w:t>机构将组织相关专家召开答疑会，并将会议内容以书面的形式发给每个领取招标文件的潜在投标人（答复中不包括问题的来源）。</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招标文件的澄清、修改</w:t>
      </w:r>
    </w:p>
    <w:p>
      <w:pPr>
        <w:numPr>
          <w:ilvl w:val="0"/>
          <w:numId w:val="10"/>
        </w:numPr>
        <w:spacing w:line="360" w:lineRule="auto"/>
        <w:ind w:left="476" w:hanging="476"/>
        <w:rPr>
          <w:rFonts w:ascii="Helvetica" w:hAnsi="Helvetica" w:cs="Helvetica"/>
          <w:kern w:val="0"/>
          <w:sz w:val="24"/>
          <w:szCs w:val="24"/>
          <w:lang w:val="zh-CN"/>
        </w:rPr>
      </w:pPr>
      <w:r>
        <w:rPr>
          <w:rFonts w:hint="eastAsia" w:ascii="宋体" w:hAnsi="宋体" w:cs="宋体"/>
          <w:sz w:val="24"/>
          <w:szCs w:val="24"/>
          <w:lang w:val="zh-CN"/>
        </w:rPr>
        <w:t>采购</w:t>
      </w:r>
      <w:r>
        <w:rPr>
          <w:rFonts w:hint="eastAsia" w:ascii="宋体" w:hAnsi="宋体" w:cs="宋体"/>
          <w:sz w:val="24"/>
          <w:szCs w:val="24"/>
        </w:rPr>
        <w:t>代理</w:t>
      </w:r>
      <w:r>
        <w:rPr>
          <w:rFonts w:hint="eastAsia" w:ascii="宋体" w:hAnsi="宋体" w:cs="宋体"/>
          <w:sz w:val="24"/>
          <w:szCs w:val="24"/>
          <w:lang w:val="zh-CN"/>
        </w:rPr>
        <w:t>机构和采购人可以对已发出的招标文件进行必要的澄清或者修改。</w:t>
      </w:r>
      <w:r>
        <w:rPr>
          <w:rFonts w:hint="eastAsia" w:ascii="Helvetica" w:hAnsi="Helvetica" w:cs="宋体"/>
          <w:kern w:val="0"/>
          <w:sz w:val="24"/>
          <w:szCs w:val="24"/>
          <w:lang w:val="zh-CN"/>
        </w:rPr>
        <w:t>澄清或者修改将在原公告发布媒体上发布澄清公告。澄清或者修改的内容可能影响投标文件编制的，采购</w:t>
      </w:r>
      <w:r>
        <w:rPr>
          <w:rFonts w:hint="eastAsia" w:ascii="Helvetica" w:hAnsi="Helvetica" w:cs="宋体"/>
          <w:kern w:val="0"/>
          <w:sz w:val="24"/>
          <w:szCs w:val="24"/>
        </w:rPr>
        <w:t>代理</w:t>
      </w:r>
      <w:r>
        <w:rPr>
          <w:rFonts w:hint="eastAsia" w:ascii="Helvetica" w:hAnsi="Helvetica" w:cs="宋体"/>
          <w:kern w:val="0"/>
          <w:sz w:val="24"/>
          <w:szCs w:val="24"/>
          <w:lang w:val="zh-CN"/>
        </w:rPr>
        <w:t>机构和采购人将在投标截止时间至少</w:t>
      </w:r>
      <w:r>
        <w:rPr>
          <w:rFonts w:ascii="宋体" w:hAnsi="宋体" w:cs="宋体"/>
          <w:sz w:val="24"/>
          <w:szCs w:val="24"/>
          <w:lang w:val="zh-CN"/>
        </w:rPr>
        <w:t>15</w:t>
      </w:r>
      <w:r>
        <w:rPr>
          <w:rFonts w:hint="eastAsia" w:ascii="Helvetica" w:hAnsi="Helvetica" w:cs="宋体"/>
          <w:kern w:val="0"/>
          <w:sz w:val="24"/>
          <w:szCs w:val="24"/>
          <w:lang w:val="zh-CN"/>
        </w:rPr>
        <w:t>日前，以书面</w:t>
      </w:r>
      <w:r>
        <w:rPr>
          <w:rFonts w:hint="eastAsia" w:ascii="宋体" w:hAnsi="宋体" w:cs="宋体"/>
          <w:sz w:val="24"/>
          <w:szCs w:val="24"/>
          <w:lang w:val="zh-CN"/>
        </w:rPr>
        <w:t>（或网上公告）</w:t>
      </w:r>
      <w:r>
        <w:rPr>
          <w:rFonts w:hint="eastAsia" w:ascii="Helvetica" w:hAnsi="Helvetica" w:cs="宋体"/>
          <w:kern w:val="0"/>
          <w:sz w:val="24"/>
          <w:szCs w:val="24"/>
          <w:lang w:val="zh-CN"/>
        </w:rPr>
        <w:t>形式通知所有获取招标文件的潜在投标人。</w:t>
      </w:r>
    </w:p>
    <w:p>
      <w:pPr>
        <w:numPr>
          <w:ilvl w:val="0"/>
          <w:numId w:val="10"/>
        </w:numPr>
        <w:spacing w:line="360" w:lineRule="auto"/>
        <w:ind w:left="476" w:hanging="476"/>
        <w:rPr>
          <w:rFonts w:ascii="宋体" w:cs="Times New Roman"/>
          <w:sz w:val="24"/>
          <w:szCs w:val="24"/>
          <w:lang w:val="zh-CN"/>
        </w:rPr>
      </w:pPr>
      <w:r>
        <w:rPr>
          <w:rFonts w:hint="eastAsia" w:ascii="宋体" w:hAnsi="宋体" w:cs="宋体"/>
          <w:sz w:val="24"/>
          <w:szCs w:val="24"/>
          <w:lang w:val="zh-CN"/>
        </w:rPr>
        <w:t>为使潜在投标人有充足时间对招标文件的澄清或者修改的内容进行研究和响应，采购</w:t>
      </w:r>
      <w:r>
        <w:rPr>
          <w:rFonts w:hint="eastAsia" w:ascii="宋体" w:hAnsi="宋体" w:cs="宋体"/>
          <w:sz w:val="24"/>
          <w:szCs w:val="24"/>
        </w:rPr>
        <w:t>代理</w:t>
      </w:r>
      <w:r>
        <w:rPr>
          <w:rFonts w:hint="eastAsia" w:ascii="宋体" w:hAnsi="宋体" w:cs="宋体"/>
          <w:sz w:val="24"/>
          <w:szCs w:val="24"/>
          <w:lang w:val="zh-CN"/>
        </w:rPr>
        <w:t>机构和采购人可适当顺延提交投标文件的截止时间，并以书面（或网上公告）的形式通知所有领取招标文件的潜在投标人。</w:t>
      </w:r>
    </w:p>
    <w:p>
      <w:pPr>
        <w:numPr>
          <w:ilvl w:val="0"/>
          <w:numId w:val="10"/>
        </w:numPr>
        <w:spacing w:line="360" w:lineRule="auto"/>
        <w:ind w:left="476" w:hanging="476"/>
        <w:rPr>
          <w:rFonts w:ascii="宋体" w:cs="Times New Roman"/>
          <w:sz w:val="24"/>
          <w:szCs w:val="24"/>
          <w:lang w:val="zh-CN"/>
        </w:rPr>
      </w:pPr>
      <w:r>
        <w:rPr>
          <w:rFonts w:hint="eastAsia" w:ascii="宋体" w:hAnsi="宋体" w:cs="宋体"/>
          <w:sz w:val="24"/>
          <w:szCs w:val="24"/>
          <w:lang w:val="zh-CN"/>
        </w:rPr>
        <w:t>澄清或者修改的内容为招标文件的组成部分，并对潜在投标人具有约束力。</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现场考察</w:t>
      </w:r>
    </w:p>
    <w:p>
      <w:pPr>
        <w:numPr>
          <w:ilvl w:val="0"/>
          <w:numId w:val="11"/>
        </w:numPr>
        <w:spacing w:line="360" w:lineRule="auto"/>
        <w:ind w:left="476" w:hanging="476"/>
        <w:rPr>
          <w:rFonts w:ascii="宋体" w:cs="Times New Roman"/>
          <w:sz w:val="24"/>
          <w:szCs w:val="24"/>
          <w:lang w:val="zh-CN"/>
        </w:rPr>
      </w:pPr>
      <w:r>
        <w:rPr>
          <w:rFonts w:hint="eastAsia" w:ascii="宋体" w:hAnsi="宋体" w:cs="宋体"/>
          <w:sz w:val="24"/>
          <w:szCs w:val="24"/>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1"/>
        </w:numPr>
        <w:spacing w:line="360" w:lineRule="auto"/>
        <w:ind w:left="476" w:hanging="476"/>
        <w:rPr>
          <w:rFonts w:ascii="宋体" w:cs="Times New Roman"/>
          <w:sz w:val="24"/>
          <w:szCs w:val="24"/>
          <w:lang w:val="zh-CN"/>
        </w:rPr>
      </w:pPr>
      <w:r>
        <w:rPr>
          <w:rFonts w:hint="eastAsia" w:ascii="宋体" w:hAnsi="宋体" w:cs="宋体"/>
          <w:sz w:val="24"/>
          <w:szCs w:val="24"/>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1"/>
        </w:numPr>
        <w:spacing w:line="360" w:lineRule="auto"/>
        <w:ind w:left="476" w:hanging="476"/>
        <w:rPr>
          <w:rFonts w:ascii="宋体" w:cs="Times New Roman"/>
          <w:sz w:val="24"/>
          <w:szCs w:val="24"/>
          <w:lang w:val="zh-CN"/>
        </w:rPr>
      </w:pPr>
      <w:r>
        <w:rPr>
          <w:rFonts w:hint="eastAsia" w:ascii="宋体" w:hAnsi="宋体" w:cs="宋体"/>
          <w:sz w:val="24"/>
          <w:szCs w:val="24"/>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3"/>
        </w:numPr>
        <w:spacing w:before="40" w:after="40" w:line="360" w:lineRule="auto"/>
        <w:ind w:left="658" w:hanging="658"/>
        <w:jc w:val="left"/>
        <w:rPr>
          <w:rFonts w:ascii="宋体" w:cs="Times New Roman"/>
          <w:lang w:val="zh-CN"/>
        </w:rPr>
      </w:pPr>
      <w:bookmarkStart w:id="15" w:name="_Toc495861522"/>
      <w:bookmarkStart w:id="16" w:name="_Toc272247696"/>
      <w:bookmarkStart w:id="17" w:name="_Toc509323119"/>
      <w:bookmarkStart w:id="18" w:name="_Toc494561940"/>
      <w:bookmarkStart w:id="19" w:name="_Toc278891593"/>
      <w:r>
        <w:rPr>
          <w:rFonts w:hint="eastAsia" w:ascii="宋体" w:hAnsi="宋体" w:cs="宋体"/>
          <w:lang w:val="zh-CN"/>
        </w:rPr>
        <w:t>投标文件</w:t>
      </w:r>
      <w:bookmarkEnd w:id="15"/>
      <w:bookmarkEnd w:id="16"/>
      <w:bookmarkEnd w:id="17"/>
      <w:bookmarkEnd w:id="18"/>
      <w:bookmarkEnd w:id="19"/>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投标的语言</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投标人提交的投标文件以及投标人与采购</w:t>
      </w:r>
      <w:r>
        <w:rPr>
          <w:rFonts w:hint="eastAsia" w:ascii="宋体" w:hAnsi="宋体" w:cs="宋体"/>
          <w:sz w:val="24"/>
          <w:szCs w:val="24"/>
        </w:rPr>
        <w:t>代理</w:t>
      </w:r>
      <w:r>
        <w:rPr>
          <w:rFonts w:hint="eastAsia" w:ascii="宋体" w:hAnsi="宋体" w:cs="宋体"/>
          <w:sz w:val="24"/>
          <w:szCs w:val="24"/>
          <w:lang w:val="zh-CN"/>
        </w:rPr>
        <w:t>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4"/>
        </w:numPr>
        <w:spacing w:line="360" w:lineRule="auto"/>
        <w:rPr>
          <w:rFonts w:ascii="宋体" w:cs="Times New Roman"/>
          <w:b/>
          <w:bCs/>
          <w:sz w:val="24"/>
          <w:szCs w:val="24"/>
          <w:lang w:val="zh-CN"/>
        </w:rPr>
      </w:pPr>
      <w:r>
        <w:rPr>
          <w:rFonts w:hint="eastAsia" w:ascii="宋体" w:hAnsi="宋体" w:cs="宋体"/>
          <w:b/>
          <w:bCs/>
          <w:sz w:val="24"/>
          <w:szCs w:val="24"/>
          <w:lang w:val="zh-CN"/>
        </w:rPr>
        <w:t>投标文件的构成</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投标人编制的投标文件应包括但不限于下列内容：</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第一部分</w:t>
      </w:r>
      <w:r>
        <w:rPr>
          <w:rFonts w:ascii="宋体" w:hAnsi="宋体" w:cs="宋体"/>
          <w:sz w:val="24"/>
          <w:szCs w:val="24"/>
          <w:lang w:val="zh-CN"/>
        </w:rPr>
        <w:t xml:space="preserve">  </w:t>
      </w:r>
      <w:r>
        <w:rPr>
          <w:rFonts w:hint="eastAsia" w:ascii="宋体" w:hAnsi="宋体" w:cs="宋体"/>
          <w:sz w:val="24"/>
          <w:szCs w:val="24"/>
          <w:lang w:val="zh-CN"/>
        </w:rPr>
        <w:t>资格证明文件（详见第七章“投标文件格式”中资格证明文件组成）</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第二部分</w:t>
      </w:r>
      <w:r>
        <w:rPr>
          <w:rFonts w:ascii="宋体" w:hAnsi="宋体" w:cs="宋体"/>
          <w:sz w:val="24"/>
          <w:szCs w:val="24"/>
          <w:lang w:val="zh-CN"/>
        </w:rPr>
        <w:t xml:space="preserve">  </w:t>
      </w:r>
      <w:r>
        <w:rPr>
          <w:rFonts w:hint="eastAsia" w:ascii="宋体" w:hAnsi="宋体" w:cs="宋体"/>
          <w:sz w:val="24"/>
          <w:szCs w:val="24"/>
          <w:lang w:val="zh-CN"/>
        </w:rPr>
        <w:t>商务文件（详见第七章“投标文件格式”中商务文件组成）</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第三部分</w:t>
      </w:r>
      <w:r>
        <w:rPr>
          <w:rFonts w:ascii="宋体" w:hAnsi="宋体" w:cs="宋体"/>
          <w:sz w:val="24"/>
          <w:szCs w:val="24"/>
          <w:lang w:val="zh-CN"/>
        </w:rPr>
        <w:t xml:space="preserve">  </w:t>
      </w:r>
      <w:r>
        <w:rPr>
          <w:rFonts w:hint="eastAsia" w:ascii="宋体" w:hAnsi="宋体" w:cs="宋体"/>
          <w:sz w:val="24"/>
          <w:szCs w:val="24"/>
          <w:lang w:val="zh-CN"/>
        </w:rPr>
        <w:t>技术、服务文件（详见第七章“投标文件格式”中技术、服务文件组成）</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投标文件编制</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如招标文件有分包要求，投标人对招标文件中多个包进行投标的，其投标文件的编制应按每包要求分别装订和封装，并注明对应包号。</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投标人应当对投标文件进行装订，对未经装订的投标书可能发生的文件散落或缺损，由此产生的后果及责任由投标人自行承担。</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投标人应按照招标文件第七章“投标文件格式”提供的《投标书》、《开标一览表》、《投标报价明细表》、《法定代表人授权书》等格式、要求、规定来编制投标文件。</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投标人应对投标文件中所提供资料的真实性负责，如有虚假，将依法承担相应责任。投标人应自觉接受采购</w:t>
      </w:r>
      <w:r>
        <w:rPr>
          <w:rFonts w:hint="eastAsia" w:ascii="宋体" w:hAnsi="宋体" w:cs="宋体"/>
          <w:sz w:val="24"/>
          <w:szCs w:val="24"/>
        </w:rPr>
        <w:t>代理</w:t>
      </w:r>
      <w:r>
        <w:rPr>
          <w:rFonts w:hint="eastAsia" w:ascii="宋体" w:hAnsi="宋体" w:cs="宋体"/>
          <w:sz w:val="24"/>
          <w:szCs w:val="24"/>
          <w:lang w:val="zh-CN"/>
        </w:rPr>
        <w:t>机构对其中任何资料进一步核实的要求。</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因投标人投标文件填报的内容不详，或没有提供招标文件中所要求的全部资料及数据等，由此产生的后果及责任由投标人自行承担。</w:t>
      </w:r>
    </w:p>
    <w:p>
      <w:pPr>
        <w:numPr>
          <w:ilvl w:val="0"/>
          <w:numId w:val="12"/>
        </w:numPr>
        <w:spacing w:line="360" w:lineRule="auto"/>
        <w:ind w:left="616" w:hanging="616"/>
        <w:rPr>
          <w:rFonts w:ascii="宋体" w:cs="Times New Roman"/>
          <w:sz w:val="24"/>
          <w:szCs w:val="24"/>
          <w:lang w:val="zh-CN"/>
        </w:rPr>
      </w:pPr>
      <w:r>
        <w:rPr>
          <w:rFonts w:hint="eastAsia" w:ascii="宋体" w:hAnsi="宋体" w:cs="宋体"/>
          <w:sz w:val="24"/>
          <w:szCs w:val="24"/>
          <w:lang w:val="zh-CN"/>
        </w:rPr>
        <w:t>投标文件用纸应统一为</w:t>
      </w:r>
      <w:r>
        <w:rPr>
          <w:rFonts w:ascii="宋体" w:hAnsi="宋体" w:cs="宋体"/>
          <w:sz w:val="24"/>
          <w:szCs w:val="24"/>
          <w:lang w:val="zh-CN"/>
        </w:rPr>
        <w:t>A4</w:t>
      </w:r>
      <w:r>
        <w:rPr>
          <w:rFonts w:hint="eastAsia" w:ascii="宋体" w:hAnsi="宋体" w:cs="宋体"/>
          <w:sz w:val="24"/>
          <w:szCs w:val="24"/>
          <w:lang w:val="zh-CN"/>
        </w:rPr>
        <w:t>规格（图纸除外）。</w:t>
      </w:r>
    </w:p>
    <w:p>
      <w:pPr>
        <w:numPr>
          <w:ilvl w:val="0"/>
          <w:numId w:val="12"/>
        </w:numPr>
        <w:spacing w:line="360" w:lineRule="auto"/>
        <w:ind w:left="616" w:hanging="616"/>
        <w:rPr>
          <w:rFonts w:ascii="宋体" w:cs="Times New Roman"/>
          <w:b/>
          <w:bCs/>
          <w:sz w:val="24"/>
          <w:szCs w:val="24"/>
          <w:lang w:val="zh-CN"/>
        </w:rPr>
      </w:pPr>
      <w:r>
        <w:rPr>
          <w:rFonts w:hint="eastAsia" w:ascii="宋体" w:hAnsi="宋体" w:cs="宋体"/>
          <w:b/>
          <w:bCs/>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p>
    <w:p>
      <w:pPr>
        <w:numPr>
          <w:ilvl w:val="0"/>
          <w:numId w:val="12"/>
        </w:numPr>
        <w:spacing w:line="360" w:lineRule="auto"/>
        <w:ind w:left="616" w:hanging="616"/>
        <w:rPr>
          <w:rFonts w:ascii="宋体" w:cs="Times New Roman"/>
          <w:b/>
          <w:bCs/>
          <w:sz w:val="24"/>
          <w:szCs w:val="24"/>
          <w:lang w:val="zh-CN"/>
        </w:rPr>
      </w:pPr>
      <w:r>
        <w:rPr>
          <w:rFonts w:hint="eastAsia" w:ascii="宋体" w:hAnsi="宋体" w:cs="宋体"/>
          <w:b/>
          <w:bCs/>
          <w:sz w:val="24"/>
          <w:szCs w:val="24"/>
          <w:lang w:val="zh-CN"/>
        </w:rPr>
        <w:t>为方便开标时唱标，投标人应将《开标一览表》一份单独密封提交，并在信封上标明</w:t>
      </w:r>
      <w:r>
        <w:rPr>
          <w:rFonts w:ascii="宋体" w:hAnsi="宋体" w:cs="宋体"/>
          <w:b/>
          <w:bCs/>
          <w:sz w:val="24"/>
          <w:szCs w:val="24"/>
          <w:lang w:val="zh-CN"/>
        </w:rPr>
        <w:t>"</w:t>
      </w:r>
      <w:r>
        <w:rPr>
          <w:rFonts w:hint="eastAsia" w:ascii="宋体" w:hAnsi="宋体" w:cs="宋体"/>
          <w:b/>
          <w:bCs/>
          <w:sz w:val="24"/>
          <w:szCs w:val="24"/>
          <w:lang w:val="zh-CN"/>
        </w:rPr>
        <w:t>开标一览表</w:t>
      </w:r>
      <w:r>
        <w:rPr>
          <w:rFonts w:ascii="宋体" w:hAnsi="宋体" w:cs="宋体"/>
          <w:b/>
          <w:bCs/>
          <w:sz w:val="24"/>
          <w:szCs w:val="24"/>
          <w:lang w:val="zh-CN"/>
        </w:rPr>
        <w:t>"</w:t>
      </w:r>
      <w:r>
        <w:rPr>
          <w:rFonts w:hint="eastAsia" w:ascii="宋体" w:hAnsi="宋体" w:cs="宋体"/>
          <w:b/>
          <w:bCs/>
          <w:sz w:val="24"/>
          <w:szCs w:val="24"/>
          <w:lang w:val="zh-CN"/>
        </w:rPr>
        <w:t>字样。投标人应将投标文件正本和所有的副本一起密封装在文件袋（或封装袋）中，并在封面上标明</w:t>
      </w:r>
      <w:r>
        <w:rPr>
          <w:rFonts w:ascii="宋体" w:hAnsi="宋体" w:cs="宋体"/>
          <w:b/>
          <w:bCs/>
          <w:sz w:val="24"/>
          <w:szCs w:val="24"/>
          <w:lang w:val="zh-CN"/>
        </w:rPr>
        <w:t>"</w:t>
      </w:r>
      <w:r>
        <w:rPr>
          <w:rFonts w:hint="eastAsia" w:ascii="宋体" w:hAnsi="宋体" w:cs="宋体"/>
          <w:b/>
          <w:bCs/>
          <w:sz w:val="24"/>
          <w:szCs w:val="24"/>
          <w:lang w:val="zh-CN"/>
        </w:rPr>
        <w:t>正本</w:t>
      </w:r>
      <w:r>
        <w:rPr>
          <w:rFonts w:ascii="宋体" w:hAnsi="宋体" w:cs="宋体"/>
          <w:b/>
          <w:bCs/>
          <w:sz w:val="24"/>
          <w:szCs w:val="24"/>
          <w:lang w:val="zh-CN"/>
        </w:rPr>
        <w:t>"</w:t>
      </w:r>
      <w:r>
        <w:rPr>
          <w:rFonts w:hint="eastAsia" w:ascii="宋体" w:hAnsi="宋体" w:cs="宋体"/>
          <w:b/>
          <w:bCs/>
          <w:sz w:val="24"/>
          <w:szCs w:val="24"/>
          <w:lang w:val="zh-CN"/>
        </w:rPr>
        <w:t>、</w:t>
      </w:r>
      <w:r>
        <w:rPr>
          <w:rFonts w:ascii="宋体" w:hAnsi="宋体" w:cs="宋体"/>
          <w:b/>
          <w:bCs/>
          <w:sz w:val="24"/>
          <w:szCs w:val="24"/>
          <w:lang w:val="zh-CN"/>
        </w:rPr>
        <w:t>"</w:t>
      </w:r>
      <w:r>
        <w:rPr>
          <w:rFonts w:hint="eastAsia" w:ascii="宋体" w:hAnsi="宋体" w:cs="宋体"/>
          <w:b/>
          <w:bCs/>
          <w:sz w:val="24"/>
          <w:szCs w:val="24"/>
          <w:lang w:val="zh-CN"/>
        </w:rPr>
        <w:t>副本</w:t>
      </w:r>
      <w:r>
        <w:rPr>
          <w:rFonts w:ascii="宋体" w:hAnsi="宋体" w:cs="宋体"/>
          <w:b/>
          <w:bCs/>
          <w:sz w:val="24"/>
          <w:szCs w:val="24"/>
          <w:lang w:val="zh-CN"/>
        </w:rPr>
        <w:t>"</w:t>
      </w:r>
      <w:r>
        <w:rPr>
          <w:rFonts w:hint="eastAsia" w:ascii="宋体" w:hAnsi="宋体" w:cs="宋体"/>
          <w:b/>
          <w:bCs/>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投标报价</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投标人所提供的货物（工程或服务）均以人民币计价。</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投标人应按照“第三章</w:t>
      </w:r>
      <w:r>
        <w:rPr>
          <w:rFonts w:ascii="宋体" w:hAnsi="宋体" w:cs="宋体"/>
          <w:sz w:val="24"/>
          <w:szCs w:val="24"/>
          <w:lang w:val="zh-CN"/>
        </w:rPr>
        <w:t xml:space="preserve"> </w:t>
      </w:r>
      <w:r>
        <w:rPr>
          <w:rFonts w:hint="eastAsia" w:ascii="宋体" w:hAnsi="宋体" w:cs="宋体"/>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《投标报价明细表》填写时应响应下列要求：</w:t>
      </w:r>
    </w:p>
    <w:p>
      <w:pPr>
        <w:numPr>
          <w:ilvl w:val="0"/>
          <w:numId w:val="14"/>
        </w:numPr>
        <w:spacing w:line="360" w:lineRule="auto"/>
        <w:ind w:left="980" w:hanging="854"/>
        <w:rPr>
          <w:rFonts w:ascii="宋体" w:cs="Times New Roman"/>
          <w:sz w:val="24"/>
          <w:szCs w:val="24"/>
          <w:lang w:val="zh-CN"/>
        </w:rPr>
      </w:pPr>
      <w:r>
        <w:rPr>
          <w:rFonts w:hint="eastAsia" w:ascii="宋体" w:hAnsi="宋体" w:cs="宋体"/>
          <w:sz w:val="24"/>
          <w:szCs w:val="24"/>
        </w:rPr>
        <w:t>应包括所有根据合同或其他原因由投标人支付的款项、费用</w:t>
      </w:r>
      <w:r>
        <w:rPr>
          <w:rFonts w:hint="eastAsia" w:ascii="宋体" w:hAnsi="宋体" w:cs="宋体"/>
          <w:sz w:val="24"/>
          <w:szCs w:val="24"/>
          <w:lang w:val="zh-CN"/>
        </w:rPr>
        <w:t>；</w:t>
      </w:r>
    </w:p>
    <w:p>
      <w:pPr>
        <w:numPr>
          <w:ilvl w:val="0"/>
          <w:numId w:val="14"/>
        </w:numPr>
        <w:spacing w:line="360" w:lineRule="auto"/>
        <w:ind w:left="980" w:hanging="854"/>
        <w:rPr>
          <w:rFonts w:ascii="宋体" w:cs="Times New Roman"/>
          <w:sz w:val="24"/>
          <w:szCs w:val="24"/>
          <w:lang w:val="zh-CN"/>
        </w:rPr>
      </w:pPr>
      <w:r>
        <w:rPr>
          <w:rFonts w:hint="eastAsia" w:ascii="宋体" w:hAnsi="宋体" w:cs="宋体"/>
          <w:sz w:val="24"/>
          <w:szCs w:val="24"/>
          <w:lang w:val="zh-CN"/>
        </w:rPr>
        <w:t>应包含货物运至最终目的地的运输、保险和伴随货物（工程或服务）的有关费用；</w:t>
      </w:r>
    </w:p>
    <w:p>
      <w:pPr>
        <w:numPr>
          <w:ilvl w:val="0"/>
          <w:numId w:val="14"/>
        </w:numPr>
        <w:spacing w:line="360" w:lineRule="auto"/>
        <w:ind w:left="980" w:hanging="854"/>
        <w:rPr>
          <w:rFonts w:ascii="宋体" w:cs="Times New Roman"/>
          <w:sz w:val="24"/>
          <w:szCs w:val="24"/>
          <w:lang w:val="zh-CN"/>
        </w:rPr>
      </w:pPr>
      <w:r>
        <w:rPr>
          <w:rFonts w:hint="eastAsia" w:ascii="宋体" w:hAnsi="宋体" w:cs="宋体"/>
          <w:sz w:val="24"/>
          <w:szCs w:val="24"/>
          <w:lang w:val="zh-CN"/>
        </w:rPr>
        <w:t>应详细提供《投标报价明细表》和《投标货物、服务清单》等内容，否则按照</w:t>
      </w:r>
      <w:r>
        <w:rPr>
          <w:rFonts w:hint="eastAsia" w:ascii="宋体" w:hAnsi="宋体" w:cs="宋体"/>
          <w:b/>
          <w:bCs/>
          <w:sz w:val="24"/>
          <w:szCs w:val="24"/>
          <w:lang w:val="zh-CN"/>
        </w:rPr>
        <w:t>无效投标处理。</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每一种规格的货物（工程或服务）只允许有一个报价，否则按照</w:t>
      </w:r>
      <w:r>
        <w:rPr>
          <w:rFonts w:hint="eastAsia" w:ascii="宋体" w:hAnsi="宋体" w:cs="宋体"/>
          <w:b/>
          <w:bCs/>
          <w:sz w:val="24"/>
          <w:szCs w:val="24"/>
          <w:lang w:val="zh-CN"/>
        </w:rPr>
        <w:t>无效投标处理</w:t>
      </w:r>
      <w:r>
        <w:rPr>
          <w:rFonts w:hint="eastAsia" w:ascii="宋体" w:hAnsi="宋体" w:cs="宋体"/>
          <w:sz w:val="24"/>
          <w:szCs w:val="24"/>
          <w:lang w:val="zh-CN"/>
        </w:rPr>
        <w:t>。</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3"/>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投标人应对项目招标范围内的全部内容进行报价，不得缺、漏项或只投其中的部分内容的，否则按照</w:t>
      </w:r>
      <w:r>
        <w:rPr>
          <w:rFonts w:hint="eastAsia" w:ascii="宋体" w:hAnsi="宋体" w:cs="宋体"/>
          <w:b/>
          <w:bCs/>
          <w:sz w:val="24"/>
          <w:szCs w:val="24"/>
          <w:lang w:val="zh-CN"/>
        </w:rPr>
        <w:t>无效投标处理</w:t>
      </w:r>
      <w:r>
        <w:rPr>
          <w:rFonts w:hint="eastAsia" w:ascii="宋体" w:hAnsi="宋体" w:cs="宋体"/>
          <w:sz w:val="24"/>
          <w:szCs w:val="24"/>
          <w:lang w:val="zh-CN"/>
        </w:rPr>
        <w:t>。</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备选方案</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只允许投标人提供一个投标方案（招标文件中要求提供备选方案的除外），否则按照</w:t>
      </w:r>
      <w:r>
        <w:rPr>
          <w:rFonts w:hint="eastAsia" w:ascii="宋体" w:hAnsi="宋体" w:cs="宋体"/>
          <w:b/>
          <w:bCs/>
          <w:sz w:val="24"/>
          <w:szCs w:val="24"/>
          <w:lang w:val="zh-CN"/>
        </w:rPr>
        <w:t>无效投标处理</w:t>
      </w:r>
      <w:r>
        <w:rPr>
          <w:rFonts w:hint="eastAsia" w:ascii="宋体" w:hAnsi="宋体" w:cs="宋体"/>
          <w:sz w:val="24"/>
          <w:szCs w:val="24"/>
          <w:lang w:val="zh-CN"/>
        </w:rPr>
        <w:t>。</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中标后分包</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联合体投标</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两个及以上供应商可以组成一个联合体，以一个投标人的身份共同参与投标。</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采取联合体形式投标的，联合体各方均应当符合政府采购法第二十二条第一款规定的条件。联合体的主体应完全满足项目投标人资格要求。</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联合体各方之间应签订联合投标协议，明确约定联合体主体及各方承担的工作和相应的责任，其投标文件中应提供联合投标协议。</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以联合体形式参加政府采购活动的，联合体各方不得再单独参加或者与其他供应商另外组成联合体参加同一合同项下的政府采购活动。</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采取联合体形式投标的，项目评审时只对联合体主体进行评议。</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联合体中标的，联合体各方应当共同与采购人签订采购合同，</w:t>
      </w:r>
      <w:r>
        <w:rPr>
          <w:rFonts w:hint="eastAsia" w:ascii="宋体" w:hAnsi="宋体" w:cs="宋体"/>
          <w:sz w:val="24"/>
          <w:szCs w:val="24"/>
        </w:rPr>
        <w:t>就采购合同约定的事项对采购人承担连带责任，</w:t>
      </w:r>
      <w:r>
        <w:rPr>
          <w:rFonts w:hint="eastAsia" w:ascii="宋体" w:hAnsi="宋体" w:cs="宋体"/>
          <w:sz w:val="24"/>
          <w:szCs w:val="24"/>
          <w:lang w:val="zh-CN"/>
        </w:rPr>
        <w:t>联合体主体单位负主要责任。</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联合体中有同类资质的供应商按照联合体分工承担相同工作的，应当按照资质等级较低的供应商确定资质等级。</w:t>
      </w:r>
    </w:p>
    <w:p>
      <w:pPr>
        <w:numPr>
          <w:ilvl w:val="0"/>
          <w:numId w:val="15"/>
        </w:numPr>
        <w:spacing w:line="360" w:lineRule="auto"/>
        <w:ind w:left="616" w:hanging="616"/>
        <w:rPr>
          <w:rFonts w:ascii="宋体" w:cs="Times New Roman"/>
          <w:sz w:val="24"/>
          <w:szCs w:val="24"/>
          <w:lang w:val="zh-CN"/>
        </w:rPr>
      </w:pPr>
      <w:r>
        <w:rPr>
          <w:rFonts w:hint="eastAsia" w:ascii="宋体" w:hAnsi="宋体" w:cs="宋体"/>
          <w:sz w:val="24"/>
          <w:szCs w:val="24"/>
          <w:lang w:val="zh-CN"/>
        </w:rPr>
        <w:t>招标文件第一章“投标人资格要求”中未载明是否接受联合体投标的，视同接受。</w:t>
      </w:r>
    </w:p>
    <w:p>
      <w:pPr>
        <w:numPr>
          <w:ilvl w:val="0"/>
          <w:numId w:val="15"/>
        </w:numPr>
        <w:spacing w:line="360" w:lineRule="auto"/>
        <w:ind w:left="728" w:hanging="728"/>
        <w:rPr>
          <w:rFonts w:ascii="宋体" w:cs="Times New Roman"/>
          <w:sz w:val="24"/>
          <w:szCs w:val="24"/>
          <w:lang w:val="zh-CN"/>
        </w:rPr>
      </w:pPr>
      <w:r>
        <w:rPr>
          <w:rFonts w:hint="eastAsia" w:ascii="宋体" w:hAnsi="宋体" w:cs="宋体"/>
          <w:sz w:val="24"/>
          <w:szCs w:val="24"/>
          <w:lang w:val="zh-CN"/>
        </w:rPr>
        <w:t>以联合体形式参与投标的，其价格扣除相关规定详见第五章“评标方法、程序及标准”。</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资格证明文件</w:t>
      </w:r>
    </w:p>
    <w:p>
      <w:pPr>
        <w:numPr>
          <w:ilvl w:val="0"/>
          <w:numId w:val="16"/>
        </w:numPr>
        <w:spacing w:line="360" w:lineRule="auto"/>
        <w:ind w:left="616" w:hanging="616"/>
        <w:rPr>
          <w:rFonts w:ascii="宋体" w:cs="Times New Roman"/>
          <w:sz w:val="24"/>
          <w:szCs w:val="24"/>
          <w:lang w:val="zh-CN"/>
        </w:rPr>
      </w:pPr>
      <w:r>
        <w:rPr>
          <w:rFonts w:hint="eastAsia" w:ascii="宋体" w:hAnsi="宋体" w:cs="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6"/>
        </w:numPr>
        <w:spacing w:line="360" w:lineRule="auto"/>
        <w:ind w:left="616" w:hanging="616"/>
        <w:rPr>
          <w:rFonts w:ascii="宋体" w:cs="Times New Roman"/>
          <w:sz w:val="24"/>
          <w:szCs w:val="24"/>
          <w:lang w:val="zh-CN"/>
        </w:rPr>
      </w:pPr>
      <w:r>
        <w:rPr>
          <w:rFonts w:hint="eastAsia" w:ascii="宋体" w:hAnsi="宋体" w:cs="宋体"/>
          <w:sz w:val="24"/>
          <w:szCs w:val="24"/>
          <w:lang w:val="zh-CN"/>
        </w:rPr>
        <w:t>资格证明文件应真实、合法，并就此承担相应法律责任。</w:t>
      </w:r>
    </w:p>
    <w:p>
      <w:pPr>
        <w:numPr>
          <w:ilvl w:val="0"/>
          <w:numId w:val="16"/>
        </w:numPr>
        <w:spacing w:line="360" w:lineRule="auto"/>
        <w:ind w:left="616" w:hanging="616"/>
        <w:rPr>
          <w:rFonts w:ascii="宋体" w:cs="Times New Roman"/>
          <w:sz w:val="24"/>
          <w:szCs w:val="24"/>
          <w:lang w:val="zh-CN"/>
        </w:rPr>
      </w:pPr>
      <w:r>
        <w:rPr>
          <w:rFonts w:hint="eastAsia" w:ascii="宋体" w:hAnsi="宋体" w:cs="宋体"/>
          <w:sz w:val="24"/>
          <w:szCs w:val="24"/>
          <w:lang w:val="zh-CN"/>
        </w:rPr>
        <w:t>资格证明文件正本应为清晰彩色影印件且加盖单位公章，否则按照</w:t>
      </w:r>
      <w:r>
        <w:rPr>
          <w:rFonts w:hint="eastAsia" w:ascii="宋体" w:hAnsi="宋体" w:cs="宋体"/>
          <w:b/>
          <w:bCs/>
          <w:sz w:val="24"/>
          <w:szCs w:val="24"/>
          <w:lang w:val="zh-CN"/>
        </w:rPr>
        <w:t>无效投标处理</w:t>
      </w:r>
      <w:r>
        <w:rPr>
          <w:rFonts w:hint="eastAsia" w:ascii="宋体" w:hAnsi="宋体" w:cs="宋体"/>
          <w:sz w:val="24"/>
          <w:szCs w:val="24"/>
          <w:lang w:val="zh-CN"/>
        </w:rPr>
        <w:t>。副本可为正本的复印件</w:t>
      </w:r>
      <w:r>
        <w:rPr>
          <w:rFonts w:ascii="宋体" w:cs="宋体"/>
          <w:sz w:val="24"/>
          <w:szCs w:val="24"/>
          <w:lang w:val="zh-CN"/>
        </w:rPr>
        <w:t>,</w:t>
      </w:r>
      <w:r>
        <w:rPr>
          <w:rFonts w:hint="eastAsia" w:ascii="宋体" w:hAnsi="宋体" w:cs="宋体"/>
          <w:sz w:val="24"/>
          <w:szCs w:val="24"/>
          <w:lang w:val="zh-CN"/>
        </w:rPr>
        <w:t>但应在副本封面加盖单位公章。</w:t>
      </w:r>
    </w:p>
    <w:p>
      <w:pPr>
        <w:numPr>
          <w:ilvl w:val="0"/>
          <w:numId w:val="16"/>
        </w:numPr>
        <w:spacing w:line="360" w:lineRule="auto"/>
        <w:ind w:left="616" w:hanging="616"/>
        <w:rPr>
          <w:rFonts w:ascii="宋体" w:cs="Times New Roman"/>
          <w:sz w:val="24"/>
          <w:szCs w:val="24"/>
          <w:lang w:val="zh-CN"/>
        </w:rPr>
      </w:pPr>
      <w:r>
        <w:rPr>
          <w:rFonts w:hint="eastAsia" w:ascii="宋体" w:hAnsi="宋体" w:cs="宋体"/>
          <w:kern w:val="0"/>
          <w:sz w:val="24"/>
          <w:szCs w:val="24"/>
          <w:lang w:val="zh-CN"/>
        </w:rPr>
        <w:t>资格证明文件内容详见</w:t>
      </w:r>
      <w:r>
        <w:rPr>
          <w:rFonts w:hint="eastAsia" w:ascii="宋体" w:hAnsi="宋体" w:cs="宋体"/>
          <w:sz w:val="24"/>
          <w:szCs w:val="24"/>
          <w:lang w:val="zh-CN"/>
        </w:rPr>
        <w:t>第四章“资格审查方法及标准”中资格审查内容</w:t>
      </w:r>
      <w:r>
        <w:rPr>
          <w:rFonts w:hint="eastAsia" w:ascii="宋体" w:hAnsi="宋体" w:cs="宋体"/>
          <w:kern w:val="0"/>
          <w:sz w:val="24"/>
          <w:szCs w:val="24"/>
          <w:lang w:val="zh-CN"/>
        </w:rPr>
        <w:t>。</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投标有效期</w:t>
      </w:r>
    </w:p>
    <w:p>
      <w:pPr>
        <w:spacing w:line="360" w:lineRule="auto"/>
        <w:ind w:left="480" w:hanging="480" w:hangingChars="200"/>
        <w:rPr>
          <w:rFonts w:ascii="宋体" w:cs="Times New Roman"/>
          <w:sz w:val="24"/>
          <w:szCs w:val="24"/>
          <w:lang w:val="zh-CN"/>
        </w:rPr>
      </w:pPr>
      <w:r>
        <w:rPr>
          <w:rFonts w:ascii="宋体" w:hAnsi="宋体" w:cs="宋体"/>
          <w:sz w:val="24"/>
          <w:szCs w:val="24"/>
        </w:rPr>
        <w:t>17.1</w:t>
      </w:r>
      <w:r>
        <w:rPr>
          <w:rFonts w:hint="eastAsia" w:ascii="宋体" w:hAnsi="宋体" w:cs="宋体"/>
          <w:sz w:val="24"/>
          <w:szCs w:val="24"/>
          <w:lang w:val="zh-CN"/>
        </w:rPr>
        <w:t>投标有效期详见本章“投标须知前附表”中规定。</w:t>
      </w:r>
      <w:r>
        <w:rPr>
          <w:rFonts w:hint="eastAsia" w:ascii="宋体" w:hAnsi="宋体" w:cs="宋体"/>
          <w:kern w:val="0"/>
          <w:sz w:val="24"/>
          <w:szCs w:val="24"/>
          <w:lang w:val="zh-CN"/>
        </w:rPr>
        <w:t>投标文件中承诺的投标有效期应当不少于招标文件中载明的投标有效期。投标有效期不足的，</w:t>
      </w:r>
      <w:r>
        <w:rPr>
          <w:rFonts w:hint="eastAsia" w:ascii="宋体" w:hAnsi="宋体" w:cs="宋体"/>
          <w:sz w:val="24"/>
          <w:szCs w:val="24"/>
          <w:lang w:val="zh-CN"/>
        </w:rPr>
        <w:t>按照</w:t>
      </w:r>
      <w:r>
        <w:rPr>
          <w:rFonts w:hint="eastAsia" w:ascii="宋体" w:hAnsi="宋体" w:cs="宋体"/>
          <w:b/>
          <w:bCs/>
          <w:sz w:val="24"/>
          <w:szCs w:val="24"/>
          <w:lang w:val="zh-CN"/>
        </w:rPr>
        <w:t>无效投标处理。</w:t>
      </w:r>
    </w:p>
    <w:p>
      <w:pPr>
        <w:spacing w:line="360" w:lineRule="auto"/>
        <w:ind w:left="480" w:hanging="480" w:hangingChars="200"/>
        <w:rPr>
          <w:rFonts w:ascii="宋体" w:cs="Times New Roman"/>
          <w:sz w:val="24"/>
          <w:szCs w:val="24"/>
          <w:lang w:val="zh-CN"/>
        </w:rPr>
      </w:pPr>
      <w:r>
        <w:rPr>
          <w:rFonts w:ascii="宋体" w:hAnsi="宋体" w:cs="宋体"/>
          <w:sz w:val="24"/>
          <w:szCs w:val="24"/>
        </w:rPr>
        <w:t>17.2</w:t>
      </w:r>
      <w:r>
        <w:rPr>
          <w:rFonts w:hint="eastAsia" w:ascii="宋体" w:hAnsi="宋体" w:cs="宋体"/>
          <w:sz w:val="24"/>
          <w:szCs w:val="24"/>
          <w:lang w:val="zh-CN"/>
        </w:rPr>
        <w:t>特殊情况下，在原投标有效期截止之前，采购</w:t>
      </w:r>
      <w:r>
        <w:rPr>
          <w:rFonts w:hint="eastAsia" w:ascii="宋体" w:hAnsi="宋体" w:cs="宋体"/>
          <w:sz w:val="24"/>
          <w:szCs w:val="24"/>
        </w:rPr>
        <w:t>代理</w:t>
      </w:r>
      <w:r>
        <w:rPr>
          <w:rFonts w:hint="eastAsia" w:ascii="宋体" w:hAnsi="宋体" w:cs="宋体"/>
          <w:sz w:val="24"/>
          <w:szCs w:val="24"/>
          <w:lang w:val="zh-CN"/>
        </w:rPr>
        <w:t>机构或采购人可要求投标人延长投标有效期。这种要求与答复均应以书面形式提交。投标人可拒绝采购</w:t>
      </w:r>
      <w:r>
        <w:rPr>
          <w:rFonts w:hint="eastAsia" w:ascii="宋体" w:hAnsi="宋体" w:cs="宋体"/>
          <w:sz w:val="24"/>
          <w:szCs w:val="24"/>
        </w:rPr>
        <w:t>代理</w:t>
      </w:r>
      <w:r>
        <w:rPr>
          <w:rFonts w:hint="eastAsia" w:ascii="宋体" w:hAnsi="宋体" w:cs="宋体"/>
          <w:sz w:val="24"/>
          <w:szCs w:val="24"/>
          <w:lang w:val="zh-CN"/>
        </w:rPr>
        <w:t>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投标文件的数量和签署</w:t>
      </w:r>
    </w:p>
    <w:p>
      <w:pPr>
        <w:spacing w:line="360" w:lineRule="auto"/>
        <w:ind w:left="480" w:hanging="480" w:hangingChars="200"/>
        <w:rPr>
          <w:rFonts w:ascii="宋体" w:cs="Times New Roman"/>
          <w:sz w:val="24"/>
          <w:szCs w:val="24"/>
          <w:lang w:val="zh-CN"/>
        </w:rPr>
      </w:pPr>
      <w:r>
        <w:rPr>
          <w:rFonts w:ascii="宋体" w:hAnsi="宋体" w:cs="宋体"/>
          <w:sz w:val="24"/>
          <w:szCs w:val="24"/>
        </w:rPr>
        <w:t>18.1</w:t>
      </w:r>
      <w:r>
        <w:rPr>
          <w:rFonts w:hint="eastAsia" w:ascii="宋体" w:hAnsi="宋体" w:cs="宋体"/>
          <w:sz w:val="24"/>
          <w:szCs w:val="24"/>
          <w:lang w:val="zh-CN"/>
        </w:rPr>
        <w:t>投标人应按本章“投标须知前附表”中规定的份数要求编制投标文件，投标文件的副本可为正本的复印件</w:t>
      </w:r>
      <w:r>
        <w:rPr>
          <w:rFonts w:ascii="宋体" w:cs="宋体"/>
          <w:sz w:val="24"/>
          <w:szCs w:val="24"/>
          <w:lang w:val="zh-CN"/>
        </w:rPr>
        <w:t>,</w:t>
      </w:r>
      <w:r>
        <w:rPr>
          <w:rFonts w:hint="eastAsia" w:ascii="宋体" w:hAnsi="宋体" w:cs="宋体"/>
          <w:sz w:val="24"/>
          <w:szCs w:val="24"/>
          <w:lang w:val="zh-CN"/>
        </w:rPr>
        <w:t>但应在副本封面加盖单位公章。每套投标文件应清楚地标明“正本”、“副本”。副本与正本不一致的，以正本为准。</w:t>
      </w:r>
    </w:p>
    <w:p>
      <w:pPr>
        <w:spacing w:line="360" w:lineRule="auto"/>
        <w:ind w:left="480" w:hanging="480" w:hangingChars="200"/>
        <w:rPr>
          <w:rFonts w:ascii="宋体" w:cs="Times New Roman"/>
          <w:sz w:val="24"/>
          <w:szCs w:val="24"/>
          <w:lang w:val="zh-CN"/>
        </w:rPr>
      </w:pPr>
      <w:r>
        <w:rPr>
          <w:rFonts w:ascii="宋体" w:hAnsi="宋体" w:cs="宋体"/>
          <w:sz w:val="24"/>
          <w:szCs w:val="24"/>
        </w:rPr>
        <w:t>18.2</w:t>
      </w:r>
      <w:r>
        <w:rPr>
          <w:rFonts w:hint="eastAsia" w:ascii="宋体" w:hAnsi="宋体" w:cs="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spacing w:line="360" w:lineRule="auto"/>
        <w:ind w:left="720" w:hanging="720" w:hangingChars="300"/>
        <w:rPr>
          <w:rFonts w:ascii="宋体" w:cs="Times New Roman"/>
          <w:sz w:val="24"/>
          <w:szCs w:val="24"/>
          <w:lang w:val="zh-CN"/>
        </w:rPr>
      </w:pPr>
      <w:r>
        <w:rPr>
          <w:rFonts w:ascii="宋体" w:hAnsi="宋体" w:cs="宋体"/>
          <w:sz w:val="24"/>
          <w:szCs w:val="24"/>
        </w:rPr>
        <w:t>18.3</w:t>
      </w:r>
      <w:r>
        <w:rPr>
          <w:rFonts w:hint="eastAsia" w:ascii="宋体" w:hAnsi="宋体" w:cs="宋体"/>
          <w:sz w:val="24"/>
          <w:szCs w:val="24"/>
          <w:lang w:val="zh-CN"/>
        </w:rPr>
        <w:t>投标文件中任何涂改和增删，应由法定代表人或经其正式授权的代表在旁边签字后方为有效。</w:t>
      </w:r>
    </w:p>
    <w:p>
      <w:pPr>
        <w:spacing w:line="360" w:lineRule="auto"/>
        <w:ind w:left="720" w:hanging="720" w:hangingChars="300"/>
        <w:rPr>
          <w:rFonts w:ascii="宋体" w:cs="Times New Roman"/>
          <w:sz w:val="24"/>
          <w:szCs w:val="24"/>
          <w:lang w:val="zh-CN"/>
        </w:rPr>
      </w:pPr>
      <w:r>
        <w:rPr>
          <w:rFonts w:ascii="宋体" w:hAnsi="宋体" w:cs="宋体"/>
          <w:sz w:val="24"/>
          <w:szCs w:val="24"/>
        </w:rPr>
        <w:t>18</w:t>
      </w:r>
      <w:r>
        <w:rPr>
          <w:rFonts w:hint="eastAsia" w:ascii="宋体" w:hAnsi="宋体" w:cs="宋体"/>
          <w:sz w:val="24"/>
          <w:szCs w:val="24"/>
        </w:rPr>
        <w:t>，</w:t>
      </w:r>
      <w:r>
        <w:rPr>
          <w:rFonts w:ascii="宋体" w:hAnsi="宋体" w:cs="宋体"/>
          <w:sz w:val="24"/>
          <w:szCs w:val="24"/>
        </w:rPr>
        <w:t xml:space="preserve">4 </w:t>
      </w:r>
      <w:r>
        <w:rPr>
          <w:rFonts w:hint="eastAsia" w:ascii="宋体" w:hAnsi="宋体" w:cs="宋体"/>
          <w:sz w:val="24"/>
          <w:szCs w:val="24"/>
          <w:lang w:val="zh-CN"/>
        </w:rPr>
        <w:t>招标文件中要求加盖公章及签字（签章）之处，投标文件正本中应按要求提供加盖公章及签字（签章）的原件，否则按照</w:t>
      </w:r>
      <w:r>
        <w:rPr>
          <w:rFonts w:hint="eastAsia" w:ascii="宋体" w:hAnsi="宋体" w:cs="宋体"/>
          <w:b/>
          <w:bCs/>
          <w:sz w:val="24"/>
          <w:szCs w:val="24"/>
          <w:lang w:val="zh-CN"/>
        </w:rPr>
        <w:t>无效投标处理。</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投标文件的密封和标记</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19.1 </w:t>
      </w:r>
      <w:r>
        <w:rPr>
          <w:rFonts w:hint="eastAsia" w:ascii="宋体" w:hAnsi="宋体" w:cs="宋体"/>
          <w:sz w:val="24"/>
          <w:szCs w:val="24"/>
          <w:lang w:val="zh-CN"/>
        </w:rPr>
        <w:t>投标人应将投标文件第一部分资格证明文件、第二部分商务文件、第三部分技术、服务文件</w:t>
      </w:r>
      <w:r>
        <w:rPr>
          <w:rFonts w:hint="eastAsia" w:ascii="宋体" w:hAnsi="宋体" w:cs="宋体"/>
          <w:b/>
          <w:bCs/>
          <w:sz w:val="24"/>
          <w:szCs w:val="24"/>
          <w:lang w:val="zh-CN"/>
        </w:rPr>
        <w:t>一起合并装订成一本投标文件，一起封装。</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19.2 </w:t>
      </w:r>
      <w:r>
        <w:rPr>
          <w:rFonts w:hint="eastAsia" w:ascii="宋体" w:hAnsi="宋体" w:cs="宋体"/>
          <w:sz w:val="24"/>
          <w:szCs w:val="24"/>
          <w:lang w:val="zh-CN"/>
        </w:rPr>
        <w:t>投标人应将投标文件</w:t>
      </w:r>
      <w:r>
        <w:rPr>
          <w:rFonts w:hint="eastAsia" w:ascii="宋体" w:hAnsi="宋体" w:cs="宋体"/>
          <w:b/>
          <w:bCs/>
          <w:sz w:val="24"/>
          <w:szCs w:val="24"/>
          <w:lang w:val="zh-CN"/>
        </w:rPr>
        <w:t>正本和副本</w:t>
      </w:r>
      <w:r>
        <w:rPr>
          <w:rFonts w:hint="eastAsia" w:ascii="宋体" w:hAnsi="宋体" w:cs="宋体"/>
          <w:sz w:val="24"/>
          <w:szCs w:val="24"/>
          <w:lang w:val="zh-CN"/>
        </w:rPr>
        <w:t>密封装在单独的封包中。</w:t>
      </w:r>
    </w:p>
    <w:p>
      <w:pPr>
        <w:spacing w:line="360" w:lineRule="auto"/>
        <w:ind w:left="720" w:hanging="720" w:hangingChars="300"/>
        <w:rPr>
          <w:rFonts w:ascii="宋体" w:cs="Times New Roman"/>
          <w:sz w:val="24"/>
          <w:szCs w:val="24"/>
          <w:lang w:val="zh-CN"/>
        </w:rPr>
      </w:pPr>
      <w:r>
        <w:rPr>
          <w:rFonts w:ascii="宋体" w:hAnsi="宋体" w:cs="宋体"/>
          <w:sz w:val="24"/>
          <w:szCs w:val="24"/>
        </w:rPr>
        <w:t xml:space="preserve">19.3 </w:t>
      </w:r>
      <w:r>
        <w:rPr>
          <w:rFonts w:hint="eastAsia" w:ascii="宋体" w:hAnsi="宋体" w:cs="宋体"/>
          <w:sz w:val="24"/>
          <w:szCs w:val="24"/>
          <w:lang w:val="zh-CN"/>
        </w:rPr>
        <w:t>如果未按要求加写密封、标记或存在错误，采购</w:t>
      </w:r>
      <w:r>
        <w:rPr>
          <w:rFonts w:hint="eastAsia" w:ascii="宋体" w:hAnsi="宋体" w:cs="宋体"/>
          <w:sz w:val="24"/>
          <w:szCs w:val="24"/>
        </w:rPr>
        <w:t>代理</w:t>
      </w:r>
      <w:r>
        <w:rPr>
          <w:rFonts w:hint="eastAsia" w:ascii="宋体" w:hAnsi="宋体" w:cs="宋体"/>
          <w:sz w:val="24"/>
          <w:szCs w:val="24"/>
          <w:lang w:val="zh-CN"/>
        </w:rPr>
        <w:t>机构对其误投或提前启封概不负责。</w:t>
      </w:r>
    </w:p>
    <w:p>
      <w:pPr>
        <w:spacing w:line="360" w:lineRule="auto"/>
        <w:ind w:left="480" w:hanging="480" w:hangingChars="200"/>
        <w:rPr>
          <w:rFonts w:ascii="宋体" w:cs="Times New Roman"/>
          <w:b/>
          <w:bCs/>
          <w:sz w:val="24"/>
          <w:szCs w:val="24"/>
          <w:lang w:val="zh-CN"/>
        </w:rPr>
      </w:pPr>
      <w:r>
        <w:rPr>
          <w:rFonts w:ascii="宋体" w:hAnsi="宋体" w:cs="宋体"/>
          <w:sz w:val="24"/>
          <w:szCs w:val="24"/>
        </w:rPr>
        <w:t xml:space="preserve">19.4 </w:t>
      </w:r>
      <w:r>
        <w:rPr>
          <w:rFonts w:hint="eastAsia" w:ascii="宋体" w:hAnsi="宋体" w:cs="宋体"/>
          <w:sz w:val="24"/>
          <w:szCs w:val="24"/>
          <w:lang w:val="zh-CN"/>
        </w:rPr>
        <w:t>为方便开标时唱标，投标人应将《开标一览表》原件及《交纳投标保证金的银行凭证》（若有交纳保证金要求的）各一份一并</w:t>
      </w:r>
      <w:r>
        <w:rPr>
          <w:rFonts w:hint="eastAsia" w:ascii="宋体" w:hAnsi="宋体" w:cs="宋体"/>
          <w:spacing w:val="-6"/>
          <w:kern w:val="0"/>
          <w:sz w:val="24"/>
          <w:szCs w:val="24"/>
          <w:lang w:val="zh-CN"/>
        </w:rPr>
        <w:t>装入一个信封，单独密封提交</w:t>
      </w:r>
      <w:r>
        <w:rPr>
          <w:rFonts w:hint="eastAsia" w:ascii="宋体" w:hAnsi="宋体" w:cs="宋体"/>
          <w:sz w:val="24"/>
          <w:szCs w:val="24"/>
          <w:lang w:val="zh-CN"/>
        </w:rPr>
        <w:t>，并在信封上标明“开标一览表”字样。未单独提交或单独提交的上述资料未按照招标文件规定的格式填写完整并签字、盖章的采购人</w:t>
      </w:r>
      <w:r>
        <w:rPr>
          <w:rFonts w:hint="eastAsia" w:ascii="宋体" w:hAnsi="宋体" w:cs="宋体"/>
          <w:b/>
          <w:bCs/>
          <w:sz w:val="24"/>
          <w:szCs w:val="24"/>
          <w:lang w:val="zh-CN"/>
        </w:rPr>
        <w:t>拒绝</w:t>
      </w:r>
      <w:r>
        <w:rPr>
          <w:rFonts w:hint="eastAsia" w:ascii="宋体" w:hAnsi="宋体" w:cs="宋体"/>
          <w:sz w:val="24"/>
          <w:szCs w:val="24"/>
          <w:lang w:val="zh-CN"/>
        </w:rPr>
        <w:t>其投标。</w:t>
      </w:r>
    </w:p>
    <w:p>
      <w:pPr>
        <w:spacing w:line="360" w:lineRule="auto"/>
        <w:ind w:left="720" w:hanging="720" w:hangingChars="300"/>
        <w:rPr>
          <w:rFonts w:ascii="宋体" w:cs="Times New Roman"/>
          <w:sz w:val="24"/>
          <w:szCs w:val="24"/>
          <w:lang w:val="zh-CN"/>
        </w:rPr>
      </w:pPr>
      <w:r>
        <w:rPr>
          <w:rFonts w:ascii="宋体" w:hAnsi="宋体" w:cs="宋体"/>
          <w:sz w:val="24"/>
          <w:szCs w:val="24"/>
        </w:rPr>
        <w:t>19.5</w:t>
      </w:r>
      <w:r>
        <w:rPr>
          <w:rFonts w:hint="eastAsia" w:ascii="宋体" w:hAnsi="宋体" w:cs="宋体"/>
          <w:sz w:val="24"/>
          <w:szCs w:val="24"/>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投标文件递交</w:t>
      </w:r>
    </w:p>
    <w:p>
      <w:pPr>
        <w:spacing w:line="360" w:lineRule="auto"/>
        <w:ind w:left="720" w:hanging="720" w:hangingChars="300"/>
        <w:rPr>
          <w:rFonts w:ascii="宋体" w:cs="Times New Roman"/>
          <w:kern w:val="0"/>
          <w:sz w:val="24"/>
          <w:szCs w:val="24"/>
          <w:lang w:val="zh-CN"/>
        </w:rPr>
      </w:pPr>
      <w:r>
        <w:rPr>
          <w:rFonts w:ascii="宋体" w:hAnsi="宋体" w:cs="宋体"/>
          <w:kern w:val="0"/>
          <w:sz w:val="24"/>
          <w:szCs w:val="24"/>
        </w:rPr>
        <w:t xml:space="preserve">20.1 </w:t>
      </w:r>
      <w:r>
        <w:rPr>
          <w:rFonts w:hint="eastAsia" w:ascii="宋体" w:hAnsi="宋体" w:cs="宋体"/>
          <w:kern w:val="0"/>
          <w:sz w:val="24"/>
          <w:szCs w:val="24"/>
          <w:lang w:val="zh-CN"/>
        </w:rPr>
        <w:t>投标人应在不迟于投标邀请书中规定的投标截止日期和时间将投标文件密封递交至</w:t>
      </w:r>
    </w:p>
    <w:p>
      <w:pPr>
        <w:spacing w:line="360" w:lineRule="auto"/>
        <w:ind w:left="719" w:leftChars="228" w:hanging="240" w:hangingChars="100"/>
        <w:rPr>
          <w:rFonts w:ascii="宋体" w:cs="Times New Roman"/>
          <w:kern w:val="0"/>
          <w:sz w:val="24"/>
          <w:szCs w:val="24"/>
          <w:lang w:val="zh-CN"/>
        </w:rPr>
      </w:pPr>
      <w:r>
        <w:rPr>
          <w:rFonts w:hint="eastAsia" w:ascii="宋体" w:hAnsi="宋体" w:cs="宋体"/>
          <w:kern w:val="0"/>
          <w:sz w:val="24"/>
          <w:szCs w:val="24"/>
          <w:lang w:val="zh-CN"/>
        </w:rPr>
        <w:t>采购人（或代理公司）规定的投标地点。</w:t>
      </w:r>
    </w:p>
    <w:p>
      <w:pPr>
        <w:spacing w:line="360" w:lineRule="auto"/>
        <w:rPr>
          <w:rFonts w:ascii="宋体" w:cs="Times New Roman"/>
          <w:b/>
          <w:bCs/>
          <w:kern w:val="0"/>
          <w:sz w:val="24"/>
          <w:szCs w:val="24"/>
          <w:lang w:val="zh-CN"/>
        </w:rPr>
      </w:pPr>
      <w:r>
        <w:rPr>
          <w:rFonts w:ascii="宋体" w:hAnsi="宋体" w:cs="宋体"/>
          <w:kern w:val="0"/>
          <w:sz w:val="24"/>
          <w:szCs w:val="24"/>
        </w:rPr>
        <w:t xml:space="preserve">20.2 </w:t>
      </w:r>
      <w:r>
        <w:rPr>
          <w:rFonts w:hint="eastAsia" w:ascii="宋体" w:hAnsi="宋体" w:cs="宋体"/>
          <w:kern w:val="0"/>
          <w:sz w:val="24"/>
          <w:szCs w:val="24"/>
          <w:lang w:val="zh-CN"/>
        </w:rPr>
        <w:t>采购人（或代理公司）</w:t>
      </w:r>
      <w:r>
        <w:rPr>
          <w:rFonts w:hint="eastAsia" w:ascii="宋体" w:hAnsi="宋体" w:cs="宋体"/>
          <w:b/>
          <w:bCs/>
          <w:kern w:val="0"/>
          <w:sz w:val="24"/>
          <w:szCs w:val="24"/>
          <w:lang w:val="zh-CN"/>
        </w:rPr>
        <w:t>拒收逾期送达或者未按招标文件要求密封的投标文件。</w:t>
      </w:r>
    </w:p>
    <w:p>
      <w:pPr>
        <w:spacing w:line="360" w:lineRule="auto"/>
        <w:ind w:left="480" w:hanging="480" w:hangingChars="200"/>
        <w:rPr>
          <w:rFonts w:ascii="Helvetica" w:hAnsi="Helvetica" w:cs="Helvetica"/>
          <w:kern w:val="0"/>
          <w:sz w:val="24"/>
          <w:szCs w:val="24"/>
          <w:lang w:val="zh-CN"/>
        </w:rPr>
      </w:pPr>
      <w:r>
        <w:rPr>
          <w:rFonts w:ascii="宋体" w:hAnsi="宋体" w:cs="宋体"/>
          <w:kern w:val="0"/>
          <w:sz w:val="24"/>
          <w:szCs w:val="24"/>
        </w:rPr>
        <w:t>20.3</w:t>
      </w:r>
      <w:r>
        <w:rPr>
          <w:rFonts w:hint="eastAsia" w:ascii="Helvetica" w:hAnsi="Helvetica" w:cs="宋体"/>
          <w:kern w:val="0"/>
          <w:sz w:val="24"/>
          <w:szCs w:val="24"/>
          <w:lang w:val="zh-CN"/>
        </w:rPr>
        <w:t>采购人（或代理公司）收到投标文件后，应当如实记载投标文件的送达时间和密封情况，签收保存，并向投标人出具签收回执。</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投标文件的修改和撤回</w:t>
      </w:r>
    </w:p>
    <w:p>
      <w:pPr>
        <w:spacing w:line="360" w:lineRule="auto"/>
        <w:ind w:left="720" w:hanging="720" w:hangingChars="300"/>
        <w:rPr>
          <w:rFonts w:ascii="宋体" w:cs="Times New Roman"/>
          <w:strike/>
          <w:sz w:val="24"/>
          <w:szCs w:val="24"/>
          <w:lang w:val="zh-CN"/>
        </w:rPr>
      </w:pPr>
      <w:r>
        <w:rPr>
          <w:rFonts w:ascii="宋体" w:hAnsi="宋体" w:cs="宋体"/>
          <w:sz w:val="24"/>
          <w:szCs w:val="24"/>
        </w:rPr>
        <w:t xml:space="preserve">21.1 </w:t>
      </w:r>
      <w:r>
        <w:rPr>
          <w:rFonts w:hint="eastAsia" w:ascii="宋体" w:hAnsi="宋体" w:cs="宋体"/>
          <w:sz w:val="24"/>
          <w:szCs w:val="24"/>
          <w:lang w:val="zh-CN"/>
        </w:rPr>
        <w:t>投标人在投标截止时间前，可以对所递交的投标文件进行补充、修改或者撤回，并书面通知采购</w:t>
      </w:r>
      <w:r>
        <w:rPr>
          <w:rFonts w:hint="eastAsia" w:ascii="宋体" w:hAnsi="宋体" w:cs="宋体"/>
          <w:sz w:val="24"/>
          <w:szCs w:val="24"/>
        </w:rPr>
        <w:t>代理</w:t>
      </w:r>
      <w:r>
        <w:rPr>
          <w:rFonts w:hint="eastAsia" w:ascii="宋体" w:hAnsi="宋体" w:cs="宋体"/>
          <w:sz w:val="24"/>
          <w:szCs w:val="24"/>
          <w:lang w:val="zh-CN"/>
        </w:rPr>
        <w:t>机构。补充、修改的内容应当按照招标文件要求签署、盖章、密封后，作为投标文件的组成部分。</w:t>
      </w:r>
    </w:p>
    <w:p>
      <w:pPr>
        <w:spacing w:line="360" w:lineRule="auto"/>
        <w:ind w:left="720" w:hanging="720" w:hangingChars="300"/>
        <w:rPr>
          <w:rFonts w:ascii="宋体" w:cs="Times New Roman"/>
          <w:sz w:val="24"/>
          <w:szCs w:val="24"/>
          <w:lang w:val="zh-CN"/>
        </w:rPr>
      </w:pPr>
      <w:r>
        <w:rPr>
          <w:rFonts w:ascii="宋体" w:hAnsi="宋体" w:cs="宋体"/>
          <w:sz w:val="24"/>
          <w:szCs w:val="24"/>
        </w:rPr>
        <w:t xml:space="preserve">21.2 </w:t>
      </w:r>
      <w:r>
        <w:rPr>
          <w:rFonts w:hint="eastAsia" w:ascii="宋体" w:hAnsi="宋体" w:cs="宋体"/>
          <w:sz w:val="24"/>
          <w:szCs w:val="24"/>
          <w:lang w:val="zh-CN"/>
        </w:rPr>
        <w:t>投标有效期内投标人不得撤销其投标文件，否则按照本章“投标保证金”的规定其投</w:t>
      </w:r>
    </w:p>
    <w:p>
      <w:pPr>
        <w:spacing w:line="360" w:lineRule="auto"/>
        <w:ind w:left="719" w:leftChars="228" w:hanging="240" w:hangingChars="100"/>
        <w:rPr>
          <w:rFonts w:ascii="宋体" w:cs="Times New Roman"/>
          <w:sz w:val="24"/>
          <w:szCs w:val="24"/>
          <w:lang w:val="zh-CN"/>
        </w:rPr>
      </w:pPr>
      <w:r>
        <w:rPr>
          <w:rFonts w:hint="eastAsia" w:ascii="宋体" w:hAnsi="宋体" w:cs="宋体"/>
          <w:sz w:val="24"/>
          <w:szCs w:val="24"/>
          <w:lang w:val="zh-CN"/>
        </w:rPr>
        <w:t>标保证金不予退还。</w:t>
      </w:r>
    </w:p>
    <w:p>
      <w:pPr>
        <w:spacing w:line="360" w:lineRule="auto"/>
        <w:rPr>
          <w:rFonts w:ascii="宋体" w:cs="Times New Roman"/>
          <w:sz w:val="24"/>
          <w:szCs w:val="24"/>
          <w:lang w:val="zh-CN"/>
        </w:rPr>
      </w:pPr>
      <w:r>
        <w:rPr>
          <w:rFonts w:ascii="宋体" w:hAnsi="宋体" w:cs="宋体"/>
          <w:sz w:val="24"/>
          <w:szCs w:val="24"/>
        </w:rPr>
        <w:t xml:space="preserve">21.3 </w:t>
      </w:r>
      <w:r>
        <w:rPr>
          <w:rFonts w:hint="eastAsia" w:ascii="宋体" w:hAnsi="宋体" w:cs="宋体"/>
          <w:sz w:val="24"/>
          <w:szCs w:val="24"/>
          <w:lang w:val="zh-CN"/>
        </w:rPr>
        <w:t>投标人所递交的投标文件无论中标与否不予退还。</w:t>
      </w:r>
    </w:p>
    <w:p>
      <w:pPr>
        <w:pStyle w:val="4"/>
        <w:numPr>
          <w:ilvl w:val="0"/>
          <w:numId w:val="3"/>
        </w:numPr>
        <w:spacing w:before="40" w:after="40" w:line="360" w:lineRule="auto"/>
        <w:ind w:left="658" w:hanging="658"/>
        <w:jc w:val="left"/>
        <w:rPr>
          <w:rFonts w:ascii="宋体" w:cs="Times New Roman"/>
          <w:lang w:val="zh-CN"/>
        </w:rPr>
      </w:pPr>
      <w:bookmarkStart w:id="20" w:name="_Toc495861523"/>
      <w:bookmarkStart w:id="21" w:name="_Toc278891595"/>
      <w:bookmarkStart w:id="22" w:name="_Toc272247698"/>
      <w:bookmarkStart w:id="23" w:name="_Toc494561942"/>
      <w:bookmarkStart w:id="24" w:name="_Toc509323120"/>
      <w:r>
        <w:rPr>
          <w:rFonts w:hint="eastAsia" w:ascii="宋体" w:hAnsi="宋体" w:cs="宋体"/>
          <w:lang w:val="zh-CN"/>
        </w:rPr>
        <w:t>开标与评标</w:t>
      </w:r>
      <w:bookmarkEnd w:id="20"/>
      <w:bookmarkEnd w:id="21"/>
      <w:bookmarkEnd w:id="22"/>
      <w:bookmarkEnd w:id="23"/>
      <w:bookmarkEnd w:id="24"/>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开标</w:t>
      </w:r>
    </w:p>
    <w:p>
      <w:pPr>
        <w:spacing w:line="360" w:lineRule="auto"/>
        <w:ind w:left="480" w:hanging="480" w:hangingChars="200"/>
        <w:rPr>
          <w:rFonts w:ascii="宋体" w:cs="Times New Roman"/>
          <w:b/>
          <w:bCs/>
          <w:sz w:val="24"/>
          <w:szCs w:val="24"/>
          <w:lang w:val="zh-CN"/>
        </w:rPr>
      </w:pPr>
      <w:r>
        <w:rPr>
          <w:rFonts w:ascii="Helvetica" w:hAnsi="Helvetica" w:cs="Helvetica"/>
          <w:kern w:val="0"/>
          <w:sz w:val="24"/>
          <w:szCs w:val="24"/>
        </w:rPr>
        <w:t xml:space="preserve">22.1 </w:t>
      </w:r>
      <w:r>
        <w:rPr>
          <w:rFonts w:hint="eastAsia" w:ascii="Helvetica" w:hAnsi="Helvetica" w:cs="宋体"/>
          <w:kern w:val="0"/>
          <w:sz w:val="24"/>
          <w:szCs w:val="24"/>
          <w:lang w:val="zh-CN"/>
        </w:rPr>
        <w:t>采购人（或代理公司）</w:t>
      </w:r>
      <w:r>
        <w:rPr>
          <w:rFonts w:hint="eastAsia" w:ascii="宋体" w:hAnsi="宋体" w:cs="宋体"/>
          <w:sz w:val="24"/>
          <w:szCs w:val="24"/>
          <w:lang w:val="zh-CN"/>
        </w:rPr>
        <w:t>在第一章“投标邀请书”中约定的日期、时间和地点组织公开开标。开标时采购人和投标人代表（投标人法定代表人或其授权代表）参加</w:t>
      </w:r>
      <w:r>
        <w:rPr>
          <w:rFonts w:ascii="宋体" w:cs="宋体"/>
          <w:sz w:val="24"/>
          <w:szCs w:val="24"/>
          <w:lang w:val="zh-CN"/>
        </w:rPr>
        <w:t>,</w:t>
      </w:r>
      <w:r>
        <w:rPr>
          <w:rFonts w:hint="eastAsia" w:ascii="宋体" w:hAnsi="宋体" w:cs="宋体"/>
          <w:sz w:val="24"/>
          <w:szCs w:val="24"/>
          <w:lang w:val="zh-CN"/>
        </w:rPr>
        <w:t>参加开标的代表应签到以证明其出席</w:t>
      </w:r>
      <w:r>
        <w:rPr>
          <w:rFonts w:hint="eastAsia" w:ascii="宋体" w:hAnsi="宋体" w:cs="宋体"/>
          <w:b/>
          <w:bCs/>
          <w:sz w:val="24"/>
          <w:szCs w:val="24"/>
          <w:lang w:val="zh-CN"/>
        </w:rPr>
        <w:t>，否则视同认可开标结果。</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22.2 </w:t>
      </w:r>
      <w:r>
        <w:rPr>
          <w:rFonts w:hint="eastAsia" w:ascii="宋体" w:hAnsi="宋体" w:cs="宋体"/>
          <w:sz w:val="24"/>
          <w:szCs w:val="24"/>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cs="宋体"/>
          <w:sz w:val="24"/>
          <w:szCs w:val="24"/>
          <w:lang w:val="zh-CN"/>
        </w:rPr>
        <w:t>递交时间，投标人不足</w:t>
      </w:r>
      <w:r>
        <w:rPr>
          <w:rFonts w:ascii="宋体" w:hAnsi="宋体" w:cs="宋体"/>
          <w:sz w:val="24"/>
          <w:szCs w:val="24"/>
          <w:lang w:val="zh-CN"/>
        </w:rPr>
        <w:t>3</w:t>
      </w:r>
      <w:r>
        <w:rPr>
          <w:rFonts w:hint="eastAsia" w:ascii="宋体" w:hAnsi="宋体" w:cs="宋体"/>
          <w:sz w:val="24"/>
          <w:szCs w:val="24"/>
          <w:lang w:val="zh-CN"/>
        </w:rPr>
        <w:t>家的，不进行开标</w:t>
      </w:r>
      <w:r>
        <w:rPr>
          <w:rFonts w:hint="eastAsia" w:ascii="宋体" w:hAnsi="宋体" w:cs="宋体"/>
          <w:kern w:val="0"/>
          <w:sz w:val="24"/>
          <w:szCs w:val="24"/>
          <w:lang w:val="zh-CN"/>
        </w:rPr>
        <w:t>。</w:t>
      </w:r>
    </w:p>
    <w:p>
      <w:pPr>
        <w:spacing w:line="360" w:lineRule="auto"/>
        <w:ind w:left="480" w:hanging="480" w:hangingChars="200"/>
        <w:rPr>
          <w:rFonts w:ascii="宋体" w:cs="Times New Roman"/>
          <w:sz w:val="24"/>
          <w:szCs w:val="24"/>
          <w:lang w:val="zh-CN"/>
        </w:rPr>
      </w:pPr>
      <w:r>
        <w:rPr>
          <w:rFonts w:ascii="宋体" w:hAnsi="宋体" w:cs="宋体"/>
          <w:sz w:val="24"/>
          <w:szCs w:val="24"/>
        </w:rPr>
        <w:t>22.3</w:t>
      </w:r>
      <w:r>
        <w:rPr>
          <w:rFonts w:hint="eastAsia" w:ascii="宋体" w:hAnsi="宋体" w:cs="宋体"/>
          <w:sz w:val="24"/>
          <w:szCs w:val="24"/>
          <w:lang w:val="zh-CN"/>
        </w:rPr>
        <w:t>开标时，由投标人或其推选的代表检查投标文件的密封情况，经确认无误后由</w:t>
      </w:r>
      <w:r>
        <w:rPr>
          <w:rFonts w:hint="eastAsia" w:ascii="宋体" w:hAnsi="宋体" w:cs="宋体"/>
          <w:kern w:val="0"/>
          <w:sz w:val="24"/>
          <w:szCs w:val="24"/>
          <w:lang w:val="zh-CN"/>
        </w:rPr>
        <w:t>采购人（或代理公司）</w:t>
      </w:r>
      <w:r>
        <w:rPr>
          <w:rFonts w:hint="eastAsia" w:ascii="宋体" w:hAnsi="宋体" w:cs="宋体"/>
          <w:sz w:val="24"/>
          <w:szCs w:val="24"/>
          <w:lang w:val="zh-CN"/>
        </w:rPr>
        <w:t>工作人员当众拆封，宣布投标人名称、投标价格和招标文件规定的需要宣布的其他内容。</w:t>
      </w:r>
    </w:p>
    <w:p>
      <w:pPr>
        <w:spacing w:line="360" w:lineRule="auto"/>
        <w:ind w:left="480" w:hanging="480" w:hangingChars="200"/>
        <w:rPr>
          <w:rFonts w:ascii="宋体" w:cs="Times New Roman"/>
          <w:sz w:val="24"/>
          <w:szCs w:val="24"/>
          <w:lang w:val="zh-CN"/>
        </w:rPr>
      </w:pPr>
      <w:r>
        <w:rPr>
          <w:rFonts w:ascii="宋体" w:hAnsi="宋体" w:cs="宋体"/>
          <w:kern w:val="0"/>
          <w:sz w:val="24"/>
          <w:szCs w:val="24"/>
        </w:rPr>
        <w:t xml:space="preserve">22.4 </w:t>
      </w:r>
      <w:r>
        <w:rPr>
          <w:rFonts w:hint="eastAsia" w:ascii="宋体" w:hAnsi="宋体" w:cs="宋体"/>
          <w:kern w:val="0"/>
          <w:sz w:val="24"/>
          <w:szCs w:val="24"/>
          <w:lang w:val="zh-CN"/>
        </w:rPr>
        <w:t>采购人（或代理公司）</w:t>
      </w:r>
      <w:r>
        <w:rPr>
          <w:rFonts w:hint="eastAsia" w:ascii="宋体" w:hAnsi="宋体" w:cs="宋体"/>
          <w:sz w:val="24"/>
          <w:szCs w:val="24"/>
          <w:lang w:val="zh-CN"/>
        </w:rPr>
        <w:t>负责对开标过程进行记录，由参加开标的各投标人代表和相关工作人员对开标记录进行签字确认。</w:t>
      </w:r>
    </w:p>
    <w:p>
      <w:pPr>
        <w:spacing w:line="360" w:lineRule="auto"/>
        <w:ind w:left="720" w:hanging="720" w:hangingChars="300"/>
        <w:rPr>
          <w:rFonts w:ascii="宋体" w:cs="Times New Roman"/>
          <w:sz w:val="24"/>
          <w:szCs w:val="24"/>
          <w:lang w:val="zh-CN"/>
        </w:rPr>
      </w:pPr>
      <w:r>
        <w:rPr>
          <w:rFonts w:ascii="宋体" w:hAnsi="宋体" w:cs="宋体"/>
          <w:sz w:val="24"/>
          <w:szCs w:val="24"/>
        </w:rPr>
        <w:t xml:space="preserve">22.5 </w:t>
      </w:r>
      <w:r>
        <w:rPr>
          <w:rFonts w:hint="eastAsia" w:ascii="宋体" w:hAnsi="宋体" w:cs="宋体"/>
          <w:sz w:val="24"/>
          <w:szCs w:val="24"/>
          <w:lang w:val="zh-CN"/>
        </w:rPr>
        <w:t>投标人代表对开标过程和开标记录有疑义，以及认为采购人、</w:t>
      </w:r>
      <w:r>
        <w:rPr>
          <w:rFonts w:hint="eastAsia" w:ascii="Helvetica" w:hAnsi="Helvetica" w:cs="宋体"/>
          <w:kern w:val="0"/>
          <w:sz w:val="24"/>
          <w:szCs w:val="24"/>
          <w:lang w:val="zh-CN"/>
        </w:rPr>
        <w:t>代理公司</w:t>
      </w:r>
      <w:r>
        <w:rPr>
          <w:rFonts w:hint="eastAsia" w:ascii="宋体" w:hAnsi="宋体" w:cs="宋体"/>
          <w:sz w:val="24"/>
          <w:szCs w:val="24"/>
          <w:lang w:val="zh-CN"/>
        </w:rPr>
        <w:t>相关工作人员有需要回避的情形的，应当场提出询问或者回避申请。采购人、</w:t>
      </w:r>
      <w:r>
        <w:rPr>
          <w:rFonts w:hint="eastAsia" w:ascii="Helvetica" w:hAnsi="Helvetica" w:cs="宋体"/>
          <w:kern w:val="0"/>
          <w:sz w:val="24"/>
          <w:szCs w:val="24"/>
          <w:lang w:val="zh-CN"/>
        </w:rPr>
        <w:t>代理公司</w:t>
      </w:r>
      <w:r>
        <w:rPr>
          <w:rFonts w:hint="eastAsia" w:ascii="宋体" w:hAnsi="宋体" w:cs="宋体"/>
          <w:sz w:val="24"/>
          <w:szCs w:val="24"/>
          <w:lang w:val="zh-CN"/>
        </w:rPr>
        <w:t>将及时处理投标人代表提出的询问或者回避申请。</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资格审查</w:t>
      </w:r>
    </w:p>
    <w:p>
      <w:pPr>
        <w:spacing w:line="360" w:lineRule="auto"/>
        <w:ind w:left="480" w:hanging="480" w:hangingChars="200"/>
        <w:rPr>
          <w:rFonts w:ascii="Helvetica" w:hAnsi="Helvetica" w:cs="Helvetica"/>
          <w:kern w:val="0"/>
          <w:sz w:val="24"/>
          <w:szCs w:val="24"/>
          <w:lang w:val="zh-CN"/>
        </w:rPr>
      </w:pPr>
      <w:r>
        <w:rPr>
          <w:rFonts w:ascii="宋体" w:hAnsi="宋体" w:cs="宋体"/>
          <w:sz w:val="24"/>
          <w:szCs w:val="24"/>
        </w:rPr>
        <w:t xml:space="preserve">23.1 </w:t>
      </w:r>
      <w:r>
        <w:rPr>
          <w:rFonts w:hint="eastAsia" w:ascii="宋体" w:hAnsi="宋体" w:cs="宋体"/>
          <w:sz w:val="24"/>
          <w:szCs w:val="24"/>
          <w:lang w:val="zh-CN"/>
        </w:rPr>
        <w:t>公开招标采购项目开标结束后，采购人和采购代理公司依据法律、法规及招标文件的规定，对投标人的资格进行审查，以确定投标人资格是否合格。</w:t>
      </w:r>
      <w:r>
        <w:rPr>
          <w:rFonts w:hint="eastAsia" w:ascii="Helvetica" w:hAnsi="Helvetica" w:cs="宋体"/>
          <w:kern w:val="0"/>
          <w:sz w:val="24"/>
          <w:szCs w:val="24"/>
          <w:lang w:val="zh-CN"/>
        </w:rPr>
        <w:t>合格投标人不足</w:t>
      </w:r>
      <w:r>
        <w:rPr>
          <w:rFonts w:ascii="宋体" w:hAnsi="宋体" w:cs="宋体"/>
          <w:kern w:val="0"/>
          <w:sz w:val="24"/>
          <w:szCs w:val="24"/>
          <w:lang w:val="zh-CN"/>
        </w:rPr>
        <w:t>3</w:t>
      </w:r>
      <w:r>
        <w:rPr>
          <w:rFonts w:hint="eastAsia" w:ascii="Helvetica" w:hAnsi="Helvetica" w:cs="宋体"/>
          <w:kern w:val="0"/>
          <w:sz w:val="24"/>
          <w:szCs w:val="24"/>
          <w:lang w:val="zh-CN"/>
        </w:rPr>
        <w:t>家的，不进行评标。</w:t>
      </w:r>
    </w:p>
    <w:p>
      <w:pPr>
        <w:spacing w:line="360" w:lineRule="auto"/>
        <w:rPr>
          <w:rFonts w:ascii="宋体" w:cs="Times New Roman"/>
          <w:sz w:val="24"/>
          <w:szCs w:val="24"/>
          <w:lang w:val="zh-CN"/>
        </w:rPr>
      </w:pPr>
      <w:r>
        <w:rPr>
          <w:rFonts w:ascii="宋体" w:hAnsi="宋体" w:cs="宋体"/>
          <w:sz w:val="24"/>
          <w:szCs w:val="24"/>
        </w:rPr>
        <w:t xml:space="preserve">23.2 </w:t>
      </w:r>
      <w:r>
        <w:rPr>
          <w:rFonts w:hint="eastAsia" w:ascii="宋体" w:hAnsi="宋体" w:cs="宋体"/>
          <w:sz w:val="24"/>
          <w:szCs w:val="24"/>
          <w:lang w:val="zh-CN"/>
        </w:rPr>
        <w:t>资格审查详见第四章“资格审查方法及标准”。</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评标方法</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24.1 </w:t>
      </w:r>
      <w:r>
        <w:rPr>
          <w:rFonts w:hint="eastAsia" w:ascii="宋体" w:hAnsi="宋体" w:cs="宋体"/>
          <w:sz w:val="24"/>
          <w:szCs w:val="24"/>
          <w:lang w:val="zh-CN"/>
        </w:rPr>
        <w:t>最低评标价法。最低评标价法是指投标文件满足招标文件全部实质性要求，且投标报价最低的投标人为中标候选人的评标方法。</w:t>
      </w:r>
    </w:p>
    <w:p>
      <w:pPr>
        <w:spacing w:line="360" w:lineRule="auto"/>
        <w:rPr>
          <w:rFonts w:ascii="宋体" w:cs="Times New Roman"/>
          <w:sz w:val="24"/>
          <w:szCs w:val="24"/>
        </w:rPr>
      </w:pPr>
      <w:r>
        <w:rPr>
          <w:rFonts w:ascii="宋体" w:hAnsi="宋体" w:cs="宋体"/>
          <w:sz w:val="24"/>
          <w:szCs w:val="24"/>
        </w:rPr>
        <w:t xml:space="preserve">24.2 </w:t>
      </w:r>
      <w:r>
        <w:rPr>
          <w:rFonts w:hint="eastAsia" w:ascii="宋体" w:hAnsi="宋体" w:cs="宋体"/>
          <w:sz w:val="24"/>
          <w:szCs w:val="24"/>
          <w:lang w:val="zh-CN"/>
        </w:rPr>
        <w:t>综合评分法。综合评分法是指投标文件满足招标文件全部实质性要求，且按照评审因</w:t>
      </w:r>
      <w:r>
        <w:rPr>
          <w:rFonts w:ascii="宋体" w:hAnsi="宋体" w:cs="宋体"/>
          <w:sz w:val="24"/>
          <w:szCs w:val="24"/>
        </w:rPr>
        <w:t xml:space="preserve">  </w:t>
      </w:r>
    </w:p>
    <w:p>
      <w:pPr>
        <w:spacing w:line="360" w:lineRule="auto"/>
        <w:ind w:firstLine="720" w:firstLineChars="300"/>
        <w:rPr>
          <w:rFonts w:ascii="宋体" w:cs="Times New Roman"/>
          <w:sz w:val="24"/>
          <w:szCs w:val="24"/>
          <w:lang w:val="zh-CN"/>
        </w:rPr>
      </w:pPr>
      <w:r>
        <w:rPr>
          <w:rFonts w:hint="eastAsia" w:ascii="宋体" w:hAnsi="宋体" w:cs="宋体"/>
          <w:sz w:val="24"/>
          <w:szCs w:val="24"/>
          <w:lang w:val="zh-CN"/>
        </w:rPr>
        <w:t>素的量化指标评审得分最高的投标人为中标候选人的评标方法。</w:t>
      </w:r>
    </w:p>
    <w:p>
      <w:pPr>
        <w:spacing w:line="360" w:lineRule="auto"/>
        <w:rPr>
          <w:rFonts w:ascii="宋体" w:cs="Times New Roman"/>
          <w:sz w:val="24"/>
          <w:szCs w:val="24"/>
          <w:lang w:val="zh-CN"/>
        </w:rPr>
      </w:pPr>
      <w:r>
        <w:rPr>
          <w:rFonts w:ascii="宋体" w:hAnsi="宋体" w:cs="宋体"/>
          <w:kern w:val="0"/>
          <w:sz w:val="24"/>
          <w:szCs w:val="24"/>
        </w:rPr>
        <w:t xml:space="preserve">24.3 </w:t>
      </w:r>
      <w:r>
        <w:rPr>
          <w:rFonts w:hint="eastAsia" w:ascii="宋体" w:hAnsi="宋体" w:cs="宋体"/>
          <w:kern w:val="0"/>
          <w:sz w:val="24"/>
          <w:szCs w:val="24"/>
          <w:lang w:val="zh-CN"/>
        </w:rPr>
        <w:t>评</w:t>
      </w:r>
      <w:r>
        <w:rPr>
          <w:rFonts w:hint="eastAsia" w:ascii="Helvetica" w:hAnsi="Helvetica" w:cs="宋体"/>
          <w:kern w:val="0"/>
          <w:sz w:val="24"/>
          <w:szCs w:val="24"/>
          <w:lang w:val="zh-CN"/>
        </w:rPr>
        <w:t>标方法详见第五章“评标方法、程序及标准”</w:t>
      </w:r>
      <w:r>
        <w:rPr>
          <w:rFonts w:hint="eastAsia" w:ascii="宋体" w:hAnsi="宋体" w:cs="宋体"/>
          <w:sz w:val="24"/>
          <w:szCs w:val="24"/>
          <w:lang w:val="zh-CN"/>
        </w:rPr>
        <w:t>。</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评标委员会的组成</w:t>
      </w:r>
    </w:p>
    <w:p>
      <w:pPr>
        <w:spacing w:line="360" w:lineRule="auto"/>
        <w:ind w:left="480" w:hanging="480" w:hangingChars="200"/>
        <w:rPr>
          <w:rFonts w:ascii="宋体" w:cs="Times New Roman"/>
          <w:sz w:val="24"/>
          <w:szCs w:val="24"/>
          <w:lang w:val="zh-CN"/>
        </w:rPr>
      </w:pPr>
      <w:r>
        <w:rPr>
          <w:rFonts w:ascii="宋体" w:hAnsi="宋体" w:cs="宋体"/>
          <w:kern w:val="0"/>
          <w:sz w:val="24"/>
          <w:szCs w:val="24"/>
        </w:rPr>
        <w:t xml:space="preserve">25.1 </w:t>
      </w:r>
      <w:r>
        <w:rPr>
          <w:rFonts w:hint="eastAsia" w:ascii="宋体" w:hAnsi="宋体" w:cs="宋体"/>
          <w:kern w:val="0"/>
          <w:sz w:val="24"/>
          <w:szCs w:val="24"/>
          <w:lang w:val="zh-CN"/>
        </w:rPr>
        <w:t>评标委员会由采购人代表和评审专家组成，成员人数应当为</w:t>
      </w:r>
      <w:r>
        <w:rPr>
          <w:rFonts w:ascii="宋体" w:hAnsi="宋体" w:cs="宋体"/>
          <w:kern w:val="0"/>
          <w:sz w:val="24"/>
          <w:szCs w:val="24"/>
          <w:lang w:val="zh-CN"/>
        </w:rPr>
        <w:t>5</w:t>
      </w:r>
      <w:r>
        <w:rPr>
          <w:rFonts w:hint="eastAsia" w:ascii="宋体" w:hAnsi="宋体" w:cs="宋体"/>
          <w:kern w:val="0"/>
          <w:sz w:val="24"/>
          <w:szCs w:val="24"/>
          <w:lang w:val="zh-CN"/>
        </w:rPr>
        <w:t>人及以上单数，其中评审专家不得少于成员总数的三分之二；</w:t>
      </w:r>
      <w:r>
        <w:rPr>
          <w:rFonts w:hint="eastAsia" w:ascii="宋体" w:hAnsi="宋体" w:cs="宋体"/>
          <w:sz w:val="24"/>
          <w:szCs w:val="24"/>
          <w:lang w:val="zh-CN"/>
        </w:rPr>
        <w:t>采购预算金额在</w:t>
      </w:r>
      <w:r>
        <w:rPr>
          <w:rFonts w:ascii="宋体" w:hAnsi="宋体" w:cs="宋体"/>
          <w:sz w:val="24"/>
          <w:szCs w:val="24"/>
          <w:lang w:val="zh-CN"/>
        </w:rPr>
        <w:t>1000</w:t>
      </w:r>
      <w:r>
        <w:rPr>
          <w:rFonts w:hint="eastAsia" w:ascii="宋体" w:hAnsi="宋体" w:cs="宋体"/>
          <w:sz w:val="24"/>
          <w:szCs w:val="24"/>
          <w:lang w:val="zh-CN"/>
        </w:rPr>
        <w:t>万元及以上、技术复杂或社会影响较大的项目，评标委员会成员人数应当为</w:t>
      </w:r>
      <w:r>
        <w:rPr>
          <w:rFonts w:ascii="宋体" w:hAnsi="宋体" w:cs="宋体"/>
          <w:sz w:val="24"/>
          <w:szCs w:val="24"/>
          <w:lang w:val="zh-CN"/>
        </w:rPr>
        <w:t>7</w:t>
      </w:r>
      <w:r>
        <w:rPr>
          <w:rFonts w:hint="eastAsia" w:ascii="宋体" w:hAnsi="宋体" w:cs="宋体"/>
          <w:sz w:val="24"/>
          <w:szCs w:val="24"/>
          <w:lang w:val="zh-CN"/>
        </w:rPr>
        <w:t>人及以上单数。</w:t>
      </w:r>
    </w:p>
    <w:p>
      <w:pPr>
        <w:spacing w:line="360" w:lineRule="auto"/>
        <w:ind w:left="723" w:hanging="723" w:hangingChars="300"/>
        <w:rPr>
          <w:rFonts w:ascii="宋体" w:cs="Times New Roman"/>
          <w:b/>
          <w:bCs/>
          <w:sz w:val="24"/>
          <w:szCs w:val="24"/>
          <w:lang w:val="zh-CN"/>
        </w:rPr>
      </w:pPr>
      <w:r>
        <w:rPr>
          <w:rFonts w:ascii="宋体" w:hAnsi="宋体" w:cs="宋体"/>
          <w:b/>
          <w:bCs/>
          <w:sz w:val="24"/>
          <w:szCs w:val="24"/>
        </w:rPr>
        <w:t xml:space="preserve">25.2 </w:t>
      </w:r>
      <w:r>
        <w:rPr>
          <w:rFonts w:hint="eastAsia" w:ascii="宋体" w:hAnsi="宋体" w:cs="宋体"/>
          <w:b/>
          <w:bCs/>
          <w:sz w:val="24"/>
          <w:szCs w:val="24"/>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评标程序</w:t>
      </w:r>
    </w:p>
    <w:p>
      <w:pPr>
        <w:spacing w:line="360" w:lineRule="auto"/>
        <w:rPr>
          <w:rFonts w:ascii="宋体" w:cs="Times New Roman"/>
          <w:sz w:val="24"/>
          <w:szCs w:val="24"/>
          <w:lang w:val="zh-CN"/>
        </w:rPr>
      </w:pPr>
      <w:r>
        <w:rPr>
          <w:rFonts w:ascii="宋体" w:hAnsi="宋体" w:cs="宋体"/>
          <w:kern w:val="0"/>
          <w:sz w:val="24"/>
          <w:szCs w:val="24"/>
        </w:rPr>
        <w:t>26.1</w:t>
      </w:r>
      <w:r>
        <w:rPr>
          <w:rFonts w:ascii="Helvetica" w:hAnsi="Helvetica" w:cs="Helvetica"/>
          <w:kern w:val="0"/>
          <w:sz w:val="24"/>
          <w:szCs w:val="24"/>
        </w:rPr>
        <w:t xml:space="preserve"> </w:t>
      </w:r>
      <w:r>
        <w:rPr>
          <w:rFonts w:hint="eastAsia" w:ascii="Helvetica" w:hAnsi="Helvetica" w:cs="宋体"/>
          <w:kern w:val="0"/>
          <w:sz w:val="24"/>
          <w:szCs w:val="24"/>
          <w:lang w:val="zh-CN"/>
        </w:rPr>
        <w:t>评标委员会负责具体评标事务，并独立履行下列职责：</w:t>
      </w:r>
    </w:p>
    <w:p>
      <w:pPr>
        <w:spacing w:line="360" w:lineRule="auto"/>
        <w:rPr>
          <w:rFonts w:ascii="宋体" w:cs="Times New Roman"/>
          <w:sz w:val="24"/>
          <w:szCs w:val="24"/>
          <w:lang w:val="zh-CN"/>
        </w:rPr>
      </w:pPr>
      <w:r>
        <w:rPr>
          <w:rFonts w:ascii="宋体" w:hAnsi="宋体" w:cs="宋体"/>
          <w:sz w:val="24"/>
          <w:szCs w:val="24"/>
        </w:rPr>
        <w:t>26.1.1</w:t>
      </w:r>
      <w:r>
        <w:rPr>
          <w:rFonts w:hint="eastAsia" w:ascii="宋体" w:hAnsi="宋体" w:cs="宋体"/>
          <w:sz w:val="24"/>
          <w:szCs w:val="24"/>
          <w:lang w:val="zh-CN"/>
        </w:rPr>
        <w:t>审查、评价投标文件是否符合招标文件的商务、技术等实质性要求；</w:t>
      </w:r>
    </w:p>
    <w:p>
      <w:pPr>
        <w:spacing w:line="360" w:lineRule="auto"/>
        <w:rPr>
          <w:rFonts w:ascii="宋体" w:cs="Times New Roman"/>
          <w:sz w:val="24"/>
          <w:szCs w:val="24"/>
          <w:lang w:val="zh-CN"/>
        </w:rPr>
      </w:pPr>
      <w:r>
        <w:rPr>
          <w:rFonts w:ascii="宋体" w:hAnsi="宋体" w:cs="宋体"/>
          <w:sz w:val="24"/>
          <w:szCs w:val="24"/>
        </w:rPr>
        <w:t>26.1.2</w:t>
      </w:r>
      <w:r>
        <w:rPr>
          <w:rFonts w:hint="eastAsia" w:ascii="宋体" w:hAnsi="宋体" w:cs="宋体"/>
          <w:sz w:val="24"/>
          <w:szCs w:val="24"/>
          <w:lang w:val="zh-CN"/>
        </w:rPr>
        <w:t>要求投标人对投标文件有关事项作出澄清或者说明；</w:t>
      </w:r>
    </w:p>
    <w:p>
      <w:pPr>
        <w:spacing w:line="360" w:lineRule="auto"/>
        <w:rPr>
          <w:rFonts w:ascii="宋体" w:cs="Times New Roman"/>
          <w:sz w:val="24"/>
          <w:szCs w:val="24"/>
          <w:lang w:val="zh-CN"/>
        </w:rPr>
      </w:pPr>
      <w:r>
        <w:rPr>
          <w:rFonts w:ascii="宋体" w:hAnsi="宋体" w:cs="宋体"/>
          <w:sz w:val="24"/>
          <w:szCs w:val="24"/>
        </w:rPr>
        <w:t>26.1.3</w:t>
      </w:r>
      <w:r>
        <w:rPr>
          <w:rFonts w:hint="eastAsia" w:ascii="宋体" w:hAnsi="宋体" w:cs="宋体"/>
          <w:sz w:val="24"/>
          <w:szCs w:val="24"/>
          <w:lang w:val="zh-CN"/>
        </w:rPr>
        <w:t>对投标文件进行综合比较和评价；</w:t>
      </w:r>
    </w:p>
    <w:p>
      <w:pPr>
        <w:spacing w:line="360" w:lineRule="auto"/>
        <w:rPr>
          <w:rFonts w:ascii="宋体" w:cs="Times New Roman"/>
          <w:sz w:val="24"/>
          <w:szCs w:val="24"/>
          <w:lang w:val="zh-CN"/>
        </w:rPr>
      </w:pPr>
      <w:r>
        <w:rPr>
          <w:rFonts w:ascii="宋体" w:hAnsi="宋体" w:cs="宋体"/>
          <w:sz w:val="24"/>
          <w:szCs w:val="24"/>
        </w:rPr>
        <w:t>26.1.4</w:t>
      </w:r>
      <w:r>
        <w:rPr>
          <w:rFonts w:hint="eastAsia" w:ascii="宋体" w:hAnsi="宋体" w:cs="宋体"/>
          <w:sz w:val="24"/>
          <w:szCs w:val="24"/>
          <w:lang w:val="zh-CN"/>
        </w:rPr>
        <w:t>确定中标候选人名单或中标人；</w:t>
      </w:r>
    </w:p>
    <w:p>
      <w:pPr>
        <w:spacing w:line="360" w:lineRule="auto"/>
        <w:rPr>
          <w:rFonts w:ascii="宋体" w:cs="Times New Roman"/>
          <w:sz w:val="24"/>
          <w:szCs w:val="24"/>
          <w:lang w:val="zh-CN"/>
        </w:rPr>
      </w:pPr>
      <w:r>
        <w:rPr>
          <w:rFonts w:ascii="宋体" w:hAnsi="宋体" w:cs="宋体"/>
          <w:sz w:val="24"/>
          <w:szCs w:val="24"/>
        </w:rPr>
        <w:t>26.1.5</w:t>
      </w:r>
      <w:r>
        <w:rPr>
          <w:rFonts w:hint="eastAsia" w:ascii="宋体" w:hAnsi="宋体" w:cs="宋体"/>
          <w:sz w:val="24"/>
          <w:szCs w:val="24"/>
          <w:lang w:val="zh-CN"/>
        </w:rPr>
        <w:t>向采购人、采购</w:t>
      </w:r>
      <w:r>
        <w:rPr>
          <w:rFonts w:hint="eastAsia" w:ascii="宋体" w:hAnsi="宋体" w:cs="宋体"/>
          <w:sz w:val="24"/>
          <w:szCs w:val="24"/>
        </w:rPr>
        <w:t>代理</w:t>
      </w:r>
      <w:r>
        <w:rPr>
          <w:rFonts w:hint="eastAsia" w:ascii="宋体" w:hAnsi="宋体" w:cs="宋体"/>
          <w:sz w:val="24"/>
          <w:szCs w:val="24"/>
          <w:lang w:val="zh-CN"/>
        </w:rPr>
        <w:t>机构或者有关部门报告评标中发现的违法行为。</w:t>
      </w:r>
    </w:p>
    <w:p>
      <w:pPr>
        <w:spacing w:line="360" w:lineRule="auto"/>
        <w:rPr>
          <w:rFonts w:ascii="Helvetica" w:hAnsi="Helvetica" w:cs="Helvetica"/>
          <w:kern w:val="0"/>
          <w:sz w:val="24"/>
          <w:szCs w:val="24"/>
          <w:lang w:val="zh-CN"/>
        </w:rPr>
      </w:pPr>
      <w:r>
        <w:rPr>
          <w:rFonts w:ascii="宋体" w:hAnsi="宋体" w:cs="宋体"/>
          <w:kern w:val="0"/>
          <w:sz w:val="24"/>
          <w:szCs w:val="24"/>
        </w:rPr>
        <w:t>26.1.6</w:t>
      </w:r>
      <w:r>
        <w:rPr>
          <w:rFonts w:hint="eastAsia" w:ascii="Helvetica" w:hAnsi="Helvetica" w:cs="宋体"/>
          <w:kern w:val="0"/>
          <w:sz w:val="24"/>
          <w:szCs w:val="24"/>
          <w:lang w:val="zh-CN"/>
        </w:rPr>
        <w:t>评标程序详见第五章“评标方法、程序及标准”。</w:t>
      </w:r>
    </w:p>
    <w:p>
      <w:pPr>
        <w:pStyle w:val="4"/>
        <w:numPr>
          <w:ilvl w:val="0"/>
          <w:numId w:val="3"/>
        </w:numPr>
        <w:spacing w:before="40" w:after="40" w:line="360" w:lineRule="auto"/>
        <w:ind w:left="658" w:hanging="658"/>
        <w:jc w:val="left"/>
        <w:rPr>
          <w:rFonts w:ascii="宋体" w:cs="Times New Roman"/>
          <w:lang w:val="zh-CN"/>
        </w:rPr>
      </w:pPr>
      <w:bookmarkStart w:id="25" w:name="_Toc494561943"/>
      <w:bookmarkStart w:id="26" w:name="_Toc509323121"/>
      <w:bookmarkStart w:id="27" w:name="_Toc495861524"/>
      <w:r>
        <w:rPr>
          <w:rFonts w:hint="eastAsia" w:ascii="宋体" w:hAnsi="宋体" w:cs="宋体"/>
          <w:lang w:val="zh-CN"/>
        </w:rPr>
        <w:t>投标人信用信息及查询</w:t>
      </w:r>
      <w:bookmarkEnd w:id="25"/>
      <w:bookmarkEnd w:id="26"/>
      <w:bookmarkEnd w:id="27"/>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信用信息查询渠道及使用规则</w:t>
      </w:r>
    </w:p>
    <w:p>
      <w:pPr>
        <w:spacing w:line="360" w:lineRule="auto"/>
        <w:ind w:left="480" w:hanging="480" w:hangingChars="200"/>
        <w:rPr>
          <w:rFonts w:ascii="宋体" w:cs="Times New Roman"/>
          <w:kern w:val="0"/>
          <w:sz w:val="24"/>
          <w:szCs w:val="24"/>
          <w:lang w:val="zh-CN"/>
        </w:rPr>
      </w:pPr>
      <w:r>
        <w:rPr>
          <w:rFonts w:ascii="宋体" w:hAnsi="宋体" w:cs="宋体"/>
          <w:kern w:val="0"/>
          <w:sz w:val="24"/>
          <w:szCs w:val="24"/>
        </w:rPr>
        <w:t xml:space="preserve">27.1 </w:t>
      </w:r>
      <w:r>
        <w:rPr>
          <w:rFonts w:hint="eastAsia" w:ascii="宋体" w:hAnsi="宋体" w:cs="宋体"/>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宋体"/>
          <w:kern w:val="0"/>
          <w:sz w:val="24"/>
          <w:szCs w:val="24"/>
          <w:lang w:val="zh-CN"/>
        </w:rPr>
        <w:t>(www.creditchina.gov.cn)</w:t>
      </w:r>
      <w:r>
        <w:rPr>
          <w:rFonts w:hint="eastAsia" w:ascii="宋体" w:hAnsi="宋体" w:cs="宋体"/>
          <w:kern w:val="0"/>
          <w:sz w:val="24"/>
          <w:szCs w:val="24"/>
          <w:lang w:val="zh-CN"/>
        </w:rPr>
        <w:t>、中国政府采购网</w:t>
      </w:r>
      <w:r>
        <w:rPr>
          <w:rFonts w:ascii="宋体" w:hAnsi="宋体" w:cs="宋体"/>
          <w:kern w:val="0"/>
          <w:sz w:val="24"/>
          <w:szCs w:val="24"/>
          <w:lang w:val="zh-CN"/>
        </w:rPr>
        <w:t>(</w:t>
      </w:r>
      <w:r>
        <w:fldChar w:fldCharType="begin"/>
      </w:r>
      <w:r>
        <w:instrText xml:space="preserve"> HYPERLINK "http://www.ccgp.gov.cn" </w:instrText>
      </w:r>
      <w:r>
        <w:fldChar w:fldCharType="separate"/>
      </w:r>
      <w:r>
        <w:rPr>
          <w:rFonts w:ascii="宋体" w:hAnsi="宋体" w:cs="宋体"/>
          <w:kern w:val="0"/>
          <w:sz w:val="24"/>
          <w:szCs w:val="24"/>
          <w:lang w:val="zh-CN"/>
        </w:rPr>
        <w:t>www.ccgp.gov.cn</w:t>
      </w:r>
      <w:r>
        <w:rPr>
          <w:rFonts w:ascii="宋体" w:hAnsi="宋体" w:cs="宋体"/>
          <w:kern w:val="0"/>
          <w:sz w:val="24"/>
          <w:szCs w:val="24"/>
          <w:lang w:val="zh-CN"/>
        </w:rPr>
        <w:fldChar w:fldCharType="end"/>
      </w:r>
      <w:r>
        <w:rPr>
          <w:rFonts w:ascii="宋体" w:hAnsi="宋体" w:cs="宋体"/>
          <w:kern w:val="0"/>
          <w:sz w:val="24"/>
          <w:szCs w:val="24"/>
          <w:lang w:val="zh-CN"/>
        </w:rPr>
        <w:t>)</w:t>
      </w:r>
      <w:r>
        <w:rPr>
          <w:rFonts w:hint="eastAsia" w:ascii="宋体" w:hAnsi="宋体" w:cs="宋体"/>
          <w:kern w:val="0"/>
          <w:sz w:val="24"/>
          <w:szCs w:val="24"/>
          <w:lang w:val="zh-CN"/>
        </w:rPr>
        <w:t>。</w:t>
      </w:r>
    </w:p>
    <w:p>
      <w:pPr>
        <w:spacing w:line="360" w:lineRule="auto"/>
        <w:ind w:left="480" w:hanging="480" w:hangingChars="200"/>
        <w:rPr>
          <w:rFonts w:ascii="宋体" w:cs="Times New Roman"/>
          <w:kern w:val="0"/>
          <w:sz w:val="24"/>
          <w:szCs w:val="24"/>
          <w:lang w:val="zh-CN"/>
        </w:rPr>
      </w:pPr>
      <w:r>
        <w:rPr>
          <w:rFonts w:ascii="宋体" w:hAnsi="宋体" w:cs="宋体"/>
          <w:kern w:val="0"/>
          <w:sz w:val="24"/>
          <w:szCs w:val="24"/>
        </w:rPr>
        <w:t xml:space="preserve">27.2 </w:t>
      </w:r>
      <w:r>
        <w:rPr>
          <w:rFonts w:hint="eastAsia" w:ascii="宋体" w:hAnsi="宋体" w:cs="宋体"/>
          <w:kern w:val="0"/>
          <w:sz w:val="24"/>
          <w:szCs w:val="24"/>
          <w:lang w:val="zh-CN"/>
        </w:rPr>
        <w:t>列入失信被执行人、重大税收违法案件当事人名单、政府采购严重违法失信行为记录名单的供应商，采购人、采购代理机构</w:t>
      </w:r>
      <w:r>
        <w:rPr>
          <w:rFonts w:hint="eastAsia" w:ascii="宋体" w:hAnsi="宋体" w:cs="宋体"/>
          <w:b/>
          <w:bCs/>
          <w:kern w:val="0"/>
          <w:sz w:val="24"/>
          <w:szCs w:val="24"/>
          <w:lang w:val="zh-CN"/>
        </w:rPr>
        <w:t>拒绝</w:t>
      </w:r>
      <w:r>
        <w:rPr>
          <w:rFonts w:hint="eastAsia" w:ascii="宋体" w:hAnsi="宋体" w:cs="宋体"/>
          <w:kern w:val="0"/>
          <w:sz w:val="24"/>
          <w:szCs w:val="24"/>
          <w:lang w:val="zh-CN"/>
        </w:rPr>
        <w:t>其参与政府采购活动。</w:t>
      </w:r>
    </w:p>
    <w:p>
      <w:pPr>
        <w:spacing w:line="360" w:lineRule="auto"/>
        <w:ind w:left="720" w:hanging="720" w:hangingChars="300"/>
        <w:rPr>
          <w:rFonts w:ascii="宋体" w:cs="Times New Roman"/>
          <w:kern w:val="0"/>
          <w:sz w:val="24"/>
          <w:szCs w:val="24"/>
          <w:lang w:val="zh-CN"/>
        </w:rPr>
      </w:pPr>
      <w:r>
        <w:rPr>
          <w:rFonts w:ascii="宋体" w:hAnsi="宋体" w:cs="宋体"/>
          <w:kern w:val="0"/>
          <w:sz w:val="24"/>
          <w:szCs w:val="24"/>
        </w:rPr>
        <w:t xml:space="preserve">27.3 </w:t>
      </w:r>
      <w:r>
        <w:rPr>
          <w:rFonts w:hint="eastAsia" w:ascii="宋体" w:hAnsi="宋体" w:cs="宋体"/>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spacing w:line="360" w:lineRule="auto"/>
        <w:rPr>
          <w:rFonts w:ascii="宋体" w:cs="Times New Roman"/>
          <w:kern w:val="0"/>
          <w:sz w:val="24"/>
          <w:szCs w:val="24"/>
          <w:lang w:val="zh-CN"/>
        </w:rPr>
      </w:pPr>
      <w:r>
        <w:rPr>
          <w:rFonts w:ascii="宋体" w:hAnsi="宋体" w:cs="宋体"/>
          <w:kern w:val="0"/>
          <w:sz w:val="24"/>
          <w:szCs w:val="24"/>
        </w:rPr>
        <w:t xml:space="preserve">27.4 </w:t>
      </w:r>
      <w:r>
        <w:rPr>
          <w:rFonts w:hint="eastAsia" w:ascii="宋体" w:hAnsi="宋体" w:cs="宋体"/>
          <w:kern w:val="0"/>
          <w:sz w:val="24"/>
          <w:szCs w:val="24"/>
          <w:lang w:val="zh-CN"/>
        </w:rPr>
        <w:t>投标人的信用记录，最终以评标时的“信用中国”网站发布的信息为准。</w:t>
      </w:r>
    </w:p>
    <w:p>
      <w:pPr>
        <w:spacing w:line="360" w:lineRule="auto"/>
        <w:ind w:left="480" w:hanging="480" w:hangingChars="200"/>
        <w:rPr>
          <w:rFonts w:ascii="宋体" w:cs="Times New Roman"/>
          <w:kern w:val="0"/>
          <w:sz w:val="24"/>
          <w:szCs w:val="24"/>
          <w:lang w:val="zh-CN"/>
        </w:rPr>
      </w:pPr>
      <w:r>
        <w:rPr>
          <w:rFonts w:ascii="宋体" w:hAnsi="宋体" w:cs="宋体"/>
          <w:kern w:val="0"/>
          <w:sz w:val="24"/>
          <w:szCs w:val="24"/>
        </w:rPr>
        <w:t xml:space="preserve">27.5 </w:t>
      </w:r>
      <w:r>
        <w:rPr>
          <w:rFonts w:hint="eastAsia" w:ascii="宋体" w:hAnsi="宋体" w:cs="宋体"/>
          <w:kern w:val="0"/>
          <w:sz w:val="24"/>
          <w:szCs w:val="24"/>
          <w:lang w:val="zh-CN"/>
        </w:rPr>
        <w:t>在资格审查与评标工作未同日进行的特殊情形下，</w:t>
      </w:r>
      <w:r>
        <w:rPr>
          <w:rFonts w:hint="eastAsia" w:ascii="Helvetica" w:hAnsi="Helvetica" w:cs="宋体"/>
          <w:kern w:val="0"/>
          <w:sz w:val="24"/>
          <w:szCs w:val="24"/>
          <w:lang w:val="zh-CN"/>
        </w:rPr>
        <w:t>采购人（或代理公司）</w:t>
      </w:r>
      <w:r>
        <w:rPr>
          <w:rFonts w:hint="eastAsia" w:ascii="宋体" w:hAnsi="宋体" w:cs="宋体"/>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宋体"/>
          <w:b/>
          <w:bCs/>
          <w:kern w:val="0"/>
          <w:sz w:val="24"/>
          <w:szCs w:val="24"/>
          <w:lang w:val="zh-CN"/>
        </w:rPr>
        <w:t>无效投标处理</w:t>
      </w:r>
      <w:r>
        <w:rPr>
          <w:rFonts w:hint="eastAsia" w:ascii="宋体" w:hAnsi="宋体" w:cs="宋体"/>
          <w:kern w:val="0"/>
          <w:sz w:val="24"/>
          <w:szCs w:val="24"/>
          <w:lang w:val="zh-CN"/>
        </w:rPr>
        <w:t>。</w:t>
      </w:r>
    </w:p>
    <w:p>
      <w:pPr>
        <w:pStyle w:val="4"/>
        <w:numPr>
          <w:ilvl w:val="0"/>
          <w:numId w:val="3"/>
        </w:numPr>
        <w:spacing w:before="40" w:after="40" w:line="360" w:lineRule="auto"/>
        <w:ind w:left="658" w:hanging="658"/>
        <w:jc w:val="left"/>
        <w:rPr>
          <w:rFonts w:ascii="宋体" w:cs="Times New Roman"/>
          <w:lang w:val="zh-CN"/>
        </w:rPr>
      </w:pPr>
      <w:bookmarkStart w:id="28" w:name="_Toc494561944"/>
      <w:bookmarkStart w:id="29" w:name="_Toc509323122"/>
      <w:bookmarkStart w:id="30" w:name="_Toc495861525"/>
      <w:r>
        <w:rPr>
          <w:rFonts w:hint="eastAsia" w:ascii="宋体" w:hAnsi="宋体" w:cs="宋体"/>
          <w:lang w:val="zh-CN"/>
        </w:rPr>
        <w:t>中标与合同</w:t>
      </w:r>
      <w:bookmarkEnd w:id="28"/>
      <w:bookmarkEnd w:id="29"/>
      <w:bookmarkEnd w:id="30"/>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确定中标人</w:t>
      </w:r>
    </w:p>
    <w:p>
      <w:pPr>
        <w:spacing w:line="360" w:lineRule="auto"/>
        <w:rPr>
          <w:rFonts w:ascii="宋体" w:cs="Times New Roman"/>
          <w:sz w:val="24"/>
          <w:szCs w:val="24"/>
          <w:lang w:val="zh-CN"/>
        </w:rPr>
      </w:pPr>
      <w:r>
        <w:rPr>
          <w:rFonts w:ascii="宋体" w:hAnsi="宋体" w:cs="宋体"/>
          <w:kern w:val="0"/>
          <w:sz w:val="24"/>
          <w:szCs w:val="24"/>
        </w:rPr>
        <w:t xml:space="preserve">28.1 </w:t>
      </w:r>
      <w:r>
        <w:rPr>
          <w:rFonts w:hint="eastAsia" w:ascii="宋体" w:hAnsi="宋体" w:cs="宋体"/>
          <w:kern w:val="0"/>
          <w:sz w:val="24"/>
          <w:szCs w:val="24"/>
          <w:lang w:val="zh-CN"/>
        </w:rPr>
        <w:t>采购人收到评标报告</w:t>
      </w:r>
      <w:r>
        <w:rPr>
          <w:rFonts w:ascii="宋体" w:hAnsi="宋体" w:cs="宋体"/>
          <w:kern w:val="0"/>
          <w:sz w:val="24"/>
          <w:szCs w:val="24"/>
          <w:lang w:val="zh-CN"/>
        </w:rPr>
        <w:t>5</w:t>
      </w:r>
      <w:r>
        <w:rPr>
          <w:rFonts w:hint="eastAsia" w:ascii="宋体" w:hAnsi="宋体" w:cs="宋体"/>
          <w:kern w:val="0"/>
          <w:sz w:val="24"/>
          <w:szCs w:val="24"/>
          <w:lang w:val="zh-CN"/>
        </w:rPr>
        <w:t>个工作日内，按评标报告推荐的中标候选人顺序确定中标人。</w:t>
      </w:r>
    </w:p>
    <w:p>
      <w:pPr>
        <w:spacing w:line="360" w:lineRule="auto"/>
        <w:rPr>
          <w:rFonts w:ascii="宋体" w:cs="Times New Roman"/>
          <w:sz w:val="24"/>
          <w:szCs w:val="24"/>
          <w:lang w:val="zh-CN"/>
        </w:rPr>
      </w:pPr>
      <w:r>
        <w:rPr>
          <w:rFonts w:ascii="宋体" w:hAnsi="宋体" w:cs="宋体"/>
          <w:kern w:val="0"/>
          <w:sz w:val="24"/>
          <w:szCs w:val="24"/>
        </w:rPr>
        <w:t xml:space="preserve">28.2 </w:t>
      </w:r>
      <w:r>
        <w:rPr>
          <w:rFonts w:hint="eastAsia" w:ascii="Helvetica" w:hAnsi="Helvetica" w:cs="宋体"/>
          <w:kern w:val="0"/>
          <w:sz w:val="24"/>
          <w:szCs w:val="24"/>
          <w:lang w:val="zh-CN"/>
        </w:rPr>
        <w:t>中标候选人并列的：</w:t>
      </w:r>
    </w:p>
    <w:p>
      <w:pPr>
        <w:spacing w:line="360" w:lineRule="auto"/>
        <w:ind w:left="1086" w:leftChars="60" w:hanging="960" w:hangingChars="400"/>
        <w:rPr>
          <w:rFonts w:ascii="宋体" w:cs="Times New Roman"/>
          <w:sz w:val="24"/>
          <w:szCs w:val="24"/>
          <w:lang w:val="zh-CN"/>
        </w:rPr>
      </w:pPr>
      <w:r>
        <w:rPr>
          <w:rFonts w:ascii="宋体" w:hAnsi="宋体" w:cs="宋体"/>
          <w:sz w:val="24"/>
          <w:szCs w:val="24"/>
        </w:rPr>
        <w:t xml:space="preserve">28.2.1 </w:t>
      </w:r>
      <w:r>
        <w:rPr>
          <w:rFonts w:hint="eastAsia" w:ascii="宋体" w:hAnsi="宋体" w:cs="宋体"/>
          <w:sz w:val="24"/>
          <w:szCs w:val="24"/>
          <w:lang w:val="zh-CN"/>
        </w:rPr>
        <w:t>采用最低评标价法的，评标结果按投标报价由低到高顺序排列。投标报价相同的，</w:t>
      </w:r>
    </w:p>
    <w:p>
      <w:pPr>
        <w:spacing w:line="360" w:lineRule="auto"/>
        <w:rPr>
          <w:rFonts w:ascii="宋体" w:cs="Times New Roman"/>
          <w:sz w:val="24"/>
          <w:szCs w:val="24"/>
          <w:lang w:val="zh-CN"/>
        </w:rPr>
      </w:pPr>
      <w:r>
        <w:rPr>
          <w:rFonts w:hint="eastAsia" w:ascii="宋体" w:hAnsi="宋体" w:cs="宋体"/>
          <w:sz w:val="24"/>
          <w:szCs w:val="24"/>
          <w:lang w:val="zh-CN"/>
        </w:rPr>
        <w:t>按技术部分由高到低顺序排列。</w:t>
      </w:r>
    </w:p>
    <w:p>
      <w:pPr>
        <w:spacing w:line="360" w:lineRule="auto"/>
        <w:ind w:left="126"/>
        <w:rPr>
          <w:rFonts w:ascii="宋体" w:cs="Times New Roman"/>
          <w:sz w:val="24"/>
          <w:szCs w:val="24"/>
          <w:lang w:val="zh-CN"/>
        </w:rPr>
      </w:pPr>
      <w:r>
        <w:rPr>
          <w:rFonts w:ascii="宋体" w:hAnsi="宋体" w:cs="宋体"/>
          <w:sz w:val="24"/>
          <w:szCs w:val="24"/>
        </w:rPr>
        <w:t xml:space="preserve">28.2.2 </w:t>
      </w:r>
      <w:r>
        <w:rPr>
          <w:rFonts w:hint="eastAsia" w:ascii="宋体" w:hAnsi="宋体" w:cs="宋体"/>
          <w:sz w:val="24"/>
          <w:szCs w:val="24"/>
          <w:lang w:val="zh-CN"/>
        </w:rPr>
        <w:t>采用综合评分法的，评标结果按评审后得分由高到低顺序排列。得分相同的，按投标报价由低到高顺序排列。得分且投标报价相同的，按技术部分由高到低顺序排列。</w:t>
      </w:r>
    </w:p>
    <w:p>
      <w:pPr>
        <w:spacing w:line="360" w:lineRule="auto"/>
        <w:rPr>
          <w:rFonts w:ascii="宋体" w:cs="Times New Roman"/>
          <w:sz w:val="24"/>
          <w:szCs w:val="24"/>
          <w:lang w:val="zh-CN"/>
        </w:rPr>
      </w:pPr>
      <w:r>
        <w:rPr>
          <w:rFonts w:ascii="宋体" w:hAnsi="宋体" w:cs="宋体"/>
          <w:sz w:val="24"/>
          <w:szCs w:val="24"/>
        </w:rPr>
        <w:t xml:space="preserve">28.3 </w:t>
      </w:r>
      <w:r>
        <w:rPr>
          <w:rFonts w:hint="eastAsia" w:ascii="宋体" w:hAnsi="宋体" w:cs="宋体"/>
          <w:sz w:val="24"/>
          <w:szCs w:val="24"/>
          <w:lang w:val="zh-CN"/>
        </w:rPr>
        <w:t>中标人的数量有其他规定的，按招标文件相关规定执行。</w:t>
      </w:r>
    </w:p>
    <w:p>
      <w:pPr>
        <w:spacing w:line="360" w:lineRule="auto"/>
        <w:ind w:left="480" w:hanging="480" w:hangingChars="200"/>
        <w:rPr>
          <w:rFonts w:ascii="宋体" w:cs="Times New Roman"/>
          <w:strike/>
          <w:sz w:val="24"/>
          <w:szCs w:val="24"/>
          <w:lang w:val="zh-CN"/>
        </w:rPr>
      </w:pPr>
      <w:r>
        <w:rPr>
          <w:rFonts w:ascii="宋体" w:hAnsi="宋体" w:cs="宋体"/>
          <w:sz w:val="24"/>
          <w:szCs w:val="24"/>
        </w:rPr>
        <w:t xml:space="preserve">28.4 </w:t>
      </w:r>
      <w:r>
        <w:rPr>
          <w:rFonts w:hint="eastAsia" w:ascii="宋体" w:hAnsi="宋体" w:cs="宋体"/>
          <w:sz w:val="24"/>
          <w:szCs w:val="24"/>
          <w:lang w:val="zh-CN"/>
        </w:rPr>
        <w:t>中标人确定后，采购人、采购代理机构在政府采购监管部门指定的媒体上发布中标公告，同时向中标人和采购人发出《中标通知书》。《中标通知书》是政府采购合同的组成部分</w:t>
      </w:r>
      <w:r>
        <w:rPr>
          <w:rFonts w:ascii="宋体" w:cs="宋体"/>
          <w:sz w:val="24"/>
          <w:szCs w:val="24"/>
          <w:lang w:val="zh-CN"/>
        </w:rPr>
        <w:t>,</w:t>
      </w:r>
      <w:r>
        <w:rPr>
          <w:rFonts w:hint="eastAsia" w:ascii="宋体" w:hAnsi="宋体" w:cs="宋体"/>
          <w:sz w:val="24"/>
          <w:szCs w:val="24"/>
          <w:lang w:val="zh-CN"/>
        </w:rPr>
        <w:t>对中标人和采购人具有同等法律效力。</w:t>
      </w:r>
    </w:p>
    <w:p>
      <w:pPr>
        <w:spacing w:line="360" w:lineRule="auto"/>
        <w:rPr>
          <w:rFonts w:ascii="宋体" w:cs="Times New Roman"/>
          <w:strike/>
          <w:sz w:val="24"/>
          <w:szCs w:val="24"/>
          <w:lang w:val="zh-CN"/>
        </w:rPr>
      </w:pPr>
      <w:r>
        <w:rPr>
          <w:rFonts w:ascii="宋体" w:hAnsi="宋体" w:cs="宋体"/>
          <w:kern w:val="0"/>
          <w:sz w:val="24"/>
          <w:szCs w:val="24"/>
        </w:rPr>
        <w:t xml:space="preserve">28.5 </w:t>
      </w:r>
      <w:r>
        <w:rPr>
          <w:rFonts w:hint="eastAsia" w:ascii="Helvetica" w:hAnsi="Helvetica" w:cs="宋体"/>
          <w:kern w:val="0"/>
          <w:sz w:val="24"/>
          <w:szCs w:val="24"/>
          <w:lang w:val="zh-CN"/>
        </w:rPr>
        <w:t>中标通知书发出后，采购人不得违法改变中标结果，中标人无正当理由不得放弃中标。</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28.6 </w:t>
      </w:r>
      <w:r>
        <w:rPr>
          <w:rFonts w:hint="eastAsia" w:ascii="宋体" w:hAnsi="宋体" w:cs="宋体"/>
          <w:sz w:val="24"/>
          <w:szCs w:val="24"/>
          <w:lang w:val="zh-CN"/>
        </w:rPr>
        <w:t>中标人拒绝与采购人签订合同的，采购人可以按照评标报告推荐的中标候选人名单排序，确定下一候选人为中标人，也可以重新开展政府采购活动。</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合同授予</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除本章“确定中标人”规定及其他法律规定的情形外，采购人把合同授予被确定为实质上响应招标文件要求且排名第一的中标人。</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合同签订</w:t>
      </w:r>
    </w:p>
    <w:p>
      <w:pPr>
        <w:spacing w:line="360" w:lineRule="auto"/>
        <w:ind w:left="480" w:hanging="480" w:hangingChars="200"/>
        <w:rPr>
          <w:rFonts w:ascii="宋体" w:cs="Times New Roman"/>
          <w:sz w:val="24"/>
          <w:szCs w:val="24"/>
          <w:lang w:val="zh-CN"/>
        </w:rPr>
      </w:pPr>
      <w:bookmarkStart w:id="31" w:name="_Toc278891597"/>
      <w:bookmarkStart w:id="32" w:name="_Toc272247700"/>
      <w:r>
        <w:rPr>
          <w:rFonts w:ascii="宋体" w:hAnsi="宋体" w:cs="宋体"/>
          <w:sz w:val="24"/>
          <w:szCs w:val="24"/>
        </w:rPr>
        <w:t xml:space="preserve">30.1 </w:t>
      </w:r>
      <w:r>
        <w:rPr>
          <w:rFonts w:hint="eastAsia" w:ascii="宋体" w:hAnsi="宋体" w:cs="宋体"/>
          <w:sz w:val="24"/>
          <w:szCs w:val="24"/>
          <w:lang w:val="zh-CN"/>
        </w:rPr>
        <w:t>采购人应当自中标通知书发出之日起</w:t>
      </w:r>
      <w:r>
        <w:rPr>
          <w:rFonts w:ascii="宋体" w:hAnsi="宋体" w:cs="宋体"/>
          <w:sz w:val="24"/>
          <w:szCs w:val="24"/>
          <w:lang w:val="zh-CN"/>
        </w:rPr>
        <w:t>30</w:t>
      </w:r>
      <w:r>
        <w:rPr>
          <w:rFonts w:hint="eastAsia" w:ascii="宋体" w:hAnsi="宋体" w:cs="宋体"/>
          <w:sz w:val="24"/>
          <w:szCs w:val="24"/>
          <w:lang w:val="zh-CN"/>
        </w:rPr>
        <w:t>日内，按照招标文件规定和中标人投标文件的承诺，与中标人签订书面合同。所签订的合同不得对招标文件确定的事项和中标人投标文件作实质性修改。</w:t>
      </w:r>
    </w:p>
    <w:p>
      <w:pPr>
        <w:tabs>
          <w:tab w:val="left" w:pos="616"/>
        </w:tabs>
        <w:spacing w:line="360" w:lineRule="auto"/>
        <w:rPr>
          <w:rFonts w:ascii="宋体" w:cs="Times New Roman"/>
          <w:sz w:val="24"/>
          <w:szCs w:val="24"/>
          <w:lang w:val="zh-CN"/>
        </w:rPr>
      </w:pPr>
      <w:r>
        <w:rPr>
          <w:rFonts w:ascii="宋体" w:hAnsi="宋体" w:cs="宋体"/>
          <w:kern w:val="0"/>
          <w:sz w:val="24"/>
          <w:szCs w:val="24"/>
        </w:rPr>
        <w:t xml:space="preserve">30.2 </w:t>
      </w:r>
      <w:r>
        <w:rPr>
          <w:rFonts w:hint="eastAsia" w:ascii="宋体" w:hAnsi="宋体" w:cs="宋体"/>
          <w:kern w:val="0"/>
          <w:sz w:val="24"/>
          <w:szCs w:val="24"/>
          <w:lang w:val="zh-CN"/>
        </w:rPr>
        <w:t>采</w:t>
      </w:r>
      <w:r>
        <w:rPr>
          <w:rFonts w:hint="eastAsia" w:ascii="Helvetica" w:hAnsi="Helvetica" w:cs="宋体"/>
          <w:kern w:val="0"/>
          <w:sz w:val="24"/>
          <w:szCs w:val="24"/>
          <w:lang w:val="zh-CN"/>
        </w:rPr>
        <w:t>购人不得向中标人提出任何不合理的要求作为签订合同的条件。</w:t>
      </w:r>
    </w:p>
    <w:p>
      <w:pPr>
        <w:tabs>
          <w:tab w:val="left" w:pos="616"/>
        </w:tabs>
        <w:spacing w:line="360" w:lineRule="auto"/>
        <w:ind w:left="720" w:hanging="720" w:hangingChars="300"/>
        <w:rPr>
          <w:rFonts w:ascii="宋体" w:cs="Times New Roman"/>
          <w:sz w:val="24"/>
          <w:szCs w:val="24"/>
          <w:lang w:val="zh-CN"/>
        </w:rPr>
      </w:pPr>
      <w:r>
        <w:rPr>
          <w:rFonts w:ascii="宋体" w:hAnsi="宋体" w:cs="宋体"/>
          <w:sz w:val="24"/>
          <w:szCs w:val="24"/>
        </w:rPr>
        <w:t xml:space="preserve">30.3 </w:t>
      </w:r>
      <w:r>
        <w:rPr>
          <w:rFonts w:hint="eastAsia" w:ascii="宋体" w:hAnsi="宋体" w:cs="宋体"/>
          <w:sz w:val="24"/>
          <w:szCs w:val="24"/>
          <w:lang w:val="zh-CN"/>
        </w:rPr>
        <w:t>政府采购合同应当包括采购人与中标人的名称和住所、标的、数量、质量、价款或者报酬、履行期限及地点和方式、验收要求、违约责任、解决争议的方法等内容。</w:t>
      </w:r>
    </w:p>
    <w:p>
      <w:pPr>
        <w:tabs>
          <w:tab w:val="left" w:pos="616"/>
        </w:tabs>
        <w:spacing w:line="360" w:lineRule="auto"/>
        <w:rPr>
          <w:rFonts w:ascii="宋体" w:cs="Times New Roman"/>
          <w:sz w:val="24"/>
          <w:szCs w:val="24"/>
          <w:lang w:val="zh-CN"/>
        </w:rPr>
      </w:pPr>
      <w:r>
        <w:rPr>
          <w:rFonts w:ascii="宋体" w:hAnsi="宋体" w:cs="宋体"/>
          <w:kern w:val="0"/>
          <w:sz w:val="24"/>
          <w:szCs w:val="24"/>
        </w:rPr>
        <w:t xml:space="preserve">30.4 </w:t>
      </w:r>
      <w:r>
        <w:rPr>
          <w:rFonts w:hint="eastAsia" w:ascii="宋体" w:hAnsi="宋体" w:cs="宋体"/>
          <w:kern w:val="0"/>
          <w:sz w:val="24"/>
          <w:szCs w:val="24"/>
          <w:lang w:val="zh-CN"/>
        </w:rPr>
        <w:t>采购人与中标人应当根据合同的约定依法履行合同义务。政府采购合同的履行、违约责任和解决争议的方法等适用《中华人民共和国合同法》。</w:t>
      </w:r>
    </w:p>
    <w:p>
      <w:pPr>
        <w:tabs>
          <w:tab w:val="left" w:pos="616"/>
        </w:tabs>
        <w:spacing w:line="360" w:lineRule="auto"/>
        <w:rPr>
          <w:rFonts w:ascii="宋体" w:cs="Times New Roman"/>
          <w:sz w:val="24"/>
          <w:szCs w:val="24"/>
          <w:lang w:val="zh-CN"/>
        </w:rPr>
      </w:pPr>
      <w:r>
        <w:rPr>
          <w:rFonts w:ascii="宋体" w:hAnsi="宋体" w:cs="宋体"/>
          <w:sz w:val="24"/>
          <w:szCs w:val="24"/>
        </w:rPr>
        <w:t xml:space="preserve">30.5 </w:t>
      </w:r>
      <w:r>
        <w:rPr>
          <w:rFonts w:hint="eastAsia" w:ascii="宋体" w:hAnsi="宋体" w:cs="宋体"/>
          <w:sz w:val="24"/>
          <w:szCs w:val="24"/>
        </w:rPr>
        <w:t>采购人应当自政府采购合同签订之日起</w:t>
      </w:r>
      <w:r>
        <w:rPr>
          <w:rFonts w:ascii="宋体" w:hAnsi="宋体" w:cs="宋体"/>
          <w:sz w:val="24"/>
          <w:szCs w:val="24"/>
        </w:rPr>
        <w:t>2</w:t>
      </w:r>
      <w:r>
        <w:rPr>
          <w:rFonts w:hint="eastAsia" w:ascii="宋体" w:hAnsi="宋体" w:cs="宋体"/>
          <w:sz w:val="24"/>
          <w:szCs w:val="24"/>
        </w:rPr>
        <w:t>个工作日内，将政府采购合同在省级以上人民政府财政部门指定的媒体上公告，但政府采购合同中涉及国家秘密、商业秘密的内容除外。</w:t>
      </w:r>
    </w:p>
    <w:p>
      <w:pPr>
        <w:tabs>
          <w:tab w:val="left" w:pos="616"/>
        </w:tabs>
        <w:spacing w:line="360" w:lineRule="auto"/>
        <w:rPr>
          <w:rFonts w:ascii="宋体" w:cs="Times New Roman"/>
          <w:sz w:val="24"/>
          <w:szCs w:val="24"/>
          <w:lang w:val="zh-CN"/>
        </w:rPr>
      </w:pPr>
      <w:r>
        <w:rPr>
          <w:rFonts w:ascii="宋体" w:hAnsi="宋体" w:cs="宋体"/>
          <w:kern w:val="0"/>
          <w:sz w:val="24"/>
          <w:szCs w:val="24"/>
        </w:rPr>
        <w:t>30.6</w:t>
      </w:r>
      <w:r>
        <w:rPr>
          <w:rFonts w:ascii="Helvetica" w:hAnsi="Helvetica" w:cs="Helvetica"/>
          <w:kern w:val="0"/>
          <w:sz w:val="24"/>
          <w:szCs w:val="24"/>
        </w:rPr>
        <w:t xml:space="preserve"> </w:t>
      </w:r>
      <w:r>
        <w:rPr>
          <w:rFonts w:hint="eastAsia" w:ascii="Helvetica" w:hAnsi="Helvetica" w:cs="宋体"/>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3"/>
        </w:numPr>
        <w:spacing w:before="40" w:after="40" w:line="360" w:lineRule="auto"/>
        <w:ind w:left="658" w:hanging="658"/>
        <w:jc w:val="left"/>
        <w:rPr>
          <w:rFonts w:ascii="宋体" w:cs="Times New Roman"/>
          <w:lang w:val="zh-CN"/>
        </w:rPr>
      </w:pPr>
      <w:bookmarkStart w:id="33" w:name="_Toc495861526"/>
      <w:bookmarkStart w:id="34" w:name="_Toc494561945"/>
      <w:bookmarkStart w:id="35" w:name="_Toc509323123"/>
      <w:r>
        <w:rPr>
          <w:rFonts w:hint="eastAsia" w:ascii="宋体" w:hAnsi="宋体" w:cs="宋体"/>
          <w:lang w:val="zh-CN"/>
        </w:rPr>
        <w:t>采购信息公告</w:t>
      </w:r>
      <w:bookmarkEnd w:id="33"/>
      <w:bookmarkEnd w:id="34"/>
      <w:bookmarkEnd w:id="35"/>
    </w:p>
    <w:p>
      <w:pPr>
        <w:numPr>
          <w:ilvl w:val="0"/>
          <w:numId w:val="4"/>
        </w:numPr>
        <w:spacing w:line="360" w:lineRule="auto"/>
        <w:ind w:left="560" w:hanging="560"/>
        <w:rPr>
          <w:rFonts w:ascii="宋体" w:cs="Times New Roman"/>
          <w:b/>
          <w:bCs/>
          <w:kern w:val="0"/>
          <w:sz w:val="24"/>
          <w:szCs w:val="24"/>
          <w:lang w:val="zh-CN"/>
        </w:rPr>
      </w:pPr>
      <w:r>
        <w:rPr>
          <w:rFonts w:hint="eastAsia" w:ascii="宋体" w:hAnsi="宋体" w:cs="宋体"/>
          <w:b/>
          <w:bCs/>
          <w:kern w:val="0"/>
          <w:sz w:val="24"/>
          <w:szCs w:val="24"/>
          <w:lang w:val="zh-CN"/>
        </w:rPr>
        <w:t>公告的媒体及规定</w:t>
      </w:r>
    </w:p>
    <w:p>
      <w:pPr>
        <w:tabs>
          <w:tab w:val="left" w:pos="616"/>
        </w:tabs>
        <w:spacing w:line="360" w:lineRule="auto"/>
        <w:ind w:left="720" w:hanging="720" w:hangingChars="300"/>
        <w:rPr>
          <w:rFonts w:ascii="宋体" w:cs="Times New Roman"/>
          <w:kern w:val="0"/>
          <w:sz w:val="24"/>
          <w:szCs w:val="24"/>
          <w:lang w:val="zh-CN"/>
        </w:rPr>
      </w:pPr>
      <w:r>
        <w:rPr>
          <w:rFonts w:ascii="宋体" w:hAnsi="宋体" w:cs="宋体"/>
          <w:kern w:val="0"/>
          <w:sz w:val="24"/>
          <w:szCs w:val="24"/>
        </w:rPr>
        <w:t xml:space="preserve">31.1 </w:t>
      </w:r>
      <w:r>
        <w:rPr>
          <w:rFonts w:hint="eastAsia" w:ascii="宋体" w:hAnsi="宋体" w:cs="宋体"/>
          <w:kern w:val="0"/>
          <w:sz w:val="24"/>
          <w:szCs w:val="24"/>
          <w:lang w:val="zh-CN"/>
        </w:rPr>
        <w:t>采购</w:t>
      </w:r>
      <w:r>
        <w:rPr>
          <w:rFonts w:hint="eastAsia" w:ascii="宋体" w:hAnsi="宋体" w:cs="宋体"/>
          <w:sz w:val="24"/>
          <w:szCs w:val="24"/>
        </w:rPr>
        <w:t>代理</w:t>
      </w:r>
      <w:r>
        <w:rPr>
          <w:rFonts w:hint="eastAsia" w:ascii="宋体" w:hAnsi="宋体" w:cs="宋体"/>
          <w:kern w:val="0"/>
          <w:sz w:val="24"/>
          <w:szCs w:val="24"/>
          <w:lang w:val="zh-CN"/>
        </w:rPr>
        <w:t>机构在招标活动中的公告、补充、更正、结果等采购信息均依法在政府采购监管部门指定媒体上（中国湖北政府采购网</w:t>
      </w:r>
      <w:r>
        <w:rPr>
          <w:rFonts w:ascii="宋体" w:hAnsi="宋体" w:cs="宋体"/>
          <w:kern w:val="0"/>
          <w:sz w:val="24"/>
          <w:szCs w:val="24"/>
          <w:lang w:val="zh-CN"/>
        </w:rPr>
        <w:t>http://www.ccgp-hubei.gov.cn/</w:t>
      </w:r>
      <w:r>
        <w:rPr>
          <w:rFonts w:hint="eastAsia" w:ascii="宋体" w:hAnsi="宋体" w:cs="宋体"/>
          <w:kern w:val="0"/>
          <w:sz w:val="24"/>
          <w:szCs w:val="24"/>
          <w:lang w:val="zh-CN"/>
        </w:rPr>
        <w:t>）发布。</w:t>
      </w:r>
    </w:p>
    <w:p>
      <w:pPr>
        <w:tabs>
          <w:tab w:val="left" w:pos="616"/>
        </w:tabs>
        <w:spacing w:line="360" w:lineRule="auto"/>
        <w:ind w:left="480" w:hanging="480" w:hangingChars="200"/>
        <w:rPr>
          <w:rFonts w:ascii="宋体" w:cs="Times New Roman"/>
          <w:b/>
          <w:bCs/>
          <w:kern w:val="0"/>
          <w:sz w:val="24"/>
          <w:szCs w:val="24"/>
          <w:lang w:val="zh-CN"/>
        </w:rPr>
      </w:pPr>
      <w:r>
        <w:rPr>
          <w:rFonts w:ascii="宋体" w:hAnsi="宋体" w:cs="宋体"/>
          <w:kern w:val="0"/>
          <w:sz w:val="24"/>
          <w:szCs w:val="24"/>
        </w:rPr>
        <w:t xml:space="preserve">31.2 </w:t>
      </w:r>
      <w:r>
        <w:rPr>
          <w:rFonts w:hint="eastAsia" w:ascii="宋体" w:hAnsi="宋体" w:cs="宋体"/>
          <w:kern w:val="0"/>
          <w:sz w:val="24"/>
          <w:szCs w:val="24"/>
          <w:lang w:val="zh-CN"/>
        </w:rPr>
        <w:t>采购</w:t>
      </w:r>
      <w:r>
        <w:rPr>
          <w:rFonts w:hint="eastAsia" w:ascii="宋体" w:hAnsi="宋体" w:cs="宋体"/>
          <w:sz w:val="24"/>
          <w:szCs w:val="24"/>
        </w:rPr>
        <w:t>代理</w:t>
      </w:r>
      <w:r>
        <w:rPr>
          <w:rFonts w:hint="eastAsia" w:ascii="宋体" w:hAnsi="宋体" w:cs="宋体"/>
          <w:kern w:val="0"/>
          <w:sz w:val="24"/>
          <w:szCs w:val="24"/>
          <w:lang w:val="zh-CN"/>
        </w:rPr>
        <w:t>机构在自中标人确定之日起</w:t>
      </w:r>
      <w:r>
        <w:rPr>
          <w:rFonts w:ascii="宋体" w:hAnsi="宋体" w:cs="宋体"/>
          <w:kern w:val="0"/>
          <w:sz w:val="24"/>
          <w:szCs w:val="24"/>
          <w:lang w:val="zh-CN"/>
        </w:rPr>
        <w:t>2</w:t>
      </w:r>
      <w:r>
        <w:rPr>
          <w:rFonts w:hint="eastAsia" w:ascii="宋体" w:hAnsi="宋体" w:cs="宋体"/>
          <w:kern w:val="0"/>
          <w:sz w:val="24"/>
          <w:szCs w:val="24"/>
          <w:lang w:val="zh-CN"/>
        </w:rPr>
        <w:t>个工作日内，在政府采购监管部门指定媒体上公告中标结果，</w:t>
      </w:r>
      <w:r>
        <w:rPr>
          <w:rFonts w:hint="eastAsia" w:ascii="宋体" w:hAnsi="宋体" w:cs="宋体"/>
          <w:b/>
          <w:bCs/>
          <w:kern w:val="0"/>
          <w:sz w:val="24"/>
          <w:szCs w:val="24"/>
          <w:lang w:val="zh-CN"/>
        </w:rPr>
        <w:t>中标公告的公示期为</w:t>
      </w:r>
      <w:r>
        <w:rPr>
          <w:rFonts w:ascii="宋体" w:hAnsi="宋体" w:cs="宋体"/>
          <w:b/>
          <w:bCs/>
          <w:kern w:val="0"/>
          <w:sz w:val="24"/>
          <w:szCs w:val="24"/>
          <w:lang w:val="zh-CN"/>
        </w:rPr>
        <w:t>1</w:t>
      </w:r>
      <w:r>
        <w:rPr>
          <w:rFonts w:hint="eastAsia" w:ascii="宋体" w:hAnsi="宋体" w:cs="宋体"/>
          <w:b/>
          <w:bCs/>
          <w:kern w:val="0"/>
          <w:sz w:val="24"/>
          <w:szCs w:val="24"/>
          <w:lang w:val="zh-CN"/>
        </w:rPr>
        <w:t>个工作日。</w:t>
      </w:r>
    </w:p>
    <w:p>
      <w:pPr>
        <w:tabs>
          <w:tab w:val="left" w:pos="616"/>
        </w:tabs>
        <w:spacing w:line="360" w:lineRule="auto"/>
        <w:ind w:left="720" w:hanging="720" w:hangingChars="300"/>
        <w:rPr>
          <w:rFonts w:ascii="宋体" w:cs="Times New Roman"/>
          <w:kern w:val="0"/>
          <w:sz w:val="24"/>
          <w:szCs w:val="24"/>
          <w:lang w:val="zh-CN"/>
        </w:rPr>
      </w:pPr>
      <w:r>
        <w:rPr>
          <w:rFonts w:ascii="宋体" w:hAnsi="宋体" w:cs="宋体"/>
          <w:kern w:val="0"/>
          <w:sz w:val="24"/>
          <w:szCs w:val="24"/>
        </w:rPr>
        <w:t xml:space="preserve">31.3 </w:t>
      </w:r>
      <w:r>
        <w:rPr>
          <w:rFonts w:hint="eastAsia" w:ascii="宋体" w:hAnsi="宋体" w:cs="宋体"/>
          <w:kern w:val="0"/>
          <w:sz w:val="24"/>
          <w:szCs w:val="24"/>
          <w:lang w:val="zh-CN"/>
        </w:rPr>
        <w:t>资格审查未通过的投标人可在结果公告质疑有效期内按公告中的联系方式获知本单</w:t>
      </w:r>
    </w:p>
    <w:p>
      <w:pPr>
        <w:tabs>
          <w:tab w:val="left" w:pos="616"/>
        </w:tabs>
        <w:spacing w:line="360" w:lineRule="auto"/>
        <w:ind w:left="719" w:leftChars="228" w:hanging="240" w:hangingChars="100"/>
        <w:rPr>
          <w:rFonts w:ascii="宋体" w:cs="Times New Roman"/>
          <w:kern w:val="0"/>
          <w:sz w:val="24"/>
          <w:szCs w:val="24"/>
          <w:lang w:val="zh-CN"/>
        </w:rPr>
      </w:pPr>
      <w:r>
        <w:rPr>
          <w:rFonts w:hint="eastAsia" w:ascii="宋体" w:hAnsi="宋体" w:cs="宋体"/>
          <w:kern w:val="0"/>
          <w:sz w:val="24"/>
          <w:szCs w:val="24"/>
          <w:lang w:val="zh-CN"/>
        </w:rPr>
        <w:t>位的资格审查情况。</w:t>
      </w:r>
    </w:p>
    <w:p>
      <w:pPr>
        <w:tabs>
          <w:tab w:val="left" w:pos="616"/>
        </w:tabs>
        <w:spacing w:line="360" w:lineRule="auto"/>
        <w:ind w:left="480" w:hanging="480" w:hangingChars="200"/>
        <w:rPr>
          <w:rFonts w:ascii="宋体" w:cs="Times New Roman"/>
          <w:kern w:val="0"/>
          <w:sz w:val="24"/>
          <w:szCs w:val="24"/>
          <w:lang w:val="zh-CN"/>
        </w:rPr>
      </w:pPr>
      <w:r>
        <w:rPr>
          <w:rFonts w:ascii="宋体" w:hAnsi="宋体" w:cs="宋体"/>
          <w:kern w:val="0"/>
          <w:sz w:val="24"/>
          <w:szCs w:val="24"/>
        </w:rPr>
        <w:t xml:space="preserve">31.4 </w:t>
      </w:r>
      <w:r>
        <w:rPr>
          <w:rFonts w:hint="eastAsia" w:ascii="宋体" w:hAnsi="宋体" w:cs="宋体"/>
          <w:kern w:val="0"/>
          <w:sz w:val="24"/>
          <w:szCs w:val="24"/>
          <w:lang w:val="zh-CN"/>
        </w:rPr>
        <w:t>采用综合评分法评审的项目，未中标人可在结果公告质疑有效期内按公告中的联系方式获知本单位的评审得分与排序。</w:t>
      </w:r>
    </w:p>
    <w:p>
      <w:pPr>
        <w:pStyle w:val="4"/>
        <w:numPr>
          <w:ilvl w:val="0"/>
          <w:numId w:val="3"/>
        </w:numPr>
        <w:spacing w:before="40" w:after="40" w:line="360" w:lineRule="auto"/>
        <w:ind w:left="658" w:hanging="658"/>
        <w:jc w:val="left"/>
        <w:rPr>
          <w:rFonts w:ascii="宋体" w:cs="Times New Roman"/>
          <w:lang w:val="zh-CN"/>
        </w:rPr>
      </w:pPr>
      <w:bookmarkStart w:id="36" w:name="_Toc509323124"/>
      <w:bookmarkStart w:id="37" w:name="_Toc495861527"/>
      <w:bookmarkStart w:id="38" w:name="_Toc494561946"/>
      <w:r>
        <w:rPr>
          <w:rFonts w:hint="eastAsia" w:ascii="宋体" w:hAnsi="宋体" w:cs="宋体"/>
          <w:lang w:val="zh-CN"/>
        </w:rPr>
        <w:t>质疑</w:t>
      </w:r>
      <w:bookmarkEnd w:id="31"/>
      <w:bookmarkEnd w:id="32"/>
      <w:r>
        <w:rPr>
          <w:rFonts w:hint="eastAsia" w:ascii="宋体" w:hAnsi="宋体" w:cs="宋体"/>
          <w:lang w:val="zh-CN"/>
        </w:rPr>
        <w:t>及提交</w:t>
      </w:r>
      <w:bookmarkEnd w:id="36"/>
      <w:bookmarkEnd w:id="37"/>
      <w:bookmarkEnd w:id="38"/>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质疑提交</w:t>
      </w:r>
    </w:p>
    <w:p>
      <w:pPr>
        <w:autoSpaceDE w:val="0"/>
        <w:autoSpaceDN w:val="0"/>
        <w:adjustRightInd w:val="0"/>
        <w:snapToGrid w:val="0"/>
        <w:spacing w:line="300" w:lineRule="auto"/>
        <w:ind w:left="420" w:right="32" w:firstLine="6"/>
        <w:rPr>
          <w:rFonts w:ascii="宋体" w:cs="Times New Roman"/>
          <w:sz w:val="24"/>
          <w:szCs w:val="24"/>
          <w:lang w:val="zh-CN"/>
        </w:rPr>
      </w:pPr>
      <w:r>
        <w:rPr>
          <w:rFonts w:hint="eastAsia" w:ascii="宋体" w:hAnsi="宋体" w:cs="宋体"/>
          <w:sz w:val="24"/>
          <w:szCs w:val="24"/>
          <w:lang w:val="zh-CN"/>
        </w:rPr>
        <w:t>投标人认为招标文件、招标过程和中标结果使自己的权益受到损害的，可以在知道或者应知其权益受到损害之日起</w:t>
      </w:r>
      <w:r>
        <w:rPr>
          <w:rFonts w:ascii="宋体" w:hAnsi="宋体" w:cs="宋体"/>
          <w:sz w:val="24"/>
          <w:szCs w:val="24"/>
          <w:lang w:val="zh-CN"/>
        </w:rPr>
        <w:t>7</w:t>
      </w:r>
      <w:r>
        <w:rPr>
          <w:rFonts w:hint="eastAsia" w:ascii="宋体" w:hAnsi="宋体" w:cs="宋体"/>
          <w:sz w:val="24"/>
          <w:szCs w:val="24"/>
          <w:lang w:val="zh-CN"/>
        </w:rPr>
        <w:t>个工作日内，向采购人（或代理公司）提出书面质疑，质疑提出时间以收到之日为准。</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投标人应知其权益受到损害之日是指：</w:t>
      </w:r>
    </w:p>
    <w:p>
      <w:pPr>
        <w:spacing w:line="360" w:lineRule="auto"/>
        <w:rPr>
          <w:rFonts w:ascii="宋体" w:cs="Times New Roman"/>
          <w:sz w:val="24"/>
          <w:szCs w:val="24"/>
          <w:lang w:val="zh-CN"/>
        </w:rPr>
      </w:pPr>
      <w:r>
        <w:rPr>
          <w:rFonts w:ascii="宋体" w:hAnsi="宋体" w:cs="宋体"/>
          <w:sz w:val="24"/>
          <w:szCs w:val="24"/>
        </w:rPr>
        <w:t xml:space="preserve">33.1 </w:t>
      </w:r>
      <w:r>
        <w:rPr>
          <w:rFonts w:hint="eastAsia" w:ascii="宋体" w:hAnsi="宋体" w:cs="宋体"/>
          <w:sz w:val="24"/>
          <w:szCs w:val="24"/>
          <w:lang w:val="zh-CN"/>
        </w:rPr>
        <w:t>对可以质疑的招标文件提出质疑的，为收到招标文件之日或者招标文件公告期限届满之日；</w:t>
      </w:r>
    </w:p>
    <w:p>
      <w:pPr>
        <w:spacing w:line="360" w:lineRule="auto"/>
        <w:rPr>
          <w:rFonts w:ascii="宋体" w:cs="Times New Roman"/>
          <w:sz w:val="24"/>
          <w:szCs w:val="24"/>
          <w:lang w:val="zh-CN"/>
        </w:rPr>
      </w:pPr>
      <w:r>
        <w:rPr>
          <w:rFonts w:ascii="宋体" w:hAnsi="宋体" w:cs="宋体"/>
          <w:sz w:val="24"/>
          <w:szCs w:val="24"/>
        </w:rPr>
        <w:t xml:space="preserve">33.2 </w:t>
      </w:r>
      <w:r>
        <w:rPr>
          <w:rFonts w:hint="eastAsia" w:ascii="宋体" w:hAnsi="宋体" w:cs="宋体"/>
          <w:sz w:val="24"/>
          <w:szCs w:val="24"/>
          <w:lang w:val="zh-CN"/>
        </w:rPr>
        <w:t>对招标过程提出质疑的，为各招标程序环节结束之日；</w:t>
      </w:r>
    </w:p>
    <w:p>
      <w:pPr>
        <w:spacing w:line="360" w:lineRule="auto"/>
        <w:rPr>
          <w:rFonts w:ascii="宋体" w:cs="Times New Roman"/>
          <w:sz w:val="24"/>
          <w:szCs w:val="24"/>
          <w:lang w:val="zh-CN"/>
        </w:rPr>
      </w:pPr>
      <w:r>
        <w:rPr>
          <w:rFonts w:ascii="宋体" w:hAnsi="宋体" w:cs="宋体"/>
          <w:sz w:val="24"/>
          <w:szCs w:val="24"/>
        </w:rPr>
        <w:t xml:space="preserve">33.3 </w:t>
      </w:r>
      <w:r>
        <w:rPr>
          <w:rFonts w:hint="eastAsia" w:ascii="宋体" w:hAnsi="宋体" w:cs="宋体"/>
          <w:sz w:val="24"/>
          <w:szCs w:val="24"/>
          <w:lang w:val="zh-CN"/>
        </w:rPr>
        <w:t>对中标结果提出质疑的，为中标公告期限届满之日。</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质疑书应当包括下列主要内容：</w:t>
      </w:r>
    </w:p>
    <w:p>
      <w:pPr>
        <w:spacing w:line="360" w:lineRule="auto"/>
        <w:rPr>
          <w:rFonts w:ascii="宋体" w:cs="Times New Roman"/>
          <w:sz w:val="24"/>
          <w:szCs w:val="24"/>
          <w:lang w:val="zh-CN"/>
        </w:rPr>
      </w:pPr>
      <w:r>
        <w:rPr>
          <w:rFonts w:ascii="宋体" w:hAnsi="宋体" w:cs="宋体"/>
          <w:sz w:val="24"/>
          <w:szCs w:val="24"/>
        </w:rPr>
        <w:t>34.1</w:t>
      </w:r>
      <w:r>
        <w:rPr>
          <w:rFonts w:hint="eastAsia" w:ascii="宋体" w:hAnsi="宋体" w:cs="宋体"/>
          <w:sz w:val="24"/>
          <w:szCs w:val="24"/>
          <w:lang w:val="zh-CN"/>
        </w:rPr>
        <w:t>质疑人的名称、地址、联系人及联系电话等；</w:t>
      </w:r>
    </w:p>
    <w:p>
      <w:pPr>
        <w:spacing w:line="360" w:lineRule="auto"/>
        <w:rPr>
          <w:rFonts w:ascii="宋体" w:cs="Times New Roman"/>
          <w:sz w:val="24"/>
          <w:szCs w:val="24"/>
          <w:lang w:val="zh-CN"/>
        </w:rPr>
      </w:pPr>
      <w:r>
        <w:rPr>
          <w:rFonts w:ascii="宋体" w:hAnsi="宋体" w:cs="宋体"/>
          <w:sz w:val="24"/>
          <w:szCs w:val="24"/>
        </w:rPr>
        <w:t xml:space="preserve">34.2 </w:t>
      </w:r>
      <w:r>
        <w:rPr>
          <w:rFonts w:hint="eastAsia" w:ascii="宋体" w:hAnsi="宋体" w:cs="宋体"/>
          <w:sz w:val="24"/>
          <w:szCs w:val="24"/>
          <w:lang w:val="zh-CN"/>
        </w:rPr>
        <w:t>被质疑人的名称、地址、联系人及联系电话等；</w:t>
      </w:r>
    </w:p>
    <w:p>
      <w:pPr>
        <w:spacing w:line="360" w:lineRule="auto"/>
        <w:rPr>
          <w:rFonts w:ascii="宋体" w:cs="Times New Roman"/>
          <w:sz w:val="24"/>
          <w:szCs w:val="24"/>
          <w:lang w:val="zh-CN"/>
        </w:rPr>
      </w:pPr>
      <w:r>
        <w:rPr>
          <w:rFonts w:ascii="宋体" w:hAnsi="宋体" w:cs="宋体"/>
          <w:sz w:val="24"/>
          <w:szCs w:val="24"/>
        </w:rPr>
        <w:t xml:space="preserve">34.3 </w:t>
      </w:r>
      <w:r>
        <w:rPr>
          <w:rFonts w:hint="eastAsia" w:ascii="宋体" w:hAnsi="宋体" w:cs="宋体"/>
          <w:sz w:val="24"/>
          <w:szCs w:val="24"/>
          <w:lang w:val="zh-CN"/>
        </w:rPr>
        <w:t>质疑项目名称及编号、质疑事项和明确的请求；</w:t>
      </w:r>
    </w:p>
    <w:p>
      <w:pPr>
        <w:spacing w:line="360" w:lineRule="auto"/>
        <w:rPr>
          <w:rFonts w:ascii="宋体" w:cs="Times New Roman"/>
          <w:sz w:val="24"/>
          <w:szCs w:val="24"/>
          <w:lang w:val="zh-CN"/>
        </w:rPr>
      </w:pPr>
      <w:r>
        <w:rPr>
          <w:rFonts w:ascii="宋体" w:hAnsi="宋体" w:cs="宋体"/>
          <w:sz w:val="24"/>
          <w:szCs w:val="24"/>
        </w:rPr>
        <w:t xml:space="preserve">34.4 </w:t>
      </w:r>
      <w:r>
        <w:rPr>
          <w:rFonts w:hint="eastAsia" w:ascii="宋体" w:hAnsi="宋体" w:cs="宋体"/>
          <w:sz w:val="24"/>
          <w:szCs w:val="24"/>
          <w:lang w:val="zh-CN"/>
        </w:rPr>
        <w:t>质疑事项的事实根据、法律依据及其他必要的证明材料；</w:t>
      </w:r>
    </w:p>
    <w:p>
      <w:pPr>
        <w:spacing w:line="360" w:lineRule="auto"/>
        <w:rPr>
          <w:rFonts w:ascii="宋体" w:cs="Times New Roman"/>
          <w:sz w:val="24"/>
          <w:szCs w:val="24"/>
          <w:lang w:val="zh-CN"/>
        </w:rPr>
      </w:pPr>
      <w:r>
        <w:rPr>
          <w:rFonts w:ascii="宋体" w:hAnsi="宋体" w:cs="宋体"/>
          <w:sz w:val="24"/>
          <w:szCs w:val="24"/>
        </w:rPr>
        <w:t xml:space="preserve">34.5 </w:t>
      </w:r>
      <w:r>
        <w:rPr>
          <w:rFonts w:hint="eastAsia" w:ascii="宋体" w:hAnsi="宋体" w:cs="宋体"/>
          <w:sz w:val="24"/>
          <w:szCs w:val="24"/>
          <w:lang w:val="zh-CN"/>
        </w:rPr>
        <w:t>提出质疑的日期；</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34.6 </w:t>
      </w:r>
      <w:r>
        <w:rPr>
          <w:rFonts w:hint="eastAsia" w:ascii="宋体" w:hAnsi="宋体" w:cs="宋体"/>
          <w:sz w:val="24"/>
          <w:szCs w:val="24"/>
          <w:lang w:val="zh-CN"/>
        </w:rPr>
        <w:t>质疑人的署名及签章（质疑人为自然人的，应当由本人签字；质疑人为法人或者其他组织的，应当由法定代表人或者主要负责人签字盖章并加盖公章）；</w:t>
      </w:r>
    </w:p>
    <w:p>
      <w:pPr>
        <w:spacing w:line="360" w:lineRule="auto"/>
        <w:ind w:left="480" w:hanging="480" w:hangingChars="200"/>
        <w:rPr>
          <w:rFonts w:ascii="宋体" w:cs="Times New Roman"/>
          <w:sz w:val="24"/>
          <w:szCs w:val="24"/>
          <w:lang w:val="zh-CN"/>
        </w:rPr>
      </w:pPr>
      <w:r>
        <w:rPr>
          <w:rFonts w:ascii="宋体" w:hAnsi="宋体" w:cs="宋体"/>
          <w:sz w:val="24"/>
          <w:szCs w:val="24"/>
        </w:rPr>
        <w:t xml:space="preserve">34.7 </w:t>
      </w:r>
      <w:r>
        <w:rPr>
          <w:rFonts w:hint="eastAsia" w:ascii="宋体" w:hAnsi="宋体" w:cs="宋体"/>
          <w:sz w:val="24"/>
          <w:szCs w:val="24"/>
          <w:lang w:val="zh-CN"/>
        </w:rPr>
        <w:t>法人授权委托书（质疑人或法人委托代理人办理质疑事务的，应当提供授权委托书，授权委托书应当载明委托代理的具体权限和事项）。</w:t>
      </w:r>
    </w:p>
    <w:p>
      <w:pPr>
        <w:numPr>
          <w:ilvl w:val="0"/>
          <w:numId w:val="4"/>
        </w:numPr>
        <w:spacing w:line="360" w:lineRule="auto"/>
        <w:ind w:left="560" w:hanging="560"/>
        <w:rPr>
          <w:rFonts w:ascii="宋体" w:cs="Times New Roman"/>
          <w:b/>
          <w:bCs/>
          <w:sz w:val="24"/>
          <w:szCs w:val="24"/>
          <w:lang w:val="zh-CN"/>
        </w:rPr>
      </w:pPr>
      <w:r>
        <w:rPr>
          <w:rFonts w:hint="eastAsia" w:ascii="宋体" w:hAnsi="宋体" w:cs="宋体"/>
          <w:b/>
          <w:bCs/>
          <w:sz w:val="24"/>
          <w:szCs w:val="24"/>
          <w:lang w:val="zh-CN"/>
        </w:rPr>
        <w:t>不予受理的情形</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投标人未按本章“质疑及提交”规定的时限、内容及方式进行质疑的，采购人（或代理公司）不予受理。</w:t>
      </w:r>
    </w:p>
    <w:p>
      <w:pPr>
        <w:pStyle w:val="4"/>
        <w:numPr>
          <w:ilvl w:val="0"/>
          <w:numId w:val="3"/>
        </w:numPr>
        <w:spacing w:before="40" w:after="40" w:line="360" w:lineRule="auto"/>
        <w:ind w:left="658" w:hanging="658"/>
        <w:jc w:val="left"/>
        <w:rPr>
          <w:rFonts w:ascii="宋体" w:cs="Times New Roman"/>
          <w:lang w:val="zh-CN"/>
        </w:rPr>
      </w:pPr>
      <w:bookmarkStart w:id="39" w:name="_Toc494561947"/>
      <w:bookmarkStart w:id="40" w:name="_Toc509323125"/>
      <w:bookmarkStart w:id="41" w:name="_Toc495861528"/>
      <w:r>
        <w:rPr>
          <w:rFonts w:hint="eastAsia" w:ascii="宋体" w:hAnsi="宋体" w:cs="宋体"/>
          <w:lang w:val="zh-CN"/>
        </w:rPr>
        <w:t>相关条文解读</w:t>
      </w:r>
      <w:bookmarkEnd w:id="39"/>
      <w:bookmarkEnd w:id="40"/>
      <w:bookmarkEnd w:id="41"/>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政府采购法第二十二条第一款第五项所称重大违法记录，是指供应商因违法经营受到刑事处罚或者责令停产停业、吊销许可证或者执照、较大数额罚款等行政处罚。</w:t>
      </w:r>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按照财政部《关于规范政府采购行政处罚有关问题的通知》的规定，各级人民政府财政部门依法对参加政府采购活动的供应商作出的禁止参加政府采购活动等行政处罚决定在全国范围内生效。</w:t>
      </w:r>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供应商在参加政府采购活动前</w:t>
      </w:r>
      <w:r>
        <w:rPr>
          <w:rFonts w:ascii="宋体" w:hAnsi="宋体" w:cs="宋体"/>
          <w:sz w:val="24"/>
          <w:szCs w:val="24"/>
          <w:lang w:val="zh-CN"/>
        </w:rPr>
        <w:t>3</w:t>
      </w:r>
      <w:r>
        <w:rPr>
          <w:rFonts w:hint="eastAsia" w:ascii="宋体" w:hAnsi="宋体" w:cs="宋体"/>
          <w:sz w:val="24"/>
          <w:szCs w:val="24"/>
          <w:lang w:val="zh-CN"/>
        </w:rPr>
        <w:t>年内因违法经营被禁止在一定期限内参加政府采购活动，期限届满的，可以参加政府采购活动。</w:t>
      </w:r>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根据财政部《政府采购法实施条例》释义中关于供应商资格条件的解释，对于银行、保险、石油石化、电力、电信等有行业特殊情况的，采购人和采购</w:t>
      </w:r>
      <w:r>
        <w:rPr>
          <w:rFonts w:hint="eastAsia" w:ascii="宋体" w:hAnsi="宋体" w:cs="宋体"/>
          <w:sz w:val="24"/>
          <w:szCs w:val="24"/>
        </w:rPr>
        <w:t>代理</w:t>
      </w:r>
      <w:r>
        <w:rPr>
          <w:rFonts w:hint="eastAsia" w:ascii="宋体" w:hAnsi="宋体" w:cs="宋体"/>
          <w:sz w:val="24"/>
          <w:szCs w:val="24"/>
          <w:lang w:val="zh-CN"/>
        </w:rPr>
        <w:t>机构允许其分支机构参与投标。</w:t>
      </w:r>
    </w:p>
    <w:p>
      <w:pPr>
        <w:pStyle w:val="4"/>
        <w:numPr>
          <w:ilvl w:val="0"/>
          <w:numId w:val="3"/>
        </w:numPr>
        <w:spacing w:before="40" w:after="40" w:line="360" w:lineRule="auto"/>
        <w:ind w:left="658" w:hanging="658"/>
        <w:jc w:val="left"/>
        <w:rPr>
          <w:rFonts w:ascii="宋体" w:cs="Times New Roman"/>
          <w:lang w:val="zh-CN"/>
        </w:rPr>
      </w:pPr>
      <w:bookmarkStart w:id="42" w:name="_Toc495861529"/>
      <w:bookmarkStart w:id="43" w:name="_Toc494561948"/>
      <w:bookmarkStart w:id="44" w:name="_Toc509323126"/>
      <w:r>
        <w:rPr>
          <w:rFonts w:hint="eastAsia" w:ascii="宋体" w:hAnsi="宋体" w:cs="宋体"/>
          <w:lang w:val="zh-CN"/>
        </w:rPr>
        <w:t>其他注意事项</w:t>
      </w:r>
      <w:bookmarkEnd w:id="42"/>
      <w:bookmarkEnd w:id="43"/>
      <w:bookmarkEnd w:id="44"/>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单位负责人为同一人或者存在直接控股、管理关系的不同供应商，不得参加同一合同项下的政府采购活动。</w:t>
      </w:r>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除单一来源采购项目外，为采购项目提供整体设计、规范编制或者项目管理、监理、检测等服务的供应商，不得再参加该采购项目的其他采购活动。</w:t>
      </w:r>
    </w:p>
    <w:p>
      <w:pPr>
        <w:pStyle w:val="4"/>
        <w:numPr>
          <w:ilvl w:val="0"/>
          <w:numId w:val="3"/>
        </w:numPr>
        <w:spacing w:before="40" w:after="40" w:line="360" w:lineRule="auto"/>
        <w:ind w:left="966" w:hanging="966"/>
        <w:jc w:val="left"/>
        <w:rPr>
          <w:rFonts w:ascii="宋体" w:cs="Times New Roman"/>
          <w:lang w:val="zh-CN"/>
        </w:rPr>
      </w:pPr>
      <w:bookmarkStart w:id="45" w:name="_Toc272247701"/>
      <w:bookmarkStart w:id="46" w:name="_Toc509323127"/>
      <w:bookmarkStart w:id="47" w:name="_Toc494561949"/>
      <w:bookmarkStart w:id="48" w:name="_Toc495861530"/>
      <w:bookmarkStart w:id="49" w:name="_Toc278891598"/>
      <w:r>
        <w:rPr>
          <w:rFonts w:hint="eastAsia" w:ascii="宋体" w:hAnsi="宋体" w:cs="宋体"/>
          <w:lang w:val="zh-CN"/>
        </w:rPr>
        <w:t>适用法律</w:t>
      </w:r>
      <w:bookmarkEnd w:id="45"/>
      <w:bookmarkEnd w:id="46"/>
      <w:bookmarkEnd w:id="47"/>
      <w:bookmarkEnd w:id="48"/>
      <w:bookmarkEnd w:id="49"/>
    </w:p>
    <w:p>
      <w:pPr>
        <w:numPr>
          <w:ilvl w:val="0"/>
          <w:numId w:val="4"/>
        </w:numPr>
        <w:spacing w:line="360" w:lineRule="auto"/>
        <w:ind w:left="560" w:hanging="560"/>
        <w:rPr>
          <w:rFonts w:ascii="宋体" w:cs="Times New Roman"/>
          <w:sz w:val="24"/>
          <w:szCs w:val="24"/>
          <w:lang w:val="zh-CN"/>
        </w:rPr>
      </w:pPr>
      <w:r>
        <w:rPr>
          <w:rFonts w:hint="eastAsia" w:ascii="宋体" w:hAnsi="宋体" w:cs="宋体"/>
          <w:sz w:val="24"/>
          <w:szCs w:val="24"/>
          <w:lang w:val="zh-CN"/>
        </w:rPr>
        <w:t>采购人、采购代理机构及投标人的一切招标投标活动均适用《政府采购法》、《政府采购法实施条例》、《政府采购货物和服务招标投标管理办法》及相关法律法规。</w:t>
      </w:r>
    </w:p>
    <w:p>
      <w:pPr>
        <w:numPr>
          <w:ilvl w:val="0"/>
          <w:numId w:val="4"/>
        </w:numPr>
        <w:spacing w:line="360" w:lineRule="auto"/>
        <w:ind w:left="560" w:hanging="560"/>
        <w:rPr>
          <w:rFonts w:ascii="宋体" w:cs="Times New Roman"/>
          <w:sz w:val="24"/>
          <w:szCs w:val="24"/>
          <w:lang w:val="zh-CN"/>
        </w:rPr>
      </w:pPr>
      <w:r>
        <w:rPr>
          <w:rFonts w:hint="eastAsia" w:ascii="Helvetica" w:hAnsi="Helvetica" w:cs="宋体"/>
          <w:kern w:val="0"/>
          <w:sz w:val="24"/>
          <w:szCs w:val="24"/>
          <w:lang w:val="zh-CN"/>
        </w:rPr>
        <w:t>政府采购合同的履行、违约责任和解决争议的方法等适用《合同法》。</w:t>
      </w:r>
    </w:p>
    <w:p>
      <w:pPr>
        <w:pStyle w:val="4"/>
        <w:numPr>
          <w:ilvl w:val="0"/>
          <w:numId w:val="3"/>
        </w:numPr>
        <w:spacing w:before="40" w:after="40" w:line="360" w:lineRule="auto"/>
        <w:ind w:left="966" w:hanging="966"/>
        <w:jc w:val="left"/>
        <w:rPr>
          <w:rFonts w:ascii="宋体" w:cs="Times New Roman"/>
          <w:lang w:val="zh-CN"/>
        </w:rPr>
      </w:pPr>
      <w:bookmarkStart w:id="50" w:name="_Toc509323128"/>
      <w:bookmarkStart w:id="51" w:name="_Toc278891599"/>
      <w:bookmarkStart w:id="52" w:name="_Toc494561950"/>
      <w:bookmarkStart w:id="53" w:name="_Toc272247702"/>
      <w:bookmarkStart w:id="54" w:name="_Toc495861531"/>
      <w:r>
        <w:rPr>
          <w:rFonts w:hint="eastAsia" w:ascii="宋体" w:hAnsi="宋体" w:cs="宋体"/>
          <w:lang w:val="zh-CN"/>
        </w:rPr>
        <w:t>招标文件的解释权</w:t>
      </w:r>
      <w:bookmarkEnd w:id="50"/>
      <w:bookmarkEnd w:id="51"/>
      <w:bookmarkEnd w:id="52"/>
      <w:bookmarkEnd w:id="53"/>
      <w:bookmarkEnd w:id="54"/>
    </w:p>
    <w:p>
      <w:pPr>
        <w:numPr>
          <w:ilvl w:val="0"/>
          <w:numId w:val="4"/>
        </w:numPr>
        <w:spacing w:line="360" w:lineRule="auto"/>
        <w:ind w:left="560" w:hanging="560"/>
        <w:rPr>
          <w:rFonts w:cs="Times New Roman"/>
        </w:rPr>
      </w:pPr>
      <w:r>
        <w:rPr>
          <w:rFonts w:hint="eastAsia" w:ascii="宋体" w:hAnsi="宋体" w:cs="宋体"/>
          <w:sz w:val="24"/>
          <w:szCs w:val="24"/>
          <w:lang w:val="zh-CN"/>
        </w:rPr>
        <w:t>招标文件的最终解释权为采购人、采购代理机构所有。</w:t>
      </w:r>
      <w:r>
        <w:rPr>
          <w:rFonts w:cs="Times New Roman"/>
        </w:rPr>
        <w:br w:type="page"/>
      </w:r>
    </w:p>
    <w:p>
      <w:pPr>
        <w:jc w:val="center"/>
        <w:rPr>
          <w:b/>
          <w:sz w:val="36"/>
          <w:szCs w:val="36"/>
        </w:rPr>
      </w:pPr>
      <w:bookmarkStart w:id="55" w:name="_Toc495861532"/>
      <w:bookmarkStart w:id="56" w:name="_Toc509323129"/>
      <w:r>
        <w:rPr>
          <w:rFonts w:hint="eastAsia"/>
          <w:b/>
          <w:sz w:val="36"/>
          <w:szCs w:val="36"/>
        </w:rPr>
        <w:t>第三章</w:t>
      </w:r>
      <w:r>
        <w:rPr>
          <w:b/>
          <w:sz w:val="36"/>
          <w:szCs w:val="36"/>
        </w:rPr>
        <w:t xml:space="preserve"> </w:t>
      </w:r>
      <w:r>
        <w:rPr>
          <w:rFonts w:hint="eastAsia"/>
          <w:b/>
          <w:sz w:val="36"/>
          <w:szCs w:val="36"/>
        </w:rPr>
        <w:t>项目技术、参数及商务要求</w:t>
      </w:r>
      <w:bookmarkEnd w:id="55"/>
      <w:bookmarkEnd w:id="56"/>
    </w:p>
    <w:p>
      <w:pPr>
        <w:pStyle w:val="40"/>
        <w:numPr>
          <w:ilvl w:val="0"/>
          <w:numId w:val="17"/>
        </w:numPr>
        <w:spacing w:line="280" w:lineRule="exact"/>
        <w:ind w:firstLineChars="0"/>
        <w:jc w:val="left"/>
        <w:rPr>
          <w:rFonts w:ascii="宋体" w:hAnsi="宋体"/>
          <w:b/>
          <w:bCs/>
          <w:sz w:val="30"/>
          <w:szCs w:val="30"/>
          <w:lang w:val="zh-CN"/>
        </w:rPr>
      </w:pPr>
      <w:bookmarkStart w:id="57" w:name="_Toc495861538"/>
      <w:r>
        <w:rPr>
          <w:rFonts w:hint="eastAsia" w:ascii="宋体" w:hAnsi="宋体"/>
          <w:b/>
          <w:bCs/>
          <w:sz w:val="30"/>
          <w:szCs w:val="30"/>
          <w:lang w:val="zh-CN"/>
        </w:rPr>
        <w:t>技术参数</w:t>
      </w:r>
    </w:p>
    <w:p>
      <w:pPr>
        <w:rPr>
          <w:sz w:val="20"/>
        </w:rPr>
      </w:pPr>
    </w:p>
    <w:tbl>
      <w:tblPr>
        <w:tblStyle w:val="21"/>
        <w:tblW w:w="9371" w:type="dxa"/>
        <w:tblInd w:w="93" w:type="dxa"/>
        <w:tblLayout w:type="fixed"/>
        <w:tblCellMar>
          <w:top w:w="0" w:type="dxa"/>
          <w:left w:w="108" w:type="dxa"/>
          <w:bottom w:w="0" w:type="dxa"/>
          <w:right w:w="108" w:type="dxa"/>
        </w:tblCellMar>
      </w:tblPr>
      <w:tblGrid>
        <w:gridCol w:w="724"/>
        <w:gridCol w:w="1417"/>
        <w:gridCol w:w="5529"/>
        <w:gridCol w:w="850"/>
        <w:gridCol w:w="851"/>
      </w:tblGrid>
      <w:tr>
        <w:tblPrEx>
          <w:tblCellMar>
            <w:top w:w="0" w:type="dxa"/>
            <w:left w:w="108" w:type="dxa"/>
            <w:bottom w:w="0" w:type="dxa"/>
            <w:right w:w="108" w:type="dxa"/>
          </w:tblCellMar>
        </w:tblPrEx>
        <w:trPr>
          <w:trHeight w:val="480" w:hRule="atLeast"/>
          <w:tblHeader/>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417"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5529"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指挥大厅</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1.1</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大屏显示系统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r>
        <w:tblPrEx>
          <w:tblCellMar>
            <w:top w:w="0" w:type="dxa"/>
            <w:left w:w="108" w:type="dxa"/>
            <w:bottom w:w="0" w:type="dxa"/>
            <w:right w:w="108" w:type="dxa"/>
          </w:tblCellMar>
        </w:tblPrEx>
        <w:trPr>
          <w:trHeight w:val="1531"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LED显示屏</w:t>
            </w:r>
          </w:p>
        </w:tc>
        <w:tc>
          <w:tcPr>
            <w:tcW w:w="5529" w:type="dxa"/>
            <w:tcBorders>
              <w:top w:val="nil"/>
              <w:left w:val="nil"/>
              <w:bottom w:val="single" w:color="auto" w:sz="4" w:space="0"/>
              <w:right w:val="single" w:color="auto" w:sz="4" w:space="0"/>
            </w:tcBorders>
            <w:shd w:val="clear" w:color="auto" w:fill="auto"/>
            <w:vAlign w:val="bottom"/>
          </w:tcPr>
          <w:p>
            <w:pPr>
              <w:widowControl/>
              <w:spacing w:after="240"/>
              <w:jc w:val="left"/>
              <w:rPr>
                <w:rFonts w:ascii="宋体" w:hAnsi="宋体" w:cs="宋体"/>
                <w:color w:val="000000"/>
                <w:kern w:val="0"/>
              </w:rPr>
            </w:pPr>
            <w:r>
              <w:rPr>
                <w:rFonts w:hint="eastAsia" w:ascii="宋体" w:hAnsi="宋体" w:cs="宋体"/>
                <w:color w:val="000000"/>
                <w:kern w:val="0"/>
              </w:rPr>
              <w:t>1.LED发光二极管：表贴三合一LED；</w:t>
            </w:r>
          </w:p>
          <w:p>
            <w:pPr>
              <w:widowControl/>
              <w:spacing w:after="240"/>
              <w:jc w:val="left"/>
              <w:rPr>
                <w:rFonts w:ascii="宋体" w:hAnsi="宋体" w:cs="宋体"/>
                <w:color w:val="000000"/>
                <w:kern w:val="0"/>
              </w:rPr>
            </w:pPr>
            <w:r>
              <w:rPr>
                <w:rFonts w:hint="eastAsia" w:ascii="宋体" w:hAnsi="宋体" w:cs="宋体"/>
                <w:color w:val="000000"/>
                <w:kern w:val="0"/>
              </w:rPr>
              <w:t>2. ★像素间距：≤1.5630mm；</w:t>
            </w:r>
          </w:p>
          <w:p>
            <w:pPr>
              <w:widowControl/>
              <w:spacing w:after="240"/>
              <w:jc w:val="left"/>
              <w:rPr>
                <w:rFonts w:ascii="宋体" w:hAnsi="宋体" w:cs="宋体"/>
                <w:color w:val="000000"/>
                <w:kern w:val="0"/>
              </w:rPr>
            </w:pPr>
            <w:r>
              <w:rPr>
                <w:rFonts w:hint="eastAsia" w:ascii="宋体" w:hAnsi="宋体" w:cs="宋体"/>
                <w:color w:val="000000"/>
                <w:kern w:val="0"/>
              </w:rPr>
              <w:t>3. ★像素密度：≥414700dots/m²；</w:t>
            </w:r>
          </w:p>
          <w:p>
            <w:pPr>
              <w:widowControl/>
              <w:spacing w:after="240"/>
              <w:jc w:val="left"/>
              <w:rPr>
                <w:rFonts w:ascii="宋体" w:hAnsi="宋体" w:cs="宋体"/>
                <w:color w:val="000000"/>
                <w:kern w:val="0"/>
              </w:rPr>
            </w:pPr>
            <w:r>
              <w:rPr>
                <w:rFonts w:hint="eastAsia" w:ascii="宋体" w:hAnsi="宋体" w:cs="宋体"/>
                <w:color w:val="000000"/>
                <w:kern w:val="0"/>
              </w:rPr>
              <w:t>4.色温：支持2000~12000K调节；（提供封面具备CAL、CMA、CNAS标识的第三方检测机构出具的检测报告复印件加盖原厂商公章）</w:t>
            </w:r>
          </w:p>
          <w:p>
            <w:pPr>
              <w:widowControl/>
              <w:spacing w:after="240"/>
              <w:jc w:val="left"/>
              <w:rPr>
                <w:rFonts w:ascii="宋体" w:hAnsi="宋体" w:cs="宋体"/>
                <w:color w:val="000000"/>
                <w:kern w:val="0"/>
              </w:rPr>
            </w:pPr>
            <w:r>
              <w:rPr>
                <w:rFonts w:hint="eastAsia" w:ascii="宋体" w:hAnsi="宋体" w:cs="宋体"/>
                <w:color w:val="000000"/>
                <w:kern w:val="0"/>
              </w:rPr>
              <w:t>5.显示单元具备3C认证证书；（提供中国质量认证中心出具的证书复印件加盖原厂商公章）</w:t>
            </w:r>
          </w:p>
          <w:p>
            <w:pPr>
              <w:widowControl/>
              <w:spacing w:after="240"/>
              <w:jc w:val="left"/>
              <w:rPr>
                <w:rFonts w:ascii="宋体" w:hAnsi="宋体" w:cs="宋体"/>
                <w:color w:val="000000"/>
                <w:kern w:val="0"/>
              </w:rPr>
            </w:pPr>
            <w:r>
              <w:rPr>
                <w:rFonts w:hint="eastAsia" w:ascii="宋体" w:hAnsi="宋体" w:cs="宋体"/>
                <w:color w:val="000000"/>
                <w:kern w:val="0"/>
              </w:rPr>
              <w:t>6.对比度：≥10000：1；（提供封面具备CAL、CMA、CNAS标识的第三方检测机构出具的检测报告复印件并加盖原厂商公章）</w:t>
            </w:r>
          </w:p>
          <w:p>
            <w:pPr>
              <w:widowControl/>
              <w:spacing w:after="240"/>
              <w:jc w:val="left"/>
              <w:rPr>
                <w:rFonts w:ascii="宋体" w:hAnsi="宋体" w:cs="宋体"/>
                <w:color w:val="000000"/>
                <w:kern w:val="0"/>
              </w:rPr>
            </w:pPr>
            <w:r>
              <w:rPr>
                <w:rFonts w:hint="eastAsia" w:ascii="宋体" w:hAnsi="宋体" w:cs="宋体"/>
                <w:color w:val="000000"/>
                <w:kern w:val="0"/>
              </w:rPr>
              <w:t>7.刷新率支持420~4800Hz可调；（提供封面具备CAL、CMA、CNAS标识的第三方检测机构出具的检测报告复印件并盖鲜章）</w:t>
            </w:r>
          </w:p>
          <w:p>
            <w:pPr>
              <w:widowControl/>
              <w:spacing w:after="240"/>
              <w:jc w:val="left"/>
              <w:rPr>
                <w:rFonts w:ascii="宋体" w:hAnsi="宋体" w:cs="宋体"/>
                <w:color w:val="000000"/>
                <w:kern w:val="0"/>
              </w:rPr>
            </w:pPr>
            <w:r>
              <w:rPr>
                <w:rFonts w:hint="eastAsia" w:ascii="宋体" w:hAnsi="宋体" w:cs="宋体"/>
                <w:color w:val="000000"/>
                <w:kern w:val="0"/>
              </w:rPr>
              <w:t>8.★为方便设备安装，支持通过真空吸盘，利用设备与屏体之间形成的压差进行模组拆装，且模组与箱体之间采用弹针式连接器（提供封面具备CAL、CMA、CNAS标识的第三方检测机构出具的检测报告复印件加盖原厂公章）</w:t>
            </w:r>
          </w:p>
          <w:p>
            <w:pPr>
              <w:widowControl/>
              <w:spacing w:after="240"/>
              <w:jc w:val="left"/>
              <w:rPr>
                <w:rFonts w:ascii="宋体" w:hAnsi="宋体" w:cs="宋体"/>
                <w:color w:val="000000"/>
                <w:kern w:val="0"/>
              </w:rPr>
            </w:pPr>
            <w:r>
              <w:rPr>
                <w:rFonts w:hint="eastAsia" w:ascii="宋体" w:hAnsi="宋体" w:cs="宋体"/>
                <w:color w:val="000000"/>
                <w:kern w:val="0"/>
              </w:rPr>
              <w:t>9.★箱体后盖采用快拆设计，支持无工具拆装；（提供封面具备CAL、CMA、CNAS标识的第三方检测机构出具的检测报告复印件并加盖原厂商公章）</w:t>
            </w:r>
          </w:p>
          <w:p>
            <w:pPr>
              <w:widowControl/>
              <w:spacing w:after="240"/>
              <w:jc w:val="left"/>
              <w:rPr>
                <w:rFonts w:ascii="宋体" w:hAnsi="宋体" w:cs="宋体"/>
                <w:color w:val="000000"/>
                <w:kern w:val="0"/>
              </w:rPr>
            </w:pPr>
            <w:r>
              <w:rPr>
                <w:rFonts w:hint="eastAsia" w:ascii="宋体" w:hAnsi="宋体" w:cs="宋体"/>
                <w:color w:val="000000"/>
                <w:kern w:val="0"/>
              </w:rPr>
              <w:t>10.★箱体背面支持LED指示灯，能够快速指示电源及控制卡工作状态；（提供封面具备CAL、CMA、CNAS标识的第三方检测机构出具的检测报告复印件并盖鲜章）</w:t>
            </w:r>
          </w:p>
          <w:p>
            <w:pPr>
              <w:widowControl/>
              <w:spacing w:after="240"/>
              <w:jc w:val="left"/>
              <w:rPr>
                <w:rFonts w:ascii="宋体" w:hAnsi="宋体" w:cs="宋体"/>
                <w:color w:val="000000"/>
                <w:kern w:val="0"/>
              </w:rPr>
            </w:pPr>
            <w:r>
              <w:rPr>
                <w:rFonts w:hint="eastAsia" w:ascii="宋体" w:hAnsi="宋体" w:cs="宋体"/>
                <w:color w:val="000000"/>
                <w:kern w:val="0"/>
              </w:rPr>
              <w:t>11.显示屏符合RoHS标准（提供RoHS证明报告）</w:t>
            </w:r>
          </w:p>
          <w:p>
            <w:pPr>
              <w:widowControl/>
              <w:spacing w:after="240"/>
              <w:jc w:val="left"/>
              <w:rPr>
                <w:rFonts w:ascii="宋体" w:hAnsi="宋体" w:cs="宋体"/>
                <w:color w:val="000000"/>
                <w:kern w:val="0"/>
              </w:rPr>
            </w:pPr>
            <w:r>
              <w:rPr>
                <w:rFonts w:hint="eastAsia" w:ascii="宋体" w:hAnsi="宋体" w:cs="宋体"/>
                <w:color w:val="000000"/>
                <w:kern w:val="0"/>
              </w:rPr>
              <w:t>12.★为确保软件产品正规且无软件产品产权纠纷，针对LED显示屏智能检测修复软件及播控软件的所有权，需提供相关计算机软件著作权登记证书加盖原厂公章</w:t>
            </w:r>
          </w:p>
          <w:p>
            <w:pPr>
              <w:widowControl/>
              <w:spacing w:after="240"/>
              <w:jc w:val="left"/>
              <w:rPr>
                <w:rFonts w:ascii="宋体" w:hAnsi="宋体" w:cs="宋体"/>
                <w:color w:val="000000"/>
                <w:kern w:val="0"/>
              </w:rPr>
            </w:pPr>
            <w:r>
              <w:rPr>
                <w:rFonts w:hint="eastAsia" w:ascii="宋体" w:hAnsi="宋体" w:cs="宋体"/>
                <w:color w:val="000000"/>
                <w:kern w:val="0"/>
              </w:rPr>
              <w:t>13.★为了保证产品软件成熟稳定可靠，显示屏生产厂家不低于CMMI成熟度5级，提供证书证明加盖原厂公章；</w:t>
            </w:r>
          </w:p>
          <w:p>
            <w:pPr>
              <w:widowControl/>
              <w:spacing w:after="240"/>
              <w:jc w:val="left"/>
              <w:rPr>
                <w:rFonts w:ascii="宋体" w:hAnsi="宋体" w:cs="宋体"/>
                <w:color w:val="000000"/>
                <w:kern w:val="0"/>
              </w:rPr>
            </w:pPr>
            <w:r>
              <w:rPr>
                <w:rFonts w:hint="eastAsia" w:ascii="宋体" w:hAnsi="宋体" w:cs="宋体"/>
                <w:color w:val="000000"/>
                <w:kern w:val="0"/>
              </w:rPr>
              <w:t>14.显示屏生产厂家服务能力符合国家标准《商品售后服务评价体系》GB/T27922-2011，且能力达到五星级；（提供相关证书加盖原厂公章）</w:t>
            </w:r>
          </w:p>
          <w:p>
            <w:pPr>
              <w:widowControl/>
              <w:spacing w:after="240"/>
              <w:jc w:val="left"/>
              <w:rPr>
                <w:rFonts w:ascii="宋体" w:hAnsi="宋体" w:cs="宋体"/>
                <w:color w:val="000000"/>
                <w:kern w:val="0"/>
              </w:rPr>
            </w:pPr>
            <w:r>
              <w:rPr>
                <w:rFonts w:hint="eastAsia" w:ascii="宋体" w:hAnsi="宋体" w:cs="宋体"/>
                <w:color w:val="000000"/>
                <w:kern w:val="0"/>
              </w:rPr>
              <w:t>15.为体现制造商实力，显示屏厂商至少连续两年获得由中国视听行业协会颁发的小间距拼接品牌大奖；（提供相关证书加盖原厂公章）</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7.35</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平方</w:t>
            </w:r>
          </w:p>
        </w:tc>
      </w:tr>
      <w:tr>
        <w:tblPrEx>
          <w:tblCellMar>
            <w:top w:w="0" w:type="dxa"/>
            <w:left w:w="108" w:type="dxa"/>
            <w:bottom w:w="0" w:type="dxa"/>
            <w:right w:w="108" w:type="dxa"/>
          </w:tblCellMar>
        </w:tblPrEx>
        <w:trPr>
          <w:trHeight w:val="99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定制支架边框</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大屏配套支架</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28.5</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平方</w:t>
            </w:r>
          </w:p>
        </w:tc>
      </w:tr>
      <w:tr>
        <w:tblPrEx>
          <w:tblCellMar>
            <w:top w:w="0" w:type="dxa"/>
            <w:left w:w="108" w:type="dxa"/>
            <w:bottom w:w="0" w:type="dxa"/>
            <w:right w:w="108" w:type="dxa"/>
          </w:tblCellMar>
        </w:tblPrEx>
        <w:trPr>
          <w:trHeight w:val="538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55寸拼接屏</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1.尺寸：55英寸</w:t>
            </w:r>
          </w:p>
          <w:p>
            <w:pPr>
              <w:widowControl/>
              <w:jc w:val="left"/>
              <w:rPr>
                <w:rFonts w:ascii="宋体" w:hAnsi="宋体" w:cs="宋体"/>
                <w:color w:val="000000"/>
                <w:kern w:val="0"/>
              </w:rPr>
            </w:pPr>
            <w:r>
              <w:rPr>
                <w:rFonts w:hint="eastAsia" w:ascii="宋体" w:hAnsi="宋体" w:cs="宋体"/>
                <w:color w:val="000000"/>
                <w:kern w:val="0"/>
              </w:rPr>
              <w:t xml:space="preserve">2.屏幕比例：16:9      </w:t>
            </w:r>
          </w:p>
          <w:p>
            <w:pPr>
              <w:widowControl/>
              <w:jc w:val="left"/>
              <w:rPr>
                <w:rFonts w:ascii="宋体" w:hAnsi="宋体" w:cs="宋体"/>
                <w:color w:val="000000"/>
                <w:kern w:val="0"/>
              </w:rPr>
            </w:pPr>
            <w:r>
              <w:rPr>
                <w:rFonts w:hint="eastAsia" w:ascii="宋体" w:hAnsi="宋体" w:cs="宋体"/>
                <w:color w:val="000000"/>
                <w:kern w:val="0"/>
              </w:rPr>
              <w:t xml:space="preserve">3.亮度≥500cd/m²       </w:t>
            </w:r>
          </w:p>
          <w:p>
            <w:pPr>
              <w:widowControl/>
              <w:jc w:val="left"/>
              <w:rPr>
                <w:rFonts w:ascii="宋体" w:hAnsi="宋体" w:cs="宋体"/>
                <w:color w:val="000000"/>
                <w:kern w:val="0"/>
              </w:rPr>
            </w:pPr>
            <w:r>
              <w:rPr>
                <w:rFonts w:hint="eastAsia" w:ascii="宋体" w:hAnsi="宋体" w:cs="宋体"/>
                <w:color w:val="000000"/>
                <w:kern w:val="0"/>
              </w:rPr>
              <w:t xml:space="preserve">4.对比度：4000:1 </w:t>
            </w:r>
          </w:p>
          <w:p>
            <w:pPr>
              <w:widowControl/>
              <w:jc w:val="left"/>
              <w:rPr>
                <w:rFonts w:ascii="宋体" w:hAnsi="宋体" w:cs="宋体"/>
                <w:color w:val="000000"/>
                <w:kern w:val="0"/>
              </w:rPr>
            </w:pPr>
            <w:r>
              <w:rPr>
                <w:rFonts w:hint="eastAsia" w:ascii="宋体" w:hAnsi="宋体" w:cs="宋体"/>
                <w:color w:val="000000"/>
                <w:kern w:val="0"/>
              </w:rPr>
              <w:t>5.双边物理拼缝≤3.5mm</w:t>
            </w:r>
          </w:p>
          <w:p>
            <w:pPr>
              <w:widowControl/>
              <w:jc w:val="left"/>
              <w:rPr>
                <w:rFonts w:ascii="宋体" w:hAnsi="宋体" w:cs="宋体"/>
                <w:color w:val="000000"/>
                <w:kern w:val="0"/>
              </w:rPr>
            </w:pPr>
            <w:r>
              <w:rPr>
                <w:rFonts w:hint="eastAsia" w:ascii="宋体" w:hAnsi="宋体" w:cs="宋体"/>
                <w:color w:val="000000"/>
                <w:kern w:val="0"/>
              </w:rPr>
              <w:t>6.分辨率：1920*1080</w:t>
            </w:r>
          </w:p>
          <w:p>
            <w:pPr>
              <w:widowControl/>
              <w:jc w:val="left"/>
              <w:rPr>
                <w:rFonts w:ascii="宋体" w:hAnsi="宋体" w:cs="宋体"/>
                <w:color w:val="000000"/>
                <w:kern w:val="0"/>
              </w:rPr>
            </w:pPr>
            <w:r>
              <w:rPr>
                <w:rFonts w:hint="eastAsia" w:ascii="宋体" w:hAnsi="宋体" w:cs="宋体"/>
                <w:color w:val="000000"/>
                <w:kern w:val="0"/>
              </w:rPr>
              <w:t xml:space="preserve">7.整机待机功耗≤1w  </w:t>
            </w:r>
          </w:p>
          <w:p>
            <w:pPr>
              <w:widowControl/>
              <w:jc w:val="left"/>
              <w:rPr>
                <w:rFonts w:ascii="宋体" w:hAnsi="宋体" w:cs="宋体"/>
                <w:color w:val="000000"/>
                <w:kern w:val="0"/>
              </w:rPr>
            </w:pPr>
            <w:r>
              <w:rPr>
                <w:rFonts w:hint="eastAsia" w:ascii="宋体" w:hAnsi="宋体" w:cs="宋体"/>
                <w:color w:val="000000"/>
                <w:kern w:val="0"/>
              </w:rPr>
              <w:t xml:space="preserve">8.响应速度不高于8ms                                  </w:t>
            </w:r>
          </w:p>
          <w:p>
            <w:pPr>
              <w:widowControl/>
              <w:jc w:val="left"/>
              <w:rPr>
                <w:rFonts w:ascii="宋体" w:hAnsi="宋体" w:cs="宋体"/>
                <w:color w:val="000000"/>
                <w:kern w:val="0"/>
              </w:rPr>
            </w:pPr>
            <w:r>
              <w:rPr>
                <w:rFonts w:hint="eastAsia" w:ascii="宋体" w:hAnsi="宋体" w:cs="宋体"/>
                <w:color w:val="000000"/>
                <w:kern w:val="0"/>
              </w:rPr>
              <w:t>9.可视角度不低于 178度水平/垂直视角                                                                                                                       10.★液晶显示单元符合GB9254-2008—30MHz～1000MHz 辐射骚扰场强限值要求；（提供封面具有CNAS和ilac标示的第三方权威机构出具的检测报告复印件加盖原厂商公章）                                                                                                                                      11.★液晶显示单元金属外壳符合盐雾试验及防火试验要求；（提供封面具有CNAS和ilac标示的第三方权威机构出具的检测报告复印件加盖原厂商公章）                                                                                                                                                                                                                                                                                             12.显示单元具备3C、CB认证证书；（提供中国质量认证中心出具的证书复印件加盖原厂商公章）</w:t>
            </w:r>
          </w:p>
          <w:p>
            <w:pPr>
              <w:widowControl/>
              <w:jc w:val="left"/>
              <w:rPr>
                <w:rFonts w:ascii="宋体" w:hAnsi="宋体" w:cs="宋体"/>
                <w:color w:val="000000"/>
                <w:kern w:val="0"/>
              </w:rPr>
            </w:pPr>
            <w:r>
              <w:rPr>
                <w:rFonts w:hint="eastAsia" w:ascii="宋体" w:hAnsi="宋体" w:cs="宋体"/>
                <w:color w:val="000000"/>
                <w:kern w:val="0"/>
              </w:rPr>
              <w:t>13.★具备中国节能产品认证证书（能效等级不低于1级），提供证书复印件加盖原厂商公章；</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18</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4931"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拼接处理器</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 采用不小于19"机架尺寸，≤5U高度机箱，提供至少12个板卡插槽，嵌入式系统，模块化设计，整机最大支持60路HDMI视频输出接口。（提供公安部权威检测机构出具的检测报告原件或复印件并加盖原厂商公章）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2. ★支持双电源冗余。至少具有2组风扇，每组6个风扇（支持热插拔、冗余；支持吹和抽两种模式同时工作)。（提供公安部权威检测机构出具的检测报告原件或复印件并加盖原厂商公章）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3. ★具有不少于1个VGA接口，2个千兆网口、3个USB接口，4路RS232接口，1路RS485接口。支持报警手动消除功能。（提供公安部权威检测机构出具的检测报告原件或复印件并加盖原厂商公章）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4. ★支持多网口绑定，整机通过一个IP地址即可完成IP设备、模拟设备、SDI设备视音频数据的接入、转发和存储；具有容错网络模式、多址网络模式、负载均衡网络模式、链路聚合网络模式。（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5. 通过主控板VGA接口外接显示屏幕，可实时显示机箱温度、风扇转速、子板信息、电源模块信息、网络使用率信息、CPU/内存使用率信息等，实时监测机箱运作情况；支持通过本地界面进行业务配置 ；（提供公安部权威检测机构出具的检测报告原件或复印件并加盖原厂商公章）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6. 支持接入分辨率为8640×3840、4000×3000、3296×2472、2592×2048、2048×1536、1920×1080、1600×1200、1280×720、704×576的视频。（提供公安部权威检测机构出具的检测报告原件或复印件并加盖原厂商公章）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7. ★不使用额外服务器板卡，标配支持不少于108路视频（1920×1080、30fps、8Mbps）同时进行接收和转发。（提供公安部权威检测机构出具的检测报告原件或复印件并加盖原厂商公章）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8. 支持单屏及拼接屏的1、4、6、8、9、12、16、25、32、36分割显示；支持视频切换流畅无黑屏现象，视频断开后保留最后一帧图像。（提供公安部权威检测机构出具的检测报告原件或复印件并加盖原厂商公章）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9. 支持视频开窗、漫游、图层叠加功能，支持在底图上开窗漫游；单个输出端口具备≥64个窗口的开窗性能；单通道支持64个图层叠加，图层支持置顶或置底设置。（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10. ★支持解码鱼眼图像，具有图像校正功能；可显示顶装模式、壁装模式、地装模式，可显示1P+1、2P、1+2、1+3、1+4、1P+6、1+8等矫正模式。（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11. ★支持通过网络将计算机桌面、应用窗口或自定义矩形区域投射到电视墙上，最大支持投射3840×2160分辨率的桌面；单台计算机最多可投射8个任务窗口。（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12. 支持预监回显功能，在选取视频通道时，能自动弹出预览视频，视频在上墙后可在操作界面回显展示。（提供公安部权威检测机构出具的检测报告原件或复印件并加盖原厂商公章）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13. 支持视频轮巡功能，轮巡时间间隔可设；支持轮巡预案快速切换与调用，最多可设32个预案。（提供公安部权威检测机构出具的检测报告原件或复印件并加盖原厂商公章）</w:t>
            </w:r>
          </w:p>
          <w:p>
            <w:pPr>
              <w:widowControl/>
              <w:jc w:val="left"/>
              <w:rPr>
                <w:rFonts w:ascii="宋体" w:hAnsi="宋体" w:cs="宋体"/>
                <w:color w:val="000000"/>
                <w:kern w:val="0"/>
              </w:rPr>
            </w:pPr>
            <w:r>
              <w:rPr>
                <w:rFonts w:hint="eastAsia" w:ascii="宋体" w:hAnsi="宋体" w:cs="宋体"/>
                <w:color w:val="000000"/>
                <w:kern w:val="0"/>
              </w:rPr>
              <w:t>14. ★支持字符叠加功能，最大支持20条，并可在任意位置叠加；支持多种自定义OSD样式，并且能够修改保存。（提供公安部权威检测机构出具的检测报告原件或复印件并加盖原厂商公章）</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167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配电柜</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额定功率20KW.配电柜输入电压为交流380V±15%，工频50HZ。具有过压、浪涌、短路、过流、过载、漏电等保护功能。配电柜含PLC控制，具有远程控制功能。可以通过PLC软件实现远程开关箱、远程通讯等操作。</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架</w:t>
            </w:r>
          </w:p>
        </w:tc>
      </w:tr>
      <w:tr>
        <w:tblPrEx>
          <w:tblCellMar>
            <w:top w:w="0" w:type="dxa"/>
            <w:left w:w="108" w:type="dxa"/>
            <w:bottom w:w="0" w:type="dxa"/>
            <w:right w:w="108" w:type="dxa"/>
          </w:tblCellMar>
        </w:tblPrEx>
        <w:trPr>
          <w:trHeight w:val="1841"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控制软件</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大屏配套控制软件，B/S架构，用户无需安装客户端程序，直接WEB访问，避免操作电脑瘫痪后无法控制LED显示单元，具备画面分割功能，能轻松实现单屏4画面、16画面分割；</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套</w:t>
            </w:r>
          </w:p>
        </w:tc>
      </w:tr>
      <w:tr>
        <w:tblPrEx>
          <w:tblCellMar>
            <w:top w:w="0" w:type="dxa"/>
            <w:left w:w="108" w:type="dxa"/>
            <w:bottom w:w="0" w:type="dxa"/>
            <w:right w:w="108" w:type="dxa"/>
          </w:tblCellMar>
        </w:tblPrEx>
        <w:trPr>
          <w:trHeight w:val="4384"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全无缝4K高清智能混插卡</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1.6路4K高清HDMI输出</w:t>
            </w:r>
          </w:p>
          <w:p>
            <w:pPr>
              <w:widowControl/>
              <w:jc w:val="left"/>
              <w:rPr>
                <w:rFonts w:ascii="宋体" w:hAnsi="宋体" w:cs="宋体"/>
                <w:color w:val="000000"/>
                <w:kern w:val="0"/>
              </w:rPr>
            </w:pPr>
            <w:r>
              <w:rPr>
                <w:rFonts w:hint="eastAsia" w:ascii="宋体" w:hAnsi="宋体" w:cs="宋体"/>
                <w:color w:val="000000"/>
                <w:kern w:val="0"/>
              </w:rPr>
              <w:t>2.支持交叉点式切换，单路切换和多路同时切换等功能。</w:t>
            </w:r>
          </w:p>
          <w:p>
            <w:pPr>
              <w:widowControl/>
              <w:jc w:val="left"/>
              <w:rPr>
                <w:rFonts w:ascii="宋体" w:hAnsi="宋体" w:cs="宋体"/>
                <w:color w:val="000000"/>
                <w:kern w:val="0"/>
              </w:rPr>
            </w:pPr>
            <w:r>
              <w:rPr>
                <w:rFonts w:hint="eastAsia" w:ascii="宋体" w:hAnsi="宋体" w:cs="宋体"/>
                <w:color w:val="000000"/>
                <w:kern w:val="0"/>
              </w:rPr>
              <w:t>3.支持倍频、倍线、SCALER；</w:t>
            </w:r>
          </w:p>
          <w:p>
            <w:pPr>
              <w:widowControl/>
              <w:jc w:val="left"/>
              <w:rPr>
                <w:rFonts w:ascii="宋体" w:hAnsi="宋体" w:cs="宋体"/>
                <w:color w:val="000000"/>
                <w:kern w:val="0"/>
              </w:rPr>
            </w:pPr>
            <w:r>
              <w:rPr>
                <w:rFonts w:hint="eastAsia" w:ascii="宋体" w:hAnsi="宋体" w:cs="宋体"/>
                <w:color w:val="000000"/>
                <w:kern w:val="0"/>
              </w:rPr>
              <w:t>4.符合HDCP标准，兼容HDMI 1.3a；</w:t>
            </w:r>
          </w:p>
          <w:p>
            <w:pPr>
              <w:widowControl/>
              <w:jc w:val="left"/>
              <w:rPr>
                <w:rFonts w:ascii="宋体" w:hAnsi="宋体" w:cs="宋体"/>
                <w:color w:val="000000"/>
                <w:kern w:val="0"/>
              </w:rPr>
            </w:pPr>
            <w:r>
              <w:rPr>
                <w:rFonts w:hint="eastAsia" w:ascii="宋体" w:hAnsi="宋体" w:cs="宋体"/>
                <w:color w:val="000000"/>
                <w:kern w:val="0"/>
              </w:rPr>
              <w:t>5.模拟输入可对图像进行3D降噪、细节增强、对比度调整等图形优化处理；</w:t>
            </w:r>
          </w:p>
          <w:p>
            <w:pPr>
              <w:widowControl/>
              <w:jc w:val="left"/>
              <w:rPr>
                <w:rFonts w:ascii="宋体" w:hAnsi="宋体" w:cs="宋体"/>
                <w:color w:val="000000"/>
                <w:kern w:val="0"/>
              </w:rPr>
            </w:pPr>
            <w:r>
              <w:rPr>
                <w:rFonts w:hint="eastAsia" w:ascii="宋体" w:hAnsi="宋体" w:cs="宋体"/>
                <w:color w:val="000000"/>
                <w:kern w:val="0"/>
              </w:rPr>
              <w:t>6.插卡式结构设计，可灵活配置输入输出信号类型及信号通道数。VGA输入卡 兼容CVBS、S-VIDEO、YUV分量 视频</w:t>
            </w:r>
          </w:p>
          <w:p>
            <w:pPr>
              <w:widowControl/>
              <w:jc w:val="left"/>
              <w:rPr>
                <w:rFonts w:ascii="宋体" w:hAnsi="宋体" w:cs="宋体"/>
                <w:color w:val="000000"/>
                <w:kern w:val="0"/>
              </w:rPr>
            </w:pPr>
            <w:r>
              <w:rPr>
                <w:rFonts w:hint="eastAsia" w:ascii="宋体" w:hAnsi="宋体" w:cs="宋体"/>
                <w:color w:val="000000"/>
                <w:kern w:val="0"/>
              </w:rPr>
              <w:t>7.DVI输入卡 兼容HDCP协议</w:t>
            </w:r>
          </w:p>
          <w:p>
            <w:pPr>
              <w:widowControl/>
              <w:jc w:val="left"/>
              <w:rPr>
                <w:rFonts w:ascii="宋体" w:hAnsi="宋体" w:cs="宋体"/>
                <w:color w:val="000000"/>
                <w:kern w:val="0"/>
              </w:rPr>
            </w:pPr>
            <w:r>
              <w:rPr>
                <w:rFonts w:hint="eastAsia" w:ascii="宋体" w:hAnsi="宋体" w:cs="宋体"/>
                <w:color w:val="000000"/>
                <w:kern w:val="0"/>
              </w:rPr>
              <w:t>8.SDI输入卡 支持SD/HD/3G SDI信号</w:t>
            </w:r>
          </w:p>
          <w:p>
            <w:pPr>
              <w:widowControl/>
              <w:jc w:val="left"/>
              <w:rPr>
                <w:rFonts w:ascii="宋体" w:hAnsi="宋体" w:cs="宋体"/>
                <w:color w:val="000000"/>
                <w:kern w:val="0"/>
              </w:rPr>
            </w:pPr>
            <w:r>
              <w:rPr>
                <w:rFonts w:hint="eastAsia" w:ascii="宋体" w:hAnsi="宋体" w:cs="宋体"/>
                <w:color w:val="000000"/>
                <w:kern w:val="0"/>
              </w:rPr>
              <w:t>9.DVI无缝输出卡 真正实时无缝切换、无切换碎片、无黑屏</w:t>
            </w:r>
          </w:p>
          <w:p>
            <w:pPr>
              <w:widowControl/>
              <w:jc w:val="left"/>
              <w:rPr>
                <w:rFonts w:ascii="宋体" w:hAnsi="宋体" w:cs="宋体"/>
                <w:color w:val="000000"/>
                <w:kern w:val="0"/>
              </w:rPr>
            </w:pPr>
            <w:r>
              <w:rPr>
                <w:rFonts w:hint="eastAsia" w:ascii="宋体" w:hAnsi="宋体" w:cs="宋体"/>
                <w:color w:val="000000"/>
                <w:kern w:val="0"/>
              </w:rPr>
              <w:t>10.8路HDMI；4路DVI；4路VGA输入及输出；</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FF0000"/>
                <w:kern w:val="0"/>
              </w:rPr>
            </w:pPr>
            <w:r>
              <w:rPr>
                <w:rFonts w:hint="eastAsia" w:ascii="宋体" w:hAnsi="宋体" w:cs="宋体"/>
                <w:color w:val="FF0000"/>
                <w:kern w:val="0"/>
              </w:rPr>
              <w:t>4</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1.2</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远程视频会议系统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225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高清会议摄像头</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1、标配提供和终端同一品牌高清摄像机；</w:t>
            </w:r>
            <w:r>
              <w:rPr>
                <w:rFonts w:hint="eastAsia" w:ascii="宋体" w:hAnsi="宋体" w:cs="宋体"/>
                <w:color w:val="000000"/>
                <w:kern w:val="0"/>
              </w:rPr>
              <w:br w:type="textWrapping"/>
            </w:r>
            <w:r>
              <w:rPr>
                <w:rFonts w:hint="eastAsia" w:ascii="宋体" w:hAnsi="宋体" w:cs="宋体"/>
                <w:color w:val="000000"/>
                <w:kern w:val="0"/>
              </w:rPr>
              <w:t>2、支持4K分辨率视频摄像，至少12倍光学变焦，采用数字信号传输；</w:t>
            </w:r>
            <w:r>
              <w:rPr>
                <w:rFonts w:ascii="宋体" w:hAnsi="宋体" w:cs="宋体"/>
                <w:color w:val="000000"/>
                <w:kern w:val="0"/>
              </w:rPr>
              <w:br w:type="textWrapping"/>
            </w:r>
            <w:r>
              <w:rPr>
                <w:rFonts w:hint="eastAsia" w:ascii="宋体" w:hAnsi="宋体" w:cs="宋体"/>
                <w:color w:val="000000"/>
                <w:kern w:val="0"/>
              </w:rPr>
              <w:t>3、★支持85度以上的广角能力；</w:t>
            </w:r>
            <w:r>
              <w:rPr>
                <w:rFonts w:ascii="宋体" w:hAnsi="宋体" w:cs="宋体"/>
                <w:color w:val="000000"/>
                <w:kern w:val="0"/>
              </w:rPr>
              <w:br w:type="textWrapping"/>
            </w:r>
            <w:r>
              <w:rPr>
                <w:rFonts w:hint="eastAsia" w:ascii="宋体" w:hAnsi="宋体" w:cs="宋体"/>
                <w:color w:val="000000"/>
                <w:kern w:val="0"/>
              </w:rPr>
              <w:t>4、★摄像机支持100米以上超长距离传输且质量无损，可达到1080p。支持发言者跟踪功能</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100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视频会议终端</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 终端采用为嵌入式操作系统，非PC结构，不受电脑病毒感染；触控式操作界面，支持触控屏操作控制；支持待机界面定制，可按需求更换待机背景画面。</w:t>
            </w:r>
          </w:p>
          <w:p>
            <w:pPr>
              <w:widowControl/>
              <w:jc w:val="left"/>
              <w:rPr>
                <w:rFonts w:ascii="宋体" w:hAnsi="宋体" w:cs="宋体"/>
                <w:color w:val="000000"/>
                <w:kern w:val="0"/>
              </w:rPr>
            </w:pPr>
            <w:r>
              <w:rPr>
                <w:rFonts w:hint="eastAsia" w:ascii="宋体" w:hAnsi="宋体" w:cs="宋体"/>
                <w:color w:val="000000"/>
                <w:kern w:val="0"/>
              </w:rPr>
              <w:t>2、★低带宽时支持仅音频会议；支持512Kbps呼叫带宽下实现720P30视频效果；支持1Mbps呼叫带宽下实现1080P30视频效果；1.7Mbps呼叫带宽下实现1080P60视频效果。</w:t>
            </w:r>
          </w:p>
          <w:p>
            <w:pPr>
              <w:widowControl/>
              <w:jc w:val="left"/>
              <w:rPr>
                <w:rFonts w:ascii="宋体" w:hAnsi="宋体" w:cs="宋体"/>
                <w:color w:val="000000"/>
                <w:kern w:val="0"/>
              </w:rPr>
            </w:pPr>
            <w:r>
              <w:rPr>
                <w:rFonts w:hint="eastAsia" w:ascii="宋体" w:hAnsi="宋体" w:cs="宋体"/>
                <w:color w:val="000000"/>
                <w:kern w:val="0"/>
              </w:rPr>
              <w:t>高清摄像机预置位不少于10个，并具有镜头预置位预览功能。整体终端设备已成熟商用一年以上。</w:t>
            </w:r>
          </w:p>
          <w:p>
            <w:pPr>
              <w:widowControl/>
              <w:jc w:val="left"/>
              <w:rPr>
                <w:rFonts w:ascii="宋体" w:hAnsi="宋体" w:cs="宋体"/>
                <w:color w:val="000000"/>
                <w:kern w:val="0"/>
              </w:rPr>
            </w:pPr>
            <w:r>
              <w:rPr>
                <w:rFonts w:hint="eastAsia" w:ascii="宋体" w:hAnsi="宋体" w:cs="宋体"/>
                <w:color w:val="000000"/>
                <w:kern w:val="0"/>
              </w:rPr>
              <w:t>3、★接口要求</w:t>
            </w:r>
          </w:p>
          <w:p>
            <w:pPr>
              <w:widowControl/>
              <w:jc w:val="left"/>
              <w:rPr>
                <w:rFonts w:ascii="宋体" w:hAnsi="宋体" w:cs="宋体"/>
                <w:color w:val="000000"/>
                <w:kern w:val="0"/>
              </w:rPr>
            </w:pPr>
            <w:r>
              <w:rPr>
                <w:rFonts w:hint="eastAsia" w:ascii="宋体" w:hAnsi="宋体" w:cs="宋体"/>
                <w:color w:val="000000"/>
                <w:kern w:val="0"/>
              </w:rPr>
              <w:t>提供至少4个高清视频输入接口，其中包括HDMI和VGA输入接口；提供至少4路高清视频输出接口，其中包括HDMI和VGA输出接口。提供至少3路音频输入接口；提供至少2路音频输出接口，具备一路数字音频接口，可与数字音频处理器直接连接。提供实物背板接口照片证明</w:t>
            </w:r>
          </w:p>
          <w:p>
            <w:pPr>
              <w:widowControl/>
              <w:jc w:val="left"/>
              <w:rPr>
                <w:rFonts w:ascii="宋体" w:hAnsi="宋体" w:cs="宋体"/>
                <w:color w:val="000000"/>
                <w:kern w:val="0"/>
              </w:rPr>
            </w:pPr>
            <w:r>
              <w:rPr>
                <w:rFonts w:hint="eastAsia" w:ascii="宋体" w:hAnsi="宋体" w:cs="宋体"/>
                <w:color w:val="000000"/>
                <w:kern w:val="0"/>
              </w:rPr>
              <w:t>4、视频编解码算法，应符合ITU H.261、H.263、H.264、H.264High profile、H.264 SVC标准；图像格式应支持CIF、4CIF、720p、1080p30、1080P60等格式；终端应支持单屏双显、双屏双显,同时分别显示近端视频、远端视频、内容图像，布局可自定义调整</w:t>
            </w:r>
          </w:p>
          <w:p>
            <w:pPr>
              <w:widowControl/>
              <w:jc w:val="left"/>
              <w:rPr>
                <w:rFonts w:ascii="宋体" w:hAnsi="宋体" w:cs="宋体"/>
                <w:color w:val="000000"/>
                <w:kern w:val="0"/>
              </w:rPr>
            </w:pPr>
            <w:r>
              <w:rPr>
                <w:rFonts w:hint="eastAsia" w:ascii="宋体" w:hAnsi="宋体" w:cs="宋体"/>
                <w:color w:val="000000"/>
                <w:kern w:val="0"/>
              </w:rPr>
              <w:t>5、 支持ITU-T G.711、G.728、G.729A、G.722、G.722.1、G.722.1 Annex C、G.719、Siren14、Siren22音频编解码标准；</w:t>
            </w:r>
            <w:r>
              <w:rPr>
                <w:rFonts w:ascii="宋体" w:hAnsi="宋体" w:cs="宋体"/>
                <w:color w:val="000000"/>
                <w:kern w:val="0"/>
              </w:rPr>
              <w:br w:type="textWrapping"/>
            </w:r>
            <w:r>
              <w:rPr>
                <w:rFonts w:hint="eastAsia" w:ascii="宋体" w:hAnsi="宋体" w:cs="宋体"/>
                <w:color w:val="000000"/>
                <w:kern w:val="0"/>
              </w:rPr>
              <w:t xml:space="preserve">6、★为达到最佳声音还原效果，可实现22KHz的宽带音频立体声效果；拾音半径可达6米；麦克风可级联，扩大拾音范围；具备自适应全双工回声抑制、自动增益控制、自动噪音抑制功能；具备噪声屏蔽功能，当会场内没有与会者发言，而空调、灯具等设备的噪声影响会议效果时，终端可以自动屏蔽噪声，避免对会议造成影响；当麦克风静音时，如有人发言，可在屏幕上提示发言人麦克风已静音 </w:t>
            </w:r>
          </w:p>
          <w:p>
            <w:pPr>
              <w:widowControl/>
              <w:jc w:val="left"/>
              <w:rPr>
                <w:rFonts w:ascii="宋体" w:hAnsi="宋体" w:cs="宋体"/>
                <w:color w:val="000000"/>
                <w:kern w:val="0"/>
              </w:rPr>
            </w:pPr>
            <w:r>
              <w:rPr>
                <w:rFonts w:hint="eastAsia" w:ascii="宋体" w:hAnsi="宋体" w:cs="宋体"/>
                <w:color w:val="000000"/>
                <w:kern w:val="0"/>
              </w:rPr>
              <w:t>7、支持ITU-T H.239和IETF BFCP标准；支持双流内容共享图像可达1080p60视频效果；</w:t>
            </w:r>
            <w:r>
              <w:rPr>
                <w:rFonts w:ascii="宋体" w:hAnsi="宋体" w:cs="宋体"/>
                <w:color w:val="000000"/>
                <w:kern w:val="0"/>
              </w:rPr>
              <w:br w:type="textWrapping"/>
            </w:r>
            <w:r>
              <w:rPr>
                <w:rFonts w:hint="eastAsia" w:ascii="宋体" w:hAnsi="宋体" w:cs="宋体"/>
                <w:color w:val="000000"/>
                <w:kern w:val="0"/>
              </w:rPr>
              <w:t>8、★支持通过鼠标、手写笔、触摸屏方式对双流内容进行标注，在点对点或多点会议中支持双流内容交互式标注，并支持对标注后的内容进行保存</w:t>
            </w:r>
          </w:p>
          <w:p>
            <w:pPr>
              <w:widowControl/>
              <w:jc w:val="left"/>
              <w:rPr>
                <w:rFonts w:ascii="宋体" w:hAnsi="宋体" w:cs="宋体"/>
                <w:color w:val="000000"/>
                <w:kern w:val="0"/>
              </w:rPr>
            </w:pPr>
            <w:r>
              <w:rPr>
                <w:rFonts w:hint="eastAsia" w:ascii="宋体" w:hAnsi="宋体" w:cs="宋体"/>
                <w:color w:val="000000"/>
                <w:kern w:val="0"/>
              </w:rPr>
              <w:t>9、支持IP Precedence、Diffserv，和防火墙配合使用时，可以指定TCP/UDP的通信端口。</w:t>
            </w:r>
          </w:p>
          <w:p>
            <w:pPr>
              <w:widowControl/>
              <w:jc w:val="left"/>
              <w:rPr>
                <w:rFonts w:ascii="宋体" w:hAnsi="宋体" w:cs="宋体"/>
                <w:color w:val="000000"/>
                <w:kern w:val="0"/>
              </w:rPr>
            </w:pPr>
            <w:r>
              <w:rPr>
                <w:rFonts w:hint="eastAsia" w:ascii="宋体" w:hAnsi="宋体" w:cs="宋体"/>
                <w:color w:val="000000"/>
                <w:kern w:val="0"/>
              </w:rPr>
              <w:t>10、支持通过IP网络进行远程软件升级，可通过USB接口实现本地升级，以便本地对设备的管理和恢复；</w:t>
            </w:r>
            <w:r>
              <w:rPr>
                <w:rFonts w:ascii="宋体" w:hAnsi="宋体" w:cs="宋体"/>
                <w:color w:val="000000"/>
                <w:kern w:val="0"/>
              </w:rPr>
              <w:br w:type="textWrapping"/>
            </w:r>
            <w:r>
              <w:rPr>
                <w:rFonts w:hint="eastAsia" w:ascii="宋体" w:hAnsi="宋体" w:cs="宋体"/>
                <w:color w:val="000000"/>
                <w:kern w:val="0"/>
              </w:rPr>
              <w:t>11、★支持通过红外遥控器、Pad App、PC软件对终端常用操作（拨号、挂断、静音、音量调整）进行控制；</w:t>
            </w:r>
          </w:p>
          <w:p>
            <w:pPr>
              <w:widowControl/>
              <w:jc w:val="left"/>
              <w:rPr>
                <w:rFonts w:ascii="宋体" w:hAnsi="宋体" w:cs="宋体"/>
                <w:color w:val="000000"/>
                <w:kern w:val="0"/>
              </w:rPr>
            </w:pPr>
            <w:r>
              <w:rPr>
                <w:rFonts w:hint="eastAsia" w:ascii="宋体" w:hAnsi="宋体" w:cs="宋体"/>
                <w:color w:val="000000"/>
                <w:kern w:val="0"/>
              </w:rPr>
              <w:t>12、★强大的抗丢包能力，IP网络丢包在20%以内，对会议视频没有影响，70%以内，仍可开音频会议。</w:t>
            </w:r>
          </w:p>
          <w:p>
            <w:pPr>
              <w:widowControl/>
              <w:jc w:val="left"/>
              <w:rPr>
                <w:rFonts w:ascii="宋体" w:hAnsi="宋体" w:cs="宋体"/>
                <w:color w:val="000000"/>
                <w:kern w:val="0"/>
              </w:rPr>
            </w:pPr>
            <w:r>
              <w:rPr>
                <w:rFonts w:hint="eastAsia" w:ascii="宋体" w:hAnsi="宋体" w:cs="宋体"/>
                <w:color w:val="000000"/>
                <w:kern w:val="0"/>
              </w:rPr>
              <w:t>13、提供入网许可证、3C认证、第三方权威机构检测报告</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1.3</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音响扩声系统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4478"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全频有源主扬声器</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额定功率：250W</w:t>
            </w:r>
            <w:r>
              <w:rPr>
                <w:rFonts w:hint="eastAsia" w:ascii="宋体" w:hAnsi="宋体" w:cs="宋体"/>
                <w:color w:val="000000"/>
                <w:kern w:val="0"/>
              </w:rPr>
              <w:br w:type="textWrapping"/>
            </w:r>
            <w:r>
              <w:rPr>
                <w:rFonts w:hint="eastAsia" w:ascii="宋体" w:hAnsi="宋体" w:cs="宋体"/>
                <w:color w:val="000000"/>
                <w:kern w:val="0"/>
              </w:rPr>
              <w:t>阻抗：8Ohms</w:t>
            </w:r>
            <w:r>
              <w:rPr>
                <w:rFonts w:hint="eastAsia" w:ascii="宋体" w:hAnsi="宋体" w:cs="宋体"/>
                <w:color w:val="000000"/>
                <w:kern w:val="0"/>
              </w:rPr>
              <w:br w:type="textWrapping"/>
            </w:r>
            <w:r>
              <w:rPr>
                <w:rFonts w:hint="eastAsia" w:ascii="宋体" w:hAnsi="宋体" w:cs="宋体"/>
                <w:color w:val="000000"/>
                <w:kern w:val="0"/>
              </w:rPr>
              <w:t>系统类型：1X10” 高效率两分频</w:t>
            </w:r>
            <w:r>
              <w:rPr>
                <w:rFonts w:hint="eastAsia" w:ascii="宋体" w:hAnsi="宋体" w:cs="宋体"/>
                <w:color w:val="000000"/>
                <w:kern w:val="0"/>
              </w:rPr>
              <w:br w:type="textWrapping"/>
            </w:r>
            <w:r>
              <w:rPr>
                <w:rFonts w:hint="eastAsia" w:ascii="宋体" w:hAnsi="宋体" w:cs="宋体"/>
                <w:color w:val="000000"/>
                <w:kern w:val="0"/>
              </w:rPr>
              <w:t>频率范围：40Hz-20KHz（-10dB）</w:t>
            </w:r>
            <w:r>
              <w:rPr>
                <w:rFonts w:hint="eastAsia" w:ascii="宋体" w:hAnsi="宋体" w:cs="宋体"/>
                <w:color w:val="000000"/>
                <w:kern w:val="0"/>
              </w:rPr>
              <w:br w:type="textWrapping"/>
            </w:r>
            <w:r>
              <w:rPr>
                <w:rFonts w:hint="eastAsia" w:ascii="宋体" w:hAnsi="宋体" w:cs="宋体"/>
                <w:color w:val="000000"/>
                <w:kern w:val="0"/>
              </w:rPr>
              <w:t>频率响应：45Hz-20KHz（±3dB）</w:t>
            </w:r>
            <w:r>
              <w:rPr>
                <w:rFonts w:hint="eastAsia" w:ascii="宋体" w:hAnsi="宋体" w:cs="宋体"/>
                <w:color w:val="000000"/>
                <w:kern w:val="0"/>
              </w:rPr>
              <w:br w:type="textWrapping"/>
            </w:r>
            <w:r>
              <w:rPr>
                <w:rFonts w:hint="eastAsia" w:ascii="宋体" w:hAnsi="宋体" w:cs="宋体"/>
                <w:color w:val="000000"/>
                <w:kern w:val="0"/>
              </w:rPr>
              <w:t>灵敏度：96dB</w:t>
            </w:r>
            <w:r>
              <w:rPr>
                <w:rFonts w:hint="eastAsia" w:ascii="宋体" w:hAnsi="宋体" w:cs="宋体"/>
                <w:color w:val="000000"/>
                <w:kern w:val="0"/>
              </w:rPr>
              <w:br w:type="textWrapping"/>
            </w:r>
            <w:r>
              <w:rPr>
                <w:rFonts w:hint="eastAsia" w:ascii="宋体" w:hAnsi="宋体" w:cs="宋体"/>
                <w:color w:val="000000"/>
                <w:kern w:val="0"/>
              </w:rPr>
              <w:t>覆盖角度：H90°xV60°</w:t>
            </w:r>
            <w:r>
              <w:rPr>
                <w:rFonts w:hint="eastAsia" w:ascii="宋体" w:hAnsi="宋体" w:cs="宋体"/>
                <w:color w:val="000000"/>
                <w:kern w:val="0"/>
              </w:rPr>
              <w:br w:type="textWrapping"/>
            </w:r>
            <w:r>
              <w:rPr>
                <w:rFonts w:hint="eastAsia" w:ascii="宋体" w:hAnsi="宋体" w:cs="宋体"/>
                <w:color w:val="000000"/>
                <w:kern w:val="0"/>
              </w:rPr>
              <w:t>最大声压级：122dB</w:t>
            </w:r>
            <w:r>
              <w:rPr>
                <w:rFonts w:hint="eastAsia" w:ascii="宋体" w:hAnsi="宋体" w:cs="宋体"/>
                <w:color w:val="000000"/>
                <w:kern w:val="0"/>
              </w:rPr>
              <w:br w:type="textWrapping"/>
            </w:r>
            <w:r>
              <w:rPr>
                <w:rFonts w:hint="eastAsia" w:ascii="宋体" w:hAnsi="宋体" w:cs="宋体"/>
                <w:color w:val="000000"/>
                <w:kern w:val="0"/>
              </w:rPr>
              <w:t>表面处理：黑、白点漆</w:t>
            </w:r>
            <w:r>
              <w:rPr>
                <w:rFonts w:hint="eastAsia" w:ascii="宋体" w:hAnsi="宋体" w:cs="宋体"/>
                <w:color w:val="000000"/>
                <w:kern w:val="0"/>
              </w:rPr>
              <w:br w:type="textWrapping"/>
            </w:r>
            <w:r>
              <w:rPr>
                <w:rFonts w:hint="eastAsia" w:ascii="宋体" w:hAnsi="宋体" w:cs="宋体"/>
                <w:color w:val="000000"/>
                <w:kern w:val="0"/>
              </w:rPr>
              <w:t>产品尺寸：315x330x515MM</w:t>
            </w:r>
            <w:r>
              <w:rPr>
                <w:rFonts w:hint="eastAsia" w:ascii="宋体" w:hAnsi="宋体" w:cs="宋体"/>
                <w:color w:val="000000"/>
                <w:kern w:val="0"/>
              </w:rPr>
              <w:br w:type="textWrapping"/>
            </w:r>
            <w:r>
              <w:rPr>
                <w:rFonts w:hint="eastAsia" w:ascii="宋体" w:hAnsi="宋体" w:cs="宋体"/>
                <w:color w:val="000000"/>
                <w:kern w:val="0"/>
              </w:rPr>
              <w:t>产品净重N.W：15KG/只</w:t>
            </w:r>
            <w:r>
              <w:rPr>
                <w:rFonts w:hint="eastAsia" w:ascii="宋体" w:hAnsi="宋体" w:cs="宋体"/>
                <w:color w:val="000000"/>
                <w:kern w:val="0"/>
              </w:rPr>
              <w:br w:type="textWrapping"/>
            </w:r>
            <w:r>
              <w:rPr>
                <w:rFonts w:hint="eastAsia" w:ascii="宋体" w:hAnsi="宋体" w:cs="宋体"/>
                <w:color w:val="000000"/>
                <w:kern w:val="0"/>
              </w:rPr>
              <w:t>成品重量G.W：32.5KG/对</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组</w:t>
            </w:r>
          </w:p>
        </w:tc>
      </w:tr>
      <w:tr>
        <w:tblPrEx>
          <w:tblCellMar>
            <w:top w:w="0" w:type="dxa"/>
            <w:left w:w="108" w:type="dxa"/>
            <w:bottom w:w="0" w:type="dxa"/>
            <w:right w:w="108" w:type="dxa"/>
          </w:tblCellMar>
        </w:tblPrEx>
        <w:trPr>
          <w:trHeight w:val="61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数字网络监控功放</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输出功率 （8欧）：500Wx24欧：800Wx2桥接8欧：1500W</w:t>
            </w:r>
            <w:r>
              <w:rPr>
                <w:rFonts w:hint="eastAsia" w:ascii="宋体" w:hAnsi="宋体" w:cs="宋体"/>
                <w:color w:val="000000"/>
                <w:kern w:val="0"/>
              </w:rPr>
              <w:br w:type="textWrapping"/>
            </w:r>
            <w:r>
              <w:rPr>
                <w:rFonts w:hint="eastAsia" w:ascii="宋体" w:hAnsi="宋体" w:cs="宋体"/>
                <w:color w:val="000000"/>
                <w:kern w:val="0"/>
              </w:rPr>
              <w:t>频信噪比 &gt;103dB</w:t>
            </w:r>
            <w:r>
              <w:rPr>
                <w:rFonts w:hint="eastAsia" w:ascii="宋体" w:hAnsi="宋体" w:cs="宋体"/>
                <w:color w:val="000000"/>
                <w:kern w:val="0"/>
              </w:rPr>
              <w:br w:type="textWrapping"/>
            </w:r>
            <w:r>
              <w:rPr>
                <w:rFonts w:hint="eastAsia" w:ascii="宋体" w:hAnsi="宋体" w:cs="宋体"/>
                <w:color w:val="000000"/>
                <w:kern w:val="0"/>
              </w:rPr>
              <w:t>输入灵敏度 0.775V</w:t>
            </w:r>
            <w:r>
              <w:rPr>
                <w:rFonts w:hint="eastAsia" w:ascii="宋体" w:hAnsi="宋体" w:cs="宋体"/>
                <w:color w:val="000000"/>
                <w:kern w:val="0"/>
              </w:rPr>
              <w:br w:type="textWrapping"/>
            </w:r>
            <w:r>
              <w:rPr>
                <w:rFonts w:hint="eastAsia" w:ascii="宋体" w:hAnsi="宋体" w:cs="宋体"/>
                <w:color w:val="000000"/>
                <w:kern w:val="0"/>
              </w:rPr>
              <w:t>电压增益 30dB</w:t>
            </w:r>
            <w:r>
              <w:rPr>
                <w:rFonts w:hint="eastAsia" w:ascii="宋体" w:hAnsi="宋体" w:cs="宋体"/>
                <w:color w:val="000000"/>
                <w:kern w:val="0"/>
              </w:rPr>
              <w:br w:type="textWrapping"/>
            </w:r>
            <w:r>
              <w:rPr>
                <w:rFonts w:hint="eastAsia" w:ascii="宋体" w:hAnsi="宋体" w:cs="宋体"/>
                <w:color w:val="000000"/>
                <w:kern w:val="0"/>
              </w:rPr>
              <w:t>失真(低于额定功率1dB,20-20KHZ) 8Ω低于0.03% 4Ω低 于0.1%</w:t>
            </w:r>
            <w:r>
              <w:rPr>
                <w:rFonts w:hint="eastAsia" w:ascii="宋体" w:hAnsi="宋体" w:cs="宋体"/>
                <w:color w:val="000000"/>
                <w:kern w:val="0"/>
              </w:rPr>
              <w:br w:type="textWrapping"/>
            </w:r>
            <w:r>
              <w:rPr>
                <w:rFonts w:hint="eastAsia" w:ascii="宋体" w:hAnsi="宋体" w:cs="宋体"/>
                <w:color w:val="000000"/>
                <w:kern w:val="0"/>
              </w:rPr>
              <w:t>频率响应 20Hz-20khz+/-1dB</w:t>
            </w:r>
            <w:r>
              <w:rPr>
                <w:rFonts w:hint="eastAsia" w:ascii="宋体" w:hAnsi="宋体" w:cs="宋体"/>
                <w:color w:val="000000"/>
                <w:kern w:val="0"/>
              </w:rPr>
              <w:br w:type="textWrapping"/>
            </w:r>
            <w:r>
              <w:rPr>
                <w:rFonts w:hint="eastAsia" w:ascii="宋体" w:hAnsi="宋体" w:cs="宋体"/>
                <w:color w:val="000000"/>
                <w:kern w:val="0"/>
              </w:rPr>
              <w:t>阻尼系数 &gt;500</w:t>
            </w:r>
            <w:r>
              <w:rPr>
                <w:rFonts w:hint="eastAsia" w:ascii="宋体" w:hAnsi="宋体" w:cs="宋体"/>
                <w:color w:val="000000"/>
                <w:kern w:val="0"/>
              </w:rPr>
              <w:br w:type="textWrapping"/>
            </w:r>
            <w:r>
              <w:rPr>
                <w:rFonts w:hint="eastAsia" w:ascii="宋体" w:hAnsi="宋体" w:cs="宋体"/>
                <w:color w:val="000000"/>
                <w:kern w:val="0"/>
              </w:rPr>
              <w:t>输入阻抗 非平衡&gt;7KΩ;平衡&gt;14KΩ</w:t>
            </w:r>
            <w:r>
              <w:rPr>
                <w:rFonts w:hint="eastAsia" w:ascii="宋体" w:hAnsi="宋体" w:cs="宋体"/>
                <w:color w:val="000000"/>
                <w:kern w:val="0"/>
              </w:rPr>
              <w:br w:type="textWrapping"/>
            </w:r>
            <w:r>
              <w:rPr>
                <w:rFonts w:hint="eastAsia" w:ascii="宋体" w:hAnsi="宋体" w:cs="宋体"/>
                <w:color w:val="000000"/>
                <w:kern w:val="0"/>
              </w:rPr>
              <w:t>输入方式 平衡输入</w:t>
            </w:r>
            <w:r>
              <w:rPr>
                <w:rFonts w:hint="eastAsia" w:ascii="宋体" w:hAnsi="宋体" w:cs="宋体"/>
                <w:color w:val="000000"/>
                <w:kern w:val="0"/>
              </w:rPr>
              <w:br w:type="textWrapping"/>
            </w:r>
            <w:r>
              <w:rPr>
                <w:rFonts w:hint="eastAsia" w:ascii="宋体" w:hAnsi="宋体" w:cs="宋体"/>
                <w:color w:val="000000"/>
                <w:kern w:val="0"/>
              </w:rPr>
              <w:t>输出方式 卡侬/连接线柱并行</w:t>
            </w:r>
            <w:r>
              <w:rPr>
                <w:rFonts w:hint="eastAsia" w:ascii="宋体" w:hAnsi="宋体" w:cs="宋体"/>
                <w:color w:val="000000"/>
                <w:kern w:val="0"/>
              </w:rPr>
              <w:br w:type="textWrapping"/>
            </w:r>
            <w:r>
              <w:rPr>
                <w:rFonts w:hint="eastAsia" w:ascii="宋体" w:hAnsi="宋体" w:cs="宋体"/>
                <w:color w:val="000000"/>
                <w:kern w:val="0"/>
              </w:rPr>
              <w:t>电压要求 220V 50/60HZ+/-10%</w:t>
            </w:r>
            <w:r>
              <w:rPr>
                <w:rFonts w:hint="eastAsia" w:ascii="宋体" w:hAnsi="宋体" w:cs="宋体"/>
                <w:color w:val="000000"/>
                <w:kern w:val="0"/>
              </w:rPr>
              <w:br w:type="textWrapping"/>
            </w:r>
            <w:r>
              <w:rPr>
                <w:rFonts w:hint="eastAsia" w:ascii="宋体" w:hAnsi="宋体" w:cs="宋体"/>
                <w:color w:val="000000"/>
                <w:kern w:val="0"/>
              </w:rPr>
              <w:t>指示灯：电源，保护，消波，信号</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7"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数字调音台</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平衡式话筒输入，并且每个输入通道配备有+48V优质幻像电源</w:t>
            </w:r>
            <w:r>
              <w:rPr>
                <w:rFonts w:hint="eastAsia" w:ascii="宋体" w:hAnsi="宋体" w:cs="宋体"/>
                <w:color w:val="000000"/>
                <w:kern w:val="0"/>
              </w:rPr>
              <w:br w:type="textWrapping"/>
            </w:r>
            <w:r>
              <w:rPr>
                <w:rFonts w:hint="eastAsia" w:ascii="宋体" w:hAnsi="宋体" w:cs="宋体"/>
                <w:color w:val="000000"/>
                <w:kern w:val="0"/>
              </w:rPr>
              <w:t>优质低噪音的话筒输入</w:t>
            </w:r>
            <w:r>
              <w:rPr>
                <w:rFonts w:hint="eastAsia" w:ascii="宋体" w:hAnsi="宋体" w:cs="宋体"/>
                <w:color w:val="000000"/>
                <w:kern w:val="0"/>
              </w:rPr>
              <w:br w:type="textWrapping"/>
            </w:r>
            <w:r>
              <w:rPr>
                <w:rFonts w:hint="eastAsia" w:ascii="宋体" w:hAnsi="宋体" w:cs="宋体"/>
                <w:color w:val="000000"/>
                <w:kern w:val="0"/>
              </w:rPr>
              <w:t>低噪音前置放大器，具有强大的抗干扰能力</w:t>
            </w:r>
            <w:r>
              <w:rPr>
                <w:rFonts w:hint="eastAsia" w:ascii="宋体" w:hAnsi="宋体" w:cs="宋体"/>
                <w:color w:val="000000"/>
                <w:kern w:val="0"/>
              </w:rPr>
              <w:br w:type="textWrapping"/>
            </w:r>
            <w:r>
              <w:rPr>
                <w:rFonts w:hint="eastAsia" w:ascii="宋体" w:hAnsi="宋体" w:cs="宋体"/>
                <w:color w:val="000000"/>
                <w:kern w:val="0"/>
              </w:rPr>
              <w:t>配备高档调音台才具有的信号插入点（外接信号处理器）</w:t>
            </w:r>
            <w:r>
              <w:rPr>
                <w:rFonts w:hint="eastAsia" w:ascii="宋体" w:hAnsi="宋体" w:cs="宋体"/>
                <w:color w:val="000000"/>
                <w:kern w:val="0"/>
              </w:rPr>
              <w:br w:type="textWrapping"/>
            </w:r>
            <w:r>
              <w:rPr>
                <w:rFonts w:hint="eastAsia" w:ascii="宋体" w:hAnsi="宋体" w:cs="宋体"/>
                <w:color w:val="000000"/>
                <w:kern w:val="0"/>
              </w:rPr>
              <w:t>中频扫频的三段均衡，英国风格</w:t>
            </w:r>
            <w:r>
              <w:rPr>
                <w:rFonts w:hint="eastAsia" w:ascii="宋体" w:hAnsi="宋体" w:cs="宋体"/>
                <w:color w:val="000000"/>
                <w:kern w:val="0"/>
              </w:rPr>
              <w:br w:type="textWrapping"/>
            </w:r>
            <w:r>
              <w:rPr>
                <w:rFonts w:hint="eastAsia" w:ascii="宋体" w:hAnsi="宋体" w:cs="宋体"/>
                <w:color w:val="000000"/>
                <w:kern w:val="0"/>
              </w:rPr>
              <w:t>2/3/4组AUX辅助输出可选为推子前（返送）推子后（外接处理器）</w:t>
            </w:r>
            <w:r>
              <w:rPr>
                <w:rFonts w:hint="eastAsia" w:ascii="宋体" w:hAnsi="宋体" w:cs="宋体"/>
                <w:color w:val="000000"/>
                <w:kern w:val="0"/>
              </w:rPr>
              <w:br w:type="textWrapping"/>
            </w:r>
            <w:r>
              <w:rPr>
                <w:rFonts w:hint="eastAsia" w:ascii="宋体" w:hAnsi="宋体" w:cs="宋体"/>
                <w:color w:val="000000"/>
                <w:kern w:val="0"/>
              </w:rPr>
              <w:t>高精密度三色精确电平柱准确显示输出电平</w:t>
            </w:r>
            <w:r>
              <w:rPr>
                <w:rFonts w:hint="eastAsia" w:ascii="宋体" w:hAnsi="宋体" w:cs="宋体"/>
                <w:color w:val="000000"/>
                <w:kern w:val="0"/>
              </w:rPr>
              <w:br w:type="textWrapping"/>
            </w:r>
            <w:r>
              <w:rPr>
                <w:rFonts w:hint="eastAsia" w:ascii="宋体" w:hAnsi="宋体" w:cs="宋体"/>
                <w:color w:val="000000"/>
                <w:kern w:val="0"/>
              </w:rPr>
              <w:t>100MM行程高分析度推子</w:t>
            </w:r>
            <w:r>
              <w:rPr>
                <w:rFonts w:hint="eastAsia" w:ascii="宋体" w:hAnsi="宋体" w:cs="宋体"/>
                <w:color w:val="000000"/>
                <w:kern w:val="0"/>
              </w:rPr>
              <w:br w:type="textWrapping"/>
            </w:r>
            <w:r>
              <w:rPr>
                <w:rFonts w:hint="eastAsia" w:ascii="宋体" w:hAnsi="宋体" w:cs="宋体"/>
                <w:color w:val="000000"/>
                <w:kern w:val="0"/>
              </w:rPr>
              <w:t>采用16种数字显示延时数码效果器，使声音特别动听</w:t>
            </w:r>
            <w:r>
              <w:rPr>
                <w:rFonts w:hint="eastAsia" w:ascii="宋体" w:hAnsi="宋体" w:cs="宋体"/>
                <w:color w:val="000000"/>
                <w:kern w:val="0"/>
              </w:rPr>
              <w:br w:type="textWrapping"/>
            </w:r>
            <w:r>
              <w:rPr>
                <w:rFonts w:hint="eastAsia" w:ascii="宋体" w:hAnsi="宋体" w:cs="宋体"/>
                <w:color w:val="000000"/>
                <w:kern w:val="0"/>
              </w:rPr>
              <w:t>外置电源使用灵活方便</w:t>
            </w:r>
            <w:r>
              <w:rPr>
                <w:rFonts w:hint="eastAsia" w:ascii="宋体" w:hAnsi="宋体" w:cs="宋体"/>
                <w:color w:val="000000"/>
                <w:kern w:val="0"/>
              </w:rPr>
              <w:br w:type="textWrapping"/>
            </w:r>
            <w:r>
              <w:rPr>
                <w:rFonts w:hint="eastAsia" w:ascii="宋体" w:hAnsi="宋体" w:cs="宋体"/>
                <w:color w:val="000000"/>
                <w:kern w:val="0"/>
              </w:rPr>
              <w:t>12路单声、4编组、频率响应：20Hz-20KHz±1db、4辅助输出、主输出电压：4VMax</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79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数字音频矩阵</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功能特点：会议系统中防啸叫的完美解决方案；</w:t>
            </w:r>
            <w:r>
              <w:rPr>
                <w:rFonts w:hint="eastAsia" w:ascii="宋体" w:hAnsi="宋体" w:cs="宋体"/>
                <w:color w:val="000000"/>
                <w:kern w:val="0"/>
              </w:rPr>
              <w:br w:type="textWrapping"/>
            </w:r>
            <w:r>
              <w:rPr>
                <w:rFonts w:hint="eastAsia" w:ascii="宋体" w:hAnsi="宋体" w:cs="宋体"/>
                <w:color w:val="000000"/>
                <w:kern w:val="0"/>
              </w:rPr>
              <w:t>2吋TFT彩屏，中英文可选；</w:t>
            </w:r>
            <w:r>
              <w:rPr>
                <w:rFonts w:hint="eastAsia" w:ascii="宋体" w:hAnsi="宋体" w:cs="宋体"/>
                <w:color w:val="000000"/>
                <w:kern w:val="0"/>
              </w:rPr>
              <w:br w:type="textWrapping"/>
            </w:r>
            <w:r>
              <w:rPr>
                <w:rFonts w:hint="eastAsia" w:ascii="宋体" w:hAnsi="宋体" w:cs="宋体"/>
                <w:color w:val="000000"/>
                <w:kern w:val="0"/>
              </w:rPr>
              <w:t>反馈加移频设计方案，移频4档可选；</w:t>
            </w:r>
            <w:r>
              <w:rPr>
                <w:rFonts w:hint="eastAsia" w:ascii="宋体" w:hAnsi="宋体" w:cs="宋体"/>
                <w:color w:val="000000"/>
                <w:kern w:val="0"/>
              </w:rPr>
              <w:br w:type="textWrapping"/>
            </w:r>
            <w:r>
              <w:rPr>
                <w:rFonts w:hint="eastAsia" w:ascii="宋体" w:hAnsi="宋体" w:cs="宋体"/>
                <w:color w:val="000000"/>
                <w:kern w:val="0"/>
              </w:rPr>
              <w:t>每通道设12个陷波器,工作频率20-20KHZ，自动扫描啸叫点并抑制；</w:t>
            </w:r>
            <w:r>
              <w:rPr>
                <w:rFonts w:hint="eastAsia" w:ascii="宋体" w:hAnsi="宋体" w:cs="宋体"/>
                <w:color w:val="000000"/>
                <w:kern w:val="0"/>
              </w:rPr>
              <w:br w:type="textWrapping"/>
            </w:r>
            <w:r>
              <w:rPr>
                <w:rFonts w:hint="eastAsia" w:ascii="宋体" w:hAnsi="宋体" w:cs="宋体"/>
                <w:color w:val="000000"/>
                <w:kern w:val="0"/>
              </w:rPr>
              <w:t>独特的噪声门功能可抑制系统微弱噪声干扰；</w:t>
            </w:r>
            <w:r>
              <w:rPr>
                <w:rFonts w:hint="eastAsia" w:ascii="宋体" w:hAnsi="宋体" w:cs="宋体"/>
                <w:color w:val="000000"/>
                <w:kern w:val="0"/>
              </w:rPr>
              <w:br w:type="textWrapping"/>
            </w:r>
            <w:r>
              <w:rPr>
                <w:rFonts w:hint="eastAsia" w:ascii="宋体" w:hAnsi="宋体" w:cs="宋体"/>
                <w:color w:val="000000"/>
                <w:kern w:val="0"/>
              </w:rPr>
              <w:t>输入压缩功能，消除反馈同时更可扩展人声动态；</w:t>
            </w:r>
            <w:r>
              <w:rPr>
                <w:rFonts w:hint="eastAsia" w:ascii="宋体" w:hAnsi="宋体" w:cs="宋体"/>
                <w:color w:val="000000"/>
                <w:kern w:val="0"/>
              </w:rPr>
              <w:br w:type="textWrapping"/>
            </w:r>
            <w:r>
              <w:rPr>
                <w:rFonts w:hint="eastAsia" w:ascii="宋体" w:hAnsi="宋体" w:cs="宋体"/>
                <w:color w:val="000000"/>
                <w:kern w:val="0"/>
              </w:rPr>
              <w:t>响应时间快中慢3速可定，更具人性化；</w:t>
            </w:r>
            <w:r>
              <w:rPr>
                <w:rFonts w:hint="eastAsia" w:ascii="宋体" w:hAnsi="宋体" w:cs="宋体"/>
                <w:color w:val="000000"/>
                <w:kern w:val="0"/>
              </w:rPr>
              <w:br w:type="textWrapping"/>
            </w:r>
            <w:r>
              <w:rPr>
                <w:rFonts w:hint="eastAsia" w:ascii="宋体" w:hAnsi="宋体" w:cs="宋体"/>
                <w:color w:val="000000"/>
                <w:kern w:val="0"/>
              </w:rPr>
              <w:t>配有专业的PC调试软件，USB免驱动即插即用，方便快捷。</w:t>
            </w:r>
            <w:r>
              <w:rPr>
                <w:rFonts w:hint="eastAsia" w:ascii="宋体" w:hAnsi="宋体" w:cs="宋体"/>
                <w:color w:val="000000"/>
                <w:kern w:val="0"/>
              </w:rPr>
              <w:br w:type="textWrapping"/>
            </w:r>
            <w:r>
              <w:rPr>
                <w:rFonts w:hint="eastAsia" w:ascii="宋体" w:hAnsi="宋体" w:cs="宋体"/>
                <w:color w:val="000000"/>
                <w:kern w:val="0"/>
              </w:rPr>
              <w:t>模拟输入：2CH-XLR和1/4“TRS(母)输入，电子平衡/不平衡</w:t>
            </w:r>
            <w:r>
              <w:rPr>
                <w:rFonts w:hint="eastAsia" w:ascii="宋体" w:hAnsi="宋体" w:cs="宋体"/>
                <w:color w:val="000000"/>
                <w:kern w:val="0"/>
              </w:rPr>
              <w:br w:type="textWrapping"/>
            </w:r>
            <w:r>
              <w:rPr>
                <w:rFonts w:hint="eastAsia" w:ascii="宋体" w:hAnsi="宋体" w:cs="宋体"/>
                <w:color w:val="000000"/>
                <w:kern w:val="0"/>
              </w:rPr>
              <w:t>输入阻抗：平衡47Ω，不平衡20KΩ</w:t>
            </w:r>
            <w:r>
              <w:rPr>
                <w:rFonts w:hint="eastAsia" w:ascii="宋体" w:hAnsi="宋体" w:cs="宋体"/>
                <w:color w:val="000000"/>
                <w:kern w:val="0"/>
              </w:rPr>
              <w:br w:type="textWrapping"/>
            </w:r>
            <w:r>
              <w:rPr>
                <w:rFonts w:hint="eastAsia" w:ascii="宋体" w:hAnsi="宋体" w:cs="宋体"/>
                <w:color w:val="000000"/>
                <w:kern w:val="0"/>
              </w:rPr>
              <w:t>最大线路电平输入：+18dBµ</w:t>
            </w:r>
            <w:r>
              <w:rPr>
                <w:rFonts w:hint="eastAsia" w:ascii="宋体" w:hAnsi="宋体" w:cs="宋体"/>
                <w:color w:val="000000"/>
                <w:kern w:val="0"/>
              </w:rPr>
              <w:br w:type="textWrapping"/>
            </w:r>
            <w:r>
              <w:rPr>
                <w:rFonts w:hint="eastAsia" w:ascii="宋体" w:hAnsi="宋体" w:cs="宋体"/>
                <w:color w:val="000000"/>
                <w:kern w:val="0"/>
              </w:rPr>
              <w:t>模拟输出：2CH-XLR和1/4“TRS(母)输出，电子平衡/不平衡</w:t>
            </w:r>
            <w:r>
              <w:rPr>
                <w:rFonts w:hint="eastAsia" w:ascii="宋体" w:hAnsi="宋体" w:cs="宋体"/>
                <w:color w:val="000000"/>
                <w:kern w:val="0"/>
              </w:rPr>
              <w:br w:type="textWrapping"/>
            </w:r>
            <w:r>
              <w:rPr>
                <w:rFonts w:hint="eastAsia" w:ascii="宋体" w:hAnsi="宋体" w:cs="宋体"/>
                <w:color w:val="000000"/>
                <w:kern w:val="0"/>
              </w:rPr>
              <w:t>输出阻抗：平衡&gt;120Ω，不平衡&gt;60Ω</w:t>
            </w:r>
            <w:r>
              <w:rPr>
                <w:rFonts w:hint="eastAsia" w:ascii="宋体" w:hAnsi="宋体" w:cs="宋体"/>
                <w:color w:val="000000"/>
                <w:kern w:val="0"/>
              </w:rPr>
              <w:br w:type="textWrapping"/>
            </w:r>
            <w:r>
              <w:rPr>
                <w:rFonts w:hint="eastAsia" w:ascii="宋体" w:hAnsi="宋体" w:cs="宋体"/>
                <w:color w:val="000000"/>
                <w:kern w:val="0"/>
              </w:rPr>
              <w:t>最大输出电平：+20dBµ</w:t>
            </w:r>
            <w:r>
              <w:rPr>
                <w:rFonts w:hint="eastAsia" w:ascii="宋体" w:hAnsi="宋体" w:cs="宋体"/>
                <w:color w:val="000000"/>
                <w:kern w:val="0"/>
              </w:rPr>
              <w:br w:type="textWrapping"/>
            </w:r>
            <w:r>
              <w:rPr>
                <w:rFonts w:hint="eastAsia" w:ascii="宋体" w:hAnsi="宋体" w:cs="宋体"/>
                <w:color w:val="000000"/>
                <w:kern w:val="0"/>
              </w:rPr>
              <w:t>频率响应：20Hz-20KHz，±0.3dB</w:t>
            </w:r>
            <w:r>
              <w:rPr>
                <w:rFonts w:hint="eastAsia" w:ascii="宋体" w:hAnsi="宋体" w:cs="宋体"/>
                <w:color w:val="000000"/>
                <w:kern w:val="0"/>
              </w:rPr>
              <w:br w:type="textWrapping"/>
            </w:r>
            <w:r>
              <w:rPr>
                <w:rFonts w:hint="eastAsia" w:ascii="宋体" w:hAnsi="宋体" w:cs="宋体"/>
                <w:color w:val="000000"/>
                <w:kern w:val="0"/>
              </w:rPr>
              <w:t>信噪比：&gt;105dB(A)</w:t>
            </w:r>
            <w:r>
              <w:rPr>
                <w:rFonts w:hint="eastAsia" w:ascii="宋体" w:hAnsi="宋体" w:cs="宋体"/>
                <w:color w:val="000000"/>
                <w:kern w:val="0"/>
              </w:rPr>
              <w:br w:type="textWrapping"/>
            </w:r>
            <w:r>
              <w:rPr>
                <w:rFonts w:hint="eastAsia" w:ascii="宋体" w:hAnsi="宋体" w:cs="宋体"/>
                <w:color w:val="000000"/>
                <w:kern w:val="0"/>
              </w:rPr>
              <w:t>动态范围：103dB</w:t>
            </w:r>
            <w:r>
              <w:rPr>
                <w:rFonts w:hint="eastAsia" w:ascii="宋体" w:hAnsi="宋体" w:cs="宋体"/>
                <w:color w:val="000000"/>
                <w:kern w:val="0"/>
              </w:rPr>
              <w:br w:type="textWrapping"/>
            </w:r>
            <w:r>
              <w:rPr>
                <w:rFonts w:hint="eastAsia" w:ascii="宋体" w:hAnsi="宋体" w:cs="宋体"/>
                <w:color w:val="000000"/>
                <w:kern w:val="0"/>
              </w:rPr>
              <w:t>总谐波失真+噪声：0.005％,1KHz；20Hz-10KHz，&lt;0.01％；                 10KHz-20KHz，&lt;0.025％</w:t>
            </w:r>
            <w:r>
              <w:rPr>
                <w:rFonts w:hint="eastAsia" w:ascii="宋体" w:hAnsi="宋体" w:cs="宋体"/>
                <w:color w:val="000000"/>
                <w:kern w:val="0"/>
              </w:rPr>
              <w:br w:type="textWrapping"/>
            </w:r>
            <w:r>
              <w:rPr>
                <w:rFonts w:hint="eastAsia" w:ascii="宋体" w:hAnsi="宋体" w:cs="宋体"/>
                <w:color w:val="000000"/>
                <w:kern w:val="0"/>
              </w:rPr>
              <w:t>工作电压：110V/220V/AC 50Hz/60Hz</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一拖四无线会议自动混音话筒</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1.载波频率范围 UHF 波段: 700 MHz - 810 MHz；2.通道数 800 频率可选，(25 kHz 频点分隔)；3.振荡方式 PLL相位锁定频率合成</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组</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1.4</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指挥席数字会议发言系统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073"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话筒咪杆</w:t>
            </w:r>
          </w:p>
        </w:tc>
        <w:tc>
          <w:tcPr>
            <w:tcW w:w="5529" w:type="dxa"/>
            <w:tcBorders>
              <w:top w:val="nil"/>
              <w:left w:val="nil"/>
              <w:bottom w:val="nil"/>
              <w:right w:val="nil"/>
            </w:tcBorders>
            <w:shd w:val="clear" w:color="auto" w:fill="auto"/>
            <w:vAlign w:val="bottom"/>
          </w:tcPr>
          <w:p>
            <w:pPr>
              <w:widowControl/>
              <w:jc w:val="left"/>
              <w:rPr>
                <w:rFonts w:ascii="宋体" w:hAnsi="宋体" w:cs="宋体"/>
                <w:color w:val="000000"/>
                <w:kern w:val="0"/>
              </w:rPr>
            </w:pPr>
            <w:r>
              <w:rPr>
                <w:rFonts w:hint="eastAsia" w:ascii="宋体" w:hAnsi="宋体" w:cs="宋体"/>
                <w:color w:val="000000"/>
                <w:kern w:val="0"/>
              </w:rPr>
              <w:t>数字网络无线会议单元：</w:t>
            </w:r>
          </w:p>
          <w:p>
            <w:pPr>
              <w:widowControl/>
              <w:jc w:val="left"/>
              <w:rPr>
                <w:rFonts w:ascii="宋体" w:hAnsi="宋体" w:cs="宋体"/>
                <w:color w:val="000000"/>
                <w:kern w:val="0"/>
              </w:rPr>
            </w:pPr>
            <w:r>
              <w:rPr>
                <w:rFonts w:hint="eastAsia" w:ascii="宋体" w:hAnsi="宋体" w:cs="宋体"/>
                <w:color w:val="000000"/>
                <w:kern w:val="0"/>
              </w:rPr>
              <w:t>1、★128位数字加密和48位PIN码加密保护，避免窃听和恶意干扰，为避免计算机著作权侵权需提供会议系统会议单元安全验证加密软着统软件著作权证书加盖厂商公章；</w:t>
            </w:r>
          </w:p>
          <w:p>
            <w:pPr>
              <w:widowControl/>
              <w:jc w:val="left"/>
              <w:rPr>
                <w:rFonts w:ascii="宋体" w:hAnsi="宋体" w:cs="宋体"/>
                <w:color w:val="000000"/>
                <w:kern w:val="0"/>
              </w:rPr>
            </w:pPr>
            <w:r>
              <w:rPr>
                <w:rFonts w:hint="eastAsia" w:ascii="宋体" w:hAnsi="宋体" w:cs="宋体"/>
                <w:color w:val="000000"/>
                <w:kern w:val="0"/>
              </w:rPr>
              <w:t>2、采用QTRF-DERFI数字抗干扰技术，确保会场内设备不受手机、蓝牙、无线电等信号干扰；</w:t>
            </w:r>
          </w:p>
          <w:p>
            <w:pPr>
              <w:widowControl/>
              <w:jc w:val="left"/>
              <w:rPr>
                <w:rFonts w:ascii="宋体" w:hAnsi="宋体" w:cs="宋体"/>
                <w:color w:val="000000"/>
                <w:kern w:val="0"/>
              </w:rPr>
            </w:pPr>
            <w:r>
              <w:rPr>
                <w:rFonts w:hint="eastAsia" w:ascii="宋体" w:hAnsi="宋体" w:cs="宋体"/>
                <w:color w:val="000000"/>
                <w:kern w:val="0"/>
              </w:rPr>
              <w:t>3、每台终端单元可以自动具备无线收发中继功能，单元与单元之间相互组网确保数据永不丢失；</w:t>
            </w:r>
          </w:p>
          <w:p>
            <w:pPr>
              <w:widowControl/>
              <w:jc w:val="left"/>
              <w:rPr>
                <w:rFonts w:ascii="宋体" w:hAnsi="宋体" w:cs="宋体"/>
                <w:color w:val="000000"/>
                <w:kern w:val="0"/>
              </w:rPr>
            </w:pPr>
            <w:r>
              <w:rPr>
                <w:rFonts w:hint="eastAsia" w:ascii="宋体" w:hAnsi="宋体" w:cs="宋体"/>
                <w:color w:val="000000"/>
                <w:kern w:val="0"/>
              </w:rPr>
              <w:t>4、OLED显示屏，可显示单元的工作状况；</w:t>
            </w:r>
          </w:p>
          <w:p>
            <w:pPr>
              <w:widowControl/>
              <w:jc w:val="left"/>
              <w:rPr>
                <w:rFonts w:ascii="宋体" w:hAnsi="宋体" w:cs="宋体"/>
                <w:color w:val="000000"/>
                <w:kern w:val="0"/>
              </w:rPr>
            </w:pPr>
            <w:r>
              <w:rPr>
                <w:rFonts w:hint="eastAsia" w:ascii="宋体" w:hAnsi="宋体" w:cs="宋体"/>
                <w:color w:val="000000"/>
                <w:kern w:val="0"/>
              </w:rPr>
              <w:t>5、★系统软件可以针对每个发言单元发送短消息，满足智能数字会议系统要求并提供智能数字会议系统软件著作权证书加盖厂商公章；</w:t>
            </w:r>
          </w:p>
          <w:p>
            <w:pPr>
              <w:widowControl/>
              <w:jc w:val="left"/>
              <w:rPr>
                <w:rFonts w:ascii="宋体" w:hAnsi="宋体" w:cs="宋体"/>
                <w:color w:val="000000"/>
                <w:kern w:val="0"/>
              </w:rPr>
            </w:pPr>
            <w:r>
              <w:rPr>
                <w:rFonts w:hint="eastAsia" w:ascii="宋体" w:hAnsi="宋体" w:cs="宋体"/>
                <w:color w:val="000000"/>
                <w:kern w:val="0"/>
              </w:rPr>
              <w:t>6、频率范围:2.4GHz；5.2GHZ；5.8GHz ；</w:t>
            </w:r>
          </w:p>
          <w:p>
            <w:pPr>
              <w:widowControl/>
              <w:jc w:val="left"/>
              <w:rPr>
                <w:rFonts w:ascii="宋体" w:hAnsi="宋体" w:cs="宋体"/>
                <w:color w:val="000000"/>
                <w:kern w:val="0"/>
              </w:rPr>
            </w:pPr>
            <w:r>
              <w:rPr>
                <w:rFonts w:hint="eastAsia" w:ascii="宋体" w:hAnsi="宋体" w:cs="宋体"/>
                <w:color w:val="000000"/>
                <w:kern w:val="0"/>
              </w:rPr>
              <w:t>7、灵敏度:-46 dBV/Pa</w:t>
            </w:r>
          </w:p>
          <w:p>
            <w:pPr>
              <w:widowControl/>
              <w:jc w:val="left"/>
              <w:rPr>
                <w:rFonts w:ascii="宋体" w:hAnsi="宋体" w:cs="宋体"/>
                <w:color w:val="000000"/>
                <w:kern w:val="0"/>
              </w:rPr>
            </w:pPr>
            <w:r>
              <w:rPr>
                <w:rFonts w:hint="eastAsia" w:ascii="宋体" w:hAnsi="宋体" w:cs="宋体"/>
                <w:color w:val="000000"/>
                <w:kern w:val="0"/>
              </w:rPr>
              <w:t>8、信噪比:&gt;70dB；频率响应:30～20000Hz；</w:t>
            </w:r>
          </w:p>
          <w:p>
            <w:pPr>
              <w:widowControl/>
              <w:jc w:val="left"/>
              <w:rPr>
                <w:rFonts w:ascii="宋体" w:hAnsi="宋体" w:cs="宋体"/>
                <w:color w:val="000000"/>
                <w:kern w:val="0"/>
              </w:rPr>
            </w:pPr>
            <w:r>
              <w:rPr>
                <w:rFonts w:hint="eastAsia" w:ascii="宋体" w:hAnsi="宋体" w:cs="宋体"/>
                <w:color w:val="000000"/>
                <w:kern w:val="0"/>
              </w:rPr>
              <w:t>9、提供所投产品官网截图或产品彩页加盖厂商公章。</w:t>
            </w:r>
          </w:p>
        </w:tc>
        <w:tc>
          <w:tcPr>
            <w:tcW w:w="85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2096"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数字会议系统主机</w:t>
            </w:r>
          </w:p>
        </w:tc>
        <w:tc>
          <w:tcPr>
            <w:tcW w:w="552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数字网络无线会议主机：</w:t>
            </w:r>
          </w:p>
          <w:p>
            <w:pPr>
              <w:widowControl/>
              <w:jc w:val="left"/>
              <w:rPr>
                <w:rFonts w:ascii="宋体" w:hAnsi="宋体" w:cs="宋体"/>
                <w:color w:val="000000"/>
                <w:kern w:val="0"/>
              </w:rPr>
            </w:pPr>
            <w:r>
              <w:rPr>
                <w:rFonts w:hint="eastAsia" w:ascii="宋体" w:hAnsi="宋体" w:cs="宋体"/>
                <w:color w:val="000000"/>
                <w:kern w:val="0"/>
              </w:rPr>
              <w:t>1、★添加一台AP无线路由器就可以组成无线+有线会议系统，为避免计算机著作权侵权需提供有线无线共用会议系统软件著作权证书加盖厂商公章；</w:t>
            </w:r>
          </w:p>
          <w:p>
            <w:pPr>
              <w:widowControl/>
              <w:jc w:val="left"/>
              <w:rPr>
                <w:rFonts w:ascii="宋体" w:hAnsi="宋体" w:cs="宋体"/>
                <w:color w:val="000000"/>
                <w:kern w:val="0"/>
              </w:rPr>
            </w:pPr>
            <w:r>
              <w:rPr>
                <w:rFonts w:hint="eastAsia" w:ascii="宋体" w:hAnsi="宋体" w:cs="宋体"/>
                <w:color w:val="000000"/>
                <w:kern w:val="0"/>
              </w:rPr>
              <w:t>2、★支持环形手拉手连接双机热备份功能，当系统主机出现故障时，备份主机立刻启动接管确保会议正常进行，为避免计算机著作权侵权需提供双机备份会议系统软件著作权证书加盖厂商公章；</w:t>
            </w:r>
          </w:p>
          <w:p>
            <w:pPr>
              <w:widowControl/>
              <w:jc w:val="left"/>
              <w:rPr>
                <w:rFonts w:ascii="宋体" w:hAnsi="宋体" w:cs="宋体"/>
                <w:color w:val="000000"/>
                <w:kern w:val="0"/>
              </w:rPr>
            </w:pPr>
            <w:r>
              <w:rPr>
                <w:rFonts w:hint="eastAsia" w:ascii="宋体" w:hAnsi="宋体" w:cs="宋体"/>
                <w:color w:val="000000"/>
                <w:kern w:val="0"/>
              </w:rPr>
              <w:t>3、★系统主机与麦克风可以进行内部文字通讯（短消息)，满足智能数字会议系统要求并提供智能数字会议系统软件著作权证书加盖厂商公章；</w:t>
            </w:r>
          </w:p>
          <w:p>
            <w:pPr>
              <w:widowControl/>
              <w:jc w:val="left"/>
              <w:rPr>
                <w:rFonts w:ascii="宋体" w:hAnsi="宋体" w:cs="宋体"/>
                <w:color w:val="000000"/>
                <w:kern w:val="0"/>
              </w:rPr>
            </w:pPr>
            <w:r>
              <w:rPr>
                <w:rFonts w:hint="eastAsia" w:ascii="宋体" w:hAnsi="宋体" w:cs="宋体"/>
                <w:color w:val="000000"/>
                <w:kern w:val="0"/>
              </w:rPr>
              <w:t>4、★系统软件上编辑参会人员姓名，发言单元前屏和后屏可同步显示，为避免计算机著作权侵权需提供可编程智能桌牌显示系统软件著作权证书加盖厂商公章；</w:t>
            </w:r>
          </w:p>
          <w:p>
            <w:pPr>
              <w:widowControl/>
              <w:jc w:val="left"/>
              <w:rPr>
                <w:rFonts w:ascii="宋体" w:hAnsi="宋体" w:cs="宋体"/>
                <w:color w:val="000000"/>
                <w:kern w:val="0"/>
              </w:rPr>
            </w:pPr>
            <w:r>
              <w:rPr>
                <w:rFonts w:hint="eastAsia" w:ascii="宋体" w:hAnsi="宋体" w:cs="宋体"/>
                <w:color w:val="000000"/>
                <w:kern w:val="0"/>
              </w:rPr>
              <w:t>5、★采用DSP-DPT数字音频处理及传输技术，音频实现完全数字化，满足48 kHz音频采样频率的要求并提供高保真音频传输协议软件著作权证书加盖厂商公章；</w:t>
            </w:r>
          </w:p>
          <w:p>
            <w:pPr>
              <w:widowControl/>
              <w:jc w:val="left"/>
              <w:rPr>
                <w:rFonts w:ascii="宋体" w:hAnsi="宋体" w:cs="宋体"/>
                <w:color w:val="000000"/>
                <w:kern w:val="0"/>
              </w:rPr>
            </w:pPr>
            <w:r>
              <w:rPr>
                <w:rFonts w:hint="eastAsia" w:ascii="宋体" w:hAnsi="宋体" w:cs="宋体"/>
                <w:color w:val="000000"/>
                <w:kern w:val="0"/>
              </w:rPr>
              <w:t>6、控制接口：DB9/RJ45，无线基站接口：RJ45*2；</w:t>
            </w:r>
          </w:p>
          <w:p>
            <w:pPr>
              <w:widowControl/>
              <w:jc w:val="left"/>
              <w:rPr>
                <w:rFonts w:ascii="宋体" w:hAnsi="宋体" w:cs="宋体"/>
                <w:color w:val="000000"/>
                <w:kern w:val="0"/>
              </w:rPr>
            </w:pPr>
            <w:r>
              <w:rPr>
                <w:rFonts w:hint="eastAsia" w:ascii="宋体" w:hAnsi="宋体" w:cs="宋体"/>
                <w:color w:val="000000"/>
                <w:kern w:val="0"/>
              </w:rPr>
              <w:t>7、数字输出：Dante、AVB、光纤等数字接口；</w:t>
            </w:r>
          </w:p>
          <w:p>
            <w:pPr>
              <w:widowControl/>
              <w:jc w:val="left"/>
              <w:rPr>
                <w:rFonts w:ascii="宋体" w:hAnsi="宋体" w:cs="宋体"/>
                <w:color w:val="000000"/>
                <w:kern w:val="0"/>
              </w:rPr>
            </w:pPr>
            <w:r>
              <w:rPr>
                <w:rFonts w:hint="eastAsia" w:ascii="宋体" w:hAnsi="宋体" w:cs="宋体"/>
                <w:color w:val="000000"/>
                <w:kern w:val="0"/>
              </w:rPr>
              <w:t>8、提供所投产品官网截图或产品彩页加盖厂商公章。</w:t>
            </w:r>
          </w:p>
          <w:p>
            <w:pPr>
              <w:widowControl/>
              <w:jc w:val="left"/>
              <w:rPr>
                <w:rFonts w:ascii="宋体" w:hAnsi="宋体" w:cs="宋体"/>
                <w:color w:val="000000"/>
                <w:kern w:val="0"/>
              </w:rPr>
            </w:pPr>
            <w:r>
              <w:rPr>
                <w:rFonts w:hint="eastAsia" w:ascii="宋体" w:hAnsi="宋体" w:cs="宋体"/>
                <w:color w:val="000000"/>
                <w:kern w:val="0"/>
              </w:rPr>
              <w:t>无线基站（1台）：</w:t>
            </w:r>
          </w:p>
          <w:p>
            <w:pPr>
              <w:widowControl/>
              <w:jc w:val="left"/>
              <w:rPr>
                <w:rFonts w:ascii="宋体" w:hAnsi="宋体" w:cs="宋体"/>
                <w:color w:val="000000"/>
                <w:kern w:val="0"/>
              </w:rPr>
            </w:pPr>
            <w:r>
              <w:rPr>
                <w:rFonts w:hint="eastAsia" w:ascii="宋体" w:hAnsi="宋体" w:cs="宋体"/>
                <w:color w:val="000000"/>
                <w:kern w:val="0"/>
              </w:rPr>
              <w:t>1、★采用数字加密技术的WiFi信号传输，确保了会议私密性，避免窃听和恶意干扰；</w:t>
            </w:r>
          </w:p>
          <w:p>
            <w:pPr>
              <w:widowControl/>
              <w:jc w:val="left"/>
              <w:rPr>
                <w:rFonts w:ascii="宋体" w:hAnsi="宋体" w:cs="宋体"/>
                <w:color w:val="000000"/>
                <w:kern w:val="0"/>
              </w:rPr>
            </w:pPr>
            <w:r>
              <w:rPr>
                <w:rFonts w:hint="eastAsia" w:ascii="宋体" w:hAnsi="宋体" w:cs="宋体"/>
                <w:color w:val="000000"/>
                <w:kern w:val="0"/>
              </w:rPr>
              <w:t>2、工作频率：2.4G/5.2G/5.8GHz；</w:t>
            </w:r>
          </w:p>
          <w:p>
            <w:pPr>
              <w:widowControl/>
              <w:jc w:val="left"/>
              <w:rPr>
                <w:rFonts w:ascii="宋体" w:hAnsi="宋体" w:cs="宋体"/>
                <w:color w:val="000000"/>
                <w:kern w:val="0"/>
              </w:rPr>
            </w:pPr>
            <w:r>
              <w:rPr>
                <w:rFonts w:hint="eastAsia" w:ascii="宋体" w:hAnsi="宋体" w:cs="宋体"/>
                <w:color w:val="000000"/>
                <w:kern w:val="0"/>
              </w:rPr>
              <w:t>3、利用共存机制授权单元来避免干扰，或被其他无线系统干扰；</w:t>
            </w:r>
          </w:p>
          <w:p>
            <w:pPr>
              <w:widowControl/>
              <w:jc w:val="left"/>
              <w:rPr>
                <w:rFonts w:ascii="宋体" w:hAnsi="宋体" w:cs="宋体"/>
                <w:color w:val="000000"/>
                <w:kern w:val="0"/>
              </w:rPr>
            </w:pPr>
            <w:r>
              <w:rPr>
                <w:rFonts w:hint="eastAsia" w:ascii="宋体" w:hAnsi="宋体" w:cs="宋体"/>
                <w:color w:val="000000"/>
                <w:kern w:val="0"/>
              </w:rPr>
              <w:t>4、采用自适应跳频技术，前向误差校正与重传机制，具有主动纠错的特性；</w:t>
            </w:r>
          </w:p>
          <w:p>
            <w:pPr>
              <w:widowControl/>
              <w:jc w:val="left"/>
              <w:rPr>
                <w:rFonts w:ascii="宋体" w:hAnsi="宋体" w:cs="宋体"/>
                <w:color w:val="000000"/>
                <w:kern w:val="0"/>
              </w:rPr>
            </w:pPr>
            <w:r>
              <w:rPr>
                <w:rFonts w:hint="eastAsia" w:ascii="宋体" w:hAnsi="宋体" w:cs="宋体"/>
                <w:color w:val="000000"/>
                <w:kern w:val="0"/>
              </w:rPr>
              <w:t>5、采用网线连接方式，布线安装更加方便快捷；</w:t>
            </w:r>
          </w:p>
          <w:p>
            <w:pPr>
              <w:widowControl/>
              <w:jc w:val="left"/>
              <w:rPr>
                <w:rFonts w:ascii="宋体" w:hAnsi="宋体" w:cs="宋体"/>
                <w:color w:val="000000"/>
                <w:kern w:val="0"/>
              </w:rPr>
            </w:pPr>
            <w:r>
              <w:rPr>
                <w:rFonts w:hint="eastAsia" w:ascii="宋体" w:hAnsi="宋体" w:cs="宋体"/>
                <w:color w:val="000000"/>
                <w:kern w:val="0"/>
              </w:rPr>
              <w:t>6、信噪比 ：≥102dB；</w:t>
            </w:r>
          </w:p>
          <w:p>
            <w:pPr>
              <w:widowControl/>
              <w:jc w:val="left"/>
              <w:rPr>
                <w:rFonts w:ascii="宋体" w:hAnsi="宋体" w:cs="宋体"/>
                <w:color w:val="000000"/>
                <w:kern w:val="0"/>
              </w:rPr>
            </w:pPr>
            <w:r>
              <w:rPr>
                <w:rFonts w:hint="eastAsia" w:ascii="宋体" w:hAnsi="宋体" w:cs="宋体"/>
                <w:color w:val="000000"/>
                <w:kern w:val="0"/>
              </w:rPr>
              <w:t>7、谐波失真： 0.04%；</w:t>
            </w:r>
          </w:p>
          <w:p>
            <w:pPr>
              <w:widowControl/>
              <w:jc w:val="left"/>
              <w:rPr>
                <w:rFonts w:ascii="宋体" w:hAnsi="宋体" w:cs="宋体"/>
                <w:color w:val="000000"/>
                <w:kern w:val="0"/>
              </w:rPr>
            </w:pPr>
            <w:r>
              <w:rPr>
                <w:rFonts w:hint="eastAsia" w:ascii="宋体" w:hAnsi="宋体" w:cs="宋体"/>
                <w:color w:val="000000"/>
                <w:kern w:val="0"/>
              </w:rPr>
              <w:t>8、调制方式：DSSS；</w:t>
            </w:r>
          </w:p>
          <w:p>
            <w:pPr>
              <w:widowControl/>
              <w:jc w:val="left"/>
              <w:rPr>
                <w:rFonts w:ascii="宋体" w:hAnsi="宋体" w:cs="宋体"/>
                <w:color w:val="000000"/>
                <w:kern w:val="0"/>
              </w:rPr>
            </w:pPr>
            <w:r>
              <w:rPr>
                <w:rFonts w:hint="eastAsia" w:ascii="宋体" w:hAnsi="宋体" w:cs="宋体"/>
                <w:color w:val="000000"/>
                <w:kern w:val="0"/>
              </w:rPr>
              <w:t>9、提供所投产品官网截图或产品彩页加盖厂商公章。</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套</w:t>
            </w:r>
          </w:p>
        </w:tc>
      </w:tr>
      <w:tr>
        <w:tblPrEx>
          <w:tblCellMar>
            <w:top w:w="0" w:type="dxa"/>
            <w:left w:w="108" w:type="dxa"/>
            <w:bottom w:w="0" w:type="dxa"/>
            <w:right w:w="108" w:type="dxa"/>
          </w:tblCellMar>
        </w:tblPrEx>
        <w:trPr>
          <w:trHeight w:val="253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专用线缆</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配套专用线缆：1、音箱线：RVV2*1.0</w:t>
            </w:r>
            <w:r>
              <w:rPr>
                <w:rFonts w:hint="eastAsia" w:ascii="宋体" w:hAnsi="宋体" w:cs="宋体"/>
                <w:color w:val="000000"/>
                <w:kern w:val="0"/>
              </w:rPr>
              <w:br w:type="textWrapping"/>
            </w:r>
            <w:r>
              <w:rPr>
                <w:rFonts w:hint="eastAsia" w:ascii="宋体" w:hAnsi="宋体" w:cs="宋体"/>
                <w:color w:val="000000"/>
                <w:kern w:val="0"/>
              </w:rPr>
              <w:t>2、音响接插头：音箱和功放插入连接</w:t>
            </w:r>
            <w:r>
              <w:rPr>
                <w:rFonts w:hint="eastAsia" w:ascii="宋体" w:hAnsi="宋体" w:cs="宋体"/>
                <w:color w:val="000000"/>
                <w:kern w:val="0"/>
              </w:rPr>
              <w:br w:type="textWrapping"/>
            </w:r>
            <w:r>
              <w:rPr>
                <w:rFonts w:hint="eastAsia" w:ascii="宋体" w:hAnsi="宋体" w:cs="宋体"/>
                <w:color w:val="000000"/>
                <w:kern w:val="0"/>
              </w:rPr>
              <w:t>3、卡农公母音频线：连接功放、调音台、音频矩阵</w:t>
            </w:r>
            <w:r>
              <w:rPr>
                <w:rFonts w:hint="eastAsia" w:ascii="宋体" w:hAnsi="宋体" w:cs="宋体"/>
                <w:color w:val="000000"/>
                <w:kern w:val="0"/>
              </w:rPr>
              <w:br w:type="textWrapping"/>
            </w:r>
            <w:r>
              <w:rPr>
                <w:rFonts w:hint="eastAsia" w:ascii="宋体" w:hAnsi="宋体" w:cs="宋体"/>
                <w:color w:val="000000"/>
                <w:kern w:val="0"/>
              </w:rPr>
              <w:t>4、PVC管材：音箱线走线</w:t>
            </w:r>
            <w:r>
              <w:rPr>
                <w:rFonts w:hint="eastAsia" w:ascii="宋体" w:hAnsi="宋体" w:cs="宋体"/>
                <w:color w:val="000000"/>
                <w:kern w:val="0"/>
              </w:rPr>
              <w:br w:type="textWrapping"/>
            </w:r>
            <w:r>
              <w:rPr>
                <w:rFonts w:hint="eastAsia" w:ascii="宋体" w:hAnsi="宋体" w:cs="宋体"/>
                <w:color w:val="000000"/>
                <w:kern w:val="0"/>
              </w:rPr>
              <w:t>5、其他：电源线、电源插排等</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批</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1.5</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配套控制系统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781"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服务器主机</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1、服务器外型：机架式</w:t>
            </w:r>
          </w:p>
          <w:p>
            <w:pPr>
              <w:widowControl/>
              <w:jc w:val="left"/>
              <w:rPr>
                <w:rFonts w:ascii="宋体" w:hAnsi="宋体" w:cs="宋体"/>
                <w:color w:val="000000"/>
                <w:kern w:val="0"/>
              </w:rPr>
            </w:pPr>
            <w:r>
              <w:rPr>
                <w:rFonts w:hint="eastAsia" w:ascii="宋体" w:hAnsi="宋体" w:cs="宋体"/>
                <w:color w:val="000000"/>
                <w:kern w:val="0"/>
              </w:rPr>
              <w:t>2、服务器高度：★≥1U，标配原厂导轨</w:t>
            </w:r>
          </w:p>
          <w:p>
            <w:pPr>
              <w:widowControl/>
              <w:jc w:val="left"/>
              <w:rPr>
                <w:rFonts w:ascii="宋体" w:hAnsi="宋体" w:cs="宋体"/>
                <w:color w:val="000000"/>
                <w:kern w:val="0"/>
              </w:rPr>
            </w:pPr>
            <w:r>
              <w:rPr>
                <w:rFonts w:hint="eastAsia" w:ascii="宋体" w:hAnsi="宋体" w:cs="宋体"/>
                <w:color w:val="000000"/>
                <w:kern w:val="0"/>
              </w:rPr>
              <w:t>3、CPU型号：Intel 至强可扩展系列处理器 4110，可支持最高205W处理器</w:t>
            </w:r>
          </w:p>
          <w:p>
            <w:pPr>
              <w:widowControl/>
              <w:jc w:val="left"/>
              <w:rPr>
                <w:rFonts w:ascii="宋体" w:hAnsi="宋体" w:cs="宋体"/>
                <w:color w:val="000000"/>
                <w:kern w:val="0"/>
              </w:rPr>
            </w:pPr>
            <w:r>
              <w:rPr>
                <w:rFonts w:hint="eastAsia" w:ascii="宋体" w:hAnsi="宋体" w:cs="宋体"/>
                <w:color w:val="000000"/>
                <w:kern w:val="0"/>
              </w:rPr>
              <w:t>4、CPU实配数量 ≥1颗</w:t>
            </w:r>
          </w:p>
          <w:p>
            <w:pPr>
              <w:widowControl/>
              <w:jc w:val="left"/>
              <w:rPr>
                <w:rFonts w:ascii="宋体" w:hAnsi="宋体" w:cs="宋体"/>
                <w:color w:val="000000"/>
                <w:kern w:val="0"/>
              </w:rPr>
            </w:pPr>
            <w:r>
              <w:rPr>
                <w:rFonts w:hint="eastAsia" w:ascii="宋体" w:hAnsi="宋体" w:cs="宋体"/>
                <w:color w:val="000000"/>
                <w:kern w:val="0"/>
              </w:rPr>
              <w:t>5、内存功能 Advanced ECC、内存镜像、内存热备</w:t>
            </w:r>
          </w:p>
          <w:p>
            <w:pPr>
              <w:widowControl/>
              <w:jc w:val="left"/>
              <w:rPr>
                <w:rFonts w:ascii="宋体" w:hAnsi="宋体" w:cs="宋体"/>
                <w:color w:val="000000"/>
                <w:kern w:val="0"/>
              </w:rPr>
            </w:pPr>
            <w:r>
              <w:rPr>
                <w:rFonts w:hint="eastAsia" w:ascii="宋体" w:hAnsi="宋体" w:cs="宋体"/>
                <w:color w:val="000000"/>
                <w:kern w:val="0"/>
              </w:rPr>
              <w:t>6、内存实配规格：≥64GB 2666MHz DDR4</w:t>
            </w:r>
          </w:p>
          <w:p>
            <w:pPr>
              <w:widowControl/>
              <w:jc w:val="left"/>
              <w:rPr>
                <w:rFonts w:ascii="宋体" w:hAnsi="宋体" w:cs="宋体"/>
                <w:color w:val="000000"/>
                <w:kern w:val="0"/>
              </w:rPr>
            </w:pPr>
            <w:r>
              <w:rPr>
                <w:rFonts w:hint="eastAsia" w:ascii="宋体" w:hAnsi="宋体" w:cs="宋体"/>
                <w:color w:val="000000"/>
                <w:kern w:val="0"/>
              </w:rPr>
              <w:t>7、内存可扩展数量：★可扩展≥24个内存插槽，官方支持最大内存容量不小于3.0TB</w:t>
            </w:r>
          </w:p>
          <w:p>
            <w:pPr>
              <w:widowControl/>
              <w:jc w:val="left"/>
              <w:rPr>
                <w:rFonts w:ascii="宋体" w:hAnsi="宋体" w:cs="宋体"/>
                <w:color w:val="000000"/>
                <w:kern w:val="0"/>
              </w:rPr>
            </w:pPr>
            <w:r>
              <w:rPr>
                <w:rFonts w:hint="eastAsia" w:ascii="宋体" w:hAnsi="宋体" w:cs="宋体"/>
                <w:color w:val="000000"/>
                <w:kern w:val="0"/>
              </w:rPr>
              <w:t>8、实配硬盘及托架 ：≥3*1.2TB SAS 10k 硬盘。</w:t>
            </w:r>
          </w:p>
          <w:p>
            <w:pPr>
              <w:widowControl/>
              <w:jc w:val="left"/>
              <w:rPr>
                <w:rFonts w:ascii="宋体" w:hAnsi="宋体" w:cs="宋体"/>
                <w:color w:val="000000"/>
                <w:kern w:val="0"/>
              </w:rPr>
            </w:pPr>
            <w:r>
              <w:rPr>
                <w:rFonts w:hint="eastAsia" w:ascii="宋体" w:hAnsi="宋体" w:cs="宋体"/>
                <w:color w:val="000000"/>
                <w:kern w:val="0"/>
              </w:rPr>
              <w:t>9、硬盘槽位：★配置≥8个2.5寸热插拔硬盘槽位，可扩展至≥29个2.5寸热插拔硬盘槽位，同时可扩展2个3.5寸硬盘，且全部硬盘可在不打开主机箱盖的情况下热插拔维护。</w:t>
            </w:r>
          </w:p>
          <w:p>
            <w:pPr>
              <w:widowControl/>
              <w:jc w:val="left"/>
              <w:rPr>
                <w:rFonts w:ascii="宋体" w:hAnsi="宋体" w:cs="宋体"/>
                <w:color w:val="000000"/>
                <w:kern w:val="0"/>
              </w:rPr>
            </w:pPr>
            <w:r>
              <w:rPr>
                <w:rFonts w:hint="eastAsia" w:ascii="宋体" w:hAnsi="宋体" w:cs="宋体"/>
                <w:color w:val="000000"/>
                <w:kern w:val="0"/>
              </w:rPr>
              <w:t>10、阵列控制器★≥1个标配SAS RAID阵列卡（不占用PCIe扩展槽），支持RAID0/1/10/5/6/50/60/1E/Simple Volume；</w:t>
            </w:r>
          </w:p>
          <w:p>
            <w:pPr>
              <w:widowControl/>
              <w:jc w:val="left"/>
              <w:rPr>
                <w:rFonts w:ascii="宋体" w:hAnsi="宋体" w:cs="宋体"/>
                <w:color w:val="000000"/>
                <w:kern w:val="0"/>
              </w:rPr>
            </w:pPr>
            <w:r>
              <w:rPr>
                <w:rFonts w:hint="eastAsia" w:ascii="宋体" w:hAnsi="宋体" w:cs="宋体"/>
                <w:color w:val="000000"/>
                <w:kern w:val="0"/>
              </w:rPr>
              <w:t>≥2GB缓存，支持缓存数据保护，且后备保护时间不受限制；</w:t>
            </w:r>
          </w:p>
          <w:p>
            <w:pPr>
              <w:widowControl/>
              <w:jc w:val="left"/>
              <w:rPr>
                <w:rFonts w:ascii="宋体" w:hAnsi="宋体" w:cs="宋体"/>
                <w:color w:val="000000"/>
                <w:kern w:val="0"/>
              </w:rPr>
            </w:pPr>
            <w:r>
              <w:rPr>
                <w:rFonts w:hint="eastAsia" w:ascii="宋体" w:hAnsi="宋体" w:cs="宋体"/>
                <w:color w:val="000000"/>
                <w:kern w:val="0"/>
              </w:rPr>
              <w:t>11、启动盘可选项 支持双MicroSD和双M.2 SSD配置RAID1，作为虚拟化或者操作系统部署盘位。</w:t>
            </w:r>
          </w:p>
          <w:p>
            <w:pPr>
              <w:widowControl/>
              <w:jc w:val="left"/>
              <w:rPr>
                <w:rFonts w:ascii="宋体" w:hAnsi="宋体" w:cs="宋体"/>
                <w:color w:val="000000"/>
                <w:kern w:val="0"/>
              </w:rPr>
            </w:pPr>
            <w:r>
              <w:rPr>
                <w:rFonts w:hint="eastAsia" w:ascii="宋体" w:hAnsi="宋体" w:cs="宋体"/>
                <w:color w:val="000000"/>
                <w:kern w:val="0"/>
              </w:rPr>
              <w:t>12、PCI I/O插槽最多提供≥8个标准PCIE3.0插槽。</w:t>
            </w:r>
          </w:p>
          <w:p>
            <w:pPr>
              <w:widowControl/>
              <w:jc w:val="left"/>
              <w:rPr>
                <w:rFonts w:ascii="宋体" w:hAnsi="宋体" w:cs="宋体"/>
                <w:color w:val="000000"/>
                <w:kern w:val="0"/>
              </w:rPr>
            </w:pPr>
            <w:r>
              <w:rPr>
                <w:rFonts w:hint="eastAsia" w:ascii="宋体" w:hAnsi="宋体" w:cs="宋体"/>
                <w:color w:val="000000"/>
                <w:kern w:val="0"/>
              </w:rPr>
              <w:t>13、网卡:提供≥1个网卡专用插槽（不占用PCIE扩展槽），可选配千兆或万兆网卡。</w:t>
            </w:r>
          </w:p>
          <w:p>
            <w:pPr>
              <w:widowControl/>
              <w:jc w:val="left"/>
              <w:rPr>
                <w:rFonts w:ascii="宋体" w:hAnsi="宋体" w:cs="宋体"/>
                <w:color w:val="000000"/>
                <w:kern w:val="0"/>
              </w:rPr>
            </w:pPr>
            <w:r>
              <w:rPr>
                <w:rFonts w:hint="eastAsia" w:ascii="宋体" w:hAnsi="宋体" w:cs="宋体"/>
                <w:color w:val="000000"/>
                <w:kern w:val="0"/>
              </w:rPr>
              <w:t>14、GPU 可配置≥3块双宽企业级GPU</w:t>
            </w:r>
          </w:p>
          <w:p>
            <w:pPr>
              <w:widowControl/>
              <w:jc w:val="left"/>
              <w:rPr>
                <w:rFonts w:ascii="宋体" w:hAnsi="宋体" w:cs="宋体"/>
                <w:color w:val="000000"/>
                <w:kern w:val="0"/>
              </w:rPr>
            </w:pPr>
            <w:r>
              <w:rPr>
                <w:rFonts w:hint="eastAsia" w:ascii="宋体" w:hAnsi="宋体" w:cs="宋体"/>
                <w:color w:val="000000"/>
                <w:kern w:val="0"/>
              </w:rPr>
              <w:t>接口 ≥5个USB3.0接口，最高可扩展至6个USB接口；</w:t>
            </w:r>
          </w:p>
          <w:p>
            <w:pPr>
              <w:widowControl/>
              <w:jc w:val="left"/>
              <w:rPr>
                <w:rFonts w:ascii="宋体" w:hAnsi="宋体" w:cs="宋体"/>
                <w:color w:val="000000"/>
                <w:kern w:val="0"/>
              </w:rPr>
            </w:pPr>
            <w:r>
              <w:rPr>
                <w:rFonts w:hint="eastAsia" w:ascii="宋体" w:hAnsi="宋体" w:cs="宋体"/>
                <w:color w:val="000000"/>
                <w:kern w:val="0"/>
              </w:rPr>
              <w:t>标配1个VGA，可选配支持最高2个VGA接口；</w:t>
            </w:r>
          </w:p>
          <w:p>
            <w:pPr>
              <w:widowControl/>
              <w:jc w:val="left"/>
              <w:rPr>
                <w:rFonts w:ascii="宋体" w:hAnsi="宋体" w:cs="宋体"/>
                <w:color w:val="000000"/>
                <w:kern w:val="0"/>
              </w:rPr>
            </w:pPr>
            <w:r>
              <w:rPr>
                <w:rFonts w:hint="eastAsia" w:ascii="宋体" w:hAnsi="宋体" w:cs="宋体"/>
                <w:color w:val="000000"/>
                <w:kern w:val="0"/>
              </w:rPr>
              <w:t>支持后部独立的管理端口；</w:t>
            </w:r>
          </w:p>
          <w:p>
            <w:pPr>
              <w:widowControl/>
              <w:jc w:val="left"/>
              <w:rPr>
                <w:rFonts w:ascii="宋体" w:hAnsi="宋体" w:cs="宋体"/>
                <w:color w:val="000000"/>
                <w:kern w:val="0"/>
              </w:rPr>
            </w:pPr>
            <w:r>
              <w:rPr>
                <w:rFonts w:hint="eastAsia" w:ascii="宋体" w:hAnsi="宋体" w:cs="宋体"/>
                <w:color w:val="000000"/>
                <w:kern w:val="0"/>
              </w:rPr>
              <w:t>标配1个串口。</w:t>
            </w:r>
          </w:p>
          <w:p>
            <w:pPr>
              <w:widowControl/>
              <w:jc w:val="left"/>
              <w:rPr>
                <w:rFonts w:ascii="宋体" w:hAnsi="宋体" w:cs="宋体"/>
                <w:color w:val="000000"/>
                <w:kern w:val="0"/>
              </w:rPr>
            </w:pPr>
            <w:r>
              <w:rPr>
                <w:rFonts w:hint="eastAsia" w:ascii="宋体" w:hAnsi="宋体" w:cs="宋体"/>
                <w:color w:val="000000"/>
                <w:kern w:val="0"/>
              </w:rPr>
              <w:t>15、冗余电源★2个≥800w白金版热插拔冗余电源，支持96%能效比的钛金级电源选件</w:t>
            </w:r>
          </w:p>
          <w:p>
            <w:pPr>
              <w:widowControl/>
              <w:jc w:val="left"/>
              <w:rPr>
                <w:rFonts w:ascii="宋体" w:hAnsi="宋体" w:cs="宋体"/>
                <w:color w:val="000000"/>
                <w:kern w:val="0"/>
              </w:rPr>
            </w:pPr>
            <w:r>
              <w:rPr>
                <w:rFonts w:hint="eastAsia" w:ascii="宋体" w:hAnsi="宋体" w:cs="宋体"/>
                <w:color w:val="000000"/>
                <w:kern w:val="0"/>
              </w:rPr>
              <w:t>16、冗余风扇★热插拔冗余风扇</w:t>
            </w:r>
          </w:p>
          <w:p>
            <w:pPr>
              <w:widowControl/>
              <w:jc w:val="left"/>
              <w:rPr>
                <w:rFonts w:ascii="宋体" w:hAnsi="宋体" w:cs="宋体"/>
                <w:color w:val="000000"/>
                <w:kern w:val="0"/>
              </w:rPr>
            </w:pPr>
            <w:r>
              <w:rPr>
                <w:rFonts w:hint="eastAsia" w:ascii="宋体" w:hAnsi="宋体" w:cs="宋体"/>
                <w:color w:val="000000"/>
                <w:kern w:val="0"/>
              </w:rPr>
              <w:t>工作温度 支持最高5-50°C标准工作温度</w:t>
            </w:r>
          </w:p>
          <w:p>
            <w:pPr>
              <w:widowControl/>
              <w:jc w:val="left"/>
              <w:rPr>
                <w:rFonts w:ascii="宋体" w:hAnsi="宋体" w:cs="宋体"/>
                <w:color w:val="000000"/>
                <w:kern w:val="0"/>
              </w:rPr>
            </w:pPr>
            <w:r>
              <w:rPr>
                <w:rFonts w:hint="eastAsia" w:ascii="宋体" w:hAnsi="宋体" w:cs="宋体"/>
                <w:color w:val="000000"/>
                <w:kern w:val="0"/>
              </w:rPr>
              <w:t>17、嵌入式管理 "配置≥1Gb独立的远程管理控制端口；</w:t>
            </w:r>
          </w:p>
          <w:p>
            <w:pPr>
              <w:widowControl/>
              <w:jc w:val="left"/>
              <w:rPr>
                <w:rFonts w:ascii="宋体" w:hAnsi="宋体" w:cs="宋体"/>
                <w:color w:val="000000"/>
                <w:kern w:val="0"/>
              </w:rPr>
            </w:pPr>
            <w:r>
              <w:rPr>
                <w:rFonts w:hint="eastAsia" w:ascii="宋体" w:hAnsi="宋体" w:cs="宋体"/>
                <w:color w:val="000000"/>
                <w:kern w:val="0"/>
              </w:rPr>
              <w:t>18、配置虚拟KVM功能,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p>
            <w:pPr>
              <w:widowControl/>
              <w:jc w:val="left"/>
              <w:rPr>
                <w:rFonts w:ascii="宋体" w:hAnsi="宋体" w:cs="宋体"/>
                <w:color w:val="000000"/>
                <w:kern w:val="0"/>
              </w:rPr>
            </w:pPr>
            <w:r>
              <w:rPr>
                <w:rFonts w:hint="eastAsia" w:ascii="宋体" w:hAnsi="宋体" w:cs="宋体"/>
                <w:color w:val="000000"/>
                <w:kern w:val="0"/>
              </w:rPr>
              <w:t>19、嵌入式管理安全选项 嵌入式管理模块支持防火墙功能，可基于MAC地址，IP，主机名定义访问规则。</w:t>
            </w:r>
          </w:p>
          <w:p>
            <w:pPr>
              <w:widowControl/>
              <w:jc w:val="left"/>
              <w:rPr>
                <w:rFonts w:ascii="宋体" w:hAnsi="宋体" w:cs="宋体"/>
                <w:color w:val="000000"/>
                <w:kern w:val="0"/>
              </w:rPr>
            </w:pPr>
            <w:r>
              <w:rPr>
                <w:rFonts w:hint="eastAsia" w:ascii="宋体" w:hAnsi="宋体" w:cs="宋体"/>
                <w:color w:val="000000"/>
                <w:kern w:val="0"/>
              </w:rPr>
              <w:t>其它安全选项 "提供UEFI安全启动；</w:t>
            </w:r>
          </w:p>
          <w:p>
            <w:pPr>
              <w:widowControl/>
              <w:jc w:val="left"/>
              <w:rPr>
                <w:rFonts w:ascii="宋体" w:hAnsi="宋体" w:cs="宋体"/>
                <w:color w:val="000000"/>
                <w:kern w:val="0"/>
              </w:rPr>
            </w:pPr>
            <w:r>
              <w:rPr>
                <w:rFonts w:hint="eastAsia" w:ascii="宋体" w:hAnsi="宋体" w:cs="宋体"/>
                <w:color w:val="000000"/>
                <w:kern w:val="0"/>
              </w:rPr>
              <w:t>20、支持中国标准TCM 1.0可信计算。</w:t>
            </w:r>
          </w:p>
          <w:p>
            <w:pPr>
              <w:widowControl/>
              <w:jc w:val="left"/>
              <w:rPr>
                <w:rFonts w:ascii="宋体" w:hAnsi="宋体" w:cs="宋体"/>
                <w:color w:val="000000"/>
                <w:kern w:val="0"/>
              </w:rPr>
            </w:pPr>
            <w:r>
              <w:rPr>
                <w:rFonts w:hint="eastAsia" w:ascii="宋体" w:hAnsi="宋体" w:cs="宋体"/>
                <w:color w:val="000000"/>
                <w:kern w:val="0"/>
              </w:rPr>
              <w:t>21、可配置机箱入侵侦测，在外部打开机箱时提供报警功能。</w:t>
            </w:r>
            <w:r>
              <w:rPr>
                <w:rFonts w:ascii="宋体" w:hAnsi="宋体" w:cs="宋体"/>
                <w:color w:val="000000"/>
                <w:kern w:val="0"/>
              </w:rPr>
              <w:br w:type="textWrapping"/>
            </w:r>
            <w:r>
              <w:rPr>
                <w:rFonts w:ascii="宋体" w:hAnsi="宋体" w:cs="宋体"/>
                <w:color w:val="000000"/>
                <w:kern w:val="0"/>
              </w:rPr>
              <w:t>本项内容中</w:t>
            </w:r>
            <w:r>
              <w:rPr>
                <w:rFonts w:hint="eastAsia" w:ascii="宋体" w:hAnsi="宋体" w:cs="宋体"/>
                <w:color w:val="000000"/>
                <w:kern w:val="0"/>
              </w:rPr>
              <w:t>★</w:t>
            </w:r>
            <w:r>
              <w:t>号项须提供</w:t>
            </w:r>
            <w:r>
              <w:rPr>
                <w:rFonts w:hint="eastAsia"/>
              </w:rPr>
              <w:t>原厂官网截图加盖原厂</w:t>
            </w:r>
            <w:r>
              <w:t>公章</w:t>
            </w:r>
            <w:r>
              <w:rPr>
                <w:rFonts w:hint="eastAsia"/>
              </w:rPr>
              <w:t>的证明资料。</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重点镇区防火指挥电子地图</w:t>
            </w:r>
          </w:p>
        </w:tc>
        <w:tc>
          <w:tcPr>
            <w:tcW w:w="552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软件定制：重点镇区上山公路、防火带、应急水池等标识的电子地图</w:t>
            </w:r>
          </w:p>
        </w:tc>
        <w:tc>
          <w:tcPr>
            <w:tcW w:w="85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项</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触摸一体管理电脑</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I5/ 4G/1T/22寸</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623"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千兆网络交换机</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应用层级 二层</w:t>
            </w:r>
            <w:r>
              <w:rPr>
                <w:rFonts w:hint="eastAsia" w:ascii="宋体" w:hAnsi="宋体" w:cs="宋体"/>
                <w:color w:val="000000"/>
                <w:kern w:val="0"/>
              </w:rPr>
              <w:br w:type="textWrapping"/>
            </w:r>
            <w:r>
              <w:rPr>
                <w:rFonts w:hint="eastAsia" w:ascii="宋体" w:hAnsi="宋体" w:cs="宋体"/>
                <w:color w:val="000000"/>
                <w:kern w:val="0"/>
              </w:rPr>
              <w:t>传输速率 10/100/1000Mbps</w:t>
            </w:r>
            <w:r>
              <w:rPr>
                <w:rFonts w:hint="eastAsia" w:ascii="宋体" w:hAnsi="宋体" w:cs="宋体"/>
                <w:color w:val="000000"/>
                <w:kern w:val="0"/>
              </w:rPr>
              <w:br w:type="textWrapping"/>
            </w:r>
            <w:r>
              <w:rPr>
                <w:rFonts w:hint="eastAsia" w:ascii="宋体" w:hAnsi="宋体" w:cs="宋体"/>
                <w:color w:val="000000"/>
                <w:kern w:val="0"/>
              </w:rPr>
              <w:t>交换方式 存储-转发</w:t>
            </w:r>
            <w:r>
              <w:rPr>
                <w:rFonts w:hint="eastAsia" w:ascii="宋体" w:hAnsi="宋体" w:cs="宋体"/>
                <w:color w:val="000000"/>
                <w:kern w:val="0"/>
              </w:rPr>
              <w:br w:type="textWrapping"/>
            </w:r>
            <w:r>
              <w:rPr>
                <w:rFonts w:hint="eastAsia" w:ascii="宋体" w:hAnsi="宋体" w:cs="宋体"/>
                <w:color w:val="000000"/>
                <w:kern w:val="0"/>
              </w:rPr>
              <w:t>背板带宽 256Gbps</w:t>
            </w:r>
            <w:r>
              <w:rPr>
                <w:rFonts w:hint="eastAsia" w:ascii="宋体" w:hAnsi="宋体" w:cs="宋体"/>
                <w:color w:val="000000"/>
                <w:kern w:val="0"/>
              </w:rPr>
              <w:br w:type="textWrapping"/>
            </w:r>
            <w:r>
              <w:rPr>
                <w:rFonts w:hint="eastAsia" w:ascii="宋体" w:hAnsi="宋体" w:cs="宋体"/>
                <w:color w:val="000000"/>
                <w:kern w:val="0"/>
              </w:rPr>
              <w:t>包转发率 42Mpps</w:t>
            </w:r>
            <w:r>
              <w:rPr>
                <w:rFonts w:hint="eastAsia" w:ascii="宋体" w:hAnsi="宋体" w:cs="宋体"/>
                <w:color w:val="000000"/>
                <w:kern w:val="0"/>
              </w:rPr>
              <w:br w:type="textWrapping"/>
            </w:r>
            <w:r>
              <w:rPr>
                <w:rFonts w:hint="eastAsia" w:ascii="宋体" w:hAnsi="宋体" w:cs="宋体"/>
                <w:color w:val="000000"/>
                <w:kern w:val="0"/>
              </w:rPr>
              <w:t>MAC地址表 16K</w:t>
            </w:r>
            <w:r>
              <w:rPr>
                <w:rFonts w:hint="eastAsia" w:ascii="宋体" w:hAnsi="宋体" w:cs="宋体"/>
                <w:color w:val="000000"/>
                <w:kern w:val="0"/>
              </w:rPr>
              <w:br w:type="textWrapping"/>
            </w:r>
            <w:r>
              <w:rPr>
                <w:rFonts w:hint="eastAsia" w:ascii="宋体" w:hAnsi="宋体" w:cs="宋体"/>
                <w:color w:val="000000"/>
                <w:kern w:val="0"/>
              </w:rPr>
              <w:t>端口结构 非模块化</w:t>
            </w:r>
            <w:r>
              <w:rPr>
                <w:rFonts w:hint="eastAsia" w:ascii="宋体" w:hAnsi="宋体" w:cs="宋体"/>
                <w:color w:val="000000"/>
                <w:kern w:val="0"/>
              </w:rPr>
              <w:br w:type="textWrapping"/>
            </w:r>
            <w:r>
              <w:rPr>
                <w:rFonts w:hint="eastAsia" w:ascii="宋体" w:hAnsi="宋体" w:cs="宋体"/>
                <w:color w:val="000000"/>
                <w:kern w:val="0"/>
              </w:rPr>
              <w:t>端口数量 28个</w:t>
            </w:r>
            <w:r>
              <w:rPr>
                <w:rFonts w:hint="eastAsia" w:ascii="宋体" w:hAnsi="宋体" w:cs="宋体"/>
                <w:color w:val="000000"/>
                <w:kern w:val="0"/>
              </w:rPr>
              <w:br w:type="textWrapping"/>
            </w:r>
            <w:r>
              <w:rPr>
                <w:rFonts w:hint="eastAsia" w:ascii="宋体" w:hAnsi="宋体" w:cs="宋体"/>
                <w:color w:val="000000"/>
                <w:kern w:val="0"/>
              </w:rPr>
              <w:t>端口描述 24个10/100/1000Base-T，4个1000SFP ,提供工信部入网证书</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无线路由器</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全千兆无线高速路由器 海思凌霄四核CPU/四信号放大器/双频优选/大户型穿墙/USB3.0/支持IPv6</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无线触摸控制终端</w:t>
            </w:r>
          </w:p>
        </w:tc>
        <w:tc>
          <w:tcPr>
            <w:tcW w:w="55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rPr>
            </w:pPr>
            <w:r>
              <w:rPr>
                <w:rFonts w:hint="eastAsia" w:ascii="宋体" w:hAnsi="宋体" w:cs="宋体"/>
                <w:color w:val="000000"/>
                <w:kern w:val="0"/>
              </w:rPr>
              <w:t>2019新款10.2英寸32G</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时序电源调节器</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1.16路多功能国际多用途电源输出插座；</w:t>
            </w:r>
            <w:r>
              <w:rPr>
                <w:rFonts w:hint="eastAsia" w:ascii="宋体" w:hAnsi="宋体" w:cs="宋体"/>
                <w:color w:val="000000"/>
                <w:kern w:val="0"/>
              </w:rPr>
              <w:br w:type="textWrapping"/>
            </w:r>
            <w:r>
              <w:rPr>
                <w:rFonts w:hint="eastAsia" w:ascii="宋体" w:hAnsi="宋体" w:cs="宋体"/>
                <w:color w:val="000000"/>
                <w:kern w:val="0"/>
              </w:rPr>
              <w:t>2.内含微控制器，保证从1路到16路顺序开机和从16路到1路逆序关机；</w:t>
            </w:r>
            <w:r>
              <w:rPr>
                <w:rFonts w:hint="eastAsia" w:ascii="宋体" w:hAnsi="宋体" w:cs="宋体"/>
                <w:color w:val="000000"/>
                <w:kern w:val="0"/>
              </w:rPr>
              <w:br w:type="textWrapping"/>
            </w:r>
            <w:r>
              <w:rPr>
                <w:rFonts w:hint="eastAsia" w:ascii="宋体" w:hAnsi="宋体" w:cs="宋体"/>
                <w:color w:val="000000"/>
                <w:kern w:val="0"/>
              </w:rPr>
              <w:t>3.显示屏显示实时电压；</w:t>
            </w:r>
            <w:r>
              <w:rPr>
                <w:rFonts w:hint="eastAsia" w:ascii="宋体" w:hAnsi="宋体" w:cs="宋体"/>
                <w:color w:val="000000"/>
                <w:kern w:val="0"/>
              </w:rPr>
              <w:br w:type="textWrapping"/>
            </w:r>
            <w:r>
              <w:rPr>
                <w:rFonts w:hint="eastAsia" w:ascii="宋体" w:hAnsi="宋体" w:cs="宋体"/>
                <w:color w:val="000000"/>
                <w:kern w:val="0"/>
              </w:rPr>
              <w:t>4.单个通道最大负载功率2200W，所有通道负载总功率达6000W；</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二</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应急指挥保障系统</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r>
      <w:tr>
        <w:tblPrEx>
          <w:tblCellMar>
            <w:top w:w="0" w:type="dxa"/>
            <w:left w:w="108" w:type="dxa"/>
            <w:bottom w:w="0" w:type="dxa"/>
            <w:right w:w="108" w:type="dxa"/>
          </w:tblCellMar>
        </w:tblPrEx>
        <w:trPr>
          <w:trHeight w:val="100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微波单兵图传</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远距离设计（地面通讯距离大于3KM)；顶级视频质量，支持广播级数字信号（HDMI、CVBS）；采用H.264或H.265编码方式；全功能参数可配置，体积小、方便携带适用于SONY、松下等专业摄像机； 高清画质、分辨率：1080P、1080I、720P、576I；频率范围符合工信部标准；支持热拔插音视频源。</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套</w:t>
            </w:r>
          </w:p>
        </w:tc>
      </w:tr>
      <w:tr>
        <w:tblPrEx>
          <w:tblCellMar>
            <w:top w:w="0" w:type="dxa"/>
            <w:left w:w="108" w:type="dxa"/>
            <w:bottom w:w="0" w:type="dxa"/>
            <w:right w:w="108" w:type="dxa"/>
          </w:tblCellMar>
        </w:tblPrEx>
        <w:trPr>
          <w:trHeight w:val="243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机动性无人机</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最大起飞重量（kg） ≤25</w:t>
            </w:r>
            <w:r>
              <w:rPr>
                <w:rFonts w:hint="eastAsia" w:ascii="宋体" w:hAnsi="宋体" w:cs="宋体"/>
                <w:color w:val="000000"/>
                <w:kern w:val="0"/>
              </w:rPr>
              <w:br w:type="textWrapping"/>
            </w:r>
            <w:r>
              <w:rPr>
                <w:rFonts w:hint="eastAsia" w:ascii="宋体" w:hAnsi="宋体" w:cs="宋体"/>
                <w:color w:val="000000"/>
                <w:kern w:val="0"/>
              </w:rPr>
              <w:t>最大载荷重量 (kg) 20</w:t>
            </w:r>
            <w:r>
              <w:rPr>
                <w:rFonts w:hint="eastAsia" w:ascii="宋体" w:hAnsi="宋体" w:cs="宋体"/>
                <w:color w:val="000000"/>
                <w:kern w:val="0"/>
              </w:rPr>
              <w:br w:type="textWrapping"/>
            </w:r>
            <w:r>
              <w:rPr>
                <w:rFonts w:hint="eastAsia" w:ascii="宋体" w:hAnsi="宋体" w:cs="宋体"/>
                <w:color w:val="000000"/>
                <w:kern w:val="0"/>
              </w:rPr>
              <w:t>巡航速度（m/s） 10</w:t>
            </w:r>
            <w:r>
              <w:rPr>
                <w:rFonts w:hint="eastAsia" w:ascii="宋体" w:hAnsi="宋体" w:cs="宋体"/>
                <w:color w:val="000000"/>
                <w:kern w:val="0"/>
              </w:rPr>
              <w:br w:type="textWrapping"/>
            </w:r>
            <w:r>
              <w:rPr>
                <w:rFonts w:hint="eastAsia" w:ascii="宋体" w:hAnsi="宋体" w:cs="宋体"/>
                <w:color w:val="000000"/>
                <w:kern w:val="0"/>
              </w:rPr>
              <w:t>海拔升限（m） 4000</w:t>
            </w:r>
            <w:r>
              <w:rPr>
                <w:rFonts w:hint="eastAsia" w:ascii="宋体" w:hAnsi="宋体" w:cs="宋体"/>
                <w:color w:val="000000"/>
                <w:kern w:val="0"/>
              </w:rPr>
              <w:br w:type="textWrapping"/>
            </w:r>
            <w:r>
              <w:rPr>
                <w:rFonts w:hint="eastAsia" w:ascii="宋体" w:hAnsi="宋体" w:cs="宋体"/>
                <w:color w:val="000000"/>
                <w:kern w:val="0"/>
              </w:rPr>
              <w:t>测控链路通讯距离（km） 3-5</w:t>
            </w:r>
            <w:r>
              <w:rPr>
                <w:rFonts w:hint="eastAsia" w:ascii="宋体" w:hAnsi="宋体" w:cs="宋体"/>
                <w:color w:val="000000"/>
                <w:kern w:val="0"/>
              </w:rPr>
              <w:br w:type="textWrapping"/>
            </w:r>
            <w:r>
              <w:rPr>
                <w:rFonts w:hint="eastAsia" w:ascii="宋体" w:hAnsi="宋体" w:cs="宋体"/>
                <w:color w:val="000000"/>
                <w:kern w:val="0"/>
              </w:rPr>
              <w:t>空载最大留空时间（min） 60</w:t>
            </w:r>
            <w:r>
              <w:rPr>
                <w:rFonts w:hint="eastAsia" w:ascii="宋体" w:hAnsi="宋体" w:cs="宋体"/>
                <w:color w:val="000000"/>
                <w:kern w:val="0"/>
              </w:rPr>
              <w:br w:type="textWrapping"/>
            </w:r>
            <w:r>
              <w:rPr>
                <w:rFonts w:hint="eastAsia" w:ascii="宋体" w:hAnsi="宋体" w:cs="宋体"/>
                <w:color w:val="000000"/>
                <w:kern w:val="0"/>
              </w:rPr>
              <w:t>最大飞行半径（km） 10</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2432"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sz w:val="20"/>
              </w:rPr>
              <w:t>专业型无人机</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 xml:space="preserve">防水防尘设计，全天候作业保障IMU+GPS+动力冗余，安全可靠  便携式折叠机架设计 </w:t>
            </w:r>
          </w:p>
          <w:p>
            <w:pPr>
              <w:widowControl/>
              <w:jc w:val="left"/>
              <w:rPr>
                <w:rFonts w:ascii="宋体" w:hAnsi="宋体" w:cs="宋体"/>
                <w:color w:val="000000"/>
                <w:kern w:val="0"/>
              </w:rPr>
            </w:pPr>
            <w:r>
              <w:rPr>
                <w:rFonts w:hint="eastAsia" w:ascii="宋体" w:hAnsi="宋体" w:cs="宋体"/>
                <w:color w:val="000000"/>
                <w:kern w:val="0"/>
              </w:rPr>
              <w:t>支持灵活专业的扩展配件全面支持 SDK 开发及定制</w:t>
            </w:r>
          </w:p>
          <w:p>
            <w:pPr>
              <w:widowControl/>
              <w:jc w:val="left"/>
              <w:rPr>
                <w:rFonts w:ascii="宋体" w:hAnsi="宋体" w:cs="宋体"/>
                <w:color w:val="000000"/>
                <w:kern w:val="0"/>
              </w:rPr>
            </w:pPr>
            <w:r>
              <w:rPr>
                <w:rFonts w:hint="eastAsia" w:ascii="宋体" w:hAnsi="宋体" w:cs="宋体"/>
                <w:color w:val="000000"/>
                <w:kern w:val="0"/>
              </w:rPr>
              <w:t xml:space="preserve">支持列表  </w:t>
            </w:r>
          </w:p>
          <w:p>
            <w:pPr>
              <w:widowControl/>
              <w:jc w:val="left"/>
              <w:rPr>
                <w:rFonts w:ascii="宋体" w:hAnsi="宋体" w:cs="宋体"/>
                <w:color w:val="000000"/>
                <w:kern w:val="0"/>
              </w:rPr>
            </w:pPr>
            <w:r>
              <w:rPr>
                <w:rFonts w:hint="eastAsia" w:ascii="宋体" w:hAnsi="宋体" w:cs="宋体"/>
                <w:color w:val="000000"/>
                <w:kern w:val="0"/>
              </w:rPr>
              <w:t xml:space="preserve">定制化地面站（iPad/PC），SDK 开发 </w:t>
            </w:r>
          </w:p>
          <w:p>
            <w:pPr>
              <w:widowControl/>
              <w:jc w:val="left"/>
              <w:rPr>
                <w:rFonts w:ascii="宋体" w:hAnsi="宋体" w:cs="宋体"/>
                <w:color w:val="000000"/>
                <w:kern w:val="0"/>
              </w:rPr>
            </w:pPr>
            <w:r>
              <w:rPr>
                <w:rFonts w:hint="eastAsia" w:ascii="宋体" w:hAnsi="宋体" w:cs="宋体"/>
                <w:color w:val="000000"/>
                <w:kern w:val="0"/>
              </w:rPr>
              <w:t xml:space="preserve">空投箱 </w:t>
            </w:r>
          </w:p>
          <w:p>
            <w:pPr>
              <w:widowControl/>
              <w:jc w:val="left"/>
              <w:rPr>
                <w:rFonts w:ascii="宋体" w:hAnsi="宋体" w:cs="宋体"/>
                <w:color w:val="000000"/>
                <w:kern w:val="0"/>
              </w:rPr>
            </w:pPr>
            <w:r>
              <w:rPr>
                <w:rFonts w:hint="eastAsia" w:ascii="宋体" w:hAnsi="宋体" w:cs="宋体"/>
                <w:color w:val="000000"/>
                <w:kern w:val="0"/>
              </w:rPr>
              <w:t xml:space="preserve">其他第三方设备 </w:t>
            </w:r>
          </w:p>
          <w:p>
            <w:pPr>
              <w:widowControl/>
              <w:jc w:val="left"/>
              <w:rPr>
                <w:rFonts w:ascii="宋体" w:hAnsi="宋体" w:cs="宋体"/>
                <w:color w:val="000000"/>
                <w:kern w:val="0"/>
              </w:rPr>
            </w:pPr>
            <w:r>
              <w:rPr>
                <w:rFonts w:hint="eastAsia" w:ascii="宋体" w:hAnsi="宋体" w:cs="宋体"/>
                <w:color w:val="000000"/>
                <w:kern w:val="0"/>
              </w:rPr>
              <w:t xml:space="preserve">参数：对称电机轴距  1520mm 重量 12kg（燃油版） 最大起飞重量≥ 20kg </w:t>
            </w:r>
          </w:p>
          <w:p>
            <w:pPr>
              <w:widowControl/>
              <w:jc w:val="left"/>
              <w:rPr>
                <w:rFonts w:ascii="宋体" w:hAnsi="宋体" w:cs="宋体"/>
                <w:color w:val="000000"/>
                <w:kern w:val="0"/>
              </w:rPr>
            </w:pPr>
            <w:r>
              <w:rPr>
                <w:rFonts w:hint="eastAsia" w:ascii="宋体" w:hAnsi="宋体" w:cs="宋体"/>
                <w:color w:val="000000"/>
                <w:kern w:val="0"/>
              </w:rPr>
              <w:t xml:space="preserve">最大额外负载 10kg以上 </w:t>
            </w:r>
          </w:p>
          <w:p>
            <w:pPr>
              <w:widowControl/>
              <w:jc w:val="left"/>
              <w:rPr>
                <w:rFonts w:ascii="宋体" w:hAnsi="宋体" w:cs="宋体"/>
                <w:color w:val="000000"/>
                <w:kern w:val="0"/>
              </w:rPr>
            </w:pPr>
            <w:r>
              <w:rPr>
                <w:rFonts w:hint="eastAsia" w:ascii="宋体" w:hAnsi="宋体" w:cs="宋体"/>
                <w:color w:val="000000"/>
                <w:kern w:val="0"/>
              </w:rPr>
              <w:t xml:space="preserve">动力系统燃油版 </w:t>
            </w:r>
          </w:p>
          <w:p>
            <w:pPr>
              <w:widowControl/>
              <w:jc w:val="left"/>
              <w:rPr>
                <w:rFonts w:ascii="宋体" w:hAnsi="宋体" w:cs="宋体"/>
                <w:color w:val="000000"/>
                <w:kern w:val="0"/>
              </w:rPr>
            </w:pPr>
            <w:r>
              <w:rPr>
                <w:rFonts w:hint="eastAsia" w:ascii="宋体" w:hAnsi="宋体" w:cs="宋体"/>
                <w:color w:val="000000"/>
                <w:kern w:val="0"/>
              </w:rPr>
              <w:t xml:space="preserve">第三方设备安装平台快拆平台 </w:t>
            </w:r>
          </w:p>
          <w:p>
            <w:pPr>
              <w:widowControl/>
              <w:jc w:val="left"/>
              <w:rPr>
                <w:rFonts w:ascii="宋体" w:hAnsi="宋体" w:cs="宋体"/>
                <w:color w:val="000000"/>
                <w:kern w:val="0"/>
              </w:rPr>
            </w:pPr>
            <w:r>
              <w:rPr>
                <w:rFonts w:hint="eastAsia" w:ascii="宋体" w:hAnsi="宋体" w:cs="宋体"/>
                <w:color w:val="000000"/>
                <w:kern w:val="0"/>
              </w:rPr>
              <w:t xml:space="preserve">基本配置 A3，冗余 IMU，内置 GPS </w:t>
            </w:r>
          </w:p>
          <w:p>
            <w:pPr>
              <w:widowControl/>
              <w:jc w:val="left"/>
              <w:rPr>
                <w:rFonts w:ascii="宋体" w:hAnsi="宋体" w:cs="宋体"/>
                <w:color w:val="000000"/>
                <w:kern w:val="0"/>
              </w:rPr>
            </w:pPr>
            <w:r>
              <w:rPr>
                <w:rFonts w:hint="eastAsia" w:ascii="宋体" w:hAnsi="宋体" w:cs="宋体"/>
                <w:color w:val="000000"/>
                <w:kern w:val="0"/>
              </w:rPr>
              <w:t xml:space="preserve">机身结构 机臂折叠 </w:t>
            </w:r>
          </w:p>
          <w:p>
            <w:pPr>
              <w:widowControl/>
              <w:jc w:val="left"/>
              <w:rPr>
                <w:rFonts w:ascii="宋体" w:hAnsi="宋体" w:cs="宋体"/>
                <w:color w:val="000000"/>
                <w:kern w:val="0"/>
              </w:rPr>
            </w:pPr>
            <w:r>
              <w:rPr>
                <w:rFonts w:hint="eastAsia" w:ascii="宋体" w:hAnsi="宋体" w:cs="宋体"/>
                <w:color w:val="000000"/>
                <w:kern w:val="0"/>
              </w:rPr>
              <w:t>悬停时间 49min   续航时间2小时以上，可缓降</w:t>
            </w:r>
          </w:p>
          <w:p>
            <w:pPr>
              <w:widowControl/>
              <w:jc w:val="left"/>
              <w:rPr>
                <w:rFonts w:ascii="宋体" w:hAnsi="宋体" w:cs="宋体"/>
                <w:color w:val="000000"/>
                <w:kern w:val="0"/>
              </w:rPr>
            </w:pPr>
            <w:r>
              <w:rPr>
                <w:rFonts w:hint="eastAsia" w:ascii="宋体" w:hAnsi="宋体" w:cs="宋体"/>
                <w:color w:val="000000"/>
                <w:kern w:val="0"/>
              </w:rPr>
              <w:t xml:space="preserve">悬停精度 垂直：±0.5 m，水平：±1.5 m </w:t>
            </w:r>
          </w:p>
          <w:p>
            <w:pPr>
              <w:widowControl/>
              <w:jc w:val="left"/>
              <w:rPr>
                <w:rFonts w:ascii="宋体" w:hAnsi="宋体" w:cs="宋体"/>
                <w:color w:val="000000"/>
                <w:kern w:val="0"/>
              </w:rPr>
            </w:pPr>
            <w:r>
              <w:rPr>
                <w:rFonts w:hint="eastAsia" w:ascii="宋体" w:hAnsi="宋体" w:cs="宋体"/>
                <w:color w:val="000000"/>
                <w:kern w:val="0"/>
              </w:rPr>
              <w:t xml:space="preserve">最大旋转角速度 俯仰轴：300°/s，航向轴：150°/s 最大俯仰角度 35° </w:t>
            </w:r>
          </w:p>
          <w:p>
            <w:pPr>
              <w:widowControl/>
              <w:jc w:val="left"/>
              <w:rPr>
                <w:rFonts w:ascii="宋体" w:hAnsi="宋体" w:cs="宋体"/>
                <w:color w:val="000000"/>
                <w:kern w:val="0"/>
              </w:rPr>
            </w:pPr>
            <w:r>
              <w:rPr>
                <w:rFonts w:hint="eastAsia" w:ascii="宋体" w:hAnsi="宋体" w:cs="宋体"/>
                <w:color w:val="000000"/>
                <w:kern w:val="0"/>
              </w:rPr>
              <w:t xml:space="preserve">最大上升速度 5 m/s 最大下降速度 4 m/s 最大可承受风速 12m/s </w:t>
            </w:r>
          </w:p>
          <w:p>
            <w:pPr>
              <w:widowControl/>
              <w:jc w:val="left"/>
              <w:rPr>
                <w:rFonts w:ascii="宋体" w:hAnsi="宋体" w:cs="宋体"/>
                <w:color w:val="000000"/>
                <w:kern w:val="0"/>
              </w:rPr>
            </w:pPr>
            <w:r>
              <w:rPr>
                <w:rFonts w:hint="eastAsia" w:ascii="宋体" w:hAnsi="宋体" w:cs="宋体"/>
                <w:color w:val="000000"/>
                <w:kern w:val="0"/>
              </w:rPr>
              <w:t xml:space="preserve">最大航行速度 15 m/s                              </w:t>
            </w:r>
          </w:p>
          <w:p>
            <w:pPr>
              <w:widowControl/>
              <w:jc w:val="left"/>
              <w:rPr>
                <w:rFonts w:ascii="宋体" w:hAnsi="宋体" w:cs="宋体"/>
                <w:color w:val="000000"/>
                <w:kern w:val="0"/>
              </w:rPr>
            </w:pPr>
            <w:r>
              <w:rPr>
                <w:rFonts w:hint="eastAsia" w:ascii="宋体" w:hAnsi="宋体" w:cs="宋体"/>
                <w:color w:val="000000"/>
                <w:kern w:val="0"/>
              </w:rPr>
              <w:t>使用寿命不低于 300 小时</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103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天通卫星全网通终端</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天通一号卫星电话。卫星通讯方式：天通卫星通讯；覆盖面积全中国；语音通话时间5小时（卫星电话）待机时间96小时；防护等级IP67。包含1年年费，每月60分钟全年720分钟通话时长。</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765"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油机</w:t>
            </w:r>
          </w:p>
        </w:tc>
        <w:tc>
          <w:tcPr>
            <w:tcW w:w="552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rPr>
              <w:t>柴油发电机组自带控制系统，随机油箱，蓄电池，消声器，减震垫，水箱（散热器）</w:t>
            </w:r>
            <w:r>
              <w:rPr>
                <w:rFonts w:hint="eastAsia" w:ascii="宋体" w:hAnsi="宋体" w:cs="宋体"/>
                <w:color w:val="000000"/>
                <w:kern w:val="0"/>
              </w:rPr>
              <w:br w:type="textWrapping"/>
            </w:r>
            <w:r>
              <w:rPr>
                <w:rFonts w:hint="eastAsia" w:ascii="宋体" w:hAnsi="宋体" w:cs="宋体"/>
                <w:color w:val="000000"/>
                <w:kern w:val="0"/>
              </w:rPr>
              <w:t>功率（kw） 30KW</w:t>
            </w:r>
            <w:r>
              <w:rPr>
                <w:rFonts w:hint="eastAsia" w:ascii="宋体" w:hAnsi="宋体" w:cs="宋体"/>
                <w:color w:val="000000"/>
                <w:kern w:val="0"/>
              </w:rPr>
              <w:br w:type="textWrapping"/>
            </w:r>
            <w:r>
              <w:rPr>
                <w:rFonts w:hint="eastAsia" w:ascii="宋体" w:hAnsi="宋体" w:cs="宋体"/>
                <w:color w:val="000000"/>
                <w:kern w:val="0"/>
              </w:rPr>
              <w:t>电压（V） 400/230</w:t>
            </w:r>
          </w:p>
          <w:p>
            <w:pPr>
              <w:widowControl/>
              <w:jc w:val="left"/>
              <w:rPr>
                <w:rFonts w:ascii="宋体" w:hAnsi="宋体" w:cs="宋体"/>
                <w:color w:val="000000"/>
                <w:kern w:val="0"/>
              </w:rPr>
            </w:pPr>
            <w:r>
              <w:rPr>
                <w:rFonts w:hint="eastAsia" w:ascii="宋体" w:hAnsi="宋体" w:cs="宋体"/>
                <w:color w:val="000000"/>
                <w:kern w:val="0"/>
              </w:rPr>
              <w:br w:type="textWrapping"/>
            </w:r>
            <w:r>
              <w:rPr>
                <w:rFonts w:hint="eastAsia" w:ascii="宋体" w:hAnsi="宋体" w:cs="宋体"/>
                <w:color w:val="000000"/>
                <w:kern w:val="0"/>
              </w:rPr>
              <w:t>电流（A） 48</w:t>
            </w:r>
            <w:r>
              <w:rPr>
                <w:rFonts w:hint="eastAsia" w:ascii="宋体" w:hAnsi="宋体" w:cs="宋体"/>
                <w:color w:val="000000"/>
                <w:kern w:val="0"/>
              </w:rPr>
              <w:br w:type="textWrapping"/>
            </w:r>
            <w:r>
              <w:rPr>
                <w:rFonts w:hint="eastAsia" w:ascii="宋体" w:hAnsi="宋体" w:cs="宋体"/>
                <w:color w:val="000000"/>
                <w:kern w:val="0"/>
              </w:rPr>
              <w:t>频率（Hz） 50</w:t>
            </w:r>
            <w:r>
              <w:rPr>
                <w:rFonts w:hint="eastAsia" w:ascii="宋体" w:hAnsi="宋体" w:cs="宋体"/>
                <w:color w:val="000000"/>
                <w:kern w:val="0"/>
              </w:rPr>
              <w:br w:type="textWrapping"/>
            </w:r>
            <w:r>
              <w:rPr>
                <w:rFonts w:hint="eastAsia" w:ascii="宋体" w:hAnsi="宋体" w:cs="宋体"/>
                <w:color w:val="000000"/>
                <w:kern w:val="0"/>
              </w:rPr>
              <w:t>功率因数 0.8</w:t>
            </w:r>
            <w:r>
              <w:rPr>
                <w:rFonts w:hint="eastAsia" w:ascii="宋体" w:hAnsi="宋体" w:cs="宋体"/>
                <w:color w:val="000000"/>
                <w:kern w:val="0"/>
              </w:rPr>
              <w:br w:type="textWrapping"/>
            </w:r>
            <w:r>
              <w:rPr>
                <w:rFonts w:hint="eastAsia" w:ascii="宋体" w:hAnsi="宋体" w:cs="宋体"/>
                <w:color w:val="000000"/>
                <w:kern w:val="0"/>
              </w:rPr>
              <w:t>稳态电压调整率 ≤±1%</w:t>
            </w:r>
            <w:r>
              <w:rPr>
                <w:rFonts w:hint="eastAsia" w:ascii="宋体" w:hAnsi="宋体" w:cs="宋体"/>
                <w:color w:val="000000"/>
                <w:kern w:val="0"/>
              </w:rPr>
              <w:br w:type="textWrapping"/>
            </w:r>
            <w:r>
              <w:rPr>
                <w:rFonts w:hint="eastAsia" w:ascii="宋体" w:hAnsi="宋体" w:cs="宋体"/>
                <w:color w:val="000000"/>
                <w:kern w:val="0"/>
              </w:rPr>
              <w:t>稳态频率调整率 ≤±1%</w:t>
            </w:r>
            <w:r>
              <w:rPr>
                <w:rFonts w:hint="eastAsia" w:ascii="宋体" w:hAnsi="宋体" w:cs="宋体"/>
                <w:color w:val="000000"/>
                <w:kern w:val="0"/>
              </w:rPr>
              <w:br w:type="textWrapping"/>
            </w:r>
            <w:r>
              <w:rPr>
                <w:rFonts w:hint="eastAsia" w:ascii="宋体" w:hAnsi="宋体" w:cs="宋体"/>
                <w:color w:val="000000"/>
                <w:kern w:val="0"/>
              </w:rPr>
              <w:t>稳态电压波动率 ≤±0.5%</w:t>
            </w:r>
            <w:r>
              <w:rPr>
                <w:rFonts w:hint="eastAsia" w:ascii="宋体" w:hAnsi="宋体" w:cs="宋体"/>
                <w:color w:val="000000"/>
                <w:kern w:val="0"/>
              </w:rPr>
              <w:br w:type="textWrapping"/>
            </w:r>
            <w:r>
              <w:rPr>
                <w:rFonts w:hint="eastAsia" w:ascii="宋体" w:hAnsi="宋体" w:cs="宋体"/>
                <w:color w:val="000000"/>
                <w:kern w:val="0"/>
              </w:rPr>
              <w:t>稳态频率波动率 ≤±0.5%</w:t>
            </w:r>
            <w:r>
              <w:rPr>
                <w:rFonts w:hint="eastAsia" w:ascii="宋体" w:hAnsi="宋体" w:cs="宋体"/>
                <w:color w:val="000000"/>
                <w:kern w:val="0"/>
              </w:rPr>
              <w:br w:type="textWrapping"/>
            </w:r>
            <w:r>
              <w:rPr>
                <w:rFonts w:hint="eastAsia" w:ascii="宋体" w:hAnsi="宋体" w:cs="宋体"/>
                <w:color w:val="000000"/>
                <w:kern w:val="0"/>
              </w:rPr>
              <w:t>瞬态电压调整率 ≤±10%</w:t>
            </w:r>
            <w:r>
              <w:rPr>
                <w:rFonts w:hint="eastAsia" w:ascii="宋体" w:hAnsi="宋体" w:cs="宋体"/>
                <w:color w:val="000000"/>
                <w:kern w:val="0"/>
              </w:rPr>
              <w:br w:type="textWrapping"/>
            </w:r>
            <w:r>
              <w:rPr>
                <w:rFonts w:hint="eastAsia" w:ascii="宋体" w:hAnsi="宋体" w:cs="宋体"/>
                <w:color w:val="000000"/>
                <w:kern w:val="0"/>
              </w:rPr>
              <w:t>瞬态频率调整率 ≤±5%</w:t>
            </w:r>
            <w:r>
              <w:rPr>
                <w:rFonts w:hint="eastAsia" w:ascii="宋体" w:hAnsi="宋体" w:cs="宋体"/>
                <w:color w:val="000000"/>
                <w:kern w:val="0"/>
              </w:rPr>
              <w:br w:type="textWrapping"/>
            </w:r>
            <w:r>
              <w:rPr>
                <w:rFonts w:hint="eastAsia" w:ascii="宋体" w:hAnsi="宋体" w:cs="宋体"/>
                <w:color w:val="000000"/>
                <w:kern w:val="0"/>
              </w:rPr>
              <w:t>电压恢复时间 ≤1.5S</w:t>
            </w:r>
            <w:r>
              <w:rPr>
                <w:rFonts w:hint="eastAsia" w:ascii="宋体" w:hAnsi="宋体" w:cs="宋体"/>
                <w:color w:val="000000"/>
                <w:kern w:val="0"/>
              </w:rPr>
              <w:br w:type="textWrapping"/>
            </w:r>
            <w:r>
              <w:rPr>
                <w:rFonts w:hint="eastAsia" w:ascii="宋体" w:hAnsi="宋体" w:cs="宋体"/>
                <w:color w:val="000000"/>
                <w:kern w:val="0"/>
              </w:rPr>
              <w:t>相对电压调整范围 ≥±10%</w:t>
            </w:r>
            <w:r>
              <w:rPr>
                <w:rFonts w:hint="eastAsia" w:ascii="宋体" w:hAnsi="宋体" w:cs="宋体"/>
                <w:color w:val="000000"/>
                <w:kern w:val="0"/>
              </w:rPr>
              <w:br w:type="textWrapping"/>
            </w:r>
            <w:r>
              <w:rPr>
                <w:rFonts w:hint="eastAsia" w:ascii="宋体" w:hAnsi="宋体" w:cs="宋体"/>
                <w:color w:val="000000"/>
                <w:kern w:val="0"/>
              </w:rPr>
              <w:t>波动、失真 正弦波≥5%</w:t>
            </w:r>
            <w:r>
              <w:rPr>
                <w:rFonts w:hint="eastAsia" w:ascii="宋体" w:hAnsi="宋体" w:cs="宋体"/>
                <w:color w:val="000000"/>
                <w:kern w:val="0"/>
              </w:rPr>
              <w:br w:type="textWrapping"/>
            </w:r>
            <w:r>
              <w:rPr>
                <w:rFonts w:hint="eastAsia" w:ascii="宋体" w:hAnsi="宋体" w:cs="宋体"/>
                <w:color w:val="000000"/>
                <w:kern w:val="0"/>
              </w:rPr>
              <w:t>环境温度/相对湿度 -10℃～40℃/≤60%</w:t>
            </w:r>
            <w:r>
              <w:rPr>
                <w:rFonts w:hint="eastAsia" w:ascii="宋体" w:hAnsi="宋体" w:cs="宋体"/>
                <w:color w:val="000000"/>
                <w:kern w:val="0"/>
              </w:rPr>
              <w:br w:type="textWrapping"/>
            </w:r>
            <w:r>
              <w:rPr>
                <w:rFonts w:hint="eastAsia" w:ascii="宋体" w:hAnsi="宋体" w:cs="宋体"/>
                <w:color w:val="000000"/>
                <w:kern w:val="0"/>
              </w:rPr>
              <w:t>符合标准 符合ISO3046以及ISO8528的要求</w:t>
            </w:r>
            <w:r>
              <w:rPr>
                <w:rFonts w:hint="eastAsia" w:ascii="宋体" w:hAnsi="宋体" w:cs="宋体"/>
                <w:color w:val="000000"/>
                <w:kern w:val="0"/>
              </w:rPr>
              <w:br w:type="textWrapping"/>
            </w:r>
            <w:r>
              <w:rPr>
                <w:rFonts w:hint="eastAsia" w:ascii="宋体" w:hAnsi="宋体" w:cs="宋体"/>
                <w:color w:val="000000"/>
                <w:kern w:val="0"/>
              </w:rPr>
              <w:t>通风条件 通风要良好，机组前后要有通风窗</w:t>
            </w:r>
            <w:r>
              <w:rPr>
                <w:rFonts w:hint="eastAsia" w:ascii="宋体" w:hAnsi="宋体" w:cs="宋体"/>
                <w:color w:val="000000"/>
                <w:kern w:val="0"/>
              </w:rPr>
              <w:br w:type="textWrapping"/>
            </w:r>
            <w:r>
              <w:rPr>
                <w:rFonts w:hint="eastAsia" w:ascii="宋体" w:hAnsi="宋体" w:cs="宋体"/>
                <w:color w:val="000000"/>
                <w:kern w:val="0"/>
              </w:rPr>
              <w:t>运行时水温（℃） 75-95</w:t>
            </w:r>
            <w:r>
              <w:rPr>
                <w:rFonts w:hint="eastAsia" w:ascii="宋体" w:hAnsi="宋体" w:cs="宋体"/>
                <w:color w:val="000000"/>
                <w:kern w:val="0"/>
              </w:rPr>
              <w:br w:type="textWrapping"/>
            </w:r>
            <w:r>
              <w:rPr>
                <w:rFonts w:hint="eastAsia" w:ascii="宋体" w:hAnsi="宋体" w:cs="宋体"/>
                <w:color w:val="000000"/>
                <w:kern w:val="0"/>
              </w:rPr>
              <w:t>连续工作负荷 ≤90%</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台</w:t>
            </w:r>
          </w:p>
        </w:tc>
      </w:tr>
      <w:tr>
        <w:tblPrEx>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三</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装修</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rPr>
            </w:pPr>
            <w:r>
              <w:rPr>
                <w:rFonts w:hint="eastAsia" w:ascii="宋体" w:hAnsi="宋体" w:cs="宋体"/>
                <w:b/>
                <w:bCs/>
                <w:color w:val="000000"/>
                <w:kern w:val="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390" w:hRule="atLeast"/>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4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功能区装修</w:t>
            </w:r>
          </w:p>
        </w:tc>
        <w:tc>
          <w:tcPr>
            <w:tcW w:w="552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kern w:val="0"/>
              </w:rPr>
            </w:pPr>
            <w:r>
              <w:rPr>
                <w:rFonts w:hint="eastAsia" w:ascii="宋体" w:hAnsi="宋体" w:cs="宋体"/>
                <w:color w:val="000000"/>
                <w:kern w:val="0"/>
              </w:rPr>
              <w:t>大屏后窗户封闭、粉刷和大厅地面170平米防静电处理及天花板吊顶、背景墙等墙体装修、地板及电路</w:t>
            </w:r>
          </w:p>
        </w:tc>
        <w:tc>
          <w:tcPr>
            <w:tcW w:w="8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170</w:t>
            </w:r>
          </w:p>
        </w:tc>
        <w:tc>
          <w:tcPr>
            <w:tcW w:w="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rPr>
            </w:pPr>
            <w:r>
              <w:rPr>
                <w:rFonts w:hint="eastAsia" w:ascii="宋体" w:hAnsi="宋体" w:cs="宋体"/>
                <w:color w:val="000000"/>
                <w:kern w:val="0"/>
              </w:rPr>
              <w:t>平米</w:t>
            </w:r>
          </w:p>
        </w:tc>
      </w:tr>
      <w:tr>
        <w:tblPrEx>
          <w:tblCellMar>
            <w:top w:w="0" w:type="dxa"/>
            <w:left w:w="108" w:type="dxa"/>
            <w:bottom w:w="0" w:type="dxa"/>
            <w:right w:w="108" w:type="dxa"/>
          </w:tblCellMar>
        </w:tblPrEx>
        <w:trPr>
          <w:trHeight w:val="630" w:hRule="atLeast"/>
        </w:trPr>
        <w:tc>
          <w:tcPr>
            <w:tcW w:w="72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功能区家具及设备采购</w:t>
            </w:r>
          </w:p>
        </w:tc>
        <w:tc>
          <w:tcPr>
            <w:tcW w:w="552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操作台2张、主席台6米、办公椅7张、会议条桌8张、办公电脑8台、打印机4台、传真机3台、电话6部</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套</w:t>
            </w:r>
          </w:p>
        </w:tc>
      </w:tr>
    </w:tbl>
    <w:p>
      <w:pPr>
        <w:spacing w:line="360" w:lineRule="auto"/>
        <w:rPr>
          <w:rFonts w:ascii="宋体" w:hAnsi="宋体" w:eastAsia="Calibri" w:cs="Times New Roman"/>
          <w:bCs/>
          <w:color w:val="0D0D0D"/>
          <w:sz w:val="24"/>
          <w:szCs w:val="20"/>
        </w:rPr>
      </w:pPr>
      <w:r>
        <w:rPr>
          <w:rFonts w:hint="eastAsia" w:ascii="宋体" w:hAnsi="宋体" w:eastAsia="Calibri" w:cs="Times New Roman"/>
          <w:bCs/>
          <w:color w:val="0D0D0D"/>
          <w:sz w:val="24"/>
          <w:szCs w:val="20"/>
        </w:rPr>
        <w:t>四、交货期及付款方式</w:t>
      </w:r>
    </w:p>
    <w:p>
      <w:pPr>
        <w:spacing w:line="480" w:lineRule="exact"/>
        <w:ind w:firstLine="480" w:firstLineChars="200"/>
        <w:rPr>
          <w:rFonts w:ascii="宋体" w:hAnsi="宋体" w:cs="宋体"/>
          <w:b/>
          <w:bCs/>
          <w:color w:val="FF0000"/>
          <w:sz w:val="24"/>
          <w:szCs w:val="24"/>
        </w:rPr>
      </w:pPr>
      <w:r>
        <w:rPr>
          <w:rFonts w:hint="eastAsia" w:ascii="宋体" w:hAnsi="宋体" w:cs="宋体"/>
          <w:color w:val="FF0000"/>
          <w:sz w:val="24"/>
          <w:szCs w:val="24"/>
        </w:rPr>
        <w:t>1、交货期及安装期：</w:t>
      </w:r>
      <w:r>
        <w:rPr>
          <w:rFonts w:hint="eastAsia" w:ascii="宋体" w:hAnsi="宋体" w:cs="宋体"/>
          <w:color w:val="FF0000"/>
          <w:sz w:val="24"/>
        </w:rPr>
        <w:t>合同签订后30个日历天内交货并安装调试完毕</w:t>
      </w:r>
      <w:r>
        <w:rPr>
          <w:rFonts w:hint="eastAsia" w:ascii="宋体" w:hAnsi="宋体" w:cs="宋体"/>
          <w:color w:val="FF0000"/>
          <w:sz w:val="24"/>
          <w:szCs w:val="24"/>
        </w:rPr>
        <w:t>；交货地点：</w:t>
      </w:r>
      <w:r>
        <w:rPr>
          <w:rFonts w:hint="eastAsia" w:ascii="宋体" w:hAnsi="宋体" w:cs="宋体"/>
          <w:bCs/>
          <w:color w:val="FF0000"/>
          <w:sz w:val="24"/>
          <w:szCs w:val="24"/>
          <w:shd w:val="clear" w:color="auto" w:fill="FFFFFF"/>
        </w:rPr>
        <w:t>阳新县应急指挥中心</w:t>
      </w:r>
      <w:r>
        <w:rPr>
          <w:rFonts w:hint="eastAsia" w:ascii="宋体" w:hAnsi="宋体" w:cs="宋体"/>
          <w:color w:val="FF0000"/>
          <w:sz w:val="24"/>
          <w:szCs w:val="24"/>
        </w:rPr>
        <w:t>；</w:t>
      </w:r>
      <w:r>
        <w:rPr>
          <w:rFonts w:hint="eastAsia" w:ascii="宋体" w:hAnsi="宋体" w:cs="宋体"/>
          <w:b/>
          <w:bCs/>
          <w:color w:val="FF0000"/>
          <w:sz w:val="24"/>
          <w:szCs w:val="24"/>
        </w:rPr>
        <w:t>质保期：3年。</w:t>
      </w:r>
    </w:p>
    <w:p>
      <w:pPr>
        <w:spacing w:line="480" w:lineRule="exact"/>
        <w:ind w:firstLine="482" w:firstLineChars="200"/>
        <w:rPr>
          <w:rFonts w:ascii="宋体" w:hAnsi="宋体" w:cs="宋体"/>
          <w:b/>
          <w:bCs/>
          <w:color w:val="FF0000"/>
          <w:sz w:val="24"/>
          <w:szCs w:val="24"/>
        </w:rPr>
      </w:pPr>
      <w:r>
        <w:rPr>
          <w:rFonts w:hint="eastAsia" w:ascii="宋体" w:hAnsi="宋体" w:cs="宋体"/>
          <w:b/>
          <w:bCs/>
          <w:color w:val="FF0000"/>
          <w:sz w:val="24"/>
          <w:szCs w:val="24"/>
        </w:rPr>
        <w:t>2、付款方式：</w:t>
      </w:r>
    </w:p>
    <w:p>
      <w:pPr>
        <w:pStyle w:val="55"/>
        <w:snapToGrid w:val="0"/>
        <w:ind w:firstLine="482"/>
      </w:pPr>
      <w:r>
        <w:rPr>
          <w:rFonts w:hint="eastAsia" w:ascii="宋体" w:hAnsi="宋体" w:cs="宋体"/>
          <w:b/>
          <w:bCs/>
          <w:color w:val="FF0000"/>
        </w:rPr>
        <w:t>验收合格后付89万元，余款第二年付清。</w:t>
      </w:r>
    </w:p>
    <w:p>
      <w:pPr>
        <w:rPr>
          <w:rFonts w:ascii="Microsoft JhengHei"/>
          <w:sz w:val="20"/>
        </w:rPr>
        <w:sectPr>
          <w:footerReference r:id="rId5" w:type="default"/>
          <w:pgSz w:w="11900" w:h="16840"/>
          <w:pgMar w:top="1080" w:right="960" w:bottom="1340" w:left="880" w:header="879" w:footer="1150" w:gutter="0"/>
          <w:cols w:space="720" w:num="1"/>
        </w:sectPr>
      </w:pPr>
    </w:p>
    <w:p>
      <w:pPr>
        <w:pStyle w:val="2"/>
        <w:ind w:firstLine="420"/>
      </w:pPr>
    </w:p>
    <w:p>
      <w:pPr>
        <w:pStyle w:val="3"/>
        <w:jc w:val="center"/>
        <w:rPr>
          <w:rFonts w:ascii="黑体" w:hAnsi="黑体" w:eastAsia="黑体" w:cs="Times New Roman"/>
        </w:rPr>
      </w:pPr>
      <w:bookmarkStart w:id="58" w:name="_Toc509323130"/>
      <w:r>
        <w:rPr>
          <w:rFonts w:hint="eastAsia" w:ascii="黑体" w:hAnsi="黑体" w:eastAsia="黑体" w:cs="黑体"/>
        </w:rPr>
        <w:t>第四章</w:t>
      </w:r>
      <w:r>
        <w:rPr>
          <w:rFonts w:ascii="黑体" w:hAnsi="黑体" w:eastAsia="黑体" w:cs="黑体"/>
        </w:rPr>
        <w:t xml:space="preserve"> </w:t>
      </w:r>
      <w:r>
        <w:rPr>
          <w:rFonts w:hint="eastAsia" w:ascii="黑体" w:hAnsi="黑体" w:eastAsia="黑体" w:cs="黑体"/>
        </w:rPr>
        <w:t>资格审查方法及标准</w:t>
      </w:r>
      <w:bookmarkEnd w:id="57"/>
      <w:bookmarkEnd w:id="58"/>
    </w:p>
    <w:p>
      <w:pPr>
        <w:spacing w:line="360" w:lineRule="auto"/>
        <w:ind w:firstLine="420"/>
        <w:rPr>
          <w:rFonts w:ascii="宋体" w:cs="Times New Roman"/>
          <w:sz w:val="24"/>
          <w:szCs w:val="24"/>
          <w:lang w:val="zh-CN"/>
        </w:rPr>
      </w:pPr>
      <w:r>
        <w:rPr>
          <w:rFonts w:hint="eastAsia" w:ascii="宋体" w:hAnsi="宋体" w:cs="宋体"/>
          <w:sz w:val="24"/>
          <w:szCs w:val="24"/>
          <w:lang w:val="zh-CN"/>
        </w:rPr>
        <w:t>根据《政府采购法》、《政府采购法实施条例》、《政府采购货物和服务招标投标管理办法》等相关法律法规确定以下资格审查方法及标准。</w:t>
      </w:r>
    </w:p>
    <w:p>
      <w:pPr>
        <w:pStyle w:val="4"/>
        <w:numPr>
          <w:ilvl w:val="0"/>
          <w:numId w:val="18"/>
        </w:numPr>
        <w:spacing w:before="0" w:after="0" w:line="360" w:lineRule="auto"/>
        <w:ind w:left="616" w:hanging="616"/>
        <w:jc w:val="left"/>
        <w:rPr>
          <w:rFonts w:ascii="宋体" w:cs="Times New Roman"/>
          <w:sz w:val="30"/>
          <w:szCs w:val="30"/>
          <w:lang w:val="zh-CN"/>
        </w:rPr>
      </w:pPr>
      <w:bookmarkStart w:id="59" w:name="_Toc509323131"/>
      <w:bookmarkStart w:id="60" w:name="_Toc494561958"/>
      <w:bookmarkStart w:id="61" w:name="_Toc495861539"/>
      <w:r>
        <w:rPr>
          <w:rFonts w:hint="eastAsia" w:ascii="宋体" w:hAnsi="宋体" w:cs="宋体"/>
          <w:sz w:val="30"/>
          <w:szCs w:val="30"/>
          <w:lang w:val="zh-CN"/>
        </w:rPr>
        <w:t>资格审查方法</w:t>
      </w:r>
      <w:bookmarkEnd w:id="59"/>
      <w:bookmarkEnd w:id="60"/>
      <w:bookmarkEnd w:id="61"/>
    </w:p>
    <w:p>
      <w:pPr>
        <w:spacing w:line="360" w:lineRule="auto"/>
        <w:ind w:firstLine="420"/>
        <w:rPr>
          <w:rFonts w:ascii="宋体" w:cs="Times New Roman"/>
          <w:sz w:val="24"/>
          <w:szCs w:val="24"/>
          <w:lang w:val="zh-CN"/>
        </w:rPr>
      </w:pPr>
      <w:r>
        <w:rPr>
          <w:rFonts w:hint="eastAsia" w:ascii="宋体" w:hAnsi="宋体" w:cs="宋体"/>
          <w:sz w:val="24"/>
          <w:szCs w:val="24"/>
          <w:lang w:val="zh-CN"/>
        </w:rPr>
        <w:t>公开招标采购项目开标结束后，采购人、采购代理机构成立资格审查小组，依据法律、法规及招标文件的规定，对投标人的资格进行审查，以确定投标人资格是否合格。</w:t>
      </w:r>
    </w:p>
    <w:p>
      <w:pPr>
        <w:pStyle w:val="4"/>
        <w:numPr>
          <w:ilvl w:val="0"/>
          <w:numId w:val="18"/>
        </w:numPr>
        <w:spacing w:before="0" w:after="0" w:line="360" w:lineRule="auto"/>
        <w:ind w:left="616" w:hanging="616"/>
        <w:jc w:val="left"/>
        <w:rPr>
          <w:rFonts w:ascii="宋体" w:cs="Times New Roman"/>
          <w:sz w:val="30"/>
          <w:szCs w:val="30"/>
          <w:lang w:val="zh-CN"/>
        </w:rPr>
      </w:pPr>
      <w:bookmarkStart w:id="62" w:name="_Toc509323132"/>
      <w:bookmarkStart w:id="63" w:name="_Toc495861540"/>
      <w:bookmarkStart w:id="64" w:name="_Toc494561959"/>
      <w:r>
        <w:rPr>
          <w:rFonts w:hint="eastAsia" w:ascii="宋体" w:hAnsi="宋体" w:cs="宋体"/>
          <w:sz w:val="30"/>
          <w:szCs w:val="30"/>
          <w:lang w:val="zh-CN"/>
        </w:rPr>
        <w:t>资格审查标准</w:t>
      </w:r>
      <w:bookmarkEnd w:id="62"/>
      <w:bookmarkEnd w:id="63"/>
      <w:bookmarkEnd w:id="64"/>
    </w:p>
    <w:p>
      <w:pPr>
        <w:numPr>
          <w:ilvl w:val="0"/>
          <w:numId w:val="19"/>
        </w:numPr>
        <w:tabs>
          <w:tab w:val="left" w:pos="616"/>
        </w:tabs>
        <w:spacing w:line="360" w:lineRule="auto"/>
        <w:ind w:left="14" w:firstLine="238"/>
        <w:rPr>
          <w:rFonts w:ascii="宋体" w:cs="Times New Roman"/>
          <w:b/>
          <w:bCs/>
          <w:sz w:val="24"/>
          <w:szCs w:val="24"/>
          <w:lang w:val="zh-CN"/>
        </w:rPr>
      </w:pPr>
      <w:r>
        <w:rPr>
          <w:rFonts w:hint="eastAsia" w:ascii="宋体" w:hAnsi="宋体" w:cs="宋体"/>
          <w:b/>
          <w:bCs/>
          <w:sz w:val="24"/>
          <w:szCs w:val="24"/>
          <w:lang w:val="zh-CN"/>
        </w:rPr>
        <w:t>资格证明文件审查</w:t>
      </w:r>
    </w:p>
    <w:p>
      <w:pPr>
        <w:tabs>
          <w:tab w:val="left" w:pos="616"/>
        </w:tabs>
        <w:spacing w:line="360" w:lineRule="auto"/>
        <w:ind w:firstLine="420"/>
        <w:rPr>
          <w:rFonts w:ascii="Helvetica" w:hAnsi="Helvetica" w:cs="Helvetica"/>
          <w:b/>
          <w:bCs/>
          <w:kern w:val="0"/>
          <w:sz w:val="24"/>
          <w:szCs w:val="24"/>
          <w:lang w:val="zh-CN"/>
        </w:rPr>
      </w:pPr>
      <w:r>
        <w:rPr>
          <w:rFonts w:hint="eastAsia" w:ascii="Helvetica" w:hAnsi="Helvetica" w:cs="宋体"/>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宋体"/>
          <w:b/>
          <w:bCs/>
          <w:kern w:val="0"/>
          <w:sz w:val="24"/>
          <w:szCs w:val="24"/>
          <w:lang w:val="zh-CN"/>
        </w:rPr>
        <w:t>无效投标处理：</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应具备《政府采购法》第二十二条第一款规定的条件，</w:t>
      </w:r>
      <w:r>
        <w:rPr>
          <w:rFonts w:hint="eastAsia" w:hAnsi="宋体" w:cs="宋体"/>
          <w:sz w:val="24"/>
          <w:szCs w:val="24"/>
        </w:rPr>
        <w:t>提供下列材料</w:t>
      </w:r>
      <w:r>
        <w:rPr>
          <w:rFonts w:hint="eastAsia" w:ascii="宋体" w:hAnsi="宋体" w:cs="宋体"/>
          <w:sz w:val="24"/>
          <w:szCs w:val="24"/>
          <w:lang w:val="zh-CN"/>
        </w:rPr>
        <w:t>：</w:t>
      </w:r>
    </w:p>
    <w:p>
      <w:pPr>
        <w:pStyle w:val="40"/>
        <w:numPr>
          <w:ilvl w:val="0"/>
          <w:numId w:val="21"/>
        </w:numPr>
        <w:tabs>
          <w:tab w:val="left" w:pos="1036"/>
        </w:tabs>
        <w:spacing w:line="360" w:lineRule="auto"/>
        <w:ind w:left="1036" w:hanging="616" w:firstLineChars="0"/>
        <w:rPr>
          <w:rFonts w:ascii="宋体" w:cs="Times New Roman"/>
          <w:sz w:val="24"/>
          <w:szCs w:val="24"/>
          <w:lang w:val="zh-CN"/>
        </w:rPr>
      </w:pPr>
      <w:r>
        <w:rPr>
          <w:rFonts w:hint="eastAsia" w:ascii="宋体" w:hAnsi="宋体" w:cs="宋体"/>
          <w:sz w:val="24"/>
          <w:szCs w:val="24"/>
          <w:lang w:val="zh-CN"/>
        </w:rPr>
        <w:t>法人或者其他组织的营业执照等证明文件，自然人的身份证明；</w:t>
      </w:r>
    </w:p>
    <w:p>
      <w:pPr>
        <w:pStyle w:val="40"/>
        <w:numPr>
          <w:ilvl w:val="0"/>
          <w:numId w:val="21"/>
        </w:numPr>
        <w:tabs>
          <w:tab w:val="left" w:pos="1036"/>
        </w:tabs>
        <w:spacing w:line="360" w:lineRule="auto"/>
        <w:ind w:left="1036" w:hanging="616" w:firstLineChars="0"/>
        <w:rPr>
          <w:rFonts w:ascii="宋体" w:cs="Times New Roman"/>
          <w:sz w:val="24"/>
          <w:szCs w:val="24"/>
          <w:lang w:val="zh-CN"/>
        </w:rPr>
      </w:pPr>
      <w:r>
        <w:rPr>
          <w:rFonts w:hint="eastAsia" w:ascii="宋体" w:hAnsi="宋体" w:cs="宋体"/>
          <w:sz w:val="24"/>
          <w:szCs w:val="24"/>
          <w:lang w:val="zh-CN"/>
        </w:rPr>
        <w:t>财务状况报告，依法缴纳税收和社会保障资金的相关材料；</w:t>
      </w:r>
    </w:p>
    <w:p>
      <w:pPr>
        <w:pStyle w:val="40"/>
        <w:numPr>
          <w:ilvl w:val="0"/>
          <w:numId w:val="21"/>
        </w:numPr>
        <w:tabs>
          <w:tab w:val="left" w:pos="1036"/>
        </w:tabs>
        <w:spacing w:line="360" w:lineRule="auto"/>
        <w:ind w:left="1036" w:hanging="616" w:firstLineChars="0"/>
        <w:rPr>
          <w:rFonts w:ascii="宋体" w:cs="Times New Roman"/>
          <w:sz w:val="24"/>
          <w:szCs w:val="24"/>
          <w:lang w:val="zh-CN"/>
        </w:rPr>
      </w:pPr>
      <w:r>
        <w:rPr>
          <w:rFonts w:hint="eastAsia" w:ascii="宋体" w:hAnsi="宋体" w:cs="宋体"/>
          <w:sz w:val="24"/>
          <w:szCs w:val="24"/>
          <w:lang w:val="zh-CN"/>
        </w:rPr>
        <w:t>具备履行合同所必需的设备和专业技术能力的证明材料；</w:t>
      </w:r>
    </w:p>
    <w:p>
      <w:pPr>
        <w:pStyle w:val="40"/>
        <w:numPr>
          <w:ilvl w:val="0"/>
          <w:numId w:val="21"/>
        </w:numPr>
        <w:tabs>
          <w:tab w:val="left" w:pos="1036"/>
        </w:tabs>
        <w:spacing w:line="360" w:lineRule="auto"/>
        <w:ind w:left="1036" w:hanging="616" w:firstLineChars="0"/>
        <w:rPr>
          <w:rFonts w:ascii="宋体" w:cs="Times New Roman"/>
          <w:sz w:val="24"/>
          <w:szCs w:val="24"/>
          <w:lang w:val="zh-CN"/>
        </w:rPr>
      </w:pPr>
      <w:r>
        <w:rPr>
          <w:rFonts w:hint="eastAsia" w:ascii="宋体" w:hAnsi="宋体" w:cs="宋体"/>
          <w:sz w:val="24"/>
          <w:szCs w:val="24"/>
          <w:lang w:val="zh-CN"/>
        </w:rPr>
        <w:t>参加政府采购活动前</w:t>
      </w:r>
      <w:r>
        <w:rPr>
          <w:rFonts w:ascii="宋体" w:hAnsi="宋体" w:cs="宋体"/>
          <w:sz w:val="24"/>
          <w:szCs w:val="24"/>
          <w:lang w:val="zh-CN"/>
        </w:rPr>
        <w:t>3</w:t>
      </w:r>
      <w:r>
        <w:rPr>
          <w:rFonts w:hint="eastAsia" w:ascii="宋体" w:hAnsi="宋体" w:cs="宋体"/>
          <w:sz w:val="24"/>
          <w:szCs w:val="24"/>
          <w:lang w:val="zh-CN"/>
        </w:rPr>
        <w:t>年内在经营活动中没有重大违法记录的书面声明；</w:t>
      </w:r>
    </w:p>
    <w:p>
      <w:pPr>
        <w:pStyle w:val="40"/>
        <w:numPr>
          <w:ilvl w:val="0"/>
          <w:numId w:val="21"/>
        </w:numPr>
        <w:tabs>
          <w:tab w:val="left" w:pos="1036"/>
        </w:tabs>
        <w:spacing w:line="360" w:lineRule="auto"/>
        <w:ind w:left="1036" w:hanging="616" w:firstLineChars="0"/>
        <w:rPr>
          <w:rFonts w:ascii="宋体" w:cs="Times New Roman"/>
          <w:sz w:val="24"/>
          <w:szCs w:val="24"/>
          <w:lang w:val="zh-CN"/>
        </w:rPr>
      </w:pPr>
      <w:r>
        <w:rPr>
          <w:rFonts w:hint="eastAsia" w:ascii="宋体" w:hAnsi="宋体" w:cs="宋体"/>
          <w:sz w:val="24"/>
          <w:szCs w:val="24"/>
          <w:lang w:val="zh-CN"/>
        </w:rPr>
        <w:t>具备法律、行政法规规定的其他条件的证明材料。</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未被“信用中国”网站</w:t>
      </w:r>
      <w:r>
        <w:rPr>
          <w:rFonts w:ascii="宋体" w:hAnsi="宋体" w:cs="宋体"/>
          <w:sz w:val="24"/>
          <w:szCs w:val="24"/>
          <w:lang w:val="zh-CN"/>
        </w:rPr>
        <w:t>(www.creditchina.gov.cn)</w:t>
      </w:r>
      <w:r>
        <w:rPr>
          <w:rFonts w:hint="eastAsia" w:ascii="宋体" w:hAnsi="宋体" w:cs="宋体"/>
          <w:sz w:val="24"/>
          <w:szCs w:val="24"/>
          <w:lang w:val="zh-CN"/>
        </w:rPr>
        <w:t>列入失信被执行人、重大税收违法案件当事人名单、政府采购严重违法失信行为记录名单的书面申明及该网站查询结果页面截图；</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招标文件第一章“投标人资格要求”中有特殊要求的，投标人应提供其符合特殊要求的证明材料或者情况说明；</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不符合联合体投标相关规定和要求的；</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投标人认为需提供的其它相关资格证明材料；</w:t>
      </w:r>
    </w:p>
    <w:p>
      <w:pPr>
        <w:pStyle w:val="40"/>
        <w:numPr>
          <w:ilvl w:val="0"/>
          <w:numId w:val="20"/>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资格证明文件正本应为清晰彩色影印件且加盖单位公章。</w:t>
      </w:r>
    </w:p>
    <w:p>
      <w:pPr>
        <w:numPr>
          <w:ilvl w:val="0"/>
          <w:numId w:val="19"/>
        </w:numPr>
        <w:tabs>
          <w:tab w:val="left" w:pos="616"/>
        </w:tabs>
        <w:spacing w:line="360" w:lineRule="auto"/>
        <w:ind w:left="14" w:firstLine="238"/>
        <w:rPr>
          <w:rFonts w:ascii="宋体" w:cs="Times New Roman"/>
          <w:b/>
          <w:bCs/>
          <w:sz w:val="24"/>
          <w:szCs w:val="24"/>
          <w:lang w:val="zh-CN"/>
        </w:rPr>
      </w:pPr>
      <w:r>
        <w:rPr>
          <w:rFonts w:hint="eastAsia" w:ascii="宋体" w:hAnsi="宋体" w:cs="宋体"/>
          <w:b/>
          <w:bCs/>
          <w:sz w:val="24"/>
          <w:szCs w:val="24"/>
          <w:lang w:val="zh-CN"/>
        </w:rPr>
        <w:t>确定资格审查合格投标人</w:t>
      </w:r>
    </w:p>
    <w:p>
      <w:pPr>
        <w:pStyle w:val="40"/>
        <w:numPr>
          <w:ilvl w:val="0"/>
          <w:numId w:val="22"/>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cs="宋体"/>
          <w:b/>
          <w:bCs/>
          <w:sz w:val="24"/>
          <w:szCs w:val="24"/>
          <w:lang w:val="zh-CN"/>
        </w:rPr>
        <w:t>形成书面的资格审查报告。</w:t>
      </w:r>
    </w:p>
    <w:p>
      <w:pPr>
        <w:pStyle w:val="40"/>
        <w:numPr>
          <w:ilvl w:val="0"/>
          <w:numId w:val="22"/>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资格审查合格投标人不足</w:t>
      </w:r>
      <w:r>
        <w:rPr>
          <w:rFonts w:ascii="宋体" w:hAnsi="宋体" w:cs="宋体"/>
          <w:sz w:val="24"/>
          <w:szCs w:val="24"/>
          <w:lang w:val="zh-CN"/>
        </w:rPr>
        <w:t>3</w:t>
      </w:r>
      <w:r>
        <w:rPr>
          <w:rFonts w:hint="eastAsia" w:ascii="宋体" w:hAnsi="宋体" w:cs="宋体"/>
          <w:sz w:val="24"/>
          <w:szCs w:val="24"/>
          <w:lang w:val="zh-CN"/>
        </w:rPr>
        <w:t>家的，不进行评标。</w:t>
      </w:r>
    </w:p>
    <w:p>
      <w:pPr>
        <w:pStyle w:val="40"/>
        <w:numPr>
          <w:ilvl w:val="0"/>
          <w:numId w:val="22"/>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资格审查未通过的投标人可在结果公告质疑有效期内按公告中的联系方式获知本单位的资格审查情况。</w:t>
      </w:r>
    </w:p>
    <w:p>
      <w:pPr>
        <w:pStyle w:val="40"/>
        <w:numPr>
          <w:ilvl w:val="0"/>
          <w:numId w:val="22"/>
        </w:numPr>
        <w:tabs>
          <w:tab w:val="left" w:pos="840"/>
        </w:tabs>
        <w:spacing w:line="360" w:lineRule="auto"/>
        <w:ind w:hanging="602" w:firstLineChars="0"/>
        <w:rPr>
          <w:rFonts w:ascii="宋体" w:cs="Times New Roman"/>
          <w:sz w:val="24"/>
          <w:szCs w:val="24"/>
          <w:lang w:val="zh-CN"/>
        </w:rPr>
      </w:pPr>
      <w:r>
        <w:rPr>
          <w:rFonts w:hint="eastAsia" w:ascii="宋体" w:hAnsi="宋体" w:cs="宋体"/>
          <w:sz w:val="24"/>
          <w:szCs w:val="24"/>
          <w:lang w:val="zh-CN"/>
        </w:rPr>
        <w:t>采购人已进行资格预审的，不再进行资格审查。未通过资格预审的投标人，采购人、采购代理机构</w:t>
      </w:r>
      <w:r>
        <w:rPr>
          <w:rFonts w:hint="eastAsia" w:ascii="宋体" w:hAnsi="宋体" w:cs="宋体"/>
          <w:b/>
          <w:bCs/>
          <w:sz w:val="24"/>
          <w:szCs w:val="24"/>
          <w:lang w:val="zh-CN"/>
        </w:rPr>
        <w:t>拒绝</w:t>
      </w:r>
      <w:r>
        <w:rPr>
          <w:rFonts w:hint="eastAsia" w:ascii="宋体" w:hAnsi="宋体" w:cs="宋体"/>
          <w:sz w:val="24"/>
          <w:szCs w:val="24"/>
          <w:lang w:val="zh-CN"/>
        </w:rPr>
        <w:t>其投标。</w:t>
      </w:r>
    </w:p>
    <w:p>
      <w:pPr>
        <w:rPr>
          <w:rFonts w:cs="Times New Roman"/>
        </w:rPr>
      </w:pPr>
      <w:r>
        <w:rPr>
          <w:rFonts w:cs="Times New Roman"/>
        </w:rPr>
        <w:br w:type="page"/>
      </w:r>
    </w:p>
    <w:p>
      <w:pPr>
        <w:pStyle w:val="3"/>
        <w:numPr>
          <w:ilvl w:val="1"/>
          <w:numId w:val="22"/>
        </w:numPr>
        <w:jc w:val="center"/>
        <w:rPr>
          <w:rFonts w:ascii="黑体" w:hAnsi="黑体" w:eastAsia="黑体" w:cs="Times New Roman"/>
        </w:rPr>
      </w:pPr>
      <w:bookmarkStart w:id="65" w:name="_Toc495861541"/>
      <w:bookmarkStart w:id="66" w:name="_Toc509323133"/>
      <w:r>
        <w:rPr>
          <w:rFonts w:hint="eastAsia" w:ascii="黑体" w:hAnsi="黑体" w:eastAsia="黑体" w:cs="黑体"/>
        </w:rPr>
        <w:t>评标方法、程序及标准</w:t>
      </w:r>
      <w:bookmarkEnd w:id="65"/>
      <w:bookmarkEnd w:id="66"/>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根据《政府采购法》、《政府采购法实施条例》、《政府采购货物和服务招标投标管理办法》等相关法律法规确定以下评标办法、程序及标准。</w:t>
      </w:r>
    </w:p>
    <w:p>
      <w:pPr>
        <w:pStyle w:val="4"/>
        <w:numPr>
          <w:ilvl w:val="0"/>
          <w:numId w:val="23"/>
        </w:numPr>
        <w:spacing w:before="0" w:after="0" w:line="360" w:lineRule="auto"/>
        <w:ind w:left="616" w:hanging="616"/>
        <w:jc w:val="left"/>
        <w:rPr>
          <w:rFonts w:ascii="宋体" w:cs="Times New Roman"/>
          <w:sz w:val="30"/>
          <w:szCs w:val="30"/>
          <w:lang w:val="zh-CN"/>
        </w:rPr>
      </w:pPr>
      <w:bookmarkStart w:id="67" w:name="_Toc272247708"/>
      <w:bookmarkStart w:id="68" w:name="_Toc278891605"/>
      <w:bookmarkStart w:id="69" w:name="_Toc495861542"/>
      <w:bookmarkStart w:id="70" w:name="_Toc494561961"/>
      <w:bookmarkStart w:id="71" w:name="_Toc509323134"/>
      <w:r>
        <w:rPr>
          <w:rFonts w:hint="eastAsia" w:ascii="宋体" w:hAnsi="宋体" w:cs="宋体"/>
          <w:sz w:val="30"/>
          <w:szCs w:val="30"/>
          <w:lang w:val="zh-CN"/>
        </w:rPr>
        <w:t>评标</w:t>
      </w:r>
      <w:bookmarkEnd w:id="67"/>
      <w:bookmarkEnd w:id="68"/>
      <w:r>
        <w:rPr>
          <w:rFonts w:hint="eastAsia" w:ascii="宋体" w:hAnsi="宋体" w:cs="宋体"/>
          <w:sz w:val="30"/>
          <w:szCs w:val="30"/>
          <w:lang w:val="zh-CN"/>
        </w:rPr>
        <w:t>方法</w:t>
      </w:r>
      <w:bookmarkEnd w:id="69"/>
      <w:bookmarkEnd w:id="70"/>
      <w:bookmarkEnd w:id="71"/>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本项目评标采用综合评分法，是指投标文件满足招标文件全部实质性要求，且按照评审因素的量化指标评审得分最高的投标人为中标候选人的评标方法。</w:t>
      </w:r>
    </w:p>
    <w:p>
      <w:pPr>
        <w:pStyle w:val="4"/>
        <w:numPr>
          <w:ilvl w:val="0"/>
          <w:numId w:val="23"/>
        </w:numPr>
        <w:spacing w:before="0" w:after="0" w:line="360" w:lineRule="auto"/>
        <w:ind w:left="616" w:hanging="616"/>
        <w:jc w:val="left"/>
        <w:rPr>
          <w:rFonts w:ascii="宋体" w:cs="Times New Roman"/>
          <w:sz w:val="30"/>
          <w:szCs w:val="30"/>
          <w:lang w:val="zh-CN"/>
        </w:rPr>
      </w:pPr>
      <w:bookmarkStart w:id="72" w:name="_Toc278891606"/>
      <w:bookmarkStart w:id="73" w:name="_Toc272247709"/>
      <w:bookmarkStart w:id="74" w:name="_Toc509323135"/>
      <w:bookmarkStart w:id="75" w:name="_Toc494561962"/>
      <w:bookmarkStart w:id="76" w:name="_Toc495861543"/>
      <w:r>
        <w:rPr>
          <w:rFonts w:hint="eastAsia" w:ascii="宋体" w:hAnsi="宋体" w:cs="宋体"/>
          <w:sz w:val="30"/>
          <w:szCs w:val="30"/>
          <w:lang w:val="zh-CN"/>
        </w:rPr>
        <w:t>评标程序</w:t>
      </w:r>
      <w:bookmarkEnd w:id="72"/>
      <w:bookmarkEnd w:id="73"/>
      <w:r>
        <w:rPr>
          <w:rFonts w:hint="eastAsia" w:ascii="宋体" w:hAnsi="宋体" w:cs="宋体"/>
          <w:sz w:val="30"/>
          <w:szCs w:val="30"/>
          <w:lang w:val="zh-CN"/>
        </w:rPr>
        <w:t>及标准</w:t>
      </w:r>
      <w:bookmarkEnd w:id="74"/>
      <w:bookmarkEnd w:id="75"/>
      <w:bookmarkEnd w:id="76"/>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评标委员会按以下工作程序进行评标：符合性审查、澄清有关问题、综合比较和评价、确定中标候选人名单。</w:t>
      </w:r>
    </w:p>
    <w:p>
      <w:pPr>
        <w:numPr>
          <w:ilvl w:val="0"/>
          <w:numId w:val="24"/>
        </w:numPr>
        <w:ind w:left="1311" w:leftChars="154" w:hanging="988" w:hangingChars="353"/>
        <w:rPr>
          <w:rFonts w:ascii="宋体" w:cs="Times New Roman"/>
          <w:strike/>
          <w:sz w:val="28"/>
          <w:szCs w:val="28"/>
          <w:lang w:val="zh-CN"/>
        </w:rPr>
      </w:pPr>
      <w:r>
        <w:rPr>
          <w:rFonts w:hint="eastAsia" w:ascii="宋体" w:hAnsi="宋体" w:cs="宋体"/>
          <w:b/>
          <w:bCs/>
          <w:sz w:val="28"/>
          <w:szCs w:val="28"/>
          <w:lang w:val="zh-CN"/>
        </w:rPr>
        <w:t>符合性审查</w:t>
      </w:r>
    </w:p>
    <w:p>
      <w:pPr>
        <w:spacing w:line="360" w:lineRule="auto"/>
        <w:ind w:firstLine="470" w:firstLineChars="196"/>
        <w:rPr>
          <w:rFonts w:ascii="宋体" w:cs="Times New Roman"/>
          <w:sz w:val="24"/>
          <w:szCs w:val="24"/>
          <w:lang w:val="zh-CN"/>
        </w:rPr>
      </w:pPr>
      <w:r>
        <w:rPr>
          <w:rFonts w:hint="eastAsia" w:ascii="Helvetica" w:hAnsi="Helvetica" w:cs="宋体"/>
          <w:kern w:val="0"/>
          <w:sz w:val="24"/>
          <w:szCs w:val="24"/>
          <w:lang w:val="zh-CN"/>
        </w:rPr>
        <w:t>评标委员会应当对符合资格的投标人的投标文件进行符合性审查，以确定其是否满足招标文件的实质性要求。</w:t>
      </w:r>
      <w:r>
        <w:rPr>
          <w:rFonts w:hint="eastAsia" w:ascii="宋体" w:hAnsi="宋体" w:cs="宋体"/>
          <w:sz w:val="24"/>
          <w:szCs w:val="24"/>
          <w:lang w:val="zh-CN"/>
        </w:rPr>
        <w:t>符合性审查出现下列情形之一的投标按照</w:t>
      </w:r>
      <w:r>
        <w:rPr>
          <w:rFonts w:hint="eastAsia" w:ascii="宋体" w:hAnsi="宋体" w:cs="宋体"/>
          <w:b/>
          <w:bCs/>
          <w:sz w:val="24"/>
          <w:szCs w:val="24"/>
          <w:lang w:val="zh-CN"/>
        </w:rPr>
        <w:t>无效投标处理</w:t>
      </w:r>
      <w:r>
        <w:rPr>
          <w:rFonts w:hint="eastAsia" w:ascii="宋体" w:hAnsi="宋体" w:cs="宋体"/>
          <w:sz w:val="24"/>
          <w:szCs w:val="24"/>
          <w:lang w:val="zh-CN"/>
        </w:rPr>
        <w:t>：</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投标总报价超过项目（分包）预算金额或最高限价的；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《投标书》、《法定代表人授权书》、《开标一览表》、《投标报价明细表》未提供或不符合招标文件要求的；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工期（服务期限）、质保期不符合招标文件要求的；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投标保证金的交纳不符合招标文件要求的；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出现两个或两个以上不同报价的；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出现两个或两个以上投标方案的（招标文件中要求提供备选方案的除外）；</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投标报价存在缺项、漏项的；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投标有效期不足的；</w:t>
      </w:r>
    </w:p>
    <w:p>
      <w:pPr>
        <w:numPr>
          <w:ilvl w:val="0"/>
          <w:numId w:val="25"/>
        </w:numPr>
        <w:tabs>
          <w:tab w:val="left" w:pos="61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无法定代表人签字（签章）或签字（签章）人无法定代表人有效授权的；</w:t>
      </w:r>
    </w:p>
    <w:p>
      <w:pPr>
        <w:numPr>
          <w:ilvl w:val="0"/>
          <w:numId w:val="25"/>
        </w:numPr>
        <w:tabs>
          <w:tab w:val="left" w:pos="756"/>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正本未按要求提供加盖公章及签字（签章）原件的；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符合招标文件第二章“投标人须知”中</w:t>
      </w:r>
      <w:r>
        <w:rPr>
          <w:rFonts w:ascii="Times New Roman" w:hAnsi="宋体" w:cs="Times New Roman"/>
          <w:sz w:val="24"/>
          <w:szCs w:val="24"/>
          <w:lang w:val="zh-CN"/>
        </w:rPr>
        <w:t>40</w:t>
      </w:r>
      <w:r>
        <w:rPr>
          <w:rFonts w:hint="eastAsia" w:ascii="Times New Roman" w:hAnsi="宋体" w:cs="宋体"/>
          <w:sz w:val="24"/>
          <w:szCs w:val="24"/>
          <w:lang w:val="zh-CN"/>
        </w:rPr>
        <w:t>条中规定情形，以分公司形式参与投标的，法定代表人授权书未由总公司法定代表人签字（盖章）并加盖公章的；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未按要求提供招标文件第二章“十一</w:t>
      </w:r>
      <w:r>
        <w:rPr>
          <w:rFonts w:ascii="Times New Roman" w:hAnsi="宋体" w:cs="Times New Roman"/>
          <w:sz w:val="24"/>
          <w:szCs w:val="24"/>
          <w:lang w:val="zh-CN"/>
        </w:rPr>
        <w:t xml:space="preserve"> </w:t>
      </w:r>
      <w:r>
        <w:rPr>
          <w:rFonts w:hint="eastAsia" w:ascii="Times New Roman" w:hAnsi="宋体" w:cs="宋体"/>
          <w:sz w:val="24"/>
          <w:szCs w:val="24"/>
          <w:lang w:val="zh-CN"/>
        </w:rPr>
        <w:t>其他注意事项”中规定的书面声明的；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所投货物是通过中国海关报关验放进入中国境内且产自关境外的（招标文件中注明已办理进口产品核准的除外）；</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未提供所投货物（工程或服务）的具体参数值或功能表述，或原文复制招标文件的技术规格相关部分内容作为其投标文件的一部分的；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不满足招标文件第三章“项目技术、服务和商务要求”中“★”号条款要求的；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含有采购人不能接受的附加条件的；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25"/>
        </w:numPr>
        <w:tabs>
          <w:tab w:val="left" w:pos="742"/>
        </w:tabs>
        <w:spacing w:line="360" w:lineRule="auto"/>
        <w:ind w:left="10" w:leftChars="5" w:firstLine="237" w:firstLineChars="99"/>
        <w:rPr>
          <w:rFonts w:ascii="Times New Roman" w:hAnsi="宋体" w:cs="Times New Roman"/>
          <w:sz w:val="24"/>
          <w:szCs w:val="24"/>
          <w:lang w:val="zh-CN"/>
        </w:rPr>
      </w:pPr>
      <w:r>
        <w:rPr>
          <w:rFonts w:hint="eastAsia" w:ascii="Times New Roman" w:hAnsi="宋体" w:cs="宋体"/>
          <w:sz w:val="24"/>
          <w:szCs w:val="24"/>
          <w:lang w:val="zh-CN"/>
        </w:rPr>
        <w:t>法律、法规和招标文件规定的其他无效投标情形。</w:t>
      </w:r>
    </w:p>
    <w:p>
      <w:pPr>
        <w:numPr>
          <w:ilvl w:val="0"/>
          <w:numId w:val="24"/>
        </w:numPr>
        <w:ind w:left="1311" w:leftChars="154" w:hanging="988" w:hangingChars="353"/>
        <w:rPr>
          <w:rFonts w:ascii="宋体" w:cs="Times New Roman"/>
          <w:b/>
          <w:bCs/>
          <w:sz w:val="28"/>
          <w:szCs w:val="28"/>
          <w:lang w:val="zh-CN"/>
        </w:rPr>
      </w:pPr>
      <w:r>
        <w:rPr>
          <w:rFonts w:hint="eastAsia" w:ascii="宋体" w:hAnsi="宋体" w:cs="宋体"/>
          <w:b/>
          <w:bCs/>
          <w:sz w:val="28"/>
          <w:szCs w:val="28"/>
          <w:lang w:val="zh-CN"/>
        </w:rPr>
        <w:t>澄清有关问题</w:t>
      </w:r>
    </w:p>
    <w:p>
      <w:pPr>
        <w:numPr>
          <w:ilvl w:val="0"/>
          <w:numId w:val="26"/>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宋体"/>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26"/>
        </w:numPr>
        <w:tabs>
          <w:tab w:val="left" w:pos="616"/>
        </w:tabs>
        <w:spacing w:line="360" w:lineRule="auto"/>
        <w:ind w:left="10" w:leftChars="5" w:firstLine="237" w:firstLineChars="99"/>
        <w:rPr>
          <w:rFonts w:ascii="宋体" w:cs="Times New Roman"/>
          <w:strike/>
          <w:sz w:val="24"/>
          <w:szCs w:val="24"/>
          <w:lang w:val="zh-CN"/>
        </w:rPr>
      </w:pPr>
      <w:r>
        <w:rPr>
          <w:rFonts w:hint="eastAsia" w:ascii="宋体" w:hAnsi="宋体" w:cs="宋体"/>
          <w:sz w:val="24"/>
          <w:szCs w:val="24"/>
          <w:lang w:val="zh-CN"/>
        </w:rPr>
        <w:t>投标人应按照评标委员会要求的澄清内容在规定时间内做出澄清。投标文件报价出现前后不一致的，按照本节第</w:t>
      </w:r>
      <w:r>
        <w:rPr>
          <w:rFonts w:ascii="宋体" w:hAnsi="宋体" w:cs="宋体"/>
          <w:sz w:val="24"/>
          <w:szCs w:val="24"/>
          <w:lang w:val="zh-CN"/>
        </w:rPr>
        <w:t>3</w:t>
      </w:r>
      <w:r>
        <w:rPr>
          <w:rFonts w:hint="eastAsia" w:ascii="宋体" w:hAnsi="宋体" w:cs="宋体"/>
          <w:sz w:val="24"/>
          <w:szCs w:val="24"/>
          <w:lang w:val="zh-CN"/>
        </w:rPr>
        <w:t>条规定进行修正，</w:t>
      </w:r>
      <w:r>
        <w:rPr>
          <w:rFonts w:hint="eastAsia" w:ascii="Helvetica" w:hAnsi="Helvetica" w:cs="宋体"/>
          <w:kern w:val="0"/>
          <w:sz w:val="24"/>
          <w:szCs w:val="24"/>
          <w:lang w:val="zh-CN"/>
        </w:rPr>
        <w:t>投标人的澄清、说明或者补正不得超出投标文件的范围或者改变投标文件的实质性内容。</w:t>
      </w:r>
    </w:p>
    <w:p>
      <w:pPr>
        <w:numPr>
          <w:ilvl w:val="0"/>
          <w:numId w:val="26"/>
        </w:numPr>
        <w:tabs>
          <w:tab w:val="left" w:pos="616"/>
        </w:tabs>
        <w:spacing w:line="360" w:lineRule="auto"/>
        <w:ind w:left="10" w:leftChars="5" w:firstLine="237" w:firstLineChars="99"/>
        <w:rPr>
          <w:rFonts w:ascii="宋体" w:cs="Times New Roman"/>
          <w:sz w:val="24"/>
          <w:szCs w:val="24"/>
          <w:lang w:val="zh-CN"/>
        </w:rPr>
      </w:pPr>
      <w:r>
        <w:rPr>
          <w:rFonts w:hint="eastAsia" w:ascii="宋体" w:hAnsi="宋体" w:cs="宋体"/>
          <w:sz w:val="24"/>
          <w:szCs w:val="24"/>
          <w:lang w:val="zh-CN"/>
        </w:rPr>
        <w:t>投标文件报价出现前后不一致的，按照下列规定修正：</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投标文件中开标一览表内容与投标文件中相应内容不一致的，以开标一览表为准。</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大写金额和小写金额不一致的，以大写金额为准。</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单价金额小数点或者百分比有明显错位的，以开标一览表的总价为准，并修改单价。</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总价金额与按单价汇总金额不一致的，以单价金额计算结果为准。</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同时出现两种以上不一致的，按照前款规定的顺序修正。</w:t>
      </w:r>
    </w:p>
    <w:p>
      <w:pPr>
        <w:numPr>
          <w:ilvl w:val="0"/>
          <w:numId w:val="27"/>
        </w:numPr>
        <w:adjustRightInd w:val="0"/>
        <w:spacing w:line="360" w:lineRule="auto"/>
        <w:ind w:left="742" w:hanging="493"/>
        <w:rPr>
          <w:rFonts w:ascii="宋体" w:cs="Times New Roman"/>
          <w:sz w:val="24"/>
          <w:szCs w:val="24"/>
          <w:lang w:val="zh-CN"/>
        </w:rPr>
      </w:pPr>
      <w:r>
        <w:rPr>
          <w:rFonts w:hint="eastAsia" w:ascii="宋体" w:hAnsi="宋体" w:cs="宋体"/>
          <w:sz w:val="24"/>
          <w:szCs w:val="24"/>
          <w:lang w:val="zh-CN"/>
        </w:rPr>
        <w:t>修正后的报价按照本节第</w:t>
      </w:r>
      <w:r>
        <w:rPr>
          <w:rFonts w:ascii="宋体" w:hAnsi="宋体" w:cs="宋体"/>
          <w:sz w:val="24"/>
          <w:szCs w:val="24"/>
          <w:lang w:val="zh-CN"/>
        </w:rPr>
        <w:t>4</w:t>
      </w:r>
      <w:r>
        <w:rPr>
          <w:rFonts w:hint="eastAsia" w:ascii="宋体" w:hAnsi="宋体" w:cs="宋体"/>
          <w:sz w:val="24"/>
          <w:szCs w:val="24"/>
          <w:lang w:val="zh-CN"/>
        </w:rPr>
        <w:t>条规定经投标人确认后产生约束力，投标人不确认的，按照</w:t>
      </w:r>
      <w:r>
        <w:rPr>
          <w:rFonts w:hint="eastAsia" w:ascii="宋体" w:hAnsi="宋体" w:cs="宋体"/>
          <w:b/>
          <w:bCs/>
          <w:sz w:val="24"/>
          <w:szCs w:val="24"/>
          <w:lang w:val="zh-CN"/>
        </w:rPr>
        <w:t>无效投标处理</w:t>
      </w:r>
      <w:r>
        <w:rPr>
          <w:rFonts w:hint="eastAsia" w:ascii="宋体" w:hAnsi="宋体" w:cs="宋体"/>
          <w:sz w:val="24"/>
          <w:szCs w:val="24"/>
          <w:lang w:val="zh-CN"/>
        </w:rPr>
        <w:t>。</w:t>
      </w:r>
    </w:p>
    <w:p>
      <w:pPr>
        <w:numPr>
          <w:ilvl w:val="0"/>
          <w:numId w:val="26"/>
        </w:numPr>
        <w:tabs>
          <w:tab w:val="left" w:pos="616"/>
        </w:tabs>
        <w:spacing w:line="360" w:lineRule="auto"/>
        <w:ind w:left="10" w:leftChars="5" w:firstLine="237" w:firstLineChars="99"/>
        <w:rPr>
          <w:rFonts w:ascii="宋体" w:cs="Times New Roman"/>
          <w:sz w:val="24"/>
          <w:szCs w:val="24"/>
          <w:lang w:val="zh-CN"/>
        </w:rPr>
      </w:pPr>
      <w:r>
        <w:rPr>
          <w:rFonts w:hint="eastAsia" w:ascii="宋体" w:hAnsi="宋体" w:cs="宋体"/>
          <w:sz w:val="24"/>
          <w:szCs w:val="24"/>
          <w:lang w:val="zh-CN"/>
        </w:rPr>
        <w:t>投标人的</w:t>
      </w:r>
      <w:r>
        <w:rPr>
          <w:rFonts w:hint="eastAsia" w:ascii="Helvetica" w:hAnsi="Helvetica" w:cs="宋体"/>
          <w:kern w:val="0"/>
          <w:sz w:val="24"/>
          <w:szCs w:val="24"/>
          <w:lang w:val="zh-CN"/>
        </w:rPr>
        <w:t>澄清、说明或者补正</w:t>
      </w:r>
      <w:r>
        <w:rPr>
          <w:rFonts w:hint="eastAsia" w:ascii="宋体" w:hAnsi="宋体" w:cs="宋体"/>
          <w:sz w:val="24"/>
          <w:szCs w:val="24"/>
          <w:lang w:val="zh-CN"/>
        </w:rPr>
        <w:t>是其投标文件的有效组成部分。</w:t>
      </w:r>
      <w:r>
        <w:rPr>
          <w:rFonts w:hint="eastAsia" w:ascii="Helvetica" w:hAnsi="Helvetica" w:cs="宋体"/>
          <w:kern w:val="0"/>
          <w:sz w:val="24"/>
          <w:szCs w:val="24"/>
          <w:lang w:val="zh-CN"/>
        </w:rPr>
        <w:t>投标人的澄清、说明或者补正应当采用书面形式，并加盖公章，或者由法定代表人或其授权的代表签字。</w:t>
      </w:r>
    </w:p>
    <w:p>
      <w:pPr>
        <w:numPr>
          <w:ilvl w:val="0"/>
          <w:numId w:val="24"/>
        </w:numPr>
        <w:ind w:left="1311" w:leftChars="154" w:hanging="988" w:hangingChars="353"/>
        <w:rPr>
          <w:rFonts w:ascii="宋体" w:cs="Times New Roman"/>
          <w:b/>
          <w:bCs/>
          <w:sz w:val="28"/>
          <w:szCs w:val="28"/>
          <w:lang w:val="zh-CN"/>
        </w:rPr>
      </w:pPr>
      <w:r>
        <w:rPr>
          <w:rFonts w:hint="eastAsia" w:ascii="宋体" w:hAnsi="宋体" w:cs="宋体"/>
          <w:b/>
          <w:bCs/>
          <w:sz w:val="28"/>
          <w:szCs w:val="28"/>
          <w:lang w:val="zh-CN"/>
        </w:rPr>
        <w:t>综合比较与评价</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评标委员会应当按照本章中规定的评标方法和标准，对符合性审查合格的投标文件进行商务和技术、服务评估，综合比较与评价。</w:t>
      </w:r>
    </w:p>
    <w:p>
      <w:pPr>
        <w:numPr>
          <w:ilvl w:val="0"/>
          <w:numId w:val="28"/>
        </w:numPr>
        <w:tabs>
          <w:tab w:val="left" w:pos="616"/>
        </w:tabs>
        <w:spacing w:line="360" w:lineRule="auto"/>
        <w:ind w:left="10" w:leftChars="5" w:firstLine="237" w:firstLineChars="99"/>
        <w:rPr>
          <w:rFonts w:ascii="宋体" w:cs="Times New Roman"/>
          <w:b/>
          <w:bCs/>
          <w:sz w:val="24"/>
          <w:szCs w:val="24"/>
          <w:lang w:val="zh-CN"/>
        </w:rPr>
      </w:pPr>
      <w:r>
        <w:rPr>
          <w:rFonts w:hint="eastAsia" w:ascii="宋体" w:hAnsi="宋体" w:cs="宋体"/>
          <w:b/>
          <w:bCs/>
          <w:sz w:val="24"/>
          <w:szCs w:val="24"/>
          <w:lang w:val="zh-CN"/>
        </w:rPr>
        <w:t>商务评议</w:t>
      </w:r>
    </w:p>
    <w:p>
      <w:pPr>
        <w:spacing w:line="360" w:lineRule="auto"/>
        <w:ind w:firstLine="480" w:firstLineChars="200"/>
        <w:rPr>
          <w:rFonts w:ascii="宋体" w:cs="Times New Roman"/>
          <w:sz w:val="24"/>
          <w:szCs w:val="24"/>
          <w:lang w:val="zh-CN"/>
        </w:rPr>
      </w:pPr>
      <w:r>
        <w:rPr>
          <w:rFonts w:hint="eastAsia" w:ascii="宋体" w:hAnsi="宋体" w:cs="宋体"/>
          <w:sz w:val="24"/>
          <w:szCs w:val="24"/>
          <w:lang w:val="zh-CN"/>
        </w:rPr>
        <w:t>评标委员会对符合性审查合格的投标文件进行评议，并依据本章“评审因素及评分标准”中的商务评议进行综合比较和评分。</w:t>
      </w:r>
    </w:p>
    <w:p>
      <w:pPr>
        <w:numPr>
          <w:ilvl w:val="0"/>
          <w:numId w:val="28"/>
        </w:numPr>
        <w:tabs>
          <w:tab w:val="left" w:pos="616"/>
        </w:tabs>
        <w:spacing w:line="360" w:lineRule="auto"/>
        <w:ind w:left="10" w:leftChars="5" w:firstLine="237" w:firstLineChars="99"/>
        <w:rPr>
          <w:rFonts w:ascii="宋体" w:cs="Times New Roman"/>
          <w:b/>
          <w:bCs/>
          <w:sz w:val="24"/>
          <w:szCs w:val="24"/>
          <w:lang w:val="zh-CN"/>
        </w:rPr>
      </w:pPr>
      <w:r>
        <w:rPr>
          <w:rFonts w:hint="eastAsia" w:ascii="宋体" w:hAnsi="宋体" w:cs="宋体"/>
          <w:b/>
          <w:bCs/>
          <w:sz w:val="24"/>
          <w:szCs w:val="24"/>
          <w:lang w:val="zh-CN"/>
        </w:rPr>
        <w:t>技术、服务评议</w:t>
      </w:r>
    </w:p>
    <w:p>
      <w:pPr>
        <w:spacing w:line="360" w:lineRule="auto"/>
        <w:ind w:firstLine="480" w:firstLineChars="200"/>
        <w:rPr>
          <w:rFonts w:ascii="宋体" w:cs="Times New Roman"/>
          <w:kern w:val="0"/>
          <w:sz w:val="24"/>
          <w:szCs w:val="24"/>
          <w:lang w:val="zh-CN"/>
        </w:rPr>
      </w:pPr>
      <w:r>
        <w:rPr>
          <w:rFonts w:hint="eastAsia" w:ascii="宋体" w:hAnsi="宋体" w:cs="宋体"/>
          <w:sz w:val="24"/>
          <w:szCs w:val="24"/>
          <w:lang w:val="zh-CN"/>
        </w:rPr>
        <w:t>评标委员会对符合性审查合格的投标文件进行评议，并依据本章“评审因素及评分标准”中的技术、服务评议进行综合比较和评分。</w:t>
      </w:r>
    </w:p>
    <w:p>
      <w:pPr>
        <w:numPr>
          <w:ilvl w:val="0"/>
          <w:numId w:val="28"/>
        </w:numPr>
        <w:tabs>
          <w:tab w:val="left" w:pos="616"/>
        </w:tabs>
        <w:spacing w:line="360" w:lineRule="auto"/>
        <w:ind w:left="10" w:leftChars="5" w:firstLine="237" w:firstLineChars="99"/>
        <w:rPr>
          <w:rFonts w:ascii="宋体" w:cs="Times New Roman"/>
          <w:b/>
          <w:bCs/>
          <w:sz w:val="24"/>
          <w:szCs w:val="24"/>
          <w:lang w:val="zh-CN"/>
        </w:rPr>
      </w:pPr>
      <w:r>
        <w:rPr>
          <w:rFonts w:hint="eastAsia" w:ascii="宋体" w:hAnsi="宋体" w:cs="宋体"/>
          <w:b/>
          <w:bCs/>
          <w:sz w:val="24"/>
          <w:szCs w:val="24"/>
          <w:lang w:val="zh-CN"/>
        </w:rPr>
        <w:t>价格评议</w:t>
      </w:r>
    </w:p>
    <w:p>
      <w:pPr>
        <w:spacing w:line="360" w:lineRule="auto"/>
        <w:ind w:firstLine="480" w:firstLineChars="200"/>
        <w:rPr>
          <w:rFonts w:ascii="宋体" w:cs="Times New Roman"/>
          <w:sz w:val="24"/>
          <w:szCs w:val="24"/>
        </w:rPr>
      </w:pPr>
      <w:r>
        <w:rPr>
          <w:rFonts w:hint="eastAsia" w:ascii="宋体" w:hAnsi="宋体" w:cs="宋体"/>
          <w:sz w:val="24"/>
          <w:szCs w:val="24"/>
        </w:rPr>
        <w:t>评标委员会对符合性审查合格的投标文件进行价格评议（</w:t>
      </w:r>
      <w:r>
        <w:rPr>
          <w:rFonts w:hint="eastAsia" w:ascii="宋体" w:hAnsi="宋体" w:cs="宋体"/>
          <w:sz w:val="24"/>
          <w:szCs w:val="24"/>
          <w:lang w:val="zh-CN"/>
        </w:rPr>
        <w:t>执行国家统一定价标准和采用固定价格采购的项目，其价格不列为评审因素</w:t>
      </w:r>
      <w:r>
        <w:rPr>
          <w:rFonts w:hint="eastAsia" w:ascii="宋体" w:hAnsi="宋体" w:cs="宋体"/>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29"/>
        </w:numPr>
        <w:adjustRightInd w:val="0"/>
        <w:spacing w:line="360" w:lineRule="auto"/>
        <w:ind w:left="742" w:hanging="493"/>
        <w:rPr>
          <w:rFonts w:ascii="宋体" w:cs="Times New Roman"/>
          <w:sz w:val="24"/>
          <w:szCs w:val="24"/>
          <w:lang w:val="zh-CN"/>
        </w:rPr>
      </w:pPr>
      <w:r>
        <w:rPr>
          <w:rFonts w:hint="eastAsia" w:ascii="宋体" w:hAnsi="宋体" w:cs="宋体"/>
          <w:b/>
          <w:bCs/>
          <w:sz w:val="24"/>
          <w:szCs w:val="24"/>
          <w:lang w:val="zh-CN"/>
        </w:rPr>
        <w:t>报价合理性说明：</w:t>
      </w:r>
      <w:r>
        <w:rPr>
          <w:rFonts w:hint="eastAsia" w:ascii="宋体" w:hAnsi="宋体" w:cs="宋体"/>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宋体"/>
          <w:b/>
          <w:bCs/>
          <w:kern w:val="0"/>
          <w:sz w:val="24"/>
          <w:szCs w:val="24"/>
          <w:lang w:val="zh-CN"/>
        </w:rPr>
        <w:t>无效投标处理</w:t>
      </w:r>
      <w:r>
        <w:rPr>
          <w:rFonts w:hint="eastAsia" w:ascii="宋体" w:hAnsi="宋体" w:cs="宋体"/>
          <w:kern w:val="0"/>
          <w:sz w:val="24"/>
          <w:szCs w:val="24"/>
          <w:lang w:val="zh-CN"/>
        </w:rPr>
        <w:t>。</w:t>
      </w:r>
    </w:p>
    <w:p>
      <w:pPr>
        <w:numPr>
          <w:ilvl w:val="0"/>
          <w:numId w:val="29"/>
        </w:numPr>
        <w:adjustRightInd w:val="0"/>
        <w:spacing w:line="360" w:lineRule="auto"/>
        <w:ind w:left="742" w:hanging="493"/>
        <w:rPr>
          <w:rFonts w:ascii="宋体" w:cs="Times New Roman"/>
          <w:b/>
          <w:bCs/>
          <w:sz w:val="24"/>
          <w:szCs w:val="24"/>
          <w:lang w:val="zh-CN"/>
        </w:rPr>
      </w:pPr>
      <w:r>
        <w:rPr>
          <w:rFonts w:hint="eastAsia" w:ascii="宋体" w:hAnsi="宋体" w:cs="宋体"/>
          <w:b/>
          <w:bCs/>
          <w:sz w:val="24"/>
          <w:szCs w:val="24"/>
          <w:lang w:val="zh-CN"/>
        </w:rPr>
        <w:t>小型和微型企业、监狱企业、残疾人福利性单位价格扣除：</w:t>
      </w:r>
    </w:p>
    <w:p>
      <w:pPr>
        <w:numPr>
          <w:ilvl w:val="0"/>
          <w:numId w:val="30"/>
        </w:numPr>
        <w:spacing w:line="360" w:lineRule="auto"/>
        <w:ind w:left="1134" w:hanging="756"/>
        <w:rPr>
          <w:rFonts w:ascii="宋体" w:cs="Times New Roman"/>
          <w:sz w:val="24"/>
          <w:szCs w:val="24"/>
          <w:lang w:val="zh-CN"/>
        </w:rPr>
      </w:pPr>
      <w:r>
        <w:rPr>
          <w:rFonts w:hint="eastAsia" w:ascii="宋体" w:hAnsi="宋体" w:cs="宋体"/>
          <w:sz w:val="24"/>
          <w:szCs w:val="24"/>
          <w:lang w:val="zh-CN"/>
        </w:rPr>
        <w:t>非专门面向中小企业的货物类采购项目，按招标文件中采购清单确定的货物，对小型和微型企业制造的货物价格给予</w:t>
      </w:r>
      <w:r>
        <w:rPr>
          <w:rFonts w:ascii="宋体" w:hAnsi="宋体" w:cs="宋体"/>
          <w:b/>
          <w:bCs/>
          <w:sz w:val="24"/>
          <w:szCs w:val="24"/>
          <w:lang w:val="zh-CN"/>
        </w:rPr>
        <w:t>6%</w:t>
      </w:r>
      <w:r>
        <w:rPr>
          <w:rFonts w:hint="eastAsia" w:ascii="宋体" w:hAnsi="宋体" w:cs="宋体"/>
          <w:sz w:val="24"/>
          <w:szCs w:val="24"/>
          <w:lang w:val="zh-CN"/>
        </w:rPr>
        <w:t>的扣除，用扣除后的价格参与评审。</w:t>
      </w:r>
    </w:p>
    <w:p>
      <w:pPr>
        <w:numPr>
          <w:ilvl w:val="0"/>
          <w:numId w:val="30"/>
        </w:numPr>
        <w:spacing w:line="360" w:lineRule="auto"/>
        <w:ind w:left="1134" w:hanging="756"/>
        <w:rPr>
          <w:rFonts w:ascii="宋体" w:cs="Times New Roman"/>
          <w:sz w:val="24"/>
          <w:szCs w:val="24"/>
          <w:lang w:val="zh-CN"/>
        </w:rPr>
      </w:pPr>
      <w:r>
        <w:rPr>
          <w:rFonts w:hint="eastAsia" w:ascii="宋体" w:hAnsi="宋体" w:cs="宋体"/>
          <w:sz w:val="24"/>
          <w:szCs w:val="24"/>
          <w:lang w:val="zh-CN"/>
        </w:rPr>
        <w:t>非专门面向中小企业的工程、服务类采购项目，投标人是小型和微型企业的价格给予</w:t>
      </w:r>
      <w:r>
        <w:rPr>
          <w:rFonts w:ascii="宋体" w:hAnsi="宋体" w:cs="宋体"/>
          <w:b/>
          <w:bCs/>
          <w:sz w:val="24"/>
          <w:szCs w:val="24"/>
          <w:lang w:val="zh-CN"/>
        </w:rPr>
        <w:t>6%</w:t>
      </w:r>
      <w:r>
        <w:rPr>
          <w:rFonts w:hint="eastAsia" w:ascii="宋体" w:hAnsi="宋体" w:cs="宋体"/>
          <w:sz w:val="24"/>
          <w:szCs w:val="24"/>
          <w:lang w:val="zh-CN"/>
        </w:rPr>
        <w:t>的扣除，用扣除后的价格参与评审。</w:t>
      </w:r>
    </w:p>
    <w:p>
      <w:pPr>
        <w:numPr>
          <w:ilvl w:val="0"/>
          <w:numId w:val="30"/>
        </w:numPr>
        <w:spacing w:line="360" w:lineRule="auto"/>
        <w:ind w:left="1134" w:hanging="756"/>
        <w:rPr>
          <w:rFonts w:ascii="宋体" w:cs="Times New Roman"/>
          <w:sz w:val="24"/>
          <w:szCs w:val="24"/>
          <w:lang w:val="zh-CN"/>
        </w:rPr>
      </w:pPr>
      <w:r>
        <w:rPr>
          <w:rFonts w:hint="eastAsia" w:ascii="宋体" w:hAnsi="宋体" w:cs="宋体"/>
          <w:sz w:val="24"/>
          <w:szCs w:val="24"/>
          <w:lang w:val="zh-CN"/>
        </w:rPr>
        <w:t>鼓励大中型企业和其他自然人</w:t>
      </w:r>
      <w:r>
        <w:rPr>
          <w:rFonts w:hint="eastAsia" w:ascii="宋体" w:hAnsi="宋体" w:cs="宋体"/>
          <w:sz w:val="24"/>
          <w:szCs w:val="24"/>
        </w:rPr>
        <w:t>、法人或者其他组织与小型、微型企业组成联合体共同参加非专门面向中小企业的政府采购活动。联合协议中约定，小型、微型企业的协议合同金额占到联合体协议合同总金额</w:t>
      </w:r>
      <w:r>
        <w:rPr>
          <w:rFonts w:ascii="宋体" w:hAnsi="宋体" w:cs="宋体"/>
          <w:b/>
          <w:bCs/>
          <w:sz w:val="24"/>
          <w:szCs w:val="24"/>
        </w:rPr>
        <w:t>30%</w:t>
      </w:r>
      <w:r>
        <w:rPr>
          <w:rFonts w:hint="eastAsia" w:ascii="宋体" w:hAnsi="宋体" w:cs="宋体"/>
          <w:sz w:val="24"/>
          <w:szCs w:val="24"/>
        </w:rPr>
        <w:t>以上的，可给予联合体</w:t>
      </w:r>
      <w:r>
        <w:rPr>
          <w:rFonts w:ascii="宋体" w:hAnsi="宋体" w:cs="宋体"/>
          <w:b/>
          <w:bCs/>
          <w:sz w:val="24"/>
          <w:szCs w:val="24"/>
          <w:lang w:val="zh-CN"/>
        </w:rPr>
        <w:t>3%</w:t>
      </w:r>
      <w:r>
        <w:rPr>
          <w:rFonts w:hint="eastAsia" w:ascii="宋体" w:hAnsi="宋体" w:cs="宋体"/>
          <w:sz w:val="24"/>
          <w:szCs w:val="24"/>
        </w:rPr>
        <w:t>的价格扣除，</w:t>
      </w:r>
      <w:r>
        <w:rPr>
          <w:rFonts w:hint="eastAsia" w:ascii="宋体" w:hAnsi="宋体" w:cs="宋体"/>
          <w:sz w:val="24"/>
          <w:szCs w:val="24"/>
          <w:lang w:val="zh-CN"/>
        </w:rPr>
        <w:t>不重复享受政策。</w:t>
      </w:r>
    </w:p>
    <w:p>
      <w:pPr>
        <w:numPr>
          <w:ilvl w:val="0"/>
          <w:numId w:val="30"/>
        </w:numPr>
        <w:spacing w:line="360" w:lineRule="auto"/>
        <w:ind w:left="1134" w:hanging="756"/>
        <w:rPr>
          <w:rFonts w:ascii="宋体" w:cs="Times New Roman"/>
          <w:sz w:val="24"/>
          <w:szCs w:val="24"/>
          <w:lang w:val="zh-CN"/>
        </w:rPr>
      </w:pPr>
      <w:r>
        <w:rPr>
          <w:rFonts w:hint="eastAsia" w:ascii="宋体" w:hAnsi="宋体" w:cs="宋体"/>
          <w:sz w:val="24"/>
          <w:szCs w:val="24"/>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30"/>
        </w:numPr>
        <w:spacing w:line="360" w:lineRule="auto"/>
        <w:ind w:left="1134" w:hanging="756"/>
        <w:rPr>
          <w:rFonts w:ascii="宋体" w:cs="Times New Roman"/>
          <w:sz w:val="24"/>
          <w:szCs w:val="24"/>
          <w:lang w:val="zh-CN"/>
        </w:rPr>
      </w:pPr>
      <w:r>
        <w:rPr>
          <w:rFonts w:hint="eastAsia" w:ascii="宋体" w:hAnsi="宋体" w:cs="宋体"/>
          <w:sz w:val="24"/>
          <w:szCs w:val="24"/>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28"/>
        </w:numPr>
        <w:tabs>
          <w:tab w:val="left" w:pos="616"/>
        </w:tabs>
        <w:spacing w:line="360" w:lineRule="auto"/>
        <w:ind w:left="10" w:leftChars="5" w:firstLine="237" w:firstLineChars="99"/>
        <w:rPr>
          <w:rFonts w:ascii="宋体" w:cs="Times New Roman"/>
          <w:b/>
          <w:bCs/>
          <w:sz w:val="24"/>
          <w:szCs w:val="24"/>
          <w:lang w:val="zh-CN"/>
        </w:rPr>
      </w:pPr>
      <w:r>
        <w:rPr>
          <w:rFonts w:hint="eastAsia" w:ascii="宋体" w:hAnsi="宋体" w:cs="宋体"/>
          <w:b/>
          <w:bCs/>
          <w:sz w:val="24"/>
          <w:szCs w:val="24"/>
          <w:lang w:val="zh-CN"/>
        </w:rPr>
        <w:t>相同品牌处理原则</w:t>
      </w:r>
    </w:p>
    <w:p>
      <w:pPr>
        <w:numPr>
          <w:ilvl w:val="0"/>
          <w:numId w:val="31"/>
        </w:numPr>
        <w:adjustRightInd w:val="0"/>
        <w:spacing w:line="360" w:lineRule="auto"/>
        <w:ind w:left="756" w:hanging="507"/>
        <w:rPr>
          <w:rFonts w:ascii="Helvetica" w:hAnsi="Helvetica" w:cs="Helvetica"/>
          <w:kern w:val="0"/>
          <w:sz w:val="24"/>
          <w:szCs w:val="24"/>
          <w:lang w:val="zh-CN"/>
        </w:rPr>
      </w:pPr>
      <w:r>
        <w:rPr>
          <w:rFonts w:hint="eastAsia" w:ascii="Helvetica" w:hAnsi="Helvetica" w:cs="宋体"/>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31"/>
        </w:numPr>
        <w:adjustRightInd w:val="0"/>
        <w:spacing w:line="360" w:lineRule="auto"/>
        <w:ind w:left="756" w:hanging="507"/>
        <w:rPr>
          <w:rFonts w:ascii="Helvetica" w:hAnsi="Helvetica" w:cs="Helvetica"/>
          <w:kern w:val="0"/>
          <w:sz w:val="24"/>
          <w:szCs w:val="24"/>
          <w:lang w:val="zh-CN"/>
        </w:rPr>
      </w:pPr>
      <w:r>
        <w:rPr>
          <w:rFonts w:hint="eastAsia" w:ascii="Helvetica" w:hAnsi="Helvetica" w:cs="宋体"/>
          <w:kern w:val="0"/>
          <w:sz w:val="24"/>
          <w:szCs w:val="24"/>
          <w:lang w:val="zh-CN"/>
        </w:rPr>
        <w:t>非单一产品采购项目，采购人应当根据采购项目技术构成、产品价格比重等合理确定</w:t>
      </w:r>
      <w:r>
        <w:rPr>
          <w:rFonts w:hint="eastAsia" w:ascii="Helvetica" w:hAnsi="Helvetica" w:cs="宋体"/>
          <w:b/>
          <w:bCs/>
          <w:kern w:val="0"/>
          <w:sz w:val="24"/>
          <w:szCs w:val="24"/>
          <w:lang w:val="zh-CN"/>
        </w:rPr>
        <w:t>一个核心产品</w:t>
      </w:r>
      <w:r>
        <w:rPr>
          <w:rFonts w:hint="eastAsia" w:ascii="Helvetica" w:hAnsi="Helvetica" w:cs="宋体"/>
          <w:kern w:val="0"/>
          <w:sz w:val="24"/>
          <w:szCs w:val="24"/>
          <w:lang w:val="zh-CN"/>
        </w:rPr>
        <w:t>（采购清单中作“相同〈或同一〉品牌”实质性要求的产品，视为一个核心产品），并以</w:t>
      </w:r>
      <w:r>
        <w:rPr>
          <w:rFonts w:hint="eastAsia" w:ascii="Helvetica" w:hAnsi="Helvetica" w:cs="宋体"/>
          <w:b/>
          <w:bCs/>
          <w:kern w:val="0"/>
          <w:sz w:val="24"/>
          <w:szCs w:val="24"/>
          <w:lang w:val="zh-CN"/>
        </w:rPr>
        <w:t>“</w:t>
      </w:r>
      <w:r>
        <w:rPr>
          <w:rFonts w:hint="eastAsia" w:ascii="MS Gothic" w:hAnsi="MS Gothic" w:cs="宋体"/>
          <w:b/>
          <w:bCs/>
          <w:kern w:val="0"/>
          <w:sz w:val="24"/>
          <w:szCs w:val="24"/>
          <w:lang w:val="zh-CN"/>
        </w:rPr>
        <w:t>核心产品</w:t>
      </w:r>
      <w:r>
        <w:rPr>
          <w:rFonts w:hint="eastAsia" w:ascii="Helvetica" w:hAnsi="Helvetica" w:cs="宋体"/>
          <w:b/>
          <w:bCs/>
          <w:kern w:val="0"/>
          <w:sz w:val="24"/>
          <w:szCs w:val="24"/>
          <w:lang w:val="zh-CN"/>
        </w:rPr>
        <w:t>”</w:t>
      </w:r>
      <w:r>
        <w:rPr>
          <w:rFonts w:hint="eastAsia" w:ascii="Helvetica" w:hAnsi="Helvetica" w:cs="宋体"/>
          <w:kern w:val="0"/>
          <w:sz w:val="24"/>
          <w:szCs w:val="24"/>
          <w:lang w:val="zh-CN"/>
        </w:rPr>
        <w:t>在招标文件中标注。</w:t>
      </w:r>
    </w:p>
    <w:p>
      <w:pPr>
        <w:numPr>
          <w:ilvl w:val="0"/>
          <w:numId w:val="28"/>
        </w:numPr>
        <w:tabs>
          <w:tab w:val="left" w:pos="616"/>
        </w:tabs>
        <w:spacing w:line="360" w:lineRule="auto"/>
        <w:ind w:left="10" w:leftChars="5" w:firstLine="237" w:firstLineChars="99"/>
        <w:rPr>
          <w:rFonts w:ascii="宋体" w:cs="Times New Roman"/>
          <w:b/>
          <w:bCs/>
          <w:sz w:val="24"/>
          <w:szCs w:val="24"/>
          <w:lang w:val="zh-CN"/>
        </w:rPr>
      </w:pPr>
      <w:r>
        <w:rPr>
          <w:rFonts w:hint="eastAsia" w:ascii="宋体" w:hAnsi="宋体" w:cs="宋体"/>
          <w:b/>
          <w:bCs/>
          <w:sz w:val="24"/>
          <w:szCs w:val="24"/>
          <w:lang w:val="zh-CN"/>
        </w:rPr>
        <w:t>计分办法</w:t>
      </w:r>
    </w:p>
    <w:p>
      <w:pPr>
        <w:numPr>
          <w:ilvl w:val="0"/>
          <w:numId w:val="32"/>
        </w:numPr>
        <w:adjustRightInd w:val="0"/>
        <w:spacing w:line="360" w:lineRule="auto"/>
        <w:ind w:left="756" w:hanging="507"/>
        <w:rPr>
          <w:rFonts w:ascii="Helvetica" w:hAnsi="Helvetica" w:cs="Helvetica"/>
          <w:kern w:val="0"/>
          <w:sz w:val="24"/>
          <w:szCs w:val="24"/>
          <w:lang w:val="zh-CN"/>
        </w:rPr>
      </w:pPr>
      <w:r>
        <w:rPr>
          <w:rFonts w:hint="eastAsia" w:ascii="Helvetica" w:hAnsi="Helvetica" w:cs="宋体"/>
          <w:kern w:val="0"/>
          <w:sz w:val="24"/>
          <w:szCs w:val="24"/>
          <w:lang w:val="zh-CN"/>
        </w:rPr>
        <w:t>采购</w:t>
      </w:r>
      <w:r>
        <w:rPr>
          <w:rFonts w:hint="eastAsia" w:ascii="宋体" w:hAnsi="宋体" w:cs="宋体"/>
          <w:sz w:val="24"/>
          <w:szCs w:val="24"/>
        </w:rPr>
        <w:t>代理</w:t>
      </w:r>
      <w:r>
        <w:rPr>
          <w:rFonts w:hint="eastAsia" w:ascii="Helvetica" w:hAnsi="Helvetica" w:cs="宋体"/>
          <w:kern w:val="0"/>
          <w:sz w:val="24"/>
          <w:szCs w:val="24"/>
          <w:lang w:val="zh-CN"/>
        </w:rPr>
        <w:t>机构对各评委的总分进行复核。各项统计结果均精确到小数点后两位。</w:t>
      </w:r>
    </w:p>
    <w:p>
      <w:pPr>
        <w:numPr>
          <w:ilvl w:val="0"/>
          <w:numId w:val="32"/>
        </w:numPr>
        <w:adjustRightInd w:val="0"/>
        <w:spacing w:line="360" w:lineRule="auto"/>
        <w:ind w:left="756" w:hanging="507"/>
        <w:rPr>
          <w:rFonts w:ascii="Helvetica" w:hAnsi="Helvetica" w:cs="Helvetica"/>
          <w:kern w:val="0"/>
          <w:sz w:val="24"/>
          <w:szCs w:val="24"/>
          <w:lang w:val="zh-CN"/>
        </w:rPr>
      </w:pPr>
      <w:r>
        <w:rPr>
          <w:rFonts w:hint="eastAsia" w:ascii="Helvetica" w:hAnsi="Helvetica" w:cs="宋体"/>
          <w:kern w:val="0"/>
          <w:sz w:val="24"/>
          <w:szCs w:val="24"/>
          <w:lang w:val="zh-CN"/>
        </w:rPr>
        <w:t>各投标人的最终得分为评委所评定分数的算术平均值。</w:t>
      </w:r>
    </w:p>
    <w:p>
      <w:pPr>
        <w:numPr>
          <w:ilvl w:val="0"/>
          <w:numId w:val="24"/>
        </w:numPr>
        <w:ind w:left="1311" w:leftChars="154" w:hanging="988" w:hangingChars="353"/>
        <w:rPr>
          <w:rFonts w:ascii="宋体" w:cs="Times New Roman"/>
          <w:b/>
          <w:bCs/>
          <w:sz w:val="28"/>
          <w:szCs w:val="28"/>
          <w:lang w:val="zh-CN"/>
        </w:rPr>
      </w:pPr>
      <w:r>
        <w:rPr>
          <w:rFonts w:hint="eastAsia" w:ascii="宋体" w:hAnsi="宋体" w:cs="宋体"/>
          <w:b/>
          <w:bCs/>
          <w:sz w:val="28"/>
          <w:szCs w:val="28"/>
          <w:lang w:val="zh-CN"/>
        </w:rPr>
        <w:t>推荐中标候选人名单或确定中标人</w:t>
      </w:r>
    </w:p>
    <w:p>
      <w:pPr>
        <w:numPr>
          <w:ilvl w:val="0"/>
          <w:numId w:val="33"/>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宋体"/>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33"/>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宋体"/>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33"/>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宋体"/>
          <w:kern w:val="0"/>
          <w:sz w:val="24"/>
          <w:szCs w:val="24"/>
          <w:lang w:val="zh-CN"/>
        </w:rPr>
        <w:t>中标候选人并列的，由采购人确定或者采购人委托评标委员会以投票方式确定中标人。</w:t>
      </w:r>
    </w:p>
    <w:p>
      <w:pPr>
        <w:numPr>
          <w:ilvl w:val="0"/>
          <w:numId w:val="33"/>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宋体"/>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33"/>
        </w:numPr>
        <w:tabs>
          <w:tab w:val="left" w:pos="616"/>
        </w:tabs>
        <w:spacing w:line="360" w:lineRule="auto"/>
        <w:ind w:left="10" w:leftChars="5" w:firstLine="237" w:firstLineChars="99"/>
        <w:rPr>
          <w:rFonts w:ascii="Helvetica" w:hAnsi="Helvetica" w:cs="宋体"/>
          <w:kern w:val="0"/>
          <w:sz w:val="24"/>
          <w:szCs w:val="24"/>
          <w:lang w:val="zh-CN"/>
        </w:rPr>
      </w:pPr>
      <w:r>
        <w:rPr>
          <w:rFonts w:hint="eastAsia" w:ascii="Helvetica" w:hAnsi="Helvetica" w:cs="宋体"/>
          <w:kern w:val="0"/>
          <w:sz w:val="24"/>
          <w:szCs w:val="24"/>
          <w:lang w:val="zh-CN"/>
        </w:rPr>
        <w:t>中标人的数量有其他规定的，应在此处明确方法、中标比例等。</w:t>
      </w:r>
    </w:p>
    <w:p>
      <w:pPr>
        <w:pStyle w:val="2"/>
        <w:ind w:firstLine="420"/>
        <w:rPr>
          <w:lang w:val="zh-CN"/>
        </w:rPr>
      </w:pPr>
    </w:p>
    <w:p>
      <w:pPr>
        <w:pStyle w:val="4"/>
        <w:numPr>
          <w:ilvl w:val="0"/>
          <w:numId w:val="23"/>
        </w:numPr>
        <w:spacing w:before="0" w:after="0" w:line="360" w:lineRule="auto"/>
        <w:ind w:left="616" w:hanging="616"/>
        <w:jc w:val="left"/>
        <w:rPr>
          <w:rFonts w:ascii="宋体" w:cs="Times New Roman"/>
          <w:sz w:val="30"/>
          <w:szCs w:val="30"/>
          <w:lang w:val="zh-CN"/>
        </w:rPr>
      </w:pPr>
      <w:bookmarkStart w:id="77" w:name="_Toc494561963"/>
      <w:bookmarkStart w:id="78" w:name="_Toc495861544"/>
      <w:bookmarkStart w:id="79" w:name="_Toc509323136"/>
      <w:r>
        <w:rPr>
          <w:rFonts w:hint="eastAsia" w:ascii="宋体" w:hAnsi="宋体" w:cs="宋体"/>
          <w:sz w:val="30"/>
          <w:szCs w:val="30"/>
          <w:lang w:val="zh-CN"/>
        </w:rPr>
        <w:t>评审因素及评分标准</w:t>
      </w:r>
      <w:bookmarkEnd w:id="77"/>
      <w:bookmarkEnd w:id="78"/>
      <w:bookmarkEnd w:id="79"/>
    </w:p>
    <w:tbl>
      <w:tblPr>
        <w:tblStyle w:val="21"/>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66"/>
        <w:gridCol w:w="992"/>
        <w:gridCol w:w="5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76" w:type="dxa"/>
            <w:vAlign w:val="center"/>
          </w:tcPr>
          <w:p>
            <w:pPr>
              <w:spacing w:line="380" w:lineRule="exact"/>
              <w:jc w:val="center"/>
              <w:rPr>
                <w:b/>
                <w:bCs/>
              </w:rPr>
            </w:pPr>
            <w:r>
              <w:rPr>
                <w:rFonts w:hint="eastAsia"/>
                <w:b/>
                <w:bCs/>
              </w:rPr>
              <w:t>评分因素</w:t>
            </w:r>
          </w:p>
        </w:tc>
        <w:tc>
          <w:tcPr>
            <w:tcW w:w="1166" w:type="dxa"/>
            <w:vAlign w:val="center"/>
          </w:tcPr>
          <w:p>
            <w:pPr>
              <w:spacing w:line="380" w:lineRule="exact"/>
              <w:jc w:val="center"/>
              <w:rPr>
                <w:b/>
                <w:bCs/>
              </w:rPr>
            </w:pPr>
            <w:r>
              <w:rPr>
                <w:rFonts w:hint="eastAsia"/>
                <w:b/>
                <w:bCs/>
              </w:rPr>
              <w:t>类型</w:t>
            </w:r>
          </w:p>
        </w:tc>
        <w:tc>
          <w:tcPr>
            <w:tcW w:w="992" w:type="dxa"/>
            <w:vAlign w:val="center"/>
          </w:tcPr>
          <w:p>
            <w:pPr>
              <w:spacing w:line="380" w:lineRule="exact"/>
              <w:jc w:val="center"/>
              <w:rPr>
                <w:bCs/>
              </w:rPr>
            </w:pPr>
            <w:r>
              <w:rPr>
                <w:rFonts w:hint="eastAsia"/>
                <w:bCs/>
              </w:rPr>
              <w:t>分值</w:t>
            </w:r>
          </w:p>
        </w:tc>
        <w:tc>
          <w:tcPr>
            <w:tcW w:w="5786" w:type="dxa"/>
            <w:vAlign w:val="center"/>
          </w:tcPr>
          <w:p>
            <w:pPr>
              <w:spacing w:line="380" w:lineRule="exact"/>
              <w:jc w:val="center"/>
              <w:rPr>
                <w:b/>
                <w:bCs/>
              </w:rPr>
            </w:pPr>
            <w:r>
              <w:rPr>
                <w:rFonts w:hint="eastAsia"/>
                <w:b/>
                <w:bCs/>
              </w:rPr>
              <w:t>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27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价格部分（30分）</w:t>
            </w:r>
          </w:p>
        </w:tc>
        <w:tc>
          <w:tcPr>
            <w:tcW w:w="116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价格评价</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30分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评标委员会只对符合性审查合格的投标文件进行价格评议，报价分采用低价优先法计算，即满足招标文件要求且投标价格最低的投标报价为评标基准价，其价格分为满分。其他投标人的价格分按照下列公式计算：报价得分=(评标基准价／投标报价)×</w:t>
            </w:r>
            <w:r>
              <w:rPr>
                <w:rFonts w:asciiTheme="minorEastAsia" w:hAnsiTheme="minorEastAsia" w:eastAsiaTheme="minorEastAsia"/>
              </w:rPr>
              <w:t>30</w:t>
            </w:r>
            <w:r>
              <w:rPr>
                <w:rFonts w:hint="eastAsia" w:asciiTheme="minorEastAsia" w:hAnsiTheme="minorEastAsia" w:eastAsia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276" w:type="dxa"/>
            <w:vMerge w:val="restart"/>
            <w:vAlign w:val="center"/>
          </w:tcPr>
          <w:p>
            <w:pPr>
              <w:spacing w:line="380" w:lineRule="exact"/>
              <w:rPr>
                <w:sz w:val="18"/>
                <w:szCs w:val="18"/>
              </w:rPr>
            </w:pPr>
            <w:r>
              <w:rPr>
                <w:rFonts w:hint="eastAsia" w:asciiTheme="minorEastAsia" w:hAnsiTheme="minorEastAsia" w:eastAsiaTheme="minorEastAsia"/>
              </w:rPr>
              <w:t>商务部分（20分）</w:t>
            </w:r>
          </w:p>
        </w:tc>
        <w:tc>
          <w:tcPr>
            <w:tcW w:w="1166" w:type="dxa"/>
            <w:vAlign w:val="center"/>
          </w:tcPr>
          <w:p>
            <w:pPr>
              <w:spacing w:line="380" w:lineRule="exact"/>
              <w:rPr>
                <w:sz w:val="18"/>
                <w:szCs w:val="18"/>
              </w:rPr>
            </w:pPr>
            <w:r>
              <w:rPr>
                <w:rFonts w:hint="eastAsia" w:asciiTheme="minorEastAsia" w:hAnsiTheme="minorEastAsia" w:eastAsiaTheme="minorEastAsia"/>
              </w:rPr>
              <w:t>企业资质和信用情况</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7分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投标人具有：1、</w:t>
            </w:r>
            <w:r>
              <w:rPr>
                <w:rFonts w:ascii="宋体" w:hAnsi="宋体" w:cs="宋体"/>
                <w:sz w:val="20"/>
                <w:szCs w:val="20"/>
              </w:rPr>
              <w:t>质量管理体系认证（ISO9001）、环境管理体系认证（ISO14001）、职业健康安全管理体系认证（ISO18001）</w:t>
            </w:r>
            <w:r>
              <w:rPr>
                <w:rFonts w:hint="eastAsia" w:ascii="宋体" w:hAnsi="宋体" w:cs="宋体"/>
                <w:sz w:val="20"/>
                <w:szCs w:val="20"/>
              </w:rPr>
              <w:t>；2、</w:t>
            </w:r>
            <w:r>
              <w:rPr>
                <w:rFonts w:hint="eastAsia" w:asciiTheme="minorEastAsia" w:hAnsiTheme="minorEastAsia" w:eastAsiaTheme="minorEastAsia"/>
              </w:rPr>
              <w:t>企业资信等级连续两年达到过AAA级；3、信息系统集成及服务资质三级或以上；4、安全生产许可证；5、具有CMMI3（含）以上；6、高新技术企业证书；7、I</w:t>
            </w:r>
            <w:r>
              <w:rPr>
                <w:rFonts w:asciiTheme="minorEastAsia" w:hAnsiTheme="minorEastAsia" w:eastAsiaTheme="minorEastAsia"/>
              </w:rPr>
              <w:t>TSS</w:t>
            </w:r>
            <w:r>
              <w:rPr>
                <w:rFonts w:hint="eastAsia" w:asciiTheme="minorEastAsia" w:hAnsiTheme="minorEastAsia" w:eastAsiaTheme="minorEastAsia"/>
              </w:rPr>
              <w:t>运行</w:t>
            </w:r>
            <w:r>
              <w:rPr>
                <w:rFonts w:asciiTheme="minorEastAsia" w:hAnsiTheme="minorEastAsia" w:eastAsiaTheme="minorEastAsia"/>
              </w:rPr>
              <w:t>维护标准符合性证书</w:t>
            </w:r>
            <w:r>
              <w:rPr>
                <w:rFonts w:hint="eastAsia" w:asciiTheme="minorEastAsia" w:hAnsiTheme="minorEastAsia" w:eastAsiaTheme="minorEastAsia"/>
              </w:rPr>
              <w:t>；以上每项（须提供证书复印件加盖公章）得1分，本项最高7分。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276" w:type="dxa"/>
            <w:vMerge w:val="continue"/>
            <w:vAlign w:val="center"/>
          </w:tcPr>
          <w:p>
            <w:pPr>
              <w:spacing w:line="380" w:lineRule="exact"/>
              <w:rPr>
                <w:sz w:val="18"/>
                <w:szCs w:val="18"/>
              </w:rPr>
            </w:pPr>
          </w:p>
        </w:tc>
        <w:tc>
          <w:tcPr>
            <w:tcW w:w="1166" w:type="dxa"/>
            <w:vAlign w:val="center"/>
          </w:tcPr>
          <w:p>
            <w:pPr>
              <w:spacing w:line="380" w:lineRule="exact"/>
              <w:rPr>
                <w:sz w:val="18"/>
                <w:szCs w:val="18"/>
              </w:rPr>
            </w:pPr>
            <w:r>
              <w:rPr>
                <w:rFonts w:hint="eastAsia" w:asciiTheme="minorEastAsia" w:hAnsiTheme="minorEastAsia" w:eastAsiaTheme="minorEastAsia"/>
              </w:rPr>
              <w:t>财务状况</w:t>
            </w:r>
          </w:p>
        </w:tc>
        <w:tc>
          <w:tcPr>
            <w:tcW w:w="992" w:type="dxa"/>
            <w:vAlign w:val="center"/>
          </w:tcPr>
          <w:p>
            <w:pPr>
              <w:spacing w:line="380" w:lineRule="exact"/>
              <w:jc w:val="center"/>
              <w:rPr>
                <w:sz w:val="18"/>
                <w:szCs w:val="18"/>
              </w:rPr>
            </w:pPr>
            <w:r>
              <w:rPr>
                <w:rFonts w:hint="eastAsia" w:asciiTheme="minorEastAsia" w:hAnsiTheme="minorEastAsia" w:eastAsiaTheme="minorEastAsia"/>
              </w:rPr>
              <w:t>2分</w:t>
            </w:r>
          </w:p>
        </w:tc>
        <w:tc>
          <w:tcPr>
            <w:tcW w:w="5786" w:type="dxa"/>
            <w:vAlign w:val="center"/>
          </w:tcPr>
          <w:p>
            <w:pPr>
              <w:spacing w:line="380" w:lineRule="exact"/>
              <w:rPr>
                <w:sz w:val="18"/>
                <w:szCs w:val="18"/>
              </w:rPr>
            </w:pPr>
            <w:r>
              <w:rPr>
                <w:rFonts w:hint="eastAsia" w:asciiTheme="minorEastAsia" w:hAnsiTheme="minorEastAsia" w:eastAsiaTheme="minorEastAsia"/>
              </w:rPr>
              <w:t>投标人提供近两年（2017年、2018年）的财务审计报告且无亏损的得2分，否则不得分。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276" w:type="dxa"/>
            <w:vMerge w:val="continue"/>
            <w:vAlign w:val="center"/>
          </w:tcPr>
          <w:p>
            <w:pPr>
              <w:spacing w:line="380" w:lineRule="exact"/>
              <w:rPr>
                <w:sz w:val="18"/>
                <w:szCs w:val="18"/>
              </w:rPr>
            </w:pPr>
          </w:p>
        </w:tc>
        <w:tc>
          <w:tcPr>
            <w:tcW w:w="1166" w:type="dxa"/>
            <w:vAlign w:val="center"/>
          </w:tcPr>
          <w:p>
            <w:pPr>
              <w:spacing w:line="380" w:lineRule="exact"/>
              <w:rPr>
                <w:rFonts w:asciiTheme="minorEastAsia" w:hAnsiTheme="minorEastAsia" w:eastAsiaTheme="minorEastAsia"/>
              </w:rPr>
            </w:pPr>
            <w:r>
              <w:rPr>
                <w:rFonts w:asciiTheme="minorEastAsia" w:hAnsiTheme="minorEastAsia" w:eastAsiaTheme="minorEastAsia"/>
              </w:rPr>
              <w:t>售后服务</w:t>
            </w:r>
            <w:r>
              <w:rPr>
                <w:rFonts w:hint="eastAsia" w:asciiTheme="minorEastAsia" w:hAnsiTheme="minorEastAsia" w:eastAsiaTheme="minorEastAsia"/>
              </w:rPr>
              <w:t>能 力</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2分</w:t>
            </w:r>
          </w:p>
        </w:tc>
        <w:tc>
          <w:tcPr>
            <w:tcW w:w="5786" w:type="dxa"/>
            <w:vAlign w:val="center"/>
          </w:tcPr>
          <w:p>
            <w:pPr>
              <w:spacing w:line="380" w:lineRule="exact"/>
              <w:rPr>
                <w:rFonts w:asciiTheme="minorEastAsia" w:hAnsiTheme="minorEastAsia" w:eastAsiaTheme="minorEastAsia"/>
                <w:color w:val="000000"/>
              </w:rPr>
            </w:pPr>
            <w:r>
              <w:rPr>
                <w:rFonts w:hint="eastAsia" w:asciiTheme="minorEastAsia" w:hAnsiTheme="minorEastAsia" w:eastAsiaTheme="minorEastAsia"/>
              </w:rPr>
              <w:t>投标人具备完整的售后服务体系，若在黄石地区有办事处（须提供房屋租赁合同或房产证明彩色清晰扫描件加盖以公章）的得1分。若在黄石地区有分公司（须提供营业执照号彩色清晰扫描件加盖公章）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76" w:type="dxa"/>
            <w:vMerge w:val="continue"/>
            <w:vAlign w:val="center"/>
          </w:tcPr>
          <w:p>
            <w:pPr>
              <w:spacing w:line="380" w:lineRule="exact"/>
              <w:rPr>
                <w:sz w:val="18"/>
                <w:szCs w:val="18"/>
              </w:rPr>
            </w:pPr>
          </w:p>
        </w:tc>
        <w:tc>
          <w:tcPr>
            <w:tcW w:w="1166" w:type="dxa"/>
            <w:vAlign w:val="center"/>
          </w:tcPr>
          <w:p>
            <w:pPr>
              <w:spacing w:line="380" w:lineRule="exact"/>
              <w:rPr>
                <w:rFonts w:asciiTheme="minorEastAsia" w:hAnsiTheme="minorEastAsia" w:eastAsiaTheme="minorEastAsia"/>
              </w:rPr>
            </w:pPr>
            <w:r>
              <w:rPr>
                <w:rFonts w:asciiTheme="minorEastAsia" w:hAnsiTheme="minorEastAsia" w:eastAsiaTheme="minorEastAsia"/>
              </w:rPr>
              <w:t>类似</w:t>
            </w:r>
            <w:r>
              <w:rPr>
                <w:rFonts w:hint="eastAsia" w:asciiTheme="minorEastAsia" w:hAnsiTheme="minorEastAsia" w:eastAsiaTheme="minorEastAsia"/>
              </w:rPr>
              <w:t>项目业 绩</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6分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投标人提供近三年与本项目同类应急指挥中心建设的业绩案例，每个得2分，最高得6分,（以上业绩案例需提供项目合同复印件并加盖单位公章）。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76" w:type="dxa"/>
            <w:vMerge w:val="continue"/>
            <w:vAlign w:val="center"/>
          </w:tcPr>
          <w:p>
            <w:pPr>
              <w:spacing w:line="380" w:lineRule="exact"/>
              <w:rPr>
                <w:sz w:val="18"/>
                <w:szCs w:val="18"/>
              </w:rPr>
            </w:pPr>
          </w:p>
        </w:tc>
        <w:tc>
          <w:tcPr>
            <w:tcW w:w="1166" w:type="dxa"/>
            <w:vAlign w:val="center"/>
          </w:tcPr>
          <w:p>
            <w:pPr>
              <w:spacing w:line="380" w:lineRule="exact"/>
              <w:rPr>
                <w:rFonts w:asciiTheme="minorEastAsia" w:hAnsiTheme="minorEastAsia" w:eastAsiaTheme="minorEastAsia"/>
              </w:rPr>
            </w:pPr>
            <w:r>
              <w:rPr>
                <w:rFonts w:asciiTheme="minorEastAsia" w:hAnsiTheme="minorEastAsia" w:eastAsiaTheme="minorEastAsia"/>
              </w:rPr>
              <w:t>项目</w:t>
            </w:r>
            <w:r>
              <w:rPr>
                <w:rFonts w:hint="eastAsia" w:asciiTheme="minorEastAsia" w:hAnsiTheme="minorEastAsia" w:eastAsiaTheme="minorEastAsia"/>
              </w:rPr>
              <w:t>团队</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3分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投标人项目团队负责人具有通过国家相关部门通过颁发的信息系统项目管理师资质证书的（须提供资质证书和劳务合同复印件加盖公章）得1分，否则不得分。项目团队成员中至少有2名成员具有高级项目经理资质证书（须提供资质证书复印件加盖公章）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1276" w:type="dxa"/>
            <w:vMerge w:val="restart"/>
            <w:vAlign w:val="center"/>
          </w:tcPr>
          <w:p>
            <w:pPr>
              <w:spacing w:line="380" w:lineRule="exact"/>
              <w:rPr>
                <w:sz w:val="18"/>
                <w:szCs w:val="18"/>
              </w:rPr>
            </w:pPr>
            <w:r>
              <w:rPr>
                <w:rFonts w:hint="eastAsia" w:asciiTheme="minorEastAsia" w:hAnsiTheme="minorEastAsia" w:eastAsiaTheme="minorEastAsia"/>
              </w:rPr>
              <w:t>技术部分（50分）</w:t>
            </w:r>
          </w:p>
        </w:tc>
        <w:tc>
          <w:tcPr>
            <w:tcW w:w="1166" w:type="dxa"/>
            <w:vAlign w:val="center"/>
          </w:tcPr>
          <w:p>
            <w:pPr>
              <w:spacing w:line="380" w:lineRule="exact"/>
              <w:rPr>
                <w:sz w:val="18"/>
                <w:szCs w:val="18"/>
              </w:rPr>
            </w:pPr>
            <w:r>
              <w:rPr>
                <w:rFonts w:hint="eastAsia" w:asciiTheme="minorEastAsia" w:hAnsiTheme="minorEastAsia" w:eastAsiaTheme="minorEastAsia"/>
              </w:rPr>
              <w:t>整体技术解决方案</w:t>
            </w:r>
          </w:p>
        </w:tc>
        <w:tc>
          <w:tcPr>
            <w:tcW w:w="992" w:type="dxa"/>
            <w:vAlign w:val="center"/>
          </w:tcPr>
          <w:p>
            <w:pPr>
              <w:spacing w:line="380" w:lineRule="exact"/>
              <w:jc w:val="center"/>
              <w:rPr>
                <w:sz w:val="18"/>
                <w:szCs w:val="18"/>
              </w:rPr>
            </w:pPr>
            <w:r>
              <w:rPr>
                <w:rFonts w:hint="eastAsia" w:asciiTheme="minorEastAsia" w:hAnsiTheme="minorEastAsia" w:eastAsiaTheme="minorEastAsia"/>
              </w:rPr>
              <w:t>8分</w:t>
            </w:r>
          </w:p>
        </w:tc>
        <w:tc>
          <w:tcPr>
            <w:tcW w:w="5786" w:type="dxa"/>
            <w:vAlign w:val="center"/>
          </w:tcPr>
          <w:p>
            <w:pPr>
              <w:spacing w:line="380" w:lineRule="exact"/>
              <w:rPr>
                <w:sz w:val="18"/>
                <w:szCs w:val="18"/>
              </w:rPr>
            </w:pPr>
            <w:r>
              <w:rPr>
                <w:rFonts w:hint="eastAsia" w:asciiTheme="minorEastAsia" w:hAnsiTheme="minorEastAsia" w:eastAsiaTheme="minorEastAsia"/>
              </w:rPr>
              <w:t>投标人可根据招标文件的要求自发组织对现场环境的勘测，对项目情况进行评估与调研，制定详细完整的技术方案和施工方案。并含详细实际调研资料提供方案的科学性、完整性、可操作性进行综合评比：科学、合理、针对性强的得8分，合理、可行的得6分，欠合理、基本可行的得4分，不满足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276" w:type="dxa"/>
            <w:vMerge w:val="continue"/>
            <w:vAlign w:val="center"/>
          </w:tcPr>
          <w:p>
            <w:pPr>
              <w:spacing w:line="380" w:lineRule="exact"/>
              <w:rPr>
                <w:rFonts w:asciiTheme="minorEastAsia" w:hAnsiTheme="minorEastAsia" w:eastAsiaTheme="minorEastAsia"/>
              </w:rPr>
            </w:pPr>
          </w:p>
        </w:tc>
        <w:tc>
          <w:tcPr>
            <w:tcW w:w="116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施工方案</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5分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根据投标人的施工方案的合理性、全面性、可操作性等要素进行相互比较综合评议。科学、合理、针对性强的得5分，合理、可行的得3分，欠合理、基本可行的得1分，不满足招标文件要求的不得分。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1276" w:type="dxa"/>
            <w:vMerge w:val="continue"/>
            <w:vAlign w:val="center"/>
          </w:tcPr>
          <w:p>
            <w:pPr>
              <w:spacing w:line="380" w:lineRule="exact"/>
              <w:rPr>
                <w:rFonts w:asciiTheme="minorEastAsia" w:hAnsiTheme="minorEastAsia" w:eastAsiaTheme="minorEastAsia"/>
              </w:rPr>
            </w:pPr>
          </w:p>
        </w:tc>
        <w:tc>
          <w:tcPr>
            <w:tcW w:w="116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技术性能参数</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25分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完全满足招标文件技术参数得满分25分，其中★项技术参数一项不满足扣1分，直至扣完为止（技术参数部分要求提供相关证明材料或检测报告的须提供复印件并加盖厂家鲜章证明）。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276" w:type="dxa"/>
            <w:vMerge w:val="continue"/>
            <w:vAlign w:val="center"/>
          </w:tcPr>
          <w:p>
            <w:pPr>
              <w:spacing w:line="380" w:lineRule="exact"/>
              <w:rPr>
                <w:rFonts w:asciiTheme="minorEastAsia" w:hAnsiTheme="minorEastAsia" w:eastAsiaTheme="minorEastAsia"/>
              </w:rPr>
            </w:pPr>
          </w:p>
        </w:tc>
        <w:tc>
          <w:tcPr>
            <w:tcW w:w="116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系统对接</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5分</w:t>
            </w:r>
          </w:p>
        </w:tc>
        <w:tc>
          <w:tcPr>
            <w:tcW w:w="5786" w:type="dxa"/>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本项目视频会议系统须与省市应急管理部门的视频会议系统进行对接，投标人须提供对接承诺函，同时提供详细完整可行的对接方案得5分，否则不得分。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276" w:type="dxa"/>
            <w:vMerge w:val="continue"/>
            <w:vAlign w:val="center"/>
          </w:tcPr>
          <w:p>
            <w:pPr>
              <w:spacing w:line="380" w:lineRule="exact"/>
              <w:rPr>
                <w:rFonts w:asciiTheme="minorEastAsia" w:hAnsiTheme="minorEastAsia" w:eastAsiaTheme="minorEastAsia"/>
              </w:rPr>
            </w:pPr>
          </w:p>
        </w:tc>
        <w:tc>
          <w:tcPr>
            <w:tcW w:w="1166" w:type="dxa"/>
            <w:vAlign w:val="center"/>
          </w:tcPr>
          <w:p>
            <w:pPr>
              <w:spacing w:line="380" w:lineRule="exact"/>
              <w:rPr>
                <w:rFonts w:asciiTheme="minorEastAsia" w:hAnsiTheme="minorEastAsia" w:eastAsiaTheme="minorEastAsia"/>
              </w:rPr>
            </w:pPr>
            <w:r>
              <w:rPr>
                <w:rFonts w:asciiTheme="minorEastAsia" w:hAnsiTheme="minorEastAsia" w:eastAsiaTheme="minorEastAsia"/>
              </w:rPr>
              <w:t>产品兼容性</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2分</w:t>
            </w:r>
          </w:p>
        </w:tc>
        <w:tc>
          <w:tcPr>
            <w:tcW w:w="5786" w:type="dxa"/>
            <w:vAlign w:val="center"/>
          </w:tcPr>
          <w:p>
            <w:pPr>
              <w:spacing w:line="380" w:lineRule="exact"/>
              <w:rPr>
                <w:rFonts w:ascii="宋体" w:hAnsi="宋体"/>
                <w:sz w:val="24"/>
              </w:rPr>
            </w:pPr>
            <w:r>
              <w:rPr>
                <w:rFonts w:asciiTheme="minorEastAsia" w:hAnsiTheme="minorEastAsia" w:eastAsiaTheme="minorEastAsia"/>
              </w:rPr>
              <w:t>本项目中投标人所投的</w:t>
            </w:r>
            <w:r>
              <w:rPr>
                <w:rFonts w:hint="eastAsia" w:asciiTheme="minorEastAsia" w:hAnsiTheme="minorEastAsia" w:eastAsiaTheme="minorEastAsia"/>
              </w:rPr>
              <w:t>LED显示屏、拼接屏、拼接处理器、控制软件全部采用同一品牌的得2分，以上一项不满足的扣0.5分。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276" w:type="dxa"/>
            <w:vMerge w:val="continue"/>
            <w:vAlign w:val="center"/>
          </w:tcPr>
          <w:p>
            <w:pPr>
              <w:spacing w:line="380" w:lineRule="exact"/>
              <w:rPr>
                <w:rFonts w:asciiTheme="minorEastAsia" w:hAnsiTheme="minorEastAsia" w:eastAsiaTheme="minorEastAsia"/>
              </w:rPr>
            </w:pPr>
          </w:p>
        </w:tc>
        <w:tc>
          <w:tcPr>
            <w:tcW w:w="1166" w:type="dxa"/>
            <w:vAlign w:val="center"/>
          </w:tcPr>
          <w:p>
            <w:pPr>
              <w:spacing w:line="380" w:lineRule="exact"/>
              <w:rPr>
                <w:rFonts w:asciiTheme="minorEastAsia" w:hAnsiTheme="minorEastAsia" w:eastAsiaTheme="minorEastAsia"/>
              </w:rPr>
            </w:pPr>
            <w:r>
              <w:rPr>
                <w:rFonts w:asciiTheme="minorEastAsia" w:hAnsiTheme="minorEastAsia" w:eastAsiaTheme="minorEastAsia"/>
              </w:rPr>
              <w:t>售后服务承诺</w:t>
            </w:r>
          </w:p>
        </w:tc>
        <w:tc>
          <w:tcPr>
            <w:tcW w:w="992" w:type="dxa"/>
            <w:vAlign w:val="center"/>
          </w:tcPr>
          <w:p>
            <w:pPr>
              <w:spacing w:line="380" w:lineRule="exact"/>
              <w:jc w:val="center"/>
              <w:rPr>
                <w:rFonts w:asciiTheme="minorEastAsia" w:hAnsiTheme="minorEastAsia" w:eastAsiaTheme="minorEastAsia"/>
              </w:rPr>
            </w:pPr>
            <w:r>
              <w:rPr>
                <w:rFonts w:hint="eastAsia" w:asciiTheme="minorEastAsia" w:hAnsiTheme="minorEastAsia" w:eastAsiaTheme="minorEastAsia"/>
              </w:rPr>
              <w:t>5分</w:t>
            </w:r>
          </w:p>
        </w:tc>
        <w:tc>
          <w:tcPr>
            <w:tcW w:w="5786" w:type="dxa"/>
            <w:vAlign w:val="center"/>
          </w:tcPr>
          <w:p>
            <w:pPr>
              <w:spacing w:line="380" w:lineRule="exact"/>
              <w:rPr>
                <w:rFonts w:ascii="宋体" w:hAnsi="宋体"/>
                <w:sz w:val="24"/>
              </w:rPr>
            </w:pPr>
            <w:r>
              <w:rPr>
                <w:rFonts w:hint="eastAsia" w:asciiTheme="minorEastAsia" w:hAnsiTheme="minorEastAsia" w:eastAsiaTheme="minorEastAsia"/>
              </w:rPr>
              <w:t>投标人提供针对本项目售后服务承诺（三年质保），并提供本项目主要设备（</w:t>
            </w:r>
            <w:r>
              <w:rPr>
                <w:rFonts w:hint="eastAsia" w:ascii="宋体" w:hAnsi="宋体" w:cs="宋体"/>
                <w:color w:val="000000"/>
                <w:sz w:val="20"/>
                <w:szCs w:val="20"/>
              </w:rPr>
              <w:t>LED屏、拼接屏、远程视频会议系统、音响会议系统、服务器主机</w:t>
            </w:r>
            <w:r>
              <w:rPr>
                <w:rFonts w:hint="eastAsia" w:asciiTheme="minorEastAsia" w:hAnsiTheme="minorEastAsia" w:eastAsiaTheme="minorEastAsia"/>
              </w:rPr>
              <w:t>）原厂售后服务承诺函，得5分，不提供或缺一项不得分。</w:t>
            </w:r>
          </w:p>
        </w:tc>
      </w:tr>
    </w:tbl>
    <w:p>
      <w:pPr>
        <w:rPr>
          <w:rFonts w:cs="Times New Roman"/>
        </w:rPr>
      </w:pPr>
    </w:p>
    <w:p>
      <w:pPr>
        <w:ind w:firstLine="470" w:firstLineChars="196"/>
        <w:rPr>
          <w:rFonts w:cs="Times New Roman"/>
          <w:b/>
          <w:bCs/>
          <w:sz w:val="24"/>
          <w:szCs w:val="24"/>
          <w:lang w:val="zh-CN"/>
        </w:rPr>
      </w:pPr>
      <w:r>
        <w:rPr>
          <w:rFonts w:hint="eastAsia" w:cs="宋体"/>
          <w:b/>
          <w:bCs/>
          <w:sz w:val="24"/>
          <w:szCs w:val="24"/>
          <w:lang w:val="zh-CN"/>
        </w:rPr>
        <w:t>备注：以上所有须提供的证件、有关资料等投标人都必须提供</w:t>
      </w:r>
      <w:r>
        <w:rPr>
          <w:rFonts w:hint="eastAsia" w:ascii="宋体" w:hAnsi="宋体" w:cs="宋体"/>
          <w:b/>
          <w:bCs/>
          <w:sz w:val="24"/>
          <w:szCs w:val="24"/>
        </w:rPr>
        <w:t>有效证明材料</w:t>
      </w:r>
      <w:r>
        <w:rPr>
          <w:rFonts w:hint="eastAsia" w:cs="宋体"/>
          <w:b/>
          <w:bCs/>
          <w:sz w:val="24"/>
          <w:szCs w:val="24"/>
          <w:lang w:val="zh-CN"/>
        </w:rPr>
        <w:t>供专家评委评审，否则不得分。投标人投标时须认真对待、如实应标。凡提供虚假材料谋取中标的，一经查实，根据《政府采购法》第七十七条之规定，将对供应商处以罚款、列入不良行为记录名单、依法追究刑事责任等。</w:t>
      </w:r>
    </w:p>
    <w:p>
      <w:pPr>
        <w:rPr>
          <w:rFonts w:cs="Times New Roman"/>
        </w:rPr>
      </w:pPr>
    </w:p>
    <w:p>
      <w:pPr>
        <w:widowControl/>
        <w:jc w:val="left"/>
        <w:rPr>
          <w:rFonts w:ascii="黑体" w:hAnsi="黑体" w:eastAsia="黑体" w:cs="Times New Roman"/>
          <w:b/>
          <w:bCs/>
          <w:kern w:val="44"/>
          <w:sz w:val="44"/>
          <w:szCs w:val="44"/>
        </w:rPr>
      </w:pPr>
      <w:bookmarkStart w:id="80" w:name="_Toc494702263"/>
      <w:bookmarkStart w:id="81" w:name="_Toc495861545"/>
      <w:bookmarkStart w:id="82" w:name="_Toc494665546"/>
      <w:bookmarkStart w:id="83" w:name="_Toc494745310"/>
      <w:bookmarkStart w:id="84" w:name="_Toc494665943"/>
      <w:bookmarkStart w:id="85" w:name="_Toc494721093"/>
      <w:bookmarkStart w:id="86" w:name="_Toc494664993"/>
      <w:r>
        <w:rPr>
          <w:rFonts w:ascii="黑体" w:hAnsi="黑体" w:eastAsia="黑体" w:cs="Times New Roman"/>
        </w:rPr>
        <w:br w:type="page"/>
      </w:r>
    </w:p>
    <w:p>
      <w:pPr>
        <w:pStyle w:val="3"/>
        <w:numPr>
          <w:ilvl w:val="1"/>
          <w:numId w:val="22"/>
        </w:numPr>
        <w:jc w:val="center"/>
        <w:rPr>
          <w:rFonts w:ascii="黑体" w:hAnsi="黑体" w:eastAsia="黑体" w:cs="Times New Roman"/>
        </w:rPr>
      </w:pPr>
      <w:bookmarkStart w:id="87" w:name="_Toc509323137"/>
      <w:r>
        <w:rPr>
          <w:rFonts w:hint="eastAsia" w:ascii="黑体" w:hAnsi="黑体" w:eastAsia="黑体" w:cs="黑体"/>
        </w:rPr>
        <w:t>合同书格式（参考）</w:t>
      </w:r>
      <w:bookmarkEnd w:id="80"/>
      <w:bookmarkEnd w:id="81"/>
      <w:bookmarkEnd w:id="82"/>
      <w:bookmarkEnd w:id="83"/>
      <w:bookmarkEnd w:id="84"/>
      <w:bookmarkEnd w:id="85"/>
      <w:bookmarkEnd w:id="86"/>
      <w:bookmarkEnd w:id="87"/>
    </w:p>
    <w:p>
      <w:pPr>
        <w:spacing w:line="360" w:lineRule="auto"/>
        <w:ind w:firstLine="480" w:firstLineChars="200"/>
        <w:rPr>
          <w:rFonts w:cs="Times New Roman"/>
          <w:sz w:val="24"/>
          <w:szCs w:val="24"/>
        </w:rPr>
      </w:pPr>
      <w:r>
        <w:rPr>
          <w:rFonts w:hint="eastAsia" w:cs="宋体"/>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cs="Times New Roman"/>
          <w:b/>
          <w:bCs/>
          <w:kern w:val="0"/>
          <w:sz w:val="36"/>
          <w:szCs w:val="36"/>
        </w:rPr>
      </w:pPr>
      <w:r>
        <w:rPr>
          <w:rFonts w:hint="eastAsia" w:ascii="宋体" w:hAnsi="宋体" w:cs="宋体"/>
          <w:b/>
          <w:bCs/>
          <w:kern w:val="0"/>
          <w:sz w:val="36"/>
          <w:szCs w:val="36"/>
        </w:rPr>
        <w:t>合</w:t>
      </w:r>
      <w:r>
        <w:rPr>
          <w:rFonts w:ascii="宋体" w:hAnsi="宋体" w:cs="宋体"/>
          <w:b/>
          <w:bCs/>
          <w:kern w:val="0"/>
          <w:sz w:val="36"/>
          <w:szCs w:val="36"/>
        </w:rPr>
        <w:t xml:space="preserve">   </w:t>
      </w:r>
      <w:r>
        <w:rPr>
          <w:rFonts w:hint="eastAsia" w:ascii="宋体" w:hAnsi="宋体" w:cs="宋体"/>
          <w:b/>
          <w:bCs/>
          <w:kern w:val="0"/>
          <w:sz w:val="36"/>
          <w:szCs w:val="36"/>
        </w:rPr>
        <w:t>同</w:t>
      </w:r>
      <w:r>
        <w:rPr>
          <w:rFonts w:ascii="宋体" w:hAnsi="宋体" w:cs="宋体"/>
          <w:b/>
          <w:bCs/>
          <w:kern w:val="0"/>
          <w:sz w:val="36"/>
          <w:szCs w:val="36"/>
        </w:rPr>
        <w:t xml:space="preserve">   </w:t>
      </w:r>
      <w:r>
        <w:rPr>
          <w:rFonts w:hint="eastAsia" w:ascii="宋体" w:hAnsi="宋体" w:cs="宋体"/>
          <w:b/>
          <w:bCs/>
          <w:kern w:val="0"/>
          <w:sz w:val="36"/>
          <w:szCs w:val="36"/>
        </w:rPr>
        <w:t>书</w:t>
      </w:r>
    </w:p>
    <w:p>
      <w:pPr>
        <w:spacing w:before="78" w:beforeLines="25" w:line="360" w:lineRule="auto"/>
        <w:ind w:firstLine="480" w:firstLineChars="200"/>
        <w:rPr>
          <w:rFonts w:ascii="Helvetica" w:hAnsi="Helvetica" w:cs="Helvetica"/>
          <w:b/>
          <w:bCs/>
          <w:kern w:val="0"/>
          <w:sz w:val="24"/>
          <w:szCs w:val="24"/>
          <w:lang w:val="zh-CN"/>
        </w:rPr>
      </w:pPr>
      <w:r>
        <w:rPr>
          <w:rFonts w:hint="eastAsia" w:ascii="Helvetica" w:hAnsi="Helvetica" w:cs="宋体"/>
          <w:b/>
          <w:bCs/>
          <w:kern w:val="0"/>
          <w:sz w:val="24"/>
          <w:szCs w:val="24"/>
          <w:lang w:val="zh-CN"/>
        </w:rPr>
        <w:t>项目名称：</w:t>
      </w:r>
      <w:r>
        <w:rPr>
          <w:rFonts w:hint="eastAsia" w:ascii="Helvetica" w:hAnsi="Helvetica" w:cs="宋体"/>
          <w:b/>
          <w:bCs/>
          <w:kern w:val="0"/>
          <w:sz w:val="24"/>
          <w:szCs w:val="24"/>
        </w:rPr>
        <w:t xml:space="preserve">                          </w:t>
      </w:r>
      <w:r>
        <w:rPr>
          <w:rFonts w:hint="eastAsia" w:ascii="Helvetica" w:hAnsi="Helvetica" w:cs="宋体"/>
          <w:b/>
          <w:bCs/>
          <w:kern w:val="0"/>
          <w:sz w:val="24"/>
          <w:szCs w:val="24"/>
          <w:lang w:val="zh-CN"/>
        </w:rPr>
        <w:t>合同编号：</w:t>
      </w:r>
    </w:p>
    <w:p>
      <w:pPr>
        <w:spacing w:before="78" w:beforeLines="25" w:line="360" w:lineRule="auto"/>
        <w:ind w:firstLine="480" w:firstLineChars="200"/>
        <w:rPr>
          <w:rFonts w:ascii="Helvetica" w:hAnsi="Helvetica" w:cs="Helvetica"/>
          <w:b/>
          <w:bCs/>
          <w:kern w:val="0"/>
          <w:sz w:val="24"/>
          <w:szCs w:val="24"/>
          <w:lang w:val="zh-CN"/>
        </w:rPr>
      </w:pPr>
      <w:r>
        <w:rPr>
          <w:rFonts w:hint="eastAsia" w:ascii="Helvetica" w:hAnsi="Helvetica" w:cs="宋体"/>
          <w:b/>
          <w:bCs/>
          <w:kern w:val="0"/>
          <w:sz w:val="24"/>
          <w:szCs w:val="24"/>
          <w:lang w:val="zh-CN"/>
        </w:rPr>
        <w:t>签订日期：</w:t>
      </w:r>
      <w:r>
        <w:rPr>
          <w:rFonts w:hint="eastAsia" w:ascii="Helvetica" w:hAnsi="Helvetica" w:cs="宋体"/>
          <w:b/>
          <w:bCs/>
          <w:kern w:val="0"/>
          <w:sz w:val="24"/>
          <w:szCs w:val="24"/>
        </w:rPr>
        <w:t xml:space="preserve">                          </w:t>
      </w:r>
      <w:r>
        <w:rPr>
          <w:rFonts w:hint="eastAsia" w:ascii="Helvetica" w:hAnsi="Helvetica" w:cs="宋体"/>
          <w:b/>
          <w:bCs/>
          <w:kern w:val="0"/>
          <w:sz w:val="24"/>
          <w:szCs w:val="24"/>
          <w:lang w:val="zh-CN"/>
        </w:rPr>
        <w:t>签订合同地点：</w:t>
      </w:r>
    </w:p>
    <w:p>
      <w:pPr>
        <w:spacing w:before="78" w:beforeLines="25" w:line="360" w:lineRule="auto"/>
        <w:ind w:firstLine="480" w:firstLineChars="200"/>
        <w:rPr>
          <w:rFonts w:ascii="Helvetica" w:hAnsi="Helvetica" w:cs="Helvetica"/>
          <w:kern w:val="0"/>
          <w:sz w:val="24"/>
          <w:szCs w:val="24"/>
          <w:lang w:val="zh-CN"/>
        </w:rPr>
      </w:pPr>
      <w:r>
        <w:rPr>
          <w:rFonts w:hint="eastAsia" w:ascii="Helvetica" w:hAnsi="Helvetica" w:cs="宋体"/>
          <w:kern w:val="0"/>
          <w:sz w:val="24"/>
          <w:szCs w:val="24"/>
          <w:lang w:val="zh-CN"/>
        </w:rPr>
        <w:t>本合同由</w:t>
      </w:r>
      <w:r>
        <w:rPr>
          <w:rFonts w:hint="eastAsia" w:ascii="Helvetica" w:hAnsi="Helvetica" w:cs="宋体"/>
          <w:kern w:val="0"/>
          <w:sz w:val="24"/>
          <w:szCs w:val="24"/>
          <w:u w:val="single"/>
          <w:lang w:val="zh-CN"/>
        </w:rPr>
        <w:t>（采购人）</w:t>
      </w:r>
      <w:r>
        <w:rPr>
          <w:rFonts w:hint="eastAsia" w:ascii="Helvetica" w:hAnsi="Helvetica" w:cs="宋体"/>
          <w:kern w:val="0"/>
          <w:sz w:val="24"/>
          <w:szCs w:val="24"/>
          <w:lang w:val="zh-CN"/>
        </w:rPr>
        <w:t>（以下简称“甲方”）与</w:t>
      </w:r>
      <w:r>
        <w:rPr>
          <w:rFonts w:hint="eastAsia" w:ascii="Helvetica" w:hAnsi="Helvetica" w:cs="宋体"/>
          <w:kern w:val="0"/>
          <w:sz w:val="24"/>
          <w:szCs w:val="24"/>
          <w:u w:val="single"/>
          <w:lang w:val="zh-CN"/>
        </w:rPr>
        <w:t>（中标人）</w:t>
      </w:r>
      <w:r>
        <w:rPr>
          <w:rFonts w:hint="eastAsia" w:ascii="Helvetica" w:hAnsi="Helvetica" w:cs="宋体"/>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rPr>
          <w:rFonts w:ascii="宋体" w:cs="Times New Roman"/>
          <w:b/>
          <w:bCs/>
          <w:kern w:val="0"/>
          <w:sz w:val="24"/>
          <w:szCs w:val="24"/>
        </w:rPr>
      </w:pPr>
      <w:r>
        <w:rPr>
          <w:rFonts w:hint="eastAsia" w:ascii="Helvetica" w:hAnsi="Helvetica" w:cs="宋体"/>
          <w:b/>
          <w:bCs/>
          <w:kern w:val="0"/>
          <w:sz w:val="24"/>
          <w:szCs w:val="24"/>
          <w:lang w:val="zh-CN"/>
        </w:rPr>
        <w:t>经双方协商，同意按下列条文执行：</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本合同甲、乙双方应遵守国家颁布的《中华人民共和国合同法》、《中华人民共和国政府采购法》，并各自履行应负的全部责任和义务。</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甲方保证按合同条款规定的时间和方式付给乙方到期应付的合同款，并承担应负的责任和义务。</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乙方保证按合同条款规定的内容和工期（服务期限）向甲方提供合格的货物（工程或服务），并承担应负的责任和义务。</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合同文件。下列文件为本合同不可分割的部分：</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招标文件（项目编号：</w:t>
      </w:r>
      <w:r>
        <w:rPr>
          <w:rFonts w:hint="eastAsia" w:ascii="宋体" w:hAnsi="宋体" w:cs="宋体"/>
          <w:kern w:val="0"/>
          <w:sz w:val="24"/>
          <w:szCs w:val="24"/>
          <w:u w:val="single"/>
          <w:lang w:val="zh-CN"/>
        </w:rPr>
        <w:t>　　</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　</w:t>
      </w:r>
      <w:r>
        <w:rPr>
          <w:rFonts w:hint="eastAsia" w:ascii="宋体" w:hAnsi="宋体" w:cs="宋体"/>
          <w:kern w:val="0"/>
          <w:sz w:val="24"/>
          <w:szCs w:val="24"/>
          <w:lang w:val="zh-CN"/>
        </w:rPr>
        <w:t>）；</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中标的投标文件；</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合同书；</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合同条款；</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采购</w:t>
      </w:r>
      <w:r>
        <w:rPr>
          <w:rFonts w:hint="eastAsia" w:ascii="宋体" w:hAnsi="宋体" w:cs="宋体"/>
          <w:sz w:val="24"/>
          <w:szCs w:val="24"/>
        </w:rPr>
        <w:t>代理</w:t>
      </w:r>
      <w:r>
        <w:rPr>
          <w:rFonts w:hint="eastAsia" w:ascii="宋体" w:hAnsi="宋体" w:cs="宋体"/>
          <w:kern w:val="0"/>
          <w:sz w:val="24"/>
          <w:szCs w:val="24"/>
          <w:lang w:val="zh-CN"/>
        </w:rPr>
        <w:t>机构发出的中标通知书；</w:t>
      </w:r>
    </w:p>
    <w:p>
      <w:pPr>
        <w:numPr>
          <w:ilvl w:val="0"/>
          <w:numId w:val="35"/>
        </w:numPr>
        <w:adjustRightInd w:val="0"/>
        <w:spacing w:before="78" w:beforeLines="25" w:line="360" w:lineRule="auto"/>
        <w:ind w:left="1090" w:leftChars="227" w:hanging="614" w:hangingChars="256"/>
        <w:rPr>
          <w:rFonts w:ascii="宋体" w:cs="Times New Roman"/>
          <w:kern w:val="0"/>
          <w:sz w:val="24"/>
          <w:szCs w:val="24"/>
          <w:lang w:val="zh-CN"/>
        </w:rPr>
      </w:pPr>
      <w:r>
        <w:rPr>
          <w:rFonts w:hint="eastAsia" w:ascii="宋体" w:hAnsi="宋体" w:cs="宋体"/>
          <w:kern w:val="0"/>
          <w:sz w:val="24"/>
          <w:szCs w:val="24"/>
          <w:lang w:val="zh-CN"/>
        </w:rPr>
        <w:t>附件；</w:t>
      </w:r>
    </w:p>
    <w:p>
      <w:pPr>
        <w:numPr>
          <w:ilvl w:val="0"/>
          <w:numId w:val="36"/>
        </w:numPr>
        <w:spacing w:before="78" w:beforeLines="25" w:line="360" w:lineRule="auto"/>
        <w:ind w:left="1358" w:hanging="724"/>
        <w:rPr>
          <w:rFonts w:ascii="宋体" w:cs="Times New Roman"/>
          <w:sz w:val="24"/>
          <w:szCs w:val="24"/>
          <w:lang w:val="zh-CN"/>
        </w:rPr>
      </w:pPr>
      <w:r>
        <w:rPr>
          <w:rFonts w:hint="eastAsia" w:ascii="宋体" w:hAnsi="宋体" w:cs="宋体"/>
          <w:kern w:val="0"/>
          <w:sz w:val="24"/>
          <w:szCs w:val="24"/>
          <w:lang w:val="zh-CN"/>
        </w:rPr>
        <w:t>甲方</w:t>
      </w:r>
      <w:r>
        <w:rPr>
          <w:rFonts w:hint="eastAsia" w:ascii="宋体" w:hAnsi="宋体" w:cs="宋体"/>
          <w:sz w:val="24"/>
          <w:szCs w:val="24"/>
          <w:lang w:val="zh-CN"/>
        </w:rPr>
        <w:t>在招标期间发布的所有补充通知；</w:t>
      </w:r>
    </w:p>
    <w:p>
      <w:pPr>
        <w:numPr>
          <w:ilvl w:val="0"/>
          <w:numId w:val="36"/>
        </w:numPr>
        <w:spacing w:before="78" w:beforeLines="25" w:line="360" w:lineRule="auto"/>
        <w:ind w:left="1358" w:hanging="724"/>
        <w:rPr>
          <w:rFonts w:ascii="宋体" w:cs="Times New Roman"/>
          <w:kern w:val="0"/>
          <w:sz w:val="24"/>
          <w:szCs w:val="24"/>
          <w:lang w:val="zh-CN"/>
        </w:rPr>
      </w:pPr>
      <w:r>
        <w:rPr>
          <w:rFonts w:hint="eastAsia" w:ascii="宋体" w:hAnsi="宋体" w:cs="宋体"/>
          <w:kern w:val="0"/>
          <w:sz w:val="24"/>
          <w:szCs w:val="24"/>
          <w:lang w:val="zh-CN"/>
        </w:rPr>
        <w:t>乙方在投标期内补充的所有书面文件；</w:t>
      </w:r>
    </w:p>
    <w:p>
      <w:pPr>
        <w:numPr>
          <w:ilvl w:val="0"/>
          <w:numId w:val="36"/>
        </w:numPr>
        <w:spacing w:before="78" w:beforeLines="25" w:line="360" w:lineRule="auto"/>
        <w:ind w:left="1358" w:hanging="724"/>
        <w:rPr>
          <w:rFonts w:ascii="宋体" w:cs="Times New Roman"/>
          <w:kern w:val="0"/>
          <w:sz w:val="24"/>
          <w:szCs w:val="24"/>
          <w:lang w:val="zh-CN"/>
        </w:rPr>
      </w:pPr>
      <w:r>
        <w:rPr>
          <w:rFonts w:hint="eastAsia" w:ascii="宋体" w:hAnsi="宋体" w:cs="宋体"/>
          <w:kern w:val="0"/>
          <w:sz w:val="24"/>
          <w:szCs w:val="24"/>
          <w:lang w:val="zh-CN"/>
        </w:rPr>
        <w:t>乙方在投标时随同投标文件一起递送的资料及附图；</w:t>
      </w:r>
    </w:p>
    <w:p>
      <w:pPr>
        <w:numPr>
          <w:ilvl w:val="0"/>
          <w:numId w:val="36"/>
        </w:numPr>
        <w:spacing w:before="78" w:beforeLines="25" w:line="360" w:lineRule="auto"/>
        <w:ind w:left="1358" w:hanging="724"/>
        <w:rPr>
          <w:rFonts w:ascii="宋体" w:cs="Times New Roman"/>
          <w:kern w:val="0"/>
          <w:sz w:val="24"/>
          <w:szCs w:val="24"/>
          <w:lang w:val="zh-CN"/>
        </w:rPr>
      </w:pPr>
      <w:r>
        <w:rPr>
          <w:rFonts w:hint="eastAsia" w:ascii="宋体" w:hAnsi="宋体" w:cs="宋体"/>
          <w:kern w:val="0"/>
          <w:sz w:val="24"/>
          <w:szCs w:val="24"/>
          <w:lang w:val="zh-CN"/>
        </w:rPr>
        <w:t>在商洽本合同时，双方澄清、确认并共同签字的补充文件、技术协议。</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合同范围和条件。本合同的范围和条件应与上述规定的合同文件内容相一致。</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货物（工程或服务）及数量。本合同所提供的货物（工程或服务）及数量详见招标文件的要求及乙方投标文件中的承诺。</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付款条件。本合同的付款条件按招标文件规定执行。</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合同金额。合同总金额见合同书，分项价格在乙方的投标报价表中有明确规定。</w:t>
      </w:r>
    </w:p>
    <w:p>
      <w:pPr>
        <w:numPr>
          <w:ilvl w:val="3"/>
          <w:numId w:val="34"/>
        </w:numPr>
        <w:tabs>
          <w:tab w:val="left" w:pos="854"/>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工期和交货（服务）地点。本合同中货物（工程或服务）的工期、交货（服务）地点在招标文件中有明确规定。</w:t>
      </w:r>
    </w:p>
    <w:p>
      <w:pPr>
        <w:numPr>
          <w:ilvl w:val="3"/>
          <w:numId w:val="34"/>
        </w:numPr>
        <w:tabs>
          <w:tab w:val="left" w:pos="980"/>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合同生效。本合同经甲、乙双方授权代表签字和加盖公章（或合同专用章）后生效。如招标申请公证的，合同需经公证机构公证后生效。</w:t>
      </w:r>
    </w:p>
    <w:p>
      <w:pPr>
        <w:numPr>
          <w:ilvl w:val="3"/>
          <w:numId w:val="34"/>
        </w:numPr>
        <w:tabs>
          <w:tab w:val="left" w:pos="980"/>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合同的份数。本合同正本一式</w:t>
      </w:r>
      <w:r>
        <w:rPr>
          <w:rFonts w:hint="eastAsia" w:ascii="宋体" w:hAnsi="宋体" w:cs="宋体"/>
          <w:kern w:val="0"/>
          <w:sz w:val="24"/>
          <w:szCs w:val="24"/>
          <w:u w:val="single"/>
        </w:rPr>
        <w:t>　</w:t>
      </w:r>
      <w:r>
        <w:rPr>
          <w:rFonts w:hint="eastAsia" w:ascii="宋体" w:hAnsi="宋体" w:cs="宋体"/>
          <w:kern w:val="0"/>
          <w:sz w:val="24"/>
          <w:szCs w:val="24"/>
        </w:rPr>
        <w:t>份，甲方执</w:t>
      </w:r>
      <w:r>
        <w:rPr>
          <w:rFonts w:hint="eastAsia" w:ascii="宋体" w:hAnsi="宋体" w:cs="宋体"/>
          <w:kern w:val="0"/>
          <w:sz w:val="24"/>
          <w:szCs w:val="24"/>
          <w:u w:val="single"/>
        </w:rPr>
        <w:t>　</w:t>
      </w:r>
      <w:r>
        <w:rPr>
          <w:rFonts w:hint="eastAsia" w:ascii="宋体" w:hAnsi="宋体" w:cs="宋体"/>
          <w:kern w:val="0"/>
          <w:sz w:val="24"/>
          <w:szCs w:val="24"/>
        </w:rPr>
        <w:t>份，乙方执</w:t>
      </w:r>
      <w:r>
        <w:rPr>
          <w:rFonts w:hint="eastAsia" w:ascii="宋体" w:hAnsi="宋体" w:cs="宋体"/>
          <w:kern w:val="0"/>
          <w:sz w:val="24"/>
          <w:szCs w:val="24"/>
          <w:u w:val="single"/>
        </w:rPr>
        <w:t>　</w:t>
      </w:r>
      <w:r>
        <w:rPr>
          <w:rFonts w:hint="eastAsia" w:ascii="宋体" w:hAnsi="宋体" w:cs="宋体"/>
          <w:kern w:val="0"/>
          <w:sz w:val="24"/>
          <w:szCs w:val="24"/>
        </w:rPr>
        <w:t>份；副本一式</w:t>
      </w:r>
      <w:r>
        <w:rPr>
          <w:rFonts w:hint="eastAsia" w:ascii="宋体" w:hAnsi="宋体" w:cs="宋体"/>
          <w:kern w:val="0"/>
          <w:sz w:val="24"/>
          <w:szCs w:val="24"/>
          <w:u w:val="single"/>
        </w:rPr>
        <w:t>　</w:t>
      </w:r>
      <w:r>
        <w:rPr>
          <w:rFonts w:hint="eastAsia" w:ascii="宋体" w:hAnsi="宋体" w:cs="宋体"/>
          <w:kern w:val="0"/>
          <w:sz w:val="24"/>
          <w:szCs w:val="24"/>
        </w:rPr>
        <w:t>份，甲方执</w:t>
      </w:r>
      <w:r>
        <w:rPr>
          <w:rFonts w:hint="eastAsia" w:ascii="宋体" w:hAnsi="宋体" w:cs="宋体"/>
          <w:kern w:val="0"/>
          <w:sz w:val="24"/>
          <w:szCs w:val="24"/>
          <w:u w:val="single"/>
        </w:rPr>
        <w:t>　</w:t>
      </w:r>
      <w:r>
        <w:rPr>
          <w:rFonts w:hint="eastAsia" w:ascii="宋体" w:hAnsi="宋体" w:cs="宋体"/>
          <w:kern w:val="0"/>
          <w:sz w:val="24"/>
          <w:szCs w:val="24"/>
        </w:rPr>
        <w:t>份，乙方执</w:t>
      </w:r>
      <w:r>
        <w:rPr>
          <w:rFonts w:hint="eastAsia" w:ascii="宋体" w:hAnsi="宋体" w:cs="宋体"/>
          <w:kern w:val="0"/>
          <w:sz w:val="24"/>
          <w:szCs w:val="24"/>
          <w:u w:val="single"/>
        </w:rPr>
        <w:t>　</w:t>
      </w:r>
      <w:r>
        <w:rPr>
          <w:rFonts w:hint="eastAsia" w:ascii="宋体" w:hAnsi="宋体" w:cs="宋体"/>
          <w:kern w:val="0"/>
          <w:sz w:val="24"/>
          <w:szCs w:val="24"/>
        </w:rPr>
        <w:t>份。</w:t>
      </w:r>
    </w:p>
    <w:p>
      <w:pPr>
        <w:numPr>
          <w:ilvl w:val="3"/>
          <w:numId w:val="34"/>
        </w:numPr>
        <w:tabs>
          <w:tab w:val="left" w:pos="980"/>
        </w:tabs>
        <w:autoSpaceDE w:val="0"/>
        <w:autoSpaceDN w:val="0"/>
        <w:spacing w:before="78" w:beforeLines="25" w:line="360" w:lineRule="auto"/>
        <w:ind w:left="11" w:firstLine="477" w:firstLineChars="199"/>
        <w:rPr>
          <w:rFonts w:ascii="宋体" w:cs="Times New Roman"/>
          <w:kern w:val="0"/>
          <w:sz w:val="24"/>
          <w:szCs w:val="24"/>
        </w:rPr>
      </w:pPr>
      <w:r>
        <w:rPr>
          <w:rFonts w:hint="eastAsia" w:ascii="宋体" w:hAnsi="宋体" w:cs="宋体"/>
          <w:kern w:val="0"/>
          <w:sz w:val="24"/>
          <w:szCs w:val="24"/>
        </w:rPr>
        <w:t>合同的失效。本合同在合同价款全部结清后失效。</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甲　　方：</w:t>
      </w:r>
      <w:r>
        <w:rPr>
          <w:rFonts w:ascii="宋体" w:cs="Times New Roman"/>
          <w:kern w:val="0"/>
          <w:sz w:val="24"/>
          <w:szCs w:val="24"/>
        </w:rPr>
        <w:tab/>
      </w:r>
      <w:r>
        <w:rPr>
          <w:rFonts w:ascii="宋体" w:hAnsi="宋体" w:cs="宋体"/>
          <w:kern w:val="0"/>
          <w:sz w:val="24"/>
          <w:szCs w:val="24"/>
        </w:rPr>
        <w:t xml:space="preserve">                         </w:t>
      </w:r>
      <w:r>
        <w:rPr>
          <w:rFonts w:hint="eastAsia" w:ascii="宋体" w:hAnsi="宋体" w:cs="宋体"/>
          <w:kern w:val="0"/>
          <w:sz w:val="24"/>
          <w:szCs w:val="24"/>
        </w:rPr>
        <w:t>乙　　方：</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单位名称（盖章）：</w:t>
      </w:r>
      <w:r>
        <w:rPr>
          <w:rFonts w:ascii="宋体" w:cs="Times New Roman"/>
          <w:kern w:val="0"/>
          <w:sz w:val="24"/>
          <w:szCs w:val="24"/>
        </w:rPr>
        <w:tab/>
      </w:r>
      <w:r>
        <w:rPr>
          <w:rFonts w:ascii="宋体" w:hAnsi="宋体" w:cs="宋体"/>
          <w:kern w:val="0"/>
          <w:sz w:val="24"/>
          <w:szCs w:val="24"/>
        </w:rPr>
        <w:t xml:space="preserve">                  </w:t>
      </w:r>
      <w:r>
        <w:rPr>
          <w:rFonts w:hint="eastAsia" w:ascii="宋体" w:hAnsi="宋体" w:cs="宋体"/>
          <w:kern w:val="0"/>
          <w:sz w:val="24"/>
          <w:szCs w:val="24"/>
        </w:rPr>
        <w:t>单位名称（盖章）：</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单位地址：</w:t>
      </w:r>
      <w:r>
        <w:rPr>
          <w:rFonts w:ascii="宋体" w:cs="Times New Roman"/>
          <w:kern w:val="0"/>
          <w:sz w:val="24"/>
          <w:szCs w:val="24"/>
        </w:rPr>
        <w:tab/>
      </w:r>
      <w:r>
        <w:rPr>
          <w:rFonts w:ascii="宋体" w:hAnsi="宋体" w:cs="宋体"/>
          <w:kern w:val="0"/>
          <w:sz w:val="24"/>
          <w:szCs w:val="24"/>
        </w:rPr>
        <w:t xml:space="preserve">                         </w:t>
      </w:r>
      <w:r>
        <w:rPr>
          <w:rFonts w:hint="eastAsia" w:ascii="宋体" w:hAnsi="宋体" w:cs="宋体"/>
          <w:kern w:val="0"/>
          <w:sz w:val="24"/>
          <w:szCs w:val="24"/>
        </w:rPr>
        <w:t>单位地址：</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法人代表授权人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法人代表授权人</w:t>
      </w:r>
      <w:r>
        <w:rPr>
          <w:rFonts w:ascii="宋体" w:hAnsi="宋体" w:cs="宋体"/>
          <w:kern w:val="0"/>
          <w:sz w:val="24"/>
          <w:szCs w:val="24"/>
        </w:rPr>
        <w:t>(</w:t>
      </w:r>
      <w:r>
        <w:rPr>
          <w:rFonts w:hint="eastAsia" w:ascii="宋体" w:hAnsi="宋体" w:cs="宋体"/>
          <w:kern w:val="0"/>
          <w:sz w:val="24"/>
          <w:szCs w:val="24"/>
        </w:rPr>
        <w:t>签字</w:t>
      </w:r>
      <w:r>
        <w:rPr>
          <w:rFonts w:ascii="宋体" w:hAnsi="宋体" w:cs="宋体"/>
          <w:kern w:val="0"/>
          <w:sz w:val="24"/>
          <w:szCs w:val="24"/>
        </w:rPr>
        <w:t>)</w:t>
      </w:r>
      <w:r>
        <w:rPr>
          <w:rFonts w:hint="eastAsia" w:ascii="宋体" w:hAnsi="宋体" w:cs="宋体"/>
          <w:kern w:val="0"/>
          <w:sz w:val="24"/>
          <w:szCs w:val="24"/>
        </w:rPr>
        <w:t>：</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w:t>
      </w:r>
      <w:r>
        <w:rPr>
          <w:rFonts w:ascii="宋体" w:cs="Times New Roman"/>
          <w:kern w:val="0"/>
          <w:sz w:val="24"/>
          <w:szCs w:val="24"/>
        </w:rPr>
        <w:tab/>
      </w:r>
      <w:r>
        <w:rPr>
          <w:rFonts w:ascii="宋体" w:hAnsi="宋体" w:cs="宋体"/>
          <w:kern w:val="0"/>
          <w:sz w:val="24"/>
          <w:szCs w:val="24"/>
        </w:rPr>
        <w:t xml:space="preserve">                         </w:t>
      </w: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电　　话：</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电　　话：</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传　　真：</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传　　真：</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邮政编码：</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邮政编码：</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开户银行：</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开户银行：</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帐　　号：</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帐　　号：</w:t>
      </w:r>
    </w:p>
    <w:p>
      <w:pPr>
        <w:spacing w:before="78" w:beforeLines="25" w:line="360" w:lineRule="auto"/>
        <w:ind w:firstLine="489" w:firstLineChars="204"/>
        <w:jc w:val="left"/>
        <w:rPr>
          <w:rFonts w:ascii="宋体" w:cs="Times New Roman"/>
          <w:kern w:val="0"/>
          <w:sz w:val="24"/>
          <w:szCs w:val="24"/>
        </w:rPr>
      </w:pPr>
      <w:r>
        <w:rPr>
          <w:rFonts w:hint="eastAsia" w:ascii="宋体" w:hAnsi="宋体" w:cs="宋体"/>
          <w:kern w:val="0"/>
          <w:sz w:val="24"/>
          <w:szCs w:val="24"/>
        </w:rPr>
        <w:t>税　　号：</w:t>
      </w:r>
      <w:r>
        <w:rPr>
          <w:rFonts w:ascii="宋体" w:hAnsi="宋体" w:cs="宋体"/>
          <w:kern w:val="0"/>
          <w:sz w:val="24"/>
          <w:szCs w:val="24"/>
        </w:rPr>
        <w:t xml:space="preserve">                         </w:t>
      </w:r>
      <w:r>
        <w:rPr>
          <w:rFonts w:ascii="宋体" w:hAnsi="宋体" w:cs="宋体"/>
          <w:kern w:val="0"/>
          <w:sz w:val="24"/>
          <w:szCs w:val="24"/>
        </w:rPr>
        <w:tab/>
      </w:r>
      <w:r>
        <w:rPr>
          <w:rFonts w:hint="eastAsia" w:ascii="宋体" w:hAnsi="宋体" w:cs="宋体"/>
          <w:kern w:val="0"/>
          <w:sz w:val="24"/>
          <w:szCs w:val="24"/>
        </w:rPr>
        <w:t>税　　号：</w:t>
      </w:r>
    </w:p>
    <w:p>
      <w:pPr>
        <w:rPr>
          <w:rFonts w:cs="Times New Roman"/>
        </w:rPr>
      </w:pPr>
      <w:r>
        <w:rPr>
          <w:rFonts w:cs="Times New Roman"/>
        </w:rPr>
        <w:br w:type="page"/>
      </w:r>
    </w:p>
    <w:p>
      <w:pPr>
        <w:pStyle w:val="3"/>
        <w:numPr>
          <w:ilvl w:val="1"/>
          <w:numId w:val="22"/>
        </w:numPr>
        <w:jc w:val="center"/>
        <w:rPr>
          <w:rFonts w:ascii="黑体" w:hAnsi="黑体" w:eastAsia="黑体" w:cs="Times New Roman"/>
        </w:rPr>
      </w:pPr>
      <w:bookmarkStart w:id="88" w:name="_Toc494665944"/>
      <w:bookmarkStart w:id="89" w:name="_Toc494664994"/>
      <w:bookmarkStart w:id="90" w:name="_Toc495861546"/>
      <w:bookmarkStart w:id="91" w:name="_Toc509323138"/>
      <w:bookmarkStart w:id="92" w:name="_Toc494702264"/>
      <w:bookmarkStart w:id="93" w:name="_Toc494721094"/>
      <w:bookmarkStart w:id="94" w:name="_Toc494665547"/>
      <w:bookmarkStart w:id="95" w:name="_Toc494745311"/>
      <w:r>
        <w:rPr>
          <w:rFonts w:hint="eastAsia" w:ascii="黑体" w:hAnsi="黑体" w:eastAsia="黑体" w:cs="黑体"/>
        </w:rPr>
        <w:t>投标文件格式（参考）</w:t>
      </w:r>
      <w:bookmarkEnd w:id="88"/>
      <w:bookmarkEnd w:id="89"/>
      <w:bookmarkEnd w:id="90"/>
      <w:bookmarkEnd w:id="91"/>
      <w:bookmarkEnd w:id="92"/>
      <w:bookmarkEnd w:id="93"/>
      <w:bookmarkEnd w:id="94"/>
      <w:bookmarkEnd w:id="95"/>
    </w:p>
    <w:p>
      <w:pPr>
        <w:spacing w:after="780" w:afterLines="250"/>
        <w:jc w:val="center"/>
        <w:rPr>
          <w:rFonts w:ascii="黑体" w:hAnsi="黑体" w:eastAsia="黑体" w:cs="Times New Roman"/>
          <w:b/>
          <w:bCs/>
          <w:sz w:val="56"/>
          <w:szCs w:val="56"/>
        </w:rPr>
      </w:pPr>
      <w:r>
        <w:rPr>
          <w:rFonts w:hint="eastAsia" w:ascii="黑体" w:hAnsi="黑体" w:eastAsia="黑体" w:cs="黑体"/>
          <w:b/>
          <w:bCs/>
          <w:sz w:val="56"/>
          <w:szCs w:val="56"/>
        </w:rPr>
        <w:t>阳新县县级政府采购</w:t>
      </w:r>
    </w:p>
    <w:p>
      <w:pPr>
        <w:spacing w:after="624" w:afterLines="200"/>
        <w:jc w:val="center"/>
        <w:rPr>
          <w:rFonts w:ascii="黑体" w:hAnsi="黑体" w:eastAsia="黑体" w:cs="Times New Roman"/>
          <w:b/>
          <w:bCs/>
          <w:sz w:val="144"/>
          <w:szCs w:val="144"/>
        </w:rPr>
      </w:pPr>
      <w:r>
        <w:rPr>
          <w:rFonts w:hint="eastAsia" w:ascii="黑体" w:hAnsi="黑体" w:eastAsia="黑体" w:cs="黑体"/>
          <w:b/>
          <w:bCs/>
          <w:sz w:val="144"/>
          <w:szCs w:val="144"/>
        </w:rPr>
        <w:t>投</w:t>
      </w:r>
      <w:r>
        <w:rPr>
          <w:rFonts w:ascii="黑体" w:hAnsi="黑体" w:eastAsia="黑体" w:cs="黑体"/>
          <w:b/>
          <w:bCs/>
          <w:sz w:val="144"/>
          <w:szCs w:val="144"/>
        </w:rPr>
        <w:t xml:space="preserve"> </w:t>
      </w:r>
      <w:r>
        <w:rPr>
          <w:rFonts w:hint="eastAsia" w:ascii="黑体" w:hAnsi="黑体" w:eastAsia="黑体" w:cs="黑体"/>
          <w:b/>
          <w:bCs/>
          <w:sz w:val="144"/>
          <w:szCs w:val="144"/>
        </w:rPr>
        <w:t>标</w:t>
      </w:r>
      <w:r>
        <w:rPr>
          <w:rFonts w:ascii="黑体" w:hAnsi="黑体" w:eastAsia="黑体" w:cs="黑体"/>
          <w:b/>
          <w:bCs/>
          <w:sz w:val="144"/>
          <w:szCs w:val="144"/>
        </w:rPr>
        <w:t xml:space="preserve"> </w:t>
      </w:r>
      <w:r>
        <w:rPr>
          <w:rFonts w:hint="eastAsia" w:ascii="黑体" w:hAnsi="黑体" w:eastAsia="黑体" w:cs="黑体"/>
          <w:b/>
          <w:bCs/>
          <w:sz w:val="144"/>
          <w:szCs w:val="144"/>
        </w:rPr>
        <w:t>文</w:t>
      </w:r>
      <w:r>
        <w:rPr>
          <w:rFonts w:ascii="黑体" w:hAnsi="黑体" w:eastAsia="黑体" w:cs="黑体"/>
          <w:b/>
          <w:bCs/>
          <w:sz w:val="144"/>
          <w:szCs w:val="144"/>
        </w:rPr>
        <w:t xml:space="preserve"> </w:t>
      </w:r>
      <w:r>
        <w:rPr>
          <w:rFonts w:hint="eastAsia" w:ascii="黑体" w:hAnsi="黑体" w:eastAsia="黑体" w:cs="黑体"/>
          <w:b/>
          <w:bCs/>
          <w:sz w:val="144"/>
          <w:szCs w:val="144"/>
        </w:rPr>
        <w:t>件</w:t>
      </w:r>
    </w:p>
    <w:p>
      <w:pPr>
        <w:pStyle w:val="4"/>
        <w:spacing w:before="340" w:after="480" w:line="360" w:lineRule="auto"/>
        <w:jc w:val="center"/>
        <w:rPr>
          <w:rFonts w:ascii="宋体" w:cs="Times New Roman"/>
          <w:sz w:val="44"/>
          <w:szCs w:val="44"/>
          <w:lang w:val="zh-CN"/>
        </w:rPr>
      </w:pPr>
      <w:bookmarkStart w:id="96" w:name="_Toc494721095"/>
      <w:bookmarkStart w:id="97" w:name="_Toc494745312"/>
      <w:bookmarkStart w:id="98" w:name="_Toc494664995"/>
      <w:bookmarkStart w:id="99" w:name="_Toc494665548"/>
      <w:bookmarkStart w:id="100" w:name="_Toc495861547"/>
      <w:bookmarkStart w:id="101" w:name="_Toc494702265"/>
      <w:bookmarkStart w:id="102" w:name="_Toc509323139"/>
      <w:bookmarkStart w:id="103" w:name="_Toc494665945"/>
      <w:r>
        <w:rPr>
          <w:rFonts w:hint="eastAsia" w:ascii="宋体" w:hAnsi="宋体" w:cs="宋体"/>
          <w:sz w:val="44"/>
          <w:szCs w:val="44"/>
          <w:lang w:val="zh-CN"/>
        </w:rPr>
        <w:t>第一部分</w:t>
      </w:r>
      <w:r>
        <w:rPr>
          <w:rFonts w:ascii="宋体" w:hAnsi="宋体" w:cs="宋体"/>
          <w:sz w:val="44"/>
          <w:szCs w:val="44"/>
          <w:lang w:val="zh-CN"/>
        </w:rPr>
        <w:t xml:space="preserve"> </w:t>
      </w:r>
      <w:r>
        <w:rPr>
          <w:rFonts w:hint="eastAsia" w:ascii="宋体" w:hAnsi="宋体" w:cs="宋体"/>
          <w:sz w:val="44"/>
          <w:szCs w:val="44"/>
          <w:lang w:val="zh-CN"/>
        </w:rPr>
        <w:t>资格证明文件</w:t>
      </w:r>
      <w:bookmarkEnd w:id="96"/>
      <w:bookmarkEnd w:id="97"/>
      <w:bookmarkEnd w:id="98"/>
      <w:bookmarkEnd w:id="99"/>
      <w:bookmarkEnd w:id="100"/>
      <w:bookmarkEnd w:id="101"/>
      <w:bookmarkEnd w:id="102"/>
      <w:bookmarkEnd w:id="103"/>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项目编号：</w:t>
      </w:r>
    </w:p>
    <w:p>
      <w:pPr>
        <w:spacing w:line="360" w:lineRule="auto"/>
        <w:ind w:left="2051" w:leftChars="619" w:right="1299" w:rightChars="619" w:hanging="752" w:hangingChars="209"/>
        <w:rPr>
          <w:rFonts w:ascii="宋体" w:cs="Times New Roman"/>
          <w:b/>
          <w:bCs/>
          <w:sz w:val="36"/>
          <w:szCs w:val="36"/>
        </w:rPr>
      </w:pPr>
      <w:r>
        <w:rPr>
          <w:rFonts w:hint="eastAsia" w:ascii="宋体" w:hAnsi="宋体" w:cs="宋体"/>
          <w:b/>
          <w:bCs/>
          <w:sz w:val="36"/>
          <w:szCs w:val="36"/>
        </w:rPr>
        <w:t>项目名称：</w:t>
      </w:r>
    </w:p>
    <w:p>
      <w:pPr>
        <w:spacing w:line="360" w:lineRule="auto"/>
        <w:ind w:left="2051" w:leftChars="619" w:right="1299" w:rightChars="619" w:hanging="752" w:hangingChars="209"/>
        <w:rPr>
          <w:rFonts w:ascii="宋体" w:cs="Times New Roman"/>
          <w:sz w:val="36"/>
          <w:szCs w:val="36"/>
          <w:lang w:val="zh-CN"/>
        </w:rPr>
      </w:pPr>
      <w:r>
        <w:rPr>
          <w:rFonts w:hint="eastAsia" w:ascii="宋体" w:hAnsi="宋体" w:cs="宋体"/>
          <w:b/>
          <w:bCs/>
          <w:sz w:val="36"/>
          <w:szCs w:val="36"/>
        </w:rPr>
        <w:t>采购人：</w:t>
      </w:r>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采购内容：</w:t>
      </w:r>
    </w:p>
    <w:p>
      <w:pPr>
        <w:spacing w:line="360" w:lineRule="auto"/>
        <w:ind w:right="1287" w:rightChars="613"/>
        <w:jc w:val="center"/>
        <w:rPr>
          <w:rFonts w:ascii="宋体" w:cs="Times New Roman"/>
          <w:b/>
          <w:bCs/>
          <w:sz w:val="96"/>
          <w:szCs w:val="96"/>
        </w:rPr>
      </w:pPr>
      <w:r>
        <w:rPr>
          <w:rFonts w:ascii="宋体" w:hAnsi="宋体" w:cs="宋体"/>
          <w:b/>
          <w:bCs/>
          <w:sz w:val="96"/>
          <w:szCs w:val="96"/>
        </w:rPr>
        <w:t xml:space="preserve">   </w:t>
      </w:r>
      <w:r>
        <w:rPr>
          <w:rFonts w:hint="eastAsia" w:ascii="宋体" w:hAnsi="宋体" w:cs="宋体"/>
          <w:b/>
          <w:bCs/>
          <w:sz w:val="96"/>
          <w:szCs w:val="96"/>
        </w:rPr>
        <w:t>投标人（盖章）</w:t>
      </w:r>
    </w:p>
    <w:p>
      <w:pPr>
        <w:spacing w:line="360" w:lineRule="auto"/>
        <w:ind w:left="1971" w:leftChars="939" w:right="1287" w:rightChars="613" w:firstLine="1104" w:firstLineChars="345"/>
        <w:rPr>
          <w:rFonts w:ascii="宋体" w:cs="Times New Roman"/>
          <w:b/>
          <w:bCs/>
          <w:sz w:val="32"/>
          <w:szCs w:val="32"/>
        </w:rPr>
      </w:pPr>
      <w:r>
        <w:rPr>
          <w:rFonts w:hint="eastAsia" w:ascii="宋体" w:hAnsi="宋体" w:cs="宋体"/>
          <w:b/>
          <w:bCs/>
          <w:sz w:val="32"/>
          <w:szCs w:val="32"/>
        </w:rPr>
        <w:t>投标人授权代表（签字）：</w:t>
      </w:r>
    </w:p>
    <w:p>
      <w:pPr>
        <w:spacing w:before="312" w:beforeLines="100" w:after="312" w:afterLines="100" w:line="360" w:lineRule="auto"/>
        <w:ind w:left="2256" w:leftChars="466" w:right="466" w:hanging="1278" w:hangingChars="355"/>
        <w:jc w:val="center"/>
        <w:rPr>
          <w:rFonts w:ascii="宋体" w:cs="Times New Roman"/>
          <w:b/>
          <w:bCs/>
          <w:sz w:val="36"/>
          <w:szCs w:val="36"/>
        </w:rPr>
      </w:pPr>
      <w:r>
        <w:rPr>
          <w:rFonts w:hint="eastAsia" w:ascii="宋体" w:hAnsi="宋体" w:cs="宋体"/>
          <w:b/>
          <w:bCs/>
          <w:sz w:val="36"/>
          <w:szCs w:val="36"/>
        </w:rPr>
        <w:t>二</w:t>
      </w:r>
      <w:r>
        <w:rPr>
          <w:rFonts w:ascii="宋体" w:cs="宋体"/>
          <w:b/>
          <w:bCs/>
          <w:sz w:val="36"/>
          <w:szCs w:val="36"/>
        </w:rPr>
        <w:t>0</w:t>
      </w:r>
      <w:r>
        <w:rPr>
          <w:rFonts w:hint="eastAsia" w:ascii="宋体" w:hAnsi="宋体" w:cs="宋体"/>
          <w:b/>
          <w:bCs/>
          <w:sz w:val="36"/>
          <w:szCs w:val="36"/>
        </w:rPr>
        <w:t>一</w:t>
      </w:r>
      <w:r>
        <w:rPr>
          <w:rFonts w:ascii="宋体" w:hAnsi="宋体" w:cs="宋体"/>
          <w:b/>
          <w:bCs/>
          <w:sz w:val="36"/>
          <w:szCs w:val="36"/>
        </w:rPr>
        <w:t xml:space="preserve">  </w:t>
      </w:r>
      <w:r>
        <w:rPr>
          <w:rFonts w:hint="eastAsia" w:ascii="宋体" w:hAnsi="宋体" w:cs="宋体"/>
          <w:b/>
          <w:bCs/>
          <w:sz w:val="36"/>
          <w:szCs w:val="36"/>
        </w:rPr>
        <w:t>年</w:t>
      </w:r>
      <w:r>
        <w:rPr>
          <w:rFonts w:ascii="宋体" w:hAnsi="宋体" w:cs="宋体"/>
          <w:b/>
          <w:bCs/>
          <w:sz w:val="36"/>
          <w:szCs w:val="36"/>
        </w:rPr>
        <w:t xml:space="preserve"> </w:t>
      </w:r>
      <w:r>
        <w:rPr>
          <w:rFonts w:hint="eastAsia" w:ascii="宋体" w:hAnsi="宋体" w:cs="宋体"/>
          <w:b/>
          <w:bCs/>
          <w:sz w:val="36"/>
          <w:szCs w:val="36"/>
        </w:rPr>
        <w:t>月</w:t>
      </w:r>
    </w:p>
    <w:p>
      <w:pPr>
        <w:rPr>
          <w:rFonts w:cs="Times New Roman"/>
        </w:rPr>
      </w:pPr>
      <w:r>
        <w:rPr>
          <w:rFonts w:cs="Times New Roman"/>
        </w:rPr>
        <w:br w:type="page"/>
      </w:r>
    </w:p>
    <w:p>
      <w:pPr>
        <w:spacing w:before="312" w:beforeLines="100" w:line="360" w:lineRule="auto"/>
        <w:jc w:val="left"/>
        <w:rPr>
          <w:rFonts w:ascii="宋体" w:cs="Times New Roman"/>
          <w:b/>
          <w:bCs/>
          <w:sz w:val="30"/>
          <w:szCs w:val="30"/>
          <w:lang w:val="zh-CN"/>
        </w:rPr>
      </w:pPr>
      <w:r>
        <w:rPr>
          <w:rFonts w:hint="eastAsia" w:ascii="宋体" w:hAnsi="宋体" w:cs="宋体"/>
          <w:b/>
          <w:bCs/>
          <w:sz w:val="30"/>
          <w:szCs w:val="30"/>
          <w:lang w:val="zh-CN"/>
        </w:rPr>
        <w:t>格式（参考）说明：</w:t>
      </w:r>
    </w:p>
    <w:p>
      <w:pPr>
        <w:spacing w:before="120" w:after="120" w:line="578" w:lineRule="auto"/>
        <w:jc w:val="center"/>
        <w:rPr>
          <w:rFonts w:ascii="黑体" w:hAnsi="黑体" w:eastAsia="黑体" w:cs="Times New Roman"/>
          <w:b/>
          <w:bCs/>
          <w:sz w:val="36"/>
          <w:szCs w:val="36"/>
        </w:rPr>
      </w:pPr>
      <w:bookmarkStart w:id="104" w:name="_Toc494702266"/>
      <w:bookmarkStart w:id="105" w:name="_Toc494665549"/>
      <w:bookmarkStart w:id="106" w:name="_Toc494665946"/>
      <w:bookmarkStart w:id="107" w:name="_Toc494721096"/>
      <w:bookmarkStart w:id="108" w:name="_Toc494745313"/>
      <w:bookmarkStart w:id="109" w:name="_Toc494664996"/>
      <w:r>
        <w:rPr>
          <w:rFonts w:hint="eastAsia" w:ascii="黑体" w:hAnsi="黑体" w:eastAsia="黑体" w:cs="黑体"/>
          <w:b/>
          <w:bCs/>
          <w:sz w:val="36"/>
          <w:szCs w:val="36"/>
        </w:rPr>
        <w:t>资格证明文件组成</w:t>
      </w:r>
      <w:bookmarkEnd w:id="104"/>
      <w:bookmarkEnd w:id="105"/>
      <w:bookmarkEnd w:id="106"/>
      <w:bookmarkEnd w:id="107"/>
      <w:bookmarkEnd w:id="108"/>
      <w:bookmarkEnd w:id="109"/>
    </w:p>
    <w:p>
      <w:pPr>
        <w:autoSpaceDE w:val="0"/>
        <w:autoSpaceDN w:val="0"/>
        <w:adjustRightInd w:val="0"/>
        <w:spacing w:before="156" w:beforeLines="50" w:after="156" w:afterLines="50" w:line="360" w:lineRule="auto"/>
        <w:ind w:firstLine="480" w:firstLineChars="200"/>
        <w:rPr>
          <w:rFonts w:ascii="宋体" w:cs="Times New Roman"/>
          <w:kern w:val="0"/>
          <w:sz w:val="24"/>
          <w:szCs w:val="24"/>
        </w:rPr>
      </w:pPr>
      <w:r>
        <w:rPr>
          <w:rFonts w:hint="eastAsia" w:ascii="宋体" w:hAnsi="宋体" w:cs="宋体"/>
          <w:kern w:val="0"/>
          <w:sz w:val="24"/>
          <w:szCs w:val="24"/>
        </w:rPr>
        <w:t>由各投标人根据参考格式要求自行编写。目录清晰、内容详尽、易于理解和审查。具体内容应包括但不限于以下内容：</w:t>
      </w:r>
    </w:p>
    <w:p>
      <w:pPr>
        <w:numPr>
          <w:ilvl w:val="0"/>
          <w:numId w:val="37"/>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资格证明文件目录</w:t>
      </w:r>
      <w:r>
        <w:rPr>
          <w:rFonts w:hint="eastAsia" w:ascii="宋体" w:hAnsi="宋体" w:cs="宋体"/>
          <w:b/>
          <w:bCs/>
          <w:kern w:val="0"/>
          <w:sz w:val="24"/>
          <w:szCs w:val="24"/>
        </w:rPr>
        <w:t>（目录应涵盖下述所有资料，页码清晰以便查阅）</w:t>
      </w:r>
      <w:r>
        <w:rPr>
          <w:rFonts w:hint="eastAsia" w:ascii="宋体" w:hAnsi="宋体" w:cs="宋体"/>
          <w:kern w:val="0"/>
          <w:sz w:val="24"/>
          <w:szCs w:val="24"/>
        </w:rPr>
        <w:t>；</w:t>
      </w:r>
    </w:p>
    <w:p>
      <w:pPr>
        <w:numPr>
          <w:ilvl w:val="0"/>
          <w:numId w:val="37"/>
        </w:numPr>
        <w:autoSpaceDE w:val="0"/>
        <w:autoSpaceDN w:val="0"/>
        <w:adjustRightInd w:val="0"/>
        <w:spacing w:line="360" w:lineRule="auto"/>
        <w:ind w:left="490" w:hanging="370"/>
        <w:rPr>
          <w:rFonts w:ascii="宋体" w:cs="Times New Roman"/>
          <w:b/>
          <w:bCs/>
          <w:kern w:val="0"/>
          <w:sz w:val="24"/>
          <w:szCs w:val="24"/>
        </w:rPr>
      </w:pPr>
      <w:r>
        <w:rPr>
          <w:rFonts w:hint="eastAsia" w:ascii="宋体" w:hAnsi="宋体" w:cs="宋体"/>
          <w:kern w:val="0"/>
          <w:sz w:val="24"/>
          <w:szCs w:val="24"/>
        </w:rPr>
        <w:t>应具备《政府采购法》第二十二条第一款规定的条件，提供下列材料：</w:t>
      </w:r>
    </w:p>
    <w:p>
      <w:pPr>
        <w:pStyle w:val="40"/>
        <w:numPr>
          <w:ilvl w:val="0"/>
          <w:numId w:val="38"/>
        </w:numPr>
        <w:autoSpaceDE w:val="0"/>
        <w:autoSpaceDN w:val="0"/>
        <w:adjustRightInd w:val="0"/>
        <w:spacing w:line="360" w:lineRule="auto"/>
        <w:ind w:hanging="260" w:firstLineChars="0"/>
        <w:rPr>
          <w:rFonts w:ascii="宋体" w:cs="Times New Roman"/>
          <w:kern w:val="0"/>
          <w:sz w:val="24"/>
          <w:szCs w:val="24"/>
        </w:rPr>
      </w:pPr>
      <w:r>
        <w:rPr>
          <w:rFonts w:hint="eastAsia" w:ascii="宋体" w:hAnsi="宋体" w:cs="宋体"/>
          <w:kern w:val="0"/>
          <w:sz w:val="24"/>
          <w:szCs w:val="24"/>
        </w:rPr>
        <w:t>法人或者其他组织的营业执照等证明文件，自然人的身份证明；</w:t>
      </w:r>
    </w:p>
    <w:p>
      <w:pPr>
        <w:pStyle w:val="40"/>
        <w:numPr>
          <w:ilvl w:val="0"/>
          <w:numId w:val="38"/>
        </w:numPr>
        <w:autoSpaceDE w:val="0"/>
        <w:autoSpaceDN w:val="0"/>
        <w:adjustRightInd w:val="0"/>
        <w:spacing w:line="360" w:lineRule="auto"/>
        <w:ind w:hanging="260" w:firstLineChars="0"/>
        <w:rPr>
          <w:rFonts w:ascii="宋体" w:cs="Times New Roman"/>
          <w:kern w:val="0"/>
          <w:sz w:val="24"/>
          <w:szCs w:val="24"/>
        </w:rPr>
      </w:pPr>
      <w:r>
        <w:rPr>
          <w:rFonts w:hint="eastAsia" w:ascii="宋体" w:hAnsi="宋体" w:cs="宋体"/>
          <w:kern w:val="0"/>
          <w:sz w:val="24"/>
          <w:szCs w:val="24"/>
        </w:rPr>
        <w:t>财务状况报告，依法缴纳税收和社会保障资金的相关材料；</w:t>
      </w:r>
    </w:p>
    <w:p>
      <w:pPr>
        <w:pStyle w:val="40"/>
        <w:numPr>
          <w:ilvl w:val="0"/>
          <w:numId w:val="38"/>
        </w:numPr>
        <w:autoSpaceDE w:val="0"/>
        <w:autoSpaceDN w:val="0"/>
        <w:adjustRightInd w:val="0"/>
        <w:spacing w:line="360" w:lineRule="auto"/>
        <w:ind w:hanging="260" w:firstLineChars="0"/>
        <w:rPr>
          <w:rFonts w:ascii="宋体" w:cs="Times New Roman"/>
          <w:kern w:val="0"/>
          <w:sz w:val="24"/>
          <w:szCs w:val="24"/>
        </w:rPr>
      </w:pPr>
      <w:r>
        <w:rPr>
          <w:rFonts w:hint="eastAsia" w:ascii="宋体" w:hAnsi="宋体" w:cs="宋体"/>
          <w:kern w:val="0"/>
          <w:sz w:val="24"/>
          <w:szCs w:val="24"/>
        </w:rPr>
        <w:t>具备履行合同所必需的设备和专业技术能力的证明材料；</w:t>
      </w:r>
    </w:p>
    <w:p>
      <w:pPr>
        <w:pStyle w:val="40"/>
        <w:numPr>
          <w:ilvl w:val="0"/>
          <w:numId w:val="38"/>
        </w:numPr>
        <w:autoSpaceDE w:val="0"/>
        <w:autoSpaceDN w:val="0"/>
        <w:adjustRightInd w:val="0"/>
        <w:spacing w:line="360" w:lineRule="auto"/>
        <w:ind w:hanging="260" w:firstLineChars="0"/>
        <w:rPr>
          <w:rFonts w:ascii="宋体" w:cs="Times New Roman"/>
          <w:kern w:val="0"/>
          <w:sz w:val="24"/>
          <w:szCs w:val="24"/>
        </w:rPr>
      </w:pPr>
      <w:r>
        <w:rPr>
          <w:rFonts w:hint="eastAsia" w:ascii="宋体" w:hAnsi="宋体" w:cs="宋体"/>
          <w:kern w:val="0"/>
          <w:sz w:val="24"/>
          <w:szCs w:val="24"/>
        </w:rPr>
        <w:t>参加政府采购活动前</w:t>
      </w:r>
      <w:r>
        <w:rPr>
          <w:rFonts w:ascii="宋体" w:hAnsi="宋体" w:cs="宋体"/>
          <w:kern w:val="0"/>
          <w:sz w:val="24"/>
          <w:szCs w:val="24"/>
        </w:rPr>
        <w:t>3</w:t>
      </w:r>
      <w:r>
        <w:rPr>
          <w:rFonts w:hint="eastAsia" w:ascii="宋体" w:hAnsi="宋体" w:cs="宋体"/>
          <w:kern w:val="0"/>
          <w:sz w:val="24"/>
          <w:szCs w:val="24"/>
        </w:rPr>
        <w:t>年内在经营活动中没有重大违法记录的书面声明；</w:t>
      </w:r>
    </w:p>
    <w:p>
      <w:pPr>
        <w:pStyle w:val="40"/>
        <w:numPr>
          <w:ilvl w:val="0"/>
          <w:numId w:val="38"/>
        </w:numPr>
        <w:autoSpaceDE w:val="0"/>
        <w:autoSpaceDN w:val="0"/>
        <w:adjustRightInd w:val="0"/>
        <w:spacing w:line="360" w:lineRule="auto"/>
        <w:ind w:hanging="260" w:firstLineChars="0"/>
        <w:rPr>
          <w:rFonts w:ascii="宋体" w:cs="Times New Roman"/>
          <w:kern w:val="0"/>
          <w:sz w:val="24"/>
          <w:szCs w:val="24"/>
        </w:rPr>
      </w:pPr>
      <w:r>
        <w:rPr>
          <w:rFonts w:hint="eastAsia" w:ascii="宋体" w:hAnsi="宋体" w:cs="宋体"/>
          <w:kern w:val="0"/>
          <w:sz w:val="24"/>
          <w:szCs w:val="24"/>
        </w:rPr>
        <w:t>具备法律、行政法规规定的其他条件的证明材料；</w:t>
      </w:r>
    </w:p>
    <w:p>
      <w:pPr>
        <w:numPr>
          <w:ilvl w:val="0"/>
          <w:numId w:val="37"/>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未被“信用中国”网站</w:t>
      </w:r>
      <w:r>
        <w:rPr>
          <w:rFonts w:ascii="宋体" w:hAnsi="宋体" w:cs="宋体"/>
          <w:sz w:val="24"/>
          <w:szCs w:val="24"/>
        </w:rPr>
        <w:t>(www.creditchina.gov.cn)</w:t>
      </w:r>
      <w:r>
        <w:rPr>
          <w:rFonts w:hint="eastAsia" w:ascii="宋体" w:hAnsi="宋体" w:cs="宋体"/>
          <w:sz w:val="24"/>
          <w:szCs w:val="24"/>
        </w:rPr>
        <w:t>列入失信被执行人、重大税收违法案件当事人名单、政府采购严重违法失信行为记录名单的书面申明及该网站查询结果页面截图；</w:t>
      </w:r>
    </w:p>
    <w:p>
      <w:pPr>
        <w:numPr>
          <w:ilvl w:val="0"/>
          <w:numId w:val="37"/>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招标文件第一章“投标人资格要求”中有特殊要求的，投标人应提供其符合特殊要求的证明材料或者情况说明；</w:t>
      </w:r>
    </w:p>
    <w:p>
      <w:pPr>
        <w:numPr>
          <w:ilvl w:val="0"/>
          <w:numId w:val="37"/>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不符合联合体投标相关规定和要求的（适用于接受联合体投标的项目）；</w:t>
      </w:r>
    </w:p>
    <w:p>
      <w:pPr>
        <w:numPr>
          <w:ilvl w:val="0"/>
          <w:numId w:val="37"/>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投标人认为需提供的其它相关资格证明材料。</w:t>
      </w:r>
    </w:p>
    <w:p>
      <w:pPr>
        <w:autoSpaceDE w:val="0"/>
        <w:autoSpaceDN w:val="0"/>
        <w:adjustRightInd w:val="0"/>
        <w:spacing w:line="400" w:lineRule="exact"/>
        <w:ind w:left="490"/>
        <w:rPr>
          <w:rFonts w:hAnsi="宋体" w:cs="Times New Roman"/>
          <w:sz w:val="24"/>
          <w:szCs w:val="24"/>
        </w:rPr>
      </w:pPr>
    </w:p>
    <w:p>
      <w:pPr>
        <w:autoSpaceDE w:val="0"/>
        <w:autoSpaceDN w:val="0"/>
        <w:adjustRightInd w:val="0"/>
        <w:spacing w:line="400" w:lineRule="exact"/>
        <w:ind w:left="490"/>
        <w:rPr>
          <w:rFonts w:hAnsi="宋体" w:cs="Times New Roman"/>
          <w:sz w:val="24"/>
          <w:szCs w:val="24"/>
        </w:rPr>
      </w:pPr>
    </w:p>
    <w:p>
      <w:pPr>
        <w:rPr>
          <w:rFonts w:cs="Times New Roman"/>
        </w:rPr>
      </w:pPr>
      <w:r>
        <w:rPr>
          <w:rFonts w:hint="eastAsia" w:ascii="宋体" w:hAnsi="宋体" w:cs="宋体"/>
          <w:sz w:val="24"/>
          <w:szCs w:val="24"/>
        </w:rPr>
        <w:t>说明：资格证明文件正本应为清晰彩色影印件且加盖单位公章，否则</w:t>
      </w:r>
      <w:r>
        <w:rPr>
          <w:rFonts w:hint="eastAsia" w:ascii="Helvetica" w:hAnsi="Helvetica" w:cs="宋体"/>
          <w:kern w:val="0"/>
          <w:sz w:val="24"/>
          <w:szCs w:val="24"/>
        </w:rPr>
        <w:t>按照</w:t>
      </w:r>
      <w:r>
        <w:rPr>
          <w:rFonts w:hint="eastAsia" w:ascii="Helvetica" w:hAnsi="Helvetica" w:cs="宋体"/>
          <w:b/>
          <w:bCs/>
          <w:kern w:val="0"/>
          <w:sz w:val="24"/>
          <w:szCs w:val="24"/>
        </w:rPr>
        <w:t>无效投标处理</w:t>
      </w:r>
      <w:r>
        <w:rPr>
          <w:rFonts w:hint="eastAsia" w:ascii="宋体" w:hAnsi="宋体" w:cs="宋体"/>
          <w:b/>
          <w:bCs/>
          <w:sz w:val="24"/>
          <w:szCs w:val="24"/>
        </w:rPr>
        <w:t>。</w:t>
      </w:r>
    </w:p>
    <w:p>
      <w:pPr>
        <w:rPr>
          <w:rFonts w:cs="Times New Roman"/>
        </w:rPr>
      </w:pPr>
      <w:r>
        <w:rPr>
          <w:rFonts w:cs="Times New Roman"/>
        </w:rPr>
        <w:br w:type="page"/>
      </w:r>
    </w:p>
    <w:p>
      <w:pPr>
        <w:spacing w:before="312" w:beforeLines="100" w:after="780" w:afterLines="250"/>
        <w:jc w:val="center"/>
        <w:rPr>
          <w:rFonts w:ascii="黑体" w:hAnsi="黑体" w:eastAsia="黑体" w:cs="Times New Roman"/>
          <w:b/>
          <w:bCs/>
          <w:sz w:val="72"/>
          <w:szCs w:val="72"/>
        </w:rPr>
      </w:pPr>
      <w:r>
        <w:rPr>
          <w:rFonts w:hint="eastAsia" w:ascii="黑体" w:hAnsi="黑体" w:eastAsia="黑体" w:cs="黑体"/>
          <w:b/>
          <w:bCs/>
          <w:sz w:val="72"/>
          <w:szCs w:val="72"/>
        </w:rPr>
        <w:t>阳新县县级政府采购</w:t>
      </w:r>
    </w:p>
    <w:p>
      <w:pPr>
        <w:spacing w:after="624" w:afterLines="200"/>
        <w:jc w:val="center"/>
        <w:rPr>
          <w:rFonts w:ascii="黑体" w:hAnsi="黑体" w:eastAsia="黑体" w:cs="Times New Roman"/>
          <w:b/>
          <w:bCs/>
          <w:sz w:val="144"/>
          <w:szCs w:val="144"/>
        </w:rPr>
      </w:pPr>
      <w:r>
        <w:rPr>
          <w:rFonts w:hint="eastAsia" w:ascii="黑体" w:hAnsi="黑体" w:eastAsia="黑体" w:cs="黑体"/>
          <w:b/>
          <w:bCs/>
          <w:sz w:val="144"/>
          <w:szCs w:val="144"/>
        </w:rPr>
        <w:t>投</w:t>
      </w:r>
      <w:r>
        <w:rPr>
          <w:rFonts w:ascii="黑体" w:hAnsi="黑体" w:eastAsia="黑体" w:cs="黑体"/>
          <w:b/>
          <w:bCs/>
          <w:sz w:val="144"/>
          <w:szCs w:val="144"/>
        </w:rPr>
        <w:t xml:space="preserve"> </w:t>
      </w:r>
      <w:r>
        <w:rPr>
          <w:rFonts w:hint="eastAsia" w:ascii="黑体" w:hAnsi="黑体" w:eastAsia="黑体" w:cs="黑体"/>
          <w:b/>
          <w:bCs/>
          <w:sz w:val="144"/>
          <w:szCs w:val="144"/>
        </w:rPr>
        <w:t>标</w:t>
      </w:r>
      <w:r>
        <w:rPr>
          <w:rFonts w:ascii="黑体" w:hAnsi="黑体" w:eastAsia="黑体" w:cs="黑体"/>
          <w:b/>
          <w:bCs/>
          <w:sz w:val="144"/>
          <w:szCs w:val="144"/>
        </w:rPr>
        <w:t xml:space="preserve"> </w:t>
      </w:r>
      <w:r>
        <w:rPr>
          <w:rFonts w:hint="eastAsia" w:ascii="黑体" w:hAnsi="黑体" w:eastAsia="黑体" w:cs="黑体"/>
          <w:b/>
          <w:bCs/>
          <w:sz w:val="144"/>
          <w:szCs w:val="144"/>
        </w:rPr>
        <w:t>文</w:t>
      </w:r>
      <w:r>
        <w:rPr>
          <w:rFonts w:ascii="黑体" w:hAnsi="黑体" w:eastAsia="黑体" w:cs="黑体"/>
          <w:b/>
          <w:bCs/>
          <w:sz w:val="144"/>
          <w:szCs w:val="144"/>
        </w:rPr>
        <w:t xml:space="preserve"> </w:t>
      </w:r>
      <w:r>
        <w:rPr>
          <w:rFonts w:hint="eastAsia" w:ascii="黑体" w:hAnsi="黑体" w:eastAsia="黑体" w:cs="黑体"/>
          <w:b/>
          <w:bCs/>
          <w:sz w:val="144"/>
          <w:szCs w:val="144"/>
        </w:rPr>
        <w:t>件</w:t>
      </w:r>
    </w:p>
    <w:p>
      <w:pPr>
        <w:pStyle w:val="4"/>
        <w:spacing w:before="340" w:after="480" w:line="360" w:lineRule="auto"/>
        <w:rPr>
          <w:rFonts w:ascii="宋体" w:cs="Times New Roman"/>
          <w:sz w:val="44"/>
          <w:szCs w:val="44"/>
          <w:lang w:val="zh-CN"/>
        </w:rPr>
      </w:pPr>
      <w:bookmarkStart w:id="110" w:name="_Toc495861548"/>
      <w:bookmarkStart w:id="111" w:name="_Toc494665550"/>
      <w:bookmarkStart w:id="112" w:name="_Toc494665947"/>
      <w:bookmarkStart w:id="113" w:name="_Toc494721097"/>
      <w:bookmarkStart w:id="114" w:name="_Toc494745314"/>
      <w:bookmarkStart w:id="115" w:name="_Toc494664997"/>
      <w:bookmarkStart w:id="116" w:name="_Toc494702267"/>
    </w:p>
    <w:p>
      <w:pPr>
        <w:pStyle w:val="4"/>
        <w:spacing w:before="340" w:after="480" w:line="360" w:lineRule="auto"/>
        <w:jc w:val="center"/>
        <w:rPr>
          <w:rFonts w:ascii="宋体" w:cs="Times New Roman"/>
          <w:sz w:val="44"/>
          <w:szCs w:val="44"/>
          <w:lang w:val="zh-CN"/>
        </w:rPr>
      </w:pPr>
      <w:bookmarkStart w:id="117" w:name="_Toc509323140"/>
      <w:r>
        <w:rPr>
          <w:rFonts w:hint="eastAsia" w:ascii="宋体" w:hAnsi="宋体" w:cs="宋体"/>
          <w:sz w:val="44"/>
          <w:szCs w:val="44"/>
          <w:lang w:val="zh-CN"/>
        </w:rPr>
        <w:t>第二部分</w:t>
      </w:r>
      <w:r>
        <w:rPr>
          <w:rFonts w:ascii="宋体" w:hAnsi="宋体" w:cs="宋体"/>
          <w:sz w:val="44"/>
          <w:szCs w:val="44"/>
          <w:lang w:val="zh-CN"/>
        </w:rPr>
        <w:t xml:space="preserve"> </w:t>
      </w:r>
      <w:r>
        <w:rPr>
          <w:rFonts w:hint="eastAsia" w:ascii="宋体" w:hAnsi="宋体" w:cs="宋体"/>
          <w:sz w:val="44"/>
          <w:szCs w:val="44"/>
          <w:lang w:val="zh-CN"/>
        </w:rPr>
        <w:t>商务文件</w:t>
      </w:r>
      <w:bookmarkEnd w:id="110"/>
      <w:bookmarkEnd w:id="111"/>
      <w:bookmarkEnd w:id="112"/>
      <w:bookmarkEnd w:id="113"/>
      <w:bookmarkEnd w:id="114"/>
      <w:bookmarkEnd w:id="115"/>
      <w:bookmarkEnd w:id="116"/>
      <w:bookmarkEnd w:id="117"/>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项目编号：</w:t>
      </w:r>
    </w:p>
    <w:p>
      <w:pPr>
        <w:spacing w:line="360" w:lineRule="auto"/>
        <w:ind w:left="2051" w:leftChars="619" w:right="1299" w:rightChars="619" w:hanging="752" w:hangingChars="209"/>
        <w:rPr>
          <w:rFonts w:ascii="宋体" w:cs="Times New Roman"/>
          <w:b/>
          <w:bCs/>
          <w:sz w:val="36"/>
          <w:szCs w:val="36"/>
        </w:rPr>
      </w:pPr>
      <w:r>
        <w:rPr>
          <w:rFonts w:hint="eastAsia" w:ascii="宋体" w:hAnsi="宋体" w:cs="宋体"/>
          <w:b/>
          <w:bCs/>
          <w:sz w:val="36"/>
          <w:szCs w:val="36"/>
        </w:rPr>
        <w:t>项目名称：</w:t>
      </w:r>
    </w:p>
    <w:p>
      <w:pPr>
        <w:spacing w:line="360" w:lineRule="auto"/>
        <w:ind w:left="2051" w:leftChars="619" w:right="1299" w:rightChars="619" w:hanging="752" w:hangingChars="209"/>
        <w:rPr>
          <w:rFonts w:ascii="宋体" w:cs="Times New Roman"/>
          <w:sz w:val="36"/>
          <w:szCs w:val="36"/>
          <w:lang w:val="zh-CN"/>
        </w:rPr>
      </w:pPr>
      <w:r>
        <w:rPr>
          <w:rFonts w:hint="eastAsia" w:ascii="宋体" w:hAnsi="宋体" w:cs="宋体"/>
          <w:b/>
          <w:bCs/>
          <w:sz w:val="36"/>
          <w:szCs w:val="36"/>
        </w:rPr>
        <w:t>采购人：</w:t>
      </w:r>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采购内容：</w:t>
      </w:r>
    </w:p>
    <w:p>
      <w:pPr>
        <w:spacing w:line="360" w:lineRule="auto"/>
        <w:ind w:left="2057" w:leftChars="613" w:right="1287" w:rightChars="613" w:hanging="770" w:hangingChars="214"/>
        <w:rPr>
          <w:rFonts w:ascii="宋体" w:cs="Times New Roman"/>
          <w:sz w:val="36"/>
          <w:szCs w:val="36"/>
        </w:rPr>
      </w:pPr>
    </w:p>
    <w:p>
      <w:pPr>
        <w:spacing w:line="360" w:lineRule="auto"/>
        <w:ind w:left="3341" w:leftChars="613" w:right="1287" w:rightChars="613" w:hanging="2054" w:hangingChars="214"/>
        <w:rPr>
          <w:rFonts w:ascii="宋体" w:cs="Times New Roman"/>
          <w:b/>
          <w:bCs/>
          <w:sz w:val="96"/>
          <w:szCs w:val="96"/>
        </w:rPr>
      </w:pPr>
      <w:r>
        <w:rPr>
          <w:rFonts w:hint="eastAsia" w:ascii="宋体" w:hAnsi="宋体" w:cs="宋体"/>
          <w:b/>
          <w:bCs/>
          <w:sz w:val="96"/>
          <w:szCs w:val="96"/>
        </w:rPr>
        <w:t>投标人（盖章）</w:t>
      </w:r>
    </w:p>
    <w:p>
      <w:pPr>
        <w:spacing w:line="360" w:lineRule="auto"/>
        <w:ind w:left="1971" w:leftChars="613" w:right="1287" w:rightChars="613" w:hanging="684" w:hangingChars="214"/>
        <w:rPr>
          <w:rFonts w:ascii="宋体" w:cs="Times New Roman"/>
          <w:b/>
          <w:bCs/>
          <w:sz w:val="32"/>
          <w:szCs w:val="32"/>
        </w:rPr>
      </w:pPr>
      <w:r>
        <w:rPr>
          <w:rFonts w:hint="eastAsia" w:ascii="宋体" w:hAnsi="宋体" w:cs="宋体"/>
          <w:b/>
          <w:bCs/>
          <w:sz w:val="32"/>
          <w:szCs w:val="32"/>
        </w:rPr>
        <w:t>投标人授权代表（签字）：</w:t>
      </w:r>
    </w:p>
    <w:p>
      <w:pPr>
        <w:spacing w:before="312" w:beforeLines="100" w:after="312" w:afterLines="100" w:line="360" w:lineRule="auto"/>
        <w:ind w:left="2256" w:leftChars="466" w:right="466" w:hanging="1278" w:hangingChars="355"/>
        <w:jc w:val="center"/>
        <w:rPr>
          <w:rFonts w:ascii="宋体" w:cs="Times New Roman"/>
          <w:b/>
          <w:bCs/>
          <w:sz w:val="36"/>
          <w:szCs w:val="36"/>
        </w:rPr>
      </w:pPr>
      <w:r>
        <w:rPr>
          <w:rFonts w:hint="eastAsia" w:ascii="宋体" w:hAnsi="宋体" w:cs="宋体"/>
          <w:b/>
          <w:bCs/>
          <w:sz w:val="36"/>
          <w:szCs w:val="36"/>
        </w:rPr>
        <w:t>二</w:t>
      </w:r>
      <w:r>
        <w:rPr>
          <w:rFonts w:ascii="宋体" w:cs="宋体"/>
          <w:b/>
          <w:bCs/>
          <w:sz w:val="36"/>
          <w:szCs w:val="36"/>
        </w:rPr>
        <w:t>0</w:t>
      </w:r>
      <w:r>
        <w:rPr>
          <w:rFonts w:hint="eastAsia" w:ascii="宋体" w:hAnsi="宋体" w:cs="宋体"/>
          <w:b/>
          <w:bCs/>
          <w:sz w:val="36"/>
          <w:szCs w:val="36"/>
        </w:rPr>
        <w:t>一</w:t>
      </w:r>
      <w:r>
        <w:rPr>
          <w:rFonts w:ascii="宋体" w:hAnsi="宋体" w:cs="宋体"/>
          <w:b/>
          <w:bCs/>
          <w:sz w:val="36"/>
          <w:szCs w:val="36"/>
        </w:rPr>
        <w:t xml:space="preserve">  </w:t>
      </w:r>
      <w:r>
        <w:rPr>
          <w:rFonts w:hint="eastAsia" w:ascii="宋体" w:hAnsi="宋体" w:cs="宋体"/>
          <w:b/>
          <w:bCs/>
          <w:sz w:val="36"/>
          <w:szCs w:val="36"/>
        </w:rPr>
        <w:t>年</w:t>
      </w:r>
      <w:r>
        <w:rPr>
          <w:rFonts w:ascii="宋体" w:hAnsi="宋体" w:cs="宋体"/>
          <w:b/>
          <w:bCs/>
          <w:sz w:val="36"/>
          <w:szCs w:val="36"/>
        </w:rPr>
        <w:t xml:space="preserve"> </w:t>
      </w:r>
      <w:r>
        <w:rPr>
          <w:rFonts w:hint="eastAsia" w:ascii="宋体" w:hAnsi="宋体" w:cs="宋体"/>
          <w:b/>
          <w:bCs/>
          <w:sz w:val="36"/>
          <w:szCs w:val="36"/>
        </w:rPr>
        <w:t>月</w:t>
      </w:r>
    </w:p>
    <w:p>
      <w:pPr>
        <w:rPr>
          <w:rFonts w:cs="Times New Roman"/>
        </w:rPr>
      </w:pPr>
    </w:p>
    <w:p>
      <w:pPr>
        <w:spacing w:before="312" w:beforeLines="100" w:line="360" w:lineRule="auto"/>
        <w:jc w:val="left"/>
        <w:rPr>
          <w:rFonts w:ascii="宋体" w:hAnsi="宋体" w:cs="宋体"/>
          <w:b/>
          <w:bCs/>
          <w:sz w:val="30"/>
          <w:szCs w:val="30"/>
          <w:lang w:val="zh-CN"/>
        </w:rPr>
      </w:pPr>
    </w:p>
    <w:p>
      <w:pPr>
        <w:spacing w:before="312" w:beforeLines="100" w:line="360" w:lineRule="auto"/>
        <w:jc w:val="left"/>
        <w:rPr>
          <w:rFonts w:ascii="宋体" w:cs="Times New Roman"/>
          <w:b/>
          <w:bCs/>
          <w:sz w:val="30"/>
          <w:szCs w:val="30"/>
          <w:lang w:val="zh-CN"/>
        </w:rPr>
      </w:pPr>
      <w:r>
        <w:rPr>
          <w:rFonts w:hint="eastAsia" w:ascii="宋体" w:hAnsi="宋体" w:cs="宋体"/>
          <w:b/>
          <w:bCs/>
          <w:sz w:val="30"/>
          <w:szCs w:val="30"/>
          <w:lang w:val="zh-CN"/>
        </w:rPr>
        <w:t>格式（参考）说明：</w:t>
      </w:r>
    </w:p>
    <w:p>
      <w:pPr>
        <w:spacing w:before="120" w:after="120" w:line="578" w:lineRule="auto"/>
        <w:jc w:val="center"/>
        <w:rPr>
          <w:rFonts w:ascii="黑体" w:hAnsi="黑体" w:eastAsia="黑体" w:cs="Times New Roman"/>
          <w:b/>
          <w:bCs/>
          <w:sz w:val="36"/>
          <w:szCs w:val="36"/>
        </w:rPr>
      </w:pPr>
      <w:bookmarkStart w:id="118" w:name="_Toc494665948"/>
      <w:bookmarkStart w:id="119" w:name="_Toc494745315"/>
      <w:bookmarkStart w:id="120" w:name="_Toc494721098"/>
      <w:bookmarkStart w:id="121" w:name="_Toc494665551"/>
      <w:bookmarkStart w:id="122" w:name="_Toc494664998"/>
      <w:bookmarkStart w:id="123" w:name="_Toc494702268"/>
      <w:r>
        <w:rPr>
          <w:rFonts w:hint="eastAsia" w:ascii="黑体" w:hAnsi="黑体" w:eastAsia="黑体" w:cs="黑体"/>
          <w:b/>
          <w:bCs/>
          <w:sz w:val="36"/>
          <w:szCs w:val="36"/>
        </w:rPr>
        <w:t>商务文件组成</w:t>
      </w:r>
      <w:bookmarkEnd w:id="118"/>
      <w:bookmarkEnd w:id="119"/>
      <w:bookmarkEnd w:id="120"/>
      <w:bookmarkEnd w:id="121"/>
      <w:bookmarkEnd w:id="122"/>
      <w:bookmarkEnd w:id="123"/>
    </w:p>
    <w:p>
      <w:pPr>
        <w:autoSpaceDE w:val="0"/>
        <w:autoSpaceDN w:val="0"/>
        <w:adjustRightInd w:val="0"/>
        <w:spacing w:before="156" w:beforeLines="50" w:after="156" w:afterLines="50" w:line="360" w:lineRule="auto"/>
        <w:ind w:firstLine="480" w:firstLineChars="200"/>
        <w:rPr>
          <w:rFonts w:ascii="宋体" w:cs="Times New Roman"/>
          <w:kern w:val="0"/>
          <w:sz w:val="24"/>
          <w:szCs w:val="24"/>
        </w:rPr>
      </w:pPr>
      <w:r>
        <w:rPr>
          <w:rFonts w:hint="eastAsia" w:ascii="宋体" w:hAnsi="宋体" w:cs="宋体"/>
          <w:kern w:val="0"/>
          <w:sz w:val="24"/>
          <w:szCs w:val="24"/>
        </w:rPr>
        <w:t>由各投标人根据参考格式要求自行编写。目录清晰、内容详尽、易于理解和评审并富有建设性的商务方案在评标时具有优势。具体内容应包括但不限于以下内容：</w:t>
      </w:r>
    </w:p>
    <w:p>
      <w:pPr>
        <w:numPr>
          <w:ilvl w:val="0"/>
          <w:numId w:val="39"/>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商务文件目录</w:t>
      </w:r>
      <w:r>
        <w:rPr>
          <w:rFonts w:hint="eastAsia" w:ascii="宋体" w:hAnsi="宋体" w:cs="宋体"/>
          <w:b/>
          <w:bCs/>
          <w:kern w:val="0"/>
          <w:sz w:val="24"/>
          <w:szCs w:val="24"/>
        </w:rPr>
        <w:t>（目录应涵盖下述所有资料，页码清晰以便查阅）</w:t>
      </w:r>
      <w:r>
        <w:rPr>
          <w:rFonts w:hint="eastAsia" w:ascii="宋体" w:hAnsi="宋体" w:cs="宋体"/>
          <w:kern w:val="0"/>
          <w:sz w:val="24"/>
          <w:szCs w:val="24"/>
        </w:rPr>
        <w:t>；</w:t>
      </w:r>
    </w:p>
    <w:p>
      <w:pPr>
        <w:numPr>
          <w:ilvl w:val="0"/>
          <w:numId w:val="39"/>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投标书（附件一）；</w:t>
      </w:r>
    </w:p>
    <w:p>
      <w:pPr>
        <w:numPr>
          <w:ilvl w:val="0"/>
          <w:numId w:val="39"/>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制造商中小企业声明函（附件二）；</w:t>
      </w:r>
    </w:p>
    <w:p>
      <w:pPr>
        <w:numPr>
          <w:ilvl w:val="0"/>
          <w:numId w:val="39"/>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中小企业声明函（附件三）；</w:t>
      </w:r>
    </w:p>
    <w:p>
      <w:pPr>
        <w:numPr>
          <w:ilvl w:val="0"/>
          <w:numId w:val="39"/>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残疾人福利性单位声明函（附件四）</w:t>
      </w:r>
    </w:p>
    <w:p>
      <w:pPr>
        <w:numPr>
          <w:ilvl w:val="0"/>
          <w:numId w:val="39"/>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开标一览表（附件五）；</w:t>
      </w:r>
    </w:p>
    <w:p>
      <w:pPr>
        <w:numPr>
          <w:ilvl w:val="0"/>
          <w:numId w:val="39"/>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投标报价明细表（附件六）；</w:t>
      </w:r>
    </w:p>
    <w:p>
      <w:pPr>
        <w:numPr>
          <w:ilvl w:val="0"/>
          <w:numId w:val="39"/>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小型和微型企业、监狱企业、残疾人福利性单位货物汇总表（附件七）；</w:t>
      </w:r>
    </w:p>
    <w:p>
      <w:pPr>
        <w:numPr>
          <w:ilvl w:val="0"/>
          <w:numId w:val="39"/>
        </w:numPr>
        <w:autoSpaceDE w:val="0"/>
        <w:autoSpaceDN w:val="0"/>
        <w:adjustRightInd w:val="0"/>
        <w:spacing w:line="360" w:lineRule="auto"/>
        <w:ind w:left="490" w:hanging="370"/>
        <w:rPr>
          <w:rFonts w:ascii="宋体" w:cs="Times New Roman"/>
          <w:sz w:val="24"/>
          <w:szCs w:val="24"/>
        </w:rPr>
      </w:pPr>
      <w:r>
        <w:rPr>
          <w:rFonts w:hint="eastAsia" w:ascii="宋体" w:hAnsi="宋体" w:cs="宋体"/>
          <w:sz w:val="24"/>
          <w:szCs w:val="24"/>
        </w:rPr>
        <w:t>投标货物、服务清单（附件八）；</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交纳投标保证金的银行凭证（附件九，适用招标文件有交纳要求的应当提供）；</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法定代表人授权书（附件十）；</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关于不存在招标文件第二章“十一</w:t>
      </w:r>
      <w:r>
        <w:rPr>
          <w:rFonts w:ascii="宋体" w:hAnsi="宋体" w:cs="宋体"/>
          <w:sz w:val="24"/>
          <w:szCs w:val="24"/>
        </w:rPr>
        <w:t xml:space="preserve"> </w:t>
      </w:r>
      <w:r>
        <w:rPr>
          <w:rFonts w:hint="eastAsia" w:ascii="宋体" w:hAnsi="宋体" w:cs="宋体"/>
          <w:sz w:val="24"/>
          <w:szCs w:val="24"/>
        </w:rPr>
        <w:t>其他注意事项”中规定禁止情形的书面声明；</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投标人的资格声明（附件十一）；</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项目负责人、技术负责人简历表（附件十二）；</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项目班子成员情况表（附件十三）；</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投标人类似项目业绩表（附件十四）；</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招标文件要求提供或投标人认为需提供的其它资料；</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符合性审查对照表（附件十五）；</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商务要求响应、偏离说明表（附件十六）；</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商务要求“★”号条款响应、偏离说明表（附件十七）</w:t>
      </w:r>
    </w:p>
    <w:p>
      <w:pPr>
        <w:numPr>
          <w:ilvl w:val="0"/>
          <w:numId w:val="39"/>
        </w:numPr>
        <w:autoSpaceDE w:val="0"/>
        <w:autoSpaceDN w:val="0"/>
        <w:adjustRightInd w:val="0"/>
        <w:spacing w:line="360" w:lineRule="auto"/>
        <w:ind w:left="616" w:hanging="496"/>
        <w:rPr>
          <w:rFonts w:ascii="宋体" w:cs="Times New Roman"/>
          <w:sz w:val="24"/>
          <w:szCs w:val="24"/>
        </w:rPr>
      </w:pPr>
      <w:r>
        <w:rPr>
          <w:rFonts w:hint="eastAsia" w:ascii="宋体" w:hAnsi="宋体" w:cs="宋体"/>
          <w:sz w:val="24"/>
          <w:szCs w:val="24"/>
        </w:rPr>
        <w:t>商务评议对照表（附件十八）。</w:t>
      </w:r>
    </w:p>
    <w:p>
      <w:pPr>
        <w:rPr>
          <w:rFonts w:cs="Times New Roman"/>
        </w:rPr>
      </w:pPr>
      <w:r>
        <w:rPr>
          <w:rFonts w:cs="Times New Roman"/>
        </w:rPr>
        <w:br w:type="page"/>
      </w:r>
    </w:p>
    <w:p>
      <w:pPr>
        <w:spacing w:before="312" w:beforeLines="100" w:after="780" w:afterLines="250"/>
        <w:jc w:val="center"/>
        <w:rPr>
          <w:rFonts w:ascii="黑体" w:hAnsi="黑体" w:eastAsia="黑体" w:cs="Times New Roman"/>
          <w:b/>
          <w:bCs/>
          <w:sz w:val="72"/>
          <w:szCs w:val="72"/>
        </w:rPr>
      </w:pPr>
      <w:r>
        <w:rPr>
          <w:rFonts w:hint="eastAsia" w:ascii="黑体" w:hAnsi="黑体" w:eastAsia="黑体" w:cs="黑体"/>
          <w:b/>
          <w:bCs/>
          <w:sz w:val="72"/>
          <w:szCs w:val="72"/>
        </w:rPr>
        <w:t>阳新县县级政府采购</w:t>
      </w:r>
    </w:p>
    <w:p>
      <w:pPr>
        <w:spacing w:after="624" w:afterLines="200"/>
        <w:jc w:val="center"/>
        <w:rPr>
          <w:rFonts w:ascii="黑体" w:hAnsi="黑体" w:eastAsia="黑体" w:cs="Times New Roman"/>
          <w:b/>
          <w:bCs/>
          <w:sz w:val="144"/>
          <w:szCs w:val="144"/>
        </w:rPr>
      </w:pPr>
      <w:r>
        <w:rPr>
          <w:rFonts w:hint="eastAsia" w:ascii="黑体" w:hAnsi="黑体" w:eastAsia="黑体" w:cs="黑体"/>
          <w:b/>
          <w:bCs/>
          <w:sz w:val="144"/>
          <w:szCs w:val="144"/>
        </w:rPr>
        <w:t>投</w:t>
      </w:r>
      <w:r>
        <w:rPr>
          <w:rFonts w:ascii="黑体" w:hAnsi="黑体" w:eastAsia="黑体" w:cs="黑体"/>
          <w:b/>
          <w:bCs/>
          <w:sz w:val="144"/>
          <w:szCs w:val="144"/>
        </w:rPr>
        <w:t xml:space="preserve"> </w:t>
      </w:r>
      <w:r>
        <w:rPr>
          <w:rFonts w:hint="eastAsia" w:ascii="黑体" w:hAnsi="黑体" w:eastAsia="黑体" w:cs="黑体"/>
          <w:b/>
          <w:bCs/>
          <w:sz w:val="144"/>
          <w:szCs w:val="144"/>
        </w:rPr>
        <w:t>标</w:t>
      </w:r>
      <w:r>
        <w:rPr>
          <w:rFonts w:ascii="黑体" w:hAnsi="黑体" w:eastAsia="黑体" w:cs="黑体"/>
          <w:b/>
          <w:bCs/>
          <w:sz w:val="144"/>
          <w:szCs w:val="144"/>
        </w:rPr>
        <w:t xml:space="preserve"> </w:t>
      </w:r>
      <w:r>
        <w:rPr>
          <w:rFonts w:hint="eastAsia" w:ascii="黑体" w:hAnsi="黑体" w:eastAsia="黑体" w:cs="黑体"/>
          <w:b/>
          <w:bCs/>
          <w:sz w:val="144"/>
          <w:szCs w:val="144"/>
        </w:rPr>
        <w:t>文</w:t>
      </w:r>
      <w:r>
        <w:rPr>
          <w:rFonts w:ascii="黑体" w:hAnsi="黑体" w:eastAsia="黑体" w:cs="黑体"/>
          <w:b/>
          <w:bCs/>
          <w:sz w:val="144"/>
          <w:szCs w:val="144"/>
        </w:rPr>
        <w:t xml:space="preserve"> </w:t>
      </w:r>
      <w:r>
        <w:rPr>
          <w:rFonts w:hint="eastAsia" w:ascii="黑体" w:hAnsi="黑体" w:eastAsia="黑体" w:cs="黑体"/>
          <w:b/>
          <w:bCs/>
          <w:sz w:val="144"/>
          <w:szCs w:val="144"/>
        </w:rPr>
        <w:t>件</w:t>
      </w:r>
    </w:p>
    <w:p>
      <w:pPr>
        <w:pStyle w:val="4"/>
        <w:spacing w:before="340" w:after="480" w:line="360" w:lineRule="auto"/>
        <w:rPr>
          <w:rFonts w:ascii="宋体" w:cs="Times New Roman"/>
          <w:sz w:val="44"/>
          <w:szCs w:val="44"/>
          <w:lang w:val="zh-CN"/>
        </w:rPr>
      </w:pPr>
      <w:bookmarkStart w:id="124" w:name="_Toc494664999"/>
      <w:bookmarkStart w:id="125" w:name="_Toc495861549"/>
      <w:bookmarkStart w:id="126" w:name="_Toc494665949"/>
      <w:bookmarkStart w:id="127" w:name="_Toc494702269"/>
      <w:bookmarkStart w:id="128" w:name="_Toc494721099"/>
      <w:bookmarkStart w:id="129" w:name="_Toc494745316"/>
      <w:bookmarkStart w:id="130" w:name="_Toc494665552"/>
    </w:p>
    <w:p>
      <w:pPr>
        <w:pStyle w:val="4"/>
        <w:spacing w:before="340" w:after="480" w:line="360" w:lineRule="auto"/>
        <w:jc w:val="center"/>
        <w:rPr>
          <w:rFonts w:ascii="宋体" w:cs="Times New Roman"/>
          <w:sz w:val="44"/>
          <w:szCs w:val="44"/>
          <w:lang w:val="zh-CN"/>
        </w:rPr>
      </w:pPr>
      <w:bookmarkStart w:id="131" w:name="_Toc509323141"/>
      <w:r>
        <w:rPr>
          <w:rFonts w:hint="eastAsia" w:ascii="宋体" w:hAnsi="宋体" w:cs="宋体"/>
          <w:sz w:val="44"/>
          <w:szCs w:val="44"/>
          <w:lang w:val="zh-CN"/>
        </w:rPr>
        <w:t>第三部分</w:t>
      </w:r>
      <w:r>
        <w:rPr>
          <w:rFonts w:ascii="宋体" w:hAnsi="宋体" w:cs="宋体"/>
          <w:sz w:val="44"/>
          <w:szCs w:val="44"/>
          <w:lang w:val="zh-CN"/>
        </w:rPr>
        <w:t xml:space="preserve"> </w:t>
      </w:r>
      <w:r>
        <w:rPr>
          <w:rFonts w:hint="eastAsia" w:ascii="宋体" w:hAnsi="宋体" w:cs="宋体"/>
          <w:sz w:val="44"/>
          <w:szCs w:val="44"/>
          <w:lang w:val="zh-CN"/>
        </w:rPr>
        <w:t>技术、服务文件</w:t>
      </w:r>
      <w:bookmarkEnd w:id="124"/>
      <w:bookmarkEnd w:id="125"/>
      <w:bookmarkEnd w:id="126"/>
      <w:bookmarkEnd w:id="127"/>
      <w:bookmarkEnd w:id="128"/>
      <w:bookmarkEnd w:id="129"/>
      <w:bookmarkEnd w:id="130"/>
      <w:bookmarkEnd w:id="131"/>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项目编号：</w:t>
      </w:r>
    </w:p>
    <w:p>
      <w:pPr>
        <w:spacing w:line="360" w:lineRule="auto"/>
        <w:ind w:left="2051" w:leftChars="619" w:right="1299" w:rightChars="619" w:hanging="752" w:hangingChars="209"/>
        <w:rPr>
          <w:rFonts w:ascii="宋体" w:cs="Times New Roman"/>
          <w:b/>
          <w:bCs/>
          <w:sz w:val="36"/>
          <w:szCs w:val="36"/>
        </w:rPr>
      </w:pPr>
      <w:r>
        <w:rPr>
          <w:rFonts w:hint="eastAsia" w:ascii="宋体" w:hAnsi="宋体" w:cs="宋体"/>
          <w:b/>
          <w:bCs/>
          <w:sz w:val="36"/>
          <w:szCs w:val="36"/>
        </w:rPr>
        <w:t>项目名称：</w:t>
      </w:r>
    </w:p>
    <w:p>
      <w:pPr>
        <w:spacing w:line="360" w:lineRule="auto"/>
        <w:ind w:left="2051" w:leftChars="619" w:right="1299" w:rightChars="619" w:hanging="752" w:hangingChars="209"/>
        <w:rPr>
          <w:rFonts w:ascii="宋体" w:cs="Times New Roman"/>
          <w:sz w:val="36"/>
          <w:szCs w:val="36"/>
          <w:lang w:val="zh-CN"/>
        </w:rPr>
      </w:pPr>
      <w:r>
        <w:rPr>
          <w:rFonts w:hint="eastAsia" w:ascii="宋体" w:hAnsi="宋体" w:cs="宋体"/>
          <w:b/>
          <w:bCs/>
          <w:sz w:val="36"/>
          <w:szCs w:val="36"/>
        </w:rPr>
        <w:t>采购人：</w:t>
      </w:r>
    </w:p>
    <w:p>
      <w:pPr>
        <w:spacing w:line="360" w:lineRule="auto"/>
        <w:ind w:left="2051" w:leftChars="619" w:right="1299" w:rightChars="619" w:hanging="752" w:hangingChars="209"/>
        <w:rPr>
          <w:rFonts w:ascii="宋体" w:cs="Times New Roman"/>
          <w:sz w:val="36"/>
          <w:szCs w:val="36"/>
        </w:rPr>
      </w:pPr>
      <w:r>
        <w:rPr>
          <w:rFonts w:hint="eastAsia" w:ascii="宋体" w:hAnsi="宋体" w:cs="宋体"/>
          <w:b/>
          <w:bCs/>
          <w:sz w:val="36"/>
          <w:szCs w:val="36"/>
        </w:rPr>
        <w:t>采购内容：</w:t>
      </w:r>
    </w:p>
    <w:p>
      <w:pPr>
        <w:spacing w:line="360" w:lineRule="auto"/>
        <w:ind w:left="2057" w:leftChars="613" w:right="1287" w:rightChars="613" w:hanging="770" w:hangingChars="214"/>
        <w:rPr>
          <w:rFonts w:ascii="宋体" w:cs="Times New Roman"/>
          <w:sz w:val="36"/>
          <w:szCs w:val="36"/>
        </w:rPr>
      </w:pPr>
    </w:p>
    <w:p>
      <w:pPr>
        <w:spacing w:line="360" w:lineRule="auto"/>
        <w:ind w:left="3341" w:leftChars="613" w:right="1287" w:rightChars="613" w:hanging="2054" w:hangingChars="214"/>
        <w:rPr>
          <w:rFonts w:ascii="宋体" w:cs="Times New Roman"/>
          <w:b/>
          <w:bCs/>
          <w:sz w:val="96"/>
          <w:szCs w:val="96"/>
        </w:rPr>
      </w:pPr>
      <w:r>
        <w:rPr>
          <w:rFonts w:hint="eastAsia" w:ascii="宋体" w:hAnsi="宋体" w:cs="宋体"/>
          <w:b/>
          <w:bCs/>
          <w:sz w:val="96"/>
          <w:szCs w:val="96"/>
        </w:rPr>
        <w:t>投标人（盖章）</w:t>
      </w:r>
    </w:p>
    <w:p>
      <w:pPr>
        <w:spacing w:line="360" w:lineRule="auto"/>
        <w:ind w:left="1971" w:leftChars="613" w:right="1287" w:rightChars="613" w:hanging="684" w:hangingChars="214"/>
        <w:rPr>
          <w:rFonts w:ascii="宋体" w:cs="Times New Roman"/>
          <w:b/>
          <w:bCs/>
          <w:sz w:val="32"/>
          <w:szCs w:val="32"/>
        </w:rPr>
      </w:pPr>
      <w:r>
        <w:rPr>
          <w:rFonts w:hint="eastAsia" w:ascii="宋体" w:hAnsi="宋体" w:cs="宋体"/>
          <w:b/>
          <w:bCs/>
          <w:sz w:val="32"/>
          <w:szCs w:val="32"/>
        </w:rPr>
        <w:t>投标人授权代表（签字）：</w:t>
      </w:r>
    </w:p>
    <w:p>
      <w:pPr>
        <w:spacing w:before="312" w:beforeLines="100" w:after="312" w:afterLines="100" w:line="360" w:lineRule="auto"/>
        <w:ind w:left="2256" w:leftChars="466" w:right="466" w:hanging="1278" w:hangingChars="355"/>
        <w:jc w:val="center"/>
        <w:rPr>
          <w:rFonts w:ascii="宋体" w:cs="Times New Roman"/>
          <w:b/>
          <w:bCs/>
          <w:sz w:val="36"/>
          <w:szCs w:val="36"/>
        </w:rPr>
      </w:pPr>
      <w:r>
        <w:rPr>
          <w:rFonts w:hint="eastAsia" w:ascii="宋体" w:hAnsi="宋体" w:cs="宋体"/>
          <w:b/>
          <w:bCs/>
          <w:sz w:val="36"/>
          <w:szCs w:val="36"/>
        </w:rPr>
        <w:t>二</w:t>
      </w:r>
      <w:r>
        <w:rPr>
          <w:rFonts w:ascii="宋体" w:cs="宋体"/>
          <w:b/>
          <w:bCs/>
          <w:sz w:val="36"/>
          <w:szCs w:val="36"/>
        </w:rPr>
        <w:t>0</w:t>
      </w:r>
      <w:r>
        <w:rPr>
          <w:rFonts w:hint="eastAsia" w:ascii="宋体" w:hAnsi="宋体" w:cs="宋体"/>
          <w:b/>
          <w:bCs/>
          <w:sz w:val="36"/>
          <w:szCs w:val="36"/>
        </w:rPr>
        <w:t>一</w:t>
      </w:r>
      <w:r>
        <w:rPr>
          <w:rFonts w:ascii="宋体" w:hAnsi="宋体" w:cs="宋体"/>
          <w:b/>
          <w:bCs/>
          <w:sz w:val="36"/>
          <w:szCs w:val="36"/>
        </w:rPr>
        <w:t xml:space="preserve">  </w:t>
      </w:r>
      <w:r>
        <w:rPr>
          <w:rFonts w:hint="eastAsia" w:ascii="宋体" w:hAnsi="宋体" w:cs="宋体"/>
          <w:b/>
          <w:bCs/>
          <w:sz w:val="36"/>
          <w:szCs w:val="36"/>
        </w:rPr>
        <w:t>年</w:t>
      </w:r>
      <w:r>
        <w:rPr>
          <w:rFonts w:ascii="宋体" w:hAnsi="宋体" w:cs="宋体"/>
          <w:b/>
          <w:bCs/>
          <w:sz w:val="36"/>
          <w:szCs w:val="36"/>
        </w:rPr>
        <w:t xml:space="preserve"> </w:t>
      </w:r>
      <w:r>
        <w:rPr>
          <w:rFonts w:hint="eastAsia" w:ascii="宋体" w:hAnsi="宋体" w:cs="宋体"/>
          <w:b/>
          <w:bCs/>
          <w:sz w:val="36"/>
          <w:szCs w:val="36"/>
        </w:rPr>
        <w:t>月</w:t>
      </w:r>
    </w:p>
    <w:p>
      <w:pPr>
        <w:rPr>
          <w:rFonts w:cs="Times New Roman"/>
        </w:rPr>
      </w:pPr>
    </w:p>
    <w:p>
      <w:pPr>
        <w:spacing w:before="312" w:beforeLines="100" w:line="360" w:lineRule="auto"/>
        <w:jc w:val="left"/>
        <w:rPr>
          <w:rFonts w:ascii="宋体" w:hAnsi="宋体" w:cs="宋体"/>
          <w:b/>
          <w:bCs/>
          <w:sz w:val="30"/>
          <w:szCs w:val="30"/>
          <w:lang w:val="zh-CN"/>
        </w:rPr>
      </w:pPr>
    </w:p>
    <w:p>
      <w:pPr>
        <w:spacing w:before="312" w:beforeLines="100" w:line="360" w:lineRule="auto"/>
        <w:jc w:val="left"/>
        <w:rPr>
          <w:rFonts w:ascii="宋体" w:cs="Times New Roman"/>
          <w:b/>
          <w:bCs/>
          <w:sz w:val="30"/>
          <w:szCs w:val="30"/>
          <w:lang w:val="zh-CN"/>
        </w:rPr>
      </w:pPr>
      <w:r>
        <w:rPr>
          <w:rFonts w:hint="eastAsia" w:ascii="宋体" w:hAnsi="宋体" w:cs="宋体"/>
          <w:b/>
          <w:bCs/>
          <w:sz w:val="30"/>
          <w:szCs w:val="30"/>
          <w:lang w:val="zh-CN"/>
        </w:rPr>
        <w:t>格式（参考）说明：</w:t>
      </w:r>
    </w:p>
    <w:p>
      <w:pPr>
        <w:spacing w:before="120" w:after="120" w:line="578" w:lineRule="auto"/>
        <w:jc w:val="center"/>
        <w:rPr>
          <w:rFonts w:ascii="黑体" w:hAnsi="黑体" w:eastAsia="黑体" w:cs="Times New Roman"/>
          <w:b/>
          <w:bCs/>
          <w:sz w:val="36"/>
          <w:szCs w:val="36"/>
        </w:rPr>
      </w:pPr>
      <w:bookmarkStart w:id="132" w:name="_Toc494665000"/>
      <w:bookmarkStart w:id="133" w:name="_Toc494665553"/>
      <w:bookmarkStart w:id="134" w:name="_Toc494702270"/>
      <w:bookmarkStart w:id="135" w:name="_Toc494665950"/>
      <w:bookmarkStart w:id="136" w:name="_Toc494721100"/>
      <w:bookmarkStart w:id="137" w:name="_Toc494745317"/>
      <w:r>
        <w:rPr>
          <w:rFonts w:hint="eastAsia" w:ascii="黑体" w:hAnsi="黑体" w:eastAsia="黑体" w:cs="黑体"/>
          <w:b/>
          <w:bCs/>
          <w:sz w:val="36"/>
          <w:szCs w:val="36"/>
          <w:lang w:val="zh-CN"/>
        </w:rPr>
        <w:t>技术</w:t>
      </w:r>
      <w:r>
        <w:rPr>
          <w:rFonts w:hint="eastAsia" w:ascii="黑体" w:hAnsi="黑体" w:eastAsia="黑体" w:cs="黑体"/>
          <w:b/>
          <w:bCs/>
          <w:sz w:val="36"/>
          <w:szCs w:val="36"/>
        </w:rPr>
        <w:t>、服务文件组成</w:t>
      </w:r>
      <w:bookmarkEnd w:id="132"/>
      <w:bookmarkEnd w:id="133"/>
      <w:bookmarkEnd w:id="134"/>
      <w:bookmarkEnd w:id="135"/>
      <w:bookmarkEnd w:id="136"/>
      <w:bookmarkEnd w:id="137"/>
    </w:p>
    <w:p>
      <w:pPr>
        <w:autoSpaceDE w:val="0"/>
        <w:autoSpaceDN w:val="0"/>
        <w:adjustRightInd w:val="0"/>
        <w:spacing w:before="156" w:beforeLines="50" w:after="156" w:afterLines="50" w:line="360" w:lineRule="auto"/>
        <w:ind w:firstLine="480" w:firstLineChars="200"/>
        <w:rPr>
          <w:rFonts w:ascii="宋体" w:cs="Times New Roman"/>
          <w:kern w:val="0"/>
          <w:sz w:val="24"/>
          <w:szCs w:val="24"/>
        </w:rPr>
      </w:pPr>
      <w:r>
        <w:rPr>
          <w:rFonts w:hint="eastAsia" w:ascii="宋体" w:hAnsi="宋体" w:cs="宋体"/>
          <w:kern w:val="0"/>
          <w:sz w:val="24"/>
          <w:szCs w:val="24"/>
        </w:rPr>
        <w:t>由各投标人根据参考格式要求自行编写。目录清晰、内容详尽、易于理解和评审并富有建设性的技术、服务方案在评标时具有优势。具体内容应包括但不限于以下内容：</w:t>
      </w:r>
    </w:p>
    <w:p>
      <w:pPr>
        <w:numPr>
          <w:ilvl w:val="0"/>
          <w:numId w:val="40"/>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技术、服务文件目录（目录应涵盖下述所有资料，页码清晰以便查阅）；</w:t>
      </w:r>
    </w:p>
    <w:p>
      <w:pPr>
        <w:numPr>
          <w:ilvl w:val="0"/>
          <w:numId w:val="40"/>
        </w:numPr>
        <w:autoSpaceDE w:val="0"/>
        <w:autoSpaceDN w:val="0"/>
        <w:adjustRightInd w:val="0"/>
        <w:spacing w:line="360" w:lineRule="auto"/>
        <w:ind w:left="488" w:hanging="369"/>
        <w:rPr>
          <w:rFonts w:ascii="宋体" w:cs="Times New Roman"/>
          <w:kern w:val="0"/>
          <w:sz w:val="24"/>
          <w:szCs w:val="24"/>
        </w:rPr>
      </w:pPr>
      <w:r>
        <w:rPr>
          <w:rFonts w:hint="eastAsia" w:ascii="宋体" w:hAnsi="宋体" w:cs="宋体"/>
          <w:kern w:val="0"/>
          <w:sz w:val="24"/>
          <w:szCs w:val="24"/>
        </w:rPr>
        <w:t>投标货物（工程或服务）介绍，项目建设（服务）方案；</w:t>
      </w:r>
    </w:p>
    <w:p>
      <w:pPr>
        <w:numPr>
          <w:ilvl w:val="0"/>
          <w:numId w:val="40"/>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技术、服务要求响应、偏离说明表（附件十九）；</w:t>
      </w:r>
    </w:p>
    <w:p>
      <w:pPr>
        <w:numPr>
          <w:ilvl w:val="0"/>
          <w:numId w:val="40"/>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技术、服务要求“★”号条款响应、偏离说明表（附件二十）；</w:t>
      </w:r>
    </w:p>
    <w:p>
      <w:pPr>
        <w:numPr>
          <w:ilvl w:val="0"/>
          <w:numId w:val="40"/>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技术、服务评议对照表（附件二十一）；</w:t>
      </w:r>
    </w:p>
    <w:p>
      <w:pPr>
        <w:numPr>
          <w:ilvl w:val="0"/>
          <w:numId w:val="40"/>
        </w:numPr>
        <w:autoSpaceDE w:val="0"/>
        <w:autoSpaceDN w:val="0"/>
        <w:adjustRightInd w:val="0"/>
        <w:spacing w:line="360" w:lineRule="auto"/>
        <w:ind w:left="490" w:hanging="370"/>
        <w:rPr>
          <w:rFonts w:ascii="宋体" w:cs="Times New Roman"/>
          <w:kern w:val="0"/>
          <w:sz w:val="24"/>
          <w:szCs w:val="24"/>
        </w:rPr>
      </w:pPr>
      <w:r>
        <w:rPr>
          <w:rFonts w:hint="eastAsia" w:ascii="宋体" w:hAnsi="宋体" w:cs="宋体"/>
          <w:kern w:val="0"/>
          <w:sz w:val="24"/>
          <w:szCs w:val="24"/>
        </w:rPr>
        <w:t>招标文件要求提供或投标人认为需提供的其它资料。</w:t>
      </w:r>
    </w:p>
    <w:p>
      <w:pPr>
        <w:autoSpaceDE w:val="0"/>
        <w:autoSpaceDN w:val="0"/>
        <w:adjustRightInd w:val="0"/>
        <w:spacing w:line="360" w:lineRule="auto"/>
        <w:rPr>
          <w:rFonts w:ascii="宋体" w:cs="Times New Roman"/>
          <w:kern w:val="0"/>
          <w:sz w:val="24"/>
          <w:szCs w:val="24"/>
        </w:rPr>
      </w:pPr>
    </w:p>
    <w:p>
      <w:pPr>
        <w:autoSpaceDE w:val="0"/>
        <w:autoSpaceDN w:val="0"/>
        <w:adjustRightInd w:val="0"/>
        <w:spacing w:line="360" w:lineRule="auto"/>
        <w:ind w:left="715" w:leftChars="-6" w:hanging="727" w:hangingChars="303"/>
        <w:rPr>
          <w:rFonts w:ascii="宋体" w:cs="Times New Roman"/>
          <w:kern w:val="0"/>
          <w:sz w:val="24"/>
          <w:szCs w:val="24"/>
        </w:rPr>
      </w:pPr>
      <w:r>
        <w:rPr>
          <w:rFonts w:hint="eastAsia" w:ascii="宋体" w:hAnsi="宋体" w:cs="宋体"/>
          <w:kern w:val="0"/>
          <w:sz w:val="24"/>
          <w:szCs w:val="24"/>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138" w:name="_Toc494665001"/>
      <w:bookmarkStart w:id="139" w:name="_Toc236473298"/>
      <w:bookmarkStart w:id="140" w:name="_Toc494721101"/>
      <w:bookmarkStart w:id="141" w:name="_Toc494702271"/>
      <w:bookmarkStart w:id="142" w:name="_Toc494665554"/>
      <w:bookmarkStart w:id="143" w:name="_Toc495861550"/>
      <w:bookmarkStart w:id="144" w:name="_Toc238276242"/>
      <w:bookmarkStart w:id="145" w:name="_Toc494665951"/>
      <w:bookmarkStart w:id="146" w:name="_Toc494745318"/>
      <w:bookmarkStart w:id="147" w:name="_Toc509323142"/>
      <w:r>
        <w:rPr>
          <w:rFonts w:hint="eastAsia" w:ascii="宋体" w:hAnsi="宋体" w:cs="宋体"/>
        </w:rPr>
        <w:t>投标书</w:t>
      </w:r>
      <w:bookmarkEnd w:id="138"/>
      <w:bookmarkEnd w:id="139"/>
      <w:bookmarkEnd w:id="140"/>
      <w:bookmarkEnd w:id="141"/>
      <w:bookmarkEnd w:id="142"/>
      <w:bookmarkEnd w:id="143"/>
      <w:bookmarkEnd w:id="144"/>
      <w:bookmarkEnd w:id="145"/>
      <w:bookmarkEnd w:id="146"/>
      <w:bookmarkEnd w:id="147"/>
    </w:p>
    <w:p>
      <w:pPr>
        <w:spacing w:line="360" w:lineRule="auto"/>
        <w:rPr>
          <w:rFonts w:cs="Times New Roman"/>
          <w:b/>
          <w:bCs/>
          <w:sz w:val="28"/>
          <w:szCs w:val="28"/>
        </w:rPr>
      </w:pPr>
      <w:r>
        <w:rPr>
          <w:rFonts w:hint="eastAsia" w:cs="宋体"/>
          <w:b/>
          <w:bCs/>
          <w:sz w:val="28"/>
          <w:szCs w:val="28"/>
        </w:rPr>
        <w:t>采购人（或采购代理公司）：</w:t>
      </w:r>
    </w:p>
    <w:p>
      <w:pPr>
        <w:spacing w:line="360" w:lineRule="auto"/>
        <w:ind w:firstLine="480" w:firstLineChars="200"/>
        <w:rPr>
          <w:rFonts w:ascii="宋体" w:cs="Times New Roman"/>
          <w:sz w:val="24"/>
          <w:szCs w:val="24"/>
        </w:rPr>
      </w:pPr>
      <w:r>
        <w:rPr>
          <w:rFonts w:hint="eastAsia" w:ascii="宋体" w:hAnsi="宋体" w:cs="宋体"/>
          <w:sz w:val="24"/>
          <w:szCs w:val="24"/>
        </w:rPr>
        <w:t>依据贵方</w:t>
      </w:r>
      <w:r>
        <w:rPr>
          <w:rFonts w:ascii="宋体" w:hAnsi="宋体" w:cs="宋体"/>
          <w:sz w:val="24"/>
          <w:szCs w:val="24"/>
        </w:rPr>
        <w:t>___</w:t>
      </w:r>
      <w:r>
        <w:rPr>
          <w:rFonts w:ascii="宋体" w:hAnsi="宋体" w:cs="宋体"/>
          <w:sz w:val="24"/>
          <w:szCs w:val="24"/>
          <w:u w:val="single"/>
        </w:rPr>
        <w:t xml:space="preserve">  _</w:t>
      </w:r>
      <w:r>
        <w:rPr>
          <w:rFonts w:hint="eastAsia" w:ascii="宋体" w:hAnsi="宋体" w:cs="宋体"/>
          <w:sz w:val="24"/>
          <w:szCs w:val="24"/>
        </w:rPr>
        <w:t>项目（项目编号：</w:t>
      </w:r>
      <w:r>
        <w:rPr>
          <w:rFonts w:ascii="宋体" w:hAnsi="宋体" w:cs="宋体"/>
          <w:sz w:val="24"/>
          <w:szCs w:val="24"/>
        </w:rPr>
        <w:t>_____</w:t>
      </w:r>
      <w:r>
        <w:rPr>
          <w:rFonts w:hint="eastAsia" w:ascii="宋体" w:hAnsi="宋体" w:cs="宋体"/>
          <w:sz w:val="24"/>
          <w:szCs w:val="24"/>
        </w:rPr>
        <w:t>）招标的投标邀请，我方代表</w:t>
      </w:r>
      <w:r>
        <w:rPr>
          <w:rFonts w:hint="eastAsia" w:ascii="宋体" w:hAnsi="宋体" w:cs="宋体"/>
          <w:sz w:val="24"/>
          <w:szCs w:val="24"/>
          <w:u w:val="single"/>
        </w:rPr>
        <w:t>（姓名、职务）</w:t>
      </w:r>
      <w:r>
        <w:rPr>
          <w:rFonts w:hint="eastAsia" w:ascii="宋体" w:hAnsi="宋体" w:cs="宋体"/>
          <w:sz w:val="24"/>
          <w:szCs w:val="24"/>
        </w:rPr>
        <w:t>经正式授权并代表投标人</w:t>
      </w:r>
      <w:r>
        <w:rPr>
          <w:rFonts w:hint="eastAsia" w:ascii="宋体" w:hAnsi="宋体" w:cs="宋体"/>
          <w:sz w:val="24"/>
          <w:szCs w:val="24"/>
          <w:u w:val="single"/>
        </w:rPr>
        <w:t>（投标人全称</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提交</w:t>
      </w:r>
      <w:r>
        <w:rPr>
          <w:rFonts w:hint="eastAsia" w:ascii="宋体" w:hAnsi="宋体" w:cs="宋体"/>
          <w:kern w:val="0"/>
          <w:sz w:val="24"/>
          <w:szCs w:val="24"/>
        </w:rPr>
        <w:t>“开标一览表”信封和下述文件正本份，副本份。</w:t>
      </w:r>
    </w:p>
    <w:p>
      <w:pPr>
        <w:spacing w:line="360" w:lineRule="auto"/>
        <w:ind w:left="12" w:leftChars="6" w:firstLine="472" w:firstLineChars="197"/>
        <w:rPr>
          <w:rFonts w:ascii="宋体" w:cs="Times New Roman"/>
          <w:sz w:val="24"/>
          <w:szCs w:val="24"/>
        </w:rPr>
      </w:pPr>
      <w:r>
        <w:rPr>
          <w:rFonts w:ascii="宋体" w:hAnsi="宋体" w:cs="宋体"/>
          <w:sz w:val="24"/>
          <w:szCs w:val="24"/>
        </w:rPr>
        <w:t>1.</w:t>
      </w:r>
      <w:r>
        <w:rPr>
          <w:rFonts w:hint="eastAsia" w:ascii="宋体" w:hAnsi="宋体" w:cs="宋体"/>
          <w:sz w:val="24"/>
          <w:szCs w:val="24"/>
        </w:rPr>
        <w:t>资格证明文件；</w:t>
      </w:r>
      <w:r>
        <w:rPr>
          <w:rFonts w:ascii="宋体" w:hAnsi="宋体" w:cs="宋体"/>
          <w:sz w:val="24"/>
          <w:szCs w:val="24"/>
        </w:rPr>
        <w:t xml:space="preserve"> </w:t>
      </w:r>
    </w:p>
    <w:p>
      <w:pPr>
        <w:spacing w:line="360" w:lineRule="auto"/>
        <w:ind w:left="12" w:leftChars="6" w:firstLine="472" w:firstLineChars="197"/>
        <w:rPr>
          <w:rFonts w:ascii="宋体" w:cs="Times New Roman"/>
          <w:sz w:val="24"/>
          <w:szCs w:val="24"/>
        </w:rPr>
      </w:pPr>
      <w:r>
        <w:rPr>
          <w:rFonts w:ascii="宋体" w:hAnsi="宋体" w:cs="宋体"/>
          <w:sz w:val="24"/>
          <w:szCs w:val="24"/>
        </w:rPr>
        <w:t>2.</w:t>
      </w:r>
      <w:r>
        <w:rPr>
          <w:rFonts w:hint="eastAsia" w:ascii="宋体" w:hAnsi="宋体" w:cs="宋体"/>
          <w:sz w:val="24"/>
          <w:szCs w:val="24"/>
        </w:rPr>
        <w:t>商务文件；</w:t>
      </w:r>
    </w:p>
    <w:p>
      <w:pPr>
        <w:spacing w:line="360" w:lineRule="auto"/>
        <w:ind w:left="12" w:leftChars="6" w:firstLine="472" w:firstLineChars="197"/>
        <w:rPr>
          <w:rFonts w:ascii="宋体" w:cs="Times New Roman"/>
          <w:sz w:val="24"/>
          <w:szCs w:val="24"/>
        </w:rPr>
      </w:pPr>
      <w:r>
        <w:rPr>
          <w:rFonts w:ascii="宋体" w:hAnsi="宋体" w:cs="宋体"/>
          <w:sz w:val="24"/>
          <w:szCs w:val="24"/>
        </w:rPr>
        <w:t>3.</w:t>
      </w:r>
      <w:r>
        <w:rPr>
          <w:rFonts w:hint="eastAsia" w:ascii="宋体" w:hAnsi="宋体" w:cs="宋体"/>
          <w:sz w:val="24"/>
          <w:szCs w:val="24"/>
        </w:rPr>
        <w:t>技术、服务文件。</w:t>
      </w:r>
    </w:p>
    <w:p>
      <w:pPr>
        <w:spacing w:line="360" w:lineRule="auto"/>
        <w:rPr>
          <w:rFonts w:ascii="宋体" w:cs="Times New Roman"/>
          <w:b/>
          <w:bCs/>
          <w:kern w:val="0"/>
          <w:sz w:val="24"/>
          <w:szCs w:val="24"/>
        </w:rPr>
      </w:pPr>
      <w:r>
        <w:rPr>
          <w:rFonts w:hint="eastAsia" w:ascii="宋体" w:hAnsi="宋体" w:cs="宋体"/>
          <w:b/>
          <w:bCs/>
          <w:kern w:val="0"/>
          <w:sz w:val="24"/>
          <w:szCs w:val="24"/>
        </w:rPr>
        <w:t>在此，我方宣布同意如下：</w:t>
      </w:r>
    </w:p>
    <w:p>
      <w:pPr>
        <w:spacing w:line="360" w:lineRule="auto"/>
        <w:ind w:left="12" w:leftChars="6" w:firstLine="472" w:firstLineChars="197"/>
        <w:rPr>
          <w:rFonts w:ascii="宋体" w:cs="Times New Roman"/>
          <w:sz w:val="24"/>
          <w:szCs w:val="24"/>
        </w:rPr>
      </w:pPr>
      <w:r>
        <w:rPr>
          <w:rFonts w:ascii="宋体" w:hAnsi="宋体" w:cs="宋体"/>
          <w:sz w:val="24"/>
          <w:szCs w:val="24"/>
        </w:rPr>
        <w:t>1</w:t>
      </w:r>
      <w:r>
        <w:rPr>
          <w:rFonts w:hint="eastAsia" w:ascii="宋体" w:hAnsi="宋体" w:cs="宋体"/>
          <w:sz w:val="24"/>
          <w:szCs w:val="24"/>
        </w:rPr>
        <w:t>．《开标一览表》中规定的应提交和交付的</w:t>
      </w:r>
      <w:r>
        <w:rPr>
          <w:rFonts w:ascii="宋体" w:hAnsi="宋体" w:cs="宋体"/>
          <w:sz w:val="24"/>
          <w:szCs w:val="24"/>
          <w:u w:val="single"/>
        </w:rPr>
        <w:t xml:space="preserve">  </w:t>
      </w:r>
      <w:r>
        <w:rPr>
          <w:rFonts w:hint="eastAsia" w:ascii="宋体" w:hAnsi="宋体" w:cs="宋体"/>
          <w:sz w:val="24"/>
          <w:szCs w:val="24"/>
          <w:u w:val="single"/>
        </w:rPr>
        <w:t>（包号）</w:t>
      </w:r>
      <w:r>
        <w:rPr>
          <w:rFonts w:ascii="宋体" w:hAnsi="宋体" w:cs="宋体"/>
          <w:sz w:val="24"/>
          <w:szCs w:val="24"/>
          <w:u w:val="single"/>
        </w:rPr>
        <w:t xml:space="preserve">  </w:t>
      </w:r>
      <w:r>
        <w:rPr>
          <w:rFonts w:hint="eastAsia" w:ascii="宋体" w:hAnsi="宋体" w:cs="宋体"/>
          <w:sz w:val="24"/>
          <w:szCs w:val="24"/>
        </w:rPr>
        <w:t>货物（工程或服务）投标总价为</w:t>
      </w:r>
      <w:r>
        <w:rPr>
          <w:rFonts w:hint="eastAsia" w:ascii="宋体" w:hAnsi="宋体" w:cs="宋体"/>
          <w:sz w:val="24"/>
          <w:szCs w:val="24"/>
          <w:u w:val="single"/>
        </w:rPr>
        <w:t>（注明币种，并用大写和小写表述投标总价）</w:t>
      </w:r>
      <w:r>
        <w:rPr>
          <w:rFonts w:hint="eastAsia" w:ascii="宋体" w:hAnsi="宋体" w:cs="宋体"/>
          <w:sz w:val="24"/>
          <w:szCs w:val="24"/>
        </w:rPr>
        <w:t>；</w:t>
      </w:r>
    </w:p>
    <w:p>
      <w:pPr>
        <w:spacing w:line="360" w:lineRule="auto"/>
        <w:ind w:left="12" w:leftChars="6" w:firstLine="472" w:firstLineChars="197"/>
        <w:rPr>
          <w:rFonts w:ascii="宋体" w:cs="Times New Roman"/>
          <w:sz w:val="24"/>
          <w:szCs w:val="24"/>
        </w:rPr>
      </w:pPr>
      <w:r>
        <w:rPr>
          <w:rFonts w:ascii="宋体" w:hAnsi="宋体" w:cs="宋体"/>
          <w:sz w:val="24"/>
          <w:szCs w:val="24"/>
        </w:rPr>
        <w:t>2</w:t>
      </w:r>
      <w:r>
        <w:rPr>
          <w:rFonts w:hint="eastAsia" w:ascii="宋体" w:hAnsi="宋体" w:cs="宋体"/>
          <w:sz w:val="24"/>
          <w:szCs w:val="24"/>
        </w:rPr>
        <w:t>．按招标文件的约定履行合同责任和义务；</w:t>
      </w:r>
    </w:p>
    <w:p>
      <w:pPr>
        <w:spacing w:line="360" w:lineRule="auto"/>
        <w:ind w:left="12" w:leftChars="6" w:firstLine="472" w:firstLineChars="197"/>
        <w:rPr>
          <w:rFonts w:ascii="宋体" w:cs="Times New Roman"/>
          <w:sz w:val="24"/>
          <w:szCs w:val="24"/>
        </w:rPr>
      </w:pPr>
      <w:r>
        <w:rPr>
          <w:rFonts w:ascii="宋体" w:hAnsi="宋体" w:cs="宋体"/>
          <w:sz w:val="24"/>
          <w:szCs w:val="24"/>
        </w:rPr>
        <w:t>3</w:t>
      </w:r>
      <w:r>
        <w:rPr>
          <w:rFonts w:hint="eastAsia" w:ascii="宋体" w:hAnsi="宋体" w:cs="宋体"/>
          <w:sz w:val="24"/>
          <w:szCs w:val="24"/>
        </w:rPr>
        <w:t>．已详细审查全部招标文件，包括</w:t>
      </w:r>
      <w:r>
        <w:rPr>
          <w:rFonts w:hint="eastAsia" w:ascii="宋体" w:hAnsi="宋体" w:cs="宋体"/>
          <w:sz w:val="24"/>
          <w:szCs w:val="24"/>
          <w:u w:val="single"/>
        </w:rPr>
        <w:t>（修正或补充文件）（如果有的话）</w:t>
      </w:r>
      <w:r>
        <w:rPr>
          <w:rFonts w:hint="eastAsia" w:ascii="宋体" w:hAnsi="宋体" w:cs="宋体"/>
          <w:sz w:val="24"/>
          <w:szCs w:val="24"/>
        </w:rPr>
        <w:t>，对此无异议；</w:t>
      </w:r>
    </w:p>
    <w:p>
      <w:pPr>
        <w:spacing w:line="360" w:lineRule="auto"/>
        <w:ind w:left="12" w:leftChars="6" w:firstLine="472" w:firstLineChars="197"/>
        <w:rPr>
          <w:rFonts w:ascii="宋体" w:cs="Times New Roman"/>
          <w:sz w:val="24"/>
          <w:szCs w:val="24"/>
        </w:rPr>
      </w:pPr>
      <w:r>
        <w:rPr>
          <w:rFonts w:ascii="宋体" w:hAnsi="宋体" w:cs="宋体"/>
          <w:sz w:val="24"/>
          <w:szCs w:val="24"/>
        </w:rPr>
        <w:t>4</w:t>
      </w:r>
      <w:r>
        <w:rPr>
          <w:rFonts w:hint="eastAsia" w:ascii="宋体" w:hAnsi="宋体" w:cs="宋体"/>
          <w:sz w:val="24"/>
          <w:szCs w:val="24"/>
        </w:rPr>
        <w:t>．投标有效期为自</w:t>
      </w:r>
      <w:r>
        <w:rPr>
          <w:rFonts w:hint="eastAsia" w:ascii="宋体" w:hAnsi="宋体" w:cs="宋体"/>
          <w:kern w:val="0"/>
          <w:sz w:val="24"/>
          <w:szCs w:val="24"/>
        </w:rPr>
        <w:t>递交投标文件截止之日</w:t>
      </w:r>
      <w:r>
        <w:rPr>
          <w:rFonts w:hint="eastAsia" w:ascii="宋体" w:hAnsi="宋体" w:cs="宋体"/>
          <w:sz w:val="24"/>
          <w:szCs w:val="24"/>
        </w:rPr>
        <w:t>起，共个日历日；</w:t>
      </w:r>
    </w:p>
    <w:p>
      <w:pPr>
        <w:spacing w:line="360" w:lineRule="auto"/>
        <w:ind w:left="12" w:leftChars="6" w:firstLine="472" w:firstLineChars="197"/>
        <w:rPr>
          <w:rFonts w:ascii="宋体" w:cs="Times New Roman"/>
          <w:sz w:val="24"/>
          <w:szCs w:val="24"/>
        </w:rPr>
      </w:pPr>
      <w:r>
        <w:rPr>
          <w:rFonts w:ascii="宋体" w:hAnsi="宋体" w:cs="宋体"/>
          <w:sz w:val="24"/>
          <w:szCs w:val="24"/>
        </w:rPr>
        <w:t>5</w:t>
      </w:r>
      <w:r>
        <w:rPr>
          <w:rFonts w:hint="eastAsia" w:ascii="宋体" w:hAnsi="宋体" w:cs="宋体"/>
          <w:sz w:val="24"/>
          <w:szCs w:val="24"/>
        </w:rPr>
        <w:t>．接受招标文件关于不予退还投标保证金的约定；</w:t>
      </w:r>
    </w:p>
    <w:p>
      <w:pPr>
        <w:spacing w:line="360" w:lineRule="auto"/>
        <w:ind w:left="12" w:leftChars="6" w:firstLine="472" w:firstLineChars="197"/>
        <w:rPr>
          <w:rFonts w:ascii="宋体" w:cs="Times New Roman"/>
          <w:sz w:val="24"/>
          <w:szCs w:val="24"/>
        </w:rPr>
      </w:pPr>
      <w:r>
        <w:rPr>
          <w:rFonts w:ascii="宋体" w:hAnsi="宋体" w:cs="宋体"/>
          <w:sz w:val="24"/>
          <w:szCs w:val="24"/>
        </w:rPr>
        <w:t>6</w:t>
      </w:r>
      <w:r>
        <w:rPr>
          <w:rFonts w:hint="eastAsia" w:ascii="宋体" w:hAnsi="宋体" w:cs="宋体"/>
          <w:sz w:val="24"/>
          <w:szCs w:val="24"/>
        </w:rPr>
        <w:t>．提供按照贵方可能要求的与投标有关的一切数据或资料；</w:t>
      </w:r>
    </w:p>
    <w:p>
      <w:pPr>
        <w:spacing w:line="360" w:lineRule="auto"/>
        <w:ind w:left="12" w:leftChars="6" w:firstLine="472" w:firstLineChars="197"/>
        <w:rPr>
          <w:rFonts w:ascii="宋体" w:cs="Times New Roman"/>
          <w:sz w:val="24"/>
          <w:szCs w:val="24"/>
        </w:rPr>
      </w:pPr>
      <w:r>
        <w:rPr>
          <w:rFonts w:ascii="宋体" w:hAnsi="宋体" w:cs="宋体"/>
          <w:sz w:val="24"/>
          <w:szCs w:val="24"/>
        </w:rPr>
        <w:t>7</w:t>
      </w:r>
      <w:r>
        <w:rPr>
          <w:rFonts w:hint="eastAsia" w:ascii="宋体" w:hAnsi="宋体" w:cs="宋体"/>
          <w:sz w:val="24"/>
          <w:szCs w:val="24"/>
        </w:rPr>
        <w:t>．与投标有关的一切正式往来信函请寄：。</w:t>
      </w:r>
    </w:p>
    <w:p>
      <w:pPr>
        <w:autoSpaceDE w:val="0"/>
        <w:autoSpaceDN w:val="0"/>
        <w:adjustRightInd w:val="0"/>
        <w:spacing w:line="400" w:lineRule="exact"/>
        <w:ind w:right="246" w:firstLine="480" w:firstLineChars="200"/>
        <w:rPr>
          <w:rFonts w:ascii="宋体" w:cs="Times New Roman"/>
          <w:kern w:val="0"/>
          <w:sz w:val="24"/>
          <w:szCs w:val="24"/>
        </w:rPr>
      </w:pPr>
    </w:p>
    <w:p>
      <w:pPr>
        <w:spacing w:line="360" w:lineRule="auto"/>
        <w:ind w:left="12" w:leftChars="6" w:firstLine="472" w:firstLineChars="197"/>
        <w:rPr>
          <w:rFonts w:ascii="宋体" w:cs="Times New Roman"/>
          <w:sz w:val="24"/>
          <w:szCs w:val="24"/>
        </w:rPr>
      </w:pPr>
      <w:r>
        <w:rPr>
          <w:rFonts w:hint="eastAsia" w:ascii="宋体" w:hAnsi="宋体" w:cs="宋体"/>
          <w:sz w:val="24"/>
          <w:szCs w:val="24"/>
        </w:rPr>
        <w:t>投标人：</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电话</w:t>
      </w:r>
      <w:r>
        <w:rPr>
          <w:rFonts w:ascii="宋体" w:hAnsi="宋体" w:cs="宋体"/>
          <w:sz w:val="24"/>
          <w:szCs w:val="24"/>
        </w:rPr>
        <w:t>/</w:t>
      </w:r>
      <w:r>
        <w:rPr>
          <w:rFonts w:hint="eastAsia" w:ascii="宋体" w:hAnsi="宋体" w:cs="宋体"/>
          <w:sz w:val="24"/>
          <w:szCs w:val="24"/>
        </w:rPr>
        <w:t>传真：</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电子邮件：</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公章</w:t>
      </w:r>
      <w:r>
        <w:rPr>
          <w:rFonts w:ascii="宋体" w:hAnsi="宋体" w:cs="宋体"/>
          <w:sz w:val="24"/>
          <w:szCs w:val="24"/>
        </w:rPr>
        <w:t>)</w:t>
      </w:r>
      <w:r>
        <w:rPr>
          <w:rFonts w:hint="eastAsia" w:ascii="宋体" w:hAnsi="宋体" w:cs="宋体"/>
          <w:sz w:val="24"/>
          <w:szCs w:val="24"/>
        </w:rPr>
        <w:t>：</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投标人授权代表（签字）：</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开户银行：</w:t>
      </w:r>
    </w:p>
    <w:p>
      <w:pPr>
        <w:spacing w:line="360" w:lineRule="auto"/>
        <w:ind w:left="12" w:leftChars="6" w:firstLine="472" w:firstLineChars="197"/>
        <w:rPr>
          <w:rFonts w:ascii="宋体" w:cs="Times New Roman"/>
          <w:sz w:val="24"/>
          <w:szCs w:val="24"/>
        </w:rPr>
      </w:pPr>
      <w:r>
        <w:rPr>
          <w:rFonts w:hint="eastAsia" w:ascii="宋体" w:hAnsi="宋体" w:cs="宋体"/>
          <w:sz w:val="24"/>
          <w:szCs w:val="24"/>
        </w:rPr>
        <w:t>帐号</w:t>
      </w:r>
      <w:r>
        <w:rPr>
          <w:rFonts w:ascii="宋体" w:hAnsi="宋体" w:cs="宋体"/>
          <w:sz w:val="24"/>
          <w:szCs w:val="24"/>
        </w:rPr>
        <w:t>/</w:t>
      </w:r>
      <w:r>
        <w:rPr>
          <w:rFonts w:hint="eastAsia" w:ascii="宋体" w:hAnsi="宋体" w:cs="宋体"/>
          <w:sz w:val="24"/>
          <w:szCs w:val="24"/>
        </w:rPr>
        <w:t>行号：</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148" w:name="_Toc494665555"/>
      <w:bookmarkStart w:id="149" w:name="_Toc494665952"/>
      <w:bookmarkStart w:id="150" w:name="_Toc494665002"/>
      <w:bookmarkStart w:id="151" w:name="_Toc494702272"/>
      <w:bookmarkStart w:id="152" w:name="_Toc495861551"/>
      <w:bookmarkStart w:id="153" w:name="_Toc494745319"/>
      <w:bookmarkStart w:id="154" w:name="_Toc494721102"/>
      <w:bookmarkStart w:id="155" w:name="_Toc509323143"/>
      <w:r>
        <w:rPr>
          <w:rFonts w:hint="eastAsia" w:ascii="宋体" w:hAnsi="宋体" w:cs="宋体"/>
        </w:rPr>
        <w:t>制造商中小企业声明函</w:t>
      </w:r>
      <w:bookmarkEnd w:id="148"/>
      <w:bookmarkEnd w:id="149"/>
      <w:bookmarkEnd w:id="150"/>
      <w:bookmarkEnd w:id="151"/>
      <w:bookmarkEnd w:id="152"/>
      <w:bookmarkEnd w:id="153"/>
      <w:bookmarkEnd w:id="154"/>
      <w:bookmarkEnd w:id="155"/>
    </w:p>
    <w:p>
      <w:pPr>
        <w:adjustRightInd w:val="0"/>
        <w:snapToGrid w:val="0"/>
        <w:jc w:val="center"/>
        <w:rPr>
          <w:rFonts w:ascii="宋体" w:cs="Times New Roman"/>
          <w:b/>
          <w:bCs/>
          <w:sz w:val="30"/>
          <w:szCs w:val="30"/>
          <w:lang w:val="zh-CN"/>
        </w:rPr>
      </w:pPr>
      <w:r>
        <w:rPr>
          <w:rFonts w:hint="eastAsia" w:ascii="宋体" w:hAnsi="宋体" w:cs="宋体"/>
          <w:b/>
          <w:bCs/>
          <w:sz w:val="30"/>
          <w:szCs w:val="30"/>
          <w:lang w:val="zh-CN"/>
        </w:rPr>
        <w:t>制造商中小企业声明函</w:t>
      </w:r>
    </w:p>
    <w:p>
      <w:pPr>
        <w:adjustRightInd w:val="0"/>
        <w:snapToGrid w:val="0"/>
        <w:spacing w:before="156" w:beforeLines="50" w:after="156" w:afterLines="50"/>
        <w:jc w:val="center"/>
        <w:rPr>
          <w:rFonts w:ascii="宋体" w:hAnsi="Courier New" w:cs="Times New Roman"/>
          <w:sz w:val="24"/>
          <w:szCs w:val="24"/>
          <w:lang w:val="zh-CN"/>
        </w:rPr>
      </w:pPr>
      <w:r>
        <w:rPr>
          <w:rFonts w:hint="eastAsia" w:ascii="宋体" w:hAnsi="Courier New" w:cs="宋体"/>
          <w:sz w:val="24"/>
          <w:szCs w:val="24"/>
          <w:lang w:val="zh-CN"/>
        </w:rPr>
        <w:t>（适用于货物类项目）</w:t>
      </w:r>
    </w:p>
    <w:p>
      <w:pPr>
        <w:spacing w:line="360" w:lineRule="auto"/>
        <w:rPr>
          <w:rFonts w:cs="Times New Roman"/>
          <w:b/>
          <w:bCs/>
          <w:sz w:val="28"/>
          <w:szCs w:val="28"/>
        </w:rPr>
      </w:pPr>
      <w:r>
        <w:rPr>
          <w:rFonts w:hint="eastAsia" w:cs="宋体"/>
          <w:b/>
          <w:bCs/>
          <w:sz w:val="28"/>
          <w:szCs w:val="28"/>
        </w:rPr>
        <w:t>采购人（或采购代理公司）：</w:t>
      </w:r>
    </w:p>
    <w:p>
      <w:pPr>
        <w:spacing w:line="360" w:lineRule="auto"/>
        <w:ind w:firstLine="475" w:firstLineChars="198"/>
        <w:jc w:val="left"/>
        <w:rPr>
          <w:rFonts w:ascii="宋体" w:cs="Times New Roman"/>
          <w:sz w:val="24"/>
          <w:szCs w:val="24"/>
          <w:lang w:val="zh-CN"/>
        </w:rPr>
      </w:pPr>
      <w:r>
        <w:rPr>
          <w:rFonts w:hint="eastAsia" w:ascii="宋体" w:hAnsi="宋体" w:cs="宋体"/>
          <w:sz w:val="24"/>
          <w:szCs w:val="24"/>
          <w:lang w:val="zh-CN"/>
        </w:rPr>
        <w:t>本公司郑重声明，根据《政府采购促进中小企业发展暂行办法》（财库〔</w:t>
      </w:r>
      <w:r>
        <w:rPr>
          <w:rFonts w:ascii="宋体" w:hAnsi="宋体" w:cs="宋体"/>
          <w:sz w:val="24"/>
          <w:szCs w:val="24"/>
          <w:lang w:val="zh-CN"/>
        </w:rPr>
        <w:t>2011</w:t>
      </w:r>
      <w:r>
        <w:rPr>
          <w:rFonts w:hint="eastAsia" w:ascii="宋体" w:hAnsi="宋体" w:cs="宋体"/>
          <w:sz w:val="24"/>
          <w:szCs w:val="24"/>
          <w:lang w:val="zh-CN"/>
        </w:rPr>
        <w:t>〕</w:t>
      </w:r>
      <w:r>
        <w:rPr>
          <w:rFonts w:ascii="宋体" w:hAnsi="宋体" w:cs="宋体"/>
          <w:sz w:val="24"/>
          <w:szCs w:val="24"/>
          <w:lang w:val="zh-CN"/>
        </w:rPr>
        <w:t>181</w:t>
      </w:r>
      <w:r>
        <w:rPr>
          <w:rFonts w:hint="eastAsia" w:ascii="宋体" w:hAnsi="宋体" w:cs="宋体"/>
          <w:sz w:val="24"/>
          <w:szCs w:val="24"/>
          <w:lang w:val="zh-CN"/>
        </w:rPr>
        <w:t>号）的规定，本公司为</w:t>
      </w:r>
      <w:r>
        <w:rPr>
          <w:rFonts w:ascii="宋体" w:hAnsi="宋体" w:cs="宋体"/>
          <w:sz w:val="24"/>
          <w:szCs w:val="24"/>
          <w:lang w:val="zh-CN"/>
        </w:rPr>
        <w:t>______</w:t>
      </w:r>
      <w:r>
        <w:rPr>
          <w:rFonts w:hint="eastAsia" w:ascii="宋体" w:hAnsi="宋体" w:cs="宋体"/>
          <w:sz w:val="24"/>
          <w:szCs w:val="24"/>
          <w:lang w:val="zh-CN"/>
        </w:rPr>
        <w:t>（请填写：中型、小型、微型）企业。本公司同时满足以下条件：</w:t>
      </w:r>
    </w:p>
    <w:p>
      <w:pPr>
        <w:spacing w:line="360" w:lineRule="auto"/>
        <w:ind w:firstLine="475" w:firstLineChars="198"/>
        <w:jc w:val="left"/>
        <w:rPr>
          <w:rFonts w:ascii="宋体" w:cs="Times New Roman"/>
          <w:sz w:val="24"/>
          <w:szCs w:val="24"/>
          <w:lang w:val="zh-CN"/>
        </w:rPr>
      </w:pPr>
      <w:r>
        <w:rPr>
          <w:rFonts w:ascii="宋体" w:hAnsi="宋体" w:cs="宋体"/>
          <w:sz w:val="24"/>
          <w:szCs w:val="24"/>
          <w:lang w:val="zh-CN"/>
        </w:rPr>
        <w:t>1.</w:t>
      </w:r>
      <w:r>
        <w:rPr>
          <w:rFonts w:hint="eastAsia" w:ascii="宋体" w:hAnsi="宋体" w:cs="宋体"/>
          <w:sz w:val="24"/>
          <w:szCs w:val="24"/>
          <w:lang w:val="zh-CN"/>
        </w:rPr>
        <w:t>根据《工业和信息化部、国家统计局、国家发展和改革委员会、财政部关于印发中小企业划型标准规定的通知》（工信部联企业〔</w:t>
      </w:r>
      <w:r>
        <w:rPr>
          <w:rFonts w:ascii="宋体" w:hAnsi="宋体" w:cs="宋体"/>
          <w:sz w:val="24"/>
          <w:szCs w:val="24"/>
          <w:lang w:val="zh-CN"/>
        </w:rPr>
        <w:t>2011</w:t>
      </w:r>
      <w:r>
        <w:rPr>
          <w:rFonts w:hint="eastAsia" w:ascii="宋体" w:hAnsi="宋体" w:cs="宋体"/>
          <w:sz w:val="24"/>
          <w:szCs w:val="24"/>
          <w:lang w:val="zh-CN"/>
        </w:rPr>
        <w:t>〕</w:t>
      </w:r>
      <w:r>
        <w:rPr>
          <w:rFonts w:ascii="宋体" w:hAnsi="宋体" w:cs="宋体"/>
          <w:sz w:val="24"/>
          <w:szCs w:val="24"/>
          <w:lang w:val="zh-CN"/>
        </w:rPr>
        <w:t>300</w:t>
      </w:r>
      <w:r>
        <w:rPr>
          <w:rFonts w:hint="eastAsia" w:ascii="宋体" w:hAnsi="宋体" w:cs="宋体"/>
          <w:sz w:val="24"/>
          <w:szCs w:val="24"/>
          <w:lang w:val="zh-CN"/>
        </w:rPr>
        <w:t>号）规定的划分标准</w:t>
      </w:r>
      <w:r>
        <w:rPr>
          <w:rFonts w:hint="eastAsia" w:hAnsi="宋体" w:cs="宋体"/>
          <w:sz w:val="24"/>
          <w:szCs w:val="24"/>
        </w:rPr>
        <w:t>（详见《中小企业划型标准》）</w:t>
      </w:r>
      <w:r>
        <w:rPr>
          <w:rFonts w:hint="eastAsia" w:ascii="宋体" w:hAnsi="宋体" w:cs="宋体"/>
          <w:sz w:val="24"/>
          <w:szCs w:val="24"/>
          <w:lang w:val="zh-CN"/>
        </w:rPr>
        <w:t>，本公司为</w:t>
      </w:r>
      <w:r>
        <w:rPr>
          <w:rFonts w:ascii="宋体" w:hAnsi="宋体" w:cs="宋体"/>
          <w:sz w:val="24"/>
          <w:szCs w:val="24"/>
          <w:lang w:val="zh-CN"/>
        </w:rPr>
        <w:t>______</w:t>
      </w:r>
      <w:r>
        <w:rPr>
          <w:rFonts w:hint="eastAsia" w:ascii="宋体" w:hAnsi="宋体" w:cs="宋体"/>
          <w:sz w:val="24"/>
          <w:szCs w:val="24"/>
          <w:lang w:val="zh-CN"/>
        </w:rPr>
        <w:t>（请填写：中型、小型、微型）企业。</w:t>
      </w:r>
    </w:p>
    <w:p>
      <w:pPr>
        <w:spacing w:line="360" w:lineRule="auto"/>
        <w:ind w:firstLine="475" w:firstLineChars="198"/>
        <w:jc w:val="left"/>
        <w:rPr>
          <w:rFonts w:ascii="宋体" w:cs="Times New Roman"/>
          <w:sz w:val="24"/>
          <w:szCs w:val="24"/>
          <w:lang w:val="zh-CN"/>
        </w:rPr>
      </w:pPr>
      <w:r>
        <w:rPr>
          <w:rFonts w:ascii="宋体" w:hAnsi="宋体" w:cs="宋体"/>
          <w:sz w:val="24"/>
          <w:szCs w:val="24"/>
          <w:lang w:val="zh-CN"/>
        </w:rPr>
        <w:t>2.</w:t>
      </w:r>
      <w:r>
        <w:rPr>
          <w:rFonts w:hint="eastAsia" w:ascii="宋体" w:hAnsi="宋体" w:cs="宋体"/>
          <w:sz w:val="24"/>
          <w:szCs w:val="24"/>
          <w:lang w:val="zh-CN"/>
        </w:rPr>
        <w:t>本公司授权</w:t>
      </w:r>
      <w:r>
        <w:rPr>
          <w:rFonts w:ascii="宋体" w:hAnsi="宋体" w:cs="宋体"/>
          <w:sz w:val="24"/>
          <w:szCs w:val="24"/>
          <w:u w:val="single"/>
          <w:lang w:val="zh-CN"/>
        </w:rPr>
        <w:t xml:space="preserve">  </w:t>
      </w:r>
      <w:r>
        <w:rPr>
          <w:rFonts w:hint="eastAsia" w:ascii="宋体" w:hAnsi="宋体" w:cs="宋体"/>
          <w:sz w:val="24"/>
          <w:szCs w:val="24"/>
          <w:u w:val="single"/>
          <w:lang w:val="zh-CN"/>
        </w:rPr>
        <w:t>（投标人）</w:t>
      </w:r>
      <w:r>
        <w:rPr>
          <w:rFonts w:ascii="宋体" w:hAnsi="宋体" w:cs="宋体"/>
          <w:sz w:val="24"/>
          <w:szCs w:val="24"/>
          <w:u w:val="single"/>
          <w:lang w:val="zh-CN"/>
        </w:rPr>
        <w:t xml:space="preserve">  </w:t>
      </w:r>
      <w:r>
        <w:rPr>
          <w:rFonts w:hint="eastAsia" w:ascii="宋体" w:hAnsi="宋体" w:cs="宋体"/>
          <w:sz w:val="24"/>
          <w:szCs w:val="24"/>
          <w:lang w:val="zh-CN"/>
        </w:rPr>
        <w:t>参加</w:t>
      </w:r>
      <w:r>
        <w:rPr>
          <w:rFonts w:ascii="宋体" w:hAnsi="宋体" w:cs="宋体"/>
          <w:sz w:val="24"/>
          <w:szCs w:val="24"/>
          <w:lang w:val="zh-CN"/>
        </w:rPr>
        <w:t>_</w:t>
      </w:r>
      <w:r>
        <w:rPr>
          <w:rFonts w:ascii="宋体" w:hAnsi="宋体" w:cs="宋体"/>
          <w:sz w:val="24"/>
          <w:szCs w:val="24"/>
          <w:u w:val="single"/>
          <w:lang w:val="zh-CN"/>
        </w:rPr>
        <w:t>_</w:t>
      </w:r>
      <w:r>
        <w:rPr>
          <w:rFonts w:hint="eastAsia" w:ascii="宋体" w:hAnsi="宋体" w:cs="宋体"/>
          <w:sz w:val="24"/>
          <w:szCs w:val="24"/>
          <w:u w:val="single"/>
          <w:lang w:val="zh-CN"/>
        </w:rPr>
        <w:t>（采购人）</w:t>
      </w:r>
      <w:r>
        <w:rPr>
          <w:rFonts w:ascii="宋体" w:hAnsi="宋体" w:cs="宋体"/>
          <w:sz w:val="24"/>
          <w:szCs w:val="24"/>
          <w:u w:val="single"/>
          <w:lang w:val="zh-CN"/>
        </w:rPr>
        <w:t>_</w:t>
      </w:r>
      <w:r>
        <w:rPr>
          <w:rFonts w:hint="eastAsia" w:ascii="宋体" w:hAnsi="宋体" w:cs="宋体"/>
          <w:sz w:val="24"/>
          <w:szCs w:val="24"/>
          <w:lang w:val="zh-CN"/>
        </w:rPr>
        <w:t>的</w:t>
      </w:r>
      <w:r>
        <w:rPr>
          <w:rFonts w:ascii="宋体" w:hAnsi="宋体" w:cs="宋体"/>
          <w:sz w:val="24"/>
          <w:szCs w:val="24"/>
          <w:lang w:val="zh-CN"/>
        </w:rPr>
        <w:t>__</w:t>
      </w:r>
      <w:r>
        <w:rPr>
          <w:rFonts w:ascii="宋体" w:hAnsi="宋体" w:cs="宋体"/>
          <w:sz w:val="24"/>
          <w:szCs w:val="24"/>
          <w:u w:val="single"/>
          <w:lang w:val="zh-CN"/>
        </w:rPr>
        <w:t>__</w:t>
      </w:r>
      <w:r>
        <w:rPr>
          <w:rFonts w:hint="eastAsia" w:ascii="宋体" w:hAnsi="宋体" w:cs="宋体"/>
          <w:sz w:val="24"/>
          <w:szCs w:val="24"/>
          <w:lang w:val="zh-CN"/>
        </w:rPr>
        <w:t>项目（项目编号：</w:t>
      </w:r>
      <w:r>
        <w:rPr>
          <w:rFonts w:ascii="宋体" w:hAnsi="宋体" w:cs="宋体"/>
          <w:sz w:val="24"/>
          <w:szCs w:val="24"/>
          <w:lang w:val="zh-CN"/>
        </w:rPr>
        <w:t>_____</w:t>
      </w:r>
      <w:r>
        <w:rPr>
          <w:rFonts w:hint="eastAsia" w:ascii="宋体" w:hAnsi="宋体" w:cs="宋体"/>
          <w:sz w:val="24"/>
          <w:szCs w:val="24"/>
          <w:lang w:val="zh-CN"/>
        </w:rPr>
        <w:t>）采购活动提供本企业制造的货物。本条所称货物不包括使用大型企业注册商标的货物。</w:t>
      </w:r>
    </w:p>
    <w:p>
      <w:pPr>
        <w:spacing w:line="360" w:lineRule="auto"/>
        <w:ind w:firstLine="480" w:firstLineChars="200"/>
        <w:rPr>
          <w:rFonts w:ascii="宋体" w:cs="Times New Roman"/>
          <w:sz w:val="24"/>
          <w:szCs w:val="24"/>
        </w:rPr>
      </w:pPr>
      <w:r>
        <w:rPr>
          <w:rFonts w:ascii="宋体" w:hAnsi="宋体" w:cs="宋体"/>
          <w:sz w:val="24"/>
          <w:szCs w:val="24"/>
          <w:lang w:val="zh-CN"/>
        </w:rPr>
        <w:t>3</w:t>
      </w:r>
      <w:r>
        <w:rPr>
          <w:rFonts w:ascii="宋体" w:cs="宋体"/>
          <w:sz w:val="24"/>
          <w:szCs w:val="24"/>
        </w:rPr>
        <w:t>.</w:t>
      </w:r>
      <w:r>
        <w:rPr>
          <w:rFonts w:hint="eastAsia" w:ascii="宋体" w:hAnsi="宋体" w:cs="宋体"/>
          <w:sz w:val="24"/>
          <w:szCs w:val="24"/>
        </w:rPr>
        <w:t>由本公司制造的货物清单见下表：</w:t>
      </w:r>
    </w:p>
    <w:tbl>
      <w:tblPr>
        <w:tblStyle w:val="21"/>
        <w:tblW w:w="95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序号</w:t>
            </w:r>
          </w:p>
        </w:tc>
        <w:tc>
          <w:tcPr>
            <w:tcW w:w="2414"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名称</w:t>
            </w:r>
          </w:p>
        </w:tc>
        <w:tc>
          <w:tcPr>
            <w:tcW w:w="1224"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品牌规格型号</w:t>
            </w:r>
          </w:p>
        </w:tc>
        <w:tc>
          <w:tcPr>
            <w:tcW w:w="907"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数量</w:t>
            </w:r>
          </w:p>
        </w:tc>
        <w:tc>
          <w:tcPr>
            <w:tcW w:w="1278" w:type="dxa"/>
            <w:vAlign w:val="center"/>
          </w:tcPr>
          <w:p>
            <w:pPr>
              <w:spacing w:line="360" w:lineRule="auto"/>
              <w:ind w:left="-48" w:leftChars="-23" w:right="-65" w:rightChars="-31"/>
              <w:jc w:val="center"/>
              <w:rPr>
                <w:rFonts w:ascii="宋体" w:hAnsi="宋体" w:cs="宋体"/>
                <w:kern w:val="0"/>
                <w:sz w:val="24"/>
                <w:szCs w:val="24"/>
              </w:rPr>
            </w:pPr>
            <w:r>
              <w:rPr>
                <w:rFonts w:hint="eastAsia" w:ascii="宋体" w:hAnsi="宋体" w:cs="宋体"/>
                <w:kern w:val="0"/>
                <w:sz w:val="24"/>
                <w:szCs w:val="24"/>
              </w:rPr>
              <w:t>单价</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c>
          <w:tcPr>
            <w:tcW w:w="1843" w:type="dxa"/>
            <w:vAlign w:val="center"/>
          </w:tcPr>
          <w:p>
            <w:pPr>
              <w:spacing w:line="360" w:lineRule="auto"/>
              <w:ind w:left="-48" w:leftChars="-23" w:right="-65" w:rightChars="-31"/>
              <w:jc w:val="center"/>
              <w:rPr>
                <w:rFonts w:ascii="宋体" w:hAnsi="宋体" w:cs="宋体"/>
                <w:kern w:val="0"/>
                <w:sz w:val="24"/>
                <w:szCs w:val="24"/>
              </w:rPr>
            </w:pPr>
            <w:r>
              <w:rPr>
                <w:rFonts w:hint="eastAsia" w:ascii="宋体" w:hAnsi="宋体" w:cs="宋体"/>
                <w:kern w:val="0"/>
                <w:sz w:val="24"/>
                <w:szCs w:val="24"/>
              </w:rPr>
              <w:t>分项合计</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c>
          <w:tcPr>
            <w:tcW w:w="1228"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2"/>
              </w:numPr>
              <w:tabs>
                <w:tab w:val="left" w:pos="82"/>
              </w:tabs>
              <w:adjustRightInd w:val="0"/>
              <w:snapToGrid w:val="0"/>
              <w:ind w:left="-2" w:firstLine="2"/>
              <w:jc w:val="center"/>
              <w:rPr>
                <w:rFonts w:ascii="宋体" w:cs="Times New Roman"/>
                <w:sz w:val="24"/>
                <w:szCs w:val="24"/>
              </w:rPr>
            </w:pP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375" w:rightChars="-179"/>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2"/>
              </w:numPr>
              <w:tabs>
                <w:tab w:val="left" w:pos="82"/>
              </w:tabs>
              <w:adjustRightInd w:val="0"/>
              <w:snapToGrid w:val="0"/>
              <w:ind w:left="-2" w:firstLine="2"/>
              <w:jc w:val="center"/>
              <w:rPr>
                <w:rFonts w:ascii="宋体" w:cs="Times New Roman"/>
                <w:sz w:val="24"/>
                <w:szCs w:val="24"/>
              </w:rPr>
            </w:pP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65" w:rightChars="-31"/>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s="Times New Roman"/>
                <w:sz w:val="24"/>
                <w:szCs w:val="24"/>
              </w:rPr>
            </w:pPr>
            <w:r>
              <w:rPr>
                <w:rFonts w:hint="eastAsia" w:ascii="宋体" w:hAnsi="宋体" w:cs="宋体"/>
                <w:sz w:val="24"/>
                <w:szCs w:val="24"/>
              </w:rPr>
              <w:t>…</w:t>
            </w: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65" w:rightChars="-31"/>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合计</w:t>
            </w:r>
          </w:p>
        </w:tc>
        <w:tc>
          <w:tcPr>
            <w:tcW w:w="3071" w:type="dxa"/>
            <w:gridSpan w:val="2"/>
            <w:vAlign w:val="center"/>
          </w:tcPr>
          <w:p>
            <w:pPr>
              <w:spacing w:line="240" w:lineRule="atLeast"/>
              <w:ind w:left="-48" w:leftChars="-23" w:right="-65" w:rightChars="-31"/>
              <w:jc w:val="left"/>
              <w:rPr>
                <w:rFonts w:ascii="宋体" w:cs="Times New Roman"/>
                <w:kern w:val="0"/>
                <w:sz w:val="24"/>
                <w:szCs w:val="24"/>
              </w:rPr>
            </w:pPr>
          </w:p>
        </w:tc>
      </w:tr>
    </w:tbl>
    <w:p>
      <w:pPr>
        <w:spacing w:before="156" w:beforeLines="50" w:line="360" w:lineRule="auto"/>
        <w:ind w:firstLine="475" w:firstLineChars="198"/>
        <w:jc w:val="left"/>
        <w:rPr>
          <w:rFonts w:ascii="宋体" w:cs="Times New Roman"/>
          <w:sz w:val="24"/>
          <w:szCs w:val="24"/>
          <w:lang w:val="zh-CN"/>
        </w:rPr>
      </w:pPr>
      <w:r>
        <w:rPr>
          <w:rFonts w:hint="eastAsia" w:ascii="宋体" w:hAnsi="宋体" w:cs="宋体"/>
          <w:sz w:val="24"/>
          <w:szCs w:val="24"/>
          <w:lang w:val="zh-CN"/>
        </w:rPr>
        <w:t>本公司对上述声明的真实性负责。如有虚假，将依法承担相应责任。</w:t>
      </w:r>
    </w:p>
    <w:p>
      <w:pPr>
        <w:pStyle w:val="11"/>
        <w:spacing w:line="360" w:lineRule="auto"/>
        <w:ind w:left="960" w:hanging="960" w:hangingChars="400"/>
        <w:jc w:val="left"/>
        <w:rPr>
          <w:rFonts w:hAnsi="宋体" w:cs="Times New Roman"/>
          <w:sz w:val="24"/>
          <w:szCs w:val="24"/>
        </w:rPr>
      </w:pPr>
      <w:r>
        <w:rPr>
          <w:rFonts w:hint="eastAsia" w:hAnsi="宋体"/>
          <w:sz w:val="24"/>
          <w:szCs w:val="24"/>
        </w:rPr>
        <w:t>说明：</w:t>
      </w:r>
      <w:r>
        <w:rPr>
          <w:rFonts w:hAnsi="宋体"/>
          <w:sz w:val="24"/>
          <w:szCs w:val="24"/>
        </w:rPr>
        <w:t>1</w:t>
      </w:r>
      <w:r>
        <w:rPr>
          <w:rFonts w:hint="eastAsia" w:hAnsi="宋体"/>
          <w:sz w:val="24"/>
          <w:szCs w:val="24"/>
        </w:rPr>
        <w:t>、投标人所投货物为自己制造的，也应按本声明函格式填写。</w:t>
      </w:r>
    </w:p>
    <w:p>
      <w:pPr>
        <w:pStyle w:val="11"/>
        <w:spacing w:line="360" w:lineRule="auto"/>
        <w:ind w:left="958" w:leftChars="342" w:hanging="240" w:hangingChars="100"/>
        <w:jc w:val="left"/>
        <w:rPr>
          <w:rFonts w:hAnsi="宋体" w:cs="Times New Roman"/>
          <w:sz w:val="24"/>
          <w:szCs w:val="24"/>
        </w:rPr>
      </w:pPr>
      <w:r>
        <w:rPr>
          <w:rFonts w:hAnsi="宋体"/>
          <w:sz w:val="24"/>
          <w:szCs w:val="24"/>
        </w:rPr>
        <w:t>2</w:t>
      </w:r>
      <w:r>
        <w:rPr>
          <w:rFonts w:hint="eastAsia" w:hAnsi="宋体"/>
          <w:sz w:val="24"/>
          <w:szCs w:val="24"/>
        </w:rPr>
        <w:t>、组成联合体的大中型企业和其他自然人、法人或者其他组织，与小型、微型企业之间不得存在投资关系。</w:t>
      </w:r>
    </w:p>
    <w:p>
      <w:pPr>
        <w:pStyle w:val="11"/>
        <w:spacing w:line="360" w:lineRule="auto"/>
        <w:ind w:left="958" w:leftChars="342" w:hanging="240" w:hangingChars="100"/>
        <w:jc w:val="left"/>
        <w:rPr>
          <w:rFonts w:hAnsi="宋体" w:cs="Times New Roman"/>
          <w:sz w:val="24"/>
          <w:szCs w:val="24"/>
        </w:rPr>
      </w:pPr>
      <w:r>
        <w:rPr>
          <w:rFonts w:hAnsi="宋体"/>
          <w:sz w:val="24"/>
          <w:szCs w:val="24"/>
        </w:rPr>
        <w:t>3</w:t>
      </w:r>
      <w:r>
        <w:rPr>
          <w:rFonts w:hint="eastAsia" w:hAnsi="宋体"/>
          <w:sz w:val="24"/>
          <w:szCs w:val="24"/>
        </w:rPr>
        <w:t>、如以联合体方式参与本项目投标的供应商，则应由联合体双方签字盖章。</w:t>
      </w: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制造商（公章）：</w:t>
      </w: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制造商法定代表人（签字或盖章）：</w:t>
      </w:r>
    </w:p>
    <w:p>
      <w:pPr>
        <w:spacing w:before="100" w:beforeAutospacing="1" w:after="100" w:afterAutospacing="1" w:line="360" w:lineRule="auto"/>
        <w:ind w:firstLine="3316" w:firstLineChars="1382"/>
        <w:rPr>
          <w:rFonts w:cs="Times New Roman"/>
        </w:rPr>
      </w:pPr>
      <w:r>
        <w:rPr>
          <w:rFonts w:hint="eastAsia" w:ascii="Times New Roman" w:hAnsi="宋体" w:cs="宋体"/>
          <w:b/>
          <w:bCs/>
          <w:sz w:val="24"/>
          <w:szCs w:val="24"/>
        </w:rPr>
        <w:t>日</w:t>
      </w:r>
      <w:r>
        <w:rPr>
          <w:rFonts w:ascii="Times New Roman" w:hAnsi="宋体" w:cs="Times New Roman"/>
          <w:b/>
          <w:bCs/>
          <w:sz w:val="24"/>
          <w:szCs w:val="24"/>
        </w:rPr>
        <w:t>   </w:t>
      </w:r>
      <w:r>
        <w:rPr>
          <w:rFonts w:hint="eastAsia" w:ascii="Times New Roman" w:hAnsi="宋体" w:cs="宋体"/>
          <w:b/>
          <w:bCs/>
          <w:sz w:val="24"/>
          <w:szCs w:val="24"/>
        </w:rPr>
        <w:t>期：</w:t>
      </w:r>
    </w:p>
    <w:p>
      <w:pPr>
        <w:pStyle w:val="4"/>
        <w:numPr>
          <w:ilvl w:val="0"/>
          <w:numId w:val="41"/>
        </w:numPr>
        <w:spacing w:before="100" w:beforeAutospacing="1" w:after="156" w:afterLines="50" w:line="360" w:lineRule="auto"/>
        <w:ind w:left="1288" w:hanging="1288"/>
        <w:rPr>
          <w:rFonts w:ascii="宋体" w:cs="Times New Roman"/>
        </w:rPr>
      </w:pPr>
      <w:bookmarkStart w:id="156" w:name="_Toc494721103"/>
      <w:bookmarkStart w:id="157" w:name="_Toc456264006"/>
      <w:bookmarkStart w:id="158" w:name="_Toc509323144"/>
      <w:bookmarkStart w:id="159" w:name="_Toc494702273"/>
      <w:bookmarkStart w:id="160" w:name="_Toc494665953"/>
      <w:bookmarkStart w:id="161" w:name="_Toc494665556"/>
      <w:bookmarkStart w:id="162" w:name="_Toc495861552"/>
      <w:bookmarkStart w:id="163" w:name="_Toc494665003"/>
      <w:bookmarkStart w:id="164" w:name="_Toc494745320"/>
      <w:r>
        <w:rPr>
          <w:rFonts w:hint="eastAsia" w:ascii="宋体" w:hAnsi="宋体" w:cs="宋体"/>
        </w:rPr>
        <w:t>中小企业声明函</w:t>
      </w:r>
      <w:bookmarkEnd w:id="156"/>
      <w:bookmarkEnd w:id="157"/>
      <w:bookmarkEnd w:id="158"/>
      <w:bookmarkEnd w:id="159"/>
      <w:bookmarkEnd w:id="160"/>
      <w:bookmarkEnd w:id="161"/>
      <w:bookmarkEnd w:id="162"/>
      <w:bookmarkEnd w:id="163"/>
      <w:bookmarkEnd w:id="164"/>
    </w:p>
    <w:p>
      <w:pPr>
        <w:adjustRightInd w:val="0"/>
        <w:snapToGrid w:val="0"/>
        <w:jc w:val="center"/>
        <w:rPr>
          <w:rFonts w:ascii="宋体" w:cs="Times New Roman"/>
          <w:b/>
          <w:bCs/>
          <w:sz w:val="30"/>
          <w:szCs w:val="30"/>
          <w:lang w:val="zh-CN"/>
        </w:rPr>
      </w:pPr>
      <w:r>
        <w:rPr>
          <w:rFonts w:hint="eastAsia" w:ascii="宋体" w:hAnsi="宋体" w:cs="宋体"/>
          <w:b/>
          <w:bCs/>
          <w:sz w:val="30"/>
          <w:szCs w:val="30"/>
          <w:lang w:val="zh-CN"/>
        </w:rPr>
        <w:t>中小企业声明函</w:t>
      </w:r>
    </w:p>
    <w:p>
      <w:pPr>
        <w:adjustRightInd w:val="0"/>
        <w:snapToGrid w:val="0"/>
        <w:spacing w:before="156" w:beforeLines="50" w:after="156" w:afterLines="50"/>
        <w:jc w:val="center"/>
        <w:rPr>
          <w:rFonts w:ascii="宋体" w:hAnsi="Courier New" w:cs="Times New Roman"/>
          <w:sz w:val="24"/>
          <w:szCs w:val="24"/>
          <w:lang w:val="zh-CN"/>
        </w:rPr>
      </w:pPr>
      <w:r>
        <w:rPr>
          <w:rFonts w:hint="eastAsia" w:ascii="宋体" w:hAnsi="Courier New" w:cs="宋体"/>
          <w:sz w:val="24"/>
          <w:szCs w:val="24"/>
          <w:lang w:val="zh-CN"/>
        </w:rPr>
        <w:t>（适用于工程类、服务类项目）</w:t>
      </w:r>
    </w:p>
    <w:p>
      <w:pPr>
        <w:spacing w:line="360" w:lineRule="auto"/>
        <w:rPr>
          <w:rFonts w:cs="Times New Roman"/>
          <w:b/>
          <w:bCs/>
          <w:sz w:val="28"/>
          <w:szCs w:val="28"/>
        </w:rPr>
      </w:pPr>
      <w:r>
        <w:rPr>
          <w:rFonts w:hint="eastAsia" w:cs="宋体"/>
          <w:b/>
          <w:bCs/>
          <w:sz w:val="28"/>
          <w:szCs w:val="28"/>
        </w:rPr>
        <w:t>采购人（或采购代理公司）：</w:t>
      </w:r>
    </w:p>
    <w:p>
      <w:pPr>
        <w:spacing w:line="360" w:lineRule="auto"/>
        <w:ind w:firstLine="475" w:firstLineChars="198"/>
        <w:jc w:val="left"/>
        <w:rPr>
          <w:rFonts w:ascii="宋体" w:cs="Times New Roman"/>
          <w:sz w:val="24"/>
          <w:szCs w:val="24"/>
          <w:lang w:val="zh-CN"/>
        </w:rPr>
      </w:pPr>
      <w:r>
        <w:rPr>
          <w:rFonts w:hint="eastAsia" w:ascii="宋体" w:hAnsi="宋体" w:cs="宋体"/>
          <w:sz w:val="24"/>
          <w:szCs w:val="24"/>
          <w:lang w:val="zh-CN"/>
        </w:rPr>
        <w:t>本公司郑重声明，根据《政府采购促进中小企业发展暂行办法》（财库〔</w:t>
      </w:r>
      <w:r>
        <w:rPr>
          <w:rFonts w:ascii="宋体" w:hAnsi="宋体" w:cs="宋体"/>
          <w:sz w:val="24"/>
          <w:szCs w:val="24"/>
          <w:lang w:val="zh-CN"/>
        </w:rPr>
        <w:t>2011</w:t>
      </w:r>
      <w:r>
        <w:rPr>
          <w:rFonts w:hint="eastAsia" w:ascii="宋体" w:hAnsi="宋体" w:cs="宋体"/>
          <w:sz w:val="24"/>
          <w:szCs w:val="24"/>
          <w:lang w:val="zh-CN"/>
        </w:rPr>
        <w:t>〕</w:t>
      </w:r>
      <w:r>
        <w:rPr>
          <w:rFonts w:ascii="宋体" w:hAnsi="宋体" w:cs="宋体"/>
          <w:sz w:val="24"/>
          <w:szCs w:val="24"/>
          <w:lang w:val="zh-CN"/>
        </w:rPr>
        <w:t>181</w:t>
      </w:r>
      <w:r>
        <w:rPr>
          <w:rFonts w:hint="eastAsia" w:ascii="宋体" w:hAnsi="宋体" w:cs="宋体"/>
          <w:sz w:val="24"/>
          <w:szCs w:val="24"/>
          <w:lang w:val="zh-CN"/>
        </w:rPr>
        <w:t>号）的规定，本公司为</w:t>
      </w:r>
      <w:r>
        <w:rPr>
          <w:rFonts w:ascii="宋体" w:hAnsi="宋体" w:cs="宋体"/>
          <w:sz w:val="24"/>
          <w:szCs w:val="24"/>
          <w:lang w:val="zh-CN"/>
        </w:rPr>
        <w:t>______</w:t>
      </w:r>
      <w:r>
        <w:rPr>
          <w:rFonts w:hint="eastAsia" w:ascii="宋体" w:hAnsi="宋体" w:cs="宋体"/>
          <w:sz w:val="24"/>
          <w:szCs w:val="24"/>
          <w:lang w:val="zh-CN"/>
        </w:rPr>
        <w:t>（请填写：中型、小型、微型）企业。本公司同时满足以下条件：</w:t>
      </w:r>
    </w:p>
    <w:p>
      <w:pPr>
        <w:spacing w:line="360" w:lineRule="auto"/>
        <w:ind w:firstLine="475" w:firstLineChars="198"/>
        <w:jc w:val="left"/>
        <w:rPr>
          <w:rFonts w:ascii="宋体" w:cs="Times New Roman"/>
          <w:sz w:val="24"/>
          <w:szCs w:val="24"/>
          <w:lang w:val="zh-CN"/>
        </w:rPr>
      </w:pPr>
      <w:r>
        <w:rPr>
          <w:rFonts w:ascii="宋体" w:hAnsi="宋体" w:cs="宋体"/>
          <w:sz w:val="24"/>
          <w:szCs w:val="24"/>
          <w:lang w:val="zh-CN"/>
        </w:rPr>
        <w:t>1.</w:t>
      </w:r>
      <w:r>
        <w:rPr>
          <w:rFonts w:hint="eastAsia" w:ascii="宋体" w:hAnsi="宋体" w:cs="宋体"/>
          <w:sz w:val="24"/>
          <w:szCs w:val="24"/>
          <w:lang w:val="zh-CN"/>
        </w:rPr>
        <w:t>根据《工业和信息化部、国家统计局、国家发展和改革委员会、财政部关于印发中小企业划型标准规定的通知》（工信部联企业〔</w:t>
      </w:r>
      <w:r>
        <w:rPr>
          <w:rFonts w:ascii="宋体" w:hAnsi="宋体" w:cs="宋体"/>
          <w:sz w:val="24"/>
          <w:szCs w:val="24"/>
          <w:lang w:val="zh-CN"/>
        </w:rPr>
        <w:t>2011</w:t>
      </w:r>
      <w:r>
        <w:rPr>
          <w:rFonts w:hint="eastAsia" w:ascii="宋体" w:hAnsi="宋体" w:cs="宋体"/>
          <w:sz w:val="24"/>
          <w:szCs w:val="24"/>
          <w:lang w:val="zh-CN"/>
        </w:rPr>
        <w:t>〕</w:t>
      </w:r>
      <w:r>
        <w:rPr>
          <w:rFonts w:ascii="宋体" w:hAnsi="宋体" w:cs="宋体"/>
          <w:sz w:val="24"/>
          <w:szCs w:val="24"/>
          <w:lang w:val="zh-CN"/>
        </w:rPr>
        <w:t>300</w:t>
      </w:r>
      <w:r>
        <w:rPr>
          <w:rFonts w:hint="eastAsia" w:ascii="宋体" w:hAnsi="宋体" w:cs="宋体"/>
          <w:sz w:val="24"/>
          <w:szCs w:val="24"/>
          <w:lang w:val="zh-CN"/>
        </w:rPr>
        <w:t>号）规定的划分标准</w:t>
      </w:r>
      <w:r>
        <w:rPr>
          <w:rFonts w:hint="eastAsia" w:hAnsi="宋体" w:cs="宋体"/>
          <w:sz w:val="24"/>
          <w:szCs w:val="24"/>
        </w:rPr>
        <w:t>（详见《中小企业划型标准》）</w:t>
      </w:r>
      <w:r>
        <w:rPr>
          <w:rFonts w:hint="eastAsia" w:ascii="宋体" w:hAnsi="宋体" w:cs="宋体"/>
          <w:sz w:val="24"/>
          <w:szCs w:val="24"/>
          <w:lang w:val="zh-CN"/>
        </w:rPr>
        <w:t>，本公司为</w:t>
      </w:r>
      <w:r>
        <w:rPr>
          <w:rFonts w:ascii="宋体" w:hAnsi="宋体" w:cs="宋体"/>
          <w:sz w:val="24"/>
          <w:szCs w:val="24"/>
          <w:lang w:val="zh-CN"/>
        </w:rPr>
        <w:t>______</w:t>
      </w:r>
      <w:r>
        <w:rPr>
          <w:rFonts w:hint="eastAsia" w:ascii="宋体" w:hAnsi="宋体" w:cs="宋体"/>
          <w:sz w:val="24"/>
          <w:szCs w:val="24"/>
          <w:lang w:val="zh-CN"/>
        </w:rPr>
        <w:t>（请填写：中型、小型、微型）企业。</w:t>
      </w:r>
    </w:p>
    <w:p>
      <w:pPr>
        <w:spacing w:line="360" w:lineRule="auto"/>
        <w:ind w:firstLine="475" w:firstLineChars="198"/>
        <w:jc w:val="left"/>
        <w:rPr>
          <w:rFonts w:ascii="宋体" w:cs="Times New Roman"/>
          <w:sz w:val="24"/>
          <w:szCs w:val="24"/>
          <w:lang w:val="zh-CN"/>
        </w:rPr>
      </w:pPr>
      <w:r>
        <w:rPr>
          <w:rFonts w:ascii="宋体" w:hAnsi="宋体" w:cs="宋体"/>
          <w:sz w:val="24"/>
          <w:szCs w:val="24"/>
          <w:lang w:val="zh-CN"/>
        </w:rPr>
        <w:t>2.</w:t>
      </w:r>
      <w:r>
        <w:rPr>
          <w:rFonts w:hint="eastAsia" w:ascii="宋体" w:hAnsi="宋体" w:cs="宋体"/>
          <w:sz w:val="24"/>
          <w:szCs w:val="24"/>
          <w:lang w:val="zh-CN"/>
        </w:rPr>
        <w:t>本公司参加</w:t>
      </w:r>
      <w:r>
        <w:rPr>
          <w:rFonts w:ascii="宋体" w:hAnsi="宋体" w:cs="宋体"/>
          <w:sz w:val="24"/>
          <w:szCs w:val="24"/>
          <w:lang w:val="zh-CN"/>
        </w:rPr>
        <w:t>_</w:t>
      </w:r>
      <w:r>
        <w:rPr>
          <w:rFonts w:ascii="宋体" w:hAnsi="宋体" w:cs="宋体"/>
          <w:sz w:val="24"/>
          <w:szCs w:val="24"/>
          <w:u w:val="single"/>
          <w:lang w:val="zh-CN"/>
        </w:rPr>
        <w:t>_</w:t>
      </w:r>
      <w:r>
        <w:rPr>
          <w:rFonts w:hint="eastAsia" w:ascii="宋体" w:hAnsi="宋体" w:cs="宋体"/>
          <w:sz w:val="24"/>
          <w:szCs w:val="24"/>
          <w:u w:val="single"/>
          <w:lang w:val="zh-CN"/>
        </w:rPr>
        <w:t>（采购人）</w:t>
      </w:r>
      <w:r>
        <w:rPr>
          <w:rFonts w:hint="eastAsia" w:ascii="宋体" w:hAnsi="宋体" w:cs="宋体"/>
          <w:sz w:val="24"/>
          <w:szCs w:val="24"/>
          <w:lang w:val="zh-CN"/>
        </w:rPr>
        <w:t>的</w:t>
      </w:r>
      <w:r>
        <w:rPr>
          <w:rFonts w:ascii="宋体" w:hAnsi="宋体" w:cs="宋体"/>
          <w:sz w:val="24"/>
          <w:szCs w:val="24"/>
          <w:lang w:val="zh-CN"/>
        </w:rPr>
        <w:t>__</w:t>
      </w:r>
      <w:r>
        <w:rPr>
          <w:rFonts w:ascii="宋体" w:hAnsi="宋体" w:cs="宋体"/>
          <w:sz w:val="24"/>
          <w:szCs w:val="24"/>
          <w:u w:val="single"/>
          <w:lang w:val="zh-CN"/>
        </w:rPr>
        <w:t>__</w:t>
      </w:r>
      <w:r>
        <w:rPr>
          <w:rFonts w:hint="eastAsia" w:ascii="宋体" w:hAnsi="宋体" w:cs="宋体"/>
          <w:sz w:val="24"/>
          <w:szCs w:val="24"/>
          <w:lang w:val="zh-CN"/>
        </w:rPr>
        <w:t>项目（项目编号：</w:t>
      </w:r>
      <w:r>
        <w:rPr>
          <w:rFonts w:ascii="宋体" w:hAnsi="宋体" w:cs="宋体"/>
          <w:sz w:val="24"/>
          <w:szCs w:val="24"/>
          <w:lang w:val="zh-CN"/>
        </w:rPr>
        <w:t>______</w:t>
      </w:r>
      <w:r>
        <w:rPr>
          <w:rFonts w:hint="eastAsia" w:ascii="宋体" w:hAnsi="宋体" w:cs="宋体"/>
          <w:sz w:val="24"/>
          <w:szCs w:val="24"/>
          <w:lang w:val="zh-CN"/>
        </w:rPr>
        <w:t>）采购活动由本企业承担工程（或提供服务）。</w:t>
      </w:r>
    </w:p>
    <w:p>
      <w:pPr>
        <w:spacing w:line="360" w:lineRule="auto"/>
        <w:ind w:firstLine="475" w:firstLineChars="198"/>
        <w:jc w:val="left"/>
        <w:rPr>
          <w:rFonts w:ascii="宋体" w:cs="Times New Roman"/>
          <w:sz w:val="24"/>
          <w:szCs w:val="24"/>
          <w:lang w:val="zh-CN"/>
        </w:rPr>
      </w:pPr>
      <w:r>
        <w:rPr>
          <w:rFonts w:hint="eastAsia" w:ascii="宋体" w:hAnsi="宋体" w:cs="宋体"/>
          <w:sz w:val="24"/>
          <w:szCs w:val="24"/>
          <w:lang w:val="zh-CN"/>
        </w:rPr>
        <w:t>本公司对上述声明的真实性负责。如有虚假，将依法承担相应责任。</w:t>
      </w:r>
    </w:p>
    <w:p>
      <w:pPr>
        <w:adjustRightInd w:val="0"/>
        <w:snapToGrid w:val="0"/>
        <w:spacing w:line="360" w:lineRule="auto"/>
        <w:rPr>
          <w:rFonts w:ascii="宋体" w:cs="Times New Roman"/>
          <w:sz w:val="28"/>
          <w:szCs w:val="28"/>
        </w:rPr>
      </w:pPr>
    </w:p>
    <w:p>
      <w:pPr>
        <w:adjustRightInd w:val="0"/>
        <w:snapToGrid w:val="0"/>
        <w:spacing w:line="360" w:lineRule="auto"/>
        <w:rPr>
          <w:rFonts w:ascii="宋体" w:cs="Times New Roman"/>
          <w:sz w:val="28"/>
          <w:szCs w:val="28"/>
        </w:rPr>
      </w:pPr>
    </w:p>
    <w:p>
      <w:pPr>
        <w:spacing w:line="360" w:lineRule="auto"/>
        <w:ind w:left="950" w:hanging="950" w:hangingChars="396"/>
        <w:jc w:val="left"/>
        <w:rPr>
          <w:rFonts w:ascii="宋体" w:cs="Times New Roman"/>
          <w:sz w:val="24"/>
          <w:szCs w:val="24"/>
          <w:lang w:val="zh-CN"/>
        </w:rPr>
      </w:pPr>
      <w:r>
        <w:rPr>
          <w:rFonts w:hint="eastAsia" w:ascii="宋体" w:hAnsi="宋体" w:cs="宋体"/>
          <w:sz w:val="24"/>
          <w:szCs w:val="24"/>
          <w:lang w:val="zh-CN"/>
        </w:rPr>
        <w:t>说明：</w:t>
      </w:r>
      <w:r>
        <w:rPr>
          <w:rFonts w:ascii="宋体" w:hAnsi="宋体" w:cs="宋体"/>
          <w:sz w:val="24"/>
          <w:szCs w:val="24"/>
          <w:lang w:val="zh-CN"/>
        </w:rPr>
        <w:t>1.</w:t>
      </w:r>
      <w:r>
        <w:rPr>
          <w:rFonts w:hint="eastAsia" w:ascii="宋体" w:hAnsi="宋体" w:cs="宋体"/>
          <w:sz w:val="24"/>
          <w:szCs w:val="24"/>
          <w:lang w:val="zh-CN"/>
        </w:rPr>
        <w:t>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cs="Times New Roman"/>
          <w:sz w:val="24"/>
          <w:szCs w:val="24"/>
          <w:lang w:val="zh-CN"/>
        </w:rPr>
      </w:pPr>
      <w:r>
        <w:rPr>
          <w:rFonts w:ascii="宋体" w:hAnsi="宋体" w:cs="宋体"/>
          <w:sz w:val="24"/>
          <w:szCs w:val="24"/>
          <w:lang w:val="zh-CN"/>
        </w:rPr>
        <w:t>2.</w:t>
      </w:r>
      <w:r>
        <w:rPr>
          <w:rFonts w:hint="eastAsia" w:ascii="宋体" w:hAnsi="宋体" w:cs="宋体"/>
          <w:sz w:val="24"/>
          <w:szCs w:val="24"/>
          <w:lang w:val="zh-CN"/>
        </w:rPr>
        <w:t>以联合体方式参与本项目投标的供应商，应由联合体双方签字盖章。</w:t>
      </w:r>
    </w:p>
    <w:p>
      <w:pPr>
        <w:spacing w:line="360" w:lineRule="auto"/>
        <w:ind w:firstLine="480" w:firstLineChars="200"/>
        <w:jc w:val="left"/>
        <w:rPr>
          <w:rFonts w:ascii="宋体" w:cs="Times New Roman"/>
          <w:sz w:val="24"/>
          <w:szCs w:val="24"/>
          <w:lang w:val="zh-CN"/>
        </w:rPr>
      </w:pPr>
    </w:p>
    <w:p>
      <w:pPr>
        <w:spacing w:line="360" w:lineRule="auto"/>
        <w:jc w:val="left"/>
        <w:rPr>
          <w:rFonts w:ascii="宋体" w:cs="Times New Roman"/>
          <w:sz w:val="24"/>
          <w:szCs w:val="24"/>
          <w:lang w:val="zh-CN"/>
        </w:rPr>
      </w:pP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投标人（公章）：</w:t>
      </w: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投标人授权代表（签字）：</w:t>
      </w: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投标时间：</w:t>
      </w:r>
    </w:p>
    <w:p>
      <w:pPr>
        <w:rPr>
          <w:rFonts w:cs="Times New Roman"/>
        </w:rPr>
        <w:sectPr>
          <w:headerReference r:id="rId6" w:type="default"/>
          <w:footerReference r:id="rId7"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cs="Times New Roman"/>
          <w:b/>
          <w:bCs/>
          <w:sz w:val="30"/>
          <w:szCs w:val="30"/>
          <w:lang w:val="zh-CN"/>
        </w:rPr>
      </w:pPr>
      <w:bookmarkStart w:id="165" w:name="_Toc476153619"/>
      <w:r>
        <w:rPr>
          <w:rFonts w:hint="eastAsia" w:ascii="宋体" w:hAnsi="宋体" w:cs="宋体"/>
          <w:b/>
          <w:bCs/>
          <w:sz w:val="30"/>
          <w:szCs w:val="30"/>
          <w:lang w:val="zh-CN"/>
        </w:rPr>
        <w:t>中小企业划型标准</w:t>
      </w:r>
      <w:bookmarkEnd w:id="165"/>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序号</w:t>
            </w:r>
          </w:p>
        </w:tc>
        <w:tc>
          <w:tcPr>
            <w:tcW w:w="1954"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行业</w:t>
            </w:r>
          </w:p>
        </w:tc>
        <w:tc>
          <w:tcPr>
            <w:tcW w:w="306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p>
        </w:tc>
        <w:tc>
          <w:tcPr>
            <w:tcW w:w="1954"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ascii="宋体" w:cs="Times New Roman"/>
                <w:b/>
                <w:bCs/>
                <w:kern w:val="0"/>
                <w:sz w:val="18"/>
                <w:szCs w:val="18"/>
              </w:rPr>
            </w:pPr>
          </w:p>
        </w:tc>
        <w:tc>
          <w:tcPr>
            <w:tcW w:w="11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营业收入</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92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从业人员</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人</w:t>
            </w:r>
            <w:r>
              <w:rPr>
                <w:rFonts w:ascii="宋体" w:hAnsi="宋体" w:cs="宋体"/>
                <w:b/>
                <w:bCs/>
                <w:kern w:val="0"/>
                <w:sz w:val="18"/>
                <w:szCs w:val="18"/>
              </w:rPr>
              <w:t>)</w:t>
            </w:r>
          </w:p>
        </w:tc>
        <w:tc>
          <w:tcPr>
            <w:tcW w:w="94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总资产</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营业收入</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9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从业人员</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人</w:t>
            </w:r>
            <w:r>
              <w:rPr>
                <w:rFonts w:ascii="宋体" w:hAnsi="宋体" w:cs="宋体"/>
                <w:b/>
                <w:bCs/>
                <w:kern w:val="0"/>
                <w:sz w:val="18"/>
                <w:szCs w:val="18"/>
              </w:rPr>
              <w:t>)</w:t>
            </w:r>
          </w:p>
        </w:tc>
        <w:tc>
          <w:tcPr>
            <w:tcW w:w="9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总资产</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营业收入</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961" w:type="dxa"/>
            <w:tcBorders>
              <w:top w:val="nil"/>
              <w:left w:val="nil"/>
              <w:bottom w:val="single" w:color="auto" w:sz="4" w:space="0"/>
              <w:right w:val="single" w:color="auto" w:sz="4" w:space="0"/>
            </w:tcBorders>
            <w:vAlign w:val="center"/>
          </w:tcPr>
          <w:p>
            <w:pPr>
              <w:spacing w:line="240" w:lineRule="atLeast"/>
              <w:ind w:left="95" w:leftChars="-23" w:right="-65" w:rightChars="-31" w:hanging="143" w:hangingChars="79"/>
              <w:jc w:val="center"/>
              <w:rPr>
                <w:rFonts w:ascii="宋体" w:cs="Times New Roman"/>
                <w:b/>
                <w:bCs/>
                <w:kern w:val="0"/>
                <w:sz w:val="18"/>
                <w:szCs w:val="18"/>
              </w:rPr>
            </w:pPr>
            <w:r>
              <w:rPr>
                <w:rFonts w:hint="eastAsia" w:ascii="宋体" w:hAnsi="宋体" w:cs="宋体"/>
                <w:b/>
                <w:bCs/>
                <w:kern w:val="0"/>
                <w:sz w:val="18"/>
                <w:szCs w:val="18"/>
              </w:rPr>
              <w:t>从业人员</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人</w:t>
            </w:r>
            <w:r>
              <w:rPr>
                <w:rFonts w:ascii="宋体" w:hAnsi="宋体" w:cs="宋体"/>
                <w:b/>
                <w:bCs/>
                <w:kern w:val="0"/>
                <w:sz w:val="18"/>
                <w:szCs w:val="18"/>
              </w:rPr>
              <w:t>)</w:t>
            </w:r>
          </w:p>
        </w:tc>
        <w:tc>
          <w:tcPr>
            <w:tcW w:w="1004"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总资产</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营业收入</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c>
          <w:tcPr>
            <w:tcW w:w="88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从业人员</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人</w:t>
            </w:r>
            <w:r>
              <w:rPr>
                <w:rFonts w:ascii="宋体" w:hAnsi="宋体" w:cs="宋体"/>
                <w:b/>
                <w:bCs/>
                <w:kern w:val="0"/>
                <w:sz w:val="18"/>
                <w:szCs w:val="18"/>
              </w:rPr>
              <w:t>)</w:t>
            </w:r>
          </w:p>
        </w:tc>
        <w:tc>
          <w:tcPr>
            <w:tcW w:w="85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Times New Roman"/>
                <w:b/>
                <w:bCs/>
                <w:kern w:val="0"/>
                <w:sz w:val="18"/>
                <w:szCs w:val="18"/>
              </w:rPr>
            </w:pPr>
            <w:r>
              <w:rPr>
                <w:rFonts w:hint="eastAsia" w:ascii="宋体" w:hAnsi="宋体" w:cs="宋体"/>
                <w:b/>
                <w:bCs/>
                <w:kern w:val="0"/>
                <w:sz w:val="18"/>
                <w:szCs w:val="18"/>
              </w:rPr>
              <w:t>总资产</w:t>
            </w:r>
          </w:p>
          <w:p>
            <w:pPr>
              <w:spacing w:line="240" w:lineRule="atLeast"/>
              <w:ind w:left="-48" w:leftChars="-23" w:right="-65" w:rightChars="-31"/>
              <w:jc w:val="center"/>
              <w:rPr>
                <w:rFonts w:ascii="宋体" w:cs="Times New Roman"/>
                <w:b/>
                <w:bCs/>
                <w:kern w:val="0"/>
                <w:sz w:val="18"/>
                <w:szCs w:val="18"/>
              </w:rPr>
            </w:pPr>
            <w:r>
              <w:rPr>
                <w:rFonts w:ascii="宋体" w:hAnsi="宋体" w:cs="宋体"/>
                <w:b/>
                <w:bCs/>
                <w:kern w:val="0"/>
                <w:sz w:val="18"/>
                <w:szCs w:val="18"/>
              </w:rPr>
              <w:t>(</w:t>
            </w:r>
            <w:r>
              <w:rPr>
                <w:rFonts w:hint="eastAsia" w:ascii="宋体" w:hAnsi="宋体" w:cs="宋体"/>
                <w:b/>
                <w:bCs/>
                <w:kern w:val="0"/>
                <w:sz w:val="18"/>
                <w:szCs w:val="18"/>
              </w:rPr>
              <w:t>万元</w:t>
            </w:r>
            <w:r>
              <w:rPr>
                <w:rFonts w:ascii="宋体" w:hAnsi="宋体" w:cs="宋体"/>
                <w:b/>
                <w:bCs/>
                <w:kern w:val="0"/>
                <w:sz w:val="18"/>
                <w:szCs w:val="18"/>
              </w:rPr>
              <w:t>)</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w:t>
            </w:r>
          </w:p>
        </w:tc>
        <w:tc>
          <w:tcPr>
            <w:tcW w:w="1954"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农、林、牧、渔业</w:t>
            </w:r>
          </w:p>
        </w:tc>
        <w:tc>
          <w:tcPr>
            <w:tcW w:w="1198"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工业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建筑业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80000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80000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批发业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零售业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交通运输业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7</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仓储业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8</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邮政业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9</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住宿业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10</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餐饮业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11</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信息传输业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软件和信息技术服务业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房地产开发经验</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200000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或</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10000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且</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且</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2000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或</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物业管理</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500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租赁和商务服务业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或</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120000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且</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8000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且</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100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或</w:t>
            </w:r>
            <w:r>
              <w:rPr>
                <w:rFonts w:ascii="宋体" w:cs="宋体"/>
                <w:kern w:val="0"/>
                <w:sz w:val="18"/>
                <w:szCs w:val="18"/>
              </w:rPr>
              <w:t>,</w:t>
            </w:r>
            <w:r>
              <w:rPr>
                <w:rFonts w:hint="eastAsia" w:ascii="宋体" w:hAnsi="宋体" w:cs="宋体"/>
                <w:kern w:val="0"/>
                <w:sz w:val="18"/>
                <w:szCs w:val="18"/>
              </w:rPr>
              <w:t>＜</w:t>
            </w:r>
            <w:r>
              <w:rPr>
                <w:rFonts w:ascii="宋体" w:hAnsi="宋体" w:cs="宋体"/>
                <w:kern w:val="0"/>
                <w:sz w:val="18"/>
                <w:szCs w:val="18"/>
              </w:rPr>
              <w:t>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b/>
                <w:bCs/>
                <w:kern w:val="0"/>
                <w:sz w:val="18"/>
                <w:szCs w:val="18"/>
              </w:rPr>
            </w:pPr>
            <w:r>
              <w:rPr>
                <w:rFonts w:ascii="宋体" w:hAnsi="宋体" w:cs="宋体"/>
                <w:b/>
                <w:bCs/>
                <w:kern w:val="0"/>
                <w:sz w:val="18"/>
                <w:szCs w:val="18"/>
              </w:rPr>
              <w:t>16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Times New Roman"/>
                <w:b/>
                <w:bCs/>
                <w:kern w:val="0"/>
                <w:sz w:val="18"/>
                <w:szCs w:val="18"/>
              </w:rPr>
            </w:pPr>
            <w:r>
              <w:rPr>
                <w:rFonts w:hint="eastAsia" w:ascii="宋体" w:hAnsi="宋体" w:cs="宋体"/>
                <w:b/>
                <w:bCs/>
                <w:kern w:val="0"/>
                <w:sz w:val="18"/>
                <w:szCs w:val="18"/>
              </w:rPr>
              <w:t>其他未列明行业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w:t>
            </w:r>
            <w:r>
              <w:rPr>
                <w:rFonts w:ascii="宋体" w:hAnsi="宋体" w:cs="宋体"/>
                <w:kern w:val="0"/>
                <w:sz w:val="18"/>
                <w:szCs w:val="18"/>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Times New Roman"/>
                <w:kern w:val="0"/>
                <w:sz w:val="18"/>
                <w:szCs w:val="18"/>
              </w:rPr>
            </w:pPr>
            <w:r>
              <w:rPr>
                <w:rFonts w:hint="eastAsia" w:ascii="宋体" w:hAnsi="宋体" w:cs="宋体"/>
                <w:kern w:val="0"/>
                <w:sz w:val="18"/>
                <w:szCs w:val="18"/>
              </w:rPr>
              <w:t>　</w:t>
            </w:r>
          </w:p>
        </w:tc>
      </w:tr>
    </w:tbl>
    <w:p>
      <w:pPr>
        <w:rPr>
          <w:rFonts w:cs="Times New Roman"/>
        </w:rPr>
        <w:sectPr>
          <w:pgSz w:w="16838" w:h="11906" w:orient="landscape"/>
          <w:pgMar w:top="1191" w:right="1134" w:bottom="1191" w:left="1134" w:header="851" w:footer="851" w:gutter="0"/>
          <w:cols w:space="425" w:num="1"/>
          <w:docGrid w:type="lines" w:linePitch="312" w:charSpace="0"/>
        </w:sectPr>
      </w:pPr>
    </w:p>
    <w:p>
      <w:pPr>
        <w:pStyle w:val="4"/>
        <w:numPr>
          <w:ilvl w:val="0"/>
          <w:numId w:val="41"/>
        </w:numPr>
        <w:spacing w:before="100" w:beforeAutospacing="1" w:after="156" w:afterLines="50" w:line="360" w:lineRule="auto"/>
        <w:ind w:left="1288" w:hanging="1288"/>
        <w:rPr>
          <w:rFonts w:ascii="宋体" w:cs="Times New Roman"/>
        </w:rPr>
      </w:pPr>
      <w:bookmarkStart w:id="166" w:name="_Toc494665557"/>
      <w:bookmarkStart w:id="167" w:name="_Toc494745321"/>
      <w:bookmarkStart w:id="168" w:name="_Toc494665954"/>
      <w:bookmarkStart w:id="169" w:name="_Toc495861553"/>
      <w:bookmarkStart w:id="170" w:name="_Toc494665004"/>
      <w:bookmarkStart w:id="171" w:name="_Toc509323145"/>
      <w:bookmarkStart w:id="172" w:name="_Toc494702274"/>
      <w:bookmarkStart w:id="173" w:name="_Toc494721104"/>
      <w:r>
        <w:rPr>
          <w:rFonts w:hint="eastAsia" w:ascii="宋体" w:hAnsi="宋体" w:cs="宋体"/>
        </w:rPr>
        <w:t>残疾人福利性单位声明函</w:t>
      </w:r>
      <w:bookmarkEnd w:id="166"/>
      <w:bookmarkEnd w:id="167"/>
      <w:bookmarkEnd w:id="168"/>
      <w:bookmarkEnd w:id="169"/>
      <w:bookmarkEnd w:id="170"/>
      <w:bookmarkEnd w:id="171"/>
      <w:bookmarkEnd w:id="172"/>
      <w:bookmarkEnd w:id="173"/>
    </w:p>
    <w:p>
      <w:pPr>
        <w:adjustRightInd w:val="0"/>
        <w:snapToGrid w:val="0"/>
        <w:jc w:val="center"/>
        <w:rPr>
          <w:rFonts w:ascii="宋体" w:cs="Times New Roman"/>
          <w:b/>
          <w:bCs/>
          <w:sz w:val="30"/>
          <w:szCs w:val="30"/>
          <w:lang w:val="zh-CN"/>
        </w:rPr>
      </w:pPr>
      <w:r>
        <w:rPr>
          <w:rFonts w:hint="eastAsia" w:ascii="宋体" w:hAnsi="宋体" w:cs="宋体"/>
          <w:b/>
          <w:bCs/>
          <w:sz w:val="30"/>
          <w:szCs w:val="30"/>
          <w:lang w:val="zh-CN"/>
        </w:rPr>
        <w:t>残疾人福利性单位声明函</w:t>
      </w:r>
    </w:p>
    <w:p>
      <w:pPr>
        <w:adjustRightInd w:val="0"/>
        <w:snapToGrid w:val="0"/>
        <w:spacing w:before="156" w:beforeLines="50" w:after="156" w:afterLines="50"/>
        <w:jc w:val="center"/>
        <w:rPr>
          <w:rFonts w:ascii="宋体" w:hAnsi="Courier New" w:cs="Times New Roman"/>
          <w:sz w:val="24"/>
          <w:szCs w:val="24"/>
          <w:lang w:val="zh-CN"/>
        </w:rPr>
      </w:pPr>
      <w:r>
        <w:rPr>
          <w:rFonts w:hint="eastAsia" w:ascii="宋体" w:hAnsi="Courier New" w:cs="宋体"/>
          <w:sz w:val="24"/>
          <w:szCs w:val="24"/>
          <w:lang w:val="zh-CN"/>
        </w:rPr>
        <w:t>（适用于货物类项目）</w:t>
      </w:r>
    </w:p>
    <w:p>
      <w:pPr>
        <w:spacing w:line="360" w:lineRule="auto"/>
        <w:rPr>
          <w:rFonts w:cs="Times New Roman"/>
          <w:b/>
          <w:bCs/>
          <w:sz w:val="28"/>
          <w:szCs w:val="28"/>
        </w:rPr>
      </w:pPr>
      <w:r>
        <w:rPr>
          <w:rFonts w:hint="eastAsia" w:cs="宋体"/>
          <w:b/>
          <w:bCs/>
          <w:sz w:val="28"/>
          <w:szCs w:val="28"/>
        </w:rPr>
        <w:t>采购人（或采购代理公司）：</w:t>
      </w:r>
    </w:p>
    <w:p>
      <w:pPr>
        <w:pStyle w:val="11"/>
        <w:spacing w:line="360" w:lineRule="auto"/>
        <w:ind w:firstLine="475" w:firstLineChars="198"/>
        <w:jc w:val="left"/>
        <w:rPr>
          <w:rFonts w:hAnsi="宋体" w:cs="Times New Roman"/>
          <w:sz w:val="24"/>
          <w:szCs w:val="24"/>
        </w:rPr>
      </w:pPr>
      <w:r>
        <w:rPr>
          <w:rFonts w:hint="eastAsia" w:hAnsi="宋体"/>
          <w:sz w:val="24"/>
          <w:szCs w:val="24"/>
        </w:rPr>
        <w:t>本单位郑重声明，根据《财政部</w:t>
      </w:r>
      <w:r>
        <w:rPr>
          <w:rFonts w:hAnsi="宋体"/>
          <w:sz w:val="24"/>
          <w:szCs w:val="24"/>
        </w:rPr>
        <w:t xml:space="preserve"> </w:t>
      </w:r>
      <w:r>
        <w:rPr>
          <w:rFonts w:hint="eastAsia" w:hAnsi="宋体"/>
          <w:sz w:val="24"/>
          <w:szCs w:val="24"/>
        </w:rPr>
        <w:t>民政部</w:t>
      </w:r>
      <w:r>
        <w:rPr>
          <w:rFonts w:hAnsi="宋体"/>
          <w:sz w:val="24"/>
          <w:szCs w:val="24"/>
        </w:rPr>
        <w:t xml:space="preserve"> </w:t>
      </w:r>
      <w:r>
        <w:rPr>
          <w:rFonts w:hint="eastAsia" w:hAnsi="宋体"/>
          <w:sz w:val="24"/>
          <w:szCs w:val="24"/>
        </w:rPr>
        <w:t>中国残疾人联合会关于促进残疾人就业政府采购政策的通知》（财库〔</w:t>
      </w:r>
      <w:r>
        <w:rPr>
          <w:rFonts w:hAnsi="宋体"/>
          <w:sz w:val="24"/>
          <w:szCs w:val="24"/>
        </w:rPr>
        <w:t>2017</w:t>
      </w:r>
      <w:r>
        <w:rPr>
          <w:rFonts w:hint="eastAsia" w:hAnsi="宋体"/>
          <w:sz w:val="24"/>
          <w:szCs w:val="24"/>
        </w:rPr>
        <w:t>〕</w:t>
      </w:r>
      <w:r>
        <w:rPr>
          <w:rFonts w:hAnsi="宋体"/>
          <w:sz w:val="24"/>
          <w:szCs w:val="24"/>
        </w:rPr>
        <w:t>141</w:t>
      </w:r>
      <w:r>
        <w:rPr>
          <w:rFonts w:hint="eastAsia" w:hAnsi="宋体"/>
          <w:sz w:val="24"/>
          <w:szCs w:val="24"/>
        </w:rPr>
        <w:t>号）的规定，本单位为符合条件的残疾人福利性单位（详见“残疾人福利性单位应当满足的条件”）。</w:t>
      </w:r>
    </w:p>
    <w:p>
      <w:pPr>
        <w:pStyle w:val="11"/>
        <w:spacing w:line="360" w:lineRule="auto"/>
        <w:ind w:firstLine="475" w:firstLineChars="198"/>
        <w:jc w:val="left"/>
        <w:rPr>
          <w:rFonts w:hAnsi="宋体" w:cs="Times New Roman"/>
          <w:sz w:val="24"/>
          <w:szCs w:val="24"/>
        </w:rPr>
      </w:pPr>
      <w:r>
        <w:rPr>
          <w:rFonts w:hAnsi="宋体"/>
          <w:sz w:val="24"/>
          <w:szCs w:val="24"/>
        </w:rPr>
        <w:t>1.</w:t>
      </w:r>
      <w:r>
        <w:rPr>
          <w:rFonts w:hint="eastAsia" w:hAnsi="宋体"/>
          <w:sz w:val="24"/>
          <w:szCs w:val="24"/>
        </w:rPr>
        <w:t>本单位授权</w:t>
      </w:r>
      <w:r>
        <w:rPr>
          <w:rFonts w:hAnsi="宋体"/>
          <w:sz w:val="24"/>
          <w:szCs w:val="24"/>
          <w:u w:val="single"/>
        </w:rPr>
        <w:t xml:space="preserve"> </w:t>
      </w:r>
      <w:r>
        <w:rPr>
          <w:rFonts w:hint="eastAsia" w:hAnsi="宋体"/>
          <w:sz w:val="24"/>
          <w:szCs w:val="24"/>
          <w:u w:val="single"/>
        </w:rPr>
        <w:t>（投标人）</w:t>
      </w:r>
      <w:r>
        <w:rPr>
          <w:rFonts w:hAnsi="宋体"/>
          <w:sz w:val="24"/>
          <w:szCs w:val="24"/>
          <w:u w:val="single"/>
        </w:rPr>
        <w:t xml:space="preserve"> </w:t>
      </w:r>
      <w:r>
        <w:rPr>
          <w:rFonts w:hint="eastAsia" w:hAnsi="宋体"/>
          <w:sz w:val="24"/>
          <w:szCs w:val="24"/>
        </w:rPr>
        <w:t>参加</w:t>
      </w:r>
      <w:r>
        <w:rPr>
          <w:rFonts w:hAnsi="宋体"/>
          <w:sz w:val="24"/>
          <w:szCs w:val="24"/>
        </w:rPr>
        <w:t>_</w:t>
      </w:r>
      <w:r>
        <w:rPr>
          <w:rFonts w:hint="eastAsia" w:hAnsi="宋体"/>
          <w:sz w:val="24"/>
          <w:szCs w:val="24"/>
          <w:u w:val="single"/>
        </w:rPr>
        <w:t>（采购人）</w:t>
      </w:r>
      <w:r>
        <w:rPr>
          <w:rFonts w:hint="eastAsia" w:hAnsi="宋体"/>
          <w:sz w:val="24"/>
          <w:szCs w:val="24"/>
        </w:rPr>
        <w:t>的</w:t>
      </w:r>
      <w:r>
        <w:rPr>
          <w:rFonts w:hAnsi="宋体"/>
          <w:sz w:val="24"/>
          <w:szCs w:val="24"/>
        </w:rPr>
        <w:t>__</w:t>
      </w:r>
      <w:r>
        <w:rPr>
          <w:rFonts w:hAnsi="宋体"/>
          <w:sz w:val="24"/>
          <w:szCs w:val="24"/>
          <w:u w:val="single"/>
        </w:rPr>
        <w:t>_ _</w:t>
      </w:r>
      <w:r>
        <w:rPr>
          <w:rFonts w:hint="eastAsia" w:hAnsi="宋体"/>
          <w:sz w:val="24"/>
          <w:szCs w:val="24"/>
        </w:rPr>
        <w:t>项目（项目编号：</w:t>
      </w:r>
      <w:r>
        <w:rPr>
          <w:rFonts w:hAnsi="宋体"/>
          <w:sz w:val="24"/>
          <w:szCs w:val="24"/>
        </w:rPr>
        <w:t>_____</w:t>
      </w:r>
      <w:r>
        <w:rPr>
          <w:rFonts w:hint="eastAsia" w:hAnsi="宋体"/>
          <w:sz w:val="24"/>
          <w:szCs w:val="24"/>
        </w:rPr>
        <w:t>）采购活动提供本单位制造的货物。本条所称货物不包括使用非残疾人福利性单位注册商标的货物。</w:t>
      </w:r>
    </w:p>
    <w:p>
      <w:pPr>
        <w:spacing w:line="360" w:lineRule="auto"/>
        <w:ind w:firstLine="480" w:firstLineChars="200"/>
        <w:rPr>
          <w:rFonts w:ascii="宋体" w:cs="Times New Roman"/>
          <w:sz w:val="24"/>
          <w:szCs w:val="24"/>
        </w:rPr>
      </w:pPr>
      <w:r>
        <w:rPr>
          <w:rFonts w:ascii="宋体" w:hAnsi="宋体" w:cs="宋体"/>
          <w:sz w:val="24"/>
          <w:szCs w:val="24"/>
          <w:lang w:val="zh-CN"/>
        </w:rPr>
        <w:t>2</w:t>
      </w:r>
      <w:r>
        <w:rPr>
          <w:rFonts w:ascii="宋体" w:cs="宋体"/>
          <w:sz w:val="24"/>
          <w:szCs w:val="24"/>
        </w:rPr>
        <w:t>.</w:t>
      </w:r>
      <w:r>
        <w:rPr>
          <w:rFonts w:hint="eastAsia" w:ascii="宋体" w:hAnsi="宋体" w:cs="宋体"/>
          <w:sz w:val="24"/>
          <w:szCs w:val="24"/>
        </w:rPr>
        <w:t>由本单位制造的货物清单见下表：</w:t>
      </w:r>
    </w:p>
    <w:tbl>
      <w:tblPr>
        <w:tblStyle w:val="21"/>
        <w:tblW w:w="95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序号</w:t>
            </w:r>
          </w:p>
        </w:tc>
        <w:tc>
          <w:tcPr>
            <w:tcW w:w="2414"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名称</w:t>
            </w:r>
          </w:p>
        </w:tc>
        <w:tc>
          <w:tcPr>
            <w:tcW w:w="1224"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品牌规格型号</w:t>
            </w:r>
          </w:p>
        </w:tc>
        <w:tc>
          <w:tcPr>
            <w:tcW w:w="907"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数量</w:t>
            </w:r>
          </w:p>
        </w:tc>
        <w:tc>
          <w:tcPr>
            <w:tcW w:w="1278" w:type="dxa"/>
            <w:vAlign w:val="center"/>
          </w:tcPr>
          <w:p>
            <w:pPr>
              <w:spacing w:line="360" w:lineRule="auto"/>
              <w:ind w:left="-48" w:leftChars="-23" w:right="-65" w:rightChars="-31"/>
              <w:jc w:val="center"/>
              <w:rPr>
                <w:rFonts w:ascii="宋体" w:hAnsi="宋体" w:cs="宋体"/>
                <w:kern w:val="0"/>
                <w:sz w:val="24"/>
                <w:szCs w:val="24"/>
              </w:rPr>
            </w:pPr>
            <w:r>
              <w:rPr>
                <w:rFonts w:hint="eastAsia" w:ascii="宋体" w:hAnsi="宋体" w:cs="宋体"/>
                <w:kern w:val="0"/>
                <w:sz w:val="24"/>
                <w:szCs w:val="24"/>
              </w:rPr>
              <w:t>单价</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c>
          <w:tcPr>
            <w:tcW w:w="1843" w:type="dxa"/>
            <w:vAlign w:val="center"/>
          </w:tcPr>
          <w:p>
            <w:pPr>
              <w:spacing w:line="360" w:lineRule="auto"/>
              <w:ind w:left="-48" w:leftChars="-23" w:right="-65" w:rightChars="-31"/>
              <w:jc w:val="center"/>
              <w:rPr>
                <w:rFonts w:ascii="宋体" w:hAnsi="宋体" w:cs="宋体"/>
                <w:kern w:val="0"/>
                <w:sz w:val="24"/>
                <w:szCs w:val="24"/>
              </w:rPr>
            </w:pPr>
            <w:r>
              <w:rPr>
                <w:rFonts w:hint="eastAsia" w:ascii="宋体" w:hAnsi="宋体" w:cs="宋体"/>
                <w:kern w:val="0"/>
                <w:sz w:val="24"/>
                <w:szCs w:val="24"/>
              </w:rPr>
              <w:t>分项合计</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c>
          <w:tcPr>
            <w:tcW w:w="1228" w:type="dxa"/>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3"/>
              </w:numPr>
              <w:tabs>
                <w:tab w:val="left" w:pos="82"/>
              </w:tabs>
              <w:adjustRightInd w:val="0"/>
              <w:snapToGrid w:val="0"/>
              <w:jc w:val="center"/>
              <w:rPr>
                <w:rFonts w:ascii="宋体" w:cs="Times New Roman"/>
                <w:sz w:val="24"/>
                <w:szCs w:val="24"/>
              </w:rPr>
            </w:pP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375" w:rightChars="-179"/>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3"/>
              </w:numPr>
              <w:tabs>
                <w:tab w:val="left" w:pos="82"/>
              </w:tabs>
              <w:adjustRightInd w:val="0"/>
              <w:snapToGrid w:val="0"/>
              <w:ind w:left="-2" w:firstLine="2"/>
              <w:jc w:val="center"/>
              <w:rPr>
                <w:rFonts w:ascii="宋体" w:cs="Times New Roman"/>
                <w:sz w:val="24"/>
                <w:szCs w:val="24"/>
              </w:rPr>
            </w:pP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65" w:rightChars="-31"/>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s="Times New Roman"/>
                <w:sz w:val="24"/>
                <w:szCs w:val="24"/>
              </w:rPr>
            </w:pPr>
            <w:r>
              <w:rPr>
                <w:rFonts w:hint="eastAsia" w:ascii="宋体" w:hAnsi="宋体" w:cs="宋体"/>
                <w:sz w:val="24"/>
                <w:szCs w:val="24"/>
              </w:rPr>
              <w:t>…</w:t>
            </w:r>
          </w:p>
        </w:tc>
        <w:tc>
          <w:tcPr>
            <w:tcW w:w="2414" w:type="dxa"/>
            <w:vAlign w:val="center"/>
          </w:tcPr>
          <w:p>
            <w:pPr>
              <w:spacing w:line="240" w:lineRule="atLeast"/>
              <w:ind w:left="-48" w:leftChars="-23" w:right="-65" w:rightChars="-31"/>
              <w:jc w:val="left"/>
              <w:rPr>
                <w:rFonts w:ascii="宋体" w:cs="Times New Roman"/>
                <w:kern w:val="0"/>
                <w:sz w:val="24"/>
                <w:szCs w:val="24"/>
              </w:rPr>
            </w:pPr>
          </w:p>
        </w:tc>
        <w:tc>
          <w:tcPr>
            <w:tcW w:w="1224" w:type="dxa"/>
            <w:vAlign w:val="center"/>
          </w:tcPr>
          <w:p>
            <w:pPr>
              <w:spacing w:line="240" w:lineRule="atLeast"/>
              <w:ind w:left="-48" w:leftChars="-23" w:right="-65" w:rightChars="-31"/>
              <w:jc w:val="left"/>
              <w:rPr>
                <w:rFonts w:ascii="宋体" w:cs="Times New Roman"/>
                <w:kern w:val="0"/>
                <w:sz w:val="24"/>
                <w:szCs w:val="24"/>
              </w:rPr>
            </w:pPr>
          </w:p>
        </w:tc>
        <w:tc>
          <w:tcPr>
            <w:tcW w:w="907" w:type="dxa"/>
            <w:vAlign w:val="center"/>
          </w:tcPr>
          <w:p>
            <w:pPr>
              <w:spacing w:line="240" w:lineRule="atLeast"/>
              <w:ind w:left="-48" w:leftChars="-23" w:right="-65" w:rightChars="-31"/>
              <w:jc w:val="center"/>
              <w:rPr>
                <w:rFonts w:ascii="宋体" w:cs="Times New Roman"/>
                <w:kern w:val="0"/>
                <w:sz w:val="24"/>
                <w:szCs w:val="24"/>
              </w:rPr>
            </w:pPr>
          </w:p>
        </w:tc>
        <w:tc>
          <w:tcPr>
            <w:tcW w:w="1278" w:type="dxa"/>
            <w:vAlign w:val="center"/>
          </w:tcPr>
          <w:p>
            <w:pPr>
              <w:spacing w:line="240" w:lineRule="atLeast"/>
              <w:ind w:left="-48" w:leftChars="-23" w:right="-65" w:rightChars="-31"/>
              <w:jc w:val="center"/>
              <w:rPr>
                <w:rFonts w:ascii="宋体" w:cs="Times New Roman"/>
                <w:kern w:val="0"/>
                <w:sz w:val="24"/>
                <w:szCs w:val="24"/>
              </w:rPr>
            </w:pPr>
          </w:p>
        </w:tc>
        <w:tc>
          <w:tcPr>
            <w:tcW w:w="1843" w:type="dxa"/>
            <w:vAlign w:val="center"/>
          </w:tcPr>
          <w:p>
            <w:pPr>
              <w:spacing w:line="240" w:lineRule="atLeast"/>
              <w:ind w:left="-48" w:leftChars="-23" w:right="-65" w:rightChars="-31"/>
              <w:jc w:val="left"/>
              <w:rPr>
                <w:rFonts w:ascii="宋体" w:cs="Times New Roman"/>
                <w:kern w:val="0"/>
                <w:sz w:val="24"/>
                <w:szCs w:val="24"/>
              </w:rPr>
            </w:pPr>
          </w:p>
        </w:tc>
        <w:tc>
          <w:tcPr>
            <w:tcW w:w="1228"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合计</w:t>
            </w:r>
          </w:p>
        </w:tc>
        <w:tc>
          <w:tcPr>
            <w:tcW w:w="3071" w:type="dxa"/>
            <w:gridSpan w:val="2"/>
            <w:vAlign w:val="center"/>
          </w:tcPr>
          <w:p>
            <w:pPr>
              <w:spacing w:line="240" w:lineRule="atLeast"/>
              <w:ind w:left="-48" w:leftChars="-23" w:right="-65" w:rightChars="-31"/>
              <w:jc w:val="left"/>
              <w:rPr>
                <w:rFonts w:ascii="宋体" w:cs="Times New Roman"/>
                <w:kern w:val="0"/>
                <w:sz w:val="24"/>
                <w:szCs w:val="24"/>
              </w:rPr>
            </w:pPr>
          </w:p>
        </w:tc>
      </w:tr>
    </w:tbl>
    <w:p>
      <w:pPr>
        <w:spacing w:line="360" w:lineRule="auto"/>
        <w:ind w:firstLine="480" w:firstLineChars="200"/>
        <w:rPr>
          <w:rFonts w:ascii="宋体" w:cs="Times New Roman"/>
          <w:sz w:val="24"/>
          <w:szCs w:val="24"/>
        </w:rPr>
      </w:pPr>
      <w:r>
        <w:rPr>
          <w:rFonts w:hint="eastAsia" w:ascii="宋体" w:hAnsi="宋体" w:cs="宋体"/>
          <w:sz w:val="24"/>
          <w:szCs w:val="24"/>
        </w:rPr>
        <w:t>本单位对上述声明的真实性负责。如有虚假，将依法承担相应责任。</w:t>
      </w:r>
    </w:p>
    <w:p>
      <w:pPr>
        <w:spacing w:line="360" w:lineRule="auto"/>
        <w:rPr>
          <w:rFonts w:ascii="宋体" w:cs="Times New Roman"/>
          <w:sz w:val="24"/>
          <w:szCs w:val="24"/>
        </w:rPr>
      </w:pPr>
    </w:p>
    <w:p>
      <w:pPr>
        <w:pStyle w:val="11"/>
        <w:spacing w:line="360" w:lineRule="auto"/>
        <w:jc w:val="left"/>
        <w:rPr>
          <w:rFonts w:hAnsi="宋体" w:cs="Times New Roman"/>
          <w:sz w:val="24"/>
          <w:szCs w:val="24"/>
        </w:rPr>
      </w:pPr>
      <w:r>
        <w:rPr>
          <w:rFonts w:hint="eastAsia" w:hAnsi="宋体"/>
          <w:sz w:val="24"/>
          <w:szCs w:val="24"/>
        </w:rPr>
        <w:t>说明：</w:t>
      </w:r>
      <w:r>
        <w:rPr>
          <w:rFonts w:hAnsi="宋体"/>
          <w:sz w:val="24"/>
          <w:szCs w:val="24"/>
        </w:rPr>
        <w:t>1</w:t>
      </w:r>
      <w:r>
        <w:rPr>
          <w:rFonts w:hint="eastAsia" w:hAnsi="宋体"/>
          <w:sz w:val="24"/>
          <w:szCs w:val="24"/>
        </w:rPr>
        <w:t>、投标人所投货物为自己制造的，也应按本声明函格式填写。</w:t>
      </w:r>
    </w:p>
    <w:p>
      <w:pPr>
        <w:pStyle w:val="11"/>
        <w:spacing w:line="360" w:lineRule="auto"/>
        <w:ind w:left="1078" w:leftChars="342" w:hanging="360" w:hangingChars="150"/>
        <w:jc w:val="left"/>
        <w:rPr>
          <w:rFonts w:hAnsi="宋体" w:cs="Times New Roman"/>
          <w:sz w:val="24"/>
          <w:szCs w:val="24"/>
        </w:rPr>
      </w:pPr>
      <w:r>
        <w:rPr>
          <w:rFonts w:hAnsi="宋体"/>
          <w:sz w:val="24"/>
          <w:szCs w:val="24"/>
        </w:rPr>
        <w:t>2</w:t>
      </w:r>
      <w:r>
        <w:rPr>
          <w:rFonts w:hint="eastAsia" w:hAnsi="宋体"/>
          <w:sz w:val="24"/>
          <w:szCs w:val="24"/>
        </w:rPr>
        <w:t>、组成联合体的大中型企业和其他自然人、法人或者其他组织，与残疾人福利性单位之间不得存在投资关系。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s="Times New Roman"/>
          <w:sz w:val="24"/>
          <w:szCs w:val="24"/>
        </w:rPr>
      </w:pPr>
      <w:r>
        <w:rPr>
          <w:rFonts w:hAnsi="宋体"/>
          <w:sz w:val="24"/>
          <w:szCs w:val="24"/>
        </w:rPr>
        <w:t>3</w:t>
      </w:r>
      <w:r>
        <w:rPr>
          <w:rFonts w:hint="eastAsia" w:hAnsi="宋体"/>
          <w:sz w:val="24"/>
          <w:szCs w:val="24"/>
        </w:rPr>
        <w:t>、以联合体方式参与本项目投标的供应商，应由联合体双方签字盖章。</w:t>
      </w:r>
    </w:p>
    <w:p>
      <w:pPr>
        <w:spacing w:line="360" w:lineRule="auto"/>
        <w:rPr>
          <w:rFonts w:ascii="宋体" w:cs="Times New Roman"/>
          <w:sz w:val="24"/>
          <w:szCs w:val="24"/>
        </w:rPr>
      </w:pP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制造商（公章）：</w:t>
      </w: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制造商法定代表人（签字或盖章）：</w:t>
      </w:r>
    </w:p>
    <w:p>
      <w:pPr>
        <w:spacing w:before="100" w:beforeAutospacing="1" w:after="100" w:afterAutospacing="1" w:line="360" w:lineRule="auto"/>
        <w:ind w:firstLine="3316" w:firstLineChars="1382"/>
        <w:rPr>
          <w:rFonts w:cs="Times New Roman"/>
        </w:rPr>
      </w:pPr>
      <w:r>
        <w:rPr>
          <w:rFonts w:hint="eastAsia" w:ascii="Times New Roman" w:hAnsi="宋体" w:cs="宋体"/>
          <w:b/>
          <w:bCs/>
          <w:sz w:val="24"/>
          <w:szCs w:val="24"/>
        </w:rPr>
        <w:t>日</w:t>
      </w:r>
      <w:r>
        <w:rPr>
          <w:rFonts w:ascii="Times New Roman" w:hAnsi="宋体" w:cs="Times New Roman"/>
          <w:b/>
          <w:bCs/>
          <w:sz w:val="24"/>
          <w:szCs w:val="24"/>
        </w:rPr>
        <w:t>   </w:t>
      </w:r>
      <w:r>
        <w:rPr>
          <w:rFonts w:hint="eastAsia" w:ascii="Times New Roman" w:hAnsi="宋体" w:cs="宋体"/>
          <w:b/>
          <w:bCs/>
          <w:sz w:val="24"/>
          <w:szCs w:val="24"/>
        </w:rPr>
        <w:t>期：</w:t>
      </w:r>
      <w:r>
        <w:rPr>
          <w:rFonts w:cs="Times New Roman"/>
        </w:rPr>
        <w:br w:type="page"/>
      </w:r>
    </w:p>
    <w:p>
      <w:pPr>
        <w:adjustRightInd w:val="0"/>
        <w:snapToGrid w:val="0"/>
        <w:jc w:val="center"/>
        <w:rPr>
          <w:rFonts w:ascii="宋体" w:cs="Times New Roman"/>
          <w:b/>
          <w:bCs/>
          <w:sz w:val="30"/>
          <w:szCs w:val="30"/>
          <w:lang w:val="zh-CN"/>
        </w:rPr>
      </w:pPr>
    </w:p>
    <w:p>
      <w:pPr>
        <w:adjustRightInd w:val="0"/>
        <w:snapToGrid w:val="0"/>
        <w:spacing w:before="312" w:beforeLines="100"/>
        <w:jc w:val="center"/>
        <w:rPr>
          <w:rFonts w:ascii="宋体" w:cs="Times New Roman"/>
          <w:b/>
          <w:bCs/>
          <w:sz w:val="30"/>
          <w:szCs w:val="30"/>
          <w:lang w:val="zh-CN"/>
        </w:rPr>
      </w:pPr>
      <w:r>
        <w:rPr>
          <w:rFonts w:hint="eastAsia" w:ascii="宋体" w:hAnsi="宋体" w:cs="宋体"/>
          <w:b/>
          <w:bCs/>
          <w:sz w:val="30"/>
          <w:szCs w:val="30"/>
          <w:lang w:val="zh-CN"/>
        </w:rPr>
        <w:t>残疾人福利性单位声明函</w:t>
      </w:r>
    </w:p>
    <w:p>
      <w:pPr>
        <w:adjustRightInd w:val="0"/>
        <w:snapToGrid w:val="0"/>
        <w:spacing w:before="156" w:beforeLines="50" w:after="156" w:afterLines="50"/>
        <w:jc w:val="center"/>
        <w:rPr>
          <w:rFonts w:ascii="宋体" w:hAnsi="Courier New" w:cs="Times New Roman"/>
          <w:sz w:val="24"/>
          <w:szCs w:val="24"/>
          <w:lang w:val="zh-CN"/>
        </w:rPr>
      </w:pPr>
      <w:r>
        <w:rPr>
          <w:rFonts w:hint="eastAsia" w:ascii="宋体" w:hAnsi="Courier New" w:cs="宋体"/>
          <w:sz w:val="24"/>
          <w:szCs w:val="24"/>
          <w:lang w:val="zh-CN"/>
        </w:rPr>
        <w:t>（适用于工程类、服务类项目）</w:t>
      </w:r>
    </w:p>
    <w:p>
      <w:pPr>
        <w:spacing w:line="360" w:lineRule="auto"/>
        <w:rPr>
          <w:rFonts w:cs="Times New Roman"/>
          <w:b/>
          <w:bCs/>
          <w:sz w:val="28"/>
          <w:szCs w:val="28"/>
        </w:rPr>
      </w:pPr>
      <w:r>
        <w:rPr>
          <w:rFonts w:hint="eastAsia" w:cs="宋体"/>
          <w:b/>
          <w:bCs/>
          <w:sz w:val="28"/>
          <w:szCs w:val="28"/>
        </w:rPr>
        <w:t>采购人（或采购代理公司）：</w:t>
      </w:r>
    </w:p>
    <w:p>
      <w:pPr>
        <w:spacing w:line="360" w:lineRule="auto"/>
        <w:ind w:firstLine="480" w:firstLineChars="200"/>
        <w:rPr>
          <w:rFonts w:ascii="宋体" w:cs="Times New Roman"/>
          <w:sz w:val="24"/>
          <w:szCs w:val="24"/>
        </w:rPr>
      </w:pPr>
      <w:r>
        <w:rPr>
          <w:rFonts w:hint="eastAsia" w:ascii="宋体" w:hAnsi="宋体" w:cs="宋体"/>
          <w:sz w:val="24"/>
          <w:szCs w:val="24"/>
        </w:rPr>
        <w:t>本单位郑重声明，根据《财政部</w:t>
      </w:r>
      <w:r>
        <w:rPr>
          <w:rFonts w:ascii="宋体" w:hAnsi="宋体" w:cs="宋体"/>
          <w:sz w:val="24"/>
          <w:szCs w:val="24"/>
        </w:rPr>
        <w:t xml:space="preserve"> </w:t>
      </w:r>
      <w:r>
        <w:rPr>
          <w:rFonts w:hint="eastAsia" w:ascii="宋体" w:hAnsi="宋体" w:cs="宋体"/>
          <w:sz w:val="24"/>
          <w:szCs w:val="24"/>
        </w:rPr>
        <w:t>民政部</w:t>
      </w:r>
      <w:r>
        <w:rPr>
          <w:rFonts w:ascii="宋体" w:hAnsi="宋体" w:cs="宋体"/>
          <w:sz w:val="24"/>
          <w:szCs w:val="24"/>
        </w:rPr>
        <w:t xml:space="preserve"> </w:t>
      </w:r>
      <w:r>
        <w:rPr>
          <w:rFonts w:hint="eastAsia" w:ascii="宋体" w:hAnsi="宋体" w:cs="宋体"/>
          <w:sz w:val="24"/>
          <w:szCs w:val="24"/>
        </w:rPr>
        <w:t>中国残疾人联合会关于促进残疾人就业政府采购政策的通知》（财库〔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号）的规定，本单位为符合条件的残疾人福利性单位</w:t>
      </w:r>
      <w:r>
        <w:rPr>
          <w:rFonts w:hint="eastAsia" w:hAnsi="宋体" w:cs="宋体"/>
          <w:sz w:val="24"/>
          <w:szCs w:val="24"/>
        </w:rPr>
        <w:t>（详见“残疾人福利性单位应当满足的条件”）</w:t>
      </w:r>
      <w:r>
        <w:rPr>
          <w:rFonts w:hint="eastAsia" w:ascii="宋体" w:hAnsi="宋体" w:cs="宋体"/>
          <w:sz w:val="24"/>
          <w:szCs w:val="24"/>
        </w:rPr>
        <w:t>，且本单位参加</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Times New Roman" w:hAnsi="宋体" w:cs="宋体"/>
          <w:sz w:val="24"/>
          <w:szCs w:val="24"/>
          <w:u w:val="single"/>
        </w:rPr>
        <w:t>采购</w:t>
      </w:r>
      <w:r>
        <w:rPr>
          <w:rFonts w:hint="eastAsia" w:ascii="宋体" w:hAnsi="宋体" w:cs="宋体"/>
          <w:sz w:val="24"/>
          <w:szCs w:val="24"/>
          <w:u w:val="single"/>
        </w:rPr>
        <w:t>人）</w:t>
      </w:r>
      <w:r>
        <w:rPr>
          <w:rFonts w:hint="eastAsia" w:ascii="Times New Roman" w:hAnsi="宋体" w:cs="宋体"/>
          <w:sz w:val="24"/>
          <w:szCs w:val="24"/>
        </w:rPr>
        <w:t>的</w:t>
      </w:r>
      <w:r>
        <w:rPr>
          <w:rFonts w:ascii="宋体" w:hAnsi="宋体" w:cs="宋体"/>
          <w:sz w:val="24"/>
          <w:szCs w:val="24"/>
          <w:u w:val="single"/>
        </w:rPr>
        <w:t>__   _</w:t>
      </w:r>
      <w:r>
        <w:rPr>
          <w:rFonts w:hint="eastAsia" w:ascii="Times New Roman" w:hAnsi="宋体" w:cs="宋体"/>
          <w:sz w:val="24"/>
          <w:szCs w:val="24"/>
        </w:rPr>
        <w:t>项目（项目编号：</w:t>
      </w:r>
      <w:r>
        <w:rPr>
          <w:rFonts w:ascii="Times New Roman" w:hAnsi="宋体" w:cs="Times New Roman"/>
          <w:sz w:val="24"/>
          <w:szCs w:val="24"/>
        </w:rPr>
        <w:t>______</w:t>
      </w:r>
      <w:r>
        <w:rPr>
          <w:rFonts w:hint="eastAsia" w:ascii="Times New Roman" w:hAnsi="宋体" w:cs="宋体"/>
          <w:sz w:val="24"/>
          <w:szCs w:val="24"/>
        </w:rPr>
        <w:t>）</w:t>
      </w:r>
      <w:r>
        <w:rPr>
          <w:rFonts w:hint="eastAsia" w:ascii="宋体" w:hAnsi="宋体" w:cs="宋体"/>
          <w:sz w:val="24"/>
          <w:szCs w:val="24"/>
        </w:rPr>
        <w:t>采购活动由本单位承担工程（或提供服务）。</w:t>
      </w:r>
    </w:p>
    <w:p>
      <w:pPr>
        <w:spacing w:line="360" w:lineRule="auto"/>
        <w:ind w:firstLine="480" w:firstLineChars="200"/>
        <w:rPr>
          <w:rFonts w:ascii="宋体" w:cs="Times New Roman"/>
          <w:sz w:val="24"/>
          <w:szCs w:val="24"/>
        </w:rPr>
      </w:pPr>
      <w:r>
        <w:rPr>
          <w:rFonts w:hint="eastAsia" w:ascii="宋体" w:hAnsi="宋体" w:cs="宋体"/>
          <w:sz w:val="24"/>
          <w:szCs w:val="24"/>
        </w:rPr>
        <w:t>本单位对上述声明的真实性负责。如有虚假，将依法承担相应责任。</w:t>
      </w: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ind w:left="1080" w:hanging="1080" w:hangingChars="450"/>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、组成联合体的大中型企业和其他自然人、法人或者其他组织，与残疾人福利性单位之间不得存在投资关系。</w:t>
      </w:r>
    </w:p>
    <w:p>
      <w:pPr>
        <w:spacing w:line="360" w:lineRule="auto"/>
        <w:ind w:left="1078" w:leftChars="342" w:hanging="360" w:hangingChars="150"/>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、以联合体方式参与本项目投标的供应商，应由联合体双方签字盖章。</w:t>
      </w:r>
    </w:p>
    <w:p>
      <w:pPr>
        <w:spacing w:line="360" w:lineRule="auto"/>
        <w:rPr>
          <w:rFonts w:ascii="宋体" w:cs="Times New Roman"/>
          <w:sz w:val="24"/>
          <w:szCs w:val="24"/>
        </w:rPr>
      </w:pPr>
    </w:p>
    <w:p>
      <w:pPr>
        <w:spacing w:line="360" w:lineRule="auto"/>
        <w:rPr>
          <w:rFonts w:ascii="宋体" w:cs="Times New Roman"/>
          <w:sz w:val="24"/>
          <w:szCs w:val="24"/>
        </w:rPr>
      </w:pP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制造商（公章）：</w:t>
      </w:r>
    </w:p>
    <w:p>
      <w:pPr>
        <w:spacing w:before="100" w:beforeAutospacing="1" w:after="100" w:afterAutospacing="1" w:line="360" w:lineRule="auto"/>
        <w:ind w:firstLine="3316" w:firstLineChars="1382"/>
        <w:rPr>
          <w:rFonts w:ascii="宋体" w:cs="Times New Roman"/>
          <w:b/>
          <w:bCs/>
          <w:sz w:val="24"/>
          <w:szCs w:val="24"/>
          <w:lang w:val="zh-CN"/>
        </w:rPr>
      </w:pPr>
      <w:r>
        <w:rPr>
          <w:rFonts w:hint="eastAsia" w:ascii="宋体" w:hAnsi="宋体" w:cs="宋体"/>
          <w:b/>
          <w:bCs/>
          <w:sz w:val="24"/>
          <w:szCs w:val="24"/>
          <w:lang w:val="zh-CN"/>
        </w:rPr>
        <w:t>投标人授权代表（签字）：</w:t>
      </w:r>
    </w:p>
    <w:p>
      <w:pPr>
        <w:spacing w:before="100" w:beforeAutospacing="1" w:after="100" w:afterAutospacing="1" w:line="360" w:lineRule="auto"/>
        <w:ind w:firstLine="3316" w:firstLineChars="1382"/>
        <w:rPr>
          <w:rFonts w:ascii="Times New Roman" w:hAnsi="宋体" w:cs="Times New Roman"/>
          <w:sz w:val="24"/>
          <w:szCs w:val="24"/>
          <w:u w:val="single"/>
        </w:rPr>
      </w:pPr>
      <w:r>
        <w:rPr>
          <w:rFonts w:hint="eastAsia" w:ascii="Times New Roman" w:hAnsi="宋体" w:cs="宋体"/>
          <w:b/>
          <w:bCs/>
          <w:sz w:val="24"/>
          <w:szCs w:val="24"/>
        </w:rPr>
        <w:t>日</w:t>
      </w:r>
      <w:r>
        <w:rPr>
          <w:rFonts w:ascii="Times New Roman" w:hAnsi="宋体" w:cs="Times New Roman"/>
          <w:b/>
          <w:bCs/>
          <w:sz w:val="24"/>
          <w:szCs w:val="24"/>
        </w:rPr>
        <w:t>   </w:t>
      </w:r>
      <w:r>
        <w:rPr>
          <w:rFonts w:hint="eastAsia" w:ascii="Times New Roman" w:hAnsi="宋体" w:cs="宋体"/>
          <w:b/>
          <w:bCs/>
          <w:sz w:val="24"/>
          <w:szCs w:val="24"/>
        </w:rPr>
        <w:t>期：</w:t>
      </w:r>
    </w:p>
    <w:p>
      <w:pPr>
        <w:rPr>
          <w:rFonts w:cs="Times New Roman"/>
        </w:rPr>
      </w:pPr>
      <w:r>
        <w:rPr>
          <w:rFonts w:cs="Times New Roman"/>
        </w:rPr>
        <w:br w:type="page"/>
      </w:r>
    </w:p>
    <w:p>
      <w:pPr>
        <w:spacing w:line="600" w:lineRule="exact"/>
        <w:rPr>
          <w:rFonts w:ascii="Times New Roman" w:hAnsi="Times New Roman" w:cs="Times New Roman"/>
          <w:b/>
          <w:bCs/>
          <w:sz w:val="24"/>
          <w:szCs w:val="24"/>
        </w:rPr>
      </w:pPr>
      <w:r>
        <w:rPr>
          <w:rFonts w:hint="eastAsia" w:ascii="Times New Roman" w:hAnsi="Times New Roman" w:cs="宋体"/>
          <w:b/>
          <w:bCs/>
          <w:sz w:val="24"/>
          <w:szCs w:val="24"/>
        </w:rPr>
        <w:t>享受政府采购支持政策的残疾人福利性单位应当同时满足以下条件：</w:t>
      </w:r>
    </w:p>
    <w:p>
      <w:pPr>
        <w:spacing w:line="600" w:lineRule="exact"/>
        <w:ind w:firstLine="480" w:firstLineChars="200"/>
        <w:rPr>
          <w:rFonts w:ascii="宋体" w:cs="Times New Roman"/>
          <w:sz w:val="24"/>
          <w:szCs w:val="24"/>
        </w:rPr>
      </w:pPr>
      <w:r>
        <w:rPr>
          <w:rFonts w:hint="eastAsia" w:ascii="宋体" w:hAnsi="宋体" w:cs="宋体"/>
          <w:sz w:val="24"/>
          <w:szCs w:val="24"/>
        </w:rPr>
        <w:t>（一）安置的残疾人占本单位在职职工人数的比例不低于</w:t>
      </w:r>
      <w:r>
        <w:rPr>
          <w:rFonts w:ascii="宋体" w:hAnsi="宋体" w:cs="宋体"/>
          <w:sz w:val="24"/>
          <w:szCs w:val="24"/>
        </w:rPr>
        <w:t>25%</w:t>
      </w:r>
      <w:r>
        <w:rPr>
          <w:rFonts w:hint="eastAsia" w:ascii="宋体" w:hAnsi="宋体" w:cs="宋体"/>
          <w:sz w:val="24"/>
          <w:szCs w:val="24"/>
        </w:rPr>
        <w:t>（含</w:t>
      </w:r>
      <w:r>
        <w:rPr>
          <w:rFonts w:ascii="宋体" w:hAnsi="宋体" w:cs="宋体"/>
          <w:sz w:val="24"/>
          <w:szCs w:val="24"/>
        </w:rPr>
        <w:t>25%</w:t>
      </w:r>
      <w:r>
        <w:rPr>
          <w:rFonts w:hint="eastAsia" w:ascii="宋体" w:hAnsi="宋体" w:cs="宋体"/>
          <w:sz w:val="24"/>
          <w:szCs w:val="24"/>
        </w:rPr>
        <w:t>），并且安置的残疾人人数不少于</w:t>
      </w:r>
      <w:r>
        <w:rPr>
          <w:rFonts w:ascii="宋体" w:hAnsi="宋体" w:cs="宋体"/>
          <w:sz w:val="24"/>
          <w:szCs w:val="24"/>
        </w:rPr>
        <w:t>10</w:t>
      </w:r>
      <w:r>
        <w:rPr>
          <w:rFonts w:hint="eastAsia" w:ascii="宋体" w:hAnsi="宋体" w:cs="宋体"/>
          <w:sz w:val="24"/>
          <w:szCs w:val="24"/>
        </w:rPr>
        <w:t>人（含</w:t>
      </w:r>
      <w:r>
        <w:rPr>
          <w:rFonts w:ascii="宋体" w:hAnsi="宋体" w:cs="宋体"/>
          <w:sz w:val="24"/>
          <w:szCs w:val="24"/>
        </w:rPr>
        <w:t>10</w:t>
      </w:r>
      <w:r>
        <w:rPr>
          <w:rFonts w:hint="eastAsia" w:ascii="宋体" w:hAnsi="宋体" w:cs="宋体"/>
          <w:sz w:val="24"/>
          <w:szCs w:val="24"/>
        </w:rPr>
        <w:t>人）；</w:t>
      </w:r>
    </w:p>
    <w:p>
      <w:pPr>
        <w:spacing w:line="600" w:lineRule="exact"/>
        <w:ind w:firstLine="480" w:firstLineChars="200"/>
        <w:rPr>
          <w:rFonts w:ascii="宋体" w:cs="Times New Roman"/>
          <w:sz w:val="24"/>
          <w:szCs w:val="24"/>
        </w:rPr>
      </w:pPr>
      <w:r>
        <w:rPr>
          <w:rFonts w:hint="eastAsia" w:ascii="宋体" w:hAnsi="宋体" w:cs="宋体"/>
          <w:sz w:val="24"/>
          <w:szCs w:val="24"/>
        </w:rPr>
        <w:t>（二）依法与安置的每位残疾人签订了一年以上（含一年）的劳动合同或服务协议；</w:t>
      </w:r>
    </w:p>
    <w:p>
      <w:pPr>
        <w:spacing w:line="600" w:lineRule="exact"/>
        <w:ind w:firstLine="480" w:firstLineChars="200"/>
        <w:rPr>
          <w:rFonts w:ascii="宋体" w:cs="Times New Roman"/>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cs="Times New Roman"/>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cs="Times New Roman"/>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cs="Times New Roman"/>
          <w:sz w:val="24"/>
          <w:szCs w:val="24"/>
        </w:rPr>
      </w:pPr>
      <w:r>
        <w:rPr>
          <w:rFonts w:hint="eastAsia" w:ascii="宋体" w:hAnsi="宋体" w:cs="宋体"/>
          <w:sz w:val="24"/>
          <w:szCs w:val="24"/>
        </w:rPr>
        <w:t>前款所称残疾人是指法定劳动年龄内，持有《中华人民共和国残疾人证》或者《中华人民共和国残疾军人证（</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8</w:t>
      </w:r>
      <w:r>
        <w:rPr>
          <w:rFonts w:hint="eastAsia" w:ascii="宋体" w:hAnsi="宋体" w:cs="宋体"/>
          <w:sz w:val="24"/>
          <w:szCs w:val="24"/>
        </w:rPr>
        <w:t>级）》的自然人，包括具有劳动条件和劳动意愿的精神残疾人。在职职工人数是指与残疾人福利性单位建立劳动关系并依法签订劳动合同或者服务协议的雇员人数。</w:t>
      </w:r>
    </w:p>
    <w:p>
      <w:pPr>
        <w:rPr>
          <w:rFonts w:cs="Times New Roman"/>
        </w:rPr>
      </w:pP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174" w:name="_Toc494577410"/>
      <w:bookmarkStart w:id="175" w:name="_Toc509323146"/>
      <w:bookmarkStart w:id="176" w:name="_Toc494702275"/>
      <w:bookmarkStart w:id="177" w:name="_Toc494721105"/>
      <w:bookmarkStart w:id="178" w:name="_Toc494665955"/>
      <w:bookmarkStart w:id="179" w:name="_Toc494665558"/>
      <w:bookmarkStart w:id="180" w:name="_Toc495861554"/>
      <w:bookmarkStart w:id="181" w:name="_Toc494745322"/>
      <w:bookmarkStart w:id="182" w:name="_Toc494665005"/>
      <w:r>
        <w:rPr>
          <w:rFonts w:hint="eastAsia" w:ascii="宋体" w:hAnsi="宋体" w:cs="宋体"/>
        </w:rPr>
        <w:t>开标一览表</w:t>
      </w:r>
      <w:bookmarkEnd w:id="174"/>
      <w:bookmarkEnd w:id="175"/>
      <w:bookmarkEnd w:id="176"/>
      <w:bookmarkEnd w:id="177"/>
      <w:bookmarkEnd w:id="178"/>
      <w:bookmarkEnd w:id="179"/>
      <w:bookmarkEnd w:id="180"/>
      <w:bookmarkEnd w:id="181"/>
      <w:bookmarkEnd w:id="182"/>
    </w:p>
    <w:p>
      <w:pPr>
        <w:spacing w:line="360" w:lineRule="auto"/>
        <w:jc w:val="left"/>
        <w:rPr>
          <w:rFonts w:ascii="宋体" w:cs="Times New Roman"/>
          <w:b/>
          <w:bCs/>
          <w:sz w:val="24"/>
          <w:szCs w:val="24"/>
          <w:u w:val="single"/>
          <w:lang w:val="zh-CN"/>
        </w:rPr>
      </w:pPr>
      <w:r>
        <w:rPr>
          <w:rFonts w:hint="eastAsia" w:ascii="宋体" w:hAnsi="宋体" w:cs="宋体"/>
          <w:b/>
          <w:bCs/>
          <w:sz w:val="24"/>
          <w:szCs w:val="24"/>
          <w:lang w:val="zh-CN"/>
        </w:rPr>
        <w:t>投</w:t>
      </w:r>
      <w:r>
        <w:rPr>
          <w:rFonts w:ascii="宋体" w:hAnsi="宋体" w:cs="宋体"/>
          <w:b/>
          <w:bCs/>
          <w:sz w:val="24"/>
          <w:szCs w:val="24"/>
          <w:lang w:val="zh-CN"/>
        </w:rPr>
        <w:t xml:space="preserve"> </w:t>
      </w:r>
      <w:r>
        <w:rPr>
          <w:rFonts w:hint="eastAsia" w:ascii="宋体" w:hAnsi="宋体" w:cs="宋体"/>
          <w:b/>
          <w:bCs/>
          <w:sz w:val="24"/>
          <w:szCs w:val="24"/>
          <w:lang w:val="zh-CN"/>
        </w:rPr>
        <w:t>标</w:t>
      </w:r>
      <w:r>
        <w:rPr>
          <w:rFonts w:ascii="宋体" w:hAnsi="宋体" w:cs="宋体"/>
          <w:b/>
          <w:bCs/>
          <w:sz w:val="24"/>
          <w:szCs w:val="24"/>
          <w:lang w:val="zh-CN"/>
        </w:rPr>
        <w:t xml:space="preserve"> </w:t>
      </w:r>
      <w:r>
        <w:rPr>
          <w:rFonts w:hint="eastAsia" w:ascii="宋体" w:hAnsi="宋体" w:cs="宋体"/>
          <w:b/>
          <w:bCs/>
          <w:sz w:val="24"/>
          <w:szCs w:val="24"/>
          <w:lang w:val="zh-CN"/>
        </w:rPr>
        <w:t>人：</w:t>
      </w:r>
    </w:p>
    <w:p>
      <w:pPr>
        <w:spacing w:line="360" w:lineRule="auto"/>
        <w:jc w:val="left"/>
        <w:rPr>
          <w:rFonts w:ascii="宋体" w:cs="Times New Roman"/>
          <w:b/>
          <w:bCs/>
          <w:sz w:val="24"/>
          <w:szCs w:val="24"/>
          <w:lang w:val="zh-CN"/>
        </w:rPr>
      </w:pPr>
      <w:r>
        <w:rPr>
          <w:rFonts w:hint="eastAsia" w:ascii="宋体" w:hAnsi="宋体" w:cs="宋体"/>
          <w:b/>
          <w:bCs/>
          <w:sz w:val="24"/>
          <w:szCs w:val="24"/>
          <w:lang w:val="zh-CN"/>
        </w:rPr>
        <w:t>项目名称：</w:t>
      </w:r>
    </w:p>
    <w:p>
      <w:pPr>
        <w:spacing w:line="360" w:lineRule="auto"/>
        <w:jc w:val="left"/>
        <w:rPr>
          <w:rFonts w:ascii="宋体" w:cs="Times New Roman"/>
          <w:b/>
          <w:bCs/>
          <w:sz w:val="24"/>
          <w:szCs w:val="24"/>
          <w:u w:val="single"/>
          <w:lang w:val="zh-CN"/>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47" w:type="dxa"/>
        <w:tblInd w:w="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tcBorders>
            <w:shd w:val="clear" w:color="auto" w:fill="EEECE1"/>
            <w:vAlign w:val="center"/>
          </w:tcPr>
          <w:p>
            <w:pPr>
              <w:spacing w:line="360" w:lineRule="auto"/>
              <w:ind w:left="-50" w:leftChars="-24" w:right="-65" w:rightChars="-31"/>
              <w:jc w:val="center"/>
              <w:rPr>
                <w:rFonts w:ascii="宋体" w:cs="Times New Roman"/>
                <w:kern w:val="0"/>
                <w:sz w:val="24"/>
                <w:szCs w:val="24"/>
              </w:rPr>
            </w:pPr>
            <w:r>
              <w:rPr>
                <w:rFonts w:hint="eastAsia" w:ascii="宋体" w:hAnsi="宋体" w:cs="宋体"/>
                <w:kern w:val="0"/>
                <w:sz w:val="24"/>
                <w:szCs w:val="24"/>
              </w:rPr>
              <w:t>序号</w:t>
            </w:r>
          </w:p>
        </w:tc>
        <w:tc>
          <w:tcPr>
            <w:tcW w:w="1981" w:type="dxa"/>
            <w:gridSpan w:val="2"/>
            <w:tcBorders>
              <w:top w:val="double" w:color="auto" w:sz="4" w:space="0"/>
            </w:tcBorders>
            <w:shd w:val="clear" w:color="auto" w:fill="EEECE1"/>
            <w:vAlign w:val="center"/>
          </w:tcPr>
          <w:p>
            <w:pPr>
              <w:spacing w:line="360" w:lineRule="auto"/>
              <w:ind w:left="-50" w:leftChars="-24" w:right="-65" w:rightChars="-31"/>
              <w:jc w:val="center"/>
              <w:rPr>
                <w:rFonts w:ascii="宋体" w:cs="Times New Roman"/>
                <w:kern w:val="0"/>
                <w:sz w:val="24"/>
                <w:szCs w:val="24"/>
              </w:rPr>
            </w:pPr>
            <w:r>
              <w:rPr>
                <w:rFonts w:hint="eastAsia" w:ascii="宋体" w:hAnsi="宋体" w:cs="宋体"/>
                <w:kern w:val="0"/>
                <w:sz w:val="24"/>
                <w:szCs w:val="24"/>
              </w:rPr>
              <w:t>名称</w:t>
            </w:r>
          </w:p>
        </w:tc>
        <w:tc>
          <w:tcPr>
            <w:tcW w:w="2954" w:type="dxa"/>
            <w:tcBorders>
              <w:top w:val="double" w:color="auto" w:sz="4" w:space="0"/>
            </w:tcBorders>
            <w:shd w:val="clear" w:color="auto" w:fill="EEECE1"/>
            <w:vAlign w:val="center"/>
          </w:tcPr>
          <w:p>
            <w:pPr>
              <w:spacing w:line="360" w:lineRule="auto"/>
              <w:ind w:left="-50" w:leftChars="-24" w:right="-65" w:rightChars="-31"/>
              <w:jc w:val="center"/>
              <w:rPr>
                <w:rFonts w:ascii="宋体" w:cs="Times New Roman"/>
                <w:kern w:val="0"/>
                <w:sz w:val="24"/>
                <w:szCs w:val="24"/>
              </w:rPr>
            </w:pPr>
            <w:r>
              <w:rPr>
                <w:rFonts w:hint="eastAsia" w:ascii="宋体" w:hAnsi="宋体" w:cs="宋体"/>
                <w:kern w:val="0"/>
                <w:sz w:val="24"/>
                <w:szCs w:val="24"/>
              </w:rPr>
              <w:t>品牌、型号</w:t>
            </w:r>
          </w:p>
        </w:tc>
        <w:tc>
          <w:tcPr>
            <w:tcW w:w="1119" w:type="dxa"/>
            <w:tcBorders>
              <w:top w:val="double" w:color="auto" w:sz="4" w:space="0"/>
            </w:tcBorders>
            <w:shd w:val="clear" w:color="auto" w:fill="EEECE1"/>
            <w:vAlign w:val="center"/>
          </w:tcPr>
          <w:p>
            <w:pPr>
              <w:spacing w:line="360" w:lineRule="auto"/>
              <w:ind w:left="-50" w:leftChars="-24" w:right="-65" w:rightChars="-31"/>
              <w:jc w:val="center"/>
              <w:rPr>
                <w:rFonts w:ascii="宋体" w:cs="Times New Roman"/>
                <w:kern w:val="0"/>
                <w:sz w:val="24"/>
                <w:szCs w:val="24"/>
              </w:rPr>
            </w:pPr>
            <w:r>
              <w:rPr>
                <w:rFonts w:hint="eastAsia" w:ascii="宋体" w:hAnsi="宋体" w:cs="宋体"/>
                <w:kern w:val="0"/>
                <w:sz w:val="24"/>
                <w:szCs w:val="24"/>
              </w:rPr>
              <w:t>数量</w:t>
            </w:r>
          </w:p>
        </w:tc>
        <w:tc>
          <w:tcPr>
            <w:tcW w:w="1134"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szCs w:val="24"/>
              </w:rPr>
            </w:pPr>
            <w:r>
              <w:rPr>
                <w:rFonts w:hint="eastAsia" w:ascii="宋体" w:hAnsi="宋体" w:cs="宋体"/>
                <w:kern w:val="0"/>
                <w:sz w:val="24"/>
                <w:szCs w:val="24"/>
              </w:rPr>
              <w:t>单价</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c>
          <w:tcPr>
            <w:tcW w:w="1708"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kern w:val="0"/>
                <w:sz w:val="24"/>
                <w:szCs w:val="24"/>
              </w:rPr>
            </w:pPr>
            <w:r>
              <w:rPr>
                <w:rFonts w:hint="eastAsia" w:ascii="宋体" w:hAnsi="宋体" w:cs="宋体"/>
                <w:kern w:val="0"/>
                <w:sz w:val="24"/>
                <w:szCs w:val="24"/>
              </w:rPr>
              <w:t>分项合计</w:t>
            </w:r>
            <w:r>
              <w:rPr>
                <w:rFonts w:ascii="宋体" w:hAnsi="宋体" w:cs="宋体"/>
                <w:kern w:val="0"/>
                <w:sz w:val="24"/>
                <w:szCs w:val="24"/>
              </w:rPr>
              <w:t>(</w:t>
            </w:r>
            <w:r>
              <w:rPr>
                <w:rFonts w:hint="eastAsia" w:ascii="宋体" w:hAnsi="宋体" w:cs="宋体"/>
                <w:kern w:val="0"/>
                <w:sz w:val="24"/>
                <w:szCs w:val="24"/>
              </w:rPr>
              <w:t>元</w:t>
            </w:r>
            <w:r>
              <w:rPr>
                <w:rFonts w:ascii="宋体" w:hAnsi="宋体" w:cs="宋体"/>
                <w:kern w:val="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48" w:leftChars="-23" w:right="-65" w:rightChars="-31"/>
              <w:jc w:val="center"/>
              <w:rPr>
                <w:rFonts w:ascii="宋体" w:cs="Times New Roman"/>
                <w:kern w:val="0"/>
                <w:sz w:val="24"/>
                <w:szCs w:val="24"/>
              </w:rPr>
            </w:pPr>
          </w:p>
        </w:tc>
        <w:tc>
          <w:tcPr>
            <w:tcW w:w="1981" w:type="dxa"/>
            <w:gridSpan w:val="2"/>
            <w:vAlign w:val="center"/>
          </w:tcPr>
          <w:p>
            <w:pPr>
              <w:spacing w:line="240" w:lineRule="atLeast"/>
              <w:ind w:left="-48" w:leftChars="-23" w:right="-65" w:rightChars="-31"/>
              <w:jc w:val="center"/>
              <w:rPr>
                <w:rFonts w:ascii="宋体" w:cs="Times New Roman"/>
                <w:kern w:val="0"/>
                <w:sz w:val="24"/>
                <w:szCs w:val="24"/>
              </w:rPr>
            </w:pPr>
          </w:p>
        </w:tc>
        <w:tc>
          <w:tcPr>
            <w:tcW w:w="2954" w:type="dxa"/>
            <w:vAlign w:val="center"/>
          </w:tcPr>
          <w:p>
            <w:pPr>
              <w:spacing w:line="240" w:lineRule="atLeast"/>
              <w:ind w:left="-48" w:leftChars="-23" w:right="-65" w:rightChars="-31"/>
              <w:jc w:val="center"/>
              <w:rPr>
                <w:rFonts w:ascii="宋体" w:cs="Times New Roman"/>
                <w:kern w:val="0"/>
                <w:sz w:val="24"/>
                <w:szCs w:val="24"/>
              </w:rPr>
            </w:pPr>
          </w:p>
        </w:tc>
        <w:tc>
          <w:tcPr>
            <w:tcW w:w="1119" w:type="dxa"/>
            <w:vAlign w:val="center"/>
          </w:tcPr>
          <w:p>
            <w:pPr>
              <w:spacing w:line="240" w:lineRule="atLeast"/>
              <w:ind w:left="-48" w:leftChars="-23" w:right="-65" w:rightChars="-31"/>
              <w:jc w:val="center"/>
              <w:rPr>
                <w:rFonts w:ascii="宋体" w:cs="Times New Roman"/>
                <w:kern w:val="0"/>
                <w:sz w:val="24"/>
                <w:szCs w:val="24"/>
              </w:rPr>
            </w:pPr>
          </w:p>
        </w:tc>
        <w:tc>
          <w:tcPr>
            <w:tcW w:w="1134" w:type="dxa"/>
            <w:vAlign w:val="center"/>
          </w:tcPr>
          <w:p>
            <w:pPr>
              <w:spacing w:line="240" w:lineRule="atLeast"/>
              <w:ind w:left="-48" w:leftChars="-23" w:right="-65" w:rightChars="-31"/>
              <w:jc w:val="center"/>
              <w:rPr>
                <w:rFonts w:ascii="宋体" w:cs="Times New Roman"/>
                <w:kern w:val="0"/>
                <w:sz w:val="24"/>
                <w:szCs w:val="24"/>
              </w:rPr>
            </w:pPr>
          </w:p>
        </w:tc>
        <w:tc>
          <w:tcPr>
            <w:tcW w:w="1708" w:type="dxa"/>
            <w:vAlign w:val="center"/>
          </w:tcPr>
          <w:p>
            <w:pPr>
              <w:spacing w:line="240" w:lineRule="atLeast"/>
              <w:ind w:left="-48" w:leftChars="-23" w:right="-65" w:rightChars="-31"/>
              <w:jc w:val="center"/>
              <w:rPr>
                <w:rFonts w:ascii="宋体"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48" w:leftChars="-23" w:right="-65" w:rightChars="-31"/>
              <w:jc w:val="center"/>
              <w:rPr>
                <w:rFonts w:ascii="宋体" w:cs="Times New Roman"/>
                <w:kern w:val="0"/>
                <w:sz w:val="24"/>
                <w:szCs w:val="24"/>
              </w:rPr>
            </w:pPr>
          </w:p>
        </w:tc>
        <w:tc>
          <w:tcPr>
            <w:tcW w:w="1981" w:type="dxa"/>
            <w:gridSpan w:val="2"/>
            <w:vAlign w:val="center"/>
          </w:tcPr>
          <w:p>
            <w:pPr>
              <w:spacing w:line="240" w:lineRule="atLeast"/>
              <w:ind w:left="-48" w:leftChars="-23" w:right="-65" w:rightChars="-31"/>
              <w:jc w:val="center"/>
              <w:rPr>
                <w:rFonts w:ascii="宋体" w:cs="Times New Roman"/>
                <w:kern w:val="0"/>
                <w:sz w:val="24"/>
                <w:szCs w:val="24"/>
              </w:rPr>
            </w:pPr>
          </w:p>
        </w:tc>
        <w:tc>
          <w:tcPr>
            <w:tcW w:w="2954" w:type="dxa"/>
            <w:vAlign w:val="center"/>
          </w:tcPr>
          <w:p>
            <w:pPr>
              <w:spacing w:line="240" w:lineRule="atLeast"/>
              <w:ind w:left="-48" w:leftChars="-23" w:right="-65" w:rightChars="-31"/>
              <w:jc w:val="center"/>
              <w:rPr>
                <w:rFonts w:ascii="宋体" w:cs="Times New Roman"/>
                <w:kern w:val="0"/>
                <w:sz w:val="24"/>
                <w:szCs w:val="24"/>
              </w:rPr>
            </w:pPr>
          </w:p>
        </w:tc>
        <w:tc>
          <w:tcPr>
            <w:tcW w:w="1119" w:type="dxa"/>
            <w:vAlign w:val="center"/>
          </w:tcPr>
          <w:p>
            <w:pPr>
              <w:spacing w:line="240" w:lineRule="atLeast"/>
              <w:ind w:left="-48" w:leftChars="-23" w:right="-65" w:rightChars="-31"/>
              <w:jc w:val="center"/>
              <w:rPr>
                <w:rFonts w:ascii="宋体" w:cs="Times New Roman"/>
                <w:kern w:val="0"/>
                <w:sz w:val="24"/>
                <w:szCs w:val="24"/>
              </w:rPr>
            </w:pPr>
          </w:p>
        </w:tc>
        <w:tc>
          <w:tcPr>
            <w:tcW w:w="1134" w:type="dxa"/>
            <w:vAlign w:val="center"/>
          </w:tcPr>
          <w:p>
            <w:pPr>
              <w:spacing w:line="240" w:lineRule="atLeast"/>
              <w:ind w:left="-48" w:leftChars="-23" w:right="-65" w:rightChars="-31"/>
              <w:jc w:val="center"/>
              <w:rPr>
                <w:rFonts w:ascii="宋体" w:cs="Times New Roman"/>
                <w:kern w:val="0"/>
                <w:sz w:val="24"/>
                <w:szCs w:val="24"/>
              </w:rPr>
            </w:pPr>
          </w:p>
        </w:tc>
        <w:tc>
          <w:tcPr>
            <w:tcW w:w="1708" w:type="dxa"/>
            <w:vAlign w:val="center"/>
          </w:tcPr>
          <w:p>
            <w:pPr>
              <w:spacing w:line="240" w:lineRule="atLeast"/>
              <w:ind w:left="-48" w:leftChars="-23" w:right="-65" w:rightChars="-31"/>
              <w:jc w:val="center"/>
              <w:rPr>
                <w:rFonts w:ascii="宋体"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vAlign w:val="center"/>
          </w:tcPr>
          <w:p>
            <w:pPr>
              <w:spacing w:line="240" w:lineRule="atLeast"/>
              <w:ind w:left="-48" w:leftChars="-23" w:right="-65" w:rightChars="-31"/>
              <w:jc w:val="center"/>
              <w:rPr>
                <w:rFonts w:ascii="宋体" w:cs="Times New Roman"/>
                <w:kern w:val="0"/>
                <w:sz w:val="24"/>
                <w:szCs w:val="24"/>
              </w:rPr>
            </w:pPr>
          </w:p>
        </w:tc>
        <w:tc>
          <w:tcPr>
            <w:tcW w:w="1981" w:type="dxa"/>
            <w:gridSpan w:val="2"/>
            <w:vAlign w:val="center"/>
          </w:tcPr>
          <w:p>
            <w:pPr>
              <w:spacing w:line="240" w:lineRule="atLeast"/>
              <w:ind w:left="-48" w:leftChars="-23" w:right="-65" w:rightChars="-31"/>
              <w:jc w:val="center"/>
              <w:rPr>
                <w:rFonts w:ascii="宋体" w:cs="Times New Roman"/>
                <w:kern w:val="0"/>
                <w:sz w:val="24"/>
                <w:szCs w:val="24"/>
              </w:rPr>
            </w:pPr>
          </w:p>
        </w:tc>
        <w:tc>
          <w:tcPr>
            <w:tcW w:w="2954" w:type="dxa"/>
            <w:vAlign w:val="center"/>
          </w:tcPr>
          <w:p>
            <w:pPr>
              <w:spacing w:line="240" w:lineRule="atLeast"/>
              <w:ind w:left="-48" w:leftChars="-23" w:right="-65" w:rightChars="-31"/>
              <w:jc w:val="center"/>
              <w:rPr>
                <w:rFonts w:ascii="宋体" w:cs="Times New Roman"/>
                <w:kern w:val="0"/>
                <w:sz w:val="24"/>
                <w:szCs w:val="24"/>
              </w:rPr>
            </w:pPr>
          </w:p>
        </w:tc>
        <w:tc>
          <w:tcPr>
            <w:tcW w:w="1119" w:type="dxa"/>
            <w:vAlign w:val="center"/>
          </w:tcPr>
          <w:p>
            <w:pPr>
              <w:spacing w:line="240" w:lineRule="atLeast"/>
              <w:ind w:left="-48" w:leftChars="-23" w:right="-65" w:rightChars="-31"/>
              <w:jc w:val="center"/>
              <w:rPr>
                <w:rFonts w:ascii="宋体" w:cs="Times New Roman"/>
                <w:kern w:val="0"/>
                <w:sz w:val="24"/>
                <w:szCs w:val="24"/>
              </w:rPr>
            </w:pPr>
          </w:p>
        </w:tc>
        <w:tc>
          <w:tcPr>
            <w:tcW w:w="1134" w:type="dxa"/>
            <w:vAlign w:val="center"/>
          </w:tcPr>
          <w:p>
            <w:pPr>
              <w:spacing w:line="240" w:lineRule="atLeast"/>
              <w:ind w:left="-48" w:leftChars="-23" w:right="-65" w:rightChars="-31"/>
              <w:jc w:val="center"/>
              <w:rPr>
                <w:rFonts w:ascii="宋体" w:cs="Times New Roman"/>
                <w:kern w:val="0"/>
                <w:sz w:val="24"/>
                <w:szCs w:val="24"/>
              </w:rPr>
            </w:pPr>
          </w:p>
        </w:tc>
        <w:tc>
          <w:tcPr>
            <w:tcW w:w="1708" w:type="dxa"/>
            <w:vAlign w:val="center"/>
          </w:tcPr>
          <w:p>
            <w:pPr>
              <w:spacing w:line="240" w:lineRule="atLeast"/>
              <w:ind w:left="-48" w:leftChars="-23" w:right="-65" w:rightChars="-31"/>
              <w:jc w:val="center"/>
              <w:rPr>
                <w:rFonts w:ascii="宋体" w:cs="Times New Roman"/>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投标总报价</w:t>
            </w:r>
          </w:p>
        </w:tc>
        <w:tc>
          <w:tcPr>
            <w:tcW w:w="7839" w:type="dxa"/>
            <w:gridSpan w:val="5"/>
            <w:vAlign w:val="center"/>
          </w:tcPr>
          <w:p>
            <w:pPr>
              <w:spacing w:after="120" w:line="400" w:lineRule="atLeast"/>
              <w:ind w:left="205" w:leftChars="98" w:right="-65" w:rightChars="-31"/>
              <w:jc w:val="left"/>
              <w:rPr>
                <w:rFonts w:ascii="宋体" w:cs="Times New Roman"/>
                <w:kern w:val="0"/>
                <w:sz w:val="24"/>
                <w:szCs w:val="24"/>
              </w:rPr>
            </w:pPr>
            <w:r>
              <w:rPr>
                <w:rFonts w:hint="eastAsia" w:ascii="宋体" w:hAnsi="宋体" w:cs="宋体"/>
                <w:kern w:val="0"/>
                <w:sz w:val="24"/>
                <w:szCs w:val="24"/>
              </w:rPr>
              <w:t>小写：万元整（</w:t>
            </w:r>
            <w:r>
              <w:rPr>
                <w:rFonts w:ascii="宋体"/>
                <w:kern w:val="0"/>
                <w:sz w:val="24"/>
                <w:szCs w:val="24"/>
              </w:rPr>
              <w:t>¥</w:t>
            </w:r>
            <w:r>
              <w:rPr>
                <w:rFonts w:hint="eastAsia" w:ascii="宋体" w:hAnsi="宋体" w:cs="宋体"/>
                <w:kern w:val="0"/>
                <w:sz w:val="24"/>
                <w:szCs w:val="24"/>
              </w:rPr>
              <w:t>）</w:t>
            </w:r>
          </w:p>
          <w:p>
            <w:pPr>
              <w:spacing w:after="120" w:line="400" w:lineRule="atLeast"/>
              <w:ind w:left="205" w:leftChars="98" w:right="-65" w:rightChars="-31"/>
              <w:jc w:val="left"/>
              <w:rPr>
                <w:rFonts w:ascii="宋体" w:cs="Times New Roman"/>
                <w:kern w:val="0"/>
                <w:sz w:val="24"/>
                <w:szCs w:val="24"/>
              </w:rPr>
            </w:pPr>
            <w:r>
              <w:rPr>
                <w:rFonts w:hint="eastAsia" w:ascii="宋体" w:hAnsi="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（服务期限）</w:t>
            </w:r>
          </w:p>
        </w:tc>
        <w:tc>
          <w:tcPr>
            <w:tcW w:w="7839" w:type="dxa"/>
            <w:gridSpan w:val="5"/>
            <w:vAlign w:val="center"/>
          </w:tcPr>
          <w:p>
            <w:pPr>
              <w:spacing w:line="240" w:lineRule="atLeast"/>
              <w:ind w:left="-48" w:leftChars="-23" w:right="-65" w:rightChars="-31"/>
              <w:jc w:val="left"/>
              <w:rPr>
                <w:rFonts w:ascii="宋体" w:cs="Times New Roman"/>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质保期</w:t>
            </w:r>
          </w:p>
        </w:tc>
        <w:tc>
          <w:tcPr>
            <w:tcW w:w="7839" w:type="dxa"/>
            <w:gridSpan w:val="5"/>
            <w:vAlign w:val="center"/>
          </w:tcPr>
          <w:p>
            <w:pPr>
              <w:spacing w:line="240" w:lineRule="atLeast"/>
              <w:ind w:left="-48" w:leftChars="-23" w:right="-65" w:rightChars="-31"/>
              <w:jc w:val="left"/>
              <w:rPr>
                <w:rFonts w:ascii="宋体" w:cs="Times New Roman"/>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bottom w:val="double" w:color="auto" w:sz="4" w:space="0"/>
            </w:tcBorders>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备注</w:t>
            </w:r>
          </w:p>
        </w:tc>
        <w:tc>
          <w:tcPr>
            <w:tcW w:w="7839" w:type="dxa"/>
            <w:gridSpan w:val="5"/>
            <w:tcBorders>
              <w:bottom w:val="double" w:color="auto" w:sz="4" w:space="0"/>
            </w:tcBorders>
            <w:vAlign w:val="center"/>
          </w:tcPr>
          <w:p>
            <w:pPr>
              <w:spacing w:line="276" w:lineRule="auto"/>
              <w:ind w:left="-48" w:leftChars="-23" w:right="-65" w:rightChars="-31"/>
              <w:jc w:val="left"/>
              <w:rPr>
                <w:rFonts w:ascii="宋体" w:cs="Times New Roman"/>
                <w:sz w:val="24"/>
                <w:szCs w:val="24"/>
              </w:rPr>
            </w:pPr>
            <w:r>
              <w:rPr>
                <w:rFonts w:hint="eastAsia" w:ascii="Times New Roman" w:hAnsi="宋体" w:cs="宋体"/>
                <w:sz w:val="24"/>
                <w:szCs w:val="24"/>
              </w:rPr>
              <w:t>小型和微型企业、监狱企业、残疾人福利性单位价格扣除</w:t>
            </w:r>
            <w:r>
              <w:rPr>
                <w:rFonts w:hint="eastAsia" w:ascii="宋体" w:hAnsi="宋体" w:cs="宋体"/>
                <w:sz w:val="24"/>
                <w:szCs w:val="24"/>
              </w:rPr>
              <w:t>合计（</w:t>
            </w:r>
            <w:r>
              <w:rPr>
                <w:rFonts w:hint="eastAsia" w:ascii="宋体" w:hAnsi="宋体" w:cs="宋体"/>
                <w:kern w:val="0"/>
                <w:sz w:val="24"/>
                <w:szCs w:val="24"/>
              </w:rPr>
              <w:t>大写</w:t>
            </w:r>
            <w:r>
              <w:rPr>
                <w:rFonts w:hint="eastAsia" w:ascii="宋体" w:hAnsi="宋体" w:cs="宋体"/>
                <w:sz w:val="24"/>
                <w:szCs w:val="24"/>
              </w:rPr>
              <w:t>）：</w:t>
            </w:r>
          </w:p>
          <w:p>
            <w:pPr>
              <w:spacing w:line="276" w:lineRule="auto"/>
              <w:ind w:left="-48" w:leftChars="-23" w:right="-65" w:rightChars="-31"/>
              <w:jc w:val="left"/>
              <w:rPr>
                <w:rFonts w:ascii="宋体" w:cs="Times New Roman"/>
                <w:kern w:val="0"/>
                <w:sz w:val="24"/>
                <w:szCs w:val="24"/>
                <w:lang w:val="zh-CN"/>
              </w:rPr>
            </w:pPr>
            <w:r>
              <w:rPr>
                <w:rFonts w:hint="eastAsia" w:ascii="宋体" w:hAnsi="宋体" w:cs="宋体"/>
                <w:kern w:val="0"/>
                <w:sz w:val="24"/>
                <w:szCs w:val="24"/>
              </w:rPr>
              <w:t>万仟佰拾元整（或以联合体投标的，</w:t>
            </w:r>
            <w:r>
              <w:rPr>
                <w:rFonts w:hint="eastAsia" w:ascii="宋体" w:hAnsi="宋体" w:cs="宋体"/>
                <w:sz w:val="24"/>
                <w:szCs w:val="24"/>
              </w:rPr>
              <w:t>联合协议中约定小型、微型企业的协议合同金额占到联合体协议合同总金额的</w:t>
            </w:r>
            <w:r>
              <w:rPr>
                <w:rFonts w:ascii="宋体" w:hAnsi="宋体" w:cs="宋体"/>
                <w:sz w:val="24"/>
                <w:szCs w:val="24"/>
              </w:rPr>
              <w:t>%</w:t>
            </w:r>
            <w:r>
              <w:rPr>
                <w:rFonts w:hint="eastAsia" w:ascii="宋体" w:hAnsi="宋体" w:cs="宋体"/>
                <w:sz w:val="24"/>
                <w:szCs w:val="24"/>
              </w:rPr>
              <w:t>）</w:t>
            </w:r>
          </w:p>
        </w:tc>
      </w:tr>
    </w:tbl>
    <w:p>
      <w:pPr>
        <w:spacing w:line="360" w:lineRule="auto"/>
        <w:ind w:left="1049" w:hanging="1048" w:hangingChars="437"/>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．所有价格均用人民币表示，单位为万元。</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．价格应按照招标文件第二章“投标人须知”中第</w:t>
      </w:r>
      <w:r>
        <w:rPr>
          <w:rFonts w:ascii="宋体" w:hAnsi="宋体" w:cs="宋体"/>
          <w:sz w:val="24"/>
          <w:szCs w:val="24"/>
        </w:rPr>
        <w:t>12</w:t>
      </w:r>
      <w:r>
        <w:rPr>
          <w:rFonts w:hint="eastAsia" w:ascii="宋体" w:hAnsi="宋体" w:cs="宋体"/>
          <w:sz w:val="24"/>
          <w:szCs w:val="24"/>
        </w:rPr>
        <w:t>条的要求进行报价。</w:t>
      </w:r>
    </w:p>
    <w:p>
      <w:pPr>
        <w:spacing w:line="360" w:lineRule="auto"/>
        <w:ind w:left="1061" w:leftChars="339" w:hanging="350" w:hangingChars="146"/>
        <w:jc w:val="left"/>
        <w:rPr>
          <w:rFonts w:ascii="宋体" w:cs="Times New Roman"/>
          <w:b/>
          <w:bCs/>
          <w:sz w:val="24"/>
          <w:szCs w:val="24"/>
        </w:rPr>
      </w:pPr>
      <w:r>
        <w:rPr>
          <w:rFonts w:ascii="宋体" w:hAnsi="宋体" w:cs="宋体"/>
          <w:sz w:val="24"/>
          <w:szCs w:val="24"/>
        </w:rPr>
        <w:t>3</w:t>
      </w:r>
      <w:r>
        <w:rPr>
          <w:rFonts w:hint="eastAsia" w:ascii="宋体" w:hAnsi="宋体" w:cs="宋体"/>
          <w:sz w:val="24"/>
          <w:szCs w:val="24"/>
        </w:rPr>
        <w:t>．为方便开标时唱标，投标人应另附《开标一览表》及《交纳投标保证金的银行凭证》（如有交纳保证金要求的）各一份一并</w:t>
      </w:r>
      <w:r>
        <w:rPr>
          <w:rFonts w:hint="eastAsia" w:ascii="宋体" w:hAnsi="宋体" w:cs="宋体"/>
          <w:spacing w:val="-6"/>
          <w:kern w:val="0"/>
          <w:sz w:val="24"/>
          <w:szCs w:val="24"/>
        </w:rPr>
        <w:t>装入一个信封，单独密封提交</w:t>
      </w:r>
      <w:r>
        <w:rPr>
          <w:rFonts w:hint="eastAsia" w:ascii="宋体" w:hAnsi="宋体" w:cs="宋体"/>
          <w:sz w:val="24"/>
          <w:szCs w:val="24"/>
        </w:rPr>
        <w:t>，并在信封上标明“开标一览表”字样。未单独提交或单独提交的上述资料未按照招标文件规定的格式填写完整并签字、盖章</w:t>
      </w:r>
      <w:r>
        <w:rPr>
          <w:rFonts w:hint="eastAsia" w:ascii="宋体" w:hAnsi="宋体" w:cs="宋体"/>
          <w:sz w:val="24"/>
          <w:szCs w:val="24"/>
          <w:lang w:val="zh-CN"/>
        </w:rPr>
        <w:t>的采购</w:t>
      </w:r>
      <w:r>
        <w:rPr>
          <w:rFonts w:hint="eastAsia" w:ascii="宋体" w:hAnsi="宋体" w:cs="宋体"/>
          <w:sz w:val="24"/>
          <w:szCs w:val="24"/>
        </w:rPr>
        <w:t>代理</w:t>
      </w:r>
      <w:r>
        <w:rPr>
          <w:rFonts w:hint="eastAsia" w:ascii="宋体" w:hAnsi="宋体" w:cs="宋体"/>
          <w:sz w:val="24"/>
          <w:szCs w:val="24"/>
          <w:lang w:val="zh-CN"/>
        </w:rPr>
        <w:t>机构</w:t>
      </w:r>
      <w:r>
        <w:rPr>
          <w:rFonts w:hint="eastAsia" w:ascii="宋体" w:hAnsi="宋体" w:cs="宋体"/>
          <w:b/>
          <w:bCs/>
          <w:sz w:val="24"/>
          <w:szCs w:val="24"/>
          <w:lang w:val="zh-CN"/>
        </w:rPr>
        <w:t>拒绝</w:t>
      </w:r>
      <w:r>
        <w:rPr>
          <w:rFonts w:hint="eastAsia" w:ascii="宋体" w:hAnsi="宋体" w:cs="宋体"/>
          <w:sz w:val="24"/>
          <w:szCs w:val="24"/>
          <w:lang w:val="zh-CN"/>
        </w:rPr>
        <w:t>其投标。</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 xml:space="preserve">4. </w:t>
      </w:r>
      <w:r>
        <w:rPr>
          <w:rFonts w:hint="eastAsia" w:ascii="宋体" w:hAnsi="宋体" w:cs="宋体"/>
          <w:sz w:val="24"/>
          <w:szCs w:val="24"/>
        </w:rPr>
        <w:t>本表应按要求由投标人法人授权代表签字，并加盖投标单位公章，否则将被视为非响应性投标，将按照</w:t>
      </w:r>
      <w:r>
        <w:rPr>
          <w:rFonts w:hint="eastAsia" w:ascii="宋体" w:hAnsi="宋体" w:cs="宋体"/>
          <w:b/>
          <w:bCs/>
          <w:sz w:val="24"/>
          <w:szCs w:val="24"/>
        </w:rPr>
        <w:t>无效投标处理</w:t>
      </w:r>
      <w:r>
        <w:rPr>
          <w:rFonts w:hint="eastAsia" w:ascii="宋体" w:hAnsi="宋体" w:cs="宋体"/>
          <w:sz w:val="24"/>
          <w:szCs w:val="24"/>
        </w:rPr>
        <w:t>。</w:t>
      </w: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投标人（公章）：</w:t>
      </w: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投标人授权代表（签字）：</w:t>
      </w:r>
    </w:p>
    <w:p>
      <w:pPr>
        <w:spacing w:before="100" w:beforeAutospacing="1" w:after="100" w:afterAutospacing="1" w:line="360" w:lineRule="auto"/>
        <w:ind w:firstLine="3316" w:firstLineChars="1382"/>
        <w:rPr>
          <w:rFonts w:ascii="宋体" w:cs="Times New Roman"/>
          <w:b/>
          <w:bCs/>
          <w:sz w:val="24"/>
          <w:szCs w:val="24"/>
          <w:u w:val="single"/>
          <w:lang w:val="zh-CN"/>
        </w:rPr>
      </w:pPr>
      <w:r>
        <w:rPr>
          <w:rFonts w:hint="eastAsia" w:ascii="宋体" w:hAnsi="宋体" w:cs="宋体"/>
          <w:b/>
          <w:bCs/>
          <w:sz w:val="24"/>
          <w:szCs w:val="24"/>
          <w:lang w:val="zh-CN"/>
        </w:rPr>
        <w:t>投标时间：</w:t>
      </w:r>
    </w:p>
    <w:p>
      <w:pPr>
        <w:rPr>
          <w:rFonts w:cs="Times New Roman"/>
        </w:rPr>
      </w:pPr>
    </w:p>
    <w:p>
      <w:pPr>
        <w:pStyle w:val="4"/>
        <w:numPr>
          <w:ilvl w:val="0"/>
          <w:numId w:val="41"/>
        </w:numPr>
        <w:spacing w:before="100" w:beforeAutospacing="1" w:after="156" w:afterLines="50" w:line="360" w:lineRule="auto"/>
        <w:ind w:left="1288" w:hanging="1288"/>
        <w:rPr>
          <w:rFonts w:ascii="宋体" w:cs="Times New Roman"/>
        </w:rPr>
      </w:pPr>
      <w:bookmarkStart w:id="183" w:name="_Toc494702276"/>
      <w:bookmarkStart w:id="184" w:name="_Toc509323147"/>
      <w:bookmarkStart w:id="185" w:name="_Toc494665559"/>
      <w:bookmarkStart w:id="186" w:name="_Toc495861555"/>
      <w:bookmarkStart w:id="187" w:name="_Toc494577411"/>
      <w:bookmarkStart w:id="188" w:name="_Toc494721106"/>
      <w:bookmarkStart w:id="189" w:name="_Toc494665006"/>
      <w:bookmarkStart w:id="190" w:name="_Toc494665956"/>
      <w:bookmarkStart w:id="191" w:name="_Toc494745323"/>
      <w:r>
        <w:rPr>
          <w:rFonts w:hint="eastAsia" w:ascii="宋体" w:hAnsi="宋体" w:cs="宋体"/>
        </w:rPr>
        <w:t>投标报价明细表</w:t>
      </w:r>
      <w:bookmarkEnd w:id="183"/>
      <w:bookmarkEnd w:id="184"/>
      <w:bookmarkEnd w:id="185"/>
      <w:bookmarkEnd w:id="186"/>
      <w:bookmarkEnd w:id="187"/>
      <w:bookmarkEnd w:id="188"/>
      <w:bookmarkEnd w:id="189"/>
      <w:bookmarkEnd w:id="190"/>
      <w:bookmarkEnd w:id="191"/>
    </w:p>
    <w:p>
      <w:pPr>
        <w:spacing w:line="360" w:lineRule="auto"/>
        <w:jc w:val="left"/>
        <w:rPr>
          <w:rFonts w:ascii="宋体" w:cs="Times New Roman"/>
          <w:b/>
          <w:bCs/>
          <w:sz w:val="24"/>
          <w:szCs w:val="24"/>
          <w:u w:val="single"/>
          <w:lang w:val="zh-CN"/>
        </w:rPr>
      </w:pPr>
      <w:r>
        <w:rPr>
          <w:rFonts w:hint="eastAsia" w:ascii="宋体" w:hAnsi="宋体" w:cs="宋体"/>
          <w:b/>
          <w:bCs/>
          <w:sz w:val="24"/>
          <w:szCs w:val="24"/>
          <w:lang w:val="zh-CN"/>
        </w:rPr>
        <w:t>投</w:t>
      </w:r>
      <w:r>
        <w:rPr>
          <w:rFonts w:ascii="宋体" w:hAnsi="宋体" w:cs="宋体"/>
          <w:b/>
          <w:bCs/>
          <w:sz w:val="24"/>
          <w:szCs w:val="24"/>
          <w:lang w:val="zh-CN"/>
        </w:rPr>
        <w:t xml:space="preserve"> </w:t>
      </w:r>
      <w:r>
        <w:rPr>
          <w:rFonts w:hint="eastAsia" w:ascii="宋体" w:hAnsi="宋体" w:cs="宋体"/>
          <w:b/>
          <w:bCs/>
          <w:sz w:val="24"/>
          <w:szCs w:val="24"/>
          <w:lang w:val="zh-CN"/>
        </w:rPr>
        <w:t>标</w:t>
      </w:r>
      <w:r>
        <w:rPr>
          <w:rFonts w:ascii="宋体" w:hAnsi="宋体" w:cs="宋体"/>
          <w:b/>
          <w:bCs/>
          <w:sz w:val="24"/>
          <w:szCs w:val="24"/>
          <w:lang w:val="zh-CN"/>
        </w:rPr>
        <w:t xml:space="preserve"> </w:t>
      </w:r>
      <w:r>
        <w:rPr>
          <w:rFonts w:hint="eastAsia" w:ascii="宋体" w:hAnsi="宋体" w:cs="宋体"/>
          <w:b/>
          <w:bCs/>
          <w:sz w:val="24"/>
          <w:szCs w:val="24"/>
          <w:lang w:val="zh-CN"/>
        </w:rPr>
        <w:t>人：</w:t>
      </w:r>
    </w:p>
    <w:p>
      <w:pPr>
        <w:spacing w:line="360" w:lineRule="auto"/>
        <w:jc w:val="left"/>
        <w:rPr>
          <w:rFonts w:ascii="宋体" w:cs="Times New Roman"/>
          <w:b/>
          <w:bCs/>
          <w:sz w:val="24"/>
          <w:szCs w:val="24"/>
          <w:lang w:val="zh-CN"/>
        </w:rPr>
      </w:pPr>
      <w:r>
        <w:rPr>
          <w:rFonts w:hint="eastAsia" w:ascii="宋体" w:hAnsi="宋体" w:cs="宋体"/>
          <w:b/>
          <w:bCs/>
          <w:sz w:val="24"/>
          <w:szCs w:val="24"/>
          <w:lang w:val="zh-CN"/>
        </w:rPr>
        <w:t>项目名称：</w:t>
      </w:r>
    </w:p>
    <w:p>
      <w:pPr>
        <w:spacing w:line="360" w:lineRule="auto"/>
        <w:jc w:val="left"/>
        <w:rPr>
          <w:rFonts w:ascii="宋体" w:cs="Times New Roman"/>
          <w:b/>
          <w:bCs/>
          <w:sz w:val="24"/>
          <w:szCs w:val="24"/>
          <w:u w:val="single"/>
          <w:lang w:val="zh-CN"/>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4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9D9D9"/>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序号</w:t>
            </w:r>
          </w:p>
        </w:tc>
        <w:tc>
          <w:tcPr>
            <w:tcW w:w="2611" w:type="dxa"/>
            <w:shd w:val="clear" w:color="auto" w:fill="D9D9D9"/>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名称</w:t>
            </w:r>
          </w:p>
        </w:tc>
        <w:tc>
          <w:tcPr>
            <w:tcW w:w="1134" w:type="dxa"/>
            <w:shd w:val="clear" w:color="auto" w:fill="D9D9D9"/>
            <w:vAlign w:val="center"/>
          </w:tcPr>
          <w:p>
            <w:pPr>
              <w:ind w:left="-48" w:leftChars="-23" w:right="-65" w:rightChars="-31"/>
              <w:jc w:val="center"/>
              <w:rPr>
                <w:rFonts w:ascii="宋体" w:cs="Times New Roman"/>
                <w:kern w:val="0"/>
                <w:sz w:val="24"/>
                <w:szCs w:val="24"/>
              </w:rPr>
            </w:pPr>
            <w:r>
              <w:rPr>
                <w:rFonts w:hint="eastAsia" w:ascii="宋体" w:hAnsi="宋体" w:cs="宋体"/>
                <w:sz w:val="24"/>
                <w:szCs w:val="24"/>
              </w:rPr>
              <w:t>品牌型号规格</w:t>
            </w:r>
          </w:p>
        </w:tc>
        <w:tc>
          <w:tcPr>
            <w:tcW w:w="800" w:type="dxa"/>
            <w:shd w:val="clear" w:color="auto" w:fill="D9D9D9"/>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数量</w:t>
            </w:r>
          </w:p>
        </w:tc>
        <w:tc>
          <w:tcPr>
            <w:tcW w:w="1676" w:type="dxa"/>
            <w:shd w:val="clear" w:color="auto" w:fill="D9D9D9"/>
            <w:vAlign w:val="center"/>
          </w:tcPr>
          <w:p>
            <w:pPr>
              <w:spacing w:line="360" w:lineRule="auto"/>
              <w:ind w:left="-48" w:leftChars="-23" w:right="-65" w:rightChars="-31"/>
              <w:jc w:val="center"/>
              <w:rPr>
                <w:rFonts w:ascii="宋体" w:cs="Times New Roman"/>
                <w:kern w:val="0"/>
                <w:sz w:val="24"/>
                <w:szCs w:val="24"/>
              </w:rPr>
            </w:pPr>
            <w:r>
              <w:rPr>
                <w:rFonts w:hint="eastAsia" w:ascii="宋体" w:hAnsi="宋体" w:cs="宋体"/>
                <w:kern w:val="0"/>
                <w:sz w:val="24"/>
                <w:szCs w:val="24"/>
              </w:rPr>
              <w:t>制造商名称</w:t>
            </w:r>
          </w:p>
        </w:tc>
        <w:tc>
          <w:tcPr>
            <w:tcW w:w="1316" w:type="dxa"/>
            <w:shd w:val="clear" w:color="auto" w:fill="D9D9D9"/>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单价</w:t>
            </w:r>
          </w:p>
        </w:tc>
        <w:tc>
          <w:tcPr>
            <w:tcW w:w="1357" w:type="dxa"/>
            <w:shd w:val="clear" w:color="auto" w:fill="D9D9D9"/>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ind w:left="547" w:hanging="547" w:hangingChars="228"/>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1</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375" w:rightChars="-179"/>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2</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3</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4</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5</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6</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numPr>
                <w:ilvl w:val="0"/>
                <w:numId w:val="44"/>
              </w:numPr>
              <w:tabs>
                <w:tab w:val="left" w:pos="82"/>
              </w:tabs>
              <w:adjustRightInd w:val="0"/>
              <w:snapToGrid w:val="0"/>
              <w:jc w:val="center"/>
              <w:rPr>
                <w:rFonts w:ascii="宋体" w:cs="Times New Roman"/>
                <w:sz w:val="24"/>
                <w:szCs w:val="24"/>
              </w:rPr>
            </w:pPr>
          </w:p>
        </w:tc>
        <w:tc>
          <w:tcPr>
            <w:tcW w:w="2611" w:type="dxa"/>
            <w:vAlign w:val="center"/>
          </w:tcPr>
          <w:p>
            <w:pPr>
              <w:tabs>
                <w:tab w:val="left" w:pos="0"/>
                <w:tab w:val="left" w:pos="56"/>
              </w:tabs>
              <w:adjustRightInd w:val="0"/>
              <w:snapToGrid w:val="0"/>
              <w:jc w:val="center"/>
              <w:rPr>
                <w:rFonts w:ascii="宋体" w:cs="Times New Roman"/>
                <w:sz w:val="24"/>
                <w:szCs w:val="24"/>
              </w:rPr>
            </w:pPr>
            <w:r>
              <w:rPr>
                <w:rFonts w:hint="eastAsia" w:ascii="宋体" w:hAnsi="宋体" w:cs="宋体"/>
                <w:sz w:val="24"/>
                <w:szCs w:val="24"/>
              </w:rPr>
              <w:t>货物</w:t>
            </w:r>
            <w:r>
              <w:rPr>
                <w:rFonts w:ascii="宋体" w:hAnsi="宋体" w:cs="宋体"/>
                <w:sz w:val="24"/>
                <w:szCs w:val="24"/>
              </w:rPr>
              <w:t>7</w:t>
            </w:r>
            <w:r>
              <w:rPr>
                <w:rFonts w:hint="eastAsia" w:ascii="宋体" w:hAnsi="宋体" w:cs="宋体"/>
                <w:sz w:val="24"/>
                <w:szCs w:val="24"/>
              </w:rPr>
              <w:t>（工程或服务）</w:t>
            </w: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vAlign w:val="center"/>
          </w:tcPr>
          <w:p>
            <w:pPr>
              <w:tabs>
                <w:tab w:val="left" w:pos="82"/>
              </w:tabs>
              <w:adjustRightInd w:val="0"/>
              <w:snapToGrid w:val="0"/>
              <w:jc w:val="center"/>
              <w:rPr>
                <w:rFonts w:ascii="宋体" w:cs="Times New Roman"/>
                <w:sz w:val="24"/>
                <w:szCs w:val="24"/>
              </w:rPr>
            </w:pPr>
            <w:r>
              <w:rPr>
                <w:rFonts w:hint="eastAsia" w:ascii="宋体" w:hAnsi="宋体" w:cs="宋体"/>
                <w:sz w:val="24"/>
                <w:szCs w:val="24"/>
              </w:rPr>
              <w:t>…</w:t>
            </w:r>
          </w:p>
        </w:tc>
        <w:tc>
          <w:tcPr>
            <w:tcW w:w="2611" w:type="dxa"/>
            <w:vAlign w:val="center"/>
          </w:tcPr>
          <w:p>
            <w:pPr>
              <w:spacing w:line="240" w:lineRule="atLeast"/>
              <w:ind w:left="-48" w:leftChars="-23" w:right="-65" w:rightChars="-31"/>
              <w:jc w:val="left"/>
              <w:rPr>
                <w:rFonts w:ascii="宋体" w:cs="Times New Roman"/>
                <w:kern w:val="0"/>
                <w:sz w:val="24"/>
                <w:szCs w:val="24"/>
              </w:rPr>
            </w:pPr>
          </w:p>
        </w:tc>
        <w:tc>
          <w:tcPr>
            <w:tcW w:w="1134" w:type="dxa"/>
            <w:vAlign w:val="center"/>
          </w:tcPr>
          <w:p>
            <w:pPr>
              <w:spacing w:line="240" w:lineRule="atLeast"/>
              <w:ind w:left="-48" w:leftChars="-23" w:right="-65" w:rightChars="-31"/>
              <w:jc w:val="left"/>
              <w:rPr>
                <w:rFonts w:ascii="宋体" w:cs="Times New Roman"/>
                <w:kern w:val="0"/>
                <w:sz w:val="24"/>
                <w:szCs w:val="24"/>
              </w:rPr>
            </w:pPr>
          </w:p>
        </w:tc>
        <w:tc>
          <w:tcPr>
            <w:tcW w:w="800" w:type="dxa"/>
            <w:vAlign w:val="center"/>
          </w:tcPr>
          <w:p>
            <w:pPr>
              <w:spacing w:line="240" w:lineRule="atLeast"/>
              <w:ind w:left="-48" w:leftChars="-23" w:right="-65" w:rightChars="-31"/>
              <w:jc w:val="center"/>
              <w:rPr>
                <w:rFonts w:ascii="宋体" w:cs="Times New Roman"/>
                <w:kern w:val="0"/>
                <w:sz w:val="24"/>
                <w:szCs w:val="24"/>
              </w:rPr>
            </w:pPr>
          </w:p>
        </w:tc>
        <w:tc>
          <w:tcPr>
            <w:tcW w:w="1676" w:type="dxa"/>
            <w:vAlign w:val="center"/>
          </w:tcPr>
          <w:p>
            <w:pPr>
              <w:spacing w:line="240" w:lineRule="atLeast"/>
              <w:ind w:left="-48" w:leftChars="-23" w:right="-65" w:rightChars="-31"/>
              <w:jc w:val="center"/>
              <w:rPr>
                <w:rFonts w:ascii="宋体" w:cs="Times New Roman"/>
                <w:kern w:val="0"/>
                <w:sz w:val="24"/>
                <w:szCs w:val="24"/>
              </w:rPr>
            </w:pPr>
          </w:p>
        </w:tc>
        <w:tc>
          <w:tcPr>
            <w:tcW w:w="1316" w:type="dxa"/>
            <w:vAlign w:val="center"/>
          </w:tcPr>
          <w:p>
            <w:pPr>
              <w:spacing w:line="240" w:lineRule="atLeast"/>
              <w:ind w:left="-48" w:leftChars="-23" w:right="-65" w:rightChars="-31"/>
              <w:jc w:val="left"/>
              <w:rPr>
                <w:rFonts w:ascii="宋体" w:cs="Times New Roman"/>
                <w:kern w:val="0"/>
                <w:sz w:val="24"/>
                <w:szCs w:val="24"/>
              </w:rPr>
            </w:pPr>
          </w:p>
        </w:tc>
        <w:tc>
          <w:tcPr>
            <w:tcW w:w="1357" w:type="dxa"/>
            <w:vAlign w:val="center"/>
          </w:tcPr>
          <w:p>
            <w:pPr>
              <w:spacing w:line="240" w:lineRule="atLeast"/>
              <w:ind w:left="-48" w:leftChars="-23" w:right="-65" w:rightChars="-3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vAlign w:val="center"/>
          </w:tcPr>
          <w:p>
            <w:pPr>
              <w:spacing w:line="240" w:lineRule="atLeast"/>
              <w:ind w:left="-48" w:leftChars="-23" w:right="-65" w:rightChars="-31"/>
              <w:jc w:val="center"/>
              <w:rPr>
                <w:rFonts w:ascii="宋体" w:cs="Times New Roman"/>
                <w:kern w:val="0"/>
                <w:sz w:val="24"/>
                <w:szCs w:val="24"/>
              </w:rPr>
            </w:pPr>
            <w:r>
              <w:rPr>
                <w:rFonts w:hint="eastAsia" w:ascii="宋体" w:hAnsi="宋体" w:cs="宋体"/>
                <w:kern w:val="0"/>
                <w:sz w:val="24"/>
                <w:szCs w:val="24"/>
              </w:rPr>
              <w:t>合计</w:t>
            </w:r>
          </w:p>
        </w:tc>
        <w:tc>
          <w:tcPr>
            <w:tcW w:w="2673" w:type="dxa"/>
            <w:gridSpan w:val="2"/>
            <w:vAlign w:val="center"/>
          </w:tcPr>
          <w:p>
            <w:pPr>
              <w:spacing w:line="240" w:lineRule="atLeast"/>
              <w:ind w:left="-48" w:leftChars="-23" w:right="-65" w:rightChars="-31"/>
              <w:jc w:val="left"/>
              <w:rPr>
                <w:rFonts w:ascii="宋体" w:cs="Times New Roman"/>
                <w:kern w:val="0"/>
                <w:sz w:val="24"/>
                <w:szCs w:val="24"/>
              </w:rPr>
            </w:pPr>
          </w:p>
        </w:tc>
      </w:tr>
    </w:tbl>
    <w:p>
      <w:pPr>
        <w:spacing w:line="360" w:lineRule="auto"/>
        <w:ind w:left="1049" w:hanging="1048" w:hangingChars="437"/>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．所有价格均用人民币表示，单位为元。</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．报价明细表合计应与《开标一览表》中的投标总报价一致。</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3</w:t>
      </w:r>
      <w:r>
        <w:rPr>
          <w:rFonts w:hint="eastAsia" w:ascii="宋体" w:hAnsi="宋体" w:cs="宋体"/>
          <w:sz w:val="24"/>
          <w:szCs w:val="24"/>
        </w:rPr>
        <w:t>．未提供详细的货物（工程或服务）报价明细，导致的后果由投标人自行承担。</w:t>
      </w:r>
    </w:p>
    <w:p>
      <w:pPr>
        <w:spacing w:line="360" w:lineRule="auto"/>
        <w:ind w:left="950" w:hanging="950" w:hangingChars="396"/>
        <w:jc w:val="left"/>
        <w:rPr>
          <w:rFonts w:ascii="宋体" w:cs="Times New Roman"/>
          <w:sz w:val="24"/>
          <w:szCs w:val="24"/>
        </w:rPr>
      </w:pPr>
    </w:p>
    <w:p>
      <w:pPr>
        <w:spacing w:line="360" w:lineRule="auto"/>
        <w:ind w:left="950" w:hanging="950" w:hangingChars="396"/>
        <w:jc w:val="left"/>
        <w:rPr>
          <w:rFonts w:ascii="宋体" w:cs="Times New Roman"/>
          <w:sz w:val="24"/>
          <w:szCs w:val="24"/>
        </w:rPr>
      </w:pPr>
    </w:p>
    <w:p>
      <w:pPr>
        <w:spacing w:line="360" w:lineRule="auto"/>
        <w:ind w:left="950" w:hanging="950" w:hangingChars="396"/>
        <w:jc w:val="left"/>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sz w:val="31"/>
          <w:szCs w:val="31"/>
        </w:rPr>
      </w:pPr>
      <w:bookmarkStart w:id="192" w:name="_Toc494665957"/>
      <w:bookmarkStart w:id="193" w:name="_Toc494702277"/>
      <w:bookmarkStart w:id="194" w:name="_Toc494721107"/>
      <w:bookmarkStart w:id="195" w:name="_Toc494577412"/>
      <w:bookmarkStart w:id="196" w:name="_Toc495861556"/>
      <w:bookmarkStart w:id="197" w:name="_Toc509323148"/>
      <w:bookmarkStart w:id="198" w:name="_Toc494665007"/>
      <w:bookmarkStart w:id="199" w:name="_Toc494665560"/>
      <w:bookmarkStart w:id="200" w:name="_Toc494745324"/>
      <w:r>
        <w:rPr>
          <w:rFonts w:hint="eastAsia" w:ascii="宋体" w:hAnsi="宋体" w:cs="宋体"/>
          <w:sz w:val="31"/>
          <w:szCs w:val="31"/>
        </w:rPr>
        <w:t>小型和微型企业、监狱企业、残疾人福利性单位货物汇总表</w:t>
      </w:r>
      <w:bookmarkEnd w:id="192"/>
      <w:bookmarkEnd w:id="193"/>
      <w:bookmarkEnd w:id="194"/>
      <w:bookmarkEnd w:id="195"/>
      <w:bookmarkEnd w:id="196"/>
      <w:bookmarkEnd w:id="197"/>
      <w:bookmarkEnd w:id="198"/>
      <w:bookmarkEnd w:id="199"/>
      <w:bookmarkEnd w:id="200"/>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序号</w:t>
            </w:r>
          </w:p>
        </w:tc>
        <w:tc>
          <w:tcPr>
            <w:tcW w:w="1552"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制造商名称</w:t>
            </w:r>
          </w:p>
        </w:tc>
        <w:tc>
          <w:tcPr>
            <w:tcW w:w="1560"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货物名称</w:t>
            </w:r>
          </w:p>
        </w:tc>
        <w:tc>
          <w:tcPr>
            <w:tcW w:w="1133"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规格型号</w:t>
            </w:r>
          </w:p>
        </w:tc>
        <w:tc>
          <w:tcPr>
            <w:tcW w:w="848"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数量</w:t>
            </w:r>
          </w:p>
        </w:tc>
        <w:tc>
          <w:tcPr>
            <w:tcW w:w="1100"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单价</w:t>
            </w:r>
          </w:p>
        </w:tc>
        <w:tc>
          <w:tcPr>
            <w:tcW w:w="1134"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分项</w:t>
            </w:r>
          </w:p>
          <w:p>
            <w:pPr>
              <w:adjustRightInd w:val="0"/>
              <w:snapToGrid w:val="0"/>
              <w:ind w:left="-88" w:leftChars="-42"/>
              <w:jc w:val="center"/>
              <w:rPr>
                <w:rFonts w:ascii="宋体" w:cs="Times New Roman"/>
                <w:sz w:val="24"/>
                <w:szCs w:val="24"/>
              </w:rPr>
            </w:pPr>
            <w:r>
              <w:rPr>
                <w:rFonts w:hint="eastAsia" w:ascii="宋体" w:hAnsi="宋体" w:cs="宋体"/>
                <w:sz w:val="24"/>
                <w:szCs w:val="24"/>
              </w:rPr>
              <w:t>合计</w:t>
            </w:r>
          </w:p>
        </w:tc>
        <w:tc>
          <w:tcPr>
            <w:tcW w:w="1468" w:type="dxa"/>
            <w:shd w:val="clear" w:color="auto" w:fill="F2F2F2"/>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1</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2</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3</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4</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5</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6</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kern w:val="0"/>
                <w:sz w:val="24"/>
                <w:szCs w:val="24"/>
              </w:rPr>
            </w:pPr>
            <w:r>
              <w:rPr>
                <w:rFonts w:ascii="宋体" w:hAnsi="宋体" w:cs="宋体"/>
                <w:kern w:val="0"/>
                <w:sz w:val="24"/>
                <w:szCs w:val="24"/>
              </w:rPr>
              <w:t>7</w:t>
            </w:r>
          </w:p>
        </w:tc>
        <w:tc>
          <w:tcPr>
            <w:tcW w:w="1552" w:type="dxa"/>
          </w:tcPr>
          <w:p>
            <w:pPr>
              <w:tabs>
                <w:tab w:val="left" w:pos="0"/>
                <w:tab w:val="left" w:pos="56"/>
              </w:tabs>
              <w:adjustRightInd w:val="0"/>
              <w:snapToGrid w:val="0"/>
              <w:jc w:val="center"/>
              <w:rPr>
                <w:rFonts w:ascii="宋体" w:hAnsi="宋体" w:cs="宋体"/>
                <w:kern w:val="0"/>
                <w:sz w:val="24"/>
                <w:szCs w:val="24"/>
              </w:rPr>
            </w:pPr>
          </w:p>
        </w:tc>
        <w:tc>
          <w:tcPr>
            <w:tcW w:w="1560" w:type="dxa"/>
            <w:vAlign w:val="center"/>
          </w:tcPr>
          <w:p>
            <w:pPr>
              <w:tabs>
                <w:tab w:val="left" w:pos="0"/>
                <w:tab w:val="left" w:pos="56"/>
              </w:tabs>
              <w:adjustRightInd w:val="0"/>
              <w:snapToGrid w:val="0"/>
              <w:jc w:val="center"/>
              <w:rPr>
                <w:rFonts w:ascii="宋体" w:hAnsi="宋体" w:cs="宋体"/>
                <w:kern w:val="0"/>
                <w:sz w:val="24"/>
                <w:szCs w:val="24"/>
              </w:rPr>
            </w:pPr>
          </w:p>
        </w:tc>
        <w:tc>
          <w:tcPr>
            <w:tcW w:w="1133" w:type="dxa"/>
            <w:vAlign w:val="center"/>
          </w:tcPr>
          <w:p>
            <w:pPr>
              <w:tabs>
                <w:tab w:val="left" w:pos="0"/>
                <w:tab w:val="left" w:pos="56"/>
              </w:tabs>
              <w:adjustRightInd w:val="0"/>
              <w:snapToGrid w:val="0"/>
              <w:jc w:val="center"/>
              <w:rPr>
                <w:rFonts w:ascii="宋体" w:hAnsi="宋体" w:cs="宋体"/>
                <w:kern w:val="0"/>
                <w:sz w:val="24"/>
                <w:szCs w:val="24"/>
              </w:rPr>
            </w:pPr>
          </w:p>
        </w:tc>
        <w:tc>
          <w:tcPr>
            <w:tcW w:w="848" w:type="dxa"/>
            <w:vAlign w:val="center"/>
          </w:tcPr>
          <w:p>
            <w:pPr>
              <w:tabs>
                <w:tab w:val="left" w:pos="0"/>
                <w:tab w:val="left" w:pos="56"/>
              </w:tabs>
              <w:adjustRightInd w:val="0"/>
              <w:snapToGrid w:val="0"/>
              <w:jc w:val="center"/>
              <w:rPr>
                <w:rFonts w:ascii="宋体" w:hAnsi="宋体" w:cs="宋体"/>
                <w:kern w:val="0"/>
                <w:sz w:val="24"/>
                <w:szCs w:val="24"/>
              </w:rPr>
            </w:pPr>
          </w:p>
        </w:tc>
        <w:tc>
          <w:tcPr>
            <w:tcW w:w="1100" w:type="dxa"/>
            <w:vAlign w:val="center"/>
          </w:tcPr>
          <w:p>
            <w:pPr>
              <w:tabs>
                <w:tab w:val="left" w:pos="0"/>
                <w:tab w:val="left" w:pos="56"/>
              </w:tabs>
              <w:adjustRightInd w:val="0"/>
              <w:snapToGrid w:val="0"/>
              <w:jc w:val="center"/>
              <w:rPr>
                <w:rFonts w:ascii="宋体" w:hAnsi="宋体" w:cs="宋体"/>
                <w:kern w:val="0"/>
                <w:sz w:val="24"/>
                <w:szCs w:val="24"/>
              </w:rPr>
            </w:pPr>
          </w:p>
        </w:tc>
        <w:tc>
          <w:tcPr>
            <w:tcW w:w="1134" w:type="dxa"/>
            <w:vAlign w:val="center"/>
          </w:tcPr>
          <w:p>
            <w:pPr>
              <w:tabs>
                <w:tab w:val="left" w:pos="0"/>
                <w:tab w:val="left" w:pos="56"/>
              </w:tabs>
              <w:adjustRightInd w:val="0"/>
              <w:snapToGrid w:val="0"/>
              <w:jc w:val="center"/>
              <w:rPr>
                <w:rFonts w:ascii="宋体" w:hAnsi="宋体" w:cs="宋体"/>
                <w:kern w:val="0"/>
                <w:sz w:val="24"/>
                <w:szCs w:val="24"/>
              </w:rPr>
            </w:pPr>
          </w:p>
        </w:tc>
        <w:tc>
          <w:tcPr>
            <w:tcW w:w="1468" w:type="dxa"/>
            <w:vAlign w:val="center"/>
          </w:tcPr>
          <w:p>
            <w:pPr>
              <w:tabs>
                <w:tab w:val="left" w:pos="0"/>
                <w:tab w:val="left" w:pos="56"/>
              </w:tabs>
              <w:adjustRightInd w:val="0"/>
              <w:snapToGri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vAlign w:val="center"/>
          </w:tcPr>
          <w:p>
            <w:pPr>
              <w:tabs>
                <w:tab w:val="left" w:pos="0"/>
                <w:tab w:val="left" w:pos="56"/>
              </w:tabs>
              <w:adjustRightInd w:val="0"/>
              <w:snapToGrid w:val="0"/>
              <w:jc w:val="center"/>
              <w:rPr>
                <w:rFonts w:ascii="宋体" w:cs="Times New Roman"/>
                <w:kern w:val="0"/>
                <w:sz w:val="24"/>
                <w:szCs w:val="24"/>
              </w:rPr>
            </w:pPr>
            <w:r>
              <w:rPr>
                <w:rFonts w:hint="eastAsia" w:ascii="宋体" w:hAnsi="宋体" w:cs="宋体"/>
                <w:kern w:val="0"/>
                <w:sz w:val="24"/>
                <w:szCs w:val="24"/>
              </w:rPr>
              <w:t>…</w:t>
            </w:r>
          </w:p>
        </w:tc>
        <w:tc>
          <w:tcPr>
            <w:tcW w:w="1552" w:type="dxa"/>
          </w:tcPr>
          <w:p>
            <w:pPr>
              <w:tabs>
                <w:tab w:val="left" w:pos="0"/>
                <w:tab w:val="left" w:pos="56"/>
              </w:tabs>
              <w:adjustRightInd w:val="0"/>
              <w:snapToGrid w:val="0"/>
              <w:jc w:val="center"/>
              <w:rPr>
                <w:rFonts w:ascii="宋体" w:cs="Times New Roman"/>
                <w:kern w:val="0"/>
                <w:sz w:val="24"/>
                <w:szCs w:val="24"/>
              </w:rPr>
            </w:pPr>
          </w:p>
        </w:tc>
        <w:tc>
          <w:tcPr>
            <w:tcW w:w="1560" w:type="dxa"/>
            <w:vAlign w:val="center"/>
          </w:tcPr>
          <w:p>
            <w:pPr>
              <w:tabs>
                <w:tab w:val="left" w:pos="0"/>
                <w:tab w:val="left" w:pos="56"/>
              </w:tabs>
              <w:adjustRightInd w:val="0"/>
              <w:snapToGrid w:val="0"/>
              <w:jc w:val="center"/>
              <w:rPr>
                <w:rFonts w:ascii="宋体" w:cs="Times New Roman"/>
                <w:kern w:val="0"/>
                <w:sz w:val="24"/>
                <w:szCs w:val="24"/>
              </w:rPr>
            </w:pPr>
          </w:p>
        </w:tc>
        <w:tc>
          <w:tcPr>
            <w:tcW w:w="1133" w:type="dxa"/>
            <w:vAlign w:val="center"/>
          </w:tcPr>
          <w:p>
            <w:pPr>
              <w:tabs>
                <w:tab w:val="left" w:pos="0"/>
                <w:tab w:val="left" w:pos="56"/>
              </w:tabs>
              <w:adjustRightInd w:val="0"/>
              <w:snapToGrid w:val="0"/>
              <w:jc w:val="center"/>
              <w:rPr>
                <w:rFonts w:ascii="宋体" w:cs="Times New Roman"/>
                <w:kern w:val="0"/>
                <w:sz w:val="24"/>
                <w:szCs w:val="24"/>
              </w:rPr>
            </w:pPr>
          </w:p>
        </w:tc>
        <w:tc>
          <w:tcPr>
            <w:tcW w:w="848" w:type="dxa"/>
            <w:vAlign w:val="center"/>
          </w:tcPr>
          <w:p>
            <w:pPr>
              <w:tabs>
                <w:tab w:val="left" w:pos="0"/>
                <w:tab w:val="left" w:pos="56"/>
              </w:tabs>
              <w:adjustRightInd w:val="0"/>
              <w:snapToGrid w:val="0"/>
              <w:jc w:val="center"/>
              <w:rPr>
                <w:rFonts w:ascii="宋体" w:cs="Times New Roman"/>
                <w:kern w:val="0"/>
                <w:sz w:val="24"/>
                <w:szCs w:val="24"/>
              </w:rPr>
            </w:pPr>
          </w:p>
        </w:tc>
        <w:tc>
          <w:tcPr>
            <w:tcW w:w="1100" w:type="dxa"/>
            <w:vAlign w:val="center"/>
          </w:tcPr>
          <w:p>
            <w:pPr>
              <w:tabs>
                <w:tab w:val="left" w:pos="0"/>
                <w:tab w:val="left" w:pos="56"/>
              </w:tabs>
              <w:adjustRightInd w:val="0"/>
              <w:snapToGrid w:val="0"/>
              <w:jc w:val="center"/>
              <w:rPr>
                <w:rFonts w:ascii="宋体" w:cs="Times New Roman"/>
                <w:kern w:val="0"/>
                <w:sz w:val="24"/>
                <w:szCs w:val="24"/>
              </w:rPr>
            </w:pPr>
          </w:p>
        </w:tc>
        <w:tc>
          <w:tcPr>
            <w:tcW w:w="1134" w:type="dxa"/>
            <w:vAlign w:val="center"/>
          </w:tcPr>
          <w:p>
            <w:pPr>
              <w:tabs>
                <w:tab w:val="left" w:pos="0"/>
                <w:tab w:val="left" w:pos="56"/>
              </w:tabs>
              <w:adjustRightInd w:val="0"/>
              <w:snapToGrid w:val="0"/>
              <w:jc w:val="center"/>
              <w:rPr>
                <w:rFonts w:ascii="宋体" w:cs="Times New Roman"/>
                <w:kern w:val="0"/>
                <w:sz w:val="24"/>
                <w:szCs w:val="24"/>
              </w:rPr>
            </w:pPr>
          </w:p>
        </w:tc>
        <w:tc>
          <w:tcPr>
            <w:tcW w:w="1468" w:type="dxa"/>
            <w:vAlign w:val="center"/>
          </w:tcPr>
          <w:p>
            <w:pPr>
              <w:tabs>
                <w:tab w:val="left" w:pos="0"/>
                <w:tab w:val="left" w:pos="56"/>
              </w:tabs>
              <w:adjustRightInd w:val="0"/>
              <w:snapToGrid w:val="0"/>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cs="Times New Roman"/>
                <w:sz w:val="24"/>
                <w:szCs w:val="24"/>
              </w:rPr>
            </w:pPr>
            <w:r>
              <w:rPr>
                <w:rFonts w:hint="eastAsia" w:ascii="宋体" w:hAnsi="宋体" w:cs="宋体"/>
                <w:sz w:val="24"/>
                <w:szCs w:val="24"/>
              </w:rPr>
              <w:t>合计</w:t>
            </w:r>
          </w:p>
        </w:tc>
        <w:tc>
          <w:tcPr>
            <w:tcW w:w="2602" w:type="dxa"/>
            <w:gridSpan w:val="2"/>
            <w:vAlign w:val="center"/>
          </w:tcPr>
          <w:p>
            <w:pPr>
              <w:spacing w:line="360" w:lineRule="auto"/>
              <w:jc w:val="left"/>
              <w:rPr>
                <w:rFonts w:ascii="宋体" w:cs="Times New Roman"/>
                <w:sz w:val="24"/>
                <w:szCs w:val="24"/>
              </w:rPr>
            </w:pPr>
          </w:p>
        </w:tc>
      </w:tr>
    </w:tbl>
    <w:p>
      <w:pPr>
        <w:spacing w:line="360" w:lineRule="auto"/>
        <w:ind w:left="1049" w:hanging="1048" w:hangingChars="437"/>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．所有价格均用人民币表示，单位为元。</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．投标人提供的相关证明文件对应页码填写到上表“投标文件对应的页码”中。如未提供页码或内容页码完全不一致的，导致的后果由投标人自行承担。</w:t>
      </w: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201" w:name="_Toc509323149"/>
      <w:bookmarkStart w:id="202" w:name="_Toc494702278"/>
      <w:bookmarkStart w:id="203" w:name="_Toc494665008"/>
      <w:bookmarkStart w:id="204" w:name="_Toc494665958"/>
      <w:bookmarkStart w:id="205" w:name="_Toc494745325"/>
      <w:bookmarkStart w:id="206" w:name="_Toc494721108"/>
      <w:bookmarkStart w:id="207" w:name="_Toc494665561"/>
      <w:bookmarkStart w:id="208" w:name="_Toc495861557"/>
      <w:r>
        <w:rPr>
          <w:rFonts w:hint="eastAsia" w:ascii="宋体" w:hAnsi="宋体" w:cs="宋体"/>
        </w:rPr>
        <w:t>投标货物（工程或服务）清单</w:t>
      </w:r>
      <w:bookmarkEnd w:id="201"/>
      <w:bookmarkEnd w:id="202"/>
      <w:bookmarkEnd w:id="203"/>
      <w:bookmarkEnd w:id="204"/>
      <w:bookmarkEnd w:id="205"/>
      <w:bookmarkEnd w:id="206"/>
      <w:bookmarkEnd w:id="207"/>
      <w:bookmarkEnd w:id="208"/>
    </w:p>
    <w:p>
      <w:pPr>
        <w:adjustRightInd w:val="0"/>
        <w:snapToGrid w:val="0"/>
        <w:spacing w:line="360" w:lineRule="auto"/>
        <w:rPr>
          <w:rFonts w:ascii="宋体" w:cs="Times New Roman"/>
          <w:b/>
          <w:bCs/>
          <w:sz w:val="24"/>
          <w:szCs w:val="24"/>
        </w:rPr>
      </w:pPr>
      <w:r>
        <w:rPr>
          <w:rFonts w:hint="eastAsia" w:ascii="宋体" w:hAnsi="宋体" w:cs="宋体"/>
          <w:b/>
          <w:bCs/>
          <w:sz w:val="24"/>
          <w:szCs w:val="24"/>
        </w:rPr>
        <w:t>投</w:t>
      </w:r>
      <w:r>
        <w:rPr>
          <w:rFonts w:ascii="宋体" w:hAnsi="宋体" w:cs="宋体"/>
          <w:b/>
          <w:bCs/>
          <w:sz w:val="24"/>
          <w:szCs w:val="24"/>
        </w:rPr>
        <w:t xml:space="preserve"> </w:t>
      </w:r>
      <w:r>
        <w:rPr>
          <w:rFonts w:hint="eastAsia" w:ascii="宋体" w:hAnsi="宋体" w:cs="宋体"/>
          <w:b/>
          <w:bCs/>
          <w:sz w:val="24"/>
          <w:szCs w:val="24"/>
        </w:rPr>
        <w:t>标</w:t>
      </w:r>
      <w:r>
        <w:rPr>
          <w:rFonts w:ascii="宋体" w:hAnsi="宋体" w:cs="宋体"/>
          <w:b/>
          <w:bCs/>
          <w:sz w:val="24"/>
          <w:szCs w:val="24"/>
        </w:rPr>
        <w:t xml:space="preserve"> </w:t>
      </w:r>
      <w:r>
        <w:rPr>
          <w:rFonts w:hint="eastAsia" w:ascii="宋体" w:hAnsi="宋体" w:cs="宋体"/>
          <w:b/>
          <w:bCs/>
          <w:sz w:val="24"/>
          <w:szCs w:val="24"/>
        </w:rPr>
        <w:t>人：</w:t>
      </w:r>
    </w:p>
    <w:p>
      <w:pPr>
        <w:adjustRightInd w:val="0"/>
        <w:snapToGrid w:val="0"/>
        <w:spacing w:line="360" w:lineRule="auto"/>
        <w:rPr>
          <w:rFonts w:asci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vAlign w:val="center"/>
          </w:tcPr>
          <w:p>
            <w:pPr>
              <w:spacing w:line="360" w:lineRule="auto"/>
              <w:ind w:left="-23" w:leftChars="-11" w:right="-84" w:rightChars="-40"/>
              <w:jc w:val="center"/>
              <w:rPr>
                <w:rFonts w:ascii="宋体" w:cs="Times New Roman"/>
                <w:kern w:val="0"/>
                <w:sz w:val="24"/>
                <w:szCs w:val="24"/>
              </w:rPr>
            </w:pPr>
            <w:r>
              <w:rPr>
                <w:rFonts w:hint="eastAsia" w:ascii="宋体" w:hAnsi="宋体" w:cs="宋体"/>
                <w:kern w:val="0"/>
                <w:sz w:val="24"/>
                <w:szCs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数量</w:t>
            </w:r>
          </w:p>
        </w:tc>
        <w:tc>
          <w:tcPr>
            <w:tcW w:w="2593" w:type="dxa"/>
            <w:tcBorders>
              <w:top w:val="single" w:color="auto" w:sz="4" w:space="0"/>
              <w:left w:val="single" w:color="auto" w:sz="4" w:space="0"/>
              <w:bottom w:val="single" w:color="auto" w:sz="4" w:space="0"/>
            </w:tcBorders>
            <w:shd w:val="clear" w:color="auto" w:fill="F2F2F2"/>
            <w:vAlign w:val="center"/>
          </w:tcPr>
          <w:p>
            <w:pPr>
              <w:spacing w:line="360" w:lineRule="auto"/>
              <w:ind w:left="-23" w:leftChars="-11" w:right="-65" w:rightChars="-31"/>
              <w:jc w:val="center"/>
              <w:rPr>
                <w:rFonts w:ascii="宋体" w:cs="Times New Roman"/>
                <w:kern w:val="0"/>
                <w:sz w:val="24"/>
                <w:szCs w:val="24"/>
              </w:rPr>
            </w:pPr>
            <w:r>
              <w:rPr>
                <w:rFonts w:hint="eastAsia" w:ascii="宋体" w:hAnsi="宋体" w:cs="宋体"/>
                <w:kern w:val="0"/>
                <w:sz w:val="24"/>
                <w:szCs w:val="24"/>
              </w:rPr>
              <w:t>制造厂家</w:t>
            </w:r>
            <w:r>
              <w:rPr>
                <w:rFonts w:ascii="宋体" w:hAnsi="宋体" w:cs="宋体"/>
                <w:kern w:val="0"/>
                <w:sz w:val="24"/>
                <w:szCs w:val="24"/>
              </w:rPr>
              <w:t>/</w:t>
            </w:r>
            <w:r>
              <w:rPr>
                <w:rFonts w:hint="eastAsia" w:ascii="宋体" w:hAnsi="宋体" w:cs="宋体"/>
                <w:kern w:val="0"/>
                <w:sz w:val="24"/>
                <w:szCs w:val="24"/>
              </w:rPr>
              <w:t>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1</w:t>
            </w:r>
          </w:p>
        </w:tc>
        <w:tc>
          <w:tcPr>
            <w:tcW w:w="2722" w:type="dxa"/>
            <w:tcBorders>
              <w:top w:val="single" w:color="auto" w:sz="4" w:space="0"/>
            </w:tcBorders>
            <w:vAlign w:val="center"/>
          </w:tcPr>
          <w:p>
            <w:pPr>
              <w:adjustRightInd w:val="0"/>
              <w:snapToGrid w:val="0"/>
              <w:ind w:left="-88" w:leftChars="-42"/>
              <w:jc w:val="center"/>
              <w:rPr>
                <w:rFonts w:ascii="宋体" w:hAnsi="宋体" w:cs="宋体"/>
                <w:sz w:val="24"/>
                <w:szCs w:val="24"/>
              </w:rPr>
            </w:pPr>
          </w:p>
        </w:tc>
        <w:tc>
          <w:tcPr>
            <w:tcW w:w="2459" w:type="dxa"/>
            <w:tcBorders>
              <w:top w:val="single" w:color="auto" w:sz="4" w:space="0"/>
            </w:tcBorders>
            <w:vAlign w:val="center"/>
          </w:tcPr>
          <w:p>
            <w:pPr>
              <w:adjustRightInd w:val="0"/>
              <w:snapToGrid w:val="0"/>
              <w:jc w:val="center"/>
              <w:rPr>
                <w:rFonts w:ascii="宋体" w:cs="Times New Roman"/>
                <w:sz w:val="24"/>
                <w:szCs w:val="24"/>
              </w:rPr>
            </w:pPr>
          </w:p>
        </w:tc>
        <w:tc>
          <w:tcPr>
            <w:tcW w:w="851" w:type="dxa"/>
            <w:tcBorders>
              <w:top w:val="single" w:color="auto" w:sz="4" w:space="0"/>
            </w:tcBorders>
            <w:vAlign w:val="center"/>
          </w:tcPr>
          <w:p>
            <w:pPr>
              <w:adjustRightInd w:val="0"/>
              <w:snapToGrid w:val="0"/>
              <w:jc w:val="center"/>
              <w:rPr>
                <w:rFonts w:ascii="宋体" w:cs="Times New Roman"/>
                <w:sz w:val="24"/>
                <w:szCs w:val="24"/>
              </w:rPr>
            </w:pPr>
          </w:p>
        </w:tc>
        <w:tc>
          <w:tcPr>
            <w:tcW w:w="2593" w:type="dxa"/>
            <w:tcBorders>
              <w:top w:val="single" w:color="auto" w:sz="4" w:space="0"/>
            </w:tcBorders>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2</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jc w:val="center"/>
              <w:rPr>
                <w:rFonts w:ascii="宋体" w:cs="Times New Roman"/>
                <w:sz w:val="24"/>
                <w:szCs w:val="24"/>
              </w:rPr>
            </w:pPr>
          </w:p>
        </w:tc>
        <w:tc>
          <w:tcPr>
            <w:tcW w:w="851" w:type="dxa"/>
            <w:vAlign w:val="center"/>
          </w:tcPr>
          <w:p>
            <w:pPr>
              <w:adjustRightInd w:val="0"/>
              <w:snapToGrid w:val="0"/>
              <w:jc w:val="center"/>
              <w:rPr>
                <w:rFonts w:ascii="宋体" w:cs="Times New Roman"/>
                <w:sz w:val="24"/>
                <w:szCs w:val="24"/>
              </w:rPr>
            </w:pPr>
          </w:p>
        </w:tc>
        <w:tc>
          <w:tcPr>
            <w:tcW w:w="2593" w:type="dxa"/>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3</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ind w:left="-88" w:leftChars="-42"/>
              <w:jc w:val="center"/>
              <w:rPr>
                <w:rFonts w:ascii="宋体" w:hAnsi="宋体" w:cs="宋体"/>
                <w:sz w:val="24"/>
                <w:szCs w:val="24"/>
              </w:rPr>
            </w:pPr>
          </w:p>
        </w:tc>
        <w:tc>
          <w:tcPr>
            <w:tcW w:w="851" w:type="dxa"/>
            <w:vAlign w:val="center"/>
          </w:tcPr>
          <w:p>
            <w:pPr>
              <w:adjustRightInd w:val="0"/>
              <w:snapToGrid w:val="0"/>
              <w:ind w:left="-88" w:leftChars="-42"/>
              <w:jc w:val="center"/>
              <w:rPr>
                <w:rFonts w:ascii="宋体" w:hAnsi="宋体" w:cs="宋体"/>
                <w:sz w:val="24"/>
                <w:szCs w:val="24"/>
              </w:rPr>
            </w:pPr>
          </w:p>
        </w:tc>
        <w:tc>
          <w:tcPr>
            <w:tcW w:w="2593" w:type="dxa"/>
            <w:vAlign w:val="center"/>
          </w:tcPr>
          <w:p>
            <w:pPr>
              <w:adjustRightInd w:val="0"/>
              <w:snapToGrid w:val="0"/>
              <w:ind w:left="-88" w:leftChars="-42"/>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4</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jc w:val="center"/>
              <w:rPr>
                <w:rFonts w:ascii="宋体" w:cs="Times New Roman"/>
                <w:sz w:val="24"/>
                <w:szCs w:val="24"/>
              </w:rPr>
            </w:pPr>
          </w:p>
        </w:tc>
        <w:tc>
          <w:tcPr>
            <w:tcW w:w="851" w:type="dxa"/>
            <w:vAlign w:val="center"/>
          </w:tcPr>
          <w:p>
            <w:pPr>
              <w:adjustRightInd w:val="0"/>
              <w:snapToGrid w:val="0"/>
              <w:jc w:val="center"/>
              <w:rPr>
                <w:rFonts w:ascii="宋体" w:cs="Times New Roman"/>
                <w:sz w:val="24"/>
                <w:szCs w:val="24"/>
              </w:rPr>
            </w:pPr>
          </w:p>
        </w:tc>
        <w:tc>
          <w:tcPr>
            <w:tcW w:w="2593" w:type="dxa"/>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5</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jc w:val="center"/>
              <w:rPr>
                <w:rFonts w:ascii="宋体" w:cs="Times New Roman"/>
                <w:sz w:val="24"/>
                <w:szCs w:val="24"/>
              </w:rPr>
            </w:pPr>
          </w:p>
        </w:tc>
        <w:tc>
          <w:tcPr>
            <w:tcW w:w="851" w:type="dxa"/>
            <w:vAlign w:val="center"/>
          </w:tcPr>
          <w:p>
            <w:pPr>
              <w:adjustRightInd w:val="0"/>
              <w:snapToGrid w:val="0"/>
              <w:jc w:val="center"/>
              <w:rPr>
                <w:rFonts w:ascii="宋体" w:cs="Times New Roman"/>
                <w:sz w:val="24"/>
                <w:szCs w:val="24"/>
              </w:rPr>
            </w:pPr>
          </w:p>
        </w:tc>
        <w:tc>
          <w:tcPr>
            <w:tcW w:w="2593" w:type="dxa"/>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6</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jc w:val="center"/>
              <w:rPr>
                <w:rFonts w:ascii="宋体" w:cs="Times New Roman"/>
                <w:sz w:val="24"/>
                <w:szCs w:val="24"/>
              </w:rPr>
            </w:pPr>
          </w:p>
        </w:tc>
        <w:tc>
          <w:tcPr>
            <w:tcW w:w="851" w:type="dxa"/>
            <w:vAlign w:val="center"/>
          </w:tcPr>
          <w:p>
            <w:pPr>
              <w:adjustRightInd w:val="0"/>
              <w:snapToGrid w:val="0"/>
              <w:jc w:val="center"/>
              <w:rPr>
                <w:rFonts w:ascii="宋体" w:cs="Times New Roman"/>
                <w:sz w:val="24"/>
                <w:szCs w:val="24"/>
              </w:rPr>
            </w:pPr>
          </w:p>
        </w:tc>
        <w:tc>
          <w:tcPr>
            <w:tcW w:w="2593" w:type="dxa"/>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cs="宋体"/>
                <w:sz w:val="24"/>
                <w:szCs w:val="24"/>
              </w:rPr>
            </w:pPr>
            <w:r>
              <w:rPr>
                <w:rFonts w:ascii="宋体" w:hAnsi="宋体" w:cs="宋体"/>
                <w:sz w:val="24"/>
                <w:szCs w:val="24"/>
              </w:rPr>
              <w:t>7</w:t>
            </w:r>
          </w:p>
        </w:tc>
        <w:tc>
          <w:tcPr>
            <w:tcW w:w="2722" w:type="dxa"/>
            <w:vAlign w:val="center"/>
          </w:tcPr>
          <w:p>
            <w:pPr>
              <w:adjustRightInd w:val="0"/>
              <w:snapToGrid w:val="0"/>
              <w:ind w:left="-88" w:leftChars="-42"/>
              <w:jc w:val="center"/>
              <w:rPr>
                <w:rFonts w:ascii="宋体" w:hAnsi="宋体" w:cs="宋体"/>
                <w:sz w:val="24"/>
                <w:szCs w:val="24"/>
              </w:rPr>
            </w:pPr>
          </w:p>
        </w:tc>
        <w:tc>
          <w:tcPr>
            <w:tcW w:w="2459" w:type="dxa"/>
            <w:vAlign w:val="center"/>
          </w:tcPr>
          <w:p>
            <w:pPr>
              <w:adjustRightInd w:val="0"/>
              <w:snapToGrid w:val="0"/>
              <w:jc w:val="center"/>
              <w:rPr>
                <w:rFonts w:ascii="宋体" w:cs="Times New Roman"/>
                <w:sz w:val="24"/>
                <w:szCs w:val="24"/>
              </w:rPr>
            </w:pPr>
          </w:p>
        </w:tc>
        <w:tc>
          <w:tcPr>
            <w:tcW w:w="851" w:type="dxa"/>
            <w:vAlign w:val="center"/>
          </w:tcPr>
          <w:p>
            <w:pPr>
              <w:adjustRightInd w:val="0"/>
              <w:snapToGrid w:val="0"/>
              <w:jc w:val="center"/>
              <w:rPr>
                <w:rFonts w:ascii="宋体" w:cs="Times New Roman"/>
                <w:sz w:val="24"/>
                <w:szCs w:val="24"/>
              </w:rPr>
            </w:pPr>
          </w:p>
        </w:tc>
        <w:tc>
          <w:tcPr>
            <w:tcW w:w="2593" w:type="dxa"/>
            <w:vAlign w:val="center"/>
          </w:tcPr>
          <w:p>
            <w:pPr>
              <w:adjustRightInd w:val="0"/>
              <w:snapToGrid w:val="0"/>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bottom w:val="single" w:color="auto" w:sz="4" w:space="0"/>
            </w:tcBorders>
            <w:vAlign w:val="center"/>
          </w:tcPr>
          <w:p>
            <w:pPr>
              <w:adjustRightInd w:val="0"/>
              <w:snapToGrid w:val="0"/>
              <w:ind w:left="-88" w:leftChars="-42"/>
              <w:jc w:val="center"/>
              <w:rPr>
                <w:rFonts w:ascii="宋体" w:cs="Times New Roman"/>
                <w:sz w:val="24"/>
                <w:szCs w:val="24"/>
              </w:rPr>
            </w:pPr>
            <w:r>
              <w:rPr>
                <w:rFonts w:hint="eastAsia" w:ascii="宋体" w:hAnsi="宋体" w:cs="宋体"/>
                <w:sz w:val="24"/>
                <w:szCs w:val="24"/>
              </w:rPr>
              <w:t>…</w:t>
            </w:r>
          </w:p>
        </w:tc>
        <w:tc>
          <w:tcPr>
            <w:tcW w:w="2722" w:type="dxa"/>
            <w:tcBorders>
              <w:bottom w:val="single" w:color="auto" w:sz="4" w:space="0"/>
            </w:tcBorders>
            <w:vAlign w:val="center"/>
          </w:tcPr>
          <w:p>
            <w:pPr>
              <w:adjustRightInd w:val="0"/>
              <w:snapToGrid w:val="0"/>
              <w:ind w:left="-88" w:leftChars="-42"/>
              <w:jc w:val="center"/>
              <w:rPr>
                <w:rFonts w:ascii="宋体" w:cs="Times New Roman"/>
                <w:sz w:val="24"/>
                <w:szCs w:val="24"/>
              </w:rPr>
            </w:pPr>
          </w:p>
        </w:tc>
        <w:tc>
          <w:tcPr>
            <w:tcW w:w="2459" w:type="dxa"/>
            <w:tcBorders>
              <w:bottom w:val="single" w:color="auto" w:sz="4" w:space="0"/>
            </w:tcBorders>
            <w:vAlign w:val="center"/>
          </w:tcPr>
          <w:p>
            <w:pPr>
              <w:adjustRightInd w:val="0"/>
              <w:snapToGrid w:val="0"/>
              <w:jc w:val="center"/>
              <w:rPr>
                <w:rFonts w:ascii="宋体" w:cs="Times New Roman"/>
                <w:sz w:val="24"/>
                <w:szCs w:val="24"/>
              </w:rPr>
            </w:pPr>
          </w:p>
        </w:tc>
        <w:tc>
          <w:tcPr>
            <w:tcW w:w="851" w:type="dxa"/>
            <w:tcBorders>
              <w:bottom w:val="single" w:color="auto" w:sz="4" w:space="0"/>
            </w:tcBorders>
            <w:vAlign w:val="center"/>
          </w:tcPr>
          <w:p>
            <w:pPr>
              <w:adjustRightInd w:val="0"/>
              <w:snapToGrid w:val="0"/>
              <w:jc w:val="center"/>
              <w:rPr>
                <w:rFonts w:ascii="宋体" w:cs="Times New Roman"/>
                <w:sz w:val="24"/>
                <w:szCs w:val="24"/>
              </w:rPr>
            </w:pPr>
          </w:p>
        </w:tc>
        <w:tc>
          <w:tcPr>
            <w:tcW w:w="2593" w:type="dxa"/>
            <w:tcBorders>
              <w:bottom w:val="single" w:color="auto" w:sz="4" w:space="0"/>
            </w:tcBorders>
            <w:vAlign w:val="center"/>
          </w:tcPr>
          <w:p>
            <w:pPr>
              <w:adjustRightInd w:val="0"/>
              <w:snapToGrid w:val="0"/>
              <w:jc w:val="center"/>
              <w:rPr>
                <w:rFonts w:ascii="宋体" w:cs="Times New Roman"/>
                <w:sz w:val="24"/>
                <w:szCs w:val="24"/>
              </w:rPr>
            </w:pPr>
          </w:p>
        </w:tc>
      </w:tr>
    </w:tbl>
    <w:p>
      <w:pPr>
        <w:spacing w:line="360" w:lineRule="auto"/>
        <w:ind w:left="1078" w:hanging="1077" w:hangingChars="449"/>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．各项货物（工程或服务）详细技术规格、参数及要求性能，应另页描述。</w:t>
      </w: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adjustRightInd w:val="0"/>
        <w:snapToGrid w:val="0"/>
        <w:spacing w:line="360" w:lineRule="auto"/>
        <w:ind w:left="767" w:leftChars="194" w:hanging="360" w:hangingChars="150"/>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209" w:name="_Toc494665009"/>
      <w:bookmarkStart w:id="210" w:name="_Toc494665562"/>
      <w:bookmarkStart w:id="211" w:name="_Toc509323150"/>
      <w:bookmarkStart w:id="212" w:name="_Toc494702279"/>
      <w:bookmarkStart w:id="213" w:name="_Toc494721109"/>
      <w:bookmarkStart w:id="214" w:name="_Toc495861558"/>
      <w:bookmarkStart w:id="215" w:name="_Toc494665959"/>
      <w:bookmarkStart w:id="216" w:name="_Toc494745326"/>
      <w:r>
        <w:rPr>
          <w:rFonts w:hint="eastAsia" w:ascii="宋体" w:hAnsi="宋体" w:cs="宋体"/>
        </w:rPr>
        <w:t>交纳投标保证金的银行凭证</w:t>
      </w:r>
      <w:bookmarkEnd w:id="209"/>
      <w:bookmarkEnd w:id="210"/>
      <w:bookmarkEnd w:id="211"/>
      <w:bookmarkEnd w:id="212"/>
      <w:bookmarkEnd w:id="213"/>
      <w:bookmarkEnd w:id="214"/>
      <w:bookmarkEnd w:id="215"/>
      <w:bookmarkEnd w:id="216"/>
    </w:p>
    <w:p>
      <w:pPr>
        <w:spacing w:line="480" w:lineRule="auto"/>
        <w:rPr>
          <w:rFonts w:ascii="宋体" w:cs="Times New Roman"/>
          <w:b/>
          <w:bCs/>
          <w:sz w:val="28"/>
          <w:szCs w:val="28"/>
        </w:rPr>
      </w:pPr>
      <w:r>
        <w:rPr>
          <w:rFonts w:hint="eastAsia" w:cs="宋体"/>
          <w:b/>
          <w:bCs/>
          <w:sz w:val="28"/>
          <w:szCs w:val="28"/>
        </w:rPr>
        <w:t>采购人（或代理公司）</w:t>
      </w:r>
      <w:r>
        <w:rPr>
          <w:rFonts w:hint="eastAsia" w:ascii="宋体" w:hAnsi="宋体" w:cs="宋体"/>
          <w:b/>
          <w:bCs/>
          <w:sz w:val="28"/>
          <w:szCs w:val="28"/>
        </w:rPr>
        <w:t>：</w:t>
      </w:r>
    </w:p>
    <w:p>
      <w:pPr>
        <w:spacing w:line="360" w:lineRule="auto"/>
        <w:ind w:firstLine="489" w:firstLineChars="204"/>
        <w:jc w:val="left"/>
        <w:rPr>
          <w:rFonts w:ascii="宋体" w:cs="Times New Roman"/>
          <w:sz w:val="24"/>
          <w:szCs w:val="24"/>
          <w:lang w:val="zh-CN"/>
        </w:rPr>
      </w:pPr>
      <w:r>
        <w:rPr>
          <w:rFonts w:ascii="宋体" w:hAnsi="宋体" w:cs="宋体"/>
          <w:sz w:val="24"/>
          <w:szCs w:val="24"/>
          <w:u w:val="single"/>
          <w:lang w:val="zh-CN"/>
        </w:rPr>
        <w:t xml:space="preserve">  </w:t>
      </w:r>
      <w:r>
        <w:rPr>
          <w:rFonts w:hint="eastAsia" w:ascii="宋体" w:hAnsi="宋体" w:cs="宋体"/>
          <w:sz w:val="24"/>
          <w:szCs w:val="24"/>
          <w:u w:val="single"/>
          <w:lang w:val="zh-CN"/>
        </w:rPr>
        <w:t>（投标人全称）</w:t>
      </w:r>
      <w:r>
        <w:rPr>
          <w:rFonts w:ascii="宋体" w:hAnsi="宋体" w:cs="宋体"/>
          <w:sz w:val="24"/>
          <w:szCs w:val="24"/>
          <w:u w:val="single"/>
          <w:lang w:val="zh-CN"/>
        </w:rPr>
        <w:t xml:space="preserve">  </w:t>
      </w:r>
      <w:r>
        <w:rPr>
          <w:rFonts w:hint="eastAsia" w:ascii="宋体" w:hAnsi="宋体" w:cs="宋体"/>
          <w:sz w:val="24"/>
          <w:szCs w:val="24"/>
          <w:lang w:val="zh-CN"/>
        </w:rPr>
        <w:t>参加贵方组织的</w:t>
      </w:r>
      <w:r>
        <w:rPr>
          <w:rFonts w:ascii="宋体" w:hAnsi="宋体" w:cs="宋体"/>
          <w:sz w:val="24"/>
          <w:szCs w:val="24"/>
          <w:lang w:val="zh-CN"/>
        </w:rPr>
        <w:t>__</w:t>
      </w:r>
      <w:r>
        <w:rPr>
          <w:rFonts w:ascii="宋体" w:hAnsi="宋体" w:cs="宋体"/>
          <w:sz w:val="24"/>
          <w:szCs w:val="24"/>
          <w:u w:val="single"/>
          <w:lang w:val="zh-CN"/>
        </w:rPr>
        <w:t>__</w:t>
      </w:r>
      <w:r>
        <w:rPr>
          <w:rFonts w:hint="eastAsia" w:ascii="宋体" w:hAnsi="宋体" w:cs="宋体"/>
          <w:sz w:val="24"/>
          <w:szCs w:val="24"/>
          <w:lang w:val="zh-CN"/>
        </w:rPr>
        <w:t>项目（项目编号：</w:t>
      </w:r>
      <w:r>
        <w:rPr>
          <w:rFonts w:ascii="宋体" w:hAnsi="宋体" w:cs="宋体"/>
          <w:sz w:val="24"/>
          <w:szCs w:val="24"/>
          <w:lang w:val="zh-CN"/>
        </w:rPr>
        <w:t>______</w:t>
      </w:r>
      <w:r>
        <w:rPr>
          <w:rFonts w:hint="eastAsia" w:ascii="宋体" w:hAnsi="宋体" w:cs="宋体"/>
          <w:sz w:val="24"/>
          <w:szCs w:val="24"/>
          <w:lang w:val="zh-CN"/>
        </w:rPr>
        <w:t>）的政府采购活动。按招标文件的规定，已递交人民币（大写）</w:t>
      </w:r>
      <w:r>
        <w:rPr>
          <w:rFonts w:ascii="宋体" w:hAnsi="宋体" w:cs="宋体"/>
          <w:sz w:val="24"/>
          <w:szCs w:val="24"/>
          <w:lang w:val="zh-CN"/>
        </w:rPr>
        <w:t>__</w:t>
      </w:r>
      <w:r>
        <w:rPr>
          <w:rFonts w:ascii="宋体" w:hAnsi="宋体" w:cs="宋体"/>
          <w:sz w:val="24"/>
          <w:szCs w:val="24"/>
          <w:u w:val="single"/>
          <w:lang w:val="zh-CN"/>
        </w:rPr>
        <w:t>__</w:t>
      </w:r>
      <w:r>
        <w:rPr>
          <w:rFonts w:hint="eastAsia" w:ascii="宋体" w:hAnsi="宋体" w:cs="宋体"/>
          <w:sz w:val="24"/>
          <w:szCs w:val="24"/>
          <w:lang w:val="zh-CN"/>
        </w:rPr>
        <w:t>万元的投标保证金。</w:t>
      </w:r>
    </w:p>
    <w:tbl>
      <w:tblPr>
        <w:tblStyle w:val="21"/>
        <w:tblW w:w="954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投标人</w:t>
            </w: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全</w:t>
            </w:r>
            <w:r>
              <w:rPr>
                <w:rFonts w:ascii="宋体" w:hAnsi="宋体" w:cs="宋体"/>
                <w:kern w:val="0"/>
                <w:sz w:val="24"/>
                <w:szCs w:val="24"/>
              </w:rPr>
              <w:t xml:space="preserve">  </w:t>
            </w:r>
            <w:r>
              <w:rPr>
                <w:rFonts w:hint="eastAsia" w:ascii="宋体" w:hAnsi="宋体" w:cs="宋体"/>
                <w:kern w:val="0"/>
                <w:sz w:val="24"/>
                <w:szCs w:val="24"/>
              </w:rPr>
              <w:t>称</w:t>
            </w:r>
          </w:p>
        </w:tc>
        <w:tc>
          <w:tcPr>
            <w:tcW w:w="7123" w:type="dxa"/>
            <w:gridSpan w:val="3"/>
            <w:vAlign w:val="center"/>
          </w:tcPr>
          <w:p>
            <w:pPr>
              <w:widowControl/>
              <w:spacing w:line="360" w:lineRule="auto"/>
              <w:jc w:val="lef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Times New Roman"/>
                <w:kern w:val="0"/>
                <w:sz w:val="24"/>
                <w:szCs w:val="24"/>
              </w:rPr>
            </w:pP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p>
        </w:tc>
        <w:tc>
          <w:tcPr>
            <w:tcW w:w="7123" w:type="dxa"/>
            <w:gridSpan w:val="3"/>
            <w:vAlign w:val="center"/>
          </w:tcPr>
          <w:p>
            <w:pPr>
              <w:widowControl/>
              <w:spacing w:line="360" w:lineRule="auto"/>
              <w:jc w:val="lef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Times New Roman"/>
                <w:kern w:val="0"/>
                <w:sz w:val="24"/>
                <w:szCs w:val="24"/>
              </w:rPr>
            </w:pP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邮</w:t>
            </w:r>
            <w:r>
              <w:rPr>
                <w:rFonts w:ascii="宋体" w:hAnsi="宋体" w:cs="宋体"/>
                <w:kern w:val="0"/>
                <w:sz w:val="24"/>
                <w:szCs w:val="24"/>
              </w:rPr>
              <w:t xml:space="preserve">  </w:t>
            </w:r>
            <w:r>
              <w:rPr>
                <w:rFonts w:hint="eastAsia" w:ascii="宋体" w:hAnsi="宋体" w:cs="宋体"/>
                <w:kern w:val="0"/>
                <w:sz w:val="24"/>
                <w:szCs w:val="24"/>
              </w:rPr>
              <w:t>编</w:t>
            </w:r>
          </w:p>
        </w:tc>
        <w:tc>
          <w:tcPr>
            <w:tcW w:w="7123" w:type="dxa"/>
            <w:gridSpan w:val="3"/>
            <w:vAlign w:val="center"/>
          </w:tcPr>
          <w:p>
            <w:pPr>
              <w:widowControl/>
              <w:spacing w:line="360" w:lineRule="auto"/>
              <w:jc w:val="lef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Times New Roman"/>
                <w:kern w:val="0"/>
                <w:sz w:val="24"/>
                <w:szCs w:val="24"/>
              </w:rPr>
            </w:pP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w:t>
            </w:r>
          </w:p>
        </w:tc>
        <w:tc>
          <w:tcPr>
            <w:tcW w:w="2160" w:type="dxa"/>
            <w:vAlign w:val="center"/>
          </w:tcPr>
          <w:p>
            <w:pPr>
              <w:widowControl/>
              <w:spacing w:line="360" w:lineRule="auto"/>
              <w:jc w:val="left"/>
              <w:rPr>
                <w:rFonts w:ascii="宋体" w:cs="Times New Roman"/>
                <w:kern w:val="0"/>
                <w:sz w:val="24"/>
                <w:szCs w:val="24"/>
              </w:rPr>
            </w:pPr>
          </w:p>
        </w:tc>
        <w:tc>
          <w:tcPr>
            <w:tcW w:w="1440"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联系电话</w:t>
            </w:r>
          </w:p>
        </w:tc>
        <w:tc>
          <w:tcPr>
            <w:tcW w:w="3523" w:type="dxa"/>
            <w:vAlign w:val="center"/>
          </w:tcPr>
          <w:p>
            <w:pPr>
              <w:widowControl/>
              <w:spacing w:line="360" w:lineRule="auto"/>
              <w:jc w:val="lef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Times New Roman"/>
                <w:kern w:val="0"/>
                <w:sz w:val="24"/>
                <w:szCs w:val="24"/>
              </w:rPr>
            </w:pP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开</w:t>
            </w:r>
            <w:r>
              <w:rPr>
                <w:rFonts w:ascii="宋体" w:hAnsi="宋体" w:cs="宋体"/>
                <w:kern w:val="0"/>
                <w:sz w:val="24"/>
                <w:szCs w:val="24"/>
              </w:rPr>
              <w:t xml:space="preserve"> </w:t>
            </w:r>
            <w:r>
              <w:rPr>
                <w:rFonts w:hint="eastAsia" w:ascii="宋体" w:hAnsi="宋体" w:cs="宋体"/>
                <w:kern w:val="0"/>
                <w:sz w:val="24"/>
                <w:szCs w:val="24"/>
              </w:rPr>
              <w:t>户</w:t>
            </w:r>
            <w:r>
              <w:rPr>
                <w:rFonts w:ascii="宋体" w:hAnsi="宋体" w:cs="宋体"/>
                <w:kern w:val="0"/>
                <w:sz w:val="24"/>
                <w:szCs w:val="24"/>
              </w:rPr>
              <w:t xml:space="preserve"> </w:t>
            </w:r>
            <w:r>
              <w:rPr>
                <w:rFonts w:hint="eastAsia" w:ascii="宋体" w:hAnsi="宋体" w:cs="宋体"/>
                <w:kern w:val="0"/>
                <w:sz w:val="24"/>
                <w:szCs w:val="24"/>
              </w:rPr>
              <w:t>银</w:t>
            </w:r>
            <w:r>
              <w:rPr>
                <w:rFonts w:ascii="宋体" w:hAnsi="宋体" w:cs="宋体"/>
                <w:kern w:val="0"/>
                <w:sz w:val="24"/>
                <w:szCs w:val="24"/>
              </w:rPr>
              <w:t xml:space="preserve"> </w:t>
            </w:r>
            <w:r>
              <w:rPr>
                <w:rFonts w:hint="eastAsia" w:ascii="宋体" w:hAnsi="宋体" w:cs="宋体"/>
                <w:kern w:val="0"/>
                <w:sz w:val="24"/>
                <w:szCs w:val="24"/>
              </w:rPr>
              <w:t>行</w:t>
            </w:r>
          </w:p>
        </w:tc>
        <w:tc>
          <w:tcPr>
            <w:tcW w:w="7123" w:type="dxa"/>
            <w:gridSpan w:val="3"/>
            <w:vAlign w:val="center"/>
          </w:tcPr>
          <w:p>
            <w:pPr>
              <w:widowControl/>
              <w:spacing w:line="360" w:lineRule="auto"/>
              <w:jc w:val="left"/>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cs="Times New Roman"/>
                <w:kern w:val="0"/>
                <w:sz w:val="24"/>
                <w:szCs w:val="24"/>
              </w:rPr>
            </w:pPr>
          </w:p>
        </w:tc>
        <w:tc>
          <w:tcPr>
            <w:tcW w:w="1885" w:type="dxa"/>
            <w:vAlign w:val="center"/>
          </w:tcPr>
          <w:p>
            <w:pPr>
              <w:widowControl/>
              <w:spacing w:line="360" w:lineRule="auto"/>
              <w:jc w:val="center"/>
              <w:rPr>
                <w:rFonts w:ascii="宋体" w:cs="Times New Roman"/>
                <w:kern w:val="0"/>
                <w:sz w:val="24"/>
                <w:szCs w:val="24"/>
              </w:rPr>
            </w:pPr>
            <w:r>
              <w:rPr>
                <w:rFonts w:hint="eastAsia" w:ascii="宋体" w:hAnsi="宋体" w:cs="宋体"/>
                <w:kern w:val="0"/>
                <w:sz w:val="24"/>
                <w:szCs w:val="24"/>
              </w:rPr>
              <w:t>帐</w:t>
            </w:r>
            <w:r>
              <w:rPr>
                <w:rFonts w:ascii="宋体" w:hAnsi="宋体" w:cs="宋体"/>
                <w:kern w:val="0"/>
                <w:sz w:val="24"/>
                <w:szCs w:val="24"/>
              </w:rPr>
              <w:t xml:space="preserve">  </w:t>
            </w:r>
            <w:r>
              <w:rPr>
                <w:rFonts w:hint="eastAsia" w:ascii="宋体" w:hAnsi="宋体" w:cs="宋体"/>
                <w:kern w:val="0"/>
                <w:sz w:val="24"/>
                <w:szCs w:val="24"/>
              </w:rPr>
              <w:t>号</w:t>
            </w:r>
          </w:p>
        </w:tc>
        <w:tc>
          <w:tcPr>
            <w:tcW w:w="7123" w:type="dxa"/>
            <w:gridSpan w:val="3"/>
            <w:vAlign w:val="center"/>
          </w:tcPr>
          <w:p>
            <w:pPr>
              <w:widowControl/>
              <w:spacing w:line="360" w:lineRule="auto"/>
              <w:jc w:val="left"/>
              <w:rPr>
                <w:rFonts w:ascii="宋体" w:cs="Times New Roman"/>
                <w:kern w:val="0"/>
                <w:sz w:val="24"/>
                <w:szCs w:val="24"/>
              </w:rPr>
            </w:pPr>
          </w:p>
        </w:tc>
      </w:tr>
    </w:tbl>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tbl>
      <w:tblPr>
        <w:tblStyle w:val="21"/>
        <w:tblW w:w="954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cs="Times New Roman"/>
                <w:sz w:val="24"/>
                <w:szCs w:val="24"/>
              </w:rPr>
            </w:pPr>
            <w:r>
              <w:rPr>
                <w:rFonts w:hint="eastAsia" w:ascii="宋体" w:hAnsi="宋体" w:cs="宋体"/>
                <w:sz w:val="24"/>
                <w:szCs w:val="24"/>
              </w:rPr>
              <w:t>粘贴转帐、电汇或网上银行凭证（清晰影印件）</w:t>
            </w: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rPr>
                <w:rFonts w:ascii="宋体" w:cs="Times New Roman"/>
                <w:sz w:val="24"/>
                <w:szCs w:val="24"/>
              </w:rPr>
            </w:pPr>
          </w:p>
          <w:p>
            <w:pPr>
              <w:spacing w:line="360" w:lineRule="auto"/>
              <w:ind w:left="110" w:leftChars="38" w:hanging="31" w:hangingChars="13"/>
              <w:rPr>
                <w:rFonts w:ascii="宋体" w:cs="Times New Roman"/>
                <w:b/>
                <w:bCs/>
                <w:sz w:val="24"/>
                <w:szCs w:val="24"/>
                <w:lang w:val="zh-CN"/>
              </w:rPr>
            </w:pPr>
            <w:r>
              <w:rPr>
                <w:rFonts w:hint="eastAsia" w:ascii="宋体" w:hAnsi="宋体" w:cs="宋体"/>
                <w:sz w:val="24"/>
                <w:szCs w:val="24"/>
                <w:lang w:val="zh-CN"/>
              </w:rPr>
              <w:t>注：在交款凭证备注中说明项目编号及开标时间</w:t>
            </w:r>
          </w:p>
        </w:tc>
      </w:tr>
    </w:tbl>
    <w:p>
      <w:pPr>
        <w:spacing w:line="360" w:lineRule="auto"/>
        <w:ind w:left="720" w:hanging="720" w:hangingChars="300"/>
        <w:jc w:val="left"/>
        <w:rPr>
          <w:rFonts w:ascii="宋体" w:cs="Times New Roman"/>
          <w:sz w:val="24"/>
          <w:szCs w:val="24"/>
        </w:rPr>
      </w:pPr>
      <w:r>
        <w:rPr>
          <w:rFonts w:hint="eastAsia" w:ascii="宋体" w:hAnsi="宋体" w:cs="宋体"/>
          <w:sz w:val="24"/>
          <w:szCs w:val="24"/>
        </w:rPr>
        <w:t>说明：投标人应认真填写银行信息，与转帐或电汇银行凭证的相关信息一致，采购代理机构将依据此凭证信息查退投标保证金。</w:t>
      </w:r>
    </w:p>
    <w:p>
      <w:pPr>
        <w:rPr>
          <w:rFonts w:cs="Times New Roman"/>
        </w:rPr>
      </w:pPr>
      <w:r>
        <w:rPr>
          <w:rFonts w:cs="Times New Roman"/>
        </w:rPr>
        <w:br w:type="page"/>
      </w:r>
    </w:p>
    <w:p>
      <w:pPr>
        <w:pStyle w:val="4"/>
        <w:numPr>
          <w:ilvl w:val="0"/>
          <w:numId w:val="41"/>
        </w:numPr>
        <w:spacing w:before="100" w:beforeAutospacing="1" w:after="156" w:afterLines="50" w:line="360" w:lineRule="auto"/>
        <w:ind w:left="1288" w:hanging="1288"/>
        <w:rPr>
          <w:rFonts w:ascii="宋体" w:cs="Times New Roman"/>
        </w:rPr>
      </w:pPr>
      <w:bookmarkStart w:id="217" w:name="_Toc494721110"/>
      <w:bookmarkStart w:id="218" w:name="_Toc495861559"/>
      <w:bookmarkStart w:id="219" w:name="_Toc509323151"/>
      <w:bookmarkStart w:id="220" w:name="_Toc494665563"/>
      <w:bookmarkStart w:id="221" w:name="_Toc494745327"/>
      <w:bookmarkStart w:id="222" w:name="_Toc236473303"/>
      <w:bookmarkStart w:id="223" w:name="_Toc494665960"/>
      <w:bookmarkStart w:id="224" w:name="_Toc238276247"/>
      <w:bookmarkStart w:id="225" w:name="_Toc494702280"/>
      <w:bookmarkStart w:id="226" w:name="_Toc494665010"/>
      <w:r>
        <w:rPr>
          <w:rFonts w:hint="eastAsia" w:ascii="宋体" w:hAnsi="宋体" w:cs="宋体"/>
        </w:rPr>
        <w:t>法定代表人授权书</w:t>
      </w:r>
      <w:bookmarkEnd w:id="217"/>
      <w:bookmarkEnd w:id="218"/>
      <w:bookmarkEnd w:id="219"/>
      <w:bookmarkEnd w:id="220"/>
      <w:bookmarkEnd w:id="221"/>
      <w:bookmarkEnd w:id="222"/>
      <w:bookmarkEnd w:id="223"/>
      <w:bookmarkEnd w:id="224"/>
      <w:bookmarkEnd w:id="225"/>
      <w:bookmarkEnd w:id="226"/>
    </w:p>
    <w:p>
      <w:pPr>
        <w:spacing w:line="480" w:lineRule="auto"/>
        <w:rPr>
          <w:rFonts w:ascii="宋体" w:cs="Times New Roman"/>
          <w:b/>
          <w:bCs/>
          <w:sz w:val="24"/>
          <w:szCs w:val="24"/>
        </w:rPr>
      </w:pPr>
      <w:r>
        <w:rPr>
          <w:rFonts w:hint="eastAsia" w:cs="宋体"/>
          <w:b/>
          <w:bCs/>
          <w:sz w:val="28"/>
          <w:szCs w:val="28"/>
        </w:rPr>
        <w:t>采购人（或代理公司）</w:t>
      </w:r>
      <w:r>
        <w:rPr>
          <w:rFonts w:hint="eastAsia" w:ascii="宋体" w:hAnsi="宋体" w:cs="宋体"/>
          <w:b/>
          <w:bCs/>
          <w:sz w:val="28"/>
          <w:szCs w:val="28"/>
        </w:rPr>
        <w:t>：</w:t>
      </w:r>
    </w:p>
    <w:p>
      <w:pPr>
        <w:spacing w:line="360" w:lineRule="auto"/>
        <w:ind w:firstLine="480" w:firstLineChars="200"/>
        <w:rPr>
          <w:rFonts w:ascii="宋体" w:cs="Times New Roman"/>
          <w:sz w:val="24"/>
          <w:szCs w:val="24"/>
        </w:rPr>
      </w:pPr>
      <w:r>
        <w:rPr>
          <w:rFonts w:hint="eastAsia" w:ascii="宋体" w:hAnsi="宋体" w:cs="宋体"/>
          <w:sz w:val="24"/>
          <w:szCs w:val="24"/>
        </w:rPr>
        <w:t>兹授权</w:t>
      </w:r>
      <w:r>
        <w:rPr>
          <w:rFonts w:ascii="Times New Roman" w:hAnsi="宋体" w:cs="Times New Roman"/>
          <w:sz w:val="24"/>
          <w:szCs w:val="24"/>
        </w:rPr>
        <w:t>____</w:t>
      </w:r>
      <w:r>
        <w:rPr>
          <w:rFonts w:hint="eastAsia" w:ascii="宋体" w:hAnsi="宋体" w:cs="宋体"/>
          <w:sz w:val="24"/>
          <w:szCs w:val="24"/>
        </w:rPr>
        <w:t>同志为我单位参加贵方组织的</w:t>
      </w:r>
      <w:r>
        <w:rPr>
          <w:rFonts w:ascii="Times New Roman" w:hAnsi="宋体" w:cs="Times New Roman"/>
          <w:sz w:val="24"/>
          <w:szCs w:val="24"/>
        </w:rPr>
        <w:t>____</w:t>
      </w:r>
      <w:r>
        <w:rPr>
          <w:rFonts w:hint="eastAsia" w:ascii="Times New Roman" w:hAnsi="宋体" w:cs="宋体"/>
          <w:sz w:val="24"/>
          <w:szCs w:val="24"/>
        </w:rPr>
        <w:t>项目（项目编号：</w:t>
      </w:r>
      <w:r>
        <w:rPr>
          <w:rFonts w:ascii="Times New Roman" w:hAnsi="宋体" w:cs="Times New Roman"/>
          <w:sz w:val="24"/>
          <w:szCs w:val="24"/>
        </w:rPr>
        <w:t>______</w:t>
      </w:r>
      <w:r>
        <w:rPr>
          <w:rFonts w:hint="eastAsia" w:ascii="Times New Roman" w:hAnsi="宋体" w:cs="宋体"/>
          <w:sz w:val="24"/>
          <w:szCs w:val="24"/>
        </w:rPr>
        <w:t>）</w:t>
      </w:r>
      <w:r>
        <w:rPr>
          <w:rFonts w:hint="eastAsia" w:ascii="宋体" w:hAnsi="宋体" w:cs="宋体"/>
          <w:sz w:val="24"/>
          <w:szCs w:val="24"/>
        </w:rPr>
        <w:t>采购活动的投标人授权代表，全权代表我公司处理在</w:t>
      </w:r>
      <w:r>
        <w:rPr>
          <w:rFonts w:ascii="Times New Roman" w:hAnsi="宋体" w:cs="Times New Roman"/>
          <w:sz w:val="24"/>
          <w:szCs w:val="24"/>
        </w:rPr>
        <w:t>____</w:t>
      </w:r>
      <w:r>
        <w:rPr>
          <w:rFonts w:hint="eastAsia" w:ascii="宋体" w:hAnsi="宋体" w:cs="宋体"/>
          <w:sz w:val="24"/>
          <w:szCs w:val="24"/>
        </w:rPr>
        <w:t>项目采购活动中的一切事宜。代理期限从</w:t>
      </w:r>
      <w:r>
        <w:rPr>
          <w:rFonts w:ascii="Times New Roman" w:hAnsi="宋体" w:cs="Times New Roman"/>
          <w:sz w:val="24"/>
          <w:szCs w:val="24"/>
        </w:rPr>
        <w:t>__</w:t>
      </w:r>
      <w:r>
        <w:rPr>
          <w:rFonts w:hint="eastAsia" w:ascii="宋体" w:hAnsi="宋体" w:cs="宋体"/>
          <w:sz w:val="24"/>
          <w:szCs w:val="24"/>
        </w:rPr>
        <w:t>年</w:t>
      </w:r>
      <w:r>
        <w:rPr>
          <w:rFonts w:ascii="Times New Roman" w:hAnsi="宋体" w:cs="Times New Roman"/>
          <w:sz w:val="24"/>
          <w:szCs w:val="24"/>
        </w:rPr>
        <w:t>__</w:t>
      </w:r>
      <w:r>
        <w:rPr>
          <w:rFonts w:hint="eastAsia" w:ascii="宋体" w:hAnsi="宋体" w:cs="宋体"/>
          <w:sz w:val="24"/>
          <w:szCs w:val="24"/>
        </w:rPr>
        <w:t>月</w:t>
      </w:r>
      <w:r>
        <w:rPr>
          <w:rFonts w:ascii="Times New Roman" w:hAnsi="宋体" w:cs="Times New Roman"/>
          <w:sz w:val="24"/>
          <w:szCs w:val="24"/>
        </w:rPr>
        <w:t>__</w:t>
      </w:r>
      <w:r>
        <w:rPr>
          <w:rFonts w:hint="eastAsia" w:ascii="宋体" w:hAnsi="宋体" w:cs="宋体"/>
          <w:sz w:val="24"/>
          <w:szCs w:val="24"/>
        </w:rPr>
        <w:t>日起至</w:t>
      </w:r>
      <w:r>
        <w:rPr>
          <w:rFonts w:ascii="Times New Roman" w:hAnsi="宋体" w:cs="Times New Roman"/>
          <w:sz w:val="24"/>
          <w:szCs w:val="24"/>
        </w:rPr>
        <w:t>____</w:t>
      </w:r>
      <w:r>
        <w:rPr>
          <w:rFonts w:hint="eastAsia" w:ascii="宋体" w:hAnsi="宋体" w:cs="宋体"/>
          <w:sz w:val="24"/>
          <w:szCs w:val="24"/>
        </w:rPr>
        <w:t>年</w:t>
      </w:r>
      <w:r>
        <w:rPr>
          <w:rFonts w:ascii="Times New Roman" w:hAnsi="宋体" w:cs="Times New Roman"/>
          <w:sz w:val="24"/>
          <w:szCs w:val="24"/>
        </w:rPr>
        <w:t>____</w:t>
      </w:r>
      <w:r>
        <w:rPr>
          <w:rFonts w:hint="eastAsia" w:ascii="宋体" w:hAnsi="宋体" w:cs="宋体"/>
          <w:sz w:val="24"/>
          <w:szCs w:val="24"/>
        </w:rPr>
        <w:t>月</w:t>
      </w:r>
      <w:r>
        <w:rPr>
          <w:rFonts w:ascii="Times New Roman" w:hAnsi="宋体" w:cs="Times New Roman"/>
          <w:sz w:val="24"/>
          <w:szCs w:val="24"/>
        </w:rPr>
        <w:t>____</w:t>
      </w:r>
      <w:r>
        <w:rPr>
          <w:rFonts w:hint="eastAsia" w:ascii="宋体" w:hAnsi="宋体" w:cs="宋体"/>
          <w:sz w:val="24"/>
          <w:szCs w:val="24"/>
        </w:rPr>
        <w:t>日止。</w:t>
      </w:r>
      <w:r>
        <w:rPr>
          <w:rFonts w:ascii="宋体" w:hAnsi="宋体" w:cs="宋体"/>
          <w:sz w:val="24"/>
          <w:szCs w:val="24"/>
        </w:rPr>
        <w:t xml:space="preserve"> </w:t>
      </w:r>
    </w:p>
    <w:p>
      <w:pPr>
        <w:spacing w:line="360" w:lineRule="auto"/>
        <w:ind w:firstLine="540" w:firstLineChars="225"/>
        <w:rPr>
          <w:rFonts w:ascii="宋体" w:cs="Times New Roman"/>
          <w:sz w:val="24"/>
          <w:szCs w:val="24"/>
        </w:rPr>
      </w:pPr>
      <w:r>
        <w:rPr>
          <w:rFonts w:hint="eastAsia" w:ascii="宋体" w:hAnsi="宋体" w:cs="宋体"/>
          <w:sz w:val="24"/>
          <w:szCs w:val="24"/>
        </w:rPr>
        <w:t>被授权代表无转委托权。</w:t>
      </w:r>
    </w:p>
    <w:p>
      <w:pPr>
        <w:spacing w:line="360" w:lineRule="auto"/>
        <w:ind w:firstLine="540" w:firstLineChars="225"/>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授权单位（公章）：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法定代表人（签字或盖章）</w:t>
      </w:r>
      <w:r>
        <w:rPr>
          <w:rFonts w:hint="eastAsia" w:hAnsi="宋体" w:cs="宋体"/>
          <w:b/>
          <w:bCs/>
          <w:sz w:val="24"/>
          <w:szCs w:val="24"/>
        </w:rPr>
        <w:t>：</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签发日期：</w:t>
      </w:r>
      <w:r>
        <w:rPr>
          <w:rFonts w:ascii="Times New Roman" w:hAnsi="宋体" w:cs="Times New Roman"/>
          <w:sz w:val="24"/>
          <w:szCs w:val="24"/>
        </w:rPr>
        <w:t>____</w:t>
      </w:r>
      <w:r>
        <w:rPr>
          <w:rFonts w:hint="eastAsia" w:ascii="宋体" w:hAnsi="宋体" w:cs="宋体"/>
          <w:b/>
          <w:bCs/>
          <w:sz w:val="24"/>
          <w:szCs w:val="24"/>
          <w:lang w:val="zh-CN"/>
        </w:rPr>
        <w:t>年</w:t>
      </w:r>
      <w:r>
        <w:rPr>
          <w:rFonts w:ascii="Times New Roman" w:hAnsi="宋体" w:cs="Times New Roman"/>
          <w:sz w:val="24"/>
          <w:szCs w:val="24"/>
        </w:rPr>
        <w:t>____</w:t>
      </w:r>
      <w:r>
        <w:rPr>
          <w:rFonts w:hint="eastAsia" w:ascii="宋体" w:hAnsi="宋体" w:cs="宋体"/>
          <w:b/>
          <w:bCs/>
          <w:sz w:val="24"/>
          <w:szCs w:val="24"/>
          <w:lang w:val="zh-CN"/>
        </w:rPr>
        <w:t>月</w:t>
      </w:r>
      <w:r>
        <w:rPr>
          <w:rFonts w:ascii="Times New Roman" w:hAnsi="宋体" w:cs="Times New Roman"/>
          <w:sz w:val="24"/>
          <w:szCs w:val="24"/>
        </w:rPr>
        <w:t>____</w:t>
      </w:r>
      <w:r>
        <w:rPr>
          <w:rFonts w:hint="eastAsia" w:ascii="宋体" w:hAnsi="宋体" w:cs="宋体"/>
          <w:b/>
          <w:bCs/>
          <w:sz w:val="24"/>
          <w:szCs w:val="24"/>
          <w:lang w:val="zh-CN"/>
        </w:rPr>
        <w:t>日</w:t>
      </w:r>
    </w:p>
    <w:p>
      <w:pPr>
        <w:spacing w:line="360" w:lineRule="auto"/>
        <w:rPr>
          <w:rFonts w:ascii="宋体" w:cs="Times New Roman"/>
          <w:sz w:val="24"/>
          <w:szCs w:val="24"/>
        </w:rPr>
      </w:pPr>
      <w:r>
        <w:rPr>
          <w:rFonts w:hint="eastAsia" w:ascii="宋体" w:hAnsi="宋体" w:cs="宋体"/>
          <w:sz w:val="24"/>
          <w:szCs w:val="24"/>
        </w:rPr>
        <w:t>附：</w:t>
      </w:r>
    </w:p>
    <w:p>
      <w:pPr>
        <w:spacing w:line="360" w:lineRule="auto"/>
        <w:ind w:firstLine="480" w:firstLineChars="200"/>
        <w:rPr>
          <w:rFonts w:ascii="宋体" w:cs="Times New Roman"/>
          <w:sz w:val="24"/>
          <w:szCs w:val="24"/>
        </w:rPr>
      </w:pPr>
      <w:r>
        <w:rPr>
          <w:rFonts w:hint="eastAsia" w:ascii="宋体" w:hAnsi="宋体" w:cs="宋体"/>
          <w:sz w:val="24"/>
          <w:szCs w:val="24"/>
        </w:rPr>
        <w:t>投标人授权代表单位名称：</w:t>
      </w:r>
    </w:p>
    <w:p>
      <w:pPr>
        <w:spacing w:line="360" w:lineRule="auto"/>
        <w:ind w:firstLine="480" w:firstLineChars="200"/>
        <w:rPr>
          <w:rFonts w:ascii="宋体" w:cs="Times New Roman"/>
          <w:sz w:val="24"/>
          <w:szCs w:val="24"/>
        </w:rPr>
      </w:pPr>
      <w:r>
        <w:rPr>
          <w:rFonts w:hint="eastAsia" w:ascii="宋体" w:hAnsi="宋体" w:cs="宋体"/>
          <w:sz w:val="24"/>
          <w:szCs w:val="24"/>
        </w:rPr>
        <w:t>职务：</w:t>
      </w:r>
      <w:r>
        <w:rPr>
          <w:rFonts w:ascii="宋体" w:hAnsi="宋体" w:cs="宋体"/>
          <w:sz w:val="24"/>
          <w:szCs w:val="24"/>
        </w:rPr>
        <w:t xml:space="preserve"> </w:t>
      </w:r>
      <w:r>
        <w:rPr>
          <w:rFonts w:hint="eastAsia" w:ascii="宋体" w:hAnsi="宋体" w:cs="宋体"/>
          <w:sz w:val="24"/>
          <w:szCs w:val="24"/>
        </w:rPr>
        <w:t>性别：</w:t>
      </w:r>
    </w:p>
    <w:p>
      <w:pPr>
        <w:spacing w:line="360" w:lineRule="auto"/>
        <w:ind w:firstLine="480" w:firstLineChars="200"/>
        <w:rPr>
          <w:rFonts w:ascii="宋体" w:cs="Times New Roman"/>
          <w:sz w:val="24"/>
          <w:szCs w:val="24"/>
          <w:u w:val="single"/>
        </w:rPr>
      </w:pPr>
      <w:r>
        <w:rPr>
          <w:rFonts w:hint="eastAsia" w:ascii="宋体" w:hAnsi="宋体" w:cs="宋体"/>
          <w:sz w:val="24"/>
          <w:szCs w:val="24"/>
        </w:rPr>
        <w:t>身份证号码：</w:t>
      </w:r>
    </w:p>
    <w:p>
      <w:pPr>
        <w:spacing w:line="360" w:lineRule="auto"/>
        <w:ind w:firstLine="480" w:firstLineChars="200"/>
        <w:rPr>
          <w:rFonts w:ascii="宋体" w:cs="Times New Roman"/>
          <w:sz w:val="24"/>
          <w:szCs w:val="24"/>
        </w:rPr>
      </w:pPr>
      <w:r>
        <w:rPr>
          <w:rFonts w:hint="eastAsia" w:ascii="宋体" w:hAnsi="宋体" w:cs="宋体"/>
          <w:sz w:val="24"/>
          <w:szCs w:val="24"/>
        </w:rPr>
        <w:t>电话：</w:t>
      </w:r>
    </w:p>
    <w:tbl>
      <w:tblPr>
        <w:tblStyle w:val="2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cs="Times New Roman"/>
                <w:sz w:val="24"/>
                <w:szCs w:val="24"/>
              </w:rPr>
            </w:pPr>
            <w:r>
              <w:rPr>
                <w:rFonts w:hint="eastAsia" w:ascii="宋体" w:hAnsi="宋体" w:cs="宋体"/>
                <w:sz w:val="24"/>
                <w:szCs w:val="24"/>
              </w:rPr>
              <w:t>粘贴被授权人身份证（清晰影印件）</w:t>
            </w:r>
          </w:p>
        </w:tc>
      </w:tr>
    </w:tbl>
    <w:p>
      <w:pPr>
        <w:rPr>
          <w:rFonts w:cs="Times New Roman"/>
        </w:rPr>
      </w:pPr>
      <w:r>
        <w:rPr>
          <w:rFonts w:cs="Times New Roman"/>
        </w:rPr>
        <w:br w:type="page"/>
      </w:r>
    </w:p>
    <w:p>
      <w:pPr>
        <w:pStyle w:val="4"/>
        <w:numPr>
          <w:ilvl w:val="0"/>
          <w:numId w:val="41"/>
        </w:numPr>
        <w:spacing w:before="100" w:beforeAutospacing="1" w:after="156" w:afterLines="50" w:line="360" w:lineRule="auto"/>
        <w:ind w:left="1610" w:hanging="1610"/>
        <w:rPr>
          <w:rFonts w:ascii="宋体" w:cs="Times New Roman"/>
        </w:rPr>
      </w:pPr>
      <w:bookmarkStart w:id="227" w:name="_Toc494702281"/>
      <w:bookmarkStart w:id="228" w:name="_Toc238276248"/>
      <w:bookmarkStart w:id="229" w:name="_Toc236473304"/>
      <w:bookmarkStart w:id="230" w:name="_Toc509323152"/>
      <w:bookmarkStart w:id="231" w:name="_Toc494745328"/>
      <w:bookmarkStart w:id="232" w:name="_Toc495861560"/>
      <w:bookmarkStart w:id="233" w:name="_Toc494665564"/>
      <w:bookmarkStart w:id="234" w:name="_Toc494721111"/>
      <w:bookmarkStart w:id="235" w:name="_Toc494665961"/>
      <w:bookmarkStart w:id="236" w:name="_Toc494665011"/>
      <w:r>
        <w:rPr>
          <w:rFonts w:hint="eastAsia" w:ascii="宋体" w:hAnsi="宋体" w:cs="宋体"/>
        </w:rPr>
        <w:t>投标人的资格声明</w:t>
      </w:r>
      <w:bookmarkEnd w:id="227"/>
      <w:bookmarkEnd w:id="228"/>
      <w:bookmarkEnd w:id="229"/>
      <w:bookmarkEnd w:id="230"/>
      <w:bookmarkEnd w:id="231"/>
      <w:bookmarkEnd w:id="232"/>
      <w:bookmarkEnd w:id="233"/>
      <w:bookmarkEnd w:id="234"/>
      <w:bookmarkEnd w:id="235"/>
      <w:bookmarkEnd w:id="236"/>
    </w:p>
    <w:p>
      <w:pPr>
        <w:ind w:left="1078" w:hanging="1077" w:hangingChars="449"/>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．名称及基本情况：</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）投标人：</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邮编：</w:t>
      </w:r>
    </w:p>
    <w:p>
      <w:pPr>
        <w:ind w:firstLine="840" w:firstLineChars="350"/>
        <w:rPr>
          <w:rFonts w:ascii="宋体" w:cs="Times New Roman"/>
          <w:sz w:val="24"/>
          <w:szCs w:val="24"/>
          <w:u w:val="single"/>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rPr>
        <w:t>传真：</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）成立或注册日期：</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）单位性质：</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）法定代表人或主要负责人：</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）员工人数：</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）注册资本：</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）实收资本：</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）上年末资产负债表：</w:t>
      </w:r>
    </w:p>
    <w:p>
      <w:pPr>
        <w:ind w:firstLine="727" w:firstLineChars="303"/>
        <w:rPr>
          <w:rFonts w:ascii="宋体" w:cs="Times New Roman"/>
          <w:sz w:val="24"/>
          <w:szCs w:val="24"/>
        </w:rPr>
      </w:pPr>
      <w:r>
        <w:rPr>
          <w:rFonts w:ascii="宋体" w:hAnsi="宋体" w:cs="宋体"/>
          <w:sz w:val="24"/>
          <w:szCs w:val="24"/>
        </w:rPr>
        <w:t>1</w:t>
      </w:r>
      <w:r>
        <w:rPr>
          <w:rFonts w:hint="eastAsia" w:ascii="宋体" w:hAnsi="宋体" w:cs="宋体"/>
          <w:sz w:val="24"/>
          <w:szCs w:val="24"/>
        </w:rPr>
        <w:t>）固定资产</w:t>
      </w:r>
    </w:p>
    <w:p>
      <w:pPr>
        <w:ind w:firstLine="727" w:firstLineChars="303"/>
        <w:rPr>
          <w:rFonts w:ascii="宋体" w:cs="Times New Roman"/>
          <w:sz w:val="24"/>
          <w:szCs w:val="24"/>
        </w:rPr>
      </w:pPr>
      <w:r>
        <w:rPr>
          <w:rFonts w:hint="eastAsia" w:ascii="宋体" w:hAnsi="宋体" w:cs="宋体"/>
          <w:sz w:val="24"/>
          <w:szCs w:val="24"/>
        </w:rPr>
        <w:t>原</w:t>
      </w:r>
      <w:r>
        <w:rPr>
          <w:rFonts w:ascii="宋体" w:hAnsi="宋体" w:cs="宋体"/>
          <w:sz w:val="24"/>
          <w:szCs w:val="24"/>
        </w:rPr>
        <w:t xml:space="preserve">   </w:t>
      </w:r>
      <w:r>
        <w:rPr>
          <w:rFonts w:hint="eastAsia" w:ascii="宋体" w:hAnsi="宋体" w:cs="宋体"/>
          <w:sz w:val="24"/>
          <w:szCs w:val="24"/>
        </w:rPr>
        <w:t>值：</w:t>
      </w:r>
      <w:r>
        <w:rPr>
          <w:rFonts w:ascii="宋体" w:hAnsi="宋体" w:cs="宋体"/>
          <w:sz w:val="24"/>
          <w:szCs w:val="24"/>
        </w:rPr>
        <w:t xml:space="preserve">    </w:t>
      </w:r>
      <w:r>
        <w:rPr>
          <w:rFonts w:hint="eastAsia" w:ascii="宋体" w:hAnsi="宋体" w:cs="宋体"/>
          <w:sz w:val="24"/>
          <w:szCs w:val="24"/>
        </w:rPr>
        <w:t>净</w:t>
      </w:r>
      <w:r>
        <w:rPr>
          <w:rFonts w:ascii="宋体" w:hAnsi="宋体" w:cs="宋体"/>
          <w:sz w:val="24"/>
          <w:szCs w:val="24"/>
        </w:rPr>
        <w:t xml:space="preserve">   </w:t>
      </w:r>
      <w:r>
        <w:rPr>
          <w:rFonts w:hint="eastAsia" w:ascii="宋体" w:hAnsi="宋体" w:cs="宋体"/>
          <w:sz w:val="24"/>
          <w:szCs w:val="24"/>
        </w:rPr>
        <w:t>值：</w:t>
      </w:r>
      <w:r>
        <w:rPr>
          <w:rFonts w:ascii="宋体" w:hAnsi="宋体" w:cs="宋体"/>
          <w:sz w:val="24"/>
          <w:szCs w:val="24"/>
        </w:rPr>
        <w:t xml:space="preserve"> </w:t>
      </w:r>
    </w:p>
    <w:p>
      <w:pPr>
        <w:ind w:firstLine="727" w:firstLineChars="303"/>
        <w:rPr>
          <w:rFonts w:ascii="宋体" w:cs="Times New Roman"/>
          <w:sz w:val="24"/>
          <w:szCs w:val="24"/>
        </w:rPr>
      </w:pPr>
      <w:r>
        <w:rPr>
          <w:rFonts w:ascii="宋体" w:hAnsi="宋体" w:cs="宋体"/>
          <w:sz w:val="24"/>
          <w:szCs w:val="24"/>
        </w:rPr>
        <w:t>2</w:t>
      </w:r>
      <w:r>
        <w:rPr>
          <w:rFonts w:hint="eastAsia" w:ascii="宋体" w:hAnsi="宋体" w:cs="宋体"/>
          <w:sz w:val="24"/>
          <w:szCs w:val="24"/>
        </w:rPr>
        <w:t>）流动资金：</w:t>
      </w:r>
    </w:p>
    <w:p>
      <w:pPr>
        <w:ind w:firstLine="727" w:firstLineChars="303"/>
        <w:rPr>
          <w:rFonts w:ascii="宋体" w:cs="Times New Roman"/>
          <w:sz w:val="24"/>
          <w:szCs w:val="24"/>
        </w:rPr>
      </w:pPr>
      <w:r>
        <w:rPr>
          <w:rFonts w:ascii="宋体" w:hAnsi="宋体" w:cs="宋体"/>
          <w:sz w:val="24"/>
          <w:szCs w:val="24"/>
        </w:rPr>
        <w:t>3</w:t>
      </w:r>
      <w:r>
        <w:rPr>
          <w:rFonts w:hint="eastAsia" w:ascii="宋体" w:hAnsi="宋体" w:cs="宋体"/>
          <w:sz w:val="24"/>
          <w:szCs w:val="24"/>
        </w:rPr>
        <w:t>）长期负债：</w:t>
      </w:r>
    </w:p>
    <w:p>
      <w:pPr>
        <w:ind w:firstLine="727" w:firstLineChars="303"/>
        <w:rPr>
          <w:rFonts w:ascii="宋体" w:cs="Times New Roman"/>
          <w:sz w:val="24"/>
          <w:szCs w:val="24"/>
        </w:rPr>
      </w:pPr>
      <w:r>
        <w:rPr>
          <w:rFonts w:ascii="宋体" w:hAnsi="宋体" w:cs="宋体"/>
          <w:sz w:val="24"/>
          <w:szCs w:val="24"/>
        </w:rPr>
        <w:t>4</w:t>
      </w:r>
      <w:r>
        <w:rPr>
          <w:rFonts w:hint="eastAsia" w:ascii="宋体" w:hAnsi="宋体" w:cs="宋体"/>
          <w:sz w:val="24"/>
          <w:szCs w:val="24"/>
        </w:rPr>
        <w:t>）短期负债：</w:t>
      </w:r>
    </w:p>
    <w:p>
      <w:pPr>
        <w:rPr>
          <w:rFonts w:ascii="宋体" w:cs="Times New Roman"/>
          <w:sz w:val="24"/>
          <w:szCs w:val="24"/>
        </w:rPr>
      </w:pPr>
      <w:r>
        <w:rPr>
          <w:rFonts w:ascii="宋体" w:hAnsi="宋体" w:cs="宋体"/>
          <w:sz w:val="24"/>
          <w:szCs w:val="24"/>
        </w:rPr>
        <w:t>2</w:t>
      </w:r>
      <w:r>
        <w:rPr>
          <w:rFonts w:hint="eastAsia" w:ascii="宋体" w:hAnsi="宋体" w:cs="宋体"/>
          <w:sz w:val="24"/>
          <w:szCs w:val="24"/>
        </w:rPr>
        <w:t>．与投标货物的生产、销售和服务有关的情况：</w:t>
      </w:r>
      <w:r>
        <w:rPr>
          <w:rFonts w:ascii="宋体" w:hAnsi="宋体" w:cs="宋体"/>
          <w:sz w:val="24"/>
          <w:szCs w:val="24"/>
        </w:rPr>
        <w:t xml:space="preserve"> </w:t>
      </w:r>
    </w:p>
    <w:p>
      <w:pPr>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）关于制造投标货物的设施及其它情况：</w:t>
      </w:r>
    </w:p>
    <w:tbl>
      <w:tblPr>
        <w:tblStyle w:val="21"/>
        <w:tblW w:w="953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cs="Times New Roman"/>
                <w:sz w:val="24"/>
                <w:szCs w:val="24"/>
              </w:rPr>
            </w:pPr>
          </w:p>
        </w:tc>
      </w:tr>
    </w:tbl>
    <w:p>
      <w:pPr>
        <w:spacing w:line="360" w:lineRule="exact"/>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）投标人生产此投标货物的经验（包括年限、项目业主、额定能力、商业运营的起始日期等）：</w:t>
      </w:r>
    </w:p>
    <w:p>
      <w:pPr>
        <w:spacing w:line="360" w:lineRule="exact"/>
        <w:ind w:firstLine="240" w:firstLineChars="100"/>
        <w:rPr>
          <w:rFonts w:ascii="宋体" w:cs="Times New Roman"/>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）销售、服务网点分布（可另行附表）：</w:t>
      </w:r>
    </w:p>
    <w:tbl>
      <w:tblPr>
        <w:tblStyle w:val="21"/>
        <w:tblW w:w="953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cs="Times New Roman"/>
                <w:sz w:val="24"/>
                <w:szCs w:val="24"/>
              </w:rPr>
            </w:pPr>
            <w:r>
              <w:rPr>
                <w:rFonts w:hint="eastAsia" w:ascii="宋体" w:hAnsi="宋体" w:cs="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cs="Times New Roman"/>
                <w:sz w:val="24"/>
                <w:szCs w:val="24"/>
              </w:rPr>
            </w:pPr>
          </w:p>
        </w:tc>
      </w:tr>
    </w:tbl>
    <w:p>
      <w:pPr>
        <w:spacing w:line="360" w:lineRule="exact"/>
        <w:rPr>
          <w:rFonts w:ascii="宋体" w:cs="Times New Roman"/>
          <w:sz w:val="24"/>
          <w:szCs w:val="24"/>
        </w:rPr>
      </w:pPr>
      <w:r>
        <w:rPr>
          <w:rFonts w:ascii="宋体" w:hAnsi="宋体" w:cs="宋体"/>
          <w:sz w:val="24"/>
          <w:szCs w:val="24"/>
        </w:rPr>
        <w:t>3</w:t>
      </w:r>
      <w:r>
        <w:rPr>
          <w:rFonts w:hint="eastAsia" w:ascii="宋体" w:hAnsi="宋体" w:cs="宋体"/>
          <w:sz w:val="24"/>
          <w:szCs w:val="24"/>
        </w:rPr>
        <w:t>．投标人认为需要声明的其它情况：</w:t>
      </w:r>
      <w:r>
        <w:rPr>
          <w:rFonts w:ascii="宋体" w:hAnsi="宋体" w:cs="宋体"/>
          <w:sz w:val="24"/>
          <w:szCs w:val="24"/>
        </w:rPr>
        <w:t xml:space="preserve">                         </w:t>
      </w:r>
    </w:p>
    <w:p>
      <w:pPr>
        <w:spacing w:line="360" w:lineRule="exact"/>
        <w:ind w:firstLine="475" w:firstLineChars="198"/>
        <w:rPr>
          <w:rFonts w:ascii="宋体" w:cs="Times New Roman"/>
          <w:sz w:val="24"/>
          <w:szCs w:val="24"/>
        </w:rPr>
      </w:pPr>
      <w:r>
        <w:rPr>
          <w:rFonts w:hint="eastAsia" w:ascii="宋体" w:hAnsi="宋体" w:cs="宋体"/>
          <w:sz w:val="24"/>
          <w:szCs w:val="24"/>
        </w:rPr>
        <w:t>兹证明上述声明是真实的、正确，并提供了全部能提供的资料和数据，同意按照采购代理机构要求出示有关证明文件。</w:t>
      </w:r>
      <w:r>
        <w:rPr>
          <w:rFonts w:ascii="宋体" w:hAnsi="宋体" w:cs="宋体"/>
          <w:sz w:val="24"/>
          <w:szCs w:val="24"/>
        </w:rPr>
        <w:t xml:space="preserve">                      </w:t>
      </w:r>
    </w:p>
    <w:p>
      <w:pPr>
        <w:spacing w:line="360" w:lineRule="auto"/>
        <w:ind w:left="504" w:leftChars="240"/>
        <w:rPr>
          <w:rFonts w:ascii="宋体" w:cs="Times New Roman"/>
          <w:b/>
          <w:bCs/>
          <w:sz w:val="24"/>
          <w:szCs w:val="24"/>
        </w:rPr>
      </w:pPr>
      <w:r>
        <w:rPr>
          <w:rFonts w:hint="eastAsia" w:ascii="宋体" w:hAnsi="宋体" w:cs="宋体"/>
          <w:b/>
          <w:bCs/>
          <w:sz w:val="24"/>
          <w:szCs w:val="24"/>
        </w:rPr>
        <w:t>投标人</w:t>
      </w:r>
      <w:r>
        <w:rPr>
          <w:rFonts w:hint="eastAsia" w:ascii="Times New Roman" w:hAnsi="宋体" w:cs="宋体"/>
          <w:b/>
          <w:bCs/>
          <w:sz w:val="24"/>
          <w:szCs w:val="24"/>
        </w:rPr>
        <w:t>（公章）</w:t>
      </w:r>
      <w:r>
        <w:rPr>
          <w:rFonts w:hint="eastAsia" w:ascii="宋体" w:hAnsi="宋体" w:cs="宋体"/>
          <w:b/>
          <w:bCs/>
          <w:sz w:val="24"/>
          <w:szCs w:val="24"/>
        </w:rPr>
        <w:t>：</w:t>
      </w:r>
    </w:p>
    <w:p>
      <w:pPr>
        <w:spacing w:line="360" w:lineRule="auto"/>
        <w:ind w:left="504" w:leftChars="240"/>
        <w:rPr>
          <w:rFonts w:ascii="宋体" w:cs="Times New Roman"/>
          <w:b/>
          <w:bCs/>
          <w:sz w:val="24"/>
          <w:szCs w:val="24"/>
        </w:rPr>
      </w:pPr>
      <w:r>
        <w:rPr>
          <w:rFonts w:hint="eastAsia" w:ascii="Times New Roman" w:hAnsi="宋体" w:cs="宋体"/>
          <w:b/>
          <w:bCs/>
          <w:sz w:val="24"/>
          <w:szCs w:val="24"/>
        </w:rPr>
        <w:t>法定代表人（签字或盖章）</w:t>
      </w:r>
      <w:r>
        <w:rPr>
          <w:rFonts w:hint="eastAsia" w:ascii="宋体" w:hAnsi="宋体" w:cs="宋体"/>
          <w:b/>
          <w:bCs/>
          <w:sz w:val="24"/>
          <w:szCs w:val="24"/>
        </w:rPr>
        <w:t>：</w:t>
      </w:r>
    </w:p>
    <w:p>
      <w:pPr>
        <w:spacing w:line="360" w:lineRule="auto"/>
        <w:ind w:left="504" w:leftChars="240"/>
        <w:rPr>
          <w:rFonts w:ascii="宋体" w:cs="Times New Roman"/>
          <w:b/>
          <w:bCs/>
          <w:sz w:val="24"/>
          <w:szCs w:val="24"/>
        </w:rPr>
      </w:pPr>
      <w:r>
        <w:rPr>
          <w:rFonts w:hint="eastAsia" w:ascii="宋体" w:hAnsi="宋体" w:cs="宋体"/>
          <w:b/>
          <w:bCs/>
          <w:sz w:val="24"/>
          <w:szCs w:val="24"/>
        </w:rPr>
        <w:t>电</w:t>
      </w:r>
      <w:r>
        <w:rPr>
          <w:rFonts w:ascii="宋体" w:hAnsi="宋体" w:cs="宋体"/>
          <w:b/>
          <w:bCs/>
          <w:sz w:val="24"/>
          <w:szCs w:val="24"/>
        </w:rPr>
        <w:t xml:space="preserve">    </w:t>
      </w:r>
      <w:r>
        <w:rPr>
          <w:rFonts w:hint="eastAsia" w:ascii="宋体" w:hAnsi="宋体" w:cs="宋体"/>
          <w:b/>
          <w:bCs/>
          <w:sz w:val="24"/>
          <w:szCs w:val="24"/>
        </w:rPr>
        <w:t>话：</w:t>
      </w:r>
    </w:p>
    <w:p>
      <w:pPr>
        <w:spacing w:line="360" w:lineRule="auto"/>
        <w:ind w:left="504" w:leftChars="240"/>
        <w:rPr>
          <w:rFonts w:ascii="宋体" w:cs="Times New Roman"/>
          <w:b/>
          <w:bCs/>
          <w:sz w:val="24"/>
          <w:szCs w:val="24"/>
          <w:u w:val="single"/>
        </w:rPr>
      </w:pPr>
      <w:r>
        <w:rPr>
          <w:rFonts w:hint="eastAsia" w:ascii="宋体" w:hAnsi="宋体" w:cs="宋体"/>
          <w:b/>
          <w:bCs/>
          <w:sz w:val="24"/>
          <w:szCs w:val="24"/>
        </w:rPr>
        <w:t>传</w:t>
      </w:r>
      <w:r>
        <w:rPr>
          <w:rFonts w:ascii="宋体" w:hAnsi="宋体" w:cs="宋体"/>
          <w:b/>
          <w:bCs/>
          <w:sz w:val="24"/>
          <w:szCs w:val="24"/>
        </w:rPr>
        <w:t xml:space="preserve">    </w:t>
      </w:r>
      <w:r>
        <w:rPr>
          <w:rFonts w:hint="eastAsia" w:ascii="宋体" w:hAnsi="宋体" w:cs="宋体"/>
          <w:b/>
          <w:bCs/>
          <w:sz w:val="24"/>
          <w:szCs w:val="24"/>
        </w:rPr>
        <w:t>真：</w:t>
      </w:r>
    </w:p>
    <w:p>
      <w:pPr>
        <w:spacing w:line="360" w:lineRule="auto"/>
        <w:ind w:left="504" w:leftChars="240"/>
        <w:rPr>
          <w:rFonts w:ascii="宋体" w:cs="Times New Roman"/>
          <w:b/>
          <w:bCs/>
          <w:sz w:val="24"/>
          <w:szCs w:val="24"/>
        </w:rPr>
      </w:pPr>
      <w:r>
        <w:rPr>
          <w:rFonts w:hint="eastAsia" w:ascii="宋体" w:hAnsi="宋体" w:cs="宋体"/>
          <w:b/>
          <w:bCs/>
          <w:sz w:val="24"/>
          <w:szCs w:val="24"/>
        </w:rPr>
        <w:t>日</w:t>
      </w:r>
      <w:r>
        <w:rPr>
          <w:rFonts w:ascii="宋体" w:hAnsi="宋体" w:cs="宋体"/>
          <w:b/>
          <w:bCs/>
          <w:sz w:val="24"/>
          <w:szCs w:val="24"/>
        </w:rPr>
        <w:t xml:space="preserve">    </w:t>
      </w:r>
      <w:r>
        <w:rPr>
          <w:rFonts w:hint="eastAsia" w:ascii="宋体" w:hAnsi="宋体" w:cs="宋体"/>
          <w:b/>
          <w:bCs/>
          <w:sz w:val="24"/>
          <w:szCs w:val="24"/>
        </w:rPr>
        <w:t>期：年月</w:t>
      </w:r>
      <w:r>
        <w:rPr>
          <w:rFonts w:ascii="宋体" w:hAnsi="宋体" w:cs="宋体"/>
          <w:b/>
          <w:bCs/>
          <w:sz w:val="24"/>
          <w:szCs w:val="24"/>
        </w:rPr>
        <w:t xml:space="preserve"> </w:t>
      </w:r>
      <w:r>
        <w:rPr>
          <w:rFonts w:hint="eastAsia" w:ascii="宋体" w:hAnsi="宋体" w:cs="宋体"/>
          <w:b/>
          <w:bCs/>
          <w:sz w:val="24"/>
          <w:szCs w:val="24"/>
        </w:rPr>
        <w:t>日</w:t>
      </w:r>
    </w:p>
    <w:p>
      <w:pPr>
        <w:pStyle w:val="4"/>
        <w:numPr>
          <w:ilvl w:val="0"/>
          <w:numId w:val="41"/>
        </w:numPr>
        <w:spacing w:before="100" w:beforeAutospacing="1" w:after="156" w:afterLines="50" w:line="360" w:lineRule="auto"/>
        <w:ind w:left="1610" w:hanging="1610"/>
        <w:rPr>
          <w:rFonts w:ascii="宋体" w:cs="Times New Roman"/>
        </w:rPr>
      </w:pPr>
      <w:bookmarkStart w:id="237" w:name="_Toc494702282"/>
      <w:bookmarkStart w:id="238" w:name="_Toc494665012"/>
      <w:bookmarkStart w:id="239" w:name="_Toc494665962"/>
      <w:bookmarkStart w:id="240" w:name="_Toc495861561"/>
      <w:bookmarkStart w:id="241" w:name="_Toc494665565"/>
      <w:bookmarkStart w:id="242" w:name="_Toc509323153"/>
      <w:bookmarkStart w:id="243" w:name="_Toc494721112"/>
      <w:bookmarkStart w:id="244" w:name="_Toc494745329"/>
      <w:r>
        <w:rPr>
          <w:rFonts w:hint="eastAsia" w:ascii="宋体" w:hAnsi="宋体" w:cs="宋体"/>
        </w:rPr>
        <w:t>项目负责人、技术负责人简历表</w:t>
      </w:r>
      <w:bookmarkEnd w:id="237"/>
      <w:bookmarkEnd w:id="238"/>
      <w:bookmarkEnd w:id="239"/>
      <w:bookmarkEnd w:id="240"/>
      <w:bookmarkEnd w:id="241"/>
      <w:bookmarkEnd w:id="242"/>
      <w:bookmarkEnd w:id="243"/>
      <w:bookmarkEnd w:id="244"/>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姓</w:t>
            </w:r>
            <w:r>
              <w:rPr>
                <w:rFonts w:ascii="宋体" w:hAnsi="宋体" w:cs="宋体"/>
                <w:kern w:val="0"/>
                <w:sz w:val="24"/>
                <w:szCs w:val="24"/>
              </w:rPr>
              <w:t xml:space="preserve">    </w:t>
            </w:r>
            <w:r>
              <w:rPr>
                <w:rFonts w:hint="eastAsia" w:ascii="宋体" w:hAnsi="宋体" w:cs="宋体"/>
                <w:kern w:val="0"/>
                <w:sz w:val="24"/>
                <w:szCs w:val="24"/>
              </w:rPr>
              <w:t>名</w:t>
            </w:r>
          </w:p>
        </w:tc>
        <w:tc>
          <w:tcPr>
            <w:tcW w:w="1530" w:type="dxa"/>
            <w:gridSpan w:val="2"/>
            <w:vAlign w:val="center"/>
          </w:tcPr>
          <w:p>
            <w:pPr>
              <w:autoSpaceDE w:val="0"/>
              <w:autoSpaceDN w:val="0"/>
              <w:adjustRightInd w:val="0"/>
              <w:spacing w:line="360" w:lineRule="auto"/>
              <w:ind w:right="285" w:rightChars="136"/>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ind w:right="-128" w:rightChars="-61"/>
              <w:jc w:val="center"/>
              <w:rPr>
                <w:rFonts w:ascii="宋体" w:cs="Times New Roman"/>
                <w:kern w:val="0"/>
                <w:sz w:val="24"/>
                <w:szCs w:val="24"/>
              </w:rPr>
            </w:pPr>
            <w:r>
              <w:rPr>
                <w:rFonts w:hint="eastAsia" w:ascii="宋体" w:hAnsi="宋体" w:cs="宋体"/>
                <w:kern w:val="0"/>
                <w:sz w:val="24"/>
                <w:szCs w:val="24"/>
              </w:rPr>
              <w:t>性</w:t>
            </w:r>
            <w:r>
              <w:rPr>
                <w:rFonts w:ascii="宋体" w:hAnsi="宋体" w:cs="宋体"/>
                <w:kern w:val="0"/>
                <w:sz w:val="24"/>
                <w:szCs w:val="24"/>
              </w:rPr>
              <w:t xml:space="preserve">    </w:t>
            </w:r>
            <w:r>
              <w:rPr>
                <w:rFonts w:hint="eastAsia" w:ascii="宋体" w:hAnsi="宋体" w:cs="宋体"/>
                <w:kern w:val="0"/>
                <w:sz w:val="24"/>
                <w:szCs w:val="24"/>
              </w:rPr>
              <w:t>别</w:t>
            </w:r>
          </w:p>
        </w:tc>
        <w:tc>
          <w:tcPr>
            <w:tcW w:w="1530" w:type="dxa"/>
            <w:gridSpan w:val="2"/>
            <w:vAlign w:val="center"/>
          </w:tcPr>
          <w:p>
            <w:pPr>
              <w:autoSpaceDE w:val="0"/>
              <w:autoSpaceDN w:val="0"/>
              <w:adjustRightInd w:val="0"/>
              <w:spacing w:line="360" w:lineRule="auto"/>
              <w:ind w:right="285" w:rightChars="136"/>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ind w:right="2" w:rightChars="1"/>
              <w:jc w:val="center"/>
              <w:rPr>
                <w:rFonts w:ascii="宋体" w:cs="Times New Roman"/>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龄</w:t>
            </w:r>
          </w:p>
        </w:tc>
        <w:tc>
          <w:tcPr>
            <w:tcW w:w="1530" w:type="dxa"/>
            <w:vAlign w:val="center"/>
          </w:tcPr>
          <w:p>
            <w:pPr>
              <w:autoSpaceDE w:val="0"/>
              <w:autoSpaceDN w:val="0"/>
              <w:adjustRightInd w:val="0"/>
              <w:spacing w:line="360" w:lineRule="auto"/>
              <w:ind w:right="285" w:rightChars="136"/>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职</w:t>
            </w:r>
            <w:r>
              <w:rPr>
                <w:rFonts w:ascii="宋体" w:hAnsi="宋体" w:cs="宋体"/>
                <w:kern w:val="0"/>
                <w:sz w:val="24"/>
                <w:szCs w:val="24"/>
              </w:rPr>
              <w:t xml:space="preserve">    </w:t>
            </w:r>
            <w:r>
              <w:rPr>
                <w:rFonts w:hint="eastAsia" w:ascii="宋体" w:hAnsi="宋体" w:cs="宋体"/>
                <w:kern w:val="0"/>
                <w:sz w:val="24"/>
                <w:szCs w:val="24"/>
              </w:rPr>
              <w:t>务</w:t>
            </w:r>
          </w:p>
        </w:tc>
        <w:tc>
          <w:tcPr>
            <w:tcW w:w="1530" w:type="dxa"/>
            <w:gridSpan w:val="2"/>
            <w:vAlign w:val="center"/>
          </w:tcPr>
          <w:p>
            <w:pPr>
              <w:autoSpaceDE w:val="0"/>
              <w:autoSpaceDN w:val="0"/>
              <w:adjustRightInd w:val="0"/>
              <w:spacing w:line="360" w:lineRule="auto"/>
              <w:ind w:right="285" w:rightChars="136"/>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ind w:right="-84" w:rightChars="-40"/>
              <w:jc w:val="center"/>
              <w:rPr>
                <w:rFonts w:ascii="宋体" w:cs="Times New Roman"/>
                <w:kern w:val="0"/>
                <w:sz w:val="24"/>
                <w:szCs w:val="24"/>
              </w:rPr>
            </w:pPr>
            <w:r>
              <w:rPr>
                <w:rFonts w:hint="eastAsia" w:ascii="宋体" w:hAnsi="宋体" w:cs="宋体"/>
                <w:kern w:val="0"/>
                <w:sz w:val="24"/>
                <w:szCs w:val="24"/>
              </w:rPr>
              <w:t>职</w:t>
            </w:r>
            <w:r>
              <w:rPr>
                <w:rFonts w:ascii="宋体" w:hAnsi="宋体" w:cs="宋体"/>
                <w:kern w:val="0"/>
                <w:sz w:val="24"/>
                <w:szCs w:val="24"/>
              </w:rPr>
              <w:t xml:space="preserve">    </w:t>
            </w:r>
            <w:r>
              <w:rPr>
                <w:rFonts w:hint="eastAsia" w:ascii="宋体" w:hAnsi="宋体" w:cs="宋体"/>
                <w:kern w:val="0"/>
                <w:sz w:val="24"/>
                <w:szCs w:val="24"/>
              </w:rPr>
              <w:t>称</w:t>
            </w:r>
          </w:p>
        </w:tc>
        <w:tc>
          <w:tcPr>
            <w:tcW w:w="1530" w:type="dxa"/>
            <w:gridSpan w:val="2"/>
            <w:vAlign w:val="center"/>
          </w:tcPr>
          <w:p>
            <w:pPr>
              <w:autoSpaceDE w:val="0"/>
              <w:autoSpaceDN w:val="0"/>
              <w:adjustRightInd w:val="0"/>
              <w:spacing w:line="360" w:lineRule="auto"/>
              <w:ind w:right="285" w:rightChars="136"/>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ind w:right="2" w:rightChars="1"/>
              <w:jc w:val="center"/>
              <w:rPr>
                <w:rFonts w:ascii="宋体" w:cs="Times New Roman"/>
                <w:kern w:val="0"/>
                <w:sz w:val="24"/>
                <w:szCs w:val="24"/>
              </w:rPr>
            </w:pPr>
            <w:r>
              <w:rPr>
                <w:rFonts w:hint="eastAsia" w:ascii="宋体" w:hAnsi="宋体" w:cs="宋体"/>
                <w:kern w:val="0"/>
                <w:sz w:val="24"/>
                <w:szCs w:val="24"/>
              </w:rPr>
              <w:t>学</w:t>
            </w:r>
            <w:r>
              <w:rPr>
                <w:rFonts w:ascii="宋体" w:hAnsi="宋体" w:cs="宋体"/>
                <w:kern w:val="0"/>
                <w:sz w:val="24"/>
                <w:szCs w:val="24"/>
              </w:rPr>
              <w:t xml:space="preserve">    </w:t>
            </w:r>
            <w:r>
              <w:rPr>
                <w:rFonts w:hint="eastAsia" w:ascii="宋体" w:hAnsi="宋体" w:cs="宋体"/>
                <w:kern w:val="0"/>
                <w:sz w:val="24"/>
                <w:szCs w:val="24"/>
              </w:rPr>
              <w:t>历</w:t>
            </w:r>
          </w:p>
        </w:tc>
        <w:tc>
          <w:tcPr>
            <w:tcW w:w="1530" w:type="dxa"/>
            <w:vAlign w:val="center"/>
          </w:tcPr>
          <w:p>
            <w:pPr>
              <w:autoSpaceDE w:val="0"/>
              <w:autoSpaceDN w:val="0"/>
              <w:adjustRightInd w:val="0"/>
              <w:spacing w:line="360" w:lineRule="auto"/>
              <w:ind w:right="2" w:rightChars="1"/>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参加工作</w:t>
            </w:r>
          </w:p>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时间</w:t>
            </w:r>
          </w:p>
        </w:tc>
        <w:tc>
          <w:tcPr>
            <w:tcW w:w="1530" w:type="dxa"/>
            <w:gridSpan w:val="2"/>
            <w:vAlign w:val="center"/>
          </w:tcPr>
          <w:p>
            <w:pPr>
              <w:autoSpaceDE w:val="0"/>
              <w:autoSpaceDN w:val="0"/>
              <w:adjustRightInd w:val="0"/>
              <w:spacing w:line="360" w:lineRule="auto"/>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从事本行业工作年限</w:t>
            </w:r>
          </w:p>
        </w:tc>
        <w:tc>
          <w:tcPr>
            <w:tcW w:w="1530" w:type="dxa"/>
            <w:gridSpan w:val="2"/>
            <w:vAlign w:val="center"/>
          </w:tcPr>
          <w:p>
            <w:pPr>
              <w:autoSpaceDE w:val="0"/>
              <w:autoSpaceDN w:val="0"/>
              <w:adjustRightInd w:val="0"/>
              <w:spacing w:line="360" w:lineRule="auto"/>
              <w:jc w:val="center"/>
              <w:rPr>
                <w:rFonts w:ascii="宋体" w:cs="Times New Roman"/>
                <w:kern w:val="0"/>
                <w:sz w:val="24"/>
                <w:szCs w:val="24"/>
              </w:rPr>
            </w:pPr>
          </w:p>
        </w:tc>
        <w:tc>
          <w:tcPr>
            <w:tcW w:w="1530" w:type="dxa"/>
            <w:gridSpan w:val="2"/>
            <w:vAlign w:val="center"/>
          </w:tcPr>
          <w:p>
            <w:pPr>
              <w:autoSpaceDE w:val="0"/>
              <w:autoSpaceDN w:val="0"/>
              <w:adjustRightInd w:val="0"/>
              <w:spacing w:line="360" w:lineRule="auto"/>
              <w:jc w:val="center"/>
              <w:rPr>
                <w:rFonts w:ascii="宋体" w:cs="Times New Roman"/>
                <w:kern w:val="0"/>
                <w:sz w:val="24"/>
                <w:szCs w:val="24"/>
              </w:rPr>
            </w:pPr>
            <w:r>
              <w:rPr>
                <w:rFonts w:hint="eastAsia" w:ascii="宋体" w:hAnsi="宋体" w:cs="宋体"/>
                <w:kern w:val="0"/>
                <w:sz w:val="24"/>
                <w:szCs w:val="24"/>
              </w:rPr>
              <w:t>个人专业资质及证书</w:t>
            </w:r>
          </w:p>
        </w:tc>
        <w:tc>
          <w:tcPr>
            <w:tcW w:w="1530" w:type="dxa"/>
            <w:vAlign w:val="center"/>
          </w:tcPr>
          <w:p>
            <w:pPr>
              <w:autoSpaceDE w:val="0"/>
              <w:autoSpaceDN w:val="0"/>
              <w:adjustRightInd w:val="0"/>
              <w:spacing w:line="360" w:lineRule="auto"/>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s="Times New Roman"/>
                <w:kern w:val="0"/>
                <w:sz w:val="24"/>
                <w:szCs w:val="24"/>
              </w:rPr>
            </w:pPr>
            <w:r>
              <w:rPr>
                <w:rFonts w:hint="eastAsia" w:ascii="宋体" w:hAnsi="宋体" w:cs="宋体"/>
                <w:kern w:val="0"/>
                <w:sz w:val="24"/>
                <w:szCs w:val="24"/>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cs="Times New Roman"/>
                <w:kern w:val="0"/>
                <w:sz w:val="24"/>
                <w:szCs w:val="24"/>
              </w:rPr>
            </w:pPr>
            <w:r>
              <w:rPr>
                <w:rFonts w:hint="eastAsia" w:ascii="宋体" w:hAnsi="宋体" w:cs="宋体"/>
                <w:kern w:val="0"/>
                <w:sz w:val="24"/>
                <w:szCs w:val="24"/>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r>
              <w:rPr>
                <w:rFonts w:hint="eastAsia" w:ascii="宋体" w:hAnsi="宋体" w:cs="宋体"/>
                <w:kern w:val="0"/>
                <w:sz w:val="24"/>
                <w:szCs w:val="24"/>
              </w:rPr>
              <w:t>项目单位</w:t>
            </w: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r>
              <w:rPr>
                <w:rFonts w:hint="eastAsia" w:ascii="宋体" w:hAnsi="宋体" w:cs="宋体"/>
                <w:kern w:val="0"/>
                <w:sz w:val="24"/>
                <w:szCs w:val="24"/>
              </w:rPr>
              <w:t>项目名称</w:t>
            </w: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r>
              <w:rPr>
                <w:rFonts w:hint="eastAsia" w:ascii="宋体" w:hAnsi="宋体" w:cs="宋体"/>
                <w:kern w:val="0"/>
                <w:sz w:val="24"/>
                <w:szCs w:val="24"/>
              </w:rPr>
              <w:t>项目内容</w:t>
            </w: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r>
              <w:rPr>
                <w:rFonts w:hint="eastAsia" w:ascii="宋体" w:hAnsi="宋体" w:cs="宋体"/>
                <w:kern w:val="0"/>
                <w:sz w:val="24"/>
                <w:szCs w:val="24"/>
              </w:rPr>
              <w:t>项目金额</w:t>
            </w: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r>
              <w:rPr>
                <w:rFonts w:hint="eastAsia" w:ascii="宋体" w:hAnsi="宋体" w:cs="宋体"/>
                <w:kern w:val="0"/>
                <w:sz w:val="24"/>
                <w:szCs w:val="24"/>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c>
          <w:tcPr>
            <w:tcW w:w="1836" w:type="dxa"/>
            <w:gridSpan w:val="2"/>
            <w:vAlign w:val="center"/>
          </w:tcPr>
          <w:p>
            <w:pPr>
              <w:autoSpaceDE w:val="0"/>
              <w:autoSpaceDN w:val="0"/>
              <w:adjustRightInd w:val="0"/>
              <w:spacing w:line="360" w:lineRule="auto"/>
              <w:ind w:right="-79" w:rightChars="-38"/>
              <w:jc w:val="center"/>
              <w:rPr>
                <w:rFonts w:ascii="宋体" w:cs="Times New Roman"/>
                <w:kern w:val="0"/>
                <w:sz w:val="24"/>
                <w:szCs w:val="24"/>
              </w:rPr>
            </w:pPr>
          </w:p>
        </w:tc>
      </w:tr>
    </w:tbl>
    <w:p>
      <w:pPr>
        <w:spacing w:line="360" w:lineRule="auto"/>
        <w:ind w:left="720" w:hanging="720" w:hangingChars="300"/>
        <w:jc w:val="left"/>
        <w:rPr>
          <w:rFonts w:ascii="宋体" w:cs="Times New Roman"/>
          <w:sz w:val="24"/>
          <w:szCs w:val="24"/>
          <w:lang w:val="zh-CN"/>
        </w:rPr>
      </w:pPr>
      <w:r>
        <w:rPr>
          <w:rFonts w:hint="eastAsia" w:ascii="宋体" w:hAnsi="宋体" w:cs="宋体"/>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p>
    <w:p>
      <w:pPr>
        <w:pStyle w:val="4"/>
        <w:numPr>
          <w:ilvl w:val="0"/>
          <w:numId w:val="41"/>
        </w:numPr>
        <w:spacing w:before="100" w:beforeAutospacing="1" w:after="156" w:afterLines="50" w:line="360" w:lineRule="auto"/>
        <w:ind w:left="1610" w:hanging="1610"/>
        <w:rPr>
          <w:rFonts w:ascii="宋体" w:cs="Times New Roman"/>
        </w:rPr>
      </w:pPr>
      <w:bookmarkStart w:id="245" w:name="_Toc494665566"/>
      <w:bookmarkStart w:id="246" w:name="_Toc494745330"/>
      <w:bookmarkStart w:id="247" w:name="_Toc495861562"/>
      <w:bookmarkStart w:id="248" w:name="_Toc494702283"/>
      <w:bookmarkStart w:id="249" w:name="_Toc494665013"/>
      <w:bookmarkStart w:id="250" w:name="_Toc494665963"/>
      <w:bookmarkStart w:id="251" w:name="_Toc238276251"/>
      <w:bookmarkStart w:id="252" w:name="_Toc509323154"/>
      <w:bookmarkStart w:id="253" w:name="_Toc494721113"/>
      <w:bookmarkStart w:id="254" w:name="_Toc236473307"/>
      <w:r>
        <w:rPr>
          <w:rFonts w:hint="eastAsia" w:ascii="宋体" w:hAnsi="宋体" w:cs="宋体"/>
        </w:rPr>
        <w:t>项目班子成员情况表</w:t>
      </w:r>
      <w:bookmarkEnd w:id="245"/>
      <w:bookmarkEnd w:id="246"/>
      <w:bookmarkEnd w:id="247"/>
      <w:bookmarkEnd w:id="248"/>
      <w:bookmarkEnd w:id="249"/>
      <w:bookmarkEnd w:id="250"/>
      <w:bookmarkEnd w:id="251"/>
      <w:bookmarkEnd w:id="252"/>
      <w:bookmarkEnd w:id="253"/>
      <w:bookmarkEnd w:id="254"/>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07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992" w:type="dxa"/>
            <w:shd w:val="clear" w:color="auto" w:fill="F2F2F2"/>
            <w:vAlign w:val="center"/>
          </w:tcPr>
          <w:p>
            <w:pPr>
              <w:jc w:val="center"/>
              <w:rPr>
                <w:rFonts w:ascii="宋体" w:cs="Times New Roman"/>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134" w:type="dxa"/>
            <w:shd w:val="clear" w:color="auto" w:fill="F2F2F2"/>
            <w:vAlign w:val="center"/>
          </w:tcPr>
          <w:p>
            <w:pPr>
              <w:jc w:val="center"/>
              <w:rPr>
                <w:rFonts w:ascii="宋体" w:cs="Times New Roman"/>
                <w:sz w:val="24"/>
                <w:szCs w:val="24"/>
              </w:rPr>
            </w:pPr>
            <w:r>
              <w:rPr>
                <w:rFonts w:hint="eastAsia" w:ascii="宋体" w:hAnsi="宋体" w:cs="宋体"/>
                <w:sz w:val="24"/>
                <w:szCs w:val="24"/>
              </w:rPr>
              <w:t>专</w:t>
            </w:r>
            <w:r>
              <w:rPr>
                <w:rFonts w:ascii="宋体" w:hAnsi="宋体" w:cs="宋体"/>
                <w:sz w:val="24"/>
                <w:szCs w:val="24"/>
              </w:rPr>
              <w:t xml:space="preserve"> </w:t>
            </w:r>
            <w:r>
              <w:rPr>
                <w:rFonts w:hint="eastAsia" w:ascii="宋体" w:hAnsi="宋体" w:cs="宋体"/>
                <w:sz w:val="24"/>
                <w:szCs w:val="24"/>
              </w:rPr>
              <w:t>业</w:t>
            </w:r>
          </w:p>
        </w:tc>
        <w:tc>
          <w:tcPr>
            <w:tcW w:w="1134" w:type="dxa"/>
            <w:shd w:val="clear" w:color="auto" w:fill="F2F2F2"/>
            <w:vAlign w:val="center"/>
          </w:tcPr>
          <w:p>
            <w:pPr>
              <w:jc w:val="center"/>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418" w:type="dxa"/>
            <w:shd w:val="clear" w:color="auto" w:fill="F2F2F2"/>
            <w:vAlign w:val="center"/>
          </w:tcPr>
          <w:p>
            <w:pPr>
              <w:jc w:val="center"/>
              <w:rPr>
                <w:rFonts w:ascii="宋体" w:cs="Times New Roman"/>
                <w:sz w:val="24"/>
                <w:szCs w:val="24"/>
              </w:rPr>
            </w:pPr>
            <w:r>
              <w:rPr>
                <w:rFonts w:hint="eastAsia" w:ascii="宋体" w:hAnsi="宋体" w:cs="宋体"/>
                <w:kern w:val="0"/>
                <w:sz w:val="24"/>
                <w:szCs w:val="24"/>
              </w:rPr>
              <w:t>从事本行业工作年限</w:t>
            </w:r>
          </w:p>
        </w:tc>
        <w:tc>
          <w:tcPr>
            <w:tcW w:w="1843" w:type="dxa"/>
            <w:shd w:val="clear" w:color="auto" w:fill="F2F2F2"/>
            <w:vAlign w:val="center"/>
          </w:tcPr>
          <w:p>
            <w:pPr>
              <w:jc w:val="center"/>
              <w:rPr>
                <w:rFonts w:ascii="宋体" w:cs="Times New Roman"/>
                <w:sz w:val="24"/>
                <w:szCs w:val="24"/>
              </w:rPr>
            </w:pPr>
            <w:r>
              <w:rPr>
                <w:rFonts w:hint="eastAsia" w:ascii="宋体" w:hAnsi="宋体" w:cs="宋体"/>
                <w:sz w:val="24"/>
                <w:szCs w:val="24"/>
              </w:rPr>
              <w:t>在本项目中承担的工作</w:t>
            </w:r>
          </w:p>
        </w:tc>
        <w:tc>
          <w:tcPr>
            <w:tcW w:w="1842" w:type="dxa"/>
            <w:shd w:val="clear" w:color="auto" w:fill="F2F2F2"/>
            <w:vAlign w:val="center"/>
          </w:tcPr>
          <w:p>
            <w:pPr>
              <w:jc w:val="center"/>
              <w:rPr>
                <w:rFonts w:ascii="宋体" w:cs="Times New Roman"/>
                <w:sz w:val="24"/>
                <w:szCs w:val="24"/>
              </w:rPr>
            </w:pPr>
            <w:r>
              <w:rPr>
                <w:rFonts w:hint="eastAsia" w:ascii="宋体" w:hAnsi="宋体" w:cs="宋体"/>
                <w:kern w:val="0"/>
                <w:sz w:val="24"/>
                <w:szCs w:val="24"/>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1</w:t>
            </w:r>
          </w:p>
        </w:tc>
        <w:tc>
          <w:tcPr>
            <w:tcW w:w="992" w:type="dxa"/>
            <w:vAlign w:val="center"/>
          </w:tcPr>
          <w:p>
            <w:pPr>
              <w:jc w:val="center"/>
              <w:rPr>
                <w:rFonts w:ascii="宋体" w:cs="Times New Roman"/>
                <w:sz w:val="24"/>
                <w:szCs w:val="24"/>
              </w:rPr>
            </w:pPr>
          </w:p>
        </w:tc>
        <w:tc>
          <w:tcPr>
            <w:tcW w:w="1134" w:type="dxa"/>
            <w:vAlign w:val="center"/>
          </w:tcPr>
          <w:p>
            <w:pPr>
              <w:rPr>
                <w:rFonts w:ascii="宋体" w:cs="Times New Roman"/>
                <w:sz w:val="24"/>
                <w:szCs w:val="24"/>
              </w:rPr>
            </w:pPr>
          </w:p>
        </w:tc>
        <w:tc>
          <w:tcPr>
            <w:tcW w:w="1134" w:type="dxa"/>
            <w:vAlign w:val="center"/>
          </w:tcPr>
          <w:p>
            <w:pPr>
              <w:rPr>
                <w:rFonts w:ascii="宋体" w:cs="Times New Roman"/>
                <w:sz w:val="24"/>
                <w:szCs w:val="24"/>
              </w:rPr>
            </w:pPr>
          </w:p>
        </w:tc>
        <w:tc>
          <w:tcPr>
            <w:tcW w:w="1418" w:type="dxa"/>
            <w:vAlign w:val="center"/>
          </w:tcPr>
          <w:p>
            <w:pPr>
              <w:rPr>
                <w:rFonts w:ascii="宋体" w:cs="Times New Roman"/>
                <w:sz w:val="24"/>
                <w:szCs w:val="24"/>
              </w:rPr>
            </w:pPr>
          </w:p>
        </w:tc>
        <w:tc>
          <w:tcPr>
            <w:tcW w:w="1843" w:type="dxa"/>
            <w:vAlign w:val="center"/>
          </w:tcPr>
          <w:p>
            <w:pPr>
              <w:rPr>
                <w:rFonts w:ascii="宋体" w:cs="Times New Roman"/>
                <w:sz w:val="24"/>
                <w:szCs w:val="24"/>
              </w:rPr>
            </w:pPr>
          </w:p>
        </w:tc>
        <w:tc>
          <w:tcPr>
            <w:tcW w:w="1842" w:type="dxa"/>
            <w:vAlign w:val="center"/>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2</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3</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4</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5</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6</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sz w:val="24"/>
                <w:szCs w:val="24"/>
              </w:rPr>
            </w:pPr>
            <w:r>
              <w:rPr>
                <w:rFonts w:ascii="宋体" w:hAnsi="宋体" w:cs="宋体"/>
                <w:sz w:val="24"/>
                <w:szCs w:val="24"/>
              </w:rPr>
              <w:t>7</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jc w:val="center"/>
              <w:rPr>
                <w:rFonts w:ascii="宋体" w:cs="Times New Roman"/>
                <w:b/>
                <w:bCs/>
                <w:sz w:val="24"/>
                <w:szCs w:val="24"/>
              </w:rPr>
            </w:pPr>
            <w:r>
              <w:rPr>
                <w:rFonts w:hint="eastAsia" w:ascii="宋体" w:cs="宋体"/>
                <w:b/>
                <w:bCs/>
                <w:sz w:val="24"/>
                <w:szCs w:val="24"/>
              </w:rPr>
              <w:t>…</w:t>
            </w:r>
          </w:p>
        </w:tc>
        <w:tc>
          <w:tcPr>
            <w:tcW w:w="992"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134" w:type="dxa"/>
            <w:vAlign w:val="center"/>
          </w:tcPr>
          <w:p>
            <w:pPr>
              <w:jc w:val="center"/>
              <w:rPr>
                <w:rFonts w:ascii="宋体" w:cs="Times New Roman"/>
                <w:sz w:val="24"/>
                <w:szCs w:val="24"/>
              </w:rPr>
            </w:pPr>
          </w:p>
        </w:tc>
        <w:tc>
          <w:tcPr>
            <w:tcW w:w="1418" w:type="dxa"/>
            <w:vAlign w:val="center"/>
          </w:tcPr>
          <w:p>
            <w:pPr>
              <w:jc w:val="center"/>
              <w:rPr>
                <w:rFonts w:ascii="宋体" w:cs="Times New Roman"/>
                <w:sz w:val="24"/>
                <w:szCs w:val="24"/>
              </w:rPr>
            </w:pPr>
          </w:p>
        </w:tc>
        <w:tc>
          <w:tcPr>
            <w:tcW w:w="1843" w:type="dxa"/>
            <w:vAlign w:val="center"/>
          </w:tcPr>
          <w:p>
            <w:pPr>
              <w:jc w:val="center"/>
              <w:rPr>
                <w:rFonts w:ascii="宋体" w:cs="Times New Roman"/>
                <w:sz w:val="24"/>
                <w:szCs w:val="24"/>
              </w:rPr>
            </w:pPr>
          </w:p>
        </w:tc>
        <w:tc>
          <w:tcPr>
            <w:tcW w:w="1842" w:type="dxa"/>
            <w:vAlign w:val="center"/>
          </w:tcPr>
          <w:p>
            <w:pPr>
              <w:jc w:val="center"/>
              <w:rPr>
                <w:rFonts w:ascii="宋体" w:cs="Times New Roman"/>
                <w:sz w:val="24"/>
                <w:szCs w:val="24"/>
              </w:rPr>
            </w:pPr>
          </w:p>
        </w:tc>
      </w:tr>
    </w:tbl>
    <w:p>
      <w:pPr>
        <w:spacing w:line="360" w:lineRule="auto"/>
        <w:ind w:left="720" w:hanging="720" w:hangingChars="300"/>
        <w:jc w:val="left"/>
        <w:rPr>
          <w:rFonts w:ascii="宋体" w:cs="Times New Roman"/>
          <w:sz w:val="24"/>
          <w:szCs w:val="24"/>
          <w:lang w:val="zh-CN"/>
        </w:rPr>
      </w:pPr>
      <w:r>
        <w:rPr>
          <w:rFonts w:hint="eastAsia" w:ascii="宋体" w:hAnsi="宋体" w:cs="宋体"/>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cs="Times New Roman"/>
          <w:sz w:val="24"/>
          <w:szCs w:val="24"/>
          <w:lang w:val="zh-CN"/>
        </w:rPr>
      </w:pPr>
    </w:p>
    <w:p>
      <w:pPr>
        <w:spacing w:line="360" w:lineRule="auto"/>
        <w:jc w:val="left"/>
        <w:rPr>
          <w:rFonts w:ascii="宋体" w:cs="Times New Roman"/>
          <w:sz w:val="24"/>
          <w:szCs w:val="24"/>
          <w:lang w:val="zh-CN"/>
        </w:rPr>
      </w:pPr>
    </w:p>
    <w:p>
      <w:pPr>
        <w:spacing w:line="360" w:lineRule="auto"/>
        <w:jc w:val="left"/>
        <w:rPr>
          <w:rFonts w:ascii="宋体" w:cs="Times New Roman"/>
          <w:sz w:val="24"/>
          <w:szCs w:val="24"/>
          <w:lang w:val="zh-CN"/>
        </w:rPr>
      </w:pPr>
    </w:p>
    <w:p>
      <w:pPr>
        <w:spacing w:line="360" w:lineRule="auto"/>
        <w:jc w:val="left"/>
        <w:rPr>
          <w:rFonts w:ascii="宋体" w:cs="Times New Roman"/>
          <w:sz w:val="24"/>
          <w:szCs w:val="24"/>
          <w:lang w:val="zh-CN"/>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p>
    <w:p>
      <w:pPr>
        <w:pStyle w:val="4"/>
        <w:numPr>
          <w:ilvl w:val="0"/>
          <w:numId w:val="41"/>
        </w:numPr>
        <w:spacing w:before="100" w:beforeAutospacing="1" w:after="156" w:afterLines="50" w:line="360" w:lineRule="auto"/>
        <w:ind w:left="1610" w:hanging="1610"/>
        <w:rPr>
          <w:rFonts w:ascii="宋体" w:cs="Times New Roman"/>
        </w:rPr>
      </w:pPr>
      <w:bookmarkStart w:id="255" w:name="_Toc494665964"/>
      <w:bookmarkStart w:id="256" w:name="_Toc495861563"/>
      <w:bookmarkStart w:id="257" w:name="_Toc494745331"/>
      <w:bookmarkStart w:id="258" w:name="_Toc509323155"/>
      <w:bookmarkStart w:id="259" w:name="_Toc494721114"/>
      <w:bookmarkStart w:id="260" w:name="_Toc236473312"/>
      <w:bookmarkStart w:id="261" w:name="_Toc494702284"/>
      <w:bookmarkStart w:id="262" w:name="_Toc238276256"/>
      <w:bookmarkStart w:id="263" w:name="_Toc494665567"/>
      <w:bookmarkStart w:id="264" w:name="_Toc494665014"/>
      <w:r>
        <w:rPr>
          <w:rFonts w:hint="eastAsia" w:ascii="宋体" w:hAnsi="宋体" w:cs="宋体"/>
        </w:rPr>
        <w:t>投标人类似项目业绩表</w:t>
      </w:r>
      <w:bookmarkEnd w:id="255"/>
      <w:bookmarkEnd w:id="256"/>
      <w:bookmarkEnd w:id="257"/>
      <w:bookmarkEnd w:id="258"/>
      <w:bookmarkEnd w:id="259"/>
      <w:bookmarkEnd w:id="260"/>
      <w:bookmarkEnd w:id="261"/>
      <w:bookmarkEnd w:id="262"/>
      <w:bookmarkEnd w:id="263"/>
      <w:bookmarkEnd w:id="264"/>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项目单位名称</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项目名称</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项目单位联系人姓名及联系方式</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项目金额</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项目负责人姓名</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项目时间</w:t>
            </w:r>
          </w:p>
        </w:tc>
        <w:tc>
          <w:tcPr>
            <w:tcW w:w="7200" w:type="dxa"/>
          </w:tcPr>
          <w:p>
            <w:pP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cs="Times New Roman"/>
                <w:sz w:val="24"/>
                <w:szCs w:val="24"/>
              </w:rPr>
            </w:pPr>
            <w:r>
              <w:rPr>
                <w:rFonts w:hint="eastAsia" w:ascii="宋体" w:hAnsi="宋体" w:cs="宋体"/>
                <w:sz w:val="24"/>
                <w:szCs w:val="24"/>
              </w:rPr>
              <w:t>项目内容</w:t>
            </w:r>
          </w:p>
        </w:tc>
        <w:tc>
          <w:tcPr>
            <w:tcW w:w="7200" w:type="dxa"/>
          </w:tcPr>
          <w:p>
            <w:pP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．每个合同应单独附表，并附上相关证明材料，未按照要求详细完整填写此表，导致的后果由投标人自行承担。</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．项目内容请详细说明所承担的具体工作内容等。</w:t>
      </w:r>
    </w:p>
    <w:p>
      <w:pPr>
        <w:spacing w:line="360" w:lineRule="auto"/>
        <w:ind w:firstLine="720" w:firstLineChars="300"/>
        <w:rPr>
          <w:rFonts w:ascii="宋体" w:cs="Times New Roman"/>
          <w:sz w:val="24"/>
          <w:szCs w:val="24"/>
        </w:rPr>
      </w:pPr>
    </w:p>
    <w:p>
      <w:pPr>
        <w:spacing w:line="360" w:lineRule="auto"/>
        <w:ind w:firstLine="720" w:firstLineChars="300"/>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cs="Times New Roman"/>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r>
        <w:rPr>
          <w:rFonts w:cs="Times New Roman"/>
        </w:rPr>
        <w:br w:type="page"/>
      </w:r>
    </w:p>
    <w:p>
      <w:pPr>
        <w:pStyle w:val="4"/>
        <w:numPr>
          <w:ilvl w:val="0"/>
          <w:numId w:val="41"/>
        </w:numPr>
        <w:spacing w:before="100" w:beforeAutospacing="1" w:after="156" w:afterLines="50" w:line="360" w:lineRule="auto"/>
        <w:ind w:left="1610" w:hanging="1610"/>
        <w:rPr>
          <w:rFonts w:ascii="宋体" w:cs="Times New Roman"/>
        </w:rPr>
      </w:pPr>
      <w:bookmarkStart w:id="265" w:name="_Toc494665015"/>
      <w:bookmarkStart w:id="266" w:name="_Toc495861564"/>
      <w:bookmarkStart w:id="267" w:name="_Toc494702285"/>
      <w:bookmarkStart w:id="268" w:name="_Toc509323156"/>
      <w:bookmarkStart w:id="269" w:name="_Toc494745332"/>
      <w:bookmarkStart w:id="270" w:name="_Toc494665568"/>
      <w:bookmarkStart w:id="271" w:name="_Toc494665965"/>
      <w:bookmarkStart w:id="272" w:name="_Toc494721115"/>
      <w:r>
        <w:rPr>
          <w:rFonts w:hint="eastAsia" w:ascii="宋体" w:hAnsi="宋体" w:cs="宋体"/>
        </w:rPr>
        <w:t>符合性审查对照表</w:t>
      </w:r>
      <w:bookmarkEnd w:id="265"/>
      <w:bookmarkEnd w:id="266"/>
      <w:bookmarkEnd w:id="267"/>
      <w:bookmarkEnd w:id="268"/>
      <w:bookmarkEnd w:id="269"/>
      <w:bookmarkEnd w:id="270"/>
      <w:bookmarkEnd w:id="271"/>
      <w:bookmarkEnd w:id="272"/>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3032"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招标文件符合性审查条款</w:t>
            </w:r>
          </w:p>
        </w:tc>
        <w:tc>
          <w:tcPr>
            <w:tcW w:w="2754"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363"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02"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1</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2</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3</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4</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5</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6</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ascii="宋体" w:hAnsi="宋体" w:cs="宋体"/>
                <w:sz w:val="24"/>
                <w:szCs w:val="24"/>
              </w:rPr>
              <w:t>7</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cs="Times New Roman"/>
                <w:sz w:val="24"/>
                <w:szCs w:val="24"/>
              </w:rPr>
            </w:pPr>
            <w:r>
              <w:rPr>
                <w:rFonts w:hint="eastAsia" w:ascii="宋体" w:hAnsi="宋体" w:cs="宋体"/>
                <w:sz w:val="24"/>
                <w:szCs w:val="24"/>
              </w:rPr>
              <w:t>…</w:t>
            </w:r>
          </w:p>
        </w:tc>
        <w:tc>
          <w:tcPr>
            <w:tcW w:w="3032" w:type="dxa"/>
            <w:vAlign w:val="center"/>
          </w:tcPr>
          <w:p>
            <w:pPr>
              <w:jc w:val="center"/>
              <w:rPr>
                <w:rFonts w:ascii="宋体" w:cs="Times New Roman"/>
                <w:sz w:val="24"/>
                <w:szCs w:val="24"/>
              </w:rPr>
            </w:pPr>
          </w:p>
        </w:tc>
        <w:tc>
          <w:tcPr>
            <w:tcW w:w="2754" w:type="dxa"/>
            <w:vAlign w:val="center"/>
          </w:tcPr>
          <w:p>
            <w:pPr>
              <w:jc w:val="center"/>
              <w:rPr>
                <w:rFonts w:ascii="宋体" w:cs="Times New Roman"/>
                <w:sz w:val="24"/>
                <w:szCs w:val="24"/>
              </w:rPr>
            </w:pPr>
          </w:p>
        </w:tc>
        <w:tc>
          <w:tcPr>
            <w:tcW w:w="1363" w:type="dxa"/>
            <w:vAlign w:val="center"/>
          </w:tcPr>
          <w:p>
            <w:pPr>
              <w:jc w:val="center"/>
              <w:rPr>
                <w:rFonts w:ascii="宋体" w:cs="Times New Roman"/>
                <w:sz w:val="24"/>
                <w:szCs w:val="24"/>
              </w:rPr>
            </w:pPr>
          </w:p>
        </w:tc>
        <w:tc>
          <w:tcPr>
            <w:tcW w:w="1602"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b/>
          <w:bCs/>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．投标人应按招标文件第五章“评标方法、程序及标准”中“符合性审查”的条款逐项说明是否满足要求，如有偏离</w:t>
      </w:r>
      <w:r>
        <w:rPr>
          <w:rFonts w:ascii="宋体" w:cs="宋体"/>
          <w:sz w:val="24"/>
          <w:szCs w:val="24"/>
        </w:rPr>
        <w:t>,</w:t>
      </w:r>
      <w:r>
        <w:rPr>
          <w:rFonts w:hint="eastAsia" w:ascii="宋体" w:hAnsi="宋体" w:cs="宋体"/>
          <w:sz w:val="24"/>
          <w:szCs w:val="24"/>
        </w:rPr>
        <w:t>投标人应详细说明。未按照要求详细完整填写此表或仅注明“符合”、“满足”的，导致的后果由投标人自行承担。</w:t>
      </w:r>
    </w:p>
    <w:p>
      <w:pPr>
        <w:spacing w:line="360" w:lineRule="auto"/>
        <w:ind w:left="1061" w:leftChars="339" w:hanging="350" w:hangingChars="146"/>
        <w:jc w:val="left"/>
        <w:rPr>
          <w:rFonts w:ascii="宋体" w:cs="Times New Roman"/>
          <w:b/>
          <w:bCs/>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cs="Times New Roman"/>
        </w:rPr>
      </w:pPr>
      <w:r>
        <w:rPr>
          <w:rFonts w:hint="eastAsia" w:ascii="宋体" w:hAnsi="宋体" w:cs="宋体"/>
          <w:b/>
          <w:bCs/>
          <w:sz w:val="24"/>
          <w:szCs w:val="24"/>
          <w:lang w:val="zh-CN"/>
        </w:rPr>
        <w:t>投标</w:t>
      </w:r>
      <w:r>
        <w:rPr>
          <w:rFonts w:hint="eastAsia" w:hAnsi="宋体" w:cs="宋体"/>
          <w:b/>
          <w:bCs/>
          <w:sz w:val="24"/>
          <w:szCs w:val="24"/>
        </w:rPr>
        <w:t>时间：</w:t>
      </w:r>
    </w:p>
    <w:p>
      <w:pPr>
        <w:pStyle w:val="4"/>
        <w:spacing w:before="100" w:beforeAutospacing="1" w:after="156" w:afterLines="50" w:line="360" w:lineRule="auto"/>
        <w:rPr>
          <w:rFonts w:ascii="宋体" w:cs="Times New Roman"/>
        </w:rPr>
      </w:pPr>
      <w:bookmarkStart w:id="273" w:name="_Toc509323157"/>
      <w:bookmarkStart w:id="274" w:name="_Toc494745333"/>
      <w:bookmarkStart w:id="275" w:name="_Toc494665016"/>
      <w:bookmarkStart w:id="276" w:name="_Toc495861565"/>
      <w:bookmarkStart w:id="277" w:name="_Toc494665966"/>
      <w:bookmarkStart w:id="278" w:name="_Toc494665569"/>
      <w:bookmarkStart w:id="279" w:name="_Toc494702286"/>
      <w:bookmarkStart w:id="280" w:name="_Toc494721116"/>
      <w:r>
        <w:rPr>
          <w:rFonts w:hint="eastAsia" w:ascii="宋体" w:hAnsi="宋体" w:cs="宋体"/>
        </w:rPr>
        <w:t>附件十六：商务要求响应、偏离说明表</w:t>
      </w:r>
      <w:bookmarkEnd w:id="273"/>
      <w:bookmarkEnd w:id="274"/>
      <w:bookmarkEnd w:id="275"/>
      <w:bookmarkEnd w:id="276"/>
      <w:bookmarkEnd w:id="277"/>
      <w:bookmarkEnd w:id="278"/>
      <w:bookmarkEnd w:id="279"/>
      <w:bookmarkEnd w:id="280"/>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招标文件商务要求条款</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619"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19"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1</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2</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3</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4</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5</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6</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7</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hint="eastAsia" w:ascii="宋体" w:hAnsi="宋体" w:cs="宋体"/>
                <w:sz w:val="24"/>
                <w:szCs w:val="24"/>
              </w:rPr>
              <w:t>…</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．投标人应按招标文件第三章“项目技术、服务及商务要求”中“商务要求”条款逐项说明是否满足要求，如有偏离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cs="Times New Roman"/>
        </w:rPr>
      </w:pPr>
      <w:r>
        <w:rPr>
          <w:rFonts w:hint="eastAsia" w:ascii="宋体" w:hAnsi="宋体" w:cs="宋体"/>
          <w:b/>
          <w:bCs/>
          <w:sz w:val="24"/>
          <w:szCs w:val="24"/>
          <w:lang w:val="zh-CN"/>
        </w:rPr>
        <w:t>投标</w:t>
      </w:r>
      <w:r>
        <w:rPr>
          <w:rFonts w:hint="eastAsia" w:hAnsi="宋体" w:cs="宋体"/>
          <w:b/>
          <w:bCs/>
          <w:sz w:val="24"/>
          <w:szCs w:val="24"/>
        </w:rPr>
        <w:t>时间：</w:t>
      </w:r>
    </w:p>
    <w:p>
      <w:pPr>
        <w:pStyle w:val="4"/>
        <w:spacing w:before="100" w:beforeAutospacing="1" w:after="156" w:afterLines="50" w:line="360" w:lineRule="auto"/>
        <w:ind w:left="284"/>
        <w:rPr>
          <w:rFonts w:ascii="宋体" w:cs="Times New Roman"/>
        </w:rPr>
      </w:pPr>
      <w:bookmarkStart w:id="281" w:name="_Toc494665967"/>
      <w:bookmarkStart w:id="282" w:name="_Toc494745334"/>
      <w:bookmarkStart w:id="283" w:name="_Toc495861566"/>
      <w:bookmarkStart w:id="284" w:name="_Toc494665017"/>
      <w:bookmarkStart w:id="285" w:name="_Toc494721117"/>
      <w:bookmarkStart w:id="286" w:name="_Toc509323158"/>
      <w:bookmarkStart w:id="287" w:name="_Toc494702287"/>
      <w:bookmarkStart w:id="288" w:name="_Toc494665570"/>
      <w:r>
        <w:rPr>
          <w:rFonts w:hint="eastAsia" w:ascii="宋体" w:hAnsi="宋体" w:cs="宋体"/>
        </w:rPr>
        <w:t>附件十七：商务要求“★”号条款响应、偏离说明表</w:t>
      </w:r>
      <w:bookmarkEnd w:id="281"/>
      <w:bookmarkEnd w:id="282"/>
      <w:bookmarkEnd w:id="283"/>
      <w:bookmarkEnd w:id="284"/>
      <w:bookmarkEnd w:id="285"/>
      <w:bookmarkEnd w:id="286"/>
      <w:bookmarkEnd w:id="287"/>
      <w:bookmarkEnd w:id="288"/>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招标文件商务要求“★”号条款</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619"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19"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1</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2</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3</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4</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5</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6</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7</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hint="eastAsia" w:ascii="宋体" w:hAnsi="宋体" w:cs="宋体"/>
                <w:sz w:val="24"/>
                <w:szCs w:val="24"/>
              </w:rPr>
              <w:t>…</w:t>
            </w:r>
          </w:p>
        </w:tc>
        <w:tc>
          <w:tcPr>
            <w:tcW w:w="2767"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．投标人应按招标文件第三章“项目技术、服务及商务要求”中商务要求“★”号条款进行逐项说明是否满足要求，如有偏离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Times New Roman"/>
          <w:b/>
          <w:bCs/>
          <w:sz w:val="24"/>
          <w:szCs w:val="24"/>
        </w:rPr>
      </w:pPr>
      <w:r>
        <w:rPr>
          <w:rFonts w:hint="eastAsia" w:ascii="宋体" w:hAnsi="宋体" w:cs="宋体"/>
          <w:b/>
          <w:bCs/>
          <w:sz w:val="24"/>
          <w:szCs w:val="24"/>
          <w:lang w:val="zh-CN"/>
        </w:rPr>
        <w:t>投标</w:t>
      </w:r>
      <w:r>
        <w:rPr>
          <w:rFonts w:hint="eastAsia" w:hAnsi="宋体" w:cs="宋体"/>
          <w:b/>
          <w:bCs/>
          <w:sz w:val="24"/>
          <w:szCs w:val="24"/>
        </w:rPr>
        <w:t>时间：</w:t>
      </w:r>
    </w:p>
    <w:p>
      <w:pPr>
        <w:spacing w:before="100" w:beforeAutospacing="1" w:after="100" w:afterAutospacing="1" w:line="360" w:lineRule="auto"/>
        <w:ind w:firstLine="2902" w:firstLineChars="1382"/>
        <w:rPr>
          <w:rFonts w:cs="Times New Roman"/>
        </w:rPr>
      </w:pPr>
    </w:p>
    <w:p>
      <w:pPr>
        <w:pStyle w:val="4"/>
        <w:spacing w:before="100" w:beforeAutospacing="1" w:after="156" w:afterLines="50" w:line="360" w:lineRule="auto"/>
        <w:ind w:left="284"/>
        <w:rPr>
          <w:rFonts w:ascii="宋体" w:cs="Times New Roman"/>
        </w:rPr>
      </w:pPr>
      <w:bookmarkStart w:id="289" w:name="_Toc494721118"/>
      <w:bookmarkStart w:id="290" w:name="_Toc494665571"/>
      <w:bookmarkStart w:id="291" w:name="_Toc494665018"/>
      <w:bookmarkStart w:id="292" w:name="_Toc494702288"/>
      <w:bookmarkStart w:id="293" w:name="_Toc495861567"/>
      <w:bookmarkStart w:id="294" w:name="_Toc494745335"/>
      <w:bookmarkStart w:id="295" w:name="_Toc494665968"/>
      <w:bookmarkStart w:id="296" w:name="_Toc509323159"/>
      <w:r>
        <w:rPr>
          <w:rFonts w:hint="eastAsia" w:ascii="宋体" w:hAnsi="宋体" w:cs="宋体"/>
        </w:rPr>
        <w:t>附件十八：商务评议对照表</w:t>
      </w:r>
      <w:bookmarkEnd w:id="289"/>
      <w:bookmarkEnd w:id="290"/>
      <w:bookmarkEnd w:id="291"/>
      <w:bookmarkEnd w:id="292"/>
      <w:bookmarkEnd w:id="293"/>
      <w:bookmarkEnd w:id="294"/>
      <w:bookmarkEnd w:id="295"/>
      <w:bookmarkEnd w:id="296"/>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2F2F2"/>
            <w:vAlign w:val="center"/>
          </w:tcPr>
          <w:p>
            <w:pPr>
              <w:ind w:left="-37" w:leftChars="-18" w:right="-48" w:rightChars="-23"/>
              <w:jc w:val="center"/>
              <w:rPr>
                <w:rFonts w:ascii="宋体" w:cs="Times New Roman"/>
                <w:sz w:val="24"/>
                <w:szCs w:val="24"/>
              </w:rPr>
            </w:pPr>
            <w:r>
              <w:rPr>
                <w:rFonts w:hint="eastAsia" w:ascii="宋体" w:hAnsi="宋体" w:cs="宋体"/>
                <w:sz w:val="24"/>
                <w:szCs w:val="24"/>
              </w:rPr>
              <w:t>序号</w:t>
            </w:r>
          </w:p>
        </w:tc>
        <w:tc>
          <w:tcPr>
            <w:tcW w:w="2848"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招标文件商务评分标准</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619"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19"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45"/>
              </w:numPr>
              <w:jc w:val="center"/>
              <w:rPr>
                <w:rFonts w:ascii="宋体" w:cs="Times New Roman"/>
                <w:sz w:val="24"/>
                <w:szCs w:val="24"/>
              </w:rPr>
            </w:pP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cs="Times New Roman"/>
                <w:sz w:val="24"/>
                <w:szCs w:val="24"/>
              </w:rPr>
            </w:pPr>
            <w:r>
              <w:rPr>
                <w:rFonts w:hint="eastAsia" w:ascii="宋体" w:hAnsi="宋体" w:cs="宋体"/>
                <w:sz w:val="24"/>
                <w:szCs w:val="24"/>
              </w:rPr>
              <w:t>…</w:t>
            </w:r>
          </w:p>
        </w:tc>
        <w:tc>
          <w:tcPr>
            <w:tcW w:w="2848" w:type="dxa"/>
            <w:vAlign w:val="center"/>
          </w:tcPr>
          <w:p>
            <w:pPr>
              <w:jc w:val="center"/>
              <w:rPr>
                <w:rFonts w:ascii="宋体" w:cs="Times New Roman"/>
                <w:sz w:val="24"/>
                <w:szCs w:val="24"/>
              </w:rPr>
            </w:pPr>
          </w:p>
        </w:tc>
        <w:tc>
          <w:tcPr>
            <w:tcW w:w="2767"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．投标人应按招标文件第五章“评标方法、程序及标准”中“商务评议”的评分标准逐项说明是否满足要求，如有偏离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宋体"/>
          <w:b/>
          <w:bCs/>
          <w:sz w:val="24"/>
          <w:szCs w:val="24"/>
        </w:rPr>
      </w:pPr>
      <w:r>
        <w:rPr>
          <w:rFonts w:hint="eastAsia" w:ascii="宋体" w:hAnsi="宋体" w:cs="宋体"/>
          <w:b/>
          <w:bCs/>
          <w:sz w:val="24"/>
          <w:szCs w:val="24"/>
          <w:lang w:val="zh-CN"/>
        </w:rPr>
        <w:t>投标</w:t>
      </w:r>
      <w:r>
        <w:rPr>
          <w:rFonts w:hint="eastAsia" w:hAnsi="宋体" w:cs="宋体"/>
          <w:b/>
          <w:bCs/>
          <w:sz w:val="24"/>
          <w:szCs w:val="24"/>
        </w:rPr>
        <w:t>时间：</w:t>
      </w:r>
    </w:p>
    <w:p>
      <w:pPr>
        <w:pStyle w:val="2"/>
        <w:ind w:firstLine="420"/>
      </w:pPr>
    </w:p>
    <w:p>
      <w:pPr>
        <w:pStyle w:val="4"/>
        <w:spacing w:before="100" w:beforeAutospacing="1" w:after="156" w:afterLines="50" w:line="360" w:lineRule="auto"/>
        <w:ind w:left="284"/>
        <w:rPr>
          <w:rFonts w:ascii="宋体" w:cs="Times New Roman"/>
        </w:rPr>
      </w:pPr>
      <w:bookmarkStart w:id="297" w:name="_Toc494665969"/>
      <w:bookmarkStart w:id="298" w:name="_Toc494721119"/>
      <w:bookmarkStart w:id="299" w:name="_Toc494702289"/>
      <w:bookmarkStart w:id="300" w:name="_Toc494665572"/>
      <w:bookmarkStart w:id="301" w:name="_Toc494745336"/>
      <w:bookmarkStart w:id="302" w:name="_Toc495861568"/>
      <w:bookmarkStart w:id="303" w:name="_Toc494665019"/>
      <w:bookmarkStart w:id="304" w:name="_Toc509323160"/>
      <w:r>
        <w:rPr>
          <w:rFonts w:hint="eastAsia" w:ascii="宋体" w:hAnsi="宋体" w:cs="宋体"/>
        </w:rPr>
        <w:t>附件十九：技术、服务要求响应、偏离说明表</w:t>
      </w:r>
      <w:bookmarkEnd w:id="297"/>
      <w:bookmarkEnd w:id="298"/>
      <w:bookmarkEnd w:id="299"/>
      <w:bookmarkEnd w:id="300"/>
      <w:bookmarkEnd w:id="301"/>
      <w:bookmarkEnd w:id="302"/>
      <w:bookmarkEnd w:id="303"/>
      <w:bookmarkEnd w:id="304"/>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3031"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招标文件技术、服务要求条款</w:t>
            </w:r>
          </w:p>
        </w:tc>
        <w:tc>
          <w:tcPr>
            <w:tcW w:w="2755"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364"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19"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1</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2</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3</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4</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5</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6</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ascii="宋体" w:hAnsi="宋体" w:cs="宋体"/>
                <w:sz w:val="24"/>
                <w:szCs w:val="24"/>
              </w:rPr>
              <w:t>7</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cs="Times New Roman"/>
                <w:sz w:val="24"/>
                <w:szCs w:val="24"/>
              </w:rPr>
            </w:pPr>
            <w:r>
              <w:rPr>
                <w:rFonts w:hint="eastAsia" w:ascii="宋体" w:hAnsi="宋体" w:cs="宋体"/>
                <w:sz w:val="24"/>
                <w:szCs w:val="24"/>
              </w:rPr>
              <w:t>…</w:t>
            </w:r>
          </w:p>
        </w:tc>
        <w:tc>
          <w:tcPr>
            <w:tcW w:w="3031" w:type="dxa"/>
            <w:vAlign w:val="center"/>
          </w:tcPr>
          <w:p>
            <w:pPr>
              <w:jc w:val="center"/>
              <w:rPr>
                <w:rFonts w:ascii="宋体" w:cs="Times New Roman"/>
                <w:sz w:val="24"/>
                <w:szCs w:val="24"/>
              </w:rPr>
            </w:pPr>
          </w:p>
        </w:tc>
        <w:tc>
          <w:tcPr>
            <w:tcW w:w="2755" w:type="dxa"/>
            <w:vAlign w:val="center"/>
          </w:tcPr>
          <w:p>
            <w:pPr>
              <w:jc w:val="center"/>
              <w:rPr>
                <w:rFonts w:ascii="宋体" w:cs="Times New Roman"/>
                <w:sz w:val="24"/>
                <w:szCs w:val="24"/>
              </w:rPr>
            </w:pPr>
          </w:p>
        </w:tc>
        <w:tc>
          <w:tcPr>
            <w:tcW w:w="1364"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．投标人应按招标文件第三章“项目技术、服务及商务要求”中“技术、服务要求”条款逐项说明是否满足要求，如有偏离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cs="Times New Roman"/>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p>
    <w:p>
      <w:pPr>
        <w:pStyle w:val="4"/>
        <w:spacing w:before="100" w:beforeAutospacing="1" w:after="156" w:afterLines="50" w:line="360" w:lineRule="auto"/>
        <w:ind w:left="284"/>
        <w:rPr>
          <w:rFonts w:ascii="宋体" w:cs="Times New Roman"/>
        </w:rPr>
      </w:pPr>
      <w:bookmarkStart w:id="305" w:name="_Toc494665573"/>
      <w:bookmarkStart w:id="306" w:name="_Toc494665970"/>
      <w:bookmarkStart w:id="307" w:name="_Toc494702290"/>
      <w:bookmarkStart w:id="308" w:name="_Toc495861569"/>
      <w:bookmarkStart w:id="309" w:name="_Toc509323161"/>
      <w:bookmarkStart w:id="310" w:name="_Toc494721120"/>
      <w:bookmarkStart w:id="311" w:name="_Toc494745337"/>
      <w:bookmarkStart w:id="312" w:name="_Toc494665020"/>
      <w:bookmarkStart w:id="313" w:name="_Toc329859066"/>
      <w:r>
        <w:rPr>
          <w:rFonts w:hint="eastAsia" w:ascii="宋体" w:hAnsi="宋体" w:cs="宋体"/>
        </w:rPr>
        <w:t>附件二十：技术、服务要求“★”号条款响应、偏离说明表</w:t>
      </w:r>
      <w:bookmarkEnd w:id="305"/>
      <w:bookmarkEnd w:id="306"/>
      <w:bookmarkEnd w:id="307"/>
      <w:bookmarkEnd w:id="308"/>
      <w:bookmarkEnd w:id="309"/>
      <w:bookmarkEnd w:id="310"/>
      <w:bookmarkEnd w:id="311"/>
      <w:bookmarkEnd w:id="312"/>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2F2F2"/>
            <w:vAlign w:val="center"/>
          </w:tcPr>
          <w:p>
            <w:pPr>
              <w:jc w:val="center"/>
              <w:rPr>
                <w:rFonts w:ascii="宋体" w:cs="Times New Roman"/>
                <w:sz w:val="24"/>
                <w:szCs w:val="24"/>
              </w:rPr>
            </w:pPr>
            <w:r>
              <w:rPr>
                <w:rFonts w:hint="eastAsia" w:ascii="宋体" w:hAnsi="宋体" w:cs="宋体"/>
                <w:sz w:val="24"/>
                <w:szCs w:val="24"/>
              </w:rPr>
              <w:t>序号</w:t>
            </w:r>
          </w:p>
        </w:tc>
        <w:tc>
          <w:tcPr>
            <w:tcW w:w="2767"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招标文件技术、服务要求“★”号条款</w:t>
            </w:r>
          </w:p>
        </w:tc>
        <w:tc>
          <w:tcPr>
            <w:tcW w:w="2877"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509"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619"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1</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2</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3</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4</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5</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ascii="宋体" w:hAnsi="宋体" w:cs="宋体"/>
                <w:sz w:val="24"/>
                <w:szCs w:val="24"/>
              </w:rPr>
              <w:t>6</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cs="Times New Roman"/>
                <w:sz w:val="24"/>
                <w:szCs w:val="24"/>
              </w:rPr>
            </w:pPr>
            <w:r>
              <w:rPr>
                <w:rFonts w:hint="eastAsia" w:ascii="宋体" w:hAnsi="宋体" w:cs="宋体"/>
                <w:sz w:val="24"/>
                <w:szCs w:val="24"/>
              </w:rPr>
              <w:t>…</w:t>
            </w:r>
          </w:p>
        </w:tc>
        <w:tc>
          <w:tcPr>
            <w:tcW w:w="2767" w:type="dxa"/>
            <w:vAlign w:val="center"/>
          </w:tcPr>
          <w:p>
            <w:pPr>
              <w:jc w:val="center"/>
              <w:rPr>
                <w:rFonts w:ascii="宋体" w:cs="Times New Roman"/>
                <w:sz w:val="24"/>
                <w:szCs w:val="24"/>
              </w:rPr>
            </w:pPr>
          </w:p>
        </w:tc>
        <w:tc>
          <w:tcPr>
            <w:tcW w:w="2877" w:type="dxa"/>
            <w:vAlign w:val="center"/>
          </w:tcPr>
          <w:p>
            <w:pPr>
              <w:jc w:val="center"/>
              <w:rPr>
                <w:rFonts w:ascii="宋体" w:cs="Times New Roman"/>
                <w:sz w:val="24"/>
                <w:szCs w:val="24"/>
              </w:rPr>
            </w:pPr>
          </w:p>
        </w:tc>
        <w:tc>
          <w:tcPr>
            <w:tcW w:w="1509" w:type="dxa"/>
            <w:vAlign w:val="center"/>
          </w:tcPr>
          <w:p>
            <w:pPr>
              <w:jc w:val="center"/>
              <w:rPr>
                <w:rFonts w:ascii="宋体" w:cs="Times New Roman"/>
                <w:sz w:val="24"/>
                <w:szCs w:val="24"/>
              </w:rPr>
            </w:pPr>
          </w:p>
        </w:tc>
        <w:tc>
          <w:tcPr>
            <w:tcW w:w="1619" w:type="dxa"/>
            <w:vAlign w:val="center"/>
          </w:tcPr>
          <w:p>
            <w:pPr>
              <w:jc w:val="center"/>
              <w:rPr>
                <w:rFonts w:ascii="宋体" w:cs="Times New Roman"/>
                <w:sz w:val="24"/>
                <w:szCs w:val="24"/>
              </w:rPr>
            </w:pPr>
          </w:p>
        </w:tc>
      </w:tr>
    </w:tbl>
    <w:p>
      <w:pPr>
        <w:spacing w:line="360" w:lineRule="auto"/>
        <w:ind w:left="936" w:hanging="936" w:hangingChars="390"/>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．投标人应按招标文件第三章“项目技术、服务及商务要求”中技术、服务要求</w:t>
      </w:r>
      <w:r>
        <w:rPr>
          <w:rFonts w:hint="eastAsia" w:ascii="Times New Roman" w:hAnsi="宋体" w:cs="宋体"/>
          <w:sz w:val="24"/>
          <w:szCs w:val="24"/>
        </w:rPr>
        <w:t>“★”号</w:t>
      </w:r>
      <w:r>
        <w:rPr>
          <w:rFonts w:hint="eastAsia" w:ascii="宋体" w:hAnsi="宋体" w:cs="宋体"/>
          <w:sz w:val="24"/>
          <w:szCs w:val="24"/>
        </w:rPr>
        <w:t>条款进行逐项说明是否满足要求，如有偏离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06" w:leftChars="306" w:hanging="364" w:hangingChars="152"/>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bookmarkEnd w:id="313"/>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cs="Times New Roman"/>
        </w:rPr>
      </w:pPr>
      <w:r>
        <w:rPr>
          <w:rFonts w:hint="eastAsia" w:ascii="宋体" w:hAnsi="宋体" w:cs="宋体"/>
          <w:b/>
          <w:bCs/>
          <w:sz w:val="24"/>
          <w:szCs w:val="24"/>
          <w:lang w:val="zh-CN"/>
        </w:rPr>
        <w:t>投标</w:t>
      </w:r>
      <w:r>
        <w:rPr>
          <w:rFonts w:hint="eastAsia" w:hAnsi="宋体" w:cs="宋体"/>
          <w:b/>
          <w:bCs/>
          <w:sz w:val="24"/>
          <w:szCs w:val="24"/>
        </w:rPr>
        <w:t>时间：</w:t>
      </w:r>
    </w:p>
    <w:p>
      <w:pPr>
        <w:rPr>
          <w:rFonts w:cs="Times New Roman"/>
        </w:rPr>
      </w:pPr>
      <w:r>
        <w:rPr>
          <w:rFonts w:cs="Times New Roman"/>
        </w:rPr>
        <w:br w:type="page"/>
      </w:r>
    </w:p>
    <w:p>
      <w:pPr>
        <w:pStyle w:val="4"/>
        <w:spacing w:before="100" w:beforeAutospacing="1" w:after="156" w:afterLines="50" w:line="360" w:lineRule="auto"/>
        <w:ind w:left="284"/>
        <w:rPr>
          <w:rFonts w:ascii="宋体" w:cs="Times New Roman"/>
        </w:rPr>
      </w:pPr>
      <w:bookmarkStart w:id="314" w:name="_Toc494702291"/>
      <w:bookmarkStart w:id="315" w:name="_Toc494665574"/>
      <w:bookmarkStart w:id="316" w:name="_Toc495861570"/>
      <w:bookmarkStart w:id="317" w:name="_Toc494665971"/>
      <w:bookmarkStart w:id="318" w:name="_Toc494665021"/>
      <w:bookmarkStart w:id="319" w:name="_Toc494745338"/>
      <w:bookmarkStart w:id="320" w:name="_Toc509323162"/>
      <w:bookmarkStart w:id="321" w:name="_Toc494721121"/>
      <w:r>
        <w:rPr>
          <w:rFonts w:hint="eastAsia" w:ascii="宋体" w:hAnsi="宋体" w:cs="宋体"/>
        </w:rPr>
        <w:t>附件二十一：技术、服务评议对照表</w:t>
      </w:r>
      <w:bookmarkEnd w:id="314"/>
      <w:bookmarkEnd w:id="315"/>
      <w:bookmarkEnd w:id="316"/>
      <w:bookmarkEnd w:id="317"/>
      <w:bookmarkEnd w:id="318"/>
      <w:bookmarkEnd w:id="319"/>
      <w:bookmarkEnd w:id="320"/>
      <w:bookmarkEnd w:id="321"/>
    </w:p>
    <w:p>
      <w:pPr>
        <w:spacing w:line="360" w:lineRule="auto"/>
        <w:jc w:val="left"/>
        <w:rPr>
          <w:rFonts w:hAnsi="宋体" w:cs="Times New Roman"/>
          <w:b/>
          <w:bCs/>
          <w:sz w:val="24"/>
          <w:szCs w:val="24"/>
        </w:rPr>
      </w:pPr>
      <w:r>
        <w:rPr>
          <w:rFonts w:hint="eastAsia" w:hAnsi="宋体" w:cs="宋体"/>
          <w:b/>
          <w:bCs/>
          <w:sz w:val="24"/>
          <w:szCs w:val="24"/>
        </w:rPr>
        <w:t>投</w:t>
      </w:r>
      <w:r>
        <w:rPr>
          <w:rFonts w:hAnsi="宋体"/>
          <w:b/>
          <w:bCs/>
          <w:sz w:val="24"/>
          <w:szCs w:val="24"/>
        </w:rPr>
        <w:t xml:space="preserve"> </w:t>
      </w:r>
      <w:r>
        <w:rPr>
          <w:rFonts w:hint="eastAsia" w:hAnsi="宋体" w:cs="宋体"/>
          <w:b/>
          <w:bCs/>
          <w:sz w:val="24"/>
          <w:szCs w:val="24"/>
        </w:rPr>
        <w:t>标</w:t>
      </w:r>
      <w:r>
        <w:rPr>
          <w:rFonts w:hAnsi="宋体"/>
          <w:b/>
          <w:bCs/>
          <w:sz w:val="24"/>
          <w:szCs w:val="24"/>
        </w:rPr>
        <w:t xml:space="preserve"> </w:t>
      </w:r>
      <w:r>
        <w:rPr>
          <w:rFonts w:hint="eastAsia" w:hAnsi="宋体" w:cs="宋体"/>
          <w:b/>
          <w:bCs/>
          <w:sz w:val="24"/>
          <w:szCs w:val="24"/>
        </w:rPr>
        <w:t>人：</w:t>
      </w:r>
    </w:p>
    <w:p>
      <w:pPr>
        <w:spacing w:line="360" w:lineRule="auto"/>
        <w:jc w:val="left"/>
        <w:rPr>
          <w:rFonts w:hAnsi="宋体" w:cs="Times New Roman"/>
          <w:b/>
          <w:bCs/>
          <w:sz w:val="24"/>
          <w:szCs w:val="24"/>
        </w:rPr>
      </w:pPr>
      <w:r>
        <w:rPr>
          <w:rFonts w:hint="eastAsia" w:ascii="宋体" w:hAnsi="宋体" w:cs="宋体"/>
          <w:b/>
          <w:bCs/>
          <w:sz w:val="24"/>
          <w:szCs w:val="24"/>
          <w:lang w:val="zh-CN"/>
        </w:rPr>
        <w:t>项目编号：</w:t>
      </w:r>
      <w:r>
        <w:rPr>
          <w:rFonts w:ascii="宋体" w:hAnsi="宋体" w:cs="宋体"/>
          <w:b/>
          <w:bCs/>
          <w:sz w:val="24"/>
          <w:szCs w:val="24"/>
          <w:lang w:val="zh-CN"/>
        </w:rPr>
        <w:t xml:space="preserve">                </w:t>
      </w:r>
      <w:r>
        <w:rPr>
          <w:rFonts w:hint="eastAsia" w:ascii="宋体" w:hAnsi="宋体" w:cs="宋体"/>
          <w:b/>
          <w:bCs/>
          <w:sz w:val="24"/>
          <w:szCs w:val="24"/>
          <w:lang w:val="zh-CN"/>
        </w:rPr>
        <w:t>所投包号：</w:t>
      </w:r>
    </w:p>
    <w:tbl>
      <w:tblPr>
        <w:tblStyle w:val="21"/>
        <w:tblW w:w="951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2F2F2"/>
            <w:vAlign w:val="center"/>
          </w:tcPr>
          <w:p>
            <w:pPr>
              <w:ind w:left="-37" w:leftChars="-18" w:right="-48" w:rightChars="-23"/>
              <w:jc w:val="center"/>
              <w:rPr>
                <w:rFonts w:ascii="宋体" w:cs="Times New Roman"/>
                <w:sz w:val="24"/>
                <w:szCs w:val="24"/>
              </w:rPr>
            </w:pPr>
            <w:r>
              <w:rPr>
                <w:rFonts w:hint="eastAsia" w:ascii="宋体" w:hAnsi="宋体" w:cs="宋体"/>
                <w:sz w:val="24"/>
                <w:szCs w:val="24"/>
              </w:rPr>
              <w:t>序号</w:t>
            </w:r>
          </w:p>
        </w:tc>
        <w:tc>
          <w:tcPr>
            <w:tcW w:w="2389" w:type="dxa"/>
            <w:shd w:val="clear" w:color="auto" w:fill="F2F2F2"/>
            <w:vAlign w:val="center"/>
          </w:tcPr>
          <w:p>
            <w:pPr>
              <w:jc w:val="center"/>
              <w:rPr>
                <w:rFonts w:ascii="宋体" w:cs="Times New Roman"/>
                <w:sz w:val="24"/>
                <w:szCs w:val="24"/>
              </w:rPr>
            </w:pPr>
            <w:r>
              <w:rPr>
                <w:rFonts w:hint="eastAsia" w:ascii="宋体" w:hAnsi="宋体" w:cs="宋体"/>
                <w:sz w:val="24"/>
                <w:szCs w:val="24"/>
              </w:rPr>
              <w:t>招标文件技术、服务评分标准</w:t>
            </w:r>
          </w:p>
        </w:tc>
        <w:tc>
          <w:tcPr>
            <w:tcW w:w="3227" w:type="dxa"/>
            <w:shd w:val="clear" w:color="auto" w:fill="F2F2F2"/>
            <w:vAlign w:val="center"/>
          </w:tcPr>
          <w:p>
            <w:pPr>
              <w:jc w:val="center"/>
              <w:rPr>
                <w:rFonts w:ascii="宋体" w:cs="Times New Roman"/>
                <w:sz w:val="24"/>
                <w:szCs w:val="24"/>
              </w:rPr>
            </w:pPr>
            <w:r>
              <w:rPr>
                <w:rFonts w:hint="eastAsia" w:ascii="宋体" w:hAnsi="宋体" w:cs="宋体"/>
                <w:sz w:val="24"/>
                <w:szCs w:val="24"/>
              </w:rPr>
              <w:t>投标响应内容对应简述</w:t>
            </w:r>
          </w:p>
        </w:tc>
        <w:tc>
          <w:tcPr>
            <w:tcW w:w="1256" w:type="dxa"/>
            <w:shd w:val="clear" w:color="auto" w:fill="F2F2F2"/>
            <w:vAlign w:val="center"/>
          </w:tcPr>
          <w:p>
            <w:pPr>
              <w:jc w:val="center"/>
              <w:rPr>
                <w:rFonts w:ascii="宋体" w:cs="Times New Roman"/>
                <w:sz w:val="24"/>
                <w:szCs w:val="24"/>
              </w:rPr>
            </w:pPr>
            <w:r>
              <w:rPr>
                <w:rFonts w:hint="eastAsia" w:ascii="宋体" w:hAnsi="宋体" w:cs="宋体"/>
                <w:sz w:val="24"/>
                <w:szCs w:val="24"/>
              </w:rPr>
              <w:t>偏离说明</w:t>
            </w:r>
          </w:p>
        </w:tc>
        <w:tc>
          <w:tcPr>
            <w:tcW w:w="1983" w:type="dxa"/>
            <w:shd w:val="clear" w:color="auto" w:fill="F2F2F2"/>
          </w:tcPr>
          <w:p>
            <w:pPr>
              <w:jc w:val="center"/>
              <w:rPr>
                <w:rFonts w:ascii="宋体" w:cs="Times New Roman"/>
                <w:sz w:val="24"/>
                <w:szCs w:val="24"/>
              </w:rPr>
            </w:pPr>
            <w:r>
              <w:rPr>
                <w:rFonts w:hint="eastAsia" w:ascii="宋体" w:hAnsi="宋体" w:cs="宋体"/>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46"/>
              </w:numPr>
              <w:jc w:val="center"/>
              <w:rPr>
                <w:rFonts w:ascii="宋体" w:cs="Times New Roman"/>
                <w:sz w:val="24"/>
                <w:szCs w:val="24"/>
              </w:rPr>
            </w:pP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cs="Times New Roman"/>
                <w:sz w:val="24"/>
                <w:szCs w:val="24"/>
              </w:rPr>
            </w:pPr>
            <w:r>
              <w:rPr>
                <w:rFonts w:hint="eastAsia" w:ascii="宋体" w:hAnsi="宋体" w:cs="宋体"/>
                <w:sz w:val="24"/>
                <w:szCs w:val="24"/>
              </w:rPr>
              <w:t>…</w:t>
            </w:r>
          </w:p>
        </w:tc>
        <w:tc>
          <w:tcPr>
            <w:tcW w:w="2389" w:type="dxa"/>
            <w:vAlign w:val="center"/>
          </w:tcPr>
          <w:p>
            <w:pPr>
              <w:jc w:val="center"/>
              <w:rPr>
                <w:rFonts w:ascii="宋体" w:cs="Times New Roman"/>
                <w:sz w:val="24"/>
                <w:szCs w:val="24"/>
              </w:rPr>
            </w:pPr>
          </w:p>
        </w:tc>
        <w:tc>
          <w:tcPr>
            <w:tcW w:w="3227" w:type="dxa"/>
            <w:vAlign w:val="center"/>
          </w:tcPr>
          <w:p>
            <w:pPr>
              <w:jc w:val="center"/>
              <w:rPr>
                <w:rFonts w:ascii="宋体" w:cs="Times New Roman"/>
                <w:sz w:val="24"/>
                <w:szCs w:val="24"/>
              </w:rPr>
            </w:pPr>
          </w:p>
        </w:tc>
        <w:tc>
          <w:tcPr>
            <w:tcW w:w="1256" w:type="dxa"/>
            <w:vAlign w:val="center"/>
          </w:tcPr>
          <w:p>
            <w:pPr>
              <w:jc w:val="center"/>
              <w:rPr>
                <w:rFonts w:ascii="宋体" w:cs="Times New Roman"/>
                <w:sz w:val="24"/>
                <w:szCs w:val="24"/>
              </w:rPr>
            </w:pPr>
          </w:p>
        </w:tc>
        <w:tc>
          <w:tcPr>
            <w:tcW w:w="1983" w:type="dxa"/>
            <w:vAlign w:val="center"/>
          </w:tcPr>
          <w:p>
            <w:pPr>
              <w:jc w:val="center"/>
              <w:rPr>
                <w:rFonts w:ascii="宋体" w:cs="Times New Roman"/>
                <w:sz w:val="24"/>
                <w:szCs w:val="24"/>
              </w:rPr>
            </w:pPr>
          </w:p>
        </w:tc>
      </w:tr>
    </w:tbl>
    <w:p>
      <w:pPr>
        <w:spacing w:line="360" w:lineRule="auto"/>
        <w:ind w:left="1092" w:hanging="1092" w:hangingChars="455"/>
        <w:jc w:val="left"/>
        <w:rPr>
          <w:rFonts w:ascii="宋体" w:cs="Times New Roman"/>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．投标人应按招标文件第五章“评标方法、程序及标准”中“技术、服务评议”的评分标准逐项说明是否满足要求，如有偏离</w:t>
      </w:r>
      <w:r>
        <w:rPr>
          <w:rFonts w:ascii="宋体" w:cs="宋体"/>
          <w:sz w:val="24"/>
          <w:szCs w:val="24"/>
        </w:rPr>
        <w:t>,</w:t>
      </w:r>
      <w:r>
        <w:rPr>
          <w:rFonts w:hint="eastAsia" w:ascii="宋体" w:hAnsi="宋体" w:cs="宋体"/>
          <w:sz w:val="24"/>
          <w:szCs w:val="24"/>
        </w:rPr>
        <w:t>投标人应详细说明。未按照要求填写此表或仅注明“符合”、“满足”的，导致的后果由投标人自行承担。</w:t>
      </w:r>
    </w:p>
    <w:p>
      <w:pPr>
        <w:spacing w:line="360" w:lineRule="auto"/>
        <w:ind w:left="1006" w:leftChars="306" w:hanging="364" w:hangingChars="152"/>
        <w:jc w:val="left"/>
        <w:rPr>
          <w:rFonts w:ascii="宋体" w:cs="Times New Roman"/>
          <w:sz w:val="24"/>
          <w:szCs w:val="24"/>
        </w:rPr>
      </w:pPr>
      <w:r>
        <w:rPr>
          <w:rFonts w:ascii="宋体" w:hAnsi="宋体" w:cs="宋体"/>
          <w:sz w:val="24"/>
          <w:szCs w:val="24"/>
        </w:rPr>
        <w:t>2</w:t>
      </w:r>
      <w:r>
        <w:rPr>
          <w:rFonts w:hint="eastAsia" w:ascii="宋体" w:hAnsi="宋体" w:cs="宋体"/>
          <w:sz w:val="24"/>
          <w:szCs w:val="24"/>
        </w:rPr>
        <w:t>．投标人提供的相关证明文件对应的页码填写到上表“投标文件对应的页码”中。如未提供页码或内容页码完全不一致的，导致的后果由投标人自行承担。</w:t>
      </w:r>
    </w:p>
    <w:p>
      <w:pPr>
        <w:adjustRightInd w:val="0"/>
        <w:snapToGrid w:val="0"/>
        <w:spacing w:line="300" w:lineRule="auto"/>
        <w:ind w:left="720" w:hanging="720" w:hangingChars="300"/>
        <w:rPr>
          <w:rFonts w:ascii="宋体" w:cs="Times New Roman"/>
          <w:sz w:val="24"/>
          <w:szCs w:val="24"/>
        </w:rPr>
      </w:pPr>
    </w:p>
    <w:p>
      <w:pPr>
        <w:spacing w:before="100" w:beforeAutospacing="1" w:after="100" w:afterAutospacing="1" w:line="360" w:lineRule="auto"/>
        <w:ind w:firstLine="3316" w:firstLineChars="1382"/>
        <w:rPr>
          <w:rFonts w:hAnsi="宋体" w:cs="Times New Roman"/>
          <w:b/>
          <w:bCs/>
          <w:sz w:val="24"/>
          <w:szCs w:val="24"/>
          <w:u w:val="single"/>
        </w:rPr>
      </w:pPr>
      <w:r>
        <w:rPr>
          <w:rFonts w:hint="eastAsia" w:hAnsi="宋体" w:cs="宋体"/>
          <w:b/>
          <w:bCs/>
          <w:sz w:val="24"/>
          <w:szCs w:val="24"/>
        </w:rPr>
        <w:t>投标人（公章）：</w:t>
      </w:r>
    </w:p>
    <w:p>
      <w:pPr>
        <w:spacing w:before="100" w:beforeAutospacing="1" w:after="100" w:afterAutospacing="1" w:line="360" w:lineRule="auto"/>
        <w:ind w:firstLine="3316" w:firstLineChars="1382"/>
        <w:rPr>
          <w:rFonts w:hAnsi="宋体" w:cs="Times New Roman"/>
          <w:b/>
          <w:bCs/>
          <w:sz w:val="24"/>
          <w:szCs w:val="24"/>
          <w:u w:val="single"/>
        </w:rPr>
      </w:pPr>
      <w:r>
        <w:rPr>
          <w:rFonts w:hint="eastAsia" w:ascii="宋体" w:hAnsi="宋体" w:cs="宋体"/>
          <w:b/>
          <w:bCs/>
          <w:sz w:val="24"/>
          <w:szCs w:val="24"/>
          <w:lang w:val="zh-CN"/>
        </w:rPr>
        <w:t>投标人</w:t>
      </w:r>
      <w:r>
        <w:rPr>
          <w:rFonts w:hint="eastAsia" w:hAnsi="宋体" w:cs="宋体"/>
          <w:b/>
          <w:bCs/>
          <w:sz w:val="24"/>
          <w:szCs w:val="24"/>
        </w:rPr>
        <w:t>授权代表（签字）：</w:t>
      </w:r>
    </w:p>
    <w:p>
      <w:pPr>
        <w:spacing w:before="100" w:beforeAutospacing="1" w:after="100" w:afterAutospacing="1" w:line="360" w:lineRule="auto"/>
        <w:ind w:firstLine="3316" w:firstLineChars="1382"/>
        <w:rPr>
          <w:rFonts w:hAnsi="宋体" w:cs="宋体"/>
          <w:b/>
          <w:bCs/>
          <w:sz w:val="24"/>
          <w:szCs w:val="24"/>
        </w:rPr>
      </w:pPr>
      <w:r>
        <w:rPr>
          <w:rFonts w:hint="eastAsia" w:ascii="宋体" w:hAnsi="宋体" w:cs="宋体"/>
          <w:b/>
          <w:bCs/>
          <w:sz w:val="24"/>
          <w:szCs w:val="24"/>
          <w:lang w:val="zh-CN"/>
        </w:rPr>
        <w:t>投标</w:t>
      </w:r>
      <w:r>
        <w:rPr>
          <w:rFonts w:hint="eastAsia" w:hAnsi="宋体" w:cs="宋体"/>
          <w:b/>
          <w:bCs/>
          <w:sz w:val="24"/>
          <w:szCs w:val="24"/>
        </w:rPr>
        <w:t>时间：</w:t>
      </w:r>
    </w:p>
    <w:p>
      <w:pPr>
        <w:pStyle w:val="2"/>
        <w:ind w:firstLine="420"/>
      </w:pP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0"/>
      </w:tabs>
      <w:spacing w:line="600" w:lineRule="exact"/>
      <w:ind w:right="420"/>
      <w:jc w:val="right"/>
      <w:rPr>
        <w:rFonts w:ascii="宋体" w:cs="Times New Roman"/>
      </w:rPr>
    </w:pPr>
    <w:r>
      <w:rPr>
        <w:rFonts w:ascii="宋体" w:cs="Times New Roman"/>
      </w:rPr>
      <w:drawing>
        <wp:inline distT="0" distB="0" distL="0" distR="0">
          <wp:extent cx="2099310" cy="334010"/>
          <wp:effectExtent l="19050" t="0" r="0" b="0"/>
          <wp:docPr id="3" name="图片 2" descr="QQ截图20190429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90429100024"/>
                  <pic:cNvPicPr>
                    <a:picLocks noChangeAspect="1" noChangeArrowheads="1"/>
                  </pic:cNvPicPr>
                </pic:nvPicPr>
                <pic:blipFill>
                  <a:blip r:embed="rId1"/>
                  <a:srcRect/>
                  <a:stretch>
                    <a:fillRect/>
                  </a:stretch>
                </pic:blipFill>
                <pic:spPr>
                  <a:xfrm>
                    <a:off x="0" y="0"/>
                    <a:ext cx="2099310" cy="33401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drawing>
        <wp:inline distT="0" distB="0" distL="0" distR="0">
          <wp:extent cx="2099310" cy="334010"/>
          <wp:effectExtent l="19050" t="0" r="0" b="0"/>
          <wp:docPr id="4" name="图片 2" descr="QQ截图20190429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截图20190429100024"/>
                  <pic:cNvPicPr>
                    <a:picLocks noChangeAspect="1" noChangeArrowheads="1"/>
                  </pic:cNvPicPr>
                </pic:nvPicPr>
                <pic:blipFill>
                  <a:blip r:embed="rId1"/>
                  <a:srcRect/>
                  <a:stretch>
                    <a:fillRect/>
                  </a:stretch>
                </pic:blipFill>
                <pic:spPr>
                  <a:xfrm>
                    <a:off x="0" y="0"/>
                    <a:ext cx="2099310" cy="334010"/>
                  </a:xfrm>
                  <a:prstGeom prst="rect">
                    <a:avLst/>
                  </a:prstGeom>
                  <a:noFill/>
                  <a:ln w="9525">
                    <a:noFill/>
                    <a:miter lim="800000"/>
                    <a:headEnd/>
                    <a:tailEnd/>
                  </a:ln>
                </pic:spPr>
              </pic:pic>
            </a:graphicData>
          </a:graphic>
        </wp:inline>
      </w:drawing>
    </w:r>
    <w:r>
      <w:rPr>
        <w:sz w:val="28"/>
        <w:lang w:val="zh-CN" w:bidi="zh-CN"/>
      </w:rPr>
      <mc:AlternateContent>
        <mc:Choice Requires="wps">
          <w:drawing>
            <wp:anchor distT="0" distB="0" distL="114300" distR="114300" simplePos="0" relativeHeight="251660288" behindDoc="1" locked="0" layoutInCell="1" allowOverlap="1">
              <wp:simplePos x="0" y="0"/>
              <wp:positionH relativeFrom="page">
                <wp:posOffset>792480</wp:posOffset>
              </wp:positionH>
              <wp:positionV relativeFrom="page">
                <wp:posOffset>9787890</wp:posOffset>
              </wp:positionV>
              <wp:extent cx="5885180" cy="0"/>
              <wp:effectExtent l="0" t="0" r="0" b="0"/>
              <wp:wrapNone/>
              <wp:docPr id="8" name="直线 2"/>
              <wp:cNvGraphicFramePr/>
              <a:graphic xmlns:a="http://schemas.openxmlformats.org/drawingml/2006/main">
                <a:graphicData uri="http://schemas.microsoft.com/office/word/2010/wordprocessingShape">
                  <wps:wsp>
                    <wps:cNvSpPr/>
                    <wps:spPr>
                      <a:xfrm>
                        <a:off x="0" y="0"/>
                        <a:ext cx="588518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2.4pt;margin-top:770.7pt;height:0pt;width:463.4pt;mso-position-horizontal-relative:page;mso-position-vertical-relative:page;z-index:-251656192;mso-width-relative:page;mso-height-relative:page;" filled="f" stroked="t" coordsize="21600,21600" o:gfxdata="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&#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1W5Q2QAAAA4BAAAPAAAAAAAAAAEAIAAAACIAAABk&#10;cnMvZG93bnJldi54bWxQSwECFAAUAAAACACHTuJAHScQxMwBAACNAwAADgAAAAAAAAABACAAAAAo&#10;AQAAZHJzL2Uyb0RvYy54bWxQSwUGAAAAAAYABgBZAQAAZgUAAAAA&#10;">
              <v:fill on="f" focussize="0,0"/>
              <v:stroke weight="0.48pt" color="#000000" joinstyle="round"/>
              <v:imagedata o:title=""/>
              <o:lock v:ext="edit" aspectratio="f"/>
            </v:line>
          </w:pict>
        </mc:Fallback>
      </mc:AlternateContent>
    </w:r>
    <w:r>
      <w:rPr>
        <w:sz w:val="28"/>
        <w:lang w:val="zh-CN" w:bidi="zh-CN"/>
      </w:rPr>
      <mc:AlternateContent>
        <mc:Choice Requires="wps">
          <w:drawing>
            <wp:anchor distT="0" distB="0" distL="114300" distR="114300" simplePos="0" relativeHeight="251661312" behindDoc="1" locked="0" layoutInCell="1" allowOverlap="1">
              <wp:simplePos x="0" y="0"/>
              <wp:positionH relativeFrom="page">
                <wp:posOffset>3642360</wp:posOffset>
              </wp:positionH>
              <wp:positionV relativeFrom="page">
                <wp:posOffset>9796780</wp:posOffset>
              </wp:positionV>
              <wp:extent cx="187960" cy="18923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7960" cy="189230"/>
                      </a:xfrm>
                      <a:prstGeom prst="rect">
                        <a:avLst/>
                      </a:prstGeom>
                      <a:noFill/>
                      <a:ln>
                        <a:noFill/>
                      </a:ln>
                    </wps:spPr>
                    <wps:txbx>
                      <w:txbxContent>
                        <w:p>
                          <w:pPr>
                            <w:spacing w:before="21"/>
                            <w:ind w:left="40"/>
                            <w:jc w:val="left"/>
                          </w:pPr>
                          <w:r>
                            <w:fldChar w:fldCharType="begin"/>
                          </w:r>
                          <w: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86.8pt;margin-top:771.4pt;height:14.9pt;width:14.8pt;mso-position-horizontal-relative:page;mso-position-vertical-relative:page;z-index:-251655168;mso-width-relative:page;mso-height-relative:page;" filled="f" stroked="f" coordsize="21600,21600" o:gfxdata="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9bF4c2gAAAA0BAAAPAAAAAAAA&#10;AAEAIAAAACIAAABkcnMvZG93bnJldi54bWxQSwECFAAUAAAACACHTuJAjXTz7Z4BAAAjAwAADgAA&#10;AAAAAAABACAAAAApAQAAZHJzL2Uyb0RvYy54bWxQSwUGAAAAAAYABgBZAQAAOQUAAAAA&#10;">
              <v:fill on="f" focussize="0,0"/>
              <v:stroke on="f"/>
              <v:imagedata o:title=""/>
              <o:lock v:ext="edit" aspectratio="f"/>
              <v:textbox inset="0mm,0mm,0mm,0mm">
                <w:txbxContent>
                  <w:p>
                    <w:pPr>
                      <w:spacing w:before="21"/>
                      <w:ind w:left="40"/>
                      <w:jc w:val="left"/>
                    </w:pPr>
                    <w:r>
                      <w:fldChar w:fldCharType="begin"/>
                    </w:r>
                    <w:r>
                      <w:instrText xml:space="preserve"> PAGE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100"/>
      </w:tabs>
      <w:spacing w:line="600" w:lineRule="exact"/>
      <w:ind w:right="420"/>
      <w:jc w:val="right"/>
      <w:rPr>
        <w:rFonts w:ascii="宋体" w:cs="Times New Roman"/>
      </w:rPr>
    </w:pPr>
    <w:r>
      <w:rPr>
        <w:rFonts w:cs="Times New Roman"/>
      </w:rPr>
      <w:drawing>
        <wp:inline distT="0" distB="0" distL="0" distR="0">
          <wp:extent cx="2099310" cy="334010"/>
          <wp:effectExtent l="19050" t="0" r="0" b="0"/>
          <wp:docPr id="2" name="图片 2" descr="QQ截图20190429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90429100024"/>
                  <pic:cNvPicPr>
                    <a:picLocks noChangeAspect="1" noChangeArrowheads="1"/>
                  </pic:cNvPicPr>
                </pic:nvPicPr>
                <pic:blipFill>
                  <a:blip r:embed="rId1"/>
                  <a:srcRect/>
                  <a:stretch>
                    <a:fillRect/>
                  </a:stretch>
                </pic:blipFill>
                <pic:spPr>
                  <a:xfrm>
                    <a:off x="0" y="0"/>
                    <a:ext cx="2099310" cy="334010"/>
                  </a:xfrm>
                  <a:prstGeom prst="rect">
                    <a:avLst/>
                  </a:prstGeom>
                  <a:noFill/>
                  <a:ln w="9525">
                    <a:noFill/>
                    <a:miter lim="800000"/>
                    <a:headEnd/>
                    <a:tailEnd/>
                  </a:ln>
                </pic:spPr>
              </pic:pic>
            </a:graphicData>
          </a:graphic>
        </wp:inline>
      </w:drawing>
    </w:r>
    <w:r>
      <w:rPr>
        <w:rFonts w:ascii="宋体" w:hAnsi="宋体" w:cs="宋体"/>
      </w:rPr>
      <w:t xml:space="preserve">                              </w:t>
    </w:r>
  </w:p>
  <w:p>
    <w:pPr>
      <w:pStyle w:val="14"/>
      <w:pBdr>
        <w:top w:val="single" w:color="000000" w:sz="4" w:space="1"/>
      </w:pBdr>
      <w:tabs>
        <w:tab w:val="clear" w:pos="4153"/>
        <w:tab w:val="clear" w:pos="8306"/>
      </w:tabs>
      <w:ind w:right="-9" w:firstLine="360" w:firstLineChars="200"/>
      <w:jc w:val="both"/>
      <w:rPr>
        <w:rFonts w:cs="Times New Roman"/>
      </w:rPr>
    </w:pPr>
  </w:p>
  <w:p>
    <w:pPr>
      <w:pStyle w:val="14"/>
      <w:pBdr>
        <w:top w:val="single" w:color="000000" w:sz="4" w:space="1"/>
      </w:pBdr>
      <w:tabs>
        <w:tab w:val="clear" w:pos="4153"/>
        <w:tab w:val="clear" w:pos="8306"/>
      </w:tabs>
      <w:ind w:right="-9"/>
      <w:jc w:val="center"/>
      <w:rPr>
        <w:rFonts w:ascii="宋体" w:cs="Times New Roman"/>
        <w:b/>
        <w:bCs/>
      </w:rPr>
    </w:pPr>
    <w:r>
      <w:rPr>
        <w:rFonts w:ascii="宋体" w:hAnsi="宋体" w:cs="宋体"/>
        <w:b/>
        <w:bCs/>
      </w:rPr>
      <w:fldChar w:fldCharType="begin"/>
    </w:r>
    <w:r>
      <w:rPr>
        <w:rFonts w:ascii="宋体" w:hAnsi="宋体" w:cs="宋体"/>
        <w:b/>
        <w:bCs/>
      </w:rPr>
      <w:instrText xml:space="preserve">PAGE</w:instrText>
    </w:r>
    <w:r>
      <w:rPr>
        <w:rFonts w:ascii="宋体" w:hAnsi="宋体" w:cs="宋体"/>
        <w:b/>
        <w:bCs/>
      </w:rPr>
      <w:fldChar w:fldCharType="separate"/>
    </w:r>
    <w:r>
      <w:rPr>
        <w:rFonts w:ascii="宋体" w:hAnsi="宋体" w:cs="宋体"/>
        <w:b/>
        <w:bCs/>
      </w:rPr>
      <w:t>72</w:t>
    </w:r>
    <w:r>
      <w:rPr>
        <w:rFonts w:ascii="宋体" w:hAnsi="宋体" w:cs="宋体"/>
        <w:b/>
        <w:bCs/>
      </w:rPr>
      <w:fldChar w:fldCharType="end"/>
    </w:r>
    <w:r>
      <w:rPr>
        <w:rFonts w:ascii="宋体" w:hAnsi="宋体" w:cs="宋体"/>
        <w:b/>
        <w:bCs/>
        <w:lang w:val="zh-CN"/>
      </w:rPr>
      <w:t xml:space="preserve"> / </w:t>
    </w:r>
    <w:r>
      <w:rPr>
        <w:rFonts w:ascii="宋体" w:hAnsi="宋体" w:cs="宋体"/>
        <w:b/>
        <w:bCs/>
      </w:rPr>
      <w:fldChar w:fldCharType="begin"/>
    </w:r>
    <w:r>
      <w:rPr>
        <w:rFonts w:ascii="宋体" w:hAnsi="宋体" w:cs="宋体"/>
        <w:b/>
        <w:bCs/>
      </w:rPr>
      <w:instrText xml:space="preserve">NUMPAGES</w:instrText>
    </w:r>
    <w:r>
      <w:rPr>
        <w:rFonts w:ascii="宋体" w:hAnsi="宋体" w:cs="宋体"/>
        <w:b/>
        <w:bCs/>
      </w:rPr>
      <w:fldChar w:fldCharType="separate"/>
    </w:r>
    <w:r>
      <w:rPr>
        <w:rFonts w:ascii="宋体" w:hAnsi="宋体" w:cs="宋体"/>
        <w:b/>
        <w:bCs/>
      </w:rPr>
      <w:t>72</w:t>
    </w:r>
    <w:r>
      <w:rPr>
        <w:rFonts w:ascii="宋体" w:hAnsi="宋体" w:cs="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cs="Times New Roman"/>
      </w:rPr>
    </w:pPr>
    <w:r>
      <w:rPr>
        <w:rFonts w:cs="Times New Roman"/>
      </w:rPr>
      <w:tab/>
    </w:r>
    <w:r>
      <w:rPr>
        <w:rFonts w:hint="eastAsia" w:cs="宋体"/>
        <w:u w:val="single"/>
      </w:rPr>
      <w:t>项目名称：阳新县应急指挥中心建设项目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cs="Times New Roman"/>
      </w:rPr>
    </w:pPr>
    <w:r>
      <w:rPr>
        <w:rFonts w:hint="eastAsia" w:cs="宋体"/>
        <w:u w:val="single"/>
      </w:rPr>
      <w:t>项目名称：阳新县应急指挥中心建设项目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8000C8"/>
    <w:multiLevelType w:val="multilevel"/>
    <w:tmpl w:val="038000C8"/>
    <w:lvl w:ilvl="0" w:tentative="0">
      <w:start w:val="1"/>
      <w:numFmt w:val="decimal"/>
      <w:lvlText w:val="%1"/>
      <w:lvlJc w:val="center"/>
      <w:pPr>
        <w:ind w:left="420" w:hanging="420"/>
      </w:pPr>
      <w:rPr>
        <w:rFonts w:hint="eastAsia"/>
        <w:b w:val="0"/>
        <w:bCs w:val="0"/>
        <w:i w:val="0"/>
        <w:i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112400"/>
    <w:multiLevelType w:val="multilevel"/>
    <w:tmpl w:val="08112400"/>
    <w:lvl w:ilvl="0" w:tentative="0">
      <w:start w:val="1"/>
      <w:numFmt w:val="decimal"/>
      <w:lvlText w:val="8.%1"/>
      <w:lvlJc w:val="left"/>
      <w:pPr>
        <w:ind w:left="988" w:hanging="420"/>
      </w:pPr>
      <w:rPr>
        <w:rFonts w:hint="default" w:ascii="仿宋" w:hAnsi="仿宋" w:eastAsia="仿宋"/>
        <w:b w:val="0"/>
        <w:bCs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092D2B91"/>
    <w:multiLevelType w:val="multilevel"/>
    <w:tmpl w:val="092D2B91"/>
    <w:lvl w:ilvl="0" w:tentative="0">
      <w:start w:val="1"/>
      <w:numFmt w:val="decimal"/>
      <w:lvlText w:val="3.%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196355"/>
    <w:multiLevelType w:val="multilevel"/>
    <w:tmpl w:val="0F196355"/>
    <w:lvl w:ilvl="0" w:tentative="0">
      <w:start w:val="1"/>
      <w:numFmt w:val="decimal"/>
      <w:lvlText w:val="15.%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0F5420"/>
    <w:multiLevelType w:val="multilevel"/>
    <w:tmpl w:val="100F5420"/>
    <w:lvl w:ilvl="0" w:tentative="0">
      <w:start w:val="1"/>
      <w:numFmt w:val="decimal"/>
      <w:lvlText w:val="12.3.%1 "/>
      <w:lvlJc w:val="left"/>
      <w:pPr>
        <w:ind w:left="643" w:hanging="420"/>
      </w:pPr>
      <w:rPr>
        <w:rFonts w:hint="default" w:ascii="楷体" w:hAnsi="楷体" w:eastAsia="楷体"/>
        <w:b w:val="0"/>
        <w:bCs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
    <w:nsid w:val="106E6CC9"/>
    <w:multiLevelType w:val="multilevel"/>
    <w:tmpl w:val="106E6CC9"/>
    <w:lvl w:ilvl="0" w:tentative="0">
      <w:start w:val="1"/>
      <w:numFmt w:val="japaneseCounting"/>
      <w:lvlText w:val="%1、"/>
      <w:lvlJc w:val="left"/>
      <w:pPr>
        <w:ind w:left="1022" w:hanging="630"/>
      </w:pPr>
      <w:rPr>
        <w:rFonts w:hint="default"/>
      </w:rPr>
    </w:lvl>
    <w:lvl w:ilvl="1" w:tentative="0">
      <w:start w:val="1"/>
      <w:numFmt w:val="lowerLetter"/>
      <w:lvlText w:val="%2)"/>
      <w:lvlJc w:val="left"/>
      <w:pPr>
        <w:ind w:left="1232" w:hanging="420"/>
      </w:pPr>
    </w:lvl>
    <w:lvl w:ilvl="2" w:tentative="0">
      <w:start w:val="1"/>
      <w:numFmt w:val="lowerRoman"/>
      <w:lvlText w:val="%3."/>
      <w:lvlJc w:val="right"/>
      <w:pPr>
        <w:ind w:left="1652" w:hanging="420"/>
      </w:pPr>
    </w:lvl>
    <w:lvl w:ilvl="3" w:tentative="0">
      <w:start w:val="1"/>
      <w:numFmt w:val="decimal"/>
      <w:lvlText w:val="%4."/>
      <w:lvlJc w:val="left"/>
      <w:pPr>
        <w:ind w:left="2072" w:hanging="420"/>
      </w:pPr>
    </w:lvl>
    <w:lvl w:ilvl="4" w:tentative="0">
      <w:start w:val="1"/>
      <w:numFmt w:val="lowerLetter"/>
      <w:lvlText w:val="%5)"/>
      <w:lvlJc w:val="left"/>
      <w:pPr>
        <w:ind w:left="2492" w:hanging="420"/>
      </w:pPr>
    </w:lvl>
    <w:lvl w:ilvl="5" w:tentative="0">
      <w:start w:val="1"/>
      <w:numFmt w:val="lowerRoman"/>
      <w:lvlText w:val="%6."/>
      <w:lvlJc w:val="right"/>
      <w:pPr>
        <w:ind w:left="2912" w:hanging="420"/>
      </w:pPr>
    </w:lvl>
    <w:lvl w:ilvl="6" w:tentative="0">
      <w:start w:val="1"/>
      <w:numFmt w:val="decimal"/>
      <w:lvlText w:val="%7."/>
      <w:lvlJc w:val="left"/>
      <w:pPr>
        <w:ind w:left="3332" w:hanging="420"/>
      </w:pPr>
    </w:lvl>
    <w:lvl w:ilvl="7" w:tentative="0">
      <w:start w:val="1"/>
      <w:numFmt w:val="lowerLetter"/>
      <w:lvlText w:val="%8)"/>
      <w:lvlJc w:val="left"/>
      <w:pPr>
        <w:ind w:left="3752" w:hanging="420"/>
      </w:pPr>
    </w:lvl>
    <w:lvl w:ilvl="8" w:tentative="0">
      <w:start w:val="1"/>
      <w:numFmt w:val="lowerRoman"/>
      <w:lvlText w:val="%9."/>
      <w:lvlJc w:val="right"/>
      <w:pPr>
        <w:ind w:left="4172" w:hanging="420"/>
      </w:pPr>
    </w:lvl>
  </w:abstractNum>
  <w:abstractNum w:abstractNumId="8">
    <w:nsid w:val="143A1834"/>
    <w:multiLevelType w:val="multilevel"/>
    <w:tmpl w:val="143A1834"/>
    <w:lvl w:ilvl="0" w:tentative="0">
      <w:start w:val="1"/>
      <w:numFmt w:val="chineseCountingThousand"/>
      <w:lvlText w:val="附件%1、"/>
      <w:lvlJc w:val="left"/>
      <w:pPr>
        <w:ind w:left="704" w:hanging="420"/>
      </w:pPr>
      <w:rPr>
        <w:rFonts w:hint="eastAsia" w:ascii="宋体" w:hAnsi="宋体" w:eastAsia="宋体"/>
        <w:b/>
        <w:bCs/>
        <w:i w:val="0"/>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DE1A41"/>
    <w:multiLevelType w:val="multilevel"/>
    <w:tmpl w:val="15DE1A41"/>
    <w:lvl w:ilvl="0" w:tentative="0">
      <w:start w:val="1"/>
      <w:numFmt w:val="decimal"/>
      <w:lvlText w:val="4.6.%1 "/>
      <w:lvlJc w:val="left"/>
      <w:pPr>
        <w:ind w:left="1271" w:hanging="420"/>
      </w:pPr>
      <w:rPr>
        <w:rFonts w:hint="default" w:ascii="楷体" w:hAnsi="楷体" w:eastAsia="楷体"/>
        <w:b w:val="0"/>
        <w:bCs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0">
    <w:nsid w:val="15F76080"/>
    <w:multiLevelType w:val="multilevel"/>
    <w:tmpl w:val="15F76080"/>
    <w:lvl w:ilvl="0" w:tentative="0">
      <w:start w:val="1"/>
      <w:numFmt w:val="decimal"/>
      <w:lvlText w:val="4.%1 "/>
      <w:lvlJc w:val="left"/>
      <w:pPr>
        <w:ind w:left="3681"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1">
    <w:nsid w:val="1636573F"/>
    <w:multiLevelType w:val="multilevel"/>
    <w:tmpl w:val="1636573F"/>
    <w:lvl w:ilvl="0" w:tentative="0">
      <w:start w:val="1"/>
      <w:numFmt w:val="decimal"/>
      <w:lvlText w:val="1.%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962145"/>
    <w:multiLevelType w:val="multilevel"/>
    <w:tmpl w:val="16962145"/>
    <w:lvl w:ilvl="0" w:tentative="0">
      <w:start w:val="1"/>
      <w:numFmt w:val="decimal"/>
      <w:lvlText w:val="2.%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015415"/>
    <w:multiLevelType w:val="multilevel"/>
    <w:tmpl w:val="25015415"/>
    <w:lvl w:ilvl="0" w:tentative="0">
      <w:start w:val="1"/>
      <w:numFmt w:val="decimal"/>
      <w:lvlText w:val="%1. "/>
      <w:lvlJc w:val="left"/>
      <w:pPr>
        <w:ind w:left="2121" w:hanging="420"/>
      </w:pPr>
      <w:rPr>
        <w:rFonts w:hint="default" w:ascii="宋体" w:hAnsi="宋体" w:eastAsia="宋体"/>
        <w:b/>
        <w:bCs/>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4">
    <w:nsid w:val="251B2B6C"/>
    <w:multiLevelType w:val="multilevel"/>
    <w:tmpl w:val="251B2B6C"/>
    <w:lvl w:ilvl="0" w:tentative="0">
      <w:start w:val="1"/>
      <w:numFmt w:val="chineseCountingThousand"/>
      <w:lvlText w:val="（%1） "/>
      <w:lvlJc w:val="left"/>
      <w:pPr>
        <w:ind w:left="902" w:hanging="420"/>
      </w:pPr>
      <w:rPr>
        <w:rFonts w:hint="eastAsia"/>
        <w:b/>
        <w:bCs/>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279A794F"/>
    <w:multiLevelType w:val="multilevel"/>
    <w:tmpl w:val="279A794F"/>
    <w:lvl w:ilvl="0" w:tentative="0">
      <w:start w:val="1"/>
      <w:numFmt w:val="decimal"/>
      <w:lvlText w:val="3.%1 "/>
      <w:lvlJc w:val="left"/>
      <w:pPr>
        <w:ind w:left="3681"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28394228"/>
    <w:multiLevelType w:val="multilevel"/>
    <w:tmpl w:val="28394228"/>
    <w:lvl w:ilvl="0" w:tentative="0">
      <w:start w:val="1"/>
      <w:numFmt w:val="decimal"/>
      <w:lvlText w:val="%1"/>
      <w:lvlJc w:val="center"/>
      <w:pPr>
        <w:ind w:left="420" w:hanging="420"/>
      </w:pPr>
      <w:rPr>
        <w:rFonts w:hint="eastAsia"/>
        <w:b w:val="0"/>
        <w:bCs w:val="0"/>
        <w:i w:val="0"/>
        <w:i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8AA4AF5"/>
    <w:multiLevelType w:val="multilevel"/>
    <w:tmpl w:val="28AA4AF5"/>
    <w:lvl w:ilvl="0" w:tentative="0">
      <w:start w:val="1"/>
      <w:numFmt w:val="decimal"/>
      <w:lvlText w:val="%1. "/>
      <w:lvlJc w:val="left"/>
      <w:pPr>
        <w:ind w:left="824" w:hanging="420"/>
      </w:pPr>
      <w:rPr>
        <w:rFonts w:hint="default" w:ascii="宋体" w:hAnsi="宋体" w:eastAsia="宋体"/>
        <w:b/>
        <w:bCs/>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8">
    <w:nsid w:val="29735AF9"/>
    <w:multiLevelType w:val="multilevel"/>
    <w:tmpl w:val="29735AF9"/>
    <w:lvl w:ilvl="0" w:tentative="0">
      <w:start w:val="1"/>
      <w:numFmt w:val="decimal"/>
      <w:lvlText w:val="11.%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ABF2833"/>
    <w:multiLevelType w:val="multilevel"/>
    <w:tmpl w:val="2ABF2833"/>
    <w:lvl w:ilvl="0" w:tentative="0">
      <w:start w:val="1"/>
      <w:numFmt w:val="decimal"/>
      <w:lvlText w:val="12.%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D665F38"/>
    <w:multiLevelType w:val="multilevel"/>
    <w:tmpl w:val="2D665F38"/>
    <w:lvl w:ilvl="0" w:tentative="0">
      <w:start w:val="1"/>
      <w:numFmt w:val="decimal"/>
      <w:lvlText w:val="5.%1 "/>
      <w:lvlJc w:val="left"/>
      <w:pPr>
        <w:ind w:left="3681"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1">
    <w:nsid w:val="2D850054"/>
    <w:multiLevelType w:val="multilevel"/>
    <w:tmpl w:val="2D850054"/>
    <w:lvl w:ilvl="0" w:tentative="0">
      <w:start w:val="1"/>
      <w:numFmt w:val="decimal"/>
      <w:lvlText w:val="%1. "/>
      <w:lvlJc w:val="left"/>
      <w:pPr>
        <w:ind w:left="840" w:hanging="420"/>
      </w:pPr>
      <w:rPr>
        <w:rFonts w:hint="default" w:ascii="宋体" w:hAnsi="宋体" w:eastAsia="宋体"/>
        <w:b/>
        <w:bCs/>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2E825AFA"/>
    <w:multiLevelType w:val="multilevel"/>
    <w:tmpl w:val="2E825AFA"/>
    <w:lvl w:ilvl="0" w:tentative="0">
      <w:start w:val="1"/>
      <w:numFmt w:val="decimal"/>
      <w:lvlText w:val="2.%1"/>
      <w:lvlJc w:val="left"/>
      <w:pPr>
        <w:ind w:left="420" w:hanging="42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15F4B3A"/>
    <w:multiLevelType w:val="multilevel"/>
    <w:tmpl w:val="315F4B3A"/>
    <w:lvl w:ilvl="0" w:tentative="0">
      <w:start w:val="1"/>
      <w:numFmt w:val="decimal"/>
      <w:lvlText w:val="7.%1"/>
      <w:lvlJc w:val="left"/>
      <w:pPr>
        <w:ind w:left="988" w:hanging="420"/>
      </w:pPr>
      <w:rPr>
        <w:rFonts w:hint="default" w:ascii="仿宋" w:hAnsi="仿宋" w:eastAsia="仿宋"/>
        <w:b w:val="0"/>
        <w:bCs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5442C9F"/>
    <w:multiLevelType w:val="multilevel"/>
    <w:tmpl w:val="35442C9F"/>
    <w:lvl w:ilvl="0" w:tentative="0">
      <w:start w:val="1"/>
      <w:numFmt w:val="decimal"/>
      <w:lvlText w:val="（%1）"/>
      <w:lvlJc w:val="left"/>
      <w:pPr>
        <w:ind w:left="840" w:hanging="420"/>
      </w:pPr>
      <w:rPr>
        <w:rFonts w:hint="eastAsia" w:ascii="仿宋" w:hAnsi="仿宋" w:eastAsia="仿宋"/>
        <w:b w:val="0"/>
        <w:bCs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37C132BF"/>
    <w:multiLevelType w:val="multilevel"/>
    <w:tmpl w:val="37C132BF"/>
    <w:lvl w:ilvl="0" w:tentative="0">
      <w:start w:val="1"/>
      <w:numFmt w:val="decimal"/>
      <w:lvlText w:val="4.%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FF72387"/>
    <w:multiLevelType w:val="multilevel"/>
    <w:tmpl w:val="3FF72387"/>
    <w:lvl w:ilvl="0" w:tentative="0">
      <w:start w:val="1"/>
      <w:numFmt w:val="decimal"/>
      <w:lvlText w:val="%1. "/>
      <w:lvlJc w:val="left"/>
      <w:pPr>
        <w:ind w:left="824" w:hanging="420"/>
      </w:pPr>
      <w:rPr>
        <w:rFonts w:hint="default" w:ascii="宋体" w:hAnsi="宋体" w:eastAsia="宋体"/>
        <w:b/>
        <w:bCs/>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9">
    <w:nsid w:val="440821F5"/>
    <w:multiLevelType w:val="multilevel"/>
    <w:tmpl w:val="440821F5"/>
    <w:lvl w:ilvl="0" w:tentative="0">
      <w:start w:val="1"/>
      <w:numFmt w:val="decimal"/>
      <w:lvlText w:val="%1."/>
      <w:lvlJc w:val="left"/>
      <w:pPr>
        <w:ind w:left="420" w:hanging="420"/>
      </w:pPr>
      <w:rPr>
        <w:rFonts w:hint="default" w:ascii="宋体" w:hAnsi="宋体" w:eastAsia="宋体"/>
        <w:b/>
        <w:bCs/>
        <w:strike w:val="0"/>
        <w:color w:val="auto"/>
        <w:sz w:val="24"/>
        <w:szCs w:val="24"/>
      </w:rPr>
    </w:lvl>
    <w:lvl w:ilvl="1" w:tentative="0">
      <w:start w:val="6"/>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45F2796"/>
    <w:multiLevelType w:val="multilevel"/>
    <w:tmpl w:val="445F2796"/>
    <w:lvl w:ilvl="0" w:tentative="0">
      <w:start w:val="1"/>
      <w:numFmt w:val="decimal"/>
      <w:lvlText w:val="2.%1 "/>
      <w:lvlJc w:val="left"/>
      <w:pPr>
        <w:ind w:left="840" w:hanging="420"/>
      </w:pPr>
      <w:rPr>
        <w:rFonts w:hint="eastAsia" w:ascii="仿宋" w:hAnsi="仿宋" w:eastAsia="仿宋"/>
        <w:b w:val="0"/>
        <w:bCs w:val="0"/>
        <w:caps w:val="0"/>
        <w:strike w:val="0"/>
        <w:dstrike w:val="0"/>
        <w:vanish w:val="0"/>
        <w:color w:val="auto"/>
        <w:vertAlign w:val="baseline"/>
      </w:rPr>
    </w:lvl>
    <w:lvl w:ilvl="1" w:tentative="0">
      <w:start w:val="5"/>
      <w:numFmt w:val="japaneseCounting"/>
      <w:lvlText w:val="第%2章"/>
      <w:lvlJc w:val="left"/>
      <w:pPr>
        <w:ind w:left="2280" w:hanging="144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4D575265"/>
    <w:multiLevelType w:val="multilevel"/>
    <w:tmpl w:val="4D575265"/>
    <w:lvl w:ilvl="0" w:tentative="0">
      <w:start w:val="1"/>
      <w:numFmt w:val="decimal"/>
      <w:lvlText w:val="4.%1  "/>
      <w:lvlJc w:val="left"/>
      <w:pPr>
        <w:ind w:left="846" w:hanging="420"/>
      </w:pPr>
      <w:rPr>
        <w:rFonts w:hint="default" w:ascii="仿宋" w:hAnsi="仿宋" w:eastAsia="仿宋"/>
        <w:b w:val="0"/>
        <w:bCs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2">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japaneseCounting"/>
      <w:lvlText w:val="%2、"/>
      <w:lvlJc w:val="left"/>
      <w:pPr>
        <w:ind w:left="1140" w:hanging="720"/>
      </w:pPr>
      <w:rPr>
        <w:rFonts w:hint="default" w:ascii="宋体" w:hAnsi="宋体" w:eastAsia="宋体"/>
        <w:b/>
        <w:bCs/>
        <w:color w:val="0D0D0D"/>
        <w:sz w:val="24"/>
        <w:szCs w:val="24"/>
        <w:u w:val="none"/>
      </w:rPr>
    </w:lvl>
    <w:lvl w:ilvl="2" w:tentative="0">
      <w:start w:val="2"/>
      <w:numFmt w:val="japaneseCounting"/>
      <w:lvlText w:val="第%3章"/>
      <w:lvlJc w:val="left"/>
      <w:pPr>
        <w:ind w:left="4985" w:hanging="144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05F200A"/>
    <w:multiLevelType w:val="multilevel"/>
    <w:tmpl w:val="505F200A"/>
    <w:lvl w:ilvl="0" w:tentative="0">
      <w:start w:val="1"/>
      <w:numFmt w:val="decimal"/>
      <w:lvlText w:val="1.%1 "/>
      <w:lvlJc w:val="left"/>
      <w:pPr>
        <w:ind w:left="840" w:hanging="420"/>
      </w:pPr>
      <w:rPr>
        <w:rFonts w:hint="eastAsia" w:ascii="仿宋" w:hAnsi="仿宋" w:eastAsia="仿宋"/>
        <w:b w:val="0"/>
        <w:bCs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59A852BA"/>
    <w:multiLevelType w:val="multilevel"/>
    <w:tmpl w:val="59A852BA"/>
    <w:lvl w:ilvl="0" w:tentative="0">
      <w:start w:val="1"/>
      <w:numFmt w:val="decimal"/>
      <w:lvlText w:val="6.%1"/>
      <w:lvlJc w:val="left"/>
      <w:pPr>
        <w:ind w:left="988" w:hanging="420"/>
      </w:pPr>
      <w:rPr>
        <w:rFonts w:hint="default" w:ascii="仿宋" w:hAnsi="仿宋" w:eastAsia="仿宋"/>
        <w:b w:val="0"/>
        <w:bCs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6">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7">
    <w:nsid w:val="5A0B11B2"/>
    <w:multiLevelType w:val="multilevel"/>
    <w:tmpl w:val="5A0B11B2"/>
    <w:lvl w:ilvl="0" w:tentative="0">
      <w:start w:val="1"/>
      <w:numFmt w:val="decimal"/>
      <w:lvlText w:val="%1. "/>
      <w:lvlJc w:val="left"/>
      <w:pPr>
        <w:ind w:left="2121" w:hanging="420"/>
      </w:pPr>
      <w:rPr>
        <w:rFonts w:hint="default" w:ascii="宋体" w:hAnsi="宋体" w:eastAsia="宋体"/>
        <w:b/>
        <w:bCs/>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38">
    <w:nsid w:val="643B08CA"/>
    <w:multiLevelType w:val="multilevel"/>
    <w:tmpl w:val="643B08CA"/>
    <w:lvl w:ilvl="0" w:tentative="0">
      <w:start w:val="1"/>
      <w:numFmt w:val="decimal"/>
      <w:lvlText w:val="3.1.%1 "/>
      <w:lvlJc w:val="left"/>
      <w:pPr>
        <w:ind w:left="643" w:hanging="420"/>
      </w:pPr>
      <w:rPr>
        <w:rFonts w:hint="default" w:ascii="楷体" w:hAnsi="楷体" w:eastAsia="楷体"/>
        <w:b w:val="0"/>
        <w:bCs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9">
    <w:nsid w:val="6B887DF2"/>
    <w:multiLevelType w:val="multilevel"/>
    <w:tmpl w:val="6B887DF2"/>
    <w:lvl w:ilvl="0" w:tentative="0">
      <w:start w:val="1"/>
      <w:numFmt w:val="decimal"/>
      <w:lvlText w:val="%1"/>
      <w:lvlJc w:val="center"/>
      <w:pPr>
        <w:ind w:left="420" w:hanging="420"/>
      </w:pPr>
      <w:rPr>
        <w:rFonts w:hint="eastAsia"/>
        <w:b w:val="0"/>
        <w:bCs w:val="0"/>
        <w:i w:val="0"/>
        <w:i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0DD1B88"/>
    <w:multiLevelType w:val="multilevel"/>
    <w:tmpl w:val="70DD1B88"/>
    <w:lvl w:ilvl="0" w:tentative="0">
      <w:start w:val="1"/>
      <w:numFmt w:val="decimal"/>
      <w:lvlText w:val="%1. "/>
      <w:lvlJc w:val="left"/>
      <w:pPr>
        <w:ind w:left="1117" w:hanging="420"/>
      </w:pPr>
      <w:rPr>
        <w:rFonts w:hint="default" w:ascii="仿宋" w:hAnsi="仿宋" w:eastAsia="仿宋"/>
        <w:b w:val="0"/>
        <w:bCs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bCs/>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41">
    <w:nsid w:val="730B37A3"/>
    <w:multiLevelType w:val="multilevel"/>
    <w:tmpl w:val="730B37A3"/>
    <w:lvl w:ilvl="0" w:tentative="0">
      <w:start w:val="1"/>
      <w:numFmt w:val="decimal"/>
      <w:lvlText w:val="2.%1"/>
      <w:lvlJc w:val="left"/>
      <w:pPr>
        <w:ind w:left="372" w:hanging="420"/>
      </w:pPr>
      <w:rPr>
        <w:rFonts w:hint="default" w:ascii="仿宋" w:hAnsi="仿宋" w:eastAsia="仿宋"/>
        <w:b w:val="0"/>
        <w:bCs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2">
    <w:nsid w:val="768933D5"/>
    <w:multiLevelType w:val="multilevel"/>
    <w:tmpl w:val="768933D5"/>
    <w:lvl w:ilvl="0" w:tentative="0">
      <w:start w:val="1"/>
      <w:numFmt w:val="decimal"/>
      <w:lvlText w:val="%1. "/>
      <w:lvlJc w:val="left"/>
      <w:pPr>
        <w:ind w:left="824" w:hanging="420"/>
      </w:pPr>
      <w:rPr>
        <w:rFonts w:hint="default" w:ascii="宋体" w:hAnsi="宋体" w:eastAsia="宋体"/>
        <w:b/>
        <w:bCs/>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3">
    <w:nsid w:val="774C7C21"/>
    <w:multiLevelType w:val="multilevel"/>
    <w:tmpl w:val="774C7C21"/>
    <w:lvl w:ilvl="0" w:tentative="0">
      <w:start w:val="1"/>
      <w:numFmt w:val="decimal"/>
      <w:lvlText w:val="16.%1"/>
      <w:lvlJc w:val="left"/>
      <w:pPr>
        <w:ind w:left="420" w:hanging="420"/>
      </w:pPr>
      <w:rPr>
        <w:rFonts w:hint="default" w:ascii="仿宋" w:hAnsi="仿宋" w:eastAsia="仿宋"/>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97F553B"/>
    <w:multiLevelType w:val="multilevel"/>
    <w:tmpl w:val="797F553B"/>
    <w:lvl w:ilvl="0" w:tentative="0">
      <w:start w:val="1"/>
      <w:numFmt w:val="decimal"/>
      <w:lvlText w:val="%1. "/>
      <w:lvlJc w:val="left"/>
      <w:pPr>
        <w:ind w:left="988" w:hanging="420"/>
      </w:pPr>
      <w:rPr>
        <w:rFonts w:hint="default" w:ascii="宋体" w:hAnsi="宋体" w:eastAsia="宋体"/>
        <w:b/>
        <w:bCs/>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5">
    <w:nsid w:val="7ECB03B9"/>
    <w:multiLevelType w:val="multilevel"/>
    <w:tmpl w:val="7ECB03B9"/>
    <w:lvl w:ilvl="0" w:tentative="0">
      <w:start w:val="1"/>
      <w:numFmt w:val="decimal"/>
      <w:lvlText w:val="%1. "/>
      <w:lvlJc w:val="left"/>
      <w:pPr>
        <w:ind w:left="2121" w:hanging="420"/>
      </w:pPr>
      <w:rPr>
        <w:rFonts w:hint="default" w:ascii="宋体" w:hAnsi="宋体" w:eastAsia="宋体"/>
        <w:b/>
        <w:bCs/>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32"/>
  </w:num>
  <w:num w:numId="2">
    <w:abstractNumId w:val="24"/>
  </w:num>
  <w:num w:numId="3">
    <w:abstractNumId w:val="1"/>
  </w:num>
  <w:num w:numId="4">
    <w:abstractNumId w:val="29"/>
  </w:num>
  <w:num w:numId="5">
    <w:abstractNumId w:val="12"/>
  </w:num>
  <w:num w:numId="6">
    <w:abstractNumId w:val="4"/>
  </w:num>
  <w:num w:numId="7">
    <w:abstractNumId w:val="38"/>
  </w:num>
  <w:num w:numId="8">
    <w:abstractNumId w:val="26"/>
  </w:num>
  <w:num w:numId="9">
    <w:abstractNumId w:val="35"/>
  </w:num>
  <w:num w:numId="10">
    <w:abstractNumId w:val="23"/>
  </w:num>
  <w:num w:numId="11">
    <w:abstractNumId w:val="3"/>
  </w:num>
  <w:num w:numId="12">
    <w:abstractNumId w:val="18"/>
  </w:num>
  <w:num w:numId="13">
    <w:abstractNumId w:val="19"/>
  </w:num>
  <w:num w:numId="14">
    <w:abstractNumId w:val="6"/>
  </w:num>
  <w:num w:numId="15">
    <w:abstractNumId w:val="5"/>
  </w:num>
  <w:num w:numId="16">
    <w:abstractNumId w:val="43"/>
  </w:num>
  <w:num w:numId="17">
    <w:abstractNumId w:val="7"/>
  </w:num>
  <w:num w:numId="18">
    <w:abstractNumId w:val="34"/>
  </w:num>
  <w:num w:numId="19">
    <w:abstractNumId w:val="21"/>
  </w:num>
  <w:num w:numId="20">
    <w:abstractNumId w:val="33"/>
  </w:num>
  <w:num w:numId="21">
    <w:abstractNumId w:val="25"/>
  </w:num>
  <w:num w:numId="22">
    <w:abstractNumId w:val="30"/>
  </w:num>
  <w:num w:numId="23">
    <w:abstractNumId w:val="27"/>
  </w:num>
  <w:num w:numId="24">
    <w:abstractNumId w:val="14"/>
  </w:num>
  <w:num w:numId="25">
    <w:abstractNumId w:val="37"/>
  </w:num>
  <w:num w:numId="26">
    <w:abstractNumId w:val="45"/>
  </w:num>
  <w:num w:numId="27">
    <w:abstractNumId w:val="15"/>
  </w:num>
  <w:num w:numId="28">
    <w:abstractNumId w:val="13"/>
  </w:num>
  <w:num w:numId="29">
    <w:abstractNumId w:val="0"/>
  </w:num>
  <w:num w:numId="30">
    <w:abstractNumId w:val="36"/>
    <w:lvlOverride w:ilvl="0">
      <w:startOverride w:val="1"/>
    </w:lvlOverride>
  </w:num>
  <w:num w:numId="31">
    <w:abstractNumId w:val="10"/>
  </w:num>
  <w:num w:numId="32">
    <w:abstractNumId w:val="20"/>
  </w:num>
  <w:num w:numId="33">
    <w:abstractNumId w:val="44"/>
  </w:num>
  <w:num w:numId="34">
    <w:abstractNumId w:val="40"/>
  </w:num>
  <w:num w:numId="35">
    <w:abstractNumId w:val="31"/>
  </w:num>
  <w:num w:numId="36">
    <w:abstractNumId w:val="9"/>
  </w:num>
  <w:num w:numId="37">
    <w:abstractNumId w:val="17"/>
  </w:num>
  <w:num w:numId="38">
    <w:abstractNumId w:val="41"/>
  </w:num>
  <w:num w:numId="39">
    <w:abstractNumId w:val="28"/>
  </w:num>
  <w:num w:numId="40">
    <w:abstractNumId w:val="42"/>
  </w:num>
  <w:num w:numId="41">
    <w:abstractNumId w:val="8"/>
  </w:num>
  <w:num w:numId="42">
    <w:abstractNumId w:val="39"/>
  </w:num>
  <w:num w:numId="43">
    <w:abstractNumId w:val="16"/>
  </w:num>
  <w:num w:numId="44">
    <w:abstractNumId w:val="2"/>
  </w:num>
  <w:num w:numId="45">
    <w:abstractNumId w:val="1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6562"/>
    <w:rsid w:val="00017BE8"/>
    <w:rsid w:val="00020344"/>
    <w:rsid w:val="00030B48"/>
    <w:rsid w:val="00031BBA"/>
    <w:rsid w:val="00040B72"/>
    <w:rsid w:val="00046CAA"/>
    <w:rsid w:val="00050E34"/>
    <w:rsid w:val="00050F36"/>
    <w:rsid w:val="000560BE"/>
    <w:rsid w:val="000658A4"/>
    <w:rsid w:val="00077E85"/>
    <w:rsid w:val="000812D6"/>
    <w:rsid w:val="000855FE"/>
    <w:rsid w:val="00092450"/>
    <w:rsid w:val="00092A32"/>
    <w:rsid w:val="00095415"/>
    <w:rsid w:val="000B1392"/>
    <w:rsid w:val="000B1EA5"/>
    <w:rsid w:val="000B3053"/>
    <w:rsid w:val="000B42CE"/>
    <w:rsid w:val="000C1DBB"/>
    <w:rsid w:val="000C2224"/>
    <w:rsid w:val="000C46E9"/>
    <w:rsid w:val="000D274B"/>
    <w:rsid w:val="000E0271"/>
    <w:rsid w:val="000E0A89"/>
    <w:rsid w:val="000E272C"/>
    <w:rsid w:val="000E4686"/>
    <w:rsid w:val="000F4D1A"/>
    <w:rsid w:val="000F64E0"/>
    <w:rsid w:val="00100585"/>
    <w:rsid w:val="00100ECE"/>
    <w:rsid w:val="00103931"/>
    <w:rsid w:val="00115BA6"/>
    <w:rsid w:val="00122C84"/>
    <w:rsid w:val="00122F58"/>
    <w:rsid w:val="0012317E"/>
    <w:rsid w:val="00133220"/>
    <w:rsid w:val="001338E8"/>
    <w:rsid w:val="001368E0"/>
    <w:rsid w:val="00137A68"/>
    <w:rsid w:val="0014033D"/>
    <w:rsid w:val="00142B13"/>
    <w:rsid w:val="001617BD"/>
    <w:rsid w:val="00162830"/>
    <w:rsid w:val="001641C9"/>
    <w:rsid w:val="00166A2A"/>
    <w:rsid w:val="00172562"/>
    <w:rsid w:val="001727FB"/>
    <w:rsid w:val="00177C62"/>
    <w:rsid w:val="001801C2"/>
    <w:rsid w:val="00181D5F"/>
    <w:rsid w:val="00184130"/>
    <w:rsid w:val="00185E9A"/>
    <w:rsid w:val="00186E7F"/>
    <w:rsid w:val="001932B3"/>
    <w:rsid w:val="001A0614"/>
    <w:rsid w:val="001A0AB1"/>
    <w:rsid w:val="001A1335"/>
    <w:rsid w:val="001A2B2A"/>
    <w:rsid w:val="001A2C56"/>
    <w:rsid w:val="001A54E8"/>
    <w:rsid w:val="001A598B"/>
    <w:rsid w:val="001B03BB"/>
    <w:rsid w:val="001B38CD"/>
    <w:rsid w:val="001B774D"/>
    <w:rsid w:val="001C00AB"/>
    <w:rsid w:val="001C7B23"/>
    <w:rsid w:val="001D2460"/>
    <w:rsid w:val="001D3EE7"/>
    <w:rsid w:val="001E157C"/>
    <w:rsid w:val="001E2998"/>
    <w:rsid w:val="001E5D69"/>
    <w:rsid w:val="001E7CEA"/>
    <w:rsid w:val="001F024D"/>
    <w:rsid w:val="001F0CA9"/>
    <w:rsid w:val="00211E81"/>
    <w:rsid w:val="00220470"/>
    <w:rsid w:val="00222B0D"/>
    <w:rsid w:val="00223408"/>
    <w:rsid w:val="00223FFA"/>
    <w:rsid w:val="002334D5"/>
    <w:rsid w:val="00236772"/>
    <w:rsid w:val="00241460"/>
    <w:rsid w:val="002426EA"/>
    <w:rsid w:val="002446C6"/>
    <w:rsid w:val="002510D6"/>
    <w:rsid w:val="002531CA"/>
    <w:rsid w:val="00262097"/>
    <w:rsid w:val="0026342E"/>
    <w:rsid w:val="00274FFB"/>
    <w:rsid w:val="00275C07"/>
    <w:rsid w:val="00276CFD"/>
    <w:rsid w:val="00277541"/>
    <w:rsid w:val="0028180C"/>
    <w:rsid w:val="002841A7"/>
    <w:rsid w:val="002879B9"/>
    <w:rsid w:val="00292712"/>
    <w:rsid w:val="00293211"/>
    <w:rsid w:val="0029388A"/>
    <w:rsid w:val="00295F64"/>
    <w:rsid w:val="002B700A"/>
    <w:rsid w:val="002B7581"/>
    <w:rsid w:val="002C38E4"/>
    <w:rsid w:val="002C6D89"/>
    <w:rsid w:val="002D07BB"/>
    <w:rsid w:val="002D1925"/>
    <w:rsid w:val="002D412B"/>
    <w:rsid w:val="002E4BE5"/>
    <w:rsid w:val="002F22CF"/>
    <w:rsid w:val="00310B7E"/>
    <w:rsid w:val="00310F98"/>
    <w:rsid w:val="00314B08"/>
    <w:rsid w:val="003153AA"/>
    <w:rsid w:val="00316026"/>
    <w:rsid w:val="00320ACF"/>
    <w:rsid w:val="0032122E"/>
    <w:rsid w:val="00323F1C"/>
    <w:rsid w:val="00333225"/>
    <w:rsid w:val="0033323B"/>
    <w:rsid w:val="003348A8"/>
    <w:rsid w:val="00352AE1"/>
    <w:rsid w:val="00353542"/>
    <w:rsid w:val="003540BC"/>
    <w:rsid w:val="00360712"/>
    <w:rsid w:val="0036309F"/>
    <w:rsid w:val="0036474B"/>
    <w:rsid w:val="0036600F"/>
    <w:rsid w:val="003661C8"/>
    <w:rsid w:val="00366E30"/>
    <w:rsid w:val="00376F4C"/>
    <w:rsid w:val="00377B5F"/>
    <w:rsid w:val="00383221"/>
    <w:rsid w:val="003878E9"/>
    <w:rsid w:val="00393E94"/>
    <w:rsid w:val="003B4F73"/>
    <w:rsid w:val="003B4F8E"/>
    <w:rsid w:val="003B718F"/>
    <w:rsid w:val="003B7A0D"/>
    <w:rsid w:val="003B7A60"/>
    <w:rsid w:val="003C0F3C"/>
    <w:rsid w:val="003C2008"/>
    <w:rsid w:val="003C2241"/>
    <w:rsid w:val="003C6083"/>
    <w:rsid w:val="003C6861"/>
    <w:rsid w:val="003D1759"/>
    <w:rsid w:val="003D5E80"/>
    <w:rsid w:val="003F2B92"/>
    <w:rsid w:val="003F2FCF"/>
    <w:rsid w:val="003F3007"/>
    <w:rsid w:val="003F5AA7"/>
    <w:rsid w:val="003F6968"/>
    <w:rsid w:val="003F6AC8"/>
    <w:rsid w:val="0040329E"/>
    <w:rsid w:val="0040679C"/>
    <w:rsid w:val="0041048B"/>
    <w:rsid w:val="00411077"/>
    <w:rsid w:val="004110F8"/>
    <w:rsid w:val="00414A80"/>
    <w:rsid w:val="004161BA"/>
    <w:rsid w:val="0043117D"/>
    <w:rsid w:val="00434B74"/>
    <w:rsid w:val="00436CC2"/>
    <w:rsid w:val="00443139"/>
    <w:rsid w:val="0044492D"/>
    <w:rsid w:val="004475F1"/>
    <w:rsid w:val="00453849"/>
    <w:rsid w:val="00461899"/>
    <w:rsid w:val="00461DFE"/>
    <w:rsid w:val="00465E31"/>
    <w:rsid w:val="00476E59"/>
    <w:rsid w:val="004871A8"/>
    <w:rsid w:val="00495AA0"/>
    <w:rsid w:val="004A2333"/>
    <w:rsid w:val="004A4F81"/>
    <w:rsid w:val="004A53C8"/>
    <w:rsid w:val="004B0CC2"/>
    <w:rsid w:val="004B118F"/>
    <w:rsid w:val="004B3982"/>
    <w:rsid w:val="004B4BED"/>
    <w:rsid w:val="004B52EB"/>
    <w:rsid w:val="004C1027"/>
    <w:rsid w:val="004C3655"/>
    <w:rsid w:val="004C62F7"/>
    <w:rsid w:val="004C750B"/>
    <w:rsid w:val="004D548F"/>
    <w:rsid w:val="004E00F2"/>
    <w:rsid w:val="004E11D5"/>
    <w:rsid w:val="004E40B4"/>
    <w:rsid w:val="004E48AF"/>
    <w:rsid w:val="004E5888"/>
    <w:rsid w:val="004E5A44"/>
    <w:rsid w:val="004F21F4"/>
    <w:rsid w:val="004F2D81"/>
    <w:rsid w:val="004F43AD"/>
    <w:rsid w:val="005025B6"/>
    <w:rsid w:val="00511E96"/>
    <w:rsid w:val="00522D80"/>
    <w:rsid w:val="00525A93"/>
    <w:rsid w:val="005434B4"/>
    <w:rsid w:val="005437D7"/>
    <w:rsid w:val="005445A9"/>
    <w:rsid w:val="00545B0F"/>
    <w:rsid w:val="00545EDA"/>
    <w:rsid w:val="00552BFE"/>
    <w:rsid w:val="00556850"/>
    <w:rsid w:val="00560FA5"/>
    <w:rsid w:val="00573437"/>
    <w:rsid w:val="0057573F"/>
    <w:rsid w:val="00576C45"/>
    <w:rsid w:val="00580FFF"/>
    <w:rsid w:val="005813AA"/>
    <w:rsid w:val="00585D40"/>
    <w:rsid w:val="00592D11"/>
    <w:rsid w:val="005967BA"/>
    <w:rsid w:val="005975FE"/>
    <w:rsid w:val="005A029E"/>
    <w:rsid w:val="005A360F"/>
    <w:rsid w:val="005A58A0"/>
    <w:rsid w:val="005B12FC"/>
    <w:rsid w:val="005B6D3E"/>
    <w:rsid w:val="005B713A"/>
    <w:rsid w:val="005C31D8"/>
    <w:rsid w:val="005D6632"/>
    <w:rsid w:val="005E3CD4"/>
    <w:rsid w:val="005E49AF"/>
    <w:rsid w:val="005F0F05"/>
    <w:rsid w:val="005F1588"/>
    <w:rsid w:val="005F6811"/>
    <w:rsid w:val="0060036B"/>
    <w:rsid w:val="00601112"/>
    <w:rsid w:val="00601990"/>
    <w:rsid w:val="00605C0D"/>
    <w:rsid w:val="0061508A"/>
    <w:rsid w:val="00623CBB"/>
    <w:rsid w:val="0062474B"/>
    <w:rsid w:val="006302AC"/>
    <w:rsid w:val="00633DCB"/>
    <w:rsid w:val="00636231"/>
    <w:rsid w:val="006440C5"/>
    <w:rsid w:val="006459ED"/>
    <w:rsid w:val="00663B35"/>
    <w:rsid w:val="00666B23"/>
    <w:rsid w:val="0067786F"/>
    <w:rsid w:val="00680A96"/>
    <w:rsid w:val="00690659"/>
    <w:rsid w:val="006A5972"/>
    <w:rsid w:val="006A6C1D"/>
    <w:rsid w:val="006A6C51"/>
    <w:rsid w:val="006A7A3D"/>
    <w:rsid w:val="006B6D5E"/>
    <w:rsid w:val="006C0B5F"/>
    <w:rsid w:val="006C1AF1"/>
    <w:rsid w:val="006C3124"/>
    <w:rsid w:val="006C6FDC"/>
    <w:rsid w:val="006D1D6E"/>
    <w:rsid w:val="006E0B6F"/>
    <w:rsid w:val="006E67CF"/>
    <w:rsid w:val="006E71B5"/>
    <w:rsid w:val="006F0D07"/>
    <w:rsid w:val="006F1D38"/>
    <w:rsid w:val="0070085D"/>
    <w:rsid w:val="00711E03"/>
    <w:rsid w:val="00715E44"/>
    <w:rsid w:val="0072147C"/>
    <w:rsid w:val="00722075"/>
    <w:rsid w:val="00723103"/>
    <w:rsid w:val="00725899"/>
    <w:rsid w:val="00725F67"/>
    <w:rsid w:val="00726190"/>
    <w:rsid w:val="007318D6"/>
    <w:rsid w:val="00732E91"/>
    <w:rsid w:val="00737211"/>
    <w:rsid w:val="00773A2C"/>
    <w:rsid w:val="0077462A"/>
    <w:rsid w:val="00774EB7"/>
    <w:rsid w:val="00775A96"/>
    <w:rsid w:val="00780DBA"/>
    <w:rsid w:val="00784AEB"/>
    <w:rsid w:val="00784ED7"/>
    <w:rsid w:val="0078671E"/>
    <w:rsid w:val="00786E84"/>
    <w:rsid w:val="007921C9"/>
    <w:rsid w:val="00797922"/>
    <w:rsid w:val="007A27DA"/>
    <w:rsid w:val="007A2D91"/>
    <w:rsid w:val="007A427D"/>
    <w:rsid w:val="007A4399"/>
    <w:rsid w:val="007B345F"/>
    <w:rsid w:val="007C0DA7"/>
    <w:rsid w:val="007C132C"/>
    <w:rsid w:val="007C1D03"/>
    <w:rsid w:val="007D156A"/>
    <w:rsid w:val="007D72CF"/>
    <w:rsid w:val="007D7801"/>
    <w:rsid w:val="007E3D3C"/>
    <w:rsid w:val="007E6923"/>
    <w:rsid w:val="007F504A"/>
    <w:rsid w:val="007F6863"/>
    <w:rsid w:val="007F6F97"/>
    <w:rsid w:val="00802536"/>
    <w:rsid w:val="00804419"/>
    <w:rsid w:val="0081114F"/>
    <w:rsid w:val="00816910"/>
    <w:rsid w:val="00820E08"/>
    <w:rsid w:val="0082486D"/>
    <w:rsid w:val="008456E3"/>
    <w:rsid w:val="00851B33"/>
    <w:rsid w:val="00855EE0"/>
    <w:rsid w:val="00860957"/>
    <w:rsid w:val="00863EDD"/>
    <w:rsid w:val="00867242"/>
    <w:rsid w:val="00875D36"/>
    <w:rsid w:val="00876E59"/>
    <w:rsid w:val="00877211"/>
    <w:rsid w:val="0088586B"/>
    <w:rsid w:val="008879F9"/>
    <w:rsid w:val="00893A36"/>
    <w:rsid w:val="008966BE"/>
    <w:rsid w:val="008A2B6A"/>
    <w:rsid w:val="008A30BA"/>
    <w:rsid w:val="008A42BA"/>
    <w:rsid w:val="008A4861"/>
    <w:rsid w:val="008B4407"/>
    <w:rsid w:val="008B4835"/>
    <w:rsid w:val="008B5601"/>
    <w:rsid w:val="008B6529"/>
    <w:rsid w:val="008D35F1"/>
    <w:rsid w:val="008D3612"/>
    <w:rsid w:val="008D5777"/>
    <w:rsid w:val="008D7D59"/>
    <w:rsid w:val="008E2203"/>
    <w:rsid w:val="008F1B81"/>
    <w:rsid w:val="008F2802"/>
    <w:rsid w:val="008F3383"/>
    <w:rsid w:val="008F763A"/>
    <w:rsid w:val="009020C7"/>
    <w:rsid w:val="0090240A"/>
    <w:rsid w:val="00903A2D"/>
    <w:rsid w:val="009057F3"/>
    <w:rsid w:val="00907388"/>
    <w:rsid w:val="00914F14"/>
    <w:rsid w:val="00922447"/>
    <w:rsid w:val="009258AF"/>
    <w:rsid w:val="0093723A"/>
    <w:rsid w:val="009402E6"/>
    <w:rsid w:val="00943EED"/>
    <w:rsid w:val="00943F98"/>
    <w:rsid w:val="00947542"/>
    <w:rsid w:val="0095353B"/>
    <w:rsid w:val="00954A2F"/>
    <w:rsid w:val="00956AAC"/>
    <w:rsid w:val="00957D8B"/>
    <w:rsid w:val="00967D22"/>
    <w:rsid w:val="0097080D"/>
    <w:rsid w:val="009714FE"/>
    <w:rsid w:val="00973398"/>
    <w:rsid w:val="00982AD3"/>
    <w:rsid w:val="009849C0"/>
    <w:rsid w:val="00986B3E"/>
    <w:rsid w:val="009875C9"/>
    <w:rsid w:val="0098774A"/>
    <w:rsid w:val="009944A9"/>
    <w:rsid w:val="00996DEE"/>
    <w:rsid w:val="009B11C0"/>
    <w:rsid w:val="009B3048"/>
    <w:rsid w:val="009B3424"/>
    <w:rsid w:val="009B76B1"/>
    <w:rsid w:val="009D36C0"/>
    <w:rsid w:val="009E04AF"/>
    <w:rsid w:val="009E4A82"/>
    <w:rsid w:val="009F0C88"/>
    <w:rsid w:val="009F113E"/>
    <w:rsid w:val="00A028E7"/>
    <w:rsid w:val="00A05AF5"/>
    <w:rsid w:val="00A0777C"/>
    <w:rsid w:val="00A111A8"/>
    <w:rsid w:val="00A30AE5"/>
    <w:rsid w:val="00A30DFD"/>
    <w:rsid w:val="00A33A80"/>
    <w:rsid w:val="00A36FFA"/>
    <w:rsid w:val="00A40BC9"/>
    <w:rsid w:val="00A42C9A"/>
    <w:rsid w:val="00A46DEF"/>
    <w:rsid w:val="00A51D8F"/>
    <w:rsid w:val="00A52A2B"/>
    <w:rsid w:val="00A565B5"/>
    <w:rsid w:val="00A62860"/>
    <w:rsid w:val="00A813D2"/>
    <w:rsid w:val="00A8296F"/>
    <w:rsid w:val="00A879DB"/>
    <w:rsid w:val="00AA46A5"/>
    <w:rsid w:val="00AB2B17"/>
    <w:rsid w:val="00AB3343"/>
    <w:rsid w:val="00AC399F"/>
    <w:rsid w:val="00AC486A"/>
    <w:rsid w:val="00AC584B"/>
    <w:rsid w:val="00AD18FC"/>
    <w:rsid w:val="00AD3803"/>
    <w:rsid w:val="00AD4E5F"/>
    <w:rsid w:val="00AD52A3"/>
    <w:rsid w:val="00AD634F"/>
    <w:rsid w:val="00AE02A5"/>
    <w:rsid w:val="00AF18BF"/>
    <w:rsid w:val="00B002B6"/>
    <w:rsid w:val="00B0070A"/>
    <w:rsid w:val="00B15AD7"/>
    <w:rsid w:val="00B161F2"/>
    <w:rsid w:val="00B20940"/>
    <w:rsid w:val="00B2602C"/>
    <w:rsid w:val="00B307B2"/>
    <w:rsid w:val="00B34B20"/>
    <w:rsid w:val="00B36D9B"/>
    <w:rsid w:val="00B52520"/>
    <w:rsid w:val="00B67CCB"/>
    <w:rsid w:val="00B84A3B"/>
    <w:rsid w:val="00B86D94"/>
    <w:rsid w:val="00B956F2"/>
    <w:rsid w:val="00BA4407"/>
    <w:rsid w:val="00BA4681"/>
    <w:rsid w:val="00BB78CC"/>
    <w:rsid w:val="00BC386C"/>
    <w:rsid w:val="00BC3AA1"/>
    <w:rsid w:val="00BD0C54"/>
    <w:rsid w:val="00BD2144"/>
    <w:rsid w:val="00BD62C1"/>
    <w:rsid w:val="00BD681B"/>
    <w:rsid w:val="00BE0C0D"/>
    <w:rsid w:val="00BE3563"/>
    <w:rsid w:val="00BE3745"/>
    <w:rsid w:val="00BF473B"/>
    <w:rsid w:val="00BF5311"/>
    <w:rsid w:val="00BF5732"/>
    <w:rsid w:val="00C0257A"/>
    <w:rsid w:val="00C040D1"/>
    <w:rsid w:val="00C139A6"/>
    <w:rsid w:val="00C1592E"/>
    <w:rsid w:val="00C22BFE"/>
    <w:rsid w:val="00C23307"/>
    <w:rsid w:val="00C233F7"/>
    <w:rsid w:val="00C37FEA"/>
    <w:rsid w:val="00C40014"/>
    <w:rsid w:val="00C52140"/>
    <w:rsid w:val="00C6433F"/>
    <w:rsid w:val="00C64D3E"/>
    <w:rsid w:val="00C6680F"/>
    <w:rsid w:val="00C66ACC"/>
    <w:rsid w:val="00C72415"/>
    <w:rsid w:val="00C77E82"/>
    <w:rsid w:val="00C8468C"/>
    <w:rsid w:val="00C85A0F"/>
    <w:rsid w:val="00C9289E"/>
    <w:rsid w:val="00C92F51"/>
    <w:rsid w:val="00C94A51"/>
    <w:rsid w:val="00CA0F95"/>
    <w:rsid w:val="00CA1306"/>
    <w:rsid w:val="00CA4EAF"/>
    <w:rsid w:val="00CB10F9"/>
    <w:rsid w:val="00CB3DF8"/>
    <w:rsid w:val="00CB413B"/>
    <w:rsid w:val="00CC09D9"/>
    <w:rsid w:val="00CC77F9"/>
    <w:rsid w:val="00CD3AE0"/>
    <w:rsid w:val="00CF76A5"/>
    <w:rsid w:val="00D04284"/>
    <w:rsid w:val="00D14E3A"/>
    <w:rsid w:val="00D150E5"/>
    <w:rsid w:val="00D178CE"/>
    <w:rsid w:val="00D204F5"/>
    <w:rsid w:val="00D21826"/>
    <w:rsid w:val="00D3486D"/>
    <w:rsid w:val="00D5042D"/>
    <w:rsid w:val="00D6288C"/>
    <w:rsid w:val="00D64AB9"/>
    <w:rsid w:val="00D7118E"/>
    <w:rsid w:val="00D7177A"/>
    <w:rsid w:val="00D75A8E"/>
    <w:rsid w:val="00D90694"/>
    <w:rsid w:val="00D918B0"/>
    <w:rsid w:val="00D91A4C"/>
    <w:rsid w:val="00D94CD4"/>
    <w:rsid w:val="00DA4143"/>
    <w:rsid w:val="00DB00B6"/>
    <w:rsid w:val="00DB3C8A"/>
    <w:rsid w:val="00DB6E8E"/>
    <w:rsid w:val="00DC35B0"/>
    <w:rsid w:val="00DC4938"/>
    <w:rsid w:val="00DD6657"/>
    <w:rsid w:val="00DE11EE"/>
    <w:rsid w:val="00DE2AC1"/>
    <w:rsid w:val="00DE4A9E"/>
    <w:rsid w:val="00E00C32"/>
    <w:rsid w:val="00E02B75"/>
    <w:rsid w:val="00E05B42"/>
    <w:rsid w:val="00E14D3C"/>
    <w:rsid w:val="00E15A50"/>
    <w:rsid w:val="00E22388"/>
    <w:rsid w:val="00E2369D"/>
    <w:rsid w:val="00E32C21"/>
    <w:rsid w:val="00E34D2C"/>
    <w:rsid w:val="00E35702"/>
    <w:rsid w:val="00E374FC"/>
    <w:rsid w:val="00E3763E"/>
    <w:rsid w:val="00E37EE3"/>
    <w:rsid w:val="00E41743"/>
    <w:rsid w:val="00E50173"/>
    <w:rsid w:val="00E507CA"/>
    <w:rsid w:val="00E54453"/>
    <w:rsid w:val="00E55A14"/>
    <w:rsid w:val="00E6638C"/>
    <w:rsid w:val="00E971BC"/>
    <w:rsid w:val="00EA0C6D"/>
    <w:rsid w:val="00EA6B48"/>
    <w:rsid w:val="00EA7CAB"/>
    <w:rsid w:val="00EB1E3A"/>
    <w:rsid w:val="00EB4033"/>
    <w:rsid w:val="00ED0545"/>
    <w:rsid w:val="00EE3C83"/>
    <w:rsid w:val="00EE715C"/>
    <w:rsid w:val="00F04B4C"/>
    <w:rsid w:val="00F05FC4"/>
    <w:rsid w:val="00F152FA"/>
    <w:rsid w:val="00F17360"/>
    <w:rsid w:val="00F242DA"/>
    <w:rsid w:val="00F24BF3"/>
    <w:rsid w:val="00F25F4D"/>
    <w:rsid w:val="00F42684"/>
    <w:rsid w:val="00F47226"/>
    <w:rsid w:val="00F5567D"/>
    <w:rsid w:val="00F63420"/>
    <w:rsid w:val="00F660E5"/>
    <w:rsid w:val="00F71D83"/>
    <w:rsid w:val="00F826F5"/>
    <w:rsid w:val="00F97549"/>
    <w:rsid w:val="00FA45AC"/>
    <w:rsid w:val="00FB2B31"/>
    <w:rsid w:val="00FC2E73"/>
    <w:rsid w:val="00FD44A8"/>
    <w:rsid w:val="00FE2024"/>
    <w:rsid w:val="00FE51C1"/>
    <w:rsid w:val="00FF4FBA"/>
    <w:rsid w:val="00FF6E00"/>
    <w:rsid w:val="029118D3"/>
    <w:rsid w:val="03D31D10"/>
    <w:rsid w:val="03D85014"/>
    <w:rsid w:val="03E005A8"/>
    <w:rsid w:val="045465D2"/>
    <w:rsid w:val="078A12CB"/>
    <w:rsid w:val="086D02BA"/>
    <w:rsid w:val="087A65E0"/>
    <w:rsid w:val="0A75427A"/>
    <w:rsid w:val="0ABE0472"/>
    <w:rsid w:val="0B264415"/>
    <w:rsid w:val="0B357D18"/>
    <w:rsid w:val="0B811B57"/>
    <w:rsid w:val="0C3C0EB4"/>
    <w:rsid w:val="0D757A4A"/>
    <w:rsid w:val="10237347"/>
    <w:rsid w:val="12403A26"/>
    <w:rsid w:val="12747E52"/>
    <w:rsid w:val="12EB61C6"/>
    <w:rsid w:val="13A66B37"/>
    <w:rsid w:val="13E73593"/>
    <w:rsid w:val="14212C78"/>
    <w:rsid w:val="14661569"/>
    <w:rsid w:val="159A33B0"/>
    <w:rsid w:val="15F34311"/>
    <w:rsid w:val="18EF5CE4"/>
    <w:rsid w:val="196D396B"/>
    <w:rsid w:val="1B0323BF"/>
    <w:rsid w:val="1B163854"/>
    <w:rsid w:val="1BF136CD"/>
    <w:rsid w:val="1C9A2845"/>
    <w:rsid w:val="1CA90FC1"/>
    <w:rsid w:val="1E6E2D9C"/>
    <w:rsid w:val="1F6E4611"/>
    <w:rsid w:val="220674EE"/>
    <w:rsid w:val="22C9286B"/>
    <w:rsid w:val="25C03758"/>
    <w:rsid w:val="269614EF"/>
    <w:rsid w:val="26F855C1"/>
    <w:rsid w:val="27A15E2B"/>
    <w:rsid w:val="2B0C1F59"/>
    <w:rsid w:val="2BBE7F33"/>
    <w:rsid w:val="2C7F12BD"/>
    <w:rsid w:val="2D7961A9"/>
    <w:rsid w:val="301E426B"/>
    <w:rsid w:val="31614F93"/>
    <w:rsid w:val="32E26176"/>
    <w:rsid w:val="35527CC7"/>
    <w:rsid w:val="367A5104"/>
    <w:rsid w:val="36C66818"/>
    <w:rsid w:val="37536A63"/>
    <w:rsid w:val="383A0245"/>
    <w:rsid w:val="392F77C2"/>
    <w:rsid w:val="3977087F"/>
    <w:rsid w:val="3B5474A7"/>
    <w:rsid w:val="3BC1182F"/>
    <w:rsid w:val="3D5700D4"/>
    <w:rsid w:val="3D6043E8"/>
    <w:rsid w:val="3D7748E8"/>
    <w:rsid w:val="3DF261AB"/>
    <w:rsid w:val="3E4F3269"/>
    <w:rsid w:val="3EB54E90"/>
    <w:rsid w:val="40683641"/>
    <w:rsid w:val="41B612AD"/>
    <w:rsid w:val="41F22AF5"/>
    <w:rsid w:val="43A031B7"/>
    <w:rsid w:val="43B501B8"/>
    <w:rsid w:val="45163AD0"/>
    <w:rsid w:val="4605049C"/>
    <w:rsid w:val="46706AF6"/>
    <w:rsid w:val="46745DD3"/>
    <w:rsid w:val="469B087E"/>
    <w:rsid w:val="494E5F5E"/>
    <w:rsid w:val="4AA92743"/>
    <w:rsid w:val="4CDD45A6"/>
    <w:rsid w:val="4E086759"/>
    <w:rsid w:val="4E95259B"/>
    <w:rsid w:val="4EC55886"/>
    <w:rsid w:val="5002647D"/>
    <w:rsid w:val="501A5346"/>
    <w:rsid w:val="503721F9"/>
    <w:rsid w:val="50B966A4"/>
    <w:rsid w:val="516C66B2"/>
    <w:rsid w:val="52275C24"/>
    <w:rsid w:val="55B96A6F"/>
    <w:rsid w:val="563B0C84"/>
    <w:rsid w:val="56A576C5"/>
    <w:rsid w:val="57AE2062"/>
    <w:rsid w:val="5839543B"/>
    <w:rsid w:val="585D45EB"/>
    <w:rsid w:val="5956422D"/>
    <w:rsid w:val="5A2B109C"/>
    <w:rsid w:val="5CB81A13"/>
    <w:rsid w:val="5F01496B"/>
    <w:rsid w:val="5FB223A6"/>
    <w:rsid w:val="60CB07E7"/>
    <w:rsid w:val="618D1595"/>
    <w:rsid w:val="6809567D"/>
    <w:rsid w:val="68491BAA"/>
    <w:rsid w:val="68B31472"/>
    <w:rsid w:val="692A0100"/>
    <w:rsid w:val="6A0F00A1"/>
    <w:rsid w:val="6C117E56"/>
    <w:rsid w:val="6CEC7923"/>
    <w:rsid w:val="6D1E19C3"/>
    <w:rsid w:val="702F7C8B"/>
    <w:rsid w:val="71331DD7"/>
    <w:rsid w:val="71CD23FF"/>
    <w:rsid w:val="7200570A"/>
    <w:rsid w:val="730D7DE1"/>
    <w:rsid w:val="75734E12"/>
    <w:rsid w:val="75E61A4F"/>
    <w:rsid w:val="77D207E1"/>
    <w:rsid w:val="7D883202"/>
    <w:rsid w:val="7E163B33"/>
    <w:rsid w:val="7EC7462F"/>
    <w:rsid w:val="7F9163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1"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ocked="1"/>
    <w:lsdException w:qFormat="1"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30"/>
    <w:qFormat/>
    <w:locked/>
    <w:uiPriority w:val="1"/>
    <w:pPr>
      <w:ind w:left="1116" w:hanging="721"/>
      <w:outlineLvl w:val="2"/>
    </w:pPr>
    <w:rPr>
      <w:rFonts w:ascii="Microsoft JhengHei" w:hAnsi="Microsoft JhengHei" w:eastAsia="Microsoft JhengHei" w:cs="Microsoft JhengHei"/>
      <w:b/>
      <w:bCs/>
      <w:sz w:val="24"/>
      <w:szCs w:val="24"/>
      <w:lang w:val="zh-CN" w:bidi="zh-CN"/>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Calibri" w:eastAsia="宋体" w:cs="宋体"/>
      <w:sz w:val="21"/>
      <w:szCs w:val="21"/>
      <w:lang w:val="en-US" w:eastAsia="zh-CN" w:bidi="ar-SA"/>
    </w:rPr>
  </w:style>
  <w:style w:type="paragraph" w:styleId="6">
    <w:name w:val="Normal Indent"/>
    <w:basedOn w:val="1"/>
    <w:link w:val="31"/>
    <w:qFormat/>
    <w:uiPriority w:val="0"/>
    <w:pPr>
      <w:ind w:firstLine="420"/>
    </w:pPr>
  </w:style>
  <w:style w:type="paragraph" w:styleId="7">
    <w:name w:val="Document Map"/>
    <w:basedOn w:val="1"/>
    <w:link w:val="52"/>
    <w:semiHidden/>
    <w:unhideWhenUsed/>
    <w:qFormat/>
    <w:locked/>
    <w:uiPriority w:val="99"/>
    <w:rPr>
      <w:rFonts w:ascii="宋体" w:cs="Times New Roman"/>
      <w:sz w:val="18"/>
      <w:szCs w:val="18"/>
    </w:rPr>
  </w:style>
  <w:style w:type="paragraph" w:styleId="8">
    <w:name w:val="annotation text"/>
    <w:basedOn w:val="1"/>
    <w:link w:val="32"/>
    <w:qFormat/>
    <w:uiPriority w:val="99"/>
    <w:pPr>
      <w:jc w:val="left"/>
    </w:pPr>
  </w:style>
  <w:style w:type="paragraph" w:styleId="9">
    <w:name w:val="Body Text"/>
    <w:basedOn w:val="1"/>
    <w:link w:val="48"/>
    <w:qFormat/>
    <w:locked/>
    <w:uiPriority w:val="1"/>
    <w:pPr>
      <w:autoSpaceDE w:val="0"/>
      <w:autoSpaceDN w:val="0"/>
    </w:pPr>
    <w:rPr>
      <w:rFonts w:ascii="宋体" w:hAnsi="宋体" w:cs="宋体"/>
      <w:color w:val="000000"/>
      <w:sz w:val="28"/>
      <w:szCs w:val="28"/>
      <w:lang w:val="zh-CN" w:bidi="zh-CN"/>
    </w:rPr>
  </w:style>
  <w:style w:type="paragraph" w:styleId="10">
    <w:name w:val="toc 3"/>
    <w:basedOn w:val="1"/>
    <w:next w:val="1"/>
    <w:qFormat/>
    <w:uiPriority w:val="39"/>
    <w:pPr>
      <w:widowControl/>
      <w:spacing w:after="100" w:line="276" w:lineRule="auto"/>
      <w:ind w:left="440"/>
      <w:jc w:val="left"/>
    </w:pPr>
    <w:rPr>
      <w:kern w:val="0"/>
      <w:sz w:val="22"/>
      <w:szCs w:val="22"/>
    </w:rPr>
  </w:style>
  <w:style w:type="paragraph" w:styleId="11">
    <w:name w:val="Plain Text"/>
    <w:basedOn w:val="1"/>
    <w:link w:val="33"/>
    <w:qFormat/>
    <w:uiPriority w:val="0"/>
    <w:rPr>
      <w:rFonts w:ascii="宋体" w:hAnsi="Courier New" w:cs="宋体"/>
      <w:kern w:val="0"/>
      <w:sz w:val="20"/>
      <w:szCs w:val="20"/>
    </w:rPr>
  </w:style>
  <w:style w:type="paragraph" w:styleId="12">
    <w:name w:val="endnote text"/>
    <w:basedOn w:val="1"/>
    <w:link w:val="34"/>
    <w:qFormat/>
    <w:uiPriority w:val="99"/>
    <w:pPr>
      <w:snapToGrid w:val="0"/>
      <w:jc w:val="left"/>
    </w:pPr>
  </w:style>
  <w:style w:type="paragraph" w:styleId="13">
    <w:name w:val="Balloon Text"/>
    <w:basedOn w:val="1"/>
    <w:link w:val="35"/>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7"/>
    <w:next w:val="3"/>
    <w:qFormat/>
    <w:uiPriority w:val="39"/>
    <w:pPr>
      <w:widowControl/>
      <w:spacing w:line="440" w:lineRule="exact"/>
      <w:jc w:val="left"/>
    </w:pPr>
    <w:rPr>
      <w:rFonts w:eastAsia="黑体"/>
      <w:b/>
      <w:bCs/>
      <w:i w:val="0"/>
      <w:iCs w:val="0"/>
      <w:kern w:val="0"/>
      <w:sz w:val="28"/>
      <w:szCs w:val="28"/>
    </w:rPr>
  </w:style>
  <w:style w:type="paragraph" w:customStyle="1" w:styleId="17">
    <w:name w:val="引用1"/>
    <w:basedOn w:val="1"/>
    <w:next w:val="1"/>
    <w:link w:val="38"/>
    <w:qFormat/>
    <w:uiPriority w:val="29"/>
    <w:rPr>
      <w:i/>
      <w:iCs/>
      <w:color w:val="000000"/>
    </w:rPr>
  </w:style>
  <w:style w:type="paragraph" w:styleId="18">
    <w:name w:val="toc 2"/>
    <w:basedOn w:val="17"/>
    <w:next w:val="4"/>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cs="宋体"/>
      <w:i w:val="0"/>
      <w:iCs w:val="0"/>
      <w:kern w:val="0"/>
      <w:sz w:val="24"/>
      <w:szCs w:val="24"/>
    </w:rPr>
  </w:style>
  <w:style w:type="paragraph" w:styleId="19">
    <w:name w:val="Normal (Web)"/>
    <w:basedOn w:val="1"/>
    <w:qFormat/>
    <w:uiPriority w:val="0"/>
    <w:pPr>
      <w:widowControl/>
      <w:spacing w:before="150" w:after="150" w:line="360" w:lineRule="atLeast"/>
      <w:ind w:left="150"/>
      <w:jc w:val="left"/>
    </w:pPr>
    <w:rPr>
      <w:rFonts w:ascii="宋体" w:hAnsi="宋体" w:cs="宋体"/>
      <w:kern w:val="0"/>
      <w:sz w:val="24"/>
      <w:szCs w:val="24"/>
    </w:rPr>
  </w:style>
  <w:style w:type="paragraph" w:styleId="20">
    <w:name w:val="annotation subject"/>
    <w:basedOn w:val="8"/>
    <w:next w:val="8"/>
    <w:link w:val="39"/>
    <w:qFormat/>
    <w:uiPriority w:val="99"/>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endnote reference"/>
    <w:basedOn w:val="23"/>
    <w:qFormat/>
    <w:uiPriority w:val="99"/>
    <w:rPr>
      <w:vertAlign w:val="superscript"/>
    </w:rPr>
  </w:style>
  <w:style w:type="character" w:styleId="26">
    <w:name w:val="Hyperlink"/>
    <w:basedOn w:val="23"/>
    <w:qFormat/>
    <w:uiPriority w:val="99"/>
    <w:rPr>
      <w:color w:val="0000FF"/>
      <w:u w:val="single"/>
    </w:rPr>
  </w:style>
  <w:style w:type="character" w:styleId="27">
    <w:name w:val="annotation reference"/>
    <w:basedOn w:val="23"/>
    <w:qFormat/>
    <w:uiPriority w:val="99"/>
    <w:rPr>
      <w:sz w:val="21"/>
      <w:szCs w:val="21"/>
    </w:rPr>
  </w:style>
  <w:style w:type="character" w:customStyle="1" w:styleId="28">
    <w:name w:val="标题 1 Char"/>
    <w:basedOn w:val="23"/>
    <w:link w:val="3"/>
    <w:qFormat/>
    <w:locked/>
    <w:uiPriority w:val="9"/>
    <w:rPr>
      <w:b/>
      <w:bCs/>
      <w:kern w:val="44"/>
      <w:sz w:val="44"/>
      <w:szCs w:val="44"/>
    </w:rPr>
  </w:style>
  <w:style w:type="character" w:customStyle="1" w:styleId="29">
    <w:name w:val="标题 2 Char"/>
    <w:basedOn w:val="23"/>
    <w:link w:val="4"/>
    <w:qFormat/>
    <w:locked/>
    <w:uiPriority w:val="9"/>
    <w:rPr>
      <w:rFonts w:ascii="Cambria" w:hAnsi="Cambria" w:eastAsia="宋体" w:cs="Cambria"/>
      <w:b/>
      <w:bCs/>
      <w:sz w:val="32"/>
      <w:szCs w:val="32"/>
    </w:rPr>
  </w:style>
  <w:style w:type="character" w:customStyle="1" w:styleId="30">
    <w:name w:val="标题 3 Char"/>
    <w:basedOn w:val="23"/>
    <w:link w:val="5"/>
    <w:qFormat/>
    <w:uiPriority w:val="1"/>
    <w:rPr>
      <w:rFonts w:ascii="Microsoft JhengHei" w:hAnsi="Microsoft JhengHei" w:eastAsia="Microsoft JhengHei" w:cs="Microsoft JhengHei"/>
      <w:b/>
      <w:bCs/>
      <w:kern w:val="2"/>
      <w:sz w:val="24"/>
      <w:szCs w:val="24"/>
      <w:lang w:val="zh-CN" w:bidi="zh-CN"/>
    </w:rPr>
  </w:style>
  <w:style w:type="character" w:customStyle="1" w:styleId="31">
    <w:name w:val="正文缩进 Char"/>
    <w:link w:val="6"/>
    <w:qFormat/>
    <w:locked/>
    <w:uiPriority w:val="0"/>
  </w:style>
  <w:style w:type="character" w:customStyle="1" w:styleId="32">
    <w:name w:val="批注文字 Char"/>
    <w:basedOn w:val="23"/>
    <w:link w:val="8"/>
    <w:qFormat/>
    <w:locked/>
    <w:uiPriority w:val="99"/>
  </w:style>
  <w:style w:type="character" w:customStyle="1" w:styleId="33">
    <w:name w:val="纯文本 Char"/>
    <w:basedOn w:val="23"/>
    <w:link w:val="11"/>
    <w:qFormat/>
    <w:locked/>
    <w:uiPriority w:val="0"/>
    <w:rPr>
      <w:rFonts w:ascii="宋体" w:hAnsi="Courier New" w:cs="宋体"/>
      <w:sz w:val="21"/>
      <w:szCs w:val="21"/>
    </w:rPr>
  </w:style>
  <w:style w:type="character" w:customStyle="1" w:styleId="34">
    <w:name w:val="尾注文本 Char"/>
    <w:basedOn w:val="23"/>
    <w:link w:val="12"/>
    <w:qFormat/>
    <w:locked/>
    <w:uiPriority w:val="99"/>
  </w:style>
  <w:style w:type="character" w:customStyle="1" w:styleId="35">
    <w:name w:val="批注框文本 Char"/>
    <w:basedOn w:val="23"/>
    <w:link w:val="13"/>
    <w:qFormat/>
    <w:locked/>
    <w:uiPriority w:val="99"/>
    <w:rPr>
      <w:sz w:val="18"/>
      <w:szCs w:val="18"/>
    </w:rPr>
  </w:style>
  <w:style w:type="character" w:customStyle="1" w:styleId="36">
    <w:name w:val="页脚 Char"/>
    <w:basedOn w:val="23"/>
    <w:link w:val="14"/>
    <w:qFormat/>
    <w:locked/>
    <w:uiPriority w:val="99"/>
    <w:rPr>
      <w:sz w:val="18"/>
      <w:szCs w:val="18"/>
    </w:rPr>
  </w:style>
  <w:style w:type="character" w:customStyle="1" w:styleId="37">
    <w:name w:val="页眉 Char"/>
    <w:basedOn w:val="23"/>
    <w:link w:val="15"/>
    <w:qFormat/>
    <w:locked/>
    <w:uiPriority w:val="99"/>
    <w:rPr>
      <w:sz w:val="18"/>
      <w:szCs w:val="18"/>
    </w:rPr>
  </w:style>
  <w:style w:type="character" w:customStyle="1" w:styleId="38">
    <w:name w:val="引用 Char"/>
    <w:basedOn w:val="23"/>
    <w:link w:val="17"/>
    <w:qFormat/>
    <w:locked/>
    <w:uiPriority w:val="29"/>
    <w:rPr>
      <w:i/>
      <w:iCs/>
      <w:color w:val="000000"/>
    </w:rPr>
  </w:style>
  <w:style w:type="character" w:customStyle="1" w:styleId="39">
    <w:name w:val="批注主题 Char"/>
    <w:basedOn w:val="32"/>
    <w:link w:val="20"/>
    <w:qFormat/>
    <w:locked/>
    <w:uiPriority w:val="99"/>
    <w:rPr>
      <w:b/>
      <w:bCs/>
    </w:rPr>
  </w:style>
  <w:style w:type="paragraph" w:customStyle="1" w:styleId="40">
    <w:name w:val="列出段落1"/>
    <w:basedOn w:val="1"/>
    <w:qFormat/>
    <w:uiPriority w:val="99"/>
    <w:pPr>
      <w:ind w:firstLine="420" w:firstLineChars="200"/>
    </w:pPr>
  </w:style>
  <w:style w:type="paragraph" w:customStyle="1" w:styleId="41">
    <w:name w:val="TOC 标题1"/>
    <w:basedOn w:val="3"/>
    <w:next w:val="1"/>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42">
    <w:name w:val="纯文本 Char1"/>
    <w:basedOn w:val="23"/>
    <w:semiHidden/>
    <w:qFormat/>
    <w:uiPriority w:val="99"/>
    <w:rPr>
      <w:rFonts w:ascii="宋体" w:hAnsi="Courier New" w:eastAsia="宋体" w:cs="宋体"/>
      <w:sz w:val="21"/>
      <w:szCs w:val="21"/>
    </w:rPr>
  </w:style>
  <w:style w:type="paragraph" w:styleId="43">
    <w:name w:val="List Paragraph"/>
    <w:basedOn w:val="1"/>
    <w:qFormat/>
    <w:uiPriority w:val="99"/>
    <w:pPr>
      <w:ind w:firstLine="420" w:firstLineChars="200"/>
    </w:pPr>
  </w:style>
  <w:style w:type="paragraph" w:customStyle="1" w:styleId="44">
    <w:name w:val="TOC 标题2"/>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45">
    <w:name w:val="TOC 标题3"/>
    <w:basedOn w:val="3"/>
    <w:next w:val="1"/>
    <w:semiHidden/>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46">
    <w:name w:val="font01"/>
    <w:basedOn w:val="23"/>
    <w:qFormat/>
    <w:uiPriority w:val="99"/>
    <w:rPr>
      <w:rFonts w:ascii="宋体" w:hAnsi="宋体" w:eastAsia="宋体" w:cs="宋体"/>
      <w:b/>
      <w:bCs/>
      <w:color w:val="000000"/>
      <w:sz w:val="20"/>
      <w:szCs w:val="20"/>
      <w:u w:val="none"/>
    </w:rPr>
  </w:style>
  <w:style w:type="paragraph" w:customStyle="1" w:styleId="47">
    <w:name w:val="纯文本1"/>
    <w:basedOn w:val="1"/>
    <w:qFormat/>
    <w:uiPriority w:val="0"/>
    <w:rPr>
      <w:rFonts w:ascii="宋体" w:hAnsi="Courier New" w:cs="Times New Roman"/>
      <w:kern w:val="28"/>
      <w:sz w:val="28"/>
      <w:szCs w:val="20"/>
    </w:rPr>
  </w:style>
  <w:style w:type="character" w:customStyle="1" w:styleId="48">
    <w:name w:val="正文文本 Char"/>
    <w:basedOn w:val="23"/>
    <w:link w:val="9"/>
    <w:uiPriority w:val="1"/>
    <w:rPr>
      <w:rFonts w:ascii="宋体" w:hAnsi="宋体" w:cs="宋体"/>
      <w:color w:val="000000"/>
      <w:kern w:val="2"/>
      <w:sz w:val="28"/>
      <w:szCs w:val="28"/>
      <w:lang w:val="zh-CN" w:bidi="zh-CN"/>
    </w:rPr>
  </w:style>
  <w:style w:type="paragraph" w:customStyle="1" w:styleId="49">
    <w:name w:val="列出段落3"/>
    <w:basedOn w:val="1"/>
    <w:qFormat/>
    <w:uiPriority w:val="0"/>
    <w:pPr>
      <w:ind w:firstLine="420" w:firstLineChars="200"/>
    </w:pPr>
    <w:rPr>
      <w:rFonts w:cs="Times New Roman"/>
      <w:szCs w:val="22"/>
    </w:rPr>
  </w:style>
  <w:style w:type="paragraph" w:customStyle="1" w:styleId="50">
    <w:name w:val="Table Paragraph"/>
    <w:basedOn w:val="1"/>
    <w:qFormat/>
    <w:uiPriority w:val="1"/>
    <w:rPr>
      <w:rFonts w:ascii="宋体" w:hAnsi="宋体" w:cs="宋体"/>
      <w:szCs w:val="22"/>
      <w:lang w:val="zh-CN" w:bidi="zh-CN"/>
    </w:rPr>
  </w:style>
  <w:style w:type="paragraph" w:customStyle="1" w:styleId="51">
    <w:name w:val="正文_1"/>
    <w:qFormat/>
    <w:uiPriority w:val="0"/>
    <w:pPr>
      <w:widowControl w:val="0"/>
      <w:ind w:firstLine="560" w:firstLineChars="200"/>
      <w:jc w:val="both"/>
    </w:pPr>
    <w:rPr>
      <w:rFonts w:ascii="Times New Roman" w:hAnsi="Times New Roman" w:eastAsia="宋体" w:cs="Times New Roman"/>
      <w:kern w:val="2"/>
      <w:sz w:val="28"/>
      <w:szCs w:val="28"/>
      <w:lang w:val="en-US" w:eastAsia="zh-CN" w:bidi="ar-SA"/>
    </w:rPr>
  </w:style>
  <w:style w:type="character" w:customStyle="1" w:styleId="52">
    <w:name w:val="文档结构图 Char"/>
    <w:basedOn w:val="23"/>
    <w:link w:val="7"/>
    <w:semiHidden/>
    <w:qFormat/>
    <w:uiPriority w:val="99"/>
    <w:rPr>
      <w:rFonts w:ascii="宋体"/>
      <w:kern w:val="2"/>
      <w:sz w:val="18"/>
      <w:szCs w:val="18"/>
    </w:rPr>
  </w:style>
  <w:style w:type="paragraph" w:customStyle="1" w:styleId="53">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character" w:customStyle="1" w:styleId="54">
    <w:name w:val="_正文 Char"/>
    <w:link w:val="55"/>
    <w:uiPriority w:val="0"/>
    <w:rPr>
      <w:kern w:val="2"/>
      <w:sz w:val="24"/>
      <w:szCs w:val="24"/>
    </w:rPr>
  </w:style>
  <w:style w:type="paragraph" w:customStyle="1" w:styleId="55">
    <w:name w:val="_正文"/>
    <w:basedOn w:val="1"/>
    <w:link w:val="54"/>
    <w:qFormat/>
    <w:uiPriority w:val="0"/>
    <w:pPr>
      <w:spacing w:line="360" w:lineRule="auto"/>
      <w:ind w:firstLine="200" w:firstLineChars="200"/>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72</Pages>
  <Words>6698</Words>
  <Characters>38181</Characters>
  <Lines>318</Lines>
  <Paragraphs>89</Paragraphs>
  <TotalTime>7</TotalTime>
  <ScaleCrop>false</ScaleCrop>
  <LinksUpToDate>false</LinksUpToDate>
  <CharactersWithSpaces>44790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2019-07-01T05:31:00Z</dcterms:created>
  <dc:creator>502-2</dc:creator>
  <cp:lastModifiedBy>章佳</cp:lastModifiedBy>
  <cp:lastPrinted>2019-12-02T02:48:00Z</cp:lastPrinted>
  <dcterms:modified xsi:type="dcterms:W3CDTF">2019-12-03T08:40:55Z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