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szCs w:val="21"/>
        </w:rPr>
      </w:pPr>
    </w:p>
    <w:p>
      <w:pPr>
        <w:adjustRightInd w:val="0"/>
        <w:snapToGrid w:val="0"/>
        <w:spacing w:line="360" w:lineRule="auto"/>
        <w:jc w:val="left"/>
        <w:rPr>
          <w:szCs w:val="21"/>
        </w:rPr>
      </w:pPr>
      <w:r>
        <w:rPr>
          <w:szCs w:val="21"/>
        </w:rPr>
        <w:t>附件</w:t>
      </w:r>
      <w:r>
        <w:rPr>
          <w:rFonts w:hint="eastAsia"/>
          <w:szCs w:val="21"/>
        </w:rPr>
        <w:t>一</w:t>
      </w:r>
      <w:r>
        <w:rPr>
          <w:szCs w:val="21"/>
        </w:rPr>
        <w:t>：项目采购需求：</w:t>
      </w:r>
    </w:p>
    <w:p>
      <w:pPr>
        <w:pStyle w:val="5"/>
        <w:rPr>
          <w:rFonts w:hint="eastAsia"/>
          <w:szCs w:val="36"/>
        </w:rPr>
      </w:pPr>
      <w:r>
        <w:rPr>
          <w:rFonts w:hint="eastAsia"/>
          <w:szCs w:val="36"/>
        </w:rPr>
        <w:t>2019年黄石市普通国省道干线公路命名调整项目采购需求</w:t>
      </w:r>
    </w:p>
    <w:p>
      <w:pPr>
        <w:jc w:val="center"/>
        <w:rPr>
          <w:rFonts w:hint="eastAsia" w:ascii="黑体" w:eastAsia="黑体"/>
          <w:szCs w:val="21"/>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r>
        <w:rPr>
          <w:rFonts w:hint="eastAsia" w:eastAsia="宋体"/>
          <w:lang w:eastAsia="zh-CN"/>
        </w:rPr>
        <w:object>
          <v:shape id="_x0000_i1027" o:spt="75" type="#_x0000_t75" style="height:66pt;width:72.75pt;" o:ole="t" filled="f" o:preferrelative="t" stroked="f" coordsize="21600,21600">
            <v:path/>
            <v:fill on="f" focussize="0,0"/>
            <v:stroke on="f"/>
            <v:imagedata r:id="rId8" o:title=""/>
            <o:lock v:ext="edit" aspectratio="t"/>
            <w10:wrap type="none"/>
            <w10:anchorlock/>
          </v:shape>
          <o:OLEObject Type="Embed" ProgID="Package" ShapeID="_x0000_i1027" DrawAspect="Icon" ObjectID="_1468075726" r:id="rId7">
            <o:LockedField>false</o:LockedField>
          </o:OLEObject>
        </w:object>
      </w:r>
    </w:p>
    <w:p>
      <w:pPr>
        <w:shd w:val="clear" w:color="auto" w:fill="FFFFFF"/>
        <w:ind w:left="1134" w:leftChars="540"/>
        <w:rPr>
          <w:rFonts w:ascii="黑体" w:eastAsia="黑体"/>
          <w:b/>
          <w:szCs w:val="21"/>
        </w:rPr>
      </w:pPr>
      <w:r>
        <w:rPr>
          <w:rFonts w:hint="eastAsia" w:ascii="黑体" w:eastAsia="黑体"/>
          <w:b/>
          <w:szCs w:val="21"/>
        </w:rPr>
        <w:t>采购单位：</w:t>
      </w:r>
      <w:r>
        <w:rPr>
          <w:rFonts w:hint="eastAsia" w:ascii="仿宋_GB2312" w:eastAsia="仿宋_GB2312"/>
          <w:b/>
          <w:szCs w:val="21"/>
        </w:rPr>
        <w:t>阳新县公路管理局养护中心养护中心</w:t>
      </w:r>
    </w:p>
    <w:p>
      <w:pPr>
        <w:shd w:val="clear" w:color="auto" w:fill="FFFFFF"/>
        <w:ind w:left="1134" w:leftChars="540"/>
        <w:rPr>
          <w:rFonts w:ascii="仿宋_GB2312" w:eastAsia="仿宋_GB2312"/>
          <w:b/>
          <w:szCs w:val="21"/>
        </w:rPr>
      </w:pPr>
      <w:r>
        <w:rPr>
          <w:rFonts w:hint="eastAsia" w:ascii="黑体" w:eastAsia="黑体"/>
          <w:b/>
          <w:szCs w:val="21"/>
        </w:rPr>
        <w:t>联 系 人</w:t>
      </w:r>
      <w:r>
        <w:rPr>
          <w:rFonts w:hint="eastAsia" w:ascii="仿宋_GB2312" w:eastAsia="仿宋_GB2312"/>
          <w:b/>
          <w:szCs w:val="21"/>
        </w:rPr>
        <w:t>：陈洪凡</w:t>
      </w:r>
    </w:p>
    <w:p>
      <w:pPr>
        <w:shd w:val="clear" w:color="auto" w:fill="FFFFFF"/>
        <w:ind w:left="1134" w:leftChars="540"/>
        <w:rPr>
          <w:rFonts w:ascii="仿宋_GB2312" w:eastAsia="黑体"/>
          <w:b/>
          <w:szCs w:val="21"/>
        </w:rPr>
      </w:pPr>
      <w:r>
        <w:rPr>
          <w:rFonts w:hint="eastAsia" w:ascii="黑体" w:eastAsia="黑体"/>
          <w:b/>
          <w:szCs w:val="21"/>
        </w:rPr>
        <w:t>联系电话：</w:t>
      </w:r>
      <w:r>
        <w:rPr>
          <w:rFonts w:hint="eastAsia" w:ascii="仿宋_GB2312" w:eastAsia="仿宋_GB2312"/>
          <w:b/>
          <w:szCs w:val="21"/>
        </w:rPr>
        <w:t>13972793338</w:t>
      </w:r>
    </w:p>
    <w:p>
      <w:pPr>
        <w:shd w:val="clear" w:color="auto" w:fill="FFFFFF"/>
        <w:ind w:left="1134" w:leftChars="540"/>
        <w:rPr>
          <w:rFonts w:ascii="黑体" w:eastAsia="黑体"/>
          <w:b/>
          <w:szCs w:val="21"/>
        </w:rPr>
      </w:pPr>
      <w:r>
        <w:rPr>
          <w:rFonts w:hint="eastAsia" w:ascii="黑体" w:eastAsia="黑体"/>
          <w:b/>
          <w:szCs w:val="21"/>
        </w:rPr>
        <w:t>采购</w:t>
      </w:r>
      <w:r>
        <w:rPr>
          <w:rFonts w:ascii="黑体" w:eastAsia="黑体"/>
          <w:b/>
          <w:szCs w:val="21"/>
        </w:rPr>
        <w:t>方式：</w:t>
      </w:r>
      <w:r>
        <w:rPr>
          <w:rFonts w:hint="eastAsia" w:ascii="仿宋_GB2312" w:eastAsia="仿宋_GB2312"/>
          <w:b/>
          <w:szCs w:val="21"/>
        </w:rPr>
        <w:t>竞争性谈判</w:t>
      </w:r>
    </w:p>
    <w:p>
      <w:pPr>
        <w:adjustRightInd w:val="0"/>
        <w:snapToGrid w:val="0"/>
        <w:spacing w:line="360" w:lineRule="auto"/>
        <w:jc w:val="left"/>
        <w:rPr>
          <w:rFonts w:hint="eastAsia"/>
          <w:szCs w:val="21"/>
        </w:rPr>
      </w:pPr>
    </w:p>
    <w:p>
      <w:pPr>
        <w:adjustRightInd w:val="0"/>
        <w:snapToGrid w:val="0"/>
        <w:spacing w:line="360" w:lineRule="auto"/>
        <w:jc w:val="left"/>
        <w:rPr>
          <w:szCs w:val="21"/>
        </w:rPr>
      </w:pPr>
      <w:r>
        <w:rPr>
          <w:rFonts w:hint="eastAsia"/>
          <w:szCs w:val="21"/>
        </w:rPr>
        <w:t>一、采购需求：</w:t>
      </w:r>
    </w:p>
    <w:p>
      <w:pPr>
        <w:adjustRightInd w:val="0"/>
        <w:snapToGrid w:val="0"/>
        <w:spacing w:line="360" w:lineRule="auto"/>
        <w:jc w:val="center"/>
        <w:rPr>
          <w:szCs w:val="21"/>
        </w:rPr>
      </w:pPr>
      <w:r>
        <w:rPr>
          <w:rFonts w:hint="eastAsia"/>
          <w:szCs w:val="21"/>
        </w:rPr>
        <w:t>公路命名调整</w:t>
      </w:r>
    </w:p>
    <w:tbl>
      <w:tblPr>
        <w:tblStyle w:val="6"/>
        <w:tblW w:w="5640" w:type="dxa"/>
        <w:jc w:val="center"/>
        <w:tblLayout w:type="fixed"/>
        <w:tblCellMar>
          <w:top w:w="0" w:type="dxa"/>
          <w:left w:w="108" w:type="dxa"/>
          <w:bottom w:w="0" w:type="dxa"/>
          <w:right w:w="108" w:type="dxa"/>
        </w:tblCellMar>
      </w:tblPr>
      <w:tblGrid>
        <w:gridCol w:w="1286"/>
        <w:gridCol w:w="2474"/>
        <w:gridCol w:w="1880"/>
      </w:tblGrid>
      <w:tr>
        <w:tblPrEx>
          <w:tblCellMar>
            <w:top w:w="0" w:type="dxa"/>
            <w:left w:w="108" w:type="dxa"/>
            <w:bottom w:w="0" w:type="dxa"/>
            <w:right w:w="108" w:type="dxa"/>
          </w:tblCellMar>
        </w:tblPrEx>
        <w:trPr>
          <w:trHeight w:val="402" w:hRule="atLeast"/>
          <w:jc w:val="center"/>
        </w:trPr>
        <w:tc>
          <w:tcPr>
            <w:tcW w:w="12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数量（个）</w:t>
            </w:r>
          </w:p>
        </w:tc>
        <w:tc>
          <w:tcPr>
            <w:tcW w:w="247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子目名称</w:t>
            </w:r>
          </w:p>
        </w:tc>
        <w:tc>
          <w:tcPr>
            <w:tcW w:w="18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子目号</w:t>
            </w:r>
          </w:p>
        </w:tc>
      </w:tr>
      <w:tr>
        <w:tblPrEx>
          <w:tblCellMar>
            <w:top w:w="0" w:type="dxa"/>
            <w:left w:w="108" w:type="dxa"/>
            <w:bottom w:w="0" w:type="dxa"/>
            <w:right w:w="108" w:type="dxa"/>
          </w:tblCellMar>
        </w:tblPrEx>
        <w:trPr>
          <w:trHeight w:val="402" w:hRule="atLeast"/>
          <w:jc w:val="center"/>
        </w:trPr>
        <w:tc>
          <w:tcPr>
            <w:tcW w:w="12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Cs w:val="21"/>
              </w:rPr>
            </w:pPr>
          </w:p>
        </w:tc>
        <w:tc>
          <w:tcPr>
            <w:tcW w:w="247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 w:val="18"/>
                <w:szCs w:val="18"/>
              </w:rPr>
              <w:t>道路交通标志</w:t>
            </w:r>
          </w:p>
        </w:tc>
        <w:tc>
          <w:tcPr>
            <w:tcW w:w="188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604</w:t>
            </w:r>
          </w:p>
        </w:tc>
      </w:tr>
      <w:tr>
        <w:tblPrEx>
          <w:tblCellMar>
            <w:top w:w="0" w:type="dxa"/>
            <w:left w:w="108" w:type="dxa"/>
            <w:bottom w:w="0" w:type="dxa"/>
            <w:right w:w="108" w:type="dxa"/>
          </w:tblCellMar>
        </w:tblPrEx>
        <w:trPr>
          <w:trHeight w:val="402" w:hRule="atLeast"/>
          <w:jc w:val="center"/>
        </w:trPr>
        <w:tc>
          <w:tcPr>
            <w:tcW w:w="12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Cs w:val="21"/>
              </w:rPr>
            </w:pPr>
          </w:p>
        </w:tc>
        <w:tc>
          <w:tcPr>
            <w:tcW w:w="247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 w:val="18"/>
                <w:szCs w:val="18"/>
              </w:rPr>
              <w:t>单柱式交通标志</w:t>
            </w:r>
          </w:p>
        </w:tc>
        <w:tc>
          <w:tcPr>
            <w:tcW w:w="188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604-1</w:t>
            </w:r>
          </w:p>
        </w:tc>
      </w:tr>
      <w:tr>
        <w:tblPrEx>
          <w:tblCellMar>
            <w:top w:w="0" w:type="dxa"/>
            <w:left w:w="108" w:type="dxa"/>
            <w:bottom w:w="0" w:type="dxa"/>
            <w:right w:w="108" w:type="dxa"/>
          </w:tblCellMar>
        </w:tblPrEx>
        <w:trPr>
          <w:trHeight w:val="402" w:hRule="atLeast"/>
          <w:jc w:val="center"/>
        </w:trPr>
        <w:tc>
          <w:tcPr>
            <w:tcW w:w="12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205</w:t>
            </w:r>
          </w:p>
        </w:tc>
        <w:tc>
          <w:tcPr>
            <w:tcW w:w="247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 w:val="18"/>
                <w:szCs w:val="18"/>
              </w:rPr>
              <w:t>单柱式交通标志△0.9</w:t>
            </w:r>
          </w:p>
        </w:tc>
        <w:tc>
          <w:tcPr>
            <w:tcW w:w="188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-a</w:t>
            </w:r>
          </w:p>
        </w:tc>
      </w:tr>
      <w:tr>
        <w:tblPrEx>
          <w:tblCellMar>
            <w:top w:w="0" w:type="dxa"/>
            <w:left w:w="108" w:type="dxa"/>
            <w:bottom w:w="0" w:type="dxa"/>
            <w:right w:w="108" w:type="dxa"/>
          </w:tblCellMar>
        </w:tblPrEx>
        <w:trPr>
          <w:trHeight w:val="402" w:hRule="atLeast"/>
          <w:jc w:val="center"/>
        </w:trPr>
        <w:tc>
          <w:tcPr>
            <w:tcW w:w="12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91</w:t>
            </w:r>
          </w:p>
        </w:tc>
        <w:tc>
          <w:tcPr>
            <w:tcW w:w="247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 w:val="18"/>
                <w:szCs w:val="18"/>
              </w:rPr>
              <w:t>单柱式交通标志○0.8</w:t>
            </w:r>
          </w:p>
        </w:tc>
        <w:tc>
          <w:tcPr>
            <w:tcW w:w="188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-b</w:t>
            </w:r>
          </w:p>
        </w:tc>
      </w:tr>
      <w:tr>
        <w:tblPrEx>
          <w:tblCellMar>
            <w:top w:w="0" w:type="dxa"/>
            <w:left w:w="108" w:type="dxa"/>
            <w:bottom w:w="0" w:type="dxa"/>
            <w:right w:w="108" w:type="dxa"/>
          </w:tblCellMar>
        </w:tblPrEx>
        <w:trPr>
          <w:trHeight w:val="402" w:hRule="atLeast"/>
          <w:jc w:val="center"/>
        </w:trPr>
        <w:tc>
          <w:tcPr>
            <w:tcW w:w="12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56</w:t>
            </w:r>
          </w:p>
        </w:tc>
        <w:tc>
          <w:tcPr>
            <w:tcW w:w="247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 w:val="18"/>
                <w:szCs w:val="18"/>
              </w:rPr>
              <w:t>单柱式交通标志1.6*0.8</w:t>
            </w:r>
          </w:p>
        </w:tc>
        <w:tc>
          <w:tcPr>
            <w:tcW w:w="188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-c</w:t>
            </w:r>
          </w:p>
        </w:tc>
      </w:tr>
      <w:tr>
        <w:tblPrEx>
          <w:tblCellMar>
            <w:top w:w="0" w:type="dxa"/>
            <w:left w:w="108" w:type="dxa"/>
            <w:bottom w:w="0" w:type="dxa"/>
            <w:right w:w="108" w:type="dxa"/>
          </w:tblCellMar>
        </w:tblPrEx>
        <w:trPr>
          <w:trHeight w:val="402" w:hRule="atLeast"/>
          <w:jc w:val="center"/>
        </w:trPr>
        <w:tc>
          <w:tcPr>
            <w:tcW w:w="12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kern w:val="0"/>
                <w:szCs w:val="21"/>
              </w:rPr>
            </w:pPr>
          </w:p>
        </w:tc>
        <w:tc>
          <w:tcPr>
            <w:tcW w:w="247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 w:val="18"/>
                <w:szCs w:val="18"/>
              </w:rPr>
              <w:t>单悬臂式交通标志</w:t>
            </w:r>
          </w:p>
        </w:tc>
        <w:tc>
          <w:tcPr>
            <w:tcW w:w="188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604-5</w:t>
            </w:r>
          </w:p>
        </w:tc>
      </w:tr>
      <w:tr>
        <w:tblPrEx>
          <w:tblCellMar>
            <w:top w:w="0" w:type="dxa"/>
            <w:left w:w="108" w:type="dxa"/>
            <w:bottom w:w="0" w:type="dxa"/>
            <w:right w:w="108" w:type="dxa"/>
          </w:tblCellMar>
        </w:tblPrEx>
        <w:trPr>
          <w:trHeight w:val="402" w:hRule="atLeast"/>
          <w:jc w:val="center"/>
        </w:trPr>
        <w:tc>
          <w:tcPr>
            <w:tcW w:w="12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65</w:t>
            </w:r>
          </w:p>
        </w:tc>
        <w:tc>
          <w:tcPr>
            <w:tcW w:w="247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 w:val="18"/>
                <w:szCs w:val="18"/>
              </w:rPr>
              <w:t>3.6*2.2</w:t>
            </w:r>
          </w:p>
        </w:tc>
        <w:tc>
          <w:tcPr>
            <w:tcW w:w="188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-a</w:t>
            </w:r>
          </w:p>
        </w:tc>
      </w:tr>
      <w:tr>
        <w:tblPrEx>
          <w:tblCellMar>
            <w:top w:w="0" w:type="dxa"/>
            <w:left w:w="108" w:type="dxa"/>
            <w:bottom w:w="0" w:type="dxa"/>
            <w:right w:w="108" w:type="dxa"/>
          </w:tblCellMar>
        </w:tblPrEx>
        <w:trPr>
          <w:trHeight w:val="402" w:hRule="atLeast"/>
          <w:jc w:val="center"/>
        </w:trPr>
        <w:tc>
          <w:tcPr>
            <w:tcW w:w="12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437</w:t>
            </w:r>
          </w:p>
        </w:tc>
        <w:tc>
          <w:tcPr>
            <w:tcW w:w="247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 w:val="18"/>
                <w:szCs w:val="18"/>
              </w:rPr>
              <w:t>里程碑</w:t>
            </w:r>
          </w:p>
        </w:tc>
        <w:tc>
          <w:tcPr>
            <w:tcW w:w="188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604-8</w:t>
            </w:r>
          </w:p>
        </w:tc>
      </w:tr>
      <w:tr>
        <w:tblPrEx>
          <w:tblCellMar>
            <w:top w:w="0" w:type="dxa"/>
            <w:left w:w="108" w:type="dxa"/>
            <w:bottom w:w="0" w:type="dxa"/>
            <w:right w:w="108" w:type="dxa"/>
          </w:tblCellMar>
        </w:tblPrEx>
        <w:trPr>
          <w:trHeight w:val="402" w:hRule="atLeast"/>
          <w:jc w:val="center"/>
        </w:trPr>
        <w:tc>
          <w:tcPr>
            <w:tcW w:w="12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4372</w:t>
            </w:r>
          </w:p>
        </w:tc>
        <w:tc>
          <w:tcPr>
            <w:tcW w:w="2474" w:type="dxa"/>
            <w:tcBorders>
              <w:top w:val="nil"/>
              <w:left w:val="nil"/>
              <w:bottom w:val="single" w:color="auto" w:sz="4" w:space="0"/>
              <w:right w:val="single" w:color="auto" w:sz="4" w:space="0"/>
            </w:tcBorders>
            <w:shd w:val="clear" w:color="auto" w:fill="auto"/>
            <w:noWrap/>
            <w:vAlign w:val="center"/>
          </w:tcPr>
          <w:p>
            <w:pPr>
              <w:widowControl/>
              <w:jc w:val="left"/>
              <w:textAlignment w:val="center"/>
              <w:rPr>
                <w:rFonts w:ascii="宋体" w:hAnsi="宋体" w:cs="宋体"/>
                <w:color w:val="000000"/>
                <w:kern w:val="0"/>
                <w:szCs w:val="21"/>
              </w:rPr>
            </w:pPr>
            <w:r>
              <w:rPr>
                <w:rFonts w:hint="eastAsia" w:ascii="宋体" w:hAnsi="宋体" w:cs="宋体"/>
                <w:color w:val="000000"/>
                <w:kern w:val="0"/>
                <w:sz w:val="18"/>
                <w:szCs w:val="18"/>
              </w:rPr>
              <w:t>百米桩</w:t>
            </w:r>
          </w:p>
        </w:tc>
        <w:tc>
          <w:tcPr>
            <w:tcW w:w="188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18"/>
                <w:szCs w:val="18"/>
              </w:rPr>
              <w:t>604-10</w:t>
            </w:r>
          </w:p>
        </w:tc>
      </w:tr>
    </w:tbl>
    <w:p>
      <w:pPr>
        <w:adjustRightInd w:val="0"/>
        <w:snapToGrid w:val="0"/>
        <w:spacing w:line="360" w:lineRule="auto"/>
        <w:ind w:firstLine="420" w:firstLineChars="200"/>
        <w:rPr>
          <w:szCs w:val="21"/>
        </w:rPr>
      </w:pPr>
      <w:r>
        <w:rPr>
          <w:rFonts w:hint="eastAsia"/>
          <w:szCs w:val="21"/>
        </w:rPr>
        <w:t>以上为一套公路命名调整所需明细</w:t>
      </w:r>
      <w:bookmarkStart w:id="0" w:name="_GoBack"/>
      <w:bookmarkEnd w:id="0"/>
    </w:p>
    <w:p>
      <w:pPr>
        <w:adjustRightInd w:val="0"/>
        <w:snapToGrid w:val="0"/>
        <w:spacing w:line="360" w:lineRule="auto"/>
        <w:ind w:firstLine="420" w:firstLineChars="200"/>
        <w:jc w:val="left"/>
        <w:rPr>
          <w:szCs w:val="21"/>
        </w:rPr>
      </w:pPr>
      <w:r>
        <w:rPr>
          <w:rFonts w:hint="eastAsia"/>
          <w:szCs w:val="21"/>
        </w:rPr>
        <w:t>二、其他要求</w:t>
      </w:r>
    </w:p>
    <w:p>
      <w:pPr>
        <w:adjustRightInd w:val="0"/>
        <w:snapToGrid w:val="0"/>
        <w:spacing w:line="360" w:lineRule="auto"/>
        <w:ind w:firstLine="420" w:firstLineChars="200"/>
        <w:jc w:val="left"/>
        <w:rPr>
          <w:szCs w:val="21"/>
        </w:rPr>
      </w:pPr>
      <w:r>
        <w:rPr>
          <w:rFonts w:hint="eastAsia"/>
          <w:szCs w:val="21"/>
        </w:rPr>
        <w:t>1、本次采购的公路命名调整施工地点由业主指定。</w:t>
      </w:r>
    </w:p>
    <w:p>
      <w:pPr>
        <w:adjustRightInd w:val="0"/>
        <w:snapToGrid w:val="0"/>
        <w:spacing w:line="360" w:lineRule="auto"/>
        <w:ind w:firstLine="420" w:firstLineChars="200"/>
        <w:jc w:val="left"/>
        <w:rPr>
          <w:szCs w:val="21"/>
        </w:rPr>
      </w:pPr>
      <w:r>
        <w:rPr>
          <w:rFonts w:hint="eastAsia"/>
          <w:szCs w:val="21"/>
        </w:rPr>
        <w:t>2、公路命名调整验收以业主指定实际完成工程量结算，根据实际如有变更，以中标单位为基础相应变更单价作为结算依据。</w:t>
      </w:r>
    </w:p>
    <w:p>
      <w:pPr>
        <w:adjustRightInd w:val="0"/>
        <w:snapToGrid w:val="0"/>
        <w:spacing w:line="360" w:lineRule="auto"/>
        <w:ind w:firstLine="420" w:firstLineChars="200"/>
        <w:jc w:val="left"/>
        <w:rPr>
          <w:szCs w:val="21"/>
        </w:rPr>
      </w:pPr>
      <w:r>
        <w:rPr>
          <w:rFonts w:hint="eastAsia"/>
          <w:szCs w:val="21"/>
        </w:rPr>
        <w:t>3、验收时，业主对每块标志牌按规范请第三方进行检测，费用由施工方承担，发现不合格的要求返工，返工时间不能超过三个工作日，否则将不予以计量。</w:t>
      </w:r>
    </w:p>
    <w:p>
      <w:pPr>
        <w:adjustRightInd w:val="0"/>
        <w:snapToGrid w:val="0"/>
        <w:spacing w:line="360" w:lineRule="auto"/>
        <w:ind w:firstLine="420" w:firstLineChars="200"/>
        <w:jc w:val="left"/>
        <w:rPr>
          <w:szCs w:val="21"/>
        </w:rPr>
      </w:pPr>
      <w:r>
        <w:rPr>
          <w:rFonts w:hint="eastAsia"/>
          <w:szCs w:val="21"/>
        </w:rPr>
        <w:t>4、该次采购中标价含监理费用（按国家相关标准）。</w:t>
      </w:r>
    </w:p>
    <w:p>
      <w:pPr>
        <w:adjustRightInd w:val="0"/>
        <w:snapToGrid w:val="0"/>
        <w:spacing w:line="360" w:lineRule="auto"/>
        <w:ind w:firstLine="420" w:firstLineChars="200"/>
        <w:jc w:val="left"/>
        <w:rPr>
          <w:szCs w:val="21"/>
        </w:rPr>
      </w:pPr>
      <w:r>
        <w:rPr>
          <w:rFonts w:hint="eastAsia"/>
          <w:szCs w:val="21"/>
        </w:rPr>
        <w:t>5、工程量清单报价不能出现不合理不平衡报价。</w:t>
      </w:r>
    </w:p>
    <w:p>
      <w:pPr>
        <w:adjustRightInd w:val="0"/>
        <w:snapToGrid w:val="0"/>
        <w:spacing w:line="360" w:lineRule="auto"/>
        <w:ind w:firstLine="420" w:firstLineChars="200"/>
        <w:jc w:val="left"/>
        <w:rPr>
          <w:szCs w:val="21"/>
        </w:rPr>
      </w:pPr>
      <w:r>
        <w:rPr>
          <w:rFonts w:hint="eastAsia"/>
          <w:szCs w:val="21"/>
        </w:rPr>
        <w:t>三、交货期：30天内</w:t>
      </w:r>
    </w:p>
    <w:p>
      <w:pPr>
        <w:adjustRightInd w:val="0"/>
        <w:snapToGrid w:val="0"/>
        <w:spacing w:line="360" w:lineRule="auto"/>
        <w:ind w:firstLine="420" w:firstLineChars="200"/>
        <w:jc w:val="left"/>
        <w:rPr>
          <w:szCs w:val="21"/>
        </w:rPr>
        <w:sectPr>
          <w:footerReference r:id="rId3" w:type="default"/>
          <w:pgSz w:w="11906" w:h="16838"/>
          <w:pgMar w:top="1134" w:right="1134" w:bottom="1134" w:left="1134" w:header="851" w:footer="992" w:gutter="0"/>
          <w:cols w:space="0" w:num="1"/>
          <w:docGrid w:type="lines" w:linePitch="321" w:charSpace="0"/>
        </w:sectPr>
      </w:pPr>
      <w:r>
        <w:rPr>
          <w:rFonts w:hint="eastAsia"/>
          <w:szCs w:val="21"/>
        </w:rPr>
        <w:t>四、付款方式：验收合格后15内一次性付清</w:t>
      </w:r>
    </w:p>
    <w:p>
      <w:pPr>
        <w:adjustRightInd w:val="0"/>
        <w:snapToGrid w:val="0"/>
        <w:spacing w:line="360" w:lineRule="auto"/>
        <w:rPr>
          <w:szCs w:val="21"/>
        </w:rPr>
      </w:pPr>
    </w:p>
    <w:p>
      <w:pPr>
        <w:widowControl/>
        <w:jc w:val="left"/>
        <w:rPr>
          <w:szCs w:val="21"/>
        </w:rPr>
      </w:pPr>
      <w:r>
        <w:rPr>
          <w:rFonts w:hint="eastAsia"/>
          <w:szCs w:val="21"/>
        </w:rPr>
        <w:t>附件2：供应商报名表：</w:t>
      </w:r>
    </w:p>
    <w:p>
      <w:pPr>
        <w:spacing w:line="360" w:lineRule="auto"/>
        <w:jc w:val="center"/>
        <w:rPr>
          <w:szCs w:val="21"/>
        </w:rPr>
      </w:pPr>
      <w:r>
        <w:rPr>
          <w:rFonts w:hint="eastAsia"/>
          <w:szCs w:val="21"/>
        </w:rPr>
        <w:t>供应商报名表</w:t>
      </w:r>
    </w:p>
    <w:p>
      <w:pPr>
        <w:spacing w:line="360" w:lineRule="auto"/>
        <w:rPr>
          <w:szCs w:val="21"/>
        </w:rPr>
      </w:pPr>
      <w:r>
        <w:rPr>
          <w:rFonts w:hint="eastAsia"/>
          <w:szCs w:val="21"/>
        </w:rPr>
        <w:t>项目名称：</w:t>
      </w:r>
      <w:r>
        <w:rPr>
          <w:rFonts w:hint="eastAsia"/>
          <w:szCs w:val="21"/>
          <w:u w:val="single"/>
        </w:rPr>
        <w:t xml:space="preserve">           </w:t>
      </w:r>
      <w:r>
        <w:rPr>
          <w:rFonts w:hint="eastAsia"/>
          <w:szCs w:val="21"/>
        </w:rPr>
        <w:t xml:space="preserve">                      项目编号：</w:t>
      </w:r>
      <w:r>
        <w:rPr>
          <w:rFonts w:hint="eastAsia"/>
          <w:szCs w:val="21"/>
          <w:u w:val="single"/>
        </w:rPr>
        <w:t xml:space="preserve">          </w:t>
      </w:r>
    </w:p>
    <w:tbl>
      <w:tblPr>
        <w:tblStyle w:val="6"/>
        <w:tblW w:w="8580"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6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25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cs="宋体" w:asciiTheme="minorEastAsia" w:hAnsiTheme="minorEastAsia" w:eastAsiaTheme="minorEastAsia"/>
                <w:kern w:val="0"/>
                <w:szCs w:val="21"/>
              </w:rPr>
              <w:t>供应商名称（盖章）</w:t>
            </w:r>
          </w:p>
        </w:tc>
        <w:tc>
          <w:tcPr>
            <w:tcW w:w="632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cs="宋体" w:asciiTheme="minorEastAsia" w:hAnsiTheme="minorEastAsia" w:eastAsiaTheme="minorEastAsia"/>
                <w:kern w:val="0"/>
                <w:szCs w:val="21"/>
              </w:rPr>
              <w:t>联系人姓名</w:t>
            </w:r>
          </w:p>
        </w:tc>
        <w:tc>
          <w:tcPr>
            <w:tcW w:w="632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联系人电话（办公电话和手机）</w:t>
            </w:r>
          </w:p>
        </w:tc>
        <w:tc>
          <w:tcPr>
            <w:tcW w:w="632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cs="宋体" w:asciiTheme="minorEastAsia" w:hAnsiTheme="minorEastAsia" w:eastAsiaTheme="minorEastAsia"/>
                <w:kern w:val="0"/>
                <w:szCs w:val="21"/>
              </w:rPr>
              <w:t>联系人邮箱</w:t>
            </w:r>
          </w:p>
        </w:tc>
        <w:tc>
          <w:tcPr>
            <w:tcW w:w="632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60" w:lineRule="auto"/>
              <w:jc w:val="left"/>
              <w:rPr>
                <w:rFonts w:ascii="宋体" w:hAnsi="宋体" w:cs="宋体"/>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供应商提供的</w:t>
            </w:r>
          </w:p>
          <w:p>
            <w:pPr>
              <w:widowControl/>
              <w:spacing w:before="100" w:beforeAutospacing="1" w:after="100" w:afterAutospacing="1" w:line="360" w:lineRule="auto"/>
              <w:jc w:val="center"/>
              <w:rPr>
                <w:rFonts w:ascii="宋体" w:hAnsi="宋体" w:cs="宋体"/>
                <w:kern w:val="0"/>
                <w:szCs w:val="21"/>
              </w:rPr>
            </w:pPr>
            <w:r>
              <w:rPr>
                <w:rFonts w:hint="eastAsia" w:cs="宋体" w:asciiTheme="minorEastAsia" w:hAnsiTheme="minorEastAsia" w:eastAsiaTheme="minorEastAsia"/>
                <w:kern w:val="0"/>
                <w:szCs w:val="21"/>
              </w:rPr>
              <w:t>报名资料</w:t>
            </w:r>
          </w:p>
        </w:tc>
        <w:tc>
          <w:tcPr>
            <w:tcW w:w="6321" w:type="dxa"/>
            <w:tcBorders>
              <w:top w:val="single" w:color="auto" w:sz="4" w:space="0"/>
              <w:left w:val="single" w:color="auto" w:sz="4" w:space="0"/>
              <w:bottom w:val="single" w:color="auto" w:sz="4" w:space="0"/>
              <w:right w:val="single" w:color="auto" w:sz="4" w:space="0"/>
            </w:tcBorders>
          </w:tcPr>
          <w:p>
            <w:pPr>
              <w:spacing w:line="360" w:lineRule="auto"/>
              <w:rPr>
                <w:szCs w:val="21"/>
              </w:rPr>
            </w:pPr>
            <w:r>
              <w:rPr>
                <w:rFonts w:hint="eastAsia"/>
                <w:szCs w:val="21"/>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vMerge w:val="continue"/>
            <w:tcBorders>
              <w:left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6321" w:type="dxa"/>
            <w:tcBorders>
              <w:top w:val="single" w:color="auto" w:sz="4" w:space="0"/>
              <w:left w:val="single" w:color="auto" w:sz="4" w:space="0"/>
              <w:bottom w:val="single" w:color="auto" w:sz="4" w:space="0"/>
              <w:right w:val="single" w:color="auto" w:sz="4" w:space="0"/>
            </w:tcBorders>
          </w:tcPr>
          <w:p>
            <w:pPr>
              <w:spacing w:line="360" w:lineRule="auto"/>
              <w:rPr>
                <w:szCs w:val="21"/>
              </w:rPr>
            </w:pPr>
            <w:r>
              <w:rPr>
                <w:rFonts w:hint="eastAsia"/>
                <w:szCs w:val="21"/>
              </w:rPr>
              <w:t>2.财务状况报告，依法缴纳税收和社会保障资金的相关材料。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vMerge w:val="continue"/>
            <w:tcBorders>
              <w:left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6321" w:type="dxa"/>
            <w:tcBorders>
              <w:top w:val="single" w:color="auto" w:sz="4" w:space="0"/>
              <w:left w:val="single" w:color="auto" w:sz="4" w:space="0"/>
              <w:bottom w:val="single" w:color="auto" w:sz="4" w:space="0"/>
              <w:right w:val="single" w:color="auto" w:sz="4" w:space="0"/>
            </w:tcBorders>
          </w:tcPr>
          <w:p>
            <w:pPr>
              <w:spacing w:line="360" w:lineRule="auto"/>
              <w:rPr>
                <w:szCs w:val="21"/>
              </w:rPr>
            </w:pPr>
            <w:r>
              <w:rPr>
                <w:rFonts w:hint="eastAsia"/>
                <w:szCs w:val="21"/>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vMerge w:val="continue"/>
            <w:tcBorders>
              <w:left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6321" w:type="dxa"/>
            <w:tcBorders>
              <w:top w:val="single" w:color="auto" w:sz="4" w:space="0"/>
              <w:left w:val="single" w:color="auto" w:sz="4" w:space="0"/>
              <w:bottom w:val="single" w:color="auto" w:sz="4" w:space="0"/>
              <w:right w:val="single" w:color="auto" w:sz="4" w:space="0"/>
            </w:tcBorders>
          </w:tcPr>
          <w:p>
            <w:pPr>
              <w:spacing w:line="360" w:lineRule="auto"/>
              <w:rPr>
                <w:szCs w:val="21"/>
              </w:rPr>
            </w:pPr>
            <w:r>
              <w:rPr>
                <w:rFonts w:hint="eastAsia"/>
                <w:szCs w:val="21"/>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vMerge w:val="continue"/>
            <w:tcBorders>
              <w:left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6321" w:type="dxa"/>
            <w:tcBorders>
              <w:top w:val="single" w:color="auto" w:sz="4" w:space="0"/>
              <w:left w:val="single" w:color="auto" w:sz="4" w:space="0"/>
              <w:bottom w:val="single" w:color="auto" w:sz="4" w:space="0"/>
              <w:right w:val="single" w:color="auto" w:sz="4" w:space="0"/>
            </w:tcBorders>
          </w:tcPr>
          <w:p>
            <w:pPr>
              <w:spacing w:line="360" w:lineRule="auto"/>
              <w:rPr>
                <w:szCs w:val="21"/>
              </w:rPr>
            </w:pPr>
            <w:r>
              <w:rPr>
                <w:rFonts w:hint="eastAsia"/>
                <w:szCs w:val="21"/>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vMerge w:val="continue"/>
            <w:tcBorders>
              <w:left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6321" w:type="dxa"/>
            <w:tcBorders>
              <w:top w:val="single" w:color="auto" w:sz="4" w:space="0"/>
              <w:left w:val="single" w:color="auto" w:sz="4" w:space="0"/>
              <w:bottom w:val="single" w:color="auto" w:sz="4" w:space="0"/>
              <w:right w:val="single" w:color="auto" w:sz="4" w:space="0"/>
            </w:tcBorders>
          </w:tcPr>
          <w:p>
            <w:pPr>
              <w:spacing w:line="360" w:lineRule="auto"/>
              <w:rPr>
                <w:szCs w:val="21"/>
              </w:rPr>
            </w:pPr>
            <w:r>
              <w:rPr>
                <w:rFonts w:hint="eastAsia"/>
                <w:szCs w:val="21"/>
              </w:rPr>
              <w:t>6.未被列入“信用中国”网站（www.creditchina.gov.cn）失信被执行人、重大税收违法案件当事人名单、政府采购严重违法失信行为记录名单的网页打印件。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259" w:type="dxa"/>
            <w:vMerge w:val="continue"/>
            <w:tcBorders>
              <w:left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6321"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Cs w:val="21"/>
              </w:rPr>
            </w:pPr>
            <w:r>
              <w:rPr>
                <w:rFonts w:hint="eastAsia"/>
                <w:szCs w:val="21"/>
              </w:rPr>
              <w:t>7.特定条件：投标人必须具备行政主管部门颁发的公路养护工程施工从业资格二类甲级及以上资质或公路工程施工总承包三级及以上资质，投标人拟派的项目经理具备中级或以上技术职称。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59" w:type="dxa"/>
            <w:tcBorders>
              <w:left w:val="single" w:color="auto" w:sz="4" w:space="0"/>
              <w:bottom w:val="single" w:color="auto" w:sz="4" w:space="0"/>
              <w:right w:val="single" w:color="auto" w:sz="4" w:space="0"/>
            </w:tcBorders>
            <w:vAlign w:val="center"/>
          </w:tcPr>
          <w:p>
            <w:pPr>
              <w:jc w:val="center"/>
              <w:rPr>
                <w:b/>
                <w:szCs w:val="21"/>
              </w:rPr>
            </w:pPr>
            <w:r>
              <w:rPr>
                <w:rFonts w:hint="eastAsia"/>
                <w:b/>
                <w:szCs w:val="21"/>
              </w:rPr>
              <w:t>供应商意见</w:t>
            </w:r>
          </w:p>
        </w:tc>
        <w:tc>
          <w:tcPr>
            <w:tcW w:w="6321" w:type="dxa"/>
            <w:tcBorders>
              <w:top w:val="single" w:color="auto" w:sz="4" w:space="0"/>
              <w:left w:val="single" w:color="auto" w:sz="4" w:space="0"/>
              <w:bottom w:val="single" w:color="auto" w:sz="4" w:space="0"/>
              <w:right w:val="single" w:color="auto" w:sz="4" w:space="0"/>
            </w:tcBorders>
          </w:tcPr>
          <w:p>
            <w:pPr>
              <w:rPr>
                <w:b/>
                <w:szCs w:val="21"/>
              </w:rPr>
            </w:pPr>
            <w:r>
              <w:rPr>
                <w:rFonts w:hint="eastAsia"/>
                <w:b/>
                <w:szCs w:val="21"/>
              </w:rPr>
              <w:t>供应商可对本项目采购需求的公正性、专业性、合理性等提出自己正确的意见、建议等（可另页详细表述）。</w:t>
            </w:r>
          </w:p>
        </w:tc>
      </w:tr>
    </w:tbl>
    <w:p>
      <w:pPr>
        <w:pStyle w:val="4"/>
        <w:shd w:val="clear" w:color="auto" w:fill="FFFFFF"/>
        <w:spacing w:before="150" w:beforeAutospacing="0" w:after="150" w:afterAutospacing="0" w:line="360" w:lineRule="atLeast"/>
        <w:ind w:left="150"/>
        <w:rPr>
          <w:rStyle w:val="8"/>
          <w:b w:val="0"/>
          <w:color w:val="000000" w:themeColor="text1"/>
          <w:sz w:val="21"/>
          <w:szCs w:val="21"/>
        </w:rPr>
      </w:pPr>
      <w:r>
        <w:rPr>
          <w:rStyle w:val="8"/>
          <w:rFonts w:hint="eastAsia"/>
          <w:b w:val="0"/>
          <w:color w:val="000000" w:themeColor="text1"/>
          <w:sz w:val="21"/>
          <w:szCs w:val="21"/>
        </w:rPr>
        <w:t>注意事项：</w:t>
      </w:r>
    </w:p>
    <w:p>
      <w:pPr>
        <w:pStyle w:val="4"/>
        <w:shd w:val="clear" w:color="auto" w:fill="FFFFFF"/>
        <w:spacing w:before="150" w:beforeAutospacing="0" w:after="150" w:afterAutospacing="0" w:line="200" w:lineRule="exact"/>
        <w:ind w:left="147" w:firstLine="361" w:firstLineChars="200"/>
        <w:rPr>
          <w:rStyle w:val="8"/>
          <w:color w:val="000000" w:themeColor="text1"/>
          <w:sz w:val="18"/>
          <w:szCs w:val="18"/>
        </w:rPr>
      </w:pPr>
      <w:r>
        <w:rPr>
          <w:rFonts w:hint="eastAsia"/>
          <w:b/>
          <w:bCs/>
          <w:color w:val="000000" w:themeColor="text1"/>
          <w:sz w:val="18"/>
          <w:szCs w:val="18"/>
        </w:rPr>
        <w:t>1.供应商必须严格按照公告的内容和要求，完整递交有关资料，</w:t>
      </w:r>
      <w:r>
        <w:rPr>
          <w:rStyle w:val="8"/>
          <w:rFonts w:hint="eastAsia"/>
          <w:color w:val="000000" w:themeColor="text1"/>
          <w:sz w:val="18"/>
          <w:szCs w:val="18"/>
        </w:rPr>
        <w:t>逾期递交的将予以拒收。</w:t>
      </w:r>
    </w:p>
    <w:p>
      <w:pPr>
        <w:pStyle w:val="4"/>
        <w:shd w:val="clear" w:color="auto" w:fill="FFFFFF"/>
        <w:spacing w:before="150" w:beforeAutospacing="0" w:after="150" w:afterAutospacing="0" w:line="200" w:lineRule="exact"/>
        <w:ind w:left="147" w:firstLine="361" w:firstLineChars="200"/>
        <w:rPr>
          <w:rFonts w:ascii="微软雅黑" w:hAnsi="微软雅黑" w:eastAsia="微软雅黑"/>
          <w:b/>
          <w:bCs/>
          <w:color w:val="000000" w:themeColor="text1"/>
          <w:sz w:val="18"/>
          <w:szCs w:val="18"/>
        </w:rPr>
      </w:pPr>
      <w:r>
        <w:rPr>
          <w:rFonts w:ascii="宋体" w:hAnsi="宋体" w:cs="宋体"/>
          <w:b/>
          <w:bCs/>
          <w:color w:val="000000" w:themeColor="text1"/>
          <w:sz w:val="18"/>
          <w:szCs w:val="18"/>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pStyle w:val="4"/>
        <w:shd w:val="clear" w:color="auto" w:fill="FFFFFF"/>
        <w:spacing w:before="150" w:beforeAutospacing="0" w:after="150" w:afterAutospacing="0" w:line="200" w:lineRule="exact"/>
        <w:ind w:left="147" w:firstLine="361" w:firstLineChars="200"/>
        <w:rPr>
          <w:rFonts w:ascii="微软雅黑" w:hAnsi="微软雅黑" w:eastAsia="微软雅黑"/>
          <w:b/>
          <w:bCs/>
          <w:color w:val="000000" w:themeColor="text1"/>
          <w:sz w:val="18"/>
          <w:szCs w:val="18"/>
        </w:rPr>
      </w:pPr>
      <w:r>
        <w:rPr>
          <w:rFonts w:hint="eastAsia"/>
          <w:b/>
          <w:bCs/>
          <w:color w:val="000000" w:themeColor="text1"/>
          <w:sz w:val="18"/>
          <w:szCs w:val="18"/>
        </w:rPr>
        <w:t>3.须在邮件（附件文件名注明公司全称）注明公司全称、项目名称及项目编号（不注明我单位将拒收报名邮件）。</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Monaco">
    <w:altName w:val="Courier New"/>
    <w:panose1 w:val="020B0509030404040204"/>
    <w:charset w:val="00"/>
    <w:family w:val="moder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CBfEV/vQEAAGIDAAAOAAAAAAAAAAEAIAAAAB4BAABkcnMvZTJvRG9jLnhtbFBLBQYAAAAA&#10;BgAGAFkBAABNBQAAAAA=&#1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9BE3359"/>
    <w:rsid w:val="00452F34"/>
    <w:rsid w:val="008679D9"/>
    <w:rsid w:val="00986185"/>
    <w:rsid w:val="00A81DEB"/>
    <w:rsid w:val="00D7201F"/>
    <w:rsid w:val="00F92B46"/>
    <w:rsid w:val="16E10390"/>
    <w:rsid w:val="427A32EB"/>
    <w:rsid w:val="487C3EFC"/>
    <w:rsid w:val="59BE3359"/>
    <w:rsid w:val="6F1A5DB4"/>
    <w:rsid w:val="7E162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3">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0"/>
    <w:pPr>
      <w:spacing w:beforeAutospacing="1" w:afterAutospacing="1"/>
      <w:jc w:val="left"/>
    </w:pPr>
    <w:rPr>
      <w:rFonts w:cs="Times New Roman"/>
      <w:kern w:val="0"/>
      <w:sz w:val="24"/>
    </w:rPr>
  </w:style>
  <w:style w:type="paragraph" w:styleId="5">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character" w:styleId="8">
    <w:name w:val="Strong"/>
    <w:basedOn w:val="7"/>
    <w:qFormat/>
    <w:uiPriority w:val="0"/>
    <w:rPr>
      <w:b/>
      <w:bCs/>
    </w:rPr>
  </w:style>
  <w:style w:type="character" w:styleId="9">
    <w:name w:val="FollowedHyperlink"/>
    <w:basedOn w:val="7"/>
    <w:qFormat/>
    <w:uiPriority w:val="0"/>
    <w:rPr>
      <w:color w:val="333333"/>
      <w:u w:val="none"/>
    </w:rPr>
  </w:style>
  <w:style w:type="character" w:styleId="10">
    <w:name w:val="HTML Definition"/>
    <w:basedOn w:val="7"/>
    <w:qFormat/>
    <w:uiPriority w:val="0"/>
    <w:rPr>
      <w:i/>
    </w:rPr>
  </w:style>
  <w:style w:type="character" w:styleId="11">
    <w:name w:val="Hyperlink"/>
    <w:basedOn w:val="7"/>
    <w:qFormat/>
    <w:uiPriority w:val="0"/>
    <w:rPr>
      <w:color w:val="333333"/>
      <w:u w:val="none"/>
    </w:rPr>
  </w:style>
  <w:style w:type="character" w:styleId="12">
    <w:name w:val="HTML Code"/>
    <w:basedOn w:val="7"/>
    <w:qFormat/>
    <w:uiPriority w:val="0"/>
    <w:rPr>
      <w:rFonts w:hint="default" w:ascii="Monaco" w:hAnsi="Monaco" w:eastAsia="Monaco" w:cs="Monaco"/>
      <w:b/>
      <w:color w:val="C7254E"/>
      <w:sz w:val="21"/>
      <w:szCs w:val="21"/>
      <w:shd w:val="clear" w:color="auto" w:fill="F9F2F4"/>
      <w:vertAlign w:val="baseline"/>
    </w:rPr>
  </w:style>
  <w:style w:type="character" w:styleId="13">
    <w:name w:val="HTML Keyboard"/>
    <w:basedOn w:val="7"/>
    <w:qFormat/>
    <w:uiPriority w:val="0"/>
    <w:rPr>
      <w:rFonts w:hint="default" w:ascii="Monaco" w:hAnsi="Monaco" w:eastAsia="Monaco" w:cs="Monaco"/>
      <w:color w:val="FFFFFF"/>
      <w:sz w:val="21"/>
      <w:szCs w:val="21"/>
      <w:shd w:val="clear" w:color="auto" w:fill="333333"/>
    </w:rPr>
  </w:style>
  <w:style w:type="character" w:styleId="14">
    <w:name w:val="HTML Sample"/>
    <w:basedOn w:val="7"/>
    <w:qFormat/>
    <w:uiPriority w:val="0"/>
    <w:rPr>
      <w:rFonts w:ascii="Monaco" w:hAnsi="Monaco" w:eastAsia="Monaco" w:cs="Monaco"/>
      <w:sz w:val="21"/>
      <w:szCs w:val="21"/>
    </w:rPr>
  </w:style>
  <w:style w:type="character" w:customStyle="1" w:styleId="15">
    <w:name w:val="time"/>
    <w:basedOn w:val="7"/>
    <w:qFormat/>
    <w:uiPriority w:val="0"/>
    <w:rPr>
      <w:color w:val="484848"/>
    </w:rPr>
  </w:style>
  <w:style w:type="character" w:customStyle="1" w:styleId="16">
    <w:name w:val="页眉 Char"/>
    <w:basedOn w:val="7"/>
    <w:link w:val="3"/>
    <w:qFormat/>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E84A6B-F1AA-4536-BC26-EAD3D0145EB1}">
  <ds:schemaRefs/>
</ds:datastoreItem>
</file>

<file path=docProps/app.xml><?xml version="1.0" encoding="utf-8"?>
<Properties xmlns="http://schemas.openxmlformats.org/officeDocument/2006/extended-properties" xmlns:vt="http://schemas.openxmlformats.org/officeDocument/2006/docPropsVTypes">
  <Template>Normal</Template>
  <Pages>2</Pages>
  <Words>197</Words>
  <Characters>1124</Characters>
  <Lines>9</Lines>
  <Paragraphs>2</Paragraphs>
  <TotalTime>1</TotalTime>
  <ScaleCrop>false</ScaleCrop>
  <LinksUpToDate>false</LinksUpToDate>
  <CharactersWithSpaces>1319</CharactersWithSpaces>
  <Application>WPS Office_11.1.0.9292_F1E327BC-269C-435d-A152-05C5408002CA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2019-12-26T01:23:00Z</dcterms:created>
  <dc:creator>香香</dc:creator>
  <cp:lastModifiedBy>Administrator</cp:lastModifiedBy>
  <cp:lastPrinted>2020-01-02T09:58:00Z</cp:lastPrinted>
  <dcterms:modified xsi:type="dcterms:W3CDTF">2020-01-06T08:54:56Z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