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r>
        <w:rPr>
          <w:sz w:val="28"/>
          <w:szCs w:val="28"/>
        </w:rPr>
        <w:t>1</w:t>
      </w:r>
      <w:r>
        <w:rPr>
          <w:rFonts w:hint="eastAsia"/>
          <w:sz w:val="28"/>
          <w:szCs w:val="28"/>
        </w:rPr>
        <w:t>：</w:t>
      </w:r>
    </w:p>
    <w:p>
      <w:pPr>
        <w:spacing w:line="520" w:lineRule="exact"/>
        <w:jc w:val="center"/>
        <w:rPr>
          <w:b/>
          <w:sz w:val="28"/>
          <w:szCs w:val="28"/>
        </w:rPr>
      </w:pPr>
      <w:r>
        <w:rPr>
          <w:rFonts w:hint="eastAsia"/>
          <w:b/>
          <w:sz w:val="28"/>
          <w:szCs w:val="28"/>
        </w:rPr>
        <w:t>技术参数</w:t>
      </w:r>
      <w:bookmarkStart w:id="0" w:name="_GoBack"/>
      <w:bookmarkEnd w:id="0"/>
    </w:p>
    <w:p>
      <w:pPr>
        <w:spacing w:line="360" w:lineRule="auto"/>
        <w:contextualSpacing/>
        <w:rPr>
          <w:sz w:val="24"/>
          <w:szCs w:val="24"/>
        </w:rPr>
      </w:pPr>
      <w:r>
        <w:rPr>
          <w:rFonts w:hint="eastAsia"/>
          <w:sz w:val="24"/>
          <w:szCs w:val="24"/>
        </w:rPr>
        <w:t>一、设计范围</w:t>
      </w:r>
    </w:p>
    <w:p>
      <w:pPr>
        <w:spacing w:line="360" w:lineRule="auto"/>
        <w:ind w:firstLine="480" w:firstLineChars="200"/>
        <w:contextualSpacing/>
        <w:rPr>
          <w:sz w:val="24"/>
          <w:szCs w:val="24"/>
        </w:rPr>
      </w:pPr>
      <w:r>
        <w:rPr>
          <w:rFonts w:hint="eastAsia"/>
          <w:sz w:val="24"/>
          <w:szCs w:val="24"/>
          <w:u w:val="single"/>
        </w:rPr>
        <w:t>阳新县2020年高标准农田建设项目</w:t>
      </w:r>
      <w:r>
        <w:rPr>
          <w:rFonts w:hint="eastAsia"/>
          <w:sz w:val="24"/>
          <w:szCs w:val="24"/>
        </w:rPr>
        <w:t>规划总面积</w:t>
      </w:r>
      <w:r>
        <w:rPr>
          <w:rFonts w:hint="eastAsia"/>
          <w:sz w:val="24"/>
          <w:szCs w:val="24"/>
          <w:u w:val="single"/>
        </w:rPr>
        <w:t>5</w:t>
      </w:r>
      <w:r>
        <w:rPr>
          <w:rFonts w:hint="eastAsia"/>
          <w:sz w:val="24"/>
          <w:szCs w:val="24"/>
        </w:rPr>
        <w:t>万亩，工程项目规划投资约</w:t>
      </w:r>
      <w:r>
        <w:rPr>
          <w:rFonts w:hint="eastAsia"/>
          <w:sz w:val="24"/>
          <w:szCs w:val="24"/>
          <w:u w:val="single"/>
        </w:rPr>
        <w:t>7500</w:t>
      </w:r>
      <w:r>
        <w:rPr>
          <w:rFonts w:hint="eastAsia"/>
          <w:sz w:val="24"/>
          <w:szCs w:val="24"/>
        </w:rPr>
        <w:t>万元。项目实施地点：阳新县内，涉及排市、白沙、浮屠等乡镇。</w:t>
      </w:r>
    </w:p>
    <w:p>
      <w:pPr>
        <w:spacing w:line="360" w:lineRule="auto"/>
        <w:contextualSpacing/>
        <w:rPr>
          <w:sz w:val="24"/>
          <w:szCs w:val="24"/>
        </w:rPr>
      </w:pPr>
      <w:r>
        <w:rPr>
          <w:rFonts w:hint="eastAsia"/>
          <w:sz w:val="24"/>
          <w:szCs w:val="24"/>
        </w:rPr>
        <w:t>二、设计任务</w:t>
      </w:r>
    </w:p>
    <w:p>
      <w:pPr>
        <w:spacing w:line="360" w:lineRule="auto"/>
        <w:ind w:firstLine="480" w:firstLineChars="200"/>
        <w:contextualSpacing/>
        <w:rPr>
          <w:sz w:val="24"/>
          <w:szCs w:val="24"/>
        </w:rPr>
      </w:pPr>
      <w:r>
        <w:rPr>
          <w:rFonts w:hint="eastAsia"/>
          <w:sz w:val="24"/>
          <w:szCs w:val="24"/>
        </w:rPr>
        <w:t>对阳新县2020年高标准农田建设项目，征求项目区集体经济组织和农民意见后编制项目初步设计，初步设计文件包括初步设计报告、设计图、概算书等材料，及初步设计评审、报批，施工过程技术指导、问题答疑、变更设计方案、工程调整</w:t>
      </w:r>
      <w:r>
        <w:rPr>
          <w:rFonts w:hint="eastAsia" w:ascii="Times New Roman" w:hAnsi="Times New Roman" w:cs="Times New Roman"/>
          <w:sz w:val="24"/>
          <w:szCs w:val="24"/>
        </w:rPr>
        <w:t>、竣工资料整理</w:t>
      </w:r>
      <w:r>
        <w:rPr>
          <w:rFonts w:hint="eastAsia"/>
          <w:sz w:val="24"/>
          <w:szCs w:val="24"/>
        </w:rPr>
        <w:t>等相关服务。</w:t>
      </w:r>
    </w:p>
    <w:p>
      <w:pPr>
        <w:spacing w:line="360" w:lineRule="auto"/>
        <w:ind w:firstLine="480" w:firstLineChars="200"/>
        <w:contextualSpacing/>
        <w:rPr>
          <w:sz w:val="24"/>
          <w:szCs w:val="24"/>
        </w:rPr>
      </w:pPr>
      <w:r>
        <w:rPr>
          <w:rFonts w:hint="eastAsia"/>
          <w:sz w:val="24"/>
          <w:szCs w:val="24"/>
        </w:rPr>
        <w:t>1、初步设计报告须包括：项目区概况、水土资源条件、建设任务及设计方案、建设管理及施工组织设计、环境保护设计、概算、经济评价等内容及上图入库的数据和资料。</w:t>
      </w:r>
    </w:p>
    <w:p>
      <w:pPr>
        <w:spacing w:line="360" w:lineRule="auto"/>
        <w:ind w:firstLine="480" w:firstLineChars="200"/>
        <w:contextualSpacing/>
        <w:rPr>
          <w:sz w:val="24"/>
          <w:szCs w:val="24"/>
        </w:rPr>
      </w:pPr>
      <w:r>
        <w:rPr>
          <w:rFonts w:hint="eastAsia"/>
          <w:sz w:val="24"/>
          <w:szCs w:val="24"/>
        </w:rPr>
        <w:t>2、设计标准及规范</w:t>
      </w:r>
    </w:p>
    <w:p>
      <w:pPr>
        <w:spacing w:line="360" w:lineRule="auto"/>
        <w:ind w:firstLine="480" w:firstLineChars="200"/>
        <w:contextualSpacing/>
        <w:rPr>
          <w:sz w:val="24"/>
          <w:szCs w:val="24"/>
        </w:rPr>
      </w:pPr>
      <w:r>
        <w:rPr>
          <w:rFonts w:hint="eastAsia"/>
          <w:sz w:val="24"/>
          <w:szCs w:val="24"/>
        </w:rPr>
        <w:t>（1）《灌溉与排水工程设计规范》（GB50288-2018）</w:t>
      </w:r>
    </w:p>
    <w:p>
      <w:pPr>
        <w:spacing w:line="360" w:lineRule="auto"/>
        <w:ind w:firstLine="480" w:firstLineChars="200"/>
        <w:contextualSpacing/>
        <w:rPr>
          <w:sz w:val="24"/>
          <w:szCs w:val="24"/>
        </w:rPr>
      </w:pPr>
      <w:r>
        <w:rPr>
          <w:rFonts w:hint="eastAsia"/>
          <w:sz w:val="24"/>
          <w:szCs w:val="24"/>
        </w:rPr>
        <w:t>（2）《高标准基本农田建设标准（试行）》（TD/T1033-2012）</w:t>
      </w:r>
    </w:p>
    <w:p>
      <w:pPr>
        <w:spacing w:line="360" w:lineRule="auto"/>
        <w:ind w:firstLine="480" w:firstLineChars="200"/>
        <w:contextualSpacing/>
        <w:rPr>
          <w:sz w:val="24"/>
          <w:szCs w:val="24"/>
        </w:rPr>
      </w:pPr>
      <w:r>
        <w:rPr>
          <w:rFonts w:hint="eastAsia"/>
          <w:sz w:val="24"/>
          <w:szCs w:val="24"/>
        </w:rPr>
        <w:t>（3）《节水灌溉工程技术标准》（GB/T50363-2018）</w:t>
      </w:r>
    </w:p>
    <w:p>
      <w:pPr>
        <w:spacing w:line="360" w:lineRule="auto"/>
        <w:ind w:firstLine="480" w:firstLineChars="200"/>
        <w:contextualSpacing/>
        <w:rPr>
          <w:sz w:val="24"/>
          <w:szCs w:val="24"/>
        </w:rPr>
      </w:pPr>
      <w:r>
        <w:rPr>
          <w:rFonts w:hint="eastAsia"/>
          <w:sz w:val="24"/>
          <w:szCs w:val="24"/>
        </w:rPr>
        <w:t>（4）《农田水利规划导则》（SL726-2015）</w:t>
      </w:r>
    </w:p>
    <w:p>
      <w:pPr>
        <w:spacing w:line="360" w:lineRule="auto"/>
        <w:ind w:firstLine="480" w:firstLineChars="200"/>
        <w:contextualSpacing/>
        <w:rPr>
          <w:sz w:val="24"/>
          <w:szCs w:val="24"/>
        </w:rPr>
      </w:pPr>
      <w:r>
        <w:rPr>
          <w:rFonts w:hint="eastAsia"/>
          <w:sz w:val="24"/>
          <w:szCs w:val="24"/>
        </w:rPr>
        <w:t>（5）《治涝标准》（SL723-2016）</w:t>
      </w:r>
    </w:p>
    <w:p>
      <w:pPr>
        <w:spacing w:line="360" w:lineRule="auto"/>
        <w:ind w:firstLine="480" w:firstLineChars="200"/>
        <w:contextualSpacing/>
        <w:rPr>
          <w:sz w:val="24"/>
          <w:szCs w:val="24"/>
        </w:rPr>
      </w:pPr>
      <w:r>
        <w:rPr>
          <w:rFonts w:hint="eastAsia"/>
          <w:sz w:val="24"/>
          <w:szCs w:val="24"/>
        </w:rPr>
        <w:t>3、初步设计文本及图表装订顺序：</w:t>
      </w:r>
    </w:p>
    <w:p>
      <w:pPr>
        <w:spacing w:line="360" w:lineRule="auto"/>
        <w:ind w:firstLine="480" w:firstLineChars="200"/>
        <w:contextualSpacing/>
        <w:rPr>
          <w:sz w:val="24"/>
          <w:szCs w:val="24"/>
        </w:rPr>
      </w:pPr>
      <w:r>
        <w:rPr>
          <w:rFonts w:hint="eastAsia"/>
          <w:sz w:val="24"/>
          <w:szCs w:val="24"/>
        </w:rPr>
        <w:t>（1）封面（包括项目名称、设计单位、编制日期）；</w:t>
      </w:r>
    </w:p>
    <w:p>
      <w:pPr>
        <w:spacing w:line="360" w:lineRule="auto"/>
        <w:ind w:firstLine="480" w:firstLineChars="200"/>
        <w:contextualSpacing/>
        <w:rPr>
          <w:sz w:val="24"/>
          <w:szCs w:val="24"/>
        </w:rPr>
      </w:pPr>
      <w:r>
        <w:rPr>
          <w:rFonts w:hint="eastAsia"/>
          <w:sz w:val="24"/>
          <w:szCs w:val="24"/>
        </w:rPr>
        <w:t>（2）首页（包括项目名称、项目建设地点、项目开发面积、项目投资构成、项目负责单位及负责人、项目设计单位及负责人，项目名称需注明是否是千亿斤粮食产能田间工程项目、大宗油料作物生产基地项目和含高效节水灌溉任务的项目）；</w:t>
      </w:r>
    </w:p>
    <w:p>
      <w:pPr>
        <w:spacing w:line="360" w:lineRule="auto"/>
        <w:ind w:firstLine="480" w:firstLineChars="200"/>
        <w:contextualSpacing/>
        <w:rPr>
          <w:sz w:val="24"/>
          <w:szCs w:val="24"/>
        </w:rPr>
      </w:pPr>
      <w:r>
        <w:rPr>
          <w:rFonts w:hint="eastAsia"/>
          <w:sz w:val="24"/>
          <w:szCs w:val="24"/>
        </w:rPr>
        <w:t>（3）设计单位资质复印件；</w:t>
      </w:r>
    </w:p>
    <w:p>
      <w:pPr>
        <w:spacing w:line="360" w:lineRule="auto"/>
        <w:ind w:firstLine="480" w:firstLineChars="200"/>
        <w:contextualSpacing/>
        <w:rPr>
          <w:sz w:val="24"/>
          <w:szCs w:val="24"/>
        </w:rPr>
      </w:pPr>
      <w:r>
        <w:rPr>
          <w:rFonts w:hint="eastAsia"/>
          <w:sz w:val="24"/>
          <w:szCs w:val="24"/>
        </w:rPr>
        <w:t>（4）目录；</w:t>
      </w:r>
    </w:p>
    <w:p>
      <w:pPr>
        <w:spacing w:line="360" w:lineRule="auto"/>
        <w:ind w:firstLine="480" w:firstLineChars="200"/>
        <w:contextualSpacing/>
        <w:rPr>
          <w:sz w:val="24"/>
          <w:szCs w:val="24"/>
        </w:rPr>
      </w:pPr>
      <w:r>
        <w:rPr>
          <w:rFonts w:hint="eastAsia"/>
          <w:sz w:val="24"/>
          <w:szCs w:val="24"/>
        </w:rPr>
        <w:t>（5）正文；</w:t>
      </w:r>
    </w:p>
    <w:p>
      <w:pPr>
        <w:spacing w:line="360" w:lineRule="auto"/>
        <w:ind w:firstLine="480" w:firstLineChars="200"/>
        <w:contextualSpacing/>
        <w:rPr>
          <w:sz w:val="24"/>
          <w:szCs w:val="24"/>
        </w:rPr>
      </w:pPr>
      <w:r>
        <w:rPr>
          <w:rFonts w:hint="eastAsia"/>
          <w:sz w:val="24"/>
          <w:szCs w:val="24"/>
        </w:rPr>
        <w:t>（6）概预算（含概预算编制说明和单价分析）；</w:t>
      </w:r>
    </w:p>
    <w:p>
      <w:pPr>
        <w:spacing w:line="360" w:lineRule="auto"/>
        <w:ind w:firstLine="480" w:firstLineChars="200"/>
        <w:contextualSpacing/>
        <w:rPr>
          <w:sz w:val="24"/>
          <w:szCs w:val="24"/>
        </w:rPr>
      </w:pPr>
      <w:r>
        <w:rPr>
          <w:rFonts w:hint="eastAsia"/>
          <w:sz w:val="24"/>
          <w:szCs w:val="24"/>
        </w:rPr>
        <w:t>（7）相关附件；</w:t>
      </w:r>
    </w:p>
    <w:p>
      <w:pPr>
        <w:spacing w:line="360" w:lineRule="auto"/>
        <w:ind w:firstLine="480" w:firstLineChars="200"/>
        <w:contextualSpacing/>
        <w:rPr>
          <w:sz w:val="24"/>
          <w:szCs w:val="24"/>
        </w:rPr>
      </w:pPr>
      <w:r>
        <w:rPr>
          <w:rFonts w:hint="eastAsia"/>
          <w:sz w:val="24"/>
          <w:szCs w:val="24"/>
        </w:rPr>
        <w:t>（8）相关附表；</w:t>
      </w:r>
    </w:p>
    <w:p>
      <w:pPr>
        <w:spacing w:line="360" w:lineRule="auto"/>
        <w:ind w:firstLine="480" w:firstLineChars="200"/>
        <w:contextualSpacing/>
        <w:rPr>
          <w:sz w:val="24"/>
          <w:szCs w:val="24"/>
        </w:rPr>
      </w:pPr>
      <w:r>
        <w:rPr>
          <w:rFonts w:hint="eastAsia"/>
          <w:sz w:val="24"/>
          <w:szCs w:val="24"/>
        </w:rPr>
        <w:t>（9）附图（根据实际需要确定内容，必须包括以下4个方面的图，可单独装订）：项目区定位图、现状图、规划布置图、施工图；</w:t>
      </w:r>
    </w:p>
    <w:p>
      <w:pPr>
        <w:spacing w:line="360" w:lineRule="auto"/>
        <w:ind w:firstLine="480" w:firstLineChars="200"/>
        <w:contextualSpacing/>
        <w:rPr>
          <w:sz w:val="24"/>
          <w:szCs w:val="24"/>
        </w:rPr>
      </w:pPr>
      <w:r>
        <w:rPr>
          <w:rFonts w:hint="eastAsia"/>
          <w:sz w:val="24"/>
          <w:szCs w:val="24"/>
        </w:rPr>
        <w:t>初步设计均按A4规格（双面打印）装订，图纸单独装订的可采用A3规格，现状图和规划图要按1:10000出图，按A3或A4规格折叠装订。</w:t>
      </w:r>
    </w:p>
    <w:p>
      <w:pPr>
        <w:spacing w:line="360" w:lineRule="auto"/>
        <w:contextualSpacing/>
        <w:rPr>
          <w:sz w:val="24"/>
          <w:szCs w:val="24"/>
        </w:rPr>
      </w:pPr>
      <w:r>
        <w:rPr>
          <w:rFonts w:hint="eastAsia"/>
          <w:sz w:val="24"/>
          <w:szCs w:val="24"/>
        </w:rPr>
        <w:t>三、设计周期</w:t>
      </w:r>
    </w:p>
    <w:p>
      <w:pPr>
        <w:spacing w:line="360" w:lineRule="auto"/>
        <w:ind w:firstLine="480" w:firstLineChars="200"/>
        <w:contextualSpacing/>
        <w:rPr>
          <w:sz w:val="24"/>
          <w:szCs w:val="24"/>
        </w:rPr>
      </w:pPr>
      <w:r>
        <w:rPr>
          <w:rFonts w:hint="eastAsia"/>
          <w:sz w:val="24"/>
          <w:szCs w:val="24"/>
        </w:rPr>
        <w:t>合同签订后，30日历天内完成并提供设计图册、实施方案和工程预算。</w:t>
      </w:r>
    </w:p>
    <w:p>
      <w:pPr>
        <w:spacing w:line="360" w:lineRule="auto"/>
        <w:contextualSpacing/>
        <w:rPr>
          <w:sz w:val="24"/>
          <w:szCs w:val="24"/>
        </w:rPr>
      </w:pPr>
      <w:r>
        <w:rPr>
          <w:rFonts w:hint="eastAsia"/>
          <w:sz w:val="24"/>
          <w:szCs w:val="24"/>
        </w:rPr>
        <w:t>四、付款方式</w:t>
      </w:r>
    </w:p>
    <w:p>
      <w:pPr>
        <w:spacing w:line="360" w:lineRule="auto"/>
        <w:ind w:firstLine="480" w:firstLineChars="200"/>
        <w:contextualSpacing/>
        <w:rPr>
          <w:sz w:val="24"/>
          <w:szCs w:val="24"/>
        </w:rPr>
      </w:pPr>
      <w:r>
        <w:rPr>
          <w:rFonts w:hint="eastAsia" w:ascii="Times New Roman" w:hAnsi="Times New Roman" w:cs="Times New Roman"/>
          <w:color w:val="000000"/>
          <w:sz w:val="24"/>
          <w:szCs w:val="28"/>
        </w:rPr>
        <w:t>按《阳新县高标准农田建设实施方案》（阳政办函[2018]34号）文件规定7:3比例分期支付。提交成果文件，项目通过立项审批后拨付70%，工程竣工验收后付清。</w:t>
      </w:r>
      <w:r>
        <w:rPr>
          <w:rFonts w:hint="eastAsia" w:ascii="Times New Roman" w:hAnsi="Times New Roman" w:cs="Times New Roman"/>
          <w:bCs/>
          <w:sz w:val="24"/>
          <w:szCs w:val="24"/>
        </w:rPr>
        <w:t>本项目的最终支付价格将以财政评审结果进行结算。</w:t>
      </w:r>
    </w:p>
    <w:p>
      <w:pPr>
        <w:spacing w:line="360" w:lineRule="auto"/>
        <w:contextualSpacing/>
        <w:rPr>
          <w:sz w:val="24"/>
          <w:szCs w:val="24"/>
        </w:rPr>
      </w:pPr>
      <w:r>
        <w:rPr>
          <w:rFonts w:hint="eastAsia"/>
          <w:sz w:val="24"/>
          <w:szCs w:val="24"/>
        </w:rPr>
        <w:t>五、售后服务要求</w:t>
      </w:r>
    </w:p>
    <w:p>
      <w:pPr>
        <w:spacing w:line="360" w:lineRule="auto"/>
        <w:ind w:firstLine="480" w:firstLineChars="200"/>
        <w:contextualSpacing/>
        <w:rPr>
          <w:sz w:val="24"/>
          <w:szCs w:val="24"/>
        </w:rPr>
      </w:pPr>
      <w:r>
        <w:rPr>
          <w:sz w:val="24"/>
          <w:szCs w:val="24"/>
        </w:rPr>
        <w:t>1</w:t>
      </w:r>
      <w:r>
        <w:rPr>
          <w:rFonts w:hint="eastAsia"/>
          <w:sz w:val="24"/>
          <w:szCs w:val="24"/>
        </w:rPr>
        <w:t>、初步设计符合国家、地方相关标准及行业标准，达到国家相关检验评定合格标准及通过县、市、省三级专家评审。</w:t>
      </w:r>
    </w:p>
    <w:p>
      <w:pPr>
        <w:spacing w:line="360" w:lineRule="auto"/>
        <w:ind w:firstLine="480" w:firstLineChars="200"/>
        <w:contextualSpacing/>
        <w:rPr>
          <w:sz w:val="24"/>
          <w:szCs w:val="24"/>
        </w:rPr>
      </w:pPr>
      <w:r>
        <w:rPr>
          <w:rFonts w:hint="eastAsia"/>
          <w:sz w:val="24"/>
          <w:szCs w:val="24"/>
        </w:rPr>
        <w:t>2、做好上图入库信息收集和整理工作，确保本项目上图入库和项目建设竣工验收合格。</w:t>
      </w:r>
    </w:p>
    <w:p>
      <w:pPr>
        <w:spacing w:line="360" w:lineRule="auto"/>
        <w:ind w:firstLine="480" w:firstLineChars="200"/>
        <w:contextualSpacing/>
        <w:rPr>
          <w:sz w:val="24"/>
          <w:szCs w:val="24"/>
        </w:rPr>
      </w:pPr>
      <w:r>
        <w:rPr>
          <w:rFonts w:hint="eastAsia"/>
          <w:sz w:val="24"/>
          <w:szCs w:val="24"/>
        </w:rPr>
        <w:t>3、设计文本、预算书和图册除提供纸质版材料外，还要提供 PDF 格式电子版资料，设计图纸必须用</w:t>
      </w:r>
      <w:r>
        <w:rPr>
          <w:sz w:val="24"/>
          <w:szCs w:val="24"/>
        </w:rPr>
        <w:t>CAD</w:t>
      </w:r>
      <w:r>
        <w:rPr>
          <w:rFonts w:hint="eastAsia"/>
          <w:sz w:val="24"/>
          <w:szCs w:val="24"/>
        </w:rPr>
        <w:t>软件绘制。</w:t>
      </w:r>
    </w:p>
    <w:p>
      <w:pPr>
        <w:spacing w:line="520" w:lineRule="exact"/>
        <w:ind w:firstLine="480" w:firstLineChars="200"/>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tabs>
          <w:tab w:val="left" w:leader="dot" w:pos="8505"/>
        </w:tabs>
        <w:spacing w:line="360" w:lineRule="auto"/>
        <w:jc w:val="center"/>
        <w:rPr>
          <w:rFonts w:ascii="宋体" w:hAnsi="宋体" w:cs="宋体"/>
          <w:sz w:val="24"/>
          <w:szCs w:val="24"/>
        </w:rPr>
      </w:pPr>
    </w:p>
    <w:p>
      <w:pPr>
        <w:tabs>
          <w:tab w:val="left" w:leader="dot" w:pos="8505"/>
        </w:tabs>
        <w:spacing w:line="360" w:lineRule="auto"/>
        <w:jc w:val="center"/>
        <w:rPr>
          <w:rFonts w:ascii="宋体" w:cs="宋体"/>
          <w:sz w:val="24"/>
          <w:szCs w:val="24"/>
        </w:rPr>
      </w:pPr>
      <w:r>
        <w:rPr>
          <w:rFonts w:hint="eastAsia" w:ascii="宋体" w:hAnsi="宋体" w:cs="宋体"/>
          <w:sz w:val="24"/>
          <w:szCs w:val="24"/>
        </w:rPr>
        <w:t>评分标准</w:t>
      </w:r>
    </w:p>
    <w:tbl>
      <w:tblPr>
        <w:tblStyle w:val="6"/>
        <w:tblW w:w="8979" w:type="dxa"/>
        <w:jc w:val="center"/>
        <w:tblLayout w:type="fixed"/>
        <w:tblCellMar>
          <w:top w:w="0" w:type="dxa"/>
          <w:left w:w="108" w:type="dxa"/>
          <w:bottom w:w="0" w:type="dxa"/>
          <w:right w:w="108" w:type="dxa"/>
        </w:tblCellMar>
      </w:tblPr>
      <w:tblGrid>
        <w:gridCol w:w="463"/>
        <w:gridCol w:w="1158"/>
        <w:gridCol w:w="807"/>
        <w:gridCol w:w="6551"/>
      </w:tblGrid>
      <w:tr>
        <w:tblPrEx>
          <w:tblCellMar>
            <w:top w:w="0" w:type="dxa"/>
            <w:left w:w="108" w:type="dxa"/>
            <w:bottom w:w="0" w:type="dxa"/>
            <w:right w:w="108" w:type="dxa"/>
          </w:tblCellMar>
        </w:tblPrEx>
        <w:trPr>
          <w:trHeight w:val="532" w:hRule="atLeast"/>
          <w:jc w:val="center"/>
        </w:trPr>
        <w:tc>
          <w:tcPr>
            <w:tcW w:w="1621" w:type="dxa"/>
            <w:gridSpan w:val="2"/>
            <w:tcBorders>
              <w:top w:val="single" w:color="auto" w:sz="4" w:space="0"/>
              <w:left w:val="single" w:color="auto" w:sz="4" w:space="0"/>
              <w:bottom w:val="single" w:color="auto" w:sz="4" w:space="0"/>
              <w:right w:val="single" w:color="auto" w:sz="4" w:space="0"/>
            </w:tcBorders>
            <w:vAlign w:val="center"/>
          </w:tcPr>
          <w:p>
            <w:pPr>
              <w:widowControl/>
              <w:ind w:firstLine="211" w:firstLineChars="100"/>
              <w:rPr>
                <w:rFonts w:ascii="宋体" w:cs="宋体"/>
                <w:b/>
                <w:kern w:val="0"/>
                <w:szCs w:val="21"/>
              </w:rPr>
            </w:pPr>
            <w:r>
              <w:rPr>
                <w:rFonts w:hint="eastAsia" w:ascii="宋体" w:hAnsi="宋体" w:cs="宋体"/>
                <w:b/>
                <w:kern w:val="0"/>
                <w:szCs w:val="21"/>
              </w:rPr>
              <w:t>评分项目</w:t>
            </w:r>
          </w:p>
        </w:tc>
        <w:tc>
          <w:tcPr>
            <w:tcW w:w="807" w:type="dxa"/>
            <w:tcBorders>
              <w:top w:val="single" w:color="auto" w:sz="4" w:space="0"/>
              <w:left w:val="nil"/>
              <w:bottom w:val="single" w:color="auto" w:sz="4" w:space="0"/>
              <w:right w:val="nil"/>
            </w:tcBorders>
            <w:vAlign w:val="center"/>
          </w:tcPr>
          <w:p>
            <w:pPr>
              <w:widowControl/>
              <w:jc w:val="center"/>
              <w:rPr>
                <w:rFonts w:ascii="宋体" w:cs="宋体"/>
                <w:b/>
                <w:kern w:val="0"/>
                <w:szCs w:val="21"/>
              </w:rPr>
            </w:pPr>
            <w:r>
              <w:rPr>
                <w:rFonts w:hint="eastAsia" w:ascii="宋体" w:hAnsi="宋体" w:cs="宋体"/>
                <w:b/>
                <w:kern w:val="0"/>
                <w:szCs w:val="21"/>
              </w:rPr>
              <w:t>分数</w:t>
            </w:r>
          </w:p>
        </w:tc>
        <w:tc>
          <w:tcPr>
            <w:tcW w:w="6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评分标准</w:t>
            </w:r>
          </w:p>
        </w:tc>
      </w:tr>
      <w:tr>
        <w:tblPrEx>
          <w:tblCellMar>
            <w:top w:w="0" w:type="dxa"/>
            <w:left w:w="108" w:type="dxa"/>
            <w:bottom w:w="0" w:type="dxa"/>
            <w:right w:w="108" w:type="dxa"/>
          </w:tblCellMar>
        </w:tblPrEx>
        <w:trPr>
          <w:trHeight w:val="758" w:hRule="atLeast"/>
          <w:jc w:val="center"/>
        </w:trPr>
        <w:tc>
          <w:tcPr>
            <w:tcW w:w="162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报价部分</w:t>
            </w:r>
          </w:p>
          <w:p>
            <w:pPr>
              <w:widowControl/>
              <w:jc w:val="center"/>
              <w:rPr>
                <w:rFonts w:ascii="宋体" w:hAnsi="宋体" w:cs="宋体"/>
                <w:kern w:val="0"/>
                <w:szCs w:val="21"/>
              </w:rPr>
            </w:pPr>
            <w:r>
              <w:rPr>
                <w:rFonts w:hint="eastAsia" w:ascii="宋体" w:hAnsi="宋体" w:cs="宋体"/>
                <w:kern w:val="0"/>
                <w:szCs w:val="21"/>
              </w:rPr>
              <w:t>30分</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w:t>
            </w:r>
          </w:p>
        </w:tc>
        <w:tc>
          <w:tcPr>
            <w:tcW w:w="6551"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以所有合格供应商最终报价中最低的报价为评审基准价，其价格分为30分。其它供应商的报价得分按下列公式计算：报价得分</w:t>
            </w:r>
            <w:r>
              <w:rPr>
                <w:rFonts w:ascii="宋体" w:hAnsi="宋体" w:cs="宋体"/>
                <w:kern w:val="0"/>
                <w:szCs w:val="21"/>
              </w:rPr>
              <w:t>=</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磋商报价）×30分。计算时保留两位小数。为保证服务质量，投标报价低于采购预算</w:t>
            </w:r>
            <w:r>
              <w:rPr>
                <w:rFonts w:ascii="宋体" w:hAnsi="宋体" w:cs="宋体"/>
                <w:kern w:val="0"/>
                <w:szCs w:val="21"/>
              </w:rPr>
              <w:t>80%</w:t>
            </w:r>
            <w:r>
              <w:rPr>
                <w:rFonts w:hint="eastAsia" w:ascii="宋体" w:hAnsi="宋体" w:cs="宋体"/>
                <w:kern w:val="0"/>
                <w:szCs w:val="21"/>
              </w:rPr>
              <w:t>时，评标委员会将对其进行成本分析，评标委员会认为报价低于成本价时将否决其投标。</w:t>
            </w:r>
          </w:p>
        </w:tc>
      </w:tr>
      <w:tr>
        <w:tblPrEx>
          <w:tblCellMar>
            <w:top w:w="0" w:type="dxa"/>
            <w:left w:w="108" w:type="dxa"/>
            <w:bottom w:w="0" w:type="dxa"/>
            <w:right w:w="108" w:type="dxa"/>
          </w:tblCellMar>
        </w:tblPrEx>
        <w:trPr>
          <w:trHeight w:val="722" w:hRule="atLeast"/>
          <w:jc w:val="center"/>
        </w:trPr>
        <w:tc>
          <w:tcPr>
            <w:tcW w:w="463" w:type="dxa"/>
            <w:vMerge w:val="restart"/>
            <w:tcBorders>
              <w:top w:val="nil"/>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技术部分35分</w:t>
            </w:r>
          </w:p>
        </w:tc>
        <w:tc>
          <w:tcPr>
            <w:tcW w:w="1158" w:type="dxa"/>
            <w:tcBorders>
              <w:top w:val="nil"/>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对项目的</w:t>
            </w:r>
          </w:p>
          <w:p>
            <w:pPr>
              <w:widowControl/>
              <w:jc w:val="center"/>
              <w:rPr>
                <w:rFonts w:ascii="宋体" w:cs="宋体"/>
                <w:kern w:val="0"/>
                <w:szCs w:val="21"/>
              </w:rPr>
            </w:pPr>
            <w:r>
              <w:rPr>
                <w:rFonts w:hint="eastAsia" w:ascii="宋体" w:hAnsi="宋体" w:cs="宋体"/>
                <w:kern w:val="0"/>
                <w:szCs w:val="21"/>
              </w:rPr>
              <w:t>理解</w:t>
            </w:r>
          </w:p>
        </w:tc>
        <w:tc>
          <w:tcPr>
            <w:tcW w:w="807" w:type="dxa"/>
            <w:tcBorders>
              <w:top w:val="nil"/>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6551" w:type="dxa"/>
            <w:tcBorders>
              <w:top w:val="single" w:color="auto" w:sz="4" w:space="0"/>
              <w:left w:val="nil"/>
              <w:bottom w:val="single" w:color="auto" w:sz="4" w:space="0"/>
              <w:right w:val="single" w:color="auto" w:sz="4" w:space="0"/>
            </w:tcBorders>
          </w:tcPr>
          <w:p>
            <w:pPr>
              <w:spacing w:before="156" w:after="156"/>
              <w:jc w:val="left"/>
              <w:rPr>
                <w:rFonts w:ascii="宋体" w:cs="宋体"/>
                <w:kern w:val="0"/>
                <w:szCs w:val="21"/>
              </w:rPr>
            </w:pPr>
            <w:r>
              <w:rPr>
                <w:rFonts w:hint="eastAsia" w:ascii="宋体" w:hAnsi="宋体" w:cs="宋体"/>
                <w:szCs w:val="21"/>
                <w:shd w:val="clear" w:color="auto" w:fill="FFFFFF"/>
              </w:rPr>
              <w:t>对项目的总体布局、周边环境协调的理解与分析，对项目特点、重点与难点分析，针对特点、重点与难点的措施</w:t>
            </w:r>
            <w:r>
              <w:rPr>
                <w:rFonts w:ascii="宋体" w:hAnsi="宋体" w:cs="宋体"/>
                <w:szCs w:val="21"/>
                <w:shd w:val="clear" w:color="auto" w:fill="FFFFFF"/>
              </w:rPr>
              <w:t>,</w:t>
            </w:r>
            <w:r>
              <w:rPr>
                <w:rFonts w:hint="eastAsia" w:ascii="宋体" w:hAnsi="宋体" w:cs="宋体"/>
                <w:szCs w:val="21"/>
                <w:shd w:val="clear" w:color="auto" w:fill="FFFFFF"/>
              </w:rPr>
              <w:t>分析清楚措施得力的得4分。欠妥的得1分，</w:t>
            </w:r>
            <w:r>
              <w:rPr>
                <w:rFonts w:hint="eastAsia" w:ascii="宋体" w:hAnsi="宋体" w:cs="宋体"/>
                <w:szCs w:val="21"/>
              </w:rPr>
              <w:t>无不得分。</w:t>
            </w:r>
          </w:p>
        </w:tc>
      </w:tr>
      <w:tr>
        <w:tblPrEx>
          <w:tblCellMar>
            <w:top w:w="0" w:type="dxa"/>
            <w:left w:w="108" w:type="dxa"/>
            <w:bottom w:w="0" w:type="dxa"/>
            <w:right w:w="108" w:type="dxa"/>
          </w:tblCellMar>
        </w:tblPrEx>
        <w:trPr>
          <w:trHeight w:val="56"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项目工作</w:t>
            </w:r>
          </w:p>
          <w:p>
            <w:pPr>
              <w:widowControl/>
              <w:jc w:val="center"/>
              <w:rPr>
                <w:rFonts w:ascii="宋体" w:cs="宋体"/>
                <w:kern w:val="0"/>
                <w:szCs w:val="21"/>
              </w:rPr>
            </w:pPr>
            <w:r>
              <w:rPr>
                <w:rFonts w:hint="eastAsia" w:ascii="宋体" w:hAnsi="宋体" w:cs="宋体"/>
                <w:kern w:val="0"/>
                <w:szCs w:val="21"/>
              </w:rPr>
              <w:t>思路</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6551" w:type="dxa"/>
            <w:tcBorders>
              <w:top w:val="single" w:color="auto" w:sz="4" w:space="0"/>
              <w:left w:val="nil"/>
              <w:bottom w:val="single" w:color="auto" w:sz="4" w:space="0"/>
              <w:right w:val="single" w:color="auto" w:sz="4" w:space="0"/>
            </w:tcBorders>
          </w:tcPr>
          <w:p>
            <w:pPr>
              <w:spacing w:before="156" w:after="156"/>
              <w:jc w:val="left"/>
              <w:rPr>
                <w:rFonts w:ascii="宋体" w:cs="宋体"/>
                <w:kern w:val="0"/>
                <w:szCs w:val="21"/>
              </w:rPr>
            </w:pPr>
            <w:r>
              <w:rPr>
                <w:rFonts w:hint="eastAsia" w:ascii="宋体" w:hAnsi="宋体" w:cs="宋体"/>
                <w:kern w:val="0"/>
                <w:szCs w:val="21"/>
              </w:rPr>
              <w:t>工作思路清晰，技术路线科学可行、主要方案科学合理的得4分，</w:t>
            </w:r>
            <w:r>
              <w:rPr>
                <w:rFonts w:hint="eastAsia" w:ascii="宋体" w:hAnsi="宋体" w:cs="宋体"/>
                <w:szCs w:val="21"/>
              </w:rPr>
              <w:t>无不得分。</w:t>
            </w:r>
          </w:p>
        </w:tc>
      </w:tr>
      <w:tr>
        <w:tblPrEx>
          <w:tblCellMar>
            <w:top w:w="0" w:type="dxa"/>
            <w:left w:w="108" w:type="dxa"/>
            <w:bottom w:w="0" w:type="dxa"/>
            <w:right w:w="108" w:type="dxa"/>
          </w:tblCellMar>
        </w:tblPrEx>
        <w:trPr>
          <w:trHeight w:val="167"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szCs w:val="21"/>
                <w:shd w:val="clear" w:color="auto" w:fill="FFFFFF"/>
              </w:rPr>
              <w:t>设计特点及关键性技术问题</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6551" w:type="dxa"/>
            <w:tcBorders>
              <w:top w:val="single" w:color="auto" w:sz="4" w:space="0"/>
              <w:left w:val="nil"/>
              <w:bottom w:val="single" w:color="auto" w:sz="4" w:space="0"/>
              <w:right w:val="single" w:color="auto" w:sz="4" w:space="0"/>
            </w:tcBorders>
          </w:tcPr>
          <w:p>
            <w:pPr>
              <w:spacing w:before="156" w:after="156"/>
              <w:jc w:val="left"/>
              <w:rPr>
                <w:rFonts w:ascii="宋体" w:cs="宋体"/>
                <w:kern w:val="0"/>
                <w:szCs w:val="21"/>
              </w:rPr>
            </w:pPr>
            <w:r>
              <w:rPr>
                <w:rFonts w:hint="eastAsia" w:ascii="宋体" w:hAnsi="宋体" w:cs="宋体"/>
                <w:szCs w:val="21"/>
                <w:shd w:val="clear" w:color="auto" w:fill="FFFFFF"/>
              </w:rPr>
              <w:t>对项目设计的特点及关键性技术问题的对策措施：对项目设计深度、特点分析，符合本项目要求设计的得2分，符合本项目要求设计并在后期维护及管理等合理的得4分</w:t>
            </w:r>
            <w:r>
              <w:rPr>
                <w:rFonts w:hint="eastAsia" w:ascii="宋体" w:hAnsi="宋体" w:cs="宋体"/>
                <w:szCs w:val="21"/>
              </w:rPr>
              <w:t>，无不得分。</w:t>
            </w:r>
          </w:p>
        </w:tc>
      </w:tr>
      <w:tr>
        <w:tblPrEx>
          <w:tblCellMar>
            <w:top w:w="0" w:type="dxa"/>
            <w:left w:w="108" w:type="dxa"/>
            <w:bottom w:w="0" w:type="dxa"/>
            <w:right w:w="108" w:type="dxa"/>
          </w:tblCellMar>
        </w:tblPrEx>
        <w:trPr>
          <w:trHeight w:val="224"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Cs w:val="21"/>
                <w:shd w:val="clear" w:color="auto" w:fill="FFFFFF"/>
              </w:rPr>
            </w:pPr>
            <w:r>
              <w:rPr>
                <w:rFonts w:hint="eastAsia" w:ascii="宋体" w:hAnsi="宋体" w:cs="宋体"/>
                <w:szCs w:val="21"/>
                <w:shd w:val="clear" w:color="auto" w:fill="FFFFFF"/>
              </w:rPr>
              <w:t>合理化</w:t>
            </w:r>
          </w:p>
          <w:p>
            <w:pPr>
              <w:widowControl/>
              <w:jc w:val="center"/>
              <w:rPr>
                <w:rFonts w:ascii="宋体" w:cs="宋体"/>
                <w:kern w:val="0"/>
                <w:szCs w:val="21"/>
              </w:rPr>
            </w:pPr>
            <w:r>
              <w:rPr>
                <w:rFonts w:hint="eastAsia" w:ascii="宋体" w:hAnsi="宋体" w:cs="宋体"/>
                <w:szCs w:val="21"/>
                <w:shd w:val="clear" w:color="auto" w:fill="FFFFFF"/>
              </w:rPr>
              <w:t>建议</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6551" w:type="dxa"/>
            <w:tcBorders>
              <w:top w:val="single" w:color="auto" w:sz="4" w:space="0"/>
              <w:left w:val="nil"/>
              <w:bottom w:val="single" w:color="auto" w:sz="4" w:space="0"/>
              <w:right w:val="single" w:color="auto" w:sz="4" w:space="0"/>
            </w:tcBorders>
          </w:tcPr>
          <w:p>
            <w:pPr>
              <w:spacing w:before="156" w:after="156"/>
              <w:jc w:val="left"/>
              <w:rPr>
                <w:rFonts w:ascii="宋体" w:cs="宋体"/>
                <w:szCs w:val="21"/>
                <w:shd w:val="clear" w:color="auto" w:fill="FFFFFF"/>
              </w:rPr>
            </w:pPr>
            <w:r>
              <w:rPr>
                <w:rFonts w:hint="eastAsia" w:ascii="宋体" w:hAnsi="宋体" w:cs="宋体"/>
                <w:szCs w:val="21"/>
                <w:shd w:val="clear" w:color="auto" w:fill="FFFFFF"/>
              </w:rPr>
              <w:t>提出的设计基础资料清单和各专业应遵循的设计规定和规范全面、清晰，提出的实施建议方案切实可行的得3分，</w:t>
            </w:r>
            <w:r>
              <w:rPr>
                <w:rFonts w:hint="eastAsia" w:ascii="宋体" w:hAnsi="宋体" w:cs="宋体"/>
                <w:szCs w:val="21"/>
              </w:rPr>
              <w:t>无不得分。</w:t>
            </w:r>
          </w:p>
        </w:tc>
      </w:tr>
      <w:tr>
        <w:tblPrEx>
          <w:tblCellMar>
            <w:top w:w="0" w:type="dxa"/>
            <w:left w:w="108" w:type="dxa"/>
            <w:bottom w:w="0" w:type="dxa"/>
            <w:right w:w="108" w:type="dxa"/>
          </w:tblCellMar>
        </w:tblPrEx>
        <w:trPr>
          <w:trHeight w:val="1244"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szCs w:val="21"/>
                <w:shd w:val="clear" w:color="auto" w:fill="FFFFFF"/>
              </w:rPr>
              <w:t>保证措施</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6551" w:type="dxa"/>
            <w:tcBorders>
              <w:top w:val="single" w:color="auto" w:sz="4" w:space="0"/>
              <w:left w:val="nil"/>
              <w:bottom w:val="single" w:color="auto" w:sz="4" w:space="0"/>
              <w:right w:val="single" w:color="auto" w:sz="4" w:space="0"/>
            </w:tcBorders>
          </w:tcPr>
          <w:p>
            <w:pPr>
              <w:spacing w:before="156" w:after="156"/>
              <w:jc w:val="left"/>
            </w:pPr>
            <w:r>
              <w:rPr>
                <w:rFonts w:hint="eastAsia"/>
              </w:rPr>
              <w:t>与采购人、设计单位及相关审查部门配合的方法措施、提供优质服务的保证措施具体全面，可操作性强且有明确承诺得4分，</w:t>
            </w:r>
            <w:r>
              <w:rPr>
                <w:rFonts w:hint="eastAsia" w:ascii="宋体" w:hAnsi="宋体" w:cs="宋体"/>
                <w:szCs w:val="21"/>
              </w:rPr>
              <w:t>无不得分。</w:t>
            </w:r>
          </w:p>
        </w:tc>
      </w:tr>
      <w:tr>
        <w:tblPrEx>
          <w:tblCellMar>
            <w:top w:w="0" w:type="dxa"/>
            <w:left w:w="108" w:type="dxa"/>
            <w:bottom w:w="0" w:type="dxa"/>
            <w:right w:w="108" w:type="dxa"/>
          </w:tblCellMar>
        </w:tblPrEx>
        <w:trPr>
          <w:trHeight w:val="1190"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szCs w:val="21"/>
                <w:shd w:val="clear" w:color="auto" w:fill="FFFFFF"/>
              </w:rPr>
              <w:t>工程投资控制</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6551" w:type="dxa"/>
            <w:tcBorders>
              <w:top w:val="single" w:color="auto" w:sz="4" w:space="0"/>
              <w:left w:val="nil"/>
              <w:bottom w:val="single" w:color="auto" w:sz="4" w:space="0"/>
              <w:right w:val="single" w:color="auto" w:sz="4" w:space="0"/>
            </w:tcBorders>
          </w:tcPr>
          <w:p>
            <w:pPr>
              <w:spacing w:before="156" w:after="156"/>
              <w:jc w:val="left"/>
              <w:rPr>
                <w:rFonts w:ascii="宋体" w:cs="宋体"/>
                <w:kern w:val="0"/>
                <w:szCs w:val="21"/>
              </w:rPr>
            </w:pPr>
            <w:r>
              <w:rPr>
                <w:rFonts w:hint="eastAsia" w:ascii="宋体" w:hAnsi="宋体" w:cs="宋体"/>
                <w:szCs w:val="21"/>
                <w:shd w:val="clear" w:color="auto" w:fill="FFFFFF"/>
              </w:rPr>
              <w:t>工程投资控制措施具体详细，能有效控制工程投资、保证工程质量且设计进度控制、各专业衔接计划，保证设计成果符合国家有关规范标准的措施有效的得4分</w:t>
            </w:r>
            <w:r>
              <w:rPr>
                <w:rFonts w:hint="eastAsia" w:ascii="宋体" w:hAnsi="宋体" w:cs="宋体"/>
                <w:szCs w:val="21"/>
              </w:rPr>
              <w:t>，无不得分。</w:t>
            </w:r>
          </w:p>
        </w:tc>
      </w:tr>
      <w:tr>
        <w:tblPrEx>
          <w:tblCellMar>
            <w:top w:w="0" w:type="dxa"/>
            <w:left w:w="108" w:type="dxa"/>
            <w:bottom w:w="0" w:type="dxa"/>
            <w:right w:w="108" w:type="dxa"/>
          </w:tblCellMar>
        </w:tblPrEx>
        <w:trPr>
          <w:trHeight w:val="517"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组织协调</w:t>
            </w:r>
          </w:p>
          <w:p>
            <w:pPr>
              <w:widowControl/>
              <w:jc w:val="center"/>
              <w:rPr>
                <w:rFonts w:ascii="宋体" w:cs="宋体"/>
                <w:kern w:val="0"/>
                <w:szCs w:val="21"/>
              </w:rPr>
            </w:pPr>
            <w:r>
              <w:rPr>
                <w:rFonts w:hint="eastAsia" w:ascii="宋体" w:hAnsi="宋体" w:cs="宋体"/>
                <w:kern w:val="0"/>
                <w:szCs w:val="21"/>
              </w:rPr>
              <w:t>方案</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6551" w:type="dxa"/>
            <w:tcBorders>
              <w:top w:val="single" w:color="auto" w:sz="4" w:space="0"/>
              <w:left w:val="nil"/>
              <w:bottom w:val="single" w:color="auto" w:sz="4" w:space="0"/>
              <w:right w:val="single" w:color="auto" w:sz="4" w:space="0"/>
            </w:tcBorders>
          </w:tcPr>
          <w:p>
            <w:pPr>
              <w:spacing w:before="156" w:after="156"/>
              <w:jc w:val="left"/>
              <w:rPr>
                <w:rFonts w:ascii="宋体" w:cs="宋体"/>
                <w:kern w:val="0"/>
                <w:szCs w:val="21"/>
              </w:rPr>
            </w:pPr>
            <w:r>
              <w:rPr>
                <w:rFonts w:hint="eastAsia" w:ascii="宋体" w:hAnsi="宋体" w:cs="宋体"/>
                <w:kern w:val="0"/>
                <w:szCs w:val="21"/>
              </w:rPr>
              <w:t>针对本项目制定的编制组织协调方案合理性，编制组织协调方案合理的得3分。</w:t>
            </w:r>
            <w:r>
              <w:rPr>
                <w:rFonts w:hint="eastAsia" w:ascii="宋体" w:hAnsi="宋体" w:cs="宋体"/>
                <w:szCs w:val="21"/>
              </w:rPr>
              <w:t>不合理的不得分。</w:t>
            </w:r>
          </w:p>
        </w:tc>
      </w:tr>
      <w:tr>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158"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进度计划</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6551" w:type="dxa"/>
            <w:tcBorders>
              <w:top w:val="single" w:color="auto" w:sz="4" w:space="0"/>
              <w:left w:val="nil"/>
              <w:bottom w:val="single" w:color="auto" w:sz="4" w:space="0"/>
              <w:right w:val="single" w:color="auto" w:sz="4" w:space="0"/>
            </w:tcBorders>
          </w:tcPr>
          <w:p>
            <w:pPr>
              <w:spacing w:before="156" w:after="156"/>
              <w:jc w:val="left"/>
              <w:rPr>
                <w:rFonts w:ascii="宋体" w:cs="宋体"/>
                <w:kern w:val="0"/>
                <w:szCs w:val="21"/>
              </w:rPr>
            </w:pPr>
            <w:r>
              <w:rPr>
                <w:rFonts w:hint="eastAsia" w:ascii="宋体" w:hAnsi="宋体" w:cs="宋体"/>
                <w:kern w:val="0"/>
                <w:szCs w:val="21"/>
              </w:rPr>
              <w:t>对项目整体工作阶段及任务划分，进度控制合理，关键时间点把握科学准确能如期完成任务的得4分，进度控制不合理科学的</w:t>
            </w:r>
            <w:r>
              <w:rPr>
                <w:rFonts w:hint="eastAsia" w:ascii="宋体" w:hAnsi="宋体" w:cs="宋体"/>
                <w:szCs w:val="21"/>
              </w:rPr>
              <w:t>不得分。</w:t>
            </w:r>
          </w:p>
        </w:tc>
      </w:tr>
      <w:tr>
        <w:tblPrEx>
          <w:tblCellMar>
            <w:top w:w="0" w:type="dxa"/>
            <w:left w:w="108" w:type="dxa"/>
            <w:bottom w:w="0" w:type="dxa"/>
            <w:right w:w="108" w:type="dxa"/>
          </w:tblCellMar>
        </w:tblPrEx>
        <w:trPr>
          <w:trHeight w:val="850"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158"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技术创新</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6551" w:type="dxa"/>
            <w:tcBorders>
              <w:top w:val="single" w:color="auto" w:sz="4" w:space="0"/>
              <w:left w:val="nil"/>
              <w:bottom w:val="single" w:color="auto" w:sz="4" w:space="0"/>
              <w:right w:val="single" w:color="auto" w:sz="4" w:space="0"/>
            </w:tcBorders>
          </w:tcPr>
          <w:p>
            <w:pPr>
              <w:spacing w:before="156" w:after="156"/>
              <w:jc w:val="left"/>
              <w:rPr>
                <w:rFonts w:ascii="宋体" w:cs="宋体"/>
                <w:kern w:val="0"/>
                <w:szCs w:val="21"/>
              </w:rPr>
            </w:pPr>
            <w:r>
              <w:rPr>
                <w:rFonts w:hint="eastAsia" w:ascii="宋体" w:hAnsi="宋体" w:cs="宋体"/>
                <w:kern w:val="0"/>
                <w:szCs w:val="21"/>
              </w:rPr>
              <w:t>在项目设计阶段提出工程施工拟（应）采用的新技术新工艺新材料等情况切实可行的得3分，不切实际的</w:t>
            </w:r>
            <w:r>
              <w:rPr>
                <w:rFonts w:hint="eastAsia" w:ascii="宋体" w:hAnsi="宋体" w:cs="宋体"/>
                <w:szCs w:val="21"/>
              </w:rPr>
              <w:t>不得分。</w:t>
            </w:r>
          </w:p>
        </w:tc>
      </w:tr>
      <w:tr>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15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质量保证体系</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6551" w:type="dxa"/>
            <w:tcBorders>
              <w:top w:val="single" w:color="auto" w:sz="4" w:space="0"/>
              <w:left w:val="nil"/>
              <w:bottom w:val="single" w:color="auto" w:sz="4" w:space="0"/>
              <w:right w:val="single" w:color="auto" w:sz="4" w:space="0"/>
            </w:tcBorders>
          </w:tcPr>
          <w:p>
            <w:pPr>
              <w:spacing w:before="156" w:after="156"/>
              <w:jc w:val="left"/>
              <w:rPr>
                <w:rFonts w:ascii="宋体" w:hAnsi="宋体" w:cs="宋体"/>
                <w:szCs w:val="21"/>
              </w:rPr>
            </w:pPr>
            <w:r>
              <w:rPr>
                <w:rFonts w:hint="eastAsia" w:ascii="宋体" w:hAnsi="宋体" w:cs="宋体"/>
                <w:kern w:val="0"/>
                <w:szCs w:val="21"/>
              </w:rPr>
              <w:t>供应商针对本项目制定的质量保证体系及其措施情况。质量保证体系健全，措施合理得2分，</w:t>
            </w:r>
            <w:r>
              <w:rPr>
                <w:rFonts w:hint="eastAsia" w:ascii="宋体" w:hAnsi="宋体" w:cs="宋体"/>
                <w:szCs w:val="21"/>
              </w:rPr>
              <w:t>无不得分。</w:t>
            </w:r>
          </w:p>
          <w:p>
            <w:pPr>
              <w:spacing w:before="156" w:after="156"/>
              <w:jc w:val="left"/>
              <w:rPr>
                <w:rFonts w:ascii="宋体" w:cs="宋体"/>
                <w:kern w:val="0"/>
                <w:szCs w:val="21"/>
              </w:rPr>
            </w:pPr>
          </w:p>
        </w:tc>
      </w:tr>
      <w:tr>
        <w:tblPrEx>
          <w:tblCellMar>
            <w:top w:w="0" w:type="dxa"/>
            <w:left w:w="108" w:type="dxa"/>
            <w:bottom w:w="0" w:type="dxa"/>
            <w:right w:w="108" w:type="dxa"/>
          </w:tblCellMar>
        </w:tblPrEx>
        <w:trPr>
          <w:trHeight w:val="90" w:hRule="atLeast"/>
          <w:jc w:val="center"/>
        </w:trPr>
        <w:tc>
          <w:tcPr>
            <w:tcW w:w="463" w:type="dxa"/>
            <w:vMerge w:val="restart"/>
            <w:tcBorders>
              <w:top w:val="nil"/>
              <w:left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综合部分35分</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类似业绩</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6551" w:type="dxa"/>
            <w:tcBorders>
              <w:top w:val="single" w:color="auto" w:sz="4" w:space="0"/>
              <w:left w:val="nil"/>
              <w:bottom w:val="single" w:color="auto" w:sz="4" w:space="0"/>
              <w:right w:val="single" w:color="auto" w:sz="4" w:space="0"/>
            </w:tcBorders>
            <w:shd w:val="clear" w:color="auto" w:fill="auto"/>
          </w:tcPr>
          <w:p>
            <w:pPr>
              <w:widowControl/>
              <w:rPr>
                <w:rFonts w:ascii="宋体" w:cs="宋体"/>
                <w:kern w:val="0"/>
                <w:szCs w:val="21"/>
              </w:rPr>
            </w:pPr>
            <w:r>
              <w:rPr>
                <w:rFonts w:hint="eastAsia" w:ascii="宋体" w:hAnsi="宋体" w:cs="宋体"/>
                <w:kern w:val="0"/>
                <w:szCs w:val="21"/>
              </w:rPr>
              <w:t>自投标截止日期前推三年以来至少承担过一个类似业绩的得2分，每增加一个得</w:t>
            </w:r>
            <w:r>
              <w:rPr>
                <w:rFonts w:ascii="宋体" w:hAnsi="宋体" w:cs="宋体"/>
                <w:kern w:val="0"/>
                <w:szCs w:val="21"/>
              </w:rPr>
              <w:t>2</w:t>
            </w:r>
            <w:r>
              <w:rPr>
                <w:rFonts w:hint="eastAsia" w:ascii="宋体" w:hAnsi="宋体" w:cs="宋体"/>
                <w:kern w:val="0"/>
                <w:szCs w:val="21"/>
              </w:rPr>
              <w:t>分，满分6分。需提供合同或中标通知书，不提供的不得分。</w:t>
            </w:r>
          </w:p>
        </w:tc>
      </w:tr>
      <w:tr>
        <w:tblPrEx>
          <w:tblCellMar>
            <w:top w:w="0" w:type="dxa"/>
            <w:left w:w="108" w:type="dxa"/>
            <w:bottom w:w="0" w:type="dxa"/>
            <w:right w:w="108" w:type="dxa"/>
          </w:tblCellMar>
        </w:tblPrEx>
        <w:trPr>
          <w:trHeight w:val="632" w:hRule="atLeast"/>
          <w:jc w:val="center"/>
        </w:trPr>
        <w:tc>
          <w:tcPr>
            <w:tcW w:w="463"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客户评价</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6551" w:type="dxa"/>
            <w:tcBorders>
              <w:top w:val="single" w:color="auto" w:sz="4" w:space="0"/>
              <w:left w:val="nil"/>
              <w:bottom w:val="single" w:color="auto" w:sz="4" w:space="0"/>
              <w:right w:val="single" w:color="auto" w:sz="4" w:space="0"/>
            </w:tcBorders>
            <w:shd w:val="clear" w:color="auto" w:fill="auto"/>
          </w:tcPr>
          <w:p>
            <w:pPr>
              <w:widowControl/>
              <w:rPr>
                <w:rFonts w:ascii="宋体" w:hAnsi="宋体" w:cs="宋体"/>
                <w:kern w:val="0"/>
                <w:szCs w:val="21"/>
              </w:rPr>
            </w:pPr>
            <w:r>
              <w:rPr>
                <w:rFonts w:hint="eastAsia" w:ascii="宋体" w:hAnsi="宋体"/>
                <w:szCs w:val="21"/>
              </w:rPr>
              <w:t>提供自投标截止日期前推三年以来类似业绩服务客户的满意度反馈表（有客户签章及好评）</w:t>
            </w:r>
            <w:r>
              <w:rPr>
                <w:rFonts w:ascii="宋体" w:hAnsi="宋体"/>
                <w:szCs w:val="21"/>
              </w:rPr>
              <w:t>1</w:t>
            </w:r>
            <w:r>
              <w:rPr>
                <w:rFonts w:hint="eastAsia" w:ascii="宋体" w:hAnsi="宋体"/>
                <w:szCs w:val="21"/>
              </w:rPr>
              <w:t>家得</w:t>
            </w:r>
            <w:r>
              <w:rPr>
                <w:rFonts w:ascii="宋体" w:hAnsi="宋体"/>
                <w:szCs w:val="21"/>
              </w:rPr>
              <w:t>1</w:t>
            </w:r>
            <w:r>
              <w:rPr>
                <w:rFonts w:hint="eastAsia" w:ascii="宋体" w:hAnsi="宋体"/>
                <w:szCs w:val="21"/>
              </w:rPr>
              <w:t>分，最多3分，其他情况不得分。</w:t>
            </w:r>
          </w:p>
        </w:tc>
      </w:tr>
      <w:tr>
        <w:tblPrEx>
          <w:tblCellMar>
            <w:top w:w="0" w:type="dxa"/>
            <w:left w:w="108" w:type="dxa"/>
            <w:bottom w:w="0" w:type="dxa"/>
            <w:right w:w="108" w:type="dxa"/>
          </w:tblCellMar>
        </w:tblPrEx>
        <w:trPr>
          <w:trHeight w:val="710" w:hRule="atLeast"/>
          <w:jc w:val="center"/>
        </w:trPr>
        <w:tc>
          <w:tcPr>
            <w:tcW w:w="463"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w:t>
            </w:r>
          </w:p>
          <w:p>
            <w:pPr>
              <w:widowControl/>
              <w:jc w:val="center"/>
              <w:rPr>
                <w:rFonts w:ascii="宋体" w:cs="宋体"/>
                <w:kern w:val="0"/>
                <w:szCs w:val="21"/>
              </w:rPr>
            </w:pPr>
            <w:r>
              <w:rPr>
                <w:rFonts w:hint="eastAsia" w:ascii="宋体" w:hAnsi="宋体" w:cs="宋体"/>
                <w:kern w:val="0"/>
                <w:szCs w:val="21"/>
              </w:rPr>
              <w:t>负责人</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6551" w:type="dxa"/>
            <w:tcBorders>
              <w:top w:val="single" w:color="auto" w:sz="4" w:space="0"/>
              <w:left w:val="nil"/>
              <w:bottom w:val="single" w:color="auto" w:sz="4" w:space="0"/>
              <w:right w:val="single" w:color="auto" w:sz="4" w:space="0"/>
            </w:tcBorders>
          </w:tcPr>
          <w:p>
            <w:pPr>
              <w:widowControl/>
              <w:rPr>
                <w:rFonts w:ascii="宋体" w:cs="宋体"/>
                <w:kern w:val="0"/>
                <w:szCs w:val="21"/>
              </w:rPr>
            </w:pPr>
            <w:r>
              <w:rPr>
                <w:rFonts w:hint="eastAsia" w:ascii="宋体" w:hAnsi="宋体" w:cs="宋体"/>
                <w:kern w:val="0"/>
                <w:szCs w:val="21"/>
              </w:rPr>
              <w:t>自投标截止日期前推三年以来至少承担过一个类似业绩的项目负责人得</w:t>
            </w:r>
            <w:r>
              <w:rPr>
                <w:rFonts w:ascii="宋体" w:hAnsi="宋体" w:cs="宋体"/>
                <w:kern w:val="0"/>
                <w:szCs w:val="21"/>
              </w:rPr>
              <w:t>1</w:t>
            </w:r>
            <w:r>
              <w:rPr>
                <w:rFonts w:hint="eastAsia" w:ascii="宋体" w:hAnsi="宋体" w:cs="宋体"/>
                <w:kern w:val="0"/>
                <w:szCs w:val="21"/>
              </w:rPr>
              <w:t>分。每增加一个得</w:t>
            </w:r>
            <w:r>
              <w:rPr>
                <w:rFonts w:ascii="宋体" w:hAnsi="宋体" w:cs="宋体"/>
                <w:kern w:val="0"/>
                <w:szCs w:val="21"/>
              </w:rPr>
              <w:t>1</w:t>
            </w:r>
            <w:r>
              <w:rPr>
                <w:rFonts w:hint="eastAsia" w:ascii="宋体" w:hAnsi="宋体" w:cs="宋体"/>
                <w:kern w:val="0"/>
                <w:szCs w:val="21"/>
              </w:rPr>
              <w:t>分，最高</w:t>
            </w:r>
            <w:r>
              <w:rPr>
                <w:rFonts w:ascii="宋体" w:hAnsi="宋体" w:cs="宋体"/>
                <w:kern w:val="0"/>
                <w:szCs w:val="21"/>
              </w:rPr>
              <w:t>3</w:t>
            </w:r>
            <w:r>
              <w:rPr>
                <w:rFonts w:hint="eastAsia" w:ascii="宋体" w:hAnsi="宋体" w:cs="宋体"/>
                <w:kern w:val="0"/>
                <w:szCs w:val="21"/>
              </w:rPr>
              <w:t>分。需提供合同及中标通知书及相关证明材料，不提供的不得分。</w:t>
            </w:r>
          </w:p>
        </w:tc>
      </w:tr>
      <w:tr>
        <w:tblPrEx>
          <w:tblCellMar>
            <w:top w:w="0" w:type="dxa"/>
            <w:left w:w="108" w:type="dxa"/>
            <w:bottom w:w="0" w:type="dxa"/>
            <w:right w:w="108" w:type="dxa"/>
          </w:tblCellMar>
        </w:tblPrEx>
        <w:trPr>
          <w:trHeight w:val="883" w:hRule="atLeast"/>
          <w:jc w:val="center"/>
        </w:trPr>
        <w:tc>
          <w:tcPr>
            <w:tcW w:w="463"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人力资源配备</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6551" w:type="dxa"/>
            <w:tcBorders>
              <w:top w:val="single" w:color="auto" w:sz="4" w:space="0"/>
              <w:left w:val="nil"/>
              <w:bottom w:val="single" w:color="auto" w:sz="4" w:space="0"/>
              <w:right w:val="single" w:color="auto" w:sz="4" w:space="0"/>
            </w:tcBorders>
          </w:tcPr>
          <w:p>
            <w:pPr>
              <w:suppressAutoHyphens/>
              <w:overflowPunct w:val="0"/>
              <w:topLinePunct/>
              <w:rPr>
                <w:rFonts w:ascii="宋体" w:cs="宋体"/>
                <w:kern w:val="0"/>
                <w:szCs w:val="21"/>
              </w:rPr>
            </w:pPr>
            <w:r>
              <w:rPr>
                <w:rFonts w:hint="eastAsia" w:ascii="宋体" w:hAnsi="宋体" w:cs="宋体"/>
                <w:bCs/>
                <w:szCs w:val="21"/>
              </w:rPr>
              <w:t>人力资源数量满足工程需要，专业配备合理，</w:t>
            </w:r>
            <w:r>
              <w:rPr>
                <w:rFonts w:hint="eastAsia"/>
                <w:szCs w:val="21"/>
              </w:rPr>
              <w:t>项目组配置的专业人员至少有</w:t>
            </w:r>
            <w:r>
              <w:rPr>
                <w:rFonts w:asciiTheme="minorEastAsia" w:hAnsiTheme="minorEastAsia" w:eastAsiaTheme="minorEastAsia"/>
                <w:szCs w:val="21"/>
              </w:rPr>
              <w:t>6</w:t>
            </w:r>
            <w:r>
              <w:rPr>
                <w:rFonts w:hint="eastAsia"/>
                <w:szCs w:val="21"/>
              </w:rPr>
              <w:t>人且为相关专业中级工程师的得6分，项目负责人及技术负责人具有高级职称的各得1分，</w:t>
            </w:r>
            <w:r>
              <w:rPr>
                <w:rFonts w:hint="eastAsia" w:ascii="宋体" w:hAnsi="宋体" w:cs="宋体"/>
                <w:szCs w:val="21"/>
              </w:rPr>
              <w:t>未达标的不得分。</w:t>
            </w:r>
          </w:p>
        </w:tc>
      </w:tr>
      <w:tr>
        <w:tblPrEx>
          <w:tblCellMar>
            <w:top w:w="0" w:type="dxa"/>
            <w:left w:w="108" w:type="dxa"/>
            <w:bottom w:w="0" w:type="dxa"/>
            <w:right w:w="108" w:type="dxa"/>
          </w:tblCellMar>
        </w:tblPrEx>
        <w:trPr>
          <w:trHeight w:val="475" w:hRule="atLeast"/>
          <w:jc w:val="center"/>
        </w:trPr>
        <w:tc>
          <w:tcPr>
            <w:tcW w:w="463" w:type="dxa"/>
            <w:vMerge w:val="continue"/>
            <w:tcBorders>
              <w:left w:val="single" w:color="auto" w:sz="4" w:space="0"/>
              <w:right w:val="single" w:color="auto" w:sz="4" w:space="0"/>
            </w:tcBorders>
            <w:vAlign w:val="center"/>
          </w:tcPr>
          <w:p>
            <w:pPr>
              <w:jc w:val="center"/>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后续服务承诺</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6551" w:type="dxa"/>
            <w:tcBorders>
              <w:top w:val="single" w:color="auto" w:sz="4" w:space="0"/>
              <w:left w:val="nil"/>
              <w:bottom w:val="single" w:color="auto" w:sz="4" w:space="0"/>
              <w:right w:val="single" w:color="auto" w:sz="4" w:space="0"/>
            </w:tcBorders>
          </w:tcPr>
          <w:p>
            <w:pPr>
              <w:suppressAutoHyphens/>
              <w:overflowPunct w:val="0"/>
              <w:topLinePunct/>
              <w:rPr>
                <w:rFonts w:ascii="宋体" w:cs="宋体"/>
                <w:bCs/>
                <w:szCs w:val="21"/>
              </w:rPr>
            </w:pPr>
            <w:r>
              <w:rPr>
                <w:rFonts w:hint="eastAsia" w:ascii="宋体" w:hAnsi="宋体" w:cs="宋体"/>
                <w:bCs/>
                <w:szCs w:val="21"/>
              </w:rPr>
              <w:t>后续服务承诺到位，保障措施可靠的得3分，无后续服务承诺或保障措施不可行的不得分。</w:t>
            </w:r>
          </w:p>
        </w:tc>
      </w:tr>
      <w:tr>
        <w:tblPrEx>
          <w:tblCellMar>
            <w:top w:w="0" w:type="dxa"/>
            <w:left w:w="108" w:type="dxa"/>
            <w:bottom w:w="0" w:type="dxa"/>
            <w:right w:w="108" w:type="dxa"/>
          </w:tblCellMar>
        </w:tblPrEx>
        <w:trPr>
          <w:trHeight w:val="475" w:hRule="atLeast"/>
          <w:jc w:val="center"/>
        </w:trPr>
        <w:tc>
          <w:tcPr>
            <w:tcW w:w="463"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115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财务状况</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3</w:t>
            </w:r>
          </w:p>
        </w:tc>
        <w:tc>
          <w:tcPr>
            <w:tcW w:w="6551" w:type="dxa"/>
            <w:tcBorders>
              <w:top w:val="single" w:color="auto" w:sz="4" w:space="0"/>
              <w:left w:val="nil"/>
              <w:bottom w:val="single" w:color="auto" w:sz="4" w:space="0"/>
              <w:right w:val="single" w:color="auto" w:sz="4" w:space="0"/>
            </w:tcBorders>
          </w:tcPr>
          <w:p>
            <w:pPr>
              <w:suppressAutoHyphens/>
              <w:overflowPunct w:val="0"/>
              <w:topLinePunct/>
              <w:spacing w:line="300" w:lineRule="auto"/>
              <w:rPr>
                <w:rFonts w:ascii="宋体" w:cs="宋体"/>
                <w:bCs/>
                <w:szCs w:val="21"/>
              </w:rPr>
            </w:pPr>
            <w:r>
              <w:rPr>
                <w:rFonts w:hint="eastAsia" w:ascii="宋体" w:hAnsi="宋体" w:cs="宋体"/>
                <w:bCs/>
                <w:szCs w:val="21"/>
              </w:rPr>
              <w:t>提供</w:t>
            </w:r>
            <w:r>
              <w:rPr>
                <w:rFonts w:ascii="宋体" w:hAnsi="宋体" w:cs="宋体"/>
                <w:bCs/>
                <w:szCs w:val="21"/>
              </w:rPr>
              <w:t>201</w:t>
            </w:r>
            <w:r>
              <w:rPr>
                <w:rFonts w:hint="eastAsia" w:ascii="宋体" w:hAnsi="宋体" w:cs="宋体"/>
                <w:bCs/>
                <w:szCs w:val="21"/>
              </w:rPr>
              <w:t>9年的财务审计报告、供应商的银行资信证明、企业财务状况、社保、纳税情况等良好的得3分，</w:t>
            </w:r>
            <w:r>
              <w:rPr>
                <w:rFonts w:hint="eastAsia" w:ascii="宋体" w:hAnsi="宋体" w:cs="宋体"/>
                <w:szCs w:val="21"/>
              </w:rPr>
              <w:t>无不得分。</w:t>
            </w:r>
          </w:p>
        </w:tc>
      </w:tr>
      <w:tr>
        <w:tblPrEx>
          <w:tblCellMar>
            <w:top w:w="0" w:type="dxa"/>
            <w:left w:w="108" w:type="dxa"/>
            <w:bottom w:w="0" w:type="dxa"/>
            <w:right w:w="108" w:type="dxa"/>
          </w:tblCellMar>
        </w:tblPrEx>
        <w:trPr>
          <w:trHeight w:val="475" w:hRule="atLeast"/>
          <w:jc w:val="center"/>
        </w:trPr>
        <w:tc>
          <w:tcPr>
            <w:tcW w:w="463"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115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本地化</w:t>
            </w:r>
          </w:p>
          <w:p>
            <w:pPr>
              <w:widowControl/>
              <w:jc w:val="center"/>
              <w:rPr>
                <w:rFonts w:ascii="宋体" w:cs="宋体"/>
                <w:kern w:val="0"/>
                <w:szCs w:val="21"/>
              </w:rPr>
            </w:pPr>
            <w:r>
              <w:rPr>
                <w:rFonts w:hint="eastAsia" w:ascii="宋体" w:hAnsi="宋体" w:cs="宋体"/>
                <w:kern w:val="0"/>
                <w:szCs w:val="21"/>
              </w:rPr>
              <w:t>服务</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6</w:t>
            </w:r>
          </w:p>
        </w:tc>
        <w:tc>
          <w:tcPr>
            <w:tcW w:w="6551" w:type="dxa"/>
            <w:tcBorders>
              <w:top w:val="single" w:color="auto" w:sz="4" w:space="0"/>
              <w:left w:val="nil"/>
              <w:bottom w:val="single" w:color="auto" w:sz="4" w:space="0"/>
              <w:right w:val="single" w:color="auto" w:sz="4" w:space="0"/>
            </w:tcBorders>
          </w:tcPr>
          <w:p>
            <w:pPr>
              <w:rPr>
                <w:rFonts w:ascii="宋体" w:cs="宋体"/>
                <w:szCs w:val="21"/>
              </w:rPr>
            </w:pPr>
            <w:r>
              <w:rPr>
                <w:rFonts w:hint="eastAsia" w:ascii="宋体" w:hAnsi="宋体" w:cs="宋体"/>
                <w:szCs w:val="21"/>
              </w:rPr>
              <w:t>提供完善的本地化服务，在本地有办公场所（提供相关真彩扫描证明）</w:t>
            </w:r>
            <w:r>
              <w:rPr>
                <w:rFonts w:hint="eastAsia"/>
              </w:rPr>
              <w:t>，配备专业技术人员方便工程施工期间及时响应</w:t>
            </w:r>
            <w:r>
              <w:rPr>
                <w:rFonts w:hint="eastAsia" w:ascii="宋体" w:hAnsi="宋体" w:cs="宋体"/>
                <w:szCs w:val="21"/>
              </w:rPr>
              <w:t>，售后服务机构提供联系地址、联系人、固定联系电话等得6分，未达标的不得分。</w:t>
            </w:r>
          </w:p>
        </w:tc>
      </w:tr>
      <w:tr>
        <w:tblPrEx>
          <w:tblCellMar>
            <w:top w:w="0" w:type="dxa"/>
            <w:left w:w="108" w:type="dxa"/>
            <w:bottom w:w="0" w:type="dxa"/>
            <w:right w:w="108" w:type="dxa"/>
          </w:tblCellMar>
        </w:tblPrEx>
        <w:trPr>
          <w:trHeight w:val="948" w:hRule="atLeast"/>
          <w:jc w:val="center"/>
        </w:trPr>
        <w:tc>
          <w:tcPr>
            <w:tcW w:w="463"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158" w:type="dxa"/>
            <w:tcBorders>
              <w:top w:val="nil"/>
              <w:left w:val="single" w:color="auto" w:sz="4" w:space="0"/>
              <w:bottom w:val="single" w:color="auto" w:sz="4" w:space="0"/>
              <w:right w:val="single" w:color="auto" w:sz="4" w:space="0"/>
            </w:tcBorders>
            <w:vAlign w:val="center"/>
          </w:tcPr>
          <w:p>
            <w:pPr>
              <w:ind w:left="210" w:hanging="210" w:hangingChars="100"/>
              <w:rPr>
                <w:rFonts w:ascii="宋体" w:hAnsi="宋体"/>
                <w:szCs w:val="21"/>
                <w:lang w:val="zh-CN"/>
              </w:rPr>
            </w:pPr>
            <w:r>
              <w:rPr>
                <w:rFonts w:hint="eastAsia" w:ascii="宋体" w:hAnsi="宋体"/>
                <w:szCs w:val="21"/>
              </w:rPr>
              <w:t>投标文件编制</w:t>
            </w:r>
          </w:p>
        </w:tc>
        <w:tc>
          <w:tcPr>
            <w:tcW w:w="807" w:type="dxa"/>
            <w:tcBorders>
              <w:top w:val="nil"/>
              <w:left w:val="nil"/>
              <w:bottom w:val="single" w:color="auto" w:sz="4" w:space="0"/>
              <w:right w:val="single" w:color="auto" w:sz="4" w:space="0"/>
            </w:tcBorders>
            <w:vAlign w:val="center"/>
          </w:tcPr>
          <w:p>
            <w:pPr>
              <w:ind w:firstLine="210" w:firstLineChars="100"/>
              <w:rPr>
                <w:rFonts w:ascii="宋体" w:hAnsi="宋体"/>
                <w:szCs w:val="21"/>
              </w:rPr>
            </w:pPr>
            <w:r>
              <w:rPr>
                <w:rFonts w:hint="eastAsia" w:ascii="宋体" w:hAnsi="宋体"/>
                <w:szCs w:val="21"/>
              </w:rPr>
              <w:t>3</w:t>
            </w:r>
          </w:p>
        </w:tc>
        <w:tc>
          <w:tcPr>
            <w:tcW w:w="6551" w:type="dxa"/>
            <w:tcBorders>
              <w:top w:val="single" w:color="auto" w:sz="4" w:space="0"/>
              <w:left w:val="nil"/>
              <w:bottom w:val="single" w:color="auto" w:sz="4" w:space="0"/>
              <w:right w:val="single" w:color="auto" w:sz="4" w:space="0"/>
            </w:tcBorders>
            <w:vAlign w:val="center"/>
          </w:tcPr>
          <w:p>
            <w:pPr>
              <w:rPr>
                <w:rFonts w:ascii="宋体" w:hAnsi="宋体"/>
                <w:szCs w:val="21"/>
                <w:lang w:val="zh-CN"/>
              </w:rPr>
            </w:pPr>
            <w:r>
              <w:rPr>
                <w:rFonts w:hint="eastAsia" w:ascii="宋体" w:hAnsi="宋体"/>
                <w:szCs w:val="21"/>
              </w:rPr>
              <w:t>投标文件全面响应招标文件要求，编制完整、美观，非活页装订，且有详细目录、连续页码、目录与有关材料装订顺序对应清晰、查阅方便得3分。不符合要求的，每处扣</w:t>
            </w:r>
            <w:r>
              <w:rPr>
                <w:rFonts w:ascii="宋体" w:hAnsi="宋体"/>
                <w:szCs w:val="21"/>
              </w:rPr>
              <w:t>0.5</w:t>
            </w:r>
            <w:r>
              <w:rPr>
                <w:rFonts w:hint="eastAsia" w:ascii="宋体" w:hAnsi="宋体"/>
                <w:szCs w:val="21"/>
              </w:rPr>
              <w:t>分，错别字每发现1个扣</w:t>
            </w:r>
            <w:r>
              <w:rPr>
                <w:rFonts w:ascii="宋体" w:hAnsi="宋体"/>
                <w:szCs w:val="21"/>
              </w:rPr>
              <w:t>0.1</w:t>
            </w:r>
            <w:r>
              <w:rPr>
                <w:rFonts w:hint="eastAsia" w:ascii="宋体" w:hAnsi="宋体"/>
                <w:szCs w:val="21"/>
              </w:rPr>
              <w:t>分，扣完为止。</w:t>
            </w:r>
          </w:p>
        </w:tc>
      </w:tr>
      <w:tr>
        <w:tblPrEx>
          <w:tblCellMar>
            <w:top w:w="0" w:type="dxa"/>
            <w:left w:w="108" w:type="dxa"/>
            <w:bottom w:w="0" w:type="dxa"/>
            <w:right w:w="108" w:type="dxa"/>
          </w:tblCellMar>
        </w:tblPrEx>
        <w:trPr>
          <w:trHeight w:val="479" w:hRule="atLeast"/>
          <w:jc w:val="center"/>
        </w:trPr>
        <w:tc>
          <w:tcPr>
            <w:tcW w:w="1621"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合计得分</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100</w:t>
            </w:r>
          </w:p>
        </w:tc>
        <w:tc>
          <w:tcPr>
            <w:tcW w:w="6551" w:type="dxa"/>
            <w:tcBorders>
              <w:top w:val="nil"/>
              <w:left w:val="nil"/>
              <w:bottom w:val="single" w:color="auto"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　</w:t>
            </w:r>
          </w:p>
        </w:tc>
      </w:tr>
    </w:tbl>
    <w:p>
      <w:pPr>
        <w:spacing w:line="360" w:lineRule="auto"/>
        <w:ind w:firstLine="480" w:firstLineChars="200"/>
        <w:rPr>
          <w:rFonts w:ascii="Times New Roman" w:hAnsi="Times New Roman" w:eastAsia="方正姚体" w:cs="Times New Roman"/>
          <w:bCs/>
          <w:sz w:val="24"/>
          <w:szCs w:val="24"/>
        </w:rPr>
      </w:pPr>
      <w:r>
        <w:rPr>
          <w:rFonts w:hint="eastAsia" w:ascii="Times New Roman" w:hAnsi="宋体" w:cs="宋体"/>
          <w:sz w:val="24"/>
          <w:szCs w:val="24"/>
        </w:rPr>
        <w:t>备注：以上所有须提供的证件、证书、有关资料等投标人都须提供原始资料的真彩扫描打印件并加盖公章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spacing w:line="520" w:lineRule="exact"/>
        <w:rPr>
          <w:sz w:val="24"/>
          <w:szCs w:val="24"/>
        </w:rPr>
      </w:pPr>
    </w:p>
    <w:p>
      <w:pPr>
        <w:spacing w:line="420" w:lineRule="exact"/>
        <w:rPr>
          <w:sz w:val="24"/>
          <w:szCs w:val="24"/>
        </w:rPr>
      </w:pPr>
      <w:r>
        <w:rPr>
          <w:rFonts w:hint="eastAsia"/>
          <w:sz w:val="24"/>
          <w:szCs w:val="24"/>
        </w:rPr>
        <w:t>附件</w:t>
      </w:r>
      <w:r>
        <w:rPr>
          <w:sz w:val="24"/>
          <w:szCs w:val="24"/>
        </w:rPr>
        <w:t>2</w:t>
      </w:r>
      <w:r>
        <w:rPr>
          <w:rFonts w:hint="eastAsia"/>
          <w:sz w:val="24"/>
          <w:szCs w:val="24"/>
        </w:rPr>
        <w:t>：</w:t>
      </w:r>
    </w:p>
    <w:p>
      <w:pPr>
        <w:spacing w:line="420" w:lineRule="exact"/>
        <w:jc w:val="center"/>
        <w:rPr>
          <w:b/>
          <w:sz w:val="28"/>
          <w:szCs w:val="28"/>
        </w:rPr>
      </w:pPr>
      <w:r>
        <w:rPr>
          <w:rFonts w:hint="eastAsia"/>
          <w:b/>
          <w:sz w:val="28"/>
          <w:szCs w:val="28"/>
        </w:rPr>
        <w:t>供应商报名表</w:t>
      </w:r>
    </w:p>
    <w:p>
      <w:pPr>
        <w:spacing w:line="420" w:lineRule="exact"/>
        <w:rPr>
          <w:sz w:val="24"/>
          <w:szCs w:val="24"/>
        </w:rPr>
      </w:pPr>
      <w:r>
        <w:rPr>
          <w:rFonts w:hint="eastAsia"/>
          <w:sz w:val="24"/>
          <w:szCs w:val="24"/>
        </w:rPr>
        <w:t>项目编号：项目名称：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Align w:val="center"/>
          </w:tcPr>
          <w:p>
            <w:pPr>
              <w:widowControl/>
              <w:spacing w:before="100" w:beforeAutospacing="1" w:after="100" w:afterAutospacing="1" w:line="420" w:lineRule="exact"/>
              <w:jc w:val="left"/>
              <w:rPr>
                <w:rFonts w:ascii="宋体" w:cs="宋体"/>
                <w:kern w:val="0"/>
                <w:sz w:val="24"/>
                <w:szCs w:val="24"/>
              </w:rPr>
            </w:pPr>
            <w:r>
              <w:rPr>
                <w:rFonts w:hint="eastAsia" w:ascii="宋体" w:hAnsi="宋体" w:cs="宋体"/>
                <w:kern w:val="0"/>
                <w:sz w:val="24"/>
                <w:szCs w:val="24"/>
              </w:rPr>
              <w:t>供应商名称（盖章）</w:t>
            </w:r>
          </w:p>
        </w:tc>
        <w:tc>
          <w:tcPr>
            <w:tcW w:w="6287" w:type="dxa"/>
            <w:vAlign w:val="center"/>
          </w:tcPr>
          <w:p>
            <w:pPr>
              <w:widowControl/>
              <w:spacing w:before="100" w:beforeAutospacing="1" w:after="100" w:afterAutospacing="1" w:line="420" w:lineRule="exact"/>
              <w:jc w:val="left"/>
              <w:rPr>
                <w:rFonts w:ascii="宋体" w:cs="宋体"/>
                <w:kern w:val="0"/>
                <w:sz w:val="24"/>
                <w:szCs w:val="24"/>
              </w:rPr>
            </w:pPr>
            <w:r>
              <w:rPr>
                <w:rFonts w:asci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Align w:val="center"/>
          </w:tcPr>
          <w:p>
            <w:pPr>
              <w:widowControl/>
              <w:spacing w:before="100" w:beforeAutospacing="1" w:after="100" w:afterAutospacing="1" w:line="420" w:lineRule="exact"/>
              <w:jc w:val="left"/>
              <w:rPr>
                <w:rFonts w:ascii="宋体" w:cs="宋体"/>
                <w:kern w:val="0"/>
                <w:sz w:val="24"/>
                <w:szCs w:val="24"/>
              </w:rPr>
            </w:pPr>
            <w:r>
              <w:rPr>
                <w:rFonts w:hint="eastAsia" w:ascii="宋体" w:hAnsi="宋体" w:cs="宋体"/>
                <w:kern w:val="0"/>
                <w:sz w:val="24"/>
                <w:szCs w:val="24"/>
              </w:rPr>
              <w:t>联系人姓名</w:t>
            </w:r>
          </w:p>
        </w:tc>
        <w:tc>
          <w:tcPr>
            <w:tcW w:w="6287" w:type="dxa"/>
            <w:vAlign w:val="center"/>
          </w:tcPr>
          <w:p>
            <w:pPr>
              <w:widowControl/>
              <w:spacing w:before="100" w:beforeAutospacing="1" w:after="100" w:afterAutospacing="1" w:line="420" w:lineRule="exact"/>
              <w:jc w:val="left"/>
              <w:rPr>
                <w:rFonts w:ascii="宋体" w:cs="宋体"/>
                <w:kern w:val="0"/>
                <w:sz w:val="24"/>
                <w:szCs w:val="24"/>
              </w:rPr>
            </w:pPr>
            <w:r>
              <w:rPr>
                <w:rFonts w:asci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235" w:type="dxa"/>
            <w:vAlign w:val="center"/>
          </w:tcPr>
          <w:p>
            <w:pPr>
              <w:widowControl/>
              <w:spacing w:before="100" w:beforeAutospacing="1" w:after="100" w:afterAutospacing="1" w:line="420" w:lineRule="exact"/>
              <w:jc w:val="left"/>
              <w:rPr>
                <w:rFonts w:ascii="宋体" w:cs="宋体"/>
                <w:kern w:val="0"/>
                <w:sz w:val="24"/>
                <w:szCs w:val="24"/>
              </w:rPr>
            </w:pPr>
            <w:r>
              <w:rPr>
                <w:rFonts w:hint="eastAsia" w:ascii="宋体" w:hAnsi="宋体" w:cs="宋体"/>
                <w:kern w:val="0"/>
                <w:sz w:val="24"/>
                <w:szCs w:val="24"/>
              </w:rPr>
              <w:t>联系人电话（办公电话和手机）</w:t>
            </w:r>
          </w:p>
        </w:tc>
        <w:tc>
          <w:tcPr>
            <w:tcW w:w="6287" w:type="dxa"/>
            <w:vAlign w:val="center"/>
          </w:tcPr>
          <w:p>
            <w:pPr>
              <w:widowControl/>
              <w:spacing w:before="100" w:beforeAutospacing="1" w:after="100" w:afterAutospacing="1" w:line="420" w:lineRule="exact"/>
              <w:jc w:val="left"/>
              <w:rPr>
                <w:rFonts w:ascii="宋体" w:cs="宋体"/>
                <w:kern w:val="0"/>
                <w:sz w:val="24"/>
                <w:szCs w:val="24"/>
              </w:rPr>
            </w:pPr>
            <w:r>
              <w:rPr>
                <w:rFonts w:asci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Align w:val="center"/>
          </w:tcPr>
          <w:p>
            <w:pPr>
              <w:widowControl/>
              <w:spacing w:before="100" w:beforeAutospacing="1" w:after="100" w:afterAutospacing="1" w:line="420" w:lineRule="exact"/>
              <w:jc w:val="left"/>
              <w:rPr>
                <w:rFonts w:ascii="宋体" w:cs="宋体"/>
                <w:kern w:val="0"/>
                <w:sz w:val="24"/>
                <w:szCs w:val="24"/>
              </w:rPr>
            </w:pPr>
            <w:r>
              <w:rPr>
                <w:rFonts w:hint="eastAsia" w:ascii="宋体" w:hAnsi="宋体" w:cs="宋体"/>
                <w:kern w:val="0"/>
                <w:sz w:val="24"/>
                <w:szCs w:val="24"/>
              </w:rPr>
              <w:t>联系人邮箱</w:t>
            </w:r>
          </w:p>
        </w:tc>
        <w:tc>
          <w:tcPr>
            <w:tcW w:w="6287" w:type="dxa"/>
            <w:vAlign w:val="center"/>
          </w:tcPr>
          <w:p>
            <w:pPr>
              <w:widowControl/>
              <w:spacing w:before="100" w:beforeAutospacing="1" w:after="100" w:afterAutospacing="1" w:line="420" w:lineRule="exact"/>
              <w:jc w:val="left"/>
              <w:rPr>
                <w:rFonts w:ascii="宋体" w:cs="宋体"/>
                <w:kern w:val="0"/>
                <w:sz w:val="24"/>
                <w:szCs w:val="24"/>
              </w:rPr>
            </w:pPr>
            <w:r>
              <w:rPr>
                <w:rFonts w:asci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restart"/>
            <w:vAlign w:val="center"/>
          </w:tcPr>
          <w:p>
            <w:pPr>
              <w:widowControl/>
              <w:spacing w:before="100" w:beforeAutospacing="1" w:after="100" w:afterAutospacing="1" w:line="420" w:lineRule="exact"/>
              <w:jc w:val="left"/>
              <w:rPr>
                <w:rFonts w:ascii="宋体" w:cs="宋体"/>
                <w:kern w:val="0"/>
                <w:sz w:val="24"/>
                <w:szCs w:val="24"/>
              </w:rPr>
            </w:pPr>
            <w:r>
              <w:rPr>
                <w:rFonts w:hint="eastAsia" w:ascii="宋体" w:hAnsi="宋体" w:cs="宋体"/>
                <w:kern w:val="0"/>
                <w:sz w:val="24"/>
                <w:szCs w:val="24"/>
              </w:rPr>
              <w:t>供应商提供的</w:t>
            </w:r>
          </w:p>
          <w:p>
            <w:pPr>
              <w:widowControl/>
              <w:spacing w:before="100" w:beforeAutospacing="1" w:after="100" w:afterAutospacing="1" w:line="420" w:lineRule="exact"/>
              <w:jc w:val="left"/>
              <w:rPr>
                <w:rFonts w:ascii="宋体" w:cs="宋体"/>
                <w:kern w:val="0"/>
                <w:sz w:val="24"/>
                <w:szCs w:val="24"/>
              </w:rPr>
            </w:pPr>
            <w:r>
              <w:rPr>
                <w:rFonts w:hint="eastAsia" w:ascii="宋体" w:hAnsi="宋体" w:cs="宋体"/>
                <w:kern w:val="0"/>
                <w:sz w:val="24"/>
                <w:szCs w:val="24"/>
              </w:rPr>
              <w:t>报名资料</w:t>
            </w:r>
          </w:p>
        </w:tc>
        <w:tc>
          <w:tcPr>
            <w:tcW w:w="6287" w:type="dxa"/>
          </w:tcPr>
          <w:p>
            <w:pPr>
              <w:spacing w:line="420" w:lineRule="exact"/>
              <w:rPr>
                <w:sz w:val="24"/>
                <w:szCs w:val="24"/>
              </w:rPr>
            </w:pPr>
            <w:r>
              <w:rPr>
                <w:sz w:val="24"/>
                <w:szCs w:val="24"/>
              </w:rPr>
              <w:t>1.</w:t>
            </w:r>
            <w:r>
              <w:rPr>
                <w:rFonts w:hint="eastAsia"/>
                <w:sz w:val="24"/>
                <w:szCs w:val="24"/>
              </w:rPr>
              <w:t>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continue"/>
            <w:vAlign w:val="center"/>
          </w:tcPr>
          <w:p>
            <w:pPr>
              <w:widowControl/>
              <w:spacing w:line="420" w:lineRule="exact"/>
              <w:jc w:val="left"/>
              <w:rPr>
                <w:rFonts w:ascii="宋体" w:cs="宋体"/>
                <w:kern w:val="0"/>
                <w:sz w:val="24"/>
                <w:szCs w:val="24"/>
              </w:rPr>
            </w:pPr>
          </w:p>
        </w:tc>
        <w:tc>
          <w:tcPr>
            <w:tcW w:w="6287" w:type="dxa"/>
          </w:tcPr>
          <w:p>
            <w:pPr>
              <w:spacing w:line="420" w:lineRule="exact"/>
              <w:rPr>
                <w:sz w:val="24"/>
                <w:szCs w:val="24"/>
              </w:rPr>
            </w:pPr>
            <w:r>
              <w:rPr>
                <w:sz w:val="24"/>
                <w:szCs w:val="24"/>
              </w:rPr>
              <w:t>2.</w:t>
            </w:r>
            <w:r>
              <w:rPr>
                <w:rFonts w:hint="eastAsia"/>
                <w:sz w:val="24"/>
                <w:szCs w:val="24"/>
              </w:rPr>
              <w:t>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continue"/>
            <w:vAlign w:val="center"/>
          </w:tcPr>
          <w:p>
            <w:pPr>
              <w:widowControl/>
              <w:spacing w:line="420" w:lineRule="exact"/>
              <w:jc w:val="left"/>
              <w:rPr>
                <w:rFonts w:ascii="宋体" w:cs="宋体"/>
                <w:kern w:val="0"/>
                <w:sz w:val="24"/>
                <w:szCs w:val="24"/>
              </w:rPr>
            </w:pPr>
          </w:p>
        </w:tc>
        <w:tc>
          <w:tcPr>
            <w:tcW w:w="6287" w:type="dxa"/>
          </w:tcPr>
          <w:p>
            <w:pPr>
              <w:spacing w:line="420" w:lineRule="exact"/>
              <w:rPr>
                <w:sz w:val="24"/>
                <w:szCs w:val="24"/>
              </w:rPr>
            </w:pPr>
            <w:r>
              <w:rPr>
                <w:sz w:val="24"/>
                <w:szCs w:val="24"/>
              </w:rPr>
              <w:t>3.</w:t>
            </w:r>
            <w:r>
              <w:rPr>
                <w:rFonts w:hint="eastAsia"/>
                <w:sz w:val="24"/>
                <w:szCs w:val="24"/>
              </w:rPr>
              <w:t>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continue"/>
            <w:vAlign w:val="center"/>
          </w:tcPr>
          <w:p>
            <w:pPr>
              <w:widowControl/>
              <w:spacing w:line="420" w:lineRule="exact"/>
              <w:jc w:val="left"/>
              <w:rPr>
                <w:rFonts w:ascii="宋体" w:cs="宋体"/>
                <w:kern w:val="0"/>
                <w:sz w:val="24"/>
                <w:szCs w:val="24"/>
              </w:rPr>
            </w:pPr>
          </w:p>
        </w:tc>
        <w:tc>
          <w:tcPr>
            <w:tcW w:w="6287" w:type="dxa"/>
          </w:tcPr>
          <w:p>
            <w:pPr>
              <w:spacing w:line="420" w:lineRule="exact"/>
              <w:rPr>
                <w:sz w:val="24"/>
                <w:szCs w:val="24"/>
              </w:rPr>
            </w:pPr>
            <w:r>
              <w:rPr>
                <w:sz w:val="24"/>
                <w:szCs w:val="24"/>
              </w:rPr>
              <w:t>4.</w:t>
            </w:r>
            <w:r>
              <w:rPr>
                <w:rFonts w:hint="eastAsia"/>
                <w:sz w:val="24"/>
                <w:szCs w:val="24"/>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continue"/>
            <w:vAlign w:val="center"/>
          </w:tcPr>
          <w:p>
            <w:pPr>
              <w:widowControl/>
              <w:spacing w:line="420" w:lineRule="exact"/>
              <w:jc w:val="left"/>
              <w:rPr>
                <w:rFonts w:ascii="宋体" w:cs="宋体"/>
                <w:kern w:val="0"/>
                <w:sz w:val="24"/>
                <w:szCs w:val="24"/>
              </w:rPr>
            </w:pPr>
          </w:p>
        </w:tc>
        <w:tc>
          <w:tcPr>
            <w:tcW w:w="6287" w:type="dxa"/>
          </w:tcPr>
          <w:p>
            <w:pPr>
              <w:spacing w:line="420" w:lineRule="exact"/>
              <w:rPr>
                <w:sz w:val="24"/>
                <w:szCs w:val="24"/>
              </w:rPr>
            </w:pPr>
            <w:r>
              <w:rPr>
                <w:sz w:val="24"/>
                <w:szCs w:val="24"/>
              </w:rPr>
              <w:t>5.</w:t>
            </w:r>
            <w:r>
              <w:rPr>
                <w:rFonts w:hint="eastAsia"/>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continue"/>
            <w:vAlign w:val="center"/>
          </w:tcPr>
          <w:p>
            <w:pPr>
              <w:widowControl/>
              <w:spacing w:line="420" w:lineRule="exact"/>
              <w:jc w:val="left"/>
              <w:rPr>
                <w:rFonts w:ascii="宋体" w:cs="宋体"/>
                <w:kern w:val="0"/>
                <w:sz w:val="24"/>
                <w:szCs w:val="24"/>
              </w:rPr>
            </w:pPr>
          </w:p>
        </w:tc>
        <w:tc>
          <w:tcPr>
            <w:tcW w:w="6287" w:type="dxa"/>
          </w:tcPr>
          <w:p>
            <w:pPr>
              <w:spacing w:line="420" w:lineRule="exact"/>
              <w:rPr>
                <w:sz w:val="24"/>
                <w:szCs w:val="24"/>
              </w:rPr>
            </w:pPr>
            <w:r>
              <w:rPr>
                <w:sz w:val="24"/>
                <w:szCs w:val="24"/>
              </w:rPr>
              <w:t>6.</w:t>
            </w:r>
            <w:r>
              <w:rPr>
                <w:rFonts w:hint="eastAsia"/>
                <w:sz w:val="24"/>
                <w:szCs w:val="24"/>
              </w:rPr>
              <w:t>在“信用中国”(www.creditchina.gov.cn)上查询无“失信惩戒”信息，</w:t>
            </w:r>
            <w:r>
              <w:rPr>
                <w:rFonts w:hint="eastAsia" w:asciiTheme="minorEastAsia" w:hAnsiTheme="minorEastAsia"/>
                <w:kern w:val="0"/>
              </w:rPr>
              <w:t>未被列入重大税收违法案件当事人名单，</w:t>
            </w:r>
            <w:r>
              <w:rPr>
                <w:rFonts w:hint="eastAsia"/>
                <w:sz w:val="24"/>
                <w:szCs w:val="24"/>
              </w:rPr>
              <w:t>在“中国政府采购网（www.ccgp.gov.cn）”上查询未被列入政府采购严重违法失信行为记录名单。（查询时点为本项目发布征集供应商名单公告之日起至投标截止之日止，提供网页查询截图。）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continue"/>
            <w:vAlign w:val="center"/>
          </w:tcPr>
          <w:p>
            <w:pPr>
              <w:widowControl/>
              <w:spacing w:line="420" w:lineRule="exact"/>
              <w:jc w:val="left"/>
              <w:rPr>
                <w:rFonts w:ascii="宋体" w:cs="宋体"/>
                <w:kern w:val="0"/>
                <w:sz w:val="24"/>
                <w:szCs w:val="24"/>
              </w:rPr>
            </w:pPr>
          </w:p>
        </w:tc>
        <w:tc>
          <w:tcPr>
            <w:tcW w:w="6287" w:type="dxa"/>
          </w:tcPr>
          <w:p>
            <w:pPr>
              <w:spacing w:line="420" w:lineRule="exact"/>
              <w:rPr>
                <w:sz w:val="24"/>
                <w:szCs w:val="24"/>
              </w:rPr>
            </w:pPr>
            <w:r>
              <w:rPr>
                <w:sz w:val="24"/>
                <w:szCs w:val="24"/>
              </w:rPr>
              <w:t xml:space="preserve">7. </w:t>
            </w:r>
            <w:r>
              <w:rPr>
                <w:rFonts w:hint="eastAsia"/>
                <w:sz w:val="24"/>
                <w:szCs w:val="24"/>
              </w:rPr>
              <w:t>提供资格要求内的特定条件。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tcPr>
          <w:p>
            <w:pPr>
              <w:spacing w:line="420" w:lineRule="exact"/>
              <w:rPr>
                <w:b/>
                <w:sz w:val="24"/>
                <w:szCs w:val="24"/>
              </w:rPr>
            </w:pPr>
            <w:r>
              <w:rPr>
                <w:rFonts w:hint="eastAsia"/>
                <w:b/>
                <w:sz w:val="24"/>
                <w:szCs w:val="24"/>
              </w:rPr>
              <w:t>供应商意见</w:t>
            </w:r>
          </w:p>
        </w:tc>
        <w:tc>
          <w:tcPr>
            <w:tcW w:w="6287" w:type="dxa"/>
          </w:tcPr>
          <w:p>
            <w:pPr>
              <w:spacing w:line="420" w:lineRule="exact"/>
              <w:rPr>
                <w:b/>
                <w:sz w:val="24"/>
                <w:szCs w:val="24"/>
              </w:rPr>
            </w:pPr>
            <w:r>
              <w:rPr>
                <w:rFonts w:hint="eastAsia"/>
                <w:b/>
                <w:sz w:val="24"/>
                <w:szCs w:val="24"/>
              </w:rPr>
              <w:t>供应商可对本项目采购需求及评分标准的公正性、专业性、合理性等提出自己正确的意见、建议等（可另页详细表述）。</w:t>
            </w:r>
          </w:p>
        </w:tc>
      </w:tr>
    </w:tbl>
    <w:p>
      <w:pPr>
        <w:pStyle w:val="5"/>
        <w:shd w:val="clear" w:color="auto" w:fill="FFFFFF"/>
        <w:spacing w:before="150" w:beforeAutospacing="0" w:after="150" w:afterAutospacing="0" w:line="420" w:lineRule="exact"/>
        <w:ind w:left="150"/>
        <w:rPr>
          <w:rStyle w:val="8"/>
          <w:b w:val="0"/>
          <w:szCs w:val="24"/>
        </w:rPr>
      </w:pPr>
      <w:r>
        <w:rPr>
          <w:rStyle w:val="8"/>
          <w:rFonts w:hint="eastAsia"/>
          <w:szCs w:val="24"/>
        </w:rPr>
        <w:t>注意事项</w:t>
      </w:r>
      <w:r>
        <w:rPr>
          <w:rStyle w:val="8"/>
          <w:rFonts w:hint="eastAsia"/>
          <w:b w:val="0"/>
          <w:szCs w:val="24"/>
        </w:rPr>
        <w:t>：</w:t>
      </w:r>
    </w:p>
    <w:p>
      <w:pPr>
        <w:pStyle w:val="5"/>
        <w:shd w:val="clear" w:color="auto" w:fill="FFFFFF"/>
        <w:spacing w:before="150" w:beforeAutospacing="0" w:after="150" w:afterAutospacing="0" w:line="420" w:lineRule="exact"/>
        <w:ind w:left="150"/>
        <w:rPr>
          <w:sz w:val="21"/>
          <w:szCs w:val="21"/>
        </w:rPr>
      </w:pPr>
      <w:r>
        <w:rPr>
          <w:sz w:val="21"/>
          <w:szCs w:val="21"/>
        </w:rPr>
        <w:t>1.</w:t>
      </w:r>
      <w:r>
        <w:rPr>
          <w:rFonts w:hint="eastAsia"/>
          <w:sz w:val="21"/>
          <w:szCs w:val="21"/>
        </w:rPr>
        <w:t>供应商必须严格按照公告的内容和要求，完整递交有关资料，逾期递交的将予以拒收。</w:t>
      </w:r>
    </w:p>
    <w:p>
      <w:pPr>
        <w:pStyle w:val="5"/>
        <w:shd w:val="clear" w:color="auto" w:fill="FFFFFF"/>
        <w:spacing w:before="150" w:beforeAutospacing="0" w:after="150" w:afterAutospacing="0" w:line="420" w:lineRule="exact"/>
        <w:ind w:left="150"/>
        <w:rPr>
          <w:sz w:val="21"/>
          <w:szCs w:val="21"/>
        </w:rPr>
      </w:pPr>
      <w:r>
        <w:rPr>
          <w:sz w:val="21"/>
          <w:szCs w:val="21"/>
        </w:rPr>
        <w:t>2.</w:t>
      </w:r>
      <w:r>
        <w:rPr>
          <w:rFonts w:hint="eastAsia"/>
          <w:sz w:val="21"/>
          <w:szCs w:val="21"/>
        </w:rPr>
        <w:t>供应商所递交的资料（全部盖有单位公章）必须为一般常用电脑办公软件能够读取的清晰、易于辨识的彩色电子扫描件、照片（相关证书和证明材料的原件）</w:t>
      </w:r>
      <w:r>
        <w:rPr>
          <w:sz w:val="21"/>
          <w:szCs w:val="21"/>
        </w:rPr>
        <w:t>,</w:t>
      </w:r>
      <w:r>
        <w:rPr>
          <w:rFonts w:hint="eastAsia"/>
          <w:sz w:val="21"/>
          <w:szCs w:val="21"/>
        </w:rPr>
        <w:t>并对其他递交资料内容的真实性、有效性及完整性负责，如提供文件资料有错漏、模糊不清、复印件的电子扫描件、照片、无法读取识别或弄虚作假等，一律属于无效文件。</w:t>
      </w:r>
    </w:p>
    <w:p>
      <w:pPr>
        <w:pStyle w:val="5"/>
        <w:shd w:val="clear" w:color="auto" w:fill="FFFFFF"/>
        <w:spacing w:before="150" w:beforeAutospacing="0" w:after="150" w:afterAutospacing="0" w:line="420" w:lineRule="exact"/>
        <w:ind w:left="150"/>
      </w:pPr>
      <w:r>
        <w:rPr>
          <w:sz w:val="21"/>
          <w:szCs w:val="21"/>
        </w:rPr>
        <w:t>3.</w:t>
      </w:r>
      <w:r>
        <w:rPr>
          <w:rFonts w:hint="eastAsia"/>
          <w:sz w:val="21"/>
          <w:szCs w:val="21"/>
        </w:rPr>
        <w:t>须在邮件（附件文件名注明公司全称）注明公司全称、项目名称及项目编号（不注明我单位将拒收报名邮件）。</w:t>
      </w:r>
    </w:p>
    <w:sectPr>
      <w:pgSz w:w="11906" w:h="16838"/>
      <w:pgMar w:top="127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80093"/>
    <w:rsid w:val="00027F69"/>
    <w:rsid w:val="00072D8C"/>
    <w:rsid w:val="00085FD8"/>
    <w:rsid w:val="000C5608"/>
    <w:rsid w:val="000C7DC1"/>
    <w:rsid w:val="001531A1"/>
    <w:rsid w:val="00165ADD"/>
    <w:rsid w:val="00193711"/>
    <w:rsid w:val="001C67A5"/>
    <w:rsid w:val="001D7CF9"/>
    <w:rsid w:val="001E1434"/>
    <w:rsid w:val="001E2F76"/>
    <w:rsid w:val="00282DBD"/>
    <w:rsid w:val="002F588F"/>
    <w:rsid w:val="002F78B3"/>
    <w:rsid w:val="003074C2"/>
    <w:rsid w:val="003422D8"/>
    <w:rsid w:val="003628CE"/>
    <w:rsid w:val="00385BEF"/>
    <w:rsid w:val="00391F3D"/>
    <w:rsid w:val="00395F08"/>
    <w:rsid w:val="003B6AC4"/>
    <w:rsid w:val="0041207D"/>
    <w:rsid w:val="00414907"/>
    <w:rsid w:val="004241BA"/>
    <w:rsid w:val="00441E23"/>
    <w:rsid w:val="0044468B"/>
    <w:rsid w:val="00447DAD"/>
    <w:rsid w:val="00474079"/>
    <w:rsid w:val="004A08F0"/>
    <w:rsid w:val="004A4D28"/>
    <w:rsid w:val="004C2CFD"/>
    <w:rsid w:val="004F0447"/>
    <w:rsid w:val="00502B89"/>
    <w:rsid w:val="005668B2"/>
    <w:rsid w:val="0057168D"/>
    <w:rsid w:val="005E10FB"/>
    <w:rsid w:val="005E6CDC"/>
    <w:rsid w:val="00610C23"/>
    <w:rsid w:val="0061134C"/>
    <w:rsid w:val="006151AA"/>
    <w:rsid w:val="00620DDA"/>
    <w:rsid w:val="00626C64"/>
    <w:rsid w:val="00641676"/>
    <w:rsid w:val="006461AD"/>
    <w:rsid w:val="00664849"/>
    <w:rsid w:val="0069008D"/>
    <w:rsid w:val="00693DFF"/>
    <w:rsid w:val="0069525A"/>
    <w:rsid w:val="00695A9D"/>
    <w:rsid w:val="007E32F2"/>
    <w:rsid w:val="007F4490"/>
    <w:rsid w:val="008217D9"/>
    <w:rsid w:val="008268C2"/>
    <w:rsid w:val="00887429"/>
    <w:rsid w:val="008B614F"/>
    <w:rsid w:val="0090171A"/>
    <w:rsid w:val="00913EC0"/>
    <w:rsid w:val="00930998"/>
    <w:rsid w:val="0093730A"/>
    <w:rsid w:val="0095313B"/>
    <w:rsid w:val="00975795"/>
    <w:rsid w:val="0099118E"/>
    <w:rsid w:val="00996808"/>
    <w:rsid w:val="009E7F6C"/>
    <w:rsid w:val="009F2695"/>
    <w:rsid w:val="00A00924"/>
    <w:rsid w:val="00A25F32"/>
    <w:rsid w:val="00A95101"/>
    <w:rsid w:val="00B138FE"/>
    <w:rsid w:val="00B16E6F"/>
    <w:rsid w:val="00B23833"/>
    <w:rsid w:val="00B45DA6"/>
    <w:rsid w:val="00B622F5"/>
    <w:rsid w:val="00B6516C"/>
    <w:rsid w:val="00B703C7"/>
    <w:rsid w:val="00C160C4"/>
    <w:rsid w:val="00C16A37"/>
    <w:rsid w:val="00C225D9"/>
    <w:rsid w:val="00C75B15"/>
    <w:rsid w:val="00CB2DD0"/>
    <w:rsid w:val="00CD33DD"/>
    <w:rsid w:val="00DC2644"/>
    <w:rsid w:val="00DD3F39"/>
    <w:rsid w:val="00DF548C"/>
    <w:rsid w:val="00E046A7"/>
    <w:rsid w:val="00E777E5"/>
    <w:rsid w:val="00EB3BEB"/>
    <w:rsid w:val="00EB4FCB"/>
    <w:rsid w:val="00F13B4F"/>
    <w:rsid w:val="00F32425"/>
    <w:rsid w:val="00F449CA"/>
    <w:rsid w:val="00F61D65"/>
    <w:rsid w:val="00F82223"/>
    <w:rsid w:val="00F93DA7"/>
    <w:rsid w:val="00FC5FB5"/>
    <w:rsid w:val="00FD6711"/>
    <w:rsid w:val="00FE6C88"/>
    <w:rsid w:val="00FE7AF7"/>
    <w:rsid w:val="01050DD7"/>
    <w:rsid w:val="07A23490"/>
    <w:rsid w:val="16175793"/>
    <w:rsid w:val="1BD16E75"/>
    <w:rsid w:val="1D580093"/>
    <w:rsid w:val="2D9857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qFormat/>
    <w:uiPriority w:val="99"/>
    <w:rPr>
      <w:rFonts w:cs="Times New Roman"/>
      <w:b/>
      <w:bCs/>
    </w:rPr>
  </w:style>
  <w:style w:type="character" w:customStyle="1" w:styleId="9">
    <w:name w:val="页眉 Char"/>
    <w:basedOn w:val="7"/>
    <w:link w:val="4"/>
    <w:qFormat/>
    <w:uiPriority w:val="0"/>
    <w:rPr>
      <w:rFonts w:ascii="Calibri" w:hAnsi="Calibri" w:cs="黑体"/>
      <w:kern w:val="2"/>
      <w:sz w:val="18"/>
      <w:szCs w:val="18"/>
    </w:rPr>
  </w:style>
  <w:style w:type="character" w:customStyle="1" w:styleId="10">
    <w:name w:val="页脚 Char"/>
    <w:basedOn w:val="7"/>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3269</Words>
  <Characters>366</Characters>
  <Lines>3</Lines>
  <Paragraphs>7</Paragraphs>
  <TotalTime>48</TotalTime>
  <ScaleCrop>false</ScaleCrop>
  <LinksUpToDate>false</LinksUpToDate>
  <CharactersWithSpaces>3628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2020-04-20T03:21:00Z</dcterms:created>
  <dc:creator>Administrator</dc:creator>
  <cp:lastModifiedBy>Administrator</cp:lastModifiedBy>
  <cp:lastPrinted>2020-04-24T00:20:00Z</cp:lastPrinted>
  <dcterms:modified xsi:type="dcterms:W3CDTF">2020-04-26T01:24:48Z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