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w w:val="120"/>
          <w:sz w:val="52"/>
          <w:szCs w:val="52"/>
        </w:rPr>
      </w:pPr>
      <w:r>
        <w:rPr>
          <w:rFonts w:hint="eastAsia"/>
          <w:w w:val="120"/>
          <w:sz w:val="52"/>
          <w:szCs w:val="52"/>
        </w:rPr>
        <w:t>阳新县县级政府采购</w:t>
      </w:r>
    </w:p>
    <w:p>
      <w:pPr>
        <w:pStyle w:val="7"/>
        <w:adjustRightInd w:val="0"/>
        <w:snapToGrid w:val="0"/>
        <w:spacing w:line="720" w:lineRule="auto"/>
        <w:jc w:val="center"/>
        <w:rPr>
          <w:rFonts w:ascii="黑体" w:hAnsi="黑体" w:eastAsia="黑体" w:cs="Times New Roman"/>
          <w:b/>
          <w:bCs/>
          <w:sz w:val="36"/>
          <w:szCs w:val="24"/>
        </w:rPr>
      </w:pPr>
      <w:r>
        <w:rPr>
          <w:rFonts w:hint="eastAsia" w:ascii="Times New Roman" w:hAnsi="Times New Roman" w:eastAsia="宋体" w:cs="Times New Roman"/>
          <w:snapToGrid w:val="0"/>
          <w:kern w:val="10"/>
          <w:sz w:val="144"/>
          <w:szCs w:val="144"/>
        </w:rPr>
        <w:t>招 标 文 件</w:t>
      </w:r>
    </w:p>
    <w:p>
      <w:pPr>
        <w:spacing w:line="360" w:lineRule="auto"/>
        <w:ind w:right="1306" w:rightChars="622"/>
        <w:rPr>
          <w:rFonts w:ascii="黑体" w:hAnsi="黑体" w:eastAsia="黑体" w:cs="Times New Roman"/>
          <w:b/>
          <w:bCs/>
          <w:sz w:val="36"/>
          <w:szCs w:val="24"/>
        </w:rPr>
      </w:pPr>
    </w:p>
    <w:p>
      <w:pPr>
        <w:spacing w:line="480" w:lineRule="auto"/>
        <w:ind w:firstLine="1600" w:firstLineChars="500"/>
        <w:rPr>
          <w:bCs/>
          <w:sz w:val="32"/>
          <w:szCs w:val="32"/>
          <w:u w:val="single"/>
        </w:rPr>
      </w:pPr>
      <w:r>
        <w:rPr>
          <w:rFonts w:hint="eastAsia"/>
          <w:bCs/>
          <w:sz w:val="32"/>
          <w:szCs w:val="32"/>
        </w:rPr>
        <w:t>项目编号：</w:t>
      </w:r>
      <w:r>
        <w:rPr>
          <w:bCs/>
          <w:sz w:val="32"/>
          <w:szCs w:val="32"/>
          <w:u w:val="single"/>
        </w:rPr>
        <w:t>l31-2020CG-023</w:t>
      </w:r>
      <w:r>
        <w:rPr>
          <w:rFonts w:hint="eastAsia"/>
          <w:bCs/>
          <w:sz w:val="32"/>
          <w:szCs w:val="32"/>
          <w:u w:val="single"/>
        </w:rPr>
        <w:t xml:space="preserve">            </w:t>
      </w:r>
    </w:p>
    <w:p>
      <w:pPr>
        <w:spacing w:line="480" w:lineRule="auto"/>
        <w:ind w:firstLine="1600" w:firstLineChars="500"/>
        <w:rPr>
          <w:bCs/>
          <w:sz w:val="32"/>
          <w:szCs w:val="32"/>
          <w:u w:val="single"/>
        </w:rPr>
      </w:pPr>
      <w:r>
        <w:rPr>
          <w:rFonts w:hint="eastAsia"/>
          <w:bCs/>
          <w:sz w:val="32"/>
          <w:szCs w:val="32"/>
        </w:rPr>
        <w:t>采购人：</w:t>
      </w:r>
      <w:r>
        <w:rPr>
          <w:rFonts w:hint="eastAsia"/>
          <w:bCs/>
          <w:sz w:val="32"/>
          <w:szCs w:val="32"/>
          <w:u w:val="single"/>
        </w:rPr>
        <w:t xml:space="preserve">阳新县人民医院             </w:t>
      </w:r>
    </w:p>
    <w:p>
      <w:pPr>
        <w:spacing w:line="480" w:lineRule="auto"/>
        <w:ind w:firstLine="1600" w:firstLineChars="500"/>
        <w:rPr>
          <w:bCs/>
          <w:sz w:val="32"/>
          <w:szCs w:val="32"/>
          <w:u w:val="single"/>
        </w:rPr>
      </w:pPr>
      <w:r>
        <w:rPr>
          <w:rFonts w:hint="eastAsia"/>
          <w:bCs/>
          <w:sz w:val="32"/>
          <w:szCs w:val="32"/>
        </w:rPr>
        <w:t>项目名称：</w:t>
      </w:r>
      <w:r>
        <w:rPr>
          <w:rFonts w:hint="eastAsia"/>
          <w:bCs/>
          <w:sz w:val="32"/>
          <w:szCs w:val="32"/>
          <w:u w:val="single"/>
        </w:rPr>
        <w:t xml:space="preserve">远程心电诊断中心建设项目 </w:t>
      </w:r>
    </w:p>
    <w:p>
      <w:pPr>
        <w:spacing w:line="480" w:lineRule="auto"/>
        <w:ind w:firstLine="1600" w:firstLineChars="500"/>
        <w:rPr>
          <w:bCs/>
          <w:sz w:val="32"/>
          <w:szCs w:val="32"/>
          <w:u w:val="single"/>
        </w:rPr>
      </w:pPr>
      <w:r>
        <w:rPr>
          <w:rFonts w:hint="eastAsia"/>
          <w:bCs/>
          <w:sz w:val="32"/>
          <w:szCs w:val="32"/>
        </w:rPr>
        <w:t>采购内容：</w:t>
      </w:r>
      <w:r>
        <w:rPr>
          <w:rFonts w:hint="eastAsia"/>
          <w:bCs/>
          <w:sz w:val="32"/>
          <w:szCs w:val="32"/>
          <w:u w:val="single"/>
        </w:rPr>
        <w:t xml:space="preserve">系统建设                 </w:t>
      </w:r>
    </w:p>
    <w:p>
      <w:pPr>
        <w:spacing w:line="360" w:lineRule="auto"/>
        <w:ind w:left="2052" w:leftChars="619" w:right="1306" w:rightChars="622" w:hanging="752" w:hangingChars="209"/>
        <w:rPr>
          <w:rFonts w:ascii="宋体" w:hAnsi="宋体" w:eastAsia="宋体" w:cs="Times New Roman"/>
          <w:sz w:val="36"/>
          <w:szCs w:val="36"/>
        </w:rPr>
      </w:pPr>
    </w:p>
    <w:p>
      <w:pPr>
        <w:adjustRightInd w:val="0"/>
        <w:snapToGrid w:val="0"/>
        <w:jc w:val="center"/>
        <w:rPr>
          <w:bCs/>
          <w:snapToGrid w:val="0"/>
          <w:kern w:val="0"/>
          <w:position w:val="-98"/>
          <w:sz w:val="72"/>
          <w:szCs w:val="96"/>
        </w:rPr>
      </w:pPr>
      <w:r>
        <w:rPr>
          <w:rFonts w:hint="eastAsia"/>
          <w:bCs/>
          <w:snapToGrid w:val="0"/>
          <w:kern w:val="0"/>
          <w:position w:val="-98"/>
          <w:sz w:val="72"/>
          <w:szCs w:val="96"/>
        </w:rPr>
        <w:t>湖北省成套招标股份有限公司</w:t>
      </w:r>
    </w:p>
    <w:p>
      <w:pPr>
        <w:jc w:val="center"/>
        <w:rPr>
          <w:rFonts w:ascii="黑体" w:hAnsi="黑体" w:eastAsia="黑体"/>
          <w:b/>
          <w:sz w:val="44"/>
        </w:rPr>
      </w:pPr>
      <w:r>
        <w:rPr>
          <w:rFonts w:hint="eastAsia"/>
          <w:sz w:val="32"/>
          <w:szCs w:val="32"/>
        </w:rPr>
        <w:t>2020年04</w:t>
      </w:r>
      <w:r>
        <w:rPr>
          <w:rFonts w:hint="eastAsia" w:asciiTheme="minorEastAsia" w:hAnsiTheme="minorEastAsia" w:cstheme="minorEastAsia"/>
          <w:bCs/>
          <w:sz w:val="32"/>
          <w:szCs w:val="32"/>
        </w:rPr>
        <w:t>月</w:t>
      </w:r>
    </w:p>
    <w:p>
      <w:pPr>
        <w:sectPr>
          <w:headerReference r:id="rId3" w:type="default"/>
          <w:footerReference r:id="rId5" w:type="default"/>
          <w:headerReference r:id="rId4" w:type="even"/>
          <w:footerReference r:id="rId6" w:type="even"/>
          <w:pgSz w:w="11906" w:h="16838"/>
          <w:pgMar w:top="3402" w:right="1191" w:bottom="1134" w:left="1191" w:header="680" w:footer="680" w:gutter="0"/>
          <w:cols w:space="425" w:num="1"/>
          <w:docGrid w:type="lines" w:linePitch="312" w:charSpace="0"/>
        </w:sectPr>
      </w:pPr>
    </w:p>
    <w:p>
      <w:pPr>
        <w:spacing w:before="312" w:beforeLines="100"/>
        <w:jc w:val="center"/>
        <w:rPr>
          <w:rFonts w:ascii="黑体" w:hAnsi="黑体" w:eastAsia="黑体"/>
          <w:sz w:val="44"/>
          <w:szCs w:val="44"/>
        </w:rPr>
      </w:pPr>
      <w:r>
        <w:rPr>
          <w:rFonts w:hint="eastAsia" w:ascii="黑体" w:hAnsi="黑体" w:eastAsia="黑体"/>
          <w:sz w:val="44"/>
          <w:szCs w:val="44"/>
        </w:rPr>
        <w:t>目   录</w:t>
      </w:r>
    </w:p>
    <w:sdt>
      <w:sdtPr>
        <w:rPr>
          <w:color w:val="auto"/>
          <w:lang w:val="zh-CN"/>
        </w:rPr>
        <w:id w:val="1482579200"/>
      </w:sdtPr>
      <w:sdtEndPr>
        <w:rPr>
          <w:b w:val="0"/>
          <w:bCs/>
          <w:color w:val="auto"/>
          <w:lang w:val="zh-CN"/>
        </w:rPr>
      </w:sdtEndPr>
      <w:sdtContent>
        <w:p>
          <w:pPr>
            <w:pStyle w:val="12"/>
            <w:tabs>
              <w:tab w:val="left" w:pos="1260"/>
              <w:tab w:val="right" w:leader="dot" w:pos="9514"/>
            </w:tabs>
            <w:rPr>
              <w:rFonts w:eastAsiaTheme="minorEastAsia"/>
              <w:b w:val="0"/>
              <w:iCs w:val="0"/>
              <w:color w:val="auto"/>
              <w:kern w:val="2"/>
              <w:sz w:val="21"/>
            </w:rPr>
          </w:pPr>
          <w:r>
            <w:rPr>
              <w:color w:val="auto"/>
            </w:rPr>
            <w:fldChar w:fldCharType="begin"/>
          </w:r>
          <w:r>
            <w:rPr>
              <w:color w:val="auto"/>
            </w:rPr>
            <w:instrText xml:space="preserve"> TOC \o "1-2" \h \z \u </w:instrText>
          </w:r>
          <w:r>
            <w:rPr>
              <w:color w:val="auto"/>
            </w:rPr>
            <w:fldChar w:fldCharType="separate"/>
          </w:r>
          <w:r>
            <w:fldChar w:fldCharType="begin"/>
          </w:r>
          <w:r>
            <w:instrText xml:space="preserve"> HYPERLINK \l "_Toc495861517" </w:instrText>
          </w:r>
          <w:r>
            <w:fldChar w:fldCharType="separate"/>
          </w:r>
          <w:r>
            <w:rPr>
              <w:rStyle w:val="20"/>
              <w:rFonts w:hint="eastAsia" w:ascii="黑体" w:hAnsi="黑体"/>
              <w:color w:val="auto"/>
            </w:rPr>
            <w:t>第一章</w:t>
          </w:r>
          <w:r>
            <w:rPr>
              <w:rFonts w:eastAsiaTheme="minorEastAsia"/>
              <w:b w:val="0"/>
              <w:iCs w:val="0"/>
              <w:color w:val="auto"/>
              <w:kern w:val="2"/>
              <w:sz w:val="21"/>
            </w:rPr>
            <w:tab/>
          </w:r>
          <w:r>
            <w:rPr>
              <w:rStyle w:val="20"/>
              <w:rFonts w:hint="eastAsia" w:ascii="黑体" w:hAnsi="黑体"/>
              <w:color w:val="auto"/>
            </w:rPr>
            <w:t>投标邀请书</w:t>
          </w:r>
          <w:r>
            <w:rPr>
              <w:color w:val="auto"/>
            </w:rPr>
            <w:tab/>
          </w:r>
          <w:r>
            <w:rPr>
              <w:color w:val="auto"/>
            </w:rPr>
            <w:fldChar w:fldCharType="begin"/>
          </w:r>
          <w:r>
            <w:rPr>
              <w:color w:val="auto"/>
            </w:rPr>
            <w:instrText xml:space="preserve"> PAGEREF _Toc495861517 \h </w:instrText>
          </w:r>
          <w:r>
            <w:rPr>
              <w:color w:val="auto"/>
            </w:rPr>
            <w:fldChar w:fldCharType="separate"/>
          </w:r>
          <w:r>
            <w:rPr>
              <w:color w:val="auto"/>
            </w:rPr>
            <w:t>4</w:t>
          </w:r>
          <w:r>
            <w:rPr>
              <w:color w:val="auto"/>
            </w:rPr>
            <w:fldChar w:fldCharType="end"/>
          </w:r>
          <w:r>
            <w:rPr>
              <w:color w:val="auto"/>
            </w:rPr>
            <w:fldChar w:fldCharType="end"/>
          </w:r>
        </w:p>
        <w:p>
          <w:pPr>
            <w:pStyle w:val="12"/>
            <w:tabs>
              <w:tab w:val="left" w:pos="1260"/>
              <w:tab w:val="right" w:leader="dot" w:pos="9514"/>
            </w:tabs>
            <w:rPr>
              <w:rFonts w:eastAsiaTheme="minorEastAsia"/>
              <w:b w:val="0"/>
              <w:iCs w:val="0"/>
              <w:color w:val="auto"/>
              <w:kern w:val="2"/>
              <w:sz w:val="21"/>
            </w:rPr>
          </w:pPr>
          <w:r>
            <w:fldChar w:fldCharType="begin"/>
          </w:r>
          <w:r>
            <w:instrText xml:space="preserve"> HYPERLINK \l "_Toc495861518" </w:instrText>
          </w:r>
          <w:r>
            <w:fldChar w:fldCharType="separate"/>
          </w:r>
          <w:r>
            <w:rPr>
              <w:rStyle w:val="20"/>
              <w:rFonts w:hint="eastAsia" w:ascii="黑体" w:hAnsi="黑体"/>
              <w:color w:val="auto"/>
            </w:rPr>
            <w:t>第二章</w:t>
          </w:r>
          <w:r>
            <w:rPr>
              <w:rFonts w:eastAsiaTheme="minorEastAsia"/>
              <w:b w:val="0"/>
              <w:iCs w:val="0"/>
              <w:color w:val="auto"/>
              <w:kern w:val="2"/>
              <w:sz w:val="21"/>
            </w:rPr>
            <w:tab/>
          </w:r>
          <w:r>
            <w:rPr>
              <w:rStyle w:val="20"/>
              <w:rFonts w:hint="eastAsia" w:ascii="黑体" w:hAnsi="黑体"/>
              <w:color w:val="auto"/>
            </w:rPr>
            <w:t>投标人须知</w:t>
          </w:r>
          <w:r>
            <w:rPr>
              <w:color w:val="auto"/>
            </w:rPr>
            <w:tab/>
          </w:r>
          <w:r>
            <w:rPr>
              <w:color w:val="auto"/>
            </w:rPr>
            <w:fldChar w:fldCharType="begin"/>
          </w:r>
          <w:r>
            <w:rPr>
              <w:color w:val="auto"/>
            </w:rPr>
            <w:instrText xml:space="preserve"> PAGEREF _Toc495861518 \h </w:instrText>
          </w:r>
          <w:r>
            <w:rPr>
              <w:color w:val="auto"/>
            </w:rPr>
            <w:fldChar w:fldCharType="separate"/>
          </w:r>
          <w:r>
            <w:rPr>
              <w:color w:val="auto"/>
            </w:rPr>
            <w:t>6</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"_Toc495861519" </w:instrText>
          </w:r>
          <w:r>
            <w:fldChar w:fldCharType="separate"/>
          </w:r>
          <w:r>
            <w:rPr>
              <w:rStyle w:val="20"/>
              <w:rFonts w:hint="eastAsia" w:cs="Times New Roman" w:asciiTheme="majorEastAsia" w:hAnsiTheme="majorEastAsia" w:eastAsiaTheme="majorEastAsia"/>
              <w:b/>
              <w:bCs/>
              <w:color w:val="auto"/>
              <w:lang w:val="zh-CN"/>
            </w:rPr>
            <w:t>投标须知前附表</w:t>
          </w:r>
          <w:r>
            <w:rPr>
              <w:color w:val="auto"/>
            </w:rPr>
            <w:tab/>
          </w:r>
          <w:r>
            <w:rPr>
              <w:color w:val="auto"/>
            </w:rPr>
            <w:fldChar w:fldCharType="begin"/>
          </w:r>
          <w:r>
            <w:rPr>
              <w:color w:val="auto"/>
            </w:rPr>
            <w:instrText xml:space="preserve"> PAGEREF _Toc495861519 \h </w:instrText>
          </w:r>
          <w:r>
            <w:rPr>
              <w:color w:val="auto"/>
            </w:rPr>
            <w:fldChar w:fldCharType="separate"/>
          </w:r>
          <w:r>
            <w:rPr>
              <w:color w:val="auto"/>
            </w:rPr>
            <w:t>6</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"_Toc495861520" </w:instrText>
          </w:r>
          <w:r>
            <w:fldChar w:fldCharType="separate"/>
          </w:r>
          <w:r>
            <w:rPr>
              <w:rStyle w:val="20"/>
              <w:rFonts w:hint="eastAsia" w:cs="Times New Roman" w:asciiTheme="majorEastAsia" w:hAnsiTheme="majorEastAsia"/>
              <w:color w:val="auto"/>
              <w:lang w:val="zh-CN"/>
            </w:rPr>
            <w:t>一、</w:t>
          </w:r>
          <w:r>
            <w:rPr>
              <w:rFonts w:asciiTheme="minorHAnsi" w:hAnsiTheme="minorHAnsi"/>
              <w:iCs w:val="0"/>
              <w:color w:val="auto"/>
              <w:kern w:val="2"/>
              <w:sz w:val="21"/>
            </w:rPr>
            <w:tab/>
          </w:r>
          <w:r>
            <w:rPr>
              <w:rStyle w:val="20"/>
              <w:rFonts w:hint="eastAsia" w:cs="Times New Roman" w:asciiTheme="majorEastAsia" w:hAnsiTheme="majorEastAsia"/>
              <w:color w:val="auto"/>
              <w:lang w:val="zh-CN"/>
            </w:rPr>
            <w:t>说明</w:t>
          </w:r>
          <w:r>
            <w:rPr>
              <w:color w:val="auto"/>
            </w:rPr>
            <w:tab/>
          </w:r>
          <w:r>
            <w:rPr>
              <w:color w:val="auto"/>
            </w:rPr>
            <w:fldChar w:fldCharType="begin"/>
          </w:r>
          <w:r>
            <w:rPr>
              <w:color w:val="auto"/>
            </w:rPr>
            <w:instrText xml:space="preserve"> PAGEREF _Toc495861520 \h </w:instrText>
          </w:r>
          <w:r>
            <w:rPr>
              <w:color w:val="auto"/>
            </w:rPr>
            <w:fldChar w:fldCharType="separate"/>
          </w:r>
          <w:r>
            <w:rPr>
              <w:color w:val="auto"/>
            </w:rPr>
            <w:t>7</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"_Toc495861521" </w:instrText>
          </w:r>
          <w:r>
            <w:fldChar w:fldCharType="separate"/>
          </w:r>
          <w:r>
            <w:rPr>
              <w:rStyle w:val="20"/>
              <w:rFonts w:hint="eastAsia" w:cs="Times New Roman" w:asciiTheme="majorEastAsia" w:hAnsiTheme="majorEastAsia"/>
              <w:color w:val="auto"/>
              <w:lang w:val="zh-CN"/>
            </w:rPr>
            <w:t>二、</w:t>
          </w:r>
          <w:r>
            <w:rPr>
              <w:rFonts w:asciiTheme="minorHAnsi" w:hAnsiTheme="minorHAnsi"/>
              <w:iCs w:val="0"/>
              <w:color w:val="auto"/>
              <w:kern w:val="2"/>
              <w:sz w:val="21"/>
            </w:rPr>
            <w:tab/>
          </w:r>
          <w:r>
            <w:rPr>
              <w:rStyle w:val="20"/>
              <w:rFonts w:hint="eastAsia" w:cs="Times New Roman" w:asciiTheme="majorEastAsia" w:hAnsiTheme="majorEastAsia"/>
              <w:color w:val="auto"/>
              <w:lang w:val="zh-CN"/>
            </w:rPr>
            <w:t>招标文件</w:t>
          </w:r>
          <w:r>
            <w:rPr>
              <w:color w:val="auto"/>
            </w:rPr>
            <w:tab/>
          </w:r>
          <w:r>
            <w:rPr>
              <w:color w:val="auto"/>
            </w:rPr>
            <w:fldChar w:fldCharType="begin"/>
          </w:r>
          <w:r>
            <w:rPr>
              <w:color w:val="auto"/>
            </w:rPr>
            <w:instrText xml:space="preserve"> PAGEREF _Toc495861521 \h </w:instrText>
          </w:r>
          <w:r>
            <w:rPr>
              <w:color w:val="auto"/>
            </w:rPr>
            <w:fldChar w:fldCharType="separate"/>
          </w:r>
          <w:r>
            <w:rPr>
              <w:color w:val="auto"/>
            </w:rPr>
            <w:t>8</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"_Toc495861522" </w:instrText>
          </w:r>
          <w:r>
            <w:fldChar w:fldCharType="separate"/>
          </w:r>
          <w:r>
            <w:rPr>
              <w:rStyle w:val="20"/>
              <w:rFonts w:hint="eastAsia" w:cs="Times New Roman" w:asciiTheme="majorEastAsia" w:hAnsiTheme="majorEastAsia"/>
              <w:color w:val="auto"/>
              <w:lang w:val="zh-CN"/>
            </w:rPr>
            <w:t>三、</w:t>
          </w:r>
          <w:r>
            <w:rPr>
              <w:rFonts w:asciiTheme="minorHAnsi" w:hAnsiTheme="minorHAnsi"/>
              <w:iCs w:val="0"/>
              <w:color w:val="auto"/>
              <w:kern w:val="2"/>
              <w:sz w:val="21"/>
            </w:rPr>
            <w:tab/>
          </w:r>
          <w:r>
            <w:rPr>
              <w:rStyle w:val="20"/>
              <w:rFonts w:hint="eastAsia" w:cs="Times New Roman" w:asciiTheme="majorEastAsia" w:hAnsiTheme="majorEastAsia"/>
              <w:color w:val="auto"/>
              <w:lang w:val="zh-CN"/>
            </w:rPr>
            <w:t>投标文件</w:t>
          </w:r>
          <w:r>
            <w:rPr>
              <w:color w:val="auto"/>
            </w:rPr>
            <w:tab/>
          </w:r>
          <w:r>
            <w:rPr>
              <w:color w:val="auto"/>
            </w:rPr>
            <w:fldChar w:fldCharType="begin"/>
          </w:r>
          <w:r>
            <w:rPr>
              <w:color w:val="auto"/>
            </w:rPr>
            <w:instrText xml:space="preserve"> PAGEREF _Toc495861522 \h </w:instrText>
          </w:r>
          <w:r>
            <w:rPr>
              <w:color w:val="auto"/>
            </w:rPr>
            <w:fldChar w:fldCharType="separate"/>
          </w:r>
          <w:r>
            <w:rPr>
              <w:color w:val="auto"/>
            </w:rPr>
            <w:t>9</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"_Toc495861523" </w:instrText>
          </w:r>
          <w:r>
            <w:fldChar w:fldCharType="separate"/>
          </w:r>
          <w:r>
            <w:rPr>
              <w:rStyle w:val="20"/>
              <w:rFonts w:hint="eastAsia" w:cs="Times New Roman" w:asciiTheme="majorEastAsia" w:hAnsiTheme="majorEastAsia"/>
              <w:color w:val="auto"/>
              <w:lang w:val="zh-CN"/>
            </w:rPr>
            <w:t>四、</w:t>
          </w:r>
          <w:r>
            <w:rPr>
              <w:rFonts w:asciiTheme="minorHAnsi" w:hAnsiTheme="minorHAnsi"/>
              <w:iCs w:val="0"/>
              <w:color w:val="auto"/>
              <w:kern w:val="2"/>
              <w:sz w:val="21"/>
            </w:rPr>
            <w:tab/>
          </w:r>
          <w:r>
            <w:rPr>
              <w:rStyle w:val="20"/>
              <w:rFonts w:hint="eastAsia" w:cs="Times New Roman" w:asciiTheme="majorEastAsia" w:hAnsiTheme="majorEastAsia"/>
              <w:color w:val="auto"/>
              <w:lang w:val="zh-CN"/>
            </w:rPr>
            <w:t>开标与评标</w:t>
          </w:r>
          <w:r>
            <w:rPr>
              <w:color w:val="auto"/>
            </w:rPr>
            <w:tab/>
          </w:r>
          <w:r>
            <w:rPr>
              <w:color w:val="auto"/>
            </w:rPr>
            <w:fldChar w:fldCharType="begin"/>
          </w:r>
          <w:r>
            <w:rPr>
              <w:color w:val="auto"/>
            </w:rPr>
            <w:instrText xml:space="preserve"> PAGEREF _Toc495861523 \h </w:instrText>
          </w:r>
          <w:r>
            <w:rPr>
              <w:color w:val="auto"/>
            </w:rPr>
            <w:fldChar w:fldCharType="separate"/>
          </w:r>
          <w:r>
            <w:rPr>
              <w:color w:val="auto"/>
            </w:rPr>
            <w:t>14</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"_Toc495861524" </w:instrText>
          </w:r>
          <w:r>
            <w:fldChar w:fldCharType="separate"/>
          </w:r>
          <w:r>
            <w:rPr>
              <w:rStyle w:val="20"/>
              <w:rFonts w:hint="eastAsia" w:cs="Times New Roman" w:asciiTheme="majorEastAsia" w:hAnsiTheme="majorEastAsia"/>
              <w:color w:val="auto"/>
              <w:lang w:val="zh-CN"/>
            </w:rPr>
            <w:t>五、</w:t>
          </w:r>
          <w:r>
            <w:rPr>
              <w:rFonts w:asciiTheme="minorHAnsi" w:hAnsiTheme="minorHAnsi"/>
              <w:iCs w:val="0"/>
              <w:color w:val="auto"/>
              <w:kern w:val="2"/>
              <w:sz w:val="21"/>
            </w:rPr>
            <w:tab/>
          </w:r>
          <w:r>
            <w:rPr>
              <w:rStyle w:val="20"/>
              <w:rFonts w:hint="eastAsia" w:cs="Times New Roman" w:asciiTheme="majorEastAsia" w:hAnsiTheme="majorEastAsia"/>
              <w:color w:val="auto"/>
              <w:lang w:val="zh-CN"/>
            </w:rPr>
            <w:t>投标人信用信息及查询</w:t>
          </w:r>
          <w:r>
            <w:rPr>
              <w:color w:val="auto"/>
            </w:rPr>
            <w:tab/>
          </w:r>
          <w:r>
            <w:rPr>
              <w:color w:val="auto"/>
            </w:rPr>
            <w:fldChar w:fldCharType="begin"/>
          </w:r>
          <w:r>
            <w:rPr>
              <w:color w:val="auto"/>
            </w:rPr>
            <w:instrText xml:space="preserve"> PAGEREF _Toc495861524 \h </w:instrText>
          </w:r>
          <w:r>
            <w:rPr>
              <w:color w:val="auto"/>
            </w:rPr>
            <w:fldChar w:fldCharType="separate"/>
          </w:r>
          <w:r>
            <w:rPr>
              <w:color w:val="auto"/>
            </w:rPr>
            <w:t>15</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"_Toc495861525" </w:instrText>
          </w:r>
          <w:r>
            <w:fldChar w:fldCharType="separate"/>
          </w:r>
          <w:r>
            <w:rPr>
              <w:rStyle w:val="20"/>
              <w:rFonts w:hint="eastAsia" w:cs="Times New Roman" w:asciiTheme="majorEastAsia" w:hAnsiTheme="majorEastAsia"/>
              <w:color w:val="auto"/>
              <w:lang w:val="zh-CN"/>
            </w:rPr>
            <w:t>六、</w:t>
          </w:r>
          <w:r>
            <w:rPr>
              <w:rFonts w:asciiTheme="minorHAnsi" w:hAnsiTheme="minorHAnsi"/>
              <w:iCs w:val="0"/>
              <w:color w:val="auto"/>
              <w:kern w:val="2"/>
              <w:sz w:val="21"/>
            </w:rPr>
            <w:tab/>
          </w:r>
          <w:r>
            <w:rPr>
              <w:rStyle w:val="20"/>
              <w:rFonts w:hint="eastAsia" w:cs="Times New Roman" w:asciiTheme="majorEastAsia" w:hAnsiTheme="majorEastAsia"/>
              <w:color w:val="auto"/>
              <w:lang w:val="zh-CN"/>
            </w:rPr>
            <w:t>中标与合同</w:t>
          </w:r>
          <w:r>
            <w:rPr>
              <w:color w:val="auto"/>
            </w:rPr>
            <w:tab/>
          </w:r>
          <w:r>
            <w:rPr>
              <w:color w:val="auto"/>
            </w:rPr>
            <w:fldChar w:fldCharType="begin"/>
          </w:r>
          <w:r>
            <w:rPr>
              <w:color w:val="auto"/>
            </w:rPr>
            <w:instrText xml:space="preserve"> PAGEREF _Toc495861525 \h </w:instrText>
          </w:r>
          <w:r>
            <w:rPr>
              <w:color w:val="auto"/>
            </w:rPr>
            <w:fldChar w:fldCharType="separate"/>
          </w:r>
          <w:r>
            <w:rPr>
              <w:color w:val="auto"/>
            </w:rPr>
            <w:t>16</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"_Toc495861526" </w:instrText>
          </w:r>
          <w:r>
            <w:fldChar w:fldCharType="separate"/>
          </w:r>
          <w:r>
            <w:rPr>
              <w:rStyle w:val="20"/>
              <w:rFonts w:hint="eastAsia" w:cs="Times New Roman" w:asciiTheme="majorEastAsia" w:hAnsiTheme="majorEastAsia"/>
              <w:color w:val="auto"/>
              <w:lang w:val="zh-CN"/>
            </w:rPr>
            <w:t>七、</w:t>
          </w:r>
          <w:r>
            <w:rPr>
              <w:rFonts w:asciiTheme="minorHAnsi" w:hAnsiTheme="minorHAnsi"/>
              <w:iCs w:val="0"/>
              <w:color w:val="auto"/>
              <w:kern w:val="2"/>
              <w:sz w:val="21"/>
            </w:rPr>
            <w:tab/>
          </w:r>
          <w:r>
            <w:rPr>
              <w:rStyle w:val="20"/>
              <w:rFonts w:hint="eastAsia" w:cs="Times New Roman" w:asciiTheme="majorEastAsia" w:hAnsiTheme="majorEastAsia"/>
              <w:color w:val="auto"/>
              <w:lang w:val="zh-CN"/>
            </w:rPr>
            <w:t>采购信息公告</w:t>
          </w:r>
          <w:r>
            <w:rPr>
              <w:color w:val="auto"/>
            </w:rPr>
            <w:tab/>
          </w:r>
          <w:r>
            <w:rPr>
              <w:color w:val="auto"/>
            </w:rPr>
            <w:fldChar w:fldCharType="begin"/>
          </w:r>
          <w:r>
            <w:rPr>
              <w:color w:val="auto"/>
            </w:rPr>
            <w:instrText xml:space="preserve"> PAGEREF _Toc495861526 \h </w:instrText>
          </w:r>
          <w:r>
            <w:rPr>
              <w:color w:val="auto"/>
            </w:rPr>
            <w:fldChar w:fldCharType="separate"/>
          </w:r>
          <w:r>
            <w:rPr>
              <w:color w:val="auto"/>
            </w:rPr>
            <w:t>17</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"_Toc495861527" </w:instrText>
          </w:r>
          <w:r>
            <w:fldChar w:fldCharType="separate"/>
          </w:r>
          <w:r>
            <w:rPr>
              <w:rStyle w:val="20"/>
              <w:rFonts w:hint="eastAsia" w:cs="Times New Roman" w:asciiTheme="majorEastAsia" w:hAnsiTheme="majorEastAsia"/>
              <w:color w:val="auto"/>
              <w:lang w:val="zh-CN"/>
            </w:rPr>
            <w:t>八、</w:t>
          </w:r>
          <w:r>
            <w:rPr>
              <w:rFonts w:asciiTheme="minorHAnsi" w:hAnsiTheme="minorHAnsi"/>
              <w:iCs w:val="0"/>
              <w:color w:val="auto"/>
              <w:kern w:val="2"/>
              <w:sz w:val="21"/>
            </w:rPr>
            <w:tab/>
          </w:r>
          <w:r>
            <w:rPr>
              <w:rStyle w:val="20"/>
              <w:rFonts w:hint="eastAsia" w:cs="Times New Roman" w:asciiTheme="majorEastAsia" w:hAnsiTheme="majorEastAsia"/>
              <w:color w:val="auto"/>
              <w:lang w:val="zh-CN"/>
            </w:rPr>
            <w:t>质疑及提交</w:t>
          </w:r>
          <w:r>
            <w:rPr>
              <w:color w:val="auto"/>
            </w:rPr>
            <w:tab/>
          </w:r>
          <w:r>
            <w:rPr>
              <w:color w:val="auto"/>
            </w:rPr>
            <w:fldChar w:fldCharType="begin"/>
          </w:r>
          <w:r>
            <w:rPr>
              <w:color w:val="auto"/>
            </w:rPr>
            <w:instrText xml:space="preserve"> PAGEREF _Toc495861527 \h </w:instrText>
          </w:r>
          <w:r>
            <w:rPr>
              <w:color w:val="auto"/>
            </w:rPr>
            <w:fldChar w:fldCharType="separate"/>
          </w:r>
          <w:r>
            <w:rPr>
              <w:color w:val="auto"/>
            </w:rPr>
            <w:t>17</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"_Toc495861528" </w:instrText>
          </w:r>
          <w:r>
            <w:fldChar w:fldCharType="separate"/>
          </w:r>
          <w:r>
            <w:rPr>
              <w:rStyle w:val="20"/>
              <w:rFonts w:hint="eastAsia" w:cs="Times New Roman" w:asciiTheme="majorEastAsia" w:hAnsiTheme="majorEastAsia"/>
              <w:color w:val="auto"/>
              <w:lang w:val="zh-CN"/>
            </w:rPr>
            <w:t>九、</w:t>
          </w:r>
          <w:r>
            <w:rPr>
              <w:rFonts w:asciiTheme="minorHAnsi" w:hAnsiTheme="minorHAnsi"/>
              <w:iCs w:val="0"/>
              <w:color w:val="auto"/>
              <w:kern w:val="2"/>
              <w:sz w:val="21"/>
            </w:rPr>
            <w:tab/>
          </w:r>
          <w:r>
            <w:rPr>
              <w:rStyle w:val="20"/>
              <w:rFonts w:hint="eastAsia" w:cs="Times New Roman" w:asciiTheme="majorEastAsia" w:hAnsiTheme="majorEastAsia"/>
              <w:color w:val="auto"/>
              <w:lang w:val="zh-CN"/>
            </w:rPr>
            <w:t>相关条文解读</w:t>
          </w:r>
          <w:r>
            <w:rPr>
              <w:color w:val="auto"/>
            </w:rPr>
            <w:tab/>
          </w:r>
          <w:r>
            <w:rPr>
              <w:color w:val="auto"/>
            </w:rPr>
            <w:fldChar w:fldCharType="begin"/>
          </w:r>
          <w:r>
            <w:rPr>
              <w:color w:val="auto"/>
            </w:rPr>
            <w:instrText xml:space="preserve"> PAGEREF _Toc495861528 \h </w:instrText>
          </w:r>
          <w:r>
            <w:rPr>
              <w:color w:val="auto"/>
            </w:rPr>
            <w:fldChar w:fldCharType="separate"/>
          </w:r>
          <w:r>
            <w:rPr>
              <w:color w:val="auto"/>
            </w:rPr>
            <w:t>18</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"_Toc495861529" </w:instrText>
          </w:r>
          <w:r>
            <w:fldChar w:fldCharType="separate"/>
          </w:r>
          <w:r>
            <w:rPr>
              <w:rStyle w:val="20"/>
              <w:rFonts w:hint="eastAsia" w:cs="Times New Roman" w:asciiTheme="majorEastAsia" w:hAnsiTheme="majorEastAsia"/>
              <w:color w:val="auto"/>
              <w:lang w:val="zh-CN"/>
            </w:rPr>
            <w:t>十、</w:t>
          </w:r>
          <w:r>
            <w:rPr>
              <w:rFonts w:asciiTheme="minorHAnsi" w:hAnsiTheme="minorHAnsi"/>
              <w:iCs w:val="0"/>
              <w:color w:val="auto"/>
              <w:kern w:val="2"/>
              <w:sz w:val="21"/>
            </w:rPr>
            <w:tab/>
          </w:r>
          <w:r>
            <w:rPr>
              <w:rStyle w:val="20"/>
              <w:rFonts w:hint="eastAsia" w:cs="Times New Roman" w:asciiTheme="majorEastAsia" w:hAnsiTheme="majorEastAsia"/>
              <w:color w:val="auto"/>
              <w:lang w:val="zh-CN"/>
            </w:rPr>
            <w:t>其他注意事项</w:t>
          </w:r>
          <w:r>
            <w:rPr>
              <w:color w:val="auto"/>
            </w:rPr>
            <w:tab/>
          </w:r>
          <w:r>
            <w:rPr>
              <w:color w:val="auto"/>
            </w:rPr>
            <w:fldChar w:fldCharType="begin"/>
          </w:r>
          <w:r>
            <w:rPr>
              <w:color w:val="auto"/>
            </w:rPr>
            <w:instrText xml:space="preserve"> PAGEREF _Toc495861529 \h </w:instrText>
          </w:r>
          <w:r>
            <w:rPr>
              <w:color w:val="auto"/>
            </w:rPr>
            <w:fldChar w:fldCharType="separate"/>
          </w:r>
          <w:r>
            <w:rPr>
              <w:color w:val="auto"/>
            </w:rPr>
            <w:t>19</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"_Toc495861530" </w:instrText>
          </w:r>
          <w:r>
            <w:fldChar w:fldCharType="separate"/>
          </w:r>
          <w:r>
            <w:rPr>
              <w:rStyle w:val="20"/>
              <w:rFonts w:hint="eastAsia" w:cs="Times New Roman" w:asciiTheme="majorEastAsia" w:hAnsiTheme="majorEastAsia"/>
              <w:color w:val="auto"/>
              <w:lang w:val="zh-CN"/>
            </w:rPr>
            <w:t>十一、</w:t>
          </w:r>
          <w:r>
            <w:rPr>
              <w:rFonts w:asciiTheme="minorHAnsi" w:hAnsiTheme="minorHAnsi"/>
              <w:iCs w:val="0"/>
              <w:color w:val="auto"/>
              <w:kern w:val="2"/>
              <w:sz w:val="21"/>
            </w:rPr>
            <w:tab/>
          </w:r>
          <w:r>
            <w:rPr>
              <w:rStyle w:val="20"/>
              <w:rFonts w:hint="eastAsia" w:cs="Times New Roman" w:asciiTheme="majorEastAsia" w:hAnsiTheme="majorEastAsia"/>
              <w:color w:val="auto"/>
              <w:lang w:val="zh-CN"/>
            </w:rPr>
            <w:t>适用法律</w:t>
          </w:r>
          <w:r>
            <w:rPr>
              <w:color w:val="auto"/>
            </w:rPr>
            <w:tab/>
          </w:r>
          <w:r>
            <w:rPr>
              <w:color w:val="auto"/>
            </w:rPr>
            <w:fldChar w:fldCharType="begin"/>
          </w:r>
          <w:r>
            <w:rPr>
              <w:color w:val="auto"/>
            </w:rPr>
            <w:instrText xml:space="preserve"> PAGEREF _Toc495861530 \h </w:instrText>
          </w:r>
          <w:r>
            <w:rPr>
              <w:color w:val="auto"/>
            </w:rPr>
            <w:fldChar w:fldCharType="separate"/>
          </w:r>
          <w:r>
            <w:rPr>
              <w:color w:val="auto"/>
            </w:rPr>
            <w:t>19</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"_Toc495861531" </w:instrText>
          </w:r>
          <w:r>
            <w:fldChar w:fldCharType="separate"/>
          </w:r>
          <w:r>
            <w:rPr>
              <w:rStyle w:val="20"/>
              <w:rFonts w:hint="eastAsia" w:cs="Times New Roman" w:asciiTheme="majorEastAsia" w:hAnsiTheme="majorEastAsia"/>
              <w:color w:val="auto"/>
              <w:lang w:val="zh-CN"/>
            </w:rPr>
            <w:t>十二、</w:t>
          </w:r>
          <w:r>
            <w:rPr>
              <w:rFonts w:asciiTheme="minorHAnsi" w:hAnsiTheme="minorHAnsi"/>
              <w:iCs w:val="0"/>
              <w:color w:val="auto"/>
              <w:kern w:val="2"/>
              <w:sz w:val="21"/>
            </w:rPr>
            <w:tab/>
          </w:r>
          <w:r>
            <w:rPr>
              <w:rStyle w:val="20"/>
              <w:rFonts w:hint="eastAsia" w:cs="Times New Roman" w:asciiTheme="majorEastAsia" w:hAnsiTheme="majorEastAsia"/>
              <w:color w:val="auto"/>
              <w:lang w:val="zh-CN"/>
            </w:rPr>
            <w:t>招标文件的解释权</w:t>
          </w:r>
          <w:r>
            <w:rPr>
              <w:color w:val="auto"/>
            </w:rPr>
            <w:tab/>
          </w:r>
          <w:r>
            <w:rPr>
              <w:color w:val="auto"/>
            </w:rPr>
            <w:fldChar w:fldCharType="begin"/>
          </w:r>
          <w:r>
            <w:rPr>
              <w:color w:val="auto"/>
            </w:rPr>
            <w:instrText xml:space="preserve"> PAGEREF _Toc495861531 \h </w:instrText>
          </w:r>
          <w:r>
            <w:rPr>
              <w:color w:val="auto"/>
            </w:rPr>
            <w:fldChar w:fldCharType="separate"/>
          </w:r>
          <w:r>
            <w:rPr>
              <w:color w:val="auto"/>
            </w:rPr>
            <w:t>19</w:t>
          </w:r>
          <w:r>
            <w:rPr>
              <w:color w:val="auto"/>
            </w:rPr>
            <w:fldChar w:fldCharType="end"/>
          </w:r>
          <w:r>
            <w:rPr>
              <w:color w:val="auto"/>
            </w:rPr>
            <w:fldChar w:fldCharType="end"/>
          </w:r>
        </w:p>
        <w:p>
          <w:pPr>
            <w:pStyle w:val="12"/>
            <w:tabs>
              <w:tab w:val="left" w:pos="1260"/>
              <w:tab w:val="right" w:leader="dot" w:pos="9514"/>
            </w:tabs>
            <w:rPr>
              <w:rFonts w:eastAsiaTheme="minorEastAsia"/>
              <w:b w:val="0"/>
              <w:iCs w:val="0"/>
              <w:color w:val="auto"/>
              <w:kern w:val="2"/>
              <w:sz w:val="21"/>
            </w:rPr>
          </w:pPr>
          <w:r>
            <w:fldChar w:fldCharType="begin"/>
          </w:r>
          <w:r>
            <w:instrText xml:space="preserve"> HYPERLINK \l "_Toc495861532" </w:instrText>
          </w:r>
          <w:r>
            <w:fldChar w:fldCharType="separate"/>
          </w:r>
          <w:r>
            <w:rPr>
              <w:rStyle w:val="20"/>
              <w:rFonts w:hint="eastAsia" w:ascii="黑体" w:hAnsi="黑体"/>
              <w:color w:val="auto"/>
            </w:rPr>
            <w:t>第三章</w:t>
          </w:r>
          <w:r>
            <w:rPr>
              <w:rFonts w:eastAsiaTheme="minorEastAsia"/>
              <w:b w:val="0"/>
              <w:iCs w:val="0"/>
              <w:color w:val="auto"/>
              <w:kern w:val="2"/>
              <w:sz w:val="21"/>
            </w:rPr>
            <w:tab/>
          </w:r>
          <w:r>
            <w:rPr>
              <w:rStyle w:val="20"/>
              <w:rFonts w:hint="eastAsia" w:ascii="黑体" w:hAnsi="黑体"/>
              <w:color w:val="auto"/>
            </w:rPr>
            <w:t>项目技术、服务及商务要求</w:t>
          </w:r>
          <w:r>
            <w:rPr>
              <w:color w:val="auto"/>
            </w:rPr>
            <w:tab/>
          </w:r>
          <w:r>
            <w:rPr>
              <w:color w:val="auto"/>
            </w:rPr>
            <w:fldChar w:fldCharType="begin"/>
          </w:r>
          <w:r>
            <w:rPr>
              <w:color w:val="auto"/>
            </w:rPr>
            <w:instrText xml:space="preserve"> PAGEREF _Toc495861532 \h </w:instrText>
          </w:r>
          <w:r>
            <w:rPr>
              <w:color w:val="auto"/>
            </w:rPr>
            <w:fldChar w:fldCharType="separate"/>
          </w:r>
          <w:r>
            <w:rPr>
              <w:color w:val="auto"/>
            </w:rPr>
            <w:t>20</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"_Toc495861533" </w:instrText>
          </w:r>
          <w:r>
            <w:fldChar w:fldCharType="separate"/>
          </w:r>
          <w:r>
            <w:rPr>
              <w:rStyle w:val="20"/>
              <w:rFonts w:hint="eastAsia" w:cs="Times New Roman" w:asciiTheme="majorEastAsia" w:hAnsiTheme="majorEastAsia"/>
              <w:color w:val="auto"/>
              <w:lang w:val="zh-CN"/>
            </w:rPr>
            <w:t>一、</w:t>
          </w:r>
          <w:r>
            <w:rPr>
              <w:rFonts w:asciiTheme="minorHAnsi" w:hAnsiTheme="minorHAnsi"/>
              <w:iCs w:val="0"/>
              <w:color w:val="auto"/>
              <w:kern w:val="2"/>
              <w:sz w:val="21"/>
            </w:rPr>
            <w:tab/>
          </w:r>
          <w:r>
            <w:rPr>
              <w:rStyle w:val="20"/>
              <w:rFonts w:hint="eastAsia" w:cs="Times New Roman" w:asciiTheme="majorEastAsia" w:hAnsiTheme="majorEastAsia"/>
              <w:color w:val="auto"/>
              <w:lang w:val="zh-CN"/>
            </w:rPr>
            <w:t>采购清单</w:t>
          </w:r>
          <w:r>
            <w:rPr>
              <w:color w:val="auto"/>
            </w:rPr>
            <w:tab/>
          </w:r>
          <w:r>
            <w:rPr>
              <w:color w:val="auto"/>
            </w:rPr>
            <w:fldChar w:fldCharType="begin"/>
          </w:r>
          <w:r>
            <w:rPr>
              <w:color w:val="auto"/>
            </w:rPr>
            <w:instrText xml:space="preserve"> PAGEREF _Toc495861533 \h </w:instrText>
          </w:r>
          <w:r>
            <w:rPr>
              <w:color w:val="auto"/>
            </w:rPr>
            <w:fldChar w:fldCharType="separate"/>
          </w:r>
          <w:r>
            <w:rPr>
              <w:color w:val="auto"/>
            </w:rPr>
            <w:t>20</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"_Toc495861534" </w:instrText>
          </w:r>
          <w:r>
            <w:fldChar w:fldCharType="separate"/>
          </w:r>
          <w:r>
            <w:rPr>
              <w:rStyle w:val="20"/>
              <w:rFonts w:hint="eastAsia" w:cs="Times New Roman" w:asciiTheme="majorEastAsia" w:hAnsiTheme="majorEastAsia"/>
              <w:color w:val="auto"/>
              <w:lang w:val="zh-CN"/>
            </w:rPr>
            <w:t>二、</w:t>
          </w:r>
          <w:r>
            <w:rPr>
              <w:rFonts w:asciiTheme="minorHAnsi" w:hAnsiTheme="minorHAnsi"/>
              <w:iCs w:val="0"/>
              <w:color w:val="auto"/>
              <w:kern w:val="2"/>
              <w:sz w:val="21"/>
            </w:rPr>
            <w:tab/>
          </w:r>
          <w:r>
            <w:rPr>
              <w:rStyle w:val="20"/>
              <w:rFonts w:hint="eastAsia" w:cs="Times New Roman" w:asciiTheme="majorEastAsia" w:hAnsiTheme="majorEastAsia"/>
              <w:color w:val="auto"/>
              <w:lang w:val="zh-CN"/>
            </w:rPr>
            <w:t>概述及简介</w:t>
          </w:r>
          <w:r>
            <w:rPr>
              <w:color w:val="auto"/>
            </w:rPr>
            <w:tab/>
          </w:r>
          <w:r>
            <w:rPr>
              <w:color w:val="auto"/>
            </w:rPr>
            <w:fldChar w:fldCharType="begin"/>
          </w:r>
          <w:r>
            <w:rPr>
              <w:color w:val="auto"/>
            </w:rPr>
            <w:instrText xml:space="preserve"> PAGEREF _Toc495861534 \h </w:instrText>
          </w:r>
          <w:r>
            <w:rPr>
              <w:color w:val="auto"/>
            </w:rPr>
            <w:fldChar w:fldCharType="separate"/>
          </w:r>
          <w:r>
            <w:rPr>
              <w:color w:val="auto"/>
            </w:rPr>
            <w:t>20</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"_Toc495861535" </w:instrText>
          </w:r>
          <w:r>
            <w:fldChar w:fldCharType="separate"/>
          </w:r>
          <w:r>
            <w:rPr>
              <w:rStyle w:val="20"/>
              <w:rFonts w:hint="eastAsia" w:cs="Times New Roman" w:asciiTheme="majorEastAsia" w:hAnsiTheme="majorEastAsia"/>
              <w:color w:val="auto"/>
              <w:lang w:val="zh-CN"/>
            </w:rPr>
            <w:t>三、</w:t>
          </w:r>
          <w:r>
            <w:rPr>
              <w:rFonts w:asciiTheme="minorHAnsi" w:hAnsiTheme="minorHAnsi"/>
              <w:iCs w:val="0"/>
              <w:color w:val="auto"/>
              <w:kern w:val="2"/>
              <w:sz w:val="21"/>
            </w:rPr>
            <w:tab/>
          </w:r>
          <w:r>
            <w:rPr>
              <w:rStyle w:val="20"/>
              <w:rFonts w:hint="eastAsia" w:cs="Times New Roman" w:asciiTheme="majorEastAsia" w:hAnsiTheme="majorEastAsia"/>
              <w:color w:val="auto"/>
              <w:lang w:val="zh-CN"/>
            </w:rPr>
            <w:t>国家相关行政主管部门颁布的强制标准、规范</w:t>
          </w:r>
          <w:r>
            <w:rPr>
              <w:color w:val="auto"/>
            </w:rPr>
            <w:tab/>
          </w:r>
          <w:r>
            <w:rPr>
              <w:color w:val="auto"/>
            </w:rPr>
            <w:fldChar w:fldCharType="begin"/>
          </w:r>
          <w:r>
            <w:rPr>
              <w:color w:val="auto"/>
            </w:rPr>
            <w:instrText xml:space="preserve"> PAGEREF _Toc495861535 \h </w:instrText>
          </w:r>
          <w:r>
            <w:rPr>
              <w:color w:val="auto"/>
            </w:rPr>
            <w:fldChar w:fldCharType="separate"/>
          </w:r>
          <w:r>
            <w:rPr>
              <w:color w:val="auto"/>
            </w:rPr>
            <w:t>20</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"_Toc495861536" </w:instrText>
          </w:r>
          <w:r>
            <w:fldChar w:fldCharType="separate"/>
          </w:r>
          <w:r>
            <w:rPr>
              <w:rStyle w:val="20"/>
              <w:rFonts w:hint="eastAsia" w:cs="Times New Roman" w:asciiTheme="majorEastAsia" w:hAnsiTheme="majorEastAsia"/>
              <w:color w:val="auto"/>
              <w:lang w:val="zh-CN"/>
            </w:rPr>
            <w:t>四、</w:t>
          </w:r>
          <w:r>
            <w:rPr>
              <w:rFonts w:asciiTheme="minorHAnsi" w:hAnsiTheme="minorHAnsi"/>
              <w:iCs w:val="0"/>
              <w:color w:val="auto"/>
              <w:kern w:val="2"/>
              <w:sz w:val="21"/>
            </w:rPr>
            <w:tab/>
          </w:r>
          <w:r>
            <w:rPr>
              <w:rStyle w:val="20"/>
              <w:rFonts w:hint="eastAsia" w:cs="Times New Roman" w:asciiTheme="majorEastAsia" w:hAnsiTheme="majorEastAsia"/>
              <w:color w:val="auto"/>
              <w:lang w:val="zh-CN"/>
            </w:rPr>
            <w:t>技术、服务要求</w:t>
          </w:r>
          <w:r>
            <w:rPr>
              <w:color w:val="auto"/>
            </w:rPr>
            <w:tab/>
          </w:r>
          <w:r>
            <w:rPr>
              <w:color w:val="auto"/>
            </w:rPr>
            <w:fldChar w:fldCharType="begin"/>
          </w:r>
          <w:r>
            <w:rPr>
              <w:color w:val="auto"/>
            </w:rPr>
            <w:instrText xml:space="preserve"> PAGEREF _Toc495861536 \h </w:instrText>
          </w:r>
          <w:r>
            <w:rPr>
              <w:color w:val="auto"/>
            </w:rPr>
            <w:fldChar w:fldCharType="separate"/>
          </w:r>
          <w:r>
            <w:rPr>
              <w:color w:val="auto"/>
            </w:rPr>
            <w:t>20</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"_Toc495861537" </w:instrText>
          </w:r>
          <w:r>
            <w:fldChar w:fldCharType="separate"/>
          </w:r>
          <w:r>
            <w:rPr>
              <w:rStyle w:val="20"/>
              <w:rFonts w:hint="eastAsia" w:cs="Times New Roman" w:asciiTheme="majorEastAsia" w:hAnsiTheme="majorEastAsia"/>
              <w:color w:val="auto"/>
              <w:lang w:val="zh-CN"/>
            </w:rPr>
            <w:t>五、</w:t>
          </w:r>
          <w:r>
            <w:rPr>
              <w:rFonts w:asciiTheme="minorHAnsi" w:hAnsiTheme="minorHAnsi"/>
              <w:iCs w:val="0"/>
              <w:color w:val="auto"/>
              <w:kern w:val="2"/>
              <w:sz w:val="21"/>
            </w:rPr>
            <w:tab/>
          </w:r>
          <w:r>
            <w:rPr>
              <w:rStyle w:val="20"/>
              <w:rFonts w:hint="eastAsia" w:cs="Times New Roman" w:asciiTheme="majorEastAsia" w:hAnsiTheme="majorEastAsia"/>
              <w:color w:val="auto"/>
              <w:lang w:val="zh-CN"/>
            </w:rPr>
            <w:t>商务要求</w:t>
          </w:r>
          <w:r>
            <w:rPr>
              <w:color w:val="auto"/>
            </w:rPr>
            <w:tab/>
          </w:r>
          <w:r>
            <w:rPr>
              <w:color w:val="auto"/>
            </w:rPr>
            <w:fldChar w:fldCharType="begin"/>
          </w:r>
          <w:r>
            <w:rPr>
              <w:color w:val="auto"/>
            </w:rPr>
            <w:instrText xml:space="preserve"> PAGEREF _Toc495861537 \h </w:instrText>
          </w:r>
          <w:r>
            <w:rPr>
              <w:color w:val="auto"/>
            </w:rPr>
            <w:fldChar w:fldCharType="separate"/>
          </w:r>
          <w:r>
            <w:rPr>
              <w:color w:val="auto"/>
            </w:rPr>
            <w:t>21</w:t>
          </w:r>
          <w:r>
            <w:rPr>
              <w:color w:val="auto"/>
            </w:rPr>
            <w:fldChar w:fldCharType="end"/>
          </w:r>
          <w:r>
            <w:rPr>
              <w:color w:val="auto"/>
            </w:rPr>
            <w:fldChar w:fldCharType="end"/>
          </w:r>
        </w:p>
        <w:p>
          <w:pPr>
            <w:pStyle w:val="12"/>
            <w:tabs>
              <w:tab w:val="left" w:pos="1260"/>
              <w:tab w:val="right" w:leader="dot" w:pos="9514"/>
            </w:tabs>
            <w:rPr>
              <w:rFonts w:eastAsiaTheme="minorEastAsia"/>
              <w:b w:val="0"/>
              <w:iCs w:val="0"/>
              <w:color w:val="auto"/>
              <w:kern w:val="2"/>
              <w:sz w:val="21"/>
            </w:rPr>
          </w:pPr>
          <w:r>
            <w:fldChar w:fldCharType="begin"/>
          </w:r>
          <w:r>
            <w:instrText xml:space="preserve"> HYPERLINK \l "_Toc495861538" </w:instrText>
          </w:r>
          <w:r>
            <w:fldChar w:fldCharType="separate"/>
          </w:r>
          <w:r>
            <w:rPr>
              <w:rStyle w:val="20"/>
              <w:rFonts w:hint="eastAsia" w:ascii="黑体" w:hAnsi="黑体"/>
              <w:color w:val="auto"/>
            </w:rPr>
            <w:t>第四章</w:t>
          </w:r>
          <w:r>
            <w:rPr>
              <w:rFonts w:eastAsiaTheme="minorEastAsia"/>
              <w:b w:val="0"/>
              <w:iCs w:val="0"/>
              <w:color w:val="auto"/>
              <w:kern w:val="2"/>
              <w:sz w:val="21"/>
            </w:rPr>
            <w:tab/>
          </w:r>
          <w:r>
            <w:rPr>
              <w:rStyle w:val="20"/>
              <w:rFonts w:hint="eastAsia" w:ascii="黑体" w:hAnsi="黑体"/>
              <w:color w:val="auto"/>
            </w:rPr>
            <w:t>资格审查方法及标准</w:t>
          </w:r>
          <w:r>
            <w:rPr>
              <w:color w:val="auto"/>
            </w:rPr>
            <w:tab/>
          </w:r>
          <w:r>
            <w:rPr>
              <w:color w:val="auto"/>
            </w:rPr>
            <w:fldChar w:fldCharType="begin"/>
          </w:r>
          <w:r>
            <w:rPr>
              <w:color w:val="auto"/>
            </w:rPr>
            <w:instrText xml:space="preserve"> PAGEREF _Toc495861538 \h </w:instrText>
          </w:r>
          <w:r>
            <w:rPr>
              <w:color w:val="auto"/>
            </w:rPr>
            <w:fldChar w:fldCharType="separate"/>
          </w:r>
          <w:r>
            <w:rPr>
              <w:color w:val="auto"/>
            </w:rPr>
            <w:t>22</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"_Toc495861539" </w:instrText>
          </w:r>
          <w:r>
            <w:fldChar w:fldCharType="separate"/>
          </w:r>
          <w:r>
            <w:rPr>
              <w:rStyle w:val="20"/>
              <w:rFonts w:hint="eastAsia" w:cs="Times New Roman" w:asciiTheme="majorEastAsia" w:hAnsiTheme="majorEastAsia"/>
              <w:color w:val="auto"/>
              <w:lang w:val="zh-CN"/>
            </w:rPr>
            <w:t>一、</w:t>
          </w:r>
          <w:r>
            <w:rPr>
              <w:rFonts w:asciiTheme="minorHAnsi" w:hAnsiTheme="minorHAnsi"/>
              <w:iCs w:val="0"/>
              <w:color w:val="auto"/>
              <w:kern w:val="2"/>
              <w:sz w:val="21"/>
            </w:rPr>
            <w:tab/>
          </w:r>
          <w:r>
            <w:rPr>
              <w:rStyle w:val="20"/>
              <w:rFonts w:hint="eastAsia" w:cs="Times New Roman" w:asciiTheme="majorEastAsia" w:hAnsiTheme="majorEastAsia"/>
              <w:color w:val="auto"/>
              <w:lang w:val="zh-CN"/>
            </w:rPr>
            <w:t>资格审查方法</w:t>
          </w:r>
          <w:r>
            <w:rPr>
              <w:color w:val="auto"/>
            </w:rPr>
            <w:tab/>
          </w:r>
          <w:r>
            <w:rPr>
              <w:color w:val="auto"/>
            </w:rPr>
            <w:fldChar w:fldCharType="begin"/>
          </w:r>
          <w:r>
            <w:rPr>
              <w:color w:val="auto"/>
            </w:rPr>
            <w:instrText xml:space="preserve"> PAGEREF _Toc495861539 \h </w:instrText>
          </w:r>
          <w:r>
            <w:rPr>
              <w:color w:val="auto"/>
            </w:rPr>
            <w:fldChar w:fldCharType="separate"/>
          </w:r>
          <w:r>
            <w:rPr>
              <w:color w:val="auto"/>
            </w:rPr>
            <w:t>22</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"_Toc495861540" </w:instrText>
          </w:r>
          <w:r>
            <w:fldChar w:fldCharType="separate"/>
          </w:r>
          <w:r>
            <w:rPr>
              <w:rStyle w:val="20"/>
              <w:rFonts w:hint="eastAsia" w:cs="Times New Roman" w:asciiTheme="majorEastAsia" w:hAnsiTheme="majorEastAsia"/>
              <w:color w:val="auto"/>
              <w:lang w:val="zh-CN"/>
            </w:rPr>
            <w:t>二、</w:t>
          </w:r>
          <w:r>
            <w:rPr>
              <w:rFonts w:asciiTheme="minorHAnsi" w:hAnsiTheme="minorHAnsi"/>
              <w:iCs w:val="0"/>
              <w:color w:val="auto"/>
              <w:kern w:val="2"/>
              <w:sz w:val="21"/>
            </w:rPr>
            <w:tab/>
          </w:r>
          <w:r>
            <w:rPr>
              <w:rStyle w:val="20"/>
              <w:rFonts w:hint="eastAsia" w:cs="Times New Roman" w:asciiTheme="majorEastAsia" w:hAnsiTheme="majorEastAsia"/>
              <w:color w:val="auto"/>
              <w:lang w:val="zh-CN"/>
            </w:rPr>
            <w:t>资格审查标准</w:t>
          </w:r>
          <w:r>
            <w:rPr>
              <w:color w:val="auto"/>
            </w:rPr>
            <w:tab/>
          </w:r>
          <w:r>
            <w:rPr>
              <w:color w:val="auto"/>
            </w:rPr>
            <w:fldChar w:fldCharType="begin"/>
          </w:r>
          <w:r>
            <w:rPr>
              <w:color w:val="auto"/>
            </w:rPr>
            <w:instrText xml:space="preserve"> PAGEREF _Toc495861540 \h </w:instrText>
          </w:r>
          <w:r>
            <w:rPr>
              <w:color w:val="auto"/>
            </w:rPr>
            <w:fldChar w:fldCharType="separate"/>
          </w:r>
          <w:r>
            <w:rPr>
              <w:color w:val="auto"/>
            </w:rPr>
            <w:t>22</w:t>
          </w:r>
          <w:r>
            <w:rPr>
              <w:color w:val="auto"/>
            </w:rPr>
            <w:fldChar w:fldCharType="end"/>
          </w:r>
          <w:r>
            <w:rPr>
              <w:color w:val="auto"/>
            </w:rPr>
            <w:fldChar w:fldCharType="end"/>
          </w:r>
        </w:p>
        <w:p>
          <w:pPr>
            <w:pStyle w:val="12"/>
            <w:tabs>
              <w:tab w:val="left" w:pos="1260"/>
              <w:tab w:val="right" w:leader="dot" w:pos="9514"/>
            </w:tabs>
            <w:rPr>
              <w:rFonts w:eastAsiaTheme="minorEastAsia"/>
              <w:b w:val="0"/>
              <w:iCs w:val="0"/>
              <w:color w:val="auto"/>
              <w:kern w:val="2"/>
              <w:sz w:val="21"/>
            </w:rPr>
          </w:pPr>
          <w:r>
            <w:fldChar w:fldCharType="begin"/>
          </w:r>
          <w:r>
            <w:instrText xml:space="preserve"> HYPERLINK \l "_Toc495861541" </w:instrText>
          </w:r>
          <w:r>
            <w:fldChar w:fldCharType="separate"/>
          </w:r>
          <w:r>
            <w:rPr>
              <w:rStyle w:val="20"/>
              <w:rFonts w:hint="eastAsia" w:ascii="黑体" w:hAnsi="黑体"/>
              <w:color w:val="auto"/>
            </w:rPr>
            <w:t>第五章</w:t>
          </w:r>
          <w:r>
            <w:rPr>
              <w:rFonts w:eastAsiaTheme="minorEastAsia"/>
              <w:b w:val="0"/>
              <w:iCs w:val="0"/>
              <w:color w:val="auto"/>
              <w:kern w:val="2"/>
              <w:sz w:val="21"/>
            </w:rPr>
            <w:tab/>
          </w:r>
          <w:r>
            <w:rPr>
              <w:rStyle w:val="20"/>
              <w:rFonts w:hint="eastAsia" w:ascii="黑体" w:hAnsi="黑体"/>
              <w:color w:val="auto"/>
            </w:rPr>
            <w:t>评标方法、程序及标准</w:t>
          </w:r>
          <w:r>
            <w:rPr>
              <w:color w:val="auto"/>
            </w:rPr>
            <w:tab/>
          </w:r>
          <w:r>
            <w:rPr>
              <w:color w:val="auto"/>
            </w:rPr>
            <w:fldChar w:fldCharType="begin"/>
          </w:r>
          <w:r>
            <w:rPr>
              <w:color w:val="auto"/>
            </w:rPr>
            <w:instrText xml:space="preserve"> PAGEREF _Toc495861541 \h </w:instrText>
          </w:r>
          <w:r>
            <w:rPr>
              <w:color w:val="auto"/>
            </w:rPr>
            <w:fldChar w:fldCharType="separate"/>
          </w:r>
          <w:r>
            <w:rPr>
              <w:color w:val="auto"/>
            </w:rPr>
            <w:t>24</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"_Toc495861542" </w:instrText>
          </w:r>
          <w:r>
            <w:fldChar w:fldCharType="separate"/>
          </w:r>
          <w:r>
            <w:rPr>
              <w:rStyle w:val="20"/>
              <w:rFonts w:hint="eastAsia" w:cs="Times New Roman" w:asciiTheme="majorEastAsia" w:hAnsiTheme="majorEastAsia"/>
              <w:color w:val="auto"/>
              <w:lang w:val="zh-CN"/>
            </w:rPr>
            <w:t>一、</w:t>
          </w:r>
          <w:r>
            <w:rPr>
              <w:rFonts w:asciiTheme="minorHAnsi" w:hAnsiTheme="minorHAnsi"/>
              <w:iCs w:val="0"/>
              <w:color w:val="auto"/>
              <w:kern w:val="2"/>
              <w:sz w:val="21"/>
            </w:rPr>
            <w:tab/>
          </w:r>
          <w:r>
            <w:rPr>
              <w:rStyle w:val="20"/>
              <w:rFonts w:hint="eastAsia" w:cs="Times New Roman" w:asciiTheme="majorEastAsia" w:hAnsiTheme="majorEastAsia"/>
              <w:color w:val="auto"/>
              <w:lang w:val="zh-CN"/>
            </w:rPr>
            <w:t>评标方法</w:t>
          </w:r>
          <w:r>
            <w:rPr>
              <w:color w:val="auto"/>
            </w:rPr>
            <w:tab/>
          </w:r>
          <w:r>
            <w:rPr>
              <w:color w:val="auto"/>
            </w:rPr>
            <w:fldChar w:fldCharType="begin"/>
          </w:r>
          <w:r>
            <w:rPr>
              <w:color w:val="auto"/>
            </w:rPr>
            <w:instrText xml:space="preserve"> PAGEREF _Toc495861542 \h </w:instrText>
          </w:r>
          <w:r>
            <w:rPr>
              <w:color w:val="auto"/>
            </w:rPr>
            <w:fldChar w:fldCharType="separate"/>
          </w:r>
          <w:r>
            <w:rPr>
              <w:color w:val="auto"/>
            </w:rPr>
            <w:t>24</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"_Toc495861543" </w:instrText>
          </w:r>
          <w:r>
            <w:fldChar w:fldCharType="separate"/>
          </w:r>
          <w:r>
            <w:rPr>
              <w:rStyle w:val="20"/>
              <w:rFonts w:hint="eastAsia" w:cs="Times New Roman" w:asciiTheme="majorEastAsia" w:hAnsiTheme="majorEastAsia"/>
              <w:color w:val="auto"/>
              <w:lang w:val="zh-CN"/>
            </w:rPr>
            <w:t>二、</w:t>
          </w:r>
          <w:r>
            <w:rPr>
              <w:rFonts w:asciiTheme="minorHAnsi" w:hAnsiTheme="minorHAnsi"/>
              <w:iCs w:val="0"/>
              <w:color w:val="auto"/>
              <w:kern w:val="2"/>
              <w:sz w:val="21"/>
            </w:rPr>
            <w:tab/>
          </w:r>
          <w:r>
            <w:rPr>
              <w:rStyle w:val="20"/>
              <w:rFonts w:hint="eastAsia" w:cs="Times New Roman" w:asciiTheme="majorEastAsia" w:hAnsiTheme="majorEastAsia"/>
              <w:color w:val="auto"/>
              <w:lang w:val="zh-CN"/>
            </w:rPr>
            <w:t>评标程序及标准</w:t>
          </w:r>
          <w:r>
            <w:rPr>
              <w:color w:val="auto"/>
            </w:rPr>
            <w:tab/>
          </w:r>
          <w:r>
            <w:rPr>
              <w:color w:val="auto"/>
            </w:rPr>
            <w:fldChar w:fldCharType="begin"/>
          </w:r>
          <w:r>
            <w:rPr>
              <w:color w:val="auto"/>
            </w:rPr>
            <w:instrText xml:space="preserve"> PAGEREF _Toc495861543 \h </w:instrText>
          </w:r>
          <w:r>
            <w:rPr>
              <w:color w:val="auto"/>
            </w:rPr>
            <w:fldChar w:fldCharType="separate"/>
          </w:r>
          <w:r>
            <w:rPr>
              <w:color w:val="auto"/>
            </w:rPr>
            <w:t>24</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"_Toc495861544" </w:instrText>
          </w:r>
          <w:r>
            <w:fldChar w:fldCharType="separate"/>
          </w:r>
          <w:r>
            <w:rPr>
              <w:rStyle w:val="20"/>
              <w:rFonts w:hint="eastAsia" w:cs="Times New Roman" w:asciiTheme="majorEastAsia" w:hAnsiTheme="majorEastAsia"/>
              <w:color w:val="auto"/>
              <w:lang w:val="zh-CN"/>
            </w:rPr>
            <w:t>三、</w:t>
          </w:r>
          <w:r>
            <w:rPr>
              <w:rFonts w:asciiTheme="minorHAnsi" w:hAnsiTheme="minorHAnsi"/>
              <w:iCs w:val="0"/>
              <w:color w:val="auto"/>
              <w:kern w:val="2"/>
              <w:sz w:val="21"/>
            </w:rPr>
            <w:tab/>
          </w:r>
          <w:r>
            <w:rPr>
              <w:rStyle w:val="20"/>
              <w:rFonts w:hint="eastAsia" w:cs="Times New Roman" w:asciiTheme="majorEastAsia" w:hAnsiTheme="majorEastAsia"/>
              <w:color w:val="auto"/>
              <w:lang w:val="zh-CN"/>
            </w:rPr>
            <w:t>评审因素及评分标准</w:t>
          </w:r>
          <w:r>
            <w:rPr>
              <w:color w:val="auto"/>
            </w:rPr>
            <w:tab/>
          </w:r>
          <w:r>
            <w:rPr>
              <w:color w:val="auto"/>
            </w:rPr>
            <w:fldChar w:fldCharType="begin"/>
          </w:r>
          <w:r>
            <w:rPr>
              <w:color w:val="auto"/>
            </w:rPr>
            <w:instrText xml:space="preserve"> PAGEREF _Toc495861544 \h </w:instrText>
          </w:r>
          <w:r>
            <w:rPr>
              <w:color w:val="auto"/>
            </w:rPr>
            <w:fldChar w:fldCharType="separate"/>
          </w:r>
          <w:r>
            <w:rPr>
              <w:color w:val="auto"/>
            </w:rPr>
            <w:t>27</w:t>
          </w:r>
          <w:r>
            <w:rPr>
              <w:color w:val="auto"/>
            </w:rPr>
            <w:fldChar w:fldCharType="end"/>
          </w:r>
          <w:r>
            <w:rPr>
              <w:color w:val="auto"/>
            </w:rPr>
            <w:fldChar w:fldCharType="end"/>
          </w:r>
        </w:p>
        <w:p>
          <w:pPr>
            <w:pStyle w:val="12"/>
            <w:tabs>
              <w:tab w:val="left" w:pos="1260"/>
              <w:tab w:val="right" w:leader="dot" w:pos="9514"/>
            </w:tabs>
            <w:rPr>
              <w:rFonts w:eastAsiaTheme="minorEastAsia"/>
              <w:b w:val="0"/>
              <w:iCs w:val="0"/>
              <w:color w:val="auto"/>
              <w:kern w:val="2"/>
              <w:sz w:val="21"/>
            </w:rPr>
          </w:pPr>
          <w:r>
            <w:fldChar w:fldCharType="begin"/>
          </w:r>
          <w:r>
            <w:instrText xml:space="preserve"> HYPERLINK \l "_Toc495861545" </w:instrText>
          </w:r>
          <w:r>
            <w:fldChar w:fldCharType="separate"/>
          </w:r>
          <w:r>
            <w:rPr>
              <w:rStyle w:val="20"/>
              <w:rFonts w:hint="eastAsia" w:ascii="黑体" w:hAnsi="黑体"/>
              <w:color w:val="auto"/>
            </w:rPr>
            <w:t>第六章</w:t>
          </w:r>
          <w:r>
            <w:rPr>
              <w:rFonts w:eastAsiaTheme="minorEastAsia"/>
              <w:b w:val="0"/>
              <w:iCs w:val="0"/>
              <w:color w:val="auto"/>
              <w:kern w:val="2"/>
              <w:sz w:val="21"/>
            </w:rPr>
            <w:tab/>
          </w:r>
          <w:r>
            <w:rPr>
              <w:rStyle w:val="20"/>
              <w:rFonts w:hint="eastAsia" w:ascii="黑体" w:hAnsi="黑体"/>
              <w:color w:val="auto"/>
            </w:rPr>
            <w:t>合同书格式（参考）</w:t>
          </w:r>
          <w:r>
            <w:rPr>
              <w:color w:val="auto"/>
            </w:rPr>
            <w:tab/>
          </w:r>
          <w:r>
            <w:rPr>
              <w:color w:val="auto"/>
            </w:rPr>
            <w:fldChar w:fldCharType="begin"/>
          </w:r>
          <w:r>
            <w:rPr>
              <w:color w:val="auto"/>
            </w:rPr>
            <w:instrText xml:space="preserve"> PAGEREF _Toc495861545 \h </w:instrText>
          </w:r>
          <w:r>
            <w:rPr>
              <w:color w:val="auto"/>
            </w:rPr>
            <w:fldChar w:fldCharType="separate"/>
          </w:r>
          <w:r>
            <w:rPr>
              <w:color w:val="auto"/>
            </w:rPr>
            <w:t>29</w:t>
          </w:r>
          <w:r>
            <w:rPr>
              <w:color w:val="auto"/>
            </w:rPr>
            <w:fldChar w:fldCharType="end"/>
          </w:r>
          <w:r>
            <w:rPr>
              <w:color w:val="auto"/>
            </w:rPr>
            <w:fldChar w:fldCharType="end"/>
          </w:r>
        </w:p>
        <w:p>
          <w:pPr>
            <w:pStyle w:val="12"/>
            <w:tabs>
              <w:tab w:val="left" w:pos="1260"/>
              <w:tab w:val="right" w:leader="dot" w:pos="9514"/>
            </w:tabs>
            <w:rPr>
              <w:rFonts w:eastAsiaTheme="minorEastAsia"/>
              <w:b w:val="0"/>
              <w:iCs w:val="0"/>
              <w:color w:val="auto"/>
              <w:kern w:val="2"/>
              <w:sz w:val="21"/>
            </w:rPr>
          </w:pPr>
          <w:r>
            <w:fldChar w:fldCharType="begin"/>
          </w:r>
          <w:r>
            <w:instrText xml:space="preserve"> HYPERLINK \l "_Toc495861546" </w:instrText>
          </w:r>
          <w:r>
            <w:fldChar w:fldCharType="separate"/>
          </w:r>
          <w:r>
            <w:rPr>
              <w:rStyle w:val="20"/>
              <w:rFonts w:hint="eastAsia" w:ascii="黑体" w:hAnsi="黑体"/>
              <w:color w:val="auto"/>
            </w:rPr>
            <w:t>第七章</w:t>
          </w:r>
          <w:r>
            <w:rPr>
              <w:rFonts w:eastAsiaTheme="minorEastAsia"/>
              <w:b w:val="0"/>
              <w:iCs w:val="0"/>
              <w:color w:val="auto"/>
              <w:kern w:val="2"/>
              <w:sz w:val="21"/>
            </w:rPr>
            <w:tab/>
          </w:r>
          <w:r>
            <w:rPr>
              <w:rStyle w:val="20"/>
              <w:rFonts w:hint="eastAsia" w:ascii="黑体" w:hAnsi="黑体"/>
              <w:color w:val="auto"/>
            </w:rPr>
            <w:t>投标文件格式（参考）</w:t>
          </w:r>
          <w:r>
            <w:rPr>
              <w:color w:val="auto"/>
            </w:rPr>
            <w:tab/>
          </w:r>
          <w:r>
            <w:rPr>
              <w:color w:val="auto"/>
            </w:rPr>
            <w:fldChar w:fldCharType="begin"/>
          </w:r>
          <w:r>
            <w:rPr>
              <w:color w:val="auto"/>
            </w:rPr>
            <w:instrText xml:space="preserve"> PAGEREF _Toc495861546 \h </w:instrText>
          </w:r>
          <w:r>
            <w:rPr>
              <w:color w:val="auto"/>
            </w:rPr>
            <w:fldChar w:fldCharType="separate"/>
          </w:r>
          <w:r>
            <w:rPr>
              <w:color w:val="auto"/>
            </w:rPr>
            <w:t>31</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"_Toc495861547" </w:instrText>
          </w:r>
          <w:r>
            <w:fldChar w:fldCharType="separate"/>
          </w:r>
          <w:r>
            <w:rPr>
              <w:rStyle w:val="20"/>
              <w:rFonts w:hint="eastAsia" w:cs="Times New Roman" w:asciiTheme="majorEastAsia" w:hAnsiTheme="majorEastAsia"/>
              <w:color w:val="auto"/>
              <w:lang w:val="zh-CN"/>
            </w:rPr>
            <w:t>第一部分资格证明文件</w:t>
          </w:r>
          <w:r>
            <w:rPr>
              <w:color w:val="auto"/>
            </w:rPr>
            <w:tab/>
          </w:r>
          <w:r>
            <w:rPr>
              <w:color w:val="auto"/>
            </w:rPr>
            <w:fldChar w:fldCharType="begin"/>
          </w:r>
          <w:r>
            <w:rPr>
              <w:color w:val="auto"/>
            </w:rPr>
            <w:instrText xml:space="preserve"> PAGEREF _Toc495861547 \h </w:instrText>
          </w:r>
          <w:r>
            <w:rPr>
              <w:color w:val="auto"/>
            </w:rPr>
            <w:fldChar w:fldCharType="separate"/>
          </w:r>
          <w:r>
            <w:rPr>
              <w:color w:val="auto"/>
            </w:rPr>
            <w:t>31</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"_Toc495861548" </w:instrText>
          </w:r>
          <w:r>
            <w:fldChar w:fldCharType="separate"/>
          </w:r>
          <w:r>
            <w:rPr>
              <w:rStyle w:val="20"/>
              <w:rFonts w:hint="eastAsia" w:cs="Times New Roman" w:asciiTheme="majorEastAsia" w:hAnsiTheme="majorEastAsia"/>
              <w:color w:val="auto"/>
              <w:lang w:val="zh-CN"/>
            </w:rPr>
            <w:t>第二部分商务文件</w:t>
          </w:r>
          <w:r>
            <w:rPr>
              <w:color w:val="auto"/>
            </w:rPr>
            <w:tab/>
          </w:r>
          <w:r>
            <w:rPr>
              <w:color w:val="auto"/>
            </w:rPr>
            <w:fldChar w:fldCharType="begin"/>
          </w:r>
          <w:r>
            <w:rPr>
              <w:color w:val="auto"/>
            </w:rPr>
            <w:instrText xml:space="preserve"> PAGEREF _Toc495861548 \h </w:instrText>
          </w:r>
          <w:r>
            <w:rPr>
              <w:color w:val="auto"/>
            </w:rPr>
            <w:fldChar w:fldCharType="separate"/>
          </w:r>
          <w:r>
            <w:rPr>
              <w:color w:val="auto"/>
            </w:rPr>
            <w:t>33</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"_Toc495861549" </w:instrText>
          </w:r>
          <w:r>
            <w:fldChar w:fldCharType="separate"/>
          </w:r>
          <w:r>
            <w:rPr>
              <w:rStyle w:val="20"/>
              <w:rFonts w:hint="eastAsia" w:cs="Times New Roman" w:asciiTheme="majorEastAsia" w:hAnsiTheme="majorEastAsia"/>
              <w:color w:val="auto"/>
              <w:lang w:val="zh-CN"/>
            </w:rPr>
            <w:t>第三部分技术、服务文件</w:t>
          </w:r>
          <w:r>
            <w:rPr>
              <w:color w:val="auto"/>
            </w:rPr>
            <w:tab/>
          </w:r>
          <w:r>
            <w:rPr>
              <w:color w:val="auto"/>
            </w:rPr>
            <w:fldChar w:fldCharType="begin"/>
          </w:r>
          <w:r>
            <w:rPr>
              <w:color w:val="auto"/>
            </w:rPr>
            <w:instrText xml:space="preserve"> PAGEREF _Toc495861549 \h </w:instrText>
          </w:r>
          <w:r>
            <w:rPr>
              <w:color w:val="auto"/>
            </w:rPr>
            <w:fldChar w:fldCharType="separate"/>
          </w:r>
          <w:r>
            <w:rPr>
              <w:color w:val="auto"/>
            </w:rPr>
            <w:t>35</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"_Toc495861550" </w:instrText>
          </w:r>
          <w:r>
            <w:fldChar w:fldCharType="separate"/>
          </w:r>
          <w:r>
            <w:rPr>
              <w:rStyle w:val="20"/>
              <w:rFonts w:hint="eastAsia" w:eastAsia="宋体"/>
              <w:color w:val="auto"/>
            </w:rPr>
            <w:t>附件一、</w:t>
          </w:r>
          <w:r>
            <w:rPr>
              <w:rFonts w:asciiTheme="minorHAnsi" w:hAnsiTheme="minorHAnsi"/>
              <w:iCs w:val="0"/>
              <w:color w:val="auto"/>
              <w:kern w:val="2"/>
              <w:sz w:val="21"/>
            </w:rPr>
            <w:tab/>
          </w:r>
          <w:r>
            <w:rPr>
              <w:rStyle w:val="20"/>
              <w:rFonts w:hint="eastAsia" w:eastAsia="宋体"/>
              <w:color w:val="auto"/>
            </w:rPr>
            <w:t>投标书</w:t>
          </w:r>
          <w:r>
            <w:rPr>
              <w:color w:val="auto"/>
            </w:rPr>
            <w:tab/>
          </w:r>
          <w:r>
            <w:rPr>
              <w:color w:val="auto"/>
            </w:rPr>
            <w:fldChar w:fldCharType="begin"/>
          </w:r>
          <w:r>
            <w:rPr>
              <w:color w:val="auto"/>
            </w:rPr>
            <w:instrText xml:space="preserve"> PAGEREF _Toc495861550 \h </w:instrText>
          </w:r>
          <w:r>
            <w:rPr>
              <w:color w:val="auto"/>
            </w:rPr>
            <w:fldChar w:fldCharType="separate"/>
          </w:r>
          <w:r>
            <w:rPr>
              <w:color w:val="auto"/>
            </w:rPr>
            <w:t>37</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"_Toc495861551" </w:instrText>
          </w:r>
          <w:r>
            <w:fldChar w:fldCharType="separate"/>
          </w:r>
          <w:r>
            <w:rPr>
              <w:rStyle w:val="20"/>
              <w:rFonts w:hint="eastAsia" w:eastAsia="宋体"/>
              <w:color w:val="auto"/>
            </w:rPr>
            <w:t>附件二、</w:t>
          </w:r>
          <w:r>
            <w:rPr>
              <w:rFonts w:asciiTheme="minorHAnsi" w:hAnsiTheme="minorHAnsi"/>
              <w:iCs w:val="0"/>
              <w:color w:val="auto"/>
              <w:kern w:val="2"/>
              <w:sz w:val="21"/>
            </w:rPr>
            <w:tab/>
          </w:r>
          <w:r>
            <w:rPr>
              <w:rStyle w:val="20"/>
              <w:rFonts w:hint="eastAsia" w:eastAsia="宋体"/>
              <w:color w:val="auto"/>
            </w:rPr>
            <w:t>制造商中小企业声明函</w:t>
          </w:r>
          <w:r>
            <w:rPr>
              <w:color w:val="auto"/>
            </w:rPr>
            <w:tab/>
          </w:r>
          <w:r>
            <w:rPr>
              <w:color w:val="auto"/>
            </w:rPr>
            <w:fldChar w:fldCharType="begin"/>
          </w:r>
          <w:r>
            <w:rPr>
              <w:color w:val="auto"/>
            </w:rPr>
            <w:instrText xml:space="preserve"> PAGEREF _Toc495861551 \h </w:instrText>
          </w:r>
          <w:r>
            <w:rPr>
              <w:color w:val="auto"/>
            </w:rPr>
            <w:fldChar w:fldCharType="separate"/>
          </w:r>
          <w:r>
            <w:rPr>
              <w:color w:val="auto"/>
            </w:rPr>
            <w:t>38</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"_Toc495861552" </w:instrText>
          </w:r>
          <w:r>
            <w:fldChar w:fldCharType="separate"/>
          </w:r>
          <w:r>
            <w:rPr>
              <w:rStyle w:val="20"/>
              <w:rFonts w:hint="eastAsia" w:eastAsia="宋体"/>
              <w:color w:val="auto"/>
            </w:rPr>
            <w:t>附件三、</w:t>
          </w:r>
          <w:r>
            <w:rPr>
              <w:rFonts w:asciiTheme="minorHAnsi" w:hAnsiTheme="minorHAnsi"/>
              <w:iCs w:val="0"/>
              <w:color w:val="auto"/>
              <w:kern w:val="2"/>
              <w:sz w:val="21"/>
            </w:rPr>
            <w:tab/>
          </w:r>
          <w:r>
            <w:rPr>
              <w:rStyle w:val="20"/>
              <w:rFonts w:hint="eastAsia" w:eastAsia="宋体"/>
              <w:color w:val="auto"/>
            </w:rPr>
            <w:t>中小企业声明函</w:t>
          </w:r>
          <w:r>
            <w:rPr>
              <w:color w:val="auto"/>
            </w:rPr>
            <w:tab/>
          </w:r>
          <w:r>
            <w:rPr>
              <w:color w:val="auto"/>
            </w:rPr>
            <w:fldChar w:fldCharType="begin"/>
          </w:r>
          <w:r>
            <w:rPr>
              <w:color w:val="auto"/>
            </w:rPr>
            <w:instrText xml:space="preserve"> PAGEREF _Toc495861552 \h </w:instrText>
          </w:r>
          <w:r>
            <w:rPr>
              <w:color w:val="auto"/>
            </w:rPr>
            <w:fldChar w:fldCharType="separate"/>
          </w:r>
          <w:r>
            <w:rPr>
              <w:color w:val="auto"/>
            </w:rPr>
            <w:t>39</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"_Toc495861553" </w:instrText>
          </w:r>
          <w:r>
            <w:fldChar w:fldCharType="separate"/>
          </w:r>
          <w:r>
            <w:rPr>
              <w:rStyle w:val="20"/>
              <w:rFonts w:hint="eastAsia" w:eastAsia="宋体"/>
              <w:color w:val="auto"/>
            </w:rPr>
            <w:t>附件四、</w:t>
          </w:r>
          <w:r>
            <w:rPr>
              <w:rFonts w:asciiTheme="minorHAnsi" w:hAnsiTheme="minorHAnsi"/>
              <w:iCs w:val="0"/>
              <w:color w:val="auto"/>
              <w:kern w:val="2"/>
              <w:sz w:val="21"/>
            </w:rPr>
            <w:tab/>
          </w:r>
          <w:r>
            <w:rPr>
              <w:rStyle w:val="20"/>
              <w:rFonts w:hint="eastAsia" w:eastAsia="宋体"/>
              <w:color w:val="auto"/>
            </w:rPr>
            <w:t>残疾人福利性单位声明函</w:t>
          </w:r>
          <w:r>
            <w:rPr>
              <w:color w:val="auto"/>
            </w:rPr>
            <w:tab/>
          </w:r>
          <w:r>
            <w:rPr>
              <w:color w:val="auto"/>
            </w:rPr>
            <w:fldChar w:fldCharType="begin"/>
          </w:r>
          <w:r>
            <w:rPr>
              <w:color w:val="auto"/>
            </w:rPr>
            <w:instrText xml:space="preserve"> PAGEREF _Toc495861553 \h </w:instrText>
          </w:r>
          <w:r>
            <w:rPr>
              <w:color w:val="auto"/>
            </w:rPr>
            <w:fldChar w:fldCharType="separate"/>
          </w:r>
          <w:r>
            <w:rPr>
              <w:color w:val="auto"/>
            </w:rPr>
            <w:t>43</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"_Toc495861554" </w:instrText>
          </w:r>
          <w:r>
            <w:fldChar w:fldCharType="separate"/>
          </w:r>
          <w:r>
            <w:rPr>
              <w:rStyle w:val="20"/>
              <w:rFonts w:hint="eastAsia" w:eastAsia="宋体"/>
              <w:color w:val="auto"/>
            </w:rPr>
            <w:t>附件五、</w:t>
          </w:r>
          <w:r>
            <w:rPr>
              <w:rFonts w:asciiTheme="minorHAnsi" w:hAnsiTheme="minorHAnsi"/>
              <w:iCs w:val="0"/>
              <w:color w:val="auto"/>
              <w:kern w:val="2"/>
              <w:sz w:val="21"/>
            </w:rPr>
            <w:tab/>
          </w:r>
          <w:r>
            <w:rPr>
              <w:rStyle w:val="20"/>
              <w:rFonts w:hint="eastAsia" w:eastAsia="宋体"/>
              <w:color w:val="auto"/>
            </w:rPr>
            <w:t>开标一览表</w:t>
          </w:r>
          <w:r>
            <w:rPr>
              <w:color w:val="auto"/>
            </w:rPr>
            <w:tab/>
          </w:r>
          <w:r>
            <w:rPr>
              <w:color w:val="auto"/>
            </w:rPr>
            <w:fldChar w:fldCharType="begin"/>
          </w:r>
          <w:r>
            <w:rPr>
              <w:color w:val="auto"/>
            </w:rPr>
            <w:instrText xml:space="preserve"> PAGEREF _Toc495861554 \h </w:instrText>
          </w:r>
          <w:r>
            <w:rPr>
              <w:color w:val="auto"/>
            </w:rPr>
            <w:fldChar w:fldCharType="separate"/>
          </w:r>
          <w:r>
            <w:rPr>
              <w:color w:val="auto"/>
            </w:rPr>
            <w:t>46</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"_Toc495861555" </w:instrText>
          </w:r>
          <w:r>
            <w:fldChar w:fldCharType="separate"/>
          </w:r>
          <w:r>
            <w:rPr>
              <w:rStyle w:val="20"/>
              <w:rFonts w:hint="eastAsia" w:eastAsia="宋体"/>
              <w:color w:val="auto"/>
            </w:rPr>
            <w:t>附件六、</w:t>
          </w:r>
          <w:r>
            <w:rPr>
              <w:rFonts w:asciiTheme="minorHAnsi" w:hAnsiTheme="minorHAnsi"/>
              <w:iCs w:val="0"/>
              <w:color w:val="auto"/>
              <w:kern w:val="2"/>
              <w:sz w:val="21"/>
            </w:rPr>
            <w:tab/>
          </w:r>
          <w:r>
            <w:rPr>
              <w:rStyle w:val="20"/>
              <w:rFonts w:hint="eastAsia" w:eastAsia="宋体"/>
              <w:color w:val="auto"/>
            </w:rPr>
            <w:t>投标报价明细表</w:t>
          </w:r>
          <w:r>
            <w:rPr>
              <w:color w:val="auto"/>
            </w:rPr>
            <w:tab/>
          </w:r>
          <w:r>
            <w:rPr>
              <w:color w:val="auto"/>
            </w:rPr>
            <w:fldChar w:fldCharType="begin"/>
          </w:r>
          <w:r>
            <w:rPr>
              <w:color w:val="auto"/>
            </w:rPr>
            <w:instrText xml:space="preserve"> PAGEREF _Toc495861555 \h </w:instrText>
          </w:r>
          <w:r>
            <w:rPr>
              <w:color w:val="auto"/>
            </w:rPr>
            <w:fldChar w:fldCharType="separate"/>
          </w:r>
          <w:r>
            <w:rPr>
              <w:color w:val="auto"/>
            </w:rPr>
            <w:t>47</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"_Toc495861556" </w:instrText>
          </w:r>
          <w:r>
            <w:fldChar w:fldCharType="separate"/>
          </w:r>
          <w:r>
            <w:rPr>
              <w:rStyle w:val="20"/>
              <w:rFonts w:hint="eastAsia" w:eastAsia="宋体"/>
              <w:color w:val="auto"/>
            </w:rPr>
            <w:t>附件七、</w:t>
          </w:r>
          <w:r>
            <w:rPr>
              <w:rFonts w:asciiTheme="minorHAnsi" w:hAnsiTheme="minorHAnsi"/>
              <w:iCs w:val="0"/>
              <w:color w:val="auto"/>
              <w:kern w:val="2"/>
              <w:sz w:val="21"/>
            </w:rPr>
            <w:tab/>
          </w:r>
          <w:r>
            <w:rPr>
              <w:rStyle w:val="20"/>
              <w:rFonts w:hint="eastAsia" w:eastAsia="宋体"/>
              <w:color w:val="auto"/>
            </w:rPr>
            <w:t>小型和微型企业、监狱企业、残疾人福利性单位货物汇总表</w:t>
          </w:r>
          <w:r>
            <w:rPr>
              <w:color w:val="auto"/>
            </w:rPr>
            <w:tab/>
          </w:r>
          <w:r>
            <w:rPr>
              <w:color w:val="auto"/>
            </w:rPr>
            <w:fldChar w:fldCharType="begin"/>
          </w:r>
          <w:r>
            <w:rPr>
              <w:color w:val="auto"/>
            </w:rPr>
            <w:instrText xml:space="preserve"> PAGEREF _Toc495861556 \h </w:instrText>
          </w:r>
          <w:r>
            <w:rPr>
              <w:color w:val="auto"/>
            </w:rPr>
            <w:fldChar w:fldCharType="separate"/>
          </w:r>
          <w:r>
            <w:rPr>
              <w:color w:val="auto"/>
            </w:rPr>
            <w:t>48</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"_Toc495861557" </w:instrText>
          </w:r>
          <w:r>
            <w:fldChar w:fldCharType="separate"/>
          </w:r>
          <w:r>
            <w:rPr>
              <w:rStyle w:val="20"/>
              <w:rFonts w:hint="eastAsia" w:eastAsia="宋体"/>
              <w:color w:val="auto"/>
            </w:rPr>
            <w:t>附件八、</w:t>
          </w:r>
          <w:r>
            <w:rPr>
              <w:rFonts w:asciiTheme="minorHAnsi" w:hAnsiTheme="minorHAnsi"/>
              <w:iCs w:val="0"/>
              <w:color w:val="auto"/>
              <w:kern w:val="2"/>
              <w:sz w:val="21"/>
            </w:rPr>
            <w:tab/>
          </w:r>
          <w:r>
            <w:rPr>
              <w:rStyle w:val="20"/>
              <w:rFonts w:hint="eastAsia" w:eastAsia="宋体"/>
              <w:color w:val="auto"/>
            </w:rPr>
            <w:t>投标货物（工程或服务）清单</w:t>
          </w:r>
          <w:r>
            <w:rPr>
              <w:color w:val="auto"/>
            </w:rPr>
            <w:tab/>
          </w:r>
          <w:r>
            <w:rPr>
              <w:color w:val="auto"/>
            </w:rPr>
            <w:fldChar w:fldCharType="begin"/>
          </w:r>
          <w:r>
            <w:rPr>
              <w:color w:val="auto"/>
            </w:rPr>
            <w:instrText xml:space="preserve"> PAGEREF _Toc495861557 \h </w:instrText>
          </w:r>
          <w:r>
            <w:rPr>
              <w:color w:val="auto"/>
            </w:rPr>
            <w:fldChar w:fldCharType="separate"/>
          </w:r>
          <w:r>
            <w:rPr>
              <w:color w:val="auto"/>
            </w:rPr>
            <w:t>49</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"_Toc495861558" </w:instrText>
          </w:r>
          <w:r>
            <w:fldChar w:fldCharType="separate"/>
          </w:r>
          <w:r>
            <w:rPr>
              <w:rStyle w:val="20"/>
              <w:rFonts w:hint="eastAsia" w:eastAsia="宋体"/>
              <w:color w:val="auto"/>
            </w:rPr>
            <w:t>附件九、</w:t>
          </w:r>
          <w:r>
            <w:rPr>
              <w:rFonts w:asciiTheme="minorHAnsi" w:hAnsiTheme="minorHAnsi"/>
              <w:iCs w:val="0"/>
              <w:color w:val="auto"/>
              <w:kern w:val="2"/>
              <w:sz w:val="21"/>
            </w:rPr>
            <w:tab/>
          </w:r>
          <w:r>
            <w:rPr>
              <w:rStyle w:val="20"/>
              <w:rFonts w:hint="eastAsia" w:eastAsia="宋体"/>
              <w:color w:val="auto"/>
            </w:rPr>
            <w:t>交纳投标保证金的银行凭证</w:t>
          </w:r>
          <w:r>
            <w:rPr>
              <w:color w:val="auto"/>
            </w:rPr>
            <w:tab/>
          </w:r>
          <w:r>
            <w:rPr>
              <w:color w:val="auto"/>
            </w:rPr>
            <w:fldChar w:fldCharType="begin"/>
          </w:r>
          <w:r>
            <w:rPr>
              <w:color w:val="auto"/>
            </w:rPr>
            <w:instrText xml:space="preserve"> PAGEREF _Toc495861558 \h </w:instrText>
          </w:r>
          <w:r>
            <w:rPr>
              <w:color w:val="auto"/>
            </w:rPr>
            <w:fldChar w:fldCharType="separate"/>
          </w:r>
          <w:r>
            <w:rPr>
              <w:color w:val="auto"/>
            </w:rPr>
            <w:t>50</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"_Toc495861559" </w:instrText>
          </w:r>
          <w:r>
            <w:fldChar w:fldCharType="separate"/>
          </w:r>
          <w:r>
            <w:rPr>
              <w:rStyle w:val="20"/>
              <w:rFonts w:hint="eastAsia" w:eastAsia="宋体"/>
              <w:color w:val="auto"/>
            </w:rPr>
            <w:t>附件十、</w:t>
          </w:r>
          <w:r>
            <w:rPr>
              <w:rFonts w:asciiTheme="minorHAnsi" w:hAnsiTheme="minorHAnsi"/>
              <w:iCs w:val="0"/>
              <w:color w:val="auto"/>
              <w:kern w:val="2"/>
              <w:sz w:val="21"/>
            </w:rPr>
            <w:tab/>
          </w:r>
          <w:r>
            <w:rPr>
              <w:rStyle w:val="20"/>
              <w:rFonts w:hint="eastAsia" w:eastAsia="宋体"/>
              <w:color w:val="auto"/>
            </w:rPr>
            <w:t>法定代表人授权书</w:t>
          </w:r>
          <w:r>
            <w:rPr>
              <w:color w:val="auto"/>
            </w:rPr>
            <w:tab/>
          </w:r>
          <w:r>
            <w:rPr>
              <w:color w:val="auto"/>
            </w:rPr>
            <w:fldChar w:fldCharType="begin"/>
          </w:r>
          <w:r>
            <w:rPr>
              <w:color w:val="auto"/>
            </w:rPr>
            <w:instrText xml:space="preserve"> PAGEREF _Toc495861559 \h </w:instrText>
          </w:r>
          <w:r>
            <w:rPr>
              <w:color w:val="auto"/>
            </w:rPr>
            <w:fldChar w:fldCharType="separate"/>
          </w:r>
          <w:r>
            <w:rPr>
              <w:color w:val="auto"/>
            </w:rPr>
            <w:t>51</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"_Toc495861560" </w:instrText>
          </w:r>
          <w:r>
            <w:fldChar w:fldCharType="separate"/>
          </w:r>
          <w:r>
            <w:rPr>
              <w:rStyle w:val="20"/>
              <w:rFonts w:hint="eastAsia" w:eastAsia="宋体"/>
              <w:color w:val="auto"/>
            </w:rPr>
            <w:t>附件十一、</w:t>
          </w:r>
          <w:r>
            <w:rPr>
              <w:rFonts w:asciiTheme="minorHAnsi" w:hAnsiTheme="minorHAnsi"/>
              <w:iCs w:val="0"/>
              <w:color w:val="auto"/>
              <w:kern w:val="2"/>
              <w:sz w:val="21"/>
            </w:rPr>
            <w:tab/>
          </w:r>
          <w:r>
            <w:rPr>
              <w:rStyle w:val="20"/>
              <w:rFonts w:hint="eastAsia" w:eastAsia="宋体"/>
              <w:color w:val="auto"/>
            </w:rPr>
            <w:t>投标人的资格声明</w:t>
          </w:r>
          <w:r>
            <w:rPr>
              <w:color w:val="auto"/>
            </w:rPr>
            <w:tab/>
          </w:r>
          <w:r>
            <w:rPr>
              <w:color w:val="auto"/>
            </w:rPr>
            <w:fldChar w:fldCharType="begin"/>
          </w:r>
          <w:r>
            <w:rPr>
              <w:color w:val="auto"/>
            </w:rPr>
            <w:instrText xml:space="preserve"> PAGEREF _Toc495861560 \h </w:instrText>
          </w:r>
          <w:r>
            <w:rPr>
              <w:color w:val="auto"/>
            </w:rPr>
            <w:fldChar w:fldCharType="separate"/>
          </w:r>
          <w:r>
            <w:rPr>
              <w:color w:val="auto"/>
            </w:rPr>
            <w:t>52</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"_Toc495861561" </w:instrText>
          </w:r>
          <w:r>
            <w:fldChar w:fldCharType="separate"/>
          </w:r>
          <w:r>
            <w:rPr>
              <w:rStyle w:val="20"/>
              <w:rFonts w:hint="eastAsia" w:eastAsia="宋体"/>
              <w:color w:val="auto"/>
            </w:rPr>
            <w:t>附件十二、</w:t>
          </w:r>
          <w:r>
            <w:rPr>
              <w:rFonts w:asciiTheme="minorHAnsi" w:hAnsiTheme="minorHAnsi"/>
              <w:iCs w:val="0"/>
              <w:color w:val="auto"/>
              <w:kern w:val="2"/>
              <w:sz w:val="21"/>
            </w:rPr>
            <w:tab/>
          </w:r>
          <w:r>
            <w:rPr>
              <w:rStyle w:val="20"/>
              <w:rFonts w:hint="eastAsia" w:eastAsia="宋体"/>
              <w:color w:val="auto"/>
            </w:rPr>
            <w:t>项目负责人、技术负责人简历表</w:t>
          </w:r>
          <w:r>
            <w:rPr>
              <w:color w:val="auto"/>
            </w:rPr>
            <w:tab/>
          </w:r>
          <w:r>
            <w:rPr>
              <w:color w:val="auto"/>
            </w:rPr>
            <w:fldChar w:fldCharType="begin"/>
          </w:r>
          <w:r>
            <w:rPr>
              <w:color w:val="auto"/>
            </w:rPr>
            <w:instrText xml:space="preserve"> PAGEREF _Toc495861561 \h </w:instrText>
          </w:r>
          <w:r>
            <w:rPr>
              <w:color w:val="auto"/>
            </w:rPr>
            <w:fldChar w:fldCharType="separate"/>
          </w:r>
          <w:r>
            <w:rPr>
              <w:color w:val="auto"/>
            </w:rPr>
            <w:t>53</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"_Toc495861562" </w:instrText>
          </w:r>
          <w:r>
            <w:fldChar w:fldCharType="separate"/>
          </w:r>
          <w:r>
            <w:rPr>
              <w:rStyle w:val="20"/>
              <w:rFonts w:hint="eastAsia" w:eastAsia="宋体"/>
              <w:color w:val="auto"/>
            </w:rPr>
            <w:t>附件十三、</w:t>
          </w:r>
          <w:r>
            <w:rPr>
              <w:rFonts w:asciiTheme="minorHAnsi" w:hAnsiTheme="minorHAnsi"/>
              <w:iCs w:val="0"/>
              <w:color w:val="auto"/>
              <w:kern w:val="2"/>
              <w:sz w:val="21"/>
            </w:rPr>
            <w:tab/>
          </w:r>
          <w:r>
            <w:rPr>
              <w:rStyle w:val="20"/>
              <w:rFonts w:hint="eastAsia" w:eastAsia="宋体"/>
              <w:color w:val="auto"/>
            </w:rPr>
            <w:t>项目班子成员情况表</w:t>
          </w:r>
          <w:r>
            <w:rPr>
              <w:color w:val="auto"/>
            </w:rPr>
            <w:tab/>
          </w:r>
          <w:r>
            <w:rPr>
              <w:color w:val="auto"/>
            </w:rPr>
            <w:fldChar w:fldCharType="begin"/>
          </w:r>
          <w:r>
            <w:rPr>
              <w:color w:val="auto"/>
            </w:rPr>
            <w:instrText xml:space="preserve"> PAGEREF _Toc495861562 \h </w:instrText>
          </w:r>
          <w:r>
            <w:rPr>
              <w:color w:val="auto"/>
            </w:rPr>
            <w:fldChar w:fldCharType="separate"/>
          </w:r>
          <w:r>
            <w:rPr>
              <w:color w:val="auto"/>
            </w:rPr>
            <w:t>54</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"_Toc495861563" </w:instrText>
          </w:r>
          <w:r>
            <w:fldChar w:fldCharType="separate"/>
          </w:r>
          <w:r>
            <w:rPr>
              <w:rStyle w:val="20"/>
              <w:rFonts w:hint="eastAsia" w:eastAsia="宋体"/>
              <w:color w:val="auto"/>
            </w:rPr>
            <w:t>附件十四、</w:t>
          </w:r>
          <w:r>
            <w:rPr>
              <w:rFonts w:asciiTheme="minorHAnsi" w:hAnsiTheme="minorHAnsi"/>
              <w:iCs w:val="0"/>
              <w:color w:val="auto"/>
              <w:kern w:val="2"/>
              <w:sz w:val="21"/>
            </w:rPr>
            <w:tab/>
          </w:r>
          <w:r>
            <w:rPr>
              <w:rStyle w:val="20"/>
              <w:rFonts w:hint="eastAsia" w:eastAsia="宋体"/>
              <w:color w:val="auto"/>
            </w:rPr>
            <w:t>投标人类似项目业绩表</w:t>
          </w:r>
          <w:r>
            <w:rPr>
              <w:color w:val="auto"/>
            </w:rPr>
            <w:tab/>
          </w:r>
          <w:r>
            <w:rPr>
              <w:color w:val="auto"/>
            </w:rPr>
            <w:fldChar w:fldCharType="begin"/>
          </w:r>
          <w:r>
            <w:rPr>
              <w:color w:val="auto"/>
            </w:rPr>
            <w:instrText xml:space="preserve"> PAGEREF _Toc495861563 \h </w:instrText>
          </w:r>
          <w:r>
            <w:rPr>
              <w:color w:val="auto"/>
            </w:rPr>
            <w:fldChar w:fldCharType="separate"/>
          </w:r>
          <w:r>
            <w:rPr>
              <w:color w:val="auto"/>
            </w:rPr>
            <w:t>55</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"_Toc495861564" </w:instrText>
          </w:r>
          <w:r>
            <w:fldChar w:fldCharType="separate"/>
          </w:r>
          <w:r>
            <w:rPr>
              <w:rStyle w:val="20"/>
              <w:rFonts w:hint="eastAsia" w:eastAsia="宋体"/>
              <w:color w:val="auto"/>
            </w:rPr>
            <w:t>附件十五、</w:t>
          </w:r>
          <w:r>
            <w:rPr>
              <w:rFonts w:asciiTheme="minorHAnsi" w:hAnsiTheme="minorHAnsi"/>
              <w:iCs w:val="0"/>
              <w:color w:val="auto"/>
              <w:kern w:val="2"/>
              <w:sz w:val="21"/>
            </w:rPr>
            <w:tab/>
          </w:r>
          <w:r>
            <w:rPr>
              <w:rStyle w:val="20"/>
              <w:rFonts w:hint="eastAsia" w:eastAsia="宋体"/>
              <w:color w:val="auto"/>
            </w:rPr>
            <w:t>符合性审查对照表</w:t>
          </w:r>
          <w:r>
            <w:rPr>
              <w:color w:val="auto"/>
            </w:rPr>
            <w:tab/>
          </w:r>
          <w:r>
            <w:rPr>
              <w:color w:val="auto"/>
            </w:rPr>
            <w:fldChar w:fldCharType="begin"/>
          </w:r>
          <w:r>
            <w:rPr>
              <w:color w:val="auto"/>
            </w:rPr>
            <w:instrText xml:space="preserve"> PAGEREF _Toc495861564 \h </w:instrText>
          </w:r>
          <w:r>
            <w:rPr>
              <w:color w:val="auto"/>
            </w:rPr>
            <w:fldChar w:fldCharType="separate"/>
          </w:r>
          <w:r>
            <w:rPr>
              <w:color w:val="auto"/>
            </w:rPr>
            <w:t>56</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"_Toc495861565" </w:instrText>
          </w:r>
          <w:r>
            <w:fldChar w:fldCharType="separate"/>
          </w:r>
          <w:r>
            <w:rPr>
              <w:rStyle w:val="20"/>
              <w:rFonts w:hint="eastAsia" w:eastAsia="宋体"/>
              <w:color w:val="auto"/>
            </w:rPr>
            <w:t>附件十六、</w:t>
          </w:r>
          <w:r>
            <w:rPr>
              <w:rFonts w:asciiTheme="minorHAnsi" w:hAnsiTheme="minorHAnsi"/>
              <w:iCs w:val="0"/>
              <w:color w:val="auto"/>
              <w:kern w:val="2"/>
              <w:sz w:val="21"/>
            </w:rPr>
            <w:tab/>
          </w:r>
          <w:r>
            <w:rPr>
              <w:rStyle w:val="20"/>
              <w:rFonts w:hint="eastAsia" w:eastAsia="宋体"/>
              <w:color w:val="auto"/>
            </w:rPr>
            <w:t>商务要求响应、偏离说明表</w:t>
          </w:r>
          <w:r>
            <w:rPr>
              <w:color w:val="auto"/>
            </w:rPr>
            <w:tab/>
          </w:r>
          <w:r>
            <w:rPr>
              <w:color w:val="auto"/>
            </w:rPr>
            <w:fldChar w:fldCharType="begin"/>
          </w:r>
          <w:r>
            <w:rPr>
              <w:color w:val="auto"/>
            </w:rPr>
            <w:instrText xml:space="preserve"> PAGEREF _Toc495861565 \h </w:instrText>
          </w:r>
          <w:r>
            <w:rPr>
              <w:color w:val="auto"/>
            </w:rPr>
            <w:fldChar w:fldCharType="separate"/>
          </w:r>
          <w:r>
            <w:rPr>
              <w:color w:val="auto"/>
            </w:rPr>
            <w:t>57</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"_Toc495861566" </w:instrText>
          </w:r>
          <w:r>
            <w:fldChar w:fldCharType="separate"/>
          </w:r>
          <w:r>
            <w:rPr>
              <w:rStyle w:val="20"/>
              <w:rFonts w:hint="eastAsia" w:eastAsia="宋体"/>
              <w:color w:val="auto"/>
            </w:rPr>
            <w:t>附件十七、</w:t>
          </w:r>
          <w:r>
            <w:rPr>
              <w:rFonts w:asciiTheme="minorHAnsi" w:hAnsiTheme="minorHAnsi"/>
              <w:iCs w:val="0"/>
              <w:color w:val="auto"/>
              <w:kern w:val="2"/>
              <w:sz w:val="21"/>
            </w:rPr>
            <w:tab/>
          </w:r>
          <w:r>
            <w:rPr>
              <w:rStyle w:val="20"/>
              <w:rFonts w:hint="eastAsia" w:eastAsia="宋体"/>
              <w:color w:val="auto"/>
            </w:rPr>
            <w:t>商务要求“★”号条款响应、偏离说明表</w:t>
          </w:r>
          <w:r>
            <w:rPr>
              <w:color w:val="auto"/>
            </w:rPr>
            <w:tab/>
          </w:r>
          <w:r>
            <w:rPr>
              <w:color w:val="auto"/>
            </w:rPr>
            <w:fldChar w:fldCharType="begin"/>
          </w:r>
          <w:r>
            <w:rPr>
              <w:color w:val="auto"/>
            </w:rPr>
            <w:instrText xml:space="preserve"> PAGEREF _Toc495861566 \h </w:instrText>
          </w:r>
          <w:r>
            <w:rPr>
              <w:color w:val="auto"/>
            </w:rPr>
            <w:fldChar w:fldCharType="separate"/>
          </w:r>
          <w:r>
            <w:rPr>
              <w:color w:val="auto"/>
            </w:rPr>
            <w:t>58</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"_Toc495861567" </w:instrText>
          </w:r>
          <w:r>
            <w:fldChar w:fldCharType="separate"/>
          </w:r>
          <w:r>
            <w:rPr>
              <w:rStyle w:val="20"/>
              <w:rFonts w:hint="eastAsia" w:eastAsia="宋体"/>
              <w:color w:val="auto"/>
            </w:rPr>
            <w:t>附件十八、</w:t>
          </w:r>
          <w:r>
            <w:rPr>
              <w:rFonts w:asciiTheme="minorHAnsi" w:hAnsiTheme="minorHAnsi"/>
              <w:iCs w:val="0"/>
              <w:color w:val="auto"/>
              <w:kern w:val="2"/>
              <w:sz w:val="21"/>
            </w:rPr>
            <w:tab/>
          </w:r>
          <w:r>
            <w:rPr>
              <w:rStyle w:val="20"/>
              <w:rFonts w:hint="eastAsia" w:eastAsia="宋体"/>
              <w:color w:val="auto"/>
            </w:rPr>
            <w:t>商务评议对照表</w:t>
          </w:r>
          <w:r>
            <w:rPr>
              <w:color w:val="auto"/>
            </w:rPr>
            <w:tab/>
          </w:r>
          <w:r>
            <w:rPr>
              <w:color w:val="auto"/>
            </w:rPr>
            <w:fldChar w:fldCharType="begin"/>
          </w:r>
          <w:r>
            <w:rPr>
              <w:color w:val="auto"/>
            </w:rPr>
            <w:instrText xml:space="preserve"> PAGEREF _Toc495861567 \h </w:instrText>
          </w:r>
          <w:r>
            <w:rPr>
              <w:color w:val="auto"/>
            </w:rPr>
            <w:fldChar w:fldCharType="separate"/>
          </w:r>
          <w:r>
            <w:rPr>
              <w:color w:val="auto"/>
            </w:rPr>
            <w:t>59</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"_Toc495861568" </w:instrText>
          </w:r>
          <w:r>
            <w:fldChar w:fldCharType="separate"/>
          </w:r>
          <w:r>
            <w:rPr>
              <w:rStyle w:val="20"/>
              <w:rFonts w:hint="eastAsia" w:eastAsia="宋体"/>
              <w:color w:val="auto"/>
            </w:rPr>
            <w:t>附件十九、</w:t>
          </w:r>
          <w:r>
            <w:rPr>
              <w:rFonts w:asciiTheme="minorHAnsi" w:hAnsiTheme="minorHAnsi"/>
              <w:iCs w:val="0"/>
              <w:color w:val="auto"/>
              <w:kern w:val="2"/>
              <w:sz w:val="21"/>
            </w:rPr>
            <w:tab/>
          </w:r>
          <w:r>
            <w:rPr>
              <w:rStyle w:val="20"/>
              <w:rFonts w:hint="eastAsia" w:eastAsia="宋体"/>
              <w:color w:val="auto"/>
            </w:rPr>
            <w:t>技术、服务要求响应、偏离说明表</w:t>
          </w:r>
          <w:r>
            <w:rPr>
              <w:color w:val="auto"/>
            </w:rPr>
            <w:tab/>
          </w:r>
          <w:r>
            <w:rPr>
              <w:color w:val="auto"/>
            </w:rPr>
            <w:fldChar w:fldCharType="begin"/>
          </w:r>
          <w:r>
            <w:rPr>
              <w:color w:val="auto"/>
            </w:rPr>
            <w:instrText xml:space="preserve"> PAGEREF _Toc495861568 \h </w:instrText>
          </w:r>
          <w:r>
            <w:rPr>
              <w:color w:val="auto"/>
            </w:rPr>
            <w:fldChar w:fldCharType="separate"/>
          </w:r>
          <w:r>
            <w:rPr>
              <w:color w:val="auto"/>
            </w:rPr>
            <w:t>60</w:t>
          </w:r>
          <w:r>
            <w:rPr>
              <w:color w:val="auto"/>
            </w:rPr>
            <w:fldChar w:fldCharType="end"/>
          </w:r>
          <w:r>
            <w:rPr>
              <w:color w:val="auto"/>
            </w:rPr>
            <w:fldChar w:fldCharType="end"/>
          </w:r>
        </w:p>
        <w:p>
          <w:pPr>
            <w:pStyle w:val="14"/>
            <w:rPr>
              <w:rFonts w:asciiTheme="minorHAnsi" w:hAnsiTheme="minorHAnsi"/>
              <w:iCs w:val="0"/>
              <w:color w:val="auto"/>
              <w:kern w:val="2"/>
              <w:sz w:val="21"/>
            </w:rPr>
          </w:pPr>
          <w:r>
            <w:fldChar w:fldCharType="begin"/>
          </w:r>
          <w:r>
            <w:instrText xml:space="preserve"> HYPERLINK \l "_Toc495861569" </w:instrText>
          </w:r>
          <w:r>
            <w:fldChar w:fldCharType="separate"/>
          </w:r>
          <w:r>
            <w:rPr>
              <w:rStyle w:val="20"/>
              <w:rFonts w:hint="eastAsia" w:eastAsia="宋体"/>
              <w:color w:val="auto"/>
            </w:rPr>
            <w:t>附件二十、</w:t>
          </w:r>
          <w:r>
            <w:rPr>
              <w:rFonts w:asciiTheme="minorHAnsi" w:hAnsiTheme="minorHAnsi"/>
              <w:iCs w:val="0"/>
              <w:color w:val="auto"/>
              <w:kern w:val="2"/>
              <w:sz w:val="21"/>
            </w:rPr>
            <w:tab/>
          </w:r>
          <w:r>
            <w:rPr>
              <w:rStyle w:val="20"/>
              <w:rFonts w:hint="eastAsia" w:eastAsia="宋体"/>
              <w:color w:val="auto"/>
            </w:rPr>
            <w:t>技术、服务要求“★”号条款响应、偏离说明表</w:t>
          </w:r>
          <w:r>
            <w:rPr>
              <w:color w:val="auto"/>
            </w:rPr>
            <w:tab/>
          </w:r>
          <w:r>
            <w:rPr>
              <w:color w:val="auto"/>
            </w:rPr>
            <w:fldChar w:fldCharType="begin"/>
          </w:r>
          <w:r>
            <w:rPr>
              <w:color w:val="auto"/>
            </w:rPr>
            <w:instrText xml:space="preserve"> PAGEREF _Toc495861569 \h </w:instrText>
          </w:r>
          <w:r>
            <w:rPr>
              <w:color w:val="auto"/>
            </w:rPr>
            <w:fldChar w:fldCharType="separate"/>
          </w:r>
          <w:r>
            <w:rPr>
              <w:color w:val="auto"/>
            </w:rPr>
            <w:t>61</w:t>
          </w:r>
          <w:r>
            <w:rPr>
              <w:color w:val="auto"/>
            </w:rPr>
            <w:fldChar w:fldCharType="end"/>
          </w:r>
          <w:r>
            <w:rPr>
              <w:color w:val="auto"/>
            </w:rPr>
            <w:fldChar w:fldCharType="end"/>
          </w:r>
        </w:p>
        <w:p>
          <w:pPr>
            <w:pStyle w:val="14"/>
            <w:tabs>
              <w:tab w:val="left" w:pos="1870"/>
            </w:tabs>
            <w:rPr>
              <w:rFonts w:asciiTheme="minorHAnsi" w:hAnsiTheme="minorHAnsi"/>
              <w:iCs w:val="0"/>
              <w:color w:val="auto"/>
              <w:kern w:val="2"/>
              <w:sz w:val="21"/>
            </w:rPr>
          </w:pPr>
          <w:r>
            <w:fldChar w:fldCharType="begin"/>
          </w:r>
          <w:r>
            <w:instrText xml:space="preserve"> HYPERLINK \l "_Toc495861570" </w:instrText>
          </w:r>
          <w:r>
            <w:fldChar w:fldCharType="separate"/>
          </w:r>
          <w:r>
            <w:rPr>
              <w:rStyle w:val="20"/>
              <w:rFonts w:hint="eastAsia" w:eastAsia="宋体"/>
              <w:color w:val="auto"/>
            </w:rPr>
            <w:t>附件二十一、</w:t>
          </w:r>
          <w:r>
            <w:rPr>
              <w:rFonts w:asciiTheme="minorHAnsi" w:hAnsiTheme="minorHAnsi"/>
              <w:iCs w:val="0"/>
              <w:color w:val="auto"/>
              <w:kern w:val="2"/>
              <w:sz w:val="21"/>
            </w:rPr>
            <w:tab/>
          </w:r>
          <w:r>
            <w:rPr>
              <w:rStyle w:val="20"/>
              <w:rFonts w:hint="eastAsia" w:eastAsia="宋体"/>
              <w:color w:val="auto"/>
            </w:rPr>
            <w:t>技术、服务评议对照表</w:t>
          </w:r>
          <w:r>
            <w:rPr>
              <w:color w:val="auto"/>
            </w:rPr>
            <w:tab/>
          </w:r>
          <w:r>
            <w:rPr>
              <w:color w:val="auto"/>
            </w:rPr>
            <w:fldChar w:fldCharType="begin"/>
          </w:r>
          <w:r>
            <w:rPr>
              <w:color w:val="auto"/>
            </w:rPr>
            <w:instrText xml:space="preserve"> PAGEREF _Toc495861570 \h </w:instrText>
          </w:r>
          <w:r>
            <w:rPr>
              <w:color w:val="auto"/>
            </w:rPr>
            <w:fldChar w:fldCharType="separate"/>
          </w:r>
          <w:r>
            <w:rPr>
              <w:color w:val="auto"/>
            </w:rPr>
            <w:t>62</w:t>
          </w:r>
          <w:r>
            <w:rPr>
              <w:color w:val="auto"/>
            </w:rPr>
            <w:fldChar w:fldCharType="end"/>
          </w:r>
          <w:r>
            <w:rPr>
              <w:color w:val="auto"/>
            </w:rPr>
            <w:fldChar w:fldCharType="end"/>
          </w:r>
        </w:p>
        <w:p>
          <w:pPr>
            <w:pStyle w:val="12"/>
            <w:tabs>
              <w:tab w:val="left" w:pos="1260"/>
              <w:tab w:val="right" w:leader="dot" w:pos="9514"/>
            </w:tabs>
            <w:rPr>
              <w:color w:val="auto"/>
            </w:rPr>
          </w:pPr>
          <w:r>
            <w:rPr>
              <w:color w:val="auto"/>
            </w:rPr>
            <w:fldChar w:fldCharType="end"/>
          </w:r>
          <w:r>
            <w:rPr>
              <w:b w:val="0"/>
              <w:bCs/>
              <w:color w:val="auto"/>
              <w:lang w:val="zh-CN"/>
            </w:rPr>
            <w:tab/>
          </w:r>
        </w:p>
      </w:sdtContent>
    </w:sdt>
    <w:p>
      <w:r>
        <w:br w:type="page"/>
      </w:r>
    </w:p>
    <w:p>
      <w:pPr>
        <w:pStyle w:val="2"/>
        <w:numPr>
          <w:ilvl w:val="0"/>
          <w:numId w:val="1"/>
        </w:numPr>
        <w:spacing w:before="240" w:after="120"/>
        <w:ind w:left="883" w:hanging="880" w:hangingChars="200"/>
        <w:jc w:val="center"/>
        <w:rPr>
          <w:rFonts w:ascii="黑体" w:hAnsi="黑体" w:eastAsia="黑体"/>
        </w:rPr>
      </w:pPr>
      <w:bookmarkStart w:id="0" w:name="_Toc495861517"/>
      <w:r>
        <w:rPr>
          <w:rFonts w:hint="eastAsia" w:ascii="黑体" w:hAnsi="黑体" w:eastAsia="黑体"/>
        </w:rPr>
        <w:t>投标邀请书</w:t>
      </w:r>
      <w:bookmarkEnd w:id="0"/>
    </w:p>
    <w:p>
      <w:pPr>
        <w:spacing w:line="480" w:lineRule="auto"/>
        <w:ind w:firstLine="1200" w:firstLineChars="500"/>
        <w:rPr>
          <w:bCs/>
          <w:sz w:val="32"/>
          <w:szCs w:val="32"/>
          <w:u w:val="single"/>
        </w:rPr>
      </w:pPr>
      <w:r>
        <w:rPr>
          <w:rFonts w:hint="eastAsia" w:ascii="宋体" w:hAnsi="宋体" w:eastAsia="宋体" w:cs="Times New Roman"/>
          <w:sz w:val="24"/>
          <w:szCs w:val="24"/>
        </w:rPr>
        <w:t>依据阳</w:t>
      </w:r>
      <w:r>
        <w:rPr>
          <w:rFonts w:hint="eastAsia" w:ascii="宋体" w:hAnsi="宋体" w:eastAsia="宋体" w:cs="Times New Roman"/>
          <w:sz w:val="24"/>
          <w:szCs w:val="24"/>
          <w:u w:val="single"/>
        </w:rPr>
        <w:t>财采计备【2019】A157</w:t>
      </w:r>
      <w:r>
        <w:rPr>
          <w:rFonts w:hint="eastAsia"/>
          <w:bCs/>
          <w:sz w:val="24"/>
          <w:szCs w:val="24"/>
          <w:u w:val="single"/>
        </w:rPr>
        <w:t>号</w:t>
      </w:r>
      <w:r>
        <w:rPr>
          <w:rFonts w:hint="eastAsia" w:ascii="宋体" w:hAnsi="宋体" w:eastAsia="宋体" w:cs="Times New Roman"/>
          <w:sz w:val="24"/>
          <w:szCs w:val="24"/>
        </w:rPr>
        <w:t>的要求，</w:t>
      </w:r>
      <w:r>
        <w:rPr>
          <w:rFonts w:hint="eastAsia"/>
          <w:bCs/>
          <w:sz w:val="24"/>
          <w:szCs w:val="24"/>
          <w:u w:val="single"/>
        </w:rPr>
        <w:t>湖北省成套招标股份有限公司</w:t>
      </w:r>
      <w:r>
        <w:rPr>
          <w:rFonts w:hint="eastAsia" w:ascii="宋体" w:hAnsi="宋体" w:eastAsia="宋体" w:cs="Times New Roman"/>
          <w:sz w:val="24"/>
          <w:szCs w:val="24"/>
        </w:rPr>
        <w:t>受</w:t>
      </w:r>
      <w:r>
        <w:rPr>
          <w:rFonts w:hint="eastAsia"/>
          <w:bCs/>
          <w:sz w:val="32"/>
          <w:szCs w:val="32"/>
          <w:u w:val="single"/>
        </w:rPr>
        <w:t xml:space="preserve">      </w:t>
      </w:r>
      <w:r>
        <w:rPr>
          <w:rFonts w:hint="eastAsia"/>
          <w:bCs/>
          <w:sz w:val="24"/>
          <w:szCs w:val="24"/>
          <w:u w:val="single"/>
        </w:rPr>
        <w:t>阳新县人民医院</w:t>
      </w:r>
      <w:r>
        <w:rPr>
          <w:rFonts w:hint="eastAsia" w:ascii="宋体" w:hAnsi="宋体" w:eastAsia="宋体" w:cs="Times New Roman"/>
          <w:sz w:val="24"/>
          <w:szCs w:val="24"/>
        </w:rPr>
        <w:t xml:space="preserve">委托，就 </w:t>
      </w:r>
      <w:r>
        <w:rPr>
          <w:rFonts w:hint="eastAsia"/>
          <w:bCs/>
          <w:sz w:val="24"/>
          <w:szCs w:val="24"/>
          <w:u w:val="single"/>
        </w:rPr>
        <w:t xml:space="preserve">远程心电诊断中心建设 </w:t>
      </w:r>
      <w:r>
        <w:rPr>
          <w:rFonts w:hint="eastAsia" w:ascii="宋体" w:hAnsi="宋体" w:eastAsia="宋体" w:cs="Times New Roman"/>
          <w:sz w:val="24"/>
          <w:szCs w:val="24"/>
        </w:rPr>
        <w:t>项目进行公开招标采购，欢迎符合条件的供应商投标。</w:t>
      </w:r>
    </w:p>
    <w:p>
      <w:pPr>
        <w:numPr>
          <w:ilvl w:val="0"/>
          <w:numId w:val="2"/>
        </w:numPr>
        <w:spacing w:line="360" w:lineRule="auto"/>
        <w:ind w:left="490" w:hanging="490"/>
        <w:rPr>
          <w:rFonts w:ascii="宋体" w:hAnsi="宋体" w:eastAsia="宋体" w:cs="Times New Roman"/>
          <w:b/>
          <w:sz w:val="24"/>
          <w:szCs w:val="24"/>
        </w:rPr>
      </w:pPr>
      <w:r>
        <w:rPr>
          <w:rFonts w:hint="eastAsia" w:ascii="宋体" w:hAnsi="宋体" w:eastAsia="宋体" w:cs="Times New Roman"/>
          <w:b/>
          <w:sz w:val="24"/>
          <w:szCs w:val="24"/>
        </w:rPr>
        <w:t>项目编号：</w:t>
      </w:r>
      <w:r>
        <w:rPr>
          <w:rFonts w:hint="eastAsia" w:ascii="宋体" w:hAnsi="宋体" w:eastAsia="宋体" w:cs="Times New Roman"/>
          <w:b/>
          <w:sz w:val="24"/>
          <w:szCs w:val="24"/>
          <w:u w:val="single"/>
        </w:rPr>
        <w:t xml:space="preserve"> l31-2020CG-023 </w:t>
      </w:r>
    </w:p>
    <w:p>
      <w:pPr>
        <w:numPr>
          <w:ilvl w:val="0"/>
          <w:numId w:val="2"/>
        </w:numPr>
        <w:spacing w:line="360" w:lineRule="auto"/>
        <w:ind w:left="490" w:hanging="490"/>
        <w:rPr>
          <w:rFonts w:ascii="宋体" w:hAnsi="宋体" w:eastAsia="宋体" w:cs="Times New Roman"/>
          <w:b/>
          <w:sz w:val="24"/>
          <w:szCs w:val="24"/>
        </w:rPr>
      </w:pPr>
      <w:r>
        <w:rPr>
          <w:rFonts w:hint="eastAsia" w:ascii="宋体" w:hAnsi="宋体" w:eastAsia="宋体" w:cs="Times New Roman"/>
          <w:b/>
          <w:sz w:val="24"/>
          <w:szCs w:val="24"/>
        </w:rPr>
        <w:t>项目名称：</w:t>
      </w:r>
      <w:r>
        <w:rPr>
          <w:rFonts w:hint="eastAsia" w:ascii="宋体" w:hAnsi="宋体" w:eastAsia="宋体" w:cs="Times New Roman"/>
          <w:b/>
          <w:sz w:val="24"/>
          <w:szCs w:val="24"/>
          <w:u w:val="single"/>
        </w:rPr>
        <w:t xml:space="preserve">  </w:t>
      </w:r>
      <w:r>
        <w:rPr>
          <w:rFonts w:hint="eastAsia"/>
          <w:bCs/>
          <w:sz w:val="24"/>
          <w:szCs w:val="24"/>
          <w:u w:val="single"/>
        </w:rPr>
        <w:t>远程心电诊断中心建设项目</w:t>
      </w:r>
      <w:r>
        <w:rPr>
          <w:rFonts w:hint="eastAsia" w:ascii="宋体" w:hAnsi="宋体" w:eastAsia="宋体" w:cs="Times New Roman"/>
          <w:b/>
          <w:sz w:val="24"/>
          <w:szCs w:val="24"/>
          <w:u w:val="single"/>
        </w:rPr>
        <w:t xml:space="preserve">      </w:t>
      </w:r>
    </w:p>
    <w:p>
      <w:pPr>
        <w:numPr>
          <w:ilvl w:val="0"/>
          <w:numId w:val="2"/>
        </w:numPr>
        <w:spacing w:line="360" w:lineRule="auto"/>
        <w:ind w:left="490" w:hanging="490"/>
        <w:rPr>
          <w:rFonts w:ascii="宋体" w:hAnsi="宋体" w:eastAsia="宋体" w:cs="Times New Roman"/>
          <w:sz w:val="24"/>
          <w:szCs w:val="24"/>
        </w:rPr>
      </w:pPr>
      <w:r>
        <w:rPr>
          <w:rFonts w:hint="eastAsia" w:ascii="宋体" w:hAnsi="宋体" w:eastAsia="宋体" w:cs="Times New Roman"/>
          <w:b/>
          <w:sz w:val="24"/>
          <w:szCs w:val="24"/>
        </w:rPr>
        <w:t>招标内容：</w:t>
      </w:r>
      <w:r>
        <w:rPr>
          <w:rFonts w:hint="eastAsia" w:ascii="宋体" w:hAnsi="宋体" w:eastAsia="宋体" w:cs="Times New Roman"/>
          <w:b/>
          <w:sz w:val="24"/>
          <w:szCs w:val="24"/>
          <w:u w:val="single"/>
        </w:rPr>
        <w:t xml:space="preserve"> </w:t>
      </w:r>
      <w:r>
        <w:rPr>
          <w:rFonts w:hint="eastAsia" w:ascii="宋体" w:hAnsi="宋体" w:eastAsia="宋体" w:cs="Times New Roman"/>
          <w:sz w:val="24"/>
          <w:szCs w:val="24"/>
          <w:u w:val="single"/>
        </w:rPr>
        <w:t xml:space="preserve"> 远程心电诊断中心建设项目</w:t>
      </w:r>
      <w:r>
        <w:rPr>
          <w:rFonts w:hint="eastAsia" w:ascii="宋体" w:hAnsi="宋体" w:eastAsia="宋体" w:cs="Times New Roman"/>
          <w:sz w:val="24"/>
          <w:szCs w:val="24"/>
        </w:rPr>
        <w:t>采购（详见招标文件《采购清单》）</w:t>
      </w:r>
    </w:p>
    <w:p>
      <w:pPr>
        <w:numPr>
          <w:ilvl w:val="0"/>
          <w:numId w:val="2"/>
        </w:numPr>
        <w:spacing w:line="360" w:lineRule="auto"/>
        <w:ind w:left="490" w:hanging="490"/>
        <w:rPr>
          <w:rFonts w:ascii="宋体" w:hAnsi="宋体" w:eastAsia="宋体" w:cs="Times New Roman"/>
          <w:sz w:val="24"/>
          <w:szCs w:val="24"/>
        </w:rPr>
      </w:pPr>
      <w:r>
        <w:rPr>
          <w:rFonts w:hint="eastAsia" w:ascii="宋体" w:hAnsi="宋体" w:eastAsia="宋体" w:cs="Times New Roman"/>
          <w:b/>
          <w:sz w:val="24"/>
          <w:szCs w:val="24"/>
        </w:rPr>
        <w:t>采购预算：</w:t>
      </w:r>
      <w:r>
        <w:rPr>
          <w:rFonts w:hint="eastAsia" w:ascii="宋体" w:hAnsi="宋体" w:eastAsia="宋体" w:cs="Times New Roman"/>
          <w:sz w:val="24"/>
          <w:szCs w:val="24"/>
        </w:rPr>
        <w:t>人民币</w:t>
      </w:r>
      <w:r>
        <w:rPr>
          <w:rFonts w:hint="eastAsia" w:ascii="宋体" w:hAnsi="宋体" w:eastAsia="宋体" w:cs="Times New Roman"/>
          <w:b/>
          <w:sz w:val="24"/>
          <w:szCs w:val="24"/>
          <w:u w:val="single"/>
        </w:rPr>
        <w:t xml:space="preserve">    150   </w:t>
      </w:r>
      <w:r>
        <w:rPr>
          <w:rFonts w:hint="eastAsia" w:ascii="宋体" w:hAnsi="宋体" w:eastAsia="宋体" w:cs="Times New Roman"/>
          <w:sz w:val="24"/>
          <w:szCs w:val="24"/>
        </w:rPr>
        <w:t>万元整。</w:t>
      </w:r>
    </w:p>
    <w:p>
      <w:pPr>
        <w:numPr>
          <w:ilvl w:val="0"/>
          <w:numId w:val="2"/>
        </w:numPr>
        <w:spacing w:line="360" w:lineRule="auto"/>
        <w:ind w:left="490" w:hanging="490"/>
        <w:rPr>
          <w:rFonts w:ascii="宋体" w:hAnsi="宋体" w:eastAsia="宋体" w:cs="Times New Roman"/>
          <w:sz w:val="24"/>
          <w:szCs w:val="24"/>
        </w:rPr>
      </w:pPr>
      <w:r>
        <w:rPr>
          <w:rFonts w:hint="eastAsia" w:ascii="宋体" w:hAnsi="宋体" w:eastAsia="宋体" w:cs="Times New Roman"/>
          <w:b/>
          <w:sz w:val="24"/>
          <w:szCs w:val="24"/>
        </w:rPr>
        <w:t>资金来源：</w:t>
      </w:r>
      <w:r>
        <w:rPr>
          <w:rFonts w:hint="eastAsia" w:ascii="宋体" w:hAnsi="宋体" w:eastAsia="宋体" w:cs="Times New Roman"/>
          <w:sz w:val="24"/>
          <w:szCs w:val="24"/>
        </w:rPr>
        <w:t>财政性资金</w:t>
      </w:r>
    </w:p>
    <w:p>
      <w:pPr>
        <w:numPr>
          <w:ilvl w:val="0"/>
          <w:numId w:val="2"/>
        </w:numPr>
        <w:spacing w:line="360" w:lineRule="auto"/>
        <w:ind w:left="490" w:hanging="490"/>
        <w:rPr>
          <w:rFonts w:ascii="宋体" w:hAnsi="宋体" w:eastAsia="宋体" w:cs="Times New Roman"/>
          <w:sz w:val="24"/>
          <w:szCs w:val="24"/>
        </w:rPr>
      </w:pPr>
      <w:r>
        <w:rPr>
          <w:rFonts w:hint="eastAsia" w:ascii="宋体" w:hAnsi="宋体" w:eastAsia="宋体" w:cs="Times New Roman"/>
          <w:b/>
          <w:sz w:val="24"/>
          <w:szCs w:val="24"/>
        </w:rPr>
        <w:t>政府集中采购项目：否</w:t>
      </w:r>
    </w:p>
    <w:p>
      <w:pPr>
        <w:numPr>
          <w:ilvl w:val="0"/>
          <w:numId w:val="2"/>
        </w:numPr>
        <w:spacing w:line="360" w:lineRule="auto"/>
        <w:ind w:left="490" w:hanging="490"/>
        <w:rPr>
          <w:rFonts w:ascii="宋体" w:hAnsi="宋体" w:eastAsia="宋体" w:cs="Times New Roman"/>
          <w:b/>
          <w:sz w:val="24"/>
          <w:szCs w:val="24"/>
        </w:rPr>
      </w:pPr>
      <w:r>
        <w:rPr>
          <w:rFonts w:hint="eastAsia" w:ascii="宋体" w:hAnsi="宋体" w:eastAsia="宋体" w:cs="Times New Roman"/>
          <w:b/>
          <w:sz w:val="24"/>
          <w:szCs w:val="24"/>
        </w:rPr>
        <w:t>投标人资格要求：</w:t>
      </w:r>
    </w:p>
    <w:p>
      <w:pPr>
        <w:numPr>
          <w:ilvl w:val="0"/>
          <w:numId w:val="3"/>
        </w:numPr>
        <w:tabs>
          <w:tab w:val="left" w:pos="896"/>
        </w:tabs>
        <w:spacing w:line="360" w:lineRule="auto"/>
        <w:rPr>
          <w:rFonts w:ascii="宋体" w:hAnsi="宋体" w:eastAsia="宋体" w:cs="Times New Roman"/>
          <w:sz w:val="24"/>
          <w:szCs w:val="24"/>
        </w:rPr>
      </w:pPr>
      <w:r>
        <w:rPr>
          <w:rFonts w:hint="eastAsia" w:ascii="宋体" w:hAnsi="宋体" w:eastAsia="宋体" w:cs="Times New Roman"/>
          <w:sz w:val="24"/>
          <w:szCs w:val="24"/>
        </w:rPr>
        <w:t>应具备《政府采购法》第二十二条第一款规定的条件；</w:t>
      </w:r>
    </w:p>
    <w:p>
      <w:pPr>
        <w:numPr>
          <w:ilvl w:val="0"/>
          <w:numId w:val="3"/>
        </w:numPr>
        <w:tabs>
          <w:tab w:val="left" w:pos="896"/>
        </w:tabs>
        <w:spacing w:line="360" w:lineRule="auto"/>
        <w:rPr>
          <w:rFonts w:ascii="宋体" w:hAnsi="宋体" w:eastAsia="宋体" w:cs="Times New Roman"/>
          <w:sz w:val="24"/>
          <w:szCs w:val="24"/>
        </w:rPr>
      </w:pPr>
      <w:r>
        <w:rPr>
          <w:rFonts w:hint="eastAsia" w:ascii="宋体" w:hAnsi="宋体" w:eastAsia="宋体" w:cs="Times New Roman"/>
          <w:sz w:val="24"/>
          <w:szCs w:val="24"/>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numPr>
          <w:ilvl w:val="0"/>
          <w:numId w:val="3"/>
        </w:numPr>
        <w:tabs>
          <w:tab w:val="left" w:pos="896"/>
        </w:tabs>
        <w:spacing w:line="360" w:lineRule="auto"/>
        <w:rPr>
          <w:rFonts w:ascii="宋体" w:hAnsi="宋体" w:eastAsia="宋体" w:cs="Times New Roman"/>
          <w:sz w:val="24"/>
          <w:szCs w:val="24"/>
        </w:rPr>
      </w:pPr>
      <w:r>
        <w:rPr>
          <w:rFonts w:hint="eastAsia" w:ascii="宋体" w:hAnsi="宋体" w:eastAsia="宋体" w:cs="Times New Roman"/>
          <w:sz w:val="24"/>
          <w:szCs w:val="24"/>
        </w:rPr>
        <w:t>供应商（所投产品的制造商）必须具有医疗器械生产许可证；</w:t>
      </w:r>
    </w:p>
    <w:p>
      <w:pPr>
        <w:numPr>
          <w:ilvl w:val="0"/>
          <w:numId w:val="3"/>
        </w:numPr>
        <w:tabs>
          <w:tab w:val="left" w:pos="896"/>
        </w:tabs>
        <w:spacing w:line="360" w:lineRule="auto"/>
        <w:rPr>
          <w:rFonts w:ascii="宋体" w:hAnsi="宋体" w:eastAsia="宋体" w:cs="Times New Roman"/>
          <w:sz w:val="24"/>
          <w:szCs w:val="24"/>
        </w:rPr>
      </w:pPr>
      <w:r>
        <w:rPr>
          <w:rFonts w:hint="eastAsia" w:ascii="宋体" w:hAnsi="宋体" w:eastAsia="宋体" w:cs="Times New Roman"/>
          <w:sz w:val="24"/>
          <w:szCs w:val="24"/>
        </w:rPr>
        <w:t>供应商须提供符合本项目招标要求的一体化心电图机产品医疗器械注册证；</w:t>
      </w:r>
    </w:p>
    <w:p>
      <w:pPr>
        <w:numPr>
          <w:ilvl w:val="0"/>
          <w:numId w:val="3"/>
        </w:numPr>
        <w:tabs>
          <w:tab w:val="left" w:pos="896"/>
        </w:tabs>
        <w:spacing w:line="360" w:lineRule="auto"/>
        <w:rPr>
          <w:rFonts w:ascii="宋体" w:hAnsi="宋体" w:eastAsia="宋体" w:cs="Times New Roman"/>
          <w:sz w:val="24"/>
          <w:szCs w:val="24"/>
        </w:rPr>
      </w:pPr>
      <w:r>
        <w:rPr>
          <w:rFonts w:hint="eastAsia" w:ascii="宋体" w:hAnsi="宋体" w:eastAsia="宋体" w:cs="Times New Roman"/>
          <w:sz w:val="24"/>
          <w:szCs w:val="24"/>
        </w:rPr>
        <w:t>供应商须提供有效期内的医疗器械经营许可证、医疗器械产品注册登记表；</w:t>
      </w:r>
    </w:p>
    <w:p>
      <w:pPr>
        <w:numPr>
          <w:ilvl w:val="0"/>
          <w:numId w:val="3"/>
        </w:numPr>
        <w:tabs>
          <w:tab w:val="left" w:pos="896"/>
        </w:tabs>
        <w:spacing w:line="360" w:lineRule="auto"/>
        <w:rPr>
          <w:rFonts w:ascii="宋体" w:hAnsi="宋体" w:eastAsia="宋体" w:cs="Times New Roman"/>
          <w:sz w:val="24"/>
          <w:szCs w:val="24"/>
        </w:rPr>
      </w:pPr>
      <w:r>
        <w:rPr>
          <w:rFonts w:hint="eastAsia" w:ascii="宋体" w:hAnsi="宋体" w:eastAsia="宋体" w:cs="Times New Roman"/>
          <w:sz w:val="24"/>
          <w:szCs w:val="24"/>
        </w:rPr>
        <w:t>不接受联合体形式的投标，项目所涉及心电图机及相应配套软件系统须为同一生产企业；</w:t>
      </w:r>
    </w:p>
    <w:p>
      <w:pPr>
        <w:numPr>
          <w:ilvl w:val="0"/>
          <w:numId w:val="3"/>
        </w:numPr>
        <w:tabs>
          <w:tab w:val="left" w:pos="896"/>
        </w:tabs>
        <w:spacing w:line="360" w:lineRule="auto"/>
        <w:rPr>
          <w:rFonts w:ascii="宋体" w:hAnsi="宋体" w:eastAsia="宋体" w:cs="Times New Roman"/>
          <w:sz w:val="24"/>
          <w:szCs w:val="24"/>
        </w:rPr>
      </w:pPr>
      <w:r>
        <w:rPr>
          <w:rFonts w:hint="eastAsia" w:ascii="宋体" w:hAnsi="宋体" w:eastAsia="宋体" w:cs="Times New Roman"/>
          <w:sz w:val="24"/>
          <w:szCs w:val="24"/>
        </w:rPr>
        <w:t>如国家法律法规对市场准入有要求的还应符合相关规定。</w:t>
      </w:r>
    </w:p>
    <w:p>
      <w:pPr>
        <w:numPr>
          <w:ilvl w:val="0"/>
          <w:numId w:val="2"/>
        </w:numPr>
        <w:spacing w:line="360" w:lineRule="auto"/>
        <w:ind w:left="490" w:hanging="490"/>
        <w:rPr>
          <w:rFonts w:ascii="宋体" w:hAnsi="宋体" w:eastAsia="宋体" w:cs="宋体"/>
          <w:b/>
          <w:kern w:val="0"/>
          <w:sz w:val="24"/>
          <w:szCs w:val="24"/>
        </w:rPr>
      </w:pPr>
      <w:r>
        <w:rPr>
          <w:rFonts w:hint="eastAsia" w:ascii="宋体" w:hAnsi="宋体" w:eastAsia="宋体" w:cs="宋体"/>
          <w:b/>
          <w:kern w:val="0"/>
          <w:sz w:val="24"/>
          <w:szCs w:val="24"/>
        </w:rPr>
        <w:t>政府采购相关政策执行：</w:t>
      </w:r>
    </w:p>
    <w:p>
      <w:pPr>
        <w:tabs>
          <w:tab w:val="left" w:pos="896"/>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落实</w:t>
      </w:r>
      <w:r>
        <w:rPr>
          <w:rFonts w:hint="eastAsia" w:ascii="宋体" w:hAnsi="宋体" w:eastAsia="宋体" w:cs="Times New Roman"/>
          <w:sz w:val="24"/>
          <w:szCs w:val="24"/>
        </w:rPr>
        <w:t>政府采购强制、优先采购节能产品政策；政府采购优先采购环保产品政策；政府采购促进中小企业发展（监狱企业、残疾人福利性单位视同小微企业）等政策。</w:t>
      </w:r>
    </w:p>
    <w:p>
      <w:pPr>
        <w:tabs>
          <w:tab w:val="left" w:pos="896"/>
        </w:tabs>
        <w:spacing w:line="360" w:lineRule="auto"/>
        <w:ind w:firstLine="480" w:firstLineChars="200"/>
        <w:rPr>
          <w:rFonts w:ascii="宋体" w:hAnsi="宋体" w:eastAsia="宋体" w:cs="Times New Roman"/>
          <w:b/>
          <w:sz w:val="24"/>
          <w:szCs w:val="24"/>
        </w:rPr>
      </w:pPr>
      <w:r>
        <w:rPr>
          <w:rFonts w:hint="eastAsia" w:ascii="宋体" w:hAnsi="宋体" w:eastAsia="宋体" w:cs="Times New Roman"/>
          <w:b/>
          <w:sz w:val="24"/>
          <w:szCs w:val="24"/>
        </w:rPr>
        <w:t>是否专门面向中小企业、监狱企业、残疾人福利性单位：否。</w:t>
      </w:r>
    </w:p>
    <w:p>
      <w:pPr>
        <w:numPr>
          <w:ilvl w:val="0"/>
          <w:numId w:val="2"/>
        </w:numPr>
        <w:spacing w:line="360" w:lineRule="auto"/>
        <w:ind w:left="490" w:hanging="490"/>
        <w:rPr>
          <w:rFonts w:ascii="宋体" w:hAnsi="宋体" w:eastAsia="宋体" w:cs="宋体"/>
          <w:b/>
          <w:kern w:val="0"/>
          <w:sz w:val="24"/>
          <w:szCs w:val="24"/>
        </w:rPr>
      </w:pPr>
      <w:r>
        <w:rPr>
          <w:rFonts w:hint="eastAsia" w:ascii="宋体" w:hAnsi="宋体" w:eastAsia="宋体" w:cs="宋体"/>
          <w:b/>
          <w:kern w:val="0"/>
          <w:sz w:val="24"/>
          <w:szCs w:val="24"/>
          <w:lang w:val="zh-CN"/>
        </w:rPr>
        <w:t>招标文件获取</w:t>
      </w:r>
      <w:r>
        <w:rPr>
          <w:rFonts w:hint="eastAsia" w:ascii="宋体" w:hAnsi="宋体" w:eastAsia="宋体" w:cs="宋体"/>
          <w:b/>
          <w:kern w:val="0"/>
          <w:sz w:val="24"/>
          <w:szCs w:val="24"/>
        </w:rPr>
        <w:t>：</w:t>
      </w:r>
    </w:p>
    <w:p>
      <w:pPr>
        <w:widowControl/>
        <w:adjustRightInd w:val="0"/>
        <w:snapToGrid w:val="0"/>
        <w:spacing w:line="360" w:lineRule="auto"/>
        <w:ind w:firstLine="360" w:firstLineChars="150"/>
        <w:jc w:val="left"/>
        <w:rPr>
          <w:rFonts w:hint="eastAsia" w:ascii="宋体" w:hAnsi="宋体" w:eastAsia="宋体" w:cs="Times New Roman"/>
          <w:sz w:val="24"/>
          <w:szCs w:val="24"/>
        </w:rPr>
      </w:pPr>
      <w:r>
        <w:rPr>
          <w:rFonts w:hint="eastAsia" w:ascii="宋体" w:hAnsi="宋体" w:eastAsia="宋体" w:cs="Times New Roman"/>
          <w:sz w:val="24"/>
          <w:szCs w:val="24"/>
        </w:rPr>
        <w:t>本项目实行网上下载标书，招标文件与本招标公告同时发布（见招标文件下载），凡自愿参加本项目投标者，请于2020年4月27日至2020年5月6日17点30分前点击项目招标公告中的链接免费下载招标文件，并在投标截止时间前办理所有投标手续并同时递交投标</w:t>
      </w:r>
      <w:bookmarkStart w:id="289" w:name="_GoBack"/>
      <w:bookmarkEnd w:id="289"/>
      <w:r>
        <w:rPr>
          <w:rFonts w:hint="eastAsia" w:ascii="宋体" w:hAnsi="宋体" w:eastAsia="宋体" w:cs="Times New Roman"/>
          <w:sz w:val="24"/>
          <w:szCs w:val="24"/>
        </w:rPr>
        <w:t>文件。</w:t>
      </w:r>
    </w:p>
    <w:p>
      <w:pPr>
        <w:widowControl/>
        <w:adjustRightInd w:val="0"/>
        <w:snapToGrid w:val="0"/>
        <w:spacing w:line="360" w:lineRule="auto"/>
        <w:ind w:firstLine="360" w:firstLineChars="150"/>
        <w:jc w:val="left"/>
        <w:rPr>
          <w:rFonts w:ascii="宋体" w:hAnsi="宋体" w:eastAsia="宋体" w:cs="Times New Roman"/>
          <w:sz w:val="24"/>
          <w:szCs w:val="24"/>
        </w:rPr>
      </w:pPr>
      <w:r>
        <w:rPr>
          <w:rFonts w:hint="eastAsia" w:ascii="宋体" w:hAnsi="宋体" w:eastAsia="宋体" w:cs="Times New Roman"/>
          <w:sz w:val="24"/>
          <w:szCs w:val="24"/>
        </w:rPr>
        <w:t>招标文件下载：见附件</w:t>
      </w:r>
    </w:p>
    <w:p>
      <w:pPr>
        <w:numPr>
          <w:ilvl w:val="0"/>
          <w:numId w:val="2"/>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投标信息：</w:t>
      </w:r>
    </w:p>
    <w:p>
      <w:pPr>
        <w:spacing w:line="360" w:lineRule="auto"/>
        <w:ind w:firstLine="470" w:firstLineChars="196"/>
        <w:rPr>
          <w:rFonts w:ascii="宋体" w:hAnsi="宋体" w:eastAsia="宋体" w:cs="宋体"/>
          <w:b/>
          <w:kern w:val="0"/>
          <w:sz w:val="24"/>
          <w:szCs w:val="24"/>
        </w:rPr>
      </w:pPr>
      <w:r>
        <w:rPr>
          <w:rFonts w:hint="eastAsia" w:ascii="宋体" w:hAnsi="宋体" w:eastAsia="宋体" w:cs="宋体"/>
          <w:kern w:val="0"/>
          <w:sz w:val="24"/>
          <w:szCs w:val="24"/>
        </w:rPr>
        <w:t>投标文件递交截止时间：2020年</w:t>
      </w:r>
      <w:r>
        <w:rPr>
          <w:rFonts w:hint="eastAsia" w:ascii="宋体" w:hAnsi="宋体" w:eastAsia="宋体" w:cs="Times New Roman"/>
          <w:sz w:val="24"/>
          <w:szCs w:val="24"/>
        </w:rPr>
        <w:t>5月25</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09:00</w:t>
      </w:r>
      <w:r>
        <w:rPr>
          <w:rFonts w:hint="eastAsia" w:ascii="宋体" w:hAnsi="宋体" w:eastAsia="宋体" w:cs="宋体"/>
          <w:kern w:val="0"/>
          <w:sz w:val="24"/>
          <w:szCs w:val="24"/>
        </w:rPr>
        <w:t>时</w:t>
      </w:r>
      <w:r>
        <w:rPr>
          <w:rFonts w:hint="eastAsia" w:ascii="宋体" w:hAnsi="宋体" w:eastAsia="宋体" w:cs="宋体"/>
          <w:kern w:val="0"/>
          <w:sz w:val="24"/>
          <w:szCs w:val="24"/>
        </w:rPr>
        <w:t>（8时30分开始接收投标文件，拒收逾期送达或者未按招标文件要求密封的投标文件）</w:t>
      </w:r>
    </w:p>
    <w:p>
      <w:pPr>
        <w:widowControl/>
        <w:spacing w:line="360" w:lineRule="auto"/>
        <w:ind w:firstLine="470" w:firstLineChars="196"/>
        <w:jc w:val="left"/>
        <w:rPr>
          <w:rFonts w:ascii="宋体" w:hAnsi="宋体" w:eastAsia="宋体" w:cs="宋体"/>
          <w:kern w:val="0"/>
          <w:sz w:val="24"/>
          <w:szCs w:val="24"/>
        </w:rPr>
      </w:pPr>
      <w:r>
        <w:rPr>
          <w:rFonts w:hint="eastAsia" w:ascii="宋体" w:hAnsi="宋体" w:eastAsia="宋体" w:cs="宋体"/>
          <w:kern w:val="0"/>
          <w:sz w:val="24"/>
          <w:szCs w:val="24"/>
        </w:rPr>
        <w:t>投标文件递交地点：阳新县公共资源交易中心二楼开标大厅（阳新县熊家垴安置小区东侧）</w:t>
      </w:r>
    </w:p>
    <w:p>
      <w:pPr>
        <w:widowControl/>
        <w:spacing w:line="357" w:lineRule="atLeast"/>
        <w:ind w:firstLine="480" w:firstLineChars="200"/>
        <w:textAlignment w:val="baseline"/>
        <w:rPr>
          <w:rFonts w:ascii="宋体" w:hAnsi="宋体" w:eastAsia="宋体" w:cs="宋体"/>
          <w:kern w:val="0"/>
          <w:sz w:val="24"/>
          <w:szCs w:val="24"/>
        </w:rPr>
      </w:pPr>
      <w:r>
        <w:rPr>
          <w:rFonts w:hint="eastAsia" w:ascii="Times New Roman" w:hAnsi="Times New Roman" w:eastAsia="宋体" w:cs="宋体"/>
          <w:sz w:val="24"/>
          <w:szCs w:val="24"/>
        </w:rPr>
        <w:t>届时请参加投标的授权代表携带有效身份证、法人身份证明书或法人委托授权书（原件）出席开标大会，否则视同认可开标结果。</w:t>
      </w:r>
    </w:p>
    <w:p>
      <w:pPr>
        <w:numPr>
          <w:ilvl w:val="0"/>
          <w:numId w:val="2"/>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开标信息：</w:t>
      </w:r>
    </w:p>
    <w:p>
      <w:pPr>
        <w:spacing w:line="360" w:lineRule="auto"/>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开标时间： 2020</w:t>
      </w:r>
      <w:r>
        <w:rPr>
          <w:rFonts w:hint="eastAsia" w:ascii="宋体" w:hAnsi="宋体" w:eastAsia="宋体" w:cs="Times New Roman"/>
          <w:sz w:val="24"/>
          <w:szCs w:val="24"/>
        </w:rPr>
        <w:t>年5月25</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09:00</w:t>
      </w:r>
      <w:r>
        <w:rPr>
          <w:rFonts w:hint="eastAsia" w:ascii="宋体" w:hAnsi="宋体" w:eastAsia="宋体" w:cs="宋体"/>
          <w:kern w:val="0"/>
          <w:sz w:val="24"/>
          <w:szCs w:val="24"/>
        </w:rPr>
        <w:t>时</w:t>
      </w:r>
    </w:p>
    <w:p>
      <w:pPr>
        <w:spacing w:line="360" w:lineRule="auto"/>
        <w:ind w:firstLine="470" w:firstLineChars="196"/>
        <w:rPr>
          <w:rFonts w:ascii="宋体" w:hAnsi="宋体" w:eastAsia="宋体" w:cs="宋体"/>
          <w:kern w:val="0"/>
          <w:sz w:val="24"/>
          <w:szCs w:val="24"/>
        </w:rPr>
      </w:pPr>
      <w:r>
        <w:rPr>
          <w:rFonts w:hint="eastAsia" w:ascii="宋体" w:hAnsi="宋体" w:eastAsia="宋体" w:cs="宋体"/>
          <w:kern w:val="0"/>
          <w:sz w:val="24"/>
          <w:szCs w:val="24"/>
        </w:rPr>
        <w:t>开标地点：阳新县公共资源交易中心楼开标大厅（阳新县熊家垴安置小区东侧）</w:t>
      </w:r>
    </w:p>
    <w:p>
      <w:pPr>
        <w:numPr>
          <w:ilvl w:val="0"/>
          <w:numId w:val="2"/>
        </w:numPr>
        <w:spacing w:line="360" w:lineRule="auto"/>
        <w:ind w:left="728" w:hanging="728"/>
        <w:rPr>
          <w:rFonts w:ascii="宋体" w:hAnsi="宋体" w:eastAsia="宋体" w:cs="Times New Roman"/>
          <w:sz w:val="24"/>
          <w:szCs w:val="24"/>
        </w:rPr>
      </w:pPr>
      <w:r>
        <w:rPr>
          <w:rFonts w:hint="eastAsia" w:ascii="宋体" w:hAnsi="宋体" w:eastAsia="宋体" w:cs="宋体"/>
          <w:b/>
          <w:kern w:val="0"/>
          <w:sz w:val="24"/>
          <w:szCs w:val="24"/>
          <w:lang w:val="zh-CN"/>
        </w:rPr>
        <w:t>公告期限：</w:t>
      </w:r>
      <w:r>
        <w:rPr>
          <w:rFonts w:hint="eastAsia" w:ascii="宋体" w:hAnsi="宋体" w:eastAsia="宋体" w:cs="Times New Roman"/>
          <w:sz w:val="24"/>
          <w:szCs w:val="24"/>
        </w:rPr>
        <w:t>自公告发布之日起5个工作日。</w:t>
      </w:r>
    </w:p>
    <w:p>
      <w:pPr>
        <w:numPr>
          <w:ilvl w:val="0"/>
          <w:numId w:val="2"/>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质疑：</w:t>
      </w:r>
    </w:p>
    <w:p>
      <w:pPr>
        <w:spacing w:line="360" w:lineRule="auto"/>
        <w:ind w:firstLine="480" w:firstLineChars="200"/>
        <w:rPr>
          <w:rFonts w:ascii="宋体" w:hAnsi="宋体" w:eastAsia="宋体" w:cs="宋体"/>
          <w:b/>
          <w:kern w:val="0"/>
          <w:sz w:val="24"/>
          <w:szCs w:val="24"/>
          <w:lang w:val="zh-CN"/>
        </w:rPr>
      </w:pPr>
      <w:r>
        <w:rPr>
          <w:rFonts w:hint="eastAsia" w:ascii="宋体" w:hAnsi="宋体" w:eastAsia="宋体" w:cs="宋体"/>
          <w:kern w:val="0"/>
          <w:sz w:val="24"/>
          <w:szCs w:val="24"/>
          <w:lang w:val="zh-CN"/>
        </w:rPr>
        <w:t>投标人认为招标文件、招标过程和中标结果使自己的权益受到损害的，可以在知道或者应知其权益受到损害之日起7个工作日内，向提出</w:t>
      </w:r>
      <w:r>
        <w:rPr>
          <w:rFonts w:hint="eastAsia" w:cs="宋体"/>
          <w:kern w:val="0"/>
          <w:sz w:val="24"/>
          <w:szCs w:val="24"/>
          <w:lang w:val="zh-CN"/>
        </w:rPr>
        <w:t>书面</w:t>
      </w:r>
      <w:r>
        <w:rPr>
          <w:rFonts w:hint="eastAsia" w:ascii="宋体" w:hAnsi="宋体" w:eastAsia="宋体" w:cs="宋体"/>
          <w:kern w:val="0"/>
          <w:sz w:val="24"/>
          <w:szCs w:val="24"/>
          <w:lang w:val="zh-CN"/>
        </w:rPr>
        <w:t>质疑。</w:t>
      </w:r>
      <w:r>
        <w:rPr>
          <w:rFonts w:hint="eastAsia" w:ascii="宋体" w:hAnsi="宋体" w:eastAsia="宋体" w:cs="宋体"/>
          <w:kern w:val="0"/>
          <w:sz w:val="24"/>
          <w:szCs w:val="24"/>
        </w:rPr>
        <w:t>质疑时请提交书面质疑函一份（法人代表签字、加盖单位公章。具体要求详见本招标文件“第二章 投标人须知”中的第八条之规定），并附相关证据材料。</w:t>
      </w:r>
    </w:p>
    <w:p>
      <w:pPr>
        <w:numPr>
          <w:ilvl w:val="0"/>
          <w:numId w:val="2"/>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联系方式：</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采购机构：</w:t>
      </w:r>
      <w:r>
        <w:rPr>
          <w:rFonts w:hint="eastAsia" w:ascii="宋体" w:hAnsi="宋体" w:eastAsia="宋体" w:cs="宋体"/>
          <w:bCs/>
          <w:kern w:val="0"/>
          <w:sz w:val="24"/>
          <w:szCs w:val="24"/>
          <w:u w:val="single"/>
        </w:rPr>
        <w:t>湖北省成套招标股份有限公司</w:t>
      </w:r>
      <w:r>
        <w:rPr>
          <w:rFonts w:hint="eastAsia" w:ascii="宋体" w:hAnsi="宋体" w:eastAsia="宋体" w:cs="Times New Roman"/>
          <w:b/>
          <w:sz w:val="24"/>
          <w:szCs w:val="24"/>
          <w:u w:val="single"/>
        </w:rPr>
        <w:t xml:space="preserve">        </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联系人：</w:t>
      </w:r>
      <w:r>
        <w:rPr>
          <w:rFonts w:hint="eastAsia" w:ascii="宋体" w:hAnsi="宋体" w:eastAsia="宋体" w:cs="宋体"/>
          <w:bCs/>
          <w:kern w:val="0"/>
          <w:sz w:val="24"/>
          <w:szCs w:val="24"/>
          <w:u w:val="single"/>
        </w:rPr>
        <w:t>涂宏琳、刘天、宋佳</w:t>
      </w:r>
      <w:r>
        <w:rPr>
          <w:rFonts w:hint="eastAsia" w:ascii="宋体" w:hAnsi="宋体" w:eastAsia="宋体" w:cs="Times New Roman"/>
          <w:b/>
          <w:sz w:val="24"/>
          <w:szCs w:val="24"/>
          <w:u w:val="single"/>
        </w:rPr>
        <w:t xml:space="preserve">                  </w:t>
      </w:r>
      <w:r>
        <w:rPr>
          <w:rFonts w:hint="eastAsia" w:ascii="宋体" w:hAnsi="宋体" w:eastAsia="宋体" w:cs="宋体"/>
          <w:bCs/>
          <w:kern w:val="0"/>
          <w:sz w:val="24"/>
          <w:szCs w:val="24"/>
        </w:rPr>
        <w:t xml:space="preserve">    </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联系电话：</w:t>
      </w:r>
      <w:r>
        <w:rPr>
          <w:rFonts w:hint="eastAsia" w:ascii="宋体" w:hAnsi="宋体" w:eastAsia="宋体" w:cs="宋体"/>
          <w:bCs/>
          <w:kern w:val="0"/>
          <w:sz w:val="24"/>
          <w:szCs w:val="24"/>
          <w:u w:val="single"/>
        </w:rPr>
        <w:t>17798348006</w:t>
      </w:r>
      <w:r>
        <w:rPr>
          <w:rFonts w:hint="eastAsia" w:ascii="宋体" w:hAnsi="宋体" w:eastAsia="宋体" w:cs="Times New Roman"/>
          <w:b/>
          <w:sz w:val="24"/>
          <w:szCs w:val="24"/>
          <w:u w:val="single"/>
        </w:rPr>
        <w:t xml:space="preserve">                       </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地址：</w:t>
      </w:r>
      <w:r>
        <w:rPr>
          <w:rFonts w:hint="eastAsia" w:ascii="宋体" w:hAnsi="宋体" w:eastAsia="宋体" w:cs="Times New Roman"/>
          <w:sz w:val="24"/>
          <w:szCs w:val="24"/>
          <w:u w:val="single"/>
        </w:rPr>
        <w:t xml:space="preserve">湖北省武汉市武昌区东湖西路特2号平安财富中心B座7-10楼  </w:t>
      </w:r>
      <w:r>
        <w:rPr>
          <w:rFonts w:hint="eastAsia" w:ascii="宋体" w:hAnsi="宋体" w:eastAsia="宋体" w:cs="Times New Roman"/>
          <w:b/>
          <w:sz w:val="24"/>
          <w:szCs w:val="24"/>
          <w:u w:val="single"/>
        </w:rPr>
        <w:t xml:space="preserve">     </w:t>
      </w:r>
    </w:p>
    <w:p>
      <w:pPr>
        <w:widowControl/>
        <w:spacing w:line="360" w:lineRule="auto"/>
        <w:ind w:firstLine="480"/>
        <w:jc w:val="left"/>
        <w:rPr>
          <w:rFonts w:ascii="宋体" w:hAnsi="宋体" w:eastAsia="宋体" w:cs="宋体"/>
          <w:bCs/>
          <w:kern w:val="0"/>
          <w:sz w:val="24"/>
          <w:szCs w:val="24"/>
        </w:rPr>
      </w:pP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采购人：</w:t>
      </w:r>
      <w:r>
        <w:rPr>
          <w:rFonts w:hint="eastAsia" w:ascii="宋体" w:hAnsi="宋体" w:eastAsia="宋体" w:cs="宋体"/>
          <w:bCs/>
          <w:kern w:val="0"/>
          <w:sz w:val="24"/>
          <w:szCs w:val="24"/>
          <w:u w:val="single"/>
        </w:rPr>
        <w:t>阳新县人民医院</w:t>
      </w:r>
      <w:r>
        <w:rPr>
          <w:rFonts w:hint="eastAsia" w:ascii="宋体" w:hAnsi="宋体" w:eastAsia="宋体" w:cs="Times New Roman"/>
          <w:b/>
          <w:sz w:val="24"/>
          <w:szCs w:val="24"/>
          <w:u w:val="single"/>
        </w:rPr>
        <w:t xml:space="preserve">        </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联系人：</w:t>
      </w:r>
      <w:r>
        <w:rPr>
          <w:rFonts w:hint="eastAsia" w:ascii="宋体" w:hAnsi="宋体" w:eastAsia="宋体" w:cs="Times New Roman"/>
          <w:sz w:val="24"/>
          <w:szCs w:val="24"/>
          <w:u w:val="single"/>
        </w:rPr>
        <w:t xml:space="preserve">马女士 </w:t>
      </w:r>
      <w:r>
        <w:rPr>
          <w:rFonts w:hint="eastAsia" w:ascii="宋体" w:hAnsi="宋体" w:eastAsia="宋体" w:cs="Times New Roman"/>
          <w:b/>
          <w:sz w:val="24"/>
          <w:szCs w:val="24"/>
          <w:u w:val="single"/>
        </w:rPr>
        <w:t xml:space="preserve">               </w:t>
      </w:r>
      <w:r>
        <w:rPr>
          <w:rFonts w:hint="eastAsia" w:ascii="宋体" w:hAnsi="宋体" w:eastAsia="宋体" w:cs="宋体"/>
          <w:bCs/>
          <w:kern w:val="0"/>
          <w:sz w:val="24"/>
          <w:szCs w:val="24"/>
        </w:rPr>
        <w:t xml:space="preserve">    </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联系电话：</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0714-7314390</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u w:val="single"/>
        </w:rPr>
        <w:t xml:space="preserve">      </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地址：</w:t>
      </w:r>
      <w:r>
        <w:rPr>
          <w:rFonts w:hint="eastAsia" w:ascii="宋体" w:hAnsi="宋体"/>
          <w:sz w:val="22"/>
          <w:szCs w:val="21"/>
          <w:u w:val="single"/>
          <w:lang w:val="zh-CN"/>
        </w:rPr>
        <w:t>湖北省阳新县兴国镇儒学路81号</w:t>
      </w:r>
      <w:r>
        <w:rPr>
          <w:rFonts w:hint="eastAsia" w:ascii="宋体" w:hAnsi="宋体" w:eastAsia="宋体" w:cs="Times New Roman"/>
          <w:b/>
          <w:sz w:val="28"/>
          <w:szCs w:val="24"/>
          <w:u w:val="single"/>
        </w:rPr>
        <w:t xml:space="preserve"> </w:t>
      </w:r>
      <w:r>
        <w:rPr>
          <w:rFonts w:hint="eastAsia" w:ascii="宋体" w:hAnsi="宋体" w:eastAsia="宋体" w:cs="Times New Roman"/>
          <w:b/>
          <w:sz w:val="24"/>
          <w:szCs w:val="24"/>
          <w:u w:val="single"/>
        </w:rPr>
        <w:t xml:space="preserve">      </w:t>
      </w:r>
    </w:p>
    <w:p>
      <w:pPr>
        <w:widowControl/>
        <w:spacing w:line="360" w:lineRule="auto"/>
        <w:jc w:val="left"/>
        <w:rPr>
          <w:rFonts w:ascii="宋体" w:hAnsi="宋体" w:eastAsia="宋体" w:cs="Times New Roman"/>
          <w:b/>
          <w:sz w:val="28"/>
          <w:szCs w:val="28"/>
          <w:lang w:val="zh-CN"/>
        </w:rPr>
      </w:pPr>
      <w:r>
        <w:rPr>
          <w:rFonts w:hint="eastAsia" w:ascii="宋体" w:hAnsi="宋体" w:eastAsia="宋体" w:cs="Times New Roman"/>
          <w:b/>
          <w:sz w:val="28"/>
          <w:szCs w:val="28"/>
          <w:lang w:val="zh-CN"/>
        </w:rPr>
        <w:t xml:space="preserve">                                          2020年 4月26 日</w:t>
      </w:r>
    </w:p>
    <w:p>
      <w:pPr>
        <w:widowControl/>
        <w:spacing w:line="360" w:lineRule="auto"/>
        <w:jc w:val="left"/>
        <w:rPr>
          <w:rFonts w:ascii="宋体" w:hAnsi="宋体" w:eastAsia="宋体" w:cs="Times New Roman"/>
          <w:b/>
          <w:sz w:val="28"/>
          <w:szCs w:val="28"/>
          <w:lang w:val="zh-CN"/>
        </w:rPr>
      </w:pPr>
    </w:p>
    <w:p>
      <w:pPr>
        <w:widowControl/>
        <w:spacing w:line="360" w:lineRule="auto"/>
        <w:jc w:val="left"/>
      </w:pPr>
    </w:p>
    <w:p>
      <w:pPr>
        <w:pStyle w:val="2"/>
        <w:numPr>
          <w:ilvl w:val="0"/>
          <w:numId w:val="1"/>
        </w:numPr>
        <w:spacing w:before="240" w:after="120"/>
        <w:ind w:left="883" w:hanging="880" w:hangingChars="200"/>
        <w:jc w:val="center"/>
        <w:rPr>
          <w:rFonts w:ascii="黑体" w:hAnsi="黑体" w:eastAsia="黑体"/>
        </w:rPr>
      </w:pPr>
      <w:bookmarkStart w:id="1" w:name="_Toc495861518"/>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495861519"/>
      <w:bookmarkStart w:id="3" w:name="_Toc494561937"/>
      <w:r>
        <w:rPr>
          <w:rFonts w:cs="Times New Roman" w:asciiTheme="majorEastAsia" w:hAnsiTheme="majorEastAsia" w:eastAsiaTheme="majorEastAsia"/>
          <w:b/>
          <w:bCs/>
          <w:sz w:val="32"/>
          <w:szCs w:val="32"/>
          <w:lang w:val="zh-CN"/>
        </w:rPr>
        <w:t>投标须知前附表</w:t>
      </w:r>
      <w:bookmarkEnd w:id="2"/>
      <w:bookmarkEnd w:id="3"/>
    </w:p>
    <w:tbl>
      <w:tblPr>
        <w:tblStyle w:val="16"/>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l31-2020CG-023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远程心电诊断中心建设项目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kern w:val="0"/>
                <w:sz w:val="24"/>
                <w:szCs w:val="24"/>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sz w:val="24"/>
              </w:rPr>
              <w:t>阳新县人民医院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保证金</w:t>
            </w:r>
            <w:r>
              <w:rPr>
                <w:rFonts w:hint="eastAsia" w:ascii="Times New Roman" w:hAnsi="宋体" w:eastAsia="宋体" w:cs="Times New Roman"/>
                <w:sz w:val="24"/>
                <w:szCs w:val="24"/>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正本</w:t>
            </w:r>
            <w:r>
              <w:rPr>
                <w:rFonts w:hint="eastAsia" w:ascii="Times New Roman" w:hAnsi="Times New Roman" w:eastAsia="宋体" w:cs="Times New Roman"/>
                <w:sz w:val="24"/>
                <w:szCs w:val="24"/>
              </w:rPr>
              <w:t>一</w:t>
            </w:r>
            <w:r>
              <w:rPr>
                <w:rFonts w:ascii="Times New Roman" w:hAnsi="Times New Roman" w:eastAsia="宋体" w:cs="Times New Roman"/>
                <w:sz w:val="24"/>
                <w:szCs w:val="24"/>
              </w:rPr>
              <w:t>份</w:t>
            </w:r>
            <w:r>
              <w:rPr>
                <w:rFonts w:hint="eastAsia" w:ascii="Times New Roman" w:hAnsi="Times New Roman" w:eastAsia="宋体" w:cs="Times New Roman"/>
                <w:sz w:val="24"/>
                <w:szCs w:val="24"/>
              </w:rPr>
              <w:t>，</w:t>
            </w:r>
            <w:r>
              <w:rPr>
                <w:rFonts w:ascii="Times New Roman" w:hAnsi="Times New Roman" w:eastAsia="宋体" w:cs="Times New Roman"/>
                <w:sz w:val="24"/>
                <w:szCs w:val="24"/>
              </w:rPr>
              <w:t>副本</w:t>
            </w:r>
            <w:r>
              <w:rPr>
                <w:rFonts w:hint="eastAsia" w:ascii="Times New Roman" w:hAnsi="Times New Roman" w:eastAsia="宋体" w:cs="Times New Roman"/>
                <w:sz w:val="24"/>
                <w:szCs w:val="24"/>
              </w:rPr>
              <w:t>四</w:t>
            </w:r>
            <w:r>
              <w:rPr>
                <w:rFonts w:ascii="Times New Roman" w:hAnsi="Times New Roman" w:eastAsia="宋体" w:cs="Times New Roman"/>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宋体" w:hAnsi="宋体" w:eastAsia="宋体" w:cs="宋体"/>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不允许</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详见第三章“</w:t>
            </w:r>
            <w:r>
              <w:rPr>
                <w:rFonts w:hint="eastAsia" w:ascii="宋体" w:hAnsi="宋体" w:eastAsia="宋体" w:cs="Times New Roman"/>
                <w:sz w:val="24"/>
                <w:szCs w:val="24"/>
              </w:rPr>
              <w:t>项目技术、服务及商务要求</w:t>
            </w:r>
            <w:r>
              <w:rPr>
                <w:rFonts w:hint="eastAsia" w:ascii="Times New Roman" w:hAnsi="Times New Roman" w:eastAsia="宋体" w:cs="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不提交</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详见第三章“</w:t>
            </w:r>
            <w:r>
              <w:rPr>
                <w:rFonts w:hint="eastAsia" w:ascii="宋体" w:hAnsi="宋体" w:eastAsia="宋体" w:cs="Times New Roman"/>
                <w:sz w:val="24"/>
                <w:szCs w:val="24"/>
              </w:rPr>
              <w:t>项目技术、服务及商务要求</w:t>
            </w:r>
            <w:r>
              <w:rPr>
                <w:rFonts w:hint="eastAsia" w:ascii="Times New Roman" w:hAnsi="Times New Roman" w:eastAsia="宋体" w:cs="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sz w:val="24"/>
                <w:szCs w:val="24"/>
              </w:rPr>
              <w:t>现场考察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sz w:val="24"/>
                <w:szCs w:val="24"/>
              </w:rPr>
            </w:pPr>
            <w:r>
              <w:rPr>
                <w:rFonts w:hint="eastAsia" w:ascii="Times New Roman" w:hAnsi="Times New Roman" w:eastAsia="宋体" w:cs="Times New Roman"/>
                <w:sz w:val="24"/>
                <w:szCs w:val="24"/>
              </w:rPr>
              <w:t>不组织</w:t>
            </w:r>
          </w:p>
          <w:p>
            <w:pPr>
              <w:ind w:right="-105" w:rightChars="-50"/>
              <w:rPr>
                <w:rFonts w:ascii="Times New Roman" w:hAnsi="Times New Roman" w:eastAsia="宋体" w:cs="Times New Roman"/>
                <w:sz w:val="24"/>
                <w:szCs w:val="24"/>
              </w:rPr>
            </w:pPr>
            <w:r>
              <w:rPr>
                <w:rFonts w:hint="eastAsia" w:ascii="Times New Roman" w:hAnsi="Times New Roman" w:eastAsia="宋体" w:cs="Times New Roman"/>
                <w:sz w:val="24"/>
                <w:szCs w:val="24"/>
              </w:rPr>
              <w:t>详见第三章“</w:t>
            </w:r>
            <w:r>
              <w:rPr>
                <w:rFonts w:hint="eastAsia" w:ascii="宋体" w:hAnsi="宋体" w:eastAsia="宋体" w:cs="Times New Roman"/>
                <w:sz w:val="24"/>
                <w:szCs w:val="24"/>
              </w:rPr>
              <w:t>项目技术、服务及商务要求</w:t>
            </w:r>
            <w:r>
              <w:rPr>
                <w:rFonts w:hint="eastAsia" w:ascii="Times New Roman" w:hAnsi="Times New Roman" w:eastAsia="宋体" w:cs="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不允许</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详见第三章“</w:t>
            </w:r>
            <w:r>
              <w:rPr>
                <w:rFonts w:hint="eastAsia" w:ascii="宋体" w:hAnsi="宋体" w:eastAsia="宋体" w:cs="Times New Roman"/>
                <w:sz w:val="24"/>
                <w:szCs w:val="24"/>
              </w:rPr>
              <w:t>项目技术、服务及商务要求</w:t>
            </w:r>
            <w:r>
              <w:rPr>
                <w:rFonts w:hint="eastAsia" w:ascii="Times New Roman" w:hAnsi="Times New Roman" w:eastAsia="宋体" w:cs="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综合评分法</w:t>
            </w:r>
          </w:p>
          <w:p>
            <w:pPr>
              <w:rPr>
                <w:rFonts w:ascii="Times New Roman" w:hAnsi="Times New Roman" w:eastAsia="宋体" w:cs="Times New Roman"/>
                <w:sz w:val="24"/>
                <w:szCs w:val="24"/>
                <w:lang w:val="zh-CN"/>
              </w:rPr>
            </w:pPr>
            <w:r>
              <w:rPr>
                <w:rFonts w:hint="eastAsia" w:ascii="Times New Roman" w:hAnsi="Times New Roman" w:eastAsia="宋体" w:cs="Times New Roman"/>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详见本章“质疑及提交”要求</w:t>
            </w:r>
          </w:p>
        </w:tc>
      </w:tr>
    </w:tbl>
    <w:p>
      <w:pPr>
        <w:keepNext/>
        <w:keepLines/>
        <w:numPr>
          <w:ilvl w:val="0"/>
          <w:numId w:val="5"/>
        </w:numPr>
        <w:spacing w:before="100" w:beforeAutospacing="1" w:after="100" w:afterAutospacing="1" w:line="360" w:lineRule="auto"/>
        <w:ind w:left="482" w:hanging="480"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5" w:name="_Toc495861520"/>
      <w:r>
        <w:rPr>
          <w:rFonts w:hint="eastAsia" w:cs="Times New Roman" w:asciiTheme="majorEastAsia" w:hAnsiTheme="majorEastAsia"/>
          <w:bCs w:val="0"/>
          <w:lang w:val="zh-CN"/>
        </w:rPr>
        <w:t>说  明</w:t>
      </w:r>
      <w:bookmarkEnd w:id="4"/>
      <w:bookmarkEnd w:id="5"/>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sz w:val="24"/>
          <w:szCs w:val="24"/>
          <w:lang w:val="zh-CN"/>
        </w:rPr>
        <w:t>阳新县政府采购办公室、阳新县公共资源交易监督管理局。</w:t>
      </w:r>
    </w:p>
    <w:p>
      <w:pPr>
        <w:numPr>
          <w:ilvl w:val="0"/>
          <w:numId w:val="8"/>
        </w:numPr>
        <w:spacing w:line="360" w:lineRule="auto"/>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“采购代理机构”是指：湖北省成套招标股份有限公司</w:t>
      </w:r>
      <w:r>
        <w:rPr>
          <w:rFonts w:hint="eastAsia" w:cs="Times New Roman" w:asciiTheme="minorEastAsia" w:hAnsiTheme="minorEastAsia"/>
          <w:sz w:val="24"/>
          <w:szCs w:val="24"/>
          <w:lang w:val="zh-CN"/>
        </w:rPr>
        <w:t>。</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8"/>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10"/>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10"/>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9"/>
        </w:numPr>
        <w:spacing w:line="360" w:lineRule="auto"/>
        <w:ind w:left="476" w:hanging="476"/>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“工程”是指</w:t>
      </w:r>
      <w:r>
        <w:rPr>
          <w:rFonts w:hint="eastAsia" w:cs="Times New Roman" w:asciiTheme="minorEastAsia" w:hAnsiTheme="minorEastAsia"/>
          <w:sz w:val="24"/>
          <w:szCs w:val="24"/>
          <w:lang w:val="zh-CN"/>
        </w:rPr>
        <w:t>：与建筑物和构筑物的新建、改建、扩建及其相关的装修、拆除、修缮无关的工程。</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“服务”是指：</w:t>
      </w:r>
      <w:r>
        <w:rPr>
          <w:rFonts w:hint="eastAsia" w:cs="Times New Roman" w:asciiTheme="minorEastAsia" w:hAnsiTheme="minorEastAsia"/>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9"/>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11"/>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36"/>
        <w:numPr>
          <w:ilvl w:val="0"/>
          <w:numId w:val="11"/>
        </w:numPr>
        <w:adjustRightInd w:val="0"/>
        <w:snapToGrid w:val="0"/>
        <w:spacing w:line="300" w:lineRule="auto"/>
        <w:ind w:firstLineChars="0"/>
        <w:rPr>
          <w:rFonts w:ascii="宋体" w:hAnsi="宋体"/>
          <w:bCs/>
          <w:sz w:val="24"/>
          <w:szCs w:val="24"/>
        </w:rPr>
      </w:pPr>
      <w:r>
        <w:rPr>
          <w:rFonts w:hint="eastAsia" w:ascii="宋体" w:hAnsi="宋体"/>
          <w:sz w:val="24"/>
          <w:szCs w:val="24"/>
        </w:rPr>
        <w:t>采购代理服务费</w:t>
      </w:r>
    </w:p>
    <w:p>
      <w:pPr>
        <w:pStyle w:val="36"/>
        <w:ind w:left="420" w:firstLine="0" w:firstLineChars="0"/>
        <w:rPr>
          <w:rFonts w:ascii="宋体" w:hAnsi="宋体"/>
          <w:b/>
          <w:sz w:val="24"/>
          <w:szCs w:val="24"/>
        </w:rPr>
      </w:pPr>
      <w:r>
        <w:rPr>
          <w:rFonts w:hint="eastAsia" w:ascii="宋体" w:hAnsi="宋体"/>
          <w:b/>
          <w:sz w:val="24"/>
          <w:szCs w:val="24"/>
        </w:rPr>
        <w:t>经过采购代理机构与采购人协议，规定由中标单位支付。采购代理服务费收费标准如下：</w:t>
      </w:r>
    </w:p>
    <w:p>
      <w:pPr>
        <w:pStyle w:val="36"/>
        <w:ind w:left="420" w:firstLine="0" w:firstLineChars="0"/>
        <w:rPr>
          <w:rFonts w:ascii="宋体" w:hAnsi="宋体"/>
          <w:b/>
          <w:sz w:val="24"/>
          <w:szCs w:val="24"/>
        </w:rPr>
      </w:pPr>
    </w:p>
    <w:p>
      <w:pPr>
        <w:pStyle w:val="36"/>
        <w:ind w:left="420" w:firstLine="0" w:firstLineChars="0"/>
        <w:rPr>
          <w:rFonts w:ascii="宋体" w:hAnsi="宋体"/>
          <w:sz w:val="24"/>
          <w:szCs w:val="24"/>
        </w:rPr>
      </w:pPr>
    </w:p>
    <w:tbl>
      <w:tblPr>
        <w:tblStyle w:val="16"/>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410970" cy="869950"/>
                      <wp:effectExtent l="5715" t="6350" r="12065" b="9525"/>
                      <wp:wrapNone/>
                      <wp:docPr id="3" name="Line 16"/>
                      <wp:cNvGraphicFramePr/>
                      <a:graphic xmlns:a="http://schemas.openxmlformats.org/drawingml/2006/main">
                        <a:graphicData uri="http://schemas.microsoft.com/office/word/2010/wordprocessingShape">
                          <wps:wsp>
                            <wps:cNvCnPr>
                              <a:cxnSpLocks noChangeShapeType="1"/>
                            </wps:cNvCnPr>
                            <wps:spPr bwMode="auto">
                              <a:xfrm flipH="1" flipV="1">
                                <a:off x="0" y="0"/>
                                <a:ext cx="1410970" cy="869950"/>
                              </a:xfrm>
                              <a:prstGeom prst="line">
                                <a:avLst/>
                              </a:prstGeom>
                              <a:noFill/>
                              <a:ln w="9525">
                                <a:solidFill>
                                  <a:srgbClr val="000000"/>
                                </a:solidFill>
                                <a:round/>
                              </a:ln>
                            </wps:spPr>
                            <wps:bodyPr/>
                          </wps:wsp>
                        </a:graphicData>
                      </a:graphic>
                    </wp:anchor>
                  </w:drawing>
                </mc:Choice>
                <mc:Fallback>
                  <w:pict>
                    <v:line id="Line 16" o:spid="_x0000_s1026" o:spt="20" style="position:absolute;left:0pt;flip:x y;margin-left:-1.05pt;margin-top:8pt;height:68.5pt;width:111.1pt;z-index:251661312;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BGc6zRAAAACQEAAA8AAAAAAAAAAQAgAAAAIgAAAGRycy9kb3ducmV2LnhtbFBLAQIU&#10;ABQAAAAIAIdO4kCCP8wbwQEAAGsDAAAOAAAAAAAAAAEAIAAAACABAABkcnMvZTJvRG9jLnhtbFBL&#10;BQYAAAAABgAGAFkBAABTBQ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97025" cy="421005"/>
                      <wp:effectExtent l="10795" t="6985" r="11430" b="10160"/>
                      <wp:wrapNone/>
                      <wp:docPr id="2" name="Line 17"/>
                      <wp:cNvGraphicFramePr/>
                      <a:graphic xmlns:a="http://schemas.openxmlformats.org/drawingml/2006/main">
                        <a:graphicData uri="http://schemas.microsoft.com/office/word/2010/wordprocessingShape">
                          <wps:wsp>
                            <wps:cNvCnPr>
                              <a:cxnSpLocks noChangeShapeType="1"/>
                            </wps:cNvCnPr>
                            <wps:spPr bwMode="auto">
                              <a:xfrm flipH="1" flipV="1">
                                <a:off x="0" y="0"/>
                                <a:ext cx="1597025" cy="421005"/>
                              </a:xfrm>
                              <a:prstGeom prst="line">
                                <a:avLst/>
                              </a:prstGeom>
                              <a:noFill/>
                              <a:ln w="9525">
                                <a:solidFill>
                                  <a:srgbClr val="000000"/>
                                </a:solidFill>
                                <a:round/>
                              </a:ln>
                            </wps:spPr>
                            <wps:bodyPr/>
                          </wps:wsp>
                        </a:graphicData>
                      </a:graphic>
                    </wp:anchor>
                  </w:drawing>
                </mc:Choice>
                <mc:Fallback>
                  <w:pict>
                    <v:line id="Line 17" o:spid="_x0000_s1026" o:spt="20" style="position:absolute;left:0pt;flip:x y;margin-left:-5.15pt;margin-top:4.3pt;height:33.15pt;width:125.75pt;z-index:251662336;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4uAobVAAAACAEAAA8AAAAAAAAAAQAgAAAAIgAAAGRycy9kb3ducmV2LnhtbFBLAQIU&#10;ABQAAAAIAIdO4kA0xDYWvQEAAGsDAAAOAAAAAAAAAAEAIAAAACQBAABkcnMvZTJvRG9jLnhtbFBL&#10;BQYAAAAABgAGAFkBAABTBQ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9525" t="12700" r="8890" b="6350"/>
                      <wp:wrapNone/>
                      <wp:docPr id="1" name="Line 15"/>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rkdN+1QAAAAkB&#10;AAAPAAAAAAAAAAEAIAAAACIAAABkcnMvZG93bnJldi54bWxQSwECFAAUAAAACACHTuJAXl7GWawB&#10;AABOAwAADgAAAAAAAAABACAAAAAkAQAAZHJzL2Uyb0RvYy54bWxQSwUGAAAAAAYABgBZAQAAQgUA&#10;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1.1%</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36"/>
        <w:adjustRightInd w:val="0"/>
        <w:snapToGrid w:val="0"/>
        <w:spacing w:line="300" w:lineRule="auto"/>
        <w:ind w:left="420" w:firstLine="0" w:firstLineChars="0"/>
        <w:rPr>
          <w:rFonts w:ascii="宋体" w:hAnsi="宋体"/>
          <w:sz w:val="24"/>
          <w:szCs w:val="24"/>
        </w:rPr>
      </w:pP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6" w:name="_Toc272247695"/>
      <w:bookmarkStart w:id="7" w:name="_Toc278891592"/>
      <w:bookmarkStart w:id="8" w:name="_Toc495861521"/>
      <w:bookmarkStart w:id="9" w:name="_Toc494561939"/>
      <w:r>
        <w:rPr>
          <w:rFonts w:hint="eastAsia" w:cs="Times New Roman" w:asciiTheme="majorEastAsia" w:hAnsiTheme="majorEastAsia"/>
          <w:bCs w:val="0"/>
          <w:lang w:val="zh-CN"/>
        </w:rPr>
        <w:t>招标文件</w:t>
      </w:r>
      <w:bookmarkEnd w:id="6"/>
      <w:bookmarkEnd w:id="7"/>
      <w:bookmarkEnd w:id="8"/>
      <w:bookmarkEnd w:id="9"/>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在招标过程中由集中采购机构发出的修正和补充文件等</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潜在投标人对招标文件有疑问的，可以向采购代理机构提出询问，或在6.2规定的时间前以书面的形式向采购代理机构提交疑问函。</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3"/>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采购代理机构和采购人可以对已发出的招标文件进行必要的澄清或者修改。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sz w:val="24"/>
          <w:szCs w:val="20"/>
          <w:lang w:val="zh-CN"/>
        </w:rPr>
        <w:t>采购代理机构</w:t>
      </w:r>
      <w:r>
        <w:rPr>
          <w:rFonts w:hint="eastAsia" w:ascii="Helvetica" w:hAnsi="Helvetica" w:eastAsia="宋体" w:cs="Helvetica"/>
          <w:kern w:val="0"/>
          <w:sz w:val="24"/>
          <w:szCs w:val="24"/>
          <w:lang w:val="zh-CN"/>
        </w:rPr>
        <w:t>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10" w:name="_Toc494561940"/>
      <w:bookmarkStart w:id="11" w:name="_Toc278891593"/>
      <w:bookmarkStart w:id="12" w:name="_Toc272247696"/>
      <w:bookmarkStart w:id="13" w:name="_Toc495861522"/>
      <w:r>
        <w:rPr>
          <w:rFonts w:hint="eastAsia" w:cs="Times New Roman" w:asciiTheme="majorEastAsia" w:hAnsiTheme="majorEastAsia"/>
          <w:bCs w:val="0"/>
          <w:lang w:val="zh-CN"/>
        </w:rPr>
        <w:t>投标文件</w:t>
      </w:r>
      <w:bookmarkEnd w:id="10"/>
      <w:bookmarkEnd w:id="11"/>
      <w:bookmarkEnd w:id="12"/>
      <w:bookmarkEnd w:id="13"/>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如招标文件有分包要求，投标人对招标文件中多个包进行投标的，其投标文件的编制应按每包要求分别装订和封装，并注明对应包号。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投标人应对投标文件中所提供资料的真实性负责，如有虚假，将依法承担相应责任。投标人应自觉接受集中采购机构对其中任何资料进一步核实的要求。</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numPr>
          <w:ilvl w:val="0"/>
          <w:numId w:val="15"/>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eastAsia="宋体" w:cs="Times New Roman"/>
          <w:b/>
          <w:sz w:val="24"/>
          <w:szCs w:val="20"/>
          <w:lang w:val="zh-CN"/>
        </w:rPr>
        <w:t>各部分文件及内容详见第七章“投标文件格式”要求。</w:t>
      </w:r>
    </w:p>
    <w:p>
      <w:pPr>
        <w:numPr>
          <w:ilvl w:val="0"/>
          <w:numId w:val="15"/>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7"/>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7"/>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7"/>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两个及以上供应商可以组成一个联合体，以一个投标人的身份共同参与投标。</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以联合体形式参加政府采购活动的，联合体各方不得再单独参加或者与其他供应商另外组成联合体参加同一合同项下的政府采购活动。</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联合体中标的，联合体各方应当共同与采购人签订采购合同，</w:t>
      </w:r>
      <w:r>
        <w:rPr>
          <w:rFonts w:hint="eastAsia" w:ascii="宋体" w:hAnsi="宋体"/>
          <w:sz w:val="24"/>
        </w:rPr>
        <w:t>就采购合同约定的事项对采购人承担连带责任，</w:t>
      </w:r>
      <w:r>
        <w:rPr>
          <w:rFonts w:hint="eastAsia" w:cs="Times New Roman" w:asciiTheme="minorEastAsia" w:hAnsiTheme="minorEastAsia"/>
          <w:sz w:val="24"/>
          <w:szCs w:val="24"/>
          <w:lang w:val="zh-CN"/>
        </w:rPr>
        <w:t>联合体主体单位负主要责任。</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联合体中有同类资质的供应商按照联合体分工承担相同工作的，应当按照资质等级较低的供应商确定资质等级。</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8"/>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9"/>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7"/>
        </w:numPr>
        <w:spacing w:line="360" w:lineRule="auto"/>
        <w:ind w:left="560" w:hanging="560"/>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sz w:val="24"/>
          <w:szCs w:val="24"/>
          <w:lang w:val="zh-CN"/>
        </w:rPr>
        <w:t>（交纳金额及账户信息详见本章“投标须知前附表”中规定）。</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投标人应在投标文件中提供交纳保证金的凭证。</w:t>
      </w:r>
      <w:r>
        <w:rPr>
          <w:rFonts w:hint="eastAsia" w:cs="Times New Roman" w:asciiTheme="minorEastAsia" w:hAnsiTheme="minorEastAsia"/>
          <w:b/>
          <w:sz w:val="24"/>
          <w:szCs w:val="24"/>
          <w:lang w:val="zh-CN"/>
        </w:rPr>
        <w:t>同时参加多个分包的投标人，保证金应按照各包保证金要求分别交纳。</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投标人应在投标文件递交截至时间前，按规定将投标保证金汇入阳新县公共资源交易中心专用账户。投标保证金应在投标有效期截止日后的</w:t>
      </w:r>
      <w:r>
        <w:rPr>
          <w:rFonts w:hint="eastAsia" w:cs="Times New Roman" w:asciiTheme="minorEastAsia" w:hAnsiTheme="minorEastAsia"/>
          <w:b/>
          <w:sz w:val="24"/>
          <w:szCs w:val="24"/>
          <w:lang w:val="zh-CN"/>
        </w:rPr>
        <w:t>30</w:t>
      </w:r>
      <w:r>
        <w:rPr>
          <w:rFonts w:hint="eastAsia" w:cs="Times New Roman" w:asciiTheme="minorEastAsia" w:hAnsiTheme="minorEastAsia"/>
          <w:sz w:val="24"/>
          <w:szCs w:val="24"/>
          <w:lang w:val="zh-CN"/>
        </w:rPr>
        <w:t>天期限内有效。</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投标保证金应按以下方式递交：</w:t>
      </w:r>
    </w:p>
    <w:p>
      <w:pPr>
        <w:numPr>
          <w:ilvl w:val="0"/>
          <w:numId w:val="21"/>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应以电汇或网上银行方式汇入保证金账户，不得以个人名义、不得以现金方式交纳。</w:t>
      </w:r>
    </w:p>
    <w:p>
      <w:pPr>
        <w:numPr>
          <w:ilvl w:val="0"/>
          <w:numId w:val="21"/>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到账时间以阳新县公共资源交易中心账户时间为准。</w:t>
      </w:r>
    </w:p>
    <w:p>
      <w:pPr>
        <w:numPr>
          <w:ilvl w:val="0"/>
          <w:numId w:val="21"/>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交款凭证备注中应说明项目编号及开标时间。</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未按招标文件要求递交投标保证金，或交纳保证金的账户名称与投标人名称不一致的按照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20"/>
        </w:numPr>
        <w:spacing w:line="360" w:lineRule="auto"/>
        <w:ind w:left="616" w:hanging="616"/>
        <w:rPr>
          <w:rFonts w:cs="Times New Roman" w:asciiTheme="minorEastAsia" w:hAnsiTheme="minorEastAsia"/>
          <w:sz w:val="24"/>
          <w:szCs w:val="24"/>
          <w:lang w:val="zh-CN"/>
        </w:rPr>
      </w:pP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将在自中标通知书发出之日起</w:t>
      </w:r>
      <w:r>
        <w:rPr>
          <w:rFonts w:hint="eastAsia" w:cs="Times New Roman" w:asciiTheme="minorEastAsia" w:hAnsiTheme="minorEastAsia"/>
          <w:b/>
          <w:sz w:val="24"/>
          <w:szCs w:val="24"/>
          <w:lang w:val="zh-CN"/>
        </w:rPr>
        <w:t>5</w:t>
      </w:r>
      <w:r>
        <w:rPr>
          <w:rFonts w:hint="eastAsia" w:cs="Times New Roman" w:asciiTheme="minorEastAsia" w:hAnsiTheme="minorEastAsia"/>
          <w:sz w:val="24"/>
          <w:szCs w:val="24"/>
          <w:lang w:val="zh-CN"/>
        </w:rPr>
        <w:t>个工作日内（如无质疑或投诉）不计利息原额退还未中标人的投标保证金；自政府采购合同签订之日起</w:t>
      </w:r>
      <w:r>
        <w:rPr>
          <w:rFonts w:hint="eastAsia" w:cs="Times New Roman" w:asciiTheme="minorEastAsia" w:hAnsiTheme="minorEastAsia"/>
          <w:b/>
          <w:sz w:val="24"/>
          <w:szCs w:val="24"/>
          <w:lang w:val="zh-CN"/>
        </w:rPr>
        <w:t>5</w:t>
      </w:r>
      <w:r>
        <w:rPr>
          <w:rFonts w:hint="eastAsia" w:cs="Times New Roman" w:asciiTheme="minorEastAsia" w:hAnsiTheme="minorEastAsia"/>
          <w:sz w:val="24"/>
          <w:szCs w:val="24"/>
          <w:lang w:val="zh-CN"/>
        </w:rPr>
        <w:t>个工作日内不计利息原额退还中标人的投标保证金。</w:t>
      </w:r>
    </w:p>
    <w:p>
      <w:pPr>
        <w:numPr>
          <w:ilvl w:val="0"/>
          <w:numId w:val="20"/>
        </w:numPr>
        <w:spacing w:line="360" w:lineRule="auto"/>
        <w:ind w:left="616" w:hanging="616"/>
        <w:rPr>
          <w:rFonts w:cs="Times New Roman" w:asciiTheme="minorEastAsia" w:hAnsiTheme="minorEastAsia"/>
          <w:sz w:val="24"/>
          <w:szCs w:val="24"/>
          <w:lang w:val="zh-CN"/>
        </w:rPr>
      </w:pPr>
      <w:r>
        <w:rPr>
          <w:rFonts w:cs="Helvetica" w:asciiTheme="minorEastAsia" w:hAnsiTheme="minorEastAsia"/>
          <w:kern w:val="0"/>
          <w:sz w:val="24"/>
          <w:szCs w:val="24"/>
          <w:lang w:val="zh-CN"/>
        </w:rPr>
        <w:t>投标人在投标截止时间前撤回已提交的投标文件的，</w:t>
      </w: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将在</w:t>
      </w:r>
      <w:r>
        <w:rPr>
          <w:rFonts w:cs="Helvetica" w:asciiTheme="minorEastAsia" w:hAnsiTheme="minorEastAsia"/>
          <w:kern w:val="0"/>
          <w:sz w:val="24"/>
          <w:szCs w:val="24"/>
          <w:lang w:val="zh-CN"/>
        </w:rPr>
        <w:t>自收到投标人书面撤回通知之日起5个工作日内，退还已收取的投标保证金，但因投标人自身原因导致无法及时退还的除外。</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投标保证金将直接退还至投标人交纳时的账户，不以现金方式退还。</w:t>
      </w:r>
    </w:p>
    <w:p>
      <w:pPr>
        <w:numPr>
          <w:ilvl w:val="0"/>
          <w:numId w:val="20"/>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投标人有下列情形之一的，其投标保证金不予退还：</w:t>
      </w:r>
    </w:p>
    <w:p>
      <w:pPr>
        <w:numPr>
          <w:ilvl w:val="0"/>
          <w:numId w:val="22"/>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在投标文件有效期内撤销投标文件的；</w:t>
      </w:r>
    </w:p>
    <w:p>
      <w:pPr>
        <w:numPr>
          <w:ilvl w:val="0"/>
          <w:numId w:val="22"/>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在投标文件中提供虚假材料的；</w:t>
      </w:r>
    </w:p>
    <w:p>
      <w:pPr>
        <w:numPr>
          <w:ilvl w:val="0"/>
          <w:numId w:val="22"/>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中标后无正当理由拒绝签订政府采购合同的；</w:t>
      </w:r>
    </w:p>
    <w:p>
      <w:pPr>
        <w:numPr>
          <w:ilvl w:val="0"/>
          <w:numId w:val="22"/>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串通投标、恶意串通的；</w:t>
      </w:r>
    </w:p>
    <w:p>
      <w:pPr>
        <w:numPr>
          <w:ilvl w:val="0"/>
          <w:numId w:val="22"/>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法律、法规和招标文件中规定的其它不予退还投标保证金的情形。</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2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2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或采购人可要求投标人延长投标有效期。这种要求与答复均应以书面形式提交。投标人可拒绝</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numPr>
          <w:ilvl w:val="0"/>
          <w:numId w:val="25"/>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投标人应将投标文件第一部分资格证明文件、第二部分商务文件、第三部分技术、服务文件合并一起装订，一起封装。</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投标人应将投标文件</w:t>
      </w:r>
      <w:r>
        <w:rPr>
          <w:rFonts w:hint="eastAsia" w:ascii="宋体" w:hAnsi="宋体" w:eastAsia="宋体" w:cs="Times New Roman"/>
          <w:b/>
          <w:sz w:val="24"/>
          <w:szCs w:val="20"/>
          <w:lang w:val="zh-CN"/>
        </w:rPr>
        <w:t>各部分正本和各部分副本</w:t>
      </w:r>
      <w:r>
        <w:rPr>
          <w:rFonts w:hint="eastAsia" w:ascii="宋体" w:hAnsi="宋体" w:eastAsia="宋体" w:cs="Times New Roman"/>
          <w:sz w:val="24"/>
          <w:szCs w:val="20"/>
          <w:lang w:val="zh-CN"/>
        </w:rPr>
        <w:t>分开密封装在单独的封包中，并在封包上标明“正本”、“副本”字样。</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如果未按要求加写密封、标记或存在错误，采购代理机构对其误投或提前启封概不负责。</w:t>
      </w:r>
    </w:p>
    <w:p>
      <w:pPr>
        <w:numPr>
          <w:ilvl w:val="0"/>
          <w:numId w:val="25"/>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sz w:val="24"/>
          <w:szCs w:val="20"/>
          <w:lang w:val="zh-CN"/>
        </w:rPr>
        <w:t>为方便开标时唱标，投标人应将《开标一览表》原件及《交纳投标保证金的银行凭证》（若有交纳保证金要求的）各一份一并</w:t>
      </w:r>
      <w:r>
        <w:rPr>
          <w:rFonts w:hint="eastAsia" w:ascii="宋体" w:hAnsi="宋体" w:eastAsia="宋体" w:cs="Times New Roman"/>
          <w:spacing w:val="-6"/>
          <w:kern w:val="0"/>
          <w:sz w:val="24"/>
          <w:szCs w:val="20"/>
          <w:lang w:val="zh-CN"/>
        </w:rPr>
        <w:t>装入一个信封，单独密封提交</w:t>
      </w:r>
      <w:r>
        <w:rPr>
          <w:rFonts w:hint="eastAsia" w:ascii="宋体" w:hAnsi="宋体" w:eastAsia="宋体" w:cs="Times New Roman"/>
          <w:sz w:val="24"/>
          <w:szCs w:val="20"/>
          <w:lang w:val="zh-CN"/>
        </w:rPr>
        <w:t>，并在信封上标明“开标一览表”字样。未单独提交或单独提交的上述资料未按照招标文件规定的格式填写完整并签字、盖章的采购人</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6"/>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投标人应在不迟于投标邀请书中规定的投标截止日期和时间将投标文件密封递交至采购人（或代理公司）规定的投标地点。</w:t>
      </w:r>
    </w:p>
    <w:p>
      <w:pPr>
        <w:numPr>
          <w:ilvl w:val="0"/>
          <w:numId w:val="26"/>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kern w:val="0"/>
          <w:sz w:val="24"/>
          <w:szCs w:val="24"/>
          <w:lang w:val="zh-CN"/>
        </w:rPr>
        <w:t>采购人（或代理公司）</w:t>
      </w:r>
      <w:r>
        <w:rPr>
          <w:rFonts w:hint="eastAsia" w:ascii="Helvetica" w:hAnsi="Helvetica" w:eastAsia="宋体" w:cs="Helvetica"/>
          <w:b/>
          <w:kern w:val="0"/>
          <w:sz w:val="24"/>
          <w:szCs w:val="24"/>
          <w:lang w:val="zh-CN"/>
        </w:rPr>
        <w:t>拒收逾期送达或者未按招标文件要求密封的投标文件。</w:t>
      </w:r>
    </w:p>
    <w:p>
      <w:pPr>
        <w:numPr>
          <w:ilvl w:val="0"/>
          <w:numId w:val="26"/>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采购人（或代理公司）</w:t>
      </w:r>
      <w:r>
        <w:rPr>
          <w:rFonts w:ascii="Helvetica" w:hAnsi="Helvetica" w:eastAsia="宋体" w:cs="Helvetica"/>
          <w:kern w:val="0"/>
          <w:sz w:val="24"/>
          <w:szCs w:val="24"/>
          <w:lang w:val="zh-CN"/>
        </w:rPr>
        <w:t>收到投标文件后，应当如实记载投标文件的送达时间和密封情况，签收保存，并向投标人出具签收回执。</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7"/>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采购代理机构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14" w:name="_Toc278891595"/>
      <w:bookmarkStart w:id="15" w:name="_Toc494561942"/>
      <w:bookmarkStart w:id="16" w:name="_Toc272247698"/>
      <w:bookmarkStart w:id="17" w:name="_Toc495861523"/>
      <w:r>
        <w:rPr>
          <w:rFonts w:hint="eastAsia" w:cs="Times New Roman" w:asciiTheme="majorEastAsia" w:hAnsiTheme="majorEastAsia"/>
          <w:bCs w:val="0"/>
          <w:lang w:val="zh-CN"/>
        </w:rPr>
        <w:t>开标与评标</w:t>
      </w:r>
      <w:bookmarkEnd w:id="14"/>
      <w:bookmarkEnd w:id="15"/>
      <w:bookmarkEnd w:id="16"/>
      <w:bookmarkEnd w:id="17"/>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8"/>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kern w:val="0"/>
          <w:sz w:val="24"/>
          <w:szCs w:val="24"/>
          <w:lang w:val="zh-CN"/>
        </w:rPr>
        <w:t>采购人（或代理公司）</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w:t>
      </w:r>
      <w:r>
        <w:rPr>
          <w:rFonts w:hint="eastAsia" w:ascii="Helvetica" w:hAnsi="Helvetica" w:eastAsia="宋体" w:cs="Helvetica"/>
          <w:kern w:val="0"/>
          <w:sz w:val="24"/>
          <w:szCs w:val="24"/>
          <w:lang w:val="zh-CN"/>
        </w:rPr>
        <w:t>采购人（或代理公司）</w:t>
      </w:r>
      <w:r>
        <w:rPr>
          <w:rFonts w:hint="eastAsia" w:ascii="宋体" w:hAnsi="宋体" w:eastAsia="宋体" w:cs="Times New Roman"/>
          <w:sz w:val="24"/>
          <w:szCs w:val="20"/>
          <w:lang w:val="zh-CN"/>
        </w:rPr>
        <w:t>工作人员当众拆封，</w:t>
      </w:r>
      <w:r>
        <w:rPr>
          <w:rFonts w:ascii="宋体" w:hAnsi="宋体" w:eastAsia="宋体" w:cs="Times New Roman"/>
          <w:sz w:val="24"/>
          <w:szCs w:val="20"/>
          <w:lang w:val="zh-CN"/>
        </w:rPr>
        <w:t>宣布投标人名称、投标价格和招标文件规定的需要宣布的其他内容。</w:t>
      </w:r>
    </w:p>
    <w:p>
      <w:pPr>
        <w:numPr>
          <w:ilvl w:val="0"/>
          <w:numId w:val="28"/>
        </w:numPr>
        <w:spacing w:line="360" w:lineRule="auto"/>
        <w:ind w:left="616" w:hanging="616"/>
        <w:rPr>
          <w:rFonts w:ascii="宋体" w:hAnsi="宋体" w:eastAsia="宋体" w:cs="Times New Roman"/>
          <w:sz w:val="24"/>
          <w:szCs w:val="20"/>
          <w:lang w:val="zh-CN"/>
        </w:rPr>
      </w:pPr>
      <w:r>
        <w:rPr>
          <w:rFonts w:hint="eastAsia" w:ascii="Helvetica" w:hAnsi="Helvetica" w:eastAsia="宋体" w:cs="Helvetica"/>
          <w:kern w:val="0"/>
          <w:sz w:val="24"/>
          <w:szCs w:val="24"/>
          <w:lang w:val="zh-CN"/>
        </w:rPr>
        <w:t>采购人（或代理公司）</w:t>
      </w:r>
      <w:r>
        <w:rPr>
          <w:rFonts w:ascii="宋体" w:hAnsi="宋体" w:eastAsia="宋体" w:cs="Times New Roman"/>
          <w:sz w:val="24"/>
          <w:szCs w:val="20"/>
          <w:lang w:val="zh-CN"/>
        </w:rPr>
        <w:t>负责</w:t>
      </w:r>
      <w:r>
        <w:rPr>
          <w:rFonts w:hint="eastAsia" w:ascii="宋体" w:hAnsi="宋体" w:eastAsia="宋体" w:cs="Times New Roman"/>
          <w:sz w:val="24"/>
          <w:szCs w:val="20"/>
          <w:lang w:val="zh-CN"/>
        </w:rPr>
        <w:t>对</w:t>
      </w:r>
      <w:r>
        <w:rPr>
          <w:rFonts w:ascii="宋体" w:hAnsi="宋体" w:eastAsia="宋体" w:cs="Times New Roman"/>
          <w:sz w:val="24"/>
          <w:szCs w:val="20"/>
          <w:lang w:val="zh-CN"/>
        </w:rPr>
        <w:t>开标过程</w:t>
      </w:r>
      <w:r>
        <w:rPr>
          <w:rFonts w:hint="eastAsia" w:ascii="宋体" w:hAnsi="宋体" w:eastAsia="宋体" w:cs="Times New Roman"/>
          <w:sz w:val="24"/>
          <w:szCs w:val="20"/>
          <w:lang w:val="zh-CN"/>
        </w:rPr>
        <w:t>进行</w:t>
      </w:r>
      <w:r>
        <w:rPr>
          <w:rFonts w:ascii="宋体" w:hAnsi="宋体" w:eastAsia="宋体" w:cs="Times New Roman"/>
          <w:sz w:val="24"/>
          <w:szCs w:val="20"/>
          <w:lang w:val="zh-CN"/>
        </w:rPr>
        <w:t>记录，由参加开标的各投标人代表和相关工作人员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8"/>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投标人代表对开标过程和开标记录有疑义，以及认为采购人、</w:t>
      </w:r>
      <w:r>
        <w:rPr>
          <w:rFonts w:hint="eastAsia" w:ascii="Helvetica" w:hAnsi="Helvetica" w:eastAsia="宋体" w:cs="Helvetica"/>
          <w:kern w:val="0"/>
          <w:sz w:val="24"/>
          <w:szCs w:val="24"/>
          <w:lang w:val="zh-CN"/>
        </w:rPr>
        <w:t>代理公司</w:t>
      </w:r>
      <w:r>
        <w:rPr>
          <w:rFonts w:ascii="宋体" w:hAnsi="宋体" w:eastAsia="宋体" w:cs="Times New Roman"/>
          <w:sz w:val="24"/>
          <w:szCs w:val="20"/>
          <w:lang w:val="zh-CN"/>
        </w:rPr>
        <w:t>相关工作人员有需要回避的情形的，应当场提出询问或者回避申请。采购人、</w:t>
      </w:r>
      <w:r>
        <w:rPr>
          <w:rFonts w:hint="eastAsia" w:ascii="Helvetica" w:hAnsi="Helvetica" w:eastAsia="宋体" w:cs="Helvetica"/>
          <w:kern w:val="0"/>
          <w:sz w:val="24"/>
          <w:szCs w:val="24"/>
          <w:lang w:val="zh-CN"/>
        </w:rPr>
        <w:t>代理公司</w:t>
      </w:r>
      <w:r>
        <w:rPr>
          <w:rFonts w:hint="eastAsia" w:ascii="宋体" w:hAnsi="宋体" w:eastAsia="宋体" w:cs="Times New Roman"/>
          <w:sz w:val="24"/>
          <w:szCs w:val="20"/>
          <w:lang w:val="zh-CN"/>
        </w:rPr>
        <w:t>将</w:t>
      </w:r>
      <w:r>
        <w:rPr>
          <w:rFonts w:ascii="宋体" w:hAnsi="宋体" w:eastAsia="宋体" w:cs="Times New Roman"/>
          <w:sz w:val="24"/>
          <w:szCs w:val="20"/>
          <w:lang w:val="zh-CN"/>
        </w:rPr>
        <w:t>及时处理投标人代表提出的询问或者回避申请。</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9"/>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公开招标采购项目开标结束后，采购人和采购代理公司依据法律、法规及招标文件的规定，对投标人的资格进行审查，以确定投标人资格是否合格。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9"/>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30"/>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30"/>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30"/>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31"/>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31"/>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33"/>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33"/>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33"/>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33"/>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33"/>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集中采购</w:t>
      </w:r>
      <w:r>
        <w:rPr>
          <w:rFonts w:ascii="宋体" w:hAnsi="宋体" w:eastAsia="宋体" w:cs="Times New Roman"/>
          <w:sz w:val="24"/>
          <w:szCs w:val="20"/>
          <w:lang w:val="zh-CN"/>
        </w:rPr>
        <w:t>机构或者有关部门报告评标中发现的违法行为。</w:t>
      </w:r>
    </w:p>
    <w:p>
      <w:pPr>
        <w:numPr>
          <w:ilvl w:val="0"/>
          <w:numId w:val="32"/>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18" w:name="_Toc495861524"/>
      <w:bookmarkStart w:id="19" w:name="_Toc494561943"/>
      <w:r>
        <w:rPr>
          <w:rFonts w:hint="eastAsia" w:cs="Times New Roman" w:asciiTheme="majorEastAsia" w:hAnsiTheme="majorEastAsia"/>
          <w:bCs w:val="0"/>
          <w:lang w:val="zh-CN"/>
        </w:rPr>
        <w:t>投标人信用信息及查询</w:t>
      </w:r>
      <w:bookmarkEnd w:id="18"/>
      <w:bookmarkEnd w:id="19"/>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4"/>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4"/>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列入失信被执行人、重大税收违法案件当事人名单、政府采购严重违法失信行为记录名单的供应商，采购人、采购代理机构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4"/>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4"/>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投标人的信用记录，最终以评标时的“信用中国”网站发布的信息为准。</w:t>
      </w:r>
    </w:p>
    <w:p>
      <w:pPr>
        <w:numPr>
          <w:ilvl w:val="0"/>
          <w:numId w:val="34"/>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w:t>
      </w:r>
      <w:r>
        <w:rPr>
          <w:rFonts w:hint="eastAsia" w:ascii="Helvetica" w:hAnsi="Helvetica" w:eastAsia="宋体" w:cs="Helvetica"/>
          <w:kern w:val="0"/>
          <w:sz w:val="24"/>
          <w:szCs w:val="24"/>
          <w:lang w:val="zh-CN"/>
        </w:rPr>
        <w:t>采购人（或代理公司）</w:t>
      </w:r>
      <w:r>
        <w:rPr>
          <w:rFonts w:hint="eastAsia" w:cs="Helvetica" w:asciiTheme="minorEastAsia" w:hAnsiTheme="minorEastAsia"/>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20" w:name="_Toc494561944"/>
      <w:bookmarkStart w:id="21" w:name="_Toc495861525"/>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0"/>
      <w:bookmarkEnd w:id="21"/>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5"/>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5"/>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6"/>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6"/>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5"/>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5"/>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7"/>
        </w:numPr>
        <w:spacing w:line="360" w:lineRule="auto"/>
        <w:ind w:left="616" w:hanging="616"/>
        <w:rPr>
          <w:rFonts w:ascii="宋体" w:hAnsi="宋体" w:eastAsia="宋体" w:cs="Times New Roman"/>
          <w:sz w:val="24"/>
          <w:szCs w:val="20"/>
          <w:lang w:val="zh-CN"/>
        </w:rPr>
      </w:pPr>
      <w:bookmarkStart w:id="22" w:name="_Toc278891597"/>
      <w:bookmarkStart w:id="23" w:name="_Toc272247700"/>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7"/>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7"/>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7"/>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7"/>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7"/>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24" w:name="_Toc494561945"/>
      <w:bookmarkStart w:id="25" w:name="_Toc495861526"/>
      <w:r>
        <w:rPr>
          <w:rFonts w:hint="eastAsia" w:cs="Times New Roman" w:asciiTheme="majorEastAsia" w:hAnsiTheme="majorEastAsia"/>
          <w:bCs w:val="0"/>
          <w:lang w:val="zh-CN"/>
        </w:rPr>
        <w:t>采购信息公告</w:t>
      </w:r>
      <w:bookmarkEnd w:id="24"/>
      <w:bookmarkEnd w:id="25"/>
    </w:p>
    <w:p>
      <w:pPr>
        <w:numPr>
          <w:ilvl w:val="0"/>
          <w:numId w:val="7"/>
        </w:numPr>
        <w:spacing w:line="360" w:lineRule="auto"/>
        <w:ind w:left="560" w:hanging="560"/>
        <w:rPr>
          <w:rFonts w:ascii="宋体" w:hAnsi="宋体" w:eastAsia="宋体" w:cs="Helvetica"/>
          <w:b/>
          <w:kern w:val="0"/>
          <w:sz w:val="24"/>
          <w:szCs w:val="24"/>
          <w:lang w:val="zh-CN"/>
        </w:rPr>
      </w:pPr>
      <w:r>
        <w:rPr>
          <w:rFonts w:hint="eastAsia" w:ascii="宋体" w:hAnsi="宋体" w:eastAsia="宋体" w:cs="Helvetica"/>
          <w:b/>
          <w:kern w:val="0"/>
          <w:sz w:val="24"/>
          <w:szCs w:val="24"/>
          <w:lang w:val="zh-CN"/>
        </w:rPr>
        <w:t>公告的媒体及规定</w:t>
      </w:r>
    </w:p>
    <w:p>
      <w:pPr>
        <w:numPr>
          <w:ilvl w:val="0"/>
          <w:numId w:val="38"/>
        </w:numPr>
        <w:tabs>
          <w:tab w:val="left" w:pos="616"/>
        </w:tabs>
        <w:spacing w:line="360" w:lineRule="auto"/>
        <w:ind w:left="616" w:hanging="616"/>
        <w:rPr>
          <w:rFonts w:cs="Helvetica" w:asciiTheme="minorEastAsia" w:hAnsiTheme="minorEastAsia"/>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在招标活动中的公告、补充、更正、结果等采购信息均依法在政府采购监管部门指定媒体上（中国湖北政府采购网http://www.ccgp-hubei.gov.cn/）发布。</w:t>
      </w:r>
    </w:p>
    <w:p>
      <w:pPr>
        <w:numPr>
          <w:ilvl w:val="0"/>
          <w:numId w:val="38"/>
        </w:numPr>
        <w:tabs>
          <w:tab w:val="left" w:pos="616"/>
        </w:tabs>
        <w:spacing w:line="360" w:lineRule="auto"/>
        <w:ind w:left="616" w:hanging="616"/>
        <w:rPr>
          <w:rFonts w:cs="Helvetica" w:asciiTheme="minorEastAsia" w:hAnsiTheme="minorEastAsia"/>
          <w:b/>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8"/>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8"/>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26" w:name="_Toc494561946"/>
      <w:bookmarkStart w:id="27" w:name="_Toc495861527"/>
      <w:r>
        <w:rPr>
          <w:rFonts w:hint="eastAsia" w:cs="Times New Roman" w:asciiTheme="majorEastAsia" w:hAnsiTheme="majorEastAsia"/>
          <w:bCs w:val="0"/>
          <w:lang w:val="zh-CN"/>
        </w:rPr>
        <w:t>质疑</w:t>
      </w:r>
      <w:bookmarkEnd w:id="22"/>
      <w:bookmarkEnd w:id="23"/>
      <w:r>
        <w:rPr>
          <w:rFonts w:hint="eastAsia" w:cs="Times New Roman" w:asciiTheme="majorEastAsia" w:hAnsiTheme="majorEastAsia"/>
          <w:bCs w:val="0"/>
          <w:lang w:val="zh-CN"/>
        </w:rPr>
        <w:t>及提交</w:t>
      </w:r>
      <w:bookmarkEnd w:id="26"/>
      <w:bookmarkEnd w:id="27"/>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sz w:val="24"/>
          <w:szCs w:val="20"/>
          <w:lang w:val="zh-CN"/>
        </w:rPr>
        <w:t>向</w:t>
      </w:r>
      <w:r>
        <w:rPr>
          <w:rFonts w:hint="eastAsia" w:ascii="宋体" w:hAnsi="宋体" w:eastAsia="宋体" w:cs="Times New Roman"/>
          <w:sz w:val="24"/>
          <w:szCs w:val="20"/>
          <w:lang w:val="zh-CN"/>
        </w:rPr>
        <w:t>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9"/>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9"/>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9"/>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4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4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4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4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4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4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4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投标人未按本章“质疑及提交”规定的时限、内容及方式进行质疑的，采购人（或代理公司）不予受理。</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28" w:name="_Toc494561947"/>
      <w:bookmarkStart w:id="29" w:name="_Toc495861528"/>
      <w:r>
        <w:rPr>
          <w:rFonts w:hint="eastAsia" w:cs="Times New Roman" w:asciiTheme="majorEastAsia" w:hAnsiTheme="majorEastAsia"/>
          <w:bCs w:val="0"/>
          <w:lang w:val="zh-CN"/>
        </w:rPr>
        <w:t>相关条文解读</w:t>
      </w:r>
      <w:bookmarkEnd w:id="28"/>
      <w:bookmarkEnd w:id="29"/>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供应商在参加政府采购活动前3年内因违法经营被禁止在一定期限内参加政府采购活动，期限届满的，可以参加政府采购活动。</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根据财政部《政府采购法实施条例》释义中关于供应商资格条件的解释，对于银行、保险、石油石化、电力、电信等有行业特殊情况的，采购人和集中采购机构允许其分支机构参与投标。</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30" w:name="_Toc495861529"/>
      <w:bookmarkStart w:id="31" w:name="_Toc494561948"/>
      <w:r>
        <w:rPr>
          <w:rFonts w:hint="eastAsia" w:cs="Times New Roman" w:asciiTheme="majorEastAsia" w:hAnsiTheme="majorEastAsia"/>
          <w:bCs w:val="0"/>
          <w:lang w:val="zh-CN"/>
        </w:rPr>
        <w:t>其他注意事项</w:t>
      </w:r>
      <w:bookmarkEnd w:id="30"/>
      <w:bookmarkEnd w:id="31"/>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单位负责人为同一人或者存在直接控股、管理关系的不同供应商，不得参加同一合同项下的政府采购活动。</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除单一来源采购项目外，为采购项目提供整体设计、规范编制或者项目管理、监理、检测等服务的供应商，不得再参加该采购项目的其他采购活动。</w:t>
      </w:r>
    </w:p>
    <w:p>
      <w:pPr>
        <w:pStyle w:val="3"/>
        <w:numPr>
          <w:ilvl w:val="0"/>
          <w:numId w:val="6"/>
        </w:numPr>
        <w:spacing w:before="40" w:after="40" w:line="360" w:lineRule="auto"/>
        <w:ind w:left="966" w:hanging="966"/>
        <w:jc w:val="left"/>
        <w:rPr>
          <w:rFonts w:cs="Times New Roman" w:asciiTheme="majorEastAsia" w:hAnsiTheme="majorEastAsia"/>
          <w:bCs w:val="0"/>
          <w:lang w:val="zh-CN"/>
        </w:rPr>
      </w:pPr>
      <w:bookmarkStart w:id="32" w:name="_Toc495861530"/>
      <w:bookmarkStart w:id="33" w:name="_Toc272247701"/>
      <w:bookmarkStart w:id="34" w:name="_Toc278891598"/>
      <w:bookmarkStart w:id="35" w:name="_Toc494561949"/>
      <w:r>
        <w:rPr>
          <w:rFonts w:hint="eastAsia" w:cs="Times New Roman" w:asciiTheme="majorEastAsia" w:hAnsiTheme="majorEastAsia"/>
          <w:bCs w:val="0"/>
          <w:lang w:val="zh-CN"/>
        </w:rPr>
        <w:t>适用法律</w:t>
      </w:r>
      <w:bookmarkEnd w:id="32"/>
      <w:bookmarkEnd w:id="33"/>
      <w:bookmarkEnd w:id="34"/>
      <w:bookmarkEnd w:id="35"/>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7"/>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3"/>
        <w:numPr>
          <w:ilvl w:val="0"/>
          <w:numId w:val="6"/>
        </w:numPr>
        <w:spacing w:before="40" w:after="40" w:line="360" w:lineRule="auto"/>
        <w:ind w:left="966" w:hanging="966"/>
        <w:jc w:val="left"/>
        <w:rPr>
          <w:rFonts w:cs="Times New Roman" w:asciiTheme="majorEastAsia" w:hAnsiTheme="majorEastAsia"/>
          <w:bCs w:val="0"/>
          <w:lang w:val="zh-CN"/>
        </w:rPr>
      </w:pPr>
      <w:bookmarkStart w:id="36" w:name="_Toc495861531"/>
      <w:bookmarkStart w:id="37" w:name="_Toc278891599"/>
      <w:bookmarkStart w:id="38" w:name="_Toc494561950"/>
      <w:bookmarkStart w:id="39" w:name="_Toc272247702"/>
      <w:r>
        <w:rPr>
          <w:rFonts w:hint="eastAsia" w:cs="Times New Roman" w:asciiTheme="majorEastAsia" w:hAnsiTheme="majorEastAsia"/>
          <w:bCs w:val="0"/>
          <w:lang w:val="zh-CN"/>
        </w:rPr>
        <w:t>招标文件的解释权</w:t>
      </w:r>
      <w:bookmarkEnd w:id="36"/>
      <w:bookmarkEnd w:id="37"/>
      <w:bookmarkEnd w:id="38"/>
      <w:bookmarkEnd w:id="39"/>
    </w:p>
    <w:p>
      <w:pPr>
        <w:numPr>
          <w:ilvl w:val="0"/>
          <w:numId w:val="7"/>
        </w:numPr>
        <w:spacing w:line="360" w:lineRule="auto"/>
        <w:ind w:left="560" w:hanging="560"/>
      </w:pPr>
      <w:r>
        <w:rPr>
          <w:rFonts w:hint="eastAsia" w:ascii="宋体" w:hAnsi="宋体" w:eastAsia="宋体" w:cs="Times New Roman"/>
          <w:sz w:val="24"/>
          <w:szCs w:val="20"/>
          <w:lang w:val="zh-CN"/>
        </w:rPr>
        <w:t>招标文件的最终解释权为采购人、采购代理机构所有。</w:t>
      </w:r>
      <w:r>
        <w:br w:type="page"/>
      </w:r>
    </w:p>
    <w:p>
      <w:pPr>
        <w:pStyle w:val="2"/>
        <w:numPr>
          <w:ilvl w:val="0"/>
          <w:numId w:val="1"/>
        </w:numPr>
        <w:jc w:val="center"/>
        <w:rPr>
          <w:rFonts w:ascii="黑体" w:hAnsi="黑体" w:eastAsia="黑体"/>
        </w:rPr>
      </w:pPr>
      <w:bookmarkStart w:id="40" w:name="_Toc495861532"/>
      <w:r>
        <w:rPr>
          <w:rFonts w:hint="eastAsia" w:ascii="黑体" w:hAnsi="黑体" w:eastAsia="黑体"/>
        </w:rPr>
        <w:t>项目技术、服务及商务要求</w:t>
      </w:r>
      <w:bookmarkEnd w:id="40"/>
    </w:p>
    <w:p>
      <w:pPr>
        <w:pStyle w:val="3"/>
        <w:numPr>
          <w:ilvl w:val="0"/>
          <w:numId w:val="41"/>
        </w:numPr>
        <w:spacing w:before="0" w:after="0" w:line="360" w:lineRule="auto"/>
        <w:ind w:left="616" w:hanging="616"/>
        <w:jc w:val="left"/>
        <w:rPr>
          <w:rFonts w:cs="Times New Roman" w:asciiTheme="majorEastAsia" w:hAnsiTheme="majorEastAsia"/>
          <w:bCs w:val="0"/>
          <w:sz w:val="30"/>
          <w:szCs w:val="30"/>
          <w:lang w:val="zh-CN"/>
        </w:rPr>
      </w:pPr>
      <w:bookmarkStart w:id="41" w:name="_Toc494561952"/>
      <w:bookmarkStart w:id="42" w:name="_Toc495861533"/>
      <w:bookmarkStart w:id="43" w:name="_Toc339378679"/>
      <w:bookmarkStart w:id="44" w:name="_Toc338065593"/>
      <w:r>
        <w:rPr>
          <w:rFonts w:hint="eastAsia" w:cs="Times New Roman" w:asciiTheme="majorEastAsia" w:hAnsiTheme="majorEastAsia"/>
          <w:bCs w:val="0"/>
          <w:sz w:val="30"/>
          <w:szCs w:val="30"/>
          <w:lang w:val="zh-CN"/>
        </w:rPr>
        <w:t>采购清单</w:t>
      </w:r>
      <w:bookmarkEnd w:id="41"/>
      <w:bookmarkEnd w:id="42"/>
    </w:p>
    <w:bookmarkEnd w:id="43"/>
    <w:bookmarkEnd w:id="44"/>
    <w:tbl>
      <w:tblPr>
        <w:tblStyle w:val="1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09"/>
        <w:gridCol w:w="4678"/>
        <w:gridCol w:w="850"/>
        <w:gridCol w:w="8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42" w:type="dxa"/>
            <w:shd w:val="clear" w:color="auto" w:fill="auto"/>
            <w:vAlign w:val="center"/>
          </w:tcPr>
          <w:p>
            <w:pPr>
              <w:spacing w:line="360" w:lineRule="auto"/>
              <w:rPr>
                <w:rFonts w:ascii="宋体" w:hAnsi="宋体" w:eastAsia="宋体" w:cs="Times New Roman"/>
                <w:b/>
                <w:sz w:val="24"/>
                <w:szCs w:val="24"/>
              </w:rPr>
            </w:pPr>
            <w:bookmarkStart w:id="45" w:name="_Toc338065594"/>
            <w:bookmarkStart w:id="46" w:name="_Toc339378680"/>
            <w:r>
              <w:rPr>
                <w:rFonts w:hint="eastAsia" w:ascii="宋体" w:hAnsi="宋体" w:eastAsia="宋体" w:cs="Times New Roman"/>
                <w:b/>
                <w:sz w:val="24"/>
                <w:szCs w:val="24"/>
              </w:rPr>
              <w:t>产品分类</w:t>
            </w:r>
          </w:p>
        </w:tc>
        <w:tc>
          <w:tcPr>
            <w:tcW w:w="709" w:type="dxa"/>
            <w:shd w:val="clear" w:color="auto" w:fill="auto"/>
            <w:vAlign w:val="center"/>
          </w:tcPr>
          <w:p>
            <w:pPr>
              <w:spacing w:line="360" w:lineRule="auto"/>
              <w:rPr>
                <w:rFonts w:ascii="宋体" w:hAnsi="宋体" w:eastAsia="宋体" w:cs="Times New Roman"/>
                <w:b/>
                <w:bCs/>
                <w:sz w:val="24"/>
                <w:szCs w:val="24"/>
              </w:rPr>
            </w:pPr>
            <w:r>
              <w:rPr>
                <w:rFonts w:hint="eastAsia" w:ascii="宋体" w:hAnsi="宋体" w:eastAsia="宋体" w:cs="Times New Roman"/>
                <w:b/>
                <w:bCs/>
                <w:sz w:val="24"/>
                <w:szCs w:val="24"/>
              </w:rPr>
              <w:t>序号</w:t>
            </w:r>
          </w:p>
        </w:tc>
        <w:tc>
          <w:tcPr>
            <w:tcW w:w="4678" w:type="dxa"/>
            <w:shd w:val="clear" w:color="auto" w:fill="auto"/>
            <w:vAlign w:val="center"/>
          </w:tcPr>
          <w:p>
            <w:pPr>
              <w:spacing w:line="360" w:lineRule="auto"/>
              <w:rPr>
                <w:rFonts w:ascii="宋体" w:hAnsi="宋体" w:eastAsia="宋体" w:cs="Times New Roman"/>
                <w:b/>
                <w:sz w:val="24"/>
                <w:szCs w:val="24"/>
              </w:rPr>
            </w:pPr>
            <w:r>
              <w:rPr>
                <w:rFonts w:hint="eastAsia" w:ascii="宋体" w:hAnsi="宋体" w:eastAsia="宋体" w:cs="Times New Roman"/>
                <w:b/>
                <w:sz w:val="24"/>
                <w:szCs w:val="24"/>
              </w:rPr>
              <w:t>产品名称</w:t>
            </w:r>
          </w:p>
        </w:tc>
        <w:tc>
          <w:tcPr>
            <w:tcW w:w="850" w:type="dxa"/>
            <w:shd w:val="clear" w:color="auto" w:fill="auto"/>
            <w:vAlign w:val="center"/>
          </w:tcPr>
          <w:p>
            <w:pPr>
              <w:spacing w:line="360" w:lineRule="auto"/>
              <w:rPr>
                <w:rFonts w:ascii="宋体" w:hAnsi="宋体" w:eastAsia="宋体" w:cs="Times New Roman"/>
                <w:b/>
                <w:sz w:val="24"/>
                <w:szCs w:val="24"/>
              </w:rPr>
            </w:pPr>
            <w:r>
              <w:rPr>
                <w:rFonts w:hint="eastAsia" w:ascii="宋体" w:hAnsi="宋体" w:eastAsia="宋体" w:cs="Times New Roman"/>
                <w:b/>
                <w:sz w:val="24"/>
                <w:szCs w:val="24"/>
              </w:rPr>
              <w:t>数量</w:t>
            </w:r>
          </w:p>
        </w:tc>
        <w:tc>
          <w:tcPr>
            <w:tcW w:w="851" w:type="dxa"/>
            <w:shd w:val="clear" w:color="auto" w:fill="auto"/>
            <w:vAlign w:val="center"/>
          </w:tcPr>
          <w:p>
            <w:pPr>
              <w:spacing w:line="360" w:lineRule="auto"/>
              <w:rPr>
                <w:rFonts w:ascii="宋体" w:hAnsi="宋体" w:eastAsia="宋体" w:cs="Times New Roman"/>
                <w:b/>
                <w:sz w:val="24"/>
                <w:szCs w:val="24"/>
              </w:rPr>
            </w:pPr>
            <w:r>
              <w:rPr>
                <w:rFonts w:hint="eastAsia" w:ascii="宋体" w:hAnsi="宋体" w:eastAsia="宋体" w:cs="Times New Roman"/>
                <w:b/>
                <w:sz w:val="24"/>
                <w:szCs w:val="24"/>
              </w:rPr>
              <w:t>单位</w:t>
            </w:r>
          </w:p>
        </w:tc>
        <w:tc>
          <w:tcPr>
            <w:tcW w:w="1417" w:type="dxa"/>
            <w:vAlign w:val="center"/>
          </w:tcPr>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要求/备注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42" w:type="dxa"/>
            <w:vMerge w:val="restar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心电网络系统平台</w:t>
            </w:r>
          </w:p>
        </w:tc>
        <w:tc>
          <w:tcPr>
            <w:tcW w:w="709"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4678"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全院心电网络</w:t>
            </w:r>
          </w:p>
        </w:tc>
        <w:tc>
          <w:tcPr>
            <w:tcW w:w="850"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851"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套</w:t>
            </w:r>
          </w:p>
        </w:tc>
        <w:tc>
          <w:tcPr>
            <w:tcW w:w="1417" w:type="dxa"/>
            <w:vMerge w:val="restar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42" w:type="dxa"/>
            <w:vMerge w:val="continue"/>
            <w:shd w:val="clear" w:color="auto" w:fill="auto"/>
            <w:vAlign w:val="center"/>
          </w:tcPr>
          <w:p>
            <w:pPr>
              <w:spacing w:line="360" w:lineRule="auto"/>
              <w:rPr>
                <w:rFonts w:ascii="宋体" w:hAnsi="宋体" w:eastAsia="宋体" w:cs="Times New Roman"/>
                <w:sz w:val="24"/>
                <w:szCs w:val="24"/>
              </w:rPr>
            </w:pPr>
          </w:p>
        </w:tc>
        <w:tc>
          <w:tcPr>
            <w:tcW w:w="709"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2</w:t>
            </w:r>
          </w:p>
        </w:tc>
        <w:tc>
          <w:tcPr>
            <w:tcW w:w="4678"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区域心电网络</w:t>
            </w:r>
          </w:p>
        </w:tc>
        <w:tc>
          <w:tcPr>
            <w:tcW w:w="850"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851"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套</w:t>
            </w:r>
          </w:p>
        </w:tc>
        <w:tc>
          <w:tcPr>
            <w:tcW w:w="1417" w:type="dxa"/>
            <w:vMerge w:val="continue"/>
          </w:tcPr>
          <w:p>
            <w:pPr>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42" w:type="dxa"/>
            <w:vMerge w:val="continue"/>
            <w:shd w:val="clear" w:color="auto" w:fill="auto"/>
            <w:vAlign w:val="center"/>
          </w:tcPr>
          <w:p>
            <w:pPr>
              <w:spacing w:line="360" w:lineRule="auto"/>
              <w:rPr>
                <w:rFonts w:ascii="宋体" w:hAnsi="宋体" w:eastAsia="宋体" w:cs="Times New Roman"/>
                <w:sz w:val="24"/>
                <w:szCs w:val="24"/>
              </w:rPr>
            </w:pPr>
          </w:p>
        </w:tc>
        <w:tc>
          <w:tcPr>
            <w:tcW w:w="709"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3</w:t>
            </w:r>
          </w:p>
        </w:tc>
        <w:tc>
          <w:tcPr>
            <w:tcW w:w="4678"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心电电生理系统</w:t>
            </w:r>
          </w:p>
        </w:tc>
        <w:tc>
          <w:tcPr>
            <w:tcW w:w="850"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851"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套</w:t>
            </w:r>
          </w:p>
        </w:tc>
        <w:tc>
          <w:tcPr>
            <w:tcW w:w="1417" w:type="dxa"/>
            <w:vMerge w:val="continue"/>
          </w:tcPr>
          <w:p>
            <w:pPr>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42" w:type="dxa"/>
            <w:vMerge w:val="restar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心电图机</w:t>
            </w:r>
          </w:p>
        </w:tc>
        <w:tc>
          <w:tcPr>
            <w:tcW w:w="709"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4</w:t>
            </w:r>
          </w:p>
        </w:tc>
        <w:tc>
          <w:tcPr>
            <w:tcW w:w="4678"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数字式十二导心电图机（带4G传输功能）</w:t>
            </w:r>
          </w:p>
        </w:tc>
        <w:tc>
          <w:tcPr>
            <w:tcW w:w="850"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42</w:t>
            </w:r>
          </w:p>
        </w:tc>
        <w:tc>
          <w:tcPr>
            <w:tcW w:w="851"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台</w:t>
            </w:r>
          </w:p>
        </w:tc>
        <w:tc>
          <w:tcPr>
            <w:tcW w:w="1417" w:type="dxa"/>
            <w:vMerge w:val="restar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42" w:type="dxa"/>
            <w:vMerge w:val="continue"/>
            <w:shd w:val="clear" w:color="auto" w:fill="auto"/>
            <w:vAlign w:val="center"/>
          </w:tcPr>
          <w:p>
            <w:pPr>
              <w:spacing w:line="360" w:lineRule="auto"/>
              <w:rPr>
                <w:rFonts w:ascii="宋体" w:hAnsi="宋体" w:eastAsia="宋体" w:cs="Times New Roman"/>
                <w:sz w:val="24"/>
                <w:szCs w:val="24"/>
              </w:rPr>
            </w:pPr>
          </w:p>
        </w:tc>
        <w:tc>
          <w:tcPr>
            <w:tcW w:w="709"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5</w:t>
            </w:r>
          </w:p>
        </w:tc>
        <w:tc>
          <w:tcPr>
            <w:tcW w:w="4678"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车载心电图机（带4G传输功能）</w:t>
            </w:r>
          </w:p>
        </w:tc>
        <w:tc>
          <w:tcPr>
            <w:tcW w:w="850"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2</w:t>
            </w:r>
          </w:p>
        </w:tc>
        <w:tc>
          <w:tcPr>
            <w:tcW w:w="851"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台</w:t>
            </w:r>
          </w:p>
        </w:tc>
        <w:tc>
          <w:tcPr>
            <w:tcW w:w="1417" w:type="dxa"/>
            <w:vMerge w:val="continue"/>
          </w:tcPr>
          <w:p>
            <w:pPr>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42" w:type="dxa"/>
            <w:vMerge w:val="continue"/>
            <w:shd w:val="clear" w:color="auto" w:fill="auto"/>
            <w:vAlign w:val="center"/>
          </w:tcPr>
          <w:p>
            <w:pPr>
              <w:spacing w:line="360" w:lineRule="auto"/>
              <w:rPr>
                <w:rFonts w:ascii="宋体" w:hAnsi="宋体" w:eastAsia="宋体" w:cs="Times New Roman"/>
                <w:sz w:val="24"/>
                <w:szCs w:val="24"/>
              </w:rPr>
            </w:pPr>
          </w:p>
        </w:tc>
        <w:tc>
          <w:tcPr>
            <w:tcW w:w="709"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6</w:t>
            </w:r>
          </w:p>
        </w:tc>
        <w:tc>
          <w:tcPr>
            <w:tcW w:w="4678"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十八导心电图机（带4G传输功能）</w:t>
            </w:r>
          </w:p>
        </w:tc>
        <w:tc>
          <w:tcPr>
            <w:tcW w:w="850"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851"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台</w:t>
            </w:r>
          </w:p>
        </w:tc>
        <w:tc>
          <w:tcPr>
            <w:tcW w:w="1417" w:type="dxa"/>
            <w:vMerge w:val="continue"/>
          </w:tcPr>
          <w:p>
            <w:pPr>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42"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其他</w:t>
            </w:r>
          </w:p>
        </w:tc>
        <w:tc>
          <w:tcPr>
            <w:tcW w:w="709"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7</w:t>
            </w:r>
          </w:p>
        </w:tc>
        <w:tc>
          <w:tcPr>
            <w:tcW w:w="4678"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心电图机专用推车</w:t>
            </w:r>
          </w:p>
        </w:tc>
        <w:tc>
          <w:tcPr>
            <w:tcW w:w="850"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45</w:t>
            </w:r>
          </w:p>
        </w:tc>
        <w:tc>
          <w:tcPr>
            <w:tcW w:w="851" w:type="dxa"/>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台</w:t>
            </w:r>
          </w:p>
        </w:tc>
        <w:tc>
          <w:tcPr>
            <w:tcW w:w="141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951" w:type="dxa"/>
            <w:gridSpan w:val="2"/>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工期要求</w:t>
            </w:r>
          </w:p>
        </w:tc>
        <w:tc>
          <w:tcPr>
            <w:tcW w:w="7796" w:type="dxa"/>
            <w:gridSpan w:val="4"/>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合同签订后30内天到货，60天内安装调试完毕并验收合格。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951" w:type="dxa"/>
            <w:gridSpan w:val="2"/>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质保要求</w:t>
            </w:r>
          </w:p>
        </w:tc>
        <w:tc>
          <w:tcPr>
            <w:tcW w:w="7796" w:type="dxa"/>
            <w:gridSpan w:val="4"/>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产品验收合格后两年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951" w:type="dxa"/>
            <w:gridSpan w:val="2"/>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核心产品</w:t>
            </w:r>
          </w:p>
        </w:tc>
        <w:tc>
          <w:tcPr>
            <w:tcW w:w="7796" w:type="dxa"/>
            <w:gridSpan w:val="4"/>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“要求/备注”栏中标注为“核心产品”的，相关规则详见第五章“评标方法、程序及标准”</w:t>
            </w:r>
          </w:p>
        </w:tc>
      </w:tr>
    </w:tbl>
    <w:p>
      <w:pPr>
        <w:pStyle w:val="3"/>
        <w:numPr>
          <w:ilvl w:val="0"/>
          <w:numId w:val="41"/>
        </w:numPr>
        <w:spacing w:before="0" w:after="0" w:line="360" w:lineRule="auto"/>
        <w:ind w:left="616" w:hanging="616"/>
        <w:jc w:val="left"/>
        <w:rPr>
          <w:rFonts w:cs="Times New Roman" w:asciiTheme="majorEastAsia" w:hAnsiTheme="majorEastAsia"/>
          <w:bCs w:val="0"/>
          <w:sz w:val="30"/>
          <w:szCs w:val="30"/>
          <w:lang w:val="zh-CN"/>
        </w:rPr>
      </w:pPr>
      <w:bookmarkStart w:id="47" w:name="_Toc495861534"/>
      <w:bookmarkStart w:id="48" w:name="_Toc494561953"/>
      <w:r>
        <w:rPr>
          <w:rFonts w:hint="eastAsia" w:cs="Times New Roman" w:asciiTheme="majorEastAsia" w:hAnsiTheme="majorEastAsia"/>
          <w:bCs w:val="0"/>
          <w:sz w:val="30"/>
          <w:szCs w:val="30"/>
          <w:lang w:val="zh-CN"/>
        </w:rPr>
        <w:t>概述及简介</w:t>
      </w:r>
      <w:bookmarkEnd w:id="47"/>
      <w:bookmarkEnd w:id="48"/>
    </w:p>
    <w:p>
      <w:pPr>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本次招标为整体项目，项目总预算约人民币150万元,详细要求见技术参数要求。</w:t>
      </w:r>
    </w:p>
    <w:p>
      <w:pPr>
        <w:pStyle w:val="3"/>
        <w:numPr>
          <w:ilvl w:val="0"/>
          <w:numId w:val="41"/>
        </w:numPr>
        <w:spacing w:before="0" w:after="0" w:line="360" w:lineRule="auto"/>
        <w:ind w:left="616" w:hanging="616"/>
        <w:jc w:val="left"/>
        <w:rPr>
          <w:rFonts w:cs="Times New Roman" w:asciiTheme="majorEastAsia" w:hAnsiTheme="majorEastAsia"/>
          <w:bCs w:val="0"/>
          <w:sz w:val="30"/>
          <w:szCs w:val="30"/>
          <w:lang w:val="zh-CN"/>
        </w:rPr>
      </w:pPr>
      <w:bookmarkStart w:id="49" w:name="_Toc495861535"/>
      <w:bookmarkStart w:id="50" w:name="_Toc494561954"/>
      <w:r>
        <w:rPr>
          <w:rFonts w:hint="eastAsia" w:cs="Times New Roman" w:asciiTheme="majorEastAsia" w:hAnsiTheme="majorEastAsia"/>
          <w:bCs w:val="0"/>
          <w:sz w:val="30"/>
          <w:szCs w:val="30"/>
          <w:lang w:val="zh-CN"/>
        </w:rPr>
        <w:t>国家相关行政主管部门颁布的强制标准、规范</w:t>
      </w:r>
      <w:bookmarkEnd w:id="49"/>
      <w:bookmarkEnd w:id="50"/>
    </w:p>
    <w:p>
      <w:pPr>
        <w:spacing w:line="360" w:lineRule="auto"/>
        <w:ind w:firstLine="475" w:firstLineChars="198"/>
        <w:rPr>
          <w:rFonts w:ascii="Helvetica" w:hAnsi="Helvetica" w:eastAsia="宋体" w:cs="Helvetica"/>
          <w:kern w:val="0"/>
          <w:sz w:val="24"/>
          <w:szCs w:val="24"/>
        </w:rPr>
      </w:pPr>
      <w:r>
        <w:rPr>
          <w:rFonts w:ascii="Helvetica" w:hAnsi="Helvetica" w:eastAsia="宋体" w:cs="Helvetica"/>
          <w:kern w:val="0"/>
          <w:sz w:val="24"/>
          <w:szCs w:val="24"/>
        </w:rPr>
        <w:t>采购</w:t>
      </w:r>
      <w:r>
        <w:rPr>
          <w:rFonts w:hint="eastAsia" w:ascii="Helvetica" w:hAnsi="Helvetica" w:eastAsia="宋体" w:cs="Helvetica"/>
          <w:kern w:val="0"/>
          <w:sz w:val="24"/>
          <w:szCs w:val="24"/>
        </w:rPr>
        <w:t>内容</w:t>
      </w:r>
      <w:r>
        <w:rPr>
          <w:rFonts w:ascii="Helvetica" w:hAnsi="Helvetica" w:eastAsia="宋体" w:cs="Helvetica"/>
          <w:kern w:val="0"/>
          <w:sz w:val="24"/>
          <w:szCs w:val="24"/>
        </w:rPr>
        <w:t>需执行的国家相关标准、行业标准、地方标准或者其他标准、规范</w:t>
      </w:r>
      <w:r>
        <w:rPr>
          <w:rFonts w:hint="eastAsia" w:ascii="Helvetica" w:hAnsi="Helvetica" w:eastAsia="宋体" w:cs="Helvetica"/>
          <w:kern w:val="0"/>
          <w:sz w:val="24"/>
          <w:szCs w:val="24"/>
        </w:rPr>
        <w:t>。</w:t>
      </w:r>
    </w:p>
    <w:bookmarkEnd w:id="45"/>
    <w:bookmarkEnd w:id="46"/>
    <w:p>
      <w:pPr>
        <w:pStyle w:val="3"/>
        <w:numPr>
          <w:ilvl w:val="0"/>
          <w:numId w:val="41"/>
        </w:numPr>
        <w:spacing w:before="0" w:after="0" w:line="360" w:lineRule="auto"/>
        <w:ind w:left="616" w:hanging="616"/>
        <w:jc w:val="left"/>
        <w:rPr>
          <w:rFonts w:cs="Times New Roman" w:asciiTheme="majorEastAsia" w:hAnsiTheme="majorEastAsia"/>
          <w:bCs w:val="0"/>
          <w:sz w:val="30"/>
          <w:szCs w:val="30"/>
          <w:lang w:val="zh-CN"/>
        </w:rPr>
      </w:pPr>
      <w:bookmarkStart w:id="51" w:name="_Toc494561955"/>
      <w:bookmarkStart w:id="52" w:name="_Toc495861536"/>
      <w:r>
        <w:rPr>
          <w:rFonts w:hint="eastAsia" w:cs="Times New Roman" w:asciiTheme="majorEastAsia" w:hAnsiTheme="majorEastAsia"/>
          <w:bCs w:val="0"/>
          <w:sz w:val="30"/>
          <w:szCs w:val="30"/>
          <w:lang w:val="zh-CN"/>
        </w:rPr>
        <w:t>技术、服务要求</w:t>
      </w:r>
      <w:bookmarkEnd w:id="51"/>
      <w:bookmarkEnd w:id="52"/>
    </w:p>
    <w:p>
      <w:pPr>
        <w:keepNext/>
        <w:keepLines/>
        <w:spacing w:before="260" w:after="260" w:line="416" w:lineRule="auto"/>
        <w:outlineLvl w:val="1"/>
        <w:rPr>
          <w:rFonts w:ascii="Cambria" w:hAnsi="Cambria" w:eastAsia="宋体" w:cs="Times New Roman"/>
          <w:b/>
          <w:bCs/>
          <w:sz w:val="30"/>
          <w:szCs w:val="30"/>
          <w:lang w:val="zh-CN" w:eastAsia="zh-CN"/>
        </w:rPr>
      </w:pPr>
      <w:bookmarkStart w:id="53" w:name="_Toc495861537"/>
      <w:bookmarkStart w:id="54" w:name="_Toc494561956"/>
      <w:r>
        <w:rPr>
          <w:rFonts w:hint="eastAsia" w:ascii="Cambria" w:hAnsi="Cambria" w:eastAsia="宋体" w:cs="Times New Roman"/>
          <w:b/>
          <w:bCs/>
          <w:sz w:val="30"/>
          <w:szCs w:val="30"/>
          <w:lang w:val="zh-CN"/>
        </w:rPr>
        <w:t>（一）</w:t>
      </w:r>
      <w:r>
        <w:rPr>
          <w:rFonts w:hint="eastAsia" w:ascii="Cambria" w:hAnsi="Cambria" w:eastAsia="宋体" w:cs="Times New Roman"/>
          <w:b/>
          <w:bCs/>
          <w:sz w:val="24"/>
          <w:szCs w:val="30"/>
          <w:lang w:val="zh-CN" w:eastAsia="zh-CN"/>
        </w:rPr>
        <w:t>心电网络系统平台技术参数要求</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针对医院目前心电检查的现状，完善现有的心电图检查流程，使全院的心电图检查，心电图数据、各种电生理数据、报告实现数字化，网络化，无纸化集中管理。</w:t>
      </w:r>
    </w:p>
    <w:p>
      <w:pPr>
        <w:spacing w:after="120"/>
        <w:rPr>
          <w:rFonts w:ascii="Times New Roman" w:hAnsi="Times New Roman" w:eastAsia="宋体" w:cs="Times New Roman"/>
          <w:sz w:val="24"/>
          <w:szCs w:val="24"/>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系统架构：</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系统能够支持市面上各种品牌心电设备信息的数字化采集、统一存储、管理，不接纳第三方接口的方式；保证今后扩增引进各类品牌心电仪器的有效接入，接口程序支持检查病人基本信息的自动获取；</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★系统能与医院现有心电图机进行对接，将病房心电图数据传输给心电医生远程分析；</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软件系统通IHE数字心电诊断系统集成模式和功能角色的专项测试。集成测试包括：静息心电工作流程(REWF)、检索心电图显示(ECG)、可显示的报告(DRPT)；功能角色包括：证据创建者（EC）、图像显示（ID）、集成的ECG管理者（INTEGRATED-ECG-MANGER）、心电图数据源（INFO_SRC）、报告管理/仓库（IntegratedReportManger/Repository）</w:t>
      </w:r>
    </w:p>
    <w:p>
      <w:pPr>
        <w:spacing w:line="360" w:lineRule="auto"/>
        <w:rPr>
          <w:rFonts w:ascii="宋体" w:hAnsi="宋体" w:eastAsia="宋体" w:cs="Times New Roman"/>
          <w:sz w:val="24"/>
          <w:szCs w:val="24"/>
        </w:rPr>
      </w:pPr>
      <w:r>
        <w:rPr>
          <w:rFonts w:hint="eastAsia" w:ascii="宋体" w:hAnsi="宋体" w:eastAsia="宋体" w:cs="Times New Roman"/>
          <w:sz w:val="24"/>
          <w:szCs w:val="24"/>
        </w:rPr>
        <w:t>【软件产品全部通过IHE以上全部集成模式和功能角色的专项测试，并提供IHE整体产品通过测试的相关证书复印件】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手机端功能的实现</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支持安卓系统、IOS系统智能手机客户端浏览图形，分析图形并发报告，图形可通过触屏方式进行放大、缩小、测量等；手机端软件可直接调整图形的滤波、图谱、导联布局，进行心电图诊断时使用软件内置词库及符号；</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(2)手机端软件可进行微信分享，支持数据在微信中打开，需要显示原始数据，支持走速、增益的调整，并支持导联布局的切换；</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(3)手机端软件具备危急值报告、会诊请求功能；</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静态心电数据采集存储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技师或护士在操作心电设备为患者检查时，系统会自动填充病人的检查信息，显示出结果来。支持WORKLIST，支持扫描条码腕带。</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常规心电以HL7-aECG格式保存，能转换为MFER,CDA,PDF,DICOM中的至少两项国际标准。</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电生理数据处理</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针对电生理设备，需要提供电生理软件将病人的原始数据进行无损压缩，制作引导程序，对病人的基本信息和原始数据进行归档，存储在核心服务器中，方便数据的查询与统计，解决电生理设备主机存储量小的问题，且电生理软件须与心电系统软件为同一软件系统。</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★能够处理医院脑电图数据的获取、解析、报告与归档；【须提供所投产品的合法证明文件，证明时须圈出相应内容】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★能够处理医院肌电图数据的获取、解析、报告与归档；【须提供所投产品的合法证明文件，证明时须圈出相应内容】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能够处理医院诱发电位数据的获取、解析、报告与归档；【须提供所投产品的合法证明文件，证明时须圈出相应内容】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rPr>
        <w:tab/>
      </w:r>
      <w:r>
        <w:rPr>
          <w:rFonts w:hint="eastAsia" w:ascii="宋体" w:hAnsi="宋体" w:eastAsia="宋体" w:cs="Times New Roman"/>
          <w:sz w:val="24"/>
          <w:szCs w:val="24"/>
        </w:rPr>
        <w:t xml:space="preserve">★能够处理医院动态心电图数据的获取、解析、报告与归档；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rPr>
        <w:tab/>
      </w:r>
      <w:r>
        <w:rPr>
          <w:rFonts w:hint="eastAsia" w:ascii="宋体" w:hAnsi="宋体" w:eastAsia="宋体" w:cs="Times New Roman"/>
          <w:sz w:val="24"/>
          <w:szCs w:val="24"/>
        </w:rPr>
        <w:t>★能够处理医院动态血压数据的获取、解析、报告与归档；【须提供所投产品的合法证明文件，证明时须圈出相应内容】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rPr>
        <w:tab/>
      </w:r>
      <w:r>
        <w:rPr>
          <w:rFonts w:hint="eastAsia" w:ascii="宋体" w:hAnsi="宋体" w:eastAsia="宋体" w:cs="Times New Roman"/>
          <w:sz w:val="24"/>
          <w:szCs w:val="24"/>
        </w:rPr>
        <w:t>★针对电生理的报告系统，提供了PDF的解析功能，根据用户的需求，自动获取有用的数据，进行归档、自动生成电生理报告，并把该报告再院内共享；【须提供所投产品的合法证明文件，证明时须圈出相应内容】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rPr>
        <w:tab/>
      </w:r>
      <w:r>
        <w:rPr>
          <w:rFonts w:hint="eastAsia" w:ascii="宋体" w:hAnsi="宋体" w:eastAsia="宋体" w:cs="Times New Roman"/>
          <w:sz w:val="24"/>
          <w:szCs w:val="24"/>
        </w:rPr>
        <w:t>★数据解析与提取：对获取的电子文档进行OCR处理（BMP或JPG文档）或对PDF文字内容提取，并对提取的信息进行分析；【须提供所投产品的合法证明文件，证明时须圈出相应内容】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w:t>
      </w:r>
      <w:r>
        <w:rPr>
          <w:rFonts w:hint="eastAsia" w:ascii="宋体" w:hAnsi="宋体" w:eastAsia="宋体" w:cs="Times New Roman"/>
          <w:sz w:val="24"/>
          <w:szCs w:val="24"/>
        </w:rPr>
        <w:tab/>
      </w:r>
      <w:r>
        <w:rPr>
          <w:rFonts w:hint="eastAsia" w:ascii="宋体" w:hAnsi="宋体" w:eastAsia="宋体" w:cs="Times New Roman"/>
          <w:sz w:val="24"/>
          <w:szCs w:val="24"/>
        </w:rPr>
        <w:t>数据归档和管理：对获取的数据归档后，在科室内实现数字化管理，在院内实现共享；【须提供所投产品的合法证明文件，证明时须圈出相应内容】</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关键数据分析功能要求</w:t>
      </w:r>
      <w:r>
        <w:rPr>
          <w:rFonts w:hint="eastAsia" w:ascii="宋体" w:hAnsi="宋体" w:eastAsia="宋体" w:cs="Times New Roman"/>
          <w:sz w:val="24"/>
          <w:szCs w:val="24"/>
        </w:rPr>
        <w:tab/>
      </w:r>
    </w:p>
    <w:p>
      <w:pPr>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具有向量（VCG）分析技术【提供标注该功能的合法证明文件的复印件和软件界面截图】</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具有频谱心电（FCG）分析技术【提供标注该功能的合法证明文件的复印件和软件界面截图】</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具有心电事件管理技术【提供标注该功能的合法证明文件的复印件和软件界面截图】</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rPr>
        <w:tab/>
      </w:r>
      <w:r>
        <w:rPr>
          <w:rFonts w:hint="eastAsia" w:ascii="宋体" w:hAnsi="宋体" w:eastAsia="宋体" w:cs="Times New Roman"/>
          <w:sz w:val="24"/>
          <w:szCs w:val="24"/>
        </w:rPr>
        <w:t>具有起搏心电提示功能【提供标注该功能的合法证明文件的复印件和软件界面截图】</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rPr>
        <w:tab/>
      </w:r>
      <w:r>
        <w:rPr>
          <w:rFonts w:hint="eastAsia" w:ascii="宋体" w:hAnsi="宋体" w:eastAsia="宋体" w:cs="Times New Roman"/>
          <w:sz w:val="24"/>
          <w:szCs w:val="24"/>
        </w:rPr>
        <w:t>具有阿托品药物试验功能【提供标注该功能的合法证明文件的复印件和软件界面截图】</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rPr>
        <w:tab/>
      </w:r>
      <w:r>
        <w:rPr>
          <w:rFonts w:hint="eastAsia" w:ascii="宋体" w:hAnsi="宋体" w:eastAsia="宋体" w:cs="Times New Roman"/>
          <w:sz w:val="24"/>
          <w:szCs w:val="24"/>
        </w:rPr>
        <w:t>具有梯形图生成技术【提供标注该功能的合法证明文件的复印件和软件界面截图】</w:t>
      </w:r>
    </w:p>
    <w:p>
      <w:pPr>
        <w:spacing w:line="360" w:lineRule="auto"/>
        <w:rPr>
          <w:rFonts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rPr>
        <w:tab/>
      </w:r>
      <w:r>
        <w:rPr>
          <w:rFonts w:hint="eastAsia" w:ascii="宋体" w:hAnsi="宋体" w:eastAsia="宋体" w:cs="Times New Roman"/>
          <w:sz w:val="24"/>
          <w:szCs w:val="24"/>
        </w:rPr>
        <w:t>漏诊提示功能：软件通过分析，可以准确的识别出无法准确显示的切迹和顿挫，并用特殊的颜色将这些区域显示出来，提示诊断医生，以防止忽略这些细节造成漏诊。【须提供软件截图及相关合法证明文件的复印件】</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w:t>
      </w:r>
      <w:r>
        <w:rPr>
          <w:rFonts w:hint="eastAsia" w:ascii="宋体" w:hAnsi="宋体" w:eastAsia="宋体" w:cs="Times New Roman"/>
          <w:sz w:val="24"/>
          <w:szCs w:val="24"/>
        </w:rPr>
        <w:tab/>
      </w:r>
      <w:r>
        <w:rPr>
          <w:rFonts w:hint="eastAsia" w:ascii="宋体" w:hAnsi="宋体" w:eastAsia="宋体" w:cs="Times New Roman"/>
          <w:sz w:val="24"/>
          <w:szCs w:val="24"/>
        </w:rPr>
        <w:t>危急值管理：系统中具有危急值处理流程 ，演示在待诊断列表中，标明该待检查病人为危急；通过即时消息，在待诊断队列中提示，当前诊断组中的医生都可以优先处理该检查； 通过系统配置，给科室主任发送短信，短信中可以包括该检查的波形及自动诊断的结论。科主任可以通过智能终端查看波形。</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w:t>
      </w:r>
      <w:r>
        <w:rPr>
          <w:rFonts w:hint="eastAsia" w:ascii="宋体" w:hAnsi="宋体" w:eastAsia="宋体" w:cs="Times New Roman"/>
          <w:sz w:val="24"/>
          <w:szCs w:val="24"/>
        </w:rPr>
        <w:tab/>
      </w:r>
      <w:r>
        <w:rPr>
          <w:rFonts w:hint="eastAsia" w:ascii="宋体" w:hAnsi="宋体" w:eastAsia="宋体" w:cs="Times New Roman"/>
          <w:sz w:val="24"/>
          <w:szCs w:val="24"/>
        </w:rPr>
        <w:t>★导联纠错功能：如果心电图数据因为导联接反或者胸导联接错位置而导致数据不对，无需重新采集病人数据，医生可以通过软件进行纠正，且进入该功能界面后，导联纠错的软件操作步骤不超过3步。</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WEB终端浏览</w:t>
      </w:r>
      <w:r>
        <w:rPr>
          <w:rFonts w:hint="eastAsia" w:ascii="宋体" w:hAnsi="宋体" w:eastAsia="宋体" w:cs="Times New Roman"/>
          <w:sz w:val="24"/>
          <w:szCs w:val="24"/>
        </w:rPr>
        <w:tab/>
      </w:r>
    </w:p>
    <w:p>
      <w:pPr>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嵌入门诊医生站、住院电子病历系统。当心电图专业医生确认检查报告后，在全院的医生工作站上就可以浏览到具有查看权限的心电图结论，心电波形和打印带网格的心电图报告。Web浏览无需安装控件，可以查看原始数据，可以调整走速和增益。</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具有在线心电图分析功能，查看长时间原始心电波形；提供心电图处理测量功能，波形显示、幅值调整、单页多页显示、新旧病历对比功能、心拍自动分析、心拍特征点自动识别、心拍特征点手动微调、走纸速度调整、波形放大等功能</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对接要求</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免费与排队叫号系统对接；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免费接入现有心电图机和动态心电图机；</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免费与HIS、EMR、PACS、体检等系统对接；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rPr>
        <w:tab/>
      </w:r>
      <w:r>
        <w:rPr>
          <w:rFonts w:hint="eastAsia" w:ascii="宋体" w:hAnsi="宋体" w:eastAsia="宋体" w:cs="Times New Roman"/>
          <w:sz w:val="24"/>
          <w:szCs w:val="24"/>
        </w:rPr>
        <w:t>免费与自助打印设备对接；</w:t>
      </w:r>
    </w:p>
    <w:p>
      <w:pPr>
        <w:keepNext/>
        <w:keepLines/>
        <w:spacing w:before="260" w:after="260" w:line="416" w:lineRule="auto"/>
        <w:outlineLvl w:val="1"/>
        <w:rPr>
          <w:rFonts w:ascii="Cambria" w:hAnsi="Cambria" w:eastAsia="宋体" w:cs="Times New Roman"/>
          <w:b/>
          <w:bCs/>
          <w:sz w:val="24"/>
          <w:szCs w:val="24"/>
          <w:lang w:val="zh-CN" w:eastAsia="zh-CN"/>
        </w:rPr>
      </w:pPr>
      <w:r>
        <w:rPr>
          <w:rFonts w:hint="eastAsia" w:ascii="Cambria" w:hAnsi="Cambria" w:eastAsia="宋体" w:cs="Times New Roman"/>
          <w:b/>
          <w:bCs/>
          <w:sz w:val="24"/>
          <w:szCs w:val="24"/>
          <w:lang w:val="zh-CN"/>
        </w:rPr>
        <w:t>（二）</w:t>
      </w:r>
      <w:r>
        <w:rPr>
          <w:rFonts w:hint="eastAsia" w:ascii="Cambria" w:hAnsi="Cambria" w:eastAsia="宋体" w:cs="Times New Roman"/>
          <w:b/>
          <w:bCs/>
          <w:sz w:val="24"/>
          <w:szCs w:val="24"/>
          <w:lang w:val="zh-CN" w:eastAsia="zh-CN"/>
        </w:rPr>
        <w:t>心电图机和其他项目参数要求</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院内12导联心电图采集设备要求：</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心电采集：本项目要求提供一体化标准12导联数字式心电图机，而非心电工作站或其他组合式心电采集装置【提供医疗器械注册证复印件进行证明】</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★设备应方便携带，主机（不含配件）总重量≤2.0kg【须提供所投产品的合法有效证明文件，证明时须圈出相应内容】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★设备应自带存储且大于等于8GB，在不需要扩展存储卡存储的情况下，能存储超过10000份15秒以上的心电图数据。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rPr>
        <w:tab/>
      </w:r>
      <w:r>
        <w:rPr>
          <w:rFonts w:hint="eastAsia" w:ascii="宋体" w:hAnsi="宋体" w:eastAsia="宋体" w:cs="Times New Roman"/>
          <w:sz w:val="24"/>
          <w:szCs w:val="24"/>
        </w:rPr>
        <w:t>★设备心电采样率须≥32k；</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rPr>
        <w:tab/>
      </w:r>
      <w:r>
        <w:rPr>
          <w:rFonts w:hint="eastAsia" w:ascii="宋体" w:hAnsi="宋体" w:eastAsia="宋体" w:cs="Times New Roman"/>
          <w:sz w:val="24"/>
          <w:szCs w:val="24"/>
        </w:rPr>
        <w:t>★设备电池容量须≥10000mAh，支持Micro usb口充电</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rPr>
        <w:tab/>
      </w:r>
      <w:r>
        <w:rPr>
          <w:rFonts w:hint="eastAsia" w:ascii="宋体" w:hAnsi="宋体" w:eastAsia="宋体" w:cs="Times New Roman"/>
          <w:sz w:val="24"/>
          <w:szCs w:val="24"/>
        </w:rPr>
        <w:t>输入回路输入阻抗和电流：阻抗≥10MΩ（10Hz时）,电流≤0.1μA；</w:t>
      </w:r>
    </w:p>
    <w:p>
      <w:pPr>
        <w:spacing w:line="360" w:lineRule="auto"/>
        <w:rPr>
          <w:rFonts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rPr>
        <w:tab/>
      </w:r>
      <w:r>
        <w:rPr>
          <w:rFonts w:hint="eastAsia" w:ascii="宋体" w:hAnsi="宋体" w:eastAsia="宋体" w:cs="Times New Roman"/>
          <w:sz w:val="24"/>
          <w:szCs w:val="24"/>
        </w:rPr>
        <w:t>定标电压：1mV、允差±2%；灵敏度控制和耐极化电压： 5 mm/mV、10 mm/mV、20 mm/mV，误差±5%；灵敏度变化范围±5%（加±600mV直流极化电压）；</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w:t>
      </w:r>
      <w:r>
        <w:rPr>
          <w:rFonts w:hint="eastAsia" w:ascii="宋体" w:hAnsi="宋体" w:eastAsia="宋体" w:cs="Times New Roman"/>
          <w:sz w:val="24"/>
          <w:szCs w:val="24"/>
        </w:rPr>
        <w:tab/>
      </w:r>
      <w:r>
        <w:rPr>
          <w:rFonts w:hint="eastAsia" w:ascii="宋体" w:hAnsi="宋体" w:eastAsia="宋体" w:cs="Times New Roman"/>
          <w:sz w:val="24"/>
          <w:szCs w:val="24"/>
        </w:rPr>
        <w:t>最小检测信号：10Hz、20μVP-P正弦信号；</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w:t>
      </w:r>
      <w:r>
        <w:rPr>
          <w:rFonts w:hint="eastAsia" w:ascii="宋体" w:hAnsi="宋体" w:eastAsia="宋体" w:cs="Times New Roman"/>
          <w:sz w:val="24"/>
          <w:szCs w:val="24"/>
        </w:rPr>
        <w:tab/>
      </w:r>
      <w:r>
        <w:rPr>
          <w:rFonts w:hint="eastAsia" w:ascii="宋体" w:hAnsi="宋体" w:eastAsia="宋体" w:cs="Times New Roman"/>
          <w:sz w:val="24"/>
          <w:szCs w:val="24"/>
        </w:rPr>
        <w:t>噪声电平：≤15μVP-P；共模抑制比：≥89dB；50Hz干扰抑制滤波器：≥20dB；</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w:t>
      </w:r>
      <w:r>
        <w:rPr>
          <w:rFonts w:hint="eastAsia" w:ascii="宋体" w:hAnsi="宋体" w:eastAsia="宋体" w:cs="Times New Roman"/>
          <w:sz w:val="24"/>
          <w:szCs w:val="24"/>
        </w:rPr>
        <w:tab/>
      </w:r>
      <w:r>
        <w:rPr>
          <w:rFonts w:hint="eastAsia" w:ascii="宋体" w:hAnsi="宋体" w:eastAsia="宋体" w:cs="Times New Roman"/>
          <w:sz w:val="24"/>
          <w:szCs w:val="24"/>
        </w:rPr>
        <w:t>幅频特性：不小于0.05Hz～250Hz（-3.0dB～+0.4dB）；低频特性：时间常数≥3.2s；</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(11)</w:t>
      </w:r>
      <w:r>
        <w:rPr>
          <w:rFonts w:hint="eastAsia" w:ascii="宋体" w:hAnsi="宋体" w:eastAsia="宋体" w:cs="Times New Roman"/>
          <w:sz w:val="24"/>
          <w:szCs w:val="24"/>
        </w:rPr>
        <w:tab/>
      </w:r>
      <w:r>
        <w:rPr>
          <w:rFonts w:hint="eastAsia" w:ascii="宋体" w:hAnsi="宋体" w:eastAsia="宋体" w:cs="Times New Roman"/>
          <w:sz w:val="24"/>
          <w:szCs w:val="24"/>
        </w:rPr>
        <w:t>基线稳定性：基线漂移≤1mm,温度漂移≤0.5mm/℃；</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(12)</w:t>
      </w:r>
      <w:r>
        <w:rPr>
          <w:rFonts w:hint="eastAsia" w:ascii="宋体" w:hAnsi="宋体" w:eastAsia="宋体" w:cs="Times New Roman"/>
          <w:sz w:val="24"/>
          <w:szCs w:val="24"/>
        </w:rPr>
        <w:tab/>
      </w:r>
      <w:r>
        <w:rPr>
          <w:rFonts w:hint="eastAsia" w:ascii="宋体" w:hAnsi="宋体" w:eastAsia="宋体" w:cs="Times New Roman"/>
          <w:sz w:val="24"/>
          <w:szCs w:val="24"/>
        </w:rPr>
        <w:t>扫描速度：12.5mm/s,25.0mm/s,50.0mm/s,误差±5%；</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(13)</w:t>
      </w:r>
      <w:r>
        <w:rPr>
          <w:rFonts w:hint="eastAsia" w:ascii="宋体" w:hAnsi="宋体" w:eastAsia="宋体" w:cs="Times New Roman"/>
          <w:sz w:val="24"/>
          <w:szCs w:val="24"/>
        </w:rPr>
        <w:tab/>
      </w:r>
      <w:r>
        <w:rPr>
          <w:rFonts w:hint="eastAsia" w:ascii="宋体" w:hAnsi="宋体" w:eastAsia="宋体" w:cs="Times New Roman"/>
          <w:sz w:val="24"/>
          <w:szCs w:val="24"/>
        </w:rPr>
        <w:t>符合最新国际电工协会IEC60601-2-51  2003标准；</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(14)</w:t>
      </w:r>
      <w:r>
        <w:rPr>
          <w:rFonts w:hint="eastAsia" w:ascii="宋体" w:hAnsi="宋体" w:eastAsia="宋体" w:cs="Times New Roman"/>
          <w:sz w:val="24"/>
          <w:szCs w:val="24"/>
        </w:rPr>
        <w:tab/>
      </w:r>
      <w:r>
        <w:rPr>
          <w:rFonts w:hint="eastAsia" w:ascii="宋体" w:hAnsi="宋体" w:eastAsia="宋体" w:cs="Times New Roman"/>
          <w:sz w:val="24"/>
          <w:szCs w:val="24"/>
        </w:rPr>
        <w:t>★操作系统版本应不低于Android 5.1系统，支持海量Android APK，更新程序更便捷；</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(15)</w:t>
      </w:r>
      <w:r>
        <w:rPr>
          <w:rFonts w:hint="eastAsia" w:ascii="宋体" w:hAnsi="宋体" w:eastAsia="宋体" w:cs="Times New Roman"/>
          <w:sz w:val="24"/>
          <w:szCs w:val="24"/>
        </w:rPr>
        <w:tab/>
      </w:r>
      <w:r>
        <w:rPr>
          <w:rFonts w:hint="eastAsia" w:ascii="宋体" w:hAnsi="宋体" w:eastAsia="宋体" w:cs="Times New Roman"/>
          <w:sz w:val="24"/>
          <w:szCs w:val="24"/>
        </w:rPr>
        <w:t>★配有LAN、USB与RS232接口；</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(16)</w:t>
      </w:r>
      <w:r>
        <w:rPr>
          <w:rFonts w:hint="eastAsia" w:ascii="宋体" w:hAnsi="宋体" w:eastAsia="宋体" w:cs="Times New Roman"/>
          <w:sz w:val="24"/>
          <w:szCs w:val="24"/>
        </w:rPr>
        <w:tab/>
      </w:r>
      <w:r>
        <w:rPr>
          <w:rFonts w:hint="eastAsia" w:ascii="宋体" w:hAnsi="宋体" w:eastAsia="宋体" w:cs="Times New Roman"/>
          <w:sz w:val="24"/>
          <w:szCs w:val="24"/>
        </w:rPr>
        <w:t>★心电图机支持使用内置Micro SIM卡卡槽，卡槽支持4G全网通制式功能；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(17)</w:t>
      </w:r>
      <w:r>
        <w:rPr>
          <w:rFonts w:hint="eastAsia" w:ascii="宋体" w:hAnsi="宋体" w:eastAsia="宋体" w:cs="Times New Roman"/>
          <w:sz w:val="24"/>
          <w:szCs w:val="24"/>
        </w:rPr>
        <w:tab/>
      </w:r>
      <w:r>
        <w:rPr>
          <w:rFonts w:hint="eastAsia" w:ascii="宋体" w:hAnsi="宋体" w:eastAsia="宋体" w:cs="Times New Roman"/>
          <w:sz w:val="24"/>
          <w:szCs w:val="24"/>
        </w:rPr>
        <w:t>★心电图机标配内置原装无线WIFI模块（非外接WIFI装置的解决方案），支持双频WIFI（2.4GHz及5.0GHz）；【提供合法有效证明文件的复印件进行证明】</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(18)</w:t>
      </w:r>
      <w:r>
        <w:rPr>
          <w:rFonts w:hint="eastAsia" w:ascii="宋体" w:hAnsi="宋体" w:eastAsia="宋体" w:cs="Times New Roman"/>
          <w:sz w:val="24"/>
          <w:szCs w:val="24"/>
        </w:rPr>
        <w:tab/>
      </w:r>
      <w:r>
        <w:rPr>
          <w:rFonts w:hint="eastAsia" w:ascii="宋体" w:hAnsi="宋体" w:eastAsia="宋体" w:cs="Times New Roman"/>
          <w:sz w:val="24"/>
          <w:szCs w:val="24"/>
        </w:rPr>
        <w:t>★心电图机支持低功耗蓝牙4.1技术；【提供合法有效证明文件的复印件进行证明】</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(19)</w:t>
      </w:r>
      <w:r>
        <w:rPr>
          <w:rFonts w:hint="eastAsia" w:ascii="宋体" w:hAnsi="宋体" w:eastAsia="宋体" w:cs="Times New Roman"/>
          <w:sz w:val="24"/>
          <w:szCs w:val="24"/>
        </w:rPr>
        <w:tab/>
      </w:r>
      <w:r>
        <w:rPr>
          <w:rFonts w:hint="eastAsia" w:ascii="宋体" w:hAnsi="宋体" w:eastAsia="宋体" w:cs="Times New Roman"/>
          <w:sz w:val="24"/>
          <w:szCs w:val="24"/>
        </w:rPr>
        <w:t>支持运动去伪迹处理，可以矫正婴幼儿身体抖动引起的干扰</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(20)</w:t>
      </w:r>
      <w:r>
        <w:rPr>
          <w:rFonts w:hint="eastAsia" w:ascii="宋体" w:hAnsi="宋体" w:eastAsia="宋体" w:cs="Times New Roman"/>
          <w:sz w:val="24"/>
          <w:szCs w:val="24"/>
        </w:rPr>
        <w:tab/>
      </w:r>
      <w:r>
        <w:rPr>
          <w:rFonts w:hint="eastAsia" w:ascii="宋体" w:hAnsi="宋体" w:eastAsia="宋体" w:cs="Times New Roman"/>
          <w:sz w:val="24"/>
          <w:szCs w:val="24"/>
        </w:rPr>
        <w:t>★支持连续不间断采集30分钟以上心电图波形，并保存和上传【提供合法证明文件】</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(21)</w:t>
      </w:r>
      <w:r>
        <w:rPr>
          <w:rFonts w:hint="eastAsia" w:ascii="宋体" w:hAnsi="宋体" w:eastAsia="宋体" w:cs="Times New Roman"/>
          <w:sz w:val="24"/>
          <w:szCs w:val="24"/>
        </w:rPr>
        <w:tab/>
      </w:r>
      <w:r>
        <w:rPr>
          <w:rFonts w:hint="eastAsia" w:ascii="宋体" w:hAnsi="宋体" w:eastAsia="宋体" w:cs="Times New Roman"/>
          <w:sz w:val="24"/>
          <w:szCs w:val="24"/>
        </w:rPr>
        <w:t>★心电图机显示屏大小≥10英寸，应为支持多点触控的LCD电容显示屏，分辨率超过800×1280像素；</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(22)</w:t>
      </w:r>
      <w:r>
        <w:rPr>
          <w:rFonts w:hint="eastAsia" w:ascii="宋体" w:hAnsi="宋体" w:eastAsia="宋体" w:cs="Times New Roman"/>
          <w:sz w:val="24"/>
          <w:szCs w:val="24"/>
        </w:rPr>
        <w:tab/>
      </w:r>
      <w:r>
        <w:rPr>
          <w:rFonts w:hint="eastAsia" w:ascii="宋体" w:hAnsi="宋体" w:eastAsia="宋体" w:cs="Times New Roman"/>
          <w:sz w:val="24"/>
          <w:szCs w:val="24"/>
        </w:rPr>
        <w:t>可输出XML、PDF、HL7、DICOM格式；</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(23)</w:t>
      </w:r>
      <w:r>
        <w:rPr>
          <w:rFonts w:hint="eastAsia" w:ascii="宋体" w:hAnsi="宋体" w:eastAsia="宋体" w:cs="Times New Roman"/>
          <w:sz w:val="24"/>
          <w:szCs w:val="24"/>
        </w:rPr>
        <w:tab/>
      </w:r>
      <w:r>
        <w:rPr>
          <w:rFonts w:hint="eastAsia" w:ascii="宋体" w:hAnsi="宋体" w:eastAsia="宋体" w:cs="Times New Roman"/>
          <w:sz w:val="24"/>
          <w:szCs w:val="24"/>
        </w:rPr>
        <w:t>电磁兼容的要求应符合YY0505-2012《医用电气设备 第1-2部分:安全通用要求 并列标准：电磁兼容要求和试验》的要求电气安全性能；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(24)</w:t>
      </w:r>
      <w:r>
        <w:rPr>
          <w:rFonts w:hint="eastAsia" w:ascii="宋体" w:hAnsi="宋体" w:eastAsia="宋体" w:cs="Times New Roman"/>
          <w:sz w:val="24"/>
          <w:szCs w:val="24"/>
        </w:rPr>
        <w:tab/>
      </w:r>
      <w:r>
        <w:rPr>
          <w:rFonts w:hint="eastAsia" w:ascii="宋体" w:hAnsi="宋体" w:eastAsia="宋体" w:cs="Times New Roman"/>
          <w:sz w:val="24"/>
          <w:szCs w:val="24"/>
        </w:rPr>
        <w:t>应符合GB 9706.1-2007、GB10793-2000、和YY0782-2010的要求；</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(25)</w:t>
      </w:r>
      <w:r>
        <w:rPr>
          <w:rFonts w:hint="eastAsia" w:ascii="宋体" w:hAnsi="宋体" w:eastAsia="宋体" w:cs="Times New Roman"/>
          <w:sz w:val="24"/>
          <w:szCs w:val="24"/>
        </w:rPr>
        <w:tab/>
      </w:r>
      <w:r>
        <w:rPr>
          <w:rFonts w:hint="eastAsia" w:ascii="宋体" w:hAnsi="宋体" w:eastAsia="宋体" w:cs="Times New Roman"/>
          <w:sz w:val="24"/>
          <w:szCs w:val="24"/>
        </w:rPr>
        <w:t>具有采集前五秒的数据回顾功能，方便捕捉偶发心率失常数据；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(26)</w:t>
      </w:r>
      <w:r>
        <w:rPr>
          <w:rFonts w:hint="eastAsia" w:ascii="宋体" w:hAnsi="宋体" w:eastAsia="宋体" w:cs="Times New Roman"/>
          <w:sz w:val="24"/>
          <w:szCs w:val="24"/>
        </w:rPr>
        <w:tab/>
      </w:r>
      <w:r>
        <w:rPr>
          <w:rFonts w:hint="eastAsia" w:ascii="宋体" w:hAnsi="宋体" w:eastAsia="宋体" w:cs="Times New Roman"/>
          <w:sz w:val="24"/>
          <w:szCs w:val="24"/>
        </w:rPr>
        <w:t>★设备支持worklist，可直接将HIS系统的心电图检查申请单下载到心电图机，无需人工在心电图机中创建患者检查申请单，设备可直接查看到患者住院号、姓名、性别、年龄、检查类型、申请科室等重要信息，以方便工作人员对应到患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(27)</w:t>
      </w:r>
      <w:r>
        <w:rPr>
          <w:rFonts w:hint="eastAsia" w:ascii="宋体" w:hAnsi="宋体" w:eastAsia="宋体" w:cs="Times New Roman"/>
          <w:sz w:val="24"/>
          <w:szCs w:val="24"/>
        </w:rPr>
        <w:tab/>
      </w:r>
      <w:r>
        <w:rPr>
          <w:rFonts w:hint="eastAsia" w:ascii="宋体" w:hAnsi="宋体" w:eastAsia="宋体" w:cs="Times New Roman"/>
          <w:sz w:val="24"/>
          <w:szCs w:val="24"/>
        </w:rPr>
        <w:t>★网络出现问题时，可以单机版操作，并支持断点续传，无须再人工操作上传。</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(28)</w:t>
      </w:r>
      <w:r>
        <w:rPr>
          <w:rFonts w:hint="eastAsia" w:ascii="宋体" w:hAnsi="宋体" w:eastAsia="宋体" w:cs="Times New Roman"/>
          <w:sz w:val="24"/>
          <w:szCs w:val="24"/>
        </w:rPr>
        <w:tab/>
      </w:r>
      <w:r>
        <w:rPr>
          <w:rFonts w:hint="eastAsia" w:ascii="宋体" w:hAnsi="宋体" w:eastAsia="宋体" w:cs="Times New Roman"/>
          <w:sz w:val="24"/>
          <w:szCs w:val="24"/>
        </w:rPr>
        <w:t>设备通过IHE测试</w:t>
      </w:r>
    </w:p>
    <w:p>
      <w:pPr>
        <w:spacing w:after="120"/>
        <w:rPr>
          <w:rFonts w:ascii="Times New Roman" w:hAnsi="Times New Roman" w:eastAsia="宋体" w:cs="Times New Roman"/>
          <w:sz w:val="24"/>
          <w:szCs w:val="24"/>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18导联心电图采集设备要求：</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心电采集：可同步18导心电图采集，一次性实现18导联心电图采集；【提供医疗器械注册证复印件进行证明】</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★设备应方便携带，主机（不含配件）总重量≤2.5kg【须提供所投产品的合法有效证明文件，证明时须圈出相应内容】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★设备应自带存储且大于等于8GB，在不需要扩展存储卡存储的情况下，能存储超过10000份15秒以上的心电图数据。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rPr>
        <w:tab/>
      </w:r>
      <w:r>
        <w:rPr>
          <w:rFonts w:hint="eastAsia" w:ascii="宋体" w:hAnsi="宋体" w:eastAsia="宋体" w:cs="Times New Roman"/>
          <w:sz w:val="24"/>
          <w:szCs w:val="24"/>
        </w:rPr>
        <w:t>★设备心电采样率须≥32k；</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rPr>
        <w:tab/>
      </w:r>
      <w:r>
        <w:rPr>
          <w:rFonts w:hint="eastAsia" w:ascii="宋体" w:hAnsi="宋体" w:eastAsia="宋体" w:cs="Times New Roman"/>
          <w:sz w:val="24"/>
          <w:szCs w:val="24"/>
        </w:rPr>
        <w:t>★设备电池容量须≥10000mAh，支持Micro usb口充电</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rPr>
        <w:tab/>
      </w:r>
      <w:r>
        <w:rPr>
          <w:rFonts w:hint="eastAsia" w:ascii="宋体" w:hAnsi="宋体" w:eastAsia="宋体" w:cs="Times New Roman"/>
          <w:sz w:val="24"/>
          <w:szCs w:val="24"/>
        </w:rPr>
        <w:t>输入回路输入阻抗和电流：阻抗≥10MΩ（10Hz时）,电流≤0.1μA；</w:t>
      </w:r>
    </w:p>
    <w:p>
      <w:pPr>
        <w:spacing w:line="360" w:lineRule="auto"/>
        <w:rPr>
          <w:rFonts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rPr>
        <w:tab/>
      </w:r>
      <w:r>
        <w:rPr>
          <w:rFonts w:hint="eastAsia" w:ascii="宋体" w:hAnsi="宋体" w:eastAsia="宋体" w:cs="Times New Roman"/>
          <w:sz w:val="24"/>
          <w:szCs w:val="24"/>
        </w:rPr>
        <w:t>定标电压：1mV、允差±2%；灵敏度控制和耐极化电压： 5 mm/mV、10 mm/mV、20 mm/mV，误差±5%；灵敏度变化范围±5%（加±600mV直流极化电压）；</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w:t>
      </w:r>
      <w:r>
        <w:rPr>
          <w:rFonts w:hint="eastAsia" w:ascii="宋体" w:hAnsi="宋体" w:eastAsia="宋体" w:cs="Times New Roman"/>
          <w:sz w:val="24"/>
          <w:szCs w:val="24"/>
        </w:rPr>
        <w:tab/>
      </w:r>
      <w:r>
        <w:rPr>
          <w:rFonts w:hint="eastAsia" w:ascii="宋体" w:hAnsi="宋体" w:eastAsia="宋体" w:cs="Times New Roman"/>
          <w:sz w:val="24"/>
          <w:szCs w:val="24"/>
        </w:rPr>
        <w:t>最小检测信号：10Hz、20μVP-P正弦信号；</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w:t>
      </w:r>
      <w:r>
        <w:rPr>
          <w:rFonts w:hint="eastAsia" w:ascii="宋体" w:hAnsi="宋体" w:eastAsia="宋体" w:cs="Times New Roman"/>
          <w:sz w:val="24"/>
          <w:szCs w:val="24"/>
        </w:rPr>
        <w:tab/>
      </w:r>
      <w:r>
        <w:rPr>
          <w:rFonts w:hint="eastAsia" w:ascii="宋体" w:hAnsi="宋体" w:eastAsia="宋体" w:cs="Times New Roman"/>
          <w:sz w:val="24"/>
          <w:szCs w:val="24"/>
        </w:rPr>
        <w:t>噪声电平：≤15μVP-P；共模抑制比：≥89dB；50Hz干扰抑制滤波器：≥20dB；</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w:t>
      </w:r>
      <w:r>
        <w:rPr>
          <w:rFonts w:hint="eastAsia" w:ascii="宋体" w:hAnsi="宋体" w:eastAsia="宋体" w:cs="Times New Roman"/>
          <w:sz w:val="24"/>
          <w:szCs w:val="24"/>
        </w:rPr>
        <w:tab/>
      </w:r>
      <w:r>
        <w:rPr>
          <w:rFonts w:hint="eastAsia" w:ascii="宋体" w:hAnsi="宋体" w:eastAsia="宋体" w:cs="Times New Roman"/>
          <w:sz w:val="24"/>
          <w:szCs w:val="24"/>
        </w:rPr>
        <w:t>幅频特性：不小于0.05Hz～250Hz（-3.0dB～+0.4dB）；低频特性：时间常数≥3.2s；</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(11)</w:t>
      </w:r>
      <w:r>
        <w:rPr>
          <w:rFonts w:hint="eastAsia" w:ascii="宋体" w:hAnsi="宋体" w:eastAsia="宋体" w:cs="Times New Roman"/>
          <w:sz w:val="24"/>
          <w:szCs w:val="24"/>
        </w:rPr>
        <w:tab/>
      </w:r>
      <w:r>
        <w:rPr>
          <w:rFonts w:hint="eastAsia" w:ascii="宋体" w:hAnsi="宋体" w:eastAsia="宋体" w:cs="Times New Roman"/>
          <w:sz w:val="24"/>
          <w:szCs w:val="24"/>
        </w:rPr>
        <w:t>基线稳定性：基线漂移≤1mm,温度漂移≤0.5mm/℃；</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(12)</w:t>
      </w:r>
      <w:r>
        <w:rPr>
          <w:rFonts w:hint="eastAsia" w:ascii="宋体" w:hAnsi="宋体" w:eastAsia="宋体" w:cs="Times New Roman"/>
          <w:sz w:val="24"/>
          <w:szCs w:val="24"/>
        </w:rPr>
        <w:tab/>
      </w:r>
      <w:r>
        <w:rPr>
          <w:rFonts w:hint="eastAsia" w:ascii="宋体" w:hAnsi="宋体" w:eastAsia="宋体" w:cs="Times New Roman"/>
          <w:sz w:val="24"/>
          <w:szCs w:val="24"/>
        </w:rPr>
        <w:t>扫描速度：12.5mm/s,25.0mm/s,50.0mm/s,误差±5%；</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(13)</w:t>
      </w:r>
      <w:r>
        <w:rPr>
          <w:rFonts w:hint="eastAsia" w:ascii="宋体" w:hAnsi="宋体" w:eastAsia="宋体" w:cs="Times New Roman"/>
          <w:sz w:val="24"/>
          <w:szCs w:val="24"/>
        </w:rPr>
        <w:tab/>
      </w:r>
      <w:r>
        <w:rPr>
          <w:rFonts w:hint="eastAsia" w:ascii="宋体" w:hAnsi="宋体" w:eastAsia="宋体" w:cs="Times New Roman"/>
          <w:sz w:val="24"/>
          <w:szCs w:val="24"/>
        </w:rPr>
        <w:t>符合最新国际电工协会IEC60601-2-51  2003标准；</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(14)</w:t>
      </w:r>
      <w:r>
        <w:rPr>
          <w:rFonts w:hint="eastAsia" w:ascii="宋体" w:hAnsi="宋体" w:eastAsia="宋体" w:cs="Times New Roman"/>
          <w:sz w:val="24"/>
          <w:szCs w:val="24"/>
        </w:rPr>
        <w:tab/>
      </w:r>
      <w:r>
        <w:rPr>
          <w:rFonts w:hint="eastAsia" w:ascii="宋体" w:hAnsi="宋体" w:eastAsia="宋体" w:cs="Times New Roman"/>
          <w:sz w:val="24"/>
          <w:szCs w:val="24"/>
        </w:rPr>
        <w:t>★操作系统版本应不低于Android 5.1系统，支持海量Android APK，更新程序更便捷；</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(15)</w:t>
      </w:r>
      <w:r>
        <w:rPr>
          <w:rFonts w:hint="eastAsia" w:ascii="宋体" w:hAnsi="宋体" w:eastAsia="宋体" w:cs="Times New Roman"/>
          <w:sz w:val="24"/>
          <w:szCs w:val="24"/>
        </w:rPr>
        <w:tab/>
      </w:r>
      <w:r>
        <w:rPr>
          <w:rFonts w:hint="eastAsia" w:ascii="宋体" w:hAnsi="宋体" w:eastAsia="宋体" w:cs="Times New Roman"/>
          <w:sz w:val="24"/>
          <w:szCs w:val="24"/>
        </w:rPr>
        <w:t>★配有LAN、USB与RS232接口；</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(16)</w:t>
      </w:r>
      <w:r>
        <w:rPr>
          <w:rFonts w:hint="eastAsia" w:ascii="宋体" w:hAnsi="宋体" w:eastAsia="宋体" w:cs="Times New Roman"/>
          <w:sz w:val="24"/>
          <w:szCs w:val="24"/>
        </w:rPr>
        <w:tab/>
      </w:r>
      <w:r>
        <w:rPr>
          <w:rFonts w:hint="eastAsia" w:ascii="宋体" w:hAnsi="宋体" w:eastAsia="宋体" w:cs="Times New Roman"/>
          <w:sz w:val="24"/>
          <w:szCs w:val="24"/>
        </w:rPr>
        <w:t>★心电图机支持使用内置Micro SIM卡卡槽，卡槽支持4G全网通制式功能；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(17)</w:t>
      </w:r>
      <w:r>
        <w:rPr>
          <w:rFonts w:hint="eastAsia" w:ascii="宋体" w:hAnsi="宋体" w:eastAsia="宋体" w:cs="Times New Roman"/>
          <w:sz w:val="24"/>
          <w:szCs w:val="24"/>
        </w:rPr>
        <w:tab/>
      </w:r>
      <w:r>
        <w:rPr>
          <w:rFonts w:hint="eastAsia" w:ascii="宋体" w:hAnsi="宋体" w:eastAsia="宋体" w:cs="Times New Roman"/>
          <w:sz w:val="24"/>
          <w:szCs w:val="24"/>
        </w:rPr>
        <w:t>★心电图机标配内置原装无线WIFI模块（非外接WIFI装置的解决方案），支持双频WIFI（2.4GHz及5.0GHz）【提供合法证明文件的复印件进行证明】；</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(18)</w:t>
      </w:r>
      <w:r>
        <w:rPr>
          <w:rFonts w:hint="eastAsia" w:ascii="宋体" w:hAnsi="宋体" w:eastAsia="宋体" w:cs="Times New Roman"/>
          <w:sz w:val="24"/>
          <w:szCs w:val="24"/>
        </w:rPr>
        <w:tab/>
      </w:r>
      <w:r>
        <w:rPr>
          <w:rFonts w:hint="eastAsia" w:ascii="宋体" w:hAnsi="宋体" w:eastAsia="宋体" w:cs="Times New Roman"/>
          <w:sz w:val="24"/>
          <w:szCs w:val="24"/>
        </w:rPr>
        <w:t>★心电图机支持低功耗蓝牙4.1技术；【提供合法证明文件的复印件进行证明】</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(19)</w:t>
      </w:r>
      <w:r>
        <w:rPr>
          <w:rFonts w:hint="eastAsia" w:ascii="宋体" w:hAnsi="宋体" w:eastAsia="宋体" w:cs="Times New Roman"/>
          <w:sz w:val="24"/>
          <w:szCs w:val="24"/>
        </w:rPr>
        <w:tab/>
      </w:r>
      <w:r>
        <w:rPr>
          <w:rFonts w:hint="eastAsia" w:ascii="宋体" w:hAnsi="宋体" w:eastAsia="宋体" w:cs="Times New Roman"/>
          <w:sz w:val="24"/>
          <w:szCs w:val="24"/>
        </w:rPr>
        <w:t>支持运动去伪迹处理，可以矫正婴幼儿身体抖动引起的干扰</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(20)</w:t>
      </w:r>
      <w:r>
        <w:rPr>
          <w:rFonts w:hint="eastAsia" w:ascii="宋体" w:hAnsi="宋体" w:eastAsia="宋体" w:cs="Times New Roman"/>
          <w:sz w:val="24"/>
          <w:szCs w:val="24"/>
        </w:rPr>
        <w:tab/>
      </w:r>
      <w:r>
        <w:rPr>
          <w:rFonts w:hint="eastAsia" w:ascii="宋体" w:hAnsi="宋体" w:eastAsia="宋体" w:cs="Times New Roman"/>
          <w:sz w:val="24"/>
          <w:szCs w:val="24"/>
        </w:rPr>
        <w:t>★支持连续不间断采集30分钟以上心电图波形，并保存和上传【提供合法证明文件】</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(21)</w:t>
      </w:r>
      <w:r>
        <w:rPr>
          <w:rFonts w:hint="eastAsia" w:ascii="宋体" w:hAnsi="宋体" w:eastAsia="宋体" w:cs="Times New Roman"/>
          <w:sz w:val="24"/>
          <w:szCs w:val="24"/>
        </w:rPr>
        <w:tab/>
      </w:r>
      <w:r>
        <w:rPr>
          <w:rFonts w:hint="eastAsia" w:ascii="宋体" w:hAnsi="宋体" w:eastAsia="宋体" w:cs="Times New Roman"/>
          <w:sz w:val="24"/>
          <w:szCs w:val="24"/>
        </w:rPr>
        <w:t>★心电图机显示屏大小≥10英寸，应为支持多点触控的LCD电容显示屏，分辨率超过800×1280像素；</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(22)</w:t>
      </w:r>
      <w:r>
        <w:rPr>
          <w:rFonts w:hint="eastAsia" w:ascii="宋体" w:hAnsi="宋体" w:eastAsia="宋体" w:cs="Times New Roman"/>
          <w:sz w:val="24"/>
          <w:szCs w:val="24"/>
        </w:rPr>
        <w:tab/>
      </w:r>
      <w:r>
        <w:rPr>
          <w:rFonts w:hint="eastAsia" w:ascii="宋体" w:hAnsi="宋体" w:eastAsia="宋体" w:cs="Times New Roman"/>
          <w:sz w:val="24"/>
          <w:szCs w:val="24"/>
        </w:rPr>
        <w:t>可输出XML、PDF、HL7、DICOM格式</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(23)</w:t>
      </w:r>
      <w:r>
        <w:rPr>
          <w:rFonts w:hint="eastAsia" w:ascii="宋体" w:hAnsi="宋体" w:eastAsia="宋体" w:cs="Times New Roman"/>
          <w:sz w:val="24"/>
          <w:szCs w:val="24"/>
        </w:rPr>
        <w:tab/>
      </w:r>
      <w:r>
        <w:rPr>
          <w:rFonts w:hint="eastAsia" w:ascii="宋体" w:hAnsi="宋体" w:eastAsia="宋体" w:cs="Times New Roman"/>
          <w:sz w:val="24"/>
          <w:szCs w:val="24"/>
        </w:rPr>
        <w:t>电磁兼容的要求应符合YY0505-2012 《医用电气设备 第1-2部分:安全通用要求 并列标准：电磁兼容要求和试验》的要求电气安全性能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(24)</w:t>
      </w:r>
      <w:r>
        <w:rPr>
          <w:rFonts w:hint="eastAsia" w:ascii="宋体" w:hAnsi="宋体" w:eastAsia="宋体" w:cs="Times New Roman"/>
          <w:sz w:val="24"/>
          <w:szCs w:val="24"/>
        </w:rPr>
        <w:tab/>
      </w:r>
      <w:r>
        <w:rPr>
          <w:rFonts w:hint="eastAsia" w:ascii="宋体" w:hAnsi="宋体" w:eastAsia="宋体" w:cs="Times New Roman"/>
          <w:sz w:val="24"/>
          <w:szCs w:val="24"/>
        </w:rPr>
        <w:t>应符合GB 9706.1-2007、GB10793-2000、和YY0782-2010的要求。</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(25)</w:t>
      </w:r>
      <w:r>
        <w:rPr>
          <w:rFonts w:hint="eastAsia" w:ascii="宋体" w:hAnsi="宋体" w:eastAsia="宋体" w:cs="Times New Roman"/>
          <w:sz w:val="24"/>
          <w:szCs w:val="24"/>
        </w:rPr>
        <w:tab/>
      </w:r>
      <w:r>
        <w:rPr>
          <w:rFonts w:hint="eastAsia" w:ascii="宋体" w:hAnsi="宋体" w:eastAsia="宋体" w:cs="Times New Roman"/>
          <w:sz w:val="24"/>
          <w:szCs w:val="24"/>
        </w:rPr>
        <w:t>具有采集前五秒的数据回顾功能，方便捕捉偶发心率失常数据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(26)</w:t>
      </w:r>
      <w:r>
        <w:rPr>
          <w:rFonts w:hint="eastAsia" w:ascii="宋体" w:hAnsi="宋体" w:eastAsia="宋体" w:cs="Times New Roman"/>
          <w:sz w:val="24"/>
          <w:szCs w:val="24"/>
        </w:rPr>
        <w:tab/>
      </w:r>
      <w:r>
        <w:rPr>
          <w:rFonts w:hint="eastAsia" w:ascii="宋体" w:hAnsi="宋体" w:eastAsia="宋体" w:cs="Times New Roman"/>
          <w:sz w:val="24"/>
          <w:szCs w:val="24"/>
        </w:rPr>
        <w:t>★设备支持worklist，可直接将HIS系统的心电图检查申请单下载到心电图机，无需人工在心电图机中创建患者检查申请单，设备可直接查看到患者住院号、姓名、性别、年龄、检查类型、申请科室等重要信息，以方便工作人员对应到患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(27)</w:t>
      </w:r>
      <w:r>
        <w:rPr>
          <w:rFonts w:hint="eastAsia" w:ascii="宋体" w:hAnsi="宋体" w:eastAsia="宋体" w:cs="Times New Roman"/>
          <w:sz w:val="24"/>
          <w:szCs w:val="24"/>
        </w:rPr>
        <w:tab/>
      </w:r>
      <w:r>
        <w:rPr>
          <w:rFonts w:hint="eastAsia" w:ascii="宋体" w:hAnsi="宋体" w:eastAsia="宋体" w:cs="Times New Roman"/>
          <w:sz w:val="24"/>
          <w:szCs w:val="24"/>
        </w:rPr>
        <w:t>★网络出现问题时，可以单机版操作，并支持断点续传，无须再人工操作上传。</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(28)</w:t>
      </w:r>
      <w:r>
        <w:rPr>
          <w:rFonts w:hint="eastAsia" w:ascii="宋体" w:hAnsi="宋体" w:eastAsia="宋体" w:cs="Times New Roman"/>
          <w:sz w:val="24"/>
          <w:szCs w:val="24"/>
        </w:rPr>
        <w:tab/>
      </w:r>
      <w:r>
        <w:rPr>
          <w:rFonts w:hint="eastAsia" w:ascii="宋体" w:hAnsi="宋体" w:eastAsia="宋体" w:cs="Times New Roman"/>
          <w:sz w:val="24"/>
          <w:szCs w:val="24"/>
        </w:rPr>
        <w:t>设备通过IHE测试</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车载心电图采集设备要求：</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心电采集：标准12导心电图采集；【提供医疗器械注册证复印件进行证明】</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★设备应方便携带，主机（不含配件）总重量≤2kg【须提供所投产品的合法有效证明文件，证明时须圈出相应内容】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★设备应自带存储且大于等于8GB，在不需要扩展存储卡存储的情况下，能存储超过10000份15秒以上的心电图数据。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rPr>
        <w:tab/>
      </w:r>
      <w:r>
        <w:rPr>
          <w:rFonts w:hint="eastAsia" w:ascii="宋体" w:hAnsi="宋体" w:eastAsia="宋体" w:cs="Times New Roman"/>
          <w:sz w:val="24"/>
          <w:szCs w:val="24"/>
        </w:rPr>
        <w:t>★设备心电采样率须≥32k；</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rPr>
        <w:tab/>
      </w:r>
      <w:r>
        <w:rPr>
          <w:rFonts w:hint="eastAsia" w:ascii="宋体" w:hAnsi="宋体" w:eastAsia="宋体" w:cs="Times New Roman"/>
          <w:sz w:val="24"/>
          <w:szCs w:val="24"/>
        </w:rPr>
        <w:t>★设备电池容量须≥10000mAh，支持Micro usb口充电</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rPr>
        <w:tab/>
      </w:r>
      <w:r>
        <w:rPr>
          <w:rFonts w:hint="eastAsia" w:ascii="宋体" w:hAnsi="宋体" w:eastAsia="宋体" w:cs="Times New Roman"/>
          <w:sz w:val="24"/>
          <w:szCs w:val="24"/>
        </w:rPr>
        <w:t>★内置扫码器，支持二维码、条码等扫描</w:t>
      </w:r>
    </w:p>
    <w:p>
      <w:pPr>
        <w:spacing w:line="360" w:lineRule="auto"/>
        <w:rPr>
          <w:rFonts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rPr>
        <w:tab/>
      </w:r>
      <w:r>
        <w:rPr>
          <w:rFonts w:hint="eastAsia" w:ascii="宋体" w:hAnsi="宋体" w:eastAsia="宋体" w:cs="Times New Roman"/>
          <w:sz w:val="24"/>
          <w:szCs w:val="24"/>
        </w:rPr>
        <w:t>★支持热敏打印</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w:t>
      </w:r>
      <w:r>
        <w:rPr>
          <w:rFonts w:hint="eastAsia" w:ascii="宋体" w:hAnsi="宋体" w:eastAsia="宋体" w:cs="Times New Roman"/>
          <w:sz w:val="24"/>
          <w:szCs w:val="24"/>
        </w:rPr>
        <w:tab/>
      </w:r>
      <w:r>
        <w:rPr>
          <w:rFonts w:hint="eastAsia" w:ascii="宋体" w:hAnsi="宋体" w:eastAsia="宋体" w:cs="Times New Roman"/>
          <w:sz w:val="24"/>
          <w:szCs w:val="24"/>
        </w:rPr>
        <w:t>★支持NFC刷卡功能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w:t>
      </w:r>
      <w:r>
        <w:rPr>
          <w:rFonts w:hint="eastAsia" w:ascii="宋体" w:hAnsi="宋体" w:eastAsia="宋体" w:cs="Times New Roman"/>
          <w:sz w:val="24"/>
          <w:szCs w:val="24"/>
        </w:rPr>
        <w:tab/>
      </w:r>
      <w:r>
        <w:rPr>
          <w:rFonts w:hint="eastAsia" w:ascii="宋体" w:hAnsi="宋体" w:eastAsia="宋体" w:cs="Times New Roman"/>
          <w:sz w:val="24"/>
          <w:szCs w:val="24"/>
        </w:rPr>
        <w:t>输入回路输入阻抗和电流：阻抗≥10MΩ（10Hz时）,电流≤0.1μA；</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w:t>
      </w:r>
      <w:r>
        <w:rPr>
          <w:rFonts w:hint="eastAsia" w:ascii="宋体" w:hAnsi="宋体" w:eastAsia="宋体" w:cs="Times New Roman"/>
          <w:sz w:val="24"/>
          <w:szCs w:val="24"/>
        </w:rPr>
        <w:tab/>
      </w:r>
      <w:r>
        <w:rPr>
          <w:rFonts w:hint="eastAsia" w:ascii="宋体" w:hAnsi="宋体" w:eastAsia="宋体" w:cs="Times New Roman"/>
          <w:sz w:val="24"/>
          <w:szCs w:val="24"/>
        </w:rPr>
        <w:t>定标电压：1mV、允差±2%；灵敏度控制和耐极化电压： 5 mm/mV、10 mm/mV、20 mm/mV，误差±5%；灵敏度变化范围±5%（加±600mV直流极化电压）；</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(11)</w:t>
      </w:r>
      <w:r>
        <w:rPr>
          <w:rFonts w:hint="eastAsia" w:ascii="宋体" w:hAnsi="宋体" w:eastAsia="宋体" w:cs="Times New Roman"/>
          <w:sz w:val="24"/>
          <w:szCs w:val="24"/>
        </w:rPr>
        <w:tab/>
      </w:r>
      <w:r>
        <w:rPr>
          <w:rFonts w:hint="eastAsia" w:ascii="宋体" w:hAnsi="宋体" w:eastAsia="宋体" w:cs="Times New Roman"/>
          <w:sz w:val="24"/>
          <w:szCs w:val="24"/>
        </w:rPr>
        <w:t>最小检测信号：10Hz、20μVP-P正弦信号；</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(12)</w:t>
      </w:r>
      <w:r>
        <w:rPr>
          <w:rFonts w:hint="eastAsia" w:ascii="宋体" w:hAnsi="宋体" w:eastAsia="宋体" w:cs="Times New Roman"/>
          <w:sz w:val="24"/>
          <w:szCs w:val="24"/>
        </w:rPr>
        <w:tab/>
      </w:r>
      <w:r>
        <w:rPr>
          <w:rFonts w:hint="eastAsia" w:ascii="宋体" w:hAnsi="宋体" w:eastAsia="宋体" w:cs="Times New Roman"/>
          <w:sz w:val="24"/>
          <w:szCs w:val="24"/>
        </w:rPr>
        <w:t>噪声电平：≤15μVP-P；共模抑制比：≥89dB；50Hz干扰抑制滤波器：≥20dB；</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(13)</w:t>
      </w:r>
      <w:r>
        <w:rPr>
          <w:rFonts w:hint="eastAsia" w:ascii="宋体" w:hAnsi="宋体" w:eastAsia="宋体" w:cs="Times New Roman"/>
          <w:sz w:val="24"/>
          <w:szCs w:val="24"/>
        </w:rPr>
        <w:tab/>
      </w:r>
      <w:r>
        <w:rPr>
          <w:rFonts w:hint="eastAsia" w:ascii="宋体" w:hAnsi="宋体" w:eastAsia="宋体" w:cs="Times New Roman"/>
          <w:sz w:val="24"/>
          <w:szCs w:val="24"/>
        </w:rPr>
        <w:t>幅频特性：不小于0.05Hz～250Hz（-3.0dB～+0.4dB）；低频特性：时间常数≥3.2s；</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(14)</w:t>
      </w:r>
      <w:r>
        <w:rPr>
          <w:rFonts w:hint="eastAsia" w:ascii="宋体" w:hAnsi="宋体" w:eastAsia="宋体" w:cs="Times New Roman"/>
          <w:sz w:val="24"/>
          <w:szCs w:val="24"/>
        </w:rPr>
        <w:tab/>
      </w:r>
      <w:r>
        <w:rPr>
          <w:rFonts w:hint="eastAsia" w:ascii="宋体" w:hAnsi="宋体" w:eastAsia="宋体" w:cs="Times New Roman"/>
          <w:sz w:val="24"/>
          <w:szCs w:val="24"/>
        </w:rPr>
        <w:t>基线稳定性：基线漂移≤1mm,温度漂移≤0.5mm/℃；</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(15)</w:t>
      </w:r>
      <w:r>
        <w:rPr>
          <w:rFonts w:hint="eastAsia" w:ascii="宋体" w:hAnsi="宋体" w:eastAsia="宋体" w:cs="Times New Roman"/>
          <w:sz w:val="24"/>
          <w:szCs w:val="24"/>
        </w:rPr>
        <w:tab/>
      </w:r>
      <w:r>
        <w:rPr>
          <w:rFonts w:hint="eastAsia" w:ascii="宋体" w:hAnsi="宋体" w:eastAsia="宋体" w:cs="Times New Roman"/>
          <w:sz w:val="24"/>
          <w:szCs w:val="24"/>
        </w:rPr>
        <w:t>扫描速度：12.5mm/s,25.0mm/s,50.0mm/s,误差±5%；</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(16)</w:t>
      </w:r>
      <w:r>
        <w:rPr>
          <w:rFonts w:hint="eastAsia" w:ascii="宋体" w:hAnsi="宋体" w:eastAsia="宋体" w:cs="Times New Roman"/>
          <w:sz w:val="24"/>
          <w:szCs w:val="24"/>
        </w:rPr>
        <w:tab/>
      </w:r>
      <w:r>
        <w:rPr>
          <w:rFonts w:hint="eastAsia" w:ascii="宋体" w:hAnsi="宋体" w:eastAsia="宋体" w:cs="Times New Roman"/>
          <w:sz w:val="24"/>
          <w:szCs w:val="24"/>
        </w:rPr>
        <w:t>符合最新国际电工协会IEC60601-2-51  2003标准；</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(17)</w:t>
      </w:r>
      <w:r>
        <w:rPr>
          <w:rFonts w:hint="eastAsia" w:ascii="宋体" w:hAnsi="宋体" w:eastAsia="宋体" w:cs="Times New Roman"/>
          <w:sz w:val="24"/>
          <w:szCs w:val="24"/>
        </w:rPr>
        <w:tab/>
      </w:r>
      <w:r>
        <w:rPr>
          <w:rFonts w:hint="eastAsia" w:ascii="宋体" w:hAnsi="宋体" w:eastAsia="宋体" w:cs="Times New Roman"/>
          <w:sz w:val="24"/>
          <w:szCs w:val="24"/>
        </w:rPr>
        <w:t>★操作系统版本应不低于Android 5.1系统，支持海量Android APK，更新程序更便捷；</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(18)</w:t>
      </w:r>
      <w:r>
        <w:rPr>
          <w:rFonts w:hint="eastAsia" w:ascii="宋体" w:hAnsi="宋体" w:eastAsia="宋体" w:cs="Times New Roman"/>
          <w:sz w:val="24"/>
          <w:szCs w:val="24"/>
        </w:rPr>
        <w:tab/>
      </w:r>
      <w:r>
        <w:rPr>
          <w:rFonts w:hint="eastAsia" w:ascii="宋体" w:hAnsi="宋体" w:eastAsia="宋体" w:cs="Times New Roman"/>
          <w:sz w:val="24"/>
          <w:szCs w:val="24"/>
        </w:rPr>
        <w:t>★配有LAN、USB与RS232接口；</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(19)</w:t>
      </w:r>
      <w:r>
        <w:rPr>
          <w:rFonts w:hint="eastAsia" w:ascii="宋体" w:hAnsi="宋体" w:eastAsia="宋体" w:cs="Times New Roman"/>
          <w:sz w:val="24"/>
          <w:szCs w:val="24"/>
        </w:rPr>
        <w:tab/>
      </w:r>
      <w:r>
        <w:rPr>
          <w:rFonts w:hint="eastAsia" w:ascii="宋体" w:hAnsi="宋体" w:eastAsia="宋体" w:cs="Times New Roman"/>
          <w:sz w:val="24"/>
          <w:szCs w:val="24"/>
        </w:rPr>
        <w:t>★心电图机支持使用内置Micro SIM卡卡槽，卡槽支持4G全网通制式功能；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(20)</w:t>
      </w:r>
      <w:r>
        <w:rPr>
          <w:rFonts w:hint="eastAsia" w:ascii="宋体" w:hAnsi="宋体" w:eastAsia="宋体" w:cs="Times New Roman"/>
          <w:sz w:val="24"/>
          <w:szCs w:val="24"/>
        </w:rPr>
        <w:tab/>
      </w:r>
      <w:r>
        <w:rPr>
          <w:rFonts w:hint="eastAsia" w:ascii="宋体" w:hAnsi="宋体" w:eastAsia="宋体" w:cs="Times New Roman"/>
          <w:sz w:val="24"/>
          <w:szCs w:val="24"/>
        </w:rPr>
        <w:t>★心电图机标配内置原装无线WIFI模块（非外接WIFI装置的解决方案），支持双频WIFI（2.4GHz及5.0GHz）【提供合法有效证明文件的复印件进行证明】；</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(21)</w:t>
      </w:r>
      <w:r>
        <w:rPr>
          <w:rFonts w:hint="eastAsia" w:ascii="宋体" w:hAnsi="宋体" w:eastAsia="宋体" w:cs="Times New Roman"/>
          <w:sz w:val="24"/>
          <w:szCs w:val="24"/>
        </w:rPr>
        <w:tab/>
      </w:r>
      <w:r>
        <w:rPr>
          <w:rFonts w:hint="eastAsia" w:ascii="宋体" w:hAnsi="宋体" w:eastAsia="宋体" w:cs="Times New Roman"/>
          <w:sz w:val="24"/>
          <w:szCs w:val="24"/>
        </w:rPr>
        <w:t>★心电图机支持低功耗蓝牙4.1技术；【提供合法有效证明文件的复印件进行证明】</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(22)</w:t>
      </w:r>
      <w:r>
        <w:rPr>
          <w:rFonts w:hint="eastAsia" w:ascii="宋体" w:hAnsi="宋体" w:eastAsia="宋体" w:cs="Times New Roman"/>
          <w:sz w:val="24"/>
          <w:szCs w:val="24"/>
        </w:rPr>
        <w:tab/>
      </w:r>
      <w:r>
        <w:rPr>
          <w:rFonts w:hint="eastAsia" w:ascii="宋体" w:hAnsi="宋体" w:eastAsia="宋体" w:cs="Times New Roman"/>
          <w:sz w:val="24"/>
          <w:szCs w:val="24"/>
        </w:rPr>
        <w:t>支持运动去伪迹处理，可以矫正婴幼儿身体抖动引起的干扰</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(23)</w:t>
      </w:r>
      <w:r>
        <w:rPr>
          <w:rFonts w:hint="eastAsia" w:ascii="宋体" w:hAnsi="宋体" w:eastAsia="宋体" w:cs="Times New Roman"/>
          <w:sz w:val="24"/>
          <w:szCs w:val="24"/>
        </w:rPr>
        <w:tab/>
      </w:r>
      <w:r>
        <w:rPr>
          <w:rFonts w:hint="eastAsia" w:ascii="宋体" w:hAnsi="宋体" w:eastAsia="宋体" w:cs="Times New Roman"/>
          <w:sz w:val="24"/>
          <w:szCs w:val="24"/>
        </w:rPr>
        <w:t>★支持连续采集30分钟以上心电图波形，并保存和上传【提供证明文件】</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(24)</w:t>
      </w:r>
      <w:r>
        <w:rPr>
          <w:rFonts w:hint="eastAsia" w:ascii="宋体" w:hAnsi="宋体" w:eastAsia="宋体" w:cs="Times New Roman"/>
          <w:sz w:val="24"/>
          <w:szCs w:val="24"/>
        </w:rPr>
        <w:tab/>
      </w:r>
      <w:r>
        <w:rPr>
          <w:rFonts w:hint="eastAsia" w:ascii="宋体" w:hAnsi="宋体" w:eastAsia="宋体" w:cs="Times New Roman"/>
          <w:sz w:val="24"/>
          <w:szCs w:val="24"/>
        </w:rPr>
        <w:t>★心电图机显示屏大小≥10英寸，应为支持多点触控的LCD电容显示屏，分辨率超过800×1280像素；</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(25)</w:t>
      </w:r>
      <w:r>
        <w:rPr>
          <w:rFonts w:hint="eastAsia" w:ascii="宋体" w:hAnsi="宋体" w:eastAsia="宋体" w:cs="Times New Roman"/>
          <w:sz w:val="24"/>
          <w:szCs w:val="24"/>
        </w:rPr>
        <w:tab/>
      </w:r>
      <w:r>
        <w:rPr>
          <w:rFonts w:hint="eastAsia" w:ascii="宋体" w:hAnsi="宋体" w:eastAsia="宋体" w:cs="Times New Roman"/>
          <w:sz w:val="24"/>
          <w:szCs w:val="24"/>
        </w:rPr>
        <w:t>可输出XML、PDF、HL7、DICOM格式</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(26)</w:t>
      </w:r>
      <w:r>
        <w:rPr>
          <w:rFonts w:hint="eastAsia" w:ascii="宋体" w:hAnsi="宋体" w:eastAsia="宋体" w:cs="Times New Roman"/>
          <w:sz w:val="24"/>
          <w:szCs w:val="24"/>
        </w:rPr>
        <w:tab/>
      </w:r>
      <w:r>
        <w:rPr>
          <w:rFonts w:hint="eastAsia" w:ascii="宋体" w:hAnsi="宋体" w:eastAsia="宋体" w:cs="Times New Roman"/>
          <w:sz w:val="24"/>
          <w:szCs w:val="24"/>
        </w:rPr>
        <w:t>电磁兼容的要求应符合YY0505-2012《医用电气设备 第1-2部分:安全通用要求 并列标准：电磁兼容要求和试验》的要求电气安全性能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(27)</w:t>
      </w:r>
      <w:r>
        <w:rPr>
          <w:rFonts w:hint="eastAsia" w:ascii="宋体" w:hAnsi="宋体" w:eastAsia="宋体" w:cs="Times New Roman"/>
          <w:sz w:val="24"/>
          <w:szCs w:val="24"/>
        </w:rPr>
        <w:tab/>
      </w:r>
      <w:r>
        <w:rPr>
          <w:rFonts w:hint="eastAsia" w:ascii="宋体" w:hAnsi="宋体" w:eastAsia="宋体" w:cs="Times New Roman"/>
          <w:sz w:val="24"/>
          <w:szCs w:val="24"/>
        </w:rPr>
        <w:t>应符合GB 9706.1-2007、GB10793-2000、和YY0782-2010的要求。</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(28)</w:t>
      </w:r>
      <w:r>
        <w:rPr>
          <w:rFonts w:hint="eastAsia" w:ascii="宋体" w:hAnsi="宋体" w:eastAsia="宋体" w:cs="Times New Roman"/>
          <w:sz w:val="24"/>
          <w:szCs w:val="24"/>
        </w:rPr>
        <w:tab/>
      </w:r>
      <w:r>
        <w:rPr>
          <w:rFonts w:hint="eastAsia" w:ascii="宋体" w:hAnsi="宋体" w:eastAsia="宋体" w:cs="Times New Roman"/>
          <w:sz w:val="24"/>
          <w:szCs w:val="24"/>
        </w:rPr>
        <w:t>具有采集前五秒的数据回顾功能，方便捕捉偶发心率失常数据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(29)</w:t>
      </w:r>
      <w:r>
        <w:rPr>
          <w:rFonts w:hint="eastAsia" w:ascii="宋体" w:hAnsi="宋体" w:eastAsia="宋体" w:cs="Times New Roman"/>
          <w:sz w:val="24"/>
          <w:szCs w:val="24"/>
        </w:rPr>
        <w:tab/>
      </w:r>
      <w:r>
        <w:rPr>
          <w:rFonts w:hint="eastAsia" w:ascii="宋体" w:hAnsi="宋体" w:eastAsia="宋体" w:cs="Times New Roman"/>
          <w:sz w:val="24"/>
          <w:szCs w:val="24"/>
        </w:rPr>
        <w:t>★设备支持worklist，可直接将HIS系统的心电图检查申请单下载到心电图机，无需人工在心电图机中创建患者检查申请单，设备可直接查看到患者住院号、姓名、性别、年龄、检查类型、申请科室等重要信息，以方便工作人员对应到患者。</w:t>
      </w:r>
    </w:p>
    <w:p>
      <w:pPr>
        <w:spacing w:after="120"/>
        <w:rPr>
          <w:rFonts w:ascii="Times New Roman" w:hAnsi="Times New Roman" w:eastAsia="宋体" w:cs="Times New Roman"/>
          <w:sz w:val="24"/>
          <w:szCs w:val="24"/>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心电图机专用推车</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专业设计，使用高分子材料加上不锈钢材料配合使用，推车轻巧方便，对设备固定以防止设备损毁。安装、消毒操作方便。</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含铝合金支撑杆；</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含心电采集线挂杆；</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rPr>
        <w:tab/>
      </w:r>
      <w:r>
        <w:rPr>
          <w:rFonts w:hint="eastAsia" w:ascii="宋体" w:hAnsi="宋体" w:eastAsia="宋体" w:cs="Times New Roman"/>
          <w:sz w:val="24"/>
          <w:szCs w:val="24"/>
        </w:rPr>
        <w:t>含吸球夹子专用收集篮筐；</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rPr>
        <w:tab/>
      </w:r>
      <w:r>
        <w:rPr>
          <w:rFonts w:hint="eastAsia" w:ascii="宋体" w:hAnsi="宋体" w:eastAsia="宋体" w:cs="Times New Roman"/>
          <w:sz w:val="24"/>
          <w:szCs w:val="24"/>
        </w:rPr>
        <w:t>含消毒棉签专用盒；</w:t>
      </w:r>
    </w:p>
    <w:p>
      <w:pPr>
        <w:keepNext/>
        <w:keepLines/>
        <w:spacing w:before="260" w:after="260" w:line="416" w:lineRule="auto"/>
        <w:outlineLvl w:val="1"/>
        <w:rPr>
          <w:rFonts w:ascii="Cambria" w:hAnsi="Cambria" w:eastAsia="宋体" w:cs="Times New Roman"/>
          <w:b/>
          <w:bCs/>
          <w:sz w:val="24"/>
          <w:szCs w:val="24"/>
          <w:lang w:val="zh-CN" w:eastAsia="zh-CN"/>
        </w:rPr>
      </w:pPr>
      <w:r>
        <w:rPr>
          <w:rFonts w:hint="eastAsia" w:ascii="Cambria" w:hAnsi="Cambria" w:eastAsia="宋体" w:cs="Times New Roman"/>
          <w:b/>
          <w:bCs/>
          <w:sz w:val="24"/>
          <w:szCs w:val="24"/>
          <w:lang w:val="zh-CN"/>
        </w:rPr>
        <w:t>（三）质保</w:t>
      </w:r>
      <w:r>
        <w:rPr>
          <w:rFonts w:hint="eastAsia" w:ascii="Cambria" w:hAnsi="Cambria" w:eastAsia="宋体" w:cs="Times New Roman"/>
          <w:b/>
          <w:bCs/>
          <w:sz w:val="24"/>
          <w:szCs w:val="24"/>
          <w:lang w:val="zh-CN" w:eastAsia="zh-CN"/>
        </w:rPr>
        <w:t>要求</w:t>
      </w:r>
    </w:p>
    <w:p>
      <w:pPr>
        <w:spacing w:line="360" w:lineRule="auto"/>
        <w:ind w:left="485" w:hanging="484" w:hangingChars="202"/>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质保期：</w:t>
      </w:r>
      <w:r>
        <w:rPr>
          <w:rFonts w:hint="eastAsia" w:ascii="宋体" w:hAnsi="宋体" w:eastAsia="宋体" w:cs="宋体"/>
          <w:kern w:val="0"/>
          <w:sz w:val="24"/>
          <w:szCs w:val="24"/>
        </w:rPr>
        <w:t>产品验收</w:t>
      </w:r>
      <w:bookmarkStart w:id="55" w:name="OLE_LINK2"/>
      <w:bookmarkStart w:id="56" w:name="OLE_LINK1"/>
      <w:r>
        <w:rPr>
          <w:rFonts w:hint="eastAsia" w:ascii="宋体" w:hAnsi="宋体" w:eastAsia="宋体" w:cs="宋体"/>
          <w:kern w:val="0"/>
          <w:sz w:val="24"/>
          <w:szCs w:val="24"/>
        </w:rPr>
        <w:t>合格</w:t>
      </w:r>
      <w:bookmarkEnd w:id="55"/>
      <w:bookmarkEnd w:id="56"/>
      <w:r>
        <w:rPr>
          <w:rFonts w:hint="eastAsia" w:ascii="宋体" w:hAnsi="宋体" w:eastAsia="宋体" w:cs="宋体"/>
          <w:kern w:val="0"/>
          <w:sz w:val="24"/>
          <w:szCs w:val="24"/>
        </w:rPr>
        <w:t>后</w:t>
      </w:r>
      <w:r>
        <w:rPr>
          <w:rFonts w:hint="eastAsia" w:ascii="宋体" w:hAnsi="宋体" w:eastAsia="宋体" w:cs="Times New Roman"/>
          <w:sz w:val="24"/>
          <w:szCs w:val="24"/>
        </w:rPr>
        <w:t>两年；</w:t>
      </w:r>
    </w:p>
    <w:p>
      <w:pPr>
        <w:spacing w:line="360" w:lineRule="auto"/>
        <w:ind w:left="485" w:hanging="484" w:hangingChars="202"/>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质保期内所有软件免费升级服务；</w:t>
      </w:r>
    </w:p>
    <w:p>
      <w:pPr>
        <w:spacing w:line="360" w:lineRule="auto"/>
        <w:ind w:left="485" w:hanging="484" w:hangingChars="202"/>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按厂家保修条例免费提供保修期内的上门检修服务；如果仪器设备出现故障，接买方报修通知12小时内，派维修工程师到达现场维修，应于48小时内排除故障，若不能排除的，卖方提供备用机给院方使用直至原仪器修复。如卖方48小时内不能排除故障又不能提供备用机，则卖方按本合同总价的 1%向甲方支付违约金。</w:t>
      </w:r>
    </w:p>
    <w:p>
      <w:pPr>
        <w:spacing w:line="360" w:lineRule="auto"/>
        <w:ind w:left="485" w:hanging="484" w:hangingChars="202"/>
        <w:rPr>
          <w:rFonts w:ascii="宋体" w:hAnsi="宋体" w:eastAsia="宋体" w:cs="Times New Roman"/>
          <w:sz w:val="24"/>
          <w:szCs w:val="24"/>
        </w:rPr>
      </w:pPr>
    </w:p>
    <w:p>
      <w:pPr>
        <w:spacing w:line="360" w:lineRule="auto"/>
        <w:ind w:left="485" w:hanging="484" w:hangingChars="202"/>
        <w:rPr>
          <w:rFonts w:ascii="宋体" w:hAnsi="宋体" w:eastAsia="宋体" w:cs="Times New Roman"/>
          <w:sz w:val="24"/>
          <w:szCs w:val="24"/>
        </w:rPr>
      </w:pPr>
      <w:r>
        <w:rPr>
          <w:rFonts w:hint="eastAsia" w:ascii="宋体" w:hAnsi="宋体" w:eastAsia="宋体" w:cs="Times New Roman"/>
          <w:sz w:val="24"/>
          <w:szCs w:val="24"/>
        </w:rPr>
        <w:t>(4) 免费提供售前、售后技术咨询和使用人员培训,</w:t>
      </w:r>
      <w:r>
        <w:rPr>
          <w:rFonts w:hint="eastAsia" w:ascii="Times New Roman" w:hAnsi="Times New Roman" w:eastAsia="宋体" w:cs="Times New Roman"/>
          <w:sz w:val="24"/>
          <w:szCs w:val="24"/>
        </w:rPr>
        <w:t xml:space="preserve"> </w:t>
      </w:r>
      <w:r>
        <w:rPr>
          <w:rFonts w:hint="eastAsia" w:ascii="宋体" w:hAnsi="宋体" w:eastAsia="宋体" w:cs="Times New Roman"/>
          <w:sz w:val="24"/>
          <w:szCs w:val="24"/>
        </w:rPr>
        <w:t>保证使用人员掌握该仪器设备的操作规程和日常维护保养技能。</w:t>
      </w:r>
    </w:p>
    <w:p>
      <w:pPr>
        <w:spacing w:line="360" w:lineRule="auto"/>
        <w:ind w:left="485" w:hanging="484" w:hangingChars="202"/>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rPr>
        <w:tab/>
      </w:r>
      <w:r>
        <w:rPr>
          <w:rFonts w:hint="eastAsia" w:ascii="宋体" w:hAnsi="宋体" w:eastAsia="宋体" w:cs="Times New Roman"/>
          <w:sz w:val="24"/>
          <w:szCs w:val="24"/>
        </w:rPr>
        <w:t>免费送货上门并安装；</w:t>
      </w:r>
    </w:p>
    <w:p>
      <w:pPr>
        <w:spacing w:line="360" w:lineRule="auto"/>
        <w:ind w:left="485" w:hanging="484" w:hangingChars="202"/>
        <w:rPr>
          <w:rFonts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rPr>
        <w:tab/>
      </w:r>
      <w:r>
        <w:rPr>
          <w:rFonts w:hint="eastAsia" w:ascii="宋体" w:hAnsi="宋体" w:eastAsia="宋体" w:cs="Times New Roman"/>
          <w:sz w:val="24"/>
          <w:szCs w:val="24"/>
        </w:rPr>
        <w:t>免费提供定期跟踪维护；</w:t>
      </w:r>
    </w:p>
    <w:p>
      <w:pPr>
        <w:spacing w:line="360" w:lineRule="auto"/>
        <w:ind w:left="485" w:hanging="484" w:hangingChars="202"/>
        <w:rPr>
          <w:rFonts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rPr>
        <w:tab/>
      </w:r>
      <w:r>
        <w:rPr>
          <w:rFonts w:hint="eastAsia" w:ascii="宋体" w:hAnsi="宋体" w:eastAsia="宋体" w:cs="Times New Roman"/>
          <w:sz w:val="24"/>
          <w:szCs w:val="24"/>
        </w:rPr>
        <w:t>7x24远程电话支持服务。</w:t>
      </w:r>
    </w:p>
    <w:p>
      <w:pPr>
        <w:keepNext/>
        <w:keepLines/>
        <w:spacing w:before="260" w:after="260" w:line="416" w:lineRule="auto"/>
        <w:outlineLvl w:val="1"/>
        <w:rPr>
          <w:rFonts w:ascii="Cambria" w:hAnsi="Cambria" w:eastAsia="宋体" w:cs="Times New Roman"/>
          <w:b/>
          <w:bCs/>
          <w:sz w:val="24"/>
          <w:szCs w:val="24"/>
          <w:lang w:val="zh-CN"/>
        </w:rPr>
      </w:pPr>
      <w:r>
        <w:rPr>
          <w:rFonts w:hint="eastAsia" w:ascii="Cambria" w:hAnsi="Cambria" w:eastAsia="宋体" w:cs="Times New Roman"/>
          <w:b/>
          <w:bCs/>
          <w:sz w:val="24"/>
          <w:szCs w:val="24"/>
          <w:lang w:val="zh-CN"/>
        </w:rPr>
        <w:t>（四）</w:t>
      </w:r>
      <w:r>
        <w:rPr>
          <w:rFonts w:hint="eastAsia" w:ascii="Cambria" w:hAnsi="Cambria" w:eastAsia="宋体" w:cs="Times New Roman"/>
          <w:b/>
          <w:bCs/>
          <w:sz w:val="24"/>
          <w:szCs w:val="24"/>
          <w:lang w:val="zh-CN" w:eastAsia="zh-CN"/>
        </w:rPr>
        <w:t>验收要求</w:t>
      </w:r>
    </w:p>
    <w:p>
      <w:pPr>
        <w:spacing w:line="360" w:lineRule="auto"/>
        <w:ind w:left="648" w:hanging="648" w:hangingChars="270"/>
        <w:rPr>
          <w:rFonts w:ascii="宋体" w:hAnsi="宋体" w:eastAsia="宋体" w:cs="Times New Roman"/>
          <w:sz w:val="24"/>
          <w:szCs w:val="24"/>
        </w:rPr>
      </w:pPr>
      <w:r>
        <w:rPr>
          <w:rFonts w:hint="eastAsia" w:ascii="宋体" w:hAnsi="宋体" w:eastAsia="宋体" w:cs="Times New Roman"/>
          <w:sz w:val="24"/>
          <w:szCs w:val="24"/>
        </w:rPr>
        <w:t>★（1）投标方应全面充分考虑阳新县人民医院本次招标采购的项目需求，投标书中应包含实现本项目要求功能的所有产品和服务的全部费用。本项目为“交钥匙”工程，招标方在中标价基础上不再追加任何费用；若因乙方失误而导致需在项目实施中增加费用，一切由中标方自行承担。</w:t>
      </w:r>
    </w:p>
    <w:p>
      <w:pPr>
        <w:spacing w:line="360" w:lineRule="auto"/>
        <w:ind w:left="648" w:hanging="648" w:hangingChars="270"/>
        <w:rPr>
          <w:rFonts w:ascii="宋体" w:hAnsi="宋体" w:eastAsia="宋体" w:cs="Times New Roman"/>
          <w:sz w:val="24"/>
          <w:szCs w:val="24"/>
        </w:rPr>
      </w:pPr>
      <w:r>
        <w:rPr>
          <w:rFonts w:hint="eastAsia" w:ascii="宋体" w:hAnsi="宋体" w:eastAsia="宋体" w:cs="Times New Roman"/>
          <w:sz w:val="24"/>
          <w:szCs w:val="24"/>
        </w:rPr>
        <w:t>（2）实现招标文件中的相关技术要求及投标文件中的技术方案设计目标及商务承诺，且能满足阳新县人民医院业务系统的正常运行。</w:t>
      </w:r>
    </w:p>
    <w:p>
      <w:pPr>
        <w:spacing w:line="360" w:lineRule="auto"/>
        <w:ind w:left="648" w:hanging="648" w:hangingChars="270"/>
        <w:rPr>
          <w:rFonts w:ascii="宋体" w:hAnsi="宋体" w:eastAsia="宋体" w:cs="Times New Roman"/>
          <w:sz w:val="24"/>
          <w:szCs w:val="24"/>
        </w:rPr>
      </w:pPr>
      <w:r>
        <w:rPr>
          <w:rFonts w:hint="eastAsia" w:ascii="宋体" w:hAnsi="宋体" w:eastAsia="宋体" w:cs="Times New Roman"/>
          <w:sz w:val="24"/>
          <w:szCs w:val="24"/>
        </w:rPr>
        <w:t>（3）所有设备必须是全新原装产品，符合国家质量检测标准，具备出厂合格证，随机资料齐全。所有设备在安装时，须经采购单位验收外包装后才能开箱。</w:t>
      </w:r>
    </w:p>
    <w:p>
      <w:pPr>
        <w:spacing w:line="360" w:lineRule="auto"/>
        <w:ind w:left="648" w:hanging="648" w:hangingChars="270"/>
        <w:rPr>
          <w:rFonts w:ascii="宋体" w:hAnsi="宋体" w:eastAsia="宋体" w:cs="Times New Roman"/>
          <w:sz w:val="24"/>
          <w:szCs w:val="24"/>
        </w:rPr>
      </w:pPr>
      <w:r>
        <w:rPr>
          <w:rFonts w:hint="eastAsia" w:ascii="宋体" w:hAnsi="宋体" w:eastAsia="宋体" w:cs="Times New Roman"/>
          <w:sz w:val="24"/>
          <w:szCs w:val="24"/>
        </w:rPr>
        <w:t>（4）系统设计和施工符合国家及行业标准。</w:t>
      </w:r>
    </w:p>
    <w:p>
      <w:pPr>
        <w:spacing w:line="360" w:lineRule="auto"/>
        <w:rPr>
          <w:rFonts w:ascii="宋体" w:hAnsi="宋体" w:eastAsia="宋体" w:cs="宋体"/>
          <w:b/>
          <w:sz w:val="24"/>
          <w:szCs w:val="24"/>
        </w:rPr>
      </w:pPr>
    </w:p>
    <w:p>
      <w:pPr>
        <w:pStyle w:val="3"/>
        <w:numPr>
          <w:ilvl w:val="0"/>
          <w:numId w:val="41"/>
        </w:numPr>
        <w:spacing w:before="0" w:after="0" w:line="360" w:lineRule="auto"/>
        <w:ind w:left="616" w:hanging="616"/>
        <w:jc w:val="left"/>
        <w:rPr>
          <w:rFonts w:cs="Times New Roman" w:asciiTheme="majorEastAsia" w:hAnsiTheme="majorEastAsia"/>
          <w:bCs w:val="0"/>
          <w:sz w:val="30"/>
          <w:szCs w:val="30"/>
          <w:lang w:val="zh-CN"/>
        </w:rPr>
      </w:pPr>
      <w:r>
        <w:rPr>
          <w:rFonts w:hint="eastAsia" w:cs="Times New Roman" w:asciiTheme="majorEastAsia" w:hAnsiTheme="majorEastAsia"/>
          <w:bCs w:val="0"/>
          <w:sz w:val="30"/>
          <w:szCs w:val="30"/>
          <w:lang w:val="zh-CN"/>
        </w:rPr>
        <w:t>商务要求</w:t>
      </w:r>
      <w:bookmarkEnd w:id="53"/>
      <w:bookmarkEnd w:id="54"/>
    </w:p>
    <w:p>
      <w:pPr>
        <w:keepNext/>
        <w:keepLines/>
        <w:spacing w:before="260" w:after="260" w:line="416" w:lineRule="auto"/>
        <w:outlineLvl w:val="1"/>
        <w:rPr>
          <w:rFonts w:ascii="Cambria" w:hAnsi="Cambria" w:eastAsia="宋体" w:cs="Times New Roman"/>
          <w:b/>
          <w:bCs/>
          <w:sz w:val="24"/>
          <w:szCs w:val="24"/>
          <w:lang w:val="zh-CN"/>
        </w:rPr>
      </w:pPr>
      <w:r>
        <w:rPr>
          <w:rFonts w:hint="eastAsia" w:ascii="Cambria" w:hAnsi="Cambria" w:eastAsia="宋体" w:cs="Times New Roman"/>
          <w:b/>
          <w:bCs/>
          <w:sz w:val="24"/>
          <w:szCs w:val="24"/>
          <w:lang w:val="zh-CN"/>
        </w:rPr>
        <w:t>付款方式</w:t>
      </w:r>
    </w:p>
    <w:p>
      <w:pPr>
        <w:spacing w:line="360" w:lineRule="auto"/>
        <w:ind w:firstLine="480" w:firstLineChars="200"/>
        <w:rPr>
          <w:sz w:val="24"/>
          <w:szCs w:val="24"/>
        </w:rPr>
      </w:pPr>
      <w:r>
        <w:rPr>
          <w:rFonts w:hint="eastAsia"/>
          <w:sz w:val="24"/>
          <w:szCs w:val="24"/>
        </w:rPr>
        <w:t>所有设备安装调试完毕买方验收合格后，买卖双方共同签署《仪器设备验收单》，买方凭双方共同签署的《仪器设备验收单》和《设备使用验收报告》付给卖方总货款的 90%，余下10%作为质保金，质保期满后付清。</w:t>
      </w:r>
      <w:r>
        <w:rPr>
          <w:sz w:val="24"/>
          <w:szCs w:val="24"/>
        </w:rPr>
        <w:br w:type="page"/>
      </w:r>
    </w:p>
    <w:p>
      <w:pPr>
        <w:pStyle w:val="2"/>
        <w:numPr>
          <w:ilvl w:val="0"/>
          <w:numId w:val="1"/>
        </w:numPr>
        <w:jc w:val="center"/>
        <w:rPr>
          <w:rFonts w:ascii="黑体" w:hAnsi="黑体" w:eastAsia="黑体"/>
        </w:rPr>
      </w:pPr>
      <w:bookmarkStart w:id="57" w:name="_Toc495861538"/>
      <w:r>
        <w:rPr>
          <w:rFonts w:hint="eastAsia" w:ascii="黑体" w:hAnsi="黑体" w:eastAsia="黑体"/>
        </w:rPr>
        <w:t>资格审查方法及标准</w:t>
      </w:r>
      <w:bookmarkEnd w:id="57"/>
    </w:p>
    <w:p>
      <w:pPr>
        <w:spacing w:line="360" w:lineRule="auto"/>
        <w:ind w:firstLine="42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根据《政府采购法》、《政府采购法实施条例》、《政府采购货物和服务招标投标管理办法》等相关法律法规确定以下资格审查方法及标准。</w:t>
      </w:r>
    </w:p>
    <w:p>
      <w:pPr>
        <w:pStyle w:val="3"/>
        <w:numPr>
          <w:ilvl w:val="0"/>
          <w:numId w:val="42"/>
        </w:numPr>
        <w:spacing w:before="0" w:after="0" w:line="360" w:lineRule="auto"/>
        <w:ind w:left="616" w:hanging="616"/>
        <w:jc w:val="left"/>
        <w:rPr>
          <w:rFonts w:cs="Times New Roman" w:asciiTheme="majorEastAsia" w:hAnsiTheme="majorEastAsia"/>
          <w:bCs w:val="0"/>
          <w:sz w:val="30"/>
          <w:szCs w:val="30"/>
          <w:lang w:val="zh-CN"/>
        </w:rPr>
      </w:pPr>
      <w:bookmarkStart w:id="58" w:name="_Toc494561958"/>
      <w:bookmarkStart w:id="59" w:name="_Toc495861539"/>
      <w:r>
        <w:rPr>
          <w:rFonts w:hint="eastAsia" w:cs="Times New Roman" w:asciiTheme="majorEastAsia" w:hAnsiTheme="majorEastAsia"/>
          <w:bCs w:val="0"/>
          <w:sz w:val="30"/>
          <w:szCs w:val="30"/>
          <w:lang w:val="zh-CN"/>
        </w:rPr>
        <w:t>资格审查方法</w:t>
      </w:r>
      <w:bookmarkEnd w:id="58"/>
      <w:bookmarkEnd w:id="59"/>
    </w:p>
    <w:p>
      <w:pPr>
        <w:spacing w:line="360" w:lineRule="auto"/>
        <w:ind w:firstLine="420"/>
        <w:rPr>
          <w:rFonts w:ascii="宋体" w:hAnsi="宋体" w:eastAsia="宋体" w:cs="Times New Roman"/>
          <w:bCs/>
          <w:sz w:val="24"/>
          <w:szCs w:val="20"/>
          <w:lang w:val="zh-CN"/>
        </w:rPr>
      </w:pPr>
      <w:r>
        <w:rPr>
          <w:rFonts w:hint="eastAsia" w:ascii="宋体" w:hAnsi="宋体" w:eastAsia="宋体" w:cs="Times New Roman"/>
          <w:bCs/>
          <w:sz w:val="24"/>
          <w:szCs w:val="20"/>
          <w:lang w:val="zh-CN"/>
        </w:rPr>
        <w:t>公开招标采购项目开标结束后，采购人、采购代理机构成立资格审查小组，依据法律、法规及招标文件的规定，对投标人的资格进行审查，以确定投标人资格是否合格。</w:t>
      </w:r>
    </w:p>
    <w:p>
      <w:pPr>
        <w:pStyle w:val="3"/>
        <w:numPr>
          <w:ilvl w:val="0"/>
          <w:numId w:val="42"/>
        </w:numPr>
        <w:spacing w:before="0" w:after="0" w:line="360" w:lineRule="auto"/>
        <w:ind w:left="616" w:hanging="616"/>
        <w:jc w:val="left"/>
        <w:rPr>
          <w:rFonts w:cs="Times New Roman" w:asciiTheme="majorEastAsia" w:hAnsiTheme="majorEastAsia"/>
          <w:bCs w:val="0"/>
          <w:sz w:val="30"/>
          <w:szCs w:val="30"/>
          <w:lang w:val="zh-CN"/>
        </w:rPr>
      </w:pPr>
      <w:bookmarkStart w:id="60" w:name="_Toc495861540"/>
      <w:bookmarkStart w:id="61" w:name="_Toc494561959"/>
      <w:r>
        <w:rPr>
          <w:rFonts w:hint="eastAsia" w:cs="Times New Roman" w:asciiTheme="majorEastAsia" w:hAnsiTheme="majorEastAsia"/>
          <w:bCs w:val="0"/>
          <w:sz w:val="30"/>
          <w:szCs w:val="30"/>
          <w:lang w:val="zh-CN"/>
        </w:rPr>
        <w:t>资格审查标准</w:t>
      </w:r>
      <w:bookmarkEnd w:id="60"/>
      <w:bookmarkEnd w:id="61"/>
    </w:p>
    <w:p>
      <w:pPr>
        <w:numPr>
          <w:ilvl w:val="0"/>
          <w:numId w:val="43"/>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资格证明文件审查</w:t>
      </w:r>
    </w:p>
    <w:p>
      <w:pPr>
        <w:tabs>
          <w:tab w:val="left" w:pos="616"/>
        </w:tabs>
        <w:spacing w:line="360" w:lineRule="auto"/>
        <w:ind w:firstLine="420"/>
        <w:rPr>
          <w:rFonts w:ascii="Helvetica" w:hAnsi="Helvetica" w:eastAsia="宋体" w:cs="Helvetica"/>
          <w:b/>
          <w:kern w:val="0"/>
          <w:sz w:val="24"/>
          <w:szCs w:val="24"/>
          <w:lang w:val="zh-CN"/>
        </w:rPr>
      </w:pPr>
      <w:r>
        <w:rPr>
          <w:rFonts w:hint="eastAsia" w:ascii="Helvetica" w:hAnsi="Helvetica" w:eastAsia="宋体" w:cs="Helvetica"/>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kern w:val="0"/>
          <w:sz w:val="24"/>
          <w:szCs w:val="24"/>
          <w:lang w:val="zh-CN"/>
        </w:rPr>
        <w:t>无效投标处理：</w:t>
      </w:r>
    </w:p>
    <w:p>
      <w:pPr>
        <w:pStyle w:val="25"/>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应具备《政府采购法》第二十二条第一款规定的条件，</w:t>
      </w:r>
      <w:r>
        <w:rPr>
          <w:rFonts w:hint="eastAsia" w:hAnsi="宋体"/>
          <w:sz w:val="24"/>
          <w:szCs w:val="24"/>
        </w:rPr>
        <w:t>提供下列材料</w:t>
      </w:r>
      <w:r>
        <w:rPr>
          <w:rFonts w:hint="eastAsia" w:ascii="宋体" w:hAnsi="宋体" w:eastAsia="宋体" w:cs="Times New Roman"/>
          <w:sz w:val="24"/>
          <w:szCs w:val="24"/>
          <w:lang w:val="zh-CN"/>
        </w:rPr>
        <w:t>：</w:t>
      </w:r>
    </w:p>
    <w:p>
      <w:pPr>
        <w:pStyle w:val="25"/>
        <w:numPr>
          <w:ilvl w:val="0"/>
          <w:numId w:val="45"/>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法人或者其他组织的营业执照等证明文件，自然人的身份证明；</w:t>
      </w:r>
    </w:p>
    <w:p>
      <w:pPr>
        <w:pStyle w:val="25"/>
        <w:numPr>
          <w:ilvl w:val="0"/>
          <w:numId w:val="45"/>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财务状况报告，依法缴纳税收和社会保障资金的相关材料；</w:t>
      </w:r>
    </w:p>
    <w:p>
      <w:pPr>
        <w:pStyle w:val="25"/>
        <w:numPr>
          <w:ilvl w:val="0"/>
          <w:numId w:val="45"/>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具备履行合同所必需的设备和专业技术能力的证明材料；</w:t>
      </w:r>
    </w:p>
    <w:p>
      <w:pPr>
        <w:pStyle w:val="25"/>
        <w:numPr>
          <w:ilvl w:val="0"/>
          <w:numId w:val="45"/>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参加政府采购活动前3年内在经营活动中没有重大违法记录的书面声明；</w:t>
      </w:r>
    </w:p>
    <w:p>
      <w:pPr>
        <w:pStyle w:val="25"/>
        <w:numPr>
          <w:ilvl w:val="0"/>
          <w:numId w:val="45"/>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具备法律、行政法规规定的其他条件的证明材料。</w:t>
      </w:r>
    </w:p>
    <w:p>
      <w:pPr>
        <w:pStyle w:val="25"/>
        <w:numPr>
          <w:ilvl w:val="0"/>
          <w:numId w:val="44"/>
        </w:numPr>
        <w:tabs>
          <w:tab w:val="left" w:pos="840"/>
        </w:tabs>
        <w:spacing w:line="360" w:lineRule="auto"/>
        <w:ind w:hanging="55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pStyle w:val="25"/>
        <w:numPr>
          <w:ilvl w:val="0"/>
          <w:numId w:val="44"/>
        </w:numPr>
        <w:tabs>
          <w:tab w:val="left" w:pos="840"/>
        </w:tabs>
        <w:spacing w:line="360" w:lineRule="auto"/>
        <w:ind w:hanging="556" w:firstLineChars="0"/>
        <w:rPr>
          <w:rFonts w:ascii="宋体" w:hAnsi="宋体" w:eastAsia="宋体" w:cs="Times New Roman"/>
          <w:sz w:val="24"/>
          <w:szCs w:val="24"/>
          <w:lang w:val="zh-CN"/>
        </w:rPr>
      </w:pPr>
      <w:r>
        <w:rPr>
          <w:rFonts w:hint="eastAsia" w:ascii="宋体" w:hAnsi="宋体" w:eastAsia="宋体" w:cs="Times New Roman"/>
          <w:sz w:val="24"/>
          <w:szCs w:val="24"/>
          <w:lang w:val="zh-CN"/>
        </w:rPr>
        <w:t>供应商（所投产品的制造商）必须具有医疗器械生产许可证；</w:t>
      </w:r>
    </w:p>
    <w:p>
      <w:pPr>
        <w:pStyle w:val="25"/>
        <w:numPr>
          <w:ilvl w:val="0"/>
          <w:numId w:val="44"/>
        </w:numPr>
        <w:tabs>
          <w:tab w:val="left" w:pos="840"/>
        </w:tabs>
        <w:spacing w:line="360" w:lineRule="auto"/>
        <w:ind w:hanging="556" w:firstLineChars="0"/>
        <w:rPr>
          <w:rFonts w:ascii="宋体" w:hAnsi="宋体" w:eastAsia="宋体" w:cs="Times New Roman"/>
          <w:sz w:val="24"/>
          <w:szCs w:val="24"/>
          <w:lang w:val="zh-CN"/>
        </w:rPr>
      </w:pPr>
      <w:r>
        <w:rPr>
          <w:rFonts w:hint="eastAsia" w:ascii="宋体" w:hAnsi="宋体" w:eastAsia="宋体" w:cs="Times New Roman"/>
          <w:sz w:val="24"/>
          <w:szCs w:val="24"/>
          <w:lang w:val="zh-CN"/>
        </w:rPr>
        <w:t>供应商须提供符合本项目招标要求的一体化心电图机产品医疗器械注册证；</w:t>
      </w:r>
    </w:p>
    <w:p>
      <w:pPr>
        <w:pStyle w:val="25"/>
        <w:numPr>
          <w:ilvl w:val="0"/>
          <w:numId w:val="44"/>
        </w:numPr>
        <w:tabs>
          <w:tab w:val="left" w:pos="840"/>
        </w:tabs>
        <w:spacing w:line="360" w:lineRule="auto"/>
        <w:ind w:hanging="556" w:firstLineChars="0"/>
        <w:rPr>
          <w:rFonts w:ascii="宋体" w:hAnsi="宋体" w:eastAsia="宋体" w:cs="Times New Roman"/>
          <w:sz w:val="24"/>
          <w:szCs w:val="24"/>
          <w:lang w:val="zh-CN"/>
        </w:rPr>
      </w:pPr>
      <w:r>
        <w:rPr>
          <w:rFonts w:hint="eastAsia" w:ascii="宋体" w:hAnsi="宋体" w:eastAsia="宋体" w:cs="Times New Roman"/>
          <w:sz w:val="24"/>
          <w:szCs w:val="24"/>
          <w:lang w:val="zh-CN"/>
        </w:rPr>
        <w:t>供应商须提供有效期内的医疗器械经营许可证、医疗器械产品注册登记表；</w:t>
      </w:r>
    </w:p>
    <w:p>
      <w:pPr>
        <w:pStyle w:val="25"/>
        <w:numPr>
          <w:ilvl w:val="0"/>
          <w:numId w:val="44"/>
        </w:numPr>
        <w:tabs>
          <w:tab w:val="left" w:pos="840"/>
        </w:tabs>
        <w:spacing w:line="360" w:lineRule="auto"/>
        <w:ind w:hanging="556" w:firstLineChars="0"/>
        <w:rPr>
          <w:rFonts w:ascii="宋体" w:hAnsi="宋体" w:eastAsia="宋体" w:cs="Times New Roman"/>
          <w:sz w:val="24"/>
          <w:szCs w:val="24"/>
          <w:lang w:val="zh-CN"/>
        </w:rPr>
      </w:pPr>
      <w:r>
        <w:rPr>
          <w:rFonts w:hint="eastAsia" w:ascii="宋体" w:hAnsi="宋体" w:eastAsia="宋体" w:cs="Times New Roman"/>
          <w:sz w:val="24"/>
          <w:szCs w:val="24"/>
          <w:lang w:val="zh-CN"/>
        </w:rPr>
        <w:t>不接受联合体形式的投标，项目所涉及心电图机及相应配套软件系统须为同一生产企业；</w:t>
      </w:r>
    </w:p>
    <w:p>
      <w:pPr>
        <w:pStyle w:val="25"/>
        <w:numPr>
          <w:ilvl w:val="0"/>
          <w:numId w:val="44"/>
        </w:numPr>
        <w:tabs>
          <w:tab w:val="left" w:pos="840"/>
        </w:tabs>
        <w:spacing w:line="360" w:lineRule="auto"/>
        <w:ind w:hanging="55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如国家法律法规对市场准入有要求的还应符合相关规定。</w:t>
      </w:r>
    </w:p>
    <w:p>
      <w:pPr>
        <w:pStyle w:val="25"/>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投标人认为需提供的其它相关资格证明材料；</w:t>
      </w:r>
    </w:p>
    <w:p>
      <w:pPr>
        <w:pStyle w:val="25"/>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资格证明文件正本应为清晰彩色影印件且加盖单位公章。</w:t>
      </w:r>
    </w:p>
    <w:p>
      <w:pPr>
        <w:numPr>
          <w:ilvl w:val="0"/>
          <w:numId w:val="43"/>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25"/>
        <w:numPr>
          <w:ilvl w:val="0"/>
          <w:numId w:val="46"/>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sz w:val="24"/>
          <w:szCs w:val="24"/>
          <w:lang w:val="zh-CN"/>
        </w:rPr>
        <w:t>形成书面的资格审查报告。</w:t>
      </w:r>
    </w:p>
    <w:p>
      <w:pPr>
        <w:pStyle w:val="25"/>
        <w:numPr>
          <w:ilvl w:val="0"/>
          <w:numId w:val="46"/>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25"/>
        <w:numPr>
          <w:ilvl w:val="0"/>
          <w:numId w:val="46"/>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25"/>
        <w:numPr>
          <w:ilvl w:val="0"/>
          <w:numId w:val="46"/>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采购人已进行资格预审的，不再进行资格审查。未通过资格预审的投标人，采购人、采购代理机构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2"/>
        <w:numPr>
          <w:ilvl w:val="0"/>
          <w:numId w:val="1"/>
        </w:numPr>
        <w:jc w:val="center"/>
        <w:rPr>
          <w:rFonts w:ascii="黑体" w:hAnsi="黑体" w:eastAsia="黑体"/>
        </w:rPr>
      </w:pPr>
      <w:bookmarkStart w:id="62" w:name="_Toc495861541"/>
      <w:r>
        <w:rPr>
          <w:rFonts w:hint="eastAsia" w:ascii="黑体" w:hAnsi="黑体" w:eastAsia="黑体"/>
        </w:rPr>
        <w:t>评标方法、程序及标准</w:t>
      </w:r>
      <w:bookmarkEnd w:id="62"/>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3"/>
        <w:numPr>
          <w:ilvl w:val="0"/>
          <w:numId w:val="47"/>
        </w:numPr>
        <w:spacing w:before="0" w:after="0" w:line="360" w:lineRule="auto"/>
        <w:ind w:left="616" w:hanging="616"/>
        <w:jc w:val="left"/>
        <w:rPr>
          <w:rFonts w:cs="Times New Roman" w:asciiTheme="majorEastAsia" w:hAnsiTheme="majorEastAsia"/>
          <w:bCs w:val="0"/>
          <w:sz w:val="30"/>
          <w:szCs w:val="30"/>
          <w:lang w:val="zh-CN"/>
        </w:rPr>
      </w:pPr>
      <w:bookmarkStart w:id="63" w:name="_Toc278891605"/>
      <w:bookmarkStart w:id="64" w:name="_Toc272247708"/>
      <w:bookmarkStart w:id="65" w:name="_Toc495861542"/>
      <w:bookmarkStart w:id="66" w:name="_Toc494561961"/>
      <w:r>
        <w:rPr>
          <w:rFonts w:hint="eastAsia" w:cs="Times New Roman" w:asciiTheme="majorEastAsia" w:hAnsiTheme="majorEastAsia"/>
          <w:bCs w:val="0"/>
          <w:sz w:val="30"/>
          <w:szCs w:val="30"/>
          <w:lang w:val="zh-CN"/>
        </w:rPr>
        <w:t>评标</w:t>
      </w:r>
      <w:bookmarkEnd w:id="63"/>
      <w:bookmarkEnd w:id="64"/>
      <w:r>
        <w:rPr>
          <w:rFonts w:hint="eastAsia" w:cs="Times New Roman" w:asciiTheme="majorEastAsia" w:hAnsiTheme="majorEastAsia"/>
          <w:bCs w:val="0"/>
          <w:sz w:val="30"/>
          <w:szCs w:val="30"/>
          <w:lang w:val="zh-CN"/>
        </w:rPr>
        <w:t>方法</w:t>
      </w:r>
      <w:bookmarkEnd w:id="65"/>
      <w:bookmarkEnd w:id="66"/>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3"/>
        <w:numPr>
          <w:ilvl w:val="0"/>
          <w:numId w:val="47"/>
        </w:numPr>
        <w:spacing w:before="0" w:after="0" w:line="360" w:lineRule="auto"/>
        <w:ind w:left="616" w:hanging="616"/>
        <w:jc w:val="left"/>
        <w:rPr>
          <w:rFonts w:cs="Times New Roman" w:asciiTheme="majorEastAsia" w:hAnsiTheme="majorEastAsia"/>
          <w:bCs w:val="0"/>
          <w:sz w:val="30"/>
          <w:szCs w:val="30"/>
          <w:lang w:val="zh-CN"/>
        </w:rPr>
      </w:pPr>
      <w:bookmarkStart w:id="67" w:name="_Toc278891606"/>
      <w:bookmarkStart w:id="68" w:name="_Toc272247709"/>
      <w:bookmarkStart w:id="69" w:name="_Toc494561962"/>
      <w:bookmarkStart w:id="70" w:name="_Toc495861543"/>
      <w:r>
        <w:rPr>
          <w:rFonts w:hint="eastAsia" w:cs="Times New Roman" w:asciiTheme="majorEastAsia" w:hAnsiTheme="majorEastAsia"/>
          <w:bCs w:val="0"/>
          <w:sz w:val="30"/>
          <w:szCs w:val="30"/>
          <w:lang w:val="zh-CN"/>
        </w:rPr>
        <w:t>评标程序</w:t>
      </w:r>
      <w:bookmarkEnd w:id="67"/>
      <w:bookmarkEnd w:id="68"/>
      <w:r>
        <w:rPr>
          <w:rFonts w:hint="eastAsia" w:cs="Times New Roman" w:asciiTheme="majorEastAsia" w:hAnsiTheme="majorEastAsia"/>
          <w:bCs w:val="0"/>
          <w:sz w:val="30"/>
          <w:szCs w:val="30"/>
          <w:lang w:val="zh-CN"/>
        </w:rPr>
        <w:t>及标准</w:t>
      </w:r>
      <w:bookmarkEnd w:id="69"/>
      <w:bookmarkEnd w:id="70"/>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48"/>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0"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4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4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4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4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4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4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4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4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4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49"/>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4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4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未按要求提供招标文件第二章“十一 其他注意事项”中规定的书面声明的；</w:t>
      </w:r>
    </w:p>
    <w:p>
      <w:pPr>
        <w:numPr>
          <w:ilvl w:val="0"/>
          <w:numId w:val="4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4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4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4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48"/>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50"/>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50"/>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50"/>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51"/>
        </w:numPr>
        <w:adjustRightInd w:val="0"/>
        <w:spacing w:line="360" w:lineRule="auto"/>
        <w:ind w:left="742" w:hanging="493"/>
        <w:rPr>
          <w:rFonts w:ascii="宋体" w:hAnsi="宋体" w:eastAsia="宋体" w:cs="Times New Roman"/>
          <w:sz w:val="24"/>
          <w:szCs w:val="24"/>
          <w:lang w:val="zh-CN"/>
        </w:rPr>
      </w:pPr>
      <w:r>
        <w:rPr>
          <w:rFonts w:ascii="宋体" w:hAnsi="宋体" w:eastAsia="宋体" w:cs="Times New Roman"/>
          <w:sz w:val="24"/>
          <w:szCs w:val="24"/>
          <w:lang w:val="zh-CN"/>
        </w:rPr>
        <w:t>投标文件中开标一览表内容与投标文件中相应内容不一致的，以开标一览表为准</w:t>
      </w:r>
      <w:r>
        <w:rPr>
          <w:rFonts w:hint="eastAsia" w:ascii="宋体" w:hAnsi="宋体" w:eastAsia="宋体" w:cs="Times New Roman"/>
          <w:sz w:val="24"/>
          <w:szCs w:val="24"/>
          <w:lang w:val="zh-CN"/>
        </w:rPr>
        <w:t>。</w:t>
      </w:r>
    </w:p>
    <w:p>
      <w:pPr>
        <w:numPr>
          <w:ilvl w:val="0"/>
          <w:numId w:val="51"/>
        </w:numPr>
        <w:adjustRightInd w:val="0"/>
        <w:spacing w:line="360" w:lineRule="auto"/>
        <w:ind w:left="742" w:hanging="493"/>
        <w:rPr>
          <w:rFonts w:ascii="宋体" w:hAnsi="宋体" w:eastAsia="宋体" w:cs="Times New Roman"/>
          <w:sz w:val="24"/>
          <w:szCs w:val="24"/>
          <w:lang w:val="zh-CN"/>
        </w:rPr>
      </w:pPr>
      <w:r>
        <w:rPr>
          <w:rFonts w:ascii="宋体" w:hAnsi="宋体" w:eastAsia="宋体" w:cs="Times New Roman"/>
          <w:sz w:val="24"/>
          <w:szCs w:val="24"/>
          <w:lang w:val="zh-CN"/>
        </w:rPr>
        <w:t>大写金额和小写金额不一致的，以大写金额为准</w:t>
      </w:r>
      <w:r>
        <w:rPr>
          <w:rFonts w:hint="eastAsia" w:ascii="宋体" w:hAnsi="宋体" w:eastAsia="宋体" w:cs="Times New Roman"/>
          <w:sz w:val="24"/>
          <w:szCs w:val="24"/>
          <w:lang w:val="zh-CN"/>
        </w:rPr>
        <w:t>。</w:t>
      </w:r>
    </w:p>
    <w:p>
      <w:pPr>
        <w:numPr>
          <w:ilvl w:val="0"/>
          <w:numId w:val="51"/>
        </w:numPr>
        <w:adjustRightInd w:val="0"/>
        <w:spacing w:line="360" w:lineRule="auto"/>
        <w:ind w:left="742" w:hanging="493"/>
        <w:rPr>
          <w:rFonts w:ascii="宋体" w:hAnsi="宋体" w:eastAsia="宋体" w:cs="Times New Roman"/>
          <w:sz w:val="24"/>
          <w:szCs w:val="24"/>
          <w:lang w:val="zh-CN"/>
        </w:rPr>
      </w:pPr>
      <w:r>
        <w:rPr>
          <w:rFonts w:ascii="宋体" w:hAnsi="宋体" w:eastAsia="宋体" w:cs="Times New Roman"/>
          <w:sz w:val="24"/>
          <w:szCs w:val="24"/>
          <w:lang w:val="zh-CN"/>
        </w:rPr>
        <w:t>单价金额小数点或者百分比有明显错位的，以开标一览表的总价为准，并修改单价</w:t>
      </w:r>
      <w:r>
        <w:rPr>
          <w:rFonts w:hint="eastAsia" w:ascii="宋体" w:hAnsi="宋体" w:eastAsia="宋体" w:cs="Times New Roman"/>
          <w:sz w:val="24"/>
          <w:szCs w:val="24"/>
          <w:lang w:val="zh-CN"/>
        </w:rPr>
        <w:t>。</w:t>
      </w:r>
    </w:p>
    <w:p>
      <w:pPr>
        <w:numPr>
          <w:ilvl w:val="0"/>
          <w:numId w:val="51"/>
        </w:numPr>
        <w:adjustRightInd w:val="0"/>
        <w:spacing w:line="360" w:lineRule="auto"/>
        <w:ind w:left="742" w:hanging="493"/>
        <w:rPr>
          <w:rFonts w:ascii="宋体" w:hAnsi="宋体" w:eastAsia="宋体" w:cs="Times New Roman"/>
          <w:sz w:val="24"/>
          <w:szCs w:val="24"/>
          <w:lang w:val="zh-CN"/>
        </w:rPr>
      </w:pPr>
      <w:r>
        <w:rPr>
          <w:rFonts w:ascii="宋体" w:hAnsi="宋体" w:eastAsia="宋体" w:cs="Times New Roman"/>
          <w:sz w:val="24"/>
          <w:szCs w:val="24"/>
          <w:lang w:val="zh-CN"/>
        </w:rPr>
        <w:t>总价金额与按单价汇总金额不一致的，以单价金额计算结果为准</w:t>
      </w:r>
      <w:r>
        <w:rPr>
          <w:rFonts w:hint="eastAsia" w:ascii="宋体" w:hAnsi="宋体" w:eastAsia="宋体" w:cs="Times New Roman"/>
          <w:sz w:val="24"/>
          <w:szCs w:val="24"/>
          <w:lang w:val="zh-CN"/>
        </w:rPr>
        <w:t>。</w:t>
      </w:r>
    </w:p>
    <w:p>
      <w:pPr>
        <w:numPr>
          <w:ilvl w:val="0"/>
          <w:numId w:val="51"/>
        </w:numPr>
        <w:adjustRightInd w:val="0"/>
        <w:spacing w:line="360" w:lineRule="auto"/>
        <w:ind w:left="742" w:hanging="493"/>
        <w:rPr>
          <w:rFonts w:ascii="宋体" w:hAnsi="宋体" w:eastAsia="宋体" w:cs="Times New Roman"/>
          <w:sz w:val="24"/>
          <w:szCs w:val="24"/>
          <w:lang w:val="zh-CN"/>
        </w:rPr>
      </w:pPr>
      <w:r>
        <w:rPr>
          <w:rFonts w:ascii="宋体" w:hAnsi="宋体" w:eastAsia="宋体" w:cs="Times New Roman"/>
          <w:sz w:val="24"/>
          <w:szCs w:val="24"/>
          <w:lang w:val="zh-CN"/>
        </w:rPr>
        <w:t>同时出现两种以上不一致的，按照前款规定的顺序修正</w:t>
      </w:r>
      <w:r>
        <w:rPr>
          <w:rFonts w:hint="eastAsia" w:ascii="宋体" w:hAnsi="宋体" w:eastAsia="宋体" w:cs="Times New Roman"/>
          <w:sz w:val="24"/>
          <w:szCs w:val="24"/>
          <w:lang w:val="zh-CN"/>
        </w:rPr>
        <w:t>。</w:t>
      </w:r>
    </w:p>
    <w:p>
      <w:pPr>
        <w:numPr>
          <w:ilvl w:val="0"/>
          <w:numId w:val="51"/>
        </w:numPr>
        <w:adjustRightInd w:val="0"/>
        <w:spacing w:line="360" w:lineRule="auto"/>
        <w:ind w:left="742" w:hanging="493"/>
        <w:rPr>
          <w:rFonts w:ascii="宋体" w:hAnsi="宋体" w:eastAsia="宋体" w:cs="Times New Roman"/>
          <w:sz w:val="24"/>
          <w:szCs w:val="24"/>
          <w:lang w:val="zh-CN"/>
        </w:rPr>
      </w:pPr>
      <w:r>
        <w:rPr>
          <w:rFonts w:ascii="宋体" w:hAnsi="宋体" w:eastAsia="宋体" w:cs="Times New Roman"/>
          <w:sz w:val="24"/>
          <w:szCs w:val="24"/>
          <w:lang w:val="zh-CN"/>
        </w:rPr>
        <w:t>修正后的报价按照</w:t>
      </w:r>
      <w:r>
        <w:rPr>
          <w:rFonts w:hint="eastAsia" w:ascii="宋体" w:hAnsi="宋体" w:eastAsia="宋体" w:cs="Times New Roman"/>
          <w:sz w:val="24"/>
          <w:szCs w:val="24"/>
          <w:lang w:val="zh-CN"/>
        </w:rPr>
        <w:t>本节第4条规定</w:t>
      </w:r>
      <w:r>
        <w:rPr>
          <w:rFonts w:ascii="宋体" w:hAnsi="宋体" w:eastAsia="宋体" w:cs="Times New Roman"/>
          <w:sz w:val="24"/>
          <w:szCs w:val="24"/>
          <w:lang w:val="zh-CN"/>
        </w:rPr>
        <w:t>经投标人确认后产生约束力，投标人不确认的，</w:t>
      </w:r>
      <w:r>
        <w:rPr>
          <w:rFonts w:hint="eastAsia" w:ascii="宋体" w:hAnsi="宋体" w:eastAsia="宋体" w:cs="Times New Roman"/>
          <w:sz w:val="24"/>
          <w:szCs w:val="24"/>
          <w:lang w:val="zh-CN"/>
        </w:rPr>
        <w:t>按照</w:t>
      </w:r>
      <w:r>
        <w:rPr>
          <w:rFonts w:ascii="宋体" w:hAnsi="宋体" w:eastAsia="宋体" w:cs="Times New Roman"/>
          <w:b/>
          <w:sz w:val="24"/>
          <w:szCs w:val="24"/>
          <w:lang w:val="zh-CN"/>
        </w:rPr>
        <w:t>无效</w:t>
      </w:r>
      <w:r>
        <w:rPr>
          <w:rFonts w:hint="eastAsia" w:ascii="宋体" w:hAnsi="宋体" w:eastAsia="宋体" w:cs="Times New Roman"/>
          <w:b/>
          <w:sz w:val="24"/>
          <w:szCs w:val="24"/>
          <w:lang w:val="zh-CN"/>
        </w:rPr>
        <w:t>投标处理</w:t>
      </w:r>
      <w:r>
        <w:rPr>
          <w:rFonts w:ascii="宋体" w:hAnsi="宋体" w:eastAsia="宋体" w:cs="Times New Roman"/>
          <w:sz w:val="24"/>
          <w:szCs w:val="24"/>
          <w:lang w:val="zh-CN"/>
        </w:rPr>
        <w:t>。</w:t>
      </w:r>
    </w:p>
    <w:p>
      <w:pPr>
        <w:numPr>
          <w:ilvl w:val="0"/>
          <w:numId w:val="50"/>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48"/>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5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5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5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3"/>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53"/>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54"/>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4"/>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4"/>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54"/>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54"/>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5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55"/>
        </w:numPr>
        <w:adjustRightInd w:val="0"/>
        <w:spacing w:line="360" w:lineRule="auto"/>
        <w:ind w:left="756" w:hanging="507"/>
        <w:rPr>
          <w:rFonts w:ascii="Helvetica" w:hAnsi="Helvetica" w:eastAsia="宋体" w:cs="Helvetica"/>
          <w:kern w:val="0"/>
          <w:sz w:val="24"/>
          <w:szCs w:val="24"/>
          <w:lang w:val="zh-CN"/>
        </w:rPr>
      </w:pPr>
      <w:r>
        <w:rPr>
          <w:rFonts w:ascii="Helvetica" w:hAnsi="Helvetica" w:eastAsia="宋体" w:cs="Helvetica"/>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确定一个投标人获得中标人推荐资格，其他同品牌投标人不作为中标候选人。</w:t>
      </w:r>
    </w:p>
    <w:p>
      <w:pPr>
        <w:numPr>
          <w:ilvl w:val="0"/>
          <w:numId w:val="55"/>
        </w:numPr>
        <w:adjustRightInd w:val="0"/>
        <w:spacing w:line="360" w:lineRule="auto"/>
        <w:ind w:left="756" w:hanging="507"/>
        <w:rPr>
          <w:rFonts w:ascii="Helvetica" w:hAnsi="Helvetica" w:eastAsia="宋体" w:cs="Helvetica"/>
          <w:kern w:val="0"/>
          <w:sz w:val="24"/>
          <w:szCs w:val="24"/>
          <w:lang w:val="zh-CN"/>
        </w:rPr>
      </w:pPr>
      <w:r>
        <w:rPr>
          <w:rFonts w:ascii="Helvetica" w:hAnsi="Helvetica" w:eastAsia="宋体" w:cs="Helvetica"/>
          <w:kern w:val="0"/>
          <w:sz w:val="24"/>
          <w:szCs w:val="24"/>
          <w:lang w:val="zh-CN"/>
        </w:rPr>
        <w:t>非单一产品采购项目，采购人应当根据采购项目技术构成、产品价格比重等合理确定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（采购清单中作“相同〈或同一〉品牌”实质性要求的产品，视为一个核心产品），</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在招标文件中</w:t>
      </w:r>
      <w:r>
        <w:rPr>
          <w:rFonts w:hint="eastAsia" w:ascii="Helvetica" w:hAnsi="Helvetica" w:eastAsia="宋体" w:cs="Helvetica"/>
          <w:kern w:val="0"/>
          <w:sz w:val="24"/>
          <w:szCs w:val="24"/>
          <w:lang w:val="zh-CN"/>
        </w:rPr>
        <w:t>标注</w:t>
      </w:r>
      <w:r>
        <w:rPr>
          <w:rFonts w:ascii="Helvetica" w:hAnsi="Helvetica" w:eastAsia="宋体" w:cs="Helvetica"/>
          <w:kern w:val="0"/>
          <w:sz w:val="24"/>
          <w:szCs w:val="24"/>
          <w:lang w:val="zh-CN"/>
        </w:rPr>
        <w:t>。</w:t>
      </w:r>
    </w:p>
    <w:p>
      <w:pPr>
        <w:numPr>
          <w:ilvl w:val="0"/>
          <w:numId w:val="5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56"/>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集中采购机构对各评委的总分进行复核。各项统计结果均精确到小数点后两位。</w:t>
      </w:r>
    </w:p>
    <w:p>
      <w:pPr>
        <w:numPr>
          <w:ilvl w:val="0"/>
          <w:numId w:val="56"/>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48"/>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5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5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tabs>
          <w:tab w:val="left" w:pos="616"/>
        </w:tabs>
        <w:spacing w:line="360" w:lineRule="auto"/>
        <w:ind w:left="248"/>
        <w:rPr>
          <w:rFonts w:ascii="Helvetica" w:hAnsi="Helvetica" w:eastAsia="宋体" w:cs="Helvetica"/>
          <w:kern w:val="0"/>
          <w:sz w:val="24"/>
          <w:szCs w:val="24"/>
          <w:lang w:val="zh-CN"/>
        </w:rPr>
      </w:pPr>
    </w:p>
    <w:p>
      <w:pPr>
        <w:pStyle w:val="3"/>
        <w:numPr>
          <w:ilvl w:val="0"/>
          <w:numId w:val="47"/>
        </w:numPr>
        <w:spacing w:before="0" w:after="0" w:line="360" w:lineRule="auto"/>
        <w:ind w:left="616" w:hanging="616"/>
        <w:jc w:val="left"/>
        <w:rPr>
          <w:rFonts w:cs="Times New Roman" w:asciiTheme="majorEastAsia" w:hAnsiTheme="majorEastAsia"/>
          <w:bCs w:val="0"/>
          <w:sz w:val="30"/>
          <w:szCs w:val="30"/>
          <w:lang w:val="zh-CN"/>
        </w:rPr>
      </w:pPr>
      <w:bookmarkStart w:id="71" w:name="_Toc495861544"/>
      <w:bookmarkStart w:id="72" w:name="_Toc494561963"/>
      <w:r>
        <w:rPr>
          <w:rFonts w:hint="eastAsia" w:cs="Times New Roman" w:asciiTheme="majorEastAsia" w:hAnsiTheme="majorEastAsia"/>
          <w:bCs w:val="0"/>
          <w:sz w:val="30"/>
          <w:szCs w:val="30"/>
          <w:lang w:val="zh-CN"/>
        </w:rPr>
        <w:t>评审因素及评分标准</w:t>
      </w:r>
      <w:bookmarkEnd w:id="71"/>
      <w:bookmarkEnd w:id="72"/>
    </w:p>
    <w:tbl>
      <w:tblPr>
        <w:tblStyle w:val="16"/>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198"/>
        <w:gridCol w:w="667"/>
        <w:gridCol w:w="6296"/>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restart"/>
            <w:shd w:val="pct10" w:color="auto" w:fill="auto"/>
            <w:vAlign w:val="center"/>
          </w:tcPr>
          <w:p>
            <w:pPr>
              <w:ind w:left="-77" w:leftChars="-37" w:right="-86" w:rightChars="-41"/>
              <w:jc w:val="center"/>
              <w:rPr>
                <w:rFonts w:ascii="宋体" w:hAnsi="宋体" w:eastAsia="宋体" w:cs="Times New Roman"/>
                <w:b/>
                <w:bCs/>
                <w:sz w:val="28"/>
                <w:szCs w:val="28"/>
              </w:rPr>
            </w:pPr>
            <w:r>
              <w:rPr>
                <w:rFonts w:hint="eastAsia" w:ascii="宋体" w:hAnsi="宋体" w:eastAsia="宋体" w:cs="Times New Roman"/>
                <w:b/>
                <w:bCs/>
                <w:sz w:val="28"/>
                <w:szCs w:val="28"/>
              </w:rPr>
              <w:t>商务评议</w:t>
            </w:r>
          </w:p>
          <w:p>
            <w:pPr>
              <w:ind w:left="-77" w:leftChars="-37" w:right="-86" w:rightChars="-41"/>
              <w:jc w:val="center"/>
              <w:rPr>
                <w:rFonts w:ascii="宋体" w:hAnsi="宋体" w:eastAsia="宋体" w:cs="Times New Roman"/>
                <w:b/>
                <w:sz w:val="24"/>
                <w:szCs w:val="24"/>
              </w:rPr>
            </w:pPr>
            <w:r>
              <w:rPr>
                <w:rFonts w:hint="eastAsia" w:ascii="宋体" w:hAnsi="宋体" w:eastAsia="宋体" w:cs="Times New Roman"/>
                <w:b/>
                <w:bCs/>
                <w:sz w:val="28"/>
                <w:szCs w:val="28"/>
              </w:rPr>
              <w:t>20分</w:t>
            </w:r>
          </w:p>
        </w:tc>
        <w:tc>
          <w:tcPr>
            <w:tcW w:w="1198" w:type="dxa"/>
            <w:shd w:val="pct10" w:color="auto" w:fill="auto"/>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评审因素</w:t>
            </w:r>
          </w:p>
        </w:tc>
        <w:tc>
          <w:tcPr>
            <w:tcW w:w="667" w:type="dxa"/>
            <w:shd w:val="pct10" w:color="auto" w:fill="auto"/>
            <w:vAlign w:val="center"/>
          </w:tcPr>
          <w:p>
            <w:pPr>
              <w:ind w:left="-73" w:leftChars="-35" w:right="-79" w:rightChars="-38"/>
              <w:jc w:val="center"/>
              <w:rPr>
                <w:rFonts w:ascii="宋体" w:hAnsi="宋体" w:eastAsia="宋体" w:cs="Times New Roman"/>
                <w:b/>
                <w:sz w:val="24"/>
                <w:szCs w:val="24"/>
              </w:rPr>
            </w:pPr>
            <w:r>
              <w:rPr>
                <w:rFonts w:hint="eastAsia" w:ascii="宋体" w:hAnsi="宋体" w:eastAsia="宋体" w:cs="Times New Roman"/>
                <w:b/>
                <w:sz w:val="24"/>
                <w:szCs w:val="24"/>
              </w:rPr>
              <w:t>分值</w:t>
            </w:r>
          </w:p>
        </w:tc>
        <w:tc>
          <w:tcPr>
            <w:tcW w:w="6296" w:type="dxa"/>
            <w:shd w:val="pct10" w:color="auto" w:fill="auto"/>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评分标准</w:t>
            </w:r>
          </w:p>
        </w:tc>
        <w:tc>
          <w:tcPr>
            <w:tcW w:w="968" w:type="dxa"/>
            <w:shd w:val="pct10" w:color="auto" w:fill="auto"/>
            <w:vAlign w:val="center"/>
          </w:tcPr>
          <w:p>
            <w:pPr>
              <w:spacing w:line="280" w:lineRule="exact"/>
              <w:jc w:val="center"/>
              <w:rPr>
                <w:rFonts w:ascii="宋体" w:hAnsi="宋体" w:eastAsia="宋体" w:cs="Times New Roman"/>
                <w:b/>
                <w:sz w:val="24"/>
                <w:szCs w:val="24"/>
              </w:rPr>
            </w:pPr>
            <w:r>
              <w:rPr>
                <w:rFonts w:hint="eastAsia" w:ascii="宋体" w:hAnsi="宋体" w:eastAsia="宋体" w:cs="Times New Roman"/>
                <w:b/>
                <w:sz w:val="24"/>
                <w:szCs w:val="24"/>
              </w:rPr>
              <w:t>因素</w:t>
            </w:r>
          </w:p>
          <w:p>
            <w:pPr>
              <w:spacing w:line="280" w:lineRule="exact"/>
              <w:jc w:val="center"/>
              <w:rPr>
                <w:rFonts w:ascii="宋体" w:hAnsi="宋体" w:eastAsia="宋体" w:cs="Times New Roman"/>
                <w:b/>
                <w:sz w:val="24"/>
                <w:szCs w:val="24"/>
              </w:rPr>
            </w:pPr>
            <w:r>
              <w:rPr>
                <w:rFonts w:hint="eastAsia" w:ascii="宋体" w:hAnsi="宋体" w:eastAsia="宋体" w:cs="Times New Roman"/>
                <w:b/>
                <w:sz w:val="24"/>
                <w:szCs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611" w:type="dxa"/>
            <w:vMerge w:val="continue"/>
            <w:vAlign w:val="center"/>
          </w:tcPr>
          <w:p>
            <w:pPr>
              <w:numPr>
                <w:ilvl w:val="0"/>
                <w:numId w:val="58"/>
              </w:numPr>
              <w:tabs>
                <w:tab w:val="left" w:pos="322"/>
              </w:tabs>
              <w:spacing w:line="320" w:lineRule="exact"/>
              <w:ind w:left="-42" w:right="-42" w:rightChars="-20" w:firstLine="0"/>
              <w:jc w:val="right"/>
              <w:rPr>
                <w:rFonts w:ascii="宋体" w:hAnsi="宋体" w:eastAsia="宋体" w:cs="Times New Roman"/>
                <w:b/>
                <w:sz w:val="24"/>
              </w:rPr>
            </w:pPr>
          </w:p>
        </w:tc>
        <w:tc>
          <w:tcPr>
            <w:tcW w:w="1198" w:type="dxa"/>
            <w:vAlign w:val="center"/>
          </w:tcPr>
          <w:p>
            <w:pPr>
              <w:ind w:left="-21" w:leftChars="-10" w:right="-21" w:rightChars="-10"/>
              <w:jc w:val="center"/>
              <w:rPr>
                <w:rFonts w:ascii="宋体" w:hAnsi="宋体" w:eastAsia="宋体" w:cs="Times New Roman"/>
                <w:b/>
                <w:sz w:val="24"/>
                <w:szCs w:val="24"/>
              </w:rPr>
            </w:pPr>
            <w:r>
              <w:rPr>
                <w:rFonts w:hint="eastAsia" w:ascii="宋体" w:hAnsi="宋体" w:eastAsia="宋体" w:cs="Times New Roman"/>
                <w:b/>
                <w:sz w:val="24"/>
                <w:szCs w:val="24"/>
              </w:rPr>
              <w:t>产品生产企业资质</w:t>
            </w:r>
          </w:p>
        </w:tc>
        <w:tc>
          <w:tcPr>
            <w:tcW w:w="667" w:type="dxa"/>
            <w:vAlign w:val="center"/>
          </w:tcPr>
          <w:p>
            <w:pPr>
              <w:spacing w:line="320" w:lineRule="exact"/>
              <w:ind w:left="-48" w:leftChars="-23" w:right="-35" w:rightChars="-17"/>
              <w:jc w:val="center"/>
              <w:rPr>
                <w:rFonts w:ascii="宋体" w:hAnsi="宋体" w:eastAsia="宋体" w:cs="Times New Roman"/>
                <w:b/>
                <w:sz w:val="24"/>
              </w:rPr>
            </w:pPr>
            <w:r>
              <w:rPr>
                <w:rFonts w:hint="eastAsia" w:ascii="宋体" w:hAnsi="宋体" w:eastAsia="宋体" w:cs="Times New Roman"/>
                <w:b/>
                <w:sz w:val="24"/>
              </w:rPr>
              <w:t>6</w:t>
            </w:r>
          </w:p>
        </w:tc>
        <w:tc>
          <w:tcPr>
            <w:tcW w:w="6296" w:type="dxa"/>
            <w:vAlign w:val="center"/>
          </w:tcPr>
          <w:p>
            <w:pPr>
              <w:pStyle w:val="36"/>
              <w:numPr>
                <w:ilvl w:val="0"/>
                <w:numId w:val="59"/>
              </w:numPr>
              <w:ind w:left="359" w:hanging="359" w:firstLineChars="0"/>
              <w:rPr>
                <w:rFonts w:ascii="宋体" w:hAnsi="宋体"/>
                <w:sz w:val="24"/>
                <w:szCs w:val="24"/>
              </w:rPr>
            </w:pPr>
            <w:r>
              <w:rPr>
                <w:rFonts w:hint="eastAsia" w:ascii="宋体" w:hAnsi="宋体"/>
                <w:sz w:val="24"/>
                <w:szCs w:val="24"/>
              </w:rPr>
              <w:t>获得ISO9001认证（提供证书复印件）；</w:t>
            </w:r>
          </w:p>
          <w:p>
            <w:pPr>
              <w:pStyle w:val="36"/>
              <w:numPr>
                <w:ilvl w:val="0"/>
                <w:numId w:val="59"/>
              </w:numPr>
              <w:ind w:left="359" w:hanging="359" w:firstLineChars="0"/>
              <w:rPr>
                <w:rFonts w:ascii="宋体" w:hAnsi="宋体"/>
                <w:sz w:val="24"/>
                <w:szCs w:val="24"/>
              </w:rPr>
            </w:pPr>
            <w:r>
              <w:rPr>
                <w:rFonts w:hint="eastAsia" w:ascii="宋体" w:hAnsi="宋体"/>
                <w:sz w:val="24"/>
                <w:szCs w:val="24"/>
              </w:rPr>
              <w:t>获得ISO13485认证（提供证书复印件）；</w:t>
            </w:r>
          </w:p>
          <w:p>
            <w:pPr>
              <w:pStyle w:val="36"/>
              <w:numPr>
                <w:ilvl w:val="0"/>
                <w:numId w:val="59"/>
              </w:numPr>
              <w:ind w:left="359" w:hanging="359" w:firstLineChars="0"/>
              <w:rPr>
                <w:rFonts w:ascii="宋体" w:hAnsi="宋体"/>
                <w:sz w:val="24"/>
                <w:szCs w:val="24"/>
              </w:rPr>
            </w:pPr>
            <w:r>
              <w:rPr>
                <w:rFonts w:hint="eastAsia" w:ascii="宋体" w:hAnsi="宋体"/>
                <w:sz w:val="24"/>
                <w:szCs w:val="24"/>
              </w:rPr>
              <w:t>企业通过知识产权管理体系认证，符合GB/T29490-2013标准，提供“知识产权管理体系认证证书”（提供证书复印件）；</w:t>
            </w:r>
          </w:p>
          <w:p>
            <w:pPr>
              <w:pStyle w:val="36"/>
              <w:numPr>
                <w:ilvl w:val="0"/>
                <w:numId w:val="59"/>
              </w:numPr>
              <w:ind w:left="359" w:hanging="359" w:firstLineChars="0"/>
              <w:rPr>
                <w:rFonts w:ascii="宋体" w:hAnsi="宋体"/>
                <w:sz w:val="24"/>
                <w:szCs w:val="24"/>
              </w:rPr>
            </w:pPr>
            <w:r>
              <w:rPr>
                <w:rFonts w:hint="eastAsia" w:ascii="宋体" w:hAnsi="宋体"/>
                <w:sz w:val="24"/>
                <w:szCs w:val="24"/>
              </w:rPr>
              <w:t>高新技术企业（提供证书复印件）；</w:t>
            </w:r>
          </w:p>
          <w:p>
            <w:pPr>
              <w:pStyle w:val="7"/>
              <w:spacing w:line="360" w:lineRule="auto"/>
              <w:ind w:left="76" w:firstLine="448" w:firstLineChars="187"/>
              <w:rPr>
                <w:rFonts w:hAnsi="宋体"/>
                <w:sz w:val="24"/>
                <w:szCs w:val="24"/>
              </w:rPr>
            </w:pPr>
            <w:r>
              <w:rPr>
                <w:rFonts w:hint="eastAsia" w:hAnsi="宋体"/>
                <w:sz w:val="24"/>
                <w:szCs w:val="24"/>
              </w:rPr>
              <w:t>以上证书每提供一项得2分，最多得6分。</w:t>
            </w:r>
          </w:p>
        </w:tc>
        <w:tc>
          <w:tcPr>
            <w:tcW w:w="968" w:type="dxa"/>
            <w:vAlign w:val="center"/>
          </w:tcPr>
          <w:p>
            <w:pPr>
              <w:spacing w:line="320" w:lineRule="exact"/>
              <w:ind w:left="-65" w:leftChars="-31" w:right="-35" w:rightChars="-17"/>
              <w:jc w:val="right"/>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vAlign w:val="center"/>
          </w:tcPr>
          <w:p>
            <w:pPr>
              <w:numPr>
                <w:ilvl w:val="0"/>
                <w:numId w:val="58"/>
              </w:numPr>
              <w:tabs>
                <w:tab w:val="left" w:pos="322"/>
              </w:tabs>
              <w:spacing w:line="320" w:lineRule="exact"/>
              <w:ind w:left="-42" w:right="-42" w:rightChars="-20" w:firstLine="0"/>
              <w:jc w:val="right"/>
              <w:rPr>
                <w:rFonts w:ascii="宋体" w:hAnsi="宋体" w:eastAsia="宋体" w:cs="Times New Roman"/>
                <w:b/>
                <w:sz w:val="24"/>
              </w:rPr>
            </w:pPr>
          </w:p>
        </w:tc>
        <w:tc>
          <w:tcPr>
            <w:tcW w:w="1198" w:type="dxa"/>
            <w:vAlign w:val="center"/>
          </w:tcPr>
          <w:p>
            <w:pPr>
              <w:ind w:left="-21" w:leftChars="-10" w:right="-21" w:rightChars="-10"/>
              <w:jc w:val="center"/>
              <w:rPr>
                <w:rFonts w:ascii="宋体" w:hAnsi="宋体" w:eastAsia="宋体" w:cs="Times New Roman"/>
                <w:b/>
                <w:sz w:val="24"/>
                <w:szCs w:val="24"/>
              </w:rPr>
            </w:pPr>
            <w:r>
              <w:rPr>
                <w:rFonts w:hint="eastAsia" w:ascii="宋体" w:hAnsi="宋体" w:eastAsia="宋体" w:cs="Times New Roman"/>
                <w:b/>
                <w:sz w:val="24"/>
                <w:szCs w:val="24"/>
              </w:rPr>
              <w:t>生产企业企业技术先进性</w:t>
            </w:r>
          </w:p>
        </w:tc>
        <w:tc>
          <w:tcPr>
            <w:tcW w:w="667" w:type="dxa"/>
            <w:vAlign w:val="center"/>
          </w:tcPr>
          <w:p>
            <w:pPr>
              <w:spacing w:line="320" w:lineRule="exact"/>
              <w:ind w:left="-48" w:leftChars="-23" w:right="-35" w:rightChars="-17"/>
              <w:jc w:val="center"/>
              <w:rPr>
                <w:rFonts w:ascii="宋体" w:hAnsi="宋体" w:eastAsia="宋体" w:cs="Times New Roman"/>
                <w:b/>
                <w:sz w:val="24"/>
              </w:rPr>
            </w:pPr>
            <w:r>
              <w:rPr>
                <w:rFonts w:hint="eastAsia" w:ascii="宋体" w:hAnsi="宋体" w:eastAsia="宋体" w:cs="Times New Roman"/>
                <w:b/>
                <w:sz w:val="24"/>
              </w:rPr>
              <w:t>4</w:t>
            </w:r>
          </w:p>
        </w:tc>
        <w:tc>
          <w:tcPr>
            <w:tcW w:w="6296" w:type="dxa"/>
            <w:vAlign w:val="center"/>
          </w:tcPr>
          <w:p>
            <w:pPr>
              <w:spacing w:line="320" w:lineRule="exact"/>
              <w:rPr>
                <w:rFonts w:ascii="宋体" w:hAnsi="宋体" w:eastAsia="宋体" w:cs="Times New Roman"/>
                <w:sz w:val="24"/>
              </w:rPr>
            </w:pPr>
            <w:r>
              <w:rPr>
                <w:rFonts w:hint="eastAsia" w:ascii="宋体" w:hAnsi="宋体" w:eastAsia="宋体" w:cs="Times New Roman"/>
                <w:sz w:val="24"/>
              </w:rPr>
              <w:t>软件开发公司通过软件能力成熟度集成模型（CMMI）三级及以上认证，提供证书复印件得4分，否则0分；</w:t>
            </w:r>
          </w:p>
        </w:tc>
        <w:tc>
          <w:tcPr>
            <w:tcW w:w="968" w:type="dxa"/>
            <w:vAlign w:val="center"/>
          </w:tcPr>
          <w:p>
            <w:pPr>
              <w:spacing w:line="320" w:lineRule="exact"/>
              <w:ind w:left="-65" w:leftChars="-31" w:right="-35" w:rightChars="-17"/>
              <w:jc w:val="right"/>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vAlign w:val="center"/>
          </w:tcPr>
          <w:p>
            <w:pPr>
              <w:numPr>
                <w:ilvl w:val="0"/>
                <w:numId w:val="58"/>
              </w:numPr>
              <w:tabs>
                <w:tab w:val="left" w:pos="322"/>
              </w:tabs>
              <w:spacing w:line="320" w:lineRule="exact"/>
              <w:ind w:left="-42" w:right="-42" w:rightChars="-20" w:firstLine="0"/>
              <w:jc w:val="right"/>
              <w:rPr>
                <w:rFonts w:ascii="宋体" w:hAnsi="宋体" w:eastAsia="宋体" w:cs="Times New Roman"/>
                <w:b/>
                <w:sz w:val="24"/>
              </w:rPr>
            </w:pPr>
          </w:p>
        </w:tc>
        <w:tc>
          <w:tcPr>
            <w:tcW w:w="1198" w:type="dxa"/>
            <w:vAlign w:val="center"/>
          </w:tcPr>
          <w:p>
            <w:pPr>
              <w:ind w:left="-21" w:leftChars="-10" w:right="-21" w:rightChars="-10"/>
              <w:jc w:val="center"/>
              <w:rPr>
                <w:rFonts w:ascii="宋体" w:hAnsi="宋体" w:eastAsia="宋体" w:cs="Times New Roman"/>
                <w:b/>
                <w:sz w:val="24"/>
                <w:szCs w:val="24"/>
              </w:rPr>
            </w:pPr>
            <w:r>
              <w:rPr>
                <w:rFonts w:hint="eastAsia" w:ascii="宋体" w:hAnsi="宋体" w:eastAsia="宋体" w:cs="Times New Roman"/>
                <w:b/>
                <w:sz w:val="24"/>
                <w:szCs w:val="24"/>
              </w:rPr>
              <w:t>与所投产品相关实施能力的证明</w:t>
            </w:r>
          </w:p>
        </w:tc>
        <w:tc>
          <w:tcPr>
            <w:tcW w:w="667" w:type="dxa"/>
            <w:vAlign w:val="center"/>
          </w:tcPr>
          <w:p>
            <w:pPr>
              <w:spacing w:line="320" w:lineRule="exact"/>
              <w:ind w:left="-48" w:leftChars="-23" w:right="-35" w:rightChars="-17"/>
              <w:jc w:val="center"/>
              <w:rPr>
                <w:rFonts w:ascii="宋体" w:hAnsi="宋体" w:eastAsia="宋体" w:cs="Times New Roman"/>
                <w:b/>
                <w:sz w:val="24"/>
              </w:rPr>
            </w:pPr>
            <w:r>
              <w:rPr>
                <w:rFonts w:hint="eastAsia" w:ascii="宋体" w:hAnsi="宋体" w:eastAsia="宋体" w:cs="Times New Roman"/>
                <w:b/>
                <w:sz w:val="24"/>
              </w:rPr>
              <w:t>10</w:t>
            </w:r>
          </w:p>
        </w:tc>
        <w:tc>
          <w:tcPr>
            <w:tcW w:w="6296" w:type="dxa"/>
            <w:vAlign w:val="center"/>
          </w:tcPr>
          <w:p>
            <w:pPr>
              <w:spacing w:line="320" w:lineRule="exact"/>
              <w:rPr>
                <w:rFonts w:ascii="宋体" w:hAnsi="宋体" w:eastAsia="宋体" w:cs="Times New Roman"/>
                <w:sz w:val="24"/>
              </w:rPr>
            </w:pPr>
            <w:r>
              <w:rPr>
                <w:rFonts w:hint="eastAsia" w:ascii="宋体" w:hAnsi="宋体" w:eastAsia="宋体" w:cs="Times New Roman"/>
                <w:sz w:val="24"/>
              </w:rPr>
              <w:t>提供2018年至今与心电网络用户签订的合同，每提供一个项目的证明加1分，最高加10分。(提供心电网络系统项目的验收函复印件作为证明材料）</w:t>
            </w:r>
          </w:p>
        </w:tc>
        <w:tc>
          <w:tcPr>
            <w:tcW w:w="968" w:type="dxa"/>
            <w:vAlign w:val="center"/>
          </w:tcPr>
          <w:p>
            <w:pPr>
              <w:spacing w:line="320" w:lineRule="exact"/>
              <w:ind w:left="-65" w:leftChars="-31" w:right="-35" w:rightChars="-17"/>
              <w:jc w:val="right"/>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76" w:type="dxa"/>
            <w:gridSpan w:val="3"/>
            <w:vAlign w:val="center"/>
          </w:tcPr>
          <w:p>
            <w:pPr>
              <w:spacing w:line="320" w:lineRule="exact"/>
              <w:ind w:left="-48" w:leftChars="-23" w:right="-35" w:rightChars="-17"/>
              <w:jc w:val="center"/>
              <w:rPr>
                <w:rFonts w:ascii="宋体" w:hAnsi="宋体" w:eastAsia="宋体" w:cs="Times New Roman"/>
                <w:b/>
                <w:sz w:val="24"/>
              </w:rPr>
            </w:pPr>
            <w:r>
              <w:rPr>
                <w:rFonts w:hint="eastAsia" w:ascii="宋体" w:hAnsi="宋体" w:eastAsia="宋体" w:cs="Times New Roman"/>
                <w:b/>
                <w:sz w:val="24"/>
              </w:rPr>
              <w:t>商务分合计</w:t>
            </w:r>
          </w:p>
        </w:tc>
        <w:tc>
          <w:tcPr>
            <w:tcW w:w="7264" w:type="dxa"/>
            <w:gridSpan w:val="2"/>
            <w:vAlign w:val="center"/>
          </w:tcPr>
          <w:p>
            <w:pPr>
              <w:spacing w:line="320" w:lineRule="exact"/>
              <w:ind w:left="-65" w:leftChars="-31" w:right="-35" w:rightChars="-17"/>
              <w:jc w:val="right"/>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Merge w:val="restart"/>
            <w:shd w:val="pct10" w:color="auto" w:fill="auto"/>
            <w:vAlign w:val="center"/>
          </w:tcPr>
          <w:p>
            <w:pPr>
              <w:tabs>
                <w:tab w:val="left" w:pos="322"/>
              </w:tabs>
              <w:spacing w:line="320" w:lineRule="exact"/>
              <w:ind w:left="-42" w:right="-42" w:rightChars="-20"/>
              <w:jc w:val="center"/>
              <w:rPr>
                <w:rFonts w:ascii="宋体" w:hAnsi="宋体" w:eastAsia="宋体" w:cs="Times New Roman"/>
                <w:b/>
                <w:bCs/>
                <w:sz w:val="28"/>
                <w:szCs w:val="28"/>
              </w:rPr>
            </w:pPr>
            <w:r>
              <w:rPr>
                <w:rFonts w:hint="eastAsia" w:ascii="宋体" w:hAnsi="宋体" w:eastAsia="宋体" w:cs="Times New Roman"/>
                <w:b/>
                <w:bCs/>
                <w:sz w:val="28"/>
                <w:szCs w:val="28"/>
              </w:rPr>
              <w:t>技术服务评议</w:t>
            </w:r>
          </w:p>
          <w:p>
            <w:pPr>
              <w:tabs>
                <w:tab w:val="left" w:pos="322"/>
              </w:tabs>
              <w:spacing w:line="320" w:lineRule="exact"/>
              <w:ind w:left="-42" w:right="-42" w:rightChars="-20"/>
              <w:jc w:val="center"/>
              <w:rPr>
                <w:rFonts w:ascii="宋体" w:hAnsi="宋体" w:eastAsia="宋体" w:cs="Times New Roman"/>
                <w:b/>
                <w:bCs/>
                <w:sz w:val="28"/>
                <w:szCs w:val="28"/>
              </w:rPr>
            </w:pPr>
          </w:p>
          <w:p>
            <w:pPr>
              <w:tabs>
                <w:tab w:val="left" w:pos="322"/>
              </w:tabs>
              <w:spacing w:line="320" w:lineRule="exact"/>
              <w:ind w:left="-42" w:right="-42" w:rightChars="-20"/>
              <w:jc w:val="center"/>
              <w:rPr>
                <w:rFonts w:ascii="宋体" w:hAnsi="宋体" w:eastAsia="宋体" w:cs="Times New Roman"/>
                <w:b/>
                <w:bCs/>
                <w:sz w:val="28"/>
                <w:szCs w:val="28"/>
              </w:rPr>
            </w:pPr>
            <w:r>
              <w:rPr>
                <w:rFonts w:hint="eastAsia" w:ascii="宋体" w:hAnsi="宋体" w:eastAsia="宋体" w:cs="Times New Roman"/>
                <w:b/>
                <w:bCs/>
                <w:sz w:val="28"/>
                <w:szCs w:val="28"/>
              </w:rPr>
              <w:t>50</w:t>
            </w:r>
          </w:p>
          <w:p>
            <w:pPr>
              <w:tabs>
                <w:tab w:val="left" w:pos="322"/>
              </w:tabs>
              <w:spacing w:line="320" w:lineRule="exact"/>
              <w:ind w:left="-42" w:right="-42" w:rightChars="-20"/>
              <w:jc w:val="center"/>
              <w:rPr>
                <w:rFonts w:ascii="宋体" w:hAnsi="宋体" w:eastAsia="宋体" w:cs="Times New Roman"/>
                <w:b/>
                <w:sz w:val="24"/>
                <w:szCs w:val="24"/>
              </w:rPr>
            </w:pPr>
            <w:r>
              <w:rPr>
                <w:rFonts w:hint="eastAsia" w:ascii="宋体" w:hAnsi="宋体" w:eastAsia="宋体" w:cs="Times New Roman"/>
                <w:b/>
                <w:bCs/>
                <w:sz w:val="28"/>
                <w:szCs w:val="28"/>
              </w:rPr>
              <w:t>分</w:t>
            </w:r>
          </w:p>
        </w:tc>
        <w:tc>
          <w:tcPr>
            <w:tcW w:w="1198" w:type="dxa"/>
            <w:shd w:val="pct10" w:color="auto" w:fill="auto"/>
            <w:vAlign w:val="center"/>
          </w:tcPr>
          <w:p>
            <w:pPr>
              <w:ind w:left="-77"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评审因素</w:t>
            </w:r>
          </w:p>
        </w:tc>
        <w:tc>
          <w:tcPr>
            <w:tcW w:w="667" w:type="dxa"/>
            <w:shd w:val="pct10" w:color="auto" w:fill="auto"/>
            <w:vAlign w:val="center"/>
          </w:tcPr>
          <w:p>
            <w:pPr>
              <w:ind w:left="-73" w:leftChars="-35" w:right="-79" w:rightChars="-38"/>
              <w:jc w:val="center"/>
              <w:rPr>
                <w:rFonts w:ascii="宋体" w:hAnsi="宋体" w:eastAsia="宋体" w:cs="Times New Roman"/>
                <w:b/>
                <w:sz w:val="24"/>
                <w:szCs w:val="24"/>
              </w:rPr>
            </w:pPr>
            <w:r>
              <w:rPr>
                <w:rFonts w:hint="eastAsia" w:ascii="宋体" w:hAnsi="宋体" w:eastAsia="宋体" w:cs="Times New Roman"/>
                <w:b/>
                <w:sz w:val="24"/>
                <w:szCs w:val="24"/>
              </w:rPr>
              <w:t>分值</w:t>
            </w:r>
          </w:p>
        </w:tc>
        <w:tc>
          <w:tcPr>
            <w:tcW w:w="6296" w:type="dxa"/>
            <w:shd w:val="pct10" w:color="auto" w:fill="auto"/>
            <w:vAlign w:val="center"/>
          </w:tcPr>
          <w:p>
            <w:pPr>
              <w:ind w:left="-77"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评分标准</w:t>
            </w:r>
          </w:p>
        </w:tc>
        <w:tc>
          <w:tcPr>
            <w:tcW w:w="968" w:type="dxa"/>
            <w:shd w:val="pct10" w:color="auto" w:fill="auto"/>
            <w:vAlign w:val="center"/>
          </w:tcPr>
          <w:p>
            <w:pPr>
              <w:spacing w:line="280" w:lineRule="exact"/>
              <w:jc w:val="center"/>
              <w:rPr>
                <w:rFonts w:ascii="宋体" w:hAnsi="宋体" w:eastAsia="宋体" w:cs="Times New Roman"/>
                <w:b/>
                <w:sz w:val="24"/>
                <w:szCs w:val="24"/>
              </w:rPr>
            </w:pPr>
            <w:r>
              <w:rPr>
                <w:rFonts w:hint="eastAsia" w:ascii="宋体" w:hAnsi="宋体" w:eastAsia="宋体" w:cs="Times New Roman"/>
                <w:b/>
                <w:sz w:val="24"/>
                <w:szCs w:val="24"/>
              </w:rPr>
              <w:t>因素</w:t>
            </w:r>
          </w:p>
          <w:p>
            <w:pPr>
              <w:spacing w:line="280" w:lineRule="exact"/>
              <w:jc w:val="center"/>
              <w:rPr>
                <w:rFonts w:ascii="宋体" w:hAnsi="宋体" w:eastAsia="宋体" w:cs="Times New Roman"/>
                <w:b/>
                <w:sz w:val="24"/>
                <w:szCs w:val="24"/>
              </w:rPr>
            </w:pPr>
            <w:r>
              <w:rPr>
                <w:rFonts w:hint="eastAsia" w:ascii="宋体" w:hAnsi="宋体" w:eastAsia="宋体" w:cs="Times New Roman"/>
                <w:b/>
                <w:sz w:val="24"/>
                <w:szCs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vAlign w:val="center"/>
          </w:tcPr>
          <w:p>
            <w:pPr>
              <w:tabs>
                <w:tab w:val="left" w:pos="322"/>
              </w:tabs>
              <w:spacing w:line="320" w:lineRule="exact"/>
              <w:ind w:left="-42" w:right="-42" w:rightChars="-20"/>
              <w:jc w:val="right"/>
              <w:rPr>
                <w:rFonts w:ascii="宋体" w:hAnsi="宋体" w:eastAsia="宋体" w:cs="Times New Roman"/>
                <w:b/>
                <w:sz w:val="24"/>
              </w:rPr>
            </w:pPr>
          </w:p>
        </w:tc>
        <w:tc>
          <w:tcPr>
            <w:tcW w:w="1198" w:type="dxa"/>
            <w:vAlign w:val="center"/>
          </w:tcPr>
          <w:p>
            <w:pPr>
              <w:ind w:left="-21" w:leftChars="-10" w:right="-21" w:rightChars="-10"/>
              <w:jc w:val="center"/>
              <w:rPr>
                <w:rFonts w:ascii="宋体" w:hAnsi="宋体" w:eastAsia="宋体" w:cs="Times New Roman"/>
                <w:b/>
                <w:sz w:val="24"/>
                <w:szCs w:val="24"/>
              </w:rPr>
            </w:pPr>
            <w:r>
              <w:rPr>
                <w:rFonts w:hint="eastAsia" w:ascii="宋体" w:hAnsi="宋体" w:eastAsia="宋体" w:cs="Times New Roman"/>
                <w:b/>
                <w:sz w:val="24"/>
                <w:szCs w:val="24"/>
              </w:rPr>
              <w:t>技术参数的响应程度</w:t>
            </w:r>
          </w:p>
        </w:tc>
        <w:tc>
          <w:tcPr>
            <w:tcW w:w="667" w:type="dxa"/>
            <w:vAlign w:val="center"/>
          </w:tcPr>
          <w:p>
            <w:pPr>
              <w:spacing w:line="320" w:lineRule="exact"/>
              <w:ind w:left="-48" w:leftChars="-23" w:right="-35" w:rightChars="-17"/>
              <w:jc w:val="center"/>
              <w:rPr>
                <w:rFonts w:ascii="宋体" w:hAnsi="宋体" w:eastAsia="宋体" w:cs="Times New Roman"/>
                <w:b/>
                <w:sz w:val="24"/>
              </w:rPr>
            </w:pPr>
            <w:r>
              <w:rPr>
                <w:rFonts w:hint="eastAsia" w:ascii="宋体" w:hAnsi="宋体" w:eastAsia="宋体" w:cs="Times New Roman"/>
                <w:b/>
                <w:sz w:val="24"/>
              </w:rPr>
              <w:t>40</w:t>
            </w:r>
          </w:p>
        </w:tc>
        <w:tc>
          <w:tcPr>
            <w:tcW w:w="6296" w:type="dxa"/>
            <w:vAlign w:val="center"/>
          </w:tcPr>
          <w:p>
            <w:pPr>
              <w:numPr>
                <w:ilvl w:val="0"/>
                <w:numId w:val="60"/>
              </w:numPr>
              <w:jc w:val="left"/>
              <w:rPr>
                <w:rFonts w:ascii="宋体" w:hAnsi="宋体"/>
                <w:sz w:val="24"/>
                <w:szCs w:val="24"/>
              </w:rPr>
            </w:pPr>
            <w:r>
              <w:rPr>
                <w:rFonts w:hint="eastAsia" w:ascii="宋体" w:hAnsi="宋体"/>
                <w:sz w:val="24"/>
                <w:szCs w:val="24"/>
              </w:rPr>
              <w:t>“招标文件技术要求”中，标注“★”号的为重要技术参数，全部满足得30分，每出现一项标注“★”参数不满足招标文件要求的，技术部分每条扣除5分，最高扣30分；</w:t>
            </w:r>
          </w:p>
          <w:p>
            <w:pPr>
              <w:jc w:val="left"/>
              <w:rPr>
                <w:rFonts w:ascii="宋体" w:hAnsi="宋体"/>
                <w:sz w:val="24"/>
                <w:szCs w:val="24"/>
              </w:rPr>
            </w:pPr>
            <w:r>
              <w:rPr>
                <w:rFonts w:hint="eastAsia" w:ascii="宋体" w:hAnsi="宋体"/>
                <w:sz w:val="24"/>
                <w:szCs w:val="24"/>
              </w:rPr>
              <w:t>b. 非“★”号技术参数，全部满足要求的，得10分，每出现1项不满足招标文件要求的，扣1分，最高扣10分；</w:t>
            </w:r>
          </w:p>
          <w:p>
            <w:pPr>
              <w:rPr>
                <w:rFonts w:ascii="宋体" w:hAnsi="宋体" w:cs="宋体"/>
                <w:szCs w:val="21"/>
              </w:rPr>
            </w:pPr>
            <w:r>
              <w:rPr>
                <w:rFonts w:hint="eastAsia" w:ascii="宋体" w:hAnsi="宋体"/>
                <w:sz w:val="24"/>
                <w:szCs w:val="24"/>
              </w:rPr>
              <w:t>注：软件功能与硬件参数要求提供证明文件的，投标人须提供所投产品满足功能要求的相关证明材料（详见项目要求），若不能提供、提供不齐全或未按要求提供的视为不满足。</w:t>
            </w:r>
          </w:p>
        </w:tc>
        <w:tc>
          <w:tcPr>
            <w:tcW w:w="968" w:type="dxa"/>
            <w:vAlign w:val="center"/>
          </w:tcPr>
          <w:p>
            <w:pPr>
              <w:spacing w:line="320" w:lineRule="exact"/>
              <w:ind w:left="-65" w:leftChars="-31" w:right="-35" w:rightChars="-17"/>
              <w:jc w:val="right"/>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vAlign w:val="center"/>
          </w:tcPr>
          <w:p>
            <w:pPr>
              <w:tabs>
                <w:tab w:val="left" w:pos="322"/>
              </w:tabs>
              <w:spacing w:line="320" w:lineRule="exact"/>
              <w:ind w:left="-42" w:right="-42" w:rightChars="-20"/>
              <w:jc w:val="right"/>
              <w:rPr>
                <w:rFonts w:ascii="宋体" w:hAnsi="宋体" w:eastAsia="宋体" w:cs="Times New Roman"/>
                <w:b/>
                <w:sz w:val="24"/>
              </w:rPr>
            </w:pPr>
          </w:p>
        </w:tc>
        <w:tc>
          <w:tcPr>
            <w:tcW w:w="1198" w:type="dxa"/>
            <w:vAlign w:val="center"/>
          </w:tcPr>
          <w:p>
            <w:pPr>
              <w:ind w:left="-21" w:leftChars="-10" w:right="-21" w:rightChars="-10"/>
              <w:jc w:val="center"/>
              <w:rPr>
                <w:rFonts w:ascii="宋体" w:hAnsi="宋体" w:eastAsia="宋体" w:cs="Times New Roman"/>
                <w:b/>
                <w:sz w:val="24"/>
                <w:szCs w:val="24"/>
              </w:rPr>
            </w:pPr>
            <w:r>
              <w:rPr>
                <w:rFonts w:hint="eastAsia" w:ascii="宋体" w:hAnsi="宋体" w:eastAsia="宋体" w:cs="Times New Roman"/>
                <w:b/>
                <w:sz w:val="24"/>
                <w:szCs w:val="24"/>
              </w:rPr>
              <w:t>售后服务能力及保证</w:t>
            </w:r>
          </w:p>
        </w:tc>
        <w:tc>
          <w:tcPr>
            <w:tcW w:w="667" w:type="dxa"/>
            <w:vAlign w:val="center"/>
          </w:tcPr>
          <w:p>
            <w:pPr>
              <w:spacing w:line="320" w:lineRule="exact"/>
              <w:ind w:left="-48" w:leftChars="-23" w:right="-35" w:rightChars="-17"/>
              <w:jc w:val="center"/>
              <w:rPr>
                <w:rFonts w:ascii="宋体" w:hAnsi="宋体" w:eastAsia="宋体" w:cs="Times New Roman"/>
                <w:b/>
                <w:sz w:val="24"/>
              </w:rPr>
            </w:pPr>
            <w:r>
              <w:rPr>
                <w:rFonts w:hint="eastAsia" w:ascii="宋体" w:hAnsi="宋体" w:eastAsia="宋体" w:cs="Times New Roman"/>
                <w:b/>
                <w:sz w:val="24"/>
              </w:rPr>
              <w:t>10</w:t>
            </w:r>
          </w:p>
        </w:tc>
        <w:tc>
          <w:tcPr>
            <w:tcW w:w="6296" w:type="dxa"/>
            <w:vAlign w:val="center"/>
          </w:tcPr>
          <w:p>
            <w:pPr>
              <w:pStyle w:val="36"/>
              <w:ind w:firstLine="480"/>
              <w:rPr>
                <w:rFonts w:ascii="宋体" w:hAnsi="宋体"/>
                <w:sz w:val="24"/>
                <w:szCs w:val="24"/>
              </w:rPr>
            </w:pPr>
            <w:r>
              <w:rPr>
                <w:rFonts w:hint="eastAsia" w:ascii="宋体" w:hAnsi="宋体"/>
                <w:sz w:val="24"/>
                <w:szCs w:val="24"/>
              </w:rPr>
              <w:t>根据投标人的售后服务方案及对交货期、售后服务的承诺进行综合评分：</w:t>
            </w:r>
          </w:p>
          <w:p>
            <w:pPr>
              <w:pStyle w:val="36"/>
              <w:ind w:firstLine="0" w:firstLineChars="0"/>
              <w:rPr>
                <w:rFonts w:ascii="宋体" w:hAnsi="宋体"/>
                <w:sz w:val="24"/>
                <w:szCs w:val="24"/>
              </w:rPr>
            </w:pPr>
            <w:r>
              <w:rPr>
                <w:rFonts w:hint="eastAsia" w:ascii="宋体" w:hAnsi="宋体"/>
                <w:sz w:val="24"/>
                <w:szCs w:val="24"/>
              </w:rPr>
              <w:tab/>
            </w:r>
            <w:r>
              <w:rPr>
                <w:rFonts w:hint="eastAsia" w:ascii="宋体" w:hAnsi="宋体"/>
                <w:sz w:val="24"/>
                <w:szCs w:val="24"/>
              </w:rPr>
              <w:t>售后服务方案及对交货期、售后服务的承诺详细、合理、科学，项目实施完毕后能确保项目的平稳运行的，得10分；</w:t>
            </w:r>
          </w:p>
          <w:p>
            <w:pPr>
              <w:pStyle w:val="36"/>
              <w:ind w:firstLine="480"/>
              <w:rPr>
                <w:rFonts w:ascii="宋体" w:hAnsi="宋体"/>
                <w:sz w:val="24"/>
                <w:szCs w:val="24"/>
              </w:rPr>
            </w:pPr>
            <w:r>
              <w:rPr>
                <w:rFonts w:hint="eastAsia" w:ascii="宋体" w:hAnsi="宋体"/>
                <w:sz w:val="24"/>
                <w:szCs w:val="24"/>
              </w:rPr>
              <w:t>售后服务方案及对交货期、售后服务的承诺较为详细、合理、科学，项目实施完毕后能确保项目较为平稳运行的，得5-9分；</w:t>
            </w:r>
          </w:p>
          <w:p>
            <w:pPr>
              <w:pStyle w:val="36"/>
              <w:ind w:firstLine="480"/>
              <w:rPr>
                <w:rFonts w:ascii="宋体" w:hAnsi="宋体"/>
                <w:sz w:val="24"/>
                <w:szCs w:val="24"/>
              </w:rPr>
            </w:pPr>
            <w:r>
              <w:rPr>
                <w:rFonts w:hint="eastAsia" w:ascii="宋体" w:hAnsi="宋体"/>
                <w:sz w:val="24"/>
                <w:szCs w:val="24"/>
              </w:rPr>
              <w:t>售后服务方案及对交货期、售后服务的承诺基本合理、科学，项目实施完毕后能确保项目基本平稳运行的，得1-4；</w:t>
            </w:r>
          </w:p>
          <w:p>
            <w:pPr>
              <w:pStyle w:val="36"/>
              <w:ind w:firstLine="480"/>
              <w:rPr>
                <w:rFonts w:ascii="宋体" w:hAnsi="宋体"/>
                <w:szCs w:val="21"/>
              </w:rPr>
            </w:pPr>
            <w:r>
              <w:rPr>
                <w:rFonts w:hint="eastAsia" w:ascii="宋体" w:hAnsi="宋体"/>
                <w:sz w:val="24"/>
                <w:szCs w:val="24"/>
              </w:rPr>
              <w:t>售后服务方案及对交货期、售后服务的承诺不合理、不科学，项目实施完毕后无法确保项目的平稳运行的，不得分。</w:t>
            </w:r>
          </w:p>
        </w:tc>
        <w:tc>
          <w:tcPr>
            <w:tcW w:w="968" w:type="dxa"/>
            <w:vAlign w:val="center"/>
          </w:tcPr>
          <w:p>
            <w:pPr>
              <w:spacing w:line="320" w:lineRule="exact"/>
              <w:ind w:left="-65" w:leftChars="-31" w:right="-35" w:rightChars="-17"/>
              <w:jc w:val="right"/>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76" w:type="dxa"/>
            <w:gridSpan w:val="3"/>
            <w:vAlign w:val="center"/>
          </w:tcPr>
          <w:p>
            <w:pPr>
              <w:spacing w:line="320" w:lineRule="exact"/>
              <w:ind w:left="-48" w:leftChars="-23" w:right="-35" w:rightChars="-17"/>
              <w:jc w:val="center"/>
              <w:rPr>
                <w:rFonts w:ascii="宋体" w:hAnsi="宋体" w:eastAsia="宋体" w:cs="Times New Roman"/>
                <w:b/>
                <w:sz w:val="24"/>
              </w:rPr>
            </w:pPr>
            <w:r>
              <w:rPr>
                <w:rFonts w:hint="eastAsia" w:ascii="宋体" w:hAnsi="宋体" w:eastAsia="宋体" w:cs="Times New Roman"/>
                <w:b/>
                <w:sz w:val="24"/>
              </w:rPr>
              <w:t>技术分合计</w:t>
            </w:r>
          </w:p>
        </w:tc>
        <w:tc>
          <w:tcPr>
            <w:tcW w:w="7264" w:type="dxa"/>
            <w:gridSpan w:val="2"/>
            <w:vAlign w:val="center"/>
          </w:tcPr>
          <w:p>
            <w:pPr>
              <w:spacing w:line="320" w:lineRule="exact"/>
              <w:ind w:left="-65" w:leftChars="-31" w:right="-35" w:rightChars="-17"/>
              <w:jc w:val="right"/>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Align w:val="center"/>
          </w:tcPr>
          <w:p>
            <w:pPr>
              <w:ind w:left="-77" w:leftChars="-37" w:right="-86" w:rightChars="-41"/>
              <w:jc w:val="center"/>
              <w:rPr>
                <w:rFonts w:ascii="宋体" w:hAnsi="宋体" w:eastAsia="宋体" w:cs="Times New Roman"/>
                <w:b/>
                <w:bCs/>
                <w:sz w:val="24"/>
                <w:szCs w:val="24"/>
              </w:rPr>
            </w:pPr>
            <w:r>
              <w:rPr>
                <w:rFonts w:hint="eastAsia" w:ascii="宋体" w:hAnsi="宋体" w:eastAsia="宋体" w:cs="Times New Roman"/>
                <w:b/>
                <w:bCs/>
                <w:sz w:val="24"/>
                <w:szCs w:val="24"/>
              </w:rPr>
              <w:t>价格评议</w:t>
            </w:r>
          </w:p>
        </w:tc>
        <w:tc>
          <w:tcPr>
            <w:tcW w:w="667" w:type="dxa"/>
            <w:vAlign w:val="center"/>
          </w:tcPr>
          <w:p>
            <w:pPr>
              <w:spacing w:line="320" w:lineRule="exact"/>
              <w:rPr>
                <w:rFonts w:ascii="宋体" w:hAnsi="宋体" w:eastAsia="宋体" w:cs="Times New Roman"/>
                <w:kern w:val="0"/>
                <w:sz w:val="24"/>
                <w:szCs w:val="24"/>
              </w:rPr>
            </w:pPr>
            <w:r>
              <w:rPr>
                <w:rFonts w:hint="eastAsia" w:ascii="宋体" w:hAnsi="宋体" w:eastAsia="宋体" w:cs="Times New Roman"/>
                <w:kern w:val="0"/>
                <w:sz w:val="24"/>
                <w:szCs w:val="24"/>
              </w:rPr>
              <w:t>30</w:t>
            </w:r>
          </w:p>
        </w:tc>
        <w:tc>
          <w:tcPr>
            <w:tcW w:w="7264" w:type="dxa"/>
            <w:gridSpan w:val="2"/>
            <w:vAlign w:val="center"/>
          </w:tcPr>
          <w:p>
            <w:pPr>
              <w:adjustRightInd w:val="0"/>
              <w:snapToGrid w:val="0"/>
              <w:rPr>
                <w:rFonts w:ascii="宋体" w:hAnsi="宋体" w:eastAsia="宋体" w:cs="Times New Roman"/>
                <w:sz w:val="24"/>
                <w:szCs w:val="24"/>
              </w:rPr>
            </w:pPr>
            <w:r>
              <w:rPr>
                <w:rFonts w:hint="eastAsia" w:ascii="宋体" w:hAnsi="宋体" w:eastAsia="宋体" w:cs="Times New Roman"/>
                <w:sz w:val="24"/>
                <w:szCs w:val="24"/>
              </w:rPr>
              <w:t>评标委员会只对符合性审查合格的投标文件进行价格评议，报价分采用低价优先法计算，即满足招标文件要求且投标价格</w:t>
            </w:r>
            <w:r>
              <w:rPr>
                <w:rFonts w:hint="eastAsia" w:ascii="宋体" w:hAnsi="宋体" w:eastAsia="宋体" w:cs="Times New Roman"/>
                <w:b/>
                <w:sz w:val="24"/>
                <w:szCs w:val="24"/>
              </w:rPr>
              <w:t>（落实政府采购政策进行价格调整的，以调整后的价格计算）</w:t>
            </w:r>
            <w:r>
              <w:rPr>
                <w:rFonts w:hint="eastAsia" w:ascii="宋体" w:hAnsi="宋体" w:eastAsia="宋体" w:cs="Times New Roman"/>
                <w:sz w:val="24"/>
                <w:szCs w:val="24"/>
              </w:rPr>
              <w:t>最低的投标报价为评标基准价，其价格分为满分。其他投标人的价格分按照下列公式计算：报价得分=(评标基准价／投标报价)×价格分。计算时保留两位小数。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gridSpan w:val="3"/>
            <w:vAlign w:val="center"/>
          </w:tcPr>
          <w:p>
            <w:pPr>
              <w:spacing w:line="32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报价分合计</w:t>
            </w:r>
          </w:p>
        </w:tc>
        <w:tc>
          <w:tcPr>
            <w:tcW w:w="7264" w:type="dxa"/>
            <w:gridSpan w:val="2"/>
            <w:vAlign w:val="center"/>
          </w:tcPr>
          <w:p>
            <w:pPr>
              <w:adjustRightInd w:val="0"/>
              <w:snapToGrid w:val="0"/>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gridSpan w:val="3"/>
            <w:vAlign w:val="center"/>
          </w:tcPr>
          <w:p>
            <w:pPr>
              <w:spacing w:line="32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得分总计</w:t>
            </w:r>
          </w:p>
        </w:tc>
        <w:tc>
          <w:tcPr>
            <w:tcW w:w="7264" w:type="dxa"/>
            <w:gridSpan w:val="2"/>
            <w:vAlign w:val="center"/>
          </w:tcPr>
          <w:p>
            <w:pPr>
              <w:adjustRightInd w:val="0"/>
              <w:snapToGrid w:val="0"/>
              <w:jc w:val="center"/>
              <w:rPr>
                <w:rFonts w:ascii="宋体" w:hAnsi="宋体" w:eastAsia="宋体" w:cs="Times New Roman"/>
                <w:b/>
                <w:sz w:val="24"/>
                <w:szCs w:val="24"/>
              </w:rPr>
            </w:pPr>
          </w:p>
        </w:tc>
      </w:tr>
    </w:tbl>
    <w:p>
      <w:pPr>
        <w:pStyle w:val="2"/>
        <w:numPr>
          <w:ilvl w:val="0"/>
          <w:numId w:val="1"/>
        </w:numPr>
        <w:jc w:val="center"/>
        <w:rPr>
          <w:rFonts w:ascii="黑体" w:hAnsi="黑体" w:eastAsia="黑体"/>
        </w:rPr>
      </w:pPr>
      <w:bookmarkStart w:id="73" w:name="_Toc494702263"/>
      <w:bookmarkStart w:id="74" w:name="_Toc494664993"/>
      <w:bookmarkStart w:id="75" w:name="_Toc494665943"/>
      <w:bookmarkStart w:id="76" w:name="_Toc494721093"/>
      <w:bookmarkStart w:id="77" w:name="_Toc494665546"/>
      <w:bookmarkStart w:id="78" w:name="_Toc494745310"/>
      <w:bookmarkStart w:id="79" w:name="_Toc495861545"/>
      <w:r>
        <w:rPr>
          <w:rFonts w:hint="eastAsia" w:ascii="黑体" w:hAnsi="黑体" w:eastAsia="黑体"/>
        </w:rPr>
        <w:t>合同书格式（参考）</w:t>
      </w:r>
      <w:bookmarkEnd w:id="73"/>
      <w:bookmarkEnd w:id="74"/>
      <w:bookmarkEnd w:id="75"/>
      <w:bookmarkEnd w:id="76"/>
      <w:bookmarkEnd w:id="77"/>
      <w:bookmarkEnd w:id="78"/>
      <w:bookmarkEnd w:id="79"/>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78"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78"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78"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78"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78"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78"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61"/>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61"/>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61"/>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61"/>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62"/>
        </w:numPr>
        <w:adjustRightInd w:val="0"/>
        <w:spacing w:before="78"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62"/>
        </w:numPr>
        <w:adjustRightInd w:val="0"/>
        <w:spacing w:before="78"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62"/>
        </w:numPr>
        <w:adjustRightInd w:val="0"/>
        <w:spacing w:before="78"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62"/>
        </w:numPr>
        <w:adjustRightInd w:val="0"/>
        <w:spacing w:before="78"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62"/>
        </w:numPr>
        <w:adjustRightInd w:val="0"/>
        <w:spacing w:before="78"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集中采购机构发出的中标通知书；</w:t>
      </w:r>
    </w:p>
    <w:p>
      <w:pPr>
        <w:numPr>
          <w:ilvl w:val="0"/>
          <w:numId w:val="62"/>
        </w:numPr>
        <w:adjustRightInd w:val="0"/>
        <w:spacing w:before="78"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63"/>
        </w:numPr>
        <w:spacing w:before="78"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63"/>
        </w:numPr>
        <w:spacing w:before="78"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63"/>
        </w:numPr>
        <w:spacing w:before="78"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63"/>
        </w:numPr>
        <w:spacing w:before="78"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61"/>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61"/>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61"/>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61"/>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61"/>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61"/>
        </w:numPr>
        <w:tabs>
          <w:tab w:val="left" w:pos="980"/>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61"/>
        </w:numPr>
        <w:tabs>
          <w:tab w:val="left" w:pos="980"/>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61"/>
        </w:numPr>
        <w:tabs>
          <w:tab w:val="left" w:pos="980"/>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2"/>
        <w:numPr>
          <w:ilvl w:val="0"/>
          <w:numId w:val="1"/>
        </w:numPr>
        <w:jc w:val="center"/>
        <w:rPr>
          <w:rFonts w:ascii="黑体" w:hAnsi="黑体" w:eastAsia="黑体"/>
        </w:rPr>
      </w:pPr>
      <w:bookmarkStart w:id="80" w:name="_Toc494721094"/>
      <w:bookmarkStart w:id="81" w:name="_Toc494745311"/>
      <w:bookmarkStart w:id="82" w:name="_Toc494664994"/>
      <w:bookmarkStart w:id="83" w:name="_Toc494665547"/>
      <w:bookmarkStart w:id="84" w:name="_Toc495861546"/>
      <w:bookmarkStart w:id="85" w:name="_Toc494665944"/>
      <w:bookmarkStart w:id="86" w:name="_Toc494702264"/>
      <w:r>
        <w:rPr>
          <w:rFonts w:hint="eastAsia" w:ascii="黑体" w:hAnsi="黑体" w:eastAsia="黑体"/>
        </w:rPr>
        <w:t>投标文件格式（参考）</w:t>
      </w:r>
      <w:bookmarkEnd w:id="80"/>
      <w:bookmarkEnd w:id="81"/>
      <w:bookmarkEnd w:id="82"/>
      <w:bookmarkEnd w:id="83"/>
      <w:bookmarkEnd w:id="84"/>
      <w:bookmarkEnd w:id="85"/>
      <w:bookmarkEnd w:id="86"/>
    </w:p>
    <w:p>
      <w:pPr>
        <w:spacing w:after="780"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624"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624" w:afterLines="200"/>
        <w:jc w:val="center"/>
        <w:rPr>
          <w:rFonts w:ascii="黑体" w:hAnsi="黑体" w:eastAsia="黑体"/>
          <w:b/>
          <w:sz w:val="144"/>
          <w:szCs w:val="144"/>
        </w:rPr>
      </w:pPr>
    </w:p>
    <w:p>
      <w:pPr>
        <w:pStyle w:val="3"/>
        <w:spacing w:before="340" w:after="480" w:line="360" w:lineRule="auto"/>
        <w:jc w:val="center"/>
        <w:rPr>
          <w:rFonts w:cs="Times New Roman" w:asciiTheme="majorEastAsia" w:hAnsiTheme="majorEastAsia"/>
          <w:bCs w:val="0"/>
          <w:sz w:val="44"/>
          <w:szCs w:val="44"/>
          <w:lang w:val="zh-CN"/>
        </w:rPr>
      </w:pPr>
      <w:bookmarkStart w:id="87" w:name="_Toc494702265"/>
      <w:bookmarkStart w:id="88" w:name="_Toc494721095"/>
      <w:bookmarkStart w:id="89" w:name="_Toc494745312"/>
      <w:bookmarkStart w:id="90" w:name="_Toc495861547"/>
      <w:bookmarkStart w:id="91" w:name="_Toc494664995"/>
      <w:bookmarkStart w:id="92" w:name="_Toc494665945"/>
      <w:bookmarkStart w:id="93" w:name="_Toc494665548"/>
      <w:r>
        <w:rPr>
          <w:rFonts w:hint="eastAsia" w:cs="Times New Roman" w:asciiTheme="majorEastAsia" w:hAnsiTheme="majorEastAsia"/>
          <w:bCs w:val="0"/>
          <w:sz w:val="44"/>
          <w:szCs w:val="44"/>
          <w:lang w:val="zh-CN"/>
        </w:rPr>
        <w:t>第一部分 资格证明文件</w:t>
      </w:r>
      <w:bookmarkEnd w:id="87"/>
      <w:bookmarkEnd w:id="88"/>
      <w:bookmarkEnd w:id="89"/>
      <w:bookmarkEnd w:id="90"/>
      <w:bookmarkEnd w:id="91"/>
      <w:bookmarkEnd w:id="92"/>
      <w:bookmarkEnd w:id="93"/>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312" w:beforeLines="100" w:after="312"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312"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4" w:name="_Toc494721096"/>
      <w:bookmarkStart w:id="95" w:name="_Toc494745313"/>
      <w:bookmarkStart w:id="96" w:name="_Toc494665549"/>
      <w:bookmarkStart w:id="97" w:name="_Toc494702266"/>
      <w:bookmarkStart w:id="98" w:name="_Toc494665946"/>
      <w:bookmarkStart w:id="99" w:name="_Toc494664996"/>
      <w:r>
        <w:rPr>
          <w:rFonts w:hint="eastAsia" w:ascii="黑体" w:hAnsi="黑体" w:eastAsia="黑体" w:cs="Times New Roman"/>
          <w:b/>
          <w:sz w:val="36"/>
          <w:szCs w:val="36"/>
        </w:rPr>
        <w:t>资格证明文件组成</w:t>
      </w:r>
      <w:bookmarkEnd w:id="94"/>
      <w:bookmarkEnd w:id="95"/>
      <w:bookmarkEnd w:id="96"/>
      <w:bookmarkEnd w:id="97"/>
      <w:bookmarkEnd w:id="98"/>
      <w:bookmarkEnd w:id="99"/>
    </w:p>
    <w:p>
      <w:pPr>
        <w:autoSpaceDE w:val="0"/>
        <w:autoSpaceDN w:val="0"/>
        <w:adjustRightInd w:val="0"/>
        <w:spacing w:before="156" w:beforeLines="50" w:after="156" w:afterLines="50" w:line="360" w:lineRule="auto"/>
        <w:ind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由各投标人根据参考格式要求自行编写。目录清晰、内容详尽、易于理解和审查。具体内容应包括但不限于以下内容：</w:t>
      </w:r>
    </w:p>
    <w:p>
      <w:pPr>
        <w:numPr>
          <w:ilvl w:val="0"/>
          <w:numId w:val="64"/>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4"/>
        </w:numPr>
        <w:autoSpaceDE w:val="0"/>
        <w:autoSpaceDN w:val="0"/>
        <w:adjustRightInd w:val="0"/>
        <w:spacing w:line="360" w:lineRule="auto"/>
        <w:ind w:left="490" w:hanging="370"/>
        <w:rPr>
          <w:rFonts w:ascii="宋体" w:hAnsi="宋体" w:eastAsia="宋体" w:cs="Times New Roman"/>
          <w:b/>
          <w:kern w:val="0"/>
          <w:sz w:val="24"/>
          <w:szCs w:val="32"/>
        </w:rPr>
      </w:pPr>
      <w:r>
        <w:rPr>
          <w:rFonts w:hint="eastAsia" w:ascii="宋体" w:hAnsi="宋体"/>
          <w:kern w:val="0"/>
          <w:sz w:val="24"/>
          <w:szCs w:val="32"/>
        </w:rPr>
        <w:t>应具备《政府采购法》第二十二条第一款规定的条件，提供下列材料：</w:t>
      </w:r>
    </w:p>
    <w:p>
      <w:pPr>
        <w:pStyle w:val="25"/>
        <w:numPr>
          <w:ilvl w:val="0"/>
          <w:numId w:val="65"/>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25"/>
        <w:numPr>
          <w:ilvl w:val="0"/>
          <w:numId w:val="65"/>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财务状况报告，依法缴纳税收和社会保障资金的相关材料；</w:t>
      </w:r>
    </w:p>
    <w:p>
      <w:pPr>
        <w:pStyle w:val="25"/>
        <w:numPr>
          <w:ilvl w:val="0"/>
          <w:numId w:val="65"/>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25"/>
        <w:numPr>
          <w:ilvl w:val="0"/>
          <w:numId w:val="65"/>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25"/>
        <w:numPr>
          <w:ilvl w:val="0"/>
          <w:numId w:val="65"/>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64"/>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未被“信用中国”网站(www.creditchina.gov.cn)列入失信被执行人、重大税收违法案件当事人名单、政府采购严重违法失信行为记录名单的书面申明及该网站查询结果页面截图；</w:t>
      </w:r>
    </w:p>
    <w:p>
      <w:pPr>
        <w:numPr>
          <w:ilvl w:val="0"/>
          <w:numId w:val="64"/>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投标人应提供项目所在地或公司所在地人民检察院出具的无行贿犯罪记录查询证明（查询证明原件须放入投标文件正本）；</w:t>
      </w:r>
    </w:p>
    <w:p>
      <w:pPr>
        <w:numPr>
          <w:ilvl w:val="0"/>
          <w:numId w:val="64"/>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招标文件第一章“投标人资格要求”中有特殊要求的，投标人应提供其符合特殊要求的证明材料或者情况说明；</w:t>
      </w:r>
    </w:p>
    <w:p>
      <w:pPr>
        <w:numPr>
          <w:ilvl w:val="0"/>
          <w:numId w:val="64"/>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不符合联合体投标相关规定和要求的（适用于接受联合体投标的项目）；</w:t>
      </w:r>
    </w:p>
    <w:p>
      <w:pPr>
        <w:numPr>
          <w:ilvl w:val="0"/>
          <w:numId w:val="64"/>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sz w:val="24"/>
          <w:szCs w:val="24"/>
        </w:rPr>
      </w:pPr>
    </w:p>
    <w:p>
      <w:pPr>
        <w:autoSpaceDE w:val="0"/>
        <w:autoSpaceDN w:val="0"/>
        <w:adjustRightInd w:val="0"/>
        <w:spacing w:line="400" w:lineRule="exact"/>
        <w:ind w:left="490"/>
        <w:rPr>
          <w:rFonts w:ascii="Calibri" w:hAnsi="宋体" w:eastAsia="宋体" w:cs="Times New Roman"/>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before="312" w:beforeLines="100" w:after="78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624" w:afterLines="200"/>
        <w:jc w:val="center"/>
        <w:rPr>
          <w:rFonts w:ascii="黑体" w:hAnsi="黑体" w:eastAsia="黑体"/>
          <w:b/>
          <w:sz w:val="144"/>
          <w:szCs w:val="144"/>
        </w:rPr>
      </w:pPr>
      <w:r>
        <w:rPr>
          <w:rFonts w:hint="eastAsia" w:ascii="黑体" w:hAnsi="黑体" w:eastAsia="黑体"/>
          <w:b/>
          <w:sz w:val="144"/>
          <w:szCs w:val="144"/>
        </w:rPr>
        <w:t>投 标 文 件</w:t>
      </w:r>
    </w:p>
    <w:p>
      <w:pPr>
        <w:rPr>
          <w:lang w:val="zh-CN"/>
        </w:rPr>
      </w:pPr>
      <w:bookmarkStart w:id="100" w:name="_Toc494721097"/>
      <w:bookmarkStart w:id="101" w:name="_Toc494664997"/>
      <w:bookmarkStart w:id="102" w:name="_Toc494665947"/>
      <w:bookmarkStart w:id="103" w:name="_Toc494665550"/>
      <w:bookmarkStart w:id="104" w:name="_Toc494702267"/>
      <w:bookmarkStart w:id="105" w:name="_Toc495861548"/>
      <w:bookmarkStart w:id="106" w:name="_Toc494745314"/>
    </w:p>
    <w:p>
      <w:pPr>
        <w:rPr>
          <w:lang w:val="zh-CN"/>
        </w:rPr>
      </w:pPr>
    </w:p>
    <w:p>
      <w:pPr>
        <w:rPr>
          <w:lang w:val="zh-CN"/>
        </w:rPr>
      </w:pPr>
    </w:p>
    <w:p>
      <w:pPr>
        <w:rPr>
          <w:lang w:val="zh-CN"/>
        </w:rPr>
      </w:pPr>
    </w:p>
    <w:p>
      <w:pPr>
        <w:rPr>
          <w:lang w:val="zh-CN"/>
        </w:rPr>
      </w:pPr>
    </w:p>
    <w:p>
      <w:pPr>
        <w:rPr>
          <w:lang w:val="zh-CN"/>
        </w:rPr>
      </w:pPr>
    </w:p>
    <w:p>
      <w:pPr>
        <w:pStyle w:val="3"/>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第二部分 商务文件</w:t>
      </w:r>
      <w:bookmarkEnd w:id="100"/>
      <w:bookmarkEnd w:id="101"/>
      <w:bookmarkEnd w:id="102"/>
      <w:bookmarkEnd w:id="103"/>
      <w:bookmarkEnd w:id="104"/>
      <w:bookmarkEnd w:id="105"/>
      <w:bookmarkEnd w:id="106"/>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312" w:beforeLines="100" w:after="312"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pPr>
        <w:spacing w:before="312"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7" w:name="_Toc494665948"/>
      <w:bookmarkStart w:id="108" w:name="_Toc494745315"/>
      <w:bookmarkStart w:id="109" w:name="_Toc494721098"/>
      <w:bookmarkStart w:id="110" w:name="_Toc494665551"/>
      <w:bookmarkStart w:id="111" w:name="_Toc494702268"/>
      <w:bookmarkStart w:id="112" w:name="_Toc494664998"/>
      <w:r>
        <w:rPr>
          <w:rFonts w:hint="eastAsia" w:ascii="黑体" w:hAnsi="黑体" w:eastAsia="黑体" w:cs="Times New Roman"/>
          <w:b/>
          <w:sz w:val="36"/>
          <w:szCs w:val="36"/>
        </w:rPr>
        <w:t>商务文件组成</w:t>
      </w:r>
      <w:bookmarkEnd w:id="107"/>
      <w:bookmarkEnd w:id="108"/>
      <w:bookmarkEnd w:id="109"/>
      <w:bookmarkEnd w:id="110"/>
      <w:bookmarkEnd w:id="111"/>
      <w:bookmarkEnd w:id="112"/>
    </w:p>
    <w:p>
      <w:pPr>
        <w:autoSpaceDE w:val="0"/>
        <w:autoSpaceDN w:val="0"/>
        <w:adjustRightInd w:val="0"/>
        <w:spacing w:before="156" w:beforeLines="50" w:after="156" w:afterLines="50" w:line="360" w:lineRule="auto"/>
        <w:ind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66"/>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6"/>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66"/>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制造商中小企业声明函（附件二）；</w:t>
      </w:r>
    </w:p>
    <w:p>
      <w:pPr>
        <w:numPr>
          <w:ilvl w:val="0"/>
          <w:numId w:val="66"/>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中小企业声明函（附件三）；</w:t>
      </w:r>
    </w:p>
    <w:p>
      <w:pPr>
        <w:numPr>
          <w:ilvl w:val="0"/>
          <w:numId w:val="66"/>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残疾人福利性单位声明函（附件四）</w:t>
      </w:r>
    </w:p>
    <w:p>
      <w:pPr>
        <w:numPr>
          <w:ilvl w:val="0"/>
          <w:numId w:val="66"/>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开标一览表（附件五）；</w:t>
      </w:r>
    </w:p>
    <w:p>
      <w:pPr>
        <w:numPr>
          <w:ilvl w:val="0"/>
          <w:numId w:val="66"/>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投标报价明细表（附件六）；</w:t>
      </w:r>
    </w:p>
    <w:p>
      <w:pPr>
        <w:numPr>
          <w:ilvl w:val="0"/>
          <w:numId w:val="66"/>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小型和微型企业、监狱企业、残疾人福利性单位货物汇总表（附件七）；</w:t>
      </w:r>
    </w:p>
    <w:p>
      <w:pPr>
        <w:numPr>
          <w:ilvl w:val="0"/>
          <w:numId w:val="66"/>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投标货物、服务清单（附件八）；</w:t>
      </w:r>
    </w:p>
    <w:p>
      <w:pPr>
        <w:numPr>
          <w:ilvl w:val="0"/>
          <w:numId w:val="66"/>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交纳投标保证金的银行凭证（附件九，适用招标文件有交纳要求的应当提供）；</w:t>
      </w:r>
    </w:p>
    <w:p>
      <w:pPr>
        <w:numPr>
          <w:ilvl w:val="0"/>
          <w:numId w:val="66"/>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法定代表人授权书（附件十）；</w:t>
      </w:r>
    </w:p>
    <w:p>
      <w:pPr>
        <w:numPr>
          <w:ilvl w:val="0"/>
          <w:numId w:val="66"/>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关于不存在招标文件第二章“十一 其他注意事项”中规定禁止情形的书面声明；</w:t>
      </w:r>
    </w:p>
    <w:p>
      <w:pPr>
        <w:numPr>
          <w:ilvl w:val="0"/>
          <w:numId w:val="66"/>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投标人的资格声明（附件十一）；</w:t>
      </w:r>
    </w:p>
    <w:p>
      <w:pPr>
        <w:numPr>
          <w:ilvl w:val="0"/>
          <w:numId w:val="66"/>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项目负责人、技术负责人简历表（附件十二）；</w:t>
      </w:r>
    </w:p>
    <w:p>
      <w:pPr>
        <w:numPr>
          <w:ilvl w:val="0"/>
          <w:numId w:val="66"/>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项目班子成员情况表（附件十三）；</w:t>
      </w:r>
    </w:p>
    <w:p>
      <w:pPr>
        <w:numPr>
          <w:ilvl w:val="0"/>
          <w:numId w:val="66"/>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投标人类似项目业绩表（附件十四）；</w:t>
      </w:r>
    </w:p>
    <w:p>
      <w:pPr>
        <w:numPr>
          <w:ilvl w:val="0"/>
          <w:numId w:val="66"/>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招标文件要求提供或投标人认为需提供的其它资料；</w:t>
      </w:r>
    </w:p>
    <w:p>
      <w:pPr>
        <w:numPr>
          <w:ilvl w:val="0"/>
          <w:numId w:val="66"/>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符合性审查对照表（附件十五）；</w:t>
      </w:r>
    </w:p>
    <w:p>
      <w:pPr>
        <w:numPr>
          <w:ilvl w:val="0"/>
          <w:numId w:val="66"/>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商务要求响应、偏离说明表（附件十六）；</w:t>
      </w:r>
    </w:p>
    <w:p>
      <w:pPr>
        <w:numPr>
          <w:ilvl w:val="0"/>
          <w:numId w:val="66"/>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商务要求“★”号条款响应、偏离说明表（附件十七）</w:t>
      </w:r>
    </w:p>
    <w:p>
      <w:pPr>
        <w:numPr>
          <w:ilvl w:val="0"/>
          <w:numId w:val="66"/>
        </w:numPr>
        <w:autoSpaceDE w:val="0"/>
        <w:autoSpaceDN w:val="0"/>
        <w:adjustRightInd w:val="0"/>
        <w:spacing w:line="360" w:lineRule="auto"/>
        <w:ind w:left="616" w:hanging="496"/>
        <w:rPr>
          <w:rFonts w:ascii="宋体" w:hAnsi="宋体" w:eastAsia="宋体" w:cs="Courier New"/>
          <w:sz w:val="24"/>
          <w:szCs w:val="24"/>
        </w:rPr>
      </w:pPr>
      <w:r>
        <w:rPr>
          <w:rFonts w:hint="eastAsia" w:ascii="宋体" w:hAnsi="宋体" w:eastAsia="宋体" w:cs="Courier New"/>
          <w:sz w:val="24"/>
          <w:szCs w:val="24"/>
        </w:rPr>
        <w:t>商务评议对照表（附件十八）。</w:t>
      </w:r>
    </w:p>
    <w:p>
      <w:r>
        <w:br w:type="page"/>
      </w:r>
    </w:p>
    <w:p>
      <w:pPr>
        <w:spacing w:before="312" w:beforeLines="100" w:after="78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624" w:afterLines="200"/>
        <w:jc w:val="center"/>
        <w:rPr>
          <w:rFonts w:ascii="黑体" w:hAnsi="黑体" w:eastAsia="黑体"/>
          <w:b/>
          <w:sz w:val="144"/>
          <w:szCs w:val="144"/>
        </w:rPr>
      </w:pPr>
      <w:r>
        <w:rPr>
          <w:rFonts w:hint="eastAsia" w:ascii="黑体" w:hAnsi="黑体" w:eastAsia="黑体"/>
          <w:b/>
          <w:sz w:val="144"/>
          <w:szCs w:val="144"/>
        </w:rPr>
        <w:t>投 标 文 件</w:t>
      </w:r>
    </w:p>
    <w:p>
      <w:pPr>
        <w:rPr>
          <w:lang w:val="zh-CN"/>
        </w:rPr>
      </w:pPr>
      <w:bookmarkStart w:id="113" w:name="_Toc494745316"/>
      <w:bookmarkStart w:id="114" w:name="_Toc495861549"/>
      <w:bookmarkStart w:id="115" w:name="_Toc494721099"/>
      <w:bookmarkStart w:id="116" w:name="_Toc494664999"/>
      <w:bookmarkStart w:id="117" w:name="_Toc494702269"/>
      <w:bookmarkStart w:id="118" w:name="_Toc494665552"/>
      <w:bookmarkStart w:id="119" w:name="_Toc494665949"/>
    </w:p>
    <w:p>
      <w:pPr>
        <w:rPr>
          <w:lang w:val="zh-CN"/>
        </w:rPr>
      </w:pPr>
    </w:p>
    <w:p>
      <w:pPr>
        <w:rPr>
          <w:lang w:val="zh-CN"/>
        </w:rPr>
      </w:pPr>
    </w:p>
    <w:p>
      <w:pPr>
        <w:rPr>
          <w:lang w:val="zh-CN"/>
        </w:rPr>
      </w:pPr>
    </w:p>
    <w:p>
      <w:pPr>
        <w:rPr>
          <w:lang w:val="zh-CN"/>
        </w:rPr>
      </w:pPr>
    </w:p>
    <w:p>
      <w:pPr>
        <w:pStyle w:val="3"/>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第三部分 技术、服务文件</w:t>
      </w:r>
      <w:bookmarkEnd w:id="113"/>
      <w:bookmarkEnd w:id="114"/>
      <w:bookmarkEnd w:id="115"/>
      <w:bookmarkEnd w:id="116"/>
      <w:bookmarkEnd w:id="117"/>
      <w:bookmarkEnd w:id="118"/>
      <w:bookmarkEnd w:id="119"/>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312" w:beforeLines="100" w:after="312"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312"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20" w:name="_Toc494702270"/>
      <w:bookmarkStart w:id="121" w:name="_Toc494721100"/>
      <w:bookmarkStart w:id="122" w:name="_Toc494665950"/>
      <w:bookmarkStart w:id="123" w:name="_Toc494665553"/>
      <w:bookmarkStart w:id="124" w:name="_Toc494665000"/>
      <w:bookmarkStart w:id="125" w:name="_Toc494745317"/>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20"/>
      <w:bookmarkEnd w:id="121"/>
      <w:bookmarkEnd w:id="122"/>
      <w:bookmarkEnd w:id="123"/>
      <w:bookmarkEnd w:id="124"/>
      <w:bookmarkEnd w:id="125"/>
    </w:p>
    <w:p>
      <w:pPr>
        <w:autoSpaceDE w:val="0"/>
        <w:autoSpaceDN w:val="0"/>
        <w:adjustRightInd w:val="0"/>
        <w:spacing w:before="156" w:beforeLines="50" w:after="156" w:afterLines="50" w:line="360" w:lineRule="auto"/>
        <w:ind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7"/>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67"/>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67"/>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技术、服务要求响应、偏离说明表（附件十九）；</w:t>
      </w:r>
    </w:p>
    <w:p>
      <w:pPr>
        <w:numPr>
          <w:ilvl w:val="0"/>
          <w:numId w:val="67"/>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技术、服务要求“★”号条款响应、偏离说明表（附件二十）；</w:t>
      </w:r>
    </w:p>
    <w:p>
      <w:pPr>
        <w:numPr>
          <w:ilvl w:val="0"/>
          <w:numId w:val="67"/>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技术、服务评议对照表（附件二十一）；</w:t>
      </w:r>
    </w:p>
    <w:p>
      <w:pPr>
        <w:numPr>
          <w:ilvl w:val="0"/>
          <w:numId w:val="67"/>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kern w:val="0"/>
          <w:sz w:val="24"/>
          <w:szCs w:val="32"/>
        </w:rPr>
      </w:pPr>
      <w:r>
        <w:rPr>
          <w:rFonts w:hint="eastAsia" w:ascii="宋体" w:hAnsi="宋体" w:eastAsia="宋体" w:cs="Times New Roman"/>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3"/>
        <w:numPr>
          <w:ilvl w:val="0"/>
          <w:numId w:val="68"/>
        </w:numPr>
        <w:spacing w:before="100" w:beforeAutospacing="1" w:after="156" w:afterLines="50" w:line="360" w:lineRule="auto"/>
        <w:ind w:left="1288" w:hanging="1288"/>
        <w:rPr>
          <w:rFonts w:ascii="宋体" w:hAnsi="宋体" w:eastAsia="宋体"/>
        </w:rPr>
      </w:pPr>
      <w:bookmarkStart w:id="126" w:name="_Toc495861550"/>
      <w:bookmarkStart w:id="127" w:name="_Toc494745318"/>
      <w:bookmarkStart w:id="128" w:name="_Toc494702271"/>
      <w:bookmarkStart w:id="129" w:name="_Toc238276242"/>
      <w:bookmarkStart w:id="130" w:name="_Toc494665951"/>
      <w:bookmarkStart w:id="131" w:name="_Toc236473298"/>
      <w:bookmarkStart w:id="132" w:name="_Toc494665554"/>
      <w:bookmarkStart w:id="133" w:name="_Toc494721101"/>
      <w:bookmarkStart w:id="134" w:name="_Toc494665001"/>
      <w:r>
        <w:rPr>
          <w:rFonts w:hint="eastAsia" w:ascii="宋体" w:hAnsi="宋体" w:eastAsia="宋体"/>
        </w:rPr>
        <w:t>投标书</w:t>
      </w:r>
      <w:bookmarkEnd w:id="126"/>
      <w:bookmarkEnd w:id="127"/>
      <w:bookmarkEnd w:id="128"/>
      <w:bookmarkEnd w:id="129"/>
      <w:bookmarkEnd w:id="130"/>
      <w:bookmarkEnd w:id="131"/>
      <w:bookmarkEnd w:id="132"/>
      <w:bookmarkEnd w:id="133"/>
      <w:bookmarkEnd w:id="134"/>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依据贵方___</w:t>
      </w:r>
      <w:r>
        <w:rPr>
          <w:rFonts w:hint="eastAsia" w:asciiTheme="minorEastAsia" w:hAnsiTheme="minorEastAsia"/>
          <w:sz w:val="24"/>
          <w:szCs w:val="24"/>
          <w:u w:val="single"/>
        </w:rPr>
        <w:t xml:space="preserve">  _</w:t>
      </w:r>
      <w:r>
        <w:rPr>
          <w:rFonts w:hint="eastAsia" w:asciiTheme="minorEastAsia" w:hAnsiTheme="minorEastAsia"/>
          <w:sz w:val="24"/>
          <w:szCs w:val="24"/>
        </w:rPr>
        <w:t>项目（项目编号：_____）招标的投标邀请，我方代表</w:t>
      </w:r>
      <w:r>
        <w:rPr>
          <w:rFonts w:hint="eastAsia" w:asciiTheme="minorEastAsia" w:hAnsiTheme="minorEastAsia"/>
          <w:sz w:val="24"/>
          <w:szCs w:val="24"/>
          <w:u w:val="single"/>
        </w:rPr>
        <w:t>（姓名、职务）</w:t>
      </w:r>
      <w:r>
        <w:rPr>
          <w:rFonts w:hint="eastAsia" w:asciiTheme="minorEastAsia" w:hAnsiTheme="minorEastAsia"/>
          <w:sz w:val="24"/>
          <w:szCs w:val="24"/>
        </w:rPr>
        <w:t>经正式授权并代表投标人</w:t>
      </w:r>
      <w:r>
        <w:rPr>
          <w:rFonts w:hint="eastAsia" w:asciiTheme="minorEastAsia" w:hAnsiTheme="minorEastAsia"/>
          <w:sz w:val="24"/>
          <w:szCs w:val="24"/>
          <w:u w:val="single"/>
        </w:rPr>
        <w:t>（投标人全称 ）</w:t>
      </w:r>
      <w:r>
        <w:rPr>
          <w:rFonts w:hint="eastAsia" w:asciiTheme="minorEastAsia" w:hAnsiTheme="minorEastAsia"/>
          <w:sz w:val="24"/>
          <w:szCs w:val="24"/>
        </w:rPr>
        <w:t>提交</w:t>
      </w:r>
      <w:r>
        <w:rPr>
          <w:rFonts w:hint="eastAsia" w:ascii="宋体" w:hAnsi="宋体"/>
          <w:kern w:val="0"/>
          <w:sz w:val="24"/>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kern w:val="0"/>
          <w:sz w:val="24"/>
          <w:szCs w:val="24"/>
        </w:rPr>
      </w:pPr>
      <w:r>
        <w:rPr>
          <w:rFonts w:hint="eastAsia" w:ascii="宋体" w:hAnsi="宋体" w:eastAsia="宋体" w:cs="Times New Roman"/>
          <w:b/>
          <w:kern w:val="0"/>
          <w:sz w:val="24"/>
          <w:szCs w:val="24"/>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4．投标有效期为自</w:t>
      </w:r>
      <w:r>
        <w:rPr>
          <w:rFonts w:hint="eastAsia" w:ascii="宋体" w:hAnsi="宋体"/>
          <w:kern w:val="0"/>
          <w:sz w:val="24"/>
        </w:rPr>
        <w:t>递交投标文件截止之日</w:t>
      </w:r>
      <w:r>
        <w:rPr>
          <w:rFonts w:hint="eastAsia" w:asciiTheme="minorEastAsia" w:hAnsiTheme="minorEastAsia"/>
          <w:sz w:val="24"/>
          <w:szCs w:val="24"/>
        </w:rPr>
        <w:t>起，共个日历日；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3"/>
        <w:numPr>
          <w:ilvl w:val="0"/>
          <w:numId w:val="68"/>
        </w:numPr>
        <w:spacing w:before="100" w:beforeAutospacing="1" w:after="156" w:afterLines="50" w:line="360" w:lineRule="auto"/>
        <w:ind w:left="1288" w:hanging="1288"/>
        <w:rPr>
          <w:rFonts w:ascii="宋体" w:hAnsi="宋体" w:eastAsia="宋体"/>
        </w:rPr>
      </w:pPr>
      <w:bookmarkStart w:id="135" w:name="_Toc494665002"/>
      <w:bookmarkStart w:id="136" w:name="_Toc495861551"/>
      <w:bookmarkStart w:id="137" w:name="_Toc494665952"/>
      <w:bookmarkStart w:id="138" w:name="_Toc494721102"/>
      <w:bookmarkStart w:id="139" w:name="_Toc494745319"/>
      <w:bookmarkStart w:id="140" w:name="_Toc494702272"/>
      <w:bookmarkStart w:id="141" w:name="_Toc494665555"/>
      <w:r>
        <w:rPr>
          <w:rFonts w:hint="eastAsia" w:ascii="宋体" w:hAnsi="宋体" w:eastAsia="宋体"/>
        </w:rPr>
        <w:t>制造商中小企业声明函</w:t>
      </w:r>
      <w:bookmarkEnd w:id="135"/>
      <w:bookmarkEnd w:id="136"/>
      <w:bookmarkEnd w:id="137"/>
      <w:bookmarkEnd w:id="138"/>
      <w:bookmarkEnd w:id="139"/>
      <w:bookmarkEnd w:id="140"/>
      <w:bookmarkEnd w:id="141"/>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制造商中小企业声明函</w:t>
      </w:r>
    </w:p>
    <w:p>
      <w:pPr>
        <w:adjustRightInd w:val="0"/>
        <w:snapToGrid w:val="0"/>
        <w:spacing w:before="156" w:beforeLines="50" w:after="156"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采购人（或采购代理公司）：</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1.根据《工业和信息化部、国家统计局、国家发展和改革委员会、财政部关于印发中小企业划型标准规定的通知》（工信部联企业〔2011〕300号）规定的划分标准</w:t>
      </w:r>
      <w:r>
        <w:rPr>
          <w:rFonts w:hint="eastAsia" w:hAnsi="宋体"/>
          <w:sz w:val="24"/>
        </w:rPr>
        <w:t>（详见《中小企业划型标准》）</w:t>
      </w:r>
      <w:r>
        <w:rPr>
          <w:rFonts w:hint="eastAsia" w:ascii="宋体" w:hAnsi="宋体" w:eastAsia="宋体" w:cs="Times New Roman"/>
          <w:sz w:val="24"/>
          <w:szCs w:val="21"/>
          <w:lang w:val="zh-CN"/>
        </w:rPr>
        <w:t>，本公司为______（请填写：中型、小型、微型）企业。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2.本公司授权</w:t>
      </w:r>
      <w:r>
        <w:rPr>
          <w:rFonts w:hint="eastAsia" w:ascii="宋体" w:hAnsi="宋体" w:eastAsia="宋体" w:cs="Times New Roman"/>
          <w:sz w:val="24"/>
          <w:szCs w:val="21"/>
          <w:u w:val="single"/>
          <w:lang w:val="zh-CN"/>
        </w:rPr>
        <w:t xml:space="preserve">  （投标人）  </w:t>
      </w:r>
      <w:r>
        <w:rPr>
          <w:rFonts w:hint="eastAsia" w:ascii="宋体" w:hAnsi="宋体" w:eastAsia="宋体" w:cs="Times New Roman"/>
          <w:sz w:val="24"/>
          <w:szCs w:val="21"/>
          <w:lang w:val="zh-CN"/>
        </w:rPr>
        <w:t>参加_</w:t>
      </w:r>
      <w:r>
        <w:rPr>
          <w:rFonts w:hint="eastAsia" w:ascii="宋体" w:hAnsi="宋体" w:eastAsia="宋体" w:cs="Times New Roman"/>
          <w:sz w:val="24"/>
          <w:szCs w:val="21"/>
          <w:u w:val="single"/>
          <w:lang w:val="zh-CN"/>
        </w:rPr>
        <w:t>_（采购人）_</w:t>
      </w:r>
      <w:r>
        <w:rPr>
          <w:rFonts w:hint="eastAsia" w:ascii="宋体" w:hAnsi="宋体" w:eastAsia="宋体" w:cs="Times New Roman"/>
          <w:sz w:val="24"/>
          <w:szCs w:val="21"/>
          <w:lang w:val="zh-CN"/>
        </w:rPr>
        <w:t>的__</w:t>
      </w:r>
      <w:r>
        <w:rPr>
          <w:rFonts w:hint="eastAsia" w:ascii="宋体" w:hAnsi="宋体" w:eastAsia="宋体" w:cs="Times New Roman"/>
          <w:sz w:val="24"/>
          <w:szCs w:val="21"/>
          <w:u w:val="single"/>
          <w:lang w:val="zh-CN"/>
        </w:rPr>
        <w:t>__</w:t>
      </w:r>
      <w:r>
        <w:rPr>
          <w:rFonts w:hint="eastAsia" w:ascii="宋体" w:hAnsi="宋体" w:eastAsia="宋体" w:cs="Times New Roman"/>
          <w:sz w:val="24"/>
          <w:szCs w:val="21"/>
          <w:lang w:val="zh-CN"/>
        </w:rPr>
        <w:t>项目（项目编号：_____）采购活动提供本企业制造的货物。本条所称货物不包括使用大型企业注册商标的货物。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lang w:val="zh-CN"/>
        </w:rPr>
        <w:t>3</w:t>
      </w:r>
      <w:r>
        <w:rPr>
          <w:rFonts w:hint="eastAsia" w:ascii="宋体" w:hAnsi="宋体" w:eastAsia="宋体" w:cs="Times New Roman"/>
          <w:bCs/>
          <w:sz w:val="24"/>
          <w:szCs w:val="24"/>
        </w:rPr>
        <w:t>.由本公司制造的货物清单见下表：</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9"/>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9"/>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r>
    </w:tbl>
    <w:p>
      <w:pPr>
        <w:spacing w:before="156" w:beforeLines="50"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spacing w:line="360" w:lineRule="auto"/>
        <w:rPr>
          <w:rFonts w:ascii="宋体" w:hAnsi="宋体" w:eastAsia="宋体" w:cs="Times New Roman"/>
          <w:bCs/>
          <w:sz w:val="24"/>
          <w:szCs w:val="24"/>
        </w:rPr>
      </w:pPr>
    </w:p>
    <w:p>
      <w:pPr>
        <w:pStyle w:val="7"/>
        <w:spacing w:line="360" w:lineRule="auto"/>
        <w:ind w:left="960" w:hanging="960" w:hangingChars="400"/>
        <w:jc w:val="left"/>
        <w:rPr>
          <w:rFonts w:hAnsi="宋体" w:cs="Corbel"/>
          <w:sz w:val="24"/>
        </w:rPr>
      </w:pPr>
      <w:r>
        <w:rPr>
          <w:rFonts w:hint="eastAsia" w:hAnsi="宋体" w:eastAsia="宋体" w:cs="Times New Roman"/>
          <w:bCs/>
          <w:sz w:val="24"/>
          <w:szCs w:val="24"/>
        </w:rPr>
        <w:t>说明：</w:t>
      </w:r>
      <w:r>
        <w:rPr>
          <w:rFonts w:hint="eastAsia" w:hAnsi="宋体" w:cs="Corbel"/>
          <w:sz w:val="24"/>
        </w:rPr>
        <w:t>1、投标人所投货物为自己制造的，也应按本声明函格式填写。</w:t>
      </w:r>
    </w:p>
    <w:p>
      <w:pPr>
        <w:pStyle w:val="7"/>
        <w:spacing w:line="360" w:lineRule="auto"/>
        <w:ind w:left="958" w:leftChars="342" w:hanging="240" w:hangingChars="100"/>
        <w:jc w:val="left"/>
        <w:rPr>
          <w:rFonts w:hAnsi="宋体"/>
          <w:sz w:val="24"/>
        </w:rPr>
      </w:pPr>
      <w:r>
        <w:rPr>
          <w:rFonts w:hint="eastAsia" w:hAnsi="宋体"/>
          <w:sz w:val="24"/>
        </w:rPr>
        <w:t>2、组成联合体的大中型企业和其他自然人、法人或者其他组织，与小型、微型企业之间不得存在投资关系。</w:t>
      </w:r>
    </w:p>
    <w:p>
      <w:pPr>
        <w:pStyle w:val="7"/>
        <w:spacing w:line="360" w:lineRule="auto"/>
        <w:ind w:left="958" w:leftChars="342" w:hanging="240" w:hangingChars="100"/>
        <w:jc w:val="left"/>
        <w:rPr>
          <w:rFonts w:hAnsi="宋体" w:eastAsia="宋体" w:cs="Times New Roman"/>
          <w:bCs/>
          <w:sz w:val="24"/>
          <w:szCs w:val="24"/>
        </w:rPr>
      </w:pPr>
      <w:r>
        <w:rPr>
          <w:rFonts w:hint="eastAsia" w:hAnsi="宋体"/>
          <w:sz w:val="24"/>
        </w:rPr>
        <w:t>3、如以联合体方式参与本项目投标的供应商，则应由联合体双方签字盖章。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pStyle w:val="3"/>
        <w:numPr>
          <w:ilvl w:val="0"/>
          <w:numId w:val="68"/>
        </w:numPr>
        <w:spacing w:before="100" w:beforeAutospacing="1" w:after="156" w:afterLines="50" w:line="360" w:lineRule="auto"/>
        <w:ind w:left="1288" w:hanging="1288"/>
        <w:rPr>
          <w:rFonts w:ascii="宋体" w:hAnsi="宋体" w:eastAsia="宋体"/>
        </w:rPr>
      </w:pPr>
      <w:bookmarkStart w:id="142" w:name="_Toc494721103"/>
      <w:bookmarkStart w:id="143" w:name="_Toc494665556"/>
      <w:bookmarkStart w:id="144" w:name="_Toc494702273"/>
      <w:bookmarkStart w:id="145" w:name="_Toc494745320"/>
      <w:bookmarkStart w:id="146" w:name="_Toc495861552"/>
      <w:bookmarkStart w:id="147" w:name="_Toc494665003"/>
      <w:bookmarkStart w:id="148" w:name="_Toc456264006"/>
      <w:bookmarkStart w:id="149" w:name="_Toc494665953"/>
      <w:r>
        <w:rPr>
          <w:rFonts w:hint="eastAsia" w:ascii="宋体" w:hAnsi="宋体" w:eastAsia="宋体"/>
        </w:rPr>
        <w:t>中小企业声明函</w:t>
      </w:r>
      <w:bookmarkEnd w:id="142"/>
      <w:bookmarkEnd w:id="143"/>
      <w:bookmarkEnd w:id="144"/>
      <w:bookmarkEnd w:id="145"/>
      <w:bookmarkEnd w:id="146"/>
      <w:bookmarkEnd w:id="147"/>
      <w:bookmarkEnd w:id="148"/>
      <w:bookmarkEnd w:id="149"/>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156" w:beforeLines="50" w:after="156"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采购人（或采购代理公司）：</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1.根据《工业和信息化部、国家统计局、国家发展和改革委员会、财政部关于印发中小企业划型标准规定的通知》（工信部联企业〔2011〕300号）规定的划分标准</w:t>
      </w:r>
      <w:r>
        <w:rPr>
          <w:rFonts w:hint="eastAsia" w:hAnsi="宋体"/>
          <w:sz w:val="24"/>
        </w:rPr>
        <w:t>（详见《中小企业划型标准》）</w:t>
      </w:r>
      <w:r>
        <w:rPr>
          <w:rFonts w:hint="eastAsia" w:ascii="宋体" w:hAnsi="宋体" w:eastAsia="宋体" w:cs="Times New Roman"/>
          <w:sz w:val="24"/>
          <w:szCs w:val="21"/>
          <w:lang w:val="zh-CN"/>
        </w:rPr>
        <w:t>，本公司为______（请填写：中型、小型、微型）企业。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2.本公司参加_</w:t>
      </w:r>
      <w:r>
        <w:rPr>
          <w:rFonts w:hint="eastAsia" w:ascii="宋体" w:hAnsi="宋体" w:eastAsia="宋体" w:cs="Times New Roman"/>
          <w:sz w:val="24"/>
          <w:szCs w:val="21"/>
          <w:u w:val="single"/>
          <w:lang w:val="zh-CN"/>
        </w:rPr>
        <w:t>_（采购人）</w:t>
      </w:r>
      <w:r>
        <w:rPr>
          <w:rFonts w:hint="eastAsia" w:ascii="宋体" w:hAnsi="宋体" w:eastAsia="宋体" w:cs="Times New Roman"/>
          <w:sz w:val="24"/>
          <w:szCs w:val="21"/>
          <w:lang w:val="zh-CN"/>
        </w:rPr>
        <w:t>的__</w:t>
      </w:r>
      <w:r>
        <w:rPr>
          <w:rFonts w:hint="eastAsia" w:ascii="宋体" w:hAnsi="宋体" w:eastAsia="宋体" w:cs="Times New Roman"/>
          <w:sz w:val="24"/>
          <w:szCs w:val="21"/>
          <w:u w:val="single"/>
          <w:lang w:val="zh-CN"/>
        </w:rPr>
        <w:t>__</w:t>
      </w:r>
      <w:r>
        <w:rPr>
          <w:rFonts w:hint="eastAsia" w:ascii="宋体" w:hAnsi="宋体" w:eastAsia="宋体" w:cs="Times New Roman"/>
          <w:sz w:val="24"/>
          <w:szCs w:val="21"/>
          <w:lang w:val="zh-CN"/>
        </w:rPr>
        <w:t>项目（项目编号：______）采购活动由本企业承担工程（或提供服务）。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rPr>
      </w:pPr>
    </w:p>
    <w:p>
      <w:pPr>
        <w:adjustRightInd w:val="0"/>
        <w:snapToGrid w:val="0"/>
        <w:spacing w:line="360" w:lineRule="auto"/>
        <w:rPr>
          <w:rFonts w:ascii="宋体" w:hAnsi="宋体" w:eastAsia="宋体" w:cs="Times New Roman"/>
          <w:sz w:val="28"/>
          <w:szCs w:val="24"/>
        </w:rPr>
      </w:pPr>
    </w:p>
    <w:p>
      <w:pPr>
        <w:spacing w:line="360" w:lineRule="auto"/>
        <w:ind w:left="950" w:hanging="950" w:hangingChars="396"/>
        <w:jc w:val="left"/>
        <w:rPr>
          <w:rFonts w:ascii="宋体" w:hAnsi="宋体" w:eastAsia="宋体" w:cs="Times New Roman"/>
          <w:sz w:val="24"/>
          <w:szCs w:val="21"/>
          <w:lang w:val="zh-CN"/>
        </w:rPr>
      </w:pPr>
      <w:r>
        <w:rPr>
          <w:rFonts w:hint="eastAsia" w:ascii="宋体" w:hAnsi="宋体" w:eastAsia="宋体" w:cs="Times New Roman"/>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lang w:val="zh-CN"/>
        </w:rPr>
      </w:pPr>
      <w:r>
        <w:rPr>
          <w:rFonts w:hint="eastAsia" w:ascii="宋体" w:hAnsi="宋体" w:eastAsia="宋体" w:cs="Times New Roman"/>
          <w:sz w:val="24"/>
          <w:szCs w:val="21"/>
          <w:lang w:val="zh-CN"/>
        </w:rPr>
        <w:t>2.以联合体方式参与本项目投标的供应商，应由联合体双方签字盖章。</w:t>
      </w: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sectPr>
          <w:headerReference r:id="rId7" w:type="default"/>
          <w:footerReference r:id="rId8" w:type="default"/>
          <w:pgSz w:w="11906" w:h="16838"/>
          <w:pgMar w:top="1134" w:right="1191" w:bottom="1134" w:left="1191" w:header="851" w:footer="624" w:gutter="0"/>
          <w:cols w:space="425" w:num="1"/>
          <w:docGrid w:type="linesAndChars" w:linePitch="312" w:charSpace="0"/>
        </w:sectPr>
      </w:pPr>
    </w:p>
    <w:p>
      <w:pPr>
        <w:spacing w:line="240" w:lineRule="atLeast"/>
        <w:ind w:left="-48" w:leftChars="-23" w:right="-65" w:rightChars="-31"/>
        <w:jc w:val="center"/>
        <w:rPr>
          <w:rFonts w:ascii="宋体" w:hAnsi="宋体" w:eastAsia="宋体" w:cs="Times New Roman"/>
          <w:b/>
          <w:sz w:val="30"/>
          <w:szCs w:val="30"/>
          <w:lang w:val="zh-CN"/>
        </w:rPr>
      </w:pPr>
      <w:bookmarkStart w:id="150" w:name="_Toc476153619"/>
      <w:r>
        <w:rPr>
          <w:rFonts w:hint="eastAsia" w:ascii="宋体" w:hAnsi="宋体" w:eastAsia="宋体" w:cs="Times New Roman"/>
          <w:b/>
          <w:sz w:val="30"/>
          <w:szCs w:val="30"/>
          <w:lang w:val="zh-CN"/>
        </w:rPr>
        <w:t>中小企业划型标准</w:t>
      </w:r>
      <w:bookmarkEnd w:id="150"/>
    </w:p>
    <w:tbl>
      <w:tblPr>
        <w:tblStyle w:val="16"/>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r>
        <w:br w:type="page"/>
      </w:r>
    </w:p>
    <w:p>
      <w:pPr>
        <w:sectPr>
          <w:pgSz w:w="16838" w:h="11906" w:orient="landscape"/>
          <w:pgMar w:top="1191" w:right="1134" w:bottom="1191" w:left="1134" w:header="851" w:footer="851" w:gutter="0"/>
          <w:cols w:space="425" w:num="1"/>
          <w:docGrid w:type="lines" w:linePitch="312" w:charSpace="0"/>
        </w:sectPr>
      </w:pPr>
    </w:p>
    <w:p>
      <w:pPr>
        <w:pStyle w:val="3"/>
        <w:numPr>
          <w:ilvl w:val="0"/>
          <w:numId w:val="68"/>
        </w:numPr>
        <w:spacing w:before="100" w:beforeAutospacing="1" w:after="156" w:afterLines="50" w:line="360" w:lineRule="auto"/>
        <w:ind w:left="1288" w:hanging="1288"/>
        <w:rPr>
          <w:rFonts w:ascii="宋体" w:hAnsi="宋体" w:eastAsia="宋体"/>
        </w:rPr>
      </w:pPr>
      <w:bookmarkStart w:id="151" w:name="_Toc494665004"/>
      <w:bookmarkStart w:id="152" w:name="_Toc494721104"/>
      <w:bookmarkStart w:id="153" w:name="_Toc495861553"/>
      <w:bookmarkStart w:id="154" w:name="_Toc494665557"/>
      <w:bookmarkStart w:id="155" w:name="_Toc494665954"/>
      <w:bookmarkStart w:id="156" w:name="_Toc494745321"/>
      <w:bookmarkStart w:id="157" w:name="_Toc494702274"/>
      <w:r>
        <w:rPr>
          <w:rFonts w:hint="eastAsia" w:ascii="宋体" w:hAnsi="宋体" w:eastAsia="宋体"/>
        </w:rPr>
        <w:t>残疾人福利性单位声明函</w:t>
      </w:r>
      <w:bookmarkEnd w:id="151"/>
      <w:bookmarkEnd w:id="152"/>
      <w:bookmarkEnd w:id="153"/>
      <w:bookmarkEnd w:id="154"/>
      <w:bookmarkEnd w:id="155"/>
      <w:bookmarkEnd w:id="156"/>
      <w:bookmarkEnd w:id="157"/>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156" w:beforeLines="50" w:after="156"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采购人（或采购代理公司）：</w:t>
      </w:r>
    </w:p>
    <w:p>
      <w:pPr>
        <w:pStyle w:val="7"/>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pPr>
        <w:pStyle w:val="7"/>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sz w:val="24"/>
        </w:rPr>
      </w:pPr>
      <w:r>
        <w:rPr>
          <w:rFonts w:hint="eastAsia" w:ascii="宋体" w:hAnsi="宋体"/>
          <w:bCs/>
          <w:sz w:val="24"/>
          <w:lang w:val="zh-CN"/>
        </w:rPr>
        <w:t>2</w:t>
      </w:r>
      <w:r>
        <w:rPr>
          <w:rFonts w:hint="eastAsia" w:ascii="宋体" w:hAnsi="宋体"/>
          <w:bCs/>
          <w:sz w:val="24"/>
        </w:rPr>
        <w:t>.由本单位制造的货物清单见下表：</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0"/>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0"/>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sz w:val="24"/>
          <w:szCs w:val="24"/>
        </w:rPr>
      </w:pPr>
    </w:p>
    <w:p>
      <w:pPr>
        <w:pStyle w:val="7"/>
        <w:spacing w:line="360" w:lineRule="auto"/>
        <w:jc w:val="left"/>
        <w:rPr>
          <w:rFonts w:hAnsi="宋体" w:cs="Corbel"/>
          <w:sz w:val="24"/>
        </w:rPr>
      </w:pPr>
      <w:r>
        <w:rPr>
          <w:rFonts w:hint="eastAsia" w:hAnsi="宋体" w:eastAsia="宋体" w:cs="Times New Roman"/>
          <w:bCs/>
          <w:sz w:val="24"/>
          <w:szCs w:val="24"/>
        </w:rPr>
        <w:t>说明：</w:t>
      </w:r>
      <w:r>
        <w:rPr>
          <w:rFonts w:hint="eastAsia" w:hAnsi="宋体" w:cs="Corbel"/>
          <w:sz w:val="24"/>
        </w:rPr>
        <w:t>1、投标人所投货物为自己制造的，也应按本声明函格式填写。</w:t>
      </w:r>
    </w:p>
    <w:p>
      <w:pPr>
        <w:pStyle w:val="7"/>
        <w:spacing w:line="360" w:lineRule="auto"/>
        <w:ind w:left="1078" w:leftChars="342" w:hanging="360" w:hangingChars="150"/>
        <w:jc w:val="left"/>
        <w:rPr>
          <w:rFonts w:hAnsi="宋体"/>
          <w:sz w:val="24"/>
        </w:rPr>
      </w:pPr>
      <w:r>
        <w:rPr>
          <w:rFonts w:hint="eastAsia" w:hAnsi="宋体"/>
          <w:sz w:val="24"/>
        </w:rPr>
        <w:t>2、组成联合体的大中型企业和其他自然人、法人或者其他组织，与残疾人福利性单位之间不得存在投资关系。</w:t>
      </w:r>
    </w:p>
    <w:p>
      <w:pPr>
        <w:pStyle w:val="7"/>
        <w:spacing w:line="360" w:lineRule="auto"/>
        <w:ind w:left="1078" w:leftChars="342" w:hanging="360" w:hangingChars="150"/>
        <w:jc w:val="left"/>
        <w:rPr>
          <w:rFonts w:hAnsi="宋体"/>
          <w:sz w:val="24"/>
        </w:rPr>
      </w:pPr>
      <w:r>
        <w:rPr>
          <w:rFonts w:hint="eastAsia" w:hAnsi="宋体"/>
          <w:sz w:val="24"/>
        </w:rPr>
        <w:t>3、以联合体方式参与本项目投标的供应商，应由联合体双方签字盖章。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adjustRightInd w:val="0"/>
        <w:snapToGrid w:val="0"/>
        <w:jc w:val="center"/>
        <w:rPr>
          <w:rFonts w:ascii="宋体" w:hAnsi="宋体" w:eastAsia="宋体" w:cs="Times New Roman"/>
          <w:b/>
          <w:sz w:val="30"/>
          <w:szCs w:val="30"/>
          <w:lang w:val="zh-CN"/>
        </w:rPr>
      </w:pPr>
    </w:p>
    <w:p>
      <w:pPr>
        <w:adjustRightInd w:val="0"/>
        <w:snapToGrid w:val="0"/>
        <w:spacing w:before="312"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156" w:beforeLines="50" w:after="156"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本单位郑重声明，根据《财政部 民政部 中国残疾人联合会关于促进残疾人就业政府采购政策的通知》（财库〔2017〕141号）的规定，本单位为符合条件的残疾人福利性单位</w:t>
      </w:r>
      <w:r>
        <w:rPr>
          <w:rFonts w:hint="eastAsia" w:hAnsi="宋体"/>
          <w:sz w:val="24"/>
        </w:rPr>
        <w:t>（详见“残疾人福利性单位应当满足的条件”）</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sz w:val="24"/>
          <w:szCs w:val="21"/>
        </w:rPr>
      </w:pPr>
      <w:r>
        <w:rPr>
          <w:rFonts w:hint="eastAsia" w:ascii="宋体" w:hAnsi="宋体" w:cs="Courier New"/>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sz w:val="24"/>
          <w:szCs w:val="24"/>
        </w:rPr>
      </w:pPr>
      <w:r>
        <w:rPr>
          <w:rFonts w:hint="eastAsia" w:ascii="宋体" w:hAnsi="宋体" w:cs="Courier New"/>
          <w:sz w:val="24"/>
          <w:szCs w:val="21"/>
        </w:rPr>
        <w:t>2、以联合体方式参与本项目投标的供应商，应由联合体双方签字盖章。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3"/>
        <w:numPr>
          <w:ilvl w:val="0"/>
          <w:numId w:val="68"/>
        </w:numPr>
        <w:spacing w:before="100" w:beforeAutospacing="1" w:after="156" w:afterLines="50" w:line="360" w:lineRule="auto"/>
        <w:ind w:left="1288" w:hanging="1288"/>
        <w:rPr>
          <w:rFonts w:ascii="宋体" w:hAnsi="宋体" w:eastAsia="宋体"/>
        </w:rPr>
      </w:pPr>
      <w:bookmarkStart w:id="158" w:name="_Toc494577410"/>
      <w:bookmarkStart w:id="159" w:name="_Toc494745322"/>
      <w:bookmarkStart w:id="160" w:name="_Toc495861554"/>
      <w:bookmarkStart w:id="161" w:name="_Toc494665558"/>
      <w:bookmarkStart w:id="162" w:name="_Toc494721105"/>
      <w:bookmarkStart w:id="163" w:name="_Toc494702275"/>
      <w:bookmarkStart w:id="164" w:name="_Toc494665955"/>
      <w:bookmarkStart w:id="165" w:name="_Toc494665005"/>
      <w:r>
        <w:rPr>
          <w:rFonts w:hint="eastAsia" w:ascii="宋体" w:hAnsi="宋体" w:eastAsia="宋体"/>
        </w:rPr>
        <w:t>开标一览表</w:t>
      </w:r>
      <w:bookmarkEnd w:id="158"/>
      <w:bookmarkEnd w:id="159"/>
      <w:bookmarkEnd w:id="160"/>
      <w:bookmarkEnd w:id="161"/>
      <w:bookmarkEnd w:id="162"/>
      <w:bookmarkEnd w:id="163"/>
      <w:bookmarkEnd w:id="164"/>
      <w:bookmarkEnd w:id="165"/>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kern w:val="0"/>
                <w:sz w:val="24"/>
              </w:rPr>
            </w:pPr>
            <w:r>
              <w:rPr>
                <w:rFonts w:hint="eastAsia" w:ascii="宋体" w:hAnsi="宋体" w:cs="宋体"/>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kern w:val="0"/>
                <w:sz w:val="24"/>
              </w:rPr>
            </w:pPr>
            <w:r>
              <w:rPr>
                <w:rFonts w:hint="eastAsia" w:ascii="宋体" w:hAnsi="宋体" w:cs="宋体"/>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kern w:val="0"/>
                <w:sz w:val="24"/>
              </w:rPr>
            </w:pPr>
            <w:r>
              <w:rPr>
                <w:rFonts w:hint="eastAsia" w:ascii="宋体" w:hAnsi="宋体" w:cs="宋体"/>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kern w:val="0"/>
                <w:sz w:val="24"/>
              </w:rPr>
            </w:pPr>
            <w:r>
              <w:rPr>
                <w:rFonts w:hint="eastAsia" w:ascii="宋体" w:hAnsi="宋体" w:cs="宋体"/>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kern w:val="0"/>
                <w:sz w:val="24"/>
              </w:rPr>
            </w:pPr>
            <w:r>
              <w:rPr>
                <w:rFonts w:hint="eastAsia" w:ascii="宋体" w:hAnsi="宋体" w:cs="宋体"/>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kern w:val="0"/>
                <w:sz w:val="24"/>
              </w:rPr>
            </w:pPr>
            <w:r>
              <w:rPr>
                <w:rFonts w:hint="eastAsia" w:ascii="宋体" w:hAnsi="宋体" w:cs="宋体"/>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小写：万元整（¥）</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sz w:val="24"/>
              </w:rPr>
            </w:pPr>
            <w:r>
              <w:rPr>
                <w:rFonts w:hint="eastAsia" w:ascii="Times New Roman" w:hAnsi="宋体" w:eastAsia="宋体" w:cs="Times New Roman"/>
                <w:sz w:val="24"/>
                <w:szCs w:val="24"/>
              </w:rPr>
              <w:t>小型和微型企业、监狱企业、残疾人福利性单位价格扣除</w:t>
            </w:r>
            <w:r>
              <w:rPr>
                <w:rFonts w:hint="eastAsia" w:ascii="宋体" w:hAnsi="宋体" w:eastAsia="宋体" w:cs="Times New Roman"/>
                <w:sz w:val="24"/>
              </w:rPr>
              <w:t>合计（</w:t>
            </w:r>
            <w:r>
              <w:rPr>
                <w:rFonts w:hint="eastAsia" w:ascii="宋体" w:hAnsi="宋体" w:eastAsia="宋体" w:cs="宋体"/>
                <w:kern w:val="0"/>
                <w:sz w:val="24"/>
                <w:szCs w:val="24"/>
              </w:rPr>
              <w:t>大写</w:t>
            </w:r>
            <w:r>
              <w:rPr>
                <w:rFonts w:hint="eastAsia" w:ascii="宋体" w:hAnsi="宋体" w:eastAsia="宋体" w:cs="Times New Roman"/>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kern w:val="0"/>
                <w:sz w:val="24"/>
                <w:szCs w:val="24"/>
              </w:rPr>
              <w:t>万仟佰拾元整</w:t>
            </w:r>
            <w:r>
              <w:rPr>
                <w:rFonts w:hint="eastAsia" w:ascii="宋体" w:hAnsi="宋体" w:cs="宋体"/>
                <w:kern w:val="0"/>
                <w:sz w:val="24"/>
              </w:rPr>
              <w:t>（或以联合体投标的，</w:t>
            </w:r>
            <w:r>
              <w:rPr>
                <w:rFonts w:ascii="宋体" w:hAnsi="宋体"/>
                <w:bCs/>
                <w:sz w:val="24"/>
              </w:rPr>
              <w:t>联合协议中约定小型、微型企业的协议合同金额占到联合体协议合同总金额的</w:t>
            </w:r>
            <w:r>
              <w:rPr>
                <w:rFonts w:hint="eastAsia" w:ascii="宋体" w:hAnsi="宋体"/>
                <w:bCs/>
                <w:sz w:val="24"/>
              </w:rPr>
              <w:t>%）</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的集中采购机构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3"/>
        <w:numPr>
          <w:ilvl w:val="0"/>
          <w:numId w:val="68"/>
        </w:numPr>
        <w:spacing w:before="100" w:beforeAutospacing="1" w:after="156" w:afterLines="50" w:line="360" w:lineRule="auto"/>
        <w:ind w:left="1288" w:hanging="1288"/>
        <w:rPr>
          <w:rFonts w:ascii="宋体" w:hAnsi="宋体" w:eastAsia="宋体"/>
        </w:rPr>
      </w:pPr>
      <w:bookmarkStart w:id="166" w:name="_Toc494702276"/>
      <w:bookmarkStart w:id="167" w:name="_Toc495861555"/>
      <w:bookmarkStart w:id="168" w:name="_Toc494577411"/>
      <w:bookmarkStart w:id="169" w:name="_Toc494665956"/>
      <w:bookmarkStart w:id="170" w:name="_Toc494721106"/>
      <w:bookmarkStart w:id="171" w:name="_Toc494665559"/>
      <w:bookmarkStart w:id="172" w:name="_Toc494665006"/>
      <w:bookmarkStart w:id="173" w:name="_Toc494745323"/>
      <w:r>
        <w:rPr>
          <w:rFonts w:hint="eastAsia" w:ascii="宋体" w:hAnsi="宋体" w:eastAsia="宋体"/>
        </w:rPr>
        <w:t>投标报价明细表</w:t>
      </w:r>
      <w:bookmarkEnd w:id="166"/>
      <w:bookmarkEnd w:id="167"/>
      <w:bookmarkEnd w:id="168"/>
      <w:bookmarkEnd w:id="169"/>
      <w:bookmarkEnd w:id="170"/>
      <w:bookmarkEnd w:id="171"/>
      <w:bookmarkEnd w:id="172"/>
      <w:bookmarkEnd w:id="173"/>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kern w:val="0"/>
                <w:sz w:val="24"/>
              </w:rPr>
            </w:pPr>
            <w:r>
              <w:rPr>
                <w:rFonts w:hint="eastAsia" w:ascii="宋体" w:hAnsi="宋体"/>
                <w:sz w:val="24"/>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1"/>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1"/>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1"/>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1"/>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1"/>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1"/>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1"/>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2．报价明细表合计应与《开标一览表》中的投标总报价一致。</w:t>
      </w:r>
    </w:p>
    <w:p>
      <w:pPr>
        <w:spacing w:line="360" w:lineRule="auto"/>
        <w:ind w:left="1061" w:leftChars="339" w:hanging="350" w:hangingChars="146"/>
        <w:jc w:val="left"/>
        <w:rPr>
          <w:rFonts w:ascii="宋体" w:hAnsi="宋体"/>
          <w:sz w:val="24"/>
        </w:rPr>
      </w:pPr>
      <w:r>
        <w:rPr>
          <w:rFonts w:hint="eastAsia" w:ascii="宋体" w:hAnsi="宋体"/>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8"/>
        </w:numPr>
        <w:spacing w:before="100" w:beforeAutospacing="1" w:after="156" w:afterLines="50" w:line="360" w:lineRule="auto"/>
        <w:ind w:left="1288" w:hanging="1288"/>
        <w:rPr>
          <w:rFonts w:ascii="宋体" w:hAnsi="宋体" w:eastAsia="宋体"/>
          <w:sz w:val="31"/>
          <w:szCs w:val="31"/>
        </w:rPr>
      </w:pPr>
      <w:bookmarkStart w:id="174" w:name="_Toc494665560"/>
      <w:bookmarkStart w:id="175" w:name="_Toc494665957"/>
      <w:bookmarkStart w:id="176" w:name="_Toc494702277"/>
      <w:bookmarkStart w:id="177" w:name="_Toc494721107"/>
      <w:bookmarkStart w:id="178" w:name="_Toc494665007"/>
      <w:bookmarkStart w:id="179" w:name="_Toc494745324"/>
      <w:bookmarkStart w:id="180" w:name="_Toc495861556"/>
      <w:bookmarkStart w:id="181" w:name="_Toc494577412"/>
      <w:r>
        <w:rPr>
          <w:rFonts w:hint="eastAsia" w:ascii="宋体" w:hAnsi="宋体" w:eastAsia="宋体"/>
          <w:sz w:val="31"/>
          <w:szCs w:val="31"/>
        </w:rPr>
        <w:t>小型和微型企业、监狱企业、残疾人福利性单位货物汇总表</w:t>
      </w:r>
      <w:bookmarkEnd w:id="174"/>
      <w:bookmarkEnd w:id="175"/>
      <w:bookmarkEnd w:id="176"/>
      <w:bookmarkEnd w:id="177"/>
      <w:bookmarkEnd w:id="178"/>
      <w:bookmarkEnd w:id="179"/>
      <w:bookmarkEnd w:id="180"/>
      <w:bookmarkEnd w:id="181"/>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rPr>
            </w:pPr>
            <w:r>
              <w:rPr>
                <w:rFonts w:hint="eastAsia" w:ascii="宋体" w:hAnsi="宋体" w:cs="宋体"/>
                <w:kern w:val="0"/>
                <w:sz w:val="24"/>
              </w:rPr>
              <w:t>1</w:t>
            </w:r>
          </w:p>
        </w:tc>
        <w:tc>
          <w:tcPr>
            <w:tcW w:w="1552" w:type="dxa"/>
          </w:tcPr>
          <w:p>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rPr>
            </w:pPr>
            <w:r>
              <w:rPr>
                <w:rFonts w:hint="eastAsia" w:ascii="宋体" w:hAnsi="宋体" w:cs="宋体"/>
                <w:kern w:val="0"/>
                <w:sz w:val="24"/>
              </w:rPr>
              <w:t>2</w:t>
            </w:r>
          </w:p>
        </w:tc>
        <w:tc>
          <w:tcPr>
            <w:tcW w:w="1552" w:type="dxa"/>
          </w:tcPr>
          <w:p>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rPr>
            </w:pPr>
            <w:r>
              <w:rPr>
                <w:rFonts w:hint="eastAsia" w:ascii="宋体" w:hAnsi="宋体" w:cs="宋体"/>
                <w:kern w:val="0"/>
                <w:sz w:val="24"/>
              </w:rPr>
              <w:t>3</w:t>
            </w:r>
          </w:p>
        </w:tc>
        <w:tc>
          <w:tcPr>
            <w:tcW w:w="1552" w:type="dxa"/>
          </w:tcPr>
          <w:p>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rPr>
            </w:pPr>
            <w:r>
              <w:rPr>
                <w:rFonts w:hint="eastAsia" w:ascii="宋体" w:hAnsi="宋体" w:cs="宋体"/>
                <w:kern w:val="0"/>
                <w:sz w:val="24"/>
              </w:rPr>
              <w:t>4</w:t>
            </w:r>
          </w:p>
        </w:tc>
        <w:tc>
          <w:tcPr>
            <w:tcW w:w="1552" w:type="dxa"/>
          </w:tcPr>
          <w:p>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rPr>
            </w:pPr>
            <w:r>
              <w:rPr>
                <w:rFonts w:hint="eastAsia" w:ascii="宋体" w:hAnsi="宋体" w:cs="宋体"/>
                <w:kern w:val="0"/>
                <w:sz w:val="24"/>
              </w:rPr>
              <w:t>5</w:t>
            </w:r>
          </w:p>
        </w:tc>
        <w:tc>
          <w:tcPr>
            <w:tcW w:w="1552" w:type="dxa"/>
          </w:tcPr>
          <w:p>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rPr>
            </w:pPr>
            <w:r>
              <w:rPr>
                <w:rFonts w:hint="eastAsia" w:ascii="宋体" w:hAnsi="宋体" w:cs="宋体"/>
                <w:kern w:val="0"/>
                <w:sz w:val="24"/>
              </w:rPr>
              <w:t>6</w:t>
            </w:r>
          </w:p>
        </w:tc>
        <w:tc>
          <w:tcPr>
            <w:tcW w:w="1552" w:type="dxa"/>
          </w:tcPr>
          <w:p>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rPr>
            </w:pPr>
            <w:r>
              <w:rPr>
                <w:rFonts w:hint="eastAsia" w:ascii="宋体" w:hAnsi="宋体" w:cs="宋体"/>
                <w:kern w:val="0"/>
                <w:sz w:val="24"/>
              </w:rPr>
              <w:t>7</w:t>
            </w:r>
          </w:p>
        </w:tc>
        <w:tc>
          <w:tcPr>
            <w:tcW w:w="1552" w:type="dxa"/>
          </w:tcPr>
          <w:p>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rPr>
            </w:pPr>
            <w:r>
              <w:rPr>
                <w:rFonts w:hint="eastAsia" w:ascii="宋体" w:hAnsi="宋体" w:cs="宋体"/>
                <w:kern w:val="0"/>
                <w:sz w:val="24"/>
              </w:rPr>
              <w:t>…</w:t>
            </w:r>
          </w:p>
        </w:tc>
        <w:tc>
          <w:tcPr>
            <w:tcW w:w="1552" w:type="dxa"/>
          </w:tcPr>
          <w:p>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sz w:val="24"/>
        </w:rPr>
        <w:t>投标人提供的相关证明文件对应页码填写到上表“投标文件对应的页码”中。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8"/>
        </w:numPr>
        <w:spacing w:before="100" w:beforeAutospacing="1" w:after="156" w:afterLines="50" w:line="360" w:lineRule="auto"/>
        <w:ind w:left="1288" w:hanging="1288"/>
        <w:rPr>
          <w:rFonts w:ascii="宋体" w:hAnsi="宋体" w:eastAsia="宋体"/>
        </w:rPr>
      </w:pPr>
      <w:bookmarkStart w:id="182" w:name="_Toc494665958"/>
      <w:bookmarkStart w:id="183" w:name="_Toc494665008"/>
      <w:bookmarkStart w:id="184" w:name="_Toc494745325"/>
      <w:bookmarkStart w:id="185" w:name="_Toc495861557"/>
      <w:bookmarkStart w:id="186" w:name="_Toc494721108"/>
      <w:bookmarkStart w:id="187" w:name="_Toc494702278"/>
      <w:bookmarkStart w:id="188" w:name="_Toc494665561"/>
      <w:r>
        <w:rPr>
          <w:rFonts w:hint="eastAsia" w:ascii="宋体" w:hAnsi="宋体" w:eastAsia="宋体"/>
        </w:rPr>
        <w:t>投标货物（工程或服务）清单</w:t>
      </w:r>
      <w:bookmarkEnd w:id="182"/>
      <w:bookmarkEnd w:id="183"/>
      <w:bookmarkEnd w:id="184"/>
      <w:bookmarkEnd w:id="185"/>
      <w:bookmarkEnd w:id="186"/>
      <w:bookmarkEnd w:id="187"/>
      <w:bookmarkEnd w:id="188"/>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kern w:val="0"/>
                <w:sz w:val="24"/>
              </w:rPr>
            </w:pPr>
            <w:r>
              <w:rPr>
                <w:rFonts w:hint="eastAsia" w:ascii="宋体" w:hAnsi="宋体" w:cs="宋体"/>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8"/>
        </w:numPr>
        <w:spacing w:before="100" w:beforeAutospacing="1" w:after="156" w:afterLines="50" w:line="360" w:lineRule="auto"/>
        <w:ind w:left="1288" w:hanging="1288"/>
        <w:rPr>
          <w:rFonts w:ascii="宋体" w:hAnsi="宋体" w:eastAsia="宋体"/>
        </w:rPr>
      </w:pPr>
      <w:bookmarkStart w:id="189" w:name="_Toc495861558"/>
      <w:bookmarkStart w:id="190" w:name="_Toc494665009"/>
      <w:bookmarkStart w:id="191" w:name="_Toc494702279"/>
      <w:bookmarkStart w:id="192" w:name="_Toc494665562"/>
      <w:bookmarkStart w:id="193" w:name="_Toc494745326"/>
      <w:bookmarkStart w:id="194" w:name="_Toc494721109"/>
      <w:bookmarkStart w:id="195" w:name="_Toc494665959"/>
      <w:r>
        <w:rPr>
          <w:rFonts w:hint="eastAsia" w:ascii="宋体" w:hAnsi="宋体" w:eastAsia="宋体"/>
        </w:rPr>
        <w:t>交纳投标保证金的银行凭证</w:t>
      </w:r>
      <w:bookmarkEnd w:id="189"/>
      <w:bookmarkEnd w:id="190"/>
      <w:bookmarkEnd w:id="191"/>
      <w:bookmarkEnd w:id="192"/>
      <w:bookmarkEnd w:id="193"/>
      <w:bookmarkEnd w:id="194"/>
      <w:bookmarkEnd w:id="195"/>
    </w:p>
    <w:p>
      <w:pPr>
        <w:spacing w:line="480" w:lineRule="auto"/>
        <w:rPr>
          <w:rFonts w:ascii="宋体" w:hAnsi="宋体" w:cs="Courier New"/>
          <w:b/>
          <w:sz w:val="28"/>
          <w:szCs w:val="28"/>
        </w:rPr>
      </w:pPr>
      <w:r>
        <w:rPr>
          <w:rFonts w:hint="eastAsia"/>
          <w:b/>
          <w:sz w:val="28"/>
          <w:szCs w:val="28"/>
        </w:rPr>
        <w:t>采购人（或代理公司）</w:t>
      </w:r>
      <w:r>
        <w:rPr>
          <w:rFonts w:hint="eastAsia" w:ascii="宋体" w:hAnsi="宋体" w:cs="Courier New"/>
          <w:b/>
          <w:sz w:val="28"/>
          <w:szCs w:val="28"/>
        </w:rPr>
        <w:t>：</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参加贵方组织的__</w:t>
      </w:r>
      <w:r>
        <w:rPr>
          <w:rFonts w:hint="eastAsia" w:ascii="宋体" w:hAnsi="宋体" w:eastAsia="宋体" w:cs="Times New Roman"/>
          <w:sz w:val="24"/>
          <w:szCs w:val="21"/>
          <w:u w:val="single"/>
          <w:lang w:val="zh-CN"/>
        </w:rPr>
        <w:t>__</w:t>
      </w:r>
      <w:r>
        <w:rPr>
          <w:rFonts w:hint="eastAsia" w:ascii="宋体" w:hAnsi="宋体" w:eastAsia="宋体" w:cs="Times New Roman"/>
          <w:sz w:val="24"/>
          <w:szCs w:val="21"/>
          <w:lang w:val="zh-CN"/>
        </w:rPr>
        <w:t>项目（项目编号：______）的政府采购活动。按招标文件的规定，已递交人民币（大写）__</w:t>
      </w:r>
      <w:r>
        <w:rPr>
          <w:rFonts w:hint="eastAsia" w:ascii="宋体" w:hAnsi="宋体" w:eastAsia="宋体" w:cs="Times New Roman"/>
          <w:sz w:val="24"/>
          <w:szCs w:val="21"/>
          <w:u w:val="single"/>
          <w:lang w:val="zh-CN"/>
        </w:rPr>
        <w:t>__</w:t>
      </w:r>
      <w:r>
        <w:rPr>
          <w:rFonts w:hint="eastAsia" w:ascii="宋体" w:hAnsi="宋体" w:eastAsia="宋体" w:cs="Times New Roman"/>
          <w:sz w:val="24"/>
          <w:szCs w:val="21"/>
          <w:lang w:val="zh-CN"/>
        </w:rPr>
        <w:t>万元的投标保证金。</w:t>
      </w:r>
    </w:p>
    <w:tbl>
      <w:tblPr>
        <w:tblStyle w:val="16"/>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16"/>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3"/>
        <w:numPr>
          <w:ilvl w:val="0"/>
          <w:numId w:val="68"/>
        </w:numPr>
        <w:spacing w:before="100" w:beforeAutospacing="1" w:after="156" w:afterLines="50" w:line="360" w:lineRule="auto"/>
        <w:ind w:left="1288" w:hanging="1288"/>
        <w:rPr>
          <w:rFonts w:ascii="宋体" w:hAnsi="宋体" w:eastAsia="宋体"/>
        </w:rPr>
      </w:pPr>
      <w:bookmarkStart w:id="196" w:name="_Toc494665010"/>
      <w:bookmarkStart w:id="197" w:name="_Toc494721110"/>
      <w:bookmarkStart w:id="198" w:name="_Toc494665960"/>
      <w:bookmarkStart w:id="199" w:name="_Toc494665563"/>
      <w:bookmarkStart w:id="200" w:name="_Toc236473303"/>
      <w:bookmarkStart w:id="201" w:name="_Toc238276247"/>
      <w:bookmarkStart w:id="202" w:name="_Toc494702280"/>
      <w:bookmarkStart w:id="203" w:name="_Toc494745327"/>
      <w:bookmarkStart w:id="204" w:name="_Toc495861559"/>
      <w:r>
        <w:rPr>
          <w:rFonts w:hint="eastAsia" w:ascii="宋体" w:hAnsi="宋体" w:eastAsia="宋体"/>
        </w:rPr>
        <w:t>法定代表人授权书</w:t>
      </w:r>
      <w:bookmarkEnd w:id="196"/>
      <w:bookmarkEnd w:id="197"/>
      <w:bookmarkEnd w:id="198"/>
      <w:bookmarkEnd w:id="199"/>
      <w:bookmarkEnd w:id="200"/>
      <w:bookmarkEnd w:id="201"/>
      <w:bookmarkEnd w:id="202"/>
      <w:bookmarkEnd w:id="203"/>
      <w:bookmarkEnd w:id="204"/>
    </w:p>
    <w:p>
      <w:pPr>
        <w:spacing w:line="480" w:lineRule="auto"/>
        <w:rPr>
          <w:rFonts w:ascii="宋体" w:hAnsi="宋体" w:eastAsia="宋体" w:cs="Times New Roman"/>
          <w:b/>
          <w:sz w:val="24"/>
          <w:szCs w:val="24"/>
        </w:rPr>
      </w:pPr>
      <w:r>
        <w:rPr>
          <w:rFonts w:hint="eastAsia"/>
          <w:b/>
          <w:sz w:val="28"/>
          <w:szCs w:val="28"/>
        </w:rPr>
        <w:t>采购人（或代理公司）</w:t>
      </w:r>
      <w:r>
        <w:rPr>
          <w:rFonts w:hint="eastAsia" w:ascii="宋体" w:hAnsi="宋体" w:cs="Courier New"/>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sz w:val="24"/>
          <w:szCs w:val="24"/>
        </w:rPr>
        <w:t>____</w:t>
      </w:r>
      <w:r>
        <w:rPr>
          <w:rFonts w:hint="eastAsia" w:ascii="宋体" w:hAnsi="宋体" w:eastAsia="宋体" w:cs="Times New Roman"/>
          <w:sz w:val="24"/>
          <w:szCs w:val="24"/>
        </w:rPr>
        <w:t>同志为我单位参加贵方组织的</w:t>
      </w:r>
      <w:r>
        <w:rPr>
          <w:rFonts w:hint="eastAsia" w:ascii="Times New Roman" w:hAnsi="宋体" w:eastAsia="宋体" w:cs="Times New Roman"/>
          <w:sz w:val="24"/>
          <w:szCs w:val="24"/>
        </w:rPr>
        <w:t>____项目（项目编号：______）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sz w:val="24"/>
          <w:szCs w:val="24"/>
        </w:rPr>
        <w:t>____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sz w:val="24"/>
          <w:szCs w:val="24"/>
        </w:rPr>
        <w:t>__</w:t>
      </w:r>
      <w:r>
        <w:rPr>
          <w:rFonts w:hint="eastAsia" w:ascii="宋体" w:hAnsi="宋体" w:eastAsia="宋体" w:cs="Times New Roman"/>
          <w:sz w:val="24"/>
          <w:szCs w:val="24"/>
        </w:rPr>
        <w:t>年</w:t>
      </w:r>
      <w:r>
        <w:rPr>
          <w:rFonts w:hint="eastAsia" w:ascii="Times New Roman" w:hAnsi="宋体" w:eastAsia="宋体" w:cs="Times New Roman"/>
          <w:sz w:val="24"/>
          <w:szCs w:val="24"/>
        </w:rPr>
        <w:t>__</w:t>
      </w:r>
      <w:r>
        <w:rPr>
          <w:rFonts w:hint="eastAsia" w:ascii="宋体" w:hAnsi="宋体" w:eastAsia="宋体" w:cs="Times New Roman"/>
          <w:sz w:val="24"/>
          <w:szCs w:val="24"/>
        </w:rPr>
        <w:t>月</w:t>
      </w:r>
      <w:r>
        <w:rPr>
          <w:rFonts w:hint="eastAsia" w:ascii="Times New Roman" w:hAnsi="宋体" w:eastAsia="宋体" w:cs="Times New Roman"/>
          <w:sz w:val="24"/>
          <w:szCs w:val="24"/>
        </w:rPr>
        <w:t>__</w:t>
      </w:r>
      <w:r>
        <w:rPr>
          <w:rFonts w:hint="eastAsia" w:ascii="宋体" w:hAnsi="宋体" w:eastAsia="宋体" w:cs="Times New Roman"/>
          <w:sz w:val="24"/>
          <w:szCs w:val="24"/>
        </w:rPr>
        <w:t>日起至</w:t>
      </w:r>
      <w:r>
        <w:rPr>
          <w:rFonts w:hint="eastAsia" w:ascii="Times New Roman" w:hAnsi="宋体" w:eastAsia="宋体" w:cs="Times New Roman"/>
          <w:sz w:val="24"/>
          <w:szCs w:val="24"/>
        </w:rPr>
        <w:t>____</w:t>
      </w:r>
      <w:r>
        <w:rPr>
          <w:rFonts w:hint="eastAsia" w:ascii="宋体" w:hAnsi="宋体" w:eastAsia="宋体" w:cs="Times New Roman"/>
          <w:sz w:val="24"/>
          <w:szCs w:val="24"/>
        </w:rPr>
        <w:t>年</w:t>
      </w:r>
      <w:r>
        <w:rPr>
          <w:rFonts w:hint="eastAsia" w:ascii="Times New Roman" w:hAnsi="宋体" w:eastAsia="宋体" w:cs="Times New Roman"/>
          <w:sz w:val="24"/>
          <w:szCs w:val="24"/>
        </w:rPr>
        <w:t>____</w:t>
      </w:r>
      <w:r>
        <w:rPr>
          <w:rFonts w:hint="eastAsia" w:ascii="宋体" w:hAnsi="宋体" w:eastAsia="宋体" w:cs="Times New Roman"/>
          <w:sz w:val="24"/>
          <w:szCs w:val="24"/>
        </w:rPr>
        <w:t>月</w:t>
      </w:r>
      <w:r>
        <w:rPr>
          <w:rFonts w:hint="eastAsia" w:ascii="Times New Roman" w:hAnsi="宋体" w:eastAsia="宋体" w:cs="Times New Roman"/>
          <w:sz w:val="24"/>
          <w:szCs w:val="24"/>
        </w:rPr>
        <w:t>____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sz w:val="24"/>
          <w:szCs w:val="24"/>
        </w:rPr>
        <w:t>____</w:t>
      </w:r>
      <w:r>
        <w:rPr>
          <w:rFonts w:hint="eastAsia" w:ascii="宋体" w:hAnsi="宋体" w:eastAsia="宋体" w:cs="Times New Roman"/>
          <w:b/>
          <w:sz w:val="24"/>
          <w:szCs w:val="21"/>
          <w:lang w:val="zh-CN"/>
        </w:rPr>
        <w:t>年</w:t>
      </w:r>
      <w:r>
        <w:rPr>
          <w:rFonts w:hint="eastAsia" w:ascii="Times New Roman" w:hAnsi="宋体" w:eastAsia="宋体" w:cs="Times New Roman"/>
          <w:sz w:val="24"/>
          <w:szCs w:val="24"/>
        </w:rPr>
        <w:t>____</w:t>
      </w:r>
      <w:r>
        <w:rPr>
          <w:rFonts w:hint="eastAsia" w:ascii="宋体" w:hAnsi="宋体" w:eastAsia="宋体" w:cs="Times New Roman"/>
          <w:b/>
          <w:sz w:val="24"/>
          <w:szCs w:val="21"/>
          <w:lang w:val="zh-CN"/>
        </w:rPr>
        <w:t>月</w:t>
      </w:r>
      <w:r>
        <w:rPr>
          <w:rFonts w:hint="eastAsia" w:ascii="Times New Roman" w:hAnsi="宋体" w:eastAsia="宋体" w:cs="Times New Roman"/>
          <w:sz w:val="24"/>
          <w:szCs w:val="24"/>
        </w:rPr>
        <w:t>____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16"/>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3"/>
        <w:numPr>
          <w:ilvl w:val="0"/>
          <w:numId w:val="68"/>
        </w:numPr>
        <w:spacing w:before="100" w:beforeAutospacing="1" w:after="156" w:afterLines="50" w:line="360" w:lineRule="auto"/>
        <w:ind w:left="1610" w:hanging="1610"/>
        <w:rPr>
          <w:rFonts w:ascii="宋体" w:hAnsi="宋体" w:eastAsia="宋体"/>
        </w:rPr>
      </w:pPr>
      <w:bookmarkStart w:id="205" w:name="_Toc495861560"/>
      <w:bookmarkStart w:id="206" w:name="_Toc494665011"/>
      <w:bookmarkStart w:id="207" w:name="_Toc494665961"/>
      <w:bookmarkStart w:id="208" w:name="_Toc494721111"/>
      <w:bookmarkStart w:id="209" w:name="_Toc494665564"/>
      <w:bookmarkStart w:id="210" w:name="_Toc238276248"/>
      <w:bookmarkStart w:id="211" w:name="_Toc236473304"/>
      <w:bookmarkStart w:id="212" w:name="_Toc494745328"/>
      <w:bookmarkStart w:id="213" w:name="_Toc494702281"/>
      <w:r>
        <w:rPr>
          <w:rFonts w:hint="eastAsia" w:ascii="宋体" w:hAnsi="宋体" w:eastAsia="宋体"/>
        </w:rPr>
        <w:t>投标人的资格声明</w:t>
      </w:r>
      <w:bookmarkEnd w:id="205"/>
      <w:bookmarkEnd w:id="206"/>
      <w:bookmarkEnd w:id="207"/>
      <w:bookmarkEnd w:id="208"/>
      <w:bookmarkEnd w:id="209"/>
      <w:bookmarkEnd w:id="210"/>
      <w:bookmarkEnd w:id="211"/>
      <w:bookmarkEnd w:id="212"/>
      <w:bookmarkEnd w:id="213"/>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16"/>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16"/>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兹证明上述声明是真实的、正确，并提供了全部能提供的资料和数据，同意按照集中采购机构要求出示有关证明文件。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3"/>
        <w:numPr>
          <w:ilvl w:val="0"/>
          <w:numId w:val="68"/>
        </w:numPr>
        <w:spacing w:before="100" w:beforeAutospacing="1" w:after="156" w:afterLines="50" w:line="360" w:lineRule="auto"/>
        <w:ind w:left="1610" w:hanging="1610"/>
        <w:rPr>
          <w:rFonts w:ascii="宋体" w:hAnsi="宋体" w:eastAsia="宋体"/>
        </w:rPr>
      </w:pPr>
      <w:bookmarkStart w:id="214" w:name="_Toc494702282"/>
      <w:bookmarkStart w:id="215" w:name="_Toc494665962"/>
      <w:bookmarkStart w:id="216" w:name="_Toc494721112"/>
      <w:bookmarkStart w:id="217" w:name="_Toc494745329"/>
      <w:bookmarkStart w:id="218" w:name="_Toc494665565"/>
      <w:bookmarkStart w:id="219" w:name="_Toc494665012"/>
      <w:bookmarkStart w:id="220" w:name="_Toc495861561"/>
      <w:r>
        <w:rPr>
          <w:rFonts w:hint="eastAsia" w:ascii="宋体" w:hAnsi="宋体" w:eastAsia="宋体"/>
        </w:rPr>
        <w:t>项目负责人、技术负责人简历表</w:t>
      </w:r>
      <w:bookmarkEnd w:id="214"/>
      <w:bookmarkEnd w:id="215"/>
      <w:bookmarkEnd w:id="216"/>
      <w:bookmarkEnd w:id="217"/>
      <w:bookmarkEnd w:id="218"/>
      <w:bookmarkEnd w:id="219"/>
      <w:bookmarkEnd w:id="22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8"/>
        </w:numPr>
        <w:spacing w:before="100" w:beforeAutospacing="1" w:after="156" w:afterLines="50" w:line="360" w:lineRule="auto"/>
        <w:ind w:left="1610" w:hanging="1610"/>
        <w:rPr>
          <w:rFonts w:ascii="宋体" w:hAnsi="宋体" w:eastAsia="宋体"/>
        </w:rPr>
      </w:pPr>
      <w:bookmarkStart w:id="221" w:name="_Toc495861562"/>
      <w:bookmarkStart w:id="222" w:name="_Toc494665013"/>
      <w:bookmarkStart w:id="223" w:name="_Toc236473307"/>
      <w:bookmarkStart w:id="224" w:name="_Toc494721113"/>
      <w:bookmarkStart w:id="225" w:name="_Toc494665963"/>
      <w:bookmarkStart w:id="226" w:name="_Toc494745330"/>
      <w:bookmarkStart w:id="227" w:name="_Toc494702283"/>
      <w:bookmarkStart w:id="228" w:name="_Toc494665566"/>
      <w:bookmarkStart w:id="229" w:name="_Toc238276251"/>
      <w:r>
        <w:rPr>
          <w:rFonts w:hint="eastAsia" w:ascii="宋体" w:hAnsi="宋体" w:eastAsia="宋体"/>
        </w:rPr>
        <w:t>项目班子成员情况表</w:t>
      </w:r>
      <w:bookmarkEnd w:id="221"/>
      <w:bookmarkEnd w:id="222"/>
      <w:bookmarkEnd w:id="223"/>
      <w:bookmarkEnd w:id="224"/>
      <w:bookmarkEnd w:id="225"/>
      <w:bookmarkEnd w:id="226"/>
      <w:bookmarkEnd w:id="227"/>
      <w:bookmarkEnd w:id="228"/>
      <w:bookmarkEnd w:id="22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8"/>
        </w:numPr>
        <w:spacing w:before="100" w:beforeAutospacing="1" w:after="156" w:afterLines="50" w:line="360" w:lineRule="auto"/>
        <w:ind w:left="1610" w:hanging="1610"/>
        <w:rPr>
          <w:rFonts w:ascii="宋体" w:hAnsi="宋体" w:eastAsia="宋体"/>
        </w:rPr>
      </w:pPr>
      <w:bookmarkStart w:id="230" w:name="_Toc236473312"/>
      <w:bookmarkStart w:id="231" w:name="_Toc494665014"/>
      <w:bookmarkStart w:id="232" w:name="_Toc494745331"/>
      <w:bookmarkStart w:id="233" w:name="_Toc494702284"/>
      <w:bookmarkStart w:id="234" w:name="_Toc495861563"/>
      <w:bookmarkStart w:id="235" w:name="_Toc494665567"/>
      <w:bookmarkStart w:id="236" w:name="_Toc494721114"/>
      <w:bookmarkStart w:id="237" w:name="_Toc494665964"/>
      <w:bookmarkStart w:id="238" w:name="_Toc238276256"/>
      <w:r>
        <w:rPr>
          <w:rFonts w:hint="eastAsia" w:ascii="宋体" w:hAnsi="宋体" w:eastAsia="宋体"/>
        </w:rPr>
        <w:t>投标人类似项目业绩表</w:t>
      </w:r>
      <w:bookmarkEnd w:id="230"/>
      <w:bookmarkEnd w:id="231"/>
      <w:bookmarkEnd w:id="232"/>
      <w:bookmarkEnd w:id="233"/>
      <w:bookmarkEnd w:id="234"/>
      <w:bookmarkEnd w:id="235"/>
      <w:bookmarkEnd w:id="236"/>
      <w:bookmarkEnd w:id="237"/>
      <w:bookmarkEnd w:id="23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8"/>
        </w:numPr>
        <w:spacing w:before="100" w:beforeAutospacing="1" w:after="156" w:afterLines="50" w:line="360" w:lineRule="auto"/>
        <w:ind w:left="1610" w:hanging="1610"/>
        <w:rPr>
          <w:rFonts w:ascii="宋体" w:hAnsi="宋体" w:eastAsia="宋体"/>
        </w:rPr>
      </w:pPr>
      <w:bookmarkStart w:id="239" w:name="_Toc494665965"/>
      <w:bookmarkStart w:id="240" w:name="_Toc494702285"/>
      <w:bookmarkStart w:id="241" w:name="_Toc494665015"/>
      <w:bookmarkStart w:id="242" w:name="_Toc494665568"/>
      <w:bookmarkStart w:id="243" w:name="_Toc495861564"/>
      <w:bookmarkStart w:id="244" w:name="_Toc494721115"/>
      <w:bookmarkStart w:id="245" w:name="_Toc494745332"/>
      <w:r>
        <w:rPr>
          <w:rFonts w:hint="eastAsia" w:ascii="宋体" w:hAnsi="宋体" w:eastAsia="宋体"/>
        </w:rPr>
        <w:t>符合性审查对照表</w:t>
      </w:r>
      <w:bookmarkEnd w:id="239"/>
      <w:bookmarkEnd w:id="240"/>
      <w:bookmarkEnd w:id="241"/>
      <w:bookmarkEnd w:id="242"/>
      <w:bookmarkEnd w:id="243"/>
      <w:bookmarkEnd w:id="244"/>
      <w:bookmarkEnd w:id="24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8"/>
        </w:numPr>
        <w:spacing w:before="100" w:beforeAutospacing="1" w:after="156" w:afterLines="50" w:line="360" w:lineRule="auto"/>
        <w:ind w:left="1610" w:hanging="1610"/>
        <w:rPr>
          <w:rFonts w:ascii="宋体" w:hAnsi="宋体" w:eastAsia="宋体"/>
        </w:rPr>
      </w:pPr>
      <w:bookmarkStart w:id="246" w:name="_Toc494665569"/>
      <w:bookmarkStart w:id="247" w:name="_Toc494702286"/>
      <w:bookmarkStart w:id="248" w:name="_Toc494665966"/>
      <w:bookmarkStart w:id="249" w:name="_Toc494665016"/>
      <w:bookmarkStart w:id="250" w:name="_Toc494745333"/>
      <w:bookmarkStart w:id="251" w:name="_Toc494721116"/>
      <w:bookmarkStart w:id="252" w:name="_Toc495861565"/>
      <w:r>
        <w:rPr>
          <w:rFonts w:hint="eastAsia" w:ascii="宋体" w:hAnsi="宋体" w:eastAsia="宋体"/>
        </w:rPr>
        <w:t>商务要求响应、偏离说明表</w:t>
      </w:r>
      <w:bookmarkEnd w:id="246"/>
      <w:bookmarkEnd w:id="247"/>
      <w:bookmarkEnd w:id="248"/>
      <w:bookmarkEnd w:id="249"/>
      <w:bookmarkEnd w:id="250"/>
      <w:bookmarkEnd w:id="251"/>
      <w:bookmarkEnd w:id="25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8"/>
        </w:numPr>
        <w:spacing w:before="100" w:beforeAutospacing="1" w:after="156" w:afterLines="50" w:line="360" w:lineRule="auto"/>
        <w:ind w:left="1610" w:hanging="1610"/>
        <w:rPr>
          <w:rFonts w:ascii="宋体" w:hAnsi="宋体" w:eastAsia="宋体"/>
        </w:rPr>
      </w:pPr>
      <w:bookmarkStart w:id="253" w:name="_Toc495861566"/>
      <w:bookmarkStart w:id="254" w:name="_Toc494665017"/>
      <w:bookmarkStart w:id="255" w:name="_Toc494665570"/>
      <w:bookmarkStart w:id="256" w:name="_Toc494721117"/>
      <w:bookmarkStart w:id="257" w:name="_Toc494745334"/>
      <w:bookmarkStart w:id="258" w:name="_Toc494665967"/>
      <w:bookmarkStart w:id="259" w:name="_Toc494702287"/>
      <w:r>
        <w:rPr>
          <w:rFonts w:hint="eastAsia" w:ascii="宋体" w:hAnsi="宋体" w:eastAsia="宋体"/>
        </w:rPr>
        <w:t>商务要求“★”号条款响应、偏离说明表</w:t>
      </w:r>
      <w:bookmarkEnd w:id="253"/>
      <w:bookmarkEnd w:id="254"/>
      <w:bookmarkEnd w:id="255"/>
      <w:bookmarkEnd w:id="256"/>
      <w:bookmarkEnd w:id="257"/>
      <w:bookmarkEnd w:id="258"/>
      <w:bookmarkEnd w:id="25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8"/>
        </w:numPr>
        <w:spacing w:before="100" w:beforeAutospacing="1" w:after="156" w:afterLines="50" w:line="360" w:lineRule="auto"/>
        <w:ind w:left="1610" w:hanging="1610"/>
        <w:rPr>
          <w:rFonts w:ascii="宋体" w:hAnsi="宋体" w:eastAsia="宋体"/>
        </w:rPr>
      </w:pPr>
      <w:bookmarkStart w:id="260" w:name="_Toc495861567"/>
      <w:bookmarkStart w:id="261" w:name="_Toc494665968"/>
      <w:bookmarkStart w:id="262" w:name="_Toc494665571"/>
      <w:bookmarkStart w:id="263" w:name="_Toc494745335"/>
      <w:bookmarkStart w:id="264" w:name="_Toc494721118"/>
      <w:bookmarkStart w:id="265" w:name="_Toc494665018"/>
      <w:bookmarkStart w:id="266" w:name="_Toc494702288"/>
      <w:r>
        <w:rPr>
          <w:rFonts w:hint="eastAsia" w:ascii="宋体" w:hAnsi="宋体" w:eastAsia="宋体"/>
        </w:rPr>
        <w:t>商务评议对照表</w:t>
      </w:r>
      <w:bookmarkEnd w:id="260"/>
      <w:bookmarkEnd w:id="261"/>
      <w:bookmarkEnd w:id="262"/>
      <w:bookmarkEnd w:id="263"/>
      <w:bookmarkEnd w:id="264"/>
      <w:bookmarkEnd w:id="265"/>
      <w:bookmarkEnd w:id="26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2"/>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2"/>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2"/>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2"/>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2"/>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2"/>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8"/>
        </w:numPr>
        <w:spacing w:before="100" w:beforeAutospacing="1" w:after="156" w:afterLines="50" w:line="360" w:lineRule="auto"/>
        <w:ind w:left="1610" w:hanging="1610"/>
        <w:rPr>
          <w:rFonts w:ascii="宋体" w:hAnsi="宋体" w:eastAsia="宋体"/>
        </w:rPr>
      </w:pPr>
      <w:bookmarkStart w:id="267" w:name="_Toc495861568"/>
      <w:bookmarkStart w:id="268" w:name="_Toc494665969"/>
      <w:bookmarkStart w:id="269" w:name="_Toc494702289"/>
      <w:bookmarkStart w:id="270" w:name="_Toc494721119"/>
      <w:bookmarkStart w:id="271" w:name="_Toc494745336"/>
      <w:bookmarkStart w:id="272" w:name="_Toc494665572"/>
      <w:bookmarkStart w:id="273" w:name="_Toc494665019"/>
      <w:r>
        <w:rPr>
          <w:rFonts w:hint="eastAsia" w:ascii="宋体" w:hAnsi="宋体" w:eastAsia="宋体"/>
        </w:rPr>
        <w:t>技术、服务要求响应、偏离说明表</w:t>
      </w:r>
      <w:bookmarkEnd w:id="267"/>
      <w:bookmarkEnd w:id="268"/>
      <w:bookmarkEnd w:id="269"/>
      <w:bookmarkEnd w:id="270"/>
      <w:bookmarkEnd w:id="271"/>
      <w:bookmarkEnd w:id="272"/>
      <w:bookmarkEnd w:id="27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8"/>
        </w:numPr>
        <w:spacing w:before="100" w:beforeAutospacing="1" w:after="156" w:afterLines="50" w:line="360" w:lineRule="auto"/>
        <w:ind w:left="1610" w:hanging="1610"/>
        <w:rPr>
          <w:rFonts w:ascii="宋体" w:hAnsi="宋体" w:eastAsia="宋体"/>
        </w:rPr>
      </w:pPr>
      <w:bookmarkStart w:id="274" w:name="_Toc494721120"/>
      <w:bookmarkStart w:id="275" w:name="_Toc494665970"/>
      <w:bookmarkStart w:id="276" w:name="_Toc495861569"/>
      <w:bookmarkStart w:id="277" w:name="_Toc494702290"/>
      <w:bookmarkStart w:id="278" w:name="_Toc494745337"/>
      <w:bookmarkStart w:id="279" w:name="_Toc494665573"/>
      <w:bookmarkStart w:id="280" w:name="_Toc494665020"/>
      <w:bookmarkStart w:id="281" w:name="_Toc329859066"/>
      <w:r>
        <w:rPr>
          <w:rFonts w:hint="eastAsia" w:ascii="宋体" w:hAnsi="宋体" w:eastAsia="宋体"/>
        </w:rPr>
        <w:t>技术、服务要求“★”号条款响应、偏离说明表</w:t>
      </w:r>
      <w:bookmarkEnd w:id="274"/>
      <w:bookmarkEnd w:id="275"/>
      <w:bookmarkEnd w:id="276"/>
      <w:bookmarkEnd w:id="277"/>
      <w:bookmarkEnd w:id="278"/>
      <w:bookmarkEnd w:id="279"/>
      <w:bookmarkEnd w:id="28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81"/>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8"/>
        </w:numPr>
        <w:spacing w:before="100" w:beforeAutospacing="1" w:after="156" w:afterLines="50" w:line="360" w:lineRule="auto"/>
        <w:ind w:left="1610" w:hanging="1610"/>
        <w:rPr>
          <w:rFonts w:ascii="宋体" w:hAnsi="宋体" w:eastAsia="宋体"/>
        </w:rPr>
      </w:pPr>
      <w:bookmarkStart w:id="282" w:name="_Toc494665971"/>
      <w:bookmarkStart w:id="283" w:name="_Toc495861570"/>
      <w:bookmarkStart w:id="284" w:name="_Toc494721121"/>
      <w:bookmarkStart w:id="285" w:name="_Toc494745338"/>
      <w:bookmarkStart w:id="286" w:name="_Toc494665021"/>
      <w:bookmarkStart w:id="287" w:name="_Toc494702291"/>
      <w:bookmarkStart w:id="288" w:name="_Toc494665574"/>
      <w:r>
        <w:rPr>
          <w:rFonts w:hint="eastAsia" w:ascii="宋体" w:hAnsi="宋体" w:eastAsia="宋体"/>
        </w:rPr>
        <w:t>技术、服务评议对照表</w:t>
      </w:r>
      <w:bookmarkEnd w:id="282"/>
      <w:bookmarkEnd w:id="283"/>
      <w:bookmarkEnd w:id="284"/>
      <w:bookmarkEnd w:id="285"/>
      <w:bookmarkEnd w:id="286"/>
      <w:bookmarkEnd w:id="287"/>
      <w:bookmarkEnd w:id="28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3"/>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3"/>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3"/>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3"/>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3"/>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3"/>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0"/>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61</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000000" w:themeColor="text1" w:sz="4" w:space="1"/>
      </w:pBdr>
      <w:tabs>
        <w:tab w:val="clear" w:pos="4153"/>
        <w:tab w:val="clear" w:pos="8306"/>
      </w:tabs>
      <w:ind w:right="-9" w:firstLine="360" w:firstLineChars="200"/>
      <w:jc w:val="right"/>
    </w:pPr>
    <w:r>
      <w:rPr>
        <w:rFonts w:hint="eastAsia" w:asciiTheme="minorEastAsia" w:hAnsiTheme="minorEastAsia"/>
      </w:rPr>
      <w:t xml:space="preserve">                                                     </w:t>
    </w:r>
    <w:r>
      <w:rPr>
        <w:rFonts w:hint="eastAsia" w:asciiTheme="minorEastAsia" w:hAnsiTheme="minorEastAsia"/>
        <w:u w:val="single"/>
      </w:rPr>
      <w:t>湖北省成套招标股份有限公司</w:t>
    </w:r>
    <w:r>
      <w:rPr>
        <w:rFonts w:hint="eastAsia" w:asciiTheme="minorEastAsia" w:hAnsiTheme="minorEastAsia"/>
      </w:rPr>
      <w:t>制</w:t>
    </w:r>
  </w:p>
  <w:p>
    <w:pPr>
      <w:pStyle w:val="10"/>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4</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68</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000000" w:themeColor="text1" w:sz="0" w:space="1"/>
      </w:pBdr>
      <w:tabs>
        <w:tab w:val="clear" w:pos="4153"/>
      </w:tabs>
      <w:jc w:val="left"/>
      <w:rPr>
        <w:b/>
      </w:rPr>
    </w:pPr>
    <w:r>
      <w:rPr>
        <w:rFonts w:hint="eastAsia"/>
        <w:b/>
      </w:rPr>
      <w:t>项目名称</w:t>
    </w:r>
    <w:r>
      <w:rPr>
        <w:rFonts w:hint="eastAsia" w:asciiTheme="minorEastAsia" w:hAnsiTheme="minorEastAsia"/>
        <w:b/>
      </w:rPr>
      <w:t>：远程心电诊断中心建设项目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BC443A"/>
    <w:multiLevelType w:val="multilevel"/>
    <w:tmpl w:val="01BC443A"/>
    <w:lvl w:ilvl="0" w:tentative="0">
      <w:start w:val="1"/>
      <w:numFmt w:val="chineseCountingThousand"/>
      <w:lvlText w:val="%1、"/>
      <w:lvlJc w:val="left"/>
      <w:pPr>
        <w:ind w:left="420" w:hanging="420"/>
      </w:pPr>
      <w:rPr>
        <w:rFonts w:hint="default" w:ascii="宋体" w:hAnsi="宋体" w:eastAsia="宋体"/>
        <w:b/>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0">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49C471B"/>
    <w:multiLevelType w:val="multilevel"/>
    <w:tmpl w:val="149C471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4">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5">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8">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9">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0">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1">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2">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4">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8">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2">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36853BA"/>
    <w:multiLevelType w:val="multilevel"/>
    <w:tmpl w:val="336853B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9">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0">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1">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4567563F"/>
    <w:multiLevelType w:val="multilevel"/>
    <w:tmpl w:val="4567563F"/>
    <w:lvl w:ilvl="0" w:tentative="0">
      <w:start w:val="1"/>
      <w:numFmt w:val="decimal"/>
      <w:lvlText w:val="17.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4">
    <w:nsid w:val="475A1545"/>
    <w:multiLevelType w:val="multilevel"/>
    <w:tmpl w:val="475A1545"/>
    <w:lvl w:ilvl="0" w:tentative="0">
      <w:start w:val="1"/>
      <w:numFmt w:val="decimal"/>
      <w:lvlText w:val="17.8.%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5">
    <w:nsid w:val="49C131F2"/>
    <w:multiLevelType w:val="multilevel"/>
    <w:tmpl w:val="49C131F2"/>
    <w:lvl w:ilvl="0" w:tentative="0">
      <w:start w:val="1"/>
      <w:numFmt w:val="decimal"/>
      <w:lvlText w:val="1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7">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89C2C0F"/>
    <w:multiLevelType w:val="multilevel"/>
    <w:tmpl w:val="589C2C0F"/>
    <w:lvl w:ilvl="0" w:tentative="0">
      <w:start w:val="1"/>
      <w:numFmt w:val="decimal"/>
      <w:lvlText w:val="1.%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4">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5">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6">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7">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2940A0C"/>
    <w:multiLevelType w:val="multilevel"/>
    <w:tmpl w:val="62940A0C"/>
    <w:lvl w:ilvl="0" w:tentative="0">
      <w:start w:val="1"/>
      <w:numFmt w:val="decimal"/>
      <w:lvlText w:val="%1、"/>
      <w:lvlJc w:val="left"/>
      <w:pPr>
        <w:ind w:left="526" w:hanging="360"/>
      </w:pPr>
      <w:rPr>
        <w:rFonts w:hint="eastAsia"/>
      </w:rPr>
    </w:lvl>
    <w:lvl w:ilvl="1" w:tentative="0">
      <w:start w:val="1"/>
      <w:numFmt w:val="lowerLetter"/>
      <w:lvlText w:val="%2)"/>
      <w:lvlJc w:val="left"/>
      <w:pPr>
        <w:ind w:left="1126" w:hanging="480"/>
      </w:pPr>
    </w:lvl>
    <w:lvl w:ilvl="2" w:tentative="0">
      <w:start w:val="1"/>
      <w:numFmt w:val="lowerRoman"/>
      <w:lvlText w:val="%3."/>
      <w:lvlJc w:val="right"/>
      <w:pPr>
        <w:ind w:left="1606" w:hanging="480"/>
      </w:pPr>
    </w:lvl>
    <w:lvl w:ilvl="3" w:tentative="0">
      <w:start w:val="1"/>
      <w:numFmt w:val="decimal"/>
      <w:lvlText w:val="%4."/>
      <w:lvlJc w:val="left"/>
      <w:pPr>
        <w:ind w:left="2086" w:hanging="480"/>
      </w:pPr>
    </w:lvl>
    <w:lvl w:ilvl="4" w:tentative="0">
      <w:start w:val="1"/>
      <w:numFmt w:val="lowerLetter"/>
      <w:lvlText w:val="%5)"/>
      <w:lvlJc w:val="left"/>
      <w:pPr>
        <w:ind w:left="2566" w:hanging="480"/>
      </w:pPr>
    </w:lvl>
    <w:lvl w:ilvl="5" w:tentative="0">
      <w:start w:val="1"/>
      <w:numFmt w:val="lowerRoman"/>
      <w:lvlText w:val="%6."/>
      <w:lvlJc w:val="right"/>
      <w:pPr>
        <w:ind w:left="3046" w:hanging="480"/>
      </w:pPr>
    </w:lvl>
    <w:lvl w:ilvl="6" w:tentative="0">
      <w:start w:val="1"/>
      <w:numFmt w:val="decimal"/>
      <w:lvlText w:val="%7."/>
      <w:lvlJc w:val="left"/>
      <w:pPr>
        <w:ind w:left="3526" w:hanging="480"/>
      </w:pPr>
    </w:lvl>
    <w:lvl w:ilvl="7" w:tentative="0">
      <w:start w:val="1"/>
      <w:numFmt w:val="lowerLetter"/>
      <w:lvlText w:val="%8)"/>
      <w:lvlJc w:val="left"/>
      <w:pPr>
        <w:ind w:left="4006" w:hanging="480"/>
      </w:pPr>
    </w:lvl>
    <w:lvl w:ilvl="8" w:tentative="0">
      <w:start w:val="1"/>
      <w:numFmt w:val="lowerRoman"/>
      <w:lvlText w:val="%9."/>
      <w:lvlJc w:val="right"/>
      <w:pPr>
        <w:ind w:left="4486" w:hanging="480"/>
      </w:pPr>
    </w:lvl>
  </w:abstractNum>
  <w:abstractNum w:abstractNumId="59">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60">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64">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7">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8">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71">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7"/>
  </w:num>
  <w:num w:numId="2">
    <w:abstractNumId w:val="2"/>
  </w:num>
  <w:num w:numId="3">
    <w:abstractNumId w:val="19"/>
  </w:num>
  <w:num w:numId="4">
    <w:abstractNumId w:val="32"/>
  </w:num>
  <w:num w:numId="5">
    <w:abstractNumId w:val="50"/>
  </w:num>
  <w:num w:numId="6">
    <w:abstractNumId w:val="3"/>
  </w:num>
  <w:num w:numId="7">
    <w:abstractNumId w:val="41"/>
  </w:num>
  <w:num w:numId="8">
    <w:abstractNumId w:val="16"/>
  </w:num>
  <w:num w:numId="9">
    <w:abstractNumId w:val="6"/>
  </w:num>
  <w:num w:numId="10">
    <w:abstractNumId w:val="59"/>
  </w:num>
  <w:num w:numId="11">
    <w:abstractNumId w:val="35"/>
  </w:num>
  <w:num w:numId="12">
    <w:abstractNumId w:val="54"/>
  </w:num>
  <w:num w:numId="13">
    <w:abstractNumId w:val="31"/>
  </w:num>
  <w:num w:numId="14">
    <w:abstractNumId w:val="5"/>
  </w:num>
  <w:num w:numId="15">
    <w:abstractNumId w:val="24"/>
  </w:num>
  <w:num w:numId="16">
    <w:abstractNumId w:val="25"/>
  </w:num>
  <w:num w:numId="17">
    <w:abstractNumId w:val="9"/>
  </w:num>
  <w:num w:numId="18">
    <w:abstractNumId w:val="8"/>
  </w:num>
  <w:num w:numId="19">
    <w:abstractNumId w:val="68"/>
  </w:num>
  <w:num w:numId="20">
    <w:abstractNumId w:val="45"/>
  </w:num>
  <w:num w:numId="21">
    <w:abstractNumId w:val="43"/>
  </w:num>
  <w:num w:numId="22">
    <w:abstractNumId w:val="44"/>
  </w:num>
  <w:num w:numId="23">
    <w:abstractNumId w:val="10"/>
  </w:num>
  <w:num w:numId="24">
    <w:abstractNumId w:val="30"/>
  </w:num>
  <w:num w:numId="25">
    <w:abstractNumId w:val="37"/>
  </w:num>
  <w:num w:numId="26">
    <w:abstractNumId w:val="40"/>
  </w:num>
  <w:num w:numId="27">
    <w:abstractNumId w:val="71"/>
  </w:num>
  <w:num w:numId="28">
    <w:abstractNumId w:val="51"/>
  </w:num>
  <w:num w:numId="29">
    <w:abstractNumId w:val="64"/>
  </w:num>
  <w:num w:numId="30">
    <w:abstractNumId w:val="69"/>
  </w:num>
  <w:num w:numId="31">
    <w:abstractNumId w:val="49"/>
  </w:num>
  <w:num w:numId="32">
    <w:abstractNumId w:val="7"/>
  </w:num>
  <w:num w:numId="33">
    <w:abstractNumId w:val="21"/>
  </w:num>
  <w:num w:numId="34">
    <w:abstractNumId w:val="65"/>
  </w:num>
  <w:num w:numId="35">
    <w:abstractNumId w:val="60"/>
  </w:num>
  <w:num w:numId="36">
    <w:abstractNumId w:val="39"/>
  </w:num>
  <w:num w:numId="37">
    <w:abstractNumId w:val="57"/>
  </w:num>
  <w:num w:numId="38">
    <w:abstractNumId w:val="26"/>
  </w:num>
  <w:num w:numId="39">
    <w:abstractNumId w:val="61"/>
  </w:num>
  <w:num w:numId="40">
    <w:abstractNumId w:val="1"/>
  </w:num>
  <w:num w:numId="41">
    <w:abstractNumId w:val="33"/>
  </w:num>
  <w:num w:numId="42">
    <w:abstractNumId w:val="52"/>
  </w:num>
  <w:num w:numId="43">
    <w:abstractNumId w:val="28"/>
  </w:num>
  <w:num w:numId="44">
    <w:abstractNumId w:val="48"/>
  </w:num>
  <w:num w:numId="45">
    <w:abstractNumId w:val="34"/>
  </w:num>
  <w:num w:numId="46">
    <w:abstractNumId w:val="42"/>
  </w:num>
  <w:num w:numId="47">
    <w:abstractNumId w:val="36"/>
  </w:num>
  <w:num w:numId="48">
    <w:abstractNumId w:val="18"/>
  </w:num>
  <w:num w:numId="49">
    <w:abstractNumId w:val="56"/>
  </w:num>
  <w:num w:numId="50">
    <w:abstractNumId w:val="72"/>
  </w:num>
  <w:num w:numId="51">
    <w:abstractNumId w:val="20"/>
  </w:num>
  <w:num w:numId="52">
    <w:abstractNumId w:val="17"/>
  </w:num>
  <w:num w:numId="53">
    <w:abstractNumId w:val="0"/>
  </w:num>
  <w:num w:numId="54">
    <w:abstractNumId w:val="55"/>
    <w:lvlOverride w:ilvl="0">
      <w:startOverride w:val="1"/>
    </w:lvlOverride>
  </w:num>
  <w:num w:numId="55">
    <w:abstractNumId w:val="14"/>
  </w:num>
  <w:num w:numId="56">
    <w:abstractNumId w:val="27"/>
  </w:num>
  <w:num w:numId="57">
    <w:abstractNumId w:val="70"/>
  </w:num>
  <w:num w:numId="58">
    <w:abstractNumId w:val="53"/>
  </w:num>
  <w:num w:numId="59">
    <w:abstractNumId w:val="58"/>
  </w:num>
  <w:num w:numId="60">
    <w:abstractNumId w:val="12"/>
  </w:num>
  <w:num w:numId="61">
    <w:abstractNumId w:val="63"/>
  </w:num>
  <w:num w:numId="62">
    <w:abstractNumId w:val="46"/>
  </w:num>
  <w:num w:numId="63">
    <w:abstractNumId w:val="13"/>
  </w:num>
  <w:num w:numId="64">
    <w:abstractNumId w:val="23"/>
  </w:num>
  <w:num w:numId="65">
    <w:abstractNumId w:val="66"/>
  </w:num>
  <w:num w:numId="66">
    <w:abstractNumId w:val="38"/>
  </w:num>
  <w:num w:numId="67">
    <w:abstractNumId w:val="67"/>
  </w:num>
  <w:num w:numId="68">
    <w:abstractNumId w:val="11"/>
  </w:num>
  <w:num w:numId="69">
    <w:abstractNumId w:val="62"/>
  </w:num>
  <w:num w:numId="70">
    <w:abstractNumId w:val="22"/>
  </w:num>
  <w:num w:numId="71">
    <w:abstractNumId w:val="4"/>
  </w:num>
  <w:num w:numId="72">
    <w:abstractNumId w:val="15"/>
  </w:num>
  <w:num w:numId="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16562"/>
    <w:rsid w:val="00017BE8"/>
    <w:rsid w:val="00020344"/>
    <w:rsid w:val="00040B72"/>
    <w:rsid w:val="00046CAA"/>
    <w:rsid w:val="000658A4"/>
    <w:rsid w:val="00077E85"/>
    <w:rsid w:val="000812D6"/>
    <w:rsid w:val="00081EFC"/>
    <w:rsid w:val="000855FE"/>
    <w:rsid w:val="00092450"/>
    <w:rsid w:val="00095415"/>
    <w:rsid w:val="000B1EA5"/>
    <w:rsid w:val="000B3053"/>
    <w:rsid w:val="000B42CE"/>
    <w:rsid w:val="000C1DBB"/>
    <w:rsid w:val="000C2224"/>
    <w:rsid w:val="000C46E9"/>
    <w:rsid w:val="000D274B"/>
    <w:rsid w:val="000E0271"/>
    <w:rsid w:val="000E4686"/>
    <w:rsid w:val="000F64E0"/>
    <w:rsid w:val="000F7FAD"/>
    <w:rsid w:val="00100585"/>
    <w:rsid w:val="00105BC5"/>
    <w:rsid w:val="00117B93"/>
    <w:rsid w:val="00122C84"/>
    <w:rsid w:val="00122FD4"/>
    <w:rsid w:val="00133220"/>
    <w:rsid w:val="001338E8"/>
    <w:rsid w:val="001641C9"/>
    <w:rsid w:val="00177C62"/>
    <w:rsid w:val="00185E9A"/>
    <w:rsid w:val="001A0AB1"/>
    <w:rsid w:val="001A1335"/>
    <w:rsid w:val="001A15E9"/>
    <w:rsid w:val="001A2B2A"/>
    <w:rsid w:val="001A54E8"/>
    <w:rsid w:val="001B03BB"/>
    <w:rsid w:val="001B38CD"/>
    <w:rsid w:val="001C4464"/>
    <w:rsid w:val="001C7B23"/>
    <w:rsid w:val="001D2460"/>
    <w:rsid w:val="001D3EE7"/>
    <w:rsid w:val="001E157C"/>
    <w:rsid w:val="001E5D69"/>
    <w:rsid w:val="001E7CEA"/>
    <w:rsid w:val="001F002C"/>
    <w:rsid w:val="001F6AFB"/>
    <w:rsid w:val="00220470"/>
    <w:rsid w:val="00222B0D"/>
    <w:rsid w:val="00223408"/>
    <w:rsid w:val="002334D5"/>
    <w:rsid w:val="00236772"/>
    <w:rsid w:val="002426EA"/>
    <w:rsid w:val="002446C6"/>
    <w:rsid w:val="0026342E"/>
    <w:rsid w:val="00276CFD"/>
    <w:rsid w:val="00277541"/>
    <w:rsid w:val="00290E4E"/>
    <w:rsid w:val="00293211"/>
    <w:rsid w:val="00293639"/>
    <w:rsid w:val="00295F64"/>
    <w:rsid w:val="002A6E7B"/>
    <w:rsid w:val="002B7581"/>
    <w:rsid w:val="002C38E4"/>
    <w:rsid w:val="002C7FA6"/>
    <w:rsid w:val="002D07BB"/>
    <w:rsid w:val="002D412B"/>
    <w:rsid w:val="00310B7E"/>
    <w:rsid w:val="00310F98"/>
    <w:rsid w:val="00314B08"/>
    <w:rsid w:val="00316026"/>
    <w:rsid w:val="00320ACF"/>
    <w:rsid w:val="00322E8B"/>
    <w:rsid w:val="00323F1C"/>
    <w:rsid w:val="00333225"/>
    <w:rsid w:val="0033323B"/>
    <w:rsid w:val="00352AE1"/>
    <w:rsid w:val="00353542"/>
    <w:rsid w:val="003540BC"/>
    <w:rsid w:val="00360712"/>
    <w:rsid w:val="00360A0A"/>
    <w:rsid w:val="0036309F"/>
    <w:rsid w:val="0036474B"/>
    <w:rsid w:val="003661C8"/>
    <w:rsid w:val="00366E30"/>
    <w:rsid w:val="00377B5F"/>
    <w:rsid w:val="00383221"/>
    <w:rsid w:val="00393E94"/>
    <w:rsid w:val="003B0D5A"/>
    <w:rsid w:val="003B30C5"/>
    <w:rsid w:val="003B4F8E"/>
    <w:rsid w:val="003B718F"/>
    <w:rsid w:val="003B7A0D"/>
    <w:rsid w:val="003C2008"/>
    <w:rsid w:val="003C2241"/>
    <w:rsid w:val="003C6083"/>
    <w:rsid w:val="003D1759"/>
    <w:rsid w:val="003D5E80"/>
    <w:rsid w:val="003F2B92"/>
    <w:rsid w:val="003F3007"/>
    <w:rsid w:val="0040329E"/>
    <w:rsid w:val="0040679C"/>
    <w:rsid w:val="00406BC4"/>
    <w:rsid w:val="004110F8"/>
    <w:rsid w:val="00414A80"/>
    <w:rsid w:val="004161BA"/>
    <w:rsid w:val="004349F3"/>
    <w:rsid w:val="0043503C"/>
    <w:rsid w:val="00436CC2"/>
    <w:rsid w:val="004475F1"/>
    <w:rsid w:val="00457308"/>
    <w:rsid w:val="004605F3"/>
    <w:rsid w:val="00461DFE"/>
    <w:rsid w:val="00476E59"/>
    <w:rsid w:val="004871A8"/>
    <w:rsid w:val="004A4F81"/>
    <w:rsid w:val="004B0CC2"/>
    <w:rsid w:val="004B118F"/>
    <w:rsid w:val="004B4BED"/>
    <w:rsid w:val="004C1027"/>
    <w:rsid w:val="004C62F7"/>
    <w:rsid w:val="004C750B"/>
    <w:rsid w:val="004D0806"/>
    <w:rsid w:val="004D548F"/>
    <w:rsid w:val="004E00F2"/>
    <w:rsid w:val="004E40B4"/>
    <w:rsid w:val="004E48AF"/>
    <w:rsid w:val="004E5A44"/>
    <w:rsid w:val="004F21F4"/>
    <w:rsid w:val="004F43AD"/>
    <w:rsid w:val="005025B6"/>
    <w:rsid w:val="00511E96"/>
    <w:rsid w:val="005130B9"/>
    <w:rsid w:val="00522D80"/>
    <w:rsid w:val="00525A93"/>
    <w:rsid w:val="005437D7"/>
    <w:rsid w:val="005445A9"/>
    <w:rsid w:val="00545B0F"/>
    <w:rsid w:val="00545EDA"/>
    <w:rsid w:val="00552BFE"/>
    <w:rsid w:val="00556850"/>
    <w:rsid w:val="00560FA5"/>
    <w:rsid w:val="00562523"/>
    <w:rsid w:val="00573437"/>
    <w:rsid w:val="0057573F"/>
    <w:rsid w:val="00580FFF"/>
    <w:rsid w:val="005813AA"/>
    <w:rsid w:val="005833BC"/>
    <w:rsid w:val="005967BA"/>
    <w:rsid w:val="005A58A0"/>
    <w:rsid w:val="005B12FC"/>
    <w:rsid w:val="005B6D3E"/>
    <w:rsid w:val="005B713A"/>
    <w:rsid w:val="005C31D8"/>
    <w:rsid w:val="005C6ACB"/>
    <w:rsid w:val="005D6632"/>
    <w:rsid w:val="005E3CD4"/>
    <w:rsid w:val="005F1588"/>
    <w:rsid w:val="00601112"/>
    <w:rsid w:val="00601990"/>
    <w:rsid w:val="00605C0D"/>
    <w:rsid w:val="00614F57"/>
    <w:rsid w:val="00621FCC"/>
    <w:rsid w:val="00623CBB"/>
    <w:rsid w:val="006302AC"/>
    <w:rsid w:val="006440C5"/>
    <w:rsid w:val="00651541"/>
    <w:rsid w:val="00663B35"/>
    <w:rsid w:val="00665A07"/>
    <w:rsid w:val="00666B23"/>
    <w:rsid w:val="0067786F"/>
    <w:rsid w:val="00680A96"/>
    <w:rsid w:val="006833FE"/>
    <w:rsid w:val="00690659"/>
    <w:rsid w:val="006A6C1D"/>
    <w:rsid w:val="006A6C51"/>
    <w:rsid w:val="006A7A3D"/>
    <w:rsid w:val="006C0B5F"/>
    <w:rsid w:val="006C0B7B"/>
    <w:rsid w:val="006C1AF1"/>
    <w:rsid w:val="006C6FDC"/>
    <w:rsid w:val="006D1D6E"/>
    <w:rsid w:val="006F0D07"/>
    <w:rsid w:val="006F5311"/>
    <w:rsid w:val="00715E44"/>
    <w:rsid w:val="00722075"/>
    <w:rsid w:val="00723103"/>
    <w:rsid w:val="00725899"/>
    <w:rsid w:val="00725F67"/>
    <w:rsid w:val="007308BA"/>
    <w:rsid w:val="007318D6"/>
    <w:rsid w:val="00732E48"/>
    <w:rsid w:val="00732E91"/>
    <w:rsid w:val="00737211"/>
    <w:rsid w:val="0075112A"/>
    <w:rsid w:val="007535AC"/>
    <w:rsid w:val="0077270B"/>
    <w:rsid w:val="00773A2C"/>
    <w:rsid w:val="00774EB7"/>
    <w:rsid w:val="00775A96"/>
    <w:rsid w:val="00780DBA"/>
    <w:rsid w:val="00782541"/>
    <w:rsid w:val="00784AEB"/>
    <w:rsid w:val="00784ED7"/>
    <w:rsid w:val="00786E84"/>
    <w:rsid w:val="007A27DA"/>
    <w:rsid w:val="007A2D91"/>
    <w:rsid w:val="007A427D"/>
    <w:rsid w:val="007A6F5F"/>
    <w:rsid w:val="007C0DA7"/>
    <w:rsid w:val="007C132C"/>
    <w:rsid w:val="007C1D03"/>
    <w:rsid w:val="007D72CF"/>
    <w:rsid w:val="007E3D3C"/>
    <w:rsid w:val="007F504A"/>
    <w:rsid w:val="007F6863"/>
    <w:rsid w:val="007F6F97"/>
    <w:rsid w:val="00802536"/>
    <w:rsid w:val="00804419"/>
    <w:rsid w:val="0081114F"/>
    <w:rsid w:val="00816910"/>
    <w:rsid w:val="00820E08"/>
    <w:rsid w:val="0082486D"/>
    <w:rsid w:val="008456E3"/>
    <w:rsid w:val="00863EDD"/>
    <w:rsid w:val="00876E59"/>
    <w:rsid w:val="00877211"/>
    <w:rsid w:val="0088586B"/>
    <w:rsid w:val="008879F9"/>
    <w:rsid w:val="008966BE"/>
    <w:rsid w:val="008A30BA"/>
    <w:rsid w:val="008B4F32"/>
    <w:rsid w:val="008B5601"/>
    <w:rsid w:val="008B564E"/>
    <w:rsid w:val="008B6529"/>
    <w:rsid w:val="008D35F1"/>
    <w:rsid w:val="008D3612"/>
    <w:rsid w:val="008D5777"/>
    <w:rsid w:val="008D7D59"/>
    <w:rsid w:val="008E2203"/>
    <w:rsid w:val="008E7731"/>
    <w:rsid w:val="008F1B81"/>
    <w:rsid w:val="008F3383"/>
    <w:rsid w:val="009020C7"/>
    <w:rsid w:val="0090240A"/>
    <w:rsid w:val="00903A2D"/>
    <w:rsid w:val="00907388"/>
    <w:rsid w:val="009077A5"/>
    <w:rsid w:val="00914F14"/>
    <w:rsid w:val="00933750"/>
    <w:rsid w:val="00935E05"/>
    <w:rsid w:val="0093723A"/>
    <w:rsid w:val="009402A0"/>
    <w:rsid w:val="009402E6"/>
    <w:rsid w:val="00943F98"/>
    <w:rsid w:val="00947542"/>
    <w:rsid w:val="00951E26"/>
    <w:rsid w:val="00954A2F"/>
    <w:rsid w:val="00956AAC"/>
    <w:rsid w:val="00967D22"/>
    <w:rsid w:val="0097080D"/>
    <w:rsid w:val="009714FE"/>
    <w:rsid w:val="00973398"/>
    <w:rsid w:val="00982AD3"/>
    <w:rsid w:val="009849C0"/>
    <w:rsid w:val="0098774A"/>
    <w:rsid w:val="009944A9"/>
    <w:rsid w:val="009944B4"/>
    <w:rsid w:val="00996DEE"/>
    <w:rsid w:val="009B11C0"/>
    <w:rsid w:val="009B3048"/>
    <w:rsid w:val="009B3424"/>
    <w:rsid w:val="009D2417"/>
    <w:rsid w:val="009D2755"/>
    <w:rsid w:val="009D36C0"/>
    <w:rsid w:val="009E04AF"/>
    <w:rsid w:val="009E3E4D"/>
    <w:rsid w:val="00A05AF5"/>
    <w:rsid w:val="00A0777C"/>
    <w:rsid w:val="00A30AE5"/>
    <w:rsid w:val="00A30DFD"/>
    <w:rsid w:val="00A33A80"/>
    <w:rsid w:val="00A3568F"/>
    <w:rsid w:val="00A36FFA"/>
    <w:rsid w:val="00A40BC9"/>
    <w:rsid w:val="00A46DEF"/>
    <w:rsid w:val="00A51D8F"/>
    <w:rsid w:val="00A52A2B"/>
    <w:rsid w:val="00A62860"/>
    <w:rsid w:val="00A678FB"/>
    <w:rsid w:val="00A813D2"/>
    <w:rsid w:val="00A879DB"/>
    <w:rsid w:val="00AB2B17"/>
    <w:rsid w:val="00AB3343"/>
    <w:rsid w:val="00AC399F"/>
    <w:rsid w:val="00AC584B"/>
    <w:rsid w:val="00AD18FC"/>
    <w:rsid w:val="00AD52A3"/>
    <w:rsid w:val="00AD634F"/>
    <w:rsid w:val="00AE02A5"/>
    <w:rsid w:val="00AF18BF"/>
    <w:rsid w:val="00B002B6"/>
    <w:rsid w:val="00B0070A"/>
    <w:rsid w:val="00B161F2"/>
    <w:rsid w:val="00B20FD9"/>
    <w:rsid w:val="00B36D9B"/>
    <w:rsid w:val="00B410CC"/>
    <w:rsid w:val="00B52520"/>
    <w:rsid w:val="00B61AD4"/>
    <w:rsid w:val="00B64A76"/>
    <w:rsid w:val="00B67CCB"/>
    <w:rsid w:val="00B84A3B"/>
    <w:rsid w:val="00B90DD7"/>
    <w:rsid w:val="00B956F2"/>
    <w:rsid w:val="00BA438A"/>
    <w:rsid w:val="00BA4681"/>
    <w:rsid w:val="00BB78CC"/>
    <w:rsid w:val="00BC386C"/>
    <w:rsid w:val="00BC3AA1"/>
    <w:rsid w:val="00BD0C54"/>
    <w:rsid w:val="00BD2144"/>
    <w:rsid w:val="00BD62C1"/>
    <w:rsid w:val="00BD681B"/>
    <w:rsid w:val="00BE3563"/>
    <w:rsid w:val="00BF5732"/>
    <w:rsid w:val="00C0257A"/>
    <w:rsid w:val="00C040D1"/>
    <w:rsid w:val="00C139A6"/>
    <w:rsid w:val="00C1592E"/>
    <w:rsid w:val="00C37FEA"/>
    <w:rsid w:val="00C4038F"/>
    <w:rsid w:val="00C469B0"/>
    <w:rsid w:val="00C52140"/>
    <w:rsid w:val="00C64D3E"/>
    <w:rsid w:val="00C6643D"/>
    <w:rsid w:val="00C6680F"/>
    <w:rsid w:val="00C66ACC"/>
    <w:rsid w:val="00C72415"/>
    <w:rsid w:val="00C77E82"/>
    <w:rsid w:val="00C8468C"/>
    <w:rsid w:val="00C9289E"/>
    <w:rsid w:val="00C92F51"/>
    <w:rsid w:val="00CA0F95"/>
    <w:rsid w:val="00CB10F9"/>
    <w:rsid w:val="00CB3DF8"/>
    <w:rsid w:val="00CB413B"/>
    <w:rsid w:val="00CF76A5"/>
    <w:rsid w:val="00D01439"/>
    <w:rsid w:val="00D123DC"/>
    <w:rsid w:val="00D14987"/>
    <w:rsid w:val="00D14E3A"/>
    <w:rsid w:val="00D153E8"/>
    <w:rsid w:val="00D204F5"/>
    <w:rsid w:val="00D32F66"/>
    <w:rsid w:val="00D5042D"/>
    <w:rsid w:val="00D64AB9"/>
    <w:rsid w:val="00D7177A"/>
    <w:rsid w:val="00D90694"/>
    <w:rsid w:val="00D9318A"/>
    <w:rsid w:val="00D94CD4"/>
    <w:rsid w:val="00DA4143"/>
    <w:rsid w:val="00DB00B6"/>
    <w:rsid w:val="00DB3C8A"/>
    <w:rsid w:val="00DC4938"/>
    <w:rsid w:val="00DD24C9"/>
    <w:rsid w:val="00DD6657"/>
    <w:rsid w:val="00DE4A9E"/>
    <w:rsid w:val="00E02B75"/>
    <w:rsid w:val="00E05B42"/>
    <w:rsid w:val="00E14D3C"/>
    <w:rsid w:val="00E15A50"/>
    <w:rsid w:val="00E22388"/>
    <w:rsid w:val="00E2289A"/>
    <w:rsid w:val="00E2369D"/>
    <w:rsid w:val="00E32C21"/>
    <w:rsid w:val="00E34D2C"/>
    <w:rsid w:val="00E3763E"/>
    <w:rsid w:val="00E41743"/>
    <w:rsid w:val="00E54453"/>
    <w:rsid w:val="00E54FFA"/>
    <w:rsid w:val="00E71EB0"/>
    <w:rsid w:val="00E971BC"/>
    <w:rsid w:val="00EA0C6D"/>
    <w:rsid w:val="00EB1E3A"/>
    <w:rsid w:val="00EB4033"/>
    <w:rsid w:val="00ED0545"/>
    <w:rsid w:val="00ED5D26"/>
    <w:rsid w:val="00EE3C83"/>
    <w:rsid w:val="00EE715C"/>
    <w:rsid w:val="00F04B4C"/>
    <w:rsid w:val="00F05FC4"/>
    <w:rsid w:val="00F152FA"/>
    <w:rsid w:val="00F17360"/>
    <w:rsid w:val="00F242DA"/>
    <w:rsid w:val="00F24BF3"/>
    <w:rsid w:val="00F30B5D"/>
    <w:rsid w:val="00F42684"/>
    <w:rsid w:val="00F47226"/>
    <w:rsid w:val="00F5567D"/>
    <w:rsid w:val="00F60298"/>
    <w:rsid w:val="00F63420"/>
    <w:rsid w:val="00F71D83"/>
    <w:rsid w:val="00FA0E25"/>
    <w:rsid w:val="00FB2B31"/>
    <w:rsid w:val="00FB732B"/>
    <w:rsid w:val="00FB7511"/>
    <w:rsid w:val="00FC2E73"/>
    <w:rsid w:val="00FD44A8"/>
    <w:rsid w:val="00FD7E33"/>
    <w:rsid w:val="00FE2024"/>
    <w:rsid w:val="00FE51C1"/>
    <w:rsid w:val="00FF4FBA"/>
    <w:rsid w:val="00FF6E00"/>
    <w:rsid w:val="11923040"/>
    <w:rsid w:val="159A33B0"/>
    <w:rsid w:val="17EC21B7"/>
    <w:rsid w:val="26F855C1"/>
    <w:rsid w:val="31614F93"/>
    <w:rsid w:val="41C32F69"/>
    <w:rsid w:val="5F01496B"/>
    <w:rsid w:val="6D1E19C3"/>
    <w:rsid w:val="7D8832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Normal Indent"/>
    <w:basedOn w:val="1"/>
    <w:link w:val="34"/>
    <w:qFormat/>
    <w:uiPriority w:val="0"/>
    <w:pPr>
      <w:ind w:firstLine="420"/>
    </w:pPr>
  </w:style>
  <w:style w:type="paragraph" w:styleId="5">
    <w:name w:val="annotation text"/>
    <w:basedOn w:val="1"/>
    <w:link w:val="28"/>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rPr>
  </w:style>
  <w:style w:type="paragraph" w:styleId="7">
    <w:name w:val="Plain Text"/>
    <w:basedOn w:val="1"/>
    <w:link w:val="31"/>
    <w:qFormat/>
    <w:uiPriority w:val="0"/>
    <w:rPr>
      <w:rFonts w:ascii="宋体" w:hAnsi="Courier New" w:cs="Courier New"/>
      <w:szCs w:val="21"/>
    </w:rPr>
  </w:style>
  <w:style w:type="paragraph" w:styleId="8">
    <w:name w:val="endnote text"/>
    <w:basedOn w:val="1"/>
    <w:link w:val="30"/>
    <w:unhideWhenUsed/>
    <w:qFormat/>
    <w:uiPriority w:val="99"/>
    <w:pPr>
      <w:snapToGrid w:val="0"/>
      <w:jc w:val="left"/>
    </w:pPr>
  </w:style>
  <w:style w:type="paragraph" w:styleId="9">
    <w:name w:val="Balloon Text"/>
    <w:basedOn w:val="1"/>
    <w:link w:val="24"/>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3"/>
    <w:next w:val="2"/>
    <w:unhideWhenUsed/>
    <w:qFormat/>
    <w:uiPriority w:val="39"/>
    <w:pPr>
      <w:widowControl/>
      <w:spacing w:line="440" w:lineRule="exact"/>
      <w:jc w:val="left"/>
    </w:pPr>
    <w:rPr>
      <w:rFonts w:eastAsia="黑体"/>
      <w:b/>
      <w:i w:val="0"/>
      <w:kern w:val="0"/>
      <w:sz w:val="28"/>
    </w:rPr>
  </w:style>
  <w:style w:type="paragraph" w:customStyle="1" w:styleId="13">
    <w:name w:val="引用1"/>
    <w:basedOn w:val="1"/>
    <w:next w:val="1"/>
    <w:link w:val="33"/>
    <w:qFormat/>
    <w:uiPriority w:val="29"/>
    <w:rPr>
      <w:i/>
      <w:iCs/>
      <w:color w:val="000000" w:themeColor="text1"/>
      <w14:textFill>
        <w14:solidFill>
          <w14:schemeClr w14:val="tx1"/>
        </w14:solidFill>
      </w14:textFill>
    </w:rPr>
  </w:style>
  <w:style w:type="paragraph" w:styleId="14">
    <w:name w:val="toc 2"/>
    <w:basedOn w:val="13"/>
    <w:next w:val="3"/>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5">
    <w:name w:val="annotation subject"/>
    <w:basedOn w:val="5"/>
    <w:next w:val="5"/>
    <w:link w:val="35"/>
    <w:unhideWhenUsed/>
    <w:qFormat/>
    <w:uiPriority w:val="99"/>
    <w:rPr>
      <w:b/>
      <w:bCs/>
    </w:rPr>
  </w:style>
  <w:style w:type="character" w:styleId="18">
    <w:name w:val="Strong"/>
    <w:qFormat/>
    <w:uiPriority w:val="22"/>
    <w:rPr>
      <w:b/>
    </w:rPr>
  </w:style>
  <w:style w:type="character" w:styleId="19">
    <w:name w:val="endnote reference"/>
    <w:basedOn w:val="17"/>
    <w:unhideWhenUsed/>
    <w:qFormat/>
    <w:uiPriority w:val="99"/>
    <w:rPr>
      <w:vertAlign w:val="superscript"/>
    </w:rPr>
  </w:style>
  <w:style w:type="character" w:styleId="20">
    <w:name w:val="Hyperlink"/>
    <w:basedOn w:val="17"/>
    <w:unhideWhenUsed/>
    <w:qFormat/>
    <w:uiPriority w:val="99"/>
    <w:rPr>
      <w:color w:val="0000FF" w:themeColor="hyperlink"/>
      <w:u w:val="single"/>
      <w14:textFill>
        <w14:solidFill>
          <w14:schemeClr w14:val="hlink"/>
        </w14:solidFill>
      </w14:textFill>
    </w:rPr>
  </w:style>
  <w:style w:type="character" w:styleId="21">
    <w:name w:val="annotation reference"/>
    <w:qFormat/>
    <w:uiPriority w:val="99"/>
    <w:rPr>
      <w:sz w:val="21"/>
    </w:rPr>
  </w:style>
  <w:style w:type="character" w:customStyle="1" w:styleId="22">
    <w:name w:val="页眉 Char"/>
    <w:basedOn w:val="17"/>
    <w:link w:val="11"/>
    <w:qFormat/>
    <w:uiPriority w:val="99"/>
    <w:rPr>
      <w:sz w:val="18"/>
      <w:szCs w:val="18"/>
    </w:rPr>
  </w:style>
  <w:style w:type="character" w:customStyle="1" w:styleId="23">
    <w:name w:val="页脚 Char"/>
    <w:basedOn w:val="17"/>
    <w:link w:val="10"/>
    <w:qFormat/>
    <w:uiPriority w:val="99"/>
    <w:rPr>
      <w:sz w:val="18"/>
      <w:szCs w:val="18"/>
    </w:rPr>
  </w:style>
  <w:style w:type="character" w:customStyle="1" w:styleId="24">
    <w:name w:val="批注框文本 Char"/>
    <w:basedOn w:val="17"/>
    <w:link w:val="9"/>
    <w:semiHidden/>
    <w:qFormat/>
    <w:uiPriority w:val="99"/>
    <w:rPr>
      <w:sz w:val="18"/>
      <w:szCs w:val="18"/>
    </w:rPr>
  </w:style>
  <w:style w:type="paragraph" w:customStyle="1" w:styleId="25">
    <w:name w:val="列出段落1"/>
    <w:basedOn w:val="1"/>
    <w:qFormat/>
    <w:uiPriority w:val="34"/>
    <w:pPr>
      <w:ind w:firstLine="420" w:firstLineChars="200"/>
    </w:pPr>
  </w:style>
  <w:style w:type="character" w:customStyle="1" w:styleId="26">
    <w:name w:val="标题 1 Char"/>
    <w:basedOn w:val="17"/>
    <w:link w:val="2"/>
    <w:uiPriority w:val="9"/>
    <w:rPr>
      <w:b/>
      <w:bCs/>
      <w:kern w:val="44"/>
      <w:sz w:val="44"/>
      <w:szCs w:val="44"/>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文字 Char"/>
    <w:basedOn w:val="17"/>
    <w:link w:val="5"/>
    <w:qFormat/>
    <w:uiPriority w:val="99"/>
  </w:style>
  <w:style w:type="character" w:customStyle="1" w:styleId="29">
    <w:name w:val="标题 2 Char"/>
    <w:basedOn w:val="17"/>
    <w:link w:val="3"/>
    <w:uiPriority w:val="9"/>
    <w:rPr>
      <w:rFonts w:asciiTheme="majorHAnsi" w:hAnsiTheme="majorHAnsi" w:eastAsiaTheme="majorEastAsia" w:cstheme="majorBidi"/>
      <w:b/>
      <w:bCs/>
      <w:sz w:val="32"/>
      <w:szCs w:val="32"/>
    </w:rPr>
  </w:style>
  <w:style w:type="character" w:customStyle="1" w:styleId="30">
    <w:name w:val="尾注文本 Char"/>
    <w:basedOn w:val="17"/>
    <w:link w:val="8"/>
    <w:semiHidden/>
    <w:qFormat/>
    <w:uiPriority w:val="99"/>
  </w:style>
  <w:style w:type="character" w:customStyle="1" w:styleId="31">
    <w:name w:val="纯文本 Char"/>
    <w:link w:val="7"/>
    <w:qFormat/>
    <w:uiPriority w:val="0"/>
    <w:rPr>
      <w:rFonts w:ascii="宋体" w:hAnsi="Courier New" w:cs="Courier New"/>
      <w:szCs w:val="21"/>
    </w:rPr>
  </w:style>
  <w:style w:type="character" w:customStyle="1" w:styleId="32">
    <w:name w:val="纯文本 Char1"/>
    <w:basedOn w:val="17"/>
    <w:semiHidden/>
    <w:uiPriority w:val="99"/>
    <w:rPr>
      <w:rFonts w:ascii="宋体" w:hAnsi="Courier New" w:eastAsia="宋体" w:cs="Courier New"/>
      <w:szCs w:val="21"/>
    </w:rPr>
  </w:style>
  <w:style w:type="character" w:customStyle="1" w:styleId="33">
    <w:name w:val="引用 Char"/>
    <w:basedOn w:val="17"/>
    <w:link w:val="13"/>
    <w:qFormat/>
    <w:uiPriority w:val="29"/>
    <w:rPr>
      <w:i/>
      <w:iCs/>
      <w:color w:val="000000" w:themeColor="text1"/>
      <w14:textFill>
        <w14:solidFill>
          <w14:schemeClr w14:val="tx1"/>
        </w14:solidFill>
      </w14:textFill>
    </w:rPr>
  </w:style>
  <w:style w:type="character" w:customStyle="1" w:styleId="34">
    <w:name w:val="正文缩进 Char"/>
    <w:link w:val="4"/>
    <w:uiPriority w:val="0"/>
  </w:style>
  <w:style w:type="character" w:customStyle="1" w:styleId="35">
    <w:name w:val="批注主题 Char"/>
    <w:basedOn w:val="28"/>
    <w:link w:val="15"/>
    <w:semiHidden/>
    <w:qFormat/>
    <w:uiPriority w:val="99"/>
    <w:rPr>
      <w:b/>
      <w:bCs/>
    </w:rPr>
  </w:style>
  <w:style w:type="paragraph" w:styleId="36">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BC238F-414D-46B6-97FA-6FB37408F89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68</Pages>
  <Words>6249</Words>
  <Characters>35622</Characters>
  <Lines>296</Lines>
  <Paragraphs>83</Paragraphs>
  <TotalTime>1</TotalTime>
  <ScaleCrop>false</ScaleCrop>
  <LinksUpToDate>false</LinksUpToDate>
  <CharactersWithSpaces>41788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2020-04-22T08:22:00Z</dcterms:created>
  <dc:creator>502-2</dc:creator>
  <cp:lastModifiedBy>Administrator</cp:lastModifiedBy>
  <cp:lastPrinted>2017-10-12T07:11:00Z</cp:lastPrinted>
  <dcterms:modified xsi:type="dcterms:W3CDTF">2020-04-26T09:47:10Z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