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Cs/>
          <w:color w:val="000000" w:themeColor="text1"/>
          <w:sz w:val="30"/>
          <w:szCs w:val="30"/>
          <w:lang w:val="en-US" w:eastAsia="zh-CN"/>
          <w14:textFill>
            <w14:solidFill>
              <w14:schemeClr w14:val="tx1"/>
            </w14:solidFill>
          </w14:textFill>
        </w:rPr>
      </w:pPr>
      <w:r>
        <w:rPr>
          <w:rFonts w:hint="eastAsia" w:ascii="Times New Roman" w:hAnsi="Times New Roman" w:cs="Times New Roman"/>
          <w:bCs/>
          <w:color w:val="000000" w:themeColor="text1"/>
          <w:sz w:val="30"/>
          <w:szCs w:val="30"/>
          <w:lang w:eastAsia="zh-CN"/>
          <w14:textFill>
            <w14:solidFill>
              <w14:schemeClr w14:val="tx1"/>
            </w14:solidFill>
          </w14:textFill>
        </w:rPr>
        <w:t>附件</w:t>
      </w:r>
      <w:r>
        <w:rPr>
          <w:rFonts w:hint="eastAsia" w:ascii="Times New Roman" w:hAnsi="Times New Roman" w:cs="Times New Roman"/>
          <w:bCs/>
          <w:color w:val="000000" w:themeColor="text1"/>
          <w:sz w:val="30"/>
          <w:szCs w:val="30"/>
          <w:lang w:val="en-US" w:eastAsia="zh-CN"/>
          <w14:textFill>
            <w14:solidFill>
              <w14:schemeClr w14:val="tx1"/>
            </w14:solidFill>
          </w14:textFill>
        </w:rPr>
        <w:t>1：</w:t>
      </w:r>
    </w:p>
    <w:p>
      <w:pPr>
        <w:ind w:left="2894" w:leftChars="711" w:hanging="1401" w:hangingChars="467"/>
        <w:rPr>
          <w:rFonts w:ascii="宋体" w:hAnsi="宋体" w:cs="仿宋"/>
          <w:color w:val="000000" w:themeColor="text1"/>
          <w:sz w:val="32"/>
          <w:szCs w:val="32"/>
          <w14:textFill>
            <w14:solidFill>
              <w14:schemeClr w14:val="tx1"/>
            </w14:solidFill>
          </w14:textFill>
        </w:rPr>
      </w:pPr>
      <w:r>
        <w:rPr>
          <w:rFonts w:hint="eastAsia" w:ascii="Times New Roman" w:hAnsi="Times New Roman" w:cs="Times New Roman"/>
          <w:bCs/>
          <w:color w:val="000000" w:themeColor="text1"/>
          <w:sz w:val="30"/>
          <w:szCs w:val="30"/>
          <w:lang w:eastAsia="zh-CN"/>
          <w14:textFill>
            <w14:solidFill>
              <w14:schemeClr w14:val="tx1"/>
            </w14:solidFill>
          </w14:textFill>
        </w:rPr>
        <w:t>阳新县第一中学（老校区）课桌椅采购</w:t>
      </w:r>
      <w:r>
        <w:rPr>
          <w:rFonts w:ascii="Times New Roman" w:hAnsi="Times New Roman" w:cs="Times New Roman"/>
          <w:bCs/>
          <w:color w:val="000000" w:themeColor="text1"/>
          <w:sz w:val="30"/>
          <w:szCs w:val="30"/>
          <w14:textFill>
            <w14:solidFill>
              <w14:schemeClr w14:val="tx1"/>
            </w14:solidFill>
          </w14:textFill>
        </w:rPr>
        <w:t>项目</w:t>
      </w:r>
    </w:p>
    <w:p>
      <w:pPr>
        <w:spacing w:line="440" w:lineRule="exact"/>
        <w:rPr>
          <w:rFonts w:ascii="宋体" w:hAnsi="宋体"/>
          <w:color w:val="000000" w:themeColor="text1"/>
          <w:sz w:val="24"/>
          <w:szCs w:val="24"/>
          <w14:textFill>
            <w14:solidFill>
              <w14:schemeClr w14:val="tx1"/>
            </w14:solidFill>
          </w14:textFill>
        </w:rPr>
      </w:pPr>
      <w:bookmarkStart w:id="13" w:name="_GoBack"/>
      <w:bookmarkEnd w:id="13"/>
    </w:p>
    <w:p>
      <w:pPr>
        <w:autoSpaceDE w:val="0"/>
        <w:autoSpaceDN w:val="0"/>
        <w:jc w:val="center"/>
        <w:outlineLvl w:val="0"/>
        <w:rPr>
          <w:rFonts w:ascii="宋体" w:hAnsi="宋体"/>
          <w:bCs/>
          <w:color w:val="000000" w:themeColor="text1"/>
          <w:szCs w:val="28"/>
          <w14:textFill>
            <w14:solidFill>
              <w14:schemeClr w14:val="tx1"/>
            </w14:solidFill>
          </w14:textFill>
        </w:rPr>
      </w:pPr>
    </w:p>
    <w:p>
      <w:pPr>
        <w:spacing w:line="440" w:lineRule="exac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w:t>
      </w:r>
      <w:r>
        <w:rPr>
          <w:rFonts w:hint="eastAsia" w:ascii="宋体" w:hAnsi="宋体" w:cs="仿宋"/>
          <w:color w:val="000000" w:themeColor="text1"/>
          <w:sz w:val="24"/>
          <w:lang w:eastAsia="zh-CN"/>
          <w14:textFill>
            <w14:solidFill>
              <w14:schemeClr w14:val="tx1"/>
            </w14:solidFill>
          </w14:textFill>
        </w:rPr>
        <w:t>阳新县第一中学</w:t>
      </w:r>
    </w:p>
    <w:p>
      <w:pPr>
        <w:spacing w:line="440" w:lineRule="exac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lang w:eastAsia="zh-CN"/>
          <w14:textFill>
            <w14:solidFill>
              <w14:schemeClr w14:val="tx1"/>
            </w14:solidFill>
          </w14:textFill>
        </w:rPr>
        <w:t>曹晓晖</w:t>
      </w:r>
    </w:p>
    <w:p>
      <w:pPr>
        <w:spacing w:line="440" w:lineRule="exac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联系电话：1</w:t>
      </w:r>
      <w:r>
        <w:rPr>
          <w:rFonts w:hint="eastAsia" w:ascii="宋体" w:hAnsi="宋体" w:cs="仿宋"/>
          <w:color w:val="000000" w:themeColor="text1"/>
          <w:sz w:val="24"/>
          <w:lang w:val="en-US" w:eastAsia="zh-CN"/>
          <w14:textFill>
            <w14:solidFill>
              <w14:schemeClr w14:val="tx1"/>
            </w14:solidFill>
          </w14:textFill>
        </w:rPr>
        <w:t>3807239011</w:t>
      </w:r>
    </w:p>
    <w:p>
      <w:pPr>
        <w:spacing w:line="440" w:lineRule="exact"/>
        <w:rPr>
          <w:rFonts w:hint="eastAsia" w:ascii="宋体" w:hAnsi="宋体" w:cs="仿宋"/>
          <w:color w:val="000000" w:themeColor="text1"/>
          <w:sz w:val="24"/>
          <w:lang w:eastAsia="zh-CN"/>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lang w:eastAsia="zh-CN"/>
          <w14:textFill>
            <w14:solidFill>
              <w14:schemeClr w14:val="tx1"/>
            </w14:solidFill>
          </w14:textFill>
        </w:rPr>
        <w:t>阳新县</w:t>
      </w:r>
    </w:p>
    <w:p>
      <w:pPr>
        <w:spacing w:line="440" w:lineRule="exac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采购预算：</w:t>
      </w:r>
      <w:r>
        <w:rPr>
          <w:rFonts w:hint="eastAsia" w:ascii="宋体" w:hAnsi="宋体" w:cs="仿宋"/>
          <w:color w:val="000000" w:themeColor="text1"/>
          <w:sz w:val="24"/>
          <w:lang w:val="en-US" w:eastAsia="zh-CN"/>
          <w14:textFill>
            <w14:solidFill>
              <w14:schemeClr w14:val="tx1"/>
            </w14:solidFill>
          </w14:textFill>
        </w:rPr>
        <w:t>36</w:t>
      </w:r>
      <w:r>
        <w:rPr>
          <w:rFonts w:hint="eastAsia" w:ascii="宋体" w:hAnsi="宋体" w:cs="仿宋"/>
          <w:color w:val="000000" w:themeColor="text1"/>
          <w:sz w:val="24"/>
          <w14:textFill>
            <w14:solidFill>
              <w14:schemeClr w14:val="tx1"/>
            </w14:solidFill>
          </w14:textFill>
        </w:rPr>
        <w:t>万元（</w:t>
      </w:r>
      <w:r>
        <w:rPr>
          <w:rFonts w:hint="eastAsia" w:ascii="宋体" w:hAnsi="宋体" w:cs="仿宋"/>
          <w:color w:val="000000" w:themeColor="text1"/>
          <w:sz w:val="24"/>
          <w:lang w:eastAsia="zh-CN"/>
          <w14:textFill>
            <w14:solidFill>
              <w14:schemeClr w14:val="tx1"/>
            </w14:solidFill>
          </w14:textFill>
        </w:rPr>
        <w:t>阳财</w:t>
      </w:r>
      <w:r>
        <w:rPr>
          <w:rFonts w:hint="eastAsia" w:ascii="宋体" w:hAnsi="宋体" w:cs="仿宋"/>
          <w:color w:val="000000" w:themeColor="text1"/>
          <w:sz w:val="24"/>
          <w14:textFill>
            <w14:solidFill>
              <w14:schemeClr w14:val="tx1"/>
            </w14:solidFill>
          </w14:textFill>
        </w:rPr>
        <w:t>采计</w:t>
      </w:r>
      <w:r>
        <w:rPr>
          <w:rFonts w:hint="eastAsia" w:ascii="宋体" w:hAnsi="宋体" w:cs="仿宋"/>
          <w:color w:val="000000" w:themeColor="text1"/>
          <w:sz w:val="24"/>
          <w:lang w:eastAsia="zh-CN"/>
          <w14:textFill>
            <w14:solidFill>
              <w14:schemeClr w14:val="tx1"/>
            </w14:solidFill>
          </w14:textFill>
        </w:rPr>
        <w:t>备</w:t>
      </w:r>
      <w:r>
        <w:rPr>
          <w:rFonts w:hint="eastAsia" w:ascii="宋体" w:hAnsi="宋体" w:cs="仿宋"/>
          <w:color w:val="000000" w:themeColor="text1"/>
          <w:sz w:val="24"/>
          <w14:textFill>
            <w14:solidFill>
              <w14:schemeClr w14:val="tx1"/>
            </w14:solidFill>
          </w14:textFill>
        </w:rPr>
        <w:t>〔20</w:t>
      </w:r>
      <w:r>
        <w:rPr>
          <w:rFonts w:hint="eastAsia" w:ascii="宋体" w:hAnsi="宋体" w:cs="仿宋"/>
          <w:color w:val="000000" w:themeColor="text1"/>
          <w:sz w:val="24"/>
          <w:lang w:val="en-US" w:eastAsia="zh-CN"/>
          <w14:textFill>
            <w14:solidFill>
              <w14:schemeClr w14:val="tx1"/>
            </w14:solidFill>
          </w14:textFill>
        </w:rPr>
        <w:t>20</w:t>
      </w:r>
      <w:r>
        <w:rPr>
          <w:rFonts w:hint="eastAsia" w:ascii="宋体" w:hAnsi="宋体" w:cs="仿宋"/>
          <w:color w:val="000000" w:themeColor="text1"/>
          <w:sz w:val="24"/>
          <w14:textFill>
            <w14:solidFill>
              <w14:schemeClr w14:val="tx1"/>
            </w14:solidFill>
          </w14:textFill>
        </w:rPr>
        <w:t>〕</w:t>
      </w:r>
      <w:r>
        <w:rPr>
          <w:rFonts w:hint="eastAsia" w:ascii="宋体" w:hAnsi="宋体" w:cs="仿宋"/>
          <w:color w:val="000000" w:themeColor="text1"/>
          <w:sz w:val="24"/>
          <w:lang w:val="en-US" w:eastAsia="zh-CN"/>
          <w14:textFill>
            <w14:solidFill>
              <w14:schemeClr w14:val="tx1"/>
            </w14:solidFill>
          </w14:textFill>
        </w:rPr>
        <w:t>A37</w:t>
      </w:r>
      <w:r>
        <w:rPr>
          <w:rFonts w:hint="eastAsia" w:ascii="宋体" w:hAnsi="宋体" w:cs="仿宋"/>
          <w:color w:val="000000" w:themeColor="text1"/>
          <w:sz w:val="24"/>
          <w14:textFill>
            <w14:solidFill>
              <w14:schemeClr w14:val="tx1"/>
            </w14:solidFill>
          </w14:textFill>
        </w:rPr>
        <w:t>号）</w:t>
      </w:r>
    </w:p>
    <w:p>
      <w:pPr>
        <w:widowControl/>
        <w:spacing w:line="400" w:lineRule="exact"/>
        <w:outlineLvl w:val="0"/>
        <w:rPr>
          <w:rFonts w:ascii="宋体" w:hAnsi="宋体"/>
          <w:bCs/>
          <w:color w:val="000000" w:themeColor="text1"/>
          <w:sz w:val="24"/>
          <w14:textFill>
            <w14:solidFill>
              <w14:schemeClr w14:val="tx1"/>
            </w14:solidFill>
          </w14:textFill>
        </w:rPr>
      </w:pPr>
    </w:p>
    <w:p>
      <w:pPr>
        <w:widowControl/>
        <w:numPr>
          <w:ilvl w:val="0"/>
          <w:numId w:val="2"/>
        </w:numPr>
        <w:spacing w:line="400" w:lineRule="exact"/>
        <w:outlineLvl w:val="0"/>
        <w:rPr>
          <w:rFonts w:ascii="仿宋_GB2312" w:hAnsi="宋体" w:eastAsia="仿宋_GB2312" w:cs="宋体"/>
          <w:color w:val="000000" w:themeColor="text1"/>
          <w:kern w:val="0"/>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供应商资格要求</w:t>
      </w:r>
    </w:p>
    <w:p>
      <w:pPr>
        <w:spacing w:line="44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（一）应具备《政府采购法》第二十二条第一款规定的条件。</w:t>
      </w:r>
    </w:p>
    <w:p>
      <w:pPr>
        <w:spacing w:line="44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（二）未被列入“信用中国</w:t>
      </w:r>
      <w:r>
        <w:rPr>
          <w:rFonts w:hint="eastAsia" w:ascii="宋体" w:hAnsi="宋体" w:cs="仿宋"/>
          <w:color w:val="000000" w:themeColor="text1"/>
          <w:sz w:val="24"/>
          <w:lang w:eastAsia="zh-CN"/>
          <w14:textFill>
            <w14:solidFill>
              <w14:schemeClr w14:val="tx1"/>
            </w14:solidFill>
          </w14:textFill>
        </w:rPr>
        <w:t>网</w:t>
      </w:r>
      <w:r>
        <w:rPr>
          <w:rFonts w:hint="eastAsia" w:ascii="宋体" w:hAnsi="宋体" w:cs="仿宋"/>
          <w:color w:val="000000" w:themeColor="text1"/>
          <w:sz w:val="24"/>
          <w14:textFill>
            <w14:solidFill>
              <w14:schemeClr w14:val="tx1"/>
            </w14:solidFill>
          </w14:textFill>
        </w:rPr>
        <w:t>”失信被执行人、重大税收违法案件当事人名单</w:t>
      </w:r>
      <w:r>
        <w:rPr>
          <w:rFonts w:hint="eastAsia" w:ascii="宋体" w:hAnsi="宋体" w:cs="仿宋"/>
          <w:color w:val="000000" w:themeColor="text1"/>
          <w:sz w:val="24"/>
          <w:lang w:eastAsia="zh-CN"/>
          <w14:textFill>
            <w14:solidFill>
              <w14:schemeClr w14:val="tx1"/>
            </w14:solidFill>
          </w14:textFill>
        </w:rPr>
        <w:t>；</w:t>
      </w:r>
      <w:r>
        <w:rPr>
          <w:rStyle w:val="35"/>
          <w:rFonts w:ascii="Times New Roman" w:hAnsi="Times New Roman" w:cs="Times New Roman"/>
          <w:color w:val="000000" w:themeColor="text1"/>
          <w:kern w:val="0"/>
          <w:sz w:val="24"/>
          <w14:textFill>
            <w14:solidFill>
              <w14:schemeClr w14:val="tx1"/>
            </w14:solidFill>
          </w14:textFill>
        </w:rPr>
        <w:t>“中国政府采购网”</w:t>
      </w:r>
      <w:r>
        <w:rPr>
          <w:rFonts w:hint="eastAsia" w:ascii="宋体" w:hAnsi="宋体" w:cs="仿宋"/>
          <w:color w:val="000000" w:themeColor="text1"/>
          <w:sz w:val="24"/>
          <w14:textFill>
            <w14:solidFill>
              <w14:schemeClr w14:val="tx1"/>
            </w14:solidFill>
          </w14:textFill>
        </w:rPr>
        <w:t>政府采购严重违法失信行为记录名单。</w:t>
      </w:r>
    </w:p>
    <w:p>
      <w:pPr>
        <w:spacing w:line="440" w:lineRule="exact"/>
        <w:rPr>
          <w:rFonts w:ascii="宋体" w:hAnsi="宋体" w:cs="仿宋"/>
          <w:color w:val="000000" w:themeColor="text1"/>
          <w:sz w:val="24"/>
          <w14:textFill>
            <w14:solidFill>
              <w14:schemeClr w14:val="tx1"/>
            </w14:solidFill>
          </w14:textFill>
        </w:rPr>
      </w:pPr>
    </w:p>
    <w:p>
      <w:pPr>
        <w:numPr>
          <w:ilvl w:val="0"/>
          <w:numId w:val="2"/>
        </w:numPr>
        <w:spacing w:line="440" w:lineRule="exact"/>
        <w:rPr>
          <w:rFonts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采购内容：</w:t>
      </w:r>
    </w:p>
    <w:tbl>
      <w:tblPr>
        <w:tblStyle w:val="11"/>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11"/>
        <w:gridCol w:w="1236"/>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序号</w:t>
            </w:r>
          </w:p>
        </w:tc>
        <w:tc>
          <w:tcPr>
            <w:tcW w:w="126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类别</w:t>
            </w:r>
          </w:p>
        </w:tc>
        <w:tc>
          <w:tcPr>
            <w:tcW w:w="742"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数量</w:t>
            </w:r>
          </w:p>
        </w:tc>
        <w:tc>
          <w:tcPr>
            <w:tcW w:w="2564"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要求/备注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26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color w:val="000000" w:themeColor="text1"/>
                <w:szCs w:val="21"/>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学生课桌椅</w:t>
            </w:r>
          </w:p>
        </w:tc>
        <w:tc>
          <w:tcPr>
            <w:tcW w:w="742" w:type="pct"/>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1800套</w:t>
            </w:r>
          </w:p>
        </w:tc>
        <w:tc>
          <w:tcPr>
            <w:tcW w:w="2564"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核心产品</w:t>
            </w:r>
          </w:p>
        </w:tc>
      </w:tr>
    </w:tbl>
    <w:p>
      <w:pPr>
        <w:spacing w:line="360" w:lineRule="auto"/>
        <w:rPr>
          <w:rFonts w:ascii="宋体" w:hAnsi="宋体" w:cs="Arial"/>
          <w:color w:val="000000" w:themeColor="text1"/>
          <w:sz w:val="24"/>
          <w14:textFill>
            <w14:solidFill>
              <w14:schemeClr w14:val="tx1"/>
            </w14:solidFill>
          </w14:textFill>
        </w:rPr>
      </w:pPr>
    </w:p>
    <w:p>
      <w:pPr>
        <w:spacing w:line="360" w:lineRule="auto"/>
        <w:rPr>
          <w:rFonts w:ascii="宋体"/>
          <w:bCs w:val="0"/>
          <w:color w:val="000000" w:themeColor="text1"/>
          <w:sz w:val="30"/>
          <w:szCs w:val="30"/>
          <w:lang w:val="zh-CN"/>
          <w14:textFill>
            <w14:solidFill>
              <w14:schemeClr w14:val="tx1"/>
            </w14:solidFill>
          </w14:textFill>
        </w:rPr>
      </w:pPr>
      <w:r>
        <w:rPr>
          <w:rFonts w:hint="eastAsia" w:ascii="宋体" w:hAnsi="宋体" w:cs="Arial"/>
          <w:color w:val="000000" w:themeColor="text1"/>
          <w:sz w:val="24"/>
          <w14:textFill>
            <w14:solidFill>
              <w14:schemeClr w14:val="tx1"/>
            </w14:solidFill>
          </w14:textFill>
        </w:rPr>
        <w:t>三、</w:t>
      </w:r>
      <w:r>
        <w:rPr>
          <w:rFonts w:hint="eastAsia" w:ascii="宋体" w:hAnsi="宋体"/>
          <w:b/>
          <w:bCs w:val="0"/>
          <w:color w:val="000000" w:themeColor="text1"/>
          <w:sz w:val="24"/>
          <w14:textFill>
            <w14:solidFill>
              <w14:schemeClr w14:val="tx1"/>
            </w14:solidFill>
          </w14:textFill>
        </w:rPr>
        <w:t>采购货物技术规格、参数及要求</w:t>
      </w:r>
      <w:bookmarkStart w:id="0" w:name="_Toc339378679"/>
      <w:bookmarkStart w:id="1" w:name="_Toc338065593"/>
      <w:bookmarkStart w:id="2" w:name="_Toc444678032"/>
      <w:bookmarkStart w:id="3" w:name="_Toc441666375"/>
      <w:bookmarkStart w:id="4" w:name="_Toc441681204"/>
    </w:p>
    <w:bookmarkEnd w:id="0"/>
    <w:bookmarkEnd w:id="1"/>
    <w:tbl>
      <w:tblPr>
        <w:tblStyle w:val="1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8"/>
        <w:gridCol w:w="860"/>
        <w:gridCol w:w="650"/>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588" w:type="dxa"/>
            <w:noWrap w:val="0"/>
            <w:vAlign w:val="center"/>
          </w:tcPr>
          <w:p>
            <w:pPr>
              <w:jc w:val="center"/>
              <w:rPr>
                <w:rFonts w:ascii="宋体" w:hAnsi="宋体" w:cs="宋体"/>
                <w:color w:val="000000" w:themeColor="text1"/>
                <w:kern w:val="0"/>
                <w:szCs w:val="21"/>
                <w14:textFill>
                  <w14:solidFill>
                    <w14:schemeClr w14:val="tx1"/>
                  </w14:solidFill>
                </w14:textFill>
              </w:rPr>
            </w:pPr>
            <w:bookmarkStart w:id="5" w:name="_Toc339378680"/>
            <w:bookmarkStart w:id="6" w:name="_Toc338065594"/>
            <w:r>
              <w:rPr>
                <w:rFonts w:hint="eastAsia" w:ascii="宋体" w:hAnsi="宋体" w:cs="宋体"/>
                <w:color w:val="000000" w:themeColor="text1"/>
                <w:kern w:val="0"/>
                <w:szCs w:val="21"/>
                <w14:textFill>
                  <w14:solidFill>
                    <w14:schemeClr w14:val="tx1"/>
                  </w14:solidFill>
                </w14:textFill>
              </w:rPr>
              <w:t>货物名称</w:t>
            </w:r>
          </w:p>
        </w:tc>
        <w:tc>
          <w:tcPr>
            <w:tcW w:w="860" w:type="dxa"/>
            <w:noWrap w:val="0"/>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规格</w:t>
            </w:r>
          </w:p>
        </w:tc>
        <w:tc>
          <w:tcPr>
            <w:tcW w:w="8147" w:type="dxa"/>
            <w:gridSpan w:val="2"/>
            <w:noWrap w:val="0"/>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主要技术参数和技术指标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588" w:type="dxa"/>
            <w:vMerge w:val="restart"/>
            <w:noWrap w:val="0"/>
            <w:vAlign w:val="center"/>
          </w:tcPr>
          <w:p>
            <w:pPr>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升降课桌</w:t>
            </w:r>
          </w:p>
        </w:tc>
        <w:tc>
          <w:tcPr>
            <w:tcW w:w="860" w:type="dxa"/>
            <w:vMerge w:val="restart"/>
            <w:noWrap w:val="0"/>
            <w:vAlign w:val="center"/>
          </w:tcPr>
          <w:p>
            <w:pPr>
              <w:wordWrap w:val="0"/>
              <w:snapToGrid w:val="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升降式钢木结构：长*宽*高</w:t>
            </w:r>
          </w:p>
          <w:p>
            <w:pPr>
              <w:wordWrap w:val="0"/>
              <w:snapToGrid w:val="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6</w:t>
            </w:r>
            <w:r>
              <w:rPr>
                <w:rFonts w:hint="eastAsia" w:ascii="宋体" w:hAnsi="宋体" w:cs="宋体"/>
                <w:bCs/>
                <w:color w:val="000000" w:themeColor="text1"/>
                <w:kern w:val="0"/>
                <w:sz w:val="24"/>
                <w:lang w:val="en-US" w:eastAsia="zh-CN"/>
                <w14:textFill>
                  <w14:solidFill>
                    <w14:schemeClr w14:val="tx1"/>
                  </w14:solidFill>
                </w14:textFill>
              </w:rPr>
              <w:t>20</w:t>
            </w:r>
            <w:r>
              <w:rPr>
                <w:rFonts w:hint="eastAsia" w:ascii="宋体" w:hAnsi="宋体" w:cs="宋体"/>
                <w:bCs/>
                <w:color w:val="000000" w:themeColor="text1"/>
                <w:kern w:val="0"/>
                <w:sz w:val="24"/>
                <w14:textFill>
                  <w14:solidFill>
                    <w14:schemeClr w14:val="tx1"/>
                  </w14:solidFill>
                </w14:textFill>
              </w:rPr>
              <w:t>*4</w:t>
            </w:r>
            <w:r>
              <w:rPr>
                <w:rFonts w:hint="eastAsia" w:ascii="宋体" w:hAnsi="宋体" w:cs="宋体"/>
                <w:bCs/>
                <w:color w:val="000000" w:themeColor="text1"/>
                <w:kern w:val="0"/>
                <w:sz w:val="24"/>
                <w:lang w:val="en-US" w:eastAsia="zh-CN"/>
                <w14:textFill>
                  <w14:solidFill>
                    <w14:schemeClr w14:val="tx1"/>
                  </w14:solidFill>
                </w14:textFill>
              </w:rPr>
              <w:t>5</w:t>
            </w:r>
            <w:r>
              <w:rPr>
                <w:rFonts w:hint="eastAsia" w:ascii="宋体" w:hAnsi="宋体" w:cs="宋体"/>
                <w:bCs/>
                <w:color w:val="000000" w:themeColor="text1"/>
                <w:kern w:val="0"/>
                <w:sz w:val="24"/>
                <w14:textFill>
                  <w14:solidFill>
                    <w14:schemeClr w14:val="tx1"/>
                  </w14:solidFill>
                </w14:textFill>
              </w:rPr>
              <w:t>0*760mm</w:t>
            </w:r>
          </w:p>
          <w:p>
            <w:pPr>
              <w:spacing w:line="320" w:lineRule="exact"/>
              <w:rPr>
                <w:rFonts w:ascii="宋体" w:hAnsi="宋体" w:cs="宋体"/>
                <w:bCs/>
                <w:color w:val="000000" w:themeColor="text1"/>
                <w:kern w:val="0"/>
                <w:sz w:val="24"/>
                <w14:textFill>
                  <w14:solidFill>
                    <w14:schemeClr w14:val="tx1"/>
                  </w14:solidFill>
                </w14:textFill>
              </w:rPr>
            </w:pPr>
          </w:p>
        </w:tc>
        <w:tc>
          <w:tcPr>
            <w:tcW w:w="650" w:type="dxa"/>
            <w:noWrap w:val="0"/>
            <w:vAlign w:val="center"/>
          </w:tcPr>
          <w:p>
            <w:pPr>
              <w:spacing w:line="320" w:lineRule="exact"/>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桌面板 </w:t>
            </w:r>
          </w:p>
        </w:tc>
        <w:tc>
          <w:tcPr>
            <w:tcW w:w="7497" w:type="dxa"/>
            <w:noWrap w:val="0"/>
            <w:vAlign w:val="center"/>
          </w:tcPr>
          <w:p>
            <w:pPr>
              <w:numPr>
                <w:ilvl w:val="0"/>
                <w:numId w:val="3"/>
              </w:numPr>
              <w:spacing w:line="276"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≧18mm厚优质橡木齿接板，四角无菱角，前带笔槽，确保桌面平滑圆润无飞边，板材含水率小于10﹪，光洁平滑；</w:t>
            </w:r>
          </w:p>
          <w:p>
            <w:pPr>
              <w:numPr>
                <w:ilvl w:val="0"/>
                <w:numId w:val="3"/>
              </w:numPr>
              <w:spacing w:line="276"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表面光洁，无裂缝，无毛刺，无锐边，连接牢固、安全；</w:t>
            </w:r>
          </w:p>
          <w:p>
            <w:pPr>
              <w:numPr>
                <w:ilvl w:val="0"/>
                <w:numId w:val="3"/>
              </w:numPr>
              <w:spacing w:line="276"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外表面和内表面以及手指可触及的隐蔽处，均不得有锐利的棱角、毛刺以及小五金部件露出的锐利尖锐。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588" w:type="dxa"/>
            <w:vMerge w:val="continue"/>
            <w:noWrap w:val="0"/>
            <w:vAlign w:val="center"/>
          </w:tcPr>
          <w:p>
            <w:pPr>
              <w:spacing w:line="320" w:lineRule="exact"/>
              <w:jc w:val="center"/>
              <w:rPr>
                <w:rFonts w:ascii="宋体" w:hAnsi="宋体" w:cs="宋体"/>
                <w:color w:val="000000" w:themeColor="text1"/>
                <w:kern w:val="0"/>
                <w:sz w:val="24"/>
                <w14:textFill>
                  <w14:solidFill>
                    <w14:schemeClr w14:val="tx1"/>
                  </w14:solidFill>
                </w14:textFill>
              </w:rPr>
            </w:pPr>
          </w:p>
        </w:tc>
        <w:tc>
          <w:tcPr>
            <w:tcW w:w="860" w:type="dxa"/>
            <w:vMerge w:val="continue"/>
            <w:noWrap w:val="0"/>
            <w:vAlign w:val="center"/>
          </w:tcPr>
          <w:p>
            <w:pPr>
              <w:spacing w:line="320" w:lineRule="exact"/>
              <w:jc w:val="center"/>
              <w:rPr>
                <w:rFonts w:ascii="宋体" w:hAnsi="宋体" w:cs="宋体"/>
                <w:color w:val="000000" w:themeColor="text1"/>
                <w:kern w:val="0"/>
                <w:sz w:val="24"/>
                <w14:textFill>
                  <w14:solidFill>
                    <w14:schemeClr w14:val="tx1"/>
                  </w14:solidFill>
                </w14:textFill>
              </w:rPr>
            </w:pPr>
          </w:p>
        </w:tc>
        <w:tc>
          <w:tcPr>
            <w:tcW w:w="650" w:type="dxa"/>
            <w:noWrap w:val="0"/>
            <w:vAlign w:val="center"/>
          </w:tcPr>
          <w:p>
            <w:pPr>
              <w:spacing w:line="32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桌铁架</w:t>
            </w:r>
          </w:p>
        </w:tc>
        <w:tc>
          <w:tcPr>
            <w:tcW w:w="7497" w:type="dxa"/>
            <w:noWrap w:val="0"/>
            <w:vAlign w:val="center"/>
          </w:tcPr>
          <w:p>
            <w:pPr>
              <w:pStyle w:val="9"/>
              <w:widowControl/>
              <w:numPr>
                <w:ilvl w:val="0"/>
                <w:numId w:val="4"/>
              </w:numPr>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桌腿和凳腿均采用≧20㎜×50㎜×1.2mm的椭圆形钢管，桌子为双柱单层升降式；</w:t>
            </w:r>
          </w:p>
          <w:p>
            <w:pPr>
              <w:pStyle w:val="9"/>
              <w:widowControl/>
              <w:numPr>
                <w:ilvl w:val="0"/>
                <w:numId w:val="4"/>
              </w:numPr>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桌斗尺寸为：斗长490㎜×斗深3</w:t>
            </w:r>
            <w:r>
              <w:rPr>
                <w:rFonts w:hint="eastAsia" w:cs="宋体"/>
                <w:bCs/>
                <w:color w:val="000000" w:themeColor="text1"/>
                <w:lang w:val="en-US" w:eastAsia="zh-CN"/>
                <w14:textFill>
                  <w14:solidFill>
                    <w14:schemeClr w14:val="tx1"/>
                  </w14:solidFill>
                </w14:textFill>
              </w:rPr>
              <w:t>2</w:t>
            </w:r>
            <w:r>
              <w:rPr>
                <w:rFonts w:cs="宋体"/>
                <w:bCs/>
                <w:color w:val="000000" w:themeColor="text1"/>
                <w14:textFill>
                  <w14:solidFill>
                    <w14:schemeClr w14:val="tx1"/>
                  </w14:solidFill>
                </w14:textFill>
              </w:rPr>
              <w:t>0mm×斗高170㎜×斗厚0.9㎜，桌脚套采用优质原生塑料注塑成型。</w:t>
            </w:r>
          </w:p>
          <w:p>
            <w:pPr>
              <w:spacing w:line="276" w:lineRule="auto"/>
              <w:rPr>
                <w:rFonts w:ascii="宋体" w:hAnsi="宋体" w:cs="宋体"/>
                <w:b/>
                <w:color w:val="000000" w:themeColor="text1"/>
                <w:kern w:val="0"/>
                <w:sz w:val="24"/>
                <w14:textFill>
                  <w14:solidFill>
                    <w14:schemeClr w14:val="tx1"/>
                  </w14:solidFill>
                </w14:textFill>
              </w:rPr>
            </w:pPr>
            <w:r>
              <w:rPr>
                <w:rFonts w:cs="宋体"/>
                <w:bCs/>
                <w:color w:val="000000" w:themeColor="text1"/>
                <w14:textFill>
                  <w14:solidFill>
                    <w14:schemeClr w14:val="tx1"/>
                  </w14:solidFill>
                </w14:textFill>
              </w:rPr>
              <w:t>3、</w:t>
            </w:r>
            <w:r>
              <w:rPr>
                <w:rFonts w:ascii="宋体" w:hAnsi="宋体" w:cs="宋体"/>
                <w:bCs/>
                <w:color w:val="000000" w:themeColor="text1"/>
                <w:kern w:val="0"/>
                <w:sz w:val="24"/>
                <w:szCs w:val="24"/>
                <w14:textFill>
                  <w14:solidFill>
                    <w14:schemeClr w14:val="tx1"/>
                  </w14:solidFill>
                </w14:textFill>
              </w:rPr>
              <w:t>桌升降侧板：总高310mm，上宽3</w:t>
            </w:r>
            <w:r>
              <w:rPr>
                <w:rFonts w:hint="eastAsia" w:ascii="宋体" w:hAnsi="宋体" w:cs="宋体"/>
                <w:bCs/>
                <w:color w:val="000000" w:themeColor="text1"/>
                <w:kern w:val="0"/>
                <w:sz w:val="24"/>
                <w:szCs w:val="24"/>
                <w:lang w:val="en-US" w:eastAsia="zh-CN"/>
                <w14:textFill>
                  <w14:solidFill>
                    <w14:schemeClr w14:val="tx1"/>
                  </w14:solidFill>
                </w14:textFill>
              </w:rPr>
              <w:t>2</w:t>
            </w:r>
            <w:r>
              <w:rPr>
                <w:rFonts w:ascii="宋体" w:hAnsi="宋体" w:cs="宋体"/>
                <w:bCs/>
                <w:color w:val="000000" w:themeColor="text1"/>
                <w:kern w:val="0"/>
                <w:sz w:val="24"/>
                <w:szCs w:val="24"/>
                <w14:textFill>
                  <w14:solidFill>
                    <w14:schemeClr w14:val="tx1"/>
                  </w14:solidFill>
                </w14:textFill>
              </w:rPr>
              <w:t>0mm、下宽200mm,书斗;正前抽屉边口卷成圆筒形边，与钢架连接处下方前后有半圆弧处理，起到安全保护作用，并有两列高度调节孔，两列为9.0mm中距，其中一列孔离边缘60mm，30mm一档，共7个调节孔，五档调节可升降范围630㎜-780mm。整个升降侧板为一次冲压拉伸成型（外型尺寸±2mm），无菱角，起到保护不被刮伤作用。升降侧板采用1.2mm的冷轧钢板,一次冲压成型。两列孔柱子处带凸型加强筋,两侧配优质塑料挂钩, 四周须有加强筋使整块侧板牢固美观。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588" w:type="dxa"/>
            <w:vMerge w:val="restart"/>
            <w:noWrap w:val="0"/>
            <w:vAlign w:val="center"/>
          </w:tcPr>
          <w:p>
            <w:pPr>
              <w:spacing w:line="32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升降凳</w:t>
            </w:r>
          </w:p>
        </w:tc>
        <w:tc>
          <w:tcPr>
            <w:tcW w:w="860" w:type="dxa"/>
            <w:vMerge w:val="restart"/>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规格：长*宽*高3</w:t>
            </w:r>
            <w:r>
              <w:rPr>
                <w:rFonts w:hint="eastAsia" w:cs="宋体"/>
                <w:bCs/>
                <w:color w:val="000000" w:themeColor="text1"/>
                <w:lang w:val="en-US" w:eastAsia="zh-CN"/>
                <w14:textFill>
                  <w14:solidFill>
                    <w14:schemeClr w14:val="tx1"/>
                  </w14:solidFill>
                </w14:textFill>
              </w:rPr>
              <w:t>6</w:t>
            </w:r>
            <w:r>
              <w:rPr>
                <w:rFonts w:cs="宋体"/>
                <w:bCs/>
                <w:color w:val="000000" w:themeColor="text1"/>
                <w14:textFill>
                  <w14:solidFill>
                    <w14:schemeClr w14:val="tx1"/>
                  </w14:solidFill>
                </w14:textFill>
              </w:rPr>
              <w:t>0*2</w:t>
            </w:r>
            <w:r>
              <w:rPr>
                <w:rFonts w:hint="eastAsia" w:cs="宋体"/>
                <w:bCs/>
                <w:color w:val="000000" w:themeColor="text1"/>
                <w:lang w:val="en-US" w:eastAsia="zh-CN"/>
                <w14:textFill>
                  <w14:solidFill>
                    <w14:schemeClr w14:val="tx1"/>
                  </w14:solidFill>
                </w14:textFill>
              </w:rPr>
              <w:t>6</w:t>
            </w:r>
            <w:r>
              <w:rPr>
                <w:rFonts w:cs="宋体"/>
                <w:bCs/>
                <w:color w:val="000000" w:themeColor="text1"/>
                <w14:textFill>
                  <w14:solidFill>
                    <w14:schemeClr w14:val="tx1"/>
                  </w14:solidFill>
                </w14:textFill>
              </w:rPr>
              <w:t>0*420mm</w:t>
            </w:r>
          </w:p>
        </w:tc>
        <w:tc>
          <w:tcPr>
            <w:tcW w:w="650" w:type="dxa"/>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凳面板</w:t>
            </w:r>
          </w:p>
        </w:tc>
        <w:tc>
          <w:tcPr>
            <w:tcW w:w="7497" w:type="dxa"/>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1、≧18mm厚优质橡木齿接板，四角无菱角，确保凳面平滑圆润无飞边，光洁平滑；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588" w:type="dxa"/>
            <w:vMerge w:val="continue"/>
            <w:noWrap w:val="0"/>
            <w:vAlign w:val="center"/>
          </w:tcPr>
          <w:p>
            <w:pPr>
              <w:spacing w:line="320" w:lineRule="exact"/>
              <w:jc w:val="center"/>
              <w:rPr>
                <w:rFonts w:ascii="宋体" w:hAnsi="宋体" w:cs="宋体"/>
                <w:color w:val="000000" w:themeColor="text1"/>
                <w:kern w:val="0"/>
                <w:sz w:val="24"/>
                <w14:textFill>
                  <w14:solidFill>
                    <w14:schemeClr w14:val="tx1"/>
                  </w14:solidFill>
                </w14:textFill>
              </w:rPr>
            </w:pPr>
          </w:p>
        </w:tc>
        <w:tc>
          <w:tcPr>
            <w:tcW w:w="860" w:type="dxa"/>
            <w:vMerge w:val="continue"/>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p>
        </w:tc>
        <w:tc>
          <w:tcPr>
            <w:tcW w:w="650" w:type="dxa"/>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凳铁架</w:t>
            </w:r>
          </w:p>
        </w:tc>
        <w:tc>
          <w:tcPr>
            <w:tcW w:w="7497" w:type="dxa"/>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2、采用20×50×1.2mm优扁圆管，双柱升降侧板1.0mm厚，上宽210mm，总高180mm；（所有尺寸可正偏差2mm）；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588" w:type="dxa"/>
            <w:vMerge w:val="continue"/>
            <w:noWrap w:val="0"/>
            <w:vAlign w:val="center"/>
          </w:tcPr>
          <w:p>
            <w:pPr>
              <w:spacing w:line="320" w:lineRule="exact"/>
              <w:jc w:val="center"/>
              <w:rPr>
                <w:rFonts w:ascii="宋体" w:hAnsi="宋体" w:cs="宋体"/>
                <w:color w:val="000000" w:themeColor="text1"/>
                <w:kern w:val="0"/>
                <w:sz w:val="24"/>
                <w14:textFill>
                  <w14:solidFill>
                    <w14:schemeClr w14:val="tx1"/>
                  </w14:solidFill>
                </w14:textFill>
              </w:rPr>
            </w:pPr>
          </w:p>
        </w:tc>
        <w:tc>
          <w:tcPr>
            <w:tcW w:w="860" w:type="dxa"/>
            <w:vMerge w:val="continue"/>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p>
        </w:tc>
        <w:tc>
          <w:tcPr>
            <w:tcW w:w="650" w:type="dxa"/>
            <w:noWrap w:val="0"/>
            <w:vAlign w:val="center"/>
          </w:tcPr>
          <w:p>
            <w:pPr>
              <w:pStyle w:val="9"/>
              <w:widowControl/>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工艺</w:t>
            </w:r>
          </w:p>
        </w:tc>
        <w:tc>
          <w:tcPr>
            <w:tcW w:w="7497" w:type="dxa"/>
            <w:noWrap w:val="0"/>
            <w:vAlign w:val="center"/>
          </w:tcPr>
          <w:p>
            <w:pPr>
              <w:pStyle w:val="9"/>
              <w:widowControl/>
              <w:numPr>
                <w:ilvl w:val="0"/>
                <w:numId w:val="4"/>
              </w:numPr>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钢材表面经打砂、除油、除锈、抛丸处理，静电喷塑高温固化处理，漆膜厚度≥0.06；焊接采用二氧化碳保护焊，满焊、无焊渣、焊点美观,焊线打磨平整、焊接牢固、不脱焊；紧固螺丝采用国标镀锌螺丝、防退螺帽（带防护帽）；</w:t>
            </w:r>
          </w:p>
          <w:p>
            <w:pPr>
              <w:pStyle w:val="9"/>
              <w:widowControl/>
              <w:numPr>
                <w:ilvl w:val="0"/>
                <w:numId w:val="4"/>
              </w:numPr>
              <w:shd w:val="clear" w:color="auto" w:fill="FFFFFF"/>
              <w:wordWrap w:val="0"/>
              <w:rPr>
                <w:rFonts w:hint="default"/>
                <w:bCs/>
                <w:color w:val="000000" w:themeColor="text1"/>
                <w14:textFill>
                  <w14:solidFill>
                    <w14:schemeClr w14:val="tx1"/>
                  </w14:solidFill>
                </w14:textFill>
              </w:rPr>
            </w:pPr>
            <w:r>
              <w:rPr>
                <w:rFonts w:cs="宋体"/>
                <w:bCs/>
                <w:color w:val="000000" w:themeColor="text1"/>
                <w14:textFill>
                  <w14:solidFill>
                    <w14:schemeClr w14:val="tx1"/>
                  </w14:solidFill>
                </w14:textFill>
              </w:rPr>
              <w:t>配有自锁止橡胶防滑软脚套；钢材油漆为灰色</w:t>
            </w:r>
            <w:r>
              <w:rPr>
                <w:rFonts w:hint="eastAsia" w:cs="宋体"/>
                <w:bCs/>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2098" w:type="dxa"/>
            <w:gridSpan w:val="3"/>
            <w:noWrap w:val="0"/>
            <w:vAlign w:val="center"/>
          </w:tcPr>
          <w:p>
            <w:pPr>
              <w:pStyle w:val="9"/>
              <w:widowControl/>
              <w:shd w:val="clear" w:color="auto" w:fill="FFFFFF"/>
              <w:wordWrap w:val="0"/>
              <w:jc w:val="center"/>
              <w:rPr>
                <w:rFonts w:hint="default"/>
                <w:b/>
                <w:bCs/>
                <w:color w:val="000000" w:themeColor="text1"/>
                <w14:textFill>
                  <w14:solidFill>
                    <w14:schemeClr w14:val="tx1"/>
                  </w14:solidFill>
                </w14:textFill>
              </w:rPr>
            </w:pPr>
            <w:r>
              <w:rPr>
                <w:rFonts w:cs="宋体"/>
                <w:b/>
                <w:bCs/>
                <w:color w:val="000000" w:themeColor="text1"/>
                <w14:textFill>
                  <w14:solidFill>
                    <w14:schemeClr w14:val="tx1"/>
                  </w14:solidFill>
                </w14:textFill>
              </w:rPr>
              <w:t>采购数量</w:t>
            </w:r>
          </w:p>
        </w:tc>
        <w:tc>
          <w:tcPr>
            <w:tcW w:w="7497" w:type="dxa"/>
            <w:noWrap w:val="0"/>
            <w:vAlign w:val="center"/>
          </w:tcPr>
          <w:p>
            <w:pPr>
              <w:pStyle w:val="9"/>
              <w:widowControl/>
              <w:shd w:val="clear" w:color="auto" w:fill="FFFFFF"/>
              <w:wordWrap w:val="0"/>
              <w:rPr>
                <w:rFonts w:hint="default"/>
                <w:b/>
                <w:bCs/>
                <w:color w:val="000000" w:themeColor="text1"/>
                <w14:textFill>
                  <w14:solidFill>
                    <w14:schemeClr w14:val="tx1"/>
                  </w14:solidFill>
                </w14:textFill>
              </w:rPr>
            </w:pPr>
            <w:r>
              <w:rPr>
                <w:rFonts w:cs="宋体"/>
                <w:b/>
                <w:bCs/>
                <w:color w:val="000000" w:themeColor="text1"/>
                <w14:textFill>
                  <w14:solidFill>
                    <w14:schemeClr w14:val="tx1"/>
                  </w14:solidFill>
                </w14:textFill>
              </w:rPr>
              <w:t>1800套</w:t>
            </w:r>
          </w:p>
        </w:tc>
      </w:tr>
    </w:tbl>
    <w:p>
      <w:pPr>
        <w:spacing w:line="360" w:lineRule="auto"/>
        <w:ind w:left="718" w:hanging="712" w:hangingChars="297"/>
        <w:rPr>
          <w:rFonts w:hint="eastAsia" w:ascii="宋体" w:hAnsi="宋体"/>
          <w:color w:val="000000" w:themeColor="text1"/>
          <w:sz w:val="24"/>
          <w:szCs w:val="24"/>
          <w:lang w:val="zh-CN"/>
          <w14:textFill>
            <w14:solidFill>
              <w14:schemeClr w14:val="tx1"/>
            </w14:solidFill>
          </w14:textFill>
        </w:rPr>
      </w:pPr>
    </w:p>
    <w:bookmarkEnd w:id="5"/>
    <w:bookmarkEnd w:id="6"/>
    <w:p>
      <w:pPr>
        <w:numPr>
          <w:ilvl w:val="0"/>
          <w:numId w:val="0"/>
        </w:numPr>
        <w:ind w:left="0" w:leftChars="0" w:firstLine="490" w:firstLineChars="175"/>
        <w:rPr>
          <w:rFonts w:hint="eastAsia"/>
          <w:b w:val="0"/>
          <w:bCs/>
          <w:color w:val="000000" w:themeColor="text1"/>
          <w:sz w:val="28"/>
          <w:szCs w:val="28"/>
          <w:lang w:eastAsia="zh-CN"/>
          <w14:textFill>
            <w14:solidFill>
              <w14:schemeClr w14:val="tx1"/>
            </w14:solidFill>
          </w14:textFill>
        </w:rPr>
      </w:pPr>
      <w:r>
        <w:rPr>
          <w:rFonts w:hint="eastAsia" w:ascii="宋体" w:cs="宋体"/>
          <w:b w:val="0"/>
          <w:bCs/>
          <w:color w:val="000000" w:themeColor="text1"/>
          <w:sz w:val="28"/>
          <w:szCs w:val="28"/>
          <w14:textFill>
            <w14:solidFill>
              <w14:schemeClr w14:val="tx1"/>
            </w14:solidFill>
          </w14:textFill>
        </w:rPr>
        <w:t>为了满足设备整体使用和功能要求，整个采购项目使用设备及材料包含但不限于本章节内容，其它辅材需要由供应商自行选型和补充来达到技术要求和功能要求。因供应商在竞标过程中任何漏报或错报造成项目实施过程中无法达到技术要求和功能要求所增加费用由供应商自行承担。同时采购人根据现场情况临时增加的费用也应由供应商自行考虑在报价中。</w:t>
      </w:r>
    </w:p>
    <w:p>
      <w:pPr>
        <w:pStyle w:val="24"/>
        <w:rPr>
          <w:rFonts w:hint="eastAsia"/>
          <w:color w:val="000000" w:themeColor="text1"/>
          <w14:textFill>
            <w14:solidFill>
              <w14:schemeClr w14:val="tx1"/>
            </w14:solidFill>
          </w14:textFill>
        </w:rPr>
      </w:pPr>
    </w:p>
    <w:p>
      <w:pPr>
        <w:jc w:val="center"/>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pStyle w:val="24"/>
        <w:rPr>
          <w:rFonts w:hint="eastAsia"/>
          <w:b/>
          <w:color w:val="000000" w:themeColor="text1"/>
          <w:sz w:val="24"/>
          <w14:textFill>
            <w14:solidFill>
              <w14:schemeClr w14:val="tx1"/>
            </w14:solidFill>
          </w14:textFill>
        </w:rPr>
      </w:pPr>
    </w:p>
    <w:p>
      <w:pPr>
        <w:jc w:val="center"/>
        <w:rPr>
          <w:rFonts w:hint="eastAsia"/>
          <w:b/>
          <w:color w:val="000000" w:themeColor="text1"/>
          <w:sz w:val="32"/>
          <w:szCs w:val="32"/>
          <w14:textFill>
            <w14:solidFill>
              <w14:schemeClr w14:val="tx1"/>
            </w14:solidFill>
          </w14:textFill>
        </w:rPr>
      </w:pPr>
      <w:r>
        <w:rPr>
          <w:rFonts w:hint="eastAsia"/>
          <w:b/>
          <w:color w:val="000000" w:themeColor="text1"/>
          <w:sz w:val="32"/>
          <w:szCs w:val="32"/>
          <w:lang w:eastAsia="zh-CN"/>
          <w14:textFill>
            <w14:solidFill>
              <w14:schemeClr w14:val="tx1"/>
            </w14:solidFill>
          </w14:textFill>
        </w:rPr>
        <w:t>课桌椅式样参考</w:t>
      </w:r>
      <w:r>
        <w:rPr>
          <w:rFonts w:hint="eastAsia"/>
          <w:b/>
          <w:color w:val="000000" w:themeColor="text1"/>
          <w:sz w:val="32"/>
          <w:szCs w:val="32"/>
          <w14:textFill>
            <w14:solidFill>
              <w14:schemeClr w14:val="tx1"/>
            </w14:solidFill>
          </w14:textFill>
        </w:rPr>
        <w:t>图：</w:t>
      </w:r>
    </w:p>
    <w:p>
      <w:pPr>
        <w:jc w:val="center"/>
        <w:rPr>
          <w:rFonts w:ascii="宋体" w:hAnsi="宋体" w:cs="宋体"/>
          <w:color w:val="000000" w:themeColor="text1"/>
          <w:kern w:val="0"/>
          <w:sz w:val="24"/>
          <w:lang w:bidi="ar"/>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drawing>
          <wp:inline distT="0" distB="0" distL="114300" distR="114300">
            <wp:extent cx="3760470" cy="4362450"/>
            <wp:effectExtent l="0" t="0" r="1143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4"/>
                    <a:stretch>
                      <a:fillRect/>
                    </a:stretch>
                  </pic:blipFill>
                  <pic:spPr>
                    <a:xfrm>
                      <a:off x="0" y="0"/>
                      <a:ext cx="3760470" cy="4362450"/>
                    </a:xfrm>
                    <a:prstGeom prst="rect">
                      <a:avLst/>
                    </a:prstGeom>
                    <a:noFill/>
                    <a:ln>
                      <a:noFill/>
                    </a:ln>
                  </pic:spPr>
                </pic:pic>
              </a:graphicData>
            </a:graphic>
          </wp:inline>
        </w:drawing>
      </w:r>
    </w:p>
    <w:p>
      <w:pPr>
        <w:jc w:val="left"/>
        <w:rPr>
          <w:rFonts w:hint="eastAsia" w:ascii="宋体" w:hAnsi="宋体" w:eastAsia="宋体" w:cs="宋体"/>
          <w:color w:val="000000" w:themeColor="text1"/>
          <w:kern w:val="0"/>
          <w:sz w:val="24"/>
          <w:lang w:eastAsia="zh-CN" w:bidi="ar"/>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注：该图片来源于学校，仅供参考，详细要求以招标参数要求为准。</w:t>
      </w:r>
    </w:p>
    <w:p>
      <w:pPr>
        <w:jc w:val="center"/>
        <w:rPr>
          <w:rFonts w:hint="eastAsia"/>
          <w:b/>
          <w:color w:val="000000" w:themeColor="text1"/>
          <w:sz w:val="32"/>
          <w:szCs w:val="32"/>
          <w:lang w:eastAsia="zh-CN"/>
          <w14:textFill>
            <w14:solidFill>
              <w14:schemeClr w14:val="tx1"/>
            </w14:solidFill>
          </w14:textFill>
        </w:rPr>
      </w:pPr>
      <w:r>
        <w:rPr>
          <w:b/>
          <w:color w:val="000000" w:themeColor="text1"/>
          <w:sz w:val="32"/>
          <w:szCs w:val="32"/>
          <w14:textFill>
            <w14:solidFill>
              <w14:schemeClr w14:val="tx1"/>
            </w14:solidFill>
          </w14:textFill>
        </w:rPr>
        <w:br w:type="page"/>
      </w:r>
      <w:r>
        <w:rPr>
          <w:rFonts w:hint="eastAsia"/>
          <w:b/>
          <w:color w:val="000000" w:themeColor="text1"/>
          <w:sz w:val="32"/>
          <w:szCs w:val="32"/>
          <w:lang w:eastAsia="zh-CN"/>
          <w14:textFill>
            <w14:solidFill>
              <w14:schemeClr w14:val="tx1"/>
            </w14:solidFill>
          </w14:textFill>
        </w:rPr>
        <w:t>四、商务要求</w:t>
      </w:r>
    </w:p>
    <w:p>
      <w:pPr>
        <w:pStyle w:val="3"/>
        <w:numPr>
          <w:ilvl w:val="1"/>
          <w:numId w:val="0"/>
        </w:numPr>
        <w:tabs>
          <w:tab w:val="center" w:pos="4536"/>
          <w:tab w:val="left" w:pos="5880"/>
        </w:tabs>
        <w:ind w:leftChars="0"/>
        <w:jc w:val="left"/>
        <w:rPr>
          <w:rFonts w:hint="eastAsia" w:ascii="宋体" w:hAnsi="宋体"/>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货物技术标准</w:t>
      </w:r>
    </w:p>
    <w:p>
      <w:pPr>
        <w:spacing w:line="420" w:lineRule="atLeast"/>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投标产品按下列国家或行业标准和规范的相关要求响应：</w:t>
      </w:r>
    </w:p>
    <w:p>
      <w:pPr>
        <w:pStyle w:val="24"/>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GB28007-2011《儿童家具通用技术条件标准》 </w:t>
      </w:r>
    </w:p>
    <w:p>
      <w:pPr>
        <w:pStyle w:val="24"/>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GB18584-2001《室内装饰装修材料木家具中有害物质限量》</w:t>
      </w:r>
    </w:p>
    <w:p>
      <w:pPr>
        <w:pStyle w:val="24"/>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GB18581-2009《室内装饰装修材料人造板及其制品中甲醛释放限量》</w:t>
      </w:r>
    </w:p>
    <w:p>
      <w:pPr>
        <w:pStyle w:val="24"/>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GB18583-2008《室内装饰装修材料胶粘剂中有害物质限量》</w:t>
      </w:r>
    </w:p>
    <w:p>
      <w:pPr>
        <w:spacing w:line="420" w:lineRule="atLeast"/>
        <w:rPr>
          <w:rFonts w:hint="eastAsia" w:ascii="宋体" w:hAnsi="宋体"/>
          <w:bCs/>
          <w:color w:val="000000" w:themeColor="text1"/>
          <w:sz w:val="24"/>
          <w:szCs w:val="24"/>
          <w14:textFill>
            <w14:solidFill>
              <w14:schemeClr w14:val="tx1"/>
            </w14:solidFill>
          </w14:textFill>
        </w:rPr>
      </w:pPr>
    </w:p>
    <w:p>
      <w:pPr>
        <w:spacing w:line="420" w:lineRule="atLeas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（二）技术要求</w:t>
      </w:r>
    </w:p>
    <w:p>
      <w:pPr>
        <w:pStyle w:val="24"/>
        <w:spacing w:line="360" w:lineRule="auto"/>
        <w:ind w:left="0" w:leftChars="0"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提供课桌椅依据</w:t>
      </w:r>
      <w:r>
        <w:rPr>
          <w:rFonts w:hint="eastAsia"/>
          <w:color w:val="000000" w:themeColor="text1"/>
          <w:sz w:val="24"/>
          <w:szCs w:val="24"/>
          <w14:textFill>
            <w14:solidFill>
              <w14:schemeClr w14:val="tx1"/>
            </w14:solidFill>
          </w14:textFill>
        </w:rPr>
        <w:t>GB/T4071-2010《室内装饰装修材料人造板及其制品中甲醛释放限量》标准</w:t>
      </w:r>
      <w:r>
        <w:rPr>
          <w:rFonts w:hint="eastAsia" w:ascii="宋体" w:hAnsi="宋体"/>
          <w:color w:val="000000" w:themeColor="text1"/>
          <w:sz w:val="24"/>
          <w:szCs w:val="24"/>
          <w14:textFill>
            <w14:solidFill>
              <w14:schemeClr w14:val="tx1"/>
            </w14:solidFill>
          </w14:textFill>
        </w:rPr>
        <w:t>等经国家权威部门检测机构出具的检测报告 (</w:t>
      </w:r>
      <w:r>
        <w:rPr>
          <w:rFonts w:hint="eastAsia" w:ascii="宋体" w:hAnsi="宋体" w:cs="宋体"/>
          <w:color w:val="000000" w:themeColor="text1"/>
          <w:sz w:val="24"/>
          <w:szCs w:val="24"/>
          <w:lang w:val="zh-CN"/>
          <w14:textFill>
            <w14:solidFill>
              <w14:schemeClr w14:val="tx1"/>
            </w14:solidFill>
          </w14:textFill>
        </w:rPr>
        <w:t>有效期为</w:t>
      </w:r>
      <w:r>
        <w:rPr>
          <w:rFonts w:hint="eastAsia" w:ascii="宋体" w:hAnsi="宋体"/>
          <w:color w:val="000000" w:themeColor="text1"/>
          <w:sz w:val="24"/>
          <w:szCs w:val="24"/>
          <w14:textFill>
            <w14:solidFill>
              <w14:schemeClr w14:val="tx1"/>
            </w14:solidFill>
          </w14:textFill>
        </w:rPr>
        <w:t>2018年1月1日至招标公告发布日，复印件加盖生产厂家公章)。</w:t>
      </w:r>
    </w:p>
    <w:p>
      <w:pPr>
        <w:tabs>
          <w:tab w:val="left" w:pos="450"/>
        </w:tabs>
        <w:spacing w:line="560" w:lineRule="exac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（三）投标样品</w:t>
      </w:r>
    </w:p>
    <w:p>
      <w:pPr>
        <w:spacing w:line="440" w:lineRule="atLeast"/>
        <w:ind w:firstLine="465"/>
        <w:rPr>
          <w:rFonts w:ascii="宋体" w:hAnsi="宋体" w:cs="宋体"/>
          <w:color w:val="000000" w:themeColor="text1"/>
          <w:kern w:val="0"/>
          <w:sz w:val="24"/>
          <w:szCs w:val="24"/>
          <w:lang w:val="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3.1</w:t>
      </w:r>
      <w:r>
        <w:rPr>
          <w:rFonts w:hint="eastAsia" w:ascii="宋体" w:hAnsi="宋体"/>
          <w:bCs/>
          <w:color w:val="000000" w:themeColor="text1"/>
          <w:sz w:val="24"/>
          <w:szCs w:val="24"/>
          <w14:textFill>
            <w14:solidFill>
              <w14:schemeClr w14:val="tx1"/>
            </w14:solidFill>
          </w14:textFill>
        </w:rPr>
        <w:t>投标人必须在递交投标文件时一并递交投标样品，逾期送到的投标样品不予接收。</w:t>
      </w:r>
    </w:p>
    <w:p>
      <w:pPr>
        <w:spacing w:line="440" w:lineRule="atLeast"/>
        <w:ind w:firstLine="465"/>
        <w:rPr>
          <w:rFonts w:hint="eastAsia" w:ascii="宋体" w:hAnsi="宋体" w:cs="Times New Roman"/>
          <w:bCs/>
          <w:color w:val="000000" w:themeColor="text1"/>
          <w:sz w:val="24"/>
          <w:szCs w:val="24"/>
          <w14:textFill>
            <w14:solidFill>
              <w14:schemeClr w14:val="tx1"/>
            </w14:solidFill>
          </w14:textFill>
        </w:rPr>
      </w:pPr>
      <w:r>
        <w:rPr>
          <w:rFonts w:hint="eastAsia" w:ascii="宋体" w:hAnsi="宋体" w:cs="Times New Roman"/>
          <w:bCs/>
          <w:color w:val="000000" w:themeColor="text1"/>
          <w:sz w:val="24"/>
          <w:szCs w:val="24"/>
          <w:lang w:val="en-US" w:eastAsia="zh-CN"/>
          <w14:textFill>
            <w14:solidFill>
              <w14:schemeClr w14:val="tx1"/>
            </w14:solidFill>
          </w14:textFill>
        </w:rPr>
        <w:t>3.2</w:t>
      </w:r>
      <w:r>
        <w:rPr>
          <w:rFonts w:hint="eastAsia" w:ascii="宋体" w:hAnsi="宋体" w:cs="Times New Roman"/>
          <w:bCs/>
          <w:color w:val="000000" w:themeColor="text1"/>
          <w:sz w:val="24"/>
          <w:szCs w:val="24"/>
          <w14:textFill>
            <w14:solidFill>
              <w14:schemeClr w14:val="tx1"/>
            </w14:solidFill>
          </w14:textFill>
        </w:rPr>
        <w:t>投标样品包括：</w:t>
      </w:r>
      <w:r>
        <w:rPr>
          <w:rFonts w:hint="eastAsia" w:ascii="宋体" w:hAnsi="宋体" w:cs="Times New Roman"/>
          <w:bCs/>
          <w:color w:val="000000" w:themeColor="text1"/>
          <w:sz w:val="24"/>
          <w:szCs w:val="24"/>
          <w:lang w:eastAsia="zh-CN"/>
          <w14:textFill>
            <w14:solidFill>
              <w14:schemeClr w14:val="tx1"/>
            </w14:solidFill>
          </w14:textFill>
        </w:rPr>
        <w:t>符合参数要求且功能完整的</w:t>
      </w:r>
      <w:r>
        <w:rPr>
          <w:rFonts w:hint="eastAsia" w:ascii="宋体" w:hAnsi="宋体" w:cs="Times New Roman"/>
          <w:bCs/>
          <w:color w:val="000000" w:themeColor="text1"/>
          <w:sz w:val="24"/>
          <w:szCs w:val="24"/>
          <w:lang w:val="en-US" w:eastAsia="zh-CN"/>
          <w14:textFill>
            <w14:solidFill>
              <w14:schemeClr w14:val="tx1"/>
            </w14:solidFill>
          </w14:textFill>
        </w:rPr>
        <w:t>中小学生课桌、凳子</w:t>
      </w:r>
      <w:r>
        <w:rPr>
          <w:rFonts w:hint="eastAsia" w:ascii="宋体" w:hAnsi="宋体" w:cs="Times New Roman"/>
          <w:bCs/>
          <w:color w:val="000000" w:themeColor="text1"/>
          <w:sz w:val="24"/>
          <w:szCs w:val="24"/>
          <w:lang w:eastAsia="zh-CN"/>
          <w14:textFill>
            <w14:solidFill>
              <w14:schemeClr w14:val="tx1"/>
            </w14:solidFill>
          </w14:textFill>
        </w:rPr>
        <w:t>等</w:t>
      </w:r>
      <w:r>
        <w:rPr>
          <w:rFonts w:hint="eastAsia" w:ascii="宋体" w:hAnsi="宋体" w:cs="Times New Roman"/>
          <w:bCs/>
          <w:color w:val="000000" w:themeColor="text1"/>
          <w:sz w:val="24"/>
          <w:szCs w:val="24"/>
          <w14:textFill>
            <w14:solidFill>
              <w14:schemeClr w14:val="tx1"/>
            </w14:solidFill>
          </w14:textFill>
        </w:rPr>
        <w:t>每个品种</w:t>
      </w:r>
      <w:r>
        <w:rPr>
          <w:rFonts w:hint="eastAsia" w:ascii="宋体" w:hAnsi="宋体" w:cs="Times New Roman"/>
          <w:bCs/>
          <w:color w:val="000000" w:themeColor="text1"/>
          <w:sz w:val="24"/>
          <w:szCs w:val="24"/>
          <w:lang w:eastAsia="zh-CN"/>
          <w14:textFill>
            <w14:solidFill>
              <w14:schemeClr w14:val="tx1"/>
            </w14:solidFill>
          </w14:textFill>
        </w:rPr>
        <w:t>各</w:t>
      </w:r>
      <w:r>
        <w:rPr>
          <w:rFonts w:hint="eastAsia" w:ascii="宋体" w:hAnsi="宋体" w:cs="Times New Roman"/>
          <w:bCs/>
          <w:color w:val="000000" w:themeColor="text1"/>
          <w:sz w:val="24"/>
          <w:szCs w:val="24"/>
          <w14:textFill>
            <w14:solidFill>
              <w14:schemeClr w14:val="tx1"/>
            </w14:solidFill>
          </w14:textFill>
        </w:rPr>
        <w:t>一件。</w:t>
      </w:r>
    </w:p>
    <w:p>
      <w:pPr>
        <w:spacing w:line="440" w:lineRule="atLeast"/>
        <w:ind w:firstLine="465"/>
        <w:rPr>
          <w:rFonts w:hint="eastAsia" w:ascii="宋体" w:hAnsi="宋体" w:cs="Times New Roman"/>
          <w:bCs/>
          <w:color w:val="000000" w:themeColor="text1"/>
          <w:sz w:val="24"/>
          <w:szCs w:val="24"/>
          <w14:textFill>
            <w14:solidFill>
              <w14:schemeClr w14:val="tx1"/>
            </w14:solidFill>
          </w14:textFill>
        </w:rPr>
      </w:pPr>
      <w:r>
        <w:rPr>
          <w:rFonts w:hint="eastAsia" w:ascii="宋体" w:hAnsi="宋体" w:cs="Times New Roman"/>
          <w:bCs/>
          <w:color w:val="000000" w:themeColor="text1"/>
          <w:sz w:val="24"/>
          <w:szCs w:val="24"/>
          <w:lang w:val="en-US" w:eastAsia="zh-CN"/>
          <w14:textFill>
            <w14:solidFill>
              <w14:schemeClr w14:val="tx1"/>
            </w14:solidFill>
          </w14:textFill>
        </w:rPr>
        <w:t>3.3</w:t>
      </w:r>
      <w:r>
        <w:rPr>
          <w:rFonts w:hint="eastAsia"/>
          <w:b/>
          <w:bCs/>
          <w:color w:val="000000" w:themeColor="text1"/>
          <w:sz w:val="24"/>
          <w14:textFill>
            <w14:solidFill>
              <w14:schemeClr w14:val="tx1"/>
            </w14:solidFill>
          </w14:textFill>
        </w:rPr>
        <w:t>样品上需注生产厂家的信息。</w:t>
      </w:r>
    </w:p>
    <w:p>
      <w:pPr>
        <w:spacing w:line="440" w:lineRule="atLeast"/>
        <w:ind w:firstLine="465"/>
        <w:rPr>
          <w:rFonts w:hint="eastAsia" w:ascii="宋体" w:hAnsi="宋体" w:cs="Times New Roman"/>
          <w:bCs/>
          <w:color w:val="000000" w:themeColor="text1"/>
          <w:sz w:val="24"/>
          <w:szCs w:val="24"/>
          <w14:textFill>
            <w14:solidFill>
              <w14:schemeClr w14:val="tx1"/>
            </w14:solidFill>
          </w14:textFill>
        </w:rPr>
      </w:pPr>
      <w:r>
        <w:rPr>
          <w:rFonts w:hint="eastAsia" w:ascii="宋体" w:hAnsi="宋体" w:cs="Times New Roman"/>
          <w:bCs/>
          <w:color w:val="000000" w:themeColor="text1"/>
          <w:sz w:val="24"/>
          <w:szCs w:val="24"/>
          <w:lang w:val="en-US" w:eastAsia="zh-CN"/>
          <w14:textFill>
            <w14:solidFill>
              <w14:schemeClr w14:val="tx1"/>
            </w14:solidFill>
          </w14:textFill>
        </w:rPr>
        <w:t>3.4</w:t>
      </w:r>
      <w:r>
        <w:rPr>
          <w:rFonts w:hint="eastAsia" w:ascii="宋体" w:hAnsi="宋体" w:cs="Times New Roman"/>
          <w:bCs/>
          <w:color w:val="000000" w:themeColor="text1"/>
          <w:sz w:val="24"/>
          <w:szCs w:val="24"/>
          <w14:textFill>
            <w14:solidFill>
              <w14:schemeClr w14:val="tx1"/>
            </w14:solidFill>
          </w14:textFill>
        </w:rPr>
        <w:t>所有投标人在计算投标报价时，应考虑投标样品所需的费用开支。中标公告发布后，中标供应商的投标样品将被封存，作为供货、验收的依据，不予退还。</w:t>
      </w:r>
    </w:p>
    <w:p>
      <w:pPr>
        <w:spacing w:line="400" w:lineRule="exact"/>
        <w:rPr>
          <w:b/>
          <w:bCs/>
          <w:color w:val="000000" w:themeColor="text1"/>
          <w:sz w:val="24"/>
          <w:lang w:val="zh-CN"/>
          <w14:textFill>
            <w14:solidFill>
              <w14:schemeClr w14:val="tx1"/>
            </w14:solidFill>
          </w14:textFill>
        </w:rPr>
      </w:pPr>
    </w:p>
    <w:p>
      <w:pPr>
        <w:widowControl/>
        <w:rPr>
          <w:rFonts w:ascii="宋体" w:hAnsi="宋体"/>
          <w:color w:val="000000" w:themeColor="text1"/>
          <w:sz w:val="28"/>
          <w:szCs w:val="28"/>
          <w14:textFill>
            <w14:solidFill>
              <w14:schemeClr w14:val="tx1"/>
            </w14:solidFill>
          </w14:textFill>
        </w:rPr>
      </w:pPr>
      <w:r>
        <w:rPr>
          <w:rFonts w:hint="eastAsia"/>
          <w:b/>
          <w:bCs/>
          <w:color w:val="000000" w:themeColor="text1"/>
          <w:sz w:val="24"/>
          <w:lang w:eastAsia="zh-CN"/>
          <w14:textFill>
            <w14:solidFill>
              <w14:schemeClr w14:val="tx1"/>
            </w14:solidFill>
          </w14:textFill>
        </w:rPr>
        <w:t>（四）</w:t>
      </w:r>
      <w:r>
        <w:rPr>
          <w:rFonts w:hint="eastAsia" w:ascii="宋体" w:hAnsi="宋体"/>
          <w:color w:val="000000" w:themeColor="text1"/>
          <w:sz w:val="28"/>
          <w:szCs w:val="28"/>
          <w14:textFill>
            <w14:solidFill>
              <w14:schemeClr w14:val="tx1"/>
            </w14:solidFill>
          </w14:textFill>
        </w:rPr>
        <w:t>产品的安装与调试</w:t>
      </w:r>
    </w:p>
    <w:p>
      <w:pPr>
        <w:widowControl/>
        <w:ind w:firstLine="565" w:firstLineChars="202"/>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投标人负责所有产品的运输、安装与调试。</w:t>
      </w:r>
    </w:p>
    <w:p>
      <w:pPr>
        <w:pStyle w:val="10"/>
        <w:spacing w:before="0" w:beforeAutospacing="0" w:after="0" w:afterAutospacing="0" w:line="400" w:lineRule="exact"/>
        <w:ind w:firstLine="240" w:firstLineChars="100"/>
        <w:rPr>
          <w:color w:val="000000" w:themeColor="text1"/>
          <w14:textFill>
            <w14:solidFill>
              <w14:schemeClr w14:val="tx1"/>
            </w14:solidFill>
          </w14:textFill>
        </w:rPr>
      </w:pPr>
    </w:p>
    <w:p>
      <w:pPr>
        <w:tabs>
          <w:tab w:val="left" w:pos="510"/>
        </w:tabs>
        <w:spacing w:line="400" w:lineRule="exact"/>
        <w:rPr>
          <w:b/>
          <w:bCs/>
          <w:color w:val="000000" w:themeColor="text1"/>
          <w:sz w:val="24"/>
          <w14:textFill>
            <w14:solidFill>
              <w14:schemeClr w14:val="tx1"/>
            </w14:solidFill>
          </w14:textFill>
        </w:rPr>
      </w:pPr>
      <w:r>
        <w:rPr>
          <w:rFonts w:hint="eastAsia"/>
          <w:b/>
          <w:bCs/>
          <w:color w:val="000000" w:themeColor="text1"/>
          <w:sz w:val="24"/>
          <w:lang w:eastAsia="zh-CN"/>
          <w14:textFill>
            <w14:solidFill>
              <w14:schemeClr w14:val="tx1"/>
            </w14:solidFill>
          </w14:textFill>
        </w:rPr>
        <w:t>（五）</w:t>
      </w:r>
      <w:r>
        <w:rPr>
          <w:rFonts w:hint="eastAsia"/>
          <w:b/>
          <w:bCs/>
          <w:color w:val="000000" w:themeColor="text1"/>
          <w:sz w:val="24"/>
          <w14:textFill>
            <w14:solidFill>
              <w14:schemeClr w14:val="tx1"/>
            </w14:solidFill>
          </w14:textFill>
        </w:rPr>
        <w:t>售后服务</w:t>
      </w:r>
    </w:p>
    <w:p>
      <w:pPr>
        <w:spacing w:line="432" w:lineRule="auto"/>
        <w:ind w:firstLine="480" w:firstLineChars="200"/>
        <w:jc w:val="left"/>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.1货物保修期不少于</w:t>
      </w:r>
      <w:r>
        <w:rPr>
          <w:rFonts w:hint="eastAsia" w:ascii="宋体" w:hAnsi="宋体"/>
          <w:color w:val="000000" w:themeColor="text1"/>
          <w:sz w:val="24"/>
          <w:lang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年，且保修期内非人为有意损坏实行包修、包换，时间自货物最终验收合格并交付使用之日起计算。在保修期内，如货物发生非人为的质量问题，投标人的售后服务点保证在30分钟之内给予响应，3小时内赶到现场修理、更换部件，费用由投标人负责。</w:t>
      </w:r>
    </w:p>
    <w:p>
      <w:pPr>
        <w:spacing w:line="432" w:lineRule="auto"/>
        <w:ind w:firstLine="480" w:firstLineChars="200"/>
        <w:jc w:val="left"/>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5.2</w:t>
      </w:r>
      <w:r>
        <w:rPr>
          <w:rFonts w:hint="eastAsia" w:ascii="宋体" w:hAnsi="宋体"/>
          <w:color w:val="000000" w:themeColor="text1"/>
          <w:sz w:val="24"/>
          <w14:textFill>
            <w14:solidFill>
              <w14:schemeClr w14:val="tx1"/>
            </w14:solidFill>
          </w14:textFill>
        </w:rPr>
        <w:t>在合同货物保修期满后，投标人保证继续为采购人提供货物的维修服务，投标人须以不高于市场零售价格的配件价格向采购人提供零备件。</w:t>
      </w:r>
    </w:p>
    <w:p>
      <w:pPr>
        <w:pStyle w:val="3"/>
        <w:numPr>
          <w:ilvl w:val="1"/>
          <w:numId w:val="0"/>
        </w:numPr>
        <w:tabs>
          <w:tab w:val="center" w:pos="4536"/>
          <w:tab w:val="left" w:pos="5880"/>
        </w:tabs>
        <w:ind w:leftChars="0"/>
        <w:rPr>
          <w:color w:val="000000" w:themeColor="text1"/>
          <w14:textFill>
            <w14:solidFill>
              <w14:schemeClr w14:val="tx1"/>
            </w14:solidFill>
          </w14:textFill>
        </w:rPr>
      </w:pPr>
      <w:bookmarkStart w:id="7" w:name="_Toc1908"/>
      <w:bookmarkStart w:id="8" w:name="_Toc29362"/>
      <w:bookmarkStart w:id="9" w:name="_Toc260735341"/>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、其他要求</w:t>
      </w:r>
      <w:bookmarkEnd w:id="7"/>
      <w:bookmarkEnd w:id="8"/>
      <w:bookmarkEnd w:id="9"/>
    </w:p>
    <w:p>
      <w:pPr>
        <w:spacing w:line="432" w:lineRule="auto"/>
        <w:ind w:firstLine="480" w:firstLine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6.1</w:t>
      </w:r>
      <w:r>
        <w:rPr>
          <w:rFonts w:hint="eastAsia" w:ascii="宋体" w:hAnsi="宋体"/>
          <w:color w:val="000000" w:themeColor="text1"/>
          <w:sz w:val="24"/>
          <w14:textFill>
            <w14:solidFill>
              <w14:schemeClr w14:val="tx1"/>
            </w14:solidFill>
          </w14:textFill>
        </w:rPr>
        <w:t>投标人应保证所提供的货物是全新的、未使用过的，并符合国家有关质量标准及规范；</w:t>
      </w:r>
    </w:p>
    <w:p>
      <w:pPr>
        <w:spacing w:line="432" w:lineRule="auto"/>
        <w:ind w:firstLine="480" w:firstLine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6.2</w:t>
      </w:r>
      <w:r>
        <w:rPr>
          <w:rFonts w:hint="eastAsia" w:ascii="宋体" w:hAnsi="宋体"/>
          <w:color w:val="000000" w:themeColor="text1"/>
          <w:sz w:val="24"/>
          <w14:textFill>
            <w14:solidFill>
              <w14:schemeClr w14:val="tx1"/>
            </w14:solidFill>
          </w14:textFill>
        </w:rPr>
        <w:t>所有产品均要求提供厂家标准售后服务，提供详细的售后服务和质量承诺书。</w:t>
      </w:r>
    </w:p>
    <w:p>
      <w:pPr>
        <w:spacing w:line="432" w:lineRule="auto"/>
        <w:ind w:firstLine="480" w:firstLine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6.3</w:t>
      </w:r>
      <w:r>
        <w:rPr>
          <w:rFonts w:hint="eastAsia" w:ascii="宋体" w:hAnsi="宋体"/>
          <w:color w:val="000000" w:themeColor="text1"/>
          <w:sz w:val="24"/>
          <w14:textFill>
            <w14:solidFill>
              <w14:schemeClr w14:val="tx1"/>
            </w14:solidFill>
          </w14:textFill>
        </w:rPr>
        <w:t>投标人应在投标文件中标明所提供货物的产地、品牌、生产厂家、规格及型号。</w:t>
      </w:r>
    </w:p>
    <w:p>
      <w:pPr>
        <w:spacing w:line="432" w:lineRule="auto"/>
        <w:ind w:firstLine="480" w:firstLine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6.4</w:t>
      </w:r>
      <w:r>
        <w:rPr>
          <w:rFonts w:hint="eastAsia" w:ascii="宋体" w:hAnsi="宋体"/>
          <w:color w:val="000000" w:themeColor="text1"/>
          <w:sz w:val="24"/>
          <w14:textFill>
            <w14:solidFill>
              <w14:schemeClr w14:val="tx1"/>
            </w14:solidFill>
          </w14:textFill>
        </w:rPr>
        <w:t>投标人应在投标报价中标明所有货物的单价及总价。</w:t>
      </w:r>
    </w:p>
    <w:p>
      <w:pPr>
        <w:pStyle w:val="3"/>
        <w:numPr>
          <w:ilvl w:val="1"/>
          <w:numId w:val="0"/>
        </w:numPr>
        <w:tabs>
          <w:tab w:val="center" w:pos="4536"/>
          <w:tab w:val="left" w:pos="5880"/>
        </w:tabs>
        <w:ind w:leftChars="0"/>
        <w:rPr>
          <w:color w:val="000000" w:themeColor="text1"/>
          <w14:textFill>
            <w14:solidFill>
              <w14:schemeClr w14:val="tx1"/>
            </w14:solidFill>
          </w14:textFill>
        </w:rPr>
      </w:pPr>
      <w:bookmarkStart w:id="10" w:name="_Toc7254"/>
      <w:r>
        <w:rPr>
          <w:rFonts w:hint="eastAsia"/>
          <w:color w:val="000000" w:themeColor="text1"/>
          <w:lang w:eastAsia="zh-CN"/>
          <w14:textFill>
            <w14:solidFill>
              <w14:schemeClr w14:val="tx1"/>
            </w14:solidFill>
          </w14:textFill>
        </w:rPr>
        <w:t>七</w:t>
      </w:r>
      <w:r>
        <w:rPr>
          <w:rFonts w:hint="eastAsia"/>
          <w:color w:val="000000" w:themeColor="text1"/>
          <w14:textFill>
            <w14:solidFill>
              <w14:schemeClr w14:val="tx1"/>
            </w14:solidFill>
          </w14:textFill>
        </w:rPr>
        <w:t>、验收</w:t>
      </w:r>
      <w:bookmarkEnd w:id="10"/>
    </w:p>
    <w:p>
      <w:pPr>
        <w:spacing w:line="432" w:lineRule="auto"/>
        <w:ind w:left="420" w:left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.1抽样检测</w:t>
      </w:r>
    </w:p>
    <w:p>
      <w:pPr>
        <w:spacing w:line="432" w:lineRule="auto"/>
        <w:ind w:firstLine="420" w:firstLineChars="175"/>
        <w:jc w:val="left"/>
        <w:textAlignment w:val="baseline"/>
        <w:rPr>
          <w:rFonts w:ascii="宋体" w:hAnsi="宋体"/>
          <w:color w:val="000000" w:themeColor="text1"/>
          <w:sz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中标单位在交货时</w:t>
      </w:r>
      <w:r>
        <w:rPr>
          <w:rFonts w:hint="eastAsia" w:ascii="宋体" w:hAnsi="宋体"/>
          <w:color w:val="000000" w:themeColor="text1"/>
          <w:sz w:val="24"/>
          <w14:textFill>
            <w14:solidFill>
              <w14:schemeClr w14:val="tx1"/>
            </w14:solidFill>
          </w14:textFill>
        </w:rPr>
        <w:t>，</w:t>
      </w:r>
      <w:r>
        <w:rPr>
          <w:rFonts w:hint="eastAsia" w:ascii="宋体" w:hAnsi="宋体" w:cs="仿宋_GB2312"/>
          <w:color w:val="000000" w:themeColor="text1"/>
          <w:sz w:val="24"/>
          <w:szCs w:val="24"/>
          <w14:textFill>
            <w14:solidFill>
              <w14:schemeClr w14:val="tx1"/>
            </w14:solidFill>
          </w14:textFill>
        </w:rPr>
        <w:t>须各多提供2~3套课桌椅，甲方会随机抽取一部分样品送至甲方指定的国家检测机构进行检测；抽检的货物做为验收的依据，不予退还。</w:t>
      </w:r>
    </w:p>
    <w:p>
      <w:pPr>
        <w:spacing w:line="432" w:lineRule="auto"/>
        <w:ind w:left="420" w:left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.2验收材料审核</w:t>
      </w:r>
    </w:p>
    <w:p>
      <w:pPr>
        <w:spacing w:line="432" w:lineRule="auto"/>
        <w:ind w:firstLine="420" w:firstLineChars="175"/>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完工后，中标方需提供（包含但不限于）：验收申请函、中标通知书（复印件）、合同（复印件）、到货签收单、施工记录、安装调试合格确认书、投标时的所有证书和检测报告、产品合格证（每样产品一份）、说明书（每样产品一份）、培训记录、售后承诺函等竣工文件汇编。</w:t>
      </w:r>
    </w:p>
    <w:p>
      <w:pPr>
        <w:spacing w:line="432" w:lineRule="auto"/>
        <w:ind w:left="420" w:leftChars="200"/>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.3现场验收</w:t>
      </w:r>
    </w:p>
    <w:p>
      <w:pPr>
        <w:widowControl/>
        <w:spacing w:line="360" w:lineRule="auto"/>
        <w:ind w:firstLine="420" w:firstLineChars="175"/>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对招投标文件中其他参数由甲乙双方组织有关部门、专家进行现场操作验收，如任一项功能、参数或品牌型号与投标文件响应的不符，则该项目不合格。</w:t>
      </w:r>
    </w:p>
    <w:p>
      <w:pPr>
        <w:widowControl/>
        <w:spacing w:line="360" w:lineRule="auto"/>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第一次验收不合格，中标方可申请第二次验收，如果仍然不合格，甲方有权拒绝再次验收，一切损失由中标方承担。</w:t>
      </w:r>
      <w:r>
        <w:rPr>
          <w:rFonts w:hint="eastAsia" w:ascii="宋体" w:hAnsi="宋体" w:cs="仿宋_GB2312"/>
          <w:color w:val="000000" w:themeColor="text1"/>
          <w:sz w:val="24"/>
          <w:szCs w:val="24"/>
          <w14:textFill>
            <w14:solidFill>
              <w14:schemeClr w14:val="tx1"/>
            </w14:solidFill>
          </w14:textFill>
        </w:rPr>
        <w:t>抽检货物送检的物流费、检验费及其它验收费用由乙方承担</w:t>
      </w:r>
      <w:r>
        <w:rPr>
          <w:rFonts w:hint="eastAsia" w:ascii="宋体" w:hAnsi="宋体" w:cs="宋体"/>
          <w:bCs/>
          <w:color w:val="000000" w:themeColor="text1"/>
          <w:kern w:val="0"/>
          <w:sz w:val="24"/>
          <w14:textFill>
            <w14:solidFill>
              <w14:schemeClr w14:val="tx1"/>
            </w14:solidFill>
          </w14:textFill>
        </w:rPr>
        <w:t>，费用计入报价。</w:t>
      </w:r>
    </w:p>
    <w:p>
      <w:pPr>
        <w:pStyle w:val="3"/>
        <w:numPr>
          <w:ilvl w:val="1"/>
          <w:numId w:val="0"/>
        </w:numPr>
        <w:tabs>
          <w:tab w:val="center" w:pos="4536"/>
          <w:tab w:val="left" w:pos="5880"/>
        </w:tabs>
        <w:ind w:leftChars="0"/>
        <w:rPr>
          <w:color w:val="000000" w:themeColor="text1"/>
          <w14:textFill>
            <w14:solidFill>
              <w14:schemeClr w14:val="tx1"/>
            </w14:solidFill>
          </w14:textFill>
        </w:rPr>
      </w:pPr>
      <w:bookmarkStart w:id="11" w:name="_Toc28434"/>
      <w:r>
        <w:rPr>
          <w:rFonts w:hint="eastAsia"/>
          <w:color w:val="000000" w:themeColor="text1"/>
          <w:lang w:eastAsia="zh-CN"/>
          <w14:textFill>
            <w14:solidFill>
              <w14:schemeClr w14:val="tx1"/>
            </w14:solidFill>
          </w14:textFill>
        </w:rPr>
        <w:t>八</w:t>
      </w:r>
      <w:r>
        <w:rPr>
          <w:rFonts w:hint="eastAsia"/>
          <w:color w:val="000000" w:themeColor="text1"/>
          <w14:textFill>
            <w14:solidFill>
              <w14:schemeClr w14:val="tx1"/>
            </w14:solidFill>
          </w14:textFill>
        </w:rPr>
        <w:t>、付款方式</w:t>
      </w:r>
      <w:bookmarkEnd w:id="11"/>
    </w:p>
    <w:p>
      <w:pPr>
        <w:spacing w:line="432" w:lineRule="auto"/>
        <w:ind w:firstLine="420" w:firstLineChars="175"/>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设备安装调试验收合格后首期支付合同金额的95％，如无质量问题第二年付剩余5%。</w:t>
      </w:r>
    </w:p>
    <w:p>
      <w:pPr>
        <w:pStyle w:val="3"/>
        <w:numPr>
          <w:ilvl w:val="1"/>
          <w:numId w:val="0"/>
        </w:numPr>
        <w:tabs>
          <w:tab w:val="center" w:pos="4536"/>
          <w:tab w:val="left" w:pos="5880"/>
        </w:tabs>
        <w:ind w:leftChars="0"/>
        <w:rPr>
          <w:color w:val="000000" w:themeColor="text1"/>
          <w14:textFill>
            <w14:solidFill>
              <w14:schemeClr w14:val="tx1"/>
            </w14:solidFill>
          </w14:textFill>
        </w:rPr>
      </w:pPr>
      <w:bookmarkStart w:id="12" w:name="_Toc14439"/>
      <w:r>
        <w:rPr>
          <w:rFonts w:hint="eastAsia"/>
          <w:color w:val="000000" w:themeColor="text1"/>
          <w:lang w:eastAsia="zh-CN"/>
          <w14:textFill>
            <w14:solidFill>
              <w14:schemeClr w14:val="tx1"/>
            </w14:solidFill>
          </w14:textFill>
        </w:rPr>
        <w:t>九</w:t>
      </w:r>
      <w:r>
        <w:rPr>
          <w:rFonts w:hint="eastAsia"/>
          <w:color w:val="000000" w:themeColor="text1"/>
          <w14:textFill>
            <w14:solidFill>
              <w14:schemeClr w14:val="tx1"/>
            </w14:solidFill>
          </w14:textFill>
        </w:rPr>
        <w:t>、供货期及供货地点</w:t>
      </w:r>
      <w:bookmarkEnd w:id="12"/>
    </w:p>
    <w:p>
      <w:pPr>
        <w:spacing w:line="432" w:lineRule="auto"/>
        <w:ind w:firstLine="420" w:firstLineChars="175"/>
        <w:jc w:val="lef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9.1</w:t>
      </w:r>
      <w:r>
        <w:rPr>
          <w:rFonts w:hint="eastAsia" w:ascii="宋体" w:hAnsi="宋体"/>
          <w:color w:val="000000" w:themeColor="text1"/>
          <w:sz w:val="24"/>
          <w14:textFill>
            <w14:solidFill>
              <w14:schemeClr w14:val="tx1"/>
            </w14:solidFill>
          </w14:textFill>
        </w:rPr>
        <w:t>本次项目供货周期为签订合同之日起20日历天。</w:t>
      </w:r>
    </w:p>
    <w:p>
      <w:pPr>
        <w:numPr>
          <w:ilvl w:val="0"/>
          <w:numId w:val="0"/>
        </w:numPr>
        <w:spacing w:line="432" w:lineRule="auto"/>
        <w:ind w:firstLine="480" w:firstLineChars="200"/>
        <w:jc w:val="left"/>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9.2</w:t>
      </w:r>
      <w:r>
        <w:rPr>
          <w:rFonts w:hint="eastAsia" w:ascii="宋体" w:hAnsi="宋体"/>
          <w:color w:val="000000" w:themeColor="text1"/>
          <w:sz w:val="24"/>
          <w14:textFill>
            <w14:solidFill>
              <w14:schemeClr w14:val="tx1"/>
            </w14:solidFill>
          </w14:textFill>
        </w:rPr>
        <w:t>本次供货地点为阳新县第一中学老校区。</w:t>
      </w:r>
    </w:p>
    <w:p>
      <w:pPr>
        <w:numPr>
          <w:ilvl w:val="0"/>
          <w:numId w:val="0"/>
        </w:numPr>
        <w:spacing w:line="432" w:lineRule="auto"/>
        <w:ind w:left="0" w:leftChars="0" w:firstLine="420" w:firstLineChars="175"/>
        <w:jc w:val="left"/>
        <w:textAlignment w:val="baseline"/>
        <w:rPr>
          <w:rFonts w:hint="default" w:ascii="宋体" w:hAnsi="宋体"/>
          <w:color w:val="000000" w:themeColor="text1"/>
          <w:sz w:val="24"/>
          <w:lang w:val="en-US" w:eastAsia="zh-CN"/>
          <w14:textFill>
            <w14:solidFill>
              <w14:schemeClr w14:val="tx1"/>
            </w14:solidFill>
          </w14:textFill>
        </w:rPr>
      </w:pPr>
    </w:p>
    <w:bookmarkEnd w:id="2"/>
    <w:bookmarkEnd w:id="3"/>
    <w:bookmarkEnd w:id="4"/>
    <w:p>
      <w:pPr>
        <w:spacing w:line="360" w:lineRule="exact"/>
        <w:ind w:left="210" w:leftChars="100"/>
        <w:jc w:val="left"/>
        <w:rPr>
          <w:rFonts w:ascii="宋体" w:hAnsi="宋体"/>
          <w:color w:val="000000" w:themeColor="text1"/>
          <w:sz w:val="24"/>
          <w14:textFill>
            <w14:solidFill>
              <w14:schemeClr w14:val="tx1"/>
            </w14:solidFill>
          </w14:textFill>
        </w:rPr>
      </w:pPr>
    </w:p>
    <w:p>
      <w:pPr>
        <w:spacing w:line="440" w:lineRule="exact"/>
        <w:rPr>
          <w:rFonts w:hint="eastAsia" w:ascii="Cambria" w:hAnsi="Cambria" w:eastAsia="宋体" w:cs="Times New Roman"/>
          <w:b/>
          <w:bCs/>
          <w:color w:val="000000" w:themeColor="text1"/>
          <w:kern w:val="0"/>
          <w:sz w:val="28"/>
          <w:szCs w:val="28"/>
          <w:lang w:val="en-US" w:eastAsia="zh-CN" w:bidi="ar-SA"/>
          <w14:textFill>
            <w14:solidFill>
              <w14:schemeClr w14:val="tx1"/>
            </w14:solidFill>
          </w14:textFill>
        </w:rPr>
      </w:pPr>
      <w:r>
        <w:rPr>
          <w:rFonts w:hint="eastAsia" w:ascii="Cambria" w:hAnsi="Cambria" w:eastAsia="宋体" w:cs="Times New Roman"/>
          <w:b/>
          <w:bCs/>
          <w:color w:val="000000" w:themeColor="text1"/>
          <w:kern w:val="0"/>
          <w:sz w:val="28"/>
          <w:szCs w:val="28"/>
          <w:lang w:val="en-US" w:eastAsia="zh-CN" w:bidi="ar-SA"/>
          <w14:textFill>
            <w14:solidFill>
              <w14:schemeClr w14:val="tx1"/>
            </w14:solidFill>
          </w14:textFill>
        </w:rPr>
        <w:t>十、确定成交供应商</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根据符合采购需求、质量和服务相等且报价最低的原则确定成交候选供应商。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rFonts w:hint="eastAsia" w:ascii="宋体" w:hAnsi="宋体" w:cs="宋体"/>
          <w:color w:val="000000" w:themeColor="text1"/>
          <w:kern w:val="0"/>
          <w:sz w:val="32"/>
          <w:szCs w:val="32"/>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both"/>
        <w:rPr>
          <w:rFonts w:hint="eastAsia" w:ascii="宋体" w:hAnsi="宋体" w:cs="宋体"/>
          <w:color w:val="000000" w:themeColor="text1"/>
          <w:kern w:val="0"/>
          <w:sz w:val="32"/>
          <w:szCs w:val="32"/>
          <w:lang w:val="en-US" w:eastAsia="zh-CN" w:bidi="ar"/>
          <w14:textFill>
            <w14:solidFill>
              <w14:schemeClr w14:val="tx1"/>
            </w14:solidFill>
          </w14:textFill>
        </w:rPr>
      </w:pPr>
      <w:r>
        <w:rPr>
          <w:rFonts w:hint="eastAsia" w:ascii="宋体" w:hAnsi="宋体" w:cs="宋体"/>
          <w:color w:val="000000" w:themeColor="text1"/>
          <w:kern w:val="0"/>
          <w:sz w:val="32"/>
          <w:szCs w:val="32"/>
          <w:lang w:val="en-US" w:eastAsia="zh-CN" w:bidi="ar"/>
          <w14:textFill>
            <w14:solidFill>
              <w14:schemeClr w14:val="tx1"/>
            </w14:solidFill>
          </w14:textFill>
        </w:rPr>
        <w:t>附件2：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center"/>
        <w:rPr>
          <w:color w:val="000000" w:themeColor="text1"/>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供应商报名表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226" w:right="-226"/>
        <w:jc w:val="both"/>
        <w:rPr>
          <w:color w:val="000000" w:themeColor="text1"/>
          <w14:textFill>
            <w14:solidFill>
              <w14:schemeClr w14:val="tx1"/>
            </w14:solidFill>
          </w14:textFill>
        </w:rPr>
      </w:pPr>
      <w:r>
        <w:rPr>
          <w:rFonts w:ascii="微软雅黑" w:hAnsi="微软雅黑" w:eastAsia="微软雅黑" w:cs="Calibri"/>
          <w:color w:val="000000" w:themeColor="text1"/>
          <w:kern w:val="0"/>
          <w:sz w:val="24"/>
          <w:szCs w:val="24"/>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26" w:right="-226"/>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项目编号：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226" w:right="-226"/>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项目名称：</w:t>
      </w:r>
    </w:p>
    <w:tbl>
      <w:tblPr>
        <w:tblStyle w:val="11"/>
        <w:tblW w:w="8519" w:type="dxa"/>
        <w:tblInd w:w="-22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237"/>
        <w:gridCol w:w="62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0" w:hRule="atLeast"/>
        </w:trPr>
        <w:tc>
          <w:tcPr>
            <w:tcW w:w="22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供应商名称（盖章）</w:t>
            </w:r>
          </w:p>
        </w:tc>
        <w:tc>
          <w:tcPr>
            <w:tcW w:w="62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联系人姓名</w:t>
            </w:r>
          </w:p>
        </w:tc>
        <w:tc>
          <w:tcPr>
            <w:tcW w:w="62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联系人电话（办公电话和手机）</w:t>
            </w:r>
          </w:p>
        </w:tc>
        <w:tc>
          <w:tcPr>
            <w:tcW w:w="62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联系人邮箱</w:t>
            </w:r>
          </w:p>
        </w:tc>
        <w:tc>
          <w:tcPr>
            <w:tcW w:w="628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供应商提供的报名资料</w:t>
            </w:r>
          </w:p>
        </w:tc>
        <w:tc>
          <w:tcPr>
            <w:tcW w:w="628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1.</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法人或者其他组织的营业执照等证明文件，如供应商是自然人的提供身份证明材料。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000000" w:themeColor="text1"/>
                <w:sz w:val="24"/>
                <w:szCs w:val="24"/>
                <w14:textFill>
                  <w14:solidFill>
                    <w14:schemeClr w14:val="tx1"/>
                  </w14:solidFill>
                </w14:textFill>
              </w:rPr>
            </w:pPr>
          </w:p>
        </w:tc>
        <w:tc>
          <w:tcPr>
            <w:tcW w:w="628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2.</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财务状况报告，依法缴纳税收和社会保障资金的相关材料。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000000" w:themeColor="text1"/>
                <w:sz w:val="24"/>
                <w:szCs w:val="24"/>
                <w14:textFill>
                  <w14:solidFill>
                    <w14:schemeClr w14:val="tx1"/>
                  </w14:solidFill>
                </w14:textFill>
              </w:rPr>
            </w:pPr>
          </w:p>
        </w:tc>
        <w:tc>
          <w:tcPr>
            <w:tcW w:w="628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3.</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具备履行合同所必需的设备和专业技术能力的证明材料。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000000" w:themeColor="text1"/>
                <w:sz w:val="24"/>
                <w:szCs w:val="24"/>
                <w14:textFill>
                  <w14:solidFill>
                    <w14:schemeClr w14:val="tx1"/>
                  </w14:solidFill>
                </w14:textFill>
              </w:rPr>
            </w:pPr>
          </w:p>
        </w:tc>
        <w:tc>
          <w:tcPr>
            <w:tcW w:w="628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4.</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参加政府采购活动前</w:t>
            </w: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3</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年内在经营活动中没有重大违法记录的书面声明。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000000" w:themeColor="text1"/>
                <w:sz w:val="24"/>
                <w:szCs w:val="24"/>
                <w14:textFill>
                  <w14:solidFill>
                    <w14:schemeClr w14:val="tx1"/>
                  </w14:solidFill>
                </w14:textFill>
              </w:rPr>
            </w:pPr>
          </w:p>
        </w:tc>
        <w:tc>
          <w:tcPr>
            <w:tcW w:w="628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5.</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具备法律、行政法规规定的其他条件的证明材料。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 w:hRule="atLeast"/>
        </w:trPr>
        <w:tc>
          <w:tcPr>
            <w:tcW w:w="223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000000" w:themeColor="text1"/>
                <w:sz w:val="24"/>
                <w:szCs w:val="24"/>
                <w14:textFill>
                  <w14:solidFill>
                    <w14:schemeClr w14:val="tx1"/>
                  </w14:solidFill>
                </w14:textFill>
              </w:rPr>
            </w:pPr>
          </w:p>
        </w:tc>
        <w:tc>
          <w:tcPr>
            <w:tcW w:w="6282"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Autospacing="1" w:line="315" w:lineRule="atLeast"/>
              <w:jc w:val="left"/>
              <w:rPr>
                <w:color w:val="000000" w:themeColor="text1"/>
                <w14:textFill>
                  <w14:solidFill>
                    <w14:schemeClr w14:val="tx1"/>
                  </w14:solidFill>
                </w14:textFill>
              </w:rPr>
            </w:pP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6.</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未被列入</w:t>
            </w: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信用中国</w:t>
            </w: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失信被执行人、重大税收违法案件当事人名单、</w:t>
            </w: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中国政府采购网</w:t>
            </w:r>
            <w:r>
              <w:rPr>
                <w:rFonts w:hint="default" w:ascii="Times New Roman" w:hAnsi="Times New Roman" w:eastAsia="微软雅黑" w:cs="Times New Roman"/>
                <w:color w:val="000000" w:themeColor="text1"/>
                <w:kern w:val="0"/>
                <w:sz w:val="24"/>
                <w:szCs w:val="21"/>
                <w:lang w:val="en-US" w:eastAsia="zh-CN" w:bidi="ar"/>
                <w14:textFill>
                  <w14:solidFill>
                    <w14:schemeClr w14:val="tx1"/>
                  </w14:solidFill>
                </w14:textFill>
              </w:rPr>
              <w:t>”</w:t>
            </w:r>
            <w:r>
              <w:rPr>
                <w:rFonts w:hint="eastAsia" w:ascii="Times New Roman" w:hAnsi="Times New Roman" w:eastAsia="宋体" w:cs="宋体"/>
                <w:color w:val="000000" w:themeColor="text1"/>
                <w:kern w:val="0"/>
                <w:sz w:val="24"/>
                <w:szCs w:val="21"/>
                <w:lang w:val="en-US" w:eastAsia="zh-CN" w:bidi="ar"/>
                <w14:textFill>
                  <w14:solidFill>
                    <w14:schemeClr w14:val="tx1"/>
                  </w14:solidFill>
                </w14:textFill>
              </w:rPr>
              <w:t>政府采购严重违法失信行为记录名单的网页打印件。</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color w:val="000000" w:themeColor="text1"/>
          <w:sz w:val="21"/>
          <w:szCs w:val="16"/>
          <w14:textFill>
            <w14:solidFill>
              <w14:schemeClr w14:val="tx1"/>
            </w14:solidFill>
          </w14:textFill>
        </w:rPr>
      </w:pPr>
      <w:r>
        <w:rPr>
          <w:color w:val="000000" w:themeColor="text1"/>
          <w:sz w:val="21"/>
          <w:szCs w:val="16"/>
          <w14:textFill>
            <w14:solidFill>
              <w14:schemeClr w14:val="tx1"/>
            </w14:solidFill>
          </w14:textFill>
        </w:rPr>
        <w:t>注意事项：</w:t>
      </w:r>
      <w:r>
        <w:rPr>
          <w:color w:val="000000" w:themeColor="text1"/>
          <w:sz w:val="21"/>
          <w:szCs w:val="16"/>
          <w14:textFill>
            <w14:solidFill>
              <w14:schemeClr w14:val="tx1"/>
            </w14:solidFill>
          </w14:textFill>
        </w:rPr>
        <w:br w:type="textWrapping"/>
      </w:r>
      <w:r>
        <w:rPr>
          <w:color w:val="000000" w:themeColor="text1"/>
          <w:sz w:val="21"/>
          <w:szCs w:val="16"/>
          <w14:textFill>
            <w14:solidFill>
              <w14:schemeClr w14:val="tx1"/>
            </w14:solidFill>
          </w14:textFill>
        </w:rPr>
        <w:t>1.供应商必须严格按照公告的内容和要求，完整递交有关资料，逾期递交的将予以拒收。</w:t>
      </w:r>
      <w:r>
        <w:rPr>
          <w:color w:val="000000" w:themeColor="text1"/>
          <w:sz w:val="21"/>
          <w:szCs w:val="16"/>
          <w14:textFill>
            <w14:solidFill>
              <w14:schemeClr w14:val="tx1"/>
            </w14:solidFill>
          </w14:textFill>
        </w:rPr>
        <w:br w:type="textWrapping"/>
      </w:r>
      <w:r>
        <w:rPr>
          <w:color w:val="000000" w:themeColor="text1"/>
          <w:sz w:val="21"/>
          <w:szCs w:val="16"/>
          <w14:textFill>
            <w14:solidFill>
              <w14:schemeClr w14:val="tx1"/>
            </w14:solidFill>
          </w14:textFill>
        </w:rPr>
        <w:t>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r>
        <w:rPr>
          <w:color w:val="000000" w:themeColor="text1"/>
          <w:sz w:val="21"/>
          <w:szCs w:val="16"/>
          <w14:textFill>
            <w14:solidFill>
              <w14:schemeClr w14:val="tx1"/>
            </w14:solidFill>
          </w14:textFill>
        </w:rPr>
        <w:br w:type="textWrapping"/>
      </w:r>
      <w:r>
        <w:rPr>
          <w:color w:val="000000" w:themeColor="text1"/>
          <w:sz w:val="21"/>
          <w:szCs w:val="16"/>
          <w14:textFill>
            <w14:solidFill>
              <w14:schemeClr w14:val="tx1"/>
            </w14:solidFill>
          </w14:textFill>
        </w:rPr>
        <w:t>3.须在邮件（附件文件名注明公司全称）注明公司全称、项目名称及项目编号（不注明我单位将拒收报名邮件）。</w:t>
      </w:r>
    </w:p>
    <w:p>
      <w:pPr>
        <w:pStyle w:val="24"/>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C96BE"/>
    <w:multiLevelType w:val="singleLevel"/>
    <w:tmpl w:val="FF3C96BE"/>
    <w:lvl w:ilvl="0" w:tentative="0">
      <w:start w:val="1"/>
      <w:numFmt w:val="decimal"/>
      <w:suff w:val="nothing"/>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lvlText w:val="%1.%2.%3"/>
      <w:lvlJc w:val="left"/>
      <w:pPr>
        <w:tabs>
          <w:tab w:val="left" w:pos="1260"/>
        </w:tabs>
        <w:ind w:left="126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
    <w:nsid w:val="5B14ADAE"/>
    <w:multiLevelType w:val="multilevel"/>
    <w:tmpl w:val="5B14ADAE"/>
    <w:lvl w:ilvl="0" w:tentative="0">
      <w:start w:val="1"/>
      <w:numFmt w:val="japaneseCounting"/>
      <w:lvlText w:val="%1、"/>
      <w:lvlJc w:val="left"/>
      <w:pPr>
        <w:ind w:left="510" w:hanging="510"/>
      </w:pPr>
      <w:rPr>
        <w:rFonts w:hint="eastAsia" w:ascii="宋体"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AA6518"/>
    <w:multiLevelType w:val="singleLevel"/>
    <w:tmpl w:val="6BAA6518"/>
    <w:lvl w:ilvl="0" w:tentative="0">
      <w:start w:val="1"/>
      <w:numFmt w:val="decimal"/>
      <w:suff w:val="nothing"/>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06"/>
    <w:rsid w:val="00000B78"/>
    <w:rsid w:val="00013B24"/>
    <w:rsid w:val="00013F7B"/>
    <w:rsid w:val="00016CF2"/>
    <w:rsid w:val="00022061"/>
    <w:rsid w:val="00022AE2"/>
    <w:rsid w:val="00032041"/>
    <w:rsid w:val="00034368"/>
    <w:rsid w:val="0003694F"/>
    <w:rsid w:val="00043D6D"/>
    <w:rsid w:val="00054214"/>
    <w:rsid w:val="00064D59"/>
    <w:rsid w:val="00085B9E"/>
    <w:rsid w:val="000B075B"/>
    <w:rsid w:val="000B593D"/>
    <w:rsid w:val="000C577B"/>
    <w:rsid w:val="000D1808"/>
    <w:rsid w:val="000D7914"/>
    <w:rsid w:val="000E32DC"/>
    <w:rsid w:val="000F660D"/>
    <w:rsid w:val="00104503"/>
    <w:rsid w:val="00105929"/>
    <w:rsid w:val="00114374"/>
    <w:rsid w:val="0011515A"/>
    <w:rsid w:val="0011539F"/>
    <w:rsid w:val="00121EBD"/>
    <w:rsid w:val="00124017"/>
    <w:rsid w:val="00151BE5"/>
    <w:rsid w:val="00155B8F"/>
    <w:rsid w:val="00161BDE"/>
    <w:rsid w:val="0016278A"/>
    <w:rsid w:val="00171A99"/>
    <w:rsid w:val="001744A1"/>
    <w:rsid w:val="0017689E"/>
    <w:rsid w:val="001803C8"/>
    <w:rsid w:val="00185FF2"/>
    <w:rsid w:val="00197E9C"/>
    <w:rsid w:val="001C0315"/>
    <w:rsid w:val="001D30B7"/>
    <w:rsid w:val="001D3CAE"/>
    <w:rsid w:val="001D45C6"/>
    <w:rsid w:val="001D6A65"/>
    <w:rsid w:val="001D6FCD"/>
    <w:rsid w:val="001D7BC7"/>
    <w:rsid w:val="001E28D6"/>
    <w:rsid w:val="001E324E"/>
    <w:rsid w:val="001E74C4"/>
    <w:rsid w:val="00204465"/>
    <w:rsid w:val="002141A4"/>
    <w:rsid w:val="00215816"/>
    <w:rsid w:val="00223824"/>
    <w:rsid w:val="00240EE9"/>
    <w:rsid w:val="00246491"/>
    <w:rsid w:val="00247E24"/>
    <w:rsid w:val="00250019"/>
    <w:rsid w:val="00253242"/>
    <w:rsid w:val="00254C50"/>
    <w:rsid w:val="0026176C"/>
    <w:rsid w:val="00264C02"/>
    <w:rsid w:val="00282981"/>
    <w:rsid w:val="00286BD4"/>
    <w:rsid w:val="00290A1F"/>
    <w:rsid w:val="00293A0B"/>
    <w:rsid w:val="002A33E1"/>
    <w:rsid w:val="002A469E"/>
    <w:rsid w:val="002D3969"/>
    <w:rsid w:val="002E5A49"/>
    <w:rsid w:val="002E5BF2"/>
    <w:rsid w:val="002F0C1A"/>
    <w:rsid w:val="002F14C2"/>
    <w:rsid w:val="002F2BA7"/>
    <w:rsid w:val="00304B42"/>
    <w:rsid w:val="00315740"/>
    <w:rsid w:val="00317050"/>
    <w:rsid w:val="00320BAF"/>
    <w:rsid w:val="00334518"/>
    <w:rsid w:val="00342854"/>
    <w:rsid w:val="00351622"/>
    <w:rsid w:val="00356EF1"/>
    <w:rsid w:val="003577BA"/>
    <w:rsid w:val="00366DDC"/>
    <w:rsid w:val="00374055"/>
    <w:rsid w:val="0037752E"/>
    <w:rsid w:val="003841E7"/>
    <w:rsid w:val="0039696A"/>
    <w:rsid w:val="003A1E07"/>
    <w:rsid w:val="003A532E"/>
    <w:rsid w:val="003C5ACE"/>
    <w:rsid w:val="003D24F8"/>
    <w:rsid w:val="003D3D7E"/>
    <w:rsid w:val="003D5423"/>
    <w:rsid w:val="003E38AA"/>
    <w:rsid w:val="003F3E3F"/>
    <w:rsid w:val="003F4C9E"/>
    <w:rsid w:val="003F58F2"/>
    <w:rsid w:val="004018E6"/>
    <w:rsid w:val="0040512A"/>
    <w:rsid w:val="00407DF4"/>
    <w:rsid w:val="00421668"/>
    <w:rsid w:val="00423959"/>
    <w:rsid w:val="00441BD8"/>
    <w:rsid w:val="00445A74"/>
    <w:rsid w:val="00454F01"/>
    <w:rsid w:val="00466AC4"/>
    <w:rsid w:val="00475943"/>
    <w:rsid w:val="0048111A"/>
    <w:rsid w:val="0049670C"/>
    <w:rsid w:val="004A1D47"/>
    <w:rsid w:val="004A3A06"/>
    <w:rsid w:val="004C1A0D"/>
    <w:rsid w:val="004F69AD"/>
    <w:rsid w:val="005029B3"/>
    <w:rsid w:val="0052490D"/>
    <w:rsid w:val="00526A9C"/>
    <w:rsid w:val="00551BAE"/>
    <w:rsid w:val="00555E29"/>
    <w:rsid w:val="00560521"/>
    <w:rsid w:val="00563E17"/>
    <w:rsid w:val="0056450B"/>
    <w:rsid w:val="00574464"/>
    <w:rsid w:val="00584480"/>
    <w:rsid w:val="00584F81"/>
    <w:rsid w:val="00594EAB"/>
    <w:rsid w:val="00596492"/>
    <w:rsid w:val="00596A48"/>
    <w:rsid w:val="005A5169"/>
    <w:rsid w:val="005B2F44"/>
    <w:rsid w:val="005C1F9C"/>
    <w:rsid w:val="005C39C9"/>
    <w:rsid w:val="005C4316"/>
    <w:rsid w:val="005C4349"/>
    <w:rsid w:val="005C47E3"/>
    <w:rsid w:val="005C4FA8"/>
    <w:rsid w:val="005D5DA3"/>
    <w:rsid w:val="005D7493"/>
    <w:rsid w:val="005D75A4"/>
    <w:rsid w:val="005F1C6E"/>
    <w:rsid w:val="005F2CF6"/>
    <w:rsid w:val="005F646A"/>
    <w:rsid w:val="005F72CD"/>
    <w:rsid w:val="00606DAF"/>
    <w:rsid w:val="006116B1"/>
    <w:rsid w:val="00614E39"/>
    <w:rsid w:val="00620DCD"/>
    <w:rsid w:val="00623CD1"/>
    <w:rsid w:val="006321B0"/>
    <w:rsid w:val="00643D40"/>
    <w:rsid w:val="00643FF0"/>
    <w:rsid w:val="00647848"/>
    <w:rsid w:val="00663A98"/>
    <w:rsid w:val="00670515"/>
    <w:rsid w:val="006733DD"/>
    <w:rsid w:val="006807D6"/>
    <w:rsid w:val="006822DC"/>
    <w:rsid w:val="006823C1"/>
    <w:rsid w:val="0069144D"/>
    <w:rsid w:val="006925F1"/>
    <w:rsid w:val="006952E1"/>
    <w:rsid w:val="006A0501"/>
    <w:rsid w:val="006A4AEC"/>
    <w:rsid w:val="006B2ADE"/>
    <w:rsid w:val="006C000E"/>
    <w:rsid w:val="006D1A84"/>
    <w:rsid w:val="006F1B8C"/>
    <w:rsid w:val="006F495D"/>
    <w:rsid w:val="007072B9"/>
    <w:rsid w:val="007218FF"/>
    <w:rsid w:val="007220CF"/>
    <w:rsid w:val="00723162"/>
    <w:rsid w:val="00736007"/>
    <w:rsid w:val="00737E9C"/>
    <w:rsid w:val="007578DE"/>
    <w:rsid w:val="00757955"/>
    <w:rsid w:val="00761B20"/>
    <w:rsid w:val="00771ABA"/>
    <w:rsid w:val="00771F9C"/>
    <w:rsid w:val="0078287F"/>
    <w:rsid w:val="00795AA7"/>
    <w:rsid w:val="007C0E92"/>
    <w:rsid w:val="007D08EB"/>
    <w:rsid w:val="007D2D42"/>
    <w:rsid w:val="007D56BE"/>
    <w:rsid w:val="007D6C8C"/>
    <w:rsid w:val="007E35E0"/>
    <w:rsid w:val="007E55BB"/>
    <w:rsid w:val="007F09B5"/>
    <w:rsid w:val="007F5040"/>
    <w:rsid w:val="007F609F"/>
    <w:rsid w:val="007F7E90"/>
    <w:rsid w:val="00803B22"/>
    <w:rsid w:val="0081248A"/>
    <w:rsid w:val="00812F3E"/>
    <w:rsid w:val="0082378F"/>
    <w:rsid w:val="00825FB3"/>
    <w:rsid w:val="008270DB"/>
    <w:rsid w:val="00841888"/>
    <w:rsid w:val="0084567B"/>
    <w:rsid w:val="008456C7"/>
    <w:rsid w:val="0085032B"/>
    <w:rsid w:val="008544B6"/>
    <w:rsid w:val="0086031C"/>
    <w:rsid w:val="00861C9D"/>
    <w:rsid w:val="008667A3"/>
    <w:rsid w:val="008766EF"/>
    <w:rsid w:val="00876999"/>
    <w:rsid w:val="008769E5"/>
    <w:rsid w:val="008804A0"/>
    <w:rsid w:val="0088360F"/>
    <w:rsid w:val="0088389F"/>
    <w:rsid w:val="00885CA6"/>
    <w:rsid w:val="008A64F1"/>
    <w:rsid w:val="008B3446"/>
    <w:rsid w:val="008B40F8"/>
    <w:rsid w:val="008B7CBB"/>
    <w:rsid w:val="008B7F6C"/>
    <w:rsid w:val="008C48CB"/>
    <w:rsid w:val="008C7539"/>
    <w:rsid w:val="008D0D58"/>
    <w:rsid w:val="008E07BE"/>
    <w:rsid w:val="009038EF"/>
    <w:rsid w:val="009210E8"/>
    <w:rsid w:val="00932F9E"/>
    <w:rsid w:val="00940B1B"/>
    <w:rsid w:val="0095205D"/>
    <w:rsid w:val="00961FC5"/>
    <w:rsid w:val="00963346"/>
    <w:rsid w:val="00985B42"/>
    <w:rsid w:val="009A074F"/>
    <w:rsid w:val="009D6361"/>
    <w:rsid w:val="009E154F"/>
    <w:rsid w:val="009E57B8"/>
    <w:rsid w:val="009F6AA5"/>
    <w:rsid w:val="00A03BBC"/>
    <w:rsid w:val="00A075FA"/>
    <w:rsid w:val="00A12EDF"/>
    <w:rsid w:val="00A16245"/>
    <w:rsid w:val="00A24427"/>
    <w:rsid w:val="00A277CE"/>
    <w:rsid w:val="00A31032"/>
    <w:rsid w:val="00A33364"/>
    <w:rsid w:val="00A44076"/>
    <w:rsid w:val="00A55C7A"/>
    <w:rsid w:val="00A63016"/>
    <w:rsid w:val="00A77436"/>
    <w:rsid w:val="00A92D49"/>
    <w:rsid w:val="00AA2440"/>
    <w:rsid w:val="00AD26AF"/>
    <w:rsid w:val="00AD346C"/>
    <w:rsid w:val="00AD6CE4"/>
    <w:rsid w:val="00AE4F15"/>
    <w:rsid w:val="00AE6394"/>
    <w:rsid w:val="00AE775B"/>
    <w:rsid w:val="00AF0973"/>
    <w:rsid w:val="00AF1ECE"/>
    <w:rsid w:val="00B07337"/>
    <w:rsid w:val="00B14550"/>
    <w:rsid w:val="00B21BF0"/>
    <w:rsid w:val="00B340BB"/>
    <w:rsid w:val="00B41C14"/>
    <w:rsid w:val="00B66E59"/>
    <w:rsid w:val="00B66F13"/>
    <w:rsid w:val="00B903DC"/>
    <w:rsid w:val="00B9334A"/>
    <w:rsid w:val="00B9441C"/>
    <w:rsid w:val="00BB2E90"/>
    <w:rsid w:val="00BB5C53"/>
    <w:rsid w:val="00BB7C43"/>
    <w:rsid w:val="00BC1AC6"/>
    <w:rsid w:val="00BC7103"/>
    <w:rsid w:val="00BD7DF3"/>
    <w:rsid w:val="00BE64B4"/>
    <w:rsid w:val="00C04ACE"/>
    <w:rsid w:val="00C07C78"/>
    <w:rsid w:val="00C10DF6"/>
    <w:rsid w:val="00C26744"/>
    <w:rsid w:val="00C3222C"/>
    <w:rsid w:val="00C33006"/>
    <w:rsid w:val="00C3300F"/>
    <w:rsid w:val="00C452E6"/>
    <w:rsid w:val="00C51F14"/>
    <w:rsid w:val="00C53CCF"/>
    <w:rsid w:val="00C5567E"/>
    <w:rsid w:val="00C674FA"/>
    <w:rsid w:val="00C73B7F"/>
    <w:rsid w:val="00C958B9"/>
    <w:rsid w:val="00CA1FA5"/>
    <w:rsid w:val="00CA439E"/>
    <w:rsid w:val="00CA53CF"/>
    <w:rsid w:val="00CA6425"/>
    <w:rsid w:val="00CA6749"/>
    <w:rsid w:val="00CB18BF"/>
    <w:rsid w:val="00CC0337"/>
    <w:rsid w:val="00CE756E"/>
    <w:rsid w:val="00CF132F"/>
    <w:rsid w:val="00CF339F"/>
    <w:rsid w:val="00CF5E41"/>
    <w:rsid w:val="00D01B41"/>
    <w:rsid w:val="00D11528"/>
    <w:rsid w:val="00D14E89"/>
    <w:rsid w:val="00D23BD9"/>
    <w:rsid w:val="00D417F0"/>
    <w:rsid w:val="00D47054"/>
    <w:rsid w:val="00D67C6C"/>
    <w:rsid w:val="00D72FA9"/>
    <w:rsid w:val="00D74B40"/>
    <w:rsid w:val="00D75237"/>
    <w:rsid w:val="00D831ED"/>
    <w:rsid w:val="00D969AF"/>
    <w:rsid w:val="00DA516B"/>
    <w:rsid w:val="00DA5E4B"/>
    <w:rsid w:val="00DA6AD9"/>
    <w:rsid w:val="00DB708B"/>
    <w:rsid w:val="00DC3B09"/>
    <w:rsid w:val="00DD076C"/>
    <w:rsid w:val="00DD71B0"/>
    <w:rsid w:val="00DE4D8D"/>
    <w:rsid w:val="00E01345"/>
    <w:rsid w:val="00E129F6"/>
    <w:rsid w:val="00E15396"/>
    <w:rsid w:val="00E2531C"/>
    <w:rsid w:val="00E33C0D"/>
    <w:rsid w:val="00E4307D"/>
    <w:rsid w:val="00E47C92"/>
    <w:rsid w:val="00E536D8"/>
    <w:rsid w:val="00E5546D"/>
    <w:rsid w:val="00E56AE6"/>
    <w:rsid w:val="00E622C9"/>
    <w:rsid w:val="00E6647C"/>
    <w:rsid w:val="00E677B5"/>
    <w:rsid w:val="00E727DB"/>
    <w:rsid w:val="00E771D3"/>
    <w:rsid w:val="00E90484"/>
    <w:rsid w:val="00E9351C"/>
    <w:rsid w:val="00EA748E"/>
    <w:rsid w:val="00EB0A07"/>
    <w:rsid w:val="00EB706B"/>
    <w:rsid w:val="00EB7BC5"/>
    <w:rsid w:val="00EC0CA6"/>
    <w:rsid w:val="00ED43B3"/>
    <w:rsid w:val="00ED5511"/>
    <w:rsid w:val="00EE18A1"/>
    <w:rsid w:val="00EE54FE"/>
    <w:rsid w:val="00F0066F"/>
    <w:rsid w:val="00F14706"/>
    <w:rsid w:val="00F15B1F"/>
    <w:rsid w:val="00F2493F"/>
    <w:rsid w:val="00F302F1"/>
    <w:rsid w:val="00F50AAE"/>
    <w:rsid w:val="00F62A51"/>
    <w:rsid w:val="00F66A97"/>
    <w:rsid w:val="00F72DDE"/>
    <w:rsid w:val="00F83406"/>
    <w:rsid w:val="00F84711"/>
    <w:rsid w:val="00F9267B"/>
    <w:rsid w:val="00F9533B"/>
    <w:rsid w:val="00FA169A"/>
    <w:rsid w:val="00FB004A"/>
    <w:rsid w:val="00FB2C15"/>
    <w:rsid w:val="00FC2A4B"/>
    <w:rsid w:val="00FD6079"/>
    <w:rsid w:val="00FE0319"/>
    <w:rsid w:val="00FF3E94"/>
    <w:rsid w:val="00FF7949"/>
    <w:rsid w:val="0C343BF2"/>
    <w:rsid w:val="0C4F2706"/>
    <w:rsid w:val="104E2E85"/>
    <w:rsid w:val="17B82136"/>
    <w:rsid w:val="1A2D0B6E"/>
    <w:rsid w:val="2FE10E49"/>
    <w:rsid w:val="32EE1A0E"/>
    <w:rsid w:val="332B03F3"/>
    <w:rsid w:val="3C4461F3"/>
    <w:rsid w:val="3CCA6797"/>
    <w:rsid w:val="425409A0"/>
    <w:rsid w:val="4A20660F"/>
    <w:rsid w:val="4AC92EC2"/>
    <w:rsid w:val="4B6379BA"/>
    <w:rsid w:val="5A6D737A"/>
    <w:rsid w:val="5D101F78"/>
    <w:rsid w:val="67DB5DDF"/>
    <w:rsid w:val="6D1E6659"/>
    <w:rsid w:val="74BB0104"/>
    <w:rsid w:val="77B32C76"/>
    <w:rsid w:val="7A134EC4"/>
    <w:rsid w:val="7CBB4DB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0" w:name="footnote text"/>
    <w:lsdException w:uiPriority="0" w:name="annotation text"/>
    <w:lsdException w:qFormat="1" w:unhideWhenUsed="0" w:uiPriority="99" w:name="header"/>
    <w:lsdException w:qFormat="1"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0" w:name="HTML Typewriter"/>
    <w:lsdException w:qFormat="1"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locked/>
    <w:uiPriority w:val="0"/>
    <w:pPr>
      <w:keepNext/>
      <w:keepLines/>
      <w:numPr>
        <w:ilvl w:val="1"/>
        <w:numId w:val="1"/>
      </w:numPr>
      <w:tabs>
        <w:tab w:val="clear" w:pos="576"/>
      </w:tabs>
      <w:spacing w:before="260" w:after="260" w:line="416" w:lineRule="auto"/>
      <w:ind w:left="0" w:firstLine="0"/>
      <w:outlineLvl w:val="1"/>
    </w:pPr>
    <w:rPr>
      <w:rFonts w:ascii="Cambria" w:hAnsi="Cambria" w:eastAsia="宋体" w:cs="Times New Roman"/>
      <w:b/>
      <w:bCs/>
      <w:kern w:val="0"/>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4">
    <w:name w:val="Normal Indent"/>
    <w:basedOn w:val="1"/>
    <w:unhideWhenUsed/>
    <w:qFormat/>
    <w:uiPriority w:val="0"/>
    <w:pPr>
      <w:spacing w:line="360" w:lineRule="auto"/>
      <w:ind w:firstLine="420"/>
      <w:jc w:val="left"/>
    </w:pPr>
    <w:rPr>
      <w:rFonts w:ascii="Times New Roman" w:hAnsi="Times New Roman"/>
      <w:sz w:val="24"/>
      <w:szCs w:val="20"/>
    </w:rPr>
  </w:style>
  <w:style w:type="paragraph" w:styleId="5">
    <w:name w:val="Date"/>
    <w:basedOn w:val="1"/>
    <w:next w:val="1"/>
    <w:link w:val="32"/>
    <w:unhideWhenUsed/>
    <w:qFormat/>
    <w:uiPriority w:val="0"/>
    <w:pPr>
      <w:ind w:left="100" w:leftChars="2500"/>
    </w:pPr>
  </w:style>
  <w:style w:type="paragraph" w:styleId="6">
    <w:name w:val="Balloon Text"/>
    <w:basedOn w:val="1"/>
    <w:link w:val="31"/>
    <w:unhideWhenUsed/>
    <w:qFormat/>
    <w:uiPriority w:val="0"/>
    <w:rPr>
      <w:sz w:val="18"/>
      <w:szCs w:val="18"/>
    </w:rPr>
  </w:style>
  <w:style w:type="paragraph" w:styleId="7">
    <w:name w:val="footer"/>
    <w:basedOn w:val="1"/>
    <w:link w:val="29"/>
    <w:unhideWhenUsed/>
    <w:qFormat/>
    <w:uiPriority w:val="99"/>
    <w:pPr>
      <w:tabs>
        <w:tab w:val="center" w:pos="4153"/>
        <w:tab w:val="right" w:pos="8306"/>
      </w:tabs>
      <w:snapToGrid w:val="0"/>
      <w:jc w:val="left"/>
    </w:pPr>
    <w:rPr>
      <w:kern w:val="0"/>
      <w:sz w:val="18"/>
      <w:szCs w:val="18"/>
    </w:rPr>
  </w:style>
  <w:style w:type="paragraph" w:styleId="8">
    <w:name w:val="header"/>
    <w:basedOn w:val="1"/>
    <w:link w:val="2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locked/>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rPr>
  </w:style>
  <w:style w:type="character" w:styleId="15">
    <w:name w:val="FollowedHyperlink"/>
    <w:basedOn w:val="13"/>
    <w:semiHidden/>
    <w:unhideWhenUsed/>
    <w:qFormat/>
    <w:uiPriority w:val="0"/>
    <w:rPr>
      <w:color w:val="333333"/>
      <w:u w:val="none"/>
    </w:rPr>
  </w:style>
  <w:style w:type="character" w:styleId="16">
    <w:name w:val="Emphasis"/>
    <w:basedOn w:val="13"/>
    <w:qFormat/>
    <w:locked/>
    <w:uiPriority w:val="0"/>
  </w:style>
  <w:style w:type="character" w:styleId="17">
    <w:name w:val="HTML Definition"/>
    <w:basedOn w:val="13"/>
    <w:semiHidden/>
    <w:unhideWhenUsed/>
    <w:qFormat/>
    <w:uiPriority w:val="0"/>
  </w:style>
  <w:style w:type="character" w:styleId="18">
    <w:name w:val="HTML Variable"/>
    <w:basedOn w:val="13"/>
    <w:semiHidden/>
    <w:unhideWhenUsed/>
    <w:qFormat/>
    <w:uiPriority w:val="0"/>
  </w:style>
  <w:style w:type="character" w:styleId="19">
    <w:name w:val="Hyperlink"/>
    <w:basedOn w:val="13"/>
    <w:semiHidden/>
    <w:unhideWhenUsed/>
    <w:qFormat/>
    <w:uiPriority w:val="0"/>
    <w:rPr>
      <w:color w:val="333333"/>
      <w:u w:val="none"/>
    </w:rPr>
  </w:style>
  <w:style w:type="character" w:styleId="20">
    <w:name w:val="HTML Code"/>
    <w:basedOn w:val="13"/>
    <w:semiHidden/>
    <w:unhideWhenUsed/>
    <w:qFormat/>
    <w:uiPriority w:val="0"/>
    <w:rPr>
      <w:rFonts w:hint="default" w:ascii="Consolas" w:hAnsi="Consolas" w:eastAsia="Consolas" w:cs="Consolas"/>
      <w:color w:val="C7254E"/>
      <w:sz w:val="21"/>
      <w:szCs w:val="21"/>
      <w:shd w:val="clear" w:fill="F9F2F4"/>
    </w:rPr>
  </w:style>
  <w:style w:type="character" w:styleId="21">
    <w:name w:val="HTML Cite"/>
    <w:basedOn w:val="13"/>
    <w:semiHidden/>
    <w:unhideWhenUsed/>
    <w:qFormat/>
    <w:uiPriority w:val="0"/>
  </w:style>
  <w:style w:type="character" w:styleId="22">
    <w:name w:val="HTML Keyboard"/>
    <w:basedOn w:val="13"/>
    <w:semiHidden/>
    <w:unhideWhenUsed/>
    <w:qFormat/>
    <w:uiPriority w:val="0"/>
    <w:rPr>
      <w:rFonts w:ascii="Consolas" w:hAnsi="Consolas" w:eastAsia="Consolas" w:cs="Consolas"/>
      <w:color w:val="FFFFFF"/>
      <w:sz w:val="21"/>
      <w:szCs w:val="21"/>
      <w:shd w:val="clear" w:fill="333333"/>
    </w:rPr>
  </w:style>
  <w:style w:type="character" w:styleId="23">
    <w:name w:val="HTML Sample"/>
    <w:basedOn w:val="13"/>
    <w:semiHidden/>
    <w:unhideWhenUsed/>
    <w:qFormat/>
    <w:uiPriority w:val="0"/>
    <w:rPr>
      <w:rFonts w:hint="default" w:ascii="Consolas" w:hAnsi="Consolas" w:eastAsia="Consolas" w:cs="Consolas"/>
      <w:sz w:val="21"/>
      <w:szCs w:val="21"/>
    </w:rPr>
  </w:style>
  <w:style w:type="paragraph" w:customStyle="1" w:styleId="24">
    <w:name w:val="文档正文"/>
    <w:basedOn w:val="4"/>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25">
    <w:name w:val="p0"/>
    <w:basedOn w:val="1"/>
    <w:qFormat/>
    <w:uiPriority w:val="0"/>
    <w:pPr>
      <w:widowControl/>
    </w:pPr>
    <w:rPr>
      <w:rFonts w:ascii="Times New Roman" w:hAnsi="Times New Roman"/>
      <w:kern w:val="0"/>
      <w:szCs w:val="21"/>
    </w:rPr>
  </w:style>
  <w:style w:type="paragraph" w:customStyle="1" w:styleId="26">
    <w:name w:val="样式7"/>
    <w:basedOn w:val="1"/>
    <w:link w:val="30"/>
    <w:qFormat/>
    <w:uiPriority w:val="0"/>
    <w:pPr>
      <w:tabs>
        <w:tab w:val="left" w:pos="360"/>
      </w:tabs>
      <w:outlineLvl w:val="3"/>
    </w:pPr>
    <w:rPr>
      <w:rFonts w:eastAsia="微软雅黑" w:cs="Calibri"/>
      <w:color w:val="000000"/>
      <w:sz w:val="28"/>
      <w:szCs w:val="28"/>
    </w:rPr>
  </w:style>
  <w:style w:type="paragraph" w:customStyle="1" w:styleId="27">
    <w:name w:val="列出段落1"/>
    <w:basedOn w:val="1"/>
    <w:qFormat/>
    <w:uiPriority w:val="34"/>
    <w:pPr>
      <w:ind w:firstLine="420" w:firstLineChars="200"/>
    </w:pPr>
  </w:style>
  <w:style w:type="character" w:customStyle="1" w:styleId="28">
    <w:name w:val="页眉 Char"/>
    <w:link w:val="8"/>
    <w:semiHidden/>
    <w:qFormat/>
    <w:locked/>
    <w:uiPriority w:val="99"/>
    <w:rPr>
      <w:rFonts w:ascii="Calibri" w:hAnsi="Calibri" w:eastAsia="宋体" w:cs="Times New Roman"/>
      <w:sz w:val="18"/>
      <w:szCs w:val="18"/>
    </w:rPr>
  </w:style>
  <w:style w:type="character" w:customStyle="1" w:styleId="29">
    <w:name w:val="页脚 Char"/>
    <w:link w:val="7"/>
    <w:qFormat/>
    <w:uiPriority w:val="99"/>
    <w:rPr>
      <w:sz w:val="18"/>
      <w:szCs w:val="18"/>
    </w:rPr>
  </w:style>
  <w:style w:type="character" w:customStyle="1" w:styleId="30">
    <w:name w:val="样式7 Char"/>
    <w:basedOn w:val="13"/>
    <w:link w:val="26"/>
    <w:qFormat/>
    <w:locked/>
    <w:uiPriority w:val="0"/>
    <w:rPr>
      <w:rFonts w:eastAsia="微软雅黑" w:cs="Calibri"/>
      <w:color w:val="000000"/>
      <w:kern w:val="2"/>
      <w:sz w:val="28"/>
      <w:szCs w:val="28"/>
    </w:rPr>
  </w:style>
  <w:style w:type="character" w:customStyle="1" w:styleId="31">
    <w:name w:val="批注框文本 Char"/>
    <w:basedOn w:val="13"/>
    <w:link w:val="6"/>
    <w:semiHidden/>
    <w:qFormat/>
    <w:uiPriority w:val="0"/>
    <w:rPr>
      <w:rFonts w:cs="Times New Roman"/>
      <w:kern w:val="2"/>
      <w:sz w:val="18"/>
      <w:szCs w:val="18"/>
    </w:rPr>
  </w:style>
  <w:style w:type="character" w:customStyle="1" w:styleId="32">
    <w:name w:val="日期 Char"/>
    <w:basedOn w:val="13"/>
    <w:link w:val="5"/>
    <w:semiHidden/>
    <w:qFormat/>
    <w:uiPriority w:val="0"/>
    <w:rPr>
      <w:rFonts w:cs="Times New Roman"/>
      <w:kern w:val="2"/>
      <w:sz w:val="21"/>
      <w:szCs w:val="22"/>
    </w:rPr>
  </w:style>
  <w:style w:type="character" w:customStyle="1" w:styleId="33">
    <w:name w:val="font01"/>
    <w:qFormat/>
    <w:uiPriority w:val="0"/>
    <w:rPr>
      <w:rFonts w:hint="eastAsia" w:ascii="宋体" w:hAnsi="宋体" w:eastAsia="宋体" w:cs="宋体"/>
      <w:color w:val="000000"/>
      <w:sz w:val="18"/>
      <w:szCs w:val="18"/>
      <w:u w:val="none"/>
    </w:rPr>
  </w:style>
  <w:style w:type="paragraph" w:customStyle="1" w:styleId="34">
    <w:name w:val="_Style 3"/>
    <w:basedOn w:val="1"/>
    <w:qFormat/>
    <w:uiPriority w:val="0"/>
    <w:rPr>
      <w:rFonts w:ascii="Times New Roman" w:hAnsi="Times New Roman"/>
      <w:sz w:val="28"/>
      <w:szCs w:val="24"/>
    </w:rPr>
  </w:style>
  <w:style w:type="character" w:customStyle="1" w:styleId="35">
    <w:name w:val="NormalCharacter"/>
    <w:semiHidden/>
    <w:qFormat/>
    <w:uiPriority w:val="0"/>
  </w:style>
  <w:style w:type="character" w:customStyle="1" w:styleId="36">
    <w:name w:val="layui-this"/>
    <w:basedOn w:val="13"/>
    <w:qFormat/>
    <w:uiPriority w:val="0"/>
    <w:rPr>
      <w:bdr w:val="single" w:color="EEEEEE" w:sz="6" w:space="0"/>
      <w:shd w:val="clear" w:fill="FFFFFF"/>
    </w:rPr>
  </w:style>
  <w:style w:type="character" w:customStyle="1" w:styleId="37">
    <w:name w:val="first-child"/>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8BC9F-56EC-409E-9003-5979FDA4D02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830</Words>
  <Characters>4732</Characters>
  <Lines>39</Lines>
  <Paragraphs>11</Paragraphs>
  <TotalTime>2</TotalTime>
  <ScaleCrop>false</ScaleCrop>
  <LinksUpToDate>false</LinksUpToDate>
  <CharactersWithSpaces>5551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2017-03-15T08:42:00Z</dcterms:created>
  <dc:creator>舒雪飞/资产与后勤管理处、招投标管理办公室/武汉交通职业学院</dc:creator>
  <cp:lastModifiedBy>Administrator</cp:lastModifiedBy>
  <cp:lastPrinted>2018-04-09T02:55:00Z</cp:lastPrinted>
  <dcterms:modified xsi:type="dcterms:W3CDTF">2020-05-22T08:09:42Z</dcterms:modified>
  <dc:title>湖北省机构编制委员会办公室</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