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color w:val="000000"/>
          <w:sz w:val="22"/>
          <w:szCs w:val="22"/>
          <w:lang w:val="en-US" w:eastAsia="zh-CN"/>
        </w:rPr>
      </w:pPr>
      <w:bookmarkStart w:id="2" w:name="_GoBack"/>
      <w:bookmarkEnd w:id="2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000000"/>
          <w:sz w:val="22"/>
          <w:szCs w:val="22"/>
          <w:lang w:val="en-US" w:eastAsia="zh-CN"/>
        </w:rPr>
        <w:t xml:space="preserve">    . </w:t>
      </w:r>
    </w:p>
    <w:p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双排CT球管采购项目技术规格、参数及要求</w:t>
      </w:r>
    </w:p>
    <w:p>
      <w:pPr>
        <w:pStyle w:val="3"/>
        <w:rPr>
          <w:color w:val="000000"/>
        </w:rPr>
      </w:pPr>
      <w:bookmarkStart w:id="0" w:name="_Toc500853689"/>
      <w:r>
        <w:rPr>
          <w:rFonts w:hint="eastAsia"/>
          <w:color w:val="000000"/>
        </w:rPr>
        <w:t>设备采购清单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776"/>
        <w:gridCol w:w="1364"/>
        <w:gridCol w:w="2421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CT球管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3"/>
        <w:rPr>
          <w:color w:val="000000"/>
        </w:rPr>
      </w:pPr>
      <w:bookmarkStart w:id="1" w:name="_Toc500853690"/>
      <w:r>
        <w:rPr>
          <w:rFonts w:hint="eastAsia"/>
          <w:color w:val="000000"/>
        </w:rPr>
        <w:t>技术参数要求</w:t>
      </w:r>
      <w:bookmarkEnd w:id="1"/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1、货物名称：CT球管。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2、适配机型：SIEMENS SOMATOM spirit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3、最高工作管电压：</w:t>
      </w:r>
      <w:r>
        <w:rPr>
          <w:rFonts w:hint="eastAsia"/>
        </w:rPr>
        <w:t>≥</w:t>
      </w:r>
      <w:r>
        <w:rPr>
          <w:rFonts w:hint="eastAsia" w:ascii="宋体" w:hAnsi="宋体"/>
          <w:color w:val="000000"/>
          <w:sz w:val="24"/>
          <w:szCs w:val="24"/>
        </w:rPr>
        <w:t>150kV；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4、</w:t>
      </w:r>
      <w:r>
        <w:rPr>
          <w:rFonts w:hint="eastAsia" w:ascii="宋体" w:hAnsi="宋体"/>
          <w:color w:val="000000"/>
          <w:sz w:val="24"/>
          <w:szCs w:val="24"/>
        </w:rPr>
        <w:t>小/大焦点标称值：0.8*0.4/0.8*0.7；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5、最大阳极驱动频率：</w:t>
      </w:r>
      <w:r>
        <w:rPr>
          <w:rFonts w:hint="eastAsia"/>
        </w:rPr>
        <w:t>≥</w:t>
      </w:r>
      <w:r>
        <w:rPr>
          <w:rFonts w:hint="eastAsia" w:ascii="宋体" w:hAnsi="宋体"/>
          <w:color w:val="000000"/>
          <w:sz w:val="24"/>
          <w:szCs w:val="24"/>
        </w:rPr>
        <w:t>150Hz；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6、</w:t>
      </w:r>
      <w:r>
        <w:rPr>
          <w:rFonts w:hint="eastAsia" w:ascii="宋体" w:hAnsi="宋体"/>
          <w:color w:val="000000"/>
          <w:sz w:val="24"/>
          <w:szCs w:val="24"/>
        </w:rPr>
        <w:t>阳极靶角：</w:t>
      </w:r>
      <w:r>
        <w:rPr>
          <w:rFonts w:hint="eastAsia"/>
        </w:rPr>
        <w:t>≥</w:t>
      </w:r>
      <w:r>
        <w:rPr>
          <w:rFonts w:hint="eastAsia" w:ascii="宋体" w:hAnsi="宋体"/>
          <w:color w:val="000000"/>
          <w:sz w:val="24"/>
          <w:szCs w:val="24"/>
        </w:rPr>
        <w:t>8°；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7、小/大焦点标称功率（kW）：21.5/24；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8、</w:t>
      </w:r>
      <w:r>
        <w:rPr>
          <w:rFonts w:hint="eastAsia" w:ascii="宋体" w:hAnsi="宋体"/>
          <w:color w:val="000000"/>
          <w:sz w:val="24"/>
          <w:szCs w:val="24"/>
        </w:rPr>
        <w:t>热容量（MJ/MHU）：≥2.0；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9、能满足临床CT扫描，图像质量能通过CT检测标准；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10</w:t>
      </w:r>
      <w:r>
        <w:rPr>
          <w:rFonts w:hint="eastAsia" w:ascii="宋体" w:hAnsi="宋体"/>
          <w:color w:val="000000"/>
          <w:sz w:val="24"/>
          <w:szCs w:val="24"/>
        </w:rPr>
        <w:t>、供应商须确保提供的CT球管与采购人现有双层螺旋CT机完全配套；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、保证球管安装后符合SFDA注册规定；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12</w:t>
      </w:r>
      <w:r>
        <w:rPr>
          <w:rFonts w:hint="eastAsia" w:ascii="宋体" w:hAnsi="宋体"/>
          <w:color w:val="000000"/>
          <w:sz w:val="24"/>
          <w:szCs w:val="24"/>
        </w:rPr>
        <w:t>、供应商须确保球管开机率大于98.5%，若供应商提供的球管达不到此开机率，医院有权解除合同，并要求供应商按照2万元/天赔偿医院损失；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13</w:t>
      </w:r>
      <w:r>
        <w:rPr>
          <w:rFonts w:hint="eastAsia" w:ascii="宋体" w:hAnsi="宋体"/>
          <w:color w:val="000000"/>
          <w:sz w:val="24"/>
          <w:szCs w:val="24"/>
        </w:rPr>
        <w:t>、供应商须承诺接到医院报修电话后24小时内将球管运到医院并安装到位，否则医院有权解除合同，并要求供应商赔偿损失；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14、球管保用：一年或30万秒次，保用期内球管损坏，</w:t>
      </w:r>
      <w:r>
        <w:rPr>
          <w:rFonts w:hint="eastAsia" w:ascii="宋体" w:hAnsi="宋体"/>
          <w:color w:val="000000"/>
          <w:sz w:val="24"/>
          <w:szCs w:val="24"/>
        </w:rPr>
        <w:t>供应商无偿赔偿全新球管一支。(索赔球管的保用次数为原保用次数减去已使用次数，保用年限为一年减去已使用天数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</w:p>
    <w:p>
      <w:pPr>
        <w:spacing w:line="360" w:lineRule="auto"/>
        <w:ind w:firstLine="602" w:firstLineChars="200"/>
        <w:rPr>
          <w:rFonts w:hint="eastAsia" w:ascii="宋体" w:hAnsi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三、付款方式</w:t>
      </w: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1、签订合同后，供应商随时准备球管为院方更换，并保证时间不影响院方正常工作时间更换；</w:t>
      </w:r>
    </w:p>
    <w:p>
      <w:pPr>
        <w:spacing w:line="360" w:lineRule="auto"/>
        <w:ind w:firstLine="480" w:firstLineChars="200"/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2、更换球管后一个月付80%，余款质保期满后付清。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项目名称：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6.未被列入 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</w:rPr>
              <w:t>如供应商为生产厂家的应具有《中华人民共和国医疗器械注册证》、《</w:t>
            </w:r>
            <w:r>
              <w:rPr>
                <w:rFonts w:hint="eastAsia"/>
                <w:color w:val="auto"/>
                <w:sz w:val="24"/>
              </w:rPr>
              <w:t>医疗器械生产许可证》、《医疗器械经营企业许可证》</w:t>
            </w:r>
            <w:r>
              <w:rPr>
                <w:rFonts w:hint="eastAsia"/>
                <w:color w:val="auto"/>
                <w:sz w:val="24"/>
                <w:lang w:eastAsia="zh-CN"/>
              </w:rPr>
              <w:t>或《第二类医疗器械经营备案凭证》</w:t>
            </w:r>
            <w:r>
              <w:rPr>
                <w:rFonts w:hint="eastAsia"/>
                <w:color w:val="auto"/>
                <w:sz w:val="24"/>
              </w:rPr>
              <w:t>；如供应商为代理商的则须提供《医疗器械经营企业许可证》以及产品的生产厂家的《中华人民</w:t>
            </w:r>
            <w:r>
              <w:rPr>
                <w:rFonts w:hint="eastAsia"/>
                <w:sz w:val="24"/>
              </w:rPr>
              <w:t>共和国医疗器械注册证》、《医疗器械生产许可证》</w:t>
            </w: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/>
                <w:sz w:val="24"/>
              </w:rPr>
              <w:t>设备进口代理商可不提供厂家医疗器械生产许可证)。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供应商意见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备注：供应商提供的报名资料必须是彩色扫描件并加盖公章。</w:t>
      </w:r>
    </w:p>
    <w:p/>
    <w:sectPr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78E"/>
    <w:multiLevelType w:val="multilevel"/>
    <w:tmpl w:val="1189778E"/>
    <w:lvl w:ilvl="0" w:tentative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8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8"/>
      </w:rPr>
    </w:lvl>
    <w:lvl w:ilvl="3" w:tentative="0">
      <w:start w:val="1"/>
      <w:numFmt w:val="decimal"/>
      <w:suff w:val="nothing"/>
      <w:lvlText w:val="%3.%4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4" w:tentative="0">
      <w:start w:val="1"/>
      <w:numFmt w:val="decimal"/>
      <w:suff w:val="nothing"/>
      <w:lvlText w:val="%3.%4.%5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1"/>
      </w:rPr>
    </w:lvl>
    <w:lvl w:ilvl="5" w:tentative="0">
      <w:start w:val="1"/>
      <w:numFmt w:val="decimal"/>
      <w:suff w:val="nothing"/>
      <w:lvlText w:val="%3.%4.%5.%6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1"/>
      </w:rPr>
    </w:lvl>
    <w:lvl w:ilvl="6" w:tentative="0">
      <w:start w:val="1"/>
      <w:numFmt w:val="decimal"/>
      <w:suff w:val="nothing"/>
      <w:lvlText w:val="%3.%4.%5.%6.%7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1"/>
      </w:rPr>
    </w:lvl>
    <w:lvl w:ilvl="7" w:tentative="0">
      <w:start w:val="1"/>
      <w:numFmt w:val="decimal"/>
      <w:suff w:val="nothing"/>
      <w:lvlText w:val="%3.%4.%5.%6.%7.%8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1"/>
      </w:rPr>
    </w:lvl>
    <w:lvl w:ilvl="8" w:tentative="0">
      <w:start w:val="1"/>
      <w:numFmt w:val="decimal"/>
      <w:suff w:val="nothing"/>
      <w:lvlText w:val="%3.%4.%5.%6.%7.%8.%9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173A9"/>
    <w:rsid w:val="343929EB"/>
    <w:rsid w:val="3F3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="Times New Roman"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2020-05-14T06:10:00Z</dcterms:created>
  <dc:creator>张远坚</dc:creator>
  <cp:lastModifiedBy>Administrator</cp:lastModifiedBy>
  <dcterms:modified xsi:type="dcterms:W3CDTF">2020-05-28T07:23:21Z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