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color w:val="000000" w:themeColor="text1"/>
          <w:sz w:val="40"/>
          <w:szCs w:val="44"/>
          <w14:textFill>
            <w14:solidFill>
              <w14:schemeClr w14:val="tx1"/>
            </w14:solidFill>
          </w14:textFill>
        </w:rPr>
      </w:pPr>
      <w:bookmarkStart w:id="8" w:name="_GoBack"/>
      <w:bookmarkEnd w:id="8"/>
      <w:r>
        <w:rPr>
          <w:rFonts w:hint="eastAsia"/>
          <w:color w:val="000000" w:themeColor="text1"/>
          <w:sz w:val="40"/>
          <w:szCs w:val="44"/>
          <w14:textFill>
            <w14:solidFill>
              <w14:schemeClr w14:val="tx1"/>
            </w14:solidFill>
          </w14:textFill>
        </w:rPr>
        <w:t>阳新县王英镇鲁山村美丽家园项目</w:t>
      </w:r>
    </w:p>
    <w:p>
      <w:pPr>
        <w:pStyle w:val="13"/>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采购需求</w:t>
      </w:r>
    </w:p>
    <w:p>
      <w:pPr>
        <w:shd w:val="clear" w:color="auto" w:fill="FFFFFF"/>
        <w:spacing w:after="321" w:afterLines="100"/>
        <w:ind w:left="1134" w:leftChars="540"/>
        <w:rPr>
          <w:rFonts w:ascii="黑体" w:eastAsia="黑体"/>
          <w:color w:val="000000" w:themeColor="text1"/>
          <w:szCs w:val="32"/>
          <w14:textFill>
            <w14:solidFill>
              <w14:schemeClr w14:val="tx1"/>
            </w14:solidFill>
          </w14:textFill>
        </w:rPr>
      </w:pPr>
    </w:p>
    <w:p>
      <w:pPr>
        <w:shd w:val="clear" w:color="auto" w:fill="FFFFFF"/>
        <w:spacing w:after="321" w:afterLines="100"/>
        <w:ind w:left="1134" w:leftChars="540"/>
        <w:rPr>
          <w:rFonts w:ascii="黑体" w:eastAsia="黑体"/>
          <w:color w:val="000000" w:themeColor="text1"/>
          <w:sz w:val="44"/>
          <w:szCs w:val="44"/>
          <w14:textFill>
            <w14:solidFill>
              <w14:schemeClr w14:val="tx1"/>
            </w14:solidFill>
          </w14:textFill>
        </w:rPr>
      </w:pPr>
    </w:p>
    <w:p>
      <w:pPr>
        <w:shd w:val="clear" w:color="auto" w:fill="FFFFFF"/>
        <w:spacing w:line="560" w:lineRule="exact"/>
        <w:ind w:left="1134" w:leftChars="540"/>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招 标 人：阳新县王英镇鲁山村民委员会</w:t>
      </w:r>
    </w:p>
    <w:p>
      <w:pPr>
        <w:shd w:val="clear" w:color="auto" w:fill="FFFFFF"/>
        <w:spacing w:line="560" w:lineRule="exact"/>
        <w:ind w:left="1134" w:leftChars="540"/>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联 系 人：鲁敦星</w:t>
      </w:r>
    </w:p>
    <w:p>
      <w:pPr>
        <w:shd w:val="clear" w:color="auto" w:fill="FFFFFF"/>
        <w:spacing w:line="560" w:lineRule="exact"/>
        <w:ind w:left="1134" w:leftChars="540"/>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联系电话：13687183599</w:t>
      </w:r>
    </w:p>
    <w:p>
      <w:pPr>
        <w:shd w:val="clear" w:color="auto" w:fill="FFFFFF"/>
        <w:spacing w:line="560" w:lineRule="exact"/>
        <w:ind w:firstLine="1120" w:firstLineChars="400"/>
        <w:rPr>
          <w:rFonts w:ascii="黑体" w:eastAsia="黑体"/>
          <w:color w:val="000000" w:themeColor="text1"/>
          <w:sz w:val="28"/>
          <w:szCs w:val="28"/>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采购</w:t>
      </w:r>
      <w:r>
        <w:rPr>
          <w:rFonts w:ascii="黑体" w:eastAsia="黑体"/>
          <w:color w:val="000000" w:themeColor="text1"/>
          <w:sz w:val="28"/>
          <w:szCs w:val="28"/>
          <w14:textFill>
            <w14:solidFill>
              <w14:schemeClr w14:val="tx1"/>
            </w14:solidFill>
          </w14:textFill>
        </w:rPr>
        <w:t>方式：</w:t>
      </w:r>
      <w:r>
        <w:rPr>
          <w:rFonts w:hint="eastAsia" w:ascii="黑体" w:eastAsia="黑体"/>
          <w:color w:val="000000" w:themeColor="text1"/>
          <w:sz w:val="28"/>
          <w:szCs w:val="28"/>
          <w14:textFill>
            <w14:solidFill>
              <w14:schemeClr w14:val="tx1"/>
            </w14:solidFill>
          </w14:textFill>
        </w:rPr>
        <w:t>竞争性磋商</w:t>
      </w:r>
    </w:p>
    <w:p>
      <w:pPr>
        <w:keepNext/>
        <w:keepLines/>
        <w:adjustRightInd w:val="0"/>
        <w:snapToGrid w:val="0"/>
        <w:jc w:val="center"/>
        <w:outlineLvl w:val="1"/>
        <w:rPr>
          <w:rFonts w:ascii="宋体" w:hAnsi="宋体"/>
          <w:b/>
          <w:bCs/>
          <w:color w:val="0D0D0D"/>
          <w:sz w:val="32"/>
          <w:szCs w:val="32"/>
        </w:rPr>
        <w:sectPr>
          <w:footerReference r:id="rId3" w:type="default"/>
          <w:pgSz w:w="11906" w:h="16838"/>
          <w:pgMar w:top="1134" w:right="1134" w:bottom="1134" w:left="1134" w:header="851" w:footer="992" w:gutter="0"/>
          <w:cols w:space="0" w:num="1"/>
          <w:docGrid w:type="lines" w:linePitch="321" w:charSpace="0"/>
        </w:sectPr>
      </w:pPr>
    </w:p>
    <w:p>
      <w:pPr>
        <w:adjustRightInd w:val="0"/>
        <w:snapToGrid w:val="0"/>
        <w:spacing w:line="360" w:lineRule="auto"/>
        <w:jc w:val="left"/>
        <w:rPr>
          <w:sz w:val="24"/>
          <w:szCs w:val="24"/>
        </w:rPr>
      </w:pPr>
      <w:r>
        <w:rPr>
          <w:rFonts w:hint="eastAsia"/>
          <w:sz w:val="24"/>
          <w:szCs w:val="24"/>
        </w:rPr>
        <w:t>附件一：采购需求</w:t>
      </w:r>
    </w:p>
    <w:p>
      <w:pPr>
        <w:rPr>
          <w:rFonts w:ascii="宋体" w:hAnsi="宋体"/>
          <w:sz w:val="24"/>
        </w:rPr>
      </w:pPr>
    </w:p>
    <w:p>
      <w:pPr>
        <w:pStyle w:val="5"/>
        <w:jc w:val="center"/>
      </w:pPr>
      <w:bookmarkStart w:id="0" w:name="_Toc480553174"/>
      <w:r>
        <w:rPr>
          <w:rFonts w:hint="eastAsia"/>
        </w:rPr>
        <w:t>一、采购项目技术规格、参数及要求</w:t>
      </w:r>
      <w:bookmarkEnd w:id="0"/>
    </w:p>
    <w:p>
      <w:pPr>
        <w:spacing w:line="360" w:lineRule="auto"/>
        <w:rPr>
          <w:rFonts w:ascii="宋体" w:hAnsi="宋体"/>
          <w:bCs/>
          <w:kern w:val="44"/>
          <w:sz w:val="24"/>
        </w:rPr>
      </w:pPr>
      <w:r>
        <w:rPr>
          <w:rFonts w:hint="eastAsia" w:ascii="宋体" w:hAnsi="宋体"/>
          <w:bCs/>
          <w:kern w:val="44"/>
          <w:sz w:val="24"/>
        </w:rPr>
        <w:t>1、采购内容：阳新县王英镇鲁山村美丽家园项目</w:t>
      </w:r>
    </w:p>
    <w:p>
      <w:pPr>
        <w:spacing w:line="360" w:lineRule="auto"/>
        <w:rPr>
          <w:rFonts w:ascii="宋体" w:hAnsi="宋体"/>
          <w:bCs/>
          <w:kern w:val="44"/>
          <w:sz w:val="24"/>
        </w:rPr>
      </w:pPr>
      <w:r>
        <w:rPr>
          <w:rFonts w:hint="eastAsia" w:ascii="宋体" w:hAnsi="宋体"/>
          <w:bCs/>
          <w:kern w:val="44"/>
          <w:sz w:val="24"/>
        </w:rPr>
        <w:t>2、工期：8</w:t>
      </w:r>
      <w:r>
        <w:rPr>
          <w:rFonts w:hint="eastAsia" w:ascii="宋体" w:hAnsi="宋体"/>
          <w:bCs/>
          <w:kern w:val="44"/>
          <w:sz w:val="24"/>
          <w:u w:val="single"/>
        </w:rPr>
        <w:t>0</w:t>
      </w:r>
      <w:r>
        <w:rPr>
          <w:rFonts w:hint="eastAsia" w:ascii="宋体" w:hAnsi="宋体"/>
          <w:bCs/>
          <w:kern w:val="44"/>
          <w:sz w:val="24"/>
        </w:rPr>
        <w:t>日历天。开工时间以建设单位开工令为准。</w:t>
      </w:r>
    </w:p>
    <w:p>
      <w:pPr>
        <w:spacing w:line="360" w:lineRule="auto"/>
        <w:rPr>
          <w:rFonts w:ascii="宋体" w:hAnsi="宋体"/>
          <w:bCs/>
          <w:kern w:val="44"/>
          <w:sz w:val="24"/>
        </w:rPr>
      </w:pPr>
      <w:r>
        <w:rPr>
          <w:rFonts w:hint="eastAsia" w:ascii="宋体" w:hAnsi="宋体"/>
          <w:bCs/>
          <w:kern w:val="44"/>
          <w:sz w:val="24"/>
        </w:rPr>
        <w:t>3、施工地点：阳新县王英镇鲁山村老屋湾</w:t>
      </w:r>
    </w:p>
    <w:p>
      <w:pPr>
        <w:spacing w:line="360" w:lineRule="auto"/>
        <w:rPr>
          <w:rStyle w:val="21"/>
          <w:rFonts w:ascii="宋体" w:hAnsi="宋体"/>
          <w:sz w:val="24"/>
          <w:szCs w:val="24"/>
        </w:rPr>
      </w:pPr>
      <w:r>
        <w:rPr>
          <w:rFonts w:hint="eastAsia" w:ascii="宋体" w:hAnsi="宋体"/>
          <w:bCs/>
          <w:kern w:val="44"/>
          <w:sz w:val="24"/>
        </w:rPr>
        <w:t>4、工程量清单见附件。</w:t>
      </w:r>
    </w:p>
    <w:p>
      <w:pPr>
        <w:spacing w:line="360" w:lineRule="auto"/>
        <w:rPr>
          <w:rFonts w:ascii="宋体" w:hAnsi="宋体"/>
          <w:bCs/>
          <w:kern w:val="44"/>
          <w:sz w:val="24"/>
        </w:rPr>
      </w:pPr>
      <w:r>
        <w:rPr>
          <w:rFonts w:hint="eastAsia" w:ascii="宋体" w:hAnsi="宋体"/>
          <w:bCs/>
          <w:kern w:val="44"/>
          <w:sz w:val="24"/>
        </w:rPr>
        <w:t>5、该项目付款方式为：按工程进度进行支付。</w:t>
      </w:r>
    </w:p>
    <w:p>
      <w:pPr>
        <w:pStyle w:val="2"/>
        <w:ind w:firstLine="0" w:firstLineChars="0"/>
      </w:pPr>
      <w:r>
        <w:rPr>
          <w:rFonts w:hint="eastAsia"/>
          <w:bCs/>
          <w:kern w:val="44"/>
        </w:rPr>
        <w:t>6、质量保修期：本项目保修期为1年，质量保修期自工程竣工验收合格之日起计算。</w:t>
      </w:r>
    </w:p>
    <w:p>
      <w:pPr>
        <w:widowControl/>
        <w:jc w:val="left"/>
        <w:rPr>
          <w:sz w:val="24"/>
          <w:szCs w:val="24"/>
        </w:rPr>
      </w:pPr>
    </w:p>
    <w:p>
      <w:pPr>
        <w:widowControl/>
        <w:ind w:firstLine="480" w:firstLineChars="200"/>
        <w:jc w:val="left"/>
        <w:rPr>
          <w:sz w:val="24"/>
          <w:szCs w:val="24"/>
        </w:rPr>
      </w:pPr>
      <w:r>
        <w:rPr>
          <w:rFonts w:hint="eastAsia"/>
          <w:sz w:val="24"/>
          <w:szCs w:val="24"/>
        </w:rPr>
        <w:t>工程量清单：</w:t>
      </w:r>
    </w:p>
    <w:p>
      <w:pPr>
        <w:pStyle w:val="2"/>
      </w:pPr>
      <w:r>
        <w:rPr>
          <w:rFonts w:hint="eastAsia"/>
        </w:rPr>
        <w:object>
          <v:shape id="_x0000_i1025" o:spt="75" type="#_x0000_t75" style="height:66pt;width:72.75pt;" o:ole="t" filled="f" o:preferrelative="t" stroked="f" coordsize="21600,21600">
            <v:path/>
            <v:fill on="f" focussize="0,0"/>
            <v:stroke on="f" joinstyle="miter"/>
            <v:imagedata r:id="rId6" o:title=""/>
            <o:lock v:ext="edit" aspectratio="t"/>
            <w10:wrap type="none"/>
            <w10:anchorlock/>
          </v:shape>
          <o:OLEObject Type="Embed" ProgID="Excel.Sheet.12" ShapeID="_x0000_i1025" DrawAspect="Icon" ObjectID="_1468075725" r:id="rId5">
            <o:LockedField>false</o:LockedField>
          </o:OLEObject>
        </w:object>
      </w:r>
    </w:p>
    <w:p>
      <w:pPr>
        <w:pStyle w:val="2"/>
      </w:pPr>
      <w:r>
        <w:rPr>
          <w:rFonts w:hint="eastAsia"/>
        </w:rPr>
        <w:t>图纸：</w:t>
      </w:r>
    </w:p>
    <w:p>
      <w:pPr>
        <w:pStyle w:val="2"/>
      </w:pPr>
      <w:r>
        <w:rPr>
          <w:rFonts w:hint="eastAsia"/>
        </w:rPr>
        <w:object>
          <v:shape id="_x0000_i1026" o:spt="75" type="#_x0000_t75" style="height:66pt;width:72.75pt;" o:ole="t" filled="f" o:preferrelative="t" stroked="f" coordsize="21600,21600">
            <v:path/>
            <v:fill on="f" focussize="0,0"/>
            <v:stroke on="f" joinstyle="miter"/>
            <v:imagedata r:id="rId8" o:title=""/>
            <o:lock v:ext="edit" aspectratio="t"/>
            <w10:wrap type="none"/>
            <w10:anchorlock/>
          </v:shape>
          <o:OLEObject Type="Embed" ProgID="Package" ShapeID="_x0000_i1026" DrawAspect="Icon" ObjectID="_1468075726" r:id="rId7">
            <o:LockedField>false</o:LockedField>
          </o:OLEObject>
        </w:object>
      </w:r>
    </w:p>
    <w:p>
      <w:pPr>
        <w:pStyle w:val="2"/>
      </w:pPr>
    </w:p>
    <w:p>
      <w:r>
        <w:rPr>
          <w:rFonts w:hint="eastAsia"/>
        </w:rPr>
        <w:t xml:space="preserve">     </w:t>
      </w:r>
      <w:r>
        <w:br w:type="page"/>
      </w:r>
    </w:p>
    <w:p>
      <w:pPr>
        <w:adjustRightInd w:val="0"/>
        <w:snapToGrid w:val="0"/>
        <w:spacing w:line="360" w:lineRule="auto"/>
        <w:jc w:val="left"/>
        <w:rPr>
          <w:sz w:val="24"/>
          <w:szCs w:val="24"/>
        </w:rPr>
      </w:pPr>
      <w:r>
        <w:rPr>
          <w:sz w:val="24"/>
          <w:szCs w:val="24"/>
        </w:rPr>
        <w:t>附件</w:t>
      </w:r>
      <w:r>
        <w:rPr>
          <w:rFonts w:hint="eastAsia"/>
          <w:sz w:val="24"/>
          <w:szCs w:val="24"/>
        </w:rPr>
        <w:t>二</w:t>
      </w:r>
      <w:r>
        <w:rPr>
          <w:sz w:val="24"/>
          <w:szCs w:val="24"/>
        </w:rPr>
        <w:t>：供应商报名表：</w:t>
      </w:r>
    </w:p>
    <w:p>
      <w:pPr>
        <w:jc w:val="center"/>
        <w:rPr>
          <w:sz w:val="32"/>
          <w:szCs w:val="32"/>
        </w:rPr>
      </w:pPr>
      <w:r>
        <w:rPr>
          <w:rFonts w:hint="eastAsia"/>
          <w:sz w:val="32"/>
          <w:szCs w:val="32"/>
        </w:rPr>
        <w:t>供应商报名表</w:t>
      </w:r>
    </w:p>
    <w:p>
      <w:pPr>
        <w:rPr>
          <w:sz w:val="24"/>
        </w:rPr>
      </w:pPr>
      <w:r>
        <w:rPr>
          <w:rFonts w:hint="eastAsia"/>
          <w:sz w:val="24"/>
        </w:rPr>
        <w:t>项目编号：</w:t>
      </w:r>
      <w:r>
        <w:rPr>
          <w:rFonts w:hint="eastAsia"/>
          <w:sz w:val="24"/>
          <w:u w:val="single"/>
        </w:rPr>
        <w:t xml:space="preserve">                </w:t>
      </w:r>
    </w:p>
    <w:p>
      <w:pPr>
        <w:rPr>
          <w:sz w:val="24"/>
        </w:rPr>
      </w:pPr>
      <w:r>
        <w:rPr>
          <w:rFonts w:hint="eastAsia"/>
          <w:sz w:val="24"/>
        </w:rPr>
        <w:t xml:space="preserve">项目名称：  </w:t>
      </w:r>
      <w:r>
        <w:rPr>
          <w:rFonts w:hint="eastAsia"/>
          <w:sz w:val="24"/>
          <w:u w:val="single"/>
        </w:rPr>
        <w:t xml:space="preserve">                </w:t>
      </w:r>
      <w:r>
        <w:rPr>
          <w:rFonts w:hint="eastAsia"/>
          <w:sz w:val="24"/>
        </w:rPr>
        <w:t xml:space="preserve">                       </w:t>
      </w:r>
    </w:p>
    <w:tbl>
      <w:tblPr>
        <w:tblStyle w:val="14"/>
        <w:tblW w:w="9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供应商名称（盖章）</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联系人姓名</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联系人电话（办公电话和手机）</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联系人邮箱</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kern w:val="0"/>
                <w:sz w:val="24"/>
              </w:rPr>
            </w:pPr>
            <w:r>
              <w:rPr>
                <w:rFonts w:hint="eastAsia" w:cs="宋体" w:asciiTheme="minorEastAsia" w:hAnsiTheme="minorEastAsia"/>
                <w:kern w:val="0"/>
                <w:sz w:val="24"/>
              </w:rPr>
              <w:t>供应商提供的</w:t>
            </w:r>
          </w:p>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报名资料</w:t>
            </w: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2.</w:t>
            </w:r>
            <w:r>
              <w:rPr>
                <w:rFonts w:hint="eastAsia"/>
                <w:color w:val="000000" w:themeColor="text1"/>
                <w:sz w:val="24"/>
                <w14:textFill>
                  <w14:solidFill>
                    <w14:schemeClr w14:val="tx1"/>
                  </w14:solidFill>
                </w14:textFill>
              </w:rPr>
              <w:t>近三年财务状况报告，近六个月依法缴纳税收和</w:t>
            </w:r>
            <w:r>
              <w:rPr>
                <w:rFonts w:hint="eastAsia"/>
                <w:sz w:val="24"/>
              </w:rPr>
              <w:t>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color w:val="000000" w:themeColor="text1"/>
                <w:sz w:val="24"/>
                <w14:textFill>
                  <w14:solidFill>
                    <w14:schemeClr w14:val="tx1"/>
                  </w14:solidFill>
                </w14:textFill>
              </w:rPr>
              <w:t>6.未被列入"信用中国"网站(www.creditchina.gov.cn)"失信被执行人和重大税收违法案件当事人</w:t>
            </w:r>
            <w:r>
              <w:rPr>
                <w:rFonts w:hint="eastAsia"/>
                <w:b/>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"中国政府采购网"（www.ccgp.gov.cn）中政府采购严重违法失信行为记录名单（以上截图日期为征集公告发布后，截止日前的网页打印件。）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rPr>
              <w:t>7.特定条件：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left w:val="single" w:color="auto" w:sz="4" w:space="0"/>
              <w:bottom w:val="single" w:color="auto" w:sz="4" w:space="0"/>
              <w:right w:val="single" w:color="auto" w:sz="4" w:space="0"/>
            </w:tcBorders>
            <w:vAlign w:val="center"/>
          </w:tcPr>
          <w:p>
            <w:pPr>
              <w:widowControl/>
              <w:jc w:val="left"/>
              <w:rPr>
                <w:rFonts w:ascii="宋体" w:hAnsi="宋体" w:cs="宋体"/>
                <w:b/>
                <w:kern w:val="0"/>
                <w:sz w:val="24"/>
              </w:rPr>
            </w:pPr>
            <w:r>
              <w:rPr>
                <w:rFonts w:hint="eastAsia" w:ascii="宋体" w:hAnsi="宋体" w:cs="宋体"/>
                <w:b/>
                <w:kern w:val="0"/>
                <w:sz w:val="24"/>
              </w:rPr>
              <w:t>供应商意见</w:t>
            </w:r>
          </w:p>
        </w:tc>
        <w:tc>
          <w:tcPr>
            <w:tcW w:w="6996" w:type="dxa"/>
            <w:tcBorders>
              <w:top w:val="single" w:color="auto" w:sz="4" w:space="0"/>
              <w:left w:val="single" w:color="auto" w:sz="4" w:space="0"/>
              <w:bottom w:val="single" w:color="auto" w:sz="4" w:space="0"/>
              <w:right w:val="single" w:color="auto" w:sz="4" w:space="0"/>
            </w:tcBorders>
          </w:tcPr>
          <w:p>
            <w:pPr>
              <w:rPr>
                <w:b/>
                <w:sz w:val="24"/>
              </w:rPr>
            </w:pPr>
            <w:r>
              <w:rPr>
                <w:rFonts w:hint="eastAsia"/>
                <w:b/>
                <w:sz w:val="24"/>
              </w:rPr>
              <w:t>供应商可对本项目采购需求的公正性、专业性、合理性等提出自己正确的意见、建议等（可另页详细表述）。</w:t>
            </w:r>
          </w:p>
        </w:tc>
      </w:tr>
    </w:tbl>
    <w:p>
      <w:pPr>
        <w:pStyle w:val="12"/>
        <w:shd w:val="clear" w:color="auto" w:fill="FFFFFF"/>
        <w:spacing w:before="150" w:beforeAutospacing="0" w:after="150" w:afterAutospacing="0" w:line="360" w:lineRule="atLeast"/>
        <w:rPr>
          <w:rStyle w:val="17"/>
          <w:color w:val="000000"/>
        </w:rPr>
      </w:pPr>
    </w:p>
    <w:p>
      <w:pPr>
        <w:pStyle w:val="12"/>
        <w:shd w:val="clear" w:color="auto" w:fill="FFFFFF"/>
        <w:spacing w:before="150" w:beforeAutospacing="0" w:after="150" w:afterAutospacing="0" w:line="360" w:lineRule="atLeast"/>
        <w:rPr>
          <w:rStyle w:val="17"/>
          <w:color w:val="000000"/>
        </w:rPr>
      </w:pPr>
      <w:r>
        <w:rPr>
          <w:rStyle w:val="17"/>
          <w:rFonts w:hint="eastAsia"/>
          <w:color w:val="000000"/>
        </w:rPr>
        <w:t>注意事项：</w:t>
      </w:r>
    </w:p>
    <w:p>
      <w:pPr>
        <w:pStyle w:val="12"/>
        <w:shd w:val="clear" w:color="auto" w:fill="FFFFFF"/>
        <w:spacing w:before="150" w:after="150"/>
        <w:ind w:firstLine="480" w:firstLineChars="200"/>
        <w:rPr>
          <w:color w:val="000000"/>
        </w:rPr>
      </w:pPr>
      <w:r>
        <w:rPr>
          <w:rFonts w:hint="eastAsia"/>
          <w:color w:val="000000"/>
        </w:rPr>
        <w:t>1.供应商必须严格按照公告的内容和要求，完整递交有关资料，逾期递交的将予以拒收。</w:t>
      </w:r>
    </w:p>
    <w:p>
      <w:pPr>
        <w:pStyle w:val="12"/>
        <w:shd w:val="clear" w:color="auto" w:fill="FFFFFF"/>
        <w:spacing w:before="100" w:after="100"/>
        <w:ind w:firstLine="480" w:firstLineChars="200"/>
        <w:rPr>
          <w:color w:val="000000"/>
        </w:rPr>
      </w:pPr>
      <w:r>
        <w:rPr>
          <w:rFonts w:hint="eastAsia"/>
          <w:color w:val="000000"/>
        </w:rPr>
        <w:t xml:space="preserve">2.★供应商所递交的资料（全部盖有单位公章）必须为一般常用电脑办公软件能够读取的清晰、易于辨识的彩色电子扫描件、照片且无法移动的印章（相关证书和证明材料的原件）,并对其他递交资料内容的真实性、有效性及完整性负责，如提供文件资料有错漏、模糊不清、复印件的电子扫描件、照片、无法读取识别或弄虚作假等，一律属于无效文件。 </w:t>
      </w:r>
    </w:p>
    <w:p>
      <w:pPr>
        <w:pStyle w:val="12"/>
        <w:shd w:val="clear" w:color="auto" w:fill="FFFFFF"/>
        <w:spacing w:before="150" w:beforeAutospacing="0" w:after="150" w:afterAutospacing="0"/>
        <w:ind w:firstLine="480" w:firstLineChars="200"/>
        <w:rPr>
          <w:color w:val="000000"/>
        </w:rPr>
      </w:pPr>
      <w:r>
        <w:rPr>
          <w:rFonts w:hint="eastAsia"/>
          <w:color w:val="000000"/>
        </w:rPr>
        <w:t>3.★须在邮件正文注明公司全称、项目名称、项目编号、联系人姓名及联系人联系方式</w:t>
      </w:r>
      <w:r>
        <w:rPr>
          <w:rFonts w:hint="eastAsia"/>
          <w:b/>
          <w:bCs/>
          <w:color w:val="000000"/>
        </w:rPr>
        <w:t>（邮件附件征集资料文件名只注明公司全称，不注明我单位将拒收报名邮件</w:t>
      </w:r>
      <w:r>
        <w:rPr>
          <w:rFonts w:hint="eastAsia"/>
          <w:color w:val="000000"/>
        </w:rPr>
        <w:t>）。</w:t>
      </w:r>
    </w:p>
    <w:p>
      <w:pPr>
        <w:pStyle w:val="12"/>
        <w:shd w:val="clear" w:color="auto" w:fill="FFFFFF"/>
        <w:spacing w:before="150" w:beforeAutospacing="0" w:after="150" w:afterAutospacing="0"/>
        <w:rPr>
          <w:color w:val="000000"/>
        </w:rPr>
      </w:pPr>
    </w:p>
    <w:p>
      <w:pPr>
        <w:pStyle w:val="3"/>
        <w:spacing w:before="0" w:after="0" w:line="360" w:lineRule="auto"/>
        <w:ind w:firstLine="2168" w:firstLineChars="600"/>
        <w:rPr>
          <w:rFonts w:ascii="仿宋_GB2312" w:hAnsi="新宋体" w:eastAsia="仿宋_GB2312"/>
        </w:rPr>
      </w:pPr>
      <w:r>
        <w:rPr>
          <w:rFonts w:hint="eastAsia" w:ascii="仿宋_GB2312" w:hAnsi="新宋体" w:eastAsia="仿宋_GB2312"/>
          <w:sz w:val="36"/>
          <w:szCs w:val="36"/>
        </w:rPr>
        <w:t>评审方法（综合评分法</w:t>
      </w:r>
      <w:r>
        <w:rPr>
          <w:rFonts w:hint="eastAsia" w:ascii="仿宋_GB2312" w:hAnsi="新宋体" w:eastAsia="仿宋_GB2312"/>
        </w:rPr>
        <w:t>）</w:t>
      </w:r>
      <w:bookmarkStart w:id="1" w:name="_Toc247085757"/>
      <w:bookmarkStart w:id="2" w:name="_Toc152042376"/>
      <w:bookmarkStart w:id="3" w:name="_Toc246996985"/>
      <w:bookmarkStart w:id="4" w:name="_Toc246996242"/>
      <w:bookmarkStart w:id="5" w:name="_Toc179632617"/>
      <w:bookmarkStart w:id="6" w:name="_Toc144974566"/>
      <w:bookmarkStart w:id="7" w:name="_Toc152045599"/>
    </w:p>
    <w:bookmarkEnd w:id="1"/>
    <w:bookmarkEnd w:id="2"/>
    <w:bookmarkEnd w:id="3"/>
    <w:bookmarkEnd w:id="4"/>
    <w:bookmarkEnd w:id="5"/>
    <w:bookmarkEnd w:id="6"/>
    <w:bookmarkEnd w:id="7"/>
    <w:p>
      <w:pPr>
        <w:adjustRightInd w:val="0"/>
        <w:snapToGrid w:val="0"/>
        <w:spacing w:line="440" w:lineRule="exact"/>
        <w:jc w:val="center"/>
        <w:outlineLvl w:val="0"/>
        <w:rPr>
          <w:rFonts w:ascii="Times New Roman" w:hAnsi="Times New Roman" w:cs="Times New Roman"/>
          <w:b/>
          <w:sz w:val="36"/>
          <w:szCs w:val="36"/>
        </w:rPr>
      </w:pPr>
      <w:r>
        <w:rPr>
          <w:rFonts w:ascii="Times New Roman" w:hAnsi="Times New Roman" w:cs="Times New Roman"/>
          <w:b/>
          <w:sz w:val="36"/>
          <w:szCs w:val="36"/>
        </w:rPr>
        <w:t>评审办法及评分标准</w:t>
      </w:r>
    </w:p>
    <w:tbl>
      <w:tblPr>
        <w:tblStyle w:val="14"/>
        <w:tblW w:w="94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746"/>
        <w:gridCol w:w="2134"/>
        <w:gridCol w:w="56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b/>
                <w:color w:val="000000"/>
                <w:szCs w:val="21"/>
              </w:rPr>
            </w:pPr>
            <w:r>
              <w:rPr>
                <w:rFonts w:hint="eastAsia" w:ascii="仿宋_GB2312" w:hAnsi="新宋体" w:eastAsia="仿宋_GB2312"/>
                <w:b/>
                <w:color w:val="000000"/>
                <w:szCs w:val="21"/>
              </w:rPr>
              <w:t>序号</w:t>
            </w: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条款内容</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b/>
                <w:color w:val="000000"/>
                <w:szCs w:val="21"/>
              </w:rPr>
            </w:pPr>
            <w:r>
              <w:rPr>
                <w:rFonts w:hint="eastAsia" w:ascii="仿宋_GB2312" w:hAnsi="新宋体" w:eastAsia="仿宋_GB2312"/>
                <w:b/>
                <w:color w:val="000000"/>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1</w:t>
            </w: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分值构成</w:t>
            </w:r>
          </w:p>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(总分100分)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u w:val="single"/>
              </w:rPr>
            </w:pPr>
            <w:r>
              <w:rPr>
                <w:rFonts w:hint="eastAsia" w:ascii="仿宋_GB2312" w:hAnsi="新宋体" w:eastAsia="仿宋_GB2312"/>
                <w:color w:val="000000"/>
                <w:szCs w:val="21"/>
              </w:rPr>
              <w:t>技术部分：</w:t>
            </w:r>
            <w:r>
              <w:rPr>
                <w:rFonts w:hint="eastAsia" w:ascii="仿宋_GB2312" w:hAnsi="新宋体" w:eastAsia="仿宋_GB2312"/>
                <w:color w:val="000000"/>
                <w:szCs w:val="21"/>
                <w:u w:val="single"/>
              </w:rPr>
              <w:t xml:space="preserve"> 60 </w:t>
            </w:r>
            <w:r>
              <w:rPr>
                <w:rFonts w:hint="eastAsia" w:ascii="仿宋_GB2312" w:hAnsi="新宋体" w:eastAsia="仿宋_GB2312"/>
                <w:color w:val="000000"/>
                <w:szCs w:val="21"/>
              </w:rPr>
              <w:t>分   商务综合部分</w:t>
            </w:r>
            <w:r>
              <w:rPr>
                <w:rFonts w:hint="eastAsia" w:ascii="仿宋_GB2312" w:hAnsi="新宋体" w:eastAsia="仿宋_GB2312"/>
                <w:color w:val="000000"/>
                <w:szCs w:val="21"/>
                <w:u w:val="single"/>
              </w:rPr>
              <w:t>10分</w:t>
            </w:r>
          </w:p>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商务报价部分：</w:t>
            </w:r>
            <w:r>
              <w:rPr>
                <w:rFonts w:hint="eastAsia" w:ascii="仿宋_GB2312" w:hAnsi="新宋体" w:eastAsia="仿宋_GB2312"/>
                <w:color w:val="000000"/>
                <w:szCs w:val="21"/>
                <w:u w:val="single"/>
              </w:rPr>
              <w:t xml:space="preserve"> 30 </w:t>
            </w:r>
            <w:r>
              <w:rPr>
                <w:rFonts w:hint="eastAsia" w:ascii="仿宋_GB2312" w:hAnsi="新宋体" w:eastAsia="仿宋_GB2312"/>
                <w:color w:val="000000"/>
                <w:szCs w:val="21"/>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646" w:type="dxa"/>
            <w:gridSpan w:val="2"/>
            <w:tcBorders>
              <w:top w:val="single" w:color="000000" w:sz="4" w:space="0"/>
              <w:left w:val="nil"/>
              <w:bottom w:val="single" w:color="000000" w:sz="4" w:space="0"/>
              <w:right w:val="nil"/>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000000" w:sz="4" w:space="0"/>
              <w:left w:val="nil"/>
              <w:bottom w:val="single" w:color="000000" w:sz="4" w:space="0"/>
              <w:right w:val="nil"/>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5657" w:type="dxa"/>
            <w:tcBorders>
              <w:top w:val="single" w:color="000000" w:sz="4" w:space="0"/>
              <w:left w:val="nil"/>
              <w:bottom w:val="single" w:color="000000" w:sz="4" w:space="0"/>
              <w:right w:val="nil"/>
            </w:tcBorders>
            <w:vAlign w:val="center"/>
          </w:tcPr>
          <w:p>
            <w:pPr>
              <w:pStyle w:val="4"/>
              <w:adjustRightInd w:val="0"/>
              <w:snapToGrid w:val="0"/>
              <w:spacing w:line="320" w:lineRule="exact"/>
              <w:rPr>
                <w:rFonts w:ascii="仿宋_GB2312" w:hAnsi="新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646" w:type="dxa"/>
            <w:gridSpan w:val="2"/>
            <w:tcBorders>
              <w:top w:val="single" w:color="000000" w:sz="4" w:space="0"/>
              <w:left w:val="single" w:color="000000" w:sz="4" w:space="0"/>
              <w:bottom w:val="single" w:color="000000" w:sz="4" w:space="0"/>
              <w:right w:val="single" w:color="000000"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b/>
                <w:color w:val="000000"/>
                <w:szCs w:val="21"/>
              </w:rPr>
              <w:t>条款号</w:t>
            </w:r>
          </w:p>
        </w:tc>
        <w:tc>
          <w:tcPr>
            <w:tcW w:w="2134" w:type="dxa"/>
            <w:tcBorders>
              <w:top w:val="single" w:color="000000" w:sz="4" w:space="0"/>
              <w:left w:val="single" w:color="000000" w:sz="4" w:space="0"/>
              <w:bottom w:val="single" w:color="000000" w:sz="4" w:space="0"/>
              <w:right w:val="single" w:color="000000"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评分因素</w:t>
            </w:r>
          </w:p>
        </w:tc>
        <w:tc>
          <w:tcPr>
            <w:tcW w:w="5657" w:type="dxa"/>
            <w:tcBorders>
              <w:top w:val="single" w:color="000000" w:sz="4" w:space="0"/>
              <w:left w:val="single" w:color="000000" w:sz="4" w:space="0"/>
              <w:bottom w:val="single" w:color="000000" w:sz="4" w:space="0"/>
              <w:right w:val="single" w:color="000000"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b/>
                <w:color w:val="000000"/>
                <w:szCs w:val="21"/>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000000"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1</w:t>
            </w:r>
          </w:p>
        </w:tc>
        <w:tc>
          <w:tcPr>
            <w:tcW w:w="746" w:type="dxa"/>
            <w:vMerge w:val="restart"/>
            <w:tcBorders>
              <w:top w:val="single" w:color="000000"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技术部份</w:t>
            </w:r>
            <w:r>
              <w:rPr>
                <w:rFonts w:ascii="仿宋_GB2312" w:hAnsi="新宋体" w:eastAsia="仿宋_GB2312"/>
                <w:color w:val="000000"/>
                <w:szCs w:val="21"/>
              </w:rPr>
              <w:t>(</w:t>
            </w:r>
            <w:r>
              <w:rPr>
                <w:rFonts w:hint="eastAsia" w:ascii="仿宋_GB2312" w:hAnsi="新宋体" w:eastAsia="仿宋_GB2312"/>
                <w:color w:val="000000"/>
                <w:szCs w:val="21"/>
              </w:rPr>
              <w:t>60分）</w:t>
            </w:r>
          </w:p>
        </w:tc>
        <w:tc>
          <w:tcPr>
            <w:tcW w:w="2134"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cr/>
            </w:r>
            <w:r>
              <w:rPr>
                <w:rFonts w:hint="eastAsia" w:ascii="仿宋_GB2312" w:hAnsi="新宋体" w:eastAsia="仿宋_GB2312"/>
                <w:color w:val="000000"/>
                <w:szCs w:val="21"/>
              </w:rPr>
              <w:t>工程概况（6分）</w:t>
            </w:r>
          </w:p>
        </w:tc>
        <w:tc>
          <w:tcPr>
            <w:tcW w:w="5657" w:type="dxa"/>
            <w:tcBorders>
              <w:top w:val="single" w:color="000000" w:sz="4" w:space="0"/>
              <w:left w:val="single" w:color="auto" w:sz="4" w:space="0"/>
              <w:bottom w:val="single" w:color="auto" w:sz="4" w:space="0"/>
              <w:right w:val="single" w:color="auto" w:sz="4" w:space="0"/>
            </w:tcBorders>
            <w:vAlign w:val="center"/>
          </w:tcPr>
          <w:p>
            <w:pPr>
              <w:widowControl/>
              <w:jc w:val="left"/>
              <w:rPr>
                <w:rFonts w:ascii="仿宋_GB2312" w:hAnsi="新宋体" w:eastAsia="仿宋_GB2312"/>
                <w:color w:val="000000"/>
                <w:szCs w:val="21"/>
              </w:rPr>
            </w:pPr>
            <w:r>
              <w:rPr>
                <w:rFonts w:hint="eastAsia" w:ascii="仿宋_GB2312" w:hAnsi="新宋体" w:eastAsia="仿宋_GB2312"/>
                <w:color w:val="000000"/>
                <w:szCs w:val="21"/>
              </w:rPr>
              <w:t>描述准确、清晰6分；描述基本准确3分；否则不得分。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施工部署（5分）</w:t>
            </w:r>
          </w:p>
        </w:tc>
        <w:tc>
          <w:tcPr>
            <w:tcW w:w="5657"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科学、合理、针对性强5分；合理、基本可行2分；否则不得分。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施工进度计划（5分）</w:t>
            </w:r>
          </w:p>
        </w:tc>
        <w:tc>
          <w:tcPr>
            <w:tcW w:w="5657" w:type="dxa"/>
            <w:tcBorders>
              <w:top w:val="single" w:color="000000"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工程施工重点和难点描述准确，保证措施有力的得5分；</w:t>
            </w:r>
          </w:p>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工程施工重点和难点描述准确性差，保证措施不强的得2分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施工方案与技术措施（8分）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施工方案与技术措施切实可行，分部分项工程的主要施工方法先进科学，合理满足施工质量和要求得8分，有提供方案和措施但内容不全的得4分，未提供者不得分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确保工程质量的措施（8分）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质量管理体系与各道手续有质量保证措施的得8分，内容不全的得4分，若此条缺项不得分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安全、文明管理体系与措施（7分）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施工安全、文明措施计划内容完整，合理，针对性强得7分；，内容不完备的，欠合理，可行性差的得3分；若此条缺项不得分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施工环保措施计划、减少噪音、降低环境污染（7分）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有施工环保措施计划、减少噪音、降低环境污染措施计划的并合理可行的得7分；基本合理的得3分，若此条缺项不得分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工程进度计划与措施（7分）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施工总进度计划及保证措施内容完备，合理，针对性强得7分；内容不完备的，欠合理，可行性差的得3分，若此条缺项不得分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color w:val="000000"/>
                <w:szCs w:val="21"/>
              </w:rPr>
            </w:pPr>
          </w:p>
        </w:tc>
        <w:tc>
          <w:tcPr>
            <w:tcW w:w="746" w:type="dxa"/>
            <w:vMerge w:val="continue"/>
            <w:tcBorders>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施工准备与资源配备计划（7分）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_GB2312" w:hAnsi="新宋体" w:eastAsia="仿宋_GB2312"/>
                <w:color w:val="000000"/>
                <w:szCs w:val="21"/>
              </w:rPr>
            </w:pPr>
            <w:r>
              <w:rPr>
                <w:rFonts w:hint="eastAsia" w:ascii="仿宋_GB2312" w:hAnsi="新宋体" w:eastAsia="仿宋_GB2312"/>
                <w:color w:val="000000"/>
                <w:szCs w:val="21"/>
              </w:rPr>
              <w:t>拟参加本项目劳力安排保证措施、施工机械设备型号及数量配备、计划安排等内容完备的，合理，可行性强的得7分，内容不完备的，欠合理，可行性差的得3分，若此条缺项不得分。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30" w:hRule="atLeast"/>
          <w:jc w:val="center"/>
        </w:trPr>
        <w:tc>
          <w:tcPr>
            <w:tcW w:w="900" w:type="dxa"/>
            <w:vMerge w:val="restart"/>
            <w:tcBorders>
              <w:top w:val="single" w:color="auto" w:sz="4" w:space="0"/>
              <w:right w:val="single" w:color="auto" w:sz="4" w:space="0"/>
            </w:tcBorders>
            <w:vAlign w:val="center"/>
          </w:tcPr>
          <w:p>
            <w:pPr>
              <w:pStyle w:val="4"/>
              <w:adjustRightInd w:val="0"/>
              <w:snapToGrid w:val="0"/>
              <w:spacing w:line="320" w:lineRule="exact"/>
              <w:jc w:val="center"/>
              <w:rPr>
                <w:rFonts w:ascii="仿宋_GB2312" w:hAnsi="新宋体" w:eastAsia="仿宋_GB2312"/>
                <w:color w:val="000000"/>
                <w:szCs w:val="21"/>
              </w:rPr>
            </w:pPr>
            <w:r>
              <w:rPr>
                <w:rFonts w:hint="eastAsia" w:ascii="仿宋_GB2312" w:hAnsi="新宋体" w:eastAsia="仿宋_GB2312"/>
                <w:color w:val="000000"/>
                <w:szCs w:val="21"/>
              </w:rPr>
              <w:t>2</w:t>
            </w:r>
          </w:p>
          <w:p>
            <w:pPr>
              <w:pStyle w:val="4"/>
              <w:adjustRightInd w:val="0"/>
              <w:snapToGrid w:val="0"/>
              <w:spacing w:line="320" w:lineRule="exact"/>
              <w:jc w:val="center"/>
              <w:rPr>
                <w:rFonts w:ascii="仿宋_GB2312" w:hAnsi="新宋体" w:eastAsia="仿宋_GB2312"/>
                <w:color w:val="000000"/>
                <w:szCs w:val="21"/>
              </w:rPr>
            </w:pPr>
          </w:p>
        </w:tc>
        <w:tc>
          <w:tcPr>
            <w:tcW w:w="746" w:type="dxa"/>
            <w:vMerge w:val="restart"/>
            <w:tcBorders>
              <w:top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color w:val="000000"/>
                <w:szCs w:val="21"/>
              </w:rPr>
            </w:pPr>
            <w:r>
              <w:rPr>
                <w:rFonts w:hint="eastAsia" w:ascii="仿宋" w:hAnsi="仿宋" w:eastAsia="仿宋" w:cs="仿宋"/>
                <w:color w:val="000000"/>
                <w:szCs w:val="21"/>
              </w:rPr>
              <w:t>商务综合部份（10分）</w:t>
            </w:r>
          </w:p>
        </w:tc>
        <w:tc>
          <w:tcPr>
            <w:tcW w:w="2134" w:type="dxa"/>
            <w:tcBorders>
              <w:top w:val="single" w:color="auto" w:sz="4" w:space="0"/>
              <w:left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财务状况（2分）</w:t>
            </w:r>
          </w:p>
        </w:tc>
        <w:tc>
          <w:tcPr>
            <w:tcW w:w="565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rPr>
            </w:pPr>
            <w:r>
              <w:rPr>
                <w:rFonts w:hint="eastAsia" w:ascii="仿宋" w:hAnsi="仿宋" w:eastAsia="仿宋" w:cs="仿宋"/>
              </w:rPr>
              <w:t>企业具有金融机构出具的资信等级AAA级的得2分，具有金融机构出具的资信等级AA级的得1分，其他情况得0分</w:t>
            </w:r>
          </w:p>
          <w:p>
            <w:r>
              <w:rPr>
                <w:rFonts w:hint="eastAsia" w:ascii="仿宋" w:hAnsi="仿宋" w:eastAsia="仿宋" w:cs="仿宋"/>
              </w:rPr>
              <w:t>（需提供有效证明材料，且证明材料须提供真彩扫描打印件并加盖公章）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szCs w:val="21"/>
              </w:rPr>
            </w:pPr>
          </w:p>
        </w:tc>
        <w:tc>
          <w:tcPr>
            <w:tcW w:w="746" w:type="dxa"/>
            <w:vMerge w:val="continue"/>
            <w:tcBorders>
              <w:right w:val="single" w:color="auto" w:sz="4" w:space="0"/>
            </w:tcBorders>
          </w:tcPr>
          <w:p>
            <w:pPr>
              <w:pStyle w:val="4"/>
              <w:adjustRightInd w:val="0"/>
              <w:snapToGrid w:val="0"/>
              <w:spacing w:line="320" w:lineRule="exact"/>
              <w:jc w:val="center"/>
              <w:rPr>
                <w:rFonts w:ascii="仿宋" w:hAnsi="仿宋" w:eastAsia="仿宋" w:cs="仿宋"/>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企业证书（3分）</w:t>
            </w:r>
          </w:p>
        </w:tc>
        <w:tc>
          <w:tcPr>
            <w:tcW w:w="565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szCs w:val="21"/>
              </w:rPr>
            </w:pPr>
            <w:r>
              <w:rPr>
                <w:rFonts w:hint="eastAsia" w:ascii="仿宋" w:hAnsi="仿宋" w:eastAsia="仿宋" w:cs="仿宋"/>
              </w:rPr>
              <w:t>质量体系认证、环保体系认证、健康体系认证等，每项可得1分，最高得3分。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jc w:val="center"/>
        </w:trPr>
        <w:tc>
          <w:tcPr>
            <w:tcW w:w="900" w:type="dxa"/>
            <w:vMerge w:val="continue"/>
            <w:tcBorders>
              <w:right w:val="single" w:color="auto" w:sz="4" w:space="0"/>
            </w:tcBorders>
          </w:tcPr>
          <w:p>
            <w:pPr>
              <w:pStyle w:val="4"/>
              <w:adjustRightInd w:val="0"/>
              <w:snapToGrid w:val="0"/>
              <w:spacing w:line="320" w:lineRule="exact"/>
              <w:jc w:val="center"/>
              <w:rPr>
                <w:rFonts w:ascii="仿宋_GB2312" w:hAnsi="新宋体" w:eastAsia="仿宋_GB2312"/>
                <w:szCs w:val="21"/>
              </w:rPr>
            </w:pPr>
          </w:p>
        </w:tc>
        <w:tc>
          <w:tcPr>
            <w:tcW w:w="746" w:type="dxa"/>
            <w:vMerge w:val="continue"/>
            <w:tcBorders>
              <w:right w:val="single" w:color="auto" w:sz="4" w:space="0"/>
            </w:tcBorders>
          </w:tcPr>
          <w:p>
            <w:pPr>
              <w:pStyle w:val="4"/>
              <w:adjustRightInd w:val="0"/>
              <w:snapToGrid w:val="0"/>
              <w:spacing w:line="320" w:lineRule="exact"/>
              <w:jc w:val="center"/>
              <w:rPr>
                <w:rFonts w:ascii="仿宋" w:hAnsi="仿宋" w:eastAsia="仿宋" w:cs="仿宋"/>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业绩（2分）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 w:hAnsi="仿宋" w:eastAsia="仿宋" w:cs="仿宋"/>
                <w:kern w:val="0"/>
                <w:szCs w:val="21"/>
              </w:rPr>
            </w:pPr>
            <w:r>
              <w:rPr>
                <w:rFonts w:hint="eastAsia" w:ascii="仿宋" w:hAnsi="仿宋" w:eastAsia="仿宋" w:cs="仿宋"/>
                <w:kern w:val="0"/>
                <w:szCs w:val="21"/>
              </w:rPr>
              <w:t>投标人近3年（以合同签订时间为准）担任过类似市政公用工程项目业绩2个及2个以上的得2分，最高得2分。</w:t>
            </w:r>
            <w:r>
              <w:rPr>
                <w:rFonts w:hint="eastAsia" w:ascii="仿宋" w:hAnsi="仿宋" w:eastAsia="仿宋" w:cs="仿宋"/>
              </w:rPr>
              <w:t>（需提供有效证明材料，且证明材料须提供真彩扫描打印件</w:t>
            </w:r>
            <w:r>
              <w:rPr>
                <w:rFonts w:hint="eastAsia" w:ascii="仿宋" w:hAnsi="仿宋" w:eastAsia="仿宋" w:cs="仿宋"/>
                <w:kern w:val="0"/>
                <w:szCs w:val="21"/>
              </w:rPr>
              <w:t>并加盖公章</w:t>
            </w:r>
            <w:r>
              <w:rPr>
                <w:rFonts w:hint="eastAsi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7" w:hRule="atLeast"/>
          <w:jc w:val="center"/>
        </w:trPr>
        <w:tc>
          <w:tcPr>
            <w:tcW w:w="900" w:type="dxa"/>
            <w:vMerge w:val="continue"/>
            <w:tcBorders>
              <w:bottom w:val="single" w:color="auto" w:sz="4" w:space="0"/>
              <w:right w:val="single" w:color="auto" w:sz="4" w:space="0"/>
            </w:tcBorders>
          </w:tcPr>
          <w:p>
            <w:pPr>
              <w:pStyle w:val="4"/>
              <w:adjustRightInd w:val="0"/>
              <w:snapToGrid w:val="0"/>
              <w:spacing w:line="320" w:lineRule="exact"/>
              <w:jc w:val="center"/>
              <w:rPr>
                <w:rFonts w:ascii="仿宋_GB2312" w:hAnsi="新宋体" w:eastAsia="仿宋_GB2312"/>
                <w:szCs w:val="21"/>
              </w:rPr>
            </w:pPr>
          </w:p>
        </w:tc>
        <w:tc>
          <w:tcPr>
            <w:tcW w:w="746" w:type="dxa"/>
            <w:vMerge w:val="continue"/>
            <w:tcBorders>
              <w:bottom w:val="single" w:color="auto" w:sz="4" w:space="0"/>
              <w:right w:val="single" w:color="auto" w:sz="4" w:space="0"/>
            </w:tcBorders>
          </w:tcPr>
          <w:p>
            <w:pPr>
              <w:pStyle w:val="4"/>
              <w:adjustRightInd w:val="0"/>
              <w:snapToGrid w:val="0"/>
              <w:spacing w:line="320" w:lineRule="exact"/>
              <w:jc w:val="center"/>
              <w:rPr>
                <w:rFonts w:ascii="仿宋" w:hAnsi="仿宋" w:eastAsia="仿宋" w:cs="仿宋"/>
                <w:szCs w:val="21"/>
              </w:rPr>
            </w:pP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szCs w:val="21"/>
              </w:rPr>
            </w:pPr>
            <w:r>
              <w:rPr>
                <w:rFonts w:hint="eastAsia" w:ascii="仿宋" w:hAnsi="仿宋" w:eastAsia="仿宋" w:cs="仿宋"/>
                <w:szCs w:val="21"/>
              </w:rPr>
              <w:t>技术负责人任职资格（3分）</w:t>
            </w:r>
          </w:p>
        </w:tc>
        <w:tc>
          <w:tcPr>
            <w:tcW w:w="5657"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rPr>
                <w:rFonts w:ascii="仿宋" w:hAnsi="仿宋" w:eastAsia="仿宋" w:cs="仿宋"/>
                <w:szCs w:val="21"/>
              </w:rPr>
            </w:pPr>
            <w:r>
              <w:rPr>
                <w:rFonts w:hint="eastAsia" w:ascii="仿宋" w:hAnsi="仿宋" w:eastAsia="仿宋" w:cs="仿宋"/>
                <w:kern w:val="0"/>
                <w:szCs w:val="21"/>
              </w:rPr>
              <w:t>具有市政公用工程类专业高级技术职称的得3分，具有市政公用工程类专业中级技术职称的得1.5分，其他情况得0分；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kern w:val="0"/>
                <w:szCs w:val="21"/>
              </w:rPr>
            </w:pPr>
            <w:r>
              <w:rPr>
                <w:rFonts w:hint="eastAsia" w:ascii="仿宋" w:hAnsi="仿宋" w:eastAsia="仿宋" w:cs="仿宋"/>
                <w:kern w:val="0"/>
                <w:szCs w:val="21"/>
              </w:rPr>
              <w:t>3</w:t>
            </w:r>
          </w:p>
        </w:tc>
        <w:tc>
          <w:tcPr>
            <w:tcW w:w="746"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kern w:val="0"/>
                <w:szCs w:val="21"/>
              </w:rPr>
            </w:pPr>
            <w:r>
              <w:rPr>
                <w:rFonts w:hint="eastAsia" w:ascii="仿宋" w:hAnsi="仿宋" w:eastAsia="仿宋" w:cs="仿宋"/>
                <w:kern w:val="0"/>
                <w:szCs w:val="21"/>
              </w:rPr>
              <w:t>商务报价部份）</w:t>
            </w:r>
          </w:p>
        </w:tc>
        <w:tc>
          <w:tcPr>
            <w:tcW w:w="2134"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line="320" w:lineRule="exact"/>
              <w:jc w:val="center"/>
              <w:rPr>
                <w:rFonts w:ascii="仿宋" w:hAnsi="仿宋" w:eastAsia="仿宋" w:cs="仿宋"/>
                <w:kern w:val="0"/>
                <w:szCs w:val="21"/>
              </w:rPr>
            </w:pPr>
            <w:r>
              <w:rPr>
                <w:rFonts w:hint="eastAsia" w:ascii="仿宋" w:hAnsi="仿宋" w:eastAsia="仿宋" w:cs="仿宋"/>
                <w:kern w:val="0"/>
                <w:szCs w:val="21"/>
              </w:rPr>
              <w:t>投标总价（30分）</w:t>
            </w:r>
          </w:p>
        </w:tc>
        <w:tc>
          <w:tcPr>
            <w:tcW w:w="5657" w:type="dxa"/>
            <w:tcBorders>
              <w:top w:val="single" w:color="auto" w:sz="4" w:space="0"/>
              <w:left w:val="single" w:color="auto" w:sz="4" w:space="0"/>
              <w:bottom w:val="single" w:color="auto" w:sz="4" w:space="0"/>
              <w:right w:val="single" w:color="auto" w:sz="4" w:space="0"/>
            </w:tcBorders>
          </w:tcPr>
          <w:p>
            <w:pPr>
              <w:pStyle w:val="4"/>
              <w:adjustRightInd w:val="0"/>
              <w:snapToGrid w:val="0"/>
              <w:spacing w:line="320" w:lineRule="exact"/>
              <w:ind w:firstLine="420" w:firstLineChars="200"/>
              <w:rPr>
                <w:rFonts w:ascii="仿宋" w:hAnsi="仿宋" w:eastAsia="仿宋" w:cs="仿宋"/>
                <w:kern w:val="0"/>
                <w:szCs w:val="21"/>
              </w:rPr>
            </w:pPr>
            <w:r>
              <w:rPr>
                <w:rFonts w:hint="eastAsia" w:ascii="仿宋" w:hAnsi="仿宋" w:eastAsia="仿宋" w:cs="仿宋"/>
                <w:kern w:val="0"/>
                <w:szCs w:val="21"/>
              </w:rPr>
              <w:t>综合评分法中的价格分统一采用低价优先法计算，即满足磋商文件要求且最后报价最低的供应商的价格为磋商基准价，其价格分为满分。其他供应商的价格分统一按照下列公式计算：</w:t>
            </w:r>
          </w:p>
          <w:p>
            <w:pPr>
              <w:pStyle w:val="4"/>
              <w:adjustRightInd w:val="0"/>
              <w:snapToGrid w:val="0"/>
              <w:spacing w:line="320" w:lineRule="exact"/>
              <w:rPr>
                <w:rFonts w:ascii="仿宋" w:hAnsi="仿宋" w:eastAsia="仿宋" w:cs="仿宋"/>
                <w:kern w:val="0"/>
                <w:szCs w:val="21"/>
              </w:rPr>
            </w:pPr>
            <w:r>
              <w:rPr>
                <w:rFonts w:hint="eastAsia" w:ascii="仿宋" w:hAnsi="仿宋" w:eastAsia="仿宋" w:cs="仿宋"/>
                <w:kern w:val="0"/>
                <w:szCs w:val="21"/>
              </w:rPr>
              <w:t>　　磋商报价得分=（磋商基准价/最后磋商报价）×价格权值×100</w:t>
            </w:r>
          </w:p>
          <w:p>
            <w:pPr>
              <w:pStyle w:val="4"/>
              <w:adjustRightInd w:val="0"/>
              <w:snapToGrid w:val="0"/>
              <w:spacing w:line="320" w:lineRule="exact"/>
              <w:rPr>
                <w:rFonts w:ascii="仿宋" w:hAnsi="仿宋" w:eastAsia="仿宋" w:cs="仿宋"/>
                <w:kern w:val="0"/>
                <w:szCs w:val="21"/>
              </w:rPr>
            </w:pPr>
            <w:r>
              <w:rPr>
                <w:rFonts w:hint="eastAsia" w:ascii="仿宋" w:hAnsi="仿宋" w:eastAsia="仿宋" w:cs="仿宋"/>
                <w:kern w:val="0"/>
                <w:szCs w:val="21"/>
              </w:rPr>
              <w:t>　　项目评审过程中，不得去掉最后报价中的最高报价和最低报价。</w:t>
            </w:r>
          </w:p>
        </w:tc>
      </w:tr>
    </w:tbl>
    <w:p>
      <w:pPr>
        <w:spacing w:line="360" w:lineRule="auto"/>
        <w:ind w:firstLine="405"/>
        <w:rPr>
          <w:rFonts w:ascii="仿宋_GB2312" w:hAnsi="新宋体" w:eastAsia="仿宋_GB2312"/>
          <w:b/>
          <w:bCs/>
          <w:sz w:val="20"/>
          <w:szCs w:val="20"/>
        </w:rPr>
      </w:pPr>
      <w:r>
        <w:rPr>
          <w:rFonts w:hint="eastAsia" w:ascii="仿宋_GB2312" w:hAnsi="新宋体" w:eastAsia="仿宋_GB2312"/>
          <w:b/>
          <w:bCs/>
          <w:sz w:val="20"/>
          <w:szCs w:val="20"/>
        </w:rPr>
        <w:t>备注：</w:t>
      </w:r>
    </w:p>
    <w:p>
      <w:pPr>
        <w:pStyle w:val="2"/>
        <w:ind w:firstLine="402"/>
        <w:rPr>
          <w:rFonts w:ascii="仿宋_GB2312" w:hAnsi="新宋体" w:eastAsia="仿宋_GB2312"/>
          <w:b/>
          <w:bCs/>
          <w:sz w:val="20"/>
        </w:rPr>
      </w:pPr>
      <w:r>
        <w:rPr>
          <w:rFonts w:hint="eastAsia" w:ascii="仿宋_GB2312" w:hAnsi="新宋体" w:eastAsia="仿宋_GB2312"/>
          <w:b/>
          <w:bCs/>
          <w:sz w:val="20"/>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pStyle w:val="12"/>
        <w:shd w:val="clear" w:color="auto" w:fill="FFFFFF"/>
        <w:spacing w:before="150" w:beforeAutospacing="0" w:after="150" w:afterAutospacing="0" w:line="360" w:lineRule="auto"/>
        <w:rPr>
          <w:rFonts w:ascii="仿宋_GB2312" w:hAnsi="新宋体" w:eastAsia="仿宋_GB2312"/>
          <w:b/>
          <w:bCs/>
          <w:color w:val="000000"/>
          <w:sz w:val="20"/>
        </w:rPr>
      </w:pPr>
      <w:r>
        <w:rPr>
          <w:rFonts w:hint="eastAsia" w:ascii="仿宋_GB2312" w:hAnsi="新宋体" w:eastAsia="仿宋_GB2312"/>
          <w:b/>
          <w:bCs/>
          <w:sz w:val="20"/>
          <w:szCs w:val="20"/>
        </w:rPr>
        <w:t>2.商务标计算按报价人最终报价计算。</w:t>
      </w:r>
      <w:r>
        <w:rPr>
          <w:rFonts w:hint="eastAsia" w:ascii="仿宋_GB2312" w:hAnsi="新宋体" w:eastAsia="仿宋_GB2312"/>
          <w:b/>
          <w:bCs/>
          <w:color w:val="000000"/>
          <w:sz w:val="20"/>
        </w:rPr>
        <w:t>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pPr>
        <w:pStyle w:val="12"/>
        <w:shd w:val="clear" w:color="auto" w:fill="FFFFFF"/>
        <w:spacing w:before="150" w:beforeAutospacing="0" w:after="150" w:afterAutospacing="0" w:line="360" w:lineRule="auto"/>
        <w:rPr>
          <w:rFonts w:ascii="仿宋_GB2312" w:hAnsi="新宋体" w:eastAsia="仿宋_GB2312"/>
          <w:b/>
          <w:bCs/>
          <w:color w:val="000000"/>
          <w:sz w:val="20"/>
        </w:rPr>
      </w:pPr>
      <w:r>
        <w:rPr>
          <w:rFonts w:hint="eastAsia" w:ascii="仿宋_GB2312" w:hAnsi="新宋体" w:eastAsia="仿宋_GB2312"/>
          <w:b/>
          <w:bCs/>
          <w:color w:val="000000"/>
          <w:sz w:val="20"/>
        </w:rPr>
        <w:t>3.如供应商的最终报价低于采购预算的80%，磋商小组可启动磋商报价低于成本问询程序：要求供应商作出书面说明并提供相关证明材料，如供应商在 30 分钟内无法提供不低于成本的相关证明材料， 由磋商小组认定该供应商以低于成本价恶意竞标将并否决其投标。</w:t>
      </w:r>
    </w:p>
    <w:p>
      <w:pPr>
        <w:pStyle w:val="12"/>
        <w:shd w:val="clear" w:color="auto" w:fill="FFFFFF"/>
        <w:spacing w:before="150" w:beforeAutospacing="0" w:after="150" w:afterAutospacing="0"/>
        <w:rPr>
          <w:rFonts w:ascii="仿宋_GB2312" w:hAnsi="新宋体" w:eastAsia="仿宋_GB2312"/>
          <w:b/>
          <w:bCs/>
          <w:color w:val="000000"/>
          <w:sz w:val="20"/>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微软雅黑"/>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O3c&#10;/KC2AQAAVgMAAA4AAAAAAAAAAQAgAAAAHgEAAGRycy9lMm9Eb2MueG1sUEsFBgAAAAAGAAYAWQEA&#10;AEYFA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DE9"/>
    <w:rsid w:val="000115F7"/>
    <w:rsid w:val="000128B8"/>
    <w:rsid w:val="00016BFD"/>
    <w:rsid w:val="000246F8"/>
    <w:rsid w:val="00033E96"/>
    <w:rsid w:val="000527BB"/>
    <w:rsid w:val="00056AED"/>
    <w:rsid w:val="0008654C"/>
    <w:rsid w:val="00095E05"/>
    <w:rsid w:val="0009726D"/>
    <w:rsid w:val="000A6872"/>
    <w:rsid w:val="000C6BBE"/>
    <w:rsid w:val="000C7A81"/>
    <w:rsid w:val="000D4CE5"/>
    <w:rsid w:val="000E2186"/>
    <w:rsid w:val="000F6D6B"/>
    <w:rsid w:val="000F7CF4"/>
    <w:rsid w:val="00101CA6"/>
    <w:rsid w:val="00104393"/>
    <w:rsid w:val="00120CEA"/>
    <w:rsid w:val="00122B5C"/>
    <w:rsid w:val="00127B67"/>
    <w:rsid w:val="00172B2F"/>
    <w:rsid w:val="001826F7"/>
    <w:rsid w:val="001A1BB8"/>
    <w:rsid w:val="001A3685"/>
    <w:rsid w:val="001F301E"/>
    <w:rsid w:val="001F5EBA"/>
    <w:rsid w:val="00223AA7"/>
    <w:rsid w:val="00227C74"/>
    <w:rsid w:val="0023592C"/>
    <w:rsid w:val="00241FC1"/>
    <w:rsid w:val="00247E29"/>
    <w:rsid w:val="00251305"/>
    <w:rsid w:val="00255A10"/>
    <w:rsid w:val="0027306D"/>
    <w:rsid w:val="002806D7"/>
    <w:rsid w:val="00286F91"/>
    <w:rsid w:val="002912E3"/>
    <w:rsid w:val="002C0DCE"/>
    <w:rsid w:val="00354132"/>
    <w:rsid w:val="00381A36"/>
    <w:rsid w:val="0038354E"/>
    <w:rsid w:val="00384F78"/>
    <w:rsid w:val="003A3307"/>
    <w:rsid w:val="003A3B64"/>
    <w:rsid w:val="003E4FBF"/>
    <w:rsid w:val="003E5C31"/>
    <w:rsid w:val="0042465C"/>
    <w:rsid w:val="00431872"/>
    <w:rsid w:val="004357AA"/>
    <w:rsid w:val="0044058D"/>
    <w:rsid w:val="004451C8"/>
    <w:rsid w:val="00462B04"/>
    <w:rsid w:val="00465FFA"/>
    <w:rsid w:val="0048653B"/>
    <w:rsid w:val="00494208"/>
    <w:rsid w:val="004B1CA9"/>
    <w:rsid w:val="004B5D9E"/>
    <w:rsid w:val="004C2FBC"/>
    <w:rsid w:val="004C6ADC"/>
    <w:rsid w:val="004D4796"/>
    <w:rsid w:val="00501094"/>
    <w:rsid w:val="00505A17"/>
    <w:rsid w:val="0051396C"/>
    <w:rsid w:val="00526415"/>
    <w:rsid w:val="0053126C"/>
    <w:rsid w:val="00532D66"/>
    <w:rsid w:val="005517D8"/>
    <w:rsid w:val="00554BD4"/>
    <w:rsid w:val="00557E5B"/>
    <w:rsid w:val="0056166C"/>
    <w:rsid w:val="00575251"/>
    <w:rsid w:val="00577CD8"/>
    <w:rsid w:val="00587588"/>
    <w:rsid w:val="005C7953"/>
    <w:rsid w:val="00604A95"/>
    <w:rsid w:val="006101C6"/>
    <w:rsid w:val="00617BED"/>
    <w:rsid w:val="006316CE"/>
    <w:rsid w:val="00634949"/>
    <w:rsid w:val="006508ED"/>
    <w:rsid w:val="00680095"/>
    <w:rsid w:val="006A2E4E"/>
    <w:rsid w:val="006B1667"/>
    <w:rsid w:val="006B566D"/>
    <w:rsid w:val="006B5F1F"/>
    <w:rsid w:val="006C22D5"/>
    <w:rsid w:val="006D5BF3"/>
    <w:rsid w:val="006D5ED3"/>
    <w:rsid w:val="006D6F43"/>
    <w:rsid w:val="006F0D3C"/>
    <w:rsid w:val="00710283"/>
    <w:rsid w:val="00714951"/>
    <w:rsid w:val="00731C4C"/>
    <w:rsid w:val="00744A59"/>
    <w:rsid w:val="00754B48"/>
    <w:rsid w:val="00763082"/>
    <w:rsid w:val="00766C6F"/>
    <w:rsid w:val="00770BDF"/>
    <w:rsid w:val="00775F2D"/>
    <w:rsid w:val="007A1F2A"/>
    <w:rsid w:val="008103F6"/>
    <w:rsid w:val="00841971"/>
    <w:rsid w:val="00842F5C"/>
    <w:rsid w:val="008436D6"/>
    <w:rsid w:val="00843EA0"/>
    <w:rsid w:val="0085685E"/>
    <w:rsid w:val="00862199"/>
    <w:rsid w:val="00877547"/>
    <w:rsid w:val="008D3473"/>
    <w:rsid w:val="008D4A74"/>
    <w:rsid w:val="008D5B51"/>
    <w:rsid w:val="00901DA9"/>
    <w:rsid w:val="009111CF"/>
    <w:rsid w:val="00912E34"/>
    <w:rsid w:val="00917353"/>
    <w:rsid w:val="0092386A"/>
    <w:rsid w:val="009333AC"/>
    <w:rsid w:val="0093613A"/>
    <w:rsid w:val="0093781A"/>
    <w:rsid w:val="00960937"/>
    <w:rsid w:val="0096305A"/>
    <w:rsid w:val="00965878"/>
    <w:rsid w:val="00966F82"/>
    <w:rsid w:val="00980BE9"/>
    <w:rsid w:val="00984E78"/>
    <w:rsid w:val="0098580B"/>
    <w:rsid w:val="009B05DF"/>
    <w:rsid w:val="009B48B8"/>
    <w:rsid w:val="009D546E"/>
    <w:rsid w:val="009F57B7"/>
    <w:rsid w:val="00A03FCC"/>
    <w:rsid w:val="00A12B23"/>
    <w:rsid w:val="00A22693"/>
    <w:rsid w:val="00A66E85"/>
    <w:rsid w:val="00AA16B1"/>
    <w:rsid w:val="00AC4743"/>
    <w:rsid w:val="00AC4FF6"/>
    <w:rsid w:val="00AC6171"/>
    <w:rsid w:val="00AC648A"/>
    <w:rsid w:val="00AC7064"/>
    <w:rsid w:val="00AD57E9"/>
    <w:rsid w:val="00AE0050"/>
    <w:rsid w:val="00AE2C55"/>
    <w:rsid w:val="00AE565A"/>
    <w:rsid w:val="00AE6B7D"/>
    <w:rsid w:val="00B37D97"/>
    <w:rsid w:val="00B422CC"/>
    <w:rsid w:val="00B61071"/>
    <w:rsid w:val="00B66142"/>
    <w:rsid w:val="00B87DB2"/>
    <w:rsid w:val="00BC0370"/>
    <w:rsid w:val="00BC2BBF"/>
    <w:rsid w:val="00BC669D"/>
    <w:rsid w:val="00BD15BE"/>
    <w:rsid w:val="00C045C9"/>
    <w:rsid w:val="00C41FC1"/>
    <w:rsid w:val="00C4672B"/>
    <w:rsid w:val="00C554DF"/>
    <w:rsid w:val="00C704DC"/>
    <w:rsid w:val="00C7583C"/>
    <w:rsid w:val="00C75C9C"/>
    <w:rsid w:val="00C77263"/>
    <w:rsid w:val="00C8060B"/>
    <w:rsid w:val="00C94576"/>
    <w:rsid w:val="00CA3747"/>
    <w:rsid w:val="00CE7685"/>
    <w:rsid w:val="00D049F5"/>
    <w:rsid w:val="00D204EA"/>
    <w:rsid w:val="00D209FD"/>
    <w:rsid w:val="00D239DE"/>
    <w:rsid w:val="00D34002"/>
    <w:rsid w:val="00D63126"/>
    <w:rsid w:val="00D64C90"/>
    <w:rsid w:val="00D665CD"/>
    <w:rsid w:val="00D76028"/>
    <w:rsid w:val="00D9157E"/>
    <w:rsid w:val="00DA12FB"/>
    <w:rsid w:val="00DA3AC3"/>
    <w:rsid w:val="00DA646A"/>
    <w:rsid w:val="00DB7FCC"/>
    <w:rsid w:val="00DC47E0"/>
    <w:rsid w:val="00DD1A10"/>
    <w:rsid w:val="00DE75E6"/>
    <w:rsid w:val="00E0405F"/>
    <w:rsid w:val="00E14B01"/>
    <w:rsid w:val="00E1767B"/>
    <w:rsid w:val="00E40ED1"/>
    <w:rsid w:val="00E6320A"/>
    <w:rsid w:val="00E643E2"/>
    <w:rsid w:val="00E652DF"/>
    <w:rsid w:val="00E7143F"/>
    <w:rsid w:val="00E721AB"/>
    <w:rsid w:val="00E85276"/>
    <w:rsid w:val="00E901E4"/>
    <w:rsid w:val="00E9314F"/>
    <w:rsid w:val="00E94B33"/>
    <w:rsid w:val="00EA5552"/>
    <w:rsid w:val="00EB5D3C"/>
    <w:rsid w:val="00ED3F8E"/>
    <w:rsid w:val="00ED6919"/>
    <w:rsid w:val="00EE770B"/>
    <w:rsid w:val="00EF37A8"/>
    <w:rsid w:val="00EF6F42"/>
    <w:rsid w:val="00F015B2"/>
    <w:rsid w:val="00F10D7E"/>
    <w:rsid w:val="00F27BC7"/>
    <w:rsid w:val="00F52DE9"/>
    <w:rsid w:val="00F67B38"/>
    <w:rsid w:val="00F83087"/>
    <w:rsid w:val="00F84889"/>
    <w:rsid w:val="00FB2A62"/>
    <w:rsid w:val="00FB3823"/>
    <w:rsid w:val="00FD4208"/>
    <w:rsid w:val="00FE547B"/>
    <w:rsid w:val="00FF1279"/>
    <w:rsid w:val="00FF19EE"/>
    <w:rsid w:val="014806D6"/>
    <w:rsid w:val="02BE5D42"/>
    <w:rsid w:val="052018D3"/>
    <w:rsid w:val="05A22ECE"/>
    <w:rsid w:val="0E1331EC"/>
    <w:rsid w:val="141B7793"/>
    <w:rsid w:val="14AB1D05"/>
    <w:rsid w:val="1D3A4920"/>
    <w:rsid w:val="1E906504"/>
    <w:rsid w:val="202042A9"/>
    <w:rsid w:val="237453D2"/>
    <w:rsid w:val="25F93E7C"/>
    <w:rsid w:val="27C0451E"/>
    <w:rsid w:val="2CF51B6C"/>
    <w:rsid w:val="305C248C"/>
    <w:rsid w:val="32726ABC"/>
    <w:rsid w:val="349E76E0"/>
    <w:rsid w:val="34ED6C98"/>
    <w:rsid w:val="38381A97"/>
    <w:rsid w:val="3A21307D"/>
    <w:rsid w:val="3CEB2282"/>
    <w:rsid w:val="4021663B"/>
    <w:rsid w:val="44282ACA"/>
    <w:rsid w:val="4AB31BFA"/>
    <w:rsid w:val="570C6CFC"/>
    <w:rsid w:val="591E5E37"/>
    <w:rsid w:val="5A452253"/>
    <w:rsid w:val="5DB549BD"/>
    <w:rsid w:val="5F4B73FF"/>
    <w:rsid w:val="5F7033C6"/>
    <w:rsid w:val="631A534F"/>
    <w:rsid w:val="64A37409"/>
    <w:rsid w:val="68237E91"/>
    <w:rsid w:val="6B2E3BA7"/>
    <w:rsid w:val="6D315339"/>
    <w:rsid w:val="70C72D42"/>
    <w:rsid w:val="7128470F"/>
    <w:rsid w:val="733D6052"/>
    <w:rsid w:val="744A4BBB"/>
    <w:rsid w:val="759501E9"/>
    <w:rsid w:val="77471B72"/>
    <w:rsid w:val="7F894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qFormat="1"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21"/>
    <w:qFormat/>
    <w:uiPriority w:val="9"/>
    <w:pPr>
      <w:keepNext/>
      <w:keepLines/>
      <w:spacing w:before="340" w:after="330" w:line="576" w:lineRule="auto"/>
      <w:outlineLvl w:val="0"/>
    </w:pPr>
    <w:rPr>
      <w:b/>
      <w:bCs/>
      <w:kern w:val="44"/>
      <w:sz w:val="44"/>
      <w:szCs w:val="44"/>
    </w:rPr>
  </w:style>
  <w:style w:type="paragraph" w:styleId="5">
    <w:name w:val="heading 2"/>
    <w:basedOn w:val="1"/>
    <w:next w:val="1"/>
    <w:link w:val="2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5"/>
    <w:basedOn w:val="1"/>
    <w:next w:val="1"/>
    <w:semiHidden/>
    <w:unhideWhenUsed/>
    <w:qFormat/>
    <w:uiPriority w:val="9"/>
    <w:pPr>
      <w:spacing w:beforeAutospacing="1" w:afterAutospacing="1"/>
      <w:jc w:val="left"/>
      <w:outlineLvl w:val="4"/>
    </w:pPr>
    <w:rPr>
      <w:rFonts w:hint="eastAsia" w:ascii="宋体" w:hAnsi="宋体" w:cs="Times New Roman"/>
      <w:b/>
      <w:kern w:val="0"/>
      <w:sz w:val="20"/>
      <w:szCs w:val="20"/>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Body Text Indent"/>
    <w:basedOn w:val="1"/>
    <w:link w:val="28"/>
    <w:unhideWhenUsed/>
    <w:qFormat/>
    <w:uiPriority w:val="0"/>
    <w:pPr>
      <w:ind w:firstLine="830" w:firstLineChars="352"/>
    </w:pPr>
    <w:rPr>
      <w:rFonts w:ascii="仿宋_GB2312" w:hAnsi="Times New Roman" w:eastAsia="仿宋_GB2312" w:cs="Times New Roman"/>
      <w:kern w:val="0"/>
      <w:sz w:val="32"/>
      <w:szCs w:val="20"/>
    </w:rPr>
  </w:style>
  <w:style w:type="paragraph" w:styleId="8">
    <w:name w:val="Balloon Text"/>
    <w:basedOn w:val="1"/>
    <w:link w:val="24"/>
    <w:unhideWhenUsed/>
    <w:qFormat/>
    <w:uiPriority w:val="99"/>
    <w:rPr>
      <w:sz w:val="18"/>
      <w:szCs w:val="18"/>
    </w:rPr>
  </w:style>
  <w:style w:type="paragraph" w:styleId="9">
    <w:name w:val="footer"/>
    <w:basedOn w:val="1"/>
    <w:link w:val="23"/>
    <w:unhideWhenUsed/>
    <w:qFormat/>
    <w:uiPriority w:val="0"/>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rFonts w:cs="Times New Roman"/>
      <w:kern w:val="0"/>
      <w:sz w:val="22"/>
    </w:rPr>
  </w:style>
  <w:style w:type="paragraph" w:styleId="12">
    <w:name w:val="Normal (Web)"/>
    <w:basedOn w:val="1"/>
    <w:unhideWhenUsed/>
    <w:qFormat/>
    <w:uiPriority w:val="0"/>
    <w:pPr>
      <w:spacing w:beforeAutospacing="1" w:afterAutospacing="1"/>
      <w:jc w:val="left"/>
    </w:pPr>
    <w:rPr>
      <w:rFonts w:cs="Times New Roman"/>
      <w:kern w:val="0"/>
      <w:sz w:val="24"/>
    </w:rPr>
  </w:style>
  <w:style w:type="paragraph" w:styleId="13">
    <w:name w:val="Title"/>
    <w:basedOn w:val="1"/>
    <w:next w:val="1"/>
    <w:link w:val="25"/>
    <w:qFormat/>
    <w:uiPriority w:val="0"/>
    <w:pPr>
      <w:spacing w:before="240" w:after="60"/>
      <w:jc w:val="center"/>
      <w:outlineLvl w:val="0"/>
    </w:pPr>
    <w:rPr>
      <w:rFonts w:ascii="Cambria" w:hAnsi="Cambria" w:eastAsia="方正小标宋简体" w:cs="Times New Roman"/>
      <w:b/>
      <w:bCs/>
      <w:sz w:val="32"/>
      <w:szCs w:val="32"/>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b/>
      <w:bCs/>
    </w:rPr>
  </w:style>
  <w:style w:type="character" w:styleId="18">
    <w:name w:val="FollowedHyperlink"/>
    <w:basedOn w:val="16"/>
    <w:semiHidden/>
    <w:unhideWhenUsed/>
    <w:qFormat/>
    <w:uiPriority w:val="0"/>
    <w:rPr>
      <w:color w:val="800080"/>
      <w:u w:val="single"/>
    </w:rPr>
  </w:style>
  <w:style w:type="character" w:styleId="19">
    <w:name w:val="Emphasis"/>
    <w:basedOn w:val="16"/>
    <w:qFormat/>
    <w:uiPriority w:val="20"/>
  </w:style>
  <w:style w:type="character" w:styleId="20">
    <w:name w:val="Hyperlink"/>
    <w:basedOn w:val="16"/>
    <w:semiHidden/>
    <w:unhideWhenUsed/>
    <w:qFormat/>
    <w:uiPriority w:val="0"/>
    <w:rPr>
      <w:color w:val="0000FF"/>
      <w:u w:val="single"/>
    </w:rPr>
  </w:style>
  <w:style w:type="character" w:customStyle="1" w:styleId="21">
    <w:name w:val="标题 1 Char"/>
    <w:basedOn w:val="16"/>
    <w:link w:val="3"/>
    <w:qFormat/>
    <w:uiPriority w:val="0"/>
    <w:rPr>
      <w:rFonts w:eastAsia="宋体"/>
      <w:b/>
      <w:bCs/>
      <w:kern w:val="44"/>
      <w:sz w:val="44"/>
      <w:szCs w:val="44"/>
    </w:rPr>
  </w:style>
  <w:style w:type="character" w:customStyle="1" w:styleId="22">
    <w:name w:val="页眉 Char"/>
    <w:basedOn w:val="16"/>
    <w:link w:val="10"/>
    <w:qFormat/>
    <w:uiPriority w:val="99"/>
    <w:rPr>
      <w:sz w:val="18"/>
      <w:szCs w:val="18"/>
    </w:rPr>
  </w:style>
  <w:style w:type="character" w:customStyle="1" w:styleId="23">
    <w:name w:val="页脚 Char"/>
    <w:basedOn w:val="16"/>
    <w:link w:val="9"/>
    <w:qFormat/>
    <w:uiPriority w:val="99"/>
    <w:rPr>
      <w:sz w:val="18"/>
      <w:szCs w:val="18"/>
    </w:rPr>
  </w:style>
  <w:style w:type="character" w:customStyle="1" w:styleId="24">
    <w:name w:val="批注框文本 Char"/>
    <w:basedOn w:val="16"/>
    <w:link w:val="8"/>
    <w:semiHidden/>
    <w:qFormat/>
    <w:uiPriority w:val="99"/>
    <w:rPr>
      <w:sz w:val="18"/>
      <w:szCs w:val="18"/>
    </w:rPr>
  </w:style>
  <w:style w:type="character" w:customStyle="1" w:styleId="25">
    <w:name w:val="标题 Char"/>
    <w:basedOn w:val="16"/>
    <w:link w:val="13"/>
    <w:qFormat/>
    <w:uiPriority w:val="0"/>
    <w:rPr>
      <w:rFonts w:ascii="Cambria" w:hAnsi="Cambria" w:eastAsia="方正小标宋简体"/>
      <w:b/>
      <w:bCs/>
      <w:kern w:val="2"/>
      <w:sz w:val="32"/>
      <w:szCs w:val="32"/>
    </w:rPr>
  </w:style>
  <w:style w:type="character" w:customStyle="1" w:styleId="26">
    <w:name w:val="标题 2 Char"/>
    <w:basedOn w:val="16"/>
    <w:link w:val="5"/>
    <w:semiHidden/>
    <w:qFormat/>
    <w:uiPriority w:val="9"/>
    <w:rPr>
      <w:rFonts w:asciiTheme="majorHAnsi" w:hAnsiTheme="majorHAnsi" w:eastAsiaTheme="majorEastAsia" w:cstheme="majorBidi"/>
      <w:b/>
      <w:bCs/>
      <w:kern w:val="2"/>
      <w:sz w:val="32"/>
      <w:szCs w:val="32"/>
    </w:rPr>
  </w:style>
  <w:style w:type="character" w:customStyle="1" w:styleId="27">
    <w:name w:val="正文文本缩进 Char"/>
    <w:qFormat/>
    <w:uiPriority w:val="0"/>
    <w:rPr>
      <w:rFonts w:ascii="仿宋_GB2312" w:eastAsia="仿宋_GB2312"/>
      <w:sz w:val="32"/>
    </w:rPr>
  </w:style>
  <w:style w:type="character" w:customStyle="1" w:styleId="28">
    <w:name w:val="正文文本缩进 Char1"/>
    <w:basedOn w:val="16"/>
    <w:link w:val="7"/>
    <w:semiHidden/>
    <w:qFormat/>
    <w:uiPriority w:val="0"/>
    <w:rPr>
      <w:rFonts w:ascii="Calibri" w:hAnsi="Calibri" w:cs="黑体"/>
      <w:kern w:val="2"/>
      <w:sz w:val="21"/>
      <w:szCs w:val="22"/>
    </w:rPr>
  </w:style>
  <w:style w:type="character" w:customStyle="1" w:styleId="29">
    <w:name w:val="last-child"/>
    <w:basedOn w:val="16"/>
    <w:qFormat/>
    <w:uiPriority w:val="0"/>
  </w:style>
  <w:style w:type="character" w:customStyle="1" w:styleId="30">
    <w:name w:val="is_active1"/>
    <w:basedOn w:val="16"/>
    <w:qFormat/>
    <w:uiPriority w:val="0"/>
    <w:rPr>
      <w:color w:val="FFFFFF"/>
      <w:shd w:val="clear" w:color="auto" w:fill="F07C17"/>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706042-1320-40D0-A8E0-4DD345CFD97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417</Words>
  <Characters>2380</Characters>
  <Lines>19</Lines>
  <Paragraphs>5</Paragraphs>
  <TotalTime>11</TotalTime>
  <ScaleCrop>false</ScaleCrop>
  <LinksUpToDate>false</LinksUpToDate>
  <CharactersWithSpaces>2792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2019-10-28T08:04:00Z</dcterms:created>
  <dc:creator>wangh</dc:creator>
  <cp:lastModifiedBy>Administrator</cp:lastModifiedBy>
  <cp:lastPrinted>2020-06-01T12:25:00Z</cp:lastPrinted>
  <dcterms:modified xsi:type="dcterms:W3CDTF">2020-08-11T07:50:04Z</dcterms:modified>
  <dc:title>湖北省省级政府采购需求公示</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