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bookmarkStart w:id="283" w:name="_GoBack"/>
      <w:bookmarkEnd w:id="283"/>
      <w:r>
        <w:rPr>
          <w:rFonts w:hint="eastAsia"/>
          <w:color w:val="000000" w:themeColor="text1"/>
          <w:w w:val="120"/>
          <w:sz w:val="52"/>
          <w:szCs w:val="52"/>
        </w:rPr>
        <w:t>阳新县县级政府采购</w:t>
      </w:r>
    </w:p>
    <w:p>
      <w:pPr>
        <w:pStyle w:val="7"/>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600" w:firstLineChars="500"/>
        <w:rPr>
          <w:rFonts w:hint="default" w:eastAsiaTheme="minorEastAsia"/>
          <w:bCs/>
          <w:color w:val="000000" w:themeColor="text1"/>
          <w:sz w:val="32"/>
          <w:szCs w:val="32"/>
          <w:u w:val="single"/>
          <w:lang w:val="en-US" w:eastAsia="zh-CN"/>
        </w:rPr>
      </w:pPr>
      <w:r>
        <w:rPr>
          <w:rFonts w:hint="eastAsia"/>
          <w:bCs/>
          <w:color w:val="000000" w:themeColor="text1"/>
          <w:sz w:val="32"/>
          <w:szCs w:val="32"/>
        </w:rPr>
        <w:t>项目编号：</w:t>
      </w:r>
      <w:r>
        <w:rPr>
          <w:rFonts w:hint="eastAsia"/>
          <w:bCs/>
          <w:color w:val="000000"/>
          <w:sz w:val="32"/>
          <w:szCs w:val="32"/>
          <w:u w:val="single"/>
          <w:lang w:val="en-US" w:eastAsia="zh-CN"/>
        </w:rPr>
        <w:t>131-2020CG-116</w:t>
      </w:r>
    </w:p>
    <w:p>
      <w:pPr>
        <w:spacing w:line="480" w:lineRule="auto"/>
        <w:ind w:firstLine="1600" w:firstLineChars="500"/>
        <w:rPr>
          <w:bCs/>
          <w:color w:val="000000" w:themeColor="text1"/>
          <w:sz w:val="32"/>
          <w:szCs w:val="32"/>
          <w:u w:val="single"/>
        </w:rPr>
      </w:pPr>
      <w:r>
        <w:rPr>
          <w:rFonts w:hint="eastAsia"/>
          <w:bCs/>
          <w:color w:val="000000" w:themeColor="text1"/>
          <w:sz w:val="32"/>
          <w:szCs w:val="32"/>
        </w:rPr>
        <w:t>采 购 人：</w:t>
      </w:r>
      <w:r>
        <w:rPr>
          <w:rFonts w:hint="eastAsia"/>
          <w:bCs/>
          <w:color w:val="000000" w:themeColor="text1"/>
          <w:sz w:val="32"/>
          <w:szCs w:val="32"/>
          <w:u w:val="single"/>
        </w:rPr>
        <w:t>阳新县人民医院</w:t>
      </w:r>
    </w:p>
    <w:p>
      <w:pPr>
        <w:spacing w:line="480" w:lineRule="auto"/>
        <w:ind w:firstLine="1600" w:firstLineChars="500"/>
        <w:rPr>
          <w:bCs/>
          <w:color w:val="000000" w:themeColor="text1"/>
          <w:sz w:val="32"/>
          <w:szCs w:val="32"/>
          <w:u w:val="single"/>
        </w:rPr>
      </w:pPr>
      <w:r>
        <w:rPr>
          <w:rFonts w:hint="eastAsia"/>
          <w:bCs/>
          <w:color w:val="000000" w:themeColor="text1"/>
          <w:sz w:val="32"/>
          <w:szCs w:val="32"/>
        </w:rPr>
        <w:t>项目名称：</w:t>
      </w:r>
      <w:r>
        <w:rPr>
          <w:rFonts w:hint="eastAsia"/>
          <w:bCs/>
          <w:color w:val="000000" w:themeColor="text1"/>
          <w:sz w:val="32"/>
          <w:szCs w:val="32"/>
          <w:u w:val="single"/>
        </w:rPr>
        <w:t>阳新县人民医院一体化阅片室采购项目</w:t>
      </w:r>
    </w:p>
    <w:p>
      <w:pPr>
        <w:spacing w:line="480" w:lineRule="auto"/>
        <w:ind w:firstLine="1600" w:firstLineChars="500"/>
        <w:rPr>
          <w:bCs/>
          <w:color w:val="000000" w:themeColor="text1"/>
          <w:sz w:val="32"/>
          <w:szCs w:val="32"/>
          <w:u w:val="single"/>
        </w:rPr>
      </w:pPr>
      <w:r>
        <w:rPr>
          <w:rFonts w:hint="eastAsia"/>
          <w:bCs/>
          <w:color w:val="000000" w:themeColor="text1"/>
          <w:sz w:val="32"/>
          <w:szCs w:val="32"/>
        </w:rPr>
        <w:t>采购内容：</w:t>
      </w:r>
      <w:r>
        <w:rPr>
          <w:rFonts w:hint="eastAsia"/>
          <w:bCs/>
          <w:color w:val="000000" w:themeColor="text1"/>
          <w:sz w:val="32"/>
          <w:szCs w:val="32"/>
          <w:u w:val="single"/>
        </w:rPr>
        <w:t>一体化阅片室</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bCs/>
          <w:snapToGrid w:val="0"/>
          <w:color w:val="000000" w:themeColor="text1"/>
          <w:kern w:val="0"/>
          <w:position w:val="-98"/>
          <w:sz w:val="70"/>
          <w:szCs w:val="70"/>
        </w:rPr>
      </w:pPr>
      <w:r>
        <w:rPr>
          <w:rFonts w:hint="eastAsia"/>
          <w:bCs/>
          <w:snapToGrid w:val="0"/>
          <w:color w:val="000000" w:themeColor="text1"/>
          <w:kern w:val="0"/>
          <w:position w:val="-98"/>
          <w:sz w:val="70"/>
          <w:szCs w:val="70"/>
        </w:rPr>
        <w:t>武汉富纳工程咨询有限公司</w:t>
      </w:r>
    </w:p>
    <w:p>
      <w:pPr>
        <w:jc w:val="center"/>
        <w:rPr>
          <w:rFonts w:ascii="黑体" w:hAnsi="黑体" w:eastAsia="黑体"/>
          <w:b/>
          <w:color w:val="FF0000"/>
          <w:sz w:val="44"/>
        </w:rPr>
      </w:pPr>
      <w:r>
        <w:rPr>
          <w:rFonts w:hint="eastAsia"/>
          <w:color w:val="000000" w:themeColor="text1"/>
          <w:sz w:val="32"/>
          <w:szCs w:val="32"/>
        </w:rPr>
        <w:t>2020年8</w:t>
      </w:r>
      <w:r>
        <w:rPr>
          <w:rFonts w:hint="eastAsia" w:asciiTheme="minorEastAsia" w:hAnsiTheme="minorEastAsia" w:cstheme="minorEastAsia"/>
          <w:bCs/>
          <w:sz w:val="32"/>
          <w:szCs w:val="32"/>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2"/>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1"/>
              <w:rFonts w:hint="eastAsia" w:ascii="黑体" w:hAnsi="黑体"/>
            </w:rPr>
            <w:t>第一章</w:t>
          </w:r>
          <w:r>
            <w:rPr>
              <w:rFonts w:eastAsiaTheme="minorEastAsia"/>
              <w:b w:val="0"/>
              <w:iCs w:val="0"/>
              <w:color w:val="auto"/>
              <w:kern w:val="2"/>
              <w:sz w:val="21"/>
            </w:rPr>
            <w:tab/>
          </w:r>
          <w:r>
            <w:rPr>
              <w:rStyle w:val="21"/>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1"/>
              <w:rFonts w:hint="eastAsia" w:ascii="黑体" w:hAnsi="黑体"/>
            </w:rPr>
            <w:t>第二章</w:t>
          </w:r>
          <w:r>
            <w:rPr>
              <w:rFonts w:eastAsiaTheme="minorEastAsia"/>
              <w:b w:val="0"/>
              <w:iCs w:val="0"/>
              <w:color w:val="auto"/>
              <w:kern w:val="2"/>
              <w:sz w:val="21"/>
            </w:rPr>
            <w:tab/>
          </w:r>
          <w:r>
            <w:rPr>
              <w:rStyle w:val="21"/>
              <w:rFonts w:hint="eastAsia" w:ascii="黑体" w:hAnsi="黑体"/>
            </w:rPr>
            <w:t>投标人须知</w:t>
          </w:r>
          <w:r>
            <w:tab/>
          </w:r>
          <w:r>
            <w:fldChar w:fldCharType="begin"/>
          </w:r>
          <w:r>
            <w:instrText xml:space="preserve"> PAGEREF _Toc495861518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"_Toc495861519" </w:instrText>
          </w:r>
          <w:r>
            <w:fldChar w:fldCharType="separate"/>
          </w:r>
          <w:r>
            <w:rPr>
              <w:rStyle w:val="21"/>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"_Toc495861520" </w:instrText>
          </w:r>
          <w:r>
            <w:fldChar w:fldCharType="separate"/>
          </w:r>
          <w:r>
            <w:rPr>
              <w:rStyle w:val="21"/>
              <w:rFonts w:hint="eastAsia" w:cs="Times New Roman" w:asciiTheme="majorEastAsia" w:hAnsiTheme="majorEastAsia"/>
              <w:lang w:val="zh-CN"/>
            </w:rPr>
            <w:t>一、</w:t>
          </w:r>
          <w:r>
            <w:rPr>
              <w:rFonts w:asciiTheme="minorHAnsi" w:hAnsiTheme="minorHAnsi"/>
              <w:iCs w:val="0"/>
              <w:color w:val="auto"/>
              <w:kern w:val="2"/>
              <w:sz w:val="21"/>
            </w:rPr>
            <w:tab/>
          </w:r>
          <w:r>
            <w:rPr>
              <w:rStyle w:val="21"/>
              <w:rFonts w:hint="eastAsia" w:cs="Times New Roman" w:asciiTheme="majorEastAsia" w:hAnsiTheme="majorEastAsia"/>
              <w:lang w:val="zh-CN"/>
            </w:rPr>
            <w:t>说明</w:t>
          </w:r>
          <w:r>
            <w:tab/>
          </w:r>
          <w:r>
            <w:t>……………………………………………………………………………………</w:t>
          </w:r>
          <w:r>
            <w:rPr>
              <w:rFonts w:hint="eastAsia"/>
            </w:rPr>
            <w:t>.</w:t>
          </w:r>
          <w:r>
            <w:fldChar w:fldCharType="begin"/>
          </w:r>
          <w:r>
            <w:instrText xml:space="preserve"> PAGEREF _Toc495861520 \h </w:instrText>
          </w:r>
          <w:r>
            <w:fldChar w:fldCharType="separate"/>
          </w:r>
          <w:r>
            <w:t>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"_Toc495861521" </w:instrText>
          </w:r>
          <w:r>
            <w:fldChar w:fldCharType="separate"/>
          </w:r>
          <w:r>
            <w:rPr>
              <w:rStyle w:val="21"/>
              <w:rFonts w:hint="eastAsia" w:cs="Times New Roman" w:asciiTheme="majorEastAsia" w:hAnsiTheme="majorEastAsia"/>
              <w:lang w:val="zh-CN"/>
            </w:rPr>
            <w:t>二、</w:t>
          </w:r>
          <w:r>
            <w:rPr>
              <w:rFonts w:asciiTheme="minorHAnsi" w:hAnsiTheme="minorHAnsi"/>
              <w:iCs w:val="0"/>
              <w:color w:val="auto"/>
              <w:kern w:val="2"/>
              <w:sz w:val="21"/>
            </w:rPr>
            <w:tab/>
          </w:r>
          <w:r>
            <w:rPr>
              <w:rStyle w:val="21"/>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"_Toc495861522" </w:instrText>
          </w:r>
          <w:r>
            <w:fldChar w:fldCharType="separate"/>
          </w:r>
          <w:r>
            <w:rPr>
              <w:rStyle w:val="21"/>
              <w:rFonts w:hint="eastAsia" w:cs="Times New Roman" w:asciiTheme="majorEastAsia" w:hAnsiTheme="majorEastAsia"/>
              <w:lang w:val="zh-CN"/>
            </w:rPr>
            <w:t>三、</w:t>
          </w:r>
          <w:r>
            <w:rPr>
              <w:rFonts w:asciiTheme="minorHAnsi" w:hAnsiTheme="minorHAnsi"/>
              <w:iCs w:val="0"/>
              <w:color w:val="auto"/>
              <w:kern w:val="2"/>
              <w:sz w:val="21"/>
            </w:rPr>
            <w:tab/>
          </w:r>
          <w:r>
            <w:rPr>
              <w:rStyle w:val="21"/>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"_Toc495861523" </w:instrText>
          </w:r>
          <w:r>
            <w:fldChar w:fldCharType="separate"/>
          </w:r>
          <w:r>
            <w:rPr>
              <w:rStyle w:val="21"/>
              <w:rFonts w:hint="eastAsia" w:cs="Times New Roman" w:asciiTheme="majorEastAsia" w:hAnsiTheme="majorEastAsia"/>
              <w:lang w:val="zh-CN"/>
            </w:rPr>
            <w:t>四、</w:t>
          </w:r>
          <w:r>
            <w:rPr>
              <w:rFonts w:asciiTheme="minorHAnsi" w:hAnsiTheme="minorHAnsi"/>
              <w:iCs w:val="0"/>
              <w:color w:val="auto"/>
              <w:kern w:val="2"/>
              <w:sz w:val="21"/>
            </w:rPr>
            <w:tab/>
          </w:r>
          <w:r>
            <w:rPr>
              <w:rStyle w:val="21"/>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"_Toc495861524" </w:instrText>
          </w:r>
          <w:r>
            <w:fldChar w:fldCharType="separate"/>
          </w:r>
          <w:r>
            <w:rPr>
              <w:rStyle w:val="21"/>
              <w:rFonts w:hint="eastAsia" w:cs="Times New Roman" w:asciiTheme="majorEastAsia" w:hAnsiTheme="majorEastAsia"/>
              <w:lang w:val="zh-CN"/>
            </w:rPr>
            <w:t>五、</w:t>
          </w:r>
          <w:r>
            <w:rPr>
              <w:rFonts w:asciiTheme="minorHAnsi" w:hAnsiTheme="minorHAnsi"/>
              <w:iCs w:val="0"/>
              <w:color w:val="auto"/>
              <w:kern w:val="2"/>
              <w:sz w:val="21"/>
            </w:rPr>
            <w:tab/>
          </w:r>
          <w:r>
            <w:rPr>
              <w:rStyle w:val="21"/>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"_Toc495861525" </w:instrText>
          </w:r>
          <w:r>
            <w:fldChar w:fldCharType="separate"/>
          </w:r>
          <w:r>
            <w:rPr>
              <w:rStyle w:val="21"/>
              <w:rFonts w:hint="eastAsia" w:cs="Times New Roman" w:asciiTheme="majorEastAsia" w:hAnsiTheme="majorEastAsia"/>
              <w:lang w:val="zh-CN"/>
            </w:rPr>
            <w:t>六、</w:t>
          </w:r>
          <w:r>
            <w:rPr>
              <w:rFonts w:asciiTheme="minorHAnsi" w:hAnsiTheme="minorHAnsi"/>
              <w:iCs w:val="0"/>
              <w:color w:val="auto"/>
              <w:kern w:val="2"/>
              <w:sz w:val="21"/>
            </w:rPr>
            <w:tab/>
          </w:r>
          <w:r>
            <w:rPr>
              <w:rStyle w:val="21"/>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"_Toc495861526" </w:instrText>
          </w:r>
          <w:r>
            <w:fldChar w:fldCharType="separate"/>
          </w:r>
          <w:r>
            <w:rPr>
              <w:rStyle w:val="21"/>
              <w:rFonts w:hint="eastAsia" w:cs="Times New Roman" w:asciiTheme="majorEastAsia" w:hAnsiTheme="majorEastAsia"/>
              <w:lang w:val="zh-CN"/>
            </w:rPr>
            <w:t>七、</w:t>
          </w:r>
          <w:r>
            <w:rPr>
              <w:rFonts w:asciiTheme="minorHAnsi" w:hAnsiTheme="minorHAnsi"/>
              <w:iCs w:val="0"/>
              <w:color w:val="auto"/>
              <w:kern w:val="2"/>
              <w:sz w:val="21"/>
            </w:rPr>
            <w:tab/>
          </w:r>
          <w:r>
            <w:rPr>
              <w:rStyle w:val="21"/>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"_Toc495861527" </w:instrText>
          </w:r>
          <w:r>
            <w:fldChar w:fldCharType="separate"/>
          </w:r>
          <w:r>
            <w:rPr>
              <w:rStyle w:val="21"/>
              <w:rFonts w:hint="eastAsia" w:cs="Times New Roman" w:asciiTheme="majorEastAsia" w:hAnsiTheme="majorEastAsia"/>
              <w:lang w:val="zh-CN"/>
            </w:rPr>
            <w:t>八、</w:t>
          </w:r>
          <w:r>
            <w:rPr>
              <w:rFonts w:asciiTheme="minorHAnsi" w:hAnsiTheme="minorHAnsi"/>
              <w:iCs w:val="0"/>
              <w:color w:val="auto"/>
              <w:kern w:val="2"/>
              <w:sz w:val="21"/>
            </w:rPr>
            <w:tab/>
          </w:r>
          <w:r>
            <w:rPr>
              <w:rStyle w:val="21"/>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"_Toc495861528" </w:instrText>
          </w:r>
          <w:r>
            <w:fldChar w:fldCharType="separate"/>
          </w:r>
          <w:r>
            <w:rPr>
              <w:rStyle w:val="21"/>
              <w:rFonts w:hint="eastAsia" w:cs="Times New Roman" w:asciiTheme="majorEastAsia" w:hAnsiTheme="majorEastAsia"/>
              <w:lang w:val="zh-CN"/>
            </w:rPr>
            <w:t>九、</w:t>
          </w:r>
          <w:r>
            <w:rPr>
              <w:rFonts w:asciiTheme="minorHAnsi" w:hAnsiTheme="minorHAnsi"/>
              <w:iCs w:val="0"/>
              <w:color w:val="auto"/>
              <w:kern w:val="2"/>
              <w:sz w:val="21"/>
            </w:rPr>
            <w:tab/>
          </w:r>
          <w:r>
            <w:rPr>
              <w:rStyle w:val="21"/>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"_Toc495861529" </w:instrText>
          </w:r>
          <w:r>
            <w:fldChar w:fldCharType="separate"/>
          </w:r>
          <w:r>
            <w:rPr>
              <w:rStyle w:val="21"/>
              <w:rFonts w:hint="eastAsia" w:cs="Times New Roman" w:asciiTheme="majorEastAsia" w:hAnsiTheme="majorEastAsia"/>
              <w:lang w:val="zh-CN"/>
            </w:rPr>
            <w:t>十、</w:t>
          </w:r>
          <w:r>
            <w:rPr>
              <w:rFonts w:asciiTheme="minorHAnsi" w:hAnsiTheme="minorHAnsi"/>
              <w:iCs w:val="0"/>
              <w:color w:val="auto"/>
              <w:kern w:val="2"/>
              <w:sz w:val="21"/>
            </w:rPr>
            <w:tab/>
          </w:r>
          <w:r>
            <w:rPr>
              <w:rStyle w:val="21"/>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"_Toc495861530" </w:instrText>
          </w:r>
          <w:r>
            <w:fldChar w:fldCharType="separate"/>
          </w:r>
          <w:r>
            <w:rPr>
              <w:rStyle w:val="21"/>
              <w:rFonts w:hint="eastAsia" w:cs="Times New Roman" w:asciiTheme="majorEastAsia" w:hAnsiTheme="majorEastAsia"/>
              <w:lang w:val="zh-CN"/>
            </w:rPr>
            <w:t>十一、</w:t>
          </w:r>
          <w:r>
            <w:rPr>
              <w:rFonts w:asciiTheme="minorHAnsi" w:hAnsiTheme="minorHAnsi"/>
              <w:iCs w:val="0"/>
              <w:color w:val="auto"/>
              <w:kern w:val="2"/>
              <w:sz w:val="21"/>
            </w:rPr>
            <w:tab/>
          </w:r>
          <w:r>
            <w:rPr>
              <w:rStyle w:val="21"/>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"_Toc495861531" </w:instrText>
          </w:r>
          <w:r>
            <w:fldChar w:fldCharType="separate"/>
          </w:r>
          <w:r>
            <w:rPr>
              <w:rStyle w:val="21"/>
              <w:rFonts w:hint="eastAsia" w:cs="Times New Roman" w:asciiTheme="majorEastAsia" w:hAnsiTheme="majorEastAsia"/>
              <w:lang w:val="zh-CN"/>
            </w:rPr>
            <w:t>十二、</w:t>
          </w:r>
          <w:r>
            <w:rPr>
              <w:rFonts w:asciiTheme="minorHAnsi" w:hAnsiTheme="minorHAnsi"/>
              <w:iCs w:val="0"/>
              <w:color w:val="auto"/>
              <w:kern w:val="2"/>
              <w:sz w:val="21"/>
            </w:rPr>
            <w:tab/>
          </w:r>
          <w:r>
            <w:rPr>
              <w:rStyle w:val="21"/>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20</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21"/>
              <w:rFonts w:hint="eastAsia" w:ascii="黑体" w:hAnsi="黑体"/>
            </w:rPr>
            <w:t>第三章</w:t>
          </w:r>
          <w:r>
            <w:rPr>
              <w:rFonts w:eastAsiaTheme="minorEastAsia"/>
              <w:b w:val="0"/>
              <w:iCs w:val="0"/>
              <w:color w:val="auto"/>
              <w:kern w:val="2"/>
              <w:sz w:val="21"/>
            </w:rPr>
            <w:tab/>
          </w:r>
          <w:r>
            <w:rPr>
              <w:rStyle w:val="21"/>
              <w:rFonts w:hint="eastAsia" w:ascii="黑体" w:hAnsi="黑体"/>
            </w:rPr>
            <w:t>项目技术、服务及商务要求</w:t>
          </w:r>
          <w:r>
            <w:tab/>
          </w:r>
          <w:r>
            <w:fldChar w:fldCharType="begin"/>
          </w:r>
          <w:r>
            <w:instrText xml:space="preserve"> PAGEREF _Toc495861532 \h </w:instrText>
          </w:r>
          <w:r>
            <w:fldChar w:fldCharType="separate"/>
          </w:r>
          <w:r>
            <w:t>21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"_Toc495861533" </w:instrText>
          </w:r>
          <w:r>
            <w:fldChar w:fldCharType="separate"/>
          </w:r>
          <w:r>
            <w:rPr>
              <w:rStyle w:val="21"/>
              <w:rFonts w:hint="eastAsia" w:cs="Times New Roman" w:asciiTheme="majorEastAsia" w:hAnsiTheme="majorEastAsia"/>
              <w:lang w:val="zh-CN"/>
            </w:rPr>
            <w:t>一、</w:t>
          </w:r>
          <w:r>
            <w:rPr>
              <w:rFonts w:asciiTheme="minorHAnsi" w:hAnsiTheme="minorHAnsi"/>
              <w:iCs w:val="0"/>
              <w:color w:val="auto"/>
              <w:kern w:val="2"/>
              <w:sz w:val="21"/>
            </w:rPr>
            <w:tab/>
          </w:r>
          <w:r>
            <w:rPr>
              <w:rStyle w:val="21"/>
              <w:rFonts w:hint="eastAsia" w:cs="Times New Roman" w:asciiTheme="majorEastAsia" w:hAnsiTheme="majorEastAsia"/>
              <w:lang w:val="zh-CN"/>
            </w:rPr>
            <w:t>采购清单</w:t>
          </w:r>
          <w:r>
            <w:tab/>
          </w:r>
          <w:r>
            <w:fldChar w:fldCharType="begin"/>
          </w:r>
          <w:r>
            <w:instrText xml:space="preserve"> PAGEREF _Toc495861533 \h </w:instrText>
          </w:r>
          <w:r>
            <w:fldChar w:fldCharType="separate"/>
          </w:r>
          <w:r>
            <w:t>21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"_Toc495861534" </w:instrText>
          </w:r>
          <w:r>
            <w:fldChar w:fldCharType="separate"/>
          </w:r>
          <w:r>
            <w:rPr>
              <w:rStyle w:val="21"/>
              <w:rFonts w:hint="eastAsia" w:cs="Times New Roman" w:asciiTheme="majorEastAsia" w:hAnsiTheme="majorEastAsia"/>
              <w:lang w:val="zh-CN"/>
            </w:rPr>
            <w:t>二、</w:t>
          </w:r>
          <w:r>
            <w:rPr>
              <w:rFonts w:asciiTheme="minorHAnsi" w:hAnsiTheme="minorHAnsi"/>
              <w:iCs w:val="0"/>
              <w:color w:val="auto"/>
              <w:kern w:val="2"/>
              <w:sz w:val="21"/>
            </w:rPr>
            <w:tab/>
          </w:r>
          <w:r>
            <w:rPr>
              <w:rStyle w:val="21"/>
              <w:rFonts w:hint="eastAsia" w:cs="Times New Roman" w:asciiTheme="majorEastAsia" w:hAnsiTheme="majorEastAsia"/>
              <w:lang w:val="zh-CN"/>
            </w:rPr>
            <w:t>概述及简介</w:t>
          </w:r>
          <w:r>
            <w:tab/>
          </w:r>
          <w:r>
            <w:fldChar w:fldCharType="begin"/>
          </w:r>
          <w:r>
            <w:instrText xml:space="preserve"> PAGEREF _Toc495861534 \h </w:instrText>
          </w:r>
          <w:r>
            <w:fldChar w:fldCharType="separate"/>
          </w:r>
          <w:r>
            <w:rPr>
              <w:rFonts w:hint="eastAsia"/>
              <w:b/>
              <w:bCs/>
            </w:rPr>
            <w:t>错误！未定义书签。</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"_Toc495861535" </w:instrText>
          </w:r>
          <w:r>
            <w:fldChar w:fldCharType="separate"/>
          </w:r>
          <w:r>
            <w:rPr>
              <w:rStyle w:val="21"/>
              <w:rFonts w:hint="eastAsia" w:cs="Times New Roman" w:asciiTheme="majorEastAsia" w:hAnsiTheme="majorEastAsia"/>
              <w:lang w:val="zh-CN"/>
            </w:rPr>
            <w:t>三、</w:t>
          </w:r>
          <w:r>
            <w:rPr>
              <w:rFonts w:asciiTheme="minorHAnsi" w:hAnsiTheme="minorHAnsi"/>
              <w:iCs w:val="0"/>
              <w:color w:val="auto"/>
              <w:kern w:val="2"/>
              <w:sz w:val="21"/>
            </w:rPr>
            <w:tab/>
          </w:r>
          <w:r>
            <w:rPr>
              <w:rStyle w:val="21"/>
              <w:rFonts w:hint="eastAsia" w:cs="Times New Roman" w:asciiTheme="majorEastAsia" w:hAnsiTheme="majorEastAsia"/>
              <w:lang w:val="zh-CN"/>
            </w:rPr>
            <w:t>国家相关行政主管部门颁布的强制标准、规范</w:t>
          </w:r>
          <w:r>
            <w:tab/>
          </w:r>
          <w:r>
            <w:fldChar w:fldCharType="begin"/>
          </w:r>
          <w:r>
            <w:instrText xml:space="preserve"> PAGEREF _Toc495861535 \h </w:instrText>
          </w:r>
          <w:r>
            <w:fldChar w:fldCharType="separate"/>
          </w:r>
          <w:r>
            <w:rPr>
              <w:rFonts w:hint="eastAsia"/>
              <w:b/>
              <w:bCs/>
            </w:rPr>
            <w:t>错误！未定义书签。</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"_Toc495861536" </w:instrText>
          </w:r>
          <w:r>
            <w:fldChar w:fldCharType="separate"/>
          </w:r>
          <w:r>
            <w:rPr>
              <w:rStyle w:val="21"/>
              <w:rFonts w:hint="eastAsia" w:cs="Times New Roman" w:asciiTheme="majorEastAsia" w:hAnsiTheme="majorEastAsia"/>
              <w:lang w:val="zh-CN"/>
            </w:rPr>
            <w:t>四、</w:t>
          </w:r>
          <w:r>
            <w:rPr>
              <w:rFonts w:asciiTheme="minorHAnsi" w:hAnsiTheme="minorHAnsi"/>
              <w:iCs w:val="0"/>
              <w:color w:val="auto"/>
              <w:kern w:val="2"/>
              <w:sz w:val="21"/>
            </w:rPr>
            <w:tab/>
          </w:r>
          <w:r>
            <w:rPr>
              <w:rStyle w:val="21"/>
              <w:rFonts w:hint="eastAsia" w:cs="Times New Roman" w:asciiTheme="majorEastAsia" w:hAnsiTheme="majorEastAsia"/>
              <w:lang w:val="zh-CN"/>
            </w:rPr>
            <w:t>技术、服务要求</w:t>
          </w:r>
          <w:r>
            <w:tab/>
          </w:r>
          <w:r>
            <w:fldChar w:fldCharType="begin"/>
          </w:r>
          <w:r>
            <w:instrText xml:space="preserve"> PAGEREF _Toc495861536 \h </w:instrText>
          </w:r>
          <w:r>
            <w:fldChar w:fldCharType="separate"/>
          </w:r>
          <w:r>
            <w:t>22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"_Toc495861537" </w:instrText>
          </w:r>
          <w:r>
            <w:fldChar w:fldCharType="separate"/>
          </w:r>
          <w:r>
            <w:rPr>
              <w:rStyle w:val="21"/>
              <w:rFonts w:hint="eastAsia" w:cs="Times New Roman" w:asciiTheme="majorEastAsia" w:hAnsiTheme="majorEastAsia"/>
              <w:lang w:val="zh-CN"/>
            </w:rPr>
            <w:t>五、</w:t>
          </w:r>
          <w:r>
            <w:rPr>
              <w:rFonts w:asciiTheme="minorHAnsi" w:hAnsiTheme="minorHAnsi"/>
              <w:iCs w:val="0"/>
              <w:color w:val="auto"/>
              <w:kern w:val="2"/>
              <w:sz w:val="21"/>
            </w:rPr>
            <w:tab/>
          </w:r>
          <w:r>
            <w:rPr>
              <w:rStyle w:val="21"/>
              <w:rFonts w:hint="eastAsia" w:cs="Times New Roman" w:asciiTheme="majorEastAsia" w:hAnsiTheme="majorEastAsia"/>
              <w:lang w:val="zh-CN"/>
            </w:rPr>
            <w:t>商务要求</w:t>
          </w:r>
          <w:r>
            <w:tab/>
          </w:r>
          <w:r>
            <w:fldChar w:fldCharType="begin"/>
          </w:r>
          <w:r>
            <w:instrText xml:space="preserve"> PAGEREF _Toc495861537 \h </w:instrText>
          </w:r>
          <w:r>
            <w:fldChar w:fldCharType="separate"/>
          </w:r>
          <w:r>
            <w:t>33</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1"/>
              <w:rFonts w:hint="eastAsia" w:ascii="黑体" w:hAnsi="黑体"/>
            </w:rPr>
            <w:t>第四章</w:t>
          </w:r>
          <w:r>
            <w:rPr>
              <w:rFonts w:eastAsiaTheme="minorEastAsia"/>
              <w:b w:val="0"/>
              <w:iCs w:val="0"/>
              <w:color w:val="auto"/>
              <w:kern w:val="2"/>
              <w:sz w:val="21"/>
            </w:rPr>
            <w:tab/>
          </w:r>
          <w:r>
            <w:rPr>
              <w:rStyle w:val="21"/>
              <w:rFonts w:hint="eastAsia" w:ascii="黑体" w:hAnsi="黑体"/>
            </w:rPr>
            <w:t>资格审查方法及标准</w:t>
          </w:r>
          <w:r>
            <w:tab/>
          </w:r>
          <w:r>
            <w:fldChar w:fldCharType="begin"/>
          </w:r>
          <w:r>
            <w:instrText xml:space="preserve"> PAGEREF _Toc495861538 \h </w:instrText>
          </w:r>
          <w:r>
            <w:fldChar w:fldCharType="separate"/>
          </w:r>
          <w:r>
            <w:t>34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"_Toc495861539" </w:instrText>
          </w:r>
          <w:r>
            <w:fldChar w:fldCharType="separate"/>
          </w:r>
          <w:r>
            <w:rPr>
              <w:rStyle w:val="21"/>
              <w:rFonts w:hint="eastAsia" w:cs="Times New Roman" w:asciiTheme="majorEastAsia" w:hAnsiTheme="majorEastAsia"/>
              <w:lang w:val="zh-CN"/>
            </w:rPr>
            <w:t>一、</w:t>
          </w:r>
          <w:r>
            <w:rPr>
              <w:rFonts w:asciiTheme="minorHAnsi" w:hAnsiTheme="minorHAnsi"/>
              <w:iCs w:val="0"/>
              <w:color w:val="auto"/>
              <w:kern w:val="2"/>
              <w:sz w:val="21"/>
            </w:rPr>
            <w:tab/>
          </w:r>
          <w:r>
            <w:rPr>
              <w:rStyle w:val="21"/>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34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"_Toc495861540" </w:instrText>
          </w:r>
          <w:r>
            <w:fldChar w:fldCharType="separate"/>
          </w:r>
          <w:r>
            <w:rPr>
              <w:rStyle w:val="21"/>
              <w:rFonts w:hint="eastAsia" w:cs="Times New Roman" w:asciiTheme="majorEastAsia" w:hAnsiTheme="majorEastAsia"/>
              <w:lang w:val="zh-CN"/>
            </w:rPr>
            <w:t>二、</w:t>
          </w:r>
          <w:r>
            <w:rPr>
              <w:rFonts w:asciiTheme="minorHAnsi" w:hAnsiTheme="minorHAnsi"/>
              <w:iCs w:val="0"/>
              <w:color w:val="auto"/>
              <w:kern w:val="2"/>
              <w:sz w:val="21"/>
            </w:rPr>
            <w:tab/>
          </w:r>
          <w:r>
            <w:rPr>
              <w:rStyle w:val="21"/>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34</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1"/>
              <w:rFonts w:hint="eastAsia" w:ascii="黑体" w:hAnsi="黑体"/>
            </w:rPr>
            <w:t>第五章</w:t>
          </w:r>
          <w:r>
            <w:rPr>
              <w:rFonts w:eastAsiaTheme="minorEastAsia"/>
              <w:b w:val="0"/>
              <w:iCs w:val="0"/>
              <w:color w:val="auto"/>
              <w:kern w:val="2"/>
              <w:sz w:val="21"/>
            </w:rPr>
            <w:tab/>
          </w:r>
          <w:r>
            <w:rPr>
              <w:rStyle w:val="21"/>
              <w:rFonts w:hint="eastAsia" w:ascii="黑体" w:hAnsi="黑体"/>
            </w:rPr>
            <w:t>评标方法、程序及标准</w:t>
          </w:r>
          <w:r>
            <w:tab/>
          </w:r>
          <w:r>
            <w:fldChar w:fldCharType="begin"/>
          </w:r>
          <w:r>
            <w:instrText xml:space="preserve"> PAGEREF _Toc495861541 \h </w:instrText>
          </w:r>
          <w:r>
            <w:fldChar w:fldCharType="separate"/>
          </w:r>
          <w:r>
            <w:t>36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"_Toc495861542" </w:instrText>
          </w:r>
          <w:r>
            <w:fldChar w:fldCharType="separate"/>
          </w:r>
          <w:r>
            <w:rPr>
              <w:rStyle w:val="21"/>
              <w:rFonts w:hint="eastAsia" w:cs="Times New Roman" w:asciiTheme="majorEastAsia" w:hAnsiTheme="majorEastAsia"/>
              <w:lang w:val="zh-CN"/>
            </w:rPr>
            <w:t>一、</w:t>
          </w:r>
          <w:r>
            <w:rPr>
              <w:rFonts w:asciiTheme="minorHAnsi" w:hAnsiTheme="minorHAnsi"/>
              <w:iCs w:val="0"/>
              <w:color w:val="auto"/>
              <w:kern w:val="2"/>
              <w:sz w:val="21"/>
            </w:rPr>
            <w:tab/>
          </w:r>
          <w:r>
            <w:rPr>
              <w:rStyle w:val="21"/>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36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"_Toc495861543" </w:instrText>
          </w:r>
          <w:r>
            <w:fldChar w:fldCharType="separate"/>
          </w:r>
          <w:r>
            <w:rPr>
              <w:rStyle w:val="21"/>
              <w:rFonts w:hint="eastAsia" w:cs="Times New Roman" w:asciiTheme="majorEastAsia" w:hAnsiTheme="majorEastAsia"/>
              <w:lang w:val="zh-CN"/>
            </w:rPr>
            <w:t>二、</w:t>
          </w:r>
          <w:r>
            <w:rPr>
              <w:rFonts w:asciiTheme="minorHAnsi" w:hAnsiTheme="minorHAnsi"/>
              <w:iCs w:val="0"/>
              <w:color w:val="auto"/>
              <w:kern w:val="2"/>
              <w:sz w:val="21"/>
            </w:rPr>
            <w:tab/>
          </w:r>
          <w:r>
            <w:rPr>
              <w:rStyle w:val="21"/>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36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"_Toc495861544" </w:instrText>
          </w:r>
          <w:r>
            <w:fldChar w:fldCharType="separate"/>
          </w:r>
          <w:r>
            <w:rPr>
              <w:rStyle w:val="21"/>
              <w:rFonts w:hint="eastAsia" w:cs="Times New Roman" w:asciiTheme="majorEastAsia" w:hAnsiTheme="majorEastAsia"/>
              <w:lang w:val="zh-CN"/>
            </w:rPr>
            <w:t>三、</w:t>
          </w:r>
          <w:r>
            <w:rPr>
              <w:rFonts w:asciiTheme="minorHAnsi" w:hAnsiTheme="minorHAnsi"/>
              <w:iCs w:val="0"/>
              <w:color w:val="auto"/>
              <w:kern w:val="2"/>
              <w:sz w:val="21"/>
            </w:rPr>
            <w:tab/>
          </w:r>
          <w:r>
            <w:rPr>
              <w:rStyle w:val="21"/>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40</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1"/>
              <w:rFonts w:hint="eastAsia" w:ascii="黑体" w:hAnsi="黑体"/>
            </w:rPr>
            <w:t>第六章</w:t>
          </w:r>
          <w:r>
            <w:rPr>
              <w:rFonts w:eastAsiaTheme="minorEastAsia"/>
              <w:b w:val="0"/>
              <w:iCs w:val="0"/>
              <w:color w:val="auto"/>
              <w:kern w:val="2"/>
              <w:sz w:val="21"/>
            </w:rPr>
            <w:tab/>
          </w:r>
          <w:r>
            <w:rPr>
              <w:rStyle w:val="21"/>
              <w:rFonts w:hint="eastAsia" w:ascii="黑体" w:hAnsi="黑体"/>
            </w:rPr>
            <w:t>合同书格式（参考）</w:t>
          </w:r>
          <w:r>
            <w:tab/>
          </w:r>
          <w:r>
            <w:fldChar w:fldCharType="begin"/>
          </w:r>
          <w:r>
            <w:instrText xml:space="preserve"> PAGEREF _Toc495861545 \h </w:instrText>
          </w:r>
          <w:r>
            <w:fldChar w:fldCharType="separate"/>
          </w:r>
          <w:r>
            <w:t>42</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1"/>
              <w:rFonts w:hint="eastAsia" w:ascii="黑体" w:hAnsi="黑体"/>
            </w:rPr>
            <w:t>第七章</w:t>
          </w:r>
          <w:r>
            <w:rPr>
              <w:rFonts w:eastAsiaTheme="minorEastAsia"/>
              <w:b w:val="0"/>
              <w:iCs w:val="0"/>
              <w:color w:val="auto"/>
              <w:kern w:val="2"/>
              <w:sz w:val="21"/>
            </w:rPr>
            <w:tab/>
          </w:r>
          <w:r>
            <w:rPr>
              <w:rStyle w:val="21"/>
              <w:rFonts w:hint="eastAsia" w:ascii="黑体" w:hAnsi="黑体"/>
            </w:rPr>
            <w:t>投标文件格式（参考）</w:t>
          </w:r>
          <w:r>
            <w:tab/>
          </w:r>
          <w:r>
            <w:fldChar w:fldCharType="begin"/>
          </w:r>
          <w:r>
            <w:instrText xml:space="preserve"> PAGEREF _Toc495861546 \h </w:instrText>
          </w:r>
          <w:r>
            <w:fldChar w:fldCharType="separate"/>
          </w:r>
          <w:r>
            <w:t>44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"_Toc495861547" </w:instrText>
          </w:r>
          <w:r>
            <w:fldChar w:fldCharType="separate"/>
          </w:r>
          <w:r>
            <w:rPr>
              <w:rStyle w:val="21"/>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44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"_Toc495861548" </w:instrText>
          </w:r>
          <w:r>
            <w:fldChar w:fldCharType="separate"/>
          </w:r>
          <w:r>
            <w:rPr>
              <w:rStyle w:val="21"/>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46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"_Toc495861549" </w:instrText>
          </w:r>
          <w:r>
            <w:fldChar w:fldCharType="separate"/>
          </w:r>
          <w:r>
            <w:rPr>
              <w:rStyle w:val="21"/>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48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"_Toc495861550" </w:instrText>
          </w:r>
          <w:r>
            <w:fldChar w:fldCharType="separate"/>
          </w:r>
          <w:r>
            <w:rPr>
              <w:rStyle w:val="21"/>
              <w:rFonts w:hint="eastAsia" w:eastAsia="宋体"/>
            </w:rPr>
            <w:t>附件一、</w:t>
          </w:r>
          <w:r>
            <w:rPr>
              <w:rFonts w:asciiTheme="minorHAnsi" w:hAnsiTheme="minorHAnsi"/>
              <w:iCs w:val="0"/>
              <w:color w:val="auto"/>
              <w:kern w:val="2"/>
              <w:sz w:val="21"/>
            </w:rPr>
            <w:tab/>
          </w:r>
          <w:r>
            <w:rPr>
              <w:rStyle w:val="21"/>
              <w:rFonts w:hint="eastAsia" w:eastAsia="宋体"/>
            </w:rPr>
            <w:t>投标书</w:t>
          </w:r>
          <w:r>
            <w:tab/>
          </w:r>
          <w:r>
            <w:fldChar w:fldCharType="begin"/>
          </w:r>
          <w:r>
            <w:instrText xml:space="preserve"> PAGEREF _Toc495861550 \h </w:instrText>
          </w:r>
          <w:r>
            <w:fldChar w:fldCharType="separate"/>
          </w:r>
          <w:r>
            <w:t>50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"_Toc495861551" </w:instrText>
          </w:r>
          <w:r>
            <w:fldChar w:fldCharType="separate"/>
          </w:r>
          <w:r>
            <w:rPr>
              <w:rStyle w:val="21"/>
              <w:rFonts w:hint="eastAsia" w:eastAsia="宋体"/>
            </w:rPr>
            <w:t>附件二、</w:t>
          </w:r>
          <w:r>
            <w:rPr>
              <w:rFonts w:asciiTheme="minorHAnsi" w:hAnsiTheme="minorHAnsi"/>
              <w:iCs w:val="0"/>
              <w:color w:val="auto"/>
              <w:kern w:val="2"/>
              <w:sz w:val="21"/>
            </w:rPr>
            <w:tab/>
          </w:r>
          <w:r>
            <w:rPr>
              <w:rStyle w:val="21"/>
              <w:rFonts w:hint="eastAsia" w:eastAsia="宋体"/>
            </w:rPr>
            <w:t>制造商中小企业声明函</w:t>
          </w:r>
          <w:r>
            <w:tab/>
          </w:r>
          <w:r>
            <w:fldChar w:fldCharType="begin"/>
          </w:r>
          <w:r>
            <w:instrText xml:space="preserve"> PAGEREF _Toc495861551 \h </w:instrText>
          </w:r>
          <w:r>
            <w:fldChar w:fldCharType="separate"/>
          </w:r>
          <w:r>
            <w:t>51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"_Toc495861552" </w:instrText>
          </w:r>
          <w:r>
            <w:fldChar w:fldCharType="separate"/>
          </w:r>
          <w:r>
            <w:rPr>
              <w:rStyle w:val="21"/>
              <w:rFonts w:hint="eastAsia" w:eastAsia="宋体"/>
            </w:rPr>
            <w:t>附件三、</w:t>
          </w:r>
          <w:r>
            <w:rPr>
              <w:rFonts w:asciiTheme="minorHAnsi" w:hAnsiTheme="minorHAnsi"/>
              <w:iCs w:val="0"/>
              <w:color w:val="auto"/>
              <w:kern w:val="2"/>
              <w:sz w:val="21"/>
            </w:rPr>
            <w:tab/>
          </w:r>
          <w:r>
            <w:rPr>
              <w:rStyle w:val="21"/>
              <w:rFonts w:hint="eastAsia" w:eastAsia="宋体"/>
            </w:rPr>
            <w:t>中小企业声明函</w:t>
          </w:r>
          <w:r>
            <w:tab/>
          </w:r>
          <w:r>
            <w:fldChar w:fldCharType="begin"/>
          </w:r>
          <w:r>
            <w:instrText xml:space="preserve"> PAGEREF _Toc495861552 \h </w:instrText>
          </w:r>
          <w:r>
            <w:fldChar w:fldCharType="separate"/>
          </w:r>
          <w:r>
            <w:t>52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"_Toc495861553" </w:instrText>
          </w:r>
          <w:r>
            <w:fldChar w:fldCharType="separate"/>
          </w:r>
          <w:r>
            <w:rPr>
              <w:rStyle w:val="21"/>
              <w:rFonts w:hint="eastAsia" w:eastAsia="宋体"/>
            </w:rPr>
            <w:t>附件四、</w:t>
          </w:r>
          <w:r>
            <w:rPr>
              <w:rFonts w:asciiTheme="minorHAnsi" w:hAnsiTheme="minorHAnsi"/>
              <w:iCs w:val="0"/>
              <w:color w:val="auto"/>
              <w:kern w:val="2"/>
              <w:sz w:val="21"/>
            </w:rPr>
            <w:tab/>
          </w:r>
          <w:r>
            <w:rPr>
              <w:rStyle w:val="21"/>
              <w:rFonts w:hint="eastAsia" w:eastAsia="宋体"/>
            </w:rPr>
            <w:t>残疾人福利性单位声明函</w:t>
          </w:r>
          <w:r>
            <w:tab/>
          </w:r>
          <w:r>
            <w:fldChar w:fldCharType="begin"/>
          </w:r>
          <w:r>
            <w:instrText xml:space="preserve"> PAGEREF _Toc495861553 \h </w:instrText>
          </w:r>
          <w:r>
            <w:fldChar w:fldCharType="separate"/>
          </w:r>
          <w:r>
            <w:t>54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"_Toc495861554" </w:instrText>
          </w:r>
          <w:r>
            <w:fldChar w:fldCharType="separate"/>
          </w:r>
          <w:r>
            <w:rPr>
              <w:rStyle w:val="21"/>
              <w:rFonts w:hint="eastAsia" w:eastAsia="宋体"/>
            </w:rPr>
            <w:t>附件五、</w:t>
          </w:r>
          <w:r>
            <w:rPr>
              <w:rFonts w:asciiTheme="minorHAnsi" w:hAnsiTheme="minorHAnsi"/>
              <w:iCs w:val="0"/>
              <w:color w:val="auto"/>
              <w:kern w:val="2"/>
              <w:sz w:val="21"/>
            </w:rPr>
            <w:tab/>
          </w:r>
          <w:r>
            <w:rPr>
              <w:rStyle w:val="21"/>
              <w:rFonts w:hint="eastAsia" w:eastAsia="宋体"/>
            </w:rPr>
            <w:t>开标一览表</w:t>
          </w:r>
          <w:r>
            <w:tab/>
          </w:r>
          <w:r>
            <w:fldChar w:fldCharType="begin"/>
          </w:r>
          <w:r>
            <w:instrText xml:space="preserve"> PAGEREF _Toc495861554 \h </w:instrText>
          </w:r>
          <w:r>
            <w:fldChar w:fldCharType="separate"/>
          </w:r>
          <w:r>
            <w:t>57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"_Toc495861555" </w:instrText>
          </w:r>
          <w:r>
            <w:fldChar w:fldCharType="separate"/>
          </w:r>
          <w:r>
            <w:rPr>
              <w:rStyle w:val="21"/>
              <w:rFonts w:hint="eastAsia" w:eastAsia="宋体"/>
            </w:rPr>
            <w:t>附件六、</w:t>
          </w:r>
          <w:r>
            <w:rPr>
              <w:rFonts w:asciiTheme="minorHAnsi" w:hAnsiTheme="minorHAnsi"/>
              <w:iCs w:val="0"/>
              <w:color w:val="auto"/>
              <w:kern w:val="2"/>
              <w:sz w:val="21"/>
            </w:rPr>
            <w:tab/>
          </w:r>
          <w:r>
            <w:rPr>
              <w:rStyle w:val="21"/>
              <w:rFonts w:hint="eastAsia" w:eastAsia="宋体"/>
            </w:rPr>
            <w:t>投标报价明细表</w:t>
          </w:r>
          <w:r>
            <w:tab/>
          </w:r>
          <w:r>
            <w:fldChar w:fldCharType="begin"/>
          </w:r>
          <w:r>
            <w:instrText xml:space="preserve"> PAGEREF _Toc495861555 \h </w:instrText>
          </w:r>
          <w:r>
            <w:fldChar w:fldCharType="separate"/>
          </w:r>
          <w:r>
            <w:t>58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"_Toc495861556" </w:instrText>
          </w:r>
          <w:r>
            <w:fldChar w:fldCharType="separate"/>
          </w:r>
          <w:r>
            <w:rPr>
              <w:rStyle w:val="21"/>
              <w:rFonts w:hint="eastAsia" w:eastAsia="宋体"/>
            </w:rPr>
            <w:t>附件七、</w:t>
          </w:r>
          <w:r>
            <w:rPr>
              <w:rFonts w:asciiTheme="minorHAnsi" w:hAnsiTheme="minorHAnsi"/>
              <w:iCs w:val="0"/>
              <w:color w:val="auto"/>
              <w:kern w:val="2"/>
              <w:sz w:val="21"/>
            </w:rPr>
            <w:tab/>
          </w:r>
          <w:r>
            <w:rPr>
              <w:rStyle w:val="21"/>
              <w:rFonts w:hint="eastAsia" w:eastAsia="宋体"/>
            </w:rPr>
            <w:t>小型和微型企业、监狱企业、残疾人福利性单位货物汇总表</w:t>
          </w:r>
          <w:r>
            <w:tab/>
          </w:r>
          <w:r>
            <w:fldChar w:fldCharType="begin"/>
          </w:r>
          <w:r>
            <w:instrText xml:space="preserve"> PAGEREF _Toc495861556 \h </w:instrText>
          </w:r>
          <w:r>
            <w:fldChar w:fldCharType="separate"/>
          </w:r>
          <w:r>
            <w:t>59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"_Toc495861557" </w:instrText>
          </w:r>
          <w:r>
            <w:fldChar w:fldCharType="separate"/>
          </w:r>
          <w:r>
            <w:rPr>
              <w:rStyle w:val="21"/>
              <w:rFonts w:hint="eastAsia" w:eastAsia="宋体"/>
            </w:rPr>
            <w:t>附件八、</w:t>
          </w:r>
          <w:r>
            <w:rPr>
              <w:rFonts w:asciiTheme="minorHAnsi" w:hAnsiTheme="minorHAnsi"/>
              <w:iCs w:val="0"/>
              <w:color w:val="auto"/>
              <w:kern w:val="2"/>
              <w:sz w:val="21"/>
            </w:rPr>
            <w:tab/>
          </w:r>
          <w:r>
            <w:rPr>
              <w:rStyle w:val="21"/>
              <w:rFonts w:hint="eastAsia" w:eastAsia="宋体"/>
            </w:rPr>
            <w:t>投标货物（工程或服务）清单</w:t>
          </w:r>
          <w:r>
            <w:tab/>
          </w:r>
          <w:r>
            <w:fldChar w:fldCharType="begin"/>
          </w:r>
          <w:r>
            <w:instrText xml:space="preserve"> PAGEREF _Toc495861557 \h </w:instrText>
          </w:r>
          <w:r>
            <w:fldChar w:fldCharType="separate"/>
          </w:r>
          <w:r>
            <w:t>60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"_Toc495861558" </w:instrText>
          </w:r>
          <w:r>
            <w:fldChar w:fldCharType="separate"/>
          </w:r>
          <w:r>
            <w:rPr>
              <w:rStyle w:val="21"/>
              <w:rFonts w:hint="eastAsia" w:eastAsia="宋体"/>
            </w:rPr>
            <w:t>附件九、</w:t>
          </w:r>
          <w:r>
            <w:rPr>
              <w:rFonts w:asciiTheme="minorHAnsi" w:hAnsiTheme="minorHAnsi"/>
              <w:iCs w:val="0"/>
              <w:color w:val="auto"/>
              <w:kern w:val="2"/>
              <w:sz w:val="21"/>
            </w:rPr>
            <w:tab/>
          </w:r>
          <w:r>
            <w:rPr>
              <w:rStyle w:val="21"/>
              <w:rFonts w:hint="eastAsia" w:eastAsia="宋体"/>
            </w:rPr>
            <w:t>交纳投标保证金的银行凭证</w:t>
          </w:r>
          <w:r>
            <w:tab/>
          </w:r>
          <w:r>
            <w:fldChar w:fldCharType="begin"/>
          </w:r>
          <w:r>
            <w:instrText xml:space="preserve"> PAGEREF _Toc495861558 \h </w:instrText>
          </w:r>
          <w:r>
            <w:fldChar w:fldCharType="separate"/>
          </w:r>
          <w:r>
            <w:t>61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"_Toc495861559" </w:instrText>
          </w:r>
          <w:r>
            <w:fldChar w:fldCharType="separate"/>
          </w:r>
          <w:r>
            <w:rPr>
              <w:rStyle w:val="21"/>
              <w:rFonts w:hint="eastAsia" w:eastAsia="宋体"/>
            </w:rPr>
            <w:t>附件十、</w:t>
          </w:r>
          <w:r>
            <w:rPr>
              <w:rFonts w:asciiTheme="minorHAnsi" w:hAnsiTheme="minorHAnsi"/>
              <w:iCs w:val="0"/>
              <w:color w:val="auto"/>
              <w:kern w:val="2"/>
              <w:sz w:val="21"/>
            </w:rPr>
            <w:tab/>
          </w:r>
          <w:r>
            <w:rPr>
              <w:rStyle w:val="21"/>
              <w:rFonts w:hint="eastAsia" w:eastAsia="宋体"/>
            </w:rPr>
            <w:t>法定代表人授权书</w:t>
          </w:r>
          <w:r>
            <w:tab/>
          </w:r>
          <w:r>
            <w:fldChar w:fldCharType="begin"/>
          </w:r>
          <w:r>
            <w:instrText xml:space="preserve"> PAGEREF _Toc495861559 \h </w:instrText>
          </w:r>
          <w:r>
            <w:fldChar w:fldCharType="separate"/>
          </w:r>
          <w:r>
            <w:t>62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"_Toc495861560" </w:instrText>
          </w:r>
          <w:r>
            <w:fldChar w:fldCharType="separate"/>
          </w:r>
          <w:r>
            <w:rPr>
              <w:rStyle w:val="21"/>
              <w:rFonts w:hint="eastAsia" w:eastAsia="宋体"/>
            </w:rPr>
            <w:t>附件十一、</w:t>
          </w:r>
          <w:r>
            <w:rPr>
              <w:rFonts w:asciiTheme="minorHAnsi" w:hAnsiTheme="minorHAnsi"/>
              <w:iCs w:val="0"/>
              <w:color w:val="auto"/>
              <w:kern w:val="2"/>
              <w:sz w:val="21"/>
            </w:rPr>
            <w:tab/>
          </w:r>
          <w:r>
            <w:rPr>
              <w:rStyle w:val="21"/>
              <w:rFonts w:hint="eastAsia" w:eastAsia="宋体"/>
            </w:rPr>
            <w:t>投标人的资格声明</w:t>
          </w:r>
          <w:r>
            <w:tab/>
          </w:r>
          <w:r>
            <w:fldChar w:fldCharType="begin"/>
          </w:r>
          <w:r>
            <w:instrText xml:space="preserve"> PAGEREF _Toc495861560 \h </w:instrText>
          </w:r>
          <w:r>
            <w:fldChar w:fldCharType="separate"/>
          </w:r>
          <w:r>
            <w:t>63</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"_Toc495861561" </w:instrText>
          </w:r>
          <w:r>
            <w:fldChar w:fldCharType="separate"/>
          </w:r>
          <w:r>
            <w:rPr>
              <w:rStyle w:val="21"/>
              <w:rFonts w:hint="eastAsia" w:eastAsia="宋体"/>
            </w:rPr>
            <w:t>附件十二、</w:t>
          </w:r>
          <w:r>
            <w:rPr>
              <w:rFonts w:asciiTheme="minorHAnsi" w:hAnsiTheme="minorHAnsi"/>
              <w:iCs w:val="0"/>
              <w:color w:val="auto"/>
              <w:kern w:val="2"/>
              <w:sz w:val="21"/>
            </w:rPr>
            <w:tab/>
          </w:r>
          <w:r>
            <w:rPr>
              <w:rStyle w:val="21"/>
              <w:rFonts w:hint="eastAsia" w:eastAsia="宋体"/>
            </w:rPr>
            <w:t>项目负责人、技术负责人简历表</w:t>
          </w:r>
          <w:r>
            <w:tab/>
          </w:r>
          <w:r>
            <w:fldChar w:fldCharType="begin"/>
          </w:r>
          <w:r>
            <w:instrText xml:space="preserve"> PAGEREF _Toc495861561 \h </w:instrText>
          </w:r>
          <w:r>
            <w:fldChar w:fldCharType="separate"/>
          </w:r>
          <w:r>
            <w:t>64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"_Toc495861562" </w:instrText>
          </w:r>
          <w:r>
            <w:fldChar w:fldCharType="separate"/>
          </w:r>
          <w:r>
            <w:rPr>
              <w:rStyle w:val="21"/>
              <w:rFonts w:hint="eastAsia" w:eastAsia="宋体"/>
            </w:rPr>
            <w:t>附件十三、</w:t>
          </w:r>
          <w:r>
            <w:rPr>
              <w:rFonts w:asciiTheme="minorHAnsi" w:hAnsiTheme="minorHAnsi"/>
              <w:iCs w:val="0"/>
              <w:color w:val="auto"/>
              <w:kern w:val="2"/>
              <w:sz w:val="21"/>
            </w:rPr>
            <w:tab/>
          </w:r>
          <w:r>
            <w:rPr>
              <w:rStyle w:val="21"/>
              <w:rFonts w:hint="eastAsia" w:eastAsia="宋体"/>
            </w:rPr>
            <w:t>项目班子成员情况表</w:t>
          </w:r>
          <w:r>
            <w:tab/>
          </w:r>
          <w:r>
            <w:fldChar w:fldCharType="begin"/>
          </w:r>
          <w:r>
            <w:instrText xml:space="preserve"> PAGEREF _Toc495861562 \h </w:instrText>
          </w:r>
          <w:r>
            <w:fldChar w:fldCharType="separate"/>
          </w:r>
          <w:r>
            <w:t>65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"_Toc495861563" </w:instrText>
          </w:r>
          <w:r>
            <w:fldChar w:fldCharType="separate"/>
          </w:r>
          <w:r>
            <w:rPr>
              <w:rStyle w:val="21"/>
              <w:rFonts w:hint="eastAsia" w:eastAsia="宋体"/>
            </w:rPr>
            <w:t>附件十四、</w:t>
          </w:r>
          <w:r>
            <w:rPr>
              <w:rFonts w:asciiTheme="minorHAnsi" w:hAnsiTheme="minorHAnsi"/>
              <w:iCs w:val="0"/>
              <w:color w:val="auto"/>
              <w:kern w:val="2"/>
              <w:sz w:val="21"/>
            </w:rPr>
            <w:tab/>
          </w:r>
          <w:r>
            <w:rPr>
              <w:rStyle w:val="21"/>
              <w:rFonts w:hint="eastAsia" w:eastAsia="宋体"/>
            </w:rPr>
            <w:t>投标人类似项目业绩表</w:t>
          </w:r>
          <w:r>
            <w:tab/>
          </w:r>
          <w:r>
            <w:fldChar w:fldCharType="begin"/>
          </w:r>
          <w:r>
            <w:instrText xml:space="preserve"> PAGEREF _Toc495861563 \h </w:instrText>
          </w:r>
          <w:r>
            <w:fldChar w:fldCharType="separate"/>
          </w:r>
          <w:r>
            <w:t>66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"_Toc495861564" </w:instrText>
          </w:r>
          <w:r>
            <w:fldChar w:fldCharType="separate"/>
          </w:r>
          <w:r>
            <w:rPr>
              <w:rStyle w:val="21"/>
              <w:rFonts w:hint="eastAsia" w:eastAsia="宋体"/>
            </w:rPr>
            <w:t>附件十五、</w:t>
          </w:r>
          <w:r>
            <w:rPr>
              <w:rFonts w:asciiTheme="minorHAnsi" w:hAnsiTheme="minorHAnsi"/>
              <w:iCs w:val="0"/>
              <w:color w:val="auto"/>
              <w:kern w:val="2"/>
              <w:sz w:val="21"/>
            </w:rPr>
            <w:tab/>
          </w:r>
          <w:r>
            <w:rPr>
              <w:rStyle w:val="21"/>
              <w:rFonts w:hint="eastAsia" w:eastAsia="宋体"/>
            </w:rPr>
            <w:t>符合性审查对照表</w:t>
          </w:r>
          <w:r>
            <w:tab/>
          </w:r>
          <w:r>
            <w:fldChar w:fldCharType="begin"/>
          </w:r>
          <w:r>
            <w:instrText xml:space="preserve"> PAGEREF _Toc495861564 \h </w:instrText>
          </w:r>
          <w:r>
            <w:fldChar w:fldCharType="separate"/>
          </w:r>
          <w:r>
            <w:t>67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"_Toc495861565" </w:instrText>
          </w:r>
          <w:r>
            <w:fldChar w:fldCharType="separate"/>
          </w:r>
          <w:r>
            <w:rPr>
              <w:rStyle w:val="21"/>
              <w:rFonts w:hint="eastAsia" w:eastAsia="宋体"/>
            </w:rPr>
            <w:t>附件十六、</w:t>
          </w:r>
          <w:r>
            <w:rPr>
              <w:rFonts w:asciiTheme="minorHAnsi" w:hAnsiTheme="minorHAnsi"/>
              <w:iCs w:val="0"/>
              <w:color w:val="auto"/>
              <w:kern w:val="2"/>
              <w:sz w:val="21"/>
            </w:rPr>
            <w:tab/>
          </w:r>
          <w:r>
            <w:rPr>
              <w:rStyle w:val="21"/>
              <w:rFonts w:hint="eastAsia" w:eastAsia="宋体"/>
            </w:rPr>
            <w:t>商务要求响应、偏离说明表</w:t>
          </w:r>
          <w:r>
            <w:tab/>
          </w:r>
          <w:r>
            <w:fldChar w:fldCharType="begin"/>
          </w:r>
          <w:r>
            <w:instrText xml:space="preserve"> PAGEREF _Toc495861565 \h </w:instrText>
          </w:r>
          <w:r>
            <w:fldChar w:fldCharType="separate"/>
          </w:r>
          <w:r>
            <w:t>68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"_Toc495861566" </w:instrText>
          </w:r>
          <w:r>
            <w:fldChar w:fldCharType="separate"/>
          </w:r>
          <w:r>
            <w:rPr>
              <w:rStyle w:val="21"/>
              <w:rFonts w:hint="eastAsia" w:eastAsia="宋体"/>
            </w:rPr>
            <w:t>附件十七、</w:t>
          </w:r>
          <w:r>
            <w:rPr>
              <w:rFonts w:asciiTheme="minorHAnsi" w:hAnsiTheme="minorHAnsi"/>
              <w:iCs w:val="0"/>
              <w:color w:val="auto"/>
              <w:kern w:val="2"/>
              <w:sz w:val="21"/>
            </w:rPr>
            <w:tab/>
          </w:r>
          <w:r>
            <w:rPr>
              <w:rStyle w:val="21"/>
              <w:rFonts w:hint="eastAsia" w:eastAsia="宋体"/>
            </w:rPr>
            <w:t>商务要求“★”号条款响应、偏离说明表</w:t>
          </w:r>
          <w:r>
            <w:tab/>
          </w:r>
          <w:r>
            <w:fldChar w:fldCharType="begin"/>
          </w:r>
          <w:r>
            <w:instrText xml:space="preserve"> PAGEREF _Toc495861566 \h </w:instrText>
          </w:r>
          <w:r>
            <w:fldChar w:fldCharType="separate"/>
          </w:r>
          <w:r>
            <w:t>69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"_Toc495861567" </w:instrText>
          </w:r>
          <w:r>
            <w:fldChar w:fldCharType="separate"/>
          </w:r>
          <w:r>
            <w:rPr>
              <w:rStyle w:val="21"/>
              <w:rFonts w:hint="eastAsia" w:eastAsia="宋体"/>
            </w:rPr>
            <w:t>附件十八、</w:t>
          </w:r>
          <w:r>
            <w:rPr>
              <w:rFonts w:asciiTheme="minorHAnsi" w:hAnsiTheme="minorHAnsi"/>
              <w:iCs w:val="0"/>
              <w:color w:val="auto"/>
              <w:kern w:val="2"/>
              <w:sz w:val="21"/>
            </w:rPr>
            <w:tab/>
          </w:r>
          <w:r>
            <w:rPr>
              <w:rStyle w:val="21"/>
              <w:rFonts w:hint="eastAsia" w:eastAsia="宋体"/>
            </w:rPr>
            <w:t>商务评议对照表</w:t>
          </w:r>
          <w:r>
            <w:tab/>
          </w:r>
          <w:r>
            <w:fldChar w:fldCharType="begin"/>
          </w:r>
          <w:r>
            <w:instrText xml:space="preserve"> PAGEREF _Toc495861567 \h </w:instrText>
          </w:r>
          <w:r>
            <w:fldChar w:fldCharType="separate"/>
          </w:r>
          <w:r>
            <w:t>70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"_Toc495861568" </w:instrText>
          </w:r>
          <w:r>
            <w:fldChar w:fldCharType="separate"/>
          </w:r>
          <w:r>
            <w:rPr>
              <w:rStyle w:val="21"/>
              <w:rFonts w:hint="eastAsia" w:eastAsia="宋体"/>
            </w:rPr>
            <w:t>附件十九、</w:t>
          </w:r>
          <w:r>
            <w:rPr>
              <w:rFonts w:asciiTheme="minorHAnsi" w:hAnsiTheme="minorHAnsi"/>
              <w:iCs w:val="0"/>
              <w:color w:val="auto"/>
              <w:kern w:val="2"/>
              <w:sz w:val="21"/>
            </w:rPr>
            <w:tab/>
          </w:r>
          <w:r>
            <w:rPr>
              <w:rStyle w:val="21"/>
              <w:rFonts w:hint="eastAsia" w:eastAsia="宋体"/>
            </w:rPr>
            <w:t>技术、服务要求响应、偏离说明表</w:t>
          </w:r>
          <w:r>
            <w:tab/>
          </w:r>
          <w:r>
            <w:fldChar w:fldCharType="begin"/>
          </w:r>
          <w:r>
            <w:instrText xml:space="preserve"> PAGEREF _Toc495861568 \h </w:instrText>
          </w:r>
          <w:r>
            <w:fldChar w:fldCharType="separate"/>
          </w:r>
          <w:r>
            <w:t>71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"_Toc495861569" </w:instrText>
          </w:r>
          <w:r>
            <w:fldChar w:fldCharType="separate"/>
          </w:r>
          <w:r>
            <w:rPr>
              <w:rStyle w:val="21"/>
              <w:rFonts w:hint="eastAsia" w:eastAsia="宋体"/>
            </w:rPr>
            <w:t>附件二十、</w:t>
          </w:r>
          <w:r>
            <w:rPr>
              <w:rFonts w:asciiTheme="minorHAnsi" w:hAnsiTheme="minorHAnsi"/>
              <w:iCs w:val="0"/>
              <w:color w:val="auto"/>
              <w:kern w:val="2"/>
              <w:sz w:val="21"/>
            </w:rPr>
            <w:tab/>
          </w:r>
          <w:r>
            <w:rPr>
              <w:rStyle w:val="21"/>
              <w:rFonts w:hint="eastAsia" w:eastAsia="宋体"/>
            </w:rPr>
            <w:t>技术、服务要求“★”号条款响应、偏离说明表</w:t>
          </w:r>
          <w:r>
            <w:tab/>
          </w:r>
          <w:r>
            <w:fldChar w:fldCharType="begin"/>
          </w:r>
          <w:r>
            <w:instrText xml:space="preserve"> PAGEREF _Toc495861569 \h </w:instrText>
          </w:r>
          <w:r>
            <w:fldChar w:fldCharType="separate"/>
          </w:r>
          <w:r>
            <w:t>72</w:t>
          </w:r>
          <w:r>
            <w:fldChar w:fldCharType="end"/>
          </w:r>
          <w:r>
            <w:fldChar w:fldCharType="end"/>
          </w:r>
        </w:p>
        <w:p>
          <w:pPr>
            <w:pStyle w:val="14"/>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1"/>
              <w:rFonts w:hint="eastAsia" w:eastAsia="宋体"/>
            </w:rPr>
            <w:t>附件二十一、</w:t>
          </w:r>
          <w:r>
            <w:rPr>
              <w:rFonts w:asciiTheme="minorHAnsi" w:hAnsiTheme="minorHAnsi"/>
              <w:iCs w:val="0"/>
              <w:color w:val="auto"/>
              <w:kern w:val="2"/>
              <w:sz w:val="21"/>
            </w:rPr>
            <w:tab/>
          </w:r>
          <w:r>
            <w:rPr>
              <w:rStyle w:val="21"/>
              <w:rFonts w:hint="eastAsia" w:eastAsia="宋体"/>
            </w:rPr>
            <w:t>技术、服务评议对照表</w:t>
          </w:r>
          <w:r>
            <w:tab/>
          </w:r>
          <w:r>
            <w:fldChar w:fldCharType="begin"/>
          </w:r>
          <w:r>
            <w:instrText xml:space="preserve"> PAGEREF _Toc495861570 \h </w:instrText>
          </w:r>
          <w:r>
            <w:fldChar w:fldCharType="separate"/>
          </w:r>
          <w:r>
            <w:t>73</w:t>
          </w:r>
          <w:r>
            <w:fldChar w:fldCharType="end"/>
          </w:r>
          <w:r>
            <w:fldChar w:fldCharType="end"/>
          </w:r>
        </w:p>
        <w:p>
          <w:pPr>
            <w:pStyle w:val="12"/>
            <w:tabs>
              <w:tab w:val="left" w:pos="1260"/>
              <w:tab w:val="right" w:leader="dot" w:pos="9514"/>
            </w:tabs>
          </w:pPr>
          <w:r>
            <w:fldChar w:fldCharType="end"/>
          </w:r>
          <w:r>
            <w:rPr>
              <w:b w:val="0"/>
              <w:bCs/>
              <w:lang w:val="zh-CN"/>
            </w:rPr>
            <w:tab/>
          </w:r>
        </w:p>
      </w:sdtContent>
    </w:sdt>
    <w:p>
      <w:r>
        <w:br w:type="page"/>
      </w:r>
    </w:p>
    <w:p>
      <w:pPr>
        <w:pStyle w:val="2"/>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spacing w:line="48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 xml:space="preserve">依据 </w:t>
      </w:r>
      <w:r>
        <w:rPr>
          <w:rFonts w:hint="eastAsia" w:ascii="宋体" w:hAnsi="宋体" w:eastAsia="宋体" w:cs="Times New Roman"/>
          <w:color w:val="0C0C0C" w:themeColor="text1" w:themeTint="F2"/>
          <w:sz w:val="24"/>
          <w:szCs w:val="24"/>
          <w:u w:val="single"/>
        </w:rPr>
        <w:t>阳财采计备[2020]A96</w:t>
      </w:r>
      <w:r>
        <w:rPr>
          <w:rFonts w:hint="eastAsia" w:ascii="宋体" w:hAnsi="宋体" w:eastAsia="宋体" w:cs="Times New Roman"/>
          <w:color w:val="0C0C0C" w:themeColor="text1" w:themeTint="F2"/>
          <w:sz w:val="24"/>
          <w:szCs w:val="24"/>
        </w:rPr>
        <w:t>的要求，</w:t>
      </w:r>
      <w:r>
        <w:rPr>
          <w:rFonts w:hint="eastAsia" w:ascii="宋体" w:hAnsi="宋体" w:eastAsia="宋体" w:cs="Times New Roman"/>
          <w:color w:val="0C0C0C" w:themeColor="text1" w:themeTint="F2"/>
          <w:sz w:val="24"/>
          <w:szCs w:val="24"/>
          <w:u w:val="single"/>
        </w:rPr>
        <w:t xml:space="preserve">武汉富纳工程咨询有限公司 </w:t>
      </w:r>
      <w:r>
        <w:rPr>
          <w:rFonts w:hint="eastAsia" w:ascii="宋体" w:hAnsi="宋体" w:eastAsia="宋体" w:cs="Times New Roman"/>
          <w:color w:val="0C0C0C" w:themeColor="text1" w:themeTint="F2"/>
          <w:sz w:val="24"/>
          <w:szCs w:val="24"/>
        </w:rPr>
        <w:t xml:space="preserve">受 </w:t>
      </w:r>
      <w:r>
        <w:rPr>
          <w:rFonts w:hint="eastAsia" w:ascii="宋体" w:hAnsi="宋体" w:eastAsia="宋体" w:cs="Times New Roman"/>
          <w:color w:val="0C0C0C" w:themeColor="text1" w:themeTint="F2"/>
          <w:sz w:val="24"/>
          <w:szCs w:val="24"/>
          <w:u w:val="single"/>
        </w:rPr>
        <w:t>阳新县人民医院</w:t>
      </w:r>
      <w:r>
        <w:rPr>
          <w:rFonts w:hint="eastAsia" w:ascii="宋体" w:hAnsi="宋体" w:eastAsia="宋体" w:cs="Times New Roman"/>
          <w:color w:val="0C0C0C" w:themeColor="text1" w:themeTint="F2"/>
          <w:sz w:val="24"/>
          <w:szCs w:val="24"/>
        </w:rPr>
        <w:t xml:space="preserve">委托，就 </w:t>
      </w:r>
      <w:r>
        <w:rPr>
          <w:rFonts w:hint="eastAsia" w:ascii="宋体" w:hAnsi="宋体" w:eastAsia="宋体" w:cs="Times New Roman"/>
          <w:color w:val="0C0C0C" w:themeColor="text1" w:themeTint="F2"/>
          <w:sz w:val="24"/>
          <w:szCs w:val="24"/>
          <w:u w:val="single"/>
        </w:rPr>
        <w:t xml:space="preserve">阳新县人民医院一体化阅片室采购 </w:t>
      </w:r>
      <w:r>
        <w:rPr>
          <w:rFonts w:hint="eastAsia" w:ascii="宋体" w:hAnsi="宋体" w:eastAsia="宋体" w:cs="Times New Roman"/>
          <w:color w:val="0C0C0C" w:themeColor="text1" w:themeTint="F2"/>
          <w:sz w:val="24"/>
          <w:szCs w:val="24"/>
        </w:rPr>
        <w:t>项目进行公开招标采购，欢迎符合条件的投标人投标。</w:t>
      </w:r>
    </w:p>
    <w:p>
      <w:pPr>
        <w:numPr>
          <w:ilvl w:val="0"/>
          <w:numId w:val="2"/>
        </w:numPr>
        <w:spacing w:line="360" w:lineRule="auto"/>
        <w:ind w:left="490" w:hanging="490"/>
        <w:rPr>
          <w:rFonts w:ascii="宋体" w:hAnsi="宋体" w:eastAsia="宋体" w:cs="Times New Roman"/>
          <w:b/>
          <w:color w:val="0C0C0C" w:themeColor="text1" w:themeTint="F2"/>
          <w:sz w:val="24"/>
          <w:szCs w:val="24"/>
          <w:highlight w:val="none"/>
        </w:rPr>
      </w:pPr>
      <w:r>
        <w:rPr>
          <w:rFonts w:hint="eastAsia" w:ascii="宋体" w:hAnsi="宋体" w:eastAsia="宋体" w:cs="Times New Roman"/>
          <w:b/>
          <w:color w:val="0C0C0C" w:themeColor="text1" w:themeTint="F2"/>
          <w:sz w:val="24"/>
          <w:szCs w:val="24"/>
          <w:highlight w:val="none"/>
        </w:rPr>
        <w:t>项目编号：</w:t>
      </w:r>
      <w:r>
        <w:rPr>
          <w:rFonts w:hint="eastAsia"/>
          <w:bCs/>
          <w:color w:val="000000"/>
          <w:sz w:val="32"/>
          <w:szCs w:val="32"/>
          <w:highlight w:val="none"/>
          <w:u w:val="single"/>
          <w:lang w:val="en-US" w:eastAsia="zh-CN"/>
        </w:rPr>
        <w:t>131-2020CG-116</w:t>
      </w:r>
    </w:p>
    <w:p>
      <w:pPr>
        <w:numPr>
          <w:ilvl w:val="0"/>
          <w:numId w:val="2"/>
        </w:numPr>
        <w:spacing w:line="360" w:lineRule="auto"/>
        <w:ind w:left="490" w:hanging="49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项目名称：</w:t>
      </w:r>
      <w:r>
        <w:rPr>
          <w:rFonts w:hint="eastAsia" w:ascii="宋体" w:hAnsi="宋体" w:eastAsia="宋体" w:cs="Times New Roman"/>
          <w:b/>
          <w:bCs/>
          <w:color w:val="0C0C0C" w:themeColor="text1" w:themeTint="F2"/>
          <w:sz w:val="24"/>
          <w:szCs w:val="24"/>
          <w:u w:val="single"/>
        </w:rPr>
        <w:t>阳新县人民医院一体化阅片室采购</w:t>
      </w:r>
      <w:r>
        <w:rPr>
          <w:rFonts w:hint="eastAsia" w:ascii="宋体" w:hAnsi="宋体" w:eastAsia="宋体" w:cs="Times New Roman"/>
          <w:b/>
          <w:color w:val="0C0C0C" w:themeColor="text1" w:themeTint="F2"/>
          <w:sz w:val="24"/>
          <w:szCs w:val="24"/>
          <w:u w:val="single"/>
        </w:rPr>
        <w:t>项目</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招标内容：</w:t>
      </w:r>
      <w:r>
        <w:rPr>
          <w:rFonts w:hint="eastAsia" w:ascii="宋体" w:hAnsi="宋体" w:eastAsia="宋体" w:cs="Times New Roman"/>
          <w:b/>
          <w:bCs/>
          <w:color w:val="0C0C0C" w:themeColor="text1" w:themeTint="F2"/>
          <w:sz w:val="24"/>
          <w:szCs w:val="24"/>
          <w:u w:val="single"/>
        </w:rPr>
        <w:t>一体化阅片室</w:t>
      </w:r>
      <w:r>
        <w:rPr>
          <w:rFonts w:hint="eastAsia" w:ascii="宋体" w:hAnsi="宋体" w:eastAsia="宋体" w:cs="Times New Roman"/>
          <w:color w:val="0C0C0C" w:themeColor="text1" w:themeTint="F2"/>
          <w:sz w:val="24"/>
          <w:szCs w:val="24"/>
        </w:rPr>
        <w:t>采购（详见招标文件《采购清单》）</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采购预算：</w:t>
      </w:r>
      <w:r>
        <w:rPr>
          <w:rFonts w:hint="eastAsia" w:ascii="宋体" w:hAnsi="宋体" w:eastAsia="宋体" w:cs="Times New Roman"/>
          <w:color w:val="0C0C0C" w:themeColor="text1" w:themeTint="F2"/>
          <w:sz w:val="24"/>
          <w:szCs w:val="24"/>
        </w:rPr>
        <w:t>人民币</w:t>
      </w:r>
      <w:r>
        <w:rPr>
          <w:rFonts w:hint="eastAsia" w:ascii="宋体" w:hAnsi="宋体" w:eastAsia="宋体" w:cs="Times New Roman"/>
          <w:b/>
          <w:color w:val="0C0C0C" w:themeColor="text1" w:themeTint="F2"/>
          <w:sz w:val="24"/>
          <w:szCs w:val="24"/>
          <w:u w:val="single"/>
        </w:rPr>
        <w:t>220</w:t>
      </w:r>
      <w:r>
        <w:rPr>
          <w:rFonts w:hint="eastAsia" w:ascii="宋体" w:hAnsi="宋体" w:eastAsia="宋体" w:cs="Times New Roman"/>
          <w:color w:val="0C0C0C" w:themeColor="text1" w:themeTint="F2"/>
          <w:sz w:val="24"/>
          <w:szCs w:val="24"/>
        </w:rPr>
        <w:t>万元整。</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资金来源：</w:t>
      </w:r>
      <w:r>
        <w:rPr>
          <w:rFonts w:hint="eastAsia" w:ascii="宋体" w:hAnsi="宋体" w:eastAsia="宋体" w:cs="Times New Roman"/>
          <w:color w:val="0C0C0C" w:themeColor="text1" w:themeTint="F2"/>
          <w:sz w:val="24"/>
          <w:szCs w:val="24"/>
        </w:rPr>
        <w:t>自筹资金</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政府集中采购项目：否</w:t>
      </w:r>
    </w:p>
    <w:p>
      <w:pPr>
        <w:numPr>
          <w:ilvl w:val="0"/>
          <w:numId w:val="2"/>
        </w:numPr>
        <w:spacing w:line="360" w:lineRule="auto"/>
        <w:ind w:left="490" w:hanging="49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投标人资格要求：</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投标人应具备《政府采购法》第二十二条第一款规定的条件；</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bCs/>
          <w:color w:val="0C0C0C" w:themeColor="text1" w:themeTint="F2"/>
          <w:sz w:val="24"/>
          <w:szCs w:val="24"/>
        </w:rPr>
        <w:t>投标人</w:t>
      </w:r>
      <w:r>
        <w:rPr>
          <w:rFonts w:hint="eastAsia" w:ascii="宋体" w:hAnsi="宋体" w:eastAsia="宋体" w:cs="Times New Roman"/>
          <w:bCs/>
          <w:color w:val="0D0D0D"/>
          <w:sz w:val="24"/>
          <w:szCs w:val="24"/>
        </w:rPr>
        <w:t>须未被列入“信用中国”网站(www.creditchina.gov.cn)失信被执行人、重大税收违法案件当事人和“中国政府采购”网站（www.ccgp.gov.cn）政府采购严重违法失信行为记录名单；</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本项目不接受联合体形式的投标。</w:t>
      </w:r>
    </w:p>
    <w:p>
      <w:pPr>
        <w:numPr>
          <w:ilvl w:val="0"/>
          <w:numId w:val="2"/>
        </w:numPr>
        <w:spacing w:line="360" w:lineRule="auto"/>
        <w:ind w:left="490" w:hanging="490"/>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rPr>
        <w:t>政府采购相关政策执行：</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ascii="宋体" w:hAnsi="宋体" w:eastAsia="宋体" w:cs="Times New Roman"/>
          <w:color w:val="0C0C0C" w:themeColor="text1" w:themeTint="F2"/>
          <w:sz w:val="24"/>
          <w:szCs w:val="24"/>
        </w:rPr>
        <w:t>落实</w:t>
      </w:r>
      <w:r>
        <w:rPr>
          <w:rFonts w:hint="eastAsia" w:ascii="宋体" w:hAnsi="宋体" w:eastAsia="宋体" w:cs="Times New Roman"/>
          <w:color w:val="0C0C0C" w:themeColor="text1" w:themeTint="F2"/>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是否专门面向中小企业、监狱企业、残疾人福利性单位：否。</w:t>
      </w:r>
    </w:p>
    <w:p>
      <w:pPr>
        <w:numPr>
          <w:ilvl w:val="0"/>
          <w:numId w:val="2"/>
        </w:numPr>
        <w:spacing w:line="360" w:lineRule="auto"/>
        <w:ind w:left="490" w:hanging="490"/>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lang w:val="zh-CN"/>
        </w:rPr>
        <w:t>招标文件获取</w:t>
      </w:r>
      <w:r>
        <w:rPr>
          <w:rFonts w:hint="eastAsia" w:ascii="宋体" w:hAnsi="宋体" w:eastAsia="宋体" w:cs="宋体"/>
          <w:b/>
          <w:color w:val="0C0C0C" w:themeColor="text1" w:themeTint="F2"/>
          <w:kern w:val="0"/>
          <w:sz w:val="24"/>
          <w:szCs w:val="24"/>
        </w:rPr>
        <w:t>：</w:t>
      </w:r>
    </w:p>
    <w:p>
      <w:pPr>
        <w:widowControl/>
        <w:adjustRightInd w:val="0"/>
        <w:snapToGrid w:val="0"/>
        <w:spacing w:line="360" w:lineRule="auto"/>
        <w:ind w:firstLine="360" w:firstLineChars="150"/>
        <w:jc w:val="left"/>
        <w:rPr>
          <w:rFonts w:ascii="宋体" w:hAnsi="宋体" w:eastAsia="宋体" w:cs="Times New Roman"/>
          <w:b/>
          <w:color w:val="0C0C0C" w:themeColor="text1" w:themeTint="F2"/>
          <w:sz w:val="24"/>
          <w:szCs w:val="24"/>
        </w:rPr>
      </w:pPr>
      <w:r>
        <w:rPr>
          <w:rFonts w:hint="eastAsia" w:ascii="宋体" w:hAnsi="宋体" w:eastAsia="宋体" w:cs="Times New Roman"/>
          <w:color w:val="0C0C0C" w:themeColor="text1" w:themeTint="F2"/>
          <w:sz w:val="24"/>
          <w:szCs w:val="24"/>
        </w:rPr>
        <w:t>本项目实行网上下载标书，招标文件与本招标公告同时在“湖北省政府采购网”、“黄石市公共资源交易信息网”及“阳新县人民政府网”发布（见招标文件下载），凡自愿参加本</w:t>
      </w:r>
      <w:r>
        <w:rPr>
          <w:rFonts w:hint="eastAsia" w:ascii="宋体" w:hAnsi="宋体" w:eastAsia="宋体" w:cs="Times New Roman"/>
          <w:color w:val="0C0C0C" w:themeColor="text1" w:themeTint="F2"/>
          <w:sz w:val="24"/>
          <w:szCs w:val="24"/>
          <w:highlight w:val="none"/>
        </w:rPr>
        <w:t>项目投标人，请于</w:t>
      </w:r>
      <w:r>
        <w:rPr>
          <w:rFonts w:hint="eastAsia" w:ascii="宋体" w:hAnsi="宋体" w:eastAsia="宋体" w:cs="Times New Roman"/>
          <w:color w:val="0C0C0C" w:themeColor="text1" w:themeTint="F2"/>
          <w:sz w:val="24"/>
          <w:szCs w:val="24"/>
          <w:highlight w:val="none"/>
          <w:u w:val="single"/>
        </w:rPr>
        <w:t>2020年</w:t>
      </w:r>
      <w:r>
        <w:rPr>
          <w:rFonts w:hint="eastAsia" w:ascii="宋体" w:hAnsi="宋体" w:eastAsia="宋体" w:cs="Times New Roman"/>
          <w:color w:val="0C0C0C" w:themeColor="text1" w:themeTint="F2"/>
          <w:sz w:val="24"/>
          <w:szCs w:val="24"/>
          <w:highlight w:val="none"/>
          <w:u w:val="single"/>
          <w:lang w:val="en-US" w:eastAsia="zh-CN"/>
        </w:rPr>
        <w:t>8</w:t>
      </w:r>
      <w:r>
        <w:rPr>
          <w:rFonts w:hint="eastAsia" w:ascii="宋体" w:hAnsi="宋体" w:eastAsia="宋体" w:cs="Times New Roman"/>
          <w:color w:val="0C0C0C" w:themeColor="text1" w:themeTint="F2"/>
          <w:sz w:val="24"/>
          <w:szCs w:val="24"/>
          <w:highlight w:val="none"/>
          <w:u w:val="single"/>
        </w:rPr>
        <w:t>月</w:t>
      </w:r>
      <w:r>
        <w:rPr>
          <w:rFonts w:hint="eastAsia" w:ascii="宋体" w:hAnsi="宋体" w:eastAsia="宋体" w:cs="Times New Roman"/>
          <w:color w:val="0C0C0C" w:themeColor="text1" w:themeTint="F2"/>
          <w:sz w:val="24"/>
          <w:szCs w:val="24"/>
          <w:highlight w:val="none"/>
          <w:u w:val="single"/>
          <w:lang w:val="en-US" w:eastAsia="zh-CN"/>
        </w:rPr>
        <w:t>12</w:t>
      </w:r>
      <w:r>
        <w:rPr>
          <w:rFonts w:hint="eastAsia" w:ascii="宋体" w:hAnsi="宋体" w:eastAsia="宋体" w:cs="Times New Roman"/>
          <w:color w:val="0C0C0C" w:themeColor="text1" w:themeTint="F2"/>
          <w:sz w:val="24"/>
          <w:szCs w:val="24"/>
          <w:highlight w:val="none"/>
          <w:u w:val="single"/>
        </w:rPr>
        <w:t>日至2020年</w:t>
      </w:r>
      <w:r>
        <w:rPr>
          <w:rFonts w:hint="eastAsia" w:ascii="宋体" w:hAnsi="宋体" w:eastAsia="宋体" w:cs="Times New Roman"/>
          <w:color w:val="0C0C0C" w:themeColor="text1" w:themeTint="F2"/>
          <w:sz w:val="24"/>
          <w:szCs w:val="24"/>
          <w:highlight w:val="none"/>
          <w:u w:val="single"/>
          <w:lang w:val="en-US" w:eastAsia="zh-CN"/>
        </w:rPr>
        <w:t>8</w:t>
      </w:r>
      <w:r>
        <w:rPr>
          <w:rFonts w:hint="eastAsia" w:ascii="宋体" w:hAnsi="宋体" w:eastAsia="宋体" w:cs="Times New Roman"/>
          <w:color w:val="0C0C0C" w:themeColor="text1" w:themeTint="F2"/>
          <w:sz w:val="24"/>
          <w:szCs w:val="24"/>
          <w:highlight w:val="none"/>
          <w:u w:val="single"/>
        </w:rPr>
        <w:t>月</w:t>
      </w:r>
      <w:r>
        <w:rPr>
          <w:rFonts w:hint="eastAsia" w:ascii="宋体" w:hAnsi="宋体" w:eastAsia="宋体" w:cs="Times New Roman"/>
          <w:color w:val="0C0C0C" w:themeColor="text1" w:themeTint="F2"/>
          <w:sz w:val="24"/>
          <w:szCs w:val="24"/>
          <w:highlight w:val="none"/>
          <w:u w:val="single"/>
          <w:lang w:val="en-US" w:eastAsia="zh-CN"/>
        </w:rPr>
        <w:t>18</w:t>
      </w:r>
      <w:r>
        <w:rPr>
          <w:rFonts w:hint="eastAsia" w:ascii="宋体" w:hAnsi="宋体" w:eastAsia="宋体" w:cs="Times New Roman"/>
          <w:color w:val="0C0C0C" w:themeColor="text1" w:themeTint="F2"/>
          <w:sz w:val="24"/>
          <w:szCs w:val="24"/>
          <w:highlight w:val="none"/>
          <w:u w:val="single"/>
        </w:rPr>
        <w:t>日</w:t>
      </w:r>
      <w:r>
        <w:rPr>
          <w:rFonts w:hint="eastAsia" w:ascii="宋体" w:hAnsi="宋体" w:eastAsia="宋体" w:cs="Times New Roman"/>
          <w:color w:val="0C0C0C" w:themeColor="text1" w:themeTint="F2"/>
          <w:sz w:val="24"/>
          <w:szCs w:val="24"/>
          <w:highlight w:val="none"/>
        </w:rPr>
        <w:t>前</w:t>
      </w:r>
      <w:r>
        <w:rPr>
          <w:rFonts w:hint="eastAsia" w:ascii="宋体" w:hAnsi="宋体" w:eastAsia="宋体" w:cs="Times New Roman"/>
          <w:color w:val="0C0C0C" w:themeColor="text1" w:themeTint="F2"/>
          <w:sz w:val="24"/>
          <w:szCs w:val="24"/>
        </w:rPr>
        <w:t>点击项目招标公告中的链接免费下载招标文件，并在投标截止时间前办理所有投标手续并同时递交投标文件。</w:t>
      </w:r>
    </w:p>
    <w:p>
      <w:pPr>
        <w:numPr>
          <w:ilvl w:val="0"/>
          <w:numId w:val="2"/>
        </w:numPr>
        <w:spacing w:line="360" w:lineRule="auto"/>
        <w:ind w:left="728" w:hanging="728"/>
        <w:rPr>
          <w:rFonts w:ascii="宋体" w:hAnsi="宋体" w:eastAsia="宋体" w:cs="宋体"/>
          <w:b/>
          <w:color w:val="0C0C0C" w:themeColor="text1" w:themeTint="F2"/>
          <w:kern w:val="0"/>
          <w:sz w:val="24"/>
          <w:szCs w:val="24"/>
          <w:highlight w:val="none"/>
          <w:lang w:val="zh-CN"/>
        </w:rPr>
      </w:pPr>
      <w:r>
        <w:rPr>
          <w:rFonts w:hint="eastAsia" w:ascii="宋体" w:hAnsi="宋体" w:eastAsia="宋体" w:cs="宋体"/>
          <w:b/>
          <w:color w:val="0C0C0C" w:themeColor="text1" w:themeTint="F2"/>
          <w:kern w:val="0"/>
          <w:sz w:val="24"/>
          <w:szCs w:val="24"/>
          <w:lang w:val="zh-CN"/>
        </w:rPr>
        <w:t>投标信息：</w:t>
      </w:r>
    </w:p>
    <w:p>
      <w:pPr>
        <w:spacing w:line="360" w:lineRule="auto"/>
        <w:ind w:firstLine="470" w:firstLineChars="196"/>
        <w:rPr>
          <w:rFonts w:ascii="宋体" w:hAnsi="宋体" w:eastAsia="宋体" w:cs="宋体"/>
          <w:b/>
          <w:color w:val="0C0C0C" w:themeColor="text1" w:themeTint="F2"/>
          <w:kern w:val="0"/>
          <w:sz w:val="24"/>
          <w:szCs w:val="24"/>
        </w:rPr>
      </w:pPr>
      <w:r>
        <w:rPr>
          <w:rFonts w:hint="eastAsia" w:ascii="宋体" w:hAnsi="宋体" w:eastAsia="宋体" w:cs="宋体"/>
          <w:color w:val="0C0C0C" w:themeColor="text1" w:themeTint="F2"/>
          <w:kern w:val="0"/>
          <w:sz w:val="24"/>
          <w:szCs w:val="24"/>
          <w:highlight w:val="none"/>
        </w:rPr>
        <w:t>投标文件递交截止时间：</w:t>
      </w:r>
      <w:r>
        <w:rPr>
          <w:rFonts w:hint="eastAsia" w:ascii="宋体" w:hAnsi="宋体" w:eastAsia="宋体" w:cs="宋体"/>
          <w:color w:val="0C0C0C" w:themeColor="text1" w:themeTint="F2"/>
          <w:kern w:val="0"/>
          <w:sz w:val="24"/>
          <w:szCs w:val="24"/>
          <w:highlight w:val="none"/>
          <w:u w:val="single"/>
        </w:rPr>
        <w:t>2020</w:t>
      </w:r>
      <w:r>
        <w:rPr>
          <w:rFonts w:hint="eastAsia" w:ascii="宋体" w:hAnsi="宋体" w:eastAsia="宋体" w:cs="Times New Roman"/>
          <w:color w:val="0C0C0C" w:themeColor="text1" w:themeTint="F2"/>
          <w:sz w:val="24"/>
          <w:szCs w:val="24"/>
          <w:highlight w:val="none"/>
          <w:u w:val="single"/>
        </w:rPr>
        <w:t>年</w:t>
      </w:r>
      <w:r>
        <w:rPr>
          <w:rFonts w:hint="eastAsia" w:ascii="宋体" w:hAnsi="宋体" w:eastAsia="宋体" w:cs="Times New Roman"/>
          <w:color w:val="0C0C0C" w:themeColor="text1" w:themeTint="F2"/>
          <w:sz w:val="24"/>
          <w:szCs w:val="24"/>
          <w:highlight w:val="none"/>
          <w:u w:val="single"/>
          <w:lang w:val="en-US" w:eastAsia="zh-CN"/>
        </w:rPr>
        <w:t>9</w:t>
      </w:r>
      <w:r>
        <w:rPr>
          <w:rFonts w:hint="eastAsia" w:ascii="宋体" w:hAnsi="宋体" w:eastAsia="宋体" w:cs="Times New Roman"/>
          <w:color w:val="0C0C0C" w:themeColor="text1" w:themeTint="F2"/>
          <w:sz w:val="24"/>
          <w:szCs w:val="24"/>
          <w:highlight w:val="none"/>
          <w:u w:val="single"/>
        </w:rPr>
        <w:t>月</w:t>
      </w:r>
      <w:r>
        <w:rPr>
          <w:rFonts w:hint="eastAsia" w:ascii="宋体" w:hAnsi="宋体" w:eastAsia="宋体" w:cs="Times New Roman"/>
          <w:color w:val="0C0C0C" w:themeColor="text1" w:themeTint="F2"/>
          <w:sz w:val="24"/>
          <w:szCs w:val="24"/>
          <w:highlight w:val="none"/>
          <w:u w:val="single"/>
          <w:lang w:val="en-US" w:eastAsia="zh-CN"/>
        </w:rPr>
        <w:t>1</w:t>
      </w:r>
      <w:r>
        <w:rPr>
          <w:rFonts w:hint="eastAsia" w:ascii="宋体" w:hAnsi="宋体" w:eastAsia="宋体" w:cs="Times New Roman"/>
          <w:color w:val="0C0C0C" w:themeColor="text1" w:themeTint="F2"/>
          <w:sz w:val="24"/>
          <w:szCs w:val="24"/>
          <w:highlight w:val="none"/>
          <w:u w:val="single"/>
        </w:rPr>
        <w:t>日</w:t>
      </w:r>
      <w:r>
        <w:rPr>
          <w:rFonts w:hint="eastAsia" w:ascii="宋体" w:hAnsi="宋体" w:eastAsia="宋体" w:cs="Times New Roman"/>
          <w:color w:val="0C0C0C" w:themeColor="text1" w:themeTint="F2"/>
          <w:sz w:val="24"/>
          <w:szCs w:val="24"/>
          <w:highlight w:val="none"/>
          <w:u w:val="single"/>
          <w:lang w:val="en-US" w:eastAsia="zh-CN"/>
        </w:rPr>
        <w:t>15</w:t>
      </w:r>
      <w:r>
        <w:rPr>
          <w:rFonts w:hint="eastAsia" w:ascii="宋体" w:hAnsi="宋体" w:eastAsia="宋体" w:cs="Times New Roman"/>
          <w:color w:val="0C0C0C" w:themeColor="text1" w:themeTint="F2"/>
          <w:sz w:val="24"/>
          <w:szCs w:val="24"/>
          <w:highlight w:val="none"/>
          <w:u w:val="single"/>
        </w:rPr>
        <w:t>时</w:t>
      </w:r>
      <w:r>
        <w:rPr>
          <w:rFonts w:hint="eastAsia" w:ascii="宋体" w:hAnsi="宋体" w:eastAsia="宋体" w:cs="Times New Roman"/>
          <w:color w:val="0C0C0C" w:themeColor="text1" w:themeTint="F2"/>
          <w:sz w:val="24"/>
          <w:szCs w:val="24"/>
          <w:highlight w:val="none"/>
          <w:u w:val="single"/>
          <w:lang w:val="en-US" w:eastAsia="zh-CN"/>
        </w:rPr>
        <w:t>00</w:t>
      </w:r>
      <w:r>
        <w:rPr>
          <w:rFonts w:hint="eastAsia" w:ascii="宋体" w:hAnsi="宋体" w:eastAsia="宋体" w:cs="Times New Roman"/>
          <w:color w:val="0C0C0C" w:themeColor="text1" w:themeTint="F2"/>
          <w:sz w:val="24"/>
          <w:szCs w:val="24"/>
          <w:highlight w:val="none"/>
          <w:u w:val="single"/>
        </w:rPr>
        <w:t>分</w:t>
      </w:r>
      <w:r>
        <w:rPr>
          <w:rFonts w:hint="eastAsia" w:ascii="宋体" w:hAnsi="宋体" w:eastAsia="宋体" w:cs="宋体"/>
          <w:color w:val="0C0C0C" w:themeColor="text1" w:themeTint="F2"/>
          <w:kern w:val="0"/>
          <w:sz w:val="24"/>
          <w:szCs w:val="24"/>
          <w:highlight w:val="none"/>
          <w:u w:val="single"/>
        </w:rPr>
        <w:t>（</w:t>
      </w:r>
      <w:r>
        <w:rPr>
          <w:rFonts w:hint="eastAsia" w:ascii="宋体" w:hAnsi="宋体" w:eastAsia="宋体" w:cs="宋体"/>
          <w:color w:val="0C0C0C" w:themeColor="text1" w:themeTint="F2"/>
          <w:kern w:val="0"/>
          <w:sz w:val="24"/>
          <w:szCs w:val="24"/>
          <w:highlight w:val="none"/>
          <w:u w:val="single"/>
          <w:lang w:val="en-US" w:eastAsia="zh-CN"/>
        </w:rPr>
        <w:t>14</w:t>
      </w:r>
      <w:r>
        <w:rPr>
          <w:rFonts w:hint="eastAsia" w:ascii="宋体" w:hAnsi="宋体" w:eastAsia="宋体" w:cs="宋体"/>
          <w:color w:val="0C0C0C" w:themeColor="text1" w:themeTint="F2"/>
          <w:kern w:val="0"/>
          <w:sz w:val="24"/>
          <w:szCs w:val="24"/>
          <w:highlight w:val="none"/>
          <w:u w:val="single"/>
        </w:rPr>
        <w:t>时</w:t>
      </w:r>
      <w:r>
        <w:rPr>
          <w:rFonts w:hint="eastAsia" w:ascii="宋体" w:hAnsi="宋体" w:eastAsia="宋体" w:cs="宋体"/>
          <w:color w:val="0C0C0C" w:themeColor="text1" w:themeTint="F2"/>
          <w:kern w:val="0"/>
          <w:sz w:val="24"/>
          <w:szCs w:val="24"/>
          <w:highlight w:val="none"/>
          <w:u w:val="single"/>
          <w:lang w:val="en-US" w:eastAsia="zh-CN"/>
        </w:rPr>
        <w:t>30</w:t>
      </w:r>
      <w:r>
        <w:rPr>
          <w:rFonts w:hint="eastAsia" w:ascii="宋体" w:hAnsi="宋体" w:eastAsia="宋体" w:cs="宋体"/>
          <w:color w:val="0C0C0C" w:themeColor="text1" w:themeTint="F2"/>
          <w:kern w:val="0"/>
          <w:sz w:val="24"/>
          <w:szCs w:val="24"/>
          <w:highlight w:val="none"/>
          <w:u w:val="single"/>
        </w:rPr>
        <w:t>分</w:t>
      </w:r>
      <w:r>
        <w:rPr>
          <w:rFonts w:hint="eastAsia" w:ascii="宋体" w:hAnsi="宋体" w:eastAsia="宋体" w:cs="宋体"/>
          <w:color w:val="0C0C0C" w:themeColor="text1" w:themeTint="F2"/>
          <w:kern w:val="0"/>
          <w:sz w:val="24"/>
          <w:szCs w:val="24"/>
          <w:highlight w:val="none"/>
        </w:rPr>
        <w:t>开</w:t>
      </w:r>
      <w:r>
        <w:rPr>
          <w:rFonts w:hint="eastAsia" w:ascii="宋体" w:hAnsi="宋体" w:eastAsia="宋体" w:cs="宋体"/>
          <w:color w:val="0C0C0C" w:themeColor="text1" w:themeTint="F2"/>
          <w:kern w:val="0"/>
          <w:sz w:val="24"/>
          <w:szCs w:val="24"/>
        </w:rPr>
        <w:t>始接收投标文件，拒收逾期送达或者未按招标文件要求密封的投标文件）</w:t>
      </w:r>
    </w:p>
    <w:p>
      <w:pPr>
        <w:widowControl/>
        <w:spacing w:line="360" w:lineRule="auto"/>
        <w:ind w:firstLine="470" w:firstLineChars="196"/>
        <w:jc w:val="left"/>
        <w:rPr>
          <w:rFonts w:ascii="宋体" w:hAnsi="宋体" w:eastAsia="宋体" w:cs="宋体"/>
          <w:color w:val="0C0C0C" w:themeColor="text1" w:themeTint="F2"/>
          <w:kern w:val="0"/>
          <w:sz w:val="24"/>
          <w:szCs w:val="24"/>
          <w:highlight w:val="none"/>
        </w:rPr>
      </w:pPr>
      <w:r>
        <w:rPr>
          <w:rFonts w:hint="eastAsia" w:ascii="宋体" w:hAnsi="宋体" w:eastAsia="宋体" w:cs="宋体"/>
          <w:color w:val="0C0C0C" w:themeColor="text1" w:themeTint="F2"/>
          <w:kern w:val="0"/>
          <w:sz w:val="24"/>
          <w:szCs w:val="24"/>
        </w:rPr>
        <w:t>投标文</w:t>
      </w:r>
      <w:r>
        <w:rPr>
          <w:rFonts w:hint="eastAsia" w:ascii="宋体" w:hAnsi="宋体" w:eastAsia="宋体" w:cs="宋体"/>
          <w:color w:val="0C0C0C" w:themeColor="text1" w:themeTint="F2"/>
          <w:kern w:val="0"/>
          <w:sz w:val="24"/>
          <w:szCs w:val="24"/>
          <w:highlight w:val="none"/>
        </w:rPr>
        <w:t>件递交地点：</w:t>
      </w:r>
      <w:r>
        <w:rPr>
          <w:rFonts w:hint="eastAsia" w:ascii="宋体" w:hAnsi="宋体"/>
          <w:kern w:val="0"/>
          <w:sz w:val="24"/>
          <w:szCs w:val="24"/>
          <w:highlight w:val="none"/>
        </w:rPr>
        <w:t>阳新县公共资源交易中心</w:t>
      </w:r>
      <w:r>
        <w:rPr>
          <w:rFonts w:hint="eastAsia" w:ascii="宋体" w:hAnsi="宋体"/>
          <w:kern w:val="0"/>
          <w:sz w:val="24"/>
          <w:szCs w:val="24"/>
          <w:highlight w:val="none"/>
          <w:lang w:eastAsia="zh-CN"/>
        </w:rPr>
        <w:t>二</w:t>
      </w:r>
      <w:r>
        <w:rPr>
          <w:rFonts w:hint="eastAsia" w:ascii="宋体" w:hAnsi="宋体" w:cs="宋体"/>
          <w:kern w:val="0"/>
          <w:sz w:val="24"/>
          <w:szCs w:val="24"/>
          <w:highlight w:val="none"/>
        </w:rPr>
        <w:t>楼开标大厅（阳新县熊家垴安置小区东侧）</w:t>
      </w:r>
    </w:p>
    <w:p>
      <w:pPr>
        <w:widowControl/>
        <w:spacing w:line="357" w:lineRule="atLeast"/>
        <w:ind w:firstLine="480" w:firstLineChars="200"/>
        <w:textAlignment w:val="baseline"/>
        <w:rPr>
          <w:rFonts w:ascii="宋体" w:hAnsi="宋体" w:eastAsia="宋体" w:cs="宋体"/>
          <w:color w:val="0C0C0C" w:themeColor="text1" w:themeTint="F2"/>
          <w:kern w:val="0"/>
          <w:sz w:val="24"/>
          <w:szCs w:val="24"/>
          <w:highlight w:val="none"/>
        </w:rPr>
      </w:pPr>
      <w:r>
        <w:rPr>
          <w:rFonts w:hint="eastAsia" w:ascii="Times New Roman" w:hAnsi="Times New Roman" w:eastAsia="宋体" w:cs="宋体"/>
          <w:color w:val="0C0C0C" w:themeColor="text1" w:themeTint="F2"/>
          <w:sz w:val="24"/>
          <w:szCs w:val="24"/>
          <w:highlight w:val="none"/>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hAnsi="宋体" w:eastAsia="宋体" w:cs="宋体"/>
          <w:b/>
          <w:color w:val="0C0C0C" w:themeColor="text1" w:themeTint="F2"/>
          <w:kern w:val="0"/>
          <w:sz w:val="24"/>
          <w:szCs w:val="24"/>
          <w:highlight w:val="none"/>
          <w:lang w:val="zh-CN"/>
        </w:rPr>
      </w:pPr>
      <w:r>
        <w:rPr>
          <w:rFonts w:hint="eastAsia" w:ascii="宋体" w:hAnsi="宋体" w:eastAsia="宋体" w:cs="宋体"/>
          <w:b/>
          <w:color w:val="0C0C0C" w:themeColor="text1" w:themeTint="F2"/>
          <w:kern w:val="0"/>
          <w:sz w:val="24"/>
          <w:szCs w:val="24"/>
          <w:highlight w:val="none"/>
          <w:lang w:val="zh-CN"/>
        </w:rPr>
        <w:t>开标信息：</w:t>
      </w:r>
    </w:p>
    <w:p>
      <w:pPr>
        <w:spacing w:line="360" w:lineRule="auto"/>
        <w:ind w:firstLine="470" w:firstLineChars="196"/>
        <w:rPr>
          <w:rFonts w:ascii="宋体" w:hAnsi="宋体" w:eastAsia="宋体" w:cs="Times New Roman"/>
          <w:color w:val="0C0C0C" w:themeColor="text1" w:themeTint="F2"/>
          <w:sz w:val="24"/>
          <w:szCs w:val="24"/>
          <w:highlight w:val="none"/>
          <w:u w:val="single"/>
        </w:rPr>
      </w:pPr>
      <w:r>
        <w:rPr>
          <w:rFonts w:hint="eastAsia" w:ascii="宋体" w:hAnsi="宋体" w:eastAsia="宋体" w:cs="宋体"/>
          <w:color w:val="0C0C0C" w:themeColor="text1" w:themeTint="F2"/>
          <w:kern w:val="0"/>
          <w:sz w:val="24"/>
          <w:szCs w:val="24"/>
          <w:highlight w:val="none"/>
        </w:rPr>
        <w:t>开标时间：</w:t>
      </w:r>
      <w:r>
        <w:rPr>
          <w:rFonts w:hint="eastAsia" w:ascii="宋体" w:hAnsi="宋体" w:eastAsia="宋体" w:cs="宋体"/>
          <w:color w:val="0C0C0C" w:themeColor="text1" w:themeTint="F2"/>
          <w:kern w:val="0"/>
          <w:sz w:val="24"/>
          <w:szCs w:val="24"/>
          <w:highlight w:val="none"/>
          <w:u w:val="single"/>
        </w:rPr>
        <w:t>2020</w:t>
      </w:r>
      <w:r>
        <w:rPr>
          <w:rFonts w:hint="eastAsia" w:ascii="宋体" w:hAnsi="宋体" w:eastAsia="宋体" w:cs="Times New Roman"/>
          <w:color w:val="0C0C0C" w:themeColor="text1" w:themeTint="F2"/>
          <w:sz w:val="24"/>
          <w:szCs w:val="24"/>
          <w:highlight w:val="none"/>
          <w:u w:val="single"/>
        </w:rPr>
        <w:t>年</w:t>
      </w:r>
      <w:r>
        <w:rPr>
          <w:rFonts w:hint="eastAsia" w:ascii="宋体" w:hAnsi="宋体" w:eastAsia="宋体" w:cs="Times New Roman"/>
          <w:color w:val="0C0C0C" w:themeColor="text1" w:themeTint="F2"/>
          <w:sz w:val="24"/>
          <w:szCs w:val="24"/>
          <w:highlight w:val="none"/>
          <w:u w:val="single"/>
          <w:lang w:val="en-US" w:eastAsia="zh-CN"/>
        </w:rPr>
        <w:t>9</w:t>
      </w:r>
      <w:r>
        <w:rPr>
          <w:rFonts w:hint="eastAsia" w:ascii="宋体" w:hAnsi="宋体" w:eastAsia="宋体" w:cs="Times New Roman"/>
          <w:color w:val="0C0C0C" w:themeColor="text1" w:themeTint="F2"/>
          <w:sz w:val="24"/>
          <w:szCs w:val="24"/>
          <w:highlight w:val="none"/>
          <w:u w:val="single"/>
        </w:rPr>
        <w:t>月</w:t>
      </w:r>
      <w:r>
        <w:rPr>
          <w:rFonts w:hint="eastAsia" w:ascii="宋体" w:hAnsi="宋体" w:eastAsia="宋体" w:cs="Times New Roman"/>
          <w:color w:val="0C0C0C" w:themeColor="text1" w:themeTint="F2"/>
          <w:sz w:val="24"/>
          <w:szCs w:val="24"/>
          <w:highlight w:val="none"/>
          <w:u w:val="single"/>
          <w:lang w:val="en-US" w:eastAsia="zh-CN"/>
        </w:rPr>
        <w:t>1</w:t>
      </w:r>
      <w:r>
        <w:rPr>
          <w:rFonts w:hint="eastAsia" w:ascii="宋体" w:hAnsi="宋体" w:eastAsia="宋体" w:cs="Times New Roman"/>
          <w:color w:val="0C0C0C" w:themeColor="text1" w:themeTint="F2"/>
          <w:sz w:val="24"/>
          <w:szCs w:val="24"/>
          <w:highlight w:val="none"/>
          <w:u w:val="single"/>
        </w:rPr>
        <w:t>日</w:t>
      </w:r>
      <w:r>
        <w:rPr>
          <w:rFonts w:hint="eastAsia" w:ascii="宋体" w:hAnsi="宋体" w:eastAsia="宋体" w:cs="Times New Roman"/>
          <w:color w:val="0C0C0C" w:themeColor="text1" w:themeTint="F2"/>
          <w:sz w:val="24"/>
          <w:szCs w:val="24"/>
          <w:highlight w:val="none"/>
          <w:u w:val="single"/>
          <w:lang w:val="en-US" w:eastAsia="zh-CN"/>
        </w:rPr>
        <w:t>15</w:t>
      </w:r>
      <w:r>
        <w:rPr>
          <w:rFonts w:hint="eastAsia" w:ascii="宋体" w:hAnsi="宋体" w:eastAsia="宋体" w:cs="Times New Roman"/>
          <w:color w:val="0C0C0C" w:themeColor="text1" w:themeTint="F2"/>
          <w:sz w:val="24"/>
          <w:szCs w:val="24"/>
          <w:highlight w:val="none"/>
          <w:u w:val="single"/>
        </w:rPr>
        <w:t>时</w:t>
      </w:r>
      <w:r>
        <w:rPr>
          <w:rFonts w:hint="eastAsia" w:ascii="宋体" w:hAnsi="宋体" w:eastAsia="宋体" w:cs="Times New Roman"/>
          <w:color w:val="0C0C0C" w:themeColor="text1" w:themeTint="F2"/>
          <w:sz w:val="24"/>
          <w:szCs w:val="24"/>
          <w:highlight w:val="none"/>
          <w:u w:val="single"/>
          <w:lang w:val="en-US" w:eastAsia="zh-CN"/>
        </w:rPr>
        <w:t>00</w:t>
      </w:r>
      <w:r>
        <w:rPr>
          <w:rFonts w:hint="eastAsia" w:ascii="宋体" w:hAnsi="宋体" w:eastAsia="宋体" w:cs="Times New Roman"/>
          <w:color w:val="0C0C0C" w:themeColor="text1" w:themeTint="F2"/>
          <w:sz w:val="24"/>
          <w:szCs w:val="24"/>
          <w:highlight w:val="none"/>
          <w:u w:val="single"/>
        </w:rPr>
        <w:t>分</w:t>
      </w:r>
    </w:p>
    <w:p>
      <w:pPr>
        <w:spacing w:line="360" w:lineRule="auto"/>
        <w:ind w:firstLine="470" w:firstLineChars="196"/>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highlight w:val="none"/>
        </w:rPr>
        <w:t>开标地点：阳新县公共资源交易中心</w:t>
      </w:r>
      <w:r>
        <w:rPr>
          <w:rFonts w:hint="eastAsia" w:ascii="宋体" w:hAnsi="宋体" w:eastAsia="宋体" w:cs="宋体"/>
          <w:color w:val="0C0C0C" w:themeColor="text1" w:themeTint="F2"/>
          <w:kern w:val="0"/>
          <w:sz w:val="24"/>
          <w:szCs w:val="24"/>
          <w:highlight w:val="none"/>
          <w:u w:val="single"/>
          <w:lang w:eastAsia="zh-CN"/>
        </w:rPr>
        <w:t>二</w:t>
      </w:r>
      <w:r>
        <w:rPr>
          <w:rFonts w:hint="eastAsia" w:ascii="宋体" w:hAnsi="宋体" w:eastAsia="宋体" w:cs="宋体"/>
          <w:color w:val="0C0C0C" w:themeColor="text1" w:themeTint="F2"/>
          <w:kern w:val="0"/>
          <w:sz w:val="24"/>
          <w:szCs w:val="24"/>
          <w:highlight w:val="none"/>
        </w:rPr>
        <w:t>楼开标大厅（阳新</w:t>
      </w:r>
      <w:r>
        <w:rPr>
          <w:rFonts w:hint="eastAsia" w:ascii="宋体" w:hAnsi="宋体" w:eastAsia="宋体" w:cs="宋体"/>
          <w:color w:val="0C0C0C" w:themeColor="text1" w:themeTint="F2"/>
          <w:kern w:val="0"/>
          <w:sz w:val="24"/>
          <w:szCs w:val="24"/>
        </w:rPr>
        <w:t>县熊家垴安置小区东侧）</w:t>
      </w:r>
    </w:p>
    <w:p>
      <w:pPr>
        <w:numPr>
          <w:ilvl w:val="0"/>
          <w:numId w:val="2"/>
        </w:numPr>
        <w:spacing w:line="360" w:lineRule="auto"/>
        <w:ind w:left="728" w:hanging="728"/>
        <w:rPr>
          <w:rFonts w:ascii="宋体" w:hAnsi="宋体" w:eastAsia="宋体" w:cs="Times New Roman"/>
          <w:color w:val="0C0C0C" w:themeColor="text1" w:themeTint="F2"/>
          <w:sz w:val="24"/>
          <w:szCs w:val="24"/>
        </w:rPr>
      </w:pPr>
      <w:r>
        <w:rPr>
          <w:rFonts w:hint="eastAsia" w:ascii="宋体" w:hAnsi="宋体" w:eastAsia="宋体" w:cs="宋体"/>
          <w:b/>
          <w:color w:val="0C0C0C" w:themeColor="text1" w:themeTint="F2"/>
          <w:kern w:val="0"/>
          <w:sz w:val="24"/>
          <w:szCs w:val="24"/>
          <w:lang w:val="zh-CN"/>
        </w:rPr>
        <w:t>公告期限：</w:t>
      </w:r>
      <w:r>
        <w:rPr>
          <w:rFonts w:hint="eastAsia" w:ascii="宋体" w:hAnsi="宋体" w:eastAsia="宋体" w:cs="Times New Roman"/>
          <w:color w:val="0C0C0C" w:themeColor="text1" w:themeTint="F2"/>
          <w:sz w:val="24"/>
          <w:szCs w:val="24"/>
        </w:rPr>
        <w:t>自公告发布之日起5个工作日。</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质疑：</w:t>
      </w:r>
    </w:p>
    <w:p>
      <w:pPr>
        <w:spacing w:line="360" w:lineRule="auto"/>
        <w:ind w:firstLine="480" w:firstLineChars="200"/>
        <w:rPr>
          <w:rFonts w:ascii="宋体" w:hAnsi="宋体" w:eastAsia="宋体" w:cs="宋体"/>
          <w:b/>
          <w:color w:val="0C0C0C" w:themeColor="text1" w:themeTint="F2"/>
          <w:kern w:val="0"/>
          <w:sz w:val="24"/>
          <w:szCs w:val="24"/>
          <w:lang w:val="zh-CN"/>
        </w:rPr>
      </w:pPr>
      <w:r>
        <w:rPr>
          <w:rFonts w:hint="eastAsia" w:ascii="宋体" w:hAnsi="宋体" w:eastAsia="宋体" w:cs="宋体"/>
          <w:color w:val="0C0C0C" w:themeColor="text1" w:themeTint="F2"/>
          <w:kern w:val="0"/>
          <w:sz w:val="24"/>
          <w:szCs w:val="24"/>
          <w:lang w:val="zh-CN"/>
        </w:rPr>
        <w:t>投标人认为招标文件、招标过程和中标结果使自己的权益受到损害的，可以在知道或者应知其权益受到损害之日起7个工作日内，向提出</w:t>
      </w:r>
      <w:r>
        <w:rPr>
          <w:rFonts w:hint="eastAsia" w:cs="宋体"/>
          <w:color w:val="0C0C0C" w:themeColor="text1" w:themeTint="F2"/>
          <w:kern w:val="0"/>
          <w:sz w:val="24"/>
          <w:szCs w:val="24"/>
          <w:lang w:val="zh-CN"/>
        </w:rPr>
        <w:t>书面</w:t>
      </w:r>
      <w:r>
        <w:rPr>
          <w:rFonts w:hint="eastAsia" w:ascii="宋体" w:hAnsi="宋体" w:eastAsia="宋体" w:cs="宋体"/>
          <w:color w:val="0C0C0C" w:themeColor="text1" w:themeTint="F2"/>
          <w:kern w:val="0"/>
          <w:sz w:val="24"/>
          <w:szCs w:val="24"/>
          <w:lang w:val="zh-CN"/>
        </w:rPr>
        <w:t>质疑。</w:t>
      </w:r>
      <w:r>
        <w:rPr>
          <w:rFonts w:hint="eastAsia" w:ascii="宋体" w:hAnsi="宋体" w:eastAsia="宋体" w:cs="宋体"/>
          <w:color w:val="0C0C0C" w:themeColor="text1" w:themeTint="F2"/>
          <w:kern w:val="0"/>
          <w:sz w:val="24"/>
          <w:szCs w:val="24"/>
        </w:rPr>
        <w:t>质疑时请提交书面质疑函一份（法人代表签字、加盖单位公章。具体要求详见本招标文件“第二章 投标人须知”中的第八条之规定），并附相关证据材料。</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联系方式：</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采购代理机构：</w:t>
      </w:r>
      <w:r>
        <w:rPr>
          <w:rFonts w:hint="eastAsia" w:ascii="宋体" w:hAnsi="宋体" w:eastAsia="宋体" w:cs="宋体"/>
          <w:bCs/>
          <w:color w:val="0C0C0C" w:themeColor="text1" w:themeTint="F2"/>
          <w:kern w:val="0"/>
          <w:sz w:val="24"/>
          <w:szCs w:val="24"/>
          <w:u w:val="single"/>
        </w:rPr>
        <w:t>武汉富纳工程咨询有限公司</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 系 人：</w:t>
      </w:r>
      <w:r>
        <w:rPr>
          <w:rFonts w:hint="eastAsia" w:ascii="宋体" w:hAnsi="宋体" w:eastAsia="宋体" w:cs="宋体"/>
          <w:bCs/>
          <w:color w:val="0C0C0C" w:themeColor="text1" w:themeTint="F2"/>
          <w:kern w:val="0"/>
          <w:sz w:val="24"/>
          <w:szCs w:val="24"/>
          <w:u w:val="single"/>
        </w:rPr>
        <w:t>乐之琳、吴克亮</w:t>
      </w:r>
      <w:r>
        <w:rPr>
          <w:rFonts w:hint="eastAsia" w:ascii="宋体" w:hAnsi="宋体" w:eastAsia="宋体" w:cs="宋体"/>
          <w:bCs/>
          <w:color w:val="0C0C0C" w:themeColor="text1" w:themeTint="F2"/>
          <w:kern w:val="0"/>
          <w:sz w:val="24"/>
          <w:szCs w:val="24"/>
        </w:rPr>
        <w:t xml:space="preserve">   </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联系电话：</w:t>
      </w:r>
      <w:r>
        <w:rPr>
          <w:rFonts w:ascii="宋体" w:hAnsi="宋体" w:eastAsia="宋体" w:cs="宋体"/>
          <w:bCs/>
          <w:color w:val="0C0C0C" w:themeColor="text1" w:themeTint="F2"/>
          <w:kern w:val="0"/>
          <w:sz w:val="24"/>
          <w:szCs w:val="24"/>
          <w:u w:val="single"/>
        </w:rPr>
        <w:t>0714-7313868</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    址：</w:t>
      </w:r>
      <w:r>
        <w:rPr>
          <w:rFonts w:hint="eastAsia" w:ascii="宋体" w:hAnsi="宋体" w:eastAsia="宋体" w:cs="宋体"/>
          <w:bCs/>
          <w:color w:val="0C0C0C" w:themeColor="text1" w:themeTint="F2"/>
          <w:kern w:val="0"/>
          <w:sz w:val="24"/>
          <w:szCs w:val="24"/>
          <w:u w:val="single"/>
        </w:rPr>
        <w:t>阳新县熊家垴小区1栋2903室</w:t>
      </w:r>
    </w:p>
    <w:p>
      <w:pPr>
        <w:widowControl/>
        <w:spacing w:line="360" w:lineRule="auto"/>
        <w:ind w:firstLine="480"/>
        <w:jc w:val="left"/>
        <w:rPr>
          <w:rFonts w:ascii="宋体" w:hAnsi="宋体" w:eastAsia="宋体" w:cs="宋体"/>
          <w:bCs/>
          <w:color w:val="0C0C0C" w:themeColor="text1" w:themeTint="F2"/>
          <w:kern w:val="0"/>
          <w:sz w:val="24"/>
          <w:szCs w:val="24"/>
        </w:rPr>
      </w:pP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采 购 人：</w:t>
      </w:r>
      <w:r>
        <w:rPr>
          <w:rFonts w:hint="eastAsia" w:ascii="宋体" w:hAnsi="宋体" w:eastAsia="宋体" w:cs="宋体"/>
          <w:bCs/>
          <w:color w:val="0C0C0C" w:themeColor="text1" w:themeTint="F2"/>
          <w:kern w:val="0"/>
          <w:sz w:val="24"/>
          <w:szCs w:val="24"/>
          <w:u w:val="single"/>
        </w:rPr>
        <w:t>阳新县人民医院</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 系 人：</w:t>
      </w:r>
      <w:r>
        <w:rPr>
          <w:rFonts w:hint="eastAsia" w:ascii="宋体" w:hAnsi="宋体" w:eastAsia="宋体" w:cs="宋体"/>
          <w:bCs/>
          <w:color w:val="0C0C0C" w:themeColor="text1" w:themeTint="F2"/>
          <w:kern w:val="0"/>
          <w:sz w:val="24"/>
          <w:szCs w:val="24"/>
          <w:u w:val="single"/>
        </w:rPr>
        <w:t>周理河</w:t>
      </w:r>
      <w:r>
        <w:rPr>
          <w:rFonts w:hint="eastAsia" w:ascii="宋体" w:hAnsi="宋体" w:eastAsia="宋体" w:cs="宋体"/>
          <w:bCs/>
          <w:color w:val="0C0C0C" w:themeColor="text1" w:themeTint="F2"/>
          <w:kern w:val="0"/>
          <w:sz w:val="24"/>
          <w:szCs w:val="24"/>
        </w:rPr>
        <w:t xml:space="preserve"> </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联系电话：</w:t>
      </w:r>
      <w:r>
        <w:rPr>
          <w:rFonts w:hint="eastAsia" w:ascii="宋体" w:hAnsi="宋体" w:eastAsia="宋体" w:cs="宋体"/>
          <w:bCs/>
          <w:color w:val="0C0C0C" w:themeColor="text1" w:themeTint="F2"/>
          <w:kern w:val="0"/>
          <w:sz w:val="24"/>
          <w:szCs w:val="24"/>
          <w:u w:val="single"/>
        </w:rPr>
        <w:t>0714-7314409</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    址：</w:t>
      </w:r>
      <w:r>
        <w:rPr>
          <w:rFonts w:hint="eastAsia" w:ascii="宋体" w:hAnsi="宋体" w:eastAsia="宋体" w:cs="宋体"/>
          <w:bCs/>
          <w:color w:val="0C0C0C" w:themeColor="text1" w:themeTint="F2"/>
          <w:kern w:val="0"/>
          <w:sz w:val="24"/>
          <w:szCs w:val="24"/>
          <w:u w:val="single"/>
        </w:rPr>
        <w:t>阳新县兴国镇儒学路81号</w:t>
      </w:r>
    </w:p>
    <w:p>
      <w:pPr>
        <w:widowControl/>
        <w:spacing w:line="360" w:lineRule="auto"/>
        <w:jc w:val="left"/>
        <w:rPr>
          <w:rFonts w:ascii="宋体" w:hAnsi="宋体" w:eastAsia="宋体" w:cs="Times New Roman"/>
          <w:b/>
          <w:color w:val="0C0C0C" w:themeColor="text1" w:themeTint="F2"/>
          <w:sz w:val="28"/>
          <w:szCs w:val="28"/>
          <w:lang w:val="zh-CN"/>
        </w:rPr>
      </w:pPr>
      <w:r>
        <w:rPr>
          <w:rFonts w:hint="eastAsia" w:ascii="宋体" w:hAnsi="宋体" w:eastAsia="宋体" w:cs="Times New Roman"/>
          <w:b/>
          <w:color w:val="0C0C0C" w:themeColor="text1" w:themeTint="F2"/>
          <w:sz w:val="28"/>
          <w:szCs w:val="28"/>
          <w:lang w:val="zh-CN"/>
        </w:rPr>
        <w:t xml:space="preserve">                                     </w:t>
      </w:r>
      <w:r>
        <w:rPr>
          <w:rFonts w:hint="eastAsia" w:ascii="宋体" w:hAnsi="宋体" w:eastAsia="宋体" w:cs="Times New Roman"/>
          <w:b/>
          <w:color w:val="0C0C0C" w:themeColor="text1" w:themeTint="F2"/>
          <w:sz w:val="28"/>
          <w:szCs w:val="28"/>
          <w:highlight w:val="none"/>
          <w:lang w:val="zh-CN"/>
        </w:rPr>
        <w:t xml:space="preserve">   2020年</w:t>
      </w:r>
      <w:r>
        <w:rPr>
          <w:rFonts w:hint="eastAsia" w:ascii="宋体" w:hAnsi="宋体" w:eastAsia="宋体" w:cs="Times New Roman"/>
          <w:b/>
          <w:color w:val="0C0C0C" w:themeColor="text1" w:themeTint="F2"/>
          <w:sz w:val="28"/>
          <w:szCs w:val="28"/>
          <w:highlight w:val="none"/>
          <w:lang w:val="en-US" w:eastAsia="zh-CN"/>
        </w:rPr>
        <w:t>8</w:t>
      </w:r>
      <w:r>
        <w:rPr>
          <w:rFonts w:hint="eastAsia" w:ascii="宋体" w:hAnsi="宋体" w:eastAsia="宋体" w:cs="Times New Roman"/>
          <w:b/>
          <w:color w:val="0C0C0C" w:themeColor="text1" w:themeTint="F2"/>
          <w:sz w:val="28"/>
          <w:szCs w:val="28"/>
          <w:highlight w:val="none"/>
          <w:lang w:val="zh-CN"/>
        </w:rPr>
        <w:t>月</w:t>
      </w:r>
      <w:r>
        <w:rPr>
          <w:rFonts w:hint="eastAsia" w:ascii="宋体" w:hAnsi="宋体" w:eastAsia="宋体" w:cs="Times New Roman"/>
          <w:b/>
          <w:color w:val="0C0C0C" w:themeColor="text1" w:themeTint="F2"/>
          <w:sz w:val="28"/>
          <w:szCs w:val="28"/>
          <w:highlight w:val="none"/>
          <w:lang w:val="en-US" w:eastAsia="zh-CN"/>
        </w:rPr>
        <w:t>11</w:t>
      </w:r>
      <w:r>
        <w:rPr>
          <w:rFonts w:hint="eastAsia" w:ascii="宋体" w:hAnsi="宋体" w:eastAsia="宋体" w:cs="Times New Roman"/>
          <w:b/>
          <w:color w:val="0C0C0C" w:themeColor="text1" w:themeTint="F2"/>
          <w:sz w:val="28"/>
          <w:szCs w:val="28"/>
          <w:highlight w:val="none"/>
          <w:lang w:val="zh-CN"/>
        </w:rPr>
        <w:t>日</w:t>
      </w:r>
    </w:p>
    <w:p>
      <w:pPr>
        <w:widowControl/>
        <w:jc w:val="left"/>
        <w:rPr>
          <w:color w:val="0C0C0C" w:themeColor="text1" w:themeTint="F2"/>
        </w:rPr>
      </w:pPr>
      <w:r>
        <w:rPr>
          <w:color w:val="0C0C0C" w:themeColor="text1" w:themeTint="F2"/>
        </w:rPr>
        <w:br w:type="page"/>
      </w:r>
    </w:p>
    <w:p>
      <w:pPr>
        <w:pStyle w:val="2"/>
        <w:numPr>
          <w:ilvl w:val="0"/>
          <w:numId w:val="1"/>
        </w:numPr>
        <w:spacing w:before="240" w:after="120"/>
        <w:ind w:left="883" w:hanging="880"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highlight w:val="yellow"/>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lang w:val="en-US" w:eastAsia="zh-CN"/>
              </w:rPr>
              <w:t>131-2020CG-116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阳新县人民医院一体化阅片室采购项目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FF0000"/>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color w:val="FF0000"/>
                <w:kern w:val="0"/>
                <w:sz w:val="24"/>
                <w:szCs w:val="24"/>
                <w:u w:val="single"/>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本项目为政府采购项目无须缴纳保证金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5"/>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FF0000"/>
          <w:sz w:val="24"/>
          <w:szCs w:val="24"/>
          <w:lang w:val="zh-CN"/>
        </w:rPr>
        <w:t>阳新县政府采购办公室、阳新县公共资源交易监督管理局。</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C0C0C" w:themeColor="text1" w:themeTint="F2"/>
          <w:sz w:val="24"/>
          <w:szCs w:val="24"/>
          <w:u w:val="single"/>
        </w:rPr>
        <w:t>武汉富纳工程咨询有限公司</w:t>
      </w:r>
      <w:r>
        <w:rPr>
          <w:rFonts w:hint="eastAsia" w:cs="Times New Roman" w:asciiTheme="minorEastAsia" w:hAnsiTheme="minorEastAsia"/>
          <w:sz w:val="24"/>
          <w:szCs w:val="24"/>
          <w:lang w:val="zh-CN"/>
        </w:rPr>
        <w:t>。</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7"/>
        <w:numPr>
          <w:ilvl w:val="0"/>
          <w:numId w:val="11"/>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37"/>
        <w:numPr>
          <w:ilvl w:val="0"/>
          <w:numId w:val="12"/>
        </w:numPr>
        <w:ind w:hanging="567"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Sp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Gc6zRAAAACQEAAA8AAAAAAAAAAQAgAAAAIgAAAGRy&#10;cy9kb3ducmV2LnhtbFBLAQIUABQAAAAIAIdO4kA7C16t0wEAAKUDAAAOAAAAAAAAAAEAIAAAACAB&#10;AABkcnMvZTJvRG9jLnhtbFBLBQYAAAAABgAGAFkBAABl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Sp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Dxi3a7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DDYH2X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37"/>
        <w:adjustRightInd w:val="0"/>
        <w:snapToGrid w:val="0"/>
        <w:spacing w:line="300" w:lineRule="auto"/>
        <w:ind w:left="420" w:firstLine="0" w:firstLineChars="0"/>
        <w:rPr>
          <w:rFonts w:ascii="宋体" w:hAnsi="宋体"/>
          <w:b/>
          <w:sz w:val="24"/>
          <w:szCs w:val="24"/>
        </w:rPr>
      </w:pPr>
    </w:p>
    <w:p>
      <w:pPr>
        <w:pStyle w:val="37"/>
        <w:numPr>
          <w:ilvl w:val="0"/>
          <w:numId w:val="12"/>
        </w:numPr>
        <w:ind w:hanging="567" w:firstLineChars="0"/>
        <w:rPr>
          <w:rFonts w:ascii="宋体" w:hAnsi="宋体"/>
          <w:b/>
          <w:sz w:val="24"/>
          <w:szCs w:val="24"/>
        </w:rPr>
      </w:pP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2247695"/>
      <w:bookmarkStart w:id="8" w:name="_Toc278891592"/>
      <w:bookmarkStart w:id="9" w:name="_Toc494561939"/>
      <w:r>
        <w:rPr>
          <w:rFonts w:hint="eastAsia" w:cs="Times New Roman" w:asciiTheme="majorEastAsia" w:hAnsiTheme="majorEastAsia"/>
          <w:bCs w:val="0"/>
          <w:lang w:val="zh-CN"/>
        </w:rPr>
        <w:t>招标文件</w:t>
      </w:r>
      <w:bookmarkEnd w:id="6"/>
      <w:bookmarkEnd w:id="7"/>
      <w:bookmarkEnd w:id="8"/>
      <w:bookmarkEnd w:id="9"/>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4"/>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278891593"/>
      <w:bookmarkStart w:id="12" w:name="_Toc272247696"/>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6"/>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8"/>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8"/>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8"/>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9"/>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20"/>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投标人应在投标文件中提供交纳保证金的凭证。</w:t>
      </w:r>
      <w:r>
        <w:rPr>
          <w:rFonts w:hint="eastAsia" w:cs="Times New Roman" w:asciiTheme="minorEastAsia" w:hAnsiTheme="minorEastAsia"/>
          <w:b/>
          <w:sz w:val="24"/>
          <w:szCs w:val="24"/>
          <w:lang w:val="zh-CN"/>
        </w:rPr>
        <w:t>同时参加多个分包的投标人，保证金应按照各包保证金要求分别交纳。</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color w:val="FF0000"/>
          <w:sz w:val="24"/>
          <w:szCs w:val="24"/>
          <w:lang w:val="zh-CN"/>
        </w:rPr>
        <w:t>投标人应在投标文件递交截至时间前</w:t>
      </w:r>
      <w:r>
        <w:rPr>
          <w:rFonts w:hint="eastAsia" w:cs="Times New Roman" w:asciiTheme="minorEastAsia" w:hAnsiTheme="minorEastAsia"/>
          <w:sz w:val="24"/>
          <w:szCs w:val="24"/>
          <w:lang w:val="zh-CN"/>
        </w:rPr>
        <w:t>，按规定将投标保证金汇入</w:t>
      </w:r>
      <w:r>
        <w:rPr>
          <w:rFonts w:hint="eastAsia" w:cs="Times New Roman" w:asciiTheme="minorEastAsia" w:hAnsiTheme="minorEastAsia"/>
          <w:color w:val="FF0000"/>
          <w:sz w:val="24"/>
          <w:szCs w:val="24"/>
          <w:lang w:val="zh-CN"/>
        </w:rPr>
        <w:t>阳新县公共资源交易中心</w:t>
      </w:r>
      <w:r>
        <w:rPr>
          <w:rFonts w:hint="eastAsia" w:cs="Times New Roman" w:asciiTheme="minorEastAsia" w:hAnsiTheme="minorEastAsia"/>
          <w:sz w:val="24"/>
          <w:szCs w:val="24"/>
          <w:lang w:val="zh-CN"/>
        </w:rPr>
        <w:t>专用账户。投标保证金应在投标有效期截止日后的</w:t>
      </w:r>
      <w:r>
        <w:rPr>
          <w:rFonts w:hint="eastAsia" w:cs="Times New Roman" w:asciiTheme="minorEastAsia" w:hAnsiTheme="minorEastAsia"/>
          <w:b/>
          <w:sz w:val="24"/>
          <w:szCs w:val="24"/>
          <w:lang w:val="zh-CN"/>
        </w:rPr>
        <w:t>30</w:t>
      </w:r>
      <w:r>
        <w:rPr>
          <w:rFonts w:hint="eastAsia" w:cs="Times New Roman" w:asciiTheme="minorEastAsia" w:hAnsiTheme="minorEastAsia"/>
          <w:sz w:val="24"/>
          <w:szCs w:val="24"/>
          <w:lang w:val="zh-CN"/>
        </w:rPr>
        <w:t>天期限内有效。</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投标保证金应按以下方式递交：</w:t>
      </w:r>
    </w:p>
    <w:p>
      <w:pPr>
        <w:numPr>
          <w:ilvl w:val="0"/>
          <w:numId w:val="22"/>
        </w:numPr>
        <w:spacing w:line="360" w:lineRule="auto"/>
        <w:ind w:left="980" w:hanging="980"/>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应以电汇或网上银行方式汇入保证金账户，不得以个人名义、不得以现金方式交纳。</w:t>
      </w:r>
    </w:p>
    <w:p>
      <w:pPr>
        <w:numPr>
          <w:ilvl w:val="0"/>
          <w:numId w:val="22"/>
        </w:numPr>
        <w:spacing w:line="360" w:lineRule="auto"/>
        <w:ind w:left="980" w:hanging="980"/>
        <w:rPr>
          <w:rFonts w:cs="Times New Roman" w:asciiTheme="minorEastAsia" w:hAnsiTheme="minorEastAsia"/>
          <w:sz w:val="24"/>
          <w:szCs w:val="24"/>
          <w:lang w:val="zh-CN"/>
        </w:rPr>
      </w:pPr>
      <w:r>
        <w:rPr>
          <w:rFonts w:hint="eastAsia" w:cs="Times New Roman" w:asciiTheme="minorEastAsia" w:hAnsiTheme="minorEastAsia"/>
          <w:color w:val="FF0000"/>
          <w:sz w:val="24"/>
          <w:szCs w:val="24"/>
          <w:lang w:val="zh-CN"/>
        </w:rPr>
        <w:t>到账时间以阳新县公共资源交易中心账户时间为准</w:t>
      </w:r>
      <w:r>
        <w:rPr>
          <w:rFonts w:hint="eastAsia" w:cs="Times New Roman" w:asciiTheme="minorEastAsia" w:hAnsiTheme="minorEastAsia"/>
          <w:sz w:val="24"/>
          <w:szCs w:val="24"/>
          <w:lang w:val="zh-CN"/>
        </w:rPr>
        <w:t>。</w:t>
      </w:r>
    </w:p>
    <w:p>
      <w:pPr>
        <w:numPr>
          <w:ilvl w:val="0"/>
          <w:numId w:val="22"/>
        </w:numPr>
        <w:spacing w:line="360" w:lineRule="auto"/>
        <w:ind w:left="980" w:hanging="980"/>
        <w:rPr>
          <w:rFonts w:cs="Times New Roman" w:asciiTheme="minorEastAsia" w:hAnsiTheme="minorEastAsia"/>
          <w:sz w:val="24"/>
          <w:szCs w:val="24"/>
          <w:lang w:val="zh-CN"/>
        </w:rPr>
      </w:pPr>
      <w:r>
        <w:rPr>
          <w:rFonts w:hint="eastAsia" w:cs="Times New Roman" w:asciiTheme="minorEastAsia" w:hAnsiTheme="minorEastAsia"/>
          <w:sz w:val="24"/>
          <w:szCs w:val="24"/>
          <w:lang w:val="zh-CN"/>
        </w:rPr>
        <w:t>交款凭证备注中应说明项目编号及开标时间。</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未按招标文件要求递交投标保证金，或交纳保证金的账户名称与投标人名称不一致的按照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21"/>
        </w:numPr>
        <w:spacing w:line="360" w:lineRule="auto"/>
        <w:ind w:left="616" w:hanging="616"/>
        <w:rPr>
          <w:rFonts w:cs="Times New Roman" w:asciiTheme="minorEastAsia" w:hAnsiTheme="minorEastAsia"/>
          <w:sz w:val="24"/>
          <w:szCs w:val="24"/>
          <w:lang w:val="zh-CN"/>
        </w:rPr>
      </w:pP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将在自中标通知书发出之日起</w:t>
      </w:r>
      <w:r>
        <w:rPr>
          <w:rFonts w:hint="eastAsia" w:cs="Times New Roman" w:asciiTheme="minorEastAsia" w:hAnsiTheme="minorEastAsia"/>
          <w:b/>
          <w:sz w:val="24"/>
          <w:szCs w:val="24"/>
          <w:lang w:val="zh-CN"/>
        </w:rPr>
        <w:t>5</w:t>
      </w:r>
      <w:r>
        <w:rPr>
          <w:rFonts w:hint="eastAsia" w:cs="Times New Roman" w:asciiTheme="minorEastAsia" w:hAnsiTheme="minorEastAsia"/>
          <w:sz w:val="24"/>
          <w:szCs w:val="24"/>
          <w:lang w:val="zh-CN"/>
        </w:rPr>
        <w:t>个工作日内（如无质疑或投诉）不计利息原额退还未中标人的投标保证金；自政府采购合同签订之日起</w:t>
      </w:r>
      <w:r>
        <w:rPr>
          <w:rFonts w:hint="eastAsia" w:cs="Times New Roman" w:asciiTheme="minorEastAsia" w:hAnsiTheme="minorEastAsia"/>
          <w:b/>
          <w:sz w:val="24"/>
          <w:szCs w:val="24"/>
          <w:lang w:val="zh-CN"/>
        </w:rPr>
        <w:t>5</w:t>
      </w:r>
      <w:r>
        <w:rPr>
          <w:rFonts w:hint="eastAsia" w:cs="Times New Roman" w:asciiTheme="minorEastAsia" w:hAnsiTheme="minorEastAsia"/>
          <w:sz w:val="24"/>
          <w:szCs w:val="24"/>
          <w:lang w:val="zh-CN"/>
        </w:rPr>
        <w:t>个工作日内不计利息原额退还中标人的投标保证金。</w:t>
      </w:r>
    </w:p>
    <w:p>
      <w:pPr>
        <w:numPr>
          <w:ilvl w:val="0"/>
          <w:numId w:val="21"/>
        </w:numPr>
        <w:spacing w:line="360" w:lineRule="auto"/>
        <w:ind w:left="616" w:hanging="616"/>
        <w:rPr>
          <w:rFonts w:cs="Times New Roman" w:asciiTheme="minorEastAsia" w:hAnsiTheme="minorEastAsia"/>
          <w:sz w:val="24"/>
          <w:szCs w:val="24"/>
          <w:lang w:val="zh-CN"/>
        </w:rPr>
      </w:pPr>
      <w:r>
        <w:rPr>
          <w:rFonts w:cs="Helvetica" w:asciiTheme="minorEastAsia" w:hAnsiTheme="minorEastAsia"/>
          <w:kern w:val="0"/>
          <w:sz w:val="24"/>
          <w:szCs w:val="24"/>
          <w:lang w:val="zh-CN"/>
        </w:rPr>
        <w:t>投标人在投标截止时间前撤回已提交的投标文件的，</w:t>
      </w: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将在</w:t>
      </w:r>
      <w:r>
        <w:rPr>
          <w:rFonts w:cs="Helvetica" w:asciiTheme="minorEastAsia" w:hAnsiTheme="minorEastAsia"/>
          <w:kern w:val="0"/>
          <w:sz w:val="24"/>
          <w:szCs w:val="24"/>
          <w:lang w:val="zh-CN"/>
        </w:rPr>
        <w:t>自收到投标人书面撤回通知之日起5个工作日内，退还已收取的投标保证金，但因投标人自身原因导致无法及时退还的除外。</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投标保证金将直接退还至投标人交纳时的账户，不以现金方式退还。</w:t>
      </w:r>
    </w:p>
    <w:p>
      <w:pPr>
        <w:numPr>
          <w:ilvl w:val="0"/>
          <w:numId w:val="21"/>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投标人有下列情形之一的，其投标保证金不予退还：</w:t>
      </w:r>
    </w:p>
    <w:p>
      <w:pPr>
        <w:numPr>
          <w:ilvl w:val="0"/>
          <w:numId w:val="23"/>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在投标文件有效期内撤销投标文件的；</w:t>
      </w:r>
    </w:p>
    <w:p>
      <w:pPr>
        <w:numPr>
          <w:ilvl w:val="0"/>
          <w:numId w:val="23"/>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在投标文件中提供虚假材料的；</w:t>
      </w:r>
    </w:p>
    <w:p>
      <w:pPr>
        <w:numPr>
          <w:ilvl w:val="0"/>
          <w:numId w:val="23"/>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中标后无正当理由拒绝签订政府采购合同的；</w:t>
      </w:r>
    </w:p>
    <w:p>
      <w:pPr>
        <w:numPr>
          <w:ilvl w:val="0"/>
          <w:numId w:val="23"/>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串通投标、恶意串通的；</w:t>
      </w:r>
    </w:p>
    <w:p>
      <w:pPr>
        <w:numPr>
          <w:ilvl w:val="0"/>
          <w:numId w:val="23"/>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法律、法规和招标文件中规定的其它不予退还投标保证金的情形。</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6"/>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7"/>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7"/>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7"/>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6"/>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6"/>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FF0000"/>
          <w:kern w:val="0"/>
          <w:sz w:val="24"/>
          <w:szCs w:val="24"/>
          <w:lang w:val="zh-CN"/>
        </w:rPr>
        <w:t>采购代理机构</w:t>
      </w:r>
      <w:r>
        <w:rPr>
          <w:rFonts w:hint="eastAsia" w:ascii="Helvetica" w:hAnsi="Helvetica" w:eastAsia="宋体" w:cs="Helvetica"/>
          <w:kern w:val="0"/>
          <w:sz w:val="24"/>
          <w:szCs w:val="24"/>
          <w:lang w:val="zh-CN"/>
        </w:rPr>
        <w:t>规定的投标地点。</w:t>
      </w:r>
    </w:p>
    <w:p>
      <w:pPr>
        <w:numPr>
          <w:ilvl w:val="0"/>
          <w:numId w:val="28"/>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color w:val="FF0000"/>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FF0000"/>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9"/>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9"/>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9"/>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4" w:name="_Toc278891595"/>
      <w:bookmarkStart w:id="15" w:name="_Toc272247698"/>
      <w:bookmarkStart w:id="16" w:name="_Toc495861523"/>
      <w:bookmarkStart w:id="17" w:name="_Toc494561942"/>
      <w:r>
        <w:rPr>
          <w:rFonts w:hint="eastAsia" w:cs="Times New Roman" w:asciiTheme="majorEastAsia" w:hAnsiTheme="majorEastAsia"/>
          <w:bCs w:val="0"/>
          <w:lang w:val="zh-CN"/>
        </w:rPr>
        <w:t>开标与评标</w:t>
      </w:r>
      <w:bookmarkEnd w:id="14"/>
      <w:bookmarkEnd w:id="15"/>
      <w:bookmarkEnd w:id="16"/>
      <w:bookmarkEnd w:id="1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30"/>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30"/>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FF0000"/>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30"/>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color w:val="FF0000"/>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color w:val="FF0000"/>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31"/>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31"/>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32"/>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32"/>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32"/>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33"/>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33"/>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34"/>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5"/>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5"/>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5"/>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5"/>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5"/>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34"/>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6"/>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6"/>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6"/>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6"/>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6"/>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8"/>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8"/>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7"/>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7"/>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9"/>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9"/>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9"/>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9"/>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9"/>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9"/>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7"/>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40"/>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40"/>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40"/>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40"/>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color w:val="FF0000"/>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41"/>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41"/>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41"/>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2" w:name="_Toc495861530"/>
      <w:bookmarkStart w:id="33" w:name="_Toc272247701"/>
      <w:bookmarkStart w:id="34" w:name="_Toc278891598"/>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6" w:name="_Toc495861531"/>
      <w:bookmarkStart w:id="37" w:name="_Toc278891599"/>
      <w:bookmarkStart w:id="38" w:name="_Toc494561950"/>
      <w:bookmarkStart w:id="39" w:name="_Toc272247702"/>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7"/>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pStyle w:val="3"/>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41" w:name="_Toc495861533"/>
      <w:bookmarkStart w:id="42" w:name="_Toc494561952"/>
      <w:bookmarkStart w:id="43" w:name="_Toc338065593"/>
      <w:bookmarkStart w:id="44" w:name="_Toc339378679"/>
      <w:r>
        <w:rPr>
          <w:rFonts w:hint="eastAsia" w:cs="Times New Roman" w:asciiTheme="majorEastAsia" w:hAnsiTheme="majorEastAsia"/>
          <w:bCs w:val="0"/>
          <w:sz w:val="30"/>
          <w:szCs w:val="30"/>
          <w:lang w:val="zh-CN"/>
        </w:rPr>
        <w:t>采购清单</w:t>
      </w:r>
      <w:bookmarkEnd w:id="41"/>
      <w:bookmarkEnd w:id="42"/>
      <w:r>
        <w:rPr>
          <w:rFonts w:hint="eastAsia" w:cs="Times New Roman" w:asciiTheme="majorEastAsia" w:hAnsiTheme="majorEastAsia"/>
          <w:bCs w:val="0"/>
          <w:sz w:val="28"/>
          <w:szCs w:val="28"/>
          <w:lang w:val="zh-CN"/>
        </w:rPr>
        <w:t>（核心产品：</w:t>
      </w:r>
      <w:r>
        <w:rPr>
          <w:rFonts w:hint="eastAsia"/>
          <w:sz w:val="24"/>
          <w:szCs w:val="24"/>
          <w:lang w:val="zh-CN"/>
        </w:rPr>
        <w:t>86 寸 8M 医用会诊显示系统</w:t>
      </w:r>
      <w:r>
        <w:rPr>
          <w:rFonts w:hint="eastAsia" w:cs="Times New Roman" w:asciiTheme="majorEastAsia" w:hAnsiTheme="majorEastAsia"/>
          <w:bCs w:val="0"/>
          <w:sz w:val="28"/>
          <w:szCs w:val="28"/>
          <w:lang w:val="zh-CN"/>
        </w:rPr>
        <w:t>）</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44"/>
        <w:gridCol w:w="850"/>
        <w:gridCol w:w="851"/>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b/>
                <w:sz w:val="24"/>
                <w:szCs w:val="24"/>
                <w:lang w:val="zh-CN"/>
              </w:rPr>
            </w:pPr>
            <w:r>
              <w:rPr>
                <w:rFonts w:hint="eastAsia"/>
                <w:b/>
                <w:sz w:val="24"/>
                <w:szCs w:val="24"/>
                <w:lang w:val="zh-CN"/>
              </w:rPr>
              <w:t>序 号</w:t>
            </w:r>
          </w:p>
        </w:tc>
        <w:tc>
          <w:tcPr>
            <w:tcW w:w="3544" w:type="dxa"/>
            <w:vAlign w:val="center"/>
          </w:tcPr>
          <w:p>
            <w:pPr>
              <w:jc w:val="center"/>
              <w:rPr>
                <w:b/>
                <w:sz w:val="24"/>
                <w:szCs w:val="24"/>
                <w:lang w:val="zh-CN"/>
              </w:rPr>
            </w:pPr>
            <w:r>
              <w:rPr>
                <w:rFonts w:hint="eastAsia"/>
                <w:b/>
                <w:sz w:val="24"/>
                <w:szCs w:val="24"/>
                <w:lang w:val="zh-CN"/>
              </w:rPr>
              <w:t>名 称</w:t>
            </w:r>
          </w:p>
        </w:tc>
        <w:tc>
          <w:tcPr>
            <w:tcW w:w="850" w:type="dxa"/>
            <w:vAlign w:val="center"/>
          </w:tcPr>
          <w:p>
            <w:pPr>
              <w:jc w:val="center"/>
              <w:rPr>
                <w:b/>
                <w:sz w:val="24"/>
                <w:szCs w:val="24"/>
                <w:lang w:val="zh-CN"/>
              </w:rPr>
            </w:pPr>
            <w:r>
              <w:rPr>
                <w:rFonts w:hint="eastAsia"/>
                <w:b/>
                <w:sz w:val="24"/>
                <w:szCs w:val="24"/>
                <w:lang w:val="zh-CN"/>
              </w:rPr>
              <w:t>数 量</w:t>
            </w:r>
          </w:p>
        </w:tc>
        <w:tc>
          <w:tcPr>
            <w:tcW w:w="851" w:type="dxa"/>
            <w:vAlign w:val="center"/>
          </w:tcPr>
          <w:p>
            <w:pPr>
              <w:jc w:val="center"/>
              <w:rPr>
                <w:b/>
                <w:sz w:val="24"/>
                <w:szCs w:val="24"/>
                <w:lang w:val="zh-CN"/>
              </w:rPr>
            </w:pPr>
            <w:r>
              <w:rPr>
                <w:rFonts w:hint="eastAsia"/>
                <w:b/>
                <w:sz w:val="24"/>
                <w:szCs w:val="24"/>
                <w:lang w:val="zh-CN"/>
              </w:rPr>
              <w:t>单 位</w:t>
            </w:r>
          </w:p>
        </w:tc>
        <w:tc>
          <w:tcPr>
            <w:tcW w:w="3685" w:type="dxa"/>
            <w:vAlign w:val="center"/>
          </w:tcPr>
          <w:p>
            <w:pPr>
              <w:jc w:val="center"/>
              <w:rPr>
                <w:b/>
                <w:sz w:val="24"/>
                <w:szCs w:val="24"/>
                <w:lang w:val="zh-CN"/>
              </w:rPr>
            </w:pPr>
            <w:r>
              <w:rPr>
                <w:rFonts w:hint="eastAsia"/>
                <w:b/>
                <w:sz w:val="24"/>
                <w:szCs w:val="24"/>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w:t>
            </w:r>
          </w:p>
        </w:tc>
        <w:tc>
          <w:tcPr>
            <w:tcW w:w="3544" w:type="dxa"/>
            <w:vAlign w:val="center"/>
          </w:tcPr>
          <w:p>
            <w:pPr>
              <w:jc w:val="center"/>
              <w:rPr>
                <w:sz w:val="24"/>
                <w:szCs w:val="24"/>
                <w:lang w:val="zh-CN"/>
              </w:rPr>
            </w:pPr>
            <w:r>
              <w:rPr>
                <w:rFonts w:hint="eastAsia"/>
                <w:sz w:val="24"/>
                <w:szCs w:val="24"/>
                <w:lang w:val="zh-CN"/>
              </w:rPr>
              <w:t>文档管理系统</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2</w:t>
            </w:r>
          </w:p>
        </w:tc>
        <w:tc>
          <w:tcPr>
            <w:tcW w:w="3544" w:type="dxa"/>
            <w:vAlign w:val="center"/>
          </w:tcPr>
          <w:p>
            <w:pPr>
              <w:jc w:val="center"/>
              <w:rPr>
                <w:sz w:val="24"/>
                <w:szCs w:val="24"/>
                <w:lang w:val="zh-CN"/>
              </w:rPr>
            </w:pPr>
            <w:r>
              <w:rPr>
                <w:rFonts w:hint="eastAsia"/>
                <w:sz w:val="24"/>
                <w:szCs w:val="24"/>
                <w:lang w:val="zh-CN"/>
              </w:rPr>
              <w:t>影像中心医学影像管理系统</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3</w:t>
            </w:r>
          </w:p>
        </w:tc>
        <w:tc>
          <w:tcPr>
            <w:tcW w:w="3544" w:type="dxa"/>
            <w:vAlign w:val="center"/>
          </w:tcPr>
          <w:p>
            <w:pPr>
              <w:jc w:val="center"/>
              <w:rPr>
                <w:sz w:val="24"/>
                <w:szCs w:val="24"/>
                <w:lang w:val="zh-CN"/>
              </w:rPr>
            </w:pPr>
            <w:r>
              <w:rPr>
                <w:rFonts w:hint="eastAsia"/>
                <w:sz w:val="24"/>
                <w:szCs w:val="24"/>
                <w:lang w:val="zh-CN"/>
              </w:rPr>
              <w:t>智能电源管理终端</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个</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4</w:t>
            </w:r>
          </w:p>
        </w:tc>
        <w:tc>
          <w:tcPr>
            <w:tcW w:w="3544" w:type="dxa"/>
            <w:vAlign w:val="center"/>
          </w:tcPr>
          <w:p>
            <w:pPr>
              <w:jc w:val="center"/>
              <w:rPr>
                <w:sz w:val="24"/>
                <w:szCs w:val="24"/>
                <w:lang w:val="zh-CN"/>
              </w:rPr>
            </w:pPr>
            <w:r>
              <w:rPr>
                <w:rFonts w:hint="eastAsia"/>
                <w:sz w:val="24"/>
                <w:szCs w:val="24"/>
                <w:lang w:val="zh-CN"/>
              </w:rPr>
              <w:t>无线投屏控制系统</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r>
              <w:rPr>
                <w:rFonts w:hint="eastAsia"/>
                <w:sz w:val="24"/>
                <w:szCs w:val="24"/>
                <w:lang w:val="zh-CN"/>
              </w:rPr>
              <w:t>含 2 个发射器，1 个中央控制器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5</w:t>
            </w:r>
          </w:p>
        </w:tc>
        <w:tc>
          <w:tcPr>
            <w:tcW w:w="3544" w:type="dxa"/>
            <w:vAlign w:val="center"/>
          </w:tcPr>
          <w:p>
            <w:pPr>
              <w:jc w:val="center"/>
              <w:rPr>
                <w:sz w:val="24"/>
                <w:szCs w:val="24"/>
                <w:lang w:val="zh-CN"/>
              </w:rPr>
            </w:pPr>
            <w:r>
              <w:rPr>
                <w:rFonts w:hint="eastAsia"/>
                <w:sz w:val="24"/>
                <w:szCs w:val="24"/>
                <w:lang w:val="zh-CN"/>
              </w:rPr>
              <w:t>胶片投屏控制系统</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6</w:t>
            </w:r>
          </w:p>
        </w:tc>
        <w:tc>
          <w:tcPr>
            <w:tcW w:w="3544" w:type="dxa"/>
            <w:vAlign w:val="center"/>
          </w:tcPr>
          <w:p>
            <w:pPr>
              <w:jc w:val="center"/>
              <w:rPr>
                <w:sz w:val="24"/>
                <w:szCs w:val="24"/>
                <w:lang w:val="zh-CN"/>
              </w:rPr>
            </w:pPr>
            <w:r>
              <w:rPr>
                <w:rFonts w:hint="eastAsia"/>
                <w:sz w:val="24"/>
                <w:szCs w:val="24"/>
                <w:lang w:val="zh-CN"/>
              </w:rPr>
              <w:t>超高清影像服务器系统</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7</w:t>
            </w:r>
          </w:p>
        </w:tc>
        <w:tc>
          <w:tcPr>
            <w:tcW w:w="3544" w:type="dxa"/>
            <w:vAlign w:val="center"/>
          </w:tcPr>
          <w:p>
            <w:pPr>
              <w:jc w:val="center"/>
              <w:rPr>
                <w:sz w:val="24"/>
                <w:szCs w:val="24"/>
                <w:lang w:val="zh-CN"/>
              </w:rPr>
            </w:pPr>
            <w:r>
              <w:rPr>
                <w:rFonts w:hint="eastAsia"/>
                <w:sz w:val="24"/>
                <w:szCs w:val="24"/>
                <w:lang w:val="zh-CN"/>
              </w:rPr>
              <w:t>音响</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6</w:t>
            </w:r>
          </w:p>
        </w:tc>
        <w:tc>
          <w:tcPr>
            <w:tcW w:w="851" w:type="dxa"/>
            <w:vAlign w:val="center"/>
          </w:tcPr>
          <w:p>
            <w:pPr>
              <w:jc w:val="center"/>
              <w:rPr>
                <w:sz w:val="24"/>
                <w:szCs w:val="24"/>
                <w:lang w:val="zh-CN"/>
              </w:rPr>
            </w:pPr>
            <w:r>
              <w:rPr>
                <w:rFonts w:hint="eastAsia"/>
                <w:sz w:val="24"/>
                <w:szCs w:val="24"/>
                <w:lang w:val="zh-CN"/>
              </w:rPr>
              <w:t>个</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8</w:t>
            </w:r>
          </w:p>
        </w:tc>
        <w:tc>
          <w:tcPr>
            <w:tcW w:w="3544" w:type="dxa"/>
            <w:vAlign w:val="center"/>
          </w:tcPr>
          <w:p>
            <w:pPr>
              <w:jc w:val="center"/>
              <w:rPr>
                <w:sz w:val="24"/>
                <w:szCs w:val="24"/>
                <w:lang w:val="zh-CN"/>
              </w:rPr>
            </w:pPr>
            <w:r>
              <w:rPr>
                <w:rFonts w:hint="eastAsia"/>
                <w:sz w:val="24"/>
                <w:szCs w:val="24"/>
                <w:lang w:val="zh-CN"/>
              </w:rPr>
              <w:t>一拖二无线手持话筒</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个</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9</w:t>
            </w:r>
          </w:p>
        </w:tc>
        <w:tc>
          <w:tcPr>
            <w:tcW w:w="3544" w:type="dxa"/>
            <w:vAlign w:val="center"/>
          </w:tcPr>
          <w:p>
            <w:pPr>
              <w:jc w:val="center"/>
              <w:rPr>
                <w:sz w:val="24"/>
                <w:szCs w:val="24"/>
                <w:lang w:val="zh-CN"/>
              </w:rPr>
            </w:pPr>
            <w:r>
              <w:rPr>
                <w:rFonts w:hint="eastAsia"/>
                <w:sz w:val="24"/>
                <w:szCs w:val="24"/>
                <w:lang w:val="zh-CN"/>
              </w:rPr>
              <w:t>智能环境控制系统</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r>
              <w:rPr>
                <w:rFonts w:hint="eastAsia"/>
                <w:sz w:val="24"/>
                <w:szCs w:val="24"/>
                <w:lang w:val="zh-CN"/>
              </w:rPr>
              <w:t>含墙面控制器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10</w:t>
            </w:r>
          </w:p>
        </w:tc>
        <w:tc>
          <w:tcPr>
            <w:tcW w:w="3544" w:type="dxa"/>
            <w:vAlign w:val="center"/>
          </w:tcPr>
          <w:p>
            <w:pPr>
              <w:jc w:val="center"/>
              <w:rPr>
                <w:sz w:val="24"/>
                <w:szCs w:val="24"/>
                <w:lang w:val="zh-CN"/>
              </w:rPr>
            </w:pPr>
            <w:r>
              <w:rPr>
                <w:rFonts w:hint="eastAsia"/>
                <w:sz w:val="24"/>
                <w:szCs w:val="24"/>
                <w:lang w:val="zh-CN"/>
              </w:rPr>
              <w:t>移动控制终端</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2</w:t>
            </w:r>
          </w:p>
        </w:tc>
        <w:tc>
          <w:tcPr>
            <w:tcW w:w="851" w:type="dxa"/>
            <w:vAlign w:val="center"/>
          </w:tcPr>
          <w:p>
            <w:pPr>
              <w:jc w:val="center"/>
              <w:rPr>
                <w:sz w:val="24"/>
                <w:szCs w:val="24"/>
                <w:lang w:val="zh-CN"/>
              </w:rPr>
            </w:pPr>
            <w:r>
              <w:rPr>
                <w:rFonts w:hint="eastAsia"/>
                <w:sz w:val="24"/>
                <w:szCs w:val="24"/>
                <w:lang w:val="zh-CN"/>
              </w:rPr>
              <w:t>个</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11</w:t>
            </w:r>
          </w:p>
        </w:tc>
        <w:tc>
          <w:tcPr>
            <w:tcW w:w="3544" w:type="dxa"/>
            <w:vAlign w:val="center"/>
          </w:tcPr>
          <w:p>
            <w:pPr>
              <w:jc w:val="center"/>
              <w:rPr>
                <w:sz w:val="24"/>
                <w:szCs w:val="24"/>
                <w:lang w:val="zh-CN"/>
              </w:rPr>
            </w:pPr>
            <w:r>
              <w:rPr>
                <w:rFonts w:hint="eastAsia"/>
                <w:sz w:val="24"/>
                <w:szCs w:val="24"/>
                <w:lang w:val="zh-CN"/>
              </w:rPr>
              <w:t>一体化阅片专用工位</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16</w:t>
            </w:r>
          </w:p>
        </w:tc>
        <w:tc>
          <w:tcPr>
            <w:tcW w:w="851" w:type="dxa"/>
            <w:vAlign w:val="center"/>
          </w:tcPr>
          <w:p>
            <w:pPr>
              <w:jc w:val="center"/>
              <w:rPr>
                <w:sz w:val="24"/>
                <w:szCs w:val="24"/>
                <w:lang w:val="zh-CN"/>
              </w:rPr>
            </w:pPr>
            <w:r>
              <w:rPr>
                <w:rFonts w:hint="eastAsia"/>
                <w:sz w:val="24"/>
                <w:szCs w:val="24"/>
                <w:lang w:val="zh-CN"/>
              </w:rPr>
              <w:t>位</w:t>
            </w:r>
          </w:p>
        </w:tc>
        <w:tc>
          <w:tcPr>
            <w:tcW w:w="3685" w:type="dxa"/>
            <w:vAlign w:val="center"/>
          </w:tcPr>
          <w:p>
            <w:pPr>
              <w:jc w:val="center"/>
              <w:rPr>
                <w:sz w:val="24"/>
                <w:szCs w:val="24"/>
                <w:lang w:val="zh-CN"/>
              </w:rPr>
            </w:pPr>
            <w:r>
              <w:rPr>
                <w:rFonts w:hint="eastAsia"/>
                <w:sz w:val="24"/>
                <w:szCs w:val="24"/>
                <w:lang w:val="zh-CN"/>
              </w:rPr>
              <w:t>含人体工学椅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12</w:t>
            </w:r>
          </w:p>
        </w:tc>
        <w:tc>
          <w:tcPr>
            <w:tcW w:w="3544" w:type="dxa"/>
            <w:vAlign w:val="center"/>
          </w:tcPr>
          <w:p>
            <w:pPr>
              <w:jc w:val="center"/>
              <w:rPr>
                <w:sz w:val="24"/>
                <w:szCs w:val="24"/>
                <w:lang w:val="zh-CN"/>
              </w:rPr>
            </w:pPr>
            <w:r>
              <w:rPr>
                <w:rFonts w:hint="eastAsia"/>
                <w:sz w:val="24"/>
                <w:szCs w:val="24"/>
                <w:lang w:val="zh-CN"/>
              </w:rPr>
              <w:t>86 寸 8M 医用会诊显示系统</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13</w:t>
            </w:r>
          </w:p>
        </w:tc>
        <w:tc>
          <w:tcPr>
            <w:tcW w:w="3544" w:type="dxa"/>
            <w:vAlign w:val="center"/>
          </w:tcPr>
          <w:p>
            <w:pPr>
              <w:jc w:val="center"/>
              <w:rPr>
                <w:sz w:val="24"/>
                <w:szCs w:val="24"/>
                <w:lang w:val="zh-CN"/>
              </w:rPr>
            </w:pPr>
            <w:r>
              <w:rPr>
                <w:rFonts w:hint="eastAsia"/>
                <w:sz w:val="24"/>
                <w:szCs w:val="24"/>
                <w:lang w:val="zh-CN"/>
              </w:rPr>
              <w:t>6M 彩色诊断显示器</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台</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14</w:t>
            </w:r>
          </w:p>
        </w:tc>
        <w:tc>
          <w:tcPr>
            <w:tcW w:w="3544" w:type="dxa"/>
            <w:vAlign w:val="center"/>
          </w:tcPr>
          <w:p>
            <w:pPr>
              <w:jc w:val="center"/>
              <w:rPr>
                <w:sz w:val="24"/>
                <w:szCs w:val="24"/>
                <w:lang w:val="zh-CN"/>
              </w:rPr>
            </w:pPr>
            <w:r>
              <w:rPr>
                <w:rFonts w:hint="eastAsia"/>
                <w:sz w:val="24"/>
                <w:szCs w:val="24"/>
                <w:lang w:val="zh-CN"/>
              </w:rPr>
              <w:t>8M 彩色诊断显示器</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3</w:t>
            </w:r>
          </w:p>
        </w:tc>
        <w:tc>
          <w:tcPr>
            <w:tcW w:w="851" w:type="dxa"/>
            <w:vAlign w:val="center"/>
          </w:tcPr>
          <w:p>
            <w:pPr>
              <w:jc w:val="center"/>
              <w:rPr>
                <w:sz w:val="24"/>
                <w:szCs w:val="24"/>
                <w:lang w:val="zh-CN"/>
              </w:rPr>
            </w:pPr>
            <w:r>
              <w:rPr>
                <w:rFonts w:hint="eastAsia"/>
                <w:sz w:val="24"/>
                <w:szCs w:val="24"/>
                <w:lang w:val="zh-CN"/>
              </w:rPr>
              <w:t>台</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15</w:t>
            </w:r>
          </w:p>
        </w:tc>
        <w:tc>
          <w:tcPr>
            <w:tcW w:w="3544" w:type="dxa"/>
            <w:vAlign w:val="center"/>
          </w:tcPr>
          <w:p>
            <w:pPr>
              <w:jc w:val="center"/>
              <w:rPr>
                <w:sz w:val="24"/>
                <w:szCs w:val="24"/>
                <w:lang w:val="zh-CN"/>
              </w:rPr>
            </w:pPr>
            <w:r>
              <w:rPr>
                <w:rFonts w:hint="eastAsia"/>
                <w:sz w:val="24"/>
                <w:szCs w:val="24"/>
                <w:lang w:val="zh-CN"/>
              </w:rPr>
              <w:t>3M 灰阶诊断显示器</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8</w:t>
            </w:r>
          </w:p>
        </w:tc>
        <w:tc>
          <w:tcPr>
            <w:tcW w:w="851" w:type="dxa"/>
            <w:vAlign w:val="center"/>
          </w:tcPr>
          <w:p>
            <w:pPr>
              <w:jc w:val="center"/>
              <w:rPr>
                <w:sz w:val="24"/>
                <w:szCs w:val="24"/>
                <w:lang w:val="zh-CN"/>
              </w:rPr>
            </w:pPr>
            <w:r>
              <w:rPr>
                <w:rFonts w:hint="eastAsia"/>
                <w:sz w:val="24"/>
                <w:szCs w:val="24"/>
                <w:lang w:val="zh-CN"/>
              </w:rPr>
              <w:t>台</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16</w:t>
            </w:r>
          </w:p>
        </w:tc>
        <w:tc>
          <w:tcPr>
            <w:tcW w:w="3544" w:type="dxa"/>
            <w:vAlign w:val="center"/>
          </w:tcPr>
          <w:p>
            <w:pPr>
              <w:jc w:val="center"/>
              <w:rPr>
                <w:sz w:val="24"/>
                <w:szCs w:val="24"/>
                <w:lang w:val="zh-CN"/>
              </w:rPr>
            </w:pPr>
            <w:r>
              <w:rPr>
                <w:rFonts w:hint="eastAsia"/>
                <w:sz w:val="24"/>
                <w:szCs w:val="24"/>
                <w:lang w:val="zh-CN"/>
              </w:rPr>
              <w:t>5M 灰阶诊断显示器</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2</w:t>
            </w:r>
          </w:p>
        </w:tc>
        <w:tc>
          <w:tcPr>
            <w:tcW w:w="851" w:type="dxa"/>
            <w:vAlign w:val="center"/>
          </w:tcPr>
          <w:p>
            <w:pPr>
              <w:jc w:val="center"/>
              <w:rPr>
                <w:sz w:val="24"/>
                <w:szCs w:val="24"/>
                <w:lang w:val="zh-CN"/>
              </w:rPr>
            </w:pPr>
            <w:r>
              <w:rPr>
                <w:rFonts w:hint="eastAsia"/>
                <w:sz w:val="24"/>
                <w:szCs w:val="24"/>
                <w:lang w:val="zh-CN"/>
              </w:rPr>
              <w:t>台</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17</w:t>
            </w:r>
          </w:p>
        </w:tc>
        <w:tc>
          <w:tcPr>
            <w:tcW w:w="3544" w:type="dxa"/>
            <w:vAlign w:val="center"/>
          </w:tcPr>
          <w:p>
            <w:pPr>
              <w:jc w:val="center"/>
              <w:rPr>
                <w:sz w:val="24"/>
                <w:szCs w:val="24"/>
                <w:lang w:val="zh-CN"/>
              </w:rPr>
            </w:pPr>
            <w:r>
              <w:rPr>
                <w:rFonts w:hint="eastAsia"/>
                <w:sz w:val="24"/>
                <w:szCs w:val="24"/>
                <w:lang w:val="zh-CN"/>
              </w:rPr>
              <w:t>台式机电脑</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16</w:t>
            </w:r>
          </w:p>
        </w:tc>
        <w:tc>
          <w:tcPr>
            <w:tcW w:w="851" w:type="dxa"/>
            <w:vAlign w:val="center"/>
          </w:tcPr>
          <w:p>
            <w:pPr>
              <w:jc w:val="center"/>
              <w:rPr>
                <w:sz w:val="24"/>
                <w:szCs w:val="24"/>
                <w:lang w:val="zh-CN"/>
              </w:rPr>
            </w:pPr>
            <w:r>
              <w:rPr>
                <w:rFonts w:hint="eastAsia"/>
                <w:sz w:val="24"/>
                <w:szCs w:val="24"/>
                <w:lang w:val="zh-CN"/>
              </w:rPr>
              <w:t>台</w:t>
            </w:r>
          </w:p>
        </w:tc>
        <w:tc>
          <w:tcPr>
            <w:tcW w:w="3685"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b/>
                <w:sz w:val="24"/>
                <w:szCs w:val="24"/>
                <w:lang w:val="zh-CN"/>
              </w:rPr>
            </w:pPr>
            <w:r>
              <w:rPr>
                <w:rFonts w:hint="eastAsia" w:asciiTheme="minorEastAsia" w:hAnsiTheme="minorEastAsia"/>
                <w:b/>
                <w:sz w:val="24"/>
                <w:szCs w:val="24"/>
                <w:lang w:val="zh-CN"/>
              </w:rPr>
              <w:t>18</w:t>
            </w:r>
          </w:p>
        </w:tc>
        <w:tc>
          <w:tcPr>
            <w:tcW w:w="3544" w:type="dxa"/>
            <w:vAlign w:val="center"/>
          </w:tcPr>
          <w:p>
            <w:pPr>
              <w:jc w:val="center"/>
              <w:rPr>
                <w:sz w:val="24"/>
                <w:szCs w:val="24"/>
                <w:lang w:val="zh-CN"/>
              </w:rPr>
            </w:pPr>
            <w:r>
              <w:rPr>
                <w:rFonts w:hint="eastAsia"/>
                <w:sz w:val="24"/>
                <w:szCs w:val="24"/>
                <w:lang w:val="zh-CN"/>
              </w:rPr>
              <w:t>满足系统运行的配套设备</w:t>
            </w:r>
          </w:p>
        </w:tc>
        <w:tc>
          <w:tcPr>
            <w:tcW w:w="850" w:type="dxa"/>
            <w:vAlign w:val="center"/>
          </w:tcPr>
          <w:p>
            <w:pPr>
              <w:jc w:val="center"/>
              <w:rPr>
                <w:rFonts w:asciiTheme="minorEastAsia" w:hAnsiTheme="minorEastAsia"/>
                <w:sz w:val="24"/>
                <w:szCs w:val="24"/>
                <w:lang w:val="zh-CN"/>
              </w:rPr>
            </w:pPr>
            <w:r>
              <w:rPr>
                <w:rFonts w:hint="eastAsia" w:asciiTheme="minorEastAsia" w:hAnsiTheme="minorEastAsia"/>
                <w:sz w:val="24"/>
                <w:szCs w:val="24"/>
                <w:lang w:val="zh-CN"/>
              </w:rPr>
              <w:t>1</w:t>
            </w:r>
          </w:p>
        </w:tc>
        <w:tc>
          <w:tcPr>
            <w:tcW w:w="851" w:type="dxa"/>
            <w:vAlign w:val="center"/>
          </w:tcPr>
          <w:p>
            <w:pPr>
              <w:jc w:val="center"/>
              <w:rPr>
                <w:sz w:val="24"/>
                <w:szCs w:val="24"/>
                <w:lang w:val="zh-CN"/>
              </w:rPr>
            </w:pPr>
            <w:r>
              <w:rPr>
                <w:rFonts w:hint="eastAsia"/>
                <w:sz w:val="24"/>
                <w:szCs w:val="24"/>
                <w:lang w:val="zh-CN"/>
              </w:rPr>
              <w:t>套</w:t>
            </w:r>
          </w:p>
        </w:tc>
        <w:tc>
          <w:tcPr>
            <w:tcW w:w="3685" w:type="dxa"/>
            <w:vAlign w:val="center"/>
          </w:tcPr>
          <w:p>
            <w:pPr>
              <w:jc w:val="center"/>
              <w:rPr>
                <w:sz w:val="24"/>
                <w:szCs w:val="24"/>
                <w:lang w:val="zh-CN"/>
              </w:rPr>
            </w:pPr>
          </w:p>
        </w:tc>
      </w:tr>
    </w:tbl>
    <w:p>
      <w:pPr>
        <w:rPr>
          <w:lang w:val="zh-CN"/>
        </w:rPr>
      </w:pPr>
    </w:p>
    <w:bookmarkEnd w:id="43"/>
    <w:bookmarkEnd w:id="44"/>
    <w:p>
      <w:pPr>
        <w:pStyle w:val="3"/>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45" w:name="_Toc338065594"/>
      <w:bookmarkStart w:id="46" w:name="_Toc339378680"/>
      <w:r>
        <w:rPr>
          <w:rFonts w:hint="eastAsia" w:cs="Times New Roman" w:asciiTheme="majorEastAsia" w:hAnsiTheme="majorEastAsia"/>
          <w:bCs w:val="0"/>
          <w:sz w:val="30"/>
          <w:szCs w:val="30"/>
          <w:lang w:val="zh-CN"/>
        </w:rPr>
        <w:t>建设目标</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建立先进的医院信息应用平台，实现临床信息系统、医院管理信息系统、PACS 系统、LIS 系统、HRP 资源计划管理系统、EMR 电子病历系统、远程医学影像系统、一体化阅片系统等各系统之间的集成与融合，信息共享与智能化应用。同时满足区域信息化业务协同、数据互联互通，奠定以阳新县人民医院为龙头的县域医共体的信息化基础。</w:t>
      </w:r>
    </w:p>
    <w:p>
      <w:pPr>
        <w:spacing w:line="360" w:lineRule="auto"/>
        <w:ind w:firstLine="480" w:firstLineChars="200"/>
        <w:rPr>
          <w:rFonts w:asciiTheme="minorEastAsia" w:hAnsiTheme="minorEastAsia"/>
          <w:sz w:val="24"/>
          <w:szCs w:val="24"/>
          <w:lang w:val="zh-CN"/>
        </w:rPr>
      </w:pPr>
    </w:p>
    <w:bookmarkEnd w:id="45"/>
    <w:bookmarkEnd w:id="46"/>
    <w:p>
      <w:pPr>
        <w:pStyle w:val="3"/>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47" w:name="_Toc495861536"/>
      <w:bookmarkStart w:id="48" w:name="_Toc494561955"/>
      <w:r>
        <w:rPr>
          <w:rFonts w:hint="eastAsia" w:cs="Times New Roman" w:asciiTheme="majorEastAsia" w:hAnsiTheme="majorEastAsia"/>
          <w:bCs w:val="0"/>
          <w:sz w:val="30"/>
          <w:szCs w:val="30"/>
          <w:lang w:val="zh-CN"/>
        </w:rPr>
        <w:t>技术、服务要求</w:t>
      </w:r>
      <w:bookmarkEnd w:id="47"/>
      <w:bookmarkEnd w:id="48"/>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文档管理系统</w:t>
      </w:r>
    </w:p>
    <w:p>
      <w:pPr>
        <w:pStyle w:val="37"/>
        <w:numPr>
          <w:ilvl w:val="0"/>
          <w:numId w:val="45"/>
        </w:numPr>
        <w:tabs>
          <w:tab w:val="left" w:pos="851"/>
        </w:tabs>
        <w:spacing w:line="360" w:lineRule="auto"/>
        <w:ind w:left="851" w:hanging="851" w:firstLineChars="0"/>
        <w:rPr>
          <w:sz w:val="24"/>
          <w:szCs w:val="24"/>
          <w:lang w:val="zh-CN"/>
        </w:rPr>
      </w:pPr>
      <w:r>
        <w:rPr>
          <w:rFonts w:hint="eastAsia"/>
          <w:sz w:val="24"/>
          <w:szCs w:val="24"/>
          <w:lang w:val="zh-CN"/>
        </w:rPr>
        <w:t>满足医院对文档进行安全的、统一的、分门别类的管理，文档管理系统可以很好的对这些文档进行管理；</w:t>
      </w:r>
    </w:p>
    <w:p>
      <w:pPr>
        <w:pStyle w:val="37"/>
        <w:numPr>
          <w:ilvl w:val="0"/>
          <w:numId w:val="45"/>
        </w:numPr>
        <w:tabs>
          <w:tab w:val="left" w:pos="851"/>
        </w:tabs>
        <w:spacing w:line="360" w:lineRule="auto"/>
        <w:ind w:left="851" w:hanging="851" w:firstLineChars="0"/>
        <w:rPr>
          <w:sz w:val="24"/>
          <w:szCs w:val="24"/>
          <w:lang w:val="zh-CN"/>
        </w:rPr>
      </w:pPr>
      <w:r>
        <w:rPr>
          <w:rFonts w:hint="eastAsia"/>
          <w:sz w:val="24"/>
          <w:szCs w:val="24"/>
          <w:lang w:val="zh-CN"/>
        </w:rPr>
        <w:t>B/S 结构，浏览器/服务器应用模式，非关系型数据库；</w:t>
      </w:r>
    </w:p>
    <w:p>
      <w:pPr>
        <w:pStyle w:val="37"/>
        <w:numPr>
          <w:ilvl w:val="0"/>
          <w:numId w:val="45"/>
        </w:numPr>
        <w:tabs>
          <w:tab w:val="left" w:pos="851"/>
        </w:tabs>
        <w:spacing w:line="360" w:lineRule="auto"/>
        <w:ind w:left="851" w:hanging="851" w:firstLineChars="0"/>
        <w:rPr>
          <w:sz w:val="24"/>
          <w:szCs w:val="24"/>
          <w:lang w:val="zh-CN"/>
        </w:rPr>
      </w:pPr>
      <w:r>
        <w:rPr>
          <w:rFonts w:hint="eastAsia"/>
          <w:sz w:val="24"/>
          <w:szCs w:val="24"/>
          <w:lang w:val="zh-CN"/>
        </w:rPr>
        <w:t>满足医疗业务常用场景并适合做数据挖掘；</w:t>
      </w:r>
    </w:p>
    <w:p>
      <w:pPr>
        <w:pStyle w:val="37"/>
        <w:numPr>
          <w:ilvl w:val="0"/>
          <w:numId w:val="45"/>
        </w:numPr>
        <w:tabs>
          <w:tab w:val="left" w:pos="851"/>
        </w:tabs>
        <w:spacing w:line="360" w:lineRule="auto"/>
        <w:ind w:left="851" w:hanging="851" w:firstLineChars="0"/>
        <w:rPr>
          <w:sz w:val="24"/>
          <w:szCs w:val="24"/>
          <w:lang w:val="zh-CN"/>
        </w:rPr>
      </w:pPr>
      <w:r>
        <w:rPr>
          <w:rFonts w:ascii="宋体" w:hAnsi="宋体"/>
          <w:b/>
          <w:color w:val="000000"/>
          <w:szCs w:val="21"/>
        </w:rPr>
        <mc:AlternateContent>
          <mc:Choice Requires="wps">
            <w:drawing>
              <wp:anchor distT="0" distB="0" distL="114300" distR="114300" simplePos="0" relativeHeight="251664384" behindDoc="0" locked="0" layoutInCell="1" allowOverlap="1">
                <wp:simplePos x="0" y="0"/>
                <wp:positionH relativeFrom="column">
                  <wp:posOffset>-224790</wp:posOffset>
                </wp:positionH>
                <wp:positionV relativeFrom="paragraph">
                  <wp:posOffset>55880</wp:posOffset>
                </wp:positionV>
                <wp:extent cx="137160" cy="23177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37160" cy="231775"/>
                        </a:xfrm>
                        <a:prstGeom prst="rect">
                          <a:avLst/>
                        </a:prstGeom>
                        <a:solidFill>
                          <a:srgbClr val="FFFFFF">
                            <a:alpha val="0"/>
                          </a:srgbClr>
                        </a:solidFill>
                        <a:ln>
                          <a:noFill/>
                        </a:ln>
                      </wps:spPr>
                      <wps:txbx>
                        <w:txbxContent>
                          <w:p>
                            <w:pPr>
                              <w:jc w:val="center"/>
                            </w:pPr>
                            <w:r>
                              <w:rPr>
                                <w:rFonts w:hint="eastAsia" w:ascii="宋体" w:hAnsi="宋体"/>
                                <w:b/>
                                <w:color w:val="000000"/>
                                <w:szCs w:val="21"/>
                              </w:rPr>
                              <w:t>＊</w:t>
                            </w:r>
                          </w:p>
                        </w:txbxContent>
                      </wps:txbx>
                      <wps:bodyPr upright="1"/>
                    </wps:wsp>
                  </a:graphicData>
                </a:graphic>
              </wp:anchor>
            </w:drawing>
          </mc:Choice>
          <mc:Fallback>
            <w:pict>
              <v:shape id="文本框 5" o:spid="_x0000_s1026" o:spt="202" type="#_x0000_t202" style="position:absolute;left:0pt;margin-left:-17.7pt;margin-top:4.4pt;height:18.25pt;width:10.8pt;z-index:251664384;mso-width-relative:margin;mso-height-relative:margin;" fillcolor="#FFFFFF" filled="t" stroked="f" coordsize="21600,21600" o:gfxdata="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L&#10;50bh2AAAAAgBAAAPAAAAAAAAAAEAIAAAACIAAABkcnMvZG93bnJldi54bWxQSwECFAAUAAAACACH&#10;TuJANxkqL7IBAABFAwAADgAAAAAAAAABACAAAAAnAQAAZHJzL2Uyb0RvYy54bWxQSwUGAAAAAAYA&#10;BgBZAQAASwUAAAAA&#10;">
                <v:fill on="t" opacity="0f" focussize="0,0"/>
                <v:stroke on="f"/>
                <v:imagedata o:title=""/>
                <o:lock v:ext="edit" aspectratio="f"/>
                <v:textbox>
                  <w:txbxContent>
                    <w:p>
                      <w:pPr>
                        <w:jc w:val="center"/>
                      </w:pPr>
                      <w:r>
                        <w:rPr>
                          <w:rFonts w:hint="eastAsia" w:ascii="宋体" w:hAnsi="宋体"/>
                          <w:b/>
                          <w:color w:val="000000"/>
                          <w:szCs w:val="21"/>
                        </w:rPr>
                        <w:t>＊</w:t>
                      </w:r>
                    </w:p>
                  </w:txbxContent>
                </v:textbox>
              </v:shape>
            </w:pict>
          </mc:Fallback>
        </mc:AlternateContent>
      </w:r>
      <w:r>
        <w:rPr>
          <w:rFonts w:hint="eastAsia"/>
          <w:sz w:val="24"/>
          <w:szCs w:val="24"/>
          <w:lang w:val="zh-CN"/>
        </w:rPr>
        <w:t>将医疗领域海量分散、异构的临床数据分为文档数据、二进制小文件和二进制大文件三类基于分布式文件存储实现三类数据的一体化存储、统一规则访问 基于分布式文件存储；</w:t>
      </w:r>
    </w:p>
    <w:p>
      <w:pPr>
        <w:pStyle w:val="37"/>
        <w:numPr>
          <w:ilvl w:val="0"/>
          <w:numId w:val="45"/>
        </w:numPr>
        <w:tabs>
          <w:tab w:val="left" w:pos="851"/>
        </w:tabs>
        <w:spacing w:line="360" w:lineRule="auto"/>
        <w:ind w:left="851" w:hanging="851" w:firstLineChars="0"/>
        <w:rPr>
          <w:sz w:val="24"/>
          <w:szCs w:val="24"/>
          <w:lang w:val="zh-CN"/>
        </w:rPr>
      </w:pPr>
      <w:r>
        <w:rPr>
          <w:sz w:val="24"/>
          <w:szCs w:val="24"/>
          <w:lang w:val="zh-CN"/>
        </w:rPr>
        <mc:AlternateContent>
          <mc:Choice Requires="wps">
            <w:drawing>
              <wp:anchor distT="0" distB="0" distL="114300" distR="114300" simplePos="0" relativeHeight="251666432" behindDoc="0" locked="0" layoutInCell="1" allowOverlap="1">
                <wp:simplePos x="0" y="0"/>
                <wp:positionH relativeFrom="column">
                  <wp:posOffset>-320675</wp:posOffset>
                </wp:positionH>
                <wp:positionV relativeFrom="paragraph">
                  <wp:posOffset>4445</wp:posOffset>
                </wp:positionV>
                <wp:extent cx="239395" cy="289560"/>
                <wp:effectExtent l="0" t="0" r="8255" b="15240"/>
                <wp:wrapNone/>
                <wp:docPr id="5" name="文本框 6"/>
                <wp:cNvGraphicFramePr/>
                <a:graphic xmlns:a="http://schemas.openxmlformats.org/drawingml/2006/main">
                  <a:graphicData uri="http://schemas.microsoft.com/office/word/2010/wordprocessingShape">
                    <wps:wsp>
                      <wps:cNvSpPr txBox="1"/>
                      <wps:spPr>
                        <a:xfrm>
                          <a:off x="0" y="0"/>
                          <a:ext cx="239395" cy="289560"/>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6" o:spid="_x0000_s1026" o:spt="202" type="#_x0000_t202" style="position:absolute;left:0pt;margin-left:-25.25pt;margin-top:0.35pt;height:22.8pt;width:18.85pt;z-index:251666432;mso-width-relative:margin;mso-height-relative:margin;mso-height-percent:200;" fillcolor="#FFFFFF" filled="t" stroked="f" coordsize="21600,21600" o:gfxdata="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VR&#10;hDfWAAAABwEAAA8AAAAAAAAAAQAgAAAAIgAAAGRycy9kb3ducmV2LnhtbFBLAQIUABQAAAAIAIdO&#10;4kDw1SWLswEAAEIDAAAOAAAAAAAAAAEAIAAAACUBAABkcnMvZTJvRG9jLnhtbFBLBQYAAAAABgAG&#10;AFkBAABK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sz w:val="24"/>
          <w:szCs w:val="24"/>
          <w:lang w:val="zh-CN"/>
        </w:rPr>
        <w:t>多样性查询、关联检索、PDF 在线快速预览等功能；</w:t>
      </w:r>
    </w:p>
    <w:p>
      <w:pPr>
        <w:pStyle w:val="37"/>
        <w:tabs>
          <w:tab w:val="left" w:pos="851"/>
        </w:tabs>
        <w:spacing w:line="360" w:lineRule="auto"/>
        <w:ind w:left="851" w:firstLine="0" w:firstLineChars="0"/>
        <w:rPr>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影像中心医学影像管理系统</w:t>
      </w:r>
    </w:p>
    <w:p>
      <w:pPr>
        <w:pStyle w:val="37"/>
        <w:numPr>
          <w:ilvl w:val="0"/>
          <w:numId w:val="46"/>
        </w:numPr>
        <w:tabs>
          <w:tab w:val="left" w:pos="851"/>
        </w:tabs>
        <w:spacing w:line="360" w:lineRule="auto"/>
        <w:ind w:firstLineChars="0"/>
        <w:jc w:val="left"/>
        <w:rPr>
          <w:sz w:val="24"/>
          <w:szCs w:val="24"/>
          <w:lang w:val="zh-CN"/>
        </w:rPr>
      </w:pPr>
      <w:r>
        <w:rPr>
          <w:rFonts w:hint="eastAsia"/>
          <w:sz w:val="24"/>
          <w:szCs w:val="24"/>
          <w:lang w:val="zh-CN"/>
        </w:rPr>
        <w:t>基本架构</w:t>
      </w:r>
    </w:p>
    <w:p>
      <w:pPr>
        <w:pStyle w:val="37"/>
        <w:numPr>
          <w:ilvl w:val="0"/>
          <w:numId w:val="47"/>
        </w:numPr>
        <w:tabs>
          <w:tab w:val="left" w:pos="851"/>
        </w:tabs>
        <w:spacing w:line="360" w:lineRule="auto"/>
        <w:ind w:firstLineChars="0"/>
        <w:jc w:val="left"/>
        <w:rPr>
          <w:sz w:val="24"/>
          <w:szCs w:val="24"/>
          <w:lang w:val="zh-CN"/>
        </w:rPr>
      </w:pPr>
      <w:r>
        <w:rPr>
          <w:rFonts w:hint="eastAsia"/>
          <w:sz w:val="24"/>
          <w:szCs w:val="24"/>
          <w:lang w:val="zh-CN"/>
        </w:rPr>
        <w:t>基于 C/S 架构，中心数据库采用关系数据库，支持多种客户端方式；</w:t>
      </w:r>
    </w:p>
    <w:p>
      <w:pPr>
        <w:pStyle w:val="37"/>
        <w:numPr>
          <w:ilvl w:val="0"/>
          <w:numId w:val="47"/>
        </w:numPr>
        <w:tabs>
          <w:tab w:val="left" w:pos="851"/>
        </w:tabs>
        <w:spacing w:line="360" w:lineRule="auto"/>
        <w:ind w:firstLineChars="0"/>
        <w:jc w:val="left"/>
        <w:rPr>
          <w:sz w:val="24"/>
          <w:szCs w:val="24"/>
          <w:lang w:val="zh-CN"/>
        </w:rPr>
      </w:pPr>
      <w:r>
        <w:rPr>
          <w:rFonts w:hint="eastAsia"/>
          <w:sz w:val="24"/>
          <w:szCs w:val="24"/>
          <w:lang w:val="zh-CN"/>
        </w:rPr>
        <w:t>客户端至少支持 Win、Android 平台，并支持在手持设备、PAD、PC 端的应用界面；</w:t>
      </w:r>
    </w:p>
    <w:p>
      <w:pPr>
        <w:pStyle w:val="37"/>
        <w:numPr>
          <w:ilvl w:val="0"/>
          <w:numId w:val="47"/>
        </w:numPr>
        <w:tabs>
          <w:tab w:val="left" w:pos="851"/>
        </w:tabs>
        <w:spacing w:line="360" w:lineRule="auto"/>
        <w:ind w:left="851" w:hanging="851" w:firstLineChars="0"/>
        <w:jc w:val="left"/>
        <w:rPr>
          <w:sz w:val="24"/>
          <w:szCs w:val="24"/>
          <w:lang w:val="zh-CN"/>
        </w:rPr>
      </w:pPr>
      <w:r>
        <w:rPr>
          <w:rFonts w:hint="eastAsia"/>
          <w:sz w:val="24"/>
          <w:szCs w:val="24"/>
          <w:lang w:val="zh-CN"/>
        </w:rPr>
        <w:t>基于 Pyxos 总线，实现通信链路供电、双绞线无极性连接、高速可确定性通信、支持总线式和自由拓扑两种组网方式；</w:t>
      </w:r>
    </w:p>
    <w:p>
      <w:pPr>
        <w:pStyle w:val="37"/>
        <w:numPr>
          <w:ilvl w:val="0"/>
          <w:numId w:val="47"/>
        </w:numPr>
        <w:tabs>
          <w:tab w:val="left" w:pos="851"/>
        </w:tabs>
        <w:spacing w:line="360" w:lineRule="auto"/>
        <w:ind w:left="851" w:hanging="851" w:firstLineChars="0"/>
        <w:jc w:val="left"/>
        <w:rPr>
          <w:sz w:val="24"/>
          <w:szCs w:val="24"/>
          <w:lang w:val="zh-CN"/>
        </w:rPr>
      </w:pPr>
      <w:r>
        <w:rPr>
          <w:rFonts w:hint="eastAsia"/>
          <w:sz w:val="24"/>
          <w:szCs w:val="24"/>
          <w:lang w:val="zh-CN"/>
        </w:rPr>
        <w:t>控制逻辑可自由组态；APP 可组态、用户可自定义，实现移动端 App 软件的自由定制，可以根据需要快速配置出个性化、多样化的智能控制；</w:t>
      </w:r>
    </w:p>
    <w:p>
      <w:pPr>
        <w:pStyle w:val="37"/>
        <w:numPr>
          <w:ilvl w:val="0"/>
          <w:numId w:val="47"/>
        </w:numPr>
        <w:tabs>
          <w:tab w:val="left" w:pos="851"/>
        </w:tabs>
        <w:spacing w:line="360" w:lineRule="auto"/>
        <w:ind w:left="851" w:hanging="851" w:firstLineChars="0"/>
        <w:jc w:val="left"/>
        <w:rPr>
          <w:sz w:val="24"/>
          <w:szCs w:val="24"/>
          <w:lang w:val="zh-CN"/>
        </w:rPr>
      </w:pPr>
      <w:r>
        <w:rPr>
          <w:rFonts w:ascii="宋体" w:hAnsi="宋体"/>
          <w:b/>
          <w:color w:val="000000"/>
          <w:szCs w:val="21"/>
        </w:rPr>
        <mc:AlternateContent>
          <mc:Choice Requires="wps">
            <w:drawing>
              <wp:anchor distT="0" distB="0" distL="114300" distR="114300" simplePos="0" relativeHeight="251668480" behindDoc="0" locked="0" layoutInCell="1" allowOverlap="1">
                <wp:simplePos x="0" y="0"/>
                <wp:positionH relativeFrom="column">
                  <wp:posOffset>-329565</wp:posOffset>
                </wp:positionH>
                <wp:positionV relativeFrom="paragraph">
                  <wp:posOffset>5080</wp:posOffset>
                </wp:positionV>
                <wp:extent cx="241935" cy="289560"/>
                <wp:effectExtent l="0" t="0" r="5715" b="15240"/>
                <wp:wrapNone/>
                <wp:docPr id="6" name="文本框 8"/>
                <wp:cNvGraphicFramePr/>
                <a:graphic xmlns:a="http://schemas.openxmlformats.org/drawingml/2006/main">
                  <a:graphicData uri="http://schemas.microsoft.com/office/word/2010/wordprocessingShape">
                    <wps:wsp>
                      <wps:cNvSpPr txBox="1"/>
                      <wps:spPr>
                        <a:xfrm>
                          <a:off x="0" y="0"/>
                          <a:ext cx="241935" cy="289560"/>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8" o:spid="_x0000_s1026" o:spt="202" type="#_x0000_t202" style="position:absolute;left:0pt;margin-left:-25.95pt;margin-top:0.4pt;height:22.8pt;width:19.05pt;z-index:251668480;mso-width-relative:margin;mso-height-relative:margin;mso-height-percent:200;" fillcolor="#FFFFFF" filled="t" stroked="f" coordsize="21600,21600" o:gfxdata="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Nu&#10;4vfWAAAABwEAAA8AAAAAAAAAAQAgAAAAIgAAAGRycy9kb3ducmV2LnhtbFBLAQIUABQAAAAIAIdO&#10;4kD8bYzvswEAAEIDAAAOAAAAAAAAAAEAIAAAACUBAABkcnMvZTJvRG9jLnhtbFBLBQYAAAAABgAG&#10;AFkBAABK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sz w:val="24"/>
          <w:szCs w:val="24"/>
          <w:lang w:val="zh-CN"/>
        </w:rPr>
        <w:t>影像中心的厂家必须有自己的企业标准，</w:t>
      </w:r>
      <w:r>
        <w:rPr>
          <w:rFonts w:hint="eastAsia"/>
          <w:b/>
          <w:sz w:val="24"/>
          <w:szCs w:val="24"/>
          <w:lang w:val="zh-CN"/>
        </w:rPr>
        <w:t>提供相关证明材料</w:t>
      </w:r>
      <w:r>
        <w:rPr>
          <w:rFonts w:hint="eastAsia"/>
          <w:sz w:val="24"/>
          <w:szCs w:val="24"/>
          <w:lang w:val="zh-CN"/>
        </w:rPr>
        <w:t>；</w:t>
      </w:r>
    </w:p>
    <w:p>
      <w:pPr>
        <w:pStyle w:val="37"/>
        <w:tabs>
          <w:tab w:val="left" w:pos="851"/>
        </w:tabs>
        <w:spacing w:line="360" w:lineRule="auto"/>
        <w:ind w:left="851" w:firstLine="0" w:firstLineChars="0"/>
        <w:jc w:val="left"/>
        <w:rPr>
          <w:sz w:val="24"/>
          <w:szCs w:val="24"/>
          <w:lang w:val="zh-CN"/>
        </w:rPr>
      </w:pPr>
    </w:p>
    <w:p>
      <w:pPr>
        <w:pStyle w:val="37"/>
        <w:numPr>
          <w:ilvl w:val="0"/>
          <w:numId w:val="46"/>
        </w:numPr>
        <w:tabs>
          <w:tab w:val="left" w:pos="851"/>
        </w:tabs>
        <w:spacing w:line="360" w:lineRule="auto"/>
        <w:ind w:firstLineChars="0"/>
        <w:jc w:val="left"/>
        <w:rPr>
          <w:sz w:val="24"/>
          <w:szCs w:val="24"/>
          <w:lang w:val="zh-CN"/>
        </w:rPr>
      </w:pPr>
      <w:r>
        <w:rPr>
          <w:rFonts w:hint="eastAsia"/>
          <w:sz w:val="24"/>
          <w:szCs w:val="24"/>
          <w:lang w:val="zh-CN"/>
        </w:rPr>
        <w:t>数据标准及规范</w:t>
      </w:r>
    </w:p>
    <w:p>
      <w:pPr>
        <w:pStyle w:val="37"/>
        <w:numPr>
          <w:ilvl w:val="0"/>
          <w:numId w:val="48"/>
        </w:numPr>
        <w:tabs>
          <w:tab w:val="left" w:pos="851"/>
        </w:tabs>
        <w:spacing w:line="360" w:lineRule="auto"/>
        <w:ind w:firstLineChars="0"/>
        <w:jc w:val="left"/>
        <w:rPr>
          <w:sz w:val="24"/>
          <w:szCs w:val="24"/>
          <w:lang w:val="zh-CN"/>
        </w:rPr>
      </w:pPr>
      <w:r>
        <w:rPr>
          <w:rFonts w:hint="eastAsia"/>
          <w:sz w:val="24"/>
          <w:szCs w:val="24"/>
          <w:lang w:val="zh-CN"/>
        </w:rPr>
        <w:t>遵循网络、电信等通信标准，包括 TCP/IP，UDP， RS232，RS485，RTSP 等；</w:t>
      </w:r>
    </w:p>
    <w:p>
      <w:pPr>
        <w:pStyle w:val="37"/>
        <w:numPr>
          <w:ilvl w:val="0"/>
          <w:numId w:val="48"/>
        </w:numPr>
        <w:tabs>
          <w:tab w:val="left" w:pos="851"/>
        </w:tabs>
        <w:spacing w:line="360" w:lineRule="auto"/>
        <w:ind w:firstLineChars="0"/>
        <w:jc w:val="left"/>
        <w:rPr>
          <w:sz w:val="24"/>
          <w:szCs w:val="24"/>
          <w:lang w:val="zh-CN"/>
        </w:rPr>
      </w:pPr>
      <w:r>
        <w:rPr>
          <w:rFonts w:hint="eastAsia"/>
          <w:sz w:val="24"/>
          <w:szCs w:val="24"/>
          <w:lang w:val="zh-CN"/>
        </w:rPr>
        <w:t>音视频编码协议支持 H.264（BP、MP、HP），H.265（MP），G711，AAC 等；</w:t>
      </w:r>
    </w:p>
    <w:p>
      <w:pPr>
        <w:pStyle w:val="37"/>
        <w:numPr>
          <w:ilvl w:val="0"/>
          <w:numId w:val="48"/>
        </w:numPr>
        <w:tabs>
          <w:tab w:val="left" w:pos="851"/>
        </w:tabs>
        <w:spacing w:line="360" w:lineRule="auto"/>
        <w:ind w:firstLineChars="0"/>
        <w:jc w:val="left"/>
        <w:rPr>
          <w:sz w:val="24"/>
          <w:szCs w:val="24"/>
          <w:lang w:val="zh-CN"/>
        </w:rPr>
      </w:pPr>
      <w:r>
        <w:rPr>
          <w:rFonts w:hint="eastAsia"/>
          <w:sz w:val="24"/>
          <w:szCs w:val="24"/>
          <w:lang w:val="zh-CN"/>
        </w:rPr>
        <w:t>支持 DICOM 医学影像校正标准；</w:t>
      </w:r>
    </w:p>
    <w:p>
      <w:pPr>
        <w:pStyle w:val="37"/>
        <w:numPr>
          <w:ilvl w:val="0"/>
          <w:numId w:val="48"/>
        </w:numPr>
        <w:tabs>
          <w:tab w:val="left" w:pos="851"/>
        </w:tabs>
        <w:spacing w:line="360" w:lineRule="auto"/>
        <w:ind w:firstLineChars="0"/>
        <w:jc w:val="left"/>
        <w:rPr>
          <w:sz w:val="24"/>
          <w:szCs w:val="24"/>
          <w:lang w:val="zh-CN"/>
        </w:rPr>
      </w:pPr>
      <w:r>
        <w:rPr>
          <w:rFonts w:hint="eastAsia"/>
          <w:sz w:val="24"/>
          <w:szCs w:val="24"/>
          <w:lang w:val="zh-CN"/>
        </w:rPr>
        <w:t>影像传输支持 TMDS 协议；</w:t>
      </w:r>
    </w:p>
    <w:p>
      <w:pPr>
        <w:pStyle w:val="37"/>
        <w:numPr>
          <w:ilvl w:val="0"/>
          <w:numId w:val="48"/>
        </w:numPr>
        <w:tabs>
          <w:tab w:val="left" w:pos="851"/>
        </w:tabs>
        <w:spacing w:line="360" w:lineRule="auto"/>
        <w:ind w:left="851" w:hanging="851" w:firstLineChars="0"/>
        <w:jc w:val="left"/>
        <w:rPr>
          <w:sz w:val="24"/>
          <w:szCs w:val="24"/>
          <w:lang w:val="zh-CN"/>
        </w:rPr>
      </w:pPr>
      <w:r>
        <w:rPr>
          <w:rFonts w:ascii="宋体" w:hAnsi="宋体"/>
          <w:b/>
          <w:color w:val="000000"/>
          <w:szCs w:val="21"/>
        </w:rPr>
        <mc:AlternateContent>
          <mc:Choice Requires="wps">
            <w:drawing>
              <wp:anchor distT="0" distB="0" distL="114300" distR="114300" simplePos="0" relativeHeight="251670528" behindDoc="0" locked="0" layoutInCell="1" allowOverlap="1">
                <wp:simplePos x="0" y="0"/>
                <wp:positionH relativeFrom="column">
                  <wp:posOffset>-320675</wp:posOffset>
                </wp:positionH>
                <wp:positionV relativeFrom="paragraph">
                  <wp:posOffset>5080</wp:posOffset>
                </wp:positionV>
                <wp:extent cx="231140" cy="299085"/>
                <wp:effectExtent l="0" t="0" r="16510" b="5715"/>
                <wp:wrapNone/>
                <wp:docPr id="7" name="文本框 9"/>
                <wp:cNvGraphicFramePr/>
                <a:graphic xmlns:a="http://schemas.openxmlformats.org/drawingml/2006/main">
                  <a:graphicData uri="http://schemas.microsoft.com/office/word/2010/wordprocessingShape">
                    <wps:wsp>
                      <wps:cNvSpPr txBox="1"/>
                      <wps:spPr>
                        <a:xfrm>
                          <a:off x="0" y="0"/>
                          <a:ext cx="23114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9" o:spid="_x0000_s1026" o:spt="202" type="#_x0000_t202" style="position:absolute;left:0pt;margin-left:-25.25pt;margin-top:0.4pt;height:23.55pt;width:18.2pt;z-index:251670528;mso-width-relative:margin;mso-height-relative:margin;mso-height-percent:200;" fillcolor="#FFFFFF" filled="t" stroked="f" coordsize="21600,21600" o:gfxdata="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gVKrW&#10;AAAABwEAAA8AAAAAAAAAAQAgAAAAIgAAAGRycy9kb3ducmV2LnhtbFBLAQIUABQAAAAIAIdO4kBu&#10;udPosAEAAEIDAAAOAAAAAAAAAAEAIAAAACUBAABkcnMvZTJvRG9jLnhtbFBLBQYAAAAABgAGAFkB&#10;AABH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sz w:val="24"/>
          <w:szCs w:val="24"/>
          <w:lang w:val="zh-CN"/>
        </w:rPr>
        <w:t>具备专业的图像增强功能，确保医学影像在系统的互动过程中不损失图像质量，最终显示的时候能够达到很好的诊断效果；</w:t>
      </w:r>
    </w:p>
    <w:p>
      <w:pPr>
        <w:pStyle w:val="37"/>
        <w:tabs>
          <w:tab w:val="left" w:pos="851"/>
        </w:tabs>
        <w:spacing w:line="360" w:lineRule="auto"/>
        <w:ind w:left="851" w:firstLine="0" w:firstLineChars="0"/>
        <w:jc w:val="left"/>
        <w:rPr>
          <w:sz w:val="24"/>
          <w:szCs w:val="24"/>
          <w:lang w:val="zh-CN"/>
        </w:rPr>
      </w:pPr>
    </w:p>
    <w:p>
      <w:pPr>
        <w:pStyle w:val="37"/>
        <w:numPr>
          <w:ilvl w:val="0"/>
          <w:numId w:val="46"/>
        </w:numPr>
        <w:tabs>
          <w:tab w:val="left" w:pos="851"/>
        </w:tabs>
        <w:spacing w:line="360" w:lineRule="auto"/>
        <w:ind w:firstLineChars="0"/>
        <w:jc w:val="left"/>
        <w:rPr>
          <w:sz w:val="24"/>
          <w:szCs w:val="24"/>
          <w:lang w:val="zh-CN"/>
        </w:rPr>
      </w:pPr>
      <w:r>
        <w:rPr>
          <w:rFonts w:hint="eastAsia"/>
          <w:sz w:val="24"/>
          <w:szCs w:val="24"/>
          <w:lang w:val="zh-CN"/>
        </w:rPr>
        <w:t>晨会管理子系统</w:t>
      </w:r>
    </w:p>
    <w:p>
      <w:pPr>
        <w:pStyle w:val="37"/>
        <w:numPr>
          <w:ilvl w:val="0"/>
          <w:numId w:val="49"/>
        </w:numPr>
        <w:tabs>
          <w:tab w:val="left" w:pos="851"/>
        </w:tabs>
        <w:spacing w:line="360" w:lineRule="auto"/>
        <w:ind w:left="851" w:hanging="851" w:firstLineChars="0"/>
        <w:jc w:val="left"/>
        <w:rPr>
          <w:sz w:val="24"/>
          <w:szCs w:val="24"/>
          <w:lang w:val="zh-CN"/>
        </w:rPr>
      </w:pPr>
      <w:r>
        <w:rPr>
          <w:rFonts w:ascii="宋体" w:hAnsi="宋体"/>
          <w:b/>
          <w:color w:val="000000"/>
          <w:szCs w:val="21"/>
        </w:rPr>
        <mc:AlternateContent>
          <mc:Choice Requires="wps">
            <w:drawing>
              <wp:anchor distT="0" distB="0" distL="114300" distR="114300" simplePos="0" relativeHeight="251672576" behindDoc="0" locked="0" layoutInCell="1" allowOverlap="1">
                <wp:simplePos x="0" y="0"/>
                <wp:positionH relativeFrom="column">
                  <wp:posOffset>-307340</wp:posOffset>
                </wp:positionH>
                <wp:positionV relativeFrom="paragraph">
                  <wp:posOffset>5080</wp:posOffset>
                </wp:positionV>
                <wp:extent cx="241935" cy="299085"/>
                <wp:effectExtent l="0" t="0" r="5715" b="5715"/>
                <wp:wrapNone/>
                <wp:docPr id="8" name="文本框 10"/>
                <wp:cNvGraphicFramePr/>
                <a:graphic xmlns:a="http://schemas.openxmlformats.org/drawingml/2006/main">
                  <a:graphicData uri="http://schemas.microsoft.com/office/word/2010/wordprocessingShape">
                    <wps:wsp>
                      <wps:cNvSpPr txBox="1"/>
                      <wps:spPr>
                        <a:xfrm>
                          <a:off x="0" y="0"/>
                          <a:ext cx="24193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0" o:spid="_x0000_s1026" o:spt="202" type="#_x0000_t202" style="position:absolute;left:0pt;margin-left:-24.2pt;margin-top:0.4pt;height:23.55pt;width:19.05pt;z-index:251672576;mso-width-relative:margin;mso-height-relative:margin;mso-height-percent:200;" fillcolor="#FFFFFF" filled="t" stroked="f" coordsize="21600,21600" o:gfxdata="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OOGr9YA&#10;AAAHAQAADwAAAAAAAAABACAAAAAiAAAAZHJzL2Rvd25yZXYueG1sUEsBAhQAFAAAAAgAh07iQKd9&#10;1q2vAQAAQwMAAA4AAAAAAAAAAQAgAAAAJQEAAGRycy9lMm9Eb2MueG1sUEsFBgAAAAAGAAYAWQEA&#10;AEYFA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sz w:val="24"/>
          <w:szCs w:val="24"/>
          <w:lang w:val="zh-CN"/>
        </w:rPr>
        <w:t>晨会管理系统支持晨会发言人的管理，被授权发言人可接入晨会系统，实现本工位医学影像无损（不经过任何的软件编解码，且分辨率及显示比例不失真）同步至会诊屏，并可在工位对会诊内容实现远程操作；</w:t>
      </w:r>
    </w:p>
    <w:p>
      <w:pPr>
        <w:pStyle w:val="37"/>
        <w:numPr>
          <w:ilvl w:val="0"/>
          <w:numId w:val="49"/>
        </w:numPr>
        <w:tabs>
          <w:tab w:val="left" w:pos="851"/>
        </w:tabs>
        <w:spacing w:line="360" w:lineRule="auto"/>
        <w:ind w:left="851" w:hanging="851" w:firstLineChars="0"/>
        <w:jc w:val="left"/>
        <w:rPr>
          <w:sz w:val="24"/>
          <w:szCs w:val="24"/>
          <w:lang w:val="zh-CN"/>
        </w:rPr>
      </w:pPr>
      <w:r>
        <w:rPr>
          <w:rFonts w:hint="eastAsia"/>
          <w:sz w:val="24"/>
          <w:szCs w:val="24"/>
          <w:lang w:val="zh-CN"/>
        </w:rPr>
        <w:t>支持主持人模式，主持人模式下，主持人可通过专业的控制设备实现晨读流程的管理；</w:t>
      </w:r>
    </w:p>
    <w:p>
      <w:pPr>
        <w:pStyle w:val="37"/>
        <w:numPr>
          <w:ilvl w:val="0"/>
          <w:numId w:val="49"/>
        </w:numPr>
        <w:tabs>
          <w:tab w:val="left" w:pos="851"/>
        </w:tabs>
        <w:spacing w:line="360" w:lineRule="auto"/>
        <w:ind w:left="851" w:hanging="851" w:firstLineChars="0"/>
        <w:jc w:val="left"/>
        <w:rPr>
          <w:sz w:val="24"/>
          <w:szCs w:val="24"/>
          <w:lang w:val="zh-CN"/>
        </w:rPr>
      </w:pPr>
      <w:r>
        <w:rPr>
          <w:rFonts w:ascii="宋体" w:hAnsi="宋体"/>
          <w:b/>
          <w:color w:val="000000"/>
          <w:szCs w:val="21"/>
        </w:rPr>
        <mc:AlternateContent>
          <mc:Choice Requires="wps">
            <w:drawing>
              <wp:anchor distT="0" distB="0" distL="114300" distR="114300" simplePos="0" relativeHeight="251674624" behindDoc="0" locked="0" layoutInCell="1" allowOverlap="1">
                <wp:simplePos x="0" y="0"/>
                <wp:positionH relativeFrom="column">
                  <wp:posOffset>-307340</wp:posOffset>
                </wp:positionH>
                <wp:positionV relativeFrom="paragraph">
                  <wp:posOffset>5080</wp:posOffset>
                </wp:positionV>
                <wp:extent cx="252730" cy="299085"/>
                <wp:effectExtent l="0" t="0" r="13970" b="5715"/>
                <wp:wrapNone/>
                <wp:docPr id="9" name="文本框 11"/>
                <wp:cNvGraphicFramePr/>
                <a:graphic xmlns:a="http://schemas.openxmlformats.org/drawingml/2006/main">
                  <a:graphicData uri="http://schemas.microsoft.com/office/word/2010/wordprocessingShape">
                    <wps:wsp>
                      <wps:cNvSpPr txBox="1"/>
                      <wps:spPr>
                        <a:xfrm>
                          <a:off x="0" y="0"/>
                          <a:ext cx="25273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1" o:spid="_x0000_s1026" o:spt="202" type="#_x0000_t202" style="position:absolute;left:0pt;margin-left:-24.2pt;margin-top:0.4pt;height:23.55pt;width:19.9pt;z-index:251674624;mso-width-relative:margin;mso-height-relative:margin;mso-height-percent:200;" fillcolor="#FFFFFF" filled="t" stroked="f" coordsize="21600,21600" o:gfxdata="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pKG4/V&#10;AAAABgEAAA8AAAAAAAAAAQAgAAAAIgAAAGRycy9kb3ducmV2LnhtbFBLAQIUABQAAAAIAIdO4kAA&#10;tWxWsQEAAEMDAAAOAAAAAAAAAAEAIAAAACQBAABkcnMvZTJvRG9jLnhtbFBLBQYAAAAABgAGAFkB&#10;AABH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sz w:val="24"/>
          <w:szCs w:val="24"/>
          <w:lang w:val="zh-CN"/>
        </w:rPr>
        <w:t>支持主动晨读模式，主动晨读模式下，发言人可通过本工位工作站上的晨读软件助手，一键将本工位内容同步至会诊屏，会诊屏端无需安装任何软件；</w:t>
      </w:r>
    </w:p>
    <w:p>
      <w:pPr>
        <w:pStyle w:val="37"/>
        <w:numPr>
          <w:ilvl w:val="0"/>
          <w:numId w:val="49"/>
        </w:numPr>
        <w:tabs>
          <w:tab w:val="left" w:pos="851"/>
        </w:tabs>
        <w:spacing w:line="360" w:lineRule="auto"/>
        <w:ind w:left="851" w:hanging="851" w:firstLineChars="0"/>
        <w:jc w:val="left"/>
        <w:rPr>
          <w:sz w:val="24"/>
          <w:szCs w:val="24"/>
          <w:lang w:val="zh-CN"/>
        </w:rPr>
      </w:pPr>
      <w:r>
        <w:rPr>
          <w:rFonts w:hint="eastAsia"/>
          <w:sz w:val="24"/>
          <w:szCs w:val="24"/>
          <w:lang w:val="zh-CN"/>
        </w:rPr>
        <w:t>晨读系统可接入 PPT 报告、PACS 影像、RIS 报告、病人胶片、病人基本信息（如姓名、年龄、民族等）、诊疗相关信息（主诉、现病史、既往史、用药记录等）、临床现象图例等；</w:t>
      </w:r>
    </w:p>
    <w:p>
      <w:pPr>
        <w:pStyle w:val="37"/>
        <w:numPr>
          <w:ilvl w:val="0"/>
          <w:numId w:val="49"/>
        </w:numPr>
        <w:tabs>
          <w:tab w:val="left" w:pos="851"/>
        </w:tabs>
        <w:spacing w:line="360" w:lineRule="auto"/>
        <w:ind w:left="851" w:hanging="851" w:firstLineChars="0"/>
        <w:jc w:val="left"/>
        <w:rPr>
          <w:sz w:val="24"/>
          <w:szCs w:val="24"/>
          <w:lang w:val="zh-CN"/>
        </w:rPr>
      </w:pPr>
      <w:r>
        <w:rPr>
          <w:rFonts w:ascii="宋体" w:hAnsi="宋体"/>
          <w:b/>
          <w:color w:val="000000"/>
          <w:szCs w:val="21"/>
        </w:rPr>
        <mc:AlternateContent>
          <mc:Choice Requires="wps">
            <w:drawing>
              <wp:anchor distT="0" distB="0" distL="114300" distR="114300" simplePos="0" relativeHeight="251676672" behindDoc="0" locked="0" layoutInCell="1" allowOverlap="1">
                <wp:simplePos x="0" y="0"/>
                <wp:positionH relativeFrom="column">
                  <wp:posOffset>-296545</wp:posOffset>
                </wp:positionH>
                <wp:positionV relativeFrom="paragraph">
                  <wp:posOffset>5080</wp:posOffset>
                </wp:positionV>
                <wp:extent cx="241935" cy="299085"/>
                <wp:effectExtent l="0" t="0" r="5715" b="5715"/>
                <wp:wrapNone/>
                <wp:docPr id="10" name="文本框 12"/>
                <wp:cNvGraphicFramePr/>
                <a:graphic xmlns:a="http://schemas.openxmlformats.org/drawingml/2006/main">
                  <a:graphicData uri="http://schemas.microsoft.com/office/word/2010/wordprocessingShape">
                    <wps:wsp>
                      <wps:cNvSpPr txBox="1"/>
                      <wps:spPr>
                        <a:xfrm>
                          <a:off x="0" y="0"/>
                          <a:ext cx="24193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2" o:spid="_x0000_s1026" o:spt="202" type="#_x0000_t202" style="position:absolute;left:0pt;margin-left:-23.35pt;margin-top:0.4pt;height:23.55pt;width:19.05pt;z-index:251676672;mso-width-relative:margin;mso-height-relative:margin;mso-height-percent:200;" fillcolor="#FFFFFF" filled="t" stroked="f" coordsize="21600,21600" o:gfxdata="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d++FdUA&#10;AAAGAQAADwAAAAAAAAABACAAAAAiAAAAZHJzL2Rvd25yZXYueG1sUEsBAhQAFAAAAAgAh07iQPzF&#10;IdawAQAARAMAAA4AAAAAAAAAAQAgAAAAJAEAAGRycy9lMm9Eb2MueG1sUEsFBgAAAAAGAAYAWQEA&#10;AEYFA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sz w:val="24"/>
          <w:szCs w:val="24"/>
          <w:lang w:val="zh-CN"/>
        </w:rPr>
        <w:t>支持晨读内容个性化组合，上述的晨会系统接入信息可自行组合后，同步在会诊屏端显示。可支持≥4 类信息同步呈现；</w:t>
      </w:r>
    </w:p>
    <w:p>
      <w:pPr>
        <w:pStyle w:val="37"/>
        <w:tabs>
          <w:tab w:val="left" w:pos="851"/>
        </w:tabs>
        <w:spacing w:line="360" w:lineRule="auto"/>
        <w:ind w:left="851" w:firstLine="0" w:firstLineChars="0"/>
        <w:jc w:val="left"/>
        <w:rPr>
          <w:sz w:val="24"/>
          <w:szCs w:val="24"/>
          <w:lang w:val="zh-CN"/>
        </w:rPr>
      </w:pPr>
    </w:p>
    <w:p>
      <w:pPr>
        <w:pStyle w:val="37"/>
        <w:numPr>
          <w:ilvl w:val="0"/>
          <w:numId w:val="46"/>
        </w:numPr>
        <w:tabs>
          <w:tab w:val="left" w:pos="851"/>
        </w:tabs>
        <w:spacing w:line="360" w:lineRule="auto"/>
        <w:ind w:firstLineChars="0"/>
        <w:jc w:val="left"/>
        <w:rPr>
          <w:sz w:val="24"/>
          <w:szCs w:val="24"/>
          <w:lang w:val="zh-CN"/>
        </w:rPr>
      </w:pPr>
      <w:r>
        <w:rPr>
          <w:rFonts w:hint="eastAsia"/>
          <w:sz w:val="24"/>
          <w:szCs w:val="24"/>
          <w:lang w:val="zh-CN"/>
        </w:rPr>
        <w:t>互动投屏子系统</w:t>
      </w:r>
    </w:p>
    <w:p>
      <w:pPr>
        <w:pStyle w:val="37"/>
        <w:numPr>
          <w:ilvl w:val="0"/>
          <w:numId w:val="50"/>
        </w:numPr>
        <w:tabs>
          <w:tab w:val="left" w:pos="851"/>
        </w:tabs>
        <w:spacing w:line="360" w:lineRule="auto"/>
        <w:ind w:left="851" w:hanging="851" w:firstLineChars="0"/>
        <w:jc w:val="left"/>
        <w:rPr>
          <w:sz w:val="24"/>
          <w:szCs w:val="24"/>
          <w:lang w:val="zh-CN"/>
        </w:rPr>
      </w:pPr>
      <w:r>
        <w:rPr>
          <w:rFonts w:hint="eastAsia"/>
          <w:sz w:val="24"/>
          <w:szCs w:val="24"/>
          <w:lang w:val="zh-CN"/>
        </w:rPr>
        <w:t>系统设有专用投屏互动 AP，手机、平板、笔记本电脑等无线移动设备均可在连入 AP 后，将屏幕内容共享至并轨会诊显示屏上。无论是外聘专家讲课、还是手机拍的影像图片或者是一片好的专业论文，均可快速实现共享；</w:t>
      </w:r>
    </w:p>
    <w:p>
      <w:pPr>
        <w:pStyle w:val="37"/>
        <w:numPr>
          <w:ilvl w:val="0"/>
          <w:numId w:val="50"/>
        </w:numPr>
        <w:tabs>
          <w:tab w:val="left" w:pos="851"/>
        </w:tabs>
        <w:spacing w:line="360" w:lineRule="auto"/>
        <w:ind w:left="851" w:hanging="851" w:firstLineChars="0"/>
        <w:jc w:val="left"/>
        <w:rPr>
          <w:sz w:val="24"/>
          <w:szCs w:val="24"/>
          <w:lang w:val="zh-CN"/>
        </w:rPr>
      </w:pPr>
      <w:r>
        <w:rPr>
          <w:rFonts w:ascii="宋体" w:hAnsi="宋体"/>
          <w:b/>
          <w:color w:val="000000"/>
          <w:szCs w:val="21"/>
        </w:rPr>
        <mc:AlternateContent>
          <mc:Choice Requires="wps">
            <w:drawing>
              <wp:anchor distT="0" distB="0" distL="114300" distR="114300" simplePos="0" relativeHeight="251678720" behindDoc="0" locked="0" layoutInCell="1" allowOverlap="1">
                <wp:simplePos x="0" y="0"/>
                <wp:positionH relativeFrom="column">
                  <wp:posOffset>-285750</wp:posOffset>
                </wp:positionH>
                <wp:positionV relativeFrom="paragraph">
                  <wp:posOffset>5080</wp:posOffset>
                </wp:positionV>
                <wp:extent cx="231140" cy="299085"/>
                <wp:effectExtent l="0" t="0" r="16510" b="5715"/>
                <wp:wrapNone/>
                <wp:docPr id="11" name="文本框 13"/>
                <wp:cNvGraphicFramePr/>
                <a:graphic xmlns:a="http://schemas.openxmlformats.org/drawingml/2006/main">
                  <a:graphicData uri="http://schemas.microsoft.com/office/word/2010/wordprocessingShape">
                    <wps:wsp>
                      <wps:cNvSpPr txBox="1"/>
                      <wps:spPr>
                        <a:xfrm>
                          <a:off x="0" y="0"/>
                          <a:ext cx="23114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3" o:spid="_x0000_s1026" o:spt="202" type="#_x0000_t202" style="position:absolute;left:0pt;margin-left:-22.5pt;margin-top:0.4pt;height:23.55pt;width:18.2pt;z-index:251678720;mso-width-relative:margin;mso-height-relative:margin;mso-height-percent:200;" fillcolor="#FFFFFF" filled="t" stroked="f" coordsize="21600,21600" o:gfxdata="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6tcNjV&#10;AAAABgEAAA8AAAAAAAAAAQAgAAAAIgAAAGRycy9kb3ducmV2LnhtbFBLAQIUABQAAAAIAIdO4kAP&#10;wtX0sQEAAEQDAAAOAAAAAAAAAAEAIAAAACQBAABkcnMvZTJvRG9jLnhtbFBLBQYAAAAABgAGAFkB&#10;AABH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sz w:val="24"/>
          <w:szCs w:val="24"/>
          <w:lang w:val="zh-CN"/>
        </w:rPr>
        <w:t>支持双向控制，投射至会诊显示终端后，可通过会诊屏的触摸功直接对所投内容进行操作（调阅文件、PPT 翻页等），</w:t>
      </w:r>
      <w:r>
        <w:rPr>
          <w:rFonts w:hint="eastAsia"/>
          <w:b/>
          <w:sz w:val="24"/>
          <w:szCs w:val="24"/>
          <w:lang w:val="zh-CN"/>
        </w:rPr>
        <w:t>提供操作及配置说明，并配图说明</w:t>
      </w:r>
      <w:r>
        <w:rPr>
          <w:rFonts w:hint="eastAsia"/>
          <w:sz w:val="24"/>
          <w:szCs w:val="24"/>
          <w:lang w:val="zh-CN"/>
        </w:rPr>
        <w:t>；</w:t>
      </w:r>
    </w:p>
    <w:p>
      <w:pPr>
        <w:pStyle w:val="37"/>
        <w:numPr>
          <w:ilvl w:val="0"/>
          <w:numId w:val="50"/>
        </w:numPr>
        <w:tabs>
          <w:tab w:val="left" w:pos="851"/>
        </w:tabs>
        <w:spacing w:line="360" w:lineRule="auto"/>
        <w:ind w:left="851" w:hanging="851" w:firstLineChars="0"/>
        <w:jc w:val="left"/>
        <w:rPr>
          <w:sz w:val="24"/>
          <w:szCs w:val="24"/>
          <w:lang w:val="zh-CN"/>
        </w:rPr>
      </w:pPr>
      <w:r>
        <w:rPr>
          <w:rFonts w:hint="eastAsia"/>
          <w:sz w:val="24"/>
          <w:szCs w:val="24"/>
          <w:lang w:val="zh-CN"/>
        </w:rPr>
        <w:t>支持白板功能，可针对所投内容进行标注，并将标注内容进行保存；</w:t>
      </w:r>
    </w:p>
    <w:p>
      <w:pPr>
        <w:pStyle w:val="37"/>
        <w:numPr>
          <w:ilvl w:val="0"/>
          <w:numId w:val="50"/>
        </w:numPr>
        <w:tabs>
          <w:tab w:val="left" w:pos="851"/>
        </w:tabs>
        <w:spacing w:line="360" w:lineRule="auto"/>
        <w:ind w:left="851" w:hanging="851" w:firstLineChars="0"/>
        <w:jc w:val="left"/>
        <w:rPr>
          <w:sz w:val="24"/>
          <w:szCs w:val="24"/>
          <w:lang w:val="zh-CN"/>
        </w:rPr>
      </w:pPr>
      <w:r>
        <w:rPr>
          <w:rFonts w:hint="eastAsia"/>
          <w:sz w:val="24"/>
          <w:szCs w:val="24"/>
          <w:lang w:val="zh-CN"/>
        </w:rPr>
        <w:t>无线投屏最多可同时连接并显示≥2 路画面；</w:t>
      </w:r>
    </w:p>
    <w:p>
      <w:pPr>
        <w:pStyle w:val="37"/>
        <w:numPr>
          <w:ilvl w:val="0"/>
          <w:numId w:val="50"/>
        </w:numPr>
        <w:tabs>
          <w:tab w:val="left" w:pos="851"/>
        </w:tabs>
        <w:spacing w:line="360" w:lineRule="auto"/>
        <w:ind w:left="851" w:hanging="851" w:firstLineChars="0"/>
        <w:jc w:val="left"/>
        <w:rPr>
          <w:sz w:val="24"/>
          <w:szCs w:val="24"/>
          <w:lang w:val="zh-CN"/>
        </w:rPr>
      </w:pPr>
      <w:r>
        <w:rPr>
          <w:rFonts w:hint="eastAsia"/>
          <w:sz w:val="24"/>
          <w:szCs w:val="24"/>
          <w:lang w:val="zh-CN"/>
        </w:rPr>
        <w:t>无线投射支持 Airplay,Miracast、DLNA，并支持 Mirror 0p 应用；</w:t>
      </w:r>
    </w:p>
    <w:p>
      <w:pPr>
        <w:pStyle w:val="37"/>
        <w:numPr>
          <w:ilvl w:val="0"/>
          <w:numId w:val="50"/>
        </w:numPr>
        <w:tabs>
          <w:tab w:val="left" w:pos="851"/>
        </w:tabs>
        <w:spacing w:line="360" w:lineRule="auto"/>
        <w:ind w:left="851" w:hanging="851" w:firstLineChars="0"/>
        <w:jc w:val="left"/>
        <w:rPr>
          <w:sz w:val="24"/>
          <w:szCs w:val="24"/>
          <w:lang w:val="zh-CN"/>
        </w:rPr>
      </w:pPr>
      <w:r>
        <w:rPr>
          <w:rFonts w:hint="eastAsia"/>
          <w:sz w:val="24"/>
          <w:szCs w:val="24"/>
          <w:lang w:val="zh-CN"/>
        </w:rPr>
        <w:t>无线演示系统可以通过单击物理按钮实现无线传输及各用户的全屏、分屏显示模式之间的切换，且无需安装任何驱动软件；</w:t>
      </w:r>
    </w:p>
    <w:p>
      <w:pPr>
        <w:pStyle w:val="37"/>
        <w:numPr>
          <w:ilvl w:val="0"/>
          <w:numId w:val="50"/>
        </w:numPr>
        <w:tabs>
          <w:tab w:val="left" w:pos="851"/>
        </w:tabs>
        <w:spacing w:line="360" w:lineRule="auto"/>
        <w:ind w:left="851" w:hanging="851" w:firstLineChars="0"/>
        <w:jc w:val="left"/>
        <w:rPr>
          <w:sz w:val="24"/>
          <w:szCs w:val="24"/>
          <w:lang w:val="zh-CN"/>
        </w:rPr>
      </w:pPr>
      <w:r>
        <w:rPr>
          <w:rFonts w:hint="eastAsia"/>
          <w:sz w:val="24"/>
          <w:szCs w:val="24"/>
          <w:lang w:val="zh-CN"/>
        </w:rPr>
        <w:t>演示系统支持多种工作模式：独立工作模式、网络集成方式及混合方式，并提供系统连接拓扑图；</w:t>
      </w:r>
    </w:p>
    <w:p>
      <w:pPr>
        <w:pStyle w:val="37"/>
        <w:tabs>
          <w:tab w:val="left" w:pos="851"/>
        </w:tabs>
        <w:spacing w:line="360" w:lineRule="auto"/>
        <w:ind w:left="851" w:firstLine="0" w:firstLineChars="0"/>
        <w:jc w:val="left"/>
        <w:rPr>
          <w:sz w:val="24"/>
          <w:szCs w:val="24"/>
          <w:lang w:val="zh-CN"/>
        </w:rPr>
      </w:pPr>
    </w:p>
    <w:p>
      <w:pPr>
        <w:pStyle w:val="37"/>
        <w:numPr>
          <w:ilvl w:val="0"/>
          <w:numId w:val="46"/>
        </w:numPr>
        <w:tabs>
          <w:tab w:val="left" w:pos="851"/>
        </w:tabs>
        <w:spacing w:line="360" w:lineRule="auto"/>
        <w:ind w:firstLineChars="0"/>
        <w:jc w:val="left"/>
        <w:rPr>
          <w:sz w:val="24"/>
          <w:szCs w:val="24"/>
          <w:lang w:val="zh-CN"/>
        </w:rPr>
      </w:pPr>
      <w:r>
        <w:rPr>
          <w:rFonts w:hint="eastAsia"/>
          <w:sz w:val="24"/>
          <w:szCs w:val="24"/>
          <w:lang w:val="zh-CN"/>
        </w:rPr>
        <w:t>远程会诊融合子系统</w:t>
      </w:r>
    </w:p>
    <w:p>
      <w:pPr>
        <w:pStyle w:val="37"/>
        <w:numPr>
          <w:ilvl w:val="0"/>
          <w:numId w:val="51"/>
        </w:numPr>
        <w:tabs>
          <w:tab w:val="left" w:pos="851"/>
        </w:tabs>
        <w:spacing w:line="360" w:lineRule="auto"/>
        <w:ind w:left="851" w:hanging="851" w:firstLineChars="0"/>
        <w:jc w:val="left"/>
        <w:rPr>
          <w:sz w:val="24"/>
          <w:szCs w:val="24"/>
          <w:lang w:val="zh-CN"/>
        </w:rPr>
      </w:pPr>
      <w:r>
        <w:rPr>
          <w:rFonts w:hint="eastAsia"/>
          <w:sz w:val="24"/>
          <w:szCs w:val="24"/>
          <w:lang w:val="zh-CN"/>
        </w:rPr>
        <w:t>能够兼容并对接医院现有的和扩充远程会诊系统，并能够兼容市面上主流的视频会议厂家；</w:t>
      </w:r>
    </w:p>
    <w:p>
      <w:pPr>
        <w:pStyle w:val="37"/>
        <w:numPr>
          <w:ilvl w:val="0"/>
          <w:numId w:val="51"/>
        </w:numPr>
        <w:tabs>
          <w:tab w:val="left" w:pos="851"/>
        </w:tabs>
        <w:spacing w:line="360" w:lineRule="auto"/>
        <w:ind w:left="851" w:hanging="851" w:firstLineChars="0"/>
        <w:jc w:val="left"/>
        <w:rPr>
          <w:sz w:val="24"/>
          <w:szCs w:val="24"/>
          <w:lang w:val="zh-CN"/>
        </w:rPr>
      </w:pPr>
      <w:r>
        <w:rPr>
          <w:rFonts w:hint="eastAsia"/>
          <w:sz w:val="24"/>
          <w:szCs w:val="24"/>
          <w:lang w:val="zh-CN"/>
        </w:rPr>
        <w:t>具备远程系统的通讯录管理功能，可快速实现跟不同医院远程会诊连接的部署；</w:t>
      </w:r>
    </w:p>
    <w:p>
      <w:pPr>
        <w:pStyle w:val="37"/>
        <w:numPr>
          <w:ilvl w:val="0"/>
          <w:numId w:val="51"/>
        </w:numPr>
        <w:tabs>
          <w:tab w:val="left" w:pos="851"/>
        </w:tabs>
        <w:spacing w:line="360" w:lineRule="auto"/>
        <w:ind w:left="851" w:hanging="851" w:firstLineChars="0"/>
        <w:jc w:val="left"/>
        <w:rPr>
          <w:sz w:val="24"/>
          <w:szCs w:val="24"/>
          <w:lang w:val="zh-CN"/>
        </w:rPr>
      </w:pPr>
      <w:r>
        <w:rPr>
          <w:rFonts w:hint="eastAsia"/>
          <w:sz w:val="24"/>
          <w:szCs w:val="24"/>
          <w:lang w:val="zh-CN"/>
        </w:rPr>
        <w:t>可同时采集主讲人视频画面以及听课者视频画面，并能够对 2 个画面进行融合处理，处理后的画面接进远程终端；</w:t>
      </w:r>
    </w:p>
    <w:p>
      <w:pPr>
        <w:pStyle w:val="37"/>
        <w:numPr>
          <w:ilvl w:val="0"/>
          <w:numId w:val="51"/>
        </w:numPr>
        <w:tabs>
          <w:tab w:val="left" w:pos="851"/>
        </w:tabs>
        <w:spacing w:line="360" w:lineRule="auto"/>
        <w:ind w:left="851" w:hanging="851" w:firstLineChars="0"/>
        <w:jc w:val="left"/>
        <w:rPr>
          <w:sz w:val="24"/>
          <w:szCs w:val="24"/>
          <w:lang w:val="zh-CN"/>
        </w:rPr>
      </w:pPr>
      <w:r>
        <w:rPr>
          <w:rFonts w:hint="eastAsia"/>
          <w:sz w:val="24"/>
          <w:szCs w:val="24"/>
          <w:lang w:val="zh-CN"/>
        </w:rPr>
        <w:t>对远程系统的音频进行集成，能够接入阅片室/会诊室内的音响系统，不额外增加话筒及音响（响麦）；</w:t>
      </w:r>
    </w:p>
    <w:p>
      <w:pPr>
        <w:tabs>
          <w:tab w:val="left" w:pos="851"/>
        </w:tabs>
        <w:spacing w:line="360" w:lineRule="auto"/>
        <w:ind w:firstLine="420" w:firstLineChars="175"/>
        <w:jc w:val="left"/>
        <w:rPr>
          <w:sz w:val="24"/>
          <w:szCs w:val="24"/>
          <w:lang w:val="zh-CN"/>
        </w:rPr>
      </w:pPr>
    </w:p>
    <w:p>
      <w:pPr>
        <w:pStyle w:val="37"/>
        <w:numPr>
          <w:ilvl w:val="0"/>
          <w:numId w:val="46"/>
        </w:numPr>
        <w:tabs>
          <w:tab w:val="left" w:pos="851"/>
        </w:tabs>
        <w:spacing w:line="360" w:lineRule="auto"/>
        <w:ind w:firstLineChars="0"/>
        <w:jc w:val="left"/>
        <w:rPr>
          <w:sz w:val="24"/>
          <w:szCs w:val="24"/>
          <w:lang w:val="zh-CN"/>
        </w:rPr>
      </w:pPr>
      <w:r>
        <w:rPr>
          <w:rFonts w:hint="eastAsia"/>
          <w:sz w:val="24"/>
          <w:szCs w:val="24"/>
          <w:lang w:val="zh-CN"/>
        </w:rPr>
        <w:t>多学科会诊融合子系统</w:t>
      </w:r>
    </w:p>
    <w:p>
      <w:pPr>
        <w:pStyle w:val="37"/>
        <w:numPr>
          <w:ilvl w:val="0"/>
          <w:numId w:val="52"/>
        </w:numPr>
        <w:tabs>
          <w:tab w:val="left" w:pos="851"/>
        </w:tabs>
        <w:spacing w:line="360" w:lineRule="auto"/>
        <w:ind w:firstLineChars="0"/>
        <w:jc w:val="left"/>
        <w:rPr>
          <w:sz w:val="24"/>
          <w:szCs w:val="24"/>
          <w:lang w:val="zh-CN"/>
        </w:rPr>
      </w:pPr>
      <w:r>
        <w:rPr>
          <w:rFonts w:hint="eastAsia"/>
          <w:sz w:val="24"/>
          <w:szCs w:val="24"/>
          <w:lang w:val="zh-CN"/>
        </w:rPr>
        <w:t>能够同时接入 PACS、HIS、EMR 等 4 种业务系统；</w:t>
      </w:r>
    </w:p>
    <w:p>
      <w:pPr>
        <w:pStyle w:val="37"/>
        <w:numPr>
          <w:ilvl w:val="0"/>
          <w:numId w:val="52"/>
        </w:numPr>
        <w:tabs>
          <w:tab w:val="left" w:pos="851"/>
        </w:tabs>
        <w:spacing w:line="360" w:lineRule="auto"/>
        <w:ind w:firstLineChars="0"/>
        <w:jc w:val="left"/>
        <w:rPr>
          <w:sz w:val="24"/>
          <w:szCs w:val="24"/>
          <w:lang w:val="zh-CN"/>
        </w:rPr>
      </w:pPr>
      <w:r>
        <w:rPr>
          <w:rFonts w:hint="eastAsia"/>
          <w:sz w:val="24"/>
          <w:szCs w:val="24"/>
          <w:lang w:val="zh-CN"/>
        </w:rPr>
        <w:t>能够同时将病人所有的信息同时呈现在会诊屏上；</w:t>
      </w:r>
    </w:p>
    <w:p>
      <w:pPr>
        <w:pStyle w:val="37"/>
        <w:numPr>
          <w:ilvl w:val="0"/>
          <w:numId w:val="52"/>
        </w:numPr>
        <w:tabs>
          <w:tab w:val="left" w:pos="851"/>
        </w:tabs>
        <w:spacing w:line="360" w:lineRule="auto"/>
        <w:ind w:firstLineChars="0"/>
        <w:jc w:val="left"/>
        <w:rPr>
          <w:sz w:val="24"/>
          <w:szCs w:val="24"/>
          <w:lang w:val="zh-CN"/>
        </w:rPr>
      </w:pPr>
      <w:r>
        <w:rPr>
          <w:rFonts w:hint="eastAsia"/>
          <w:sz w:val="24"/>
          <w:szCs w:val="24"/>
          <w:lang w:val="zh-CN"/>
        </w:rPr>
        <w:t>可根据信息的重要性进行布局的调整；</w:t>
      </w:r>
    </w:p>
    <w:p>
      <w:pPr>
        <w:pStyle w:val="37"/>
        <w:tabs>
          <w:tab w:val="left" w:pos="851"/>
        </w:tabs>
        <w:spacing w:line="360" w:lineRule="auto"/>
        <w:ind w:left="420" w:firstLine="0" w:firstLineChars="0"/>
        <w:jc w:val="left"/>
        <w:rPr>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智能电源管理终端</w:t>
      </w:r>
    </w:p>
    <w:p>
      <w:pPr>
        <w:pStyle w:val="37"/>
        <w:numPr>
          <w:ilvl w:val="0"/>
          <w:numId w:val="53"/>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输入电源：AC220V/50Hz；</w:t>
      </w:r>
    </w:p>
    <w:p>
      <w:pPr>
        <w:pStyle w:val="37"/>
        <w:numPr>
          <w:ilvl w:val="0"/>
          <w:numId w:val="53"/>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输入通道数量：8路；</w:t>
      </w:r>
    </w:p>
    <w:p>
      <w:pPr>
        <w:pStyle w:val="37"/>
        <w:numPr>
          <w:ilvl w:val="0"/>
          <w:numId w:val="53"/>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电源输入接口：火线、零线、地线 3x4mm2 三芯同轴线；</w:t>
      </w:r>
    </w:p>
    <w:p>
      <w:pPr>
        <w:pStyle w:val="37"/>
        <w:numPr>
          <w:ilvl w:val="0"/>
          <w:numId w:val="53"/>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电源输出接口：8 个多功能插座，1 个常供电多功能插座；</w:t>
      </w:r>
    </w:p>
    <w:p>
      <w:pPr>
        <w:pStyle w:val="37"/>
        <w:numPr>
          <w:ilvl w:val="0"/>
          <w:numId w:val="53"/>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通道负载：单通道最大输出负载≥10A，整机设备最大输出负载≥40A；</w:t>
      </w:r>
    </w:p>
    <w:p>
      <w:pPr>
        <w:pStyle w:val="37"/>
        <w:numPr>
          <w:ilvl w:val="0"/>
          <w:numId w:val="53"/>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开关器件：继电器 30A/250V AC nom；</w:t>
      </w:r>
    </w:p>
    <w:p>
      <w:pPr>
        <w:pStyle w:val="37"/>
        <w:numPr>
          <w:ilvl w:val="0"/>
          <w:numId w:val="5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控制接口：支持 1 路 RJ45，支持 1 路 RS232，支持 1X2 路 IO 控制接口（TTL 电平）；</w:t>
      </w:r>
    </w:p>
    <w:p>
      <w:pPr>
        <w:pStyle w:val="37"/>
        <w:numPr>
          <w:ilvl w:val="0"/>
          <w:numId w:val="5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控制方式：支持 1x 时序按钮开关，支持 8x 单通道开关，支持软件指令进行开关控制，提供 1-8 号端口的独立开关控制指令和时序控制指令，提供 1-8 号端口的独立开关的延时控制设置，延时时间可达 15h；</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无线投屏控制系统</w:t>
      </w:r>
    </w:p>
    <w:p>
      <w:pPr>
        <w:pStyle w:val="37"/>
        <w:numPr>
          <w:ilvl w:val="0"/>
          <w:numId w:val="54"/>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载波频率：2.4GHZ/5GHZ 双频带；</w:t>
      </w:r>
    </w:p>
    <w:p>
      <w:pPr>
        <w:pStyle w:val="37"/>
        <w:numPr>
          <w:ilvl w:val="0"/>
          <w:numId w:val="54"/>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驱动类型：内置驱动；</w:t>
      </w:r>
    </w:p>
    <w:p>
      <w:pPr>
        <w:pStyle w:val="37"/>
        <w:numPr>
          <w:ilvl w:val="0"/>
          <w:numId w:val="54"/>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分辨率：最高支持 1080P；</w:t>
      </w:r>
    </w:p>
    <w:p>
      <w:pPr>
        <w:pStyle w:val="37"/>
        <w:numPr>
          <w:ilvl w:val="0"/>
          <w:numId w:val="54"/>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通信协议：支持 DLNA、AirPlay、Miracast；</w:t>
      </w:r>
    </w:p>
    <w:p>
      <w:pPr>
        <w:pStyle w:val="37"/>
        <w:numPr>
          <w:ilvl w:val="0"/>
          <w:numId w:val="54"/>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接口类型：HDMI/USB3.0，供电 12V；</w:t>
      </w:r>
    </w:p>
    <w:p>
      <w:pPr>
        <w:pStyle w:val="37"/>
        <w:numPr>
          <w:ilvl w:val="0"/>
          <w:numId w:val="54"/>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显示性能：最多支持双屏同显；</w:t>
      </w:r>
    </w:p>
    <w:p>
      <w:pPr>
        <w:pStyle w:val="37"/>
        <w:numPr>
          <w:ilvl w:val="0"/>
          <w:numId w:val="54"/>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控制方式：支持双向控制，内置白板；</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胶片投屏控制系统</w:t>
      </w:r>
    </w:p>
    <w:p>
      <w:pPr>
        <w:pStyle w:val="37"/>
        <w:numPr>
          <w:ilvl w:val="0"/>
          <w:numId w:val="5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控制功能：支持放大、缩小、对焦、远焦、近焦、灯光、导航、联机、分辨率调节的按键，并支持远程控制；</w:t>
      </w:r>
    </w:p>
    <w:p>
      <w:pPr>
        <w:pStyle w:val="37"/>
        <w:numPr>
          <w:ilvl w:val="0"/>
          <w:numId w:val="5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影像操作功能：可将胶片扫描后存档，可将多张胶片扫描后进行装订、移动、复制、批量生成 PDF，并发送；</w:t>
      </w:r>
    </w:p>
    <w:p>
      <w:pPr>
        <w:pStyle w:val="37"/>
        <w:numPr>
          <w:ilvl w:val="0"/>
          <w:numId w:val="5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图像处理：可对拍摄的图像进行亮度、对比度、饱和度、矫正去黑边、裁剪、水平翻转、垂直翻转、灰度、二值化、反相、浮雕、锐化等处理；</w:t>
      </w:r>
    </w:p>
    <w:p>
      <w:pPr>
        <w:pStyle w:val="37"/>
        <w:numPr>
          <w:ilvl w:val="0"/>
          <w:numId w:val="5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光源：具有两个 LED 辅助灯进行补光，顶灯：支持开关；壁灯：支持三级调光；</w:t>
      </w:r>
    </w:p>
    <w:p>
      <w:pPr>
        <w:pStyle w:val="37"/>
        <w:numPr>
          <w:ilvl w:val="0"/>
          <w:numId w:val="5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影像对比：支持对比教学，可将两张对比展示，可以分别进行旋转，缩放，标注线条，图形、文字操作；</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超高清影像服务器系统</w:t>
      </w:r>
    </w:p>
    <w:p>
      <w:pPr>
        <w:pStyle w:val="37"/>
        <w:numPr>
          <w:ilvl w:val="0"/>
          <w:numId w:val="5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环境标准：诊断环境符合满足 DIN6868-157 中对于环境的要求。环境照度50-100Lux 之间，负效应光角度为 0。色温在4000—6000K 之间，光照均匀，无频闪；</w:t>
      </w:r>
    </w:p>
    <w:p>
      <w:pPr>
        <w:pStyle w:val="37"/>
        <w:numPr>
          <w:ilvl w:val="0"/>
          <w:numId w:val="5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检测管理：具备环境照度检测功能，可实时显示阅片室内环境照度。包括温湿度检测功能，可实时显示阅片室内温湿度。包括 PM2.5 检测功能，可实时显示 PM2.5 含量；</w:t>
      </w:r>
    </w:p>
    <w:p>
      <w:pPr>
        <w:pStyle w:val="37"/>
        <w:numPr>
          <w:ilvl w:val="0"/>
          <w:numId w:val="5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分区控制：每个分区的灯光可单独调节亮度以及控制开关，并且控制方式便捷</w:t>
      </w:r>
      <w:r>
        <w:rPr>
          <w:rFonts w:hint="eastAsia" w:asciiTheme="minorEastAsia" w:hAnsiTheme="minorEastAsia"/>
          <w:b/>
          <w:sz w:val="24"/>
          <w:szCs w:val="24"/>
          <w:lang w:val="zh-CN"/>
        </w:rPr>
        <w:t>，提供软件界面截图</w:t>
      </w:r>
      <w:r>
        <w:rPr>
          <w:rFonts w:hint="eastAsia" w:asciiTheme="minorEastAsia" w:hAnsiTheme="minorEastAsia"/>
          <w:sz w:val="24"/>
          <w:szCs w:val="24"/>
          <w:lang w:val="zh-CN"/>
        </w:rPr>
        <w:t>；</w:t>
      </w:r>
    </w:p>
    <w:p>
      <w:pPr>
        <w:pStyle w:val="37"/>
        <w:numPr>
          <w:ilvl w:val="0"/>
          <w:numId w:val="56"/>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80768" behindDoc="0" locked="0" layoutInCell="1" allowOverlap="1">
                <wp:simplePos x="0" y="0"/>
                <wp:positionH relativeFrom="column">
                  <wp:posOffset>-287020</wp:posOffset>
                </wp:positionH>
                <wp:positionV relativeFrom="paragraph">
                  <wp:posOffset>5080</wp:posOffset>
                </wp:positionV>
                <wp:extent cx="241935" cy="299085"/>
                <wp:effectExtent l="0" t="0" r="5715" b="5715"/>
                <wp:wrapNone/>
                <wp:docPr id="12" name="文本框 14"/>
                <wp:cNvGraphicFramePr/>
                <a:graphic xmlns:a="http://schemas.openxmlformats.org/drawingml/2006/main">
                  <a:graphicData uri="http://schemas.microsoft.com/office/word/2010/wordprocessingShape">
                    <wps:wsp>
                      <wps:cNvSpPr txBox="1"/>
                      <wps:spPr>
                        <a:xfrm>
                          <a:off x="0" y="0"/>
                          <a:ext cx="24193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4" o:spid="_x0000_s1026" o:spt="202" type="#_x0000_t202" style="position:absolute;left:0pt;margin-left:-22.6pt;margin-top:0.4pt;height:23.55pt;width:19.05pt;z-index:251680768;mso-width-relative:margin;mso-height-relative:margin;mso-height-percent:200;" fillcolor="#FFFFFF" filled="t" stroked="f" coordsize="21600,21600" o:gfxdata="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DXXQjV&#10;AAAABgEAAA8AAAAAAAAAAQAgAAAAIgAAAGRycy9kb3ducmV2LnhtbFBLAQIUABQAAAAIAIdO4kD0&#10;PtVlsQEAAEQDAAAOAAAAAAAAAAEAIAAAACQBAABkcnMvZTJvRG9jLnhtbFBLBQYAAAAABgAGAFkB&#10;AABH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情景模式控制：提供阅片情景模式快捷功能，在阅片时，可通过该快捷功能，一键将灯光调节至标准值，并自动关闭窗帘。该模式下的灯光照度值、窗帘状态等信息需在软件界面中提示以方便操作者做出正确的选择，提供软件界面截图提供会诊情景模式快捷功能，在会诊时，可通过该快捷功能，一键将灯光调节至合适状态，并自动打开会诊屏，自动关闭窗帘。该模式下的灯光照度值、窗帘状态、会诊屏状态等信息需在软件界面中提示以方便操作者做出正确操作选择，提供软件界面截图。提供讨论情景模式快捷功能，在讨论时，可通过该快捷功能，一键将灯光调节明亮状态，并打开窗帘。该模式下的灯光照度值、窗帘状态等信息需在软件界面中提示以方便操作者做出正确操作选择，</w:t>
      </w:r>
      <w:r>
        <w:rPr>
          <w:rFonts w:hint="eastAsia" w:asciiTheme="minorEastAsia" w:hAnsiTheme="minorEastAsia"/>
          <w:b/>
          <w:sz w:val="24"/>
          <w:szCs w:val="24"/>
          <w:lang w:val="zh-CN"/>
        </w:rPr>
        <w:t>提供软件界面截图</w:t>
      </w:r>
      <w:r>
        <w:rPr>
          <w:rFonts w:hint="eastAsia" w:asciiTheme="minorEastAsia" w:hAnsiTheme="minorEastAsia"/>
          <w:sz w:val="24"/>
          <w:szCs w:val="24"/>
          <w:lang w:val="zh-CN"/>
        </w:rPr>
        <w:t>；</w:t>
      </w:r>
    </w:p>
    <w:p>
      <w:pPr>
        <w:pStyle w:val="37"/>
        <w:numPr>
          <w:ilvl w:val="0"/>
          <w:numId w:val="56"/>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82816" behindDoc="0" locked="0" layoutInCell="1" allowOverlap="1">
                <wp:simplePos x="0" y="0"/>
                <wp:positionH relativeFrom="column">
                  <wp:posOffset>-287020</wp:posOffset>
                </wp:positionH>
                <wp:positionV relativeFrom="paragraph">
                  <wp:posOffset>5080</wp:posOffset>
                </wp:positionV>
                <wp:extent cx="263525" cy="299085"/>
                <wp:effectExtent l="0" t="0" r="3175" b="5715"/>
                <wp:wrapNone/>
                <wp:docPr id="13" name="文本框 15"/>
                <wp:cNvGraphicFramePr/>
                <a:graphic xmlns:a="http://schemas.openxmlformats.org/drawingml/2006/main">
                  <a:graphicData uri="http://schemas.microsoft.com/office/word/2010/wordprocessingShape">
                    <wps:wsp>
                      <wps:cNvSpPr txBox="1"/>
                      <wps:spPr>
                        <a:xfrm>
                          <a:off x="0" y="0"/>
                          <a:ext cx="26352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5" o:spid="_x0000_s1026" o:spt="202" type="#_x0000_t202" style="position:absolute;left:0pt;margin-left:-22.6pt;margin-top:0.4pt;height:23.55pt;width:20.75pt;z-index:251682816;mso-width-relative:margin;mso-height-relative:margin;mso-height-percent:200;" fillcolor="#FFFFFF" filled="t" stroked="f" coordsize="21600,21600" o:gfxdata="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N+&#10;07LWAAAABgEAAA8AAAAAAAAAAQAgAAAAIgAAAGRycy9kb3ducmV2LnhtbFBLAQIUABQAAAAIAIdO&#10;4kA3dTJ4swEAAEQDAAAOAAAAAAAAAAEAIAAAACUBAABkcnMvZTJvRG9jLnhtbFBLBQYAAAAABgAG&#10;AFkBAABK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自定义模式：系统需提供至少两个自定义模式，当上述情景模式无法满足科室需求时，科室可根据实际情况自行设置，且自定义模式下灯光、窗帘、会诊屏等状态需在软件界面中显示，以方便操作者做出正确操作选择，需提供自定义模式的设置步骤</w:t>
      </w:r>
      <w:r>
        <w:rPr>
          <w:rFonts w:hint="eastAsia" w:asciiTheme="minorEastAsia" w:hAnsiTheme="minorEastAsia"/>
          <w:b/>
          <w:sz w:val="24"/>
          <w:szCs w:val="24"/>
          <w:lang w:val="zh-CN"/>
        </w:rPr>
        <w:t>，配上操作界面截图</w:t>
      </w:r>
      <w:r>
        <w:rPr>
          <w:rFonts w:hint="eastAsia" w:asciiTheme="minorEastAsia" w:hAnsiTheme="minorEastAsia"/>
          <w:sz w:val="24"/>
          <w:szCs w:val="24"/>
          <w:lang w:val="zh-CN"/>
        </w:rPr>
        <w:t>；</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音响</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频率响应：50Hz-20KHz(±3dB)；</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单元数量：LF:1x6.5"(1"voice coil),HF:1x1"(1"voice coil)；</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承受功率：≥60W AES；</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灵敏度：≥92dB；</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最大声压级：112dB/1m；</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标称阻抗：8 ohms；</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指向性：90°Hx60°V；</w:t>
      </w:r>
    </w:p>
    <w:p>
      <w:pPr>
        <w:pStyle w:val="37"/>
        <w:numPr>
          <w:ilvl w:val="0"/>
          <w:numId w:val="5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分频点：2KHz；</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一拖二无线手持话筒</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信号质量：综合失真度：＜0.5%@1 KHz，综合 S/N 比：±105dB（1 KHz-A），最大偏移度：±68KHz，射频稳定性：±0.005%(-10~50℃)；</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灵敏度：在偏移度等于 40KHz，输入 6dBμV 时，S/N80dB；</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载波频段：UHF 频段(721.100MHz~820.600MHz)；</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频带宽度：50MHz；</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频带间隔：200KHz；</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振荡模式：PLL 相位锁定频率合成；</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最大无线传输距离：≥80m；</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输出插座：XLR 平衡式、Ф6.3 不平衡式；</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输入通道音频处理：前级放大、信号发生器、扩展器、压缩器、5 段参量均衡；</w:t>
      </w:r>
    </w:p>
    <w:p>
      <w:pPr>
        <w:pStyle w:val="37"/>
        <w:numPr>
          <w:ilvl w:val="0"/>
          <w:numId w:val="58"/>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输出通道音频处理：31 段图示均衡、延时器、分频器、限幅器；</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智能环境控制系统</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电源：输入电源 DC 24V；</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接口：提供 TCP/IP 网络接口，提供 RS485 控制接口；</w:t>
      </w:r>
    </w:p>
    <w:p>
      <w:pPr>
        <w:pStyle w:val="37"/>
        <w:numPr>
          <w:ilvl w:val="0"/>
          <w:numId w:val="59"/>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通信协议：提供 2 路 EC-NET 总线 A/B，支持 RS485 协议，支持DIN EN 50022 标准导轨；</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控制回路：提供 4 路专业 LED 光源回路的环路控制；</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控制容量：每路总线可带 64 个 ID 设备；</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安全性：高强度弹性热朔外壳，强抗冲击，可回收，强阻燃性；</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控制带宽：4 个模数宽度（一个模数宽度=18mm）；</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处理器：32 位高速嵌入式 ARM 处理器，能高速运行复杂的逻辑指令；</w:t>
      </w:r>
    </w:p>
    <w:p>
      <w:pPr>
        <w:pStyle w:val="37"/>
        <w:numPr>
          <w:ilvl w:val="0"/>
          <w:numId w:val="59"/>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闭环控制：配置环境照度闭环控制功能；</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移动控制终端</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处理器：八核、主频≥1.8GHz（最高可达2.3GHz）；</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系统内存：≥4GB；</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存储：≥32G，支持最大扩展 128GB；</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屏幕尺寸：≥8.4 英寸；</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分辨率：≥2560*1600；</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摄像头：双摄像头（前置：≥800 万像素，后置：≥800 万像素）；</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电源：聚合物锂电池，≥5100 毫安，待机时间≥350 小时；</w:t>
      </w:r>
    </w:p>
    <w:p>
      <w:pPr>
        <w:pStyle w:val="37"/>
        <w:numPr>
          <w:ilvl w:val="0"/>
          <w:numId w:val="60"/>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音频：双立体声扬声器，内置麦克风；</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一体化阅片专用工位</w:t>
      </w:r>
    </w:p>
    <w:p>
      <w:pPr>
        <w:pStyle w:val="37"/>
        <w:numPr>
          <w:ilvl w:val="0"/>
          <w:numId w:val="61"/>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尺寸：≥1.3x0.75（高度可调），尺寸可根据要求定制；</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功能说明：带有电动升降功能，桌面接口单元，布线模组，环境光，万向支臂、背景灯；</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84864" behindDoc="0" locked="0" layoutInCell="1" allowOverlap="1">
                <wp:simplePos x="0" y="0"/>
                <wp:positionH relativeFrom="column">
                  <wp:posOffset>-313690</wp:posOffset>
                </wp:positionH>
                <wp:positionV relativeFrom="paragraph">
                  <wp:posOffset>5080</wp:posOffset>
                </wp:positionV>
                <wp:extent cx="252730" cy="299085"/>
                <wp:effectExtent l="0" t="0" r="13970" b="5715"/>
                <wp:wrapNone/>
                <wp:docPr id="14" name="文本框 16"/>
                <wp:cNvGraphicFramePr/>
                <a:graphic xmlns:a="http://schemas.openxmlformats.org/drawingml/2006/main">
                  <a:graphicData uri="http://schemas.microsoft.com/office/word/2010/wordprocessingShape">
                    <wps:wsp>
                      <wps:cNvSpPr txBox="1"/>
                      <wps:spPr>
                        <a:xfrm>
                          <a:off x="0" y="0"/>
                          <a:ext cx="25273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6" o:spid="_x0000_s1026" o:spt="202" type="#_x0000_t202" style="position:absolute;left:0pt;margin-left:-24.7pt;margin-top:0.4pt;height:23.55pt;width:19.9pt;z-index:251684864;mso-width-relative:margin;mso-height-relative:margin;mso-height-percent:200;" fillcolor="#FFFFFF" filled="t" stroked="f" coordsize="21600,21600" o:gfxdata="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kzly/V&#10;AAAABgEAAA8AAAAAAAAAAQAgAAAAIgAAAGRycy9kb3ducmV2LnhtbFBLAQIUABQAAAAIAIdO4kBo&#10;CW1AsQEAAEQDAAAOAAAAAAAAAAEAIAAAACQBAABkcnMvZTJvRG9jLnhtbFBLBQYAAAAABgAGAFkB&#10;AABH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全向支臂：全方位无死角定位，支臂可实现自由定位，全向可调，+75°~-45°可调俯仰角，支臂由航空铝合金制成，支臂具有液压杆，承重≥20kg；</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环保要求：甲醛含量≤0.5mg/m3；</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桌面接口：桌面预留翻转隐藏式防水接口集成插座，提供电源、USB、电话线等三种以上接口；</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升降功能：支持预设高度功能，可预设高度≥4 个；</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电源管理：阅片桌预留接口给所有的设备供电，无需借助额外的插线板；</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布线要求：采用隐藏式线匣，所有的内部走线均通过专用的布线槽，确保阅片工位干净整洁；</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承重要求：根据机型配置专用电脑主机支架，承重≥30kg，可根据显示器重量调节支臂配重；</w:t>
      </w:r>
    </w:p>
    <w:p>
      <w:pPr>
        <w:pStyle w:val="37"/>
        <w:numPr>
          <w:ilvl w:val="0"/>
          <w:numId w:val="61"/>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座椅要求：采用人体工学座椅；</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86 寸 8M 医用会诊显示系统</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自动校准亮度曲线：显示器可以自动校准亮度曲线，完全符合 dicom3.14标准；</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基本参数：分辨率≧3840×2160，尺寸≧86 英寸，点距≦0.4935 mm×0.4935 mm，</w:t>
      </w:r>
      <w:r>
        <w:rPr>
          <w:rFonts w:hint="eastAsia" w:asciiTheme="minorEastAsia" w:hAnsiTheme="minorEastAsia"/>
          <w:b/>
          <w:sz w:val="24"/>
          <w:szCs w:val="24"/>
          <w:lang w:val="zh-CN"/>
        </w:rPr>
        <w:t>提供产品参数官方网站截图；</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必要参数：最大亮度≧500cd/m²，对比度≧1200：1，响应时间≦8ms，可视角度≥178°(CR＞10)，</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动态校正：显 示 器 LUT 表 可 以 动 态 生 成 ， DICOM 曲 线 可 以 在 150-350cd/m2固定亮度下动态调节；</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曲线误差：显示器内置的 DICOM 曲线和 GAMMA 曲线误差最大误差值＜10%；</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86912" behindDoc="0" locked="0" layoutInCell="1" allowOverlap="1">
                <wp:simplePos x="0" y="0"/>
                <wp:positionH relativeFrom="column">
                  <wp:posOffset>-301625</wp:posOffset>
                </wp:positionH>
                <wp:positionV relativeFrom="paragraph">
                  <wp:posOffset>5080</wp:posOffset>
                </wp:positionV>
                <wp:extent cx="250190" cy="299085"/>
                <wp:effectExtent l="0" t="0" r="16510" b="5715"/>
                <wp:wrapNone/>
                <wp:docPr id="15" name="文本框 17"/>
                <wp:cNvGraphicFramePr/>
                <a:graphic xmlns:a="http://schemas.openxmlformats.org/drawingml/2006/main">
                  <a:graphicData uri="http://schemas.microsoft.com/office/word/2010/wordprocessingShape">
                    <wps:wsp>
                      <wps:cNvSpPr txBox="1"/>
                      <wps:spPr>
                        <a:xfrm>
                          <a:off x="0" y="0"/>
                          <a:ext cx="25019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7" o:spid="_x0000_s1026" o:spt="202" type="#_x0000_t202" style="position:absolute;left:0pt;margin-left:-23.75pt;margin-top:0.4pt;height:23.55pt;width:19.7pt;z-index:251686912;mso-width-relative:margin;mso-height-relative:margin;mso-height-percent:200;" fillcolor="#FFFFFF" filled="t" stroked="f" coordsize="21600,21600" o:gfxdata="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I6DG3V&#10;AAAABgEAAA8AAAAAAAAAAQAgAAAAIgAAAGRycy9kb3ducmV2LnhtbFBLAQIUABQAAAAIAIdO4kCS&#10;qRJosQEAAEQDAAAOAAAAAAAAAAEAIAAAACQBAABkcnMvZTJvRG9jLnhtbFBLBQYAAAAABgAGAFkB&#10;AABH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彩色灰阶自适应校正：显示器可以对医学彩色和灰阶图像自动校准，保证显示器在同时显示彩色图像和灰阶图像的时候，可以分别对彩色图像调用 GAMMA 曲线校正，灰阶图像调用 DICOM 曲线校正，</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亮度均匀性：显示器具有亮度均匀性调节功能，确保全屏幕亮度均衡；</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色彩：色彩度≧281.47Trillion Colors(48bit)，</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88960" behindDoc="0" locked="0" layoutInCell="1" allowOverlap="1">
                <wp:simplePos x="0" y="0"/>
                <wp:positionH relativeFrom="column">
                  <wp:posOffset>-291465</wp:posOffset>
                </wp:positionH>
                <wp:positionV relativeFrom="paragraph">
                  <wp:posOffset>5080</wp:posOffset>
                </wp:positionV>
                <wp:extent cx="241935" cy="299085"/>
                <wp:effectExtent l="0" t="0" r="5715" b="5715"/>
                <wp:wrapNone/>
                <wp:docPr id="16" name="文本框 18"/>
                <wp:cNvGraphicFramePr/>
                <a:graphic xmlns:a="http://schemas.openxmlformats.org/drawingml/2006/main">
                  <a:graphicData uri="http://schemas.microsoft.com/office/word/2010/wordprocessingShape">
                    <wps:wsp>
                      <wps:cNvSpPr txBox="1"/>
                      <wps:spPr>
                        <a:xfrm>
                          <a:off x="0" y="0"/>
                          <a:ext cx="24193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8" o:spid="_x0000_s1026" o:spt="202" type="#_x0000_t202" style="position:absolute;left:0pt;margin-left:-22.95pt;margin-top:0.4pt;height:23.55pt;width:19.05pt;z-index:251688960;mso-width-relative:margin;mso-height-relative:margin;mso-height-percent:200;" fillcolor="#FFFFFF" filled="t" stroked="f" coordsize="21600,21600" o:gfxdata="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MWJq&#10;1gAAAAYBAAAPAAAAAAAAAAEAIAAAACIAAABkcnMvZG93bnJldi54bWxQSwECFAAUAAAACACHTuJA&#10;pc5N2bEBAABEAwAADgAAAAAAAAABACAAAAAlAQAAZHJzL2Uyb0RvYy54bWxQSwUGAAAAAAYABgBZ&#10;AQAASAU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视频端口：输入端口：Single-link DVI×2，Dual-link DVI-D×2，DP×1，HDMI×2，VGA ×1，最大分辨率可支持3840*2160@60Hz；输出端口：DP × 1(通道环出，通过显示器的 DP 输出接口，可以将 DP 输入的显示画面无损输出的远端的其他显示器上)；HDMI 1.4 × 1(屏幕环出，通过显示器的 HDMI 输出接口，可以将显示器全屏幕画面输出到远端的其他显示器上，可以选择 1080P 或者 4k2k)；</w:t>
      </w:r>
      <w:r>
        <w:rPr>
          <w:rFonts w:hint="eastAsia" w:asciiTheme="minorEastAsia" w:hAnsiTheme="minorEastAsia"/>
          <w:b/>
          <w:sz w:val="24"/>
          <w:szCs w:val="24"/>
          <w:lang w:val="zh-CN"/>
        </w:rPr>
        <w:t>提供产品说明书内视频接口示意图(并加盖公章)，提供官方网站截图</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 xml:space="preserve">USB 接口：USB-B≥6,USB-A≥1，提供产品说明书 USB </w:t>
      </w:r>
      <w:r>
        <w:rPr>
          <w:rFonts w:hint="eastAsia" w:asciiTheme="minorEastAsia" w:hAnsiTheme="minorEastAsia"/>
          <w:b/>
          <w:sz w:val="24"/>
          <w:szCs w:val="24"/>
          <w:lang w:val="zh-CN"/>
        </w:rPr>
        <w:t>接口示意图(并加盖公章</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音响：内置音响数≥2，功率≥10W；</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91008" behindDoc="0" locked="0" layoutInCell="1" allowOverlap="1">
                <wp:simplePos x="0" y="0"/>
                <wp:positionH relativeFrom="column">
                  <wp:posOffset>-301625</wp:posOffset>
                </wp:positionH>
                <wp:positionV relativeFrom="paragraph">
                  <wp:posOffset>5080</wp:posOffset>
                </wp:positionV>
                <wp:extent cx="228600" cy="289560"/>
                <wp:effectExtent l="0" t="0" r="0" b="15240"/>
                <wp:wrapNone/>
                <wp:docPr id="17" name="文本框 19"/>
                <wp:cNvGraphicFramePr/>
                <a:graphic xmlns:a="http://schemas.openxmlformats.org/drawingml/2006/main">
                  <a:graphicData uri="http://schemas.microsoft.com/office/word/2010/wordprocessingShape">
                    <wps:wsp>
                      <wps:cNvSpPr txBox="1"/>
                      <wps:spPr>
                        <a:xfrm>
                          <a:off x="0" y="0"/>
                          <a:ext cx="228600" cy="289560"/>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9" o:spid="_x0000_s1026" o:spt="202" type="#_x0000_t202" style="position:absolute;left:0pt;margin-left:-23.75pt;margin-top:0.4pt;height:22.8pt;width:18pt;z-index:251691008;mso-width-relative:margin;mso-height-relative:margin;mso-height-percent:200;" fillcolor="#FFFFFF" filled="t" stroked="f" coordsize="21600,21600" o:gfxdata="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hcZ&#10;utUAAAAHAQAADwAAAAAAAAABACAAAAAiAAAAZHJzL2Rvd25yZXYueG1sUEsBAhQAFAAAAAgAh07i&#10;QFjMyEGzAQAARAMAAA4AAAAAAAAAAQAgAAAAJAEAAGRycy9lMm9Eb2MueG1sUEsFBgAAAAAGAAYA&#10;WQEAAEkFA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多视窗显示：显示器具有多个视频输入接口，支持多视窗同时显示，支持单视窗，双视窗，三视窗和四视窗一键快速切换，最多同时显示 4 幅画面，方便使用科室开展疑难病历讨论、会议、教学或者远程医疗活动，</w:t>
      </w:r>
      <w:r>
        <w:rPr>
          <w:rFonts w:hint="eastAsia" w:asciiTheme="minorEastAsia" w:hAnsiTheme="minorEastAsia"/>
          <w:b/>
          <w:sz w:val="24"/>
          <w:szCs w:val="24"/>
          <w:lang w:val="zh-CN"/>
        </w:rPr>
        <w:t>提供产品功能官方网站截图</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触摸操作：红外触摸，使用手套、手指、笔或其他棒状物品，最大支持 10 点触摸，触摸反应速度≤50ms；</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激光笔功能：显示器可跟随图形显示，模拟激光笔功能，指示讲解内容</w:t>
      </w:r>
      <w:r>
        <w:rPr>
          <w:rFonts w:hint="eastAsia" w:asciiTheme="minorEastAsia" w:hAnsiTheme="minorEastAsia"/>
          <w:b/>
          <w:sz w:val="24"/>
          <w:szCs w:val="24"/>
          <w:lang w:val="zh-CN"/>
        </w:rPr>
        <w:t>，提供显示器功能演示照片以及使用说明；</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聚光灯功能：显示器可以突出显示病灶区域，通过显示器触控按键快速打开聚光灯，形状可切换成圆形或矩形，提尺寸≥3 种，提供显示器聚光灯功能演示照片；</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环境光自适应：显示器可根据环境光自适应调整亮度，可以侦测使用环境的环境光数据，进一步调节显示器的显示效果，更符合人眼观察能力，展现图像，应用于各种亮度环境下，</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音频接口：音频输入：DP Audio input × 1、HDMI Audio input × 2、3.5mm Mic in × 1、3.5mm Line in ×2；音频输出：3.5mm Line out × 2、3.5mm IIS out × 1提供产品说明书音频接口</w:t>
      </w:r>
      <w:r>
        <w:rPr>
          <w:rFonts w:hint="eastAsia" w:asciiTheme="minorEastAsia" w:hAnsiTheme="minorEastAsia"/>
          <w:b/>
          <w:sz w:val="24"/>
          <w:szCs w:val="24"/>
          <w:lang w:val="zh-CN"/>
        </w:rPr>
        <w:t>示意图(并加盖公章)，提供官方网站截图</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升降功能：1862mm≤整机高度≤2362mm，高度调整支持电动升降，可通过遥控器或升降按钮调整显示器高度，</w:t>
      </w:r>
      <w:r>
        <w:rPr>
          <w:rFonts w:hint="eastAsia" w:asciiTheme="minorEastAsia" w:hAnsiTheme="minorEastAsia"/>
          <w:b/>
          <w:sz w:val="24"/>
          <w:szCs w:val="24"/>
          <w:lang w:val="zh-CN"/>
        </w:rPr>
        <w:t>提供显示器高度范围官方网站截图，提供电动升降功能的产品说明书复印件并加盖公章</w:t>
      </w:r>
      <w:r>
        <w:rPr>
          <w:rFonts w:hint="eastAsia" w:asciiTheme="minorEastAsia" w:hAnsiTheme="minorEastAsia"/>
          <w:sz w:val="24"/>
          <w:szCs w:val="24"/>
          <w:lang w:val="zh-CN"/>
        </w:rPr>
        <w:t>；</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遥控功能：具有遥控功能，可进行开关机，聚光灯开关，显示器电动升降，视频模式切换，信号切换，音频开关，音量调节等，</w:t>
      </w:r>
      <w:r>
        <w:rPr>
          <w:rFonts w:hint="eastAsia" w:asciiTheme="minorEastAsia" w:hAnsiTheme="minorEastAsia"/>
          <w:b/>
          <w:sz w:val="24"/>
          <w:szCs w:val="24"/>
          <w:lang w:val="zh-CN"/>
        </w:rPr>
        <w:t>提供遥控器使用说明复印件并加盖公章；</w:t>
      </w:r>
    </w:p>
    <w:p>
      <w:pPr>
        <w:pStyle w:val="37"/>
        <w:numPr>
          <w:ilvl w:val="0"/>
          <w:numId w:val="62"/>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原厂生产：投标产品为原厂生产，非 OEM 产品；</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6M 彩色诊断显示器</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自动校准亮度曲线：显示器可以自动校准亮度曲线，完全符合 dicom3.14 标准；</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基本参数：≧30 英寸，分辨率≧3280×2048，点距≦0.197×0.197mm，最大亮度≧800cd/m²，对比度≧1000：1 ，响应时间≦30ms（Ton≤15s，Toff≤15ms），可视角度≥170°（CR≥10），</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动态校正：显示器 LUT 表可以动态生成，DICOM 曲线可以在200-500cd/m2 固定亮度下动态调节；</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亮度均匀性：显示器具有亮度均匀性调节功能，确保全屏幕亮度均衡；</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色彩度：≧4.398Trillion(42bit)，</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视频端口：输入接口：DVI-D×1、DP×1；输出接口：DP×1。提供产品说明书内显示器接口示意图(并加盖公章)，</w:t>
      </w:r>
      <w:r>
        <w:rPr>
          <w:rFonts w:hint="eastAsia" w:asciiTheme="minorEastAsia" w:hAnsiTheme="minorEastAsia"/>
          <w:b/>
          <w:sz w:val="24"/>
          <w:szCs w:val="24"/>
          <w:lang w:val="zh-CN"/>
        </w:rPr>
        <w:t>提供官方网站截图</w:t>
      </w:r>
      <w:r>
        <w:rPr>
          <w:rFonts w:hint="eastAsia" w:asciiTheme="minorEastAsia" w:hAnsiTheme="minorEastAsia"/>
          <w:sz w:val="24"/>
          <w:szCs w:val="24"/>
          <w:lang w:val="zh-CN"/>
        </w:rPr>
        <w:t>；</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显卡：提供双头 PCIe 接口专业显卡，显卡内存≧1G；</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观片灯功能：显示器具有自动切换阅片灯模式的功能，可通过触控按键快速打开观片灯模式，方便医生查看胶片；</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前置感光功能：显示器具有前置感光探头，可控制该探头前实时监测显示器；输出亮度，并对 DICOM 进行精确校正；</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人体感应：显示器前方具有两个生命体探头，可探测前方是否有使用人员，自动待机或唤醒显示器，用于消除医用显示器残影并自行保养延长显示器寿命，并更好地实现节能；</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环境光自适应：显示器可根据环境光自适应调整亮度，可以侦测使用环境的环境光数据，进一步调节显示器的显示效果，更符合人眼观察能力，展现图像，应用于各种亮度环境下，</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亮度快捷切换：显示器可通过触控按键一键切换亮度，方便医生在高亮度下观察图像细节，</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93056" behindDoc="0" locked="0" layoutInCell="1" allowOverlap="1">
                <wp:simplePos x="0" y="0"/>
                <wp:positionH relativeFrom="column">
                  <wp:posOffset>-281305</wp:posOffset>
                </wp:positionH>
                <wp:positionV relativeFrom="paragraph">
                  <wp:posOffset>5080</wp:posOffset>
                </wp:positionV>
                <wp:extent cx="231140" cy="299085"/>
                <wp:effectExtent l="0" t="0" r="16510" b="5715"/>
                <wp:wrapNone/>
                <wp:docPr id="18" name="文本框 20"/>
                <wp:cNvGraphicFramePr/>
                <a:graphic xmlns:a="http://schemas.openxmlformats.org/drawingml/2006/main">
                  <a:graphicData uri="http://schemas.microsoft.com/office/word/2010/wordprocessingShape">
                    <wps:wsp>
                      <wps:cNvSpPr txBox="1"/>
                      <wps:spPr>
                        <a:xfrm>
                          <a:off x="0" y="0"/>
                          <a:ext cx="23114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0" o:spid="_x0000_s1026" o:spt="202" type="#_x0000_t202" style="position:absolute;left:0pt;margin-left:-22.15pt;margin-top:0.4pt;height:23.55pt;width:18.2pt;z-index:251693056;mso-width-relative:margin;mso-height-relative:margin;mso-height-percent:200;" fillcolor="#FFFFFF" filled="t" stroked="f" coordsize="21600,21600" o:gfxdata="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1FfGD1QAA&#10;AAYBAAAPAAAAAAAAAAEAIAAAACIAAABkcnMvZG93bnJldi54bWxQSwECFAAUAAAACACHTuJA/xqA&#10;Ka8BAABEAwAADgAAAAAAAAABACAAAAAkAQAAZHJzL2Uyb0RvYy54bWxQSwUGAAAAAAYABgBZAQAA&#10;RQU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彩色灰阶自适应校正：显示器可以对医学彩色和灰阶图像自动校准，保证显示器在同时显示彩色图像和灰阶图像的时候，可以分别对彩色图像调用 GAMMA 曲线校正，灰阶图像调用 DICOM 曲线校正，</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3"/>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原厂生产：投标产品为原厂生产，非 OEM 产品；</w:t>
      </w: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8M 彩色诊断显示器</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亮度和曲线自动校准：显示器可以自动校准亮度曲线，完全符合 dicom3.14 标准；</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95104" behindDoc="0" locked="0" layoutInCell="1" allowOverlap="1">
                <wp:simplePos x="0" y="0"/>
                <wp:positionH relativeFrom="column">
                  <wp:posOffset>-300355</wp:posOffset>
                </wp:positionH>
                <wp:positionV relativeFrom="paragraph">
                  <wp:posOffset>12065</wp:posOffset>
                </wp:positionV>
                <wp:extent cx="250190" cy="299085"/>
                <wp:effectExtent l="0" t="0" r="16510" b="5715"/>
                <wp:wrapNone/>
                <wp:docPr id="19" name="文本框 21"/>
                <wp:cNvGraphicFramePr/>
                <a:graphic xmlns:a="http://schemas.openxmlformats.org/drawingml/2006/main">
                  <a:graphicData uri="http://schemas.microsoft.com/office/word/2010/wordprocessingShape">
                    <wps:wsp>
                      <wps:cNvSpPr txBox="1"/>
                      <wps:spPr>
                        <a:xfrm>
                          <a:off x="0" y="0"/>
                          <a:ext cx="25019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1" o:spid="_x0000_s1026" o:spt="202" type="#_x0000_t202" style="position:absolute;left:0pt;margin-left:-23.65pt;margin-top:0.95pt;height:23.55pt;width:19.7pt;z-index:251695104;mso-width-relative:margin;mso-height-relative:margin;mso-height-percent:200;" fillcolor="#FFFFFF" filled="t" stroked="f" coordsize="21600,21600" o:gfxdata="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aKCU9UA&#10;AAAHAQAADwAAAAAAAAABACAAAAAiAAAAZHJzL2Rvd25yZXYueG1sUEsBAhQAFAAAAAgAh07iQFF1&#10;sdiwAQAARAMAAA4AAAAAAAAAAQAgAAAAJAEAAGRycy9lMm9Eb2MueG1sUEsFBgAAAAAGAAYAWQEA&#10;AEYFA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基本参数：≧31.5英寸 ，分辨率≧3840×2160 ，点距≦0.18159×0.18159mm，</w:t>
      </w:r>
      <w:r>
        <w:rPr>
          <w:rFonts w:hint="eastAsia" w:asciiTheme="minorEastAsia" w:hAnsiTheme="minorEastAsia"/>
          <w:b/>
          <w:sz w:val="24"/>
          <w:szCs w:val="24"/>
          <w:lang w:val="zh-CN"/>
        </w:rPr>
        <w:t>提供产品参数官方网站截图；</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97152" behindDoc="0" locked="0" layoutInCell="1" allowOverlap="1">
                <wp:simplePos x="0" y="0"/>
                <wp:positionH relativeFrom="column">
                  <wp:posOffset>-300355</wp:posOffset>
                </wp:positionH>
                <wp:positionV relativeFrom="paragraph">
                  <wp:posOffset>5080</wp:posOffset>
                </wp:positionV>
                <wp:extent cx="241935" cy="299085"/>
                <wp:effectExtent l="0" t="0" r="5715" b="5715"/>
                <wp:wrapNone/>
                <wp:docPr id="20" name="文本框 22"/>
                <wp:cNvGraphicFramePr/>
                <a:graphic xmlns:a="http://schemas.openxmlformats.org/drawingml/2006/main">
                  <a:graphicData uri="http://schemas.microsoft.com/office/word/2010/wordprocessingShape">
                    <wps:wsp>
                      <wps:cNvSpPr txBox="1"/>
                      <wps:spPr>
                        <a:xfrm>
                          <a:off x="0" y="0"/>
                          <a:ext cx="24193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2" o:spid="_x0000_s1026" o:spt="202" type="#_x0000_t202" style="position:absolute;left:0pt;margin-left:-23.65pt;margin-top:0.4pt;height:23.55pt;width:19.05pt;z-index:251697152;mso-width-relative:margin;mso-height-relative:margin;mso-height-percent:200;" fillcolor="#FFFFFF" filled="t" stroked="f" coordsize="21600,21600" o:gfxdata="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YPP&#10;wtYAAAAGAQAADwAAAAAAAAABACAAAAAiAAAAZHJzL2Rvd25yZXYueG1sUEsBAhQAFAAAAAgAh07i&#10;QPJItbyyAQAARAMAAA4AAAAAAAAAAQAgAAAAJQEAAGRycy9lMm9Eb2MueG1sUEsFBgAAAAAGAAYA&#10;WQEAAEkFA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必要参数：最大亮度≧1000cd/m²，最大校正亮度≥1000cd/m²，对比度≧1300：1，响应时间≦14ms，可视角度≥178°，</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亮度均匀性：显示器具有亮度均匀性调节功能，确保全屏幕亮度均衡；</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色彩：显示器色彩度≧4.398Trillion Colors(42bit)，</w:t>
      </w:r>
      <w:r>
        <w:rPr>
          <w:rFonts w:hint="eastAsia" w:asciiTheme="minorEastAsia" w:hAnsiTheme="minorEastAsia"/>
          <w:b/>
          <w:sz w:val="24"/>
          <w:szCs w:val="24"/>
          <w:lang w:val="zh-CN"/>
        </w:rPr>
        <w:t>提供产品参数官方网站截图；</w:t>
      </w:r>
    </w:p>
    <w:p>
      <w:pPr>
        <w:pStyle w:val="37"/>
        <w:numPr>
          <w:ilvl w:val="0"/>
          <w:numId w:val="64"/>
        </w:numPr>
        <w:tabs>
          <w:tab w:val="left" w:pos="851"/>
        </w:tabs>
        <w:spacing w:line="360" w:lineRule="auto"/>
        <w:ind w:left="851" w:hanging="851" w:firstLineChars="0"/>
        <w:jc w:val="left"/>
        <w:rPr>
          <w:rFonts w:asciiTheme="minorEastAsia" w:hAnsiTheme="minorEastAsia"/>
          <w:b/>
          <w:sz w:val="24"/>
          <w:szCs w:val="24"/>
          <w:lang w:val="zh-CN"/>
        </w:rPr>
      </w:pPr>
      <w:r>
        <w:rPr>
          <w:rFonts w:hint="eastAsia" w:asciiTheme="minorEastAsia" w:hAnsiTheme="minorEastAsia"/>
          <w:sz w:val="24"/>
          <w:szCs w:val="24"/>
          <w:lang w:val="zh-CN"/>
        </w:rPr>
        <w:t>视频输入端口：DVI-D×1、DP×2，</w:t>
      </w:r>
      <w:r>
        <w:rPr>
          <w:rFonts w:hint="eastAsia" w:asciiTheme="minorEastAsia" w:hAnsiTheme="minorEastAsia"/>
          <w:b/>
          <w:sz w:val="24"/>
          <w:szCs w:val="24"/>
          <w:lang w:val="zh-CN"/>
        </w:rPr>
        <w:t>提供产品说明书内显示器接口示意图(并加盖公章)，提供官方网站截图；</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环境光补偿：显示器可根据环境光自适应调整亮度，可以侦测使用环境的环境光数据，进一步调节显示器的显示效果，更符合人眼观察能力，展现图像，应用于各种亮度环境下，</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观片灯功能：显示器具有自动切换阅片灯模式的功能，可通过触控按键快速打开观片灯模式，方便医生查看胶片；</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699200" behindDoc="0" locked="0" layoutInCell="1" allowOverlap="1">
                <wp:simplePos x="0" y="0"/>
                <wp:positionH relativeFrom="column">
                  <wp:posOffset>-297815</wp:posOffset>
                </wp:positionH>
                <wp:positionV relativeFrom="paragraph">
                  <wp:posOffset>13335</wp:posOffset>
                </wp:positionV>
                <wp:extent cx="263525" cy="299085"/>
                <wp:effectExtent l="0" t="0" r="3175" b="5715"/>
                <wp:wrapNone/>
                <wp:docPr id="21" name="文本框 23"/>
                <wp:cNvGraphicFramePr/>
                <a:graphic xmlns:a="http://schemas.openxmlformats.org/drawingml/2006/main">
                  <a:graphicData uri="http://schemas.microsoft.com/office/word/2010/wordprocessingShape">
                    <wps:wsp>
                      <wps:cNvSpPr txBox="1"/>
                      <wps:spPr>
                        <a:xfrm>
                          <a:off x="0" y="0"/>
                          <a:ext cx="26352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3" o:spid="_x0000_s1026" o:spt="202" type="#_x0000_t202" style="position:absolute;left:0pt;margin-left:-23.45pt;margin-top:1.05pt;height:23.55pt;width:20.75pt;z-index:251699200;mso-width-relative:margin;mso-height-relative:margin;mso-height-percent:200;" fillcolor="#FFFFFF" filled="t" stroked="f" coordsize="21600,21600" o:gfxdata="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Lv&#10;PZDWAAAABwEAAA8AAAAAAAAAAQAgAAAAIgAAAGRycy9kb3ducmV2LnhtbFBLAQIUABQAAAAIAIdO&#10;4kAxA1KhswEAAEQDAAAOAAAAAAAAAAEAIAAAACUBAABkcnMvZTJvRG9jLnhtbFBLBQYAAAAABgAG&#10;AFkBAABK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亮度快捷控制：显示器可通过触控按键一键切换亮度，方便医生在高亮度下观察图像细节，</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701248" behindDoc="0" locked="0" layoutInCell="1" allowOverlap="1">
                <wp:simplePos x="0" y="0"/>
                <wp:positionH relativeFrom="column">
                  <wp:posOffset>-274320</wp:posOffset>
                </wp:positionH>
                <wp:positionV relativeFrom="paragraph">
                  <wp:posOffset>5080</wp:posOffset>
                </wp:positionV>
                <wp:extent cx="240030" cy="299085"/>
                <wp:effectExtent l="0" t="0" r="7620" b="5715"/>
                <wp:wrapNone/>
                <wp:docPr id="22" name="文本框 24"/>
                <wp:cNvGraphicFramePr/>
                <a:graphic xmlns:a="http://schemas.openxmlformats.org/drawingml/2006/main">
                  <a:graphicData uri="http://schemas.microsoft.com/office/word/2010/wordprocessingShape">
                    <wps:wsp>
                      <wps:cNvSpPr txBox="1"/>
                      <wps:spPr>
                        <a:xfrm>
                          <a:off x="0" y="0"/>
                          <a:ext cx="24003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4" o:spid="_x0000_s1026" o:spt="202" type="#_x0000_t202" style="position:absolute;left:0pt;margin-left:-21.6pt;margin-top:0.4pt;height:23.55pt;width:18.9pt;z-index:251701248;mso-width-relative:margin;mso-height-relative:margin;mso-height-percent:200;" fillcolor="#FFFFFF" filled="t" stroked="f" coordsize="21600,21600" o:gfxdata="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S4x0&#10;1QAAAAYBAAAPAAAAAAAAAAEAIAAAACIAAABkcnMvZG93bnJldi54bWxQSwECFAAUAAAACACHTuJA&#10;vsRT6LIBAABEAwAADgAAAAAAAAABACAAAAAkAQAAZHJzL2Uyb0RvYy54bWxQSwUGAAAAAAYABgBZ&#10;AQAASAU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彩色灰阶自适应校正：显示器可以对医学彩色和灰阶图像自动校准，保证显示器在同时显示彩色图像和灰阶图像的时候，可以分别对彩色图像调用 GAMMA 曲线校正，灰阶图像调用 DICOM 曲线校正，</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远程质量管理和控制：提供远程质量控制体系软件WEBQA，可对显示器定时进行DICOM曲线检测，并提供书面检测报告，告知用户显示器是否合规；</w:t>
      </w:r>
    </w:p>
    <w:p>
      <w:pPr>
        <w:pStyle w:val="37"/>
        <w:numPr>
          <w:ilvl w:val="0"/>
          <w:numId w:val="64"/>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原厂生产：投标产品为原厂生产，非 OEM 产品；</w:t>
      </w:r>
    </w:p>
    <w:p>
      <w:pPr>
        <w:pStyle w:val="37"/>
        <w:tabs>
          <w:tab w:val="left" w:pos="851"/>
        </w:tabs>
        <w:spacing w:line="360" w:lineRule="auto"/>
        <w:ind w:left="851" w:firstLine="0" w:firstLineChars="0"/>
        <w:jc w:val="left"/>
        <w:rPr>
          <w:rFonts w:asciiTheme="minorEastAsia" w:hAnsiTheme="minorEastAsia"/>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3M 灰阶诊断显示器</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亮度和曲线自动校准：显示器具有亮度及曲线自动校准功能，完全符合dicom3.14标准；</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基本参数：≧21.3英寸 ，分辨率≧2048×1536 ，点距≦0.2109×0.2109mm，</w:t>
      </w:r>
      <w:r>
        <w:rPr>
          <w:rFonts w:hint="eastAsia" w:asciiTheme="minorEastAsia" w:hAnsiTheme="minorEastAsia"/>
          <w:b/>
          <w:sz w:val="24"/>
          <w:szCs w:val="24"/>
          <w:lang w:val="zh-CN"/>
        </w:rPr>
        <w:t>提供产品参数官方网站截图；</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703296" behindDoc="0" locked="0" layoutInCell="1" allowOverlap="1">
                <wp:simplePos x="0" y="0"/>
                <wp:positionH relativeFrom="column">
                  <wp:posOffset>-274320</wp:posOffset>
                </wp:positionH>
                <wp:positionV relativeFrom="paragraph">
                  <wp:posOffset>42545</wp:posOffset>
                </wp:positionV>
                <wp:extent cx="260350" cy="299085"/>
                <wp:effectExtent l="0" t="0" r="6350" b="5715"/>
                <wp:wrapNone/>
                <wp:docPr id="23" name="文本框 25"/>
                <wp:cNvGraphicFramePr/>
                <a:graphic xmlns:a="http://schemas.openxmlformats.org/drawingml/2006/main">
                  <a:graphicData uri="http://schemas.microsoft.com/office/word/2010/wordprocessingShape">
                    <wps:wsp>
                      <wps:cNvSpPr txBox="1"/>
                      <wps:spPr>
                        <a:xfrm>
                          <a:off x="0" y="0"/>
                          <a:ext cx="26035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5" o:spid="_x0000_s1026" o:spt="202" type="#_x0000_t202" style="position:absolute;left:0pt;margin-left:-21.6pt;margin-top:3.35pt;height:23.55pt;width:20.5pt;z-index:251703296;mso-width-relative:margin;mso-height-relative:margin;mso-height-percent:200;" fillcolor="#FFFFFF" filled="t" stroked="f" coordsize="21600,21600" o:gfxdata="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M+9&#10;2NUAAAAHAQAADwAAAAAAAAABACAAAAAiAAAAZHJzL2Rvd25yZXYueG1sUEsBAhQAFAAAAAgAh07i&#10;QBOjhJ2zAQAARAMAAA4AAAAAAAAAAQAgAAAAJAEAAGRycy9lMm9Eb2MueG1sUEsFBgAAAAAGAAYA&#10;WQEAAEkFA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必要参数：最大亮度≧2000cd/m²，最大校正亮度≥1000cd/m²，对比度≧1700：1，响应时间≦20ms，可视角度≥178°，</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曲线误差：显示器内置的 DICOM 曲线和 GAMMA 曲线误差最大误差值＜10%；</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亮度均匀性：显示器具有亮度均匀性调节功能，确保全屏幕亮度均衡；</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灰阶≧16384(14bit)，</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视频输入端口：DVI-D×1、DP×1，提供产品说明书内显示器接口示意图(并加盖公章)，</w:t>
      </w:r>
      <w:r>
        <w:rPr>
          <w:rFonts w:hint="eastAsia" w:asciiTheme="minorEastAsia" w:hAnsiTheme="minorEastAsia"/>
          <w:b/>
          <w:sz w:val="24"/>
          <w:szCs w:val="24"/>
          <w:lang w:val="zh-CN"/>
        </w:rPr>
        <w:t>提供官方网站截图</w:t>
      </w:r>
      <w:r>
        <w:rPr>
          <w:rFonts w:hint="eastAsia" w:asciiTheme="minorEastAsia" w:hAnsiTheme="minorEastAsia"/>
          <w:sz w:val="24"/>
          <w:szCs w:val="24"/>
          <w:lang w:val="zh-CN"/>
        </w:rPr>
        <w:t>；</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显卡：提供双头 PCIe 接口专业显卡，显卡内存≧1G；</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观片灯功能：显示器具有自动切换阅片灯模式的功能，可通过触控按键快速打开观片灯模式，方便医生查看胶片；</w:t>
      </w:r>
    </w:p>
    <w:p>
      <w:pPr>
        <w:pStyle w:val="37"/>
        <w:numPr>
          <w:ilvl w:val="0"/>
          <w:numId w:val="65"/>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原厂生产：投标产品为原厂生产，非 OEM 产品；</w:t>
      </w:r>
    </w:p>
    <w:p>
      <w:pPr>
        <w:pStyle w:val="37"/>
        <w:tabs>
          <w:tab w:val="left" w:pos="851"/>
        </w:tabs>
        <w:spacing w:line="360" w:lineRule="auto"/>
        <w:ind w:left="851" w:firstLine="0" w:firstLineChars="0"/>
        <w:jc w:val="left"/>
        <w:rPr>
          <w:b/>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5M 灰阶诊断显示器</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自动校准亮度曲线：显示器可以自动校准亮度曲线，完全符合 dicom3.14 标准；</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基本参数：≧21.3 英寸，分辨率≧2560×2048(横屏)/2048×2560(竖屏)，点距≦0.165×0.165mm，</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ascii="宋体" w:hAnsi="宋体"/>
          <w:b/>
          <w:color w:val="000000"/>
          <w:szCs w:val="21"/>
        </w:rPr>
        <mc:AlternateContent>
          <mc:Choice Requires="wps">
            <w:drawing>
              <wp:anchor distT="0" distB="0" distL="114300" distR="114300" simplePos="0" relativeHeight="251705344" behindDoc="0" locked="0" layoutInCell="1" allowOverlap="1">
                <wp:simplePos x="0" y="0"/>
                <wp:positionH relativeFrom="column">
                  <wp:posOffset>-255905</wp:posOffset>
                </wp:positionH>
                <wp:positionV relativeFrom="paragraph">
                  <wp:posOffset>5080</wp:posOffset>
                </wp:positionV>
                <wp:extent cx="241935" cy="299085"/>
                <wp:effectExtent l="0" t="0" r="5715" b="5715"/>
                <wp:wrapNone/>
                <wp:docPr id="24" name="文本框 26"/>
                <wp:cNvGraphicFramePr/>
                <a:graphic xmlns:a="http://schemas.openxmlformats.org/drawingml/2006/main">
                  <a:graphicData uri="http://schemas.microsoft.com/office/word/2010/wordprocessingShape">
                    <wps:wsp>
                      <wps:cNvSpPr txBox="1"/>
                      <wps:spPr>
                        <a:xfrm>
                          <a:off x="0" y="0"/>
                          <a:ext cx="241935"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6" o:spid="_x0000_s1026" o:spt="202" type="#_x0000_t202" style="position:absolute;left:0pt;margin-left:-20.15pt;margin-top:0.4pt;height:23.55pt;width:19.05pt;z-index:251705344;mso-width-relative:margin;mso-height-relative:margin;mso-height-percent:200;" fillcolor="#FFFFFF" filled="t" stroked="f" coordsize="21600,21600" o:gfxdata="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7w&#10;HNUAAAAGAQAADwAAAAAAAAABACAAAAAiAAAAZHJzL2Rvd25yZXYueG1sUEsBAhQAFAAAAAgAh07i&#10;QPEa93uzAQAARAMAAA4AAAAAAAAAAQAgAAAAJAEAAGRycy9lMm9Eb2MueG1sUEsFBgAAAAAGAAYA&#10;WQEAAEkFA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必要参数：最大亮度≧1200cd/m²，最大校正亮度≥800cd/m²，对比度≧1200：1，响应时间≦25ms（Ton≤15s，Toff≤10ms），可视角度≥170°，</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内置曲线：显示器内置多个亮度条件下的 dicom 校正曲线，包括 1000、800、700、600、550、500、450、400、350、250cd/㎡，另外内置 DSA、DSI、CT/MRI、GAMMA2.2、GAMMA2.4、GAMMA2.6曲线；</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曲线误差：显示器内置的 DICOM 曲线误差值±5%；</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亮度均匀性：显示器具有亮度均匀性调节功能，确保全屏幕亮度均衡；</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灰阶≧65536(16bit)，</w:t>
      </w:r>
      <w:r>
        <w:rPr>
          <w:rFonts w:hint="eastAsia" w:asciiTheme="minorEastAsia" w:hAnsiTheme="minorEastAsia"/>
          <w:b/>
          <w:sz w:val="24"/>
          <w:szCs w:val="24"/>
          <w:lang w:val="zh-CN"/>
        </w:rPr>
        <w:t>提供产品参数官方网站截图</w:t>
      </w:r>
      <w:r>
        <w:rPr>
          <w:rFonts w:hint="eastAsia" w:asciiTheme="minorEastAsia" w:hAnsiTheme="minorEastAsia"/>
          <w:sz w:val="24"/>
          <w:szCs w:val="24"/>
          <w:lang w:val="zh-CN"/>
        </w:rPr>
        <w:t>；</w:t>
      </w:r>
    </w:p>
    <w:p>
      <w:pPr>
        <w:pStyle w:val="37"/>
        <w:numPr>
          <w:ilvl w:val="0"/>
          <w:numId w:val="66"/>
        </w:numPr>
        <w:tabs>
          <w:tab w:val="left" w:pos="851"/>
        </w:tabs>
        <w:spacing w:line="360" w:lineRule="auto"/>
        <w:ind w:left="851" w:hanging="851" w:firstLineChars="0"/>
        <w:jc w:val="left"/>
        <w:rPr>
          <w:rFonts w:asciiTheme="minorEastAsia" w:hAnsiTheme="minorEastAsia"/>
          <w:b/>
          <w:sz w:val="24"/>
          <w:szCs w:val="24"/>
          <w:lang w:val="zh-CN"/>
        </w:rPr>
      </w:pPr>
      <w:r>
        <w:rPr>
          <w:rFonts w:hint="eastAsia" w:asciiTheme="minorEastAsia" w:hAnsiTheme="minorEastAsia"/>
          <w:sz w:val="24"/>
          <w:szCs w:val="24"/>
          <w:lang w:val="zh-CN"/>
        </w:rPr>
        <w:t>输入端口：DVI-D×1、DP×1，</w:t>
      </w:r>
      <w:r>
        <w:rPr>
          <w:rFonts w:hint="eastAsia" w:asciiTheme="minorEastAsia" w:hAnsiTheme="minorEastAsia"/>
          <w:b/>
          <w:sz w:val="24"/>
          <w:szCs w:val="24"/>
          <w:lang w:val="zh-CN"/>
        </w:rPr>
        <w:t>提供产品说明书内显示器接口示意图(并加盖公章)，提供官方网站截图；</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显卡：提供双头 PCIe 接口专业显卡，显卡内存≧1G；</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观片灯功能：显示器具有自动切换阅片灯模式的功能，可通过触控按键快速打开观片灯模式，方便医生查看胶片；</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asciiTheme="minorEastAsia" w:hAnsiTheme="minorEastAsia"/>
          <w:sz w:val="24"/>
          <w:szCs w:val="24"/>
          <w:lang w:val="zh-CN"/>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9525</wp:posOffset>
                </wp:positionV>
                <wp:extent cx="252730" cy="299085"/>
                <wp:effectExtent l="0" t="0" r="13970" b="5715"/>
                <wp:wrapNone/>
                <wp:docPr id="25" name="文本框 27"/>
                <wp:cNvGraphicFramePr/>
                <a:graphic xmlns:a="http://schemas.openxmlformats.org/drawingml/2006/main">
                  <a:graphicData uri="http://schemas.microsoft.com/office/word/2010/wordprocessingShape">
                    <wps:wsp>
                      <wps:cNvSpPr txBox="1"/>
                      <wps:spPr>
                        <a:xfrm>
                          <a:off x="0" y="0"/>
                          <a:ext cx="252730" cy="299085"/>
                        </a:xfrm>
                        <a:prstGeom prst="rect">
                          <a:avLst/>
                        </a:prstGeom>
                        <a:solidFill>
                          <a:srgbClr val="FFFFFF"/>
                        </a:solidFill>
                        <a:ln>
                          <a:noFill/>
                        </a:ln>
                      </wps:spPr>
                      <wps:txbx>
                        <w:txbxContent>
                          <w:p>
                            <w:r>
                              <w:rPr>
                                <w:rFonts w:hint="eastAsia" w:ascii="宋体" w:hAnsi="宋体"/>
                                <w:b/>
                                <w:color w:val="000000"/>
                                <w:szCs w:val="21"/>
                              </w:rPr>
                              <w:t>＊</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7" o:spid="_x0000_s1026" o:spt="202" type="#_x0000_t202" style="position:absolute;left:0pt;margin-left:-26.7pt;margin-top:0.75pt;height:23.55pt;width:19.9pt;z-index:251707392;mso-width-relative:margin;mso-height-relative:margin;mso-height-percent:200;" fillcolor="#FFFFFF" filled="t" stroked="f" coordsize="21600,21600" o:gfxdata="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Lf&#10;i2DXAAAACAEAAA8AAAAAAAAAAQAgAAAAIgAAAGRycy9kb3ducmV2LnhtbFBLAQIUABQAAAAIAIdO&#10;4kBW0k2AsgEAAEQDAAAOAAAAAAAAAAEAIAAAACYBAABkcnMvZTJvRG9jLnhtbFBLBQYAAAAABgAG&#10;AFkBAABKBQAAAAA=&#10;">
                <v:fill on="t" focussize="0,0"/>
                <v:stroke on="f"/>
                <v:imagedata o:title=""/>
                <o:lock v:ext="edit" aspectratio="f"/>
                <v:textbox style="mso-fit-shape-to-text:t;">
                  <w:txbxContent>
                    <w:p>
                      <w:r>
                        <w:rPr>
                          <w:rFonts w:hint="eastAsia" w:ascii="宋体" w:hAnsi="宋体"/>
                          <w:b/>
                          <w:color w:val="000000"/>
                          <w:szCs w:val="21"/>
                        </w:rPr>
                        <w:t>＊</w:t>
                      </w:r>
                    </w:p>
                  </w:txbxContent>
                </v:textbox>
              </v:shape>
            </w:pict>
          </mc:Fallback>
        </mc:AlternateContent>
      </w:r>
      <w:r>
        <w:rPr>
          <w:rFonts w:hint="eastAsia" w:asciiTheme="minorEastAsia" w:hAnsiTheme="minorEastAsia"/>
          <w:sz w:val="24"/>
          <w:szCs w:val="24"/>
          <w:lang w:val="zh-CN"/>
        </w:rPr>
        <w:t>抗老化：显示器具有抗老化功能，</w:t>
      </w:r>
      <w:r>
        <w:rPr>
          <w:rFonts w:hint="eastAsia" w:asciiTheme="minorEastAsia" w:hAnsiTheme="minorEastAsia"/>
          <w:b/>
          <w:sz w:val="24"/>
          <w:szCs w:val="24"/>
          <w:lang w:val="zh-CN"/>
        </w:rPr>
        <w:t>提供实现该功能的证明文件并加盖公章</w:t>
      </w:r>
      <w:r>
        <w:rPr>
          <w:rFonts w:hint="eastAsia" w:asciiTheme="minorEastAsia" w:hAnsiTheme="minorEastAsia"/>
          <w:sz w:val="24"/>
          <w:szCs w:val="24"/>
          <w:lang w:val="zh-CN"/>
        </w:rPr>
        <w:t>；</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人体感应：显示器前方具有生命体探头，可探测前方是否有使用人员，自动待机或唤醒显示器，用于消除医用显示器残影并自行保养延长显示器寿命，并更好地实现节能；</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环境光自适应：显示器具有具有环境光自适应功能，可以侦测使用环境的环境光数据，进一步调节显示器的显示效果，更符合人眼观察能力，展现图像，应用于各种亮度环境下；</w:t>
      </w:r>
    </w:p>
    <w:p>
      <w:pPr>
        <w:pStyle w:val="37"/>
        <w:numPr>
          <w:ilvl w:val="0"/>
          <w:numId w:val="66"/>
        </w:numPr>
        <w:tabs>
          <w:tab w:val="left" w:pos="851"/>
        </w:tabs>
        <w:spacing w:line="360" w:lineRule="auto"/>
        <w:ind w:left="851" w:hanging="851" w:firstLineChars="0"/>
        <w:jc w:val="left"/>
        <w:rPr>
          <w:rFonts w:asciiTheme="minorEastAsia" w:hAnsiTheme="minorEastAsia"/>
          <w:sz w:val="24"/>
          <w:szCs w:val="24"/>
          <w:lang w:val="zh-CN"/>
        </w:rPr>
      </w:pPr>
      <w:r>
        <w:rPr>
          <w:rFonts w:hint="eastAsia" w:asciiTheme="minorEastAsia" w:hAnsiTheme="minorEastAsia"/>
          <w:sz w:val="24"/>
          <w:szCs w:val="24"/>
          <w:lang w:val="zh-CN"/>
        </w:rPr>
        <w:t>原厂生产：投标产品为原厂生产，非 OEM 产品；</w:t>
      </w:r>
    </w:p>
    <w:p>
      <w:pPr>
        <w:pStyle w:val="37"/>
        <w:tabs>
          <w:tab w:val="left" w:pos="851"/>
        </w:tabs>
        <w:spacing w:line="360" w:lineRule="auto"/>
        <w:ind w:left="851" w:firstLine="0" w:firstLineChars="0"/>
        <w:jc w:val="left"/>
        <w:rPr>
          <w:rFonts w:asciiTheme="minorEastAsia" w:hAnsiTheme="minorEastAsia"/>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台式机电脑</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处理器 ≧八核；</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CPU 频率≧3.2GHz；</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缓存≧L3 12MB；</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内存容量≧16GB；</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内存类型 DDR4；</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硬盘容量≧128GB+1TB 硬盘描述混合硬盘（SSD+HDD）；</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光驱类型 DVD 刻录机；</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显卡/声卡独立；</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显示器 23.8 英寸；</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音频接口耳机输出接口，麦克风输入接口；</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视频接口 1×VGA，1×HDMI 纠错；</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网络接口 1×RJ45（网络接口）；</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其它接口 1×电源接口，2×PS/2；</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电源≧180W 电源适配器；</w:t>
      </w:r>
    </w:p>
    <w:p>
      <w:pPr>
        <w:pStyle w:val="37"/>
        <w:numPr>
          <w:ilvl w:val="0"/>
          <w:numId w:val="67"/>
        </w:numPr>
        <w:tabs>
          <w:tab w:val="left" w:pos="851"/>
        </w:tabs>
        <w:spacing w:line="360" w:lineRule="auto"/>
        <w:ind w:firstLineChars="0"/>
        <w:jc w:val="left"/>
        <w:rPr>
          <w:rFonts w:asciiTheme="minorEastAsia" w:hAnsiTheme="minorEastAsia"/>
          <w:sz w:val="24"/>
          <w:szCs w:val="24"/>
          <w:lang w:val="zh-CN"/>
        </w:rPr>
      </w:pPr>
      <w:r>
        <w:rPr>
          <w:rFonts w:hint="eastAsia" w:asciiTheme="minorEastAsia" w:hAnsiTheme="minorEastAsia"/>
          <w:sz w:val="24"/>
          <w:szCs w:val="24"/>
          <w:lang w:val="zh-CN"/>
        </w:rPr>
        <w:t>USB 键鼠，PS2 键盘；</w:t>
      </w:r>
    </w:p>
    <w:p>
      <w:pPr>
        <w:pStyle w:val="37"/>
        <w:tabs>
          <w:tab w:val="left" w:pos="851"/>
        </w:tabs>
        <w:spacing w:line="360" w:lineRule="auto"/>
        <w:ind w:left="420" w:firstLine="0" w:firstLineChars="0"/>
        <w:jc w:val="left"/>
        <w:rPr>
          <w:rFonts w:asciiTheme="minorEastAsia" w:hAnsiTheme="minorEastAsia"/>
          <w:sz w:val="24"/>
          <w:szCs w:val="24"/>
          <w:lang w:val="zh-CN"/>
        </w:rPr>
      </w:pPr>
    </w:p>
    <w:p>
      <w:pPr>
        <w:pStyle w:val="37"/>
        <w:numPr>
          <w:ilvl w:val="0"/>
          <w:numId w:val="44"/>
        </w:numPr>
        <w:tabs>
          <w:tab w:val="left" w:pos="851"/>
        </w:tabs>
        <w:spacing w:line="360" w:lineRule="auto"/>
        <w:ind w:left="851" w:hanging="851" w:firstLineChars="0"/>
        <w:jc w:val="left"/>
        <w:rPr>
          <w:b/>
          <w:sz w:val="24"/>
          <w:szCs w:val="24"/>
          <w:lang w:val="zh-CN"/>
        </w:rPr>
      </w:pPr>
      <w:r>
        <w:rPr>
          <w:rFonts w:hint="eastAsia"/>
          <w:b/>
          <w:sz w:val="24"/>
          <w:szCs w:val="24"/>
          <w:lang w:val="zh-CN"/>
        </w:rPr>
        <w:t>满足系统运行的配套设备</w:t>
      </w:r>
    </w:p>
    <w:p>
      <w:pPr>
        <w:pStyle w:val="37"/>
        <w:numPr>
          <w:ilvl w:val="0"/>
          <w:numId w:val="68"/>
        </w:numPr>
        <w:spacing w:line="360" w:lineRule="auto"/>
        <w:ind w:firstLineChars="0"/>
        <w:rPr>
          <w:sz w:val="24"/>
          <w:szCs w:val="24"/>
          <w:lang w:val="zh-CN"/>
        </w:rPr>
      </w:pPr>
      <w:r>
        <w:rPr>
          <w:rFonts w:hint="eastAsia"/>
          <w:sz w:val="24"/>
          <w:szCs w:val="24"/>
          <w:lang w:val="zh-CN"/>
        </w:rPr>
        <w:t>提供全套满足系统运行的配套设备、耗材、设计方案。</w:t>
      </w:r>
    </w:p>
    <w:p>
      <w:pPr>
        <w:jc w:val="center"/>
        <w:rPr>
          <w:b/>
          <w:color w:val="000000"/>
          <w:highlight w:val="yellow"/>
        </w:rPr>
      </w:pPr>
    </w:p>
    <w:p>
      <w:pPr>
        <w:jc w:val="center"/>
        <w:rPr>
          <w:sz w:val="24"/>
          <w:szCs w:val="24"/>
          <w:lang w:val="zh-CN"/>
        </w:rPr>
      </w:pPr>
      <w:r>
        <w:rPr>
          <w:rFonts w:hint="eastAsia" w:ascii="Calibri" w:hAnsi="Calibri" w:eastAsia="宋体" w:cs="Times New Roman"/>
          <w:b/>
          <w:color w:val="000000"/>
          <w:highlight w:val="yellow"/>
        </w:rPr>
        <w:t>以上技术要求中加注</w:t>
      </w:r>
      <w:r>
        <w:rPr>
          <w:rFonts w:hint="eastAsia" w:ascii="宋体" w:hAnsi="宋体" w:eastAsia="宋体" w:cs="Times New Roman"/>
          <w:b/>
          <w:color w:val="000000"/>
          <w:highlight w:val="yellow"/>
        </w:rPr>
        <w:t>“＊</w:t>
      </w:r>
      <w:r>
        <w:rPr>
          <w:rFonts w:hint="eastAsia" w:ascii="Calibri" w:hAnsi="Calibri" w:eastAsia="宋体" w:cs="Times New Roman"/>
          <w:b/>
          <w:color w:val="000000"/>
          <w:highlight w:val="yellow"/>
        </w:rPr>
        <w:t>”号标识的为重要技术参数，负偏离时作为评分因素考量。</w:t>
      </w:r>
    </w:p>
    <w:p>
      <w:pPr>
        <w:rPr>
          <w:sz w:val="24"/>
          <w:szCs w:val="24"/>
          <w:lang w:val="zh-CN"/>
        </w:rPr>
      </w:pPr>
    </w:p>
    <w:p>
      <w:pPr>
        <w:pStyle w:val="3"/>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49" w:name="_Toc494561956"/>
      <w:bookmarkStart w:id="50" w:name="_Toc495861537"/>
      <w:r>
        <w:rPr>
          <w:rFonts w:hint="eastAsia" w:cs="Times New Roman" w:asciiTheme="majorEastAsia" w:hAnsiTheme="majorEastAsia"/>
          <w:bCs w:val="0"/>
          <w:sz w:val="30"/>
          <w:szCs w:val="30"/>
          <w:lang w:val="zh-CN"/>
        </w:rPr>
        <w:t>商务要求</w:t>
      </w:r>
      <w:bookmarkEnd w:id="49"/>
      <w:bookmarkEnd w:id="50"/>
    </w:p>
    <w:p>
      <w:pPr>
        <w:pStyle w:val="37"/>
        <w:numPr>
          <w:ilvl w:val="0"/>
          <w:numId w:val="69"/>
        </w:numPr>
        <w:spacing w:line="360" w:lineRule="auto"/>
        <w:ind w:firstLineChars="0"/>
        <w:rPr>
          <w:sz w:val="24"/>
        </w:rPr>
      </w:pPr>
      <w:r>
        <w:rPr>
          <w:rFonts w:hint="eastAsia" w:cs="宋体" w:asciiTheme="minorEastAsia" w:hAnsiTheme="minorEastAsia"/>
          <w:b/>
          <w:color w:val="000000"/>
          <w:sz w:val="24"/>
          <w:szCs w:val="24"/>
        </w:rPr>
        <w:t>交货验收与工期：</w:t>
      </w:r>
      <w:r>
        <w:rPr>
          <w:rFonts w:ascii="宋体" w:hAnsi="宋体" w:eastAsia="宋体" w:cs="Times New Roman"/>
          <w:sz w:val="24"/>
        </w:rPr>
        <w:t>签定合同后按合同和招标、投标文件约定的要求和标准进行交货验收，交货期为签定合同后</w:t>
      </w:r>
      <w:r>
        <w:rPr>
          <w:rFonts w:hint="eastAsia" w:ascii="宋体" w:hAnsi="宋体" w:eastAsia="宋体" w:cs="Times New Roman"/>
          <w:b/>
          <w:color w:val="000000"/>
          <w:sz w:val="24"/>
        </w:rPr>
        <w:t>30</w:t>
      </w:r>
      <w:r>
        <w:rPr>
          <w:rFonts w:ascii="宋体" w:hAnsi="宋体" w:eastAsia="宋体" w:cs="Times New Roman"/>
          <w:b/>
          <w:color w:val="000000"/>
          <w:sz w:val="24"/>
        </w:rPr>
        <w:t>天内（日历日）</w:t>
      </w:r>
      <w:r>
        <w:rPr>
          <w:rFonts w:ascii="宋体" w:hAnsi="宋体" w:eastAsia="宋体" w:cs="Times New Roman"/>
          <w:color w:val="000000"/>
          <w:sz w:val="24"/>
        </w:rPr>
        <w:t>。“交货</w:t>
      </w:r>
      <w:r>
        <w:rPr>
          <w:rFonts w:ascii="宋体" w:hAnsi="宋体" w:eastAsia="宋体" w:cs="Times New Roman"/>
          <w:sz w:val="24"/>
        </w:rPr>
        <w:t>期”指所有货物运抵现场安装调试完毕后交付用户验收的日期。</w:t>
      </w:r>
    </w:p>
    <w:p>
      <w:pPr>
        <w:pStyle w:val="37"/>
        <w:numPr>
          <w:ilvl w:val="0"/>
          <w:numId w:val="69"/>
        </w:numPr>
        <w:spacing w:line="360" w:lineRule="auto"/>
        <w:ind w:firstLineChars="0"/>
        <w:rPr>
          <w:rFonts w:cs="宋体" w:asciiTheme="minorEastAsia" w:hAnsiTheme="minorEastAsia"/>
          <w:b/>
          <w:color w:val="000000"/>
          <w:sz w:val="24"/>
          <w:szCs w:val="24"/>
        </w:rPr>
      </w:pPr>
      <w:r>
        <w:rPr>
          <w:rFonts w:hint="eastAsia" w:cs="宋体" w:asciiTheme="minorEastAsia" w:hAnsiTheme="minorEastAsia"/>
          <w:b/>
          <w:color w:val="000000"/>
          <w:sz w:val="24"/>
          <w:szCs w:val="24"/>
        </w:rPr>
        <w:t>交货地点：阳新县人民医院指定地点。</w:t>
      </w:r>
    </w:p>
    <w:p>
      <w:pPr>
        <w:pStyle w:val="37"/>
        <w:numPr>
          <w:ilvl w:val="0"/>
          <w:numId w:val="69"/>
        </w:numPr>
        <w:spacing w:line="360" w:lineRule="auto"/>
        <w:ind w:firstLineChars="0"/>
        <w:rPr>
          <w:rFonts w:cs="宋体" w:asciiTheme="minorEastAsia" w:hAnsiTheme="minorEastAsia"/>
          <w:b/>
          <w:color w:val="000000"/>
          <w:sz w:val="24"/>
          <w:szCs w:val="24"/>
        </w:rPr>
      </w:pPr>
      <w:r>
        <w:rPr>
          <w:rFonts w:hint="eastAsia" w:cs="宋体" w:asciiTheme="minorEastAsia" w:hAnsiTheme="minorEastAsia"/>
          <w:b/>
          <w:color w:val="000000"/>
          <w:sz w:val="24"/>
          <w:szCs w:val="24"/>
        </w:rPr>
        <w:t>售后服务</w:t>
      </w:r>
    </w:p>
    <w:p>
      <w:pPr>
        <w:pStyle w:val="37"/>
        <w:numPr>
          <w:ilvl w:val="0"/>
          <w:numId w:val="70"/>
        </w:numPr>
        <w:tabs>
          <w:tab w:val="left" w:pos="426"/>
          <w:tab w:val="left" w:pos="567"/>
        </w:tabs>
        <w:spacing w:line="360" w:lineRule="auto"/>
        <w:ind w:left="567" w:hanging="567" w:firstLineChars="0"/>
        <w:rPr>
          <w:rFonts w:cs="宋体" w:asciiTheme="minorEastAsia" w:hAnsiTheme="minorEastAsia"/>
          <w:color w:val="000000"/>
          <w:sz w:val="24"/>
          <w:szCs w:val="24"/>
        </w:rPr>
      </w:pPr>
      <w:r>
        <w:rPr>
          <w:rFonts w:hint="eastAsia" w:cs="宋体" w:asciiTheme="minorEastAsia" w:hAnsiTheme="minorEastAsia"/>
          <w:color w:val="000000"/>
          <w:sz w:val="24"/>
          <w:szCs w:val="24"/>
        </w:rPr>
        <w:t>质保期1年</w:t>
      </w:r>
      <w:r>
        <w:rPr>
          <w:rFonts w:hint="eastAsia"/>
        </w:rPr>
        <w:t>包含以下产品</w:t>
      </w:r>
      <w:r>
        <w:rPr>
          <w:rFonts w:hint="eastAsia" w:cs="宋体" w:asciiTheme="minorEastAsia" w:hAnsiTheme="minorEastAsia"/>
          <w:color w:val="000000"/>
          <w:sz w:val="24"/>
          <w:szCs w:val="24"/>
        </w:rPr>
        <w:t>：文档管理系统、影像中心医学影像管理系统、智能电源管理终端、无线投屏控制系统、胶片投屏控制系统、超高清影像服务器系统、音响、一拖二无线手持话筒、智能环境控制系统、移动控制终端、一体化阅片专用工位。</w:t>
      </w:r>
    </w:p>
    <w:p>
      <w:pPr>
        <w:pStyle w:val="37"/>
        <w:numPr>
          <w:ilvl w:val="0"/>
          <w:numId w:val="70"/>
        </w:numPr>
        <w:tabs>
          <w:tab w:val="left" w:pos="426"/>
          <w:tab w:val="left" w:pos="567"/>
        </w:tabs>
        <w:spacing w:line="360" w:lineRule="auto"/>
        <w:ind w:left="567" w:hanging="567" w:firstLineChars="0"/>
        <w:rPr>
          <w:rFonts w:cs="宋体" w:asciiTheme="minorEastAsia" w:hAnsiTheme="minorEastAsia"/>
          <w:color w:val="000000"/>
          <w:sz w:val="24"/>
          <w:szCs w:val="24"/>
        </w:rPr>
      </w:pPr>
      <w:r>
        <w:rPr>
          <w:rFonts w:hint="eastAsia" w:cs="宋体" w:asciiTheme="minorEastAsia" w:hAnsiTheme="minorEastAsia"/>
          <w:color w:val="000000"/>
          <w:sz w:val="24"/>
          <w:szCs w:val="24"/>
        </w:rPr>
        <w:t>质保期5年</w:t>
      </w:r>
      <w:r>
        <w:rPr>
          <w:rFonts w:hint="eastAsia"/>
        </w:rPr>
        <w:t>包含以下产品</w:t>
      </w:r>
      <w:r>
        <w:rPr>
          <w:rFonts w:hint="eastAsia" w:cs="宋体" w:asciiTheme="minorEastAsia" w:hAnsiTheme="minorEastAsia"/>
          <w:color w:val="000000"/>
          <w:sz w:val="24"/>
          <w:szCs w:val="24"/>
        </w:rPr>
        <w:t>：86 寸 8M 医用会诊显示系统、6M 彩色诊断显示器、8M 彩色诊断显示器、3M 灰阶诊断显示器、5M 灰阶诊断显示器。</w:t>
      </w:r>
    </w:p>
    <w:p>
      <w:pPr>
        <w:pStyle w:val="37"/>
        <w:numPr>
          <w:ilvl w:val="0"/>
          <w:numId w:val="70"/>
        </w:numPr>
        <w:tabs>
          <w:tab w:val="left" w:pos="426"/>
          <w:tab w:val="left" w:pos="567"/>
        </w:tabs>
        <w:spacing w:line="360" w:lineRule="auto"/>
        <w:ind w:left="567" w:hanging="567" w:firstLineChars="0"/>
        <w:rPr>
          <w:rFonts w:cs="宋体" w:asciiTheme="minorEastAsia" w:hAnsiTheme="minorEastAsia"/>
          <w:color w:val="000000"/>
          <w:sz w:val="24"/>
          <w:szCs w:val="24"/>
        </w:rPr>
      </w:pPr>
      <w:r>
        <w:rPr>
          <w:rFonts w:hint="eastAsia" w:cs="宋体" w:asciiTheme="minorEastAsia" w:hAnsiTheme="minorEastAsia"/>
          <w:color w:val="000000"/>
          <w:sz w:val="24"/>
          <w:szCs w:val="24"/>
        </w:rPr>
        <w:t>台式机电脑：主件（CPU、主机、内存、硬盘、显卡）三年，显示器一年。</w:t>
      </w:r>
    </w:p>
    <w:p>
      <w:pPr>
        <w:pStyle w:val="37"/>
        <w:numPr>
          <w:ilvl w:val="0"/>
          <w:numId w:val="70"/>
        </w:numPr>
        <w:tabs>
          <w:tab w:val="left" w:pos="426"/>
          <w:tab w:val="left" w:pos="567"/>
        </w:tabs>
        <w:spacing w:line="360" w:lineRule="auto"/>
        <w:ind w:left="567" w:hanging="567" w:firstLineChars="0"/>
        <w:rPr>
          <w:rFonts w:cs="宋体" w:asciiTheme="minorEastAsia" w:hAnsiTheme="minorEastAsia"/>
          <w:color w:val="000000"/>
          <w:sz w:val="24"/>
          <w:szCs w:val="24"/>
        </w:rPr>
      </w:pPr>
      <w:r>
        <w:rPr>
          <w:rFonts w:hint="eastAsia"/>
          <w:sz w:val="24"/>
        </w:rPr>
        <w:t>免</w:t>
      </w:r>
      <w:r>
        <w:rPr>
          <w:rFonts w:ascii="Calibri" w:hAnsi="Calibri" w:eastAsia="宋体" w:cs="Times New Roman"/>
          <w:sz w:val="24"/>
        </w:rPr>
        <w:t>费送货上门、安装、调试并试运行</w:t>
      </w:r>
      <w:r>
        <w:rPr>
          <w:rFonts w:hint="eastAsia"/>
          <w:sz w:val="24"/>
        </w:rPr>
        <w:t>。</w:t>
      </w:r>
    </w:p>
    <w:p>
      <w:pPr>
        <w:pStyle w:val="37"/>
        <w:numPr>
          <w:ilvl w:val="0"/>
          <w:numId w:val="70"/>
        </w:numPr>
        <w:tabs>
          <w:tab w:val="left" w:pos="426"/>
          <w:tab w:val="left" w:pos="567"/>
        </w:tabs>
        <w:spacing w:line="360" w:lineRule="auto"/>
        <w:ind w:left="567" w:hanging="567" w:firstLineChars="0"/>
        <w:rPr>
          <w:rFonts w:cs="宋体" w:asciiTheme="minorEastAsia" w:hAnsiTheme="minorEastAsia"/>
          <w:color w:val="000000"/>
          <w:sz w:val="24"/>
          <w:szCs w:val="24"/>
        </w:rPr>
      </w:pPr>
      <w:r>
        <w:rPr>
          <w:rFonts w:hint="eastAsia"/>
          <w:sz w:val="24"/>
        </w:rPr>
        <w:t>在质保期内损坏需24小时内上门免费维修。</w:t>
      </w:r>
    </w:p>
    <w:p>
      <w:pPr>
        <w:pStyle w:val="37"/>
        <w:numPr>
          <w:ilvl w:val="0"/>
          <w:numId w:val="69"/>
        </w:numPr>
        <w:spacing w:line="360" w:lineRule="auto"/>
        <w:ind w:firstLineChars="0"/>
        <w:rPr>
          <w:rFonts w:cs="宋体" w:asciiTheme="minorEastAsia" w:hAnsiTheme="minorEastAsia"/>
          <w:b/>
          <w:color w:val="000000"/>
          <w:sz w:val="24"/>
          <w:szCs w:val="24"/>
        </w:rPr>
      </w:pPr>
      <w:r>
        <w:rPr>
          <w:rFonts w:hint="eastAsia" w:cs="宋体" w:asciiTheme="minorEastAsia" w:hAnsiTheme="minorEastAsia"/>
          <w:b/>
          <w:color w:val="000000"/>
          <w:sz w:val="24"/>
          <w:szCs w:val="24"/>
        </w:rPr>
        <w:t>付款方式：安装调试合格后付80％，一年后付10％，质保期满后付10％。</w:t>
      </w:r>
    </w:p>
    <w:p>
      <w:pPr>
        <w:pStyle w:val="37"/>
        <w:numPr>
          <w:ilvl w:val="0"/>
          <w:numId w:val="69"/>
        </w:numPr>
        <w:spacing w:line="360" w:lineRule="auto"/>
        <w:ind w:firstLineChars="0"/>
        <w:rPr>
          <w:rFonts w:cs="宋体" w:asciiTheme="minorEastAsia" w:hAnsiTheme="minorEastAsia"/>
          <w:b/>
          <w:color w:val="000000"/>
          <w:sz w:val="24"/>
          <w:szCs w:val="24"/>
        </w:rPr>
      </w:pPr>
      <w:r>
        <w:rPr>
          <w:rFonts w:hint="eastAsia" w:cs="宋体" w:asciiTheme="minorEastAsia" w:hAnsiTheme="minorEastAsia"/>
          <w:b/>
          <w:color w:val="000000"/>
          <w:sz w:val="24"/>
          <w:szCs w:val="24"/>
        </w:rPr>
        <w:t>其他要求：</w:t>
      </w:r>
    </w:p>
    <w:p>
      <w:pPr>
        <w:pStyle w:val="37"/>
        <w:numPr>
          <w:ilvl w:val="0"/>
          <w:numId w:val="71"/>
        </w:numPr>
        <w:tabs>
          <w:tab w:val="left" w:pos="426"/>
        </w:tabs>
        <w:spacing w:line="360" w:lineRule="auto"/>
        <w:ind w:firstLineChars="0"/>
        <w:rPr>
          <w:rFonts w:cs="宋体" w:asciiTheme="minorEastAsia" w:hAnsiTheme="minorEastAsia"/>
          <w:color w:val="000000"/>
          <w:sz w:val="24"/>
          <w:szCs w:val="24"/>
        </w:rPr>
      </w:pPr>
      <w:r>
        <w:rPr>
          <w:rFonts w:ascii="Calibri" w:hAnsi="宋体" w:eastAsia="宋体" w:cs="Times New Roman"/>
          <w:sz w:val="24"/>
          <w:szCs w:val="24"/>
        </w:rPr>
        <w:t>本项目采购预算控制总金额为</w:t>
      </w:r>
      <w:r>
        <w:rPr>
          <w:rFonts w:hint="eastAsia" w:ascii="Calibri" w:hAnsi="Calibri" w:eastAsia="宋体" w:cs="Times New Roman"/>
          <w:b/>
          <w:sz w:val="24"/>
          <w:szCs w:val="24"/>
        </w:rPr>
        <w:t>2</w:t>
      </w:r>
      <w:r>
        <w:rPr>
          <w:rFonts w:hint="eastAsia"/>
          <w:b/>
          <w:sz w:val="24"/>
          <w:szCs w:val="24"/>
        </w:rPr>
        <w:t>20</w:t>
      </w:r>
      <w:r>
        <w:rPr>
          <w:rFonts w:ascii="Calibri" w:hAnsi="宋体" w:eastAsia="宋体" w:cs="Times New Roman"/>
          <w:sz w:val="24"/>
          <w:szCs w:val="24"/>
        </w:rPr>
        <w:t>万元</w:t>
      </w:r>
      <w:r>
        <w:rPr>
          <w:rFonts w:hint="eastAsia" w:hAnsi="宋体"/>
          <w:sz w:val="24"/>
          <w:szCs w:val="24"/>
        </w:rPr>
        <w:t>，</w:t>
      </w:r>
      <w:r>
        <w:rPr>
          <w:rFonts w:ascii="Calibri" w:hAnsi="宋体" w:eastAsia="宋体" w:cs="Times New Roman"/>
          <w:sz w:val="24"/>
          <w:szCs w:val="24"/>
        </w:rPr>
        <w:t>超出预算控制金额将导致其报价无效</w:t>
      </w:r>
      <w:r>
        <w:rPr>
          <w:rFonts w:hint="eastAsia" w:hAnsi="宋体"/>
          <w:sz w:val="24"/>
          <w:szCs w:val="24"/>
        </w:rPr>
        <w:t>。</w:t>
      </w:r>
    </w:p>
    <w:p>
      <w:pPr>
        <w:pStyle w:val="37"/>
        <w:numPr>
          <w:ilvl w:val="0"/>
          <w:numId w:val="71"/>
        </w:numPr>
        <w:tabs>
          <w:tab w:val="left" w:pos="426"/>
        </w:tabs>
        <w:spacing w:line="360" w:lineRule="auto"/>
        <w:ind w:firstLineChars="0"/>
        <w:rPr>
          <w:rFonts w:ascii="Calibri" w:hAnsi="宋体" w:eastAsia="宋体" w:cs="Times New Roman"/>
          <w:sz w:val="24"/>
          <w:szCs w:val="24"/>
        </w:rPr>
      </w:pPr>
      <w:r>
        <w:rPr>
          <w:rFonts w:hint="eastAsia" w:ascii="Calibri" w:hAnsi="宋体" w:eastAsia="宋体" w:cs="Times New Roman"/>
          <w:sz w:val="24"/>
          <w:szCs w:val="24"/>
        </w:rPr>
        <w:t>投标人不得以低于成本的报价进行投标，低于成本价的将导致其投标无效。</w:t>
      </w:r>
    </w:p>
    <w:p>
      <w:pPr>
        <w:pStyle w:val="37"/>
        <w:numPr>
          <w:ilvl w:val="0"/>
          <w:numId w:val="71"/>
        </w:numPr>
        <w:tabs>
          <w:tab w:val="left" w:pos="426"/>
        </w:tabs>
        <w:spacing w:line="360" w:lineRule="auto"/>
        <w:ind w:firstLineChars="0"/>
        <w:rPr>
          <w:rFonts w:ascii="Calibri" w:hAnsi="宋体" w:eastAsia="宋体" w:cs="Times New Roman"/>
          <w:sz w:val="24"/>
          <w:szCs w:val="24"/>
        </w:rPr>
      </w:pPr>
      <w:r>
        <w:rPr>
          <w:rFonts w:hint="eastAsia" w:ascii="Calibri" w:hAnsi="宋体" w:eastAsia="宋体" w:cs="Times New Roman"/>
          <w:sz w:val="24"/>
          <w:szCs w:val="24"/>
        </w:rPr>
        <w:t>本项目投标报价包含但不限于：设备价（包括硬件、软件）、运至合同指定地点的运输费、安装费（包括损耗、额外材料等）、保险费、安装、技术培训费、各种税费等。</w:t>
      </w:r>
    </w:p>
    <w:p>
      <w:pPr>
        <w:pStyle w:val="2"/>
        <w:numPr>
          <w:ilvl w:val="0"/>
          <w:numId w:val="1"/>
        </w:numPr>
        <w:jc w:val="center"/>
        <w:rPr>
          <w:rFonts w:ascii="黑体" w:hAnsi="黑体" w:eastAsia="黑体"/>
        </w:rPr>
      </w:pPr>
      <w:bookmarkStart w:id="51" w:name="_Toc495861538"/>
      <w:r>
        <w:rPr>
          <w:rFonts w:hint="eastAsia" w:ascii="黑体" w:hAnsi="黑体" w:eastAsia="黑体"/>
        </w:rPr>
        <w:t>资格审查方法及标准</w:t>
      </w:r>
      <w:bookmarkEnd w:id="5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72"/>
        </w:numPr>
        <w:spacing w:before="0" w:after="0" w:line="360" w:lineRule="auto"/>
        <w:ind w:left="616" w:hanging="616"/>
        <w:jc w:val="left"/>
        <w:rPr>
          <w:rFonts w:cs="Times New Roman" w:asciiTheme="majorEastAsia" w:hAnsiTheme="majorEastAsia"/>
          <w:bCs w:val="0"/>
          <w:sz w:val="30"/>
          <w:szCs w:val="30"/>
          <w:lang w:val="zh-CN"/>
        </w:rPr>
      </w:pPr>
      <w:bookmarkStart w:id="52" w:name="_Toc494561958"/>
      <w:bookmarkStart w:id="53" w:name="_Toc495861539"/>
      <w:r>
        <w:rPr>
          <w:rFonts w:hint="eastAsia" w:cs="Times New Roman" w:asciiTheme="majorEastAsia" w:hAnsiTheme="majorEastAsia"/>
          <w:bCs w:val="0"/>
          <w:sz w:val="30"/>
          <w:szCs w:val="30"/>
          <w:lang w:val="zh-CN"/>
        </w:rPr>
        <w:t>资格审查方法</w:t>
      </w:r>
      <w:bookmarkEnd w:id="52"/>
      <w:bookmarkEnd w:id="5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3"/>
        <w:numPr>
          <w:ilvl w:val="0"/>
          <w:numId w:val="72"/>
        </w:numPr>
        <w:spacing w:before="0" w:after="0" w:line="360" w:lineRule="auto"/>
        <w:ind w:left="616" w:hanging="616"/>
        <w:jc w:val="left"/>
        <w:rPr>
          <w:rFonts w:cs="Times New Roman" w:asciiTheme="majorEastAsia" w:hAnsiTheme="majorEastAsia"/>
          <w:bCs w:val="0"/>
          <w:sz w:val="30"/>
          <w:szCs w:val="30"/>
          <w:lang w:val="zh-CN"/>
        </w:rPr>
      </w:pPr>
      <w:bookmarkStart w:id="54" w:name="_Toc495861540"/>
      <w:bookmarkStart w:id="55" w:name="_Toc494561959"/>
      <w:r>
        <w:rPr>
          <w:rFonts w:hint="eastAsia" w:cs="Times New Roman" w:asciiTheme="majorEastAsia" w:hAnsiTheme="majorEastAsia"/>
          <w:bCs w:val="0"/>
          <w:sz w:val="30"/>
          <w:szCs w:val="30"/>
          <w:lang w:val="zh-CN"/>
        </w:rPr>
        <w:t>资格审查标准</w:t>
      </w:r>
      <w:bookmarkEnd w:id="54"/>
      <w:bookmarkEnd w:id="55"/>
    </w:p>
    <w:p>
      <w:pPr>
        <w:numPr>
          <w:ilvl w:val="0"/>
          <w:numId w:val="73"/>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6"/>
        <w:numPr>
          <w:ilvl w:val="0"/>
          <w:numId w:val="74"/>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应具备《政府采购法》第二十二条第一款规定的条件，</w:t>
      </w:r>
      <w:r>
        <w:rPr>
          <w:rFonts w:hint="eastAsia" w:hAnsi="宋体"/>
          <w:sz w:val="24"/>
          <w:szCs w:val="24"/>
          <w:highlight w:val="none"/>
        </w:rPr>
        <w:t>提供下列材料</w:t>
      </w:r>
      <w:r>
        <w:rPr>
          <w:rFonts w:hint="eastAsia" w:ascii="宋体" w:hAnsi="宋体" w:eastAsia="宋体" w:cs="Times New Roman"/>
          <w:sz w:val="24"/>
          <w:szCs w:val="24"/>
          <w:highlight w:val="none"/>
          <w:lang w:val="zh-CN"/>
        </w:rPr>
        <w:t>：</w:t>
      </w:r>
    </w:p>
    <w:p>
      <w:pPr>
        <w:pStyle w:val="26"/>
        <w:numPr>
          <w:ilvl w:val="0"/>
          <w:numId w:val="75"/>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法人或者其他组织的营业执照等证明文件，自然人的身份证明；</w:t>
      </w:r>
    </w:p>
    <w:p>
      <w:pPr>
        <w:pStyle w:val="26"/>
        <w:numPr>
          <w:ilvl w:val="0"/>
          <w:numId w:val="75"/>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上一年度经</w:t>
      </w:r>
      <w:r>
        <w:rPr>
          <w:rFonts w:hint="eastAsia" w:ascii="宋体" w:hAnsi="宋体" w:eastAsia="宋体" w:cs="Times New Roman"/>
          <w:sz w:val="24"/>
          <w:szCs w:val="24"/>
          <w:highlight w:val="none"/>
        </w:rPr>
        <w:t>会计事务所审计的财务报告</w:t>
      </w:r>
      <w:r>
        <w:rPr>
          <w:rFonts w:hint="eastAsia" w:ascii="宋体" w:hAnsi="宋体" w:eastAsia="宋体" w:cs="Times New Roman"/>
          <w:sz w:val="24"/>
          <w:szCs w:val="24"/>
          <w:highlight w:val="none"/>
          <w:lang w:val="zh-CN"/>
        </w:rPr>
        <w:t>，近六个月（20</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lang w:val="zh-CN"/>
        </w:rPr>
        <w:t>年2月~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lang w:val="zh-CN"/>
        </w:rPr>
        <w:t>月）中任意一个月依法缴纳税收和社会保障资金的相关材料；</w:t>
      </w:r>
    </w:p>
    <w:p>
      <w:pPr>
        <w:pStyle w:val="26"/>
        <w:numPr>
          <w:ilvl w:val="0"/>
          <w:numId w:val="75"/>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具备履行合同所必需的设备和专业技术能力的证明材料；</w:t>
      </w:r>
    </w:p>
    <w:p>
      <w:pPr>
        <w:pStyle w:val="26"/>
        <w:numPr>
          <w:ilvl w:val="0"/>
          <w:numId w:val="75"/>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参加政府采购活动前3年内在经营活动中没有重大违法记录的书面声明；</w:t>
      </w:r>
    </w:p>
    <w:p>
      <w:pPr>
        <w:pStyle w:val="26"/>
        <w:numPr>
          <w:ilvl w:val="0"/>
          <w:numId w:val="75"/>
        </w:numPr>
        <w:tabs>
          <w:tab w:val="left" w:pos="1036"/>
        </w:tabs>
        <w:spacing w:line="360" w:lineRule="auto"/>
        <w:ind w:left="1036" w:hanging="616"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具备法律、行政法规规定的其他条件的证明材料。</w:t>
      </w:r>
    </w:p>
    <w:p>
      <w:pPr>
        <w:pStyle w:val="26"/>
        <w:numPr>
          <w:ilvl w:val="0"/>
          <w:numId w:val="74"/>
        </w:numPr>
        <w:tabs>
          <w:tab w:val="left" w:pos="840"/>
        </w:tabs>
        <w:spacing w:line="360" w:lineRule="auto"/>
        <w:ind w:hanging="602"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rPr>
        <w:t>未被列入“信用中国”网站(www.creditchina.gov.cn)失信被执行人、重大税收违法案件当事人和“中国政府采购”网站（www.ccgp.gov.cn）政府采购严重违法失信行为记录名单的网页截图。</w:t>
      </w:r>
    </w:p>
    <w:p>
      <w:pPr>
        <w:pStyle w:val="26"/>
        <w:numPr>
          <w:ilvl w:val="0"/>
          <w:numId w:val="7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6"/>
        <w:numPr>
          <w:ilvl w:val="0"/>
          <w:numId w:val="7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6"/>
        <w:numPr>
          <w:ilvl w:val="0"/>
          <w:numId w:val="7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6"/>
        <w:numPr>
          <w:ilvl w:val="0"/>
          <w:numId w:val="7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73"/>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6"/>
        <w:numPr>
          <w:ilvl w:val="0"/>
          <w:numId w:val="7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6"/>
        <w:numPr>
          <w:ilvl w:val="0"/>
          <w:numId w:val="7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6"/>
        <w:numPr>
          <w:ilvl w:val="0"/>
          <w:numId w:val="7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6"/>
        <w:numPr>
          <w:ilvl w:val="0"/>
          <w:numId w:val="7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56" w:name="_Toc495861541"/>
      <w:r>
        <w:rPr>
          <w:rFonts w:hint="eastAsia" w:ascii="黑体" w:hAnsi="黑体" w:eastAsia="黑体"/>
        </w:rPr>
        <w:t>评标方法、程序及标准</w:t>
      </w:r>
      <w:bookmarkEnd w:id="5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77"/>
        </w:numPr>
        <w:spacing w:before="0" w:after="0" w:line="360" w:lineRule="auto"/>
        <w:ind w:left="616" w:hanging="616"/>
        <w:jc w:val="left"/>
        <w:rPr>
          <w:rFonts w:cs="Times New Roman" w:asciiTheme="majorEastAsia" w:hAnsiTheme="majorEastAsia"/>
          <w:bCs w:val="0"/>
          <w:sz w:val="30"/>
          <w:szCs w:val="30"/>
          <w:lang w:val="zh-CN"/>
        </w:rPr>
      </w:pPr>
      <w:bookmarkStart w:id="57" w:name="_Toc278891605"/>
      <w:bookmarkStart w:id="58" w:name="_Toc272247708"/>
      <w:bookmarkStart w:id="59" w:name="_Toc495861542"/>
      <w:bookmarkStart w:id="60" w:name="_Toc494561961"/>
      <w:r>
        <w:rPr>
          <w:rFonts w:hint="eastAsia" w:cs="Times New Roman" w:asciiTheme="majorEastAsia" w:hAnsiTheme="majorEastAsia"/>
          <w:bCs w:val="0"/>
          <w:sz w:val="30"/>
          <w:szCs w:val="30"/>
          <w:lang w:val="zh-CN"/>
        </w:rPr>
        <w:t>评标</w:t>
      </w:r>
      <w:bookmarkEnd w:id="57"/>
      <w:bookmarkEnd w:id="58"/>
      <w:r>
        <w:rPr>
          <w:rFonts w:hint="eastAsia" w:cs="Times New Roman" w:asciiTheme="majorEastAsia" w:hAnsiTheme="majorEastAsia"/>
          <w:bCs w:val="0"/>
          <w:sz w:val="30"/>
          <w:szCs w:val="30"/>
          <w:lang w:val="zh-CN"/>
        </w:rPr>
        <w:t>方法</w:t>
      </w:r>
      <w:bookmarkEnd w:id="59"/>
      <w:bookmarkEnd w:id="6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77"/>
        </w:numPr>
        <w:spacing w:before="0" w:after="0" w:line="360" w:lineRule="auto"/>
        <w:ind w:left="616" w:hanging="616"/>
        <w:jc w:val="left"/>
        <w:rPr>
          <w:rFonts w:cs="Times New Roman" w:asciiTheme="majorEastAsia" w:hAnsiTheme="majorEastAsia"/>
          <w:bCs w:val="0"/>
          <w:sz w:val="30"/>
          <w:szCs w:val="30"/>
          <w:lang w:val="zh-CN"/>
        </w:rPr>
      </w:pPr>
      <w:bookmarkStart w:id="61" w:name="_Toc278891606"/>
      <w:bookmarkStart w:id="62" w:name="_Toc272247709"/>
      <w:bookmarkStart w:id="63" w:name="_Toc494561962"/>
      <w:bookmarkStart w:id="64" w:name="_Toc495861543"/>
      <w:r>
        <w:rPr>
          <w:rFonts w:hint="eastAsia" w:cs="Times New Roman" w:asciiTheme="majorEastAsia" w:hAnsiTheme="majorEastAsia"/>
          <w:bCs w:val="0"/>
          <w:sz w:val="30"/>
          <w:szCs w:val="30"/>
          <w:lang w:val="zh-CN"/>
        </w:rPr>
        <w:t>评标程序</w:t>
      </w:r>
      <w:bookmarkEnd w:id="61"/>
      <w:bookmarkEnd w:id="62"/>
      <w:r>
        <w:rPr>
          <w:rFonts w:hint="eastAsia" w:cs="Times New Roman" w:asciiTheme="majorEastAsia" w:hAnsiTheme="majorEastAsia"/>
          <w:bCs w:val="0"/>
          <w:sz w:val="30"/>
          <w:szCs w:val="30"/>
          <w:lang w:val="zh-CN"/>
        </w:rPr>
        <w:t>及标准</w:t>
      </w:r>
      <w:bookmarkEnd w:id="63"/>
      <w:bookmarkEnd w:id="6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78"/>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7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79"/>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7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7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8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80"/>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80"/>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8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8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8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8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8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8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80"/>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7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8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8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8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83"/>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83"/>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8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8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84"/>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84"/>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8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8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85"/>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85"/>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8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86"/>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86"/>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7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8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8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8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8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8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3"/>
        <w:numPr>
          <w:ilvl w:val="0"/>
          <w:numId w:val="77"/>
        </w:numPr>
        <w:spacing w:before="0" w:after="0" w:line="360" w:lineRule="auto"/>
        <w:ind w:left="616" w:hanging="616"/>
        <w:jc w:val="left"/>
        <w:rPr>
          <w:rFonts w:cs="Times New Roman" w:asciiTheme="majorEastAsia" w:hAnsiTheme="majorEastAsia"/>
          <w:bCs w:val="0"/>
          <w:sz w:val="30"/>
          <w:szCs w:val="30"/>
          <w:lang w:val="zh-CN"/>
        </w:rPr>
      </w:pPr>
      <w:bookmarkStart w:id="65" w:name="_Toc494561963"/>
      <w:bookmarkStart w:id="66" w:name="_Toc495861544"/>
      <w:r>
        <w:rPr>
          <w:rFonts w:hint="eastAsia" w:cs="Times New Roman" w:asciiTheme="majorEastAsia" w:hAnsiTheme="majorEastAsia"/>
          <w:bCs w:val="0"/>
          <w:sz w:val="30"/>
          <w:szCs w:val="30"/>
          <w:lang w:val="zh-CN"/>
        </w:rPr>
        <w:t>评审因素及评分标准</w:t>
      </w:r>
      <w:bookmarkEnd w:id="65"/>
      <w:bookmarkEnd w:id="66"/>
    </w:p>
    <w:tbl>
      <w:tblPr>
        <w:tblStyle w:val="1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98"/>
        <w:gridCol w:w="667"/>
        <w:gridCol w:w="629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restart"/>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商务评议</w:t>
            </w:r>
          </w:p>
        </w:tc>
        <w:tc>
          <w:tcPr>
            <w:tcW w:w="1198"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296"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968"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88"/>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jc w:val="center"/>
              <w:rPr>
                <w:rFonts w:ascii="宋体" w:hAnsi="宋体" w:eastAsia="宋体" w:cs="Times New Roman"/>
                <w:szCs w:val="21"/>
              </w:rPr>
            </w:pPr>
            <w:r>
              <w:rPr>
                <w:rFonts w:hint="eastAsia" w:ascii="宋体" w:hAnsi="宋体"/>
                <w:szCs w:val="21"/>
              </w:rPr>
              <w:t>投标</w:t>
            </w:r>
            <w:r>
              <w:rPr>
                <w:rFonts w:hint="eastAsia" w:ascii="宋体" w:hAnsi="宋体" w:eastAsia="宋体" w:cs="Times New Roman"/>
                <w:szCs w:val="21"/>
              </w:rPr>
              <w:t>文件的完整性</w:t>
            </w:r>
          </w:p>
        </w:tc>
        <w:tc>
          <w:tcPr>
            <w:tcW w:w="667"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6296" w:type="dxa"/>
            <w:vAlign w:val="center"/>
          </w:tcPr>
          <w:p>
            <w:pPr>
              <w:spacing w:before="100" w:beforeAutospacing="1" w:after="100" w:afterAutospacing="1"/>
              <w:jc w:val="left"/>
              <w:rPr>
                <w:rFonts w:ascii="宋体" w:hAnsi="宋体" w:eastAsia="宋体" w:cs="Times New Roman"/>
                <w:szCs w:val="21"/>
              </w:rPr>
            </w:pPr>
            <w:r>
              <w:rPr>
                <w:rFonts w:hint="eastAsia" w:ascii="宋体" w:hAnsi="宋体"/>
                <w:kern w:val="0"/>
                <w:szCs w:val="21"/>
              </w:rPr>
              <w:t>投标</w:t>
            </w:r>
            <w:r>
              <w:rPr>
                <w:rFonts w:hint="eastAsia" w:ascii="宋体" w:hAnsi="宋体" w:eastAsia="宋体" w:cs="Times New Roman"/>
                <w:kern w:val="0"/>
                <w:szCs w:val="21"/>
              </w:rPr>
              <w:t>文件全面响应</w:t>
            </w:r>
            <w:r>
              <w:rPr>
                <w:rFonts w:hint="eastAsia" w:ascii="宋体" w:hAnsi="宋体"/>
                <w:kern w:val="0"/>
                <w:szCs w:val="21"/>
              </w:rPr>
              <w:t>招标</w:t>
            </w:r>
            <w:r>
              <w:rPr>
                <w:rFonts w:hint="eastAsia" w:ascii="宋体" w:hAnsi="宋体" w:eastAsia="宋体" w:cs="Times New Roman"/>
                <w:kern w:val="0"/>
                <w:szCs w:val="21"/>
              </w:rPr>
              <w:t>文件要求，编制完整、非活页装订，且有详细目录、连续页码、目录与有关材料装订顺序对应清晰、查阅方便得1分。编排杂乱无章、叙述答非所问、资料残缺不全、资料模糊不清、前后不一致等，每处扣0.5分，扣完为止，活页装订不得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1" w:type="dxa"/>
            <w:vMerge w:val="continue"/>
            <w:vAlign w:val="center"/>
          </w:tcPr>
          <w:p>
            <w:pPr>
              <w:numPr>
                <w:ilvl w:val="0"/>
                <w:numId w:val="88"/>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投标人综合实力</w:t>
            </w:r>
          </w:p>
        </w:tc>
        <w:tc>
          <w:tcPr>
            <w:tcW w:w="667" w:type="dxa"/>
            <w:vAlign w:val="center"/>
          </w:tcPr>
          <w:p>
            <w:pPr>
              <w:jc w:val="center"/>
              <w:rPr>
                <w:rFonts w:ascii="宋体" w:hAnsi="宋体" w:eastAsia="宋体" w:cs="Times New Roman"/>
                <w:b/>
                <w:color w:val="000000" w:themeColor="text1"/>
                <w:sz w:val="24"/>
              </w:rPr>
            </w:pPr>
            <w:r>
              <w:rPr>
                <w:rFonts w:hint="eastAsia" w:ascii="宋体" w:hAnsi="宋体" w:eastAsia="宋体" w:cs="Times New Roman"/>
                <w:szCs w:val="21"/>
              </w:rPr>
              <w:t>5</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1.投标人具备ISO9001 认证证书、ISO20000认证证书、ISO27001认证证书、高新技术企业认证证书，每提供一份得0.5分，此项最高得2分。（提供证书复印件并加盖公章）</w:t>
            </w:r>
          </w:p>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2.投标人具备CMMI5 级资质得 3 分；CMMI4 级资质得 2 分；CMMI3 级或以下资质得1 分；未提供则不得分。（本项不累计加分，最高得3分；提供证书复印件并加盖公章）</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88"/>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类似成功案例</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根据投标人所投核心产品（2016年1月至今）的类似成功案例进行评分，每提供一份得1分，最高得3分。（提供合同或者可体现产品内容的中标通知书复印件并加盖公章）</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88"/>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制造商综合实力</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投标人所投影像中心医学影像管理系统制造商获得“国家知识产权示范企业”称号得2分。（提供国家知识产权局网站查询截图或证明文件复印件）</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88"/>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产品认证</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5</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 根据所投产品与影像相关专利的数量进行评分：（非实用新型和外观专利）≥90 项得4分；（非实用新型和外观专利） 50-89 项得 2分；（非实用新型和外观专利）≤50项得0.5分；未提供则不得分。（提供证明文件：如有多种检索结果，以国家知识产权局http://www.sipo.gov.cn/，政务服务平台-专利检索查询-公布公告查询检索结果为准，复印件加盖公章）</w:t>
            </w:r>
          </w:p>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2.所投产品（文档管理系统）具备软件著作权证书得1分。（提供证书复印件并加盖公章）</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88"/>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售后服务服务方案</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Cs w:val="21"/>
              </w:rPr>
              <w:t>投标人提供的售后服务方案安排合理，维修响应速度快，售后服务网点分布广，针对性强得4-3分；方案基本合理，有一定针对性，有售后服务网点得2-1分；方案简单，售后服务网点较少得0.5-0分。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88"/>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color w:val="000000" w:themeColor="text1"/>
                <w:szCs w:val="21"/>
              </w:rPr>
              <w:t>培训方案</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根据投标人提供的培训方案，从专业技术情况，培训计划是否合理、完善、有针对性等方面评分：方案内容完整、合理、针对性强得3分；方案内容完整、计划可行符合项目需求得2分；方案内容完整基本符合项目需求得1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284"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人员配备</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根据投标人为本项目实施拟投入的项目人员进行打分：1.具备信息系统集成高级项目经理及以上等级证书得2分；具备高级项目经理以下等级证书得1分。（提供项目经理证书复印件、身份证复印件、劳动合同证明复印件、近六个月2020年2月-7月缴纳社保证明材料、承担过项目证明材料）</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264" w:type="dxa"/>
            <w:gridSpan w:val="2"/>
            <w:vAlign w:val="center"/>
          </w:tcPr>
          <w:p>
            <w:pPr>
              <w:spacing w:line="320" w:lineRule="exact"/>
              <w:ind w:left="-65" w:leftChars="-31" w:right="-35"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Merge w:val="restart"/>
            <w:shd w:val="pct10" w:color="auto" w:fill="auto"/>
            <w:vAlign w:val="center"/>
          </w:tcPr>
          <w:p>
            <w:pPr>
              <w:tabs>
                <w:tab w:val="left" w:pos="322"/>
              </w:tabs>
              <w:spacing w:line="320" w:lineRule="exact"/>
              <w:ind w:left="-42" w:right="-42" w:rightChars="-20"/>
              <w:jc w:val="right"/>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技术服务评议</w:t>
            </w:r>
          </w:p>
        </w:tc>
        <w:tc>
          <w:tcPr>
            <w:tcW w:w="1198"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296"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968"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ascii="宋体" w:hAnsi="宋体" w:eastAsia="宋体" w:cs="Times New Roman"/>
                <w:color w:val="000000"/>
                <w:szCs w:val="21"/>
              </w:rPr>
              <w:t>技术响应</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30</w:t>
            </w:r>
          </w:p>
        </w:tc>
        <w:tc>
          <w:tcPr>
            <w:tcW w:w="6296" w:type="dxa"/>
            <w:vAlign w:val="center"/>
          </w:tcPr>
          <w:p>
            <w:pPr>
              <w:rPr>
                <w:rFonts w:ascii="宋体" w:hAnsi="宋体"/>
                <w:b/>
                <w:szCs w:val="21"/>
              </w:rPr>
            </w:pPr>
            <w:r>
              <w:rPr>
                <w:rFonts w:hint="eastAsia" w:ascii="宋体" w:hAnsi="宋体"/>
                <w:szCs w:val="21"/>
              </w:rPr>
              <w:t>1.</w:t>
            </w:r>
            <w:r>
              <w:rPr>
                <w:rFonts w:ascii="宋体" w:hAnsi="宋体"/>
                <w:kern w:val="0"/>
                <w:szCs w:val="21"/>
              </w:rPr>
              <w:t>完全满足用户的要求，</w:t>
            </w:r>
            <w:r>
              <w:rPr>
                <w:rFonts w:hint="eastAsia" w:ascii="宋体" w:hAnsi="宋体"/>
                <w:kern w:val="0"/>
                <w:szCs w:val="21"/>
              </w:rPr>
              <w:t>或</w:t>
            </w:r>
            <w:r>
              <w:rPr>
                <w:rFonts w:ascii="宋体" w:hAnsi="宋体"/>
                <w:kern w:val="0"/>
                <w:szCs w:val="21"/>
              </w:rPr>
              <w:t>有优于用户</w:t>
            </w:r>
            <w:r>
              <w:rPr>
                <w:rFonts w:hint="eastAsia" w:ascii="宋体" w:hAnsi="宋体"/>
                <w:kern w:val="0"/>
                <w:szCs w:val="21"/>
              </w:rPr>
              <w:t>的</w:t>
            </w:r>
            <w:r>
              <w:rPr>
                <w:rFonts w:ascii="宋体" w:hAnsi="宋体"/>
                <w:kern w:val="0"/>
                <w:szCs w:val="21"/>
              </w:rPr>
              <w:t>技术参数</w:t>
            </w:r>
            <w:r>
              <w:rPr>
                <w:rFonts w:hint="eastAsia" w:ascii="宋体" w:hAnsi="宋体"/>
                <w:kern w:val="0"/>
                <w:szCs w:val="21"/>
              </w:rPr>
              <w:t>（投标人需按招标文件要求提供参数证明材料，如</w:t>
            </w:r>
            <w:r>
              <w:rPr>
                <w:rFonts w:hint="eastAsia" w:ascii="宋体" w:hAnsi="宋体" w:cs="宋体"/>
                <w:szCs w:val="21"/>
              </w:rPr>
              <w:t>产品彩页、官网网页截图以上其中一种</w:t>
            </w:r>
            <w:r>
              <w:rPr>
                <w:rFonts w:hint="eastAsia" w:ascii="宋体" w:hAnsi="宋体"/>
                <w:kern w:val="0"/>
                <w:szCs w:val="21"/>
              </w:rPr>
              <w:t>或官方检测机构出具的认证证书等，如投标人技术响应内容与产品彩页样本或检验报告不一致的本项得0分）</w:t>
            </w:r>
            <w:r>
              <w:rPr>
                <w:rFonts w:ascii="宋体" w:hAnsi="宋体"/>
                <w:kern w:val="0"/>
                <w:szCs w:val="21"/>
              </w:rPr>
              <w:t>，且能详细描述，综合评价最优</w:t>
            </w:r>
            <w:r>
              <w:rPr>
                <w:rFonts w:hint="eastAsia" w:ascii="宋体" w:hAnsi="宋体"/>
                <w:kern w:val="0"/>
                <w:szCs w:val="21"/>
              </w:rPr>
              <w:t>的得30分。</w:t>
            </w:r>
          </w:p>
          <w:p>
            <w:pPr>
              <w:spacing w:line="320" w:lineRule="exact"/>
              <w:rPr>
                <w:rFonts w:ascii="宋体" w:hAnsi="宋体" w:eastAsia="宋体" w:cs="Times New Roman"/>
                <w:color w:val="000000" w:themeColor="text1"/>
                <w:sz w:val="24"/>
              </w:rPr>
            </w:pPr>
            <w:r>
              <w:rPr>
                <w:rFonts w:hint="eastAsia" w:ascii="宋体" w:hAnsi="宋体"/>
                <w:szCs w:val="21"/>
              </w:rPr>
              <w:t>2.“</w:t>
            </w:r>
            <w:r>
              <w:rPr>
                <w:rFonts w:hint="eastAsia" w:ascii="宋体" w:hAnsi="宋体"/>
                <w:b/>
                <w:color w:val="000000"/>
                <w:szCs w:val="21"/>
              </w:rPr>
              <w:t>＊</w:t>
            </w:r>
            <w:r>
              <w:rPr>
                <w:rFonts w:hint="eastAsia" w:ascii="宋体" w:hAnsi="宋体"/>
                <w:szCs w:val="21"/>
              </w:rPr>
              <w:t>”号标识的条款，为重要技术参数，每一项负偏离，扣5分；其他参数，每一项负偏离，扣2分，扣完30分为止。</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color w:val="000000" w:themeColor="text1"/>
                <w:szCs w:val="21"/>
              </w:rPr>
              <w:t>技术方案</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10</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投标人提供项目整体技术方案需包含需求分析、整体设计、标准体系、架构拓朴、功能模块、软件性能、硬件性能、系统及业务接口等内容；方案内容清晰完整、全面、可实施性强、符合采购人实际情况得10-7分；方案内容较为完善、有可实施性得6-4分；能提供基础方案得3-1分；未提供则不得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实施方案图</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5</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投标人提供与需方现有房间强弱电布局相符合的实施方案图、效果图、平面图、布线图等；设计图完全符合采购人需求、贴合实际情况、可实施性强得5-4分；设计图较为完善、有一定实施性得3-2分；能提供基本设计图的得1-0.5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技术分合计</w:t>
            </w:r>
          </w:p>
        </w:tc>
        <w:tc>
          <w:tcPr>
            <w:tcW w:w="7264" w:type="dxa"/>
            <w:gridSpan w:val="2"/>
            <w:vAlign w:val="center"/>
          </w:tcPr>
          <w:p>
            <w:pPr>
              <w:spacing w:line="320" w:lineRule="exact"/>
              <w:ind w:left="-65" w:leftChars="-31" w:right="-35"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vAlign w:val="center"/>
          </w:tcPr>
          <w:p>
            <w:pPr>
              <w:ind w:left="-77" w:leftChars="-37" w:right="-86" w:rightChars="-41"/>
              <w:jc w:val="center"/>
              <w:rPr>
                <w:rFonts w:ascii="宋体" w:hAnsi="宋体" w:eastAsia="宋体" w:cs="Times New Roman"/>
                <w:b/>
                <w:bCs/>
                <w:color w:val="000000" w:themeColor="text1"/>
                <w:sz w:val="24"/>
                <w:szCs w:val="24"/>
              </w:rPr>
            </w:pPr>
            <w:r>
              <w:rPr>
                <w:rFonts w:hint="eastAsia" w:ascii="宋体" w:hAnsi="宋体" w:eastAsia="宋体" w:cs="Times New Roman"/>
                <w:b/>
                <w:bCs/>
                <w:color w:val="000000" w:themeColor="text1"/>
                <w:sz w:val="24"/>
                <w:szCs w:val="24"/>
              </w:rPr>
              <w:t>价格评议</w:t>
            </w:r>
          </w:p>
        </w:tc>
        <w:tc>
          <w:tcPr>
            <w:tcW w:w="667" w:type="dxa"/>
            <w:vAlign w:val="center"/>
          </w:tcPr>
          <w:p>
            <w:pPr>
              <w:spacing w:line="32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30分</w:t>
            </w:r>
          </w:p>
        </w:tc>
        <w:tc>
          <w:tcPr>
            <w:tcW w:w="7264" w:type="dxa"/>
            <w:gridSpan w:val="2"/>
            <w:vAlign w:val="center"/>
          </w:tcPr>
          <w:p>
            <w:pPr>
              <w:adjustRightInd w:val="0"/>
              <w:snapToGrid w:val="0"/>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分。计算时保留两位小数。为保证产品质量，评标委员会将对其报价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gridSpan w:val="3"/>
            <w:vAlign w:val="center"/>
          </w:tcPr>
          <w:p>
            <w:pPr>
              <w:spacing w:line="320" w:lineRule="exact"/>
              <w:jc w:val="center"/>
              <w:rPr>
                <w:rFonts w:ascii="宋体" w:hAnsi="宋体" w:eastAsia="宋体" w:cs="Times New Roman"/>
                <w:b/>
                <w:color w:val="FF0000"/>
                <w:kern w:val="0"/>
                <w:sz w:val="24"/>
                <w:szCs w:val="24"/>
              </w:rPr>
            </w:pPr>
            <w:r>
              <w:rPr>
                <w:rFonts w:hint="eastAsia" w:ascii="宋体" w:hAnsi="宋体" w:eastAsia="宋体" w:cs="Times New Roman"/>
                <w:b/>
                <w:color w:val="FF0000"/>
                <w:kern w:val="0"/>
                <w:sz w:val="24"/>
                <w:szCs w:val="24"/>
              </w:rPr>
              <w:t>报价分合计</w:t>
            </w:r>
          </w:p>
        </w:tc>
        <w:tc>
          <w:tcPr>
            <w:tcW w:w="7264" w:type="dxa"/>
            <w:gridSpan w:val="2"/>
            <w:vAlign w:val="center"/>
          </w:tcPr>
          <w:p>
            <w:pPr>
              <w:adjustRightInd w:val="0"/>
              <w:snapToGrid w:val="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gridSpan w:val="3"/>
            <w:vAlign w:val="center"/>
          </w:tcPr>
          <w:p>
            <w:pPr>
              <w:spacing w:line="320" w:lineRule="exact"/>
              <w:jc w:val="center"/>
              <w:rPr>
                <w:rFonts w:ascii="宋体" w:hAnsi="宋体" w:eastAsia="宋体" w:cs="Times New Roman"/>
                <w:b/>
                <w:color w:val="FF0000"/>
                <w:kern w:val="0"/>
                <w:sz w:val="24"/>
                <w:szCs w:val="24"/>
              </w:rPr>
            </w:pPr>
            <w:r>
              <w:rPr>
                <w:rFonts w:hint="eastAsia" w:ascii="宋体" w:hAnsi="宋体" w:eastAsia="宋体" w:cs="Times New Roman"/>
                <w:b/>
                <w:color w:val="FF0000"/>
                <w:kern w:val="0"/>
                <w:sz w:val="24"/>
                <w:szCs w:val="24"/>
              </w:rPr>
              <w:t>得分总计</w:t>
            </w:r>
          </w:p>
        </w:tc>
        <w:tc>
          <w:tcPr>
            <w:tcW w:w="7264" w:type="dxa"/>
            <w:gridSpan w:val="2"/>
            <w:vAlign w:val="center"/>
          </w:tcPr>
          <w:p>
            <w:pPr>
              <w:adjustRightInd w:val="0"/>
              <w:snapToGrid w:val="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100</w:t>
            </w:r>
          </w:p>
        </w:tc>
      </w:tr>
    </w:tbl>
    <w:p/>
    <w:p>
      <w:r>
        <w:br w:type="page"/>
      </w:r>
    </w:p>
    <w:p>
      <w:pPr>
        <w:pStyle w:val="2"/>
        <w:numPr>
          <w:ilvl w:val="0"/>
          <w:numId w:val="1"/>
        </w:numPr>
        <w:jc w:val="center"/>
        <w:rPr>
          <w:rFonts w:ascii="黑体" w:hAnsi="黑体" w:eastAsia="黑体"/>
        </w:rPr>
      </w:pPr>
      <w:bookmarkStart w:id="67" w:name="_Toc495861545"/>
      <w:bookmarkStart w:id="68" w:name="_Toc494721093"/>
      <w:bookmarkStart w:id="69" w:name="_Toc494745310"/>
      <w:bookmarkStart w:id="70" w:name="_Toc494665546"/>
      <w:bookmarkStart w:id="71" w:name="_Toc494665943"/>
      <w:bookmarkStart w:id="72" w:name="_Toc494664993"/>
      <w:bookmarkStart w:id="73" w:name="_Toc494702263"/>
      <w:r>
        <w:rPr>
          <w:rFonts w:hint="eastAsia" w:ascii="黑体" w:hAnsi="黑体" w:eastAsia="黑体"/>
        </w:rPr>
        <w:t>合同书格式（参考）</w:t>
      </w:r>
      <w:bookmarkEnd w:id="67"/>
      <w:bookmarkEnd w:id="68"/>
      <w:bookmarkEnd w:id="69"/>
      <w:bookmarkEnd w:id="70"/>
      <w:bookmarkEnd w:id="71"/>
      <w:bookmarkEnd w:id="72"/>
      <w:bookmarkEnd w:id="7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90"/>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90"/>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90"/>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90"/>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90"/>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90"/>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91"/>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91"/>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91"/>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91"/>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89"/>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89"/>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89"/>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89"/>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74" w:name="_Toc494665944"/>
      <w:bookmarkStart w:id="75" w:name="_Toc494664994"/>
      <w:bookmarkStart w:id="76" w:name="_Toc494745311"/>
      <w:bookmarkStart w:id="77" w:name="_Toc495861546"/>
      <w:bookmarkStart w:id="78" w:name="_Toc494721094"/>
      <w:bookmarkStart w:id="79" w:name="_Toc494702264"/>
      <w:bookmarkStart w:id="80" w:name="_Toc494665547"/>
      <w:r>
        <w:rPr>
          <w:rFonts w:hint="eastAsia" w:ascii="黑体" w:hAnsi="黑体" w:eastAsia="黑体"/>
        </w:rPr>
        <w:t>投标文件格式（参考）</w:t>
      </w:r>
      <w:bookmarkEnd w:id="74"/>
      <w:bookmarkEnd w:id="75"/>
      <w:bookmarkEnd w:id="76"/>
      <w:bookmarkEnd w:id="77"/>
      <w:bookmarkEnd w:id="78"/>
      <w:bookmarkEnd w:id="79"/>
      <w:bookmarkEnd w:id="8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81" w:name="_Toc494702265"/>
      <w:bookmarkStart w:id="82" w:name="_Toc494721095"/>
      <w:bookmarkStart w:id="83" w:name="_Toc494745312"/>
      <w:bookmarkStart w:id="84" w:name="_Toc495861547"/>
      <w:bookmarkStart w:id="85" w:name="_Toc494664995"/>
      <w:bookmarkStart w:id="86" w:name="_Toc494665945"/>
      <w:bookmarkStart w:id="87" w:name="_Toc494665548"/>
      <w:r>
        <w:rPr>
          <w:rFonts w:hint="eastAsia" w:cs="Times New Roman" w:asciiTheme="majorEastAsia" w:hAnsiTheme="majorEastAsia"/>
          <w:bCs w:val="0"/>
          <w:sz w:val="44"/>
          <w:szCs w:val="44"/>
          <w:lang w:val="zh-CN"/>
        </w:rPr>
        <w:t>第一部分 资格证明文件</w:t>
      </w:r>
      <w:bookmarkEnd w:id="81"/>
      <w:bookmarkEnd w:id="82"/>
      <w:bookmarkEnd w:id="83"/>
      <w:bookmarkEnd w:id="84"/>
      <w:bookmarkEnd w:id="85"/>
      <w:bookmarkEnd w:id="86"/>
      <w:bookmarkEnd w:id="8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8" w:name="_Toc494721096"/>
      <w:bookmarkStart w:id="89" w:name="_Toc494745313"/>
      <w:bookmarkStart w:id="90" w:name="_Toc494665549"/>
      <w:bookmarkStart w:id="91" w:name="_Toc494665946"/>
      <w:bookmarkStart w:id="92" w:name="_Toc494664996"/>
      <w:bookmarkStart w:id="93" w:name="_Toc494702266"/>
      <w:r>
        <w:rPr>
          <w:rFonts w:hint="eastAsia" w:ascii="黑体" w:hAnsi="黑体" w:eastAsia="黑体" w:cs="Times New Roman"/>
          <w:b/>
          <w:sz w:val="36"/>
          <w:szCs w:val="36"/>
        </w:rPr>
        <w:t>资格证明文件组成</w:t>
      </w:r>
      <w:bookmarkEnd w:id="88"/>
      <w:bookmarkEnd w:id="89"/>
      <w:bookmarkEnd w:id="90"/>
      <w:bookmarkEnd w:id="91"/>
      <w:bookmarkEnd w:id="92"/>
      <w:bookmarkEnd w:id="9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9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92"/>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26"/>
        <w:numPr>
          <w:ilvl w:val="0"/>
          <w:numId w:val="9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6"/>
        <w:numPr>
          <w:ilvl w:val="0"/>
          <w:numId w:val="93"/>
        </w:numPr>
        <w:tabs>
          <w:tab w:val="left" w:pos="851"/>
        </w:tabs>
        <w:spacing w:line="360" w:lineRule="auto"/>
        <w:ind w:left="851" w:hanging="709" w:firstLineChars="0"/>
        <w:rPr>
          <w:rFonts w:ascii="宋体" w:hAnsi="宋体" w:eastAsia="宋体" w:cs="Times New Roman"/>
          <w:sz w:val="24"/>
          <w:szCs w:val="24"/>
          <w:highlight w:val="none"/>
          <w:lang w:val="zh-CN"/>
        </w:rPr>
      </w:pPr>
      <w:r>
        <w:rPr>
          <w:rFonts w:hint="eastAsia" w:ascii="宋体" w:hAnsi="宋体" w:eastAsia="宋体" w:cs="Times New Roman"/>
          <w:sz w:val="24"/>
          <w:szCs w:val="24"/>
          <w:highlight w:val="none"/>
          <w:lang w:val="zh-CN"/>
        </w:rPr>
        <w:t>上一年度经</w:t>
      </w:r>
      <w:r>
        <w:rPr>
          <w:rFonts w:hint="eastAsia" w:ascii="宋体" w:hAnsi="宋体" w:eastAsia="宋体" w:cs="Times New Roman"/>
          <w:sz w:val="24"/>
          <w:szCs w:val="24"/>
          <w:highlight w:val="none"/>
        </w:rPr>
        <w:t>会计事务所审计的财务报告</w:t>
      </w:r>
      <w:r>
        <w:rPr>
          <w:rFonts w:hint="eastAsia" w:ascii="宋体" w:hAnsi="宋体" w:eastAsia="宋体" w:cs="Times New Roman"/>
          <w:sz w:val="24"/>
          <w:szCs w:val="24"/>
          <w:highlight w:val="none"/>
          <w:lang w:val="zh-CN"/>
        </w:rPr>
        <w:t>，近六个月（20</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lang w:val="zh-CN"/>
        </w:rPr>
        <w:t>年2月~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lang w:val="zh-CN"/>
        </w:rPr>
        <w:t>月）中任意一个月依法缴纳税收和社会保障资金的相关材料；</w:t>
      </w:r>
    </w:p>
    <w:p>
      <w:pPr>
        <w:pStyle w:val="26"/>
        <w:numPr>
          <w:ilvl w:val="0"/>
          <w:numId w:val="9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6"/>
        <w:numPr>
          <w:ilvl w:val="0"/>
          <w:numId w:val="9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6"/>
        <w:numPr>
          <w:ilvl w:val="0"/>
          <w:numId w:val="9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92"/>
        </w:numPr>
        <w:autoSpaceDE w:val="0"/>
        <w:autoSpaceDN w:val="0"/>
        <w:adjustRightInd w:val="0"/>
        <w:spacing w:line="360" w:lineRule="auto"/>
        <w:ind w:left="490" w:hanging="370"/>
        <w:rPr>
          <w:rFonts w:ascii="宋体" w:hAnsi="宋体" w:eastAsia="宋体" w:cs="Courier New"/>
          <w:color w:val="0D0D0D"/>
          <w:sz w:val="24"/>
          <w:szCs w:val="24"/>
          <w:highlight w:val="none"/>
        </w:rPr>
      </w:pPr>
      <w:r>
        <w:rPr>
          <w:rFonts w:hint="eastAsia" w:ascii="宋体" w:hAnsi="宋体" w:eastAsia="宋体" w:cs="Courier New"/>
          <w:color w:val="0D0D0D"/>
          <w:sz w:val="24"/>
          <w:szCs w:val="24"/>
          <w:highlight w:val="none"/>
        </w:rPr>
        <w:t>未被“信用中国”网站(www.creditchina.gov.cn)列入失信被执行人、重大税收违法案件当事人名单</w:t>
      </w:r>
      <w:r>
        <w:rPr>
          <w:rFonts w:hint="eastAsia" w:ascii="宋体" w:hAnsi="宋体" w:eastAsia="宋体" w:cs="Times New Roman"/>
          <w:sz w:val="24"/>
          <w:szCs w:val="24"/>
          <w:highlight w:val="none"/>
        </w:rPr>
        <w:t>和“中国政府采购”网站（www.ccgp.gov.cn）政府采购严重违法失信行为记录名单的网页截图</w:t>
      </w:r>
      <w:r>
        <w:rPr>
          <w:rFonts w:hint="eastAsia" w:ascii="宋体" w:hAnsi="宋体" w:eastAsia="宋体" w:cs="Courier New"/>
          <w:color w:val="0D0D0D"/>
          <w:sz w:val="24"/>
          <w:szCs w:val="24"/>
          <w:highlight w:val="none"/>
        </w:rPr>
        <w:t>；</w:t>
      </w:r>
    </w:p>
    <w:p>
      <w:pPr>
        <w:numPr>
          <w:ilvl w:val="0"/>
          <w:numId w:val="9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highlight w:val="none"/>
        </w:rPr>
        <w:t>招标文件第一章“投标人资格要求</w:t>
      </w:r>
      <w:r>
        <w:rPr>
          <w:rFonts w:hint="eastAsia" w:ascii="宋体" w:hAnsi="宋体" w:eastAsia="宋体" w:cs="Courier New"/>
          <w:color w:val="0D0D0D"/>
          <w:sz w:val="24"/>
          <w:szCs w:val="24"/>
        </w:rPr>
        <w:t>”中有特殊要求的，投标人应提供其符合特殊要求的证明材料或者情况说明；</w:t>
      </w:r>
    </w:p>
    <w:p>
      <w:pPr>
        <w:numPr>
          <w:ilvl w:val="0"/>
          <w:numId w:val="9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9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4" w:name="_Toc494745314"/>
      <w:bookmarkStart w:id="95" w:name="_Toc494665550"/>
      <w:bookmarkStart w:id="96" w:name="_Toc495861548"/>
      <w:bookmarkStart w:id="97" w:name="_Toc494702267"/>
      <w:bookmarkStart w:id="98" w:name="_Toc494665947"/>
      <w:bookmarkStart w:id="99" w:name="_Toc494664997"/>
      <w:bookmarkStart w:id="100" w:name="_Toc494721097"/>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94"/>
      <w:bookmarkEnd w:id="95"/>
      <w:bookmarkEnd w:id="96"/>
      <w:bookmarkEnd w:id="97"/>
      <w:bookmarkEnd w:id="98"/>
      <w:bookmarkEnd w:id="99"/>
      <w:bookmarkEnd w:id="10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1" w:name="_Toc494664998"/>
      <w:bookmarkStart w:id="102" w:name="_Toc494702268"/>
      <w:bookmarkStart w:id="103" w:name="_Toc494665551"/>
      <w:bookmarkStart w:id="104" w:name="_Toc494721098"/>
      <w:bookmarkStart w:id="105" w:name="_Toc494745315"/>
      <w:bookmarkStart w:id="106" w:name="_Toc494665948"/>
      <w:r>
        <w:rPr>
          <w:rFonts w:hint="eastAsia" w:ascii="黑体" w:hAnsi="黑体" w:eastAsia="黑体" w:cs="Times New Roman"/>
          <w:b/>
          <w:sz w:val="36"/>
          <w:szCs w:val="36"/>
        </w:rPr>
        <w:t>商务文件组成</w:t>
      </w:r>
      <w:bookmarkEnd w:id="101"/>
      <w:bookmarkEnd w:id="102"/>
      <w:bookmarkEnd w:id="103"/>
      <w:bookmarkEnd w:id="104"/>
      <w:bookmarkEnd w:id="105"/>
      <w:bookmarkEnd w:id="10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9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9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94"/>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94"/>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94"/>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9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9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9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9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9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07" w:name="_Toc494721099"/>
      <w:bookmarkStart w:id="108" w:name="_Toc495861549"/>
      <w:bookmarkStart w:id="109" w:name="_Toc494745316"/>
      <w:bookmarkStart w:id="110" w:name="_Toc494702269"/>
      <w:bookmarkStart w:id="111" w:name="_Toc494664999"/>
      <w:bookmarkStart w:id="112" w:name="_Toc494665552"/>
      <w:bookmarkStart w:id="113" w:name="_Toc494665949"/>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107"/>
      <w:bookmarkEnd w:id="108"/>
      <w:bookmarkEnd w:id="109"/>
      <w:bookmarkEnd w:id="110"/>
      <w:bookmarkEnd w:id="111"/>
      <w:bookmarkEnd w:id="112"/>
      <w:bookmarkEnd w:id="11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4" w:name="_Toc494702270"/>
      <w:bookmarkStart w:id="115" w:name="_Toc494721100"/>
      <w:bookmarkStart w:id="116" w:name="_Toc494665950"/>
      <w:bookmarkStart w:id="117" w:name="_Toc494665553"/>
      <w:bookmarkStart w:id="118" w:name="_Toc494665000"/>
      <w:bookmarkStart w:id="119"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4"/>
      <w:bookmarkEnd w:id="115"/>
      <w:bookmarkEnd w:id="116"/>
      <w:bookmarkEnd w:id="117"/>
      <w:bookmarkEnd w:id="118"/>
      <w:bookmarkEnd w:id="11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9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95"/>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9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9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9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9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20" w:name="_Toc495861550"/>
      <w:bookmarkStart w:id="121" w:name="_Toc494745318"/>
      <w:bookmarkStart w:id="122" w:name="_Toc494702271"/>
      <w:bookmarkStart w:id="123" w:name="_Toc238276242"/>
      <w:bookmarkStart w:id="124" w:name="_Toc494665951"/>
      <w:bookmarkStart w:id="125" w:name="_Toc236473298"/>
      <w:bookmarkStart w:id="126" w:name="_Toc494665554"/>
      <w:bookmarkStart w:id="127" w:name="_Toc494721101"/>
      <w:bookmarkStart w:id="128" w:name="_Toc494665001"/>
      <w:r>
        <w:rPr>
          <w:rFonts w:hint="eastAsia" w:ascii="宋体" w:hAnsi="宋体" w:eastAsia="宋体"/>
        </w:rPr>
        <w:t>投标书</w:t>
      </w:r>
      <w:bookmarkEnd w:id="120"/>
      <w:bookmarkEnd w:id="121"/>
      <w:bookmarkEnd w:id="122"/>
      <w:bookmarkEnd w:id="123"/>
      <w:bookmarkEnd w:id="124"/>
      <w:bookmarkEnd w:id="125"/>
      <w:bookmarkEnd w:id="126"/>
      <w:bookmarkEnd w:id="127"/>
      <w:bookmarkEnd w:id="128"/>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29" w:name="_Toc494665002"/>
      <w:bookmarkStart w:id="130" w:name="_Toc495861551"/>
      <w:bookmarkStart w:id="131" w:name="_Toc494665952"/>
      <w:bookmarkStart w:id="132" w:name="_Toc494721102"/>
      <w:bookmarkStart w:id="133" w:name="_Toc494745319"/>
      <w:bookmarkStart w:id="134" w:name="_Toc494702272"/>
      <w:bookmarkStart w:id="135" w:name="_Toc494665555"/>
      <w:r>
        <w:rPr>
          <w:rFonts w:hint="eastAsia" w:ascii="宋体" w:hAnsi="宋体" w:eastAsia="宋体"/>
        </w:rPr>
        <w:t>制造商中小企业声明函</w:t>
      </w:r>
      <w:bookmarkEnd w:id="129"/>
      <w:bookmarkEnd w:id="130"/>
      <w:bookmarkEnd w:id="131"/>
      <w:bookmarkEnd w:id="132"/>
      <w:bookmarkEnd w:id="133"/>
      <w:bookmarkEnd w:id="134"/>
      <w:bookmarkEnd w:id="13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7"/>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7"/>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7"/>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7"/>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36" w:name="_Toc494721103"/>
      <w:bookmarkStart w:id="137" w:name="_Toc494665556"/>
      <w:bookmarkStart w:id="138" w:name="_Toc494702273"/>
      <w:bookmarkStart w:id="139" w:name="_Toc494745320"/>
      <w:bookmarkStart w:id="140" w:name="_Toc495861552"/>
      <w:bookmarkStart w:id="141" w:name="_Toc494665003"/>
      <w:bookmarkStart w:id="142" w:name="_Toc456264006"/>
      <w:bookmarkStart w:id="143" w:name="_Toc494665953"/>
      <w:r>
        <w:rPr>
          <w:rFonts w:hint="eastAsia" w:ascii="宋体" w:hAnsi="宋体" w:eastAsia="宋体"/>
        </w:rPr>
        <w:t>中小企业声明函</w:t>
      </w:r>
      <w:bookmarkEnd w:id="136"/>
      <w:bookmarkEnd w:id="137"/>
      <w:bookmarkEnd w:id="138"/>
      <w:bookmarkEnd w:id="139"/>
      <w:bookmarkEnd w:id="140"/>
      <w:bookmarkEnd w:id="141"/>
      <w:bookmarkEnd w:id="142"/>
      <w:bookmarkEnd w:id="14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hAnsi="宋体" w:eastAsia="宋体" w:cs="Times New Roman"/>
          <w:b/>
          <w:sz w:val="30"/>
          <w:szCs w:val="30"/>
          <w:lang w:val="zh-CN"/>
        </w:rPr>
      </w:pPr>
      <w:bookmarkStart w:id="144" w:name="_Toc476153619"/>
      <w:r>
        <w:rPr>
          <w:rFonts w:hint="eastAsia" w:ascii="宋体" w:hAnsi="宋体" w:eastAsia="宋体" w:cs="Times New Roman"/>
          <w:b/>
          <w:sz w:val="30"/>
          <w:szCs w:val="30"/>
          <w:lang w:val="zh-CN"/>
        </w:rPr>
        <w:t>中小企业划型标准</w:t>
      </w:r>
      <w:bookmarkEnd w:id="144"/>
    </w:p>
    <w:tbl>
      <w:tblPr>
        <w:tblStyle w:val="16"/>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r>
        <w:br w:type="page"/>
      </w:r>
    </w:p>
    <w:p>
      <w:pPr>
        <w:sectPr>
          <w:pgSz w:w="16838" w:h="11906" w:orient="landscape"/>
          <w:pgMar w:top="1191" w:right="1134" w:bottom="1191" w:left="1134" w:header="851" w:footer="851" w:gutter="0"/>
          <w:cols w:space="425" w:num="1"/>
          <w:docGrid w:type="lines" w:linePitch="312" w:charSpace="0"/>
        </w:sectPr>
      </w:pPr>
    </w:p>
    <w:p>
      <w:pPr>
        <w:pStyle w:val="3"/>
        <w:numPr>
          <w:ilvl w:val="0"/>
          <w:numId w:val="96"/>
        </w:numPr>
        <w:spacing w:before="100" w:beforeAutospacing="1" w:afterLines="50" w:line="360" w:lineRule="auto"/>
        <w:ind w:left="1288" w:hanging="1288"/>
        <w:rPr>
          <w:rFonts w:ascii="宋体" w:hAnsi="宋体" w:eastAsia="宋体"/>
        </w:rPr>
      </w:pPr>
      <w:bookmarkStart w:id="145" w:name="_Toc494702274"/>
      <w:bookmarkStart w:id="146" w:name="_Toc494745321"/>
      <w:bookmarkStart w:id="147" w:name="_Toc494665954"/>
      <w:bookmarkStart w:id="148" w:name="_Toc494665557"/>
      <w:bookmarkStart w:id="149" w:name="_Toc495861553"/>
      <w:bookmarkStart w:id="150" w:name="_Toc494665004"/>
      <w:bookmarkStart w:id="151" w:name="_Toc494721104"/>
      <w:r>
        <w:rPr>
          <w:rFonts w:hint="eastAsia" w:ascii="宋体" w:hAnsi="宋体" w:eastAsia="宋体"/>
        </w:rPr>
        <w:t>残疾人福利性单位声明函</w:t>
      </w:r>
      <w:bookmarkEnd w:id="145"/>
      <w:bookmarkEnd w:id="146"/>
      <w:bookmarkEnd w:id="147"/>
      <w:bookmarkEnd w:id="148"/>
      <w:bookmarkEnd w:id="149"/>
      <w:bookmarkEnd w:id="150"/>
      <w:bookmarkEnd w:id="151"/>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7"/>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7"/>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8"/>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7"/>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7"/>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52" w:name="_Toc494665005"/>
      <w:bookmarkStart w:id="153" w:name="_Toc494721105"/>
      <w:bookmarkStart w:id="154" w:name="_Toc494665955"/>
      <w:bookmarkStart w:id="155" w:name="_Toc495861554"/>
      <w:bookmarkStart w:id="156" w:name="_Toc494702275"/>
      <w:bookmarkStart w:id="157" w:name="_Toc494665558"/>
      <w:bookmarkStart w:id="158" w:name="_Toc494577410"/>
      <w:bookmarkStart w:id="159" w:name="_Toc494745322"/>
      <w:r>
        <w:rPr>
          <w:rFonts w:hint="eastAsia" w:ascii="宋体" w:hAnsi="宋体" w:eastAsia="宋体"/>
        </w:rPr>
        <w:t>开标一览表</w:t>
      </w:r>
      <w:bookmarkEnd w:id="152"/>
      <w:bookmarkEnd w:id="153"/>
      <w:bookmarkEnd w:id="154"/>
      <w:bookmarkEnd w:id="155"/>
      <w:bookmarkEnd w:id="156"/>
      <w:bookmarkEnd w:id="157"/>
      <w:bookmarkEnd w:id="158"/>
      <w:bookmarkEnd w:id="15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60" w:name="_Toc494702276"/>
      <w:bookmarkStart w:id="161" w:name="_Toc495861555"/>
      <w:bookmarkStart w:id="162" w:name="_Toc494577411"/>
      <w:bookmarkStart w:id="163" w:name="_Toc494665956"/>
      <w:bookmarkStart w:id="164" w:name="_Toc494721106"/>
      <w:bookmarkStart w:id="165" w:name="_Toc494665559"/>
      <w:bookmarkStart w:id="166" w:name="_Toc494665006"/>
      <w:bookmarkStart w:id="167" w:name="_Toc494745323"/>
      <w:r>
        <w:rPr>
          <w:rFonts w:hint="eastAsia" w:ascii="宋体" w:hAnsi="宋体" w:eastAsia="宋体"/>
        </w:rPr>
        <w:t>投标报价明细表</w:t>
      </w:r>
      <w:bookmarkEnd w:id="160"/>
      <w:bookmarkEnd w:id="161"/>
      <w:bookmarkEnd w:id="162"/>
      <w:bookmarkEnd w:id="163"/>
      <w:bookmarkEnd w:id="164"/>
      <w:bookmarkEnd w:id="165"/>
      <w:bookmarkEnd w:id="166"/>
      <w:bookmarkEnd w:id="167"/>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9"/>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9"/>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9"/>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9"/>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9"/>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9"/>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99"/>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288" w:hanging="1288"/>
        <w:rPr>
          <w:rFonts w:ascii="宋体" w:hAnsi="宋体" w:eastAsia="宋体"/>
          <w:sz w:val="31"/>
          <w:szCs w:val="31"/>
        </w:rPr>
      </w:pPr>
      <w:bookmarkStart w:id="168" w:name="_Toc494745324"/>
      <w:bookmarkStart w:id="169" w:name="_Toc494665560"/>
      <w:bookmarkStart w:id="170" w:name="_Toc494665957"/>
      <w:bookmarkStart w:id="171" w:name="_Toc494702277"/>
      <w:bookmarkStart w:id="172" w:name="_Toc494721107"/>
      <w:bookmarkStart w:id="173" w:name="_Toc494665007"/>
      <w:bookmarkStart w:id="174" w:name="_Toc495861556"/>
      <w:bookmarkStart w:id="175" w:name="_Toc494577412"/>
      <w:r>
        <w:rPr>
          <w:rFonts w:hint="eastAsia" w:ascii="宋体" w:hAnsi="宋体" w:eastAsia="宋体"/>
          <w:sz w:val="31"/>
          <w:szCs w:val="31"/>
        </w:rPr>
        <w:t>小型和微型企业、监狱企业、残疾人福利性单位货物汇总表</w:t>
      </w:r>
      <w:bookmarkEnd w:id="168"/>
      <w:bookmarkEnd w:id="169"/>
      <w:bookmarkEnd w:id="170"/>
      <w:bookmarkEnd w:id="171"/>
      <w:bookmarkEnd w:id="172"/>
      <w:bookmarkEnd w:id="173"/>
      <w:bookmarkEnd w:id="174"/>
      <w:bookmarkEnd w:id="17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76" w:name="_Toc494665958"/>
      <w:bookmarkStart w:id="177" w:name="_Toc494665008"/>
      <w:bookmarkStart w:id="178" w:name="_Toc494745325"/>
      <w:bookmarkStart w:id="179" w:name="_Toc495861557"/>
      <w:bookmarkStart w:id="180" w:name="_Toc494721108"/>
      <w:bookmarkStart w:id="181" w:name="_Toc494702278"/>
      <w:bookmarkStart w:id="182" w:name="_Toc494665561"/>
      <w:r>
        <w:rPr>
          <w:rFonts w:hint="eastAsia" w:ascii="宋体" w:hAnsi="宋体" w:eastAsia="宋体"/>
        </w:rPr>
        <w:t>投标货物（工程或服务）清单</w:t>
      </w:r>
      <w:bookmarkEnd w:id="176"/>
      <w:bookmarkEnd w:id="177"/>
      <w:bookmarkEnd w:id="178"/>
      <w:bookmarkEnd w:id="179"/>
      <w:bookmarkEnd w:id="180"/>
      <w:bookmarkEnd w:id="181"/>
      <w:bookmarkEnd w:id="18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83" w:name="_Toc495861558"/>
      <w:bookmarkStart w:id="184" w:name="_Toc494665009"/>
      <w:bookmarkStart w:id="185" w:name="_Toc494702279"/>
      <w:bookmarkStart w:id="186" w:name="_Toc494665562"/>
      <w:bookmarkStart w:id="187" w:name="_Toc494745326"/>
      <w:bookmarkStart w:id="188" w:name="_Toc494721109"/>
      <w:bookmarkStart w:id="189" w:name="_Toc494665959"/>
      <w:r>
        <w:rPr>
          <w:rFonts w:hint="eastAsia" w:ascii="宋体" w:hAnsi="宋体" w:eastAsia="宋体"/>
        </w:rPr>
        <w:t>交纳投标保证金的银行凭证</w:t>
      </w:r>
      <w:bookmarkEnd w:id="183"/>
      <w:bookmarkEnd w:id="184"/>
      <w:bookmarkEnd w:id="185"/>
      <w:bookmarkEnd w:id="186"/>
      <w:bookmarkEnd w:id="187"/>
      <w:bookmarkEnd w:id="188"/>
      <w:bookmarkEnd w:id="189"/>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6"/>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6"/>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96"/>
        </w:numPr>
        <w:spacing w:before="100" w:beforeAutospacing="1" w:afterLines="50" w:line="360" w:lineRule="auto"/>
        <w:ind w:left="1288" w:hanging="1288"/>
        <w:rPr>
          <w:rFonts w:ascii="宋体" w:hAnsi="宋体" w:eastAsia="宋体"/>
        </w:rPr>
      </w:pPr>
      <w:bookmarkStart w:id="190" w:name="_Toc494665010"/>
      <w:bookmarkStart w:id="191" w:name="_Toc494721110"/>
      <w:bookmarkStart w:id="192" w:name="_Toc494665960"/>
      <w:bookmarkStart w:id="193" w:name="_Toc494665563"/>
      <w:bookmarkStart w:id="194" w:name="_Toc236473303"/>
      <w:bookmarkStart w:id="195" w:name="_Toc238276247"/>
      <w:bookmarkStart w:id="196" w:name="_Toc494702280"/>
      <w:bookmarkStart w:id="197" w:name="_Toc494745327"/>
      <w:bookmarkStart w:id="198" w:name="_Toc495861559"/>
      <w:r>
        <w:rPr>
          <w:rFonts w:hint="eastAsia" w:ascii="宋体" w:hAnsi="宋体" w:eastAsia="宋体"/>
        </w:rPr>
        <w:t>法定代表人授权书</w:t>
      </w:r>
      <w:bookmarkEnd w:id="190"/>
      <w:bookmarkEnd w:id="191"/>
      <w:bookmarkEnd w:id="192"/>
      <w:bookmarkEnd w:id="193"/>
      <w:bookmarkEnd w:id="194"/>
      <w:bookmarkEnd w:id="195"/>
      <w:bookmarkEnd w:id="196"/>
      <w:bookmarkEnd w:id="197"/>
      <w:bookmarkEnd w:id="198"/>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6"/>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96"/>
        </w:numPr>
        <w:spacing w:before="100" w:beforeAutospacing="1" w:afterLines="50" w:line="360" w:lineRule="auto"/>
        <w:ind w:left="1610" w:hanging="1610"/>
        <w:rPr>
          <w:rFonts w:ascii="宋体" w:hAnsi="宋体" w:eastAsia="宋体"/>
        </w:rPr>
      </w:pPr>
      <w:bookmarkStart w:id="199" w:name="_Toc495861560"/>
      <w:bookmarkStart w:id="200" w:name="_Toc494665011"/>
      <w:bookmarkStart w:id="201" w:name="_Toc494665961"/>
      <w:bookmarkStart w:id="202" w:name="_Toc494721111"/>
      <w:bookmarkStart w:id="203" w:name="_Toc494665564"/>
      <w:bookmarkStart w:id="204" w:name="_Toc238276248"/>
      <w:bookmarkStart w:id="205" w:name="_Toc236473304"/>
      <w:bookmarkStart w:id="206" w:name="_Toc494745328"/>
      <w:bookmarkStart w:id="207" w:name="_Toc494702281"/>
      <w:r>
        <w:rPr>
          <w:rFonts w:hint="eastAsia" w:ascii="宋体" w:hAnsi="宋体" w:eastAsia="宋体"/>
        </w:rPr>
        <w:t>投标人的资格声明</w:t>
      </w:r>
      <w:bookmarkEnd w:id="199"/>
      <w:bookmarkEnd w:id="200"/>
      <w:bookmarkEnd w:id="201"/>
      <w:bookmarkEnd w:id="202"/>
      <w:bookmarkEnd w:id="203"/>
      <w:bookmarkEnd w:id="204"/>
      <w:bookmarkEnd w:id="205"/>
      <w:bookmarkEnd w:id="206"/>
      <w:bookmarkEnd w:id="207"/>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96"/>
        </w:numPr>
        <w:spacing w:before="100" w:beforeAutospacing="1" w:afterLines="50" w:line="360" w:lineRule="auto"/>
        <w:ind w:left="1610" w:hanging="1610"/>
        <w:rPr>
          <w:rFonts w:ascii="宋体" w:hAnsi="宋体" w:eastAsia="宋体"/>
        </w:rPr>
      </w:pPr>
      <w:bookmarkStart w:id="208" w:name="_Toc494702282"/>
      <w:bookmarkStart w:id="209" w:name="_Toc494665962"/>
      <w:bookmarkStart w:id="210" w:name="_Toc494721112"/>
      <w:bookmarkStart w:id="211" w:name="_Toc494745329"/>
      <w:bookmarkStart w:id="212" w:name="_Toc494665565"/>
      <w:bookmarkStart w:id="213" w:name="_Toc494665012"/>
      <w:bookmarkStart w:id="214" w:name="_Toc495861561"/>
      <w:r>
        <w:rPr>
          <w:rFonts w:hint="eastAsia" w:ascii="宋体" w:hAnsi="宋体" w:eastAsia="宋体"/>
        </w:rPr>
        <w:t>项目负责人、技术负责人简历表</w:t>
      </w:r>
      <w:bookmarkEnd w:id="208"/>
      <w:bookmarkEnd w:id="209"/>
      <w:bookmarkEnd w:id="210"/>
      <w:bookmarkEnd w:id="211"/>
      <w:bookmarkEnd w:id="212"/>
      <w:bookmarkEnd w:id="213"/>
      <w:bookmarkEnd w:id="21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15" w:name="_Toc494665013"/>
      <w:bookmarkStart w:id="216" w:name="_Toc236473307"/>
      <w:bookmarkStart w:id="217" w:name="_Toc494721113"/>
      <w:bookmarkStart w:id="218" w:name="_Toc495861562"/>
      <w:bookmarkStart w:id="219" w:name="_Toc494665963"/>
      <w:bookmarkStart w:id="220" w:name="_Toc494745330"/>
      <w:bookmarkStart w:id="221" w:name="_Toc494702283"/>
      <w:bookmarkStart w:id="222" w:name="_Toc494665566"/>
      <w:bookmarkStart w:id="223" w:name="_Toc238276251"/>
      <w:r>
        <w:rPr>
          <w:rFonts w:hint="eastAsia" w:ascii="宋体" w:hAnsi="宋体" w:eastAsia="宋体"/>
        </w:rPr>
        <w:t>项目班子成员情况表</w:t>
      </w:r>
      <w:bookmarkEnd w:id="215"/>
      <w:bookmarkEnd w:id="216"/>
      <w:bookmarkEnd w:id="217"/>
      <w:bookmarkEnd w:id="218"/>
      <w:bookmarkEnd w:id="219"/>
      <w:bookmarkEnd w:id="220"/>
      <w:bookmarkEnd w:id="221"/>
      <w:bookmarkEnd w:id="222"/>
      <w:bookmarkEnd w:id="22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24" w:name="_Toc236473312"/>
      <w:bookmarkStart w:id="225" w:name="_Toc494665014"/>
      <w:bookmarkStart w:id="226" w:name="_Toc494745331"/>
      <w:bookmarkStart w:id="227" w:name="_Toc494702284"/>
      <w:bookmarkStart w:id="228" w:name="_Toc495861563"/>
      <w:bookmarkStart w:id="229" w:name="_Toc494665567"/>
      <w:bookmarkStart w:id="230" w:name="_Toc494721114"/>
      <w:bookmarkStart w:id="231" w:name="_Toc494665964"/>
      <w:bookmarkStart w:id="232" w:name="_Toc238276256"/>
      <w:r>
        <w:rPr>
          <w:rFonts w:hint="eastAsia" w:ascii="宋体" w:hAnsi="宋体" w:eastAsia="宋体"/>
        </w:rPr>
        <w:t>投标人类似项目业绩表</w:t>
      </w:r>
      <w:bookmarkEnd w:id="224"/>
      <w:bookmarkEnd w:id="225"/>
      <w:bookmarkEnd w:id="226"/>
      <w:bookmarkEnd w:id="227"/>
      <w:bookmarkEnd w:id="228"/>
      <w:bookmarkEnd w:id="229"/>
      <w:bookmarkEnd w:id="230"/>
      <w:bookmarkEnd w:id="231"/>
      <w:bookmarkEnd w:id="23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33" w:name="_Toc494665965"/>
      <w:bookmarkStart w:id="234" w:name="_Toc494702285"/>
      <w:bookmarkStart w:id="235" w:name="_Toc494665015"/>
      <w:bookmarkStart w:id="236" w:name="_Toc494665568"/>
      <w:bookmarkStart w:id="237" w:name="_Toc495861564"/>
      <w:bookmarkStart w:id="238" w:name="_Toc494721115"/>
      <w:bookmarkStart w:id="239" w:name="_Toc494745332"/>
      <w:r>
        <w:rPr>
          <w:rFonts w:hint="eastAsia" w:ascii="宋体" w:hAnsi="宋体" w:eastAsia="宋体"/>
        </w:rPr>
        <w:t>符合性审查对照表</w:t>
      </w:r>
      <w:bookmarkEnd w:id="233"/>
      <w:bookmarkEnd w:id="234"/>
      <w:bookmarkEnd w:id="235"/>
      <w:bookmarkEnd w:id="236"/>
      <w:bookmarkEnd w:id="237"/>
      <w:bookmarkEnd w:id="238"/>
      <w:bookmarkEnd w:id="23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40" w:name="_Toc494665569"/>
      <w:bookmarkStart w:id="241" w:name="_Toc494702286"/>
      <w:bookmarkStart w:id="242" w:name="_Toc494665966"/>
      <w:bookmarkStart w:id="243" w:name="_Toc494665016"/>
      <w:bookmarkStart w:id="244" w:name="_Toc494745333"/>
      <w:bookmarkStart w:id="245" w:name="_Toc494721116"/>
      <w:bookmarkStart w:id="246" w:name="_Toc495861565"/>
      <w:r>
        <w:rPr>
          <w:rFonts w:hint="eastAsia" w:ascii="宋体" w:hAnsi="宋体" w:eastAsia="宋体"/>
        </w:rPr>
        <w:t>商务要求响应、偏离说明表</w:t>
      </w:r>
      <w:bookmarkEnd w:id="240"/>
      <w:bookmarkEnd w:id="241"/>
      <w:bookmarkEnd w:id="242"/>
      <w:bookmarkEnd w:id="243"/>
      <w:bookmarkEnd w:id="244"/>
      <w:bookmarkEnd w:id="245"/>
      <w:bookmarkEnd w:id="24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47" w:name="_Toc494702287"/>
      <w:bookmarkStart w:id="248" w:name="_Toc494665967"/>
      <w:bookmarkStart w:id="249" w:name="_Toc494745334"/>
      <w:bookmarkStart w:id="250" w:name="_Toc494721117"/>
      <w:bookmarkStart w:id="251" w:name="_Toc494665570"/>
      <w:bookmarkStart w:id="252" w:name="_Toc494665017"/>
      <w:bookmarkStart w:id="253" w:name="_Toc495861566"/>
      <w:r>
        <w:rPr>
          <w:rFonts w:hint="eastAsia" w:ascii="宋体" w:hAnsi="宋体" w:eastAsia="宋体"/>
        </w:rPr>
        <w:t>商务要求“★”号条款响应、偏离说明表</w:t>
      </w:r>
      <w:bookmarkEnd w:id="247"/>
      <w:bookmarkEnd w:id="248"/>
      <w:bookmarkEnd w:id="249"/>
      <w:bookmarkEnd w:id="250"/>
      <w:bookmarkEnd w:id="251"/>
      <w:bookmarkEnd w:id="252"/>
      <w:bookmarkEnd w:id="25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54" w:name="_Toc494745335"/>
      <w:bookmarkStart w:id="255" w:name="_Toc494665571"/>
      <w:bookmarkStart w:id="256" w:name="_Toc495861567"/>
      <w:bookmarkStart w:id="257" w:name="_Toc494665968"/>
      <w:bookmarkStart w:id="258" w:name="_Toc494721118"/>
      <w:bookmarkStart w:id="259" w:name="_Toc494665018"/>
      <w:bookmarkStart w:id="260" w:name="_Toc494702288"/>
      <w:r>
        <w:rPr>
          <w:rFonts w:hint="eastAsia" w:ascii="宋体" w:hAnsi="宋体" w:eastAsia="宋体"/>
        </w:rPr>
        <w:t>商务评议对照表</w:t>
      </w:r>
      <w:bookmarkEnd w:id="254"/>
      <w:bookmarkEnd w:id="255"/>
      <w:bookmarkEnd w:id="256"/>
      <w:bookmarkEnd w:id="257"/>
      <w:bookmarkEnd w:id="258"/>
      <w:bookmarkEnd w:id="259"/>
      <w:bookmarkEnd w:id="26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100"/>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100"/>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100"/>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100"/>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100"/>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100"/>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61" w:name="_Toc495861568"/>
      <w:bookmarkStart w:id="262" w:name="_Toc494702289"/>
      <w:bookmarkStart w:id="263" w:name="_Toc494665969"/>
      <w:bookmarkStart w:id="264" w:name="_Toc494721119"/>
      <w:bookmarkStart w:id="265" w:name="_Toc494745336"/>
      <w:bookmarkStart w:id="266" w:name="_Toc494665572"/>
      <w:bookmarkStart w:id="267" w:name="_Toc494665019"/>
      <w:r>
        <w:rPr>
          <w:rFonts w:hint="eastAsia" w:ascii="宋体" w:hAnsi="宋体" w:eastAsia="宋体"/>
        </w:rPr>
        <w:t>技术、服务要求响应、偏离说明表</w:t>
      </w:r>
      <w:bookmarkEnd w:id="261"/>
      <w:bookmarkEnd w:id="262"/>
      <w:bookmarkEnd w:id="263"/>
      <w:bookmarkEnd w:id="264"/>
      <w:bookmarkEnd w:id="265"/>
      <w:bookmarkEnd w:id="266"/>
      <w:bookmarkEnd w:id="26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68" w:name="_Toc494721120"/>
      <w:bookmarkStart w:id="269" w:name="_Toc494665970"/>
      <w:bookmarkStart w:id="270" w:name="_Toc495861569"/>
      <w:bookmarkStart w:id="271" w:name="_Toc494702290"/>
      <w:bookmarkStart w:id="272" w:name="_Toc494745337"/>
      <w:bookmarkStart w:id="273" w:name="_Toc494665573"/>
      <w:bookmarkStart w:id="274" w:name="_Toc494665020"/>
      <w:bookmarkStart w:id="275" w:name="_Toc329859066"/>
      <w:r>
        <w:rPr>
          <w:rFonts w:hint="eastAsia" w:ascii="宋体" w:hAnsi="宋体" w:eastAsia="宋体"/>
        </w:rPr>
        <w:t>技术、服务要求“★”号条款响应、偏离说明表</w:t>
      </w:r>
      <w:bookmarkEnd w:id="268"/>
      <w:bookmarkEnd w:id="269"/>
      <w:bookmarkEnd w:id="270"/>
      <w:bookmarkEnd w:id="271"/>
      <w:bookmarkEnd w:id="272"/>
      <w:bookmarkEnd w:id="273"/>
      <w:bookmarkEnd w:id="27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75"/>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96"/>
        </w:numPr>
        <w:spacing w:before="100" w:beforeAutospacing="1" w:afterLines="50" w:line="360" w:lineRule="auto"/>
        <w:ind w:left="1610" w:hanging="1610"/>
        <w:rPr>
          <w:rFonts w:ascii="宋体" w:hAnsi="宋体" w:eastAsia="宋体"/>
        </w:rPr>
      </w:pPr>
      <w:bookmarkStart w:id="276" w:name="_Toc494665971"/>
      <w:bookmarkStart w:id="277" w:name="_Toc495861570"/>
      <w:bookmarkStart w:id="278" w:name="_Toc494721121"/>
      <w:bookmarkStart w:id="279" w:name="_Toc494745338"/>
      <w:bookmarkStart w:id="280" w:name="_Toc494665021"/>
      <w:bookmarkStart w:id="281" w:name="_Toc494702291"/>
      <w:bookmarkStart w:id="282" w:name="_Toc494665574"/>
      <w:r>
        <w:rPr>
          <w:rFonts w:hint="eastAsia" w:ascii="宋体" w:hAnsi="宋体" w:eastAsia="宋体"/>
        </w:rPr>
        <w:t>技术、服务评议对照表</w:t>
      </w:r>
      <w:bookmarkEnd w:id="276"/>
      <w:bookmarkEnd w:id="277"/>
      <w:bookmarkEnd w:id="278"/>
      <w:bookmarkEnd w:id="279"/>
      <w:bookmarkEnd w:id="280"/>
      <w:bookmarkEnd w:id="281"/>
      <w:bookmarkEnd w:id="28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101"/>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101"/>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101"/>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101"/>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101"/>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101"/>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rPr>
      <w:t>武汉富纳工程咨询有限公司</w:t>
    </w:r>
    <w:r>
      <w:rPr>
        <w:rFonts w:hint="eastAsia" w:asciiTheme="minorEastAsia" w:hAnsiTheme="minorEastAsia"/>
      </w:rPr>
      <w:t>制</w:t>
    </w:r>
  </w:p>
  <w:p>
    <w:pPr>
      <w:pStyle w:val="10"/>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themeColor="text1" w:sz="0" w:space="1"/>
      </w:pBdr>
      <w:tabs>
        <w:tab w:val="clear" w:pos="4153"/>
      </w:tabs>
      <w:jc w:val="left"/>
      <w:rPr>
        <w:b/>
        <w:u w:val="single"/>
      </w:rPr>
    </w:pPr>
    <w:r>
      <w:rPr>
        <w:rFonts w:hint="eastAsia"/>
        <w:b/>
        <w:u w:val="single"/>
      </w:rPr>
      <w:t>项目名称</w:t>
    </w:r>
    <w:r>
      <w:rPr>
        <w:rFonts w:hint="eastAsia" w:asciiTheme="minorEastAsia" w:hAnsiTheme="minorEastAsia"/>
        <w:b/>
        <w:u w:val="single"/>
      </w:rPr>
      <w:t>：</w:t>
    </w:r>
    <w:r>
      <w:rPr>
        <w:rFonts w:hint="eastAsia"/>
        <w:b/>
        <w:u w:val="single"/>
      </w:rPr>
      <w:t>阳新县人民医院一体化阅片室采购项目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67"/>
    <w:multiLevelType w:val="multilevel"/>
    <w:tmpl w:val="00240B67"/>
    <w:lvl w:ilvl="0" w:tentative="0">
      <w:start w:val="1"/>
      <w:numFmt w:val="decimal"/>
      <w:lvlText w:val="3.7.%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AA52FE"/>
    <w:multiLevelType w:val="multilevel"/>
    <w:tmpl w:val="02AA52FE"/>
    <w:lvl w:ilvl="0" w:tentative="0">
      <w:start w:val="1"/>
      <w:numFmt w:val="decimal"/>
      <w:lvlText w:val="3.17.%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F20A1F"/>
    <w:multiLevelType w:val="multilevel"/>
    <w:tmpl w:val="03F20A1F"/>
    <w:lvl w:ilvl="0" w:tentative="0">
      <w:start w:val="1"/>
      <w:numFmt w:val="decimal"/>
      <w:lvlText w:val="3.15.%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CC2663"/>
    <w:multiLevelType w:val="multilevel"/>
    <w:tmpl w:val="04CC266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0">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2E7C7E"/>
    <w:multiLevelType w:val="multilevel"/>
    <w:tmpl w:val="0F2E7C7E"/>
    <w:lvl w:ilvl="0" w:tentative="0">
      <w:start w:val="1"/>
      <w:numFmt w:val="decimal"/>
      <w:lvlText w:val="3.3.%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8D4AEF"/>
    <w:multiLevelType w:val="multilevel"/>
    <w:tmpl w:val="0F8D4AEF"/>
    <w:lvl w:ilvl="0" w:tentative="0">
      <w:start w:val="1"/>
      <w:numFmt w:val="decimal"/>
      <w:lvlText w:val="3.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0013C5A"/>
    <w:multiLevelType w:val="multilevel"/>
    <w:tmpl w:val="10013C5A"/>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7">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5CE357D"/>
    <w:multiLevelType w:val="multilevel"/>
    <w:tmpl w:val="15CE357D"/>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2">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CD5750"/>
    <w:multiLevelType w:val="multilevel"/>
    <w:tmpl w:val="1ECD5750"/>
    <w:lvl w:ilvl="0" w:tentative="0">
      <w:start w:val="1"/>
      <w:numFmt w:val="decimal"/>
      <w:lvlText w:val="3.8.%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256711B6"/>
    <w:multiLevelType w:val="multilevel"/>
    <w:tmpl w:val="256711B6"/>
    <w:lvl w:ilvl="0" w:tentative="0">
      <w:start w:val="1"/>
      <w:numFmt w:val="decimal"/>
      <w:lvlText w:val="3.9.%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C0161E3"/>
    <w:multiLevelType w:val="multilevel"/>
    <w:tmpl w:val="2C0161E3"/>
    <w:lvl w:ilvl="0" w:tentative="0">
      <w:start w:val="1"/>
      <w:numFmt w:val="decimal"/>
      <w:lvlText w:val="5.%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8">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2">
    <w:nsid w:val="317B7588"/>
    <w:multiLevelType w:val="multilevel"/>
    <w:tmpl w:val="317B7588"/>
    <w:lvl w:ilvl="0" w:tentative="0">
      <w:start w:val="1"/>
      <w:numFmt w:val="decimal"/>
      <w:lvlText w:val="3.11.%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3CC618A"/>
    <w:multiLevelType w:val="multilevel"/>
    <w:tmpl w:val="33CC618A"/>
    <w:lvl w:ilvl="0" w:tentative="0">
      <w:start w:val="1"/>
      <w:numFmt w:val="decimal"/>
      <w:lvlText w:val="3.5.%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4782134"/>
    <w:multiLevelType w:val="multilevel"/>
    <w:tmpl w:val="34782134"/>
    <w:lvl w:ilvl="0" w:tentative="0">
      <w:start w:val="1"/>
      <w:numFmt w:val="decimal"/>
      <w:lvlText w:val="3.2.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4E62B24"/>
    <w:multiLevelType w:val="multilevel"/>
    <w:tmpl w:val="34E62B24"/>
    <w:lvl w:ilvl="0" w:tentative="0">
      <w:start w:val="1"/>
      <w:numFmt w:val="decimal"/>
      <w:lvlText w:val="3.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5123572"/>
    <w:multiLevelType w:val="multilevel"/>
    <w:tmpl w:val="35123572"/>
    <w:lvl w:ilvl="0" w:tentative="0">
      <w:start w:val="1"/>
      <w:numFmt w:val="decimal"/>
      <w:lvlText w:val="3.14.%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36C73C68"/>
    <w:multiLevelType w:val="multilevel"/>
    <w:tmpl w:val="36C73C68"/>
    <w:lvl w:ilvl="0" w:tentative="0">
      <w:start w:val="1"/>
      <w:numFmt w:val="decimal"/>
      <w:lvlText w:val="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9F932B4"/>
    <w:multiLevelType w:val="multilevel"/>
    <w:tmpl w:val="39F932B4"/>
    <w:lvl w:ilvl="0" w:tentative="0">
      <w:start w:val="1"/>
      <w:numFmt w:val="decimal"/>
      <w:lvlText w:val="3.1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4567563F"/>
    <w:multiLevelType w:val="multilevel"/>
    <w:tmpl w:val="4567563F"/>
    <w:lvl w:ilvl="0" w:tentative="0">
      <w:start w:val="1"/>
      <w:numFmt w:val="decimal"/>
      <w:lvlText w:val="17.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1">
    <w:nsid w:val="457275F7"/>
    <w:multiLevelType w:val="multilevel"/>
    <w:tmpl w:val="457275F7"/>
    <w:lvl w:ilvl="0" w:tentative="0">
      <w:start w:val="1"/>
      <w:numFmt w:val="decimal"/>
      <w:lvlText w:val="3.6.%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75A1545"/>
    <w:multiLevelType w:val="multilevel"/>
    <w:tmpl w:val="475A1545"/>
    <w:lvl w:ilvl="0" w:tentative="0">
      <w:start w:val="1"/>
      <w:numFmt w:val="decimal"/>
      <w:lvlText w:val="17.8.%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3">
    <w:nsid w:val="487B4930"/>
    <w:multiLevelType w:val="multilevel"/>
    <w:tmpl w:val="487B4930"/>
    <w:lvl w:ilvl="0" w:tentative="0">
      <w:start w:val="1"/>
      <w:numFmt w:val="decimal"/>
      <w:lvlText w:val="4.2.%1."/>
      <w:lvlJc w:val="left"/>
      <w:pPr>
        <w:ind w:left="567" w:hanging="420"/>
      </w:pPr>
      <w:rPr>
        <w:rFonts w:hint="default" w:eastAsia="仿宋_GB2312" w:asciiTheme="majorHAnsi" w:hAnsiTheme="maj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6">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5117297A"/>
    <w:multiLevelType w:val="multilevel"/>
    <w:tmpl w:val="5117297A"/>
    <w:lvl w:ilvl="0" w:tentative="0">
      <w:start w:val="1"/>
      <w:numFmt w:val="decimal"/>
      <w:lvlText w:val="3.12.%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8601122"/>
    <w:multiLevelType w:val="multilevel"/>
    <w:tmpl w:val="58601122"/>
    <w:lvl w:ilvl="0" w:tentative="0">
      <w:start w:val="1"/>
      <w:numFmt w:val="decimal"/>
      <w:lvlText w:val="3.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89C2C0F"/>
    <w:multiLevelType w:val="multilevel"/>
    <w:tmpl w:val="589C2C0F"/>
    <w:lvl w:ilvl="0" w:tentative="0">
      <w:start w:val="1"/>
      <w:numFmt w:val="decimal"/>
      <w:lvlText w:val="1.%1"/>
      <w:lvlJc w:val="left"/>
      <w:pPr>
        <w:ind w:left="704" w:hanging="420"/>
      </w:pPr>
      <w:rPr>
        <w:rFonts w:hint="default" w:ascii="宋体" w:hAnsi="宋体" w:eastAsia="宋体"/>
        <w:b/>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5">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6">
    <w:nsid w:val="59C52E88"/>
    <w:multiLevelType w:val="multilevel"/>
    <w:tmpl w:val="59C52E88"/>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9">
    <w:nsid w:val="5D2E7B89"/>
    <w:multiLevelType w:val="multilevel"/>
    <w:tmpl w:val="5D2E7B89"/>
    <w:lvl w:ilvl="0" w:tentative="0">
      <w:start w:val="1"/>
      <w:numFmt w:val="decimal"/>
      <w:lvlText w:val="3.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8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2DD7BA3"/>
    <w:multiLevelType w:val="multilevel"/>
    <w:tmpl w:val="62DD7BA3"/>
    <w:lvl w:ilvl="0" w:tentative="0">
      <w:start w:val="1"/>
      <w:numFmt w:val="decimal"/>
      <w:lvlText w:val="3.10.%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9FC41B7"/>
    <w:multiLevelType w:val="multilevel"/>
    <w:tmpl w:val="69FC41B7"/>
    <w:lvl w:ilvl="0" w:tentative="0">
      <w:start w:val="1"/>
      <w:numFmt w:val="decimal"/>
      <w:lvlText w:val="3.4.%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E2839FF"/>
    <w:multiLevelType w:val="multilevel"/>
    <w:tmpl w:val="6E2839FF"/>
    <w:lvl w:ilvl="0" w:tentative="0">
      <w:start w:val="1"/>
      <w:numFmt w:val="decimal"/>
      <w:lvlText w:val="3.13.%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08D0E1B"/>
    <w:multiLevelType w:val="multilevel"/>
    <w:tmpl w:val="708D0E1B"/>
    <w:lvl w:ilvl="0" w:tentative="0">
      <w:start w:val="1"/>
      <w:numFmt w:val="decimal"/>
      <w:lvlText w:val="3.16.%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91">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94">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95">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98">
    <w:nsid w:val="79823A90"/>
    <w:multiLevelType w:val="multilevel"/>
    <w:tmpl w:val="79823A90"/>
    <w:lvl w:ilvl="0" w:tentative="0">
      <w:start w:val="1"/>
      <w:numFmt w:val="decimal"/>
      <w:lvlText w:val="3.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66"/>
  </w:num>
  <w:num w:numId="2">
    <w:abstractNumId w:val="3"/>
  </w:num>
  <w:num w:numId="3">
    <w:abstractNumId w:val="27"/>
  </w:num>
  <w:num w:numId="4">
    <w:abstractNumId w:val="43"/>
  </w:num>
  <w:num w:numId="5">
    <w:abstractNumId w:val="70"/>
  </w:num>
  <w:num w:numId="6">
    <w:abstractNumId w:val="5"/>
  </w:num>
  <w:num w:numId="7">
    <w:abstractNumId w:val="58"/>
  </w:num>
  <w:num w:numId="8">
    <w:abstractNumId w:val="23"/>
  </w:num>
  <w:num w:numId="9">
    <w:abstractNumId w:val="10"/>
  </w:num>
  <w:num w:numId="10">
    <w:abstractNumId w:val="83"/>
  </w:num>
  <w:num w:numId="11">
    <w:abstractNumId w:val="51"/>
  </w:num>
  <w:num w:numId="12">
    <w:abstractNumId w:val="63"/>
  </w:num>
  <w:num w:numId="13">
    <w:abstractNumId w:val="75"/>
  </w:num>
  <w:num w:numId="14">
    <w:abstractNumId w:val="41"/>
  </w:num>
  <w:num w:numId="15">
    <w:abstractNumId w:val="9"/>
  </w:num>
  <w:num w:numId="16">
    <w:abstractNumId w:val="33"/>
  </w:num>
  <w:num w:numId="17">
    <w:abstractNumId w:val="34"/>
  </w:num>
  <w:num w:numId="18">
    <w:abstractNumId w:val="16"/>
  </w:num>
  <w:num w:numId="19">
    <w:abstractNumId w:val="12"/>
  </w:num>
  <w:num w:numId="20">
    <w:abstractNumId w:val="95"/>
  </w:num>
  <w:num w:numId="21">
    <w:abstractNumId w:val="64"/>
  </w:num>
  <w:num w:numId="22">
    <w:abstractNumId w:val="60"/>
  </w:num>
  <w:num w:numId="23">
    <w:abstractNumId w:val="62"/>
  </w:num>
  <w:num w:numId="24">
    <w:abstractNumId w:val="17"/>
  </w:num>
  <w:num w:numId="25">
    <w:abstractNumId w:val="40"/>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99"/>
  </w:num>
  <w:num w:numId="30">
    <w:abstractNumId w:val="71"/>
  </w:num>
  <w:num w:numId="31">
    <w:abstractNumId w:val="91"/>
  </w:num>
  <w:num w:numId="32">
    <w:abstractNumId w:val="96"/>
  </w:num>
  <w:num w:numId="33">
    <w:abstractNumId w:val="69"/>
  </w:num>
  <w:num w:numId="34">
    <w:abstractNumId w:val="11"/>
  </w:num>
  <w:num w:numId="35">
    <w:abstractNumId w:val="30"/>
  </w:num>
  <w:num w:numId="36">
    <w:abstractNumId w:val="92"/>
  </w:num>
  <w:num w:numId="37">
    <w:abstractNumId w:val="84"/>
  </w:num>
  <w:num w:numId="38">
    <w:abstractNumId w:val="56"/>
  </w:num>
  <w:num w:numId="39">
    <w:abstractNumId w:val="81"/>
  </w:num>
  <w:num w:numId="40">
    <w:abstractNumId w:val="36"/>
  </w:num>
  <w:num w:numId="41">
    <w:abstractNumId w:val="85"/>
  </w:num>
  <w:num w:numId="42">
    <w:abstractNumId w:val="2"/>
  </w:num>
  <w:num w:numId="43">
    <w:abstractNumId w:val="44"/>
  </w:num>
  <w:num w:numId="44">
    <w:abstractNumId w:val="15"/>
  </w:num>
  <w:num w:numId="45">
    <w:abstractNumId w:val="50"/>
  </w:num>
  <w:num w:numId="46">
    <w:abstractNumId w:val="19"/>
  </w:num>
  <w:num w:numId="47">
    <w:abstractNumId w:val="47"/>
  </w:num>
  <w:num w:numId="48">
    <w:abstractNumId w:val="98"/>
  </w:num>
  <w:num w:numId="49">
    <w:abstractNumId w:val="73"/>
  </w:num>
  <w:num w:numId="50">
    <w:abstractNumId w:val="79"/>
  </w:num>
  <w:num w:numId="51">
    <w:abstractNumId w:val="14"/>
  </w:num>
  <w:num w:numId="52">
    <w:abstractNumId w:val="46"/>
  </w:num>
  <w:num w:numId="53">
    <w:abstractNumId w:val="13"/>
  </w:num>
  <w:num w:numId="54">
    <w:abstractNumId w:val="86"/>
  </w:num>
  <w:num w:numId="55">
    <w:abstractNumId w:val="45"/>
  </w:num>
  <w:num w:numId="56">
    <w:abstractNumId w:val="61"/>
  </w:num>
  <w:num w:numId="57">
    <w:abstractNumId w:val="0"/>
  </w:num>
  <w:num w:numId="58">
    <w:abstractNumId w:val="24"/>
  </w:num>
  <w:num w:numId="59">
    <w:abstractNumId w:val="28"/>
  </w:num>
  <w:num w:numId="60">
    <w:abstractNumId w:val="82"/>
  </w:num>
  <w:num w:numId="61">
    <w:abstractNumId w:val="42"/>
  </w:num>
  <w:num w:numId="62">
    <w:abstractNumId w:val="68"/>
  </w:num>
  <w:num w:numId="63">
    <w:abstractNumId w:val="88"/>
  </w:num>
  <w:num w:numId="64">
    <w:abstractNumId w:val="48"/>
  </w:num>
  <w:num w:numId="65">
    <w:abstractNumId w:val="7"/>
  </w:num>
  <w:num w:numId="66">
    <w:abstractNumId w:val="89"/>
  </w:num>
  <w:num w:numId="67">
    <w:abstractNumId w:val="4"/>
  </w:num>
  <w:num w:numId="68">
    <w:abstractNumId w:val="53"/>
  </w:num>
  <w:num w:numId="69">
    <w:abstractNumId w:val="8"/>
  </w:num>
  <w:num w:numId="70">
    <w:abstractNumId w:val="76"/>
  </w:num>
  <w:num w:numId="71">
    <w:abstractNumId w:val="35"/>
  </w:num>
  <w:num w:numId="72">
    <w:abstractNumId w:val="72"/>
  </w:num>
  <w:num w:numId="73">
    <w:abstractNumId w:val="38"/>
  </w:num>
  <w:num w:numId="74">
    <w:abstractNumId w:val="67"/>
  </w:num>
  <w:num w:numId="75">
    <w:abstractNumId w:val="49"/>
  </w:num>
  <w:num w:numId="76">
    <w:abstractNumId w:val="59"/>
  </w:num>
  <w:num w:numId="77">
    <w:abstractNumId w:val="52"/>
  </w:num>
  <w:num w:numId="78">
    <w:abstractNumId w:val="26"/>
  </w:num>
  <w:num w:numId="79">
    <w:abstractNumId w:val="78"/>
  </w:num>
  <w:num w:numId="80">
    <w:abstractNumId w:val="100"/>
  </w:num>
  <w:num w:numId="81">
    <w:abstractNumId w:val="29"/>
  </w:num>
  <w:num w:numId="82">
    <w:abstractNumId w:val="25"/>
  </w:num>
  <w:num w:numId="83">
    <w:abstractNumId w:val="1"/>
  </w:num>
  <w:num w:numId="84">
    <w:abstractNumId w:val="77"/>
    <w:lvlOverride w:ilvl="0">
      <w:startOverride w:val="1"/>
    </w:lvlOverride>
  </w:num>
  <w:num w:numId="85">
    <w:abstractNumId w:val="21"/>
  </w:num>
  <w:num w:numId="86">
    <w:abstractNumId w:val="37"/>
  </w:num>
  <w:num w:numId="87">
    <w:abstractNumId w:val="97"/>
  </w:num>
  <w:num w:numId="88">
    <w:abstractNumId w:val="74"/>
  </w:num>
  <w:num w:numId="89">
    <w:abstractNumId w:val="90"/>
  </w:num>
  <w:num w:numId="90">
    <w:abstractNumId w:val="65"/>
  </w:num>
  <w:num w:numId="91">
    <w:abstractNumId w:val="20"/>
  </w:num>
  <w:num w:numId="92">
    <w:abstractNumId w:val="32"/>
  </w:num>
  <w:num w:numId="93">
    <w:abstractNumId w:val="93"/>
  </w:num>
  <w:num w:numId="94">
    <w:abstractNumId w:val="55"/>
  </w:num>
  <w:num w:numId="95">
    <w:abstractNumId w:val="94"/>
  </w:num>
  <w:num w:numId="96">
    <w:abstractNumId w:val="18"/>
  </w:num>
  <w:num w:numId="97">
    <w:abstractNumId w:val="87"/>
  </w:num>
  <w:num w:numId="98">
    <w:abstractNumId w:val="31"/>
  </w:num>
  <w:num w:numId="99">
    <w:abstractNumId w:val="6"/>
  </w:num>
  <w:num w:numId="100">
    <w:abstractNumId w:val="22"/>
  </w:num>
  <w:num w:numId="10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22C84"/>
    <w:rsid w:val="00133220"/>
    <w:rsid w:val="001338E8"/>
    <w:rsid w:val="001641C9"/>
    <w:rsid w:val="00173975"/>
    <w:rsid w:val="00177C62"/>
    <w:rsid w:val="00185E9A"/>
    <w:rsid w:val="001A0AB1"/>
    <w:rsid w:val="001A1335"/>
    <w:rsid w:val="001A2B2A"/>
    <w:rsid w:val="001A54E8"/>
    <w:rsid w:val="001B03BB"/>
    <w:rsid w:val="001B38CD"/>
    <w:rsid w:val="001B6C3D"/>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4C57"/>
    <w:rsid w:val="004871A8"/>
    <w:rsid w:val="004912A5"/>
    <w:rsid w:val="004A4F81"/>
    <w:rsid w:val="004B0CC2"/>
    <w:rsid w:val="004B118F"/>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486D"/>
    <w:rsid w:val="00835FDE"/>
    <w:rsid w:val="008456E3"/>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53E10"/>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36D9B"/>
    <w:rsid w:val="00B37F1F"/>
    <w:rsid w:val="00B4413E"/>
    <w:rsid w:val="00B52520"/>
    <w:rsid w:val="00B67CCB"/>
    <w:rsid w:val="00B73233"/>
    <w:rsid w:val="00B73CD6"/>
    <w:rsid w:val="00B80369"/>
    <w:rsid w:val="00B84A3B"/>
    <w:rsid w:val="00B956F2"/>
    <w:rsid w:val="00B96DE4"/>
    <w:rsid w:val="00BA438A"/>
    <w:rsid w:val="00BA4681"/>
    <w:rsid w:val="00BB5021"/>
    <w:rsid w:val="00BB78CC"/>
    <w:rsid w:val="00BC2268"/>
    <w:rsid w:val="00BC386C"/>
    <w:rsid w:val="00BC3AA1"/>
    <w:rsid w:val="00BC3C81"/>
    <w:rsid w:val="00BD0C54"/>
    <w:rsid w:val="00BD2144"/>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123DC"/>
    <w:rsid w:val="00D13A17"/>
    <w:rsid w:val="00D14987"/>
    <w:rsid w:val="00D14E3A"/>
    <w:rsid w:val="00D204F5"/>
    <w:rsid w:val="00D32F66"/>
    <w:rsid w:val="00D5042D"/>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77F1"/>
    <w:rsid w:val="00E02B75"/>
    <w:rsid w:val="00E05B42"/>
    <w:rsid w:val="00E14D3C"/>
    <w:rsid w:val="00E15A50"/>
    <w:rsid w:val="00E22388"/>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B2B31"/>
    <w:rsid w:val="00FC2E73"/>
    <w:rsid w:val="00FC492E"/>
    <w:rsid w:val="00FD11DF"/>
    <w:rsid w:val="00FD30DA"/>
    <w:rsid w:val="00FD44A8"/>
    <w:rsid w:val="00FE2024"/>
    <w:rsid w:val="00FE51C1"/>
    <w:rsid w:val="00FE74BE"/>
    <w:rsid w:val="00FF0213"/>
    <w:rsid w:val="00FF328A"/>
    <w:rsid w:val="00FF37FD"/>
    <w:rsid w:val="00FF3C6D"/>
    <w:rsid w:val="00FF4FBA"/>
    <w:rsid w:val="00FF6929"/>
    <w:rsid w:val="00FF6E00"/>
    <w:rsid w:val="05895419"/>
    <w:rsid w:val="11923040"/>
    <w:rsid w:val="159A33B0"/>
    <w:rsid w:val="1FE47200"/>
    <w:rsid w:val="26F855C1"/>
    <w:rsid w:val="31614F93"/>
    <w:rsid w:val="3CF002B3"/>
    <w:rsid w:val="41C32F69"/>
    <w:rsid w:val="54911CEA"/>
    <w:rsid w:val="5F01496B"/>
    <w:rsid w:val="6D1E19C3"/>
    <w:rsid w:val="75C727E4"/>
    <w:rsid w:val="7BC0350F"/>
    <w:rsid w:val="7D883202"/>
    <w:rsid w:val="7F080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5"/>
    <w:qFormat/>
    <w:uiPriority w:val="0"/>
    <w:pPr>
      <w:ind w:firstLine="420"/>
    </w:pPr>
  </w:style>
  <w:style w:type="paragraph" w:styleId="5">
    <w:name w:val="annotation text"/>
    <w:basedOn w:val="1"/>
    <w:link w:val="29"/>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2"/>
    <w:qFormat/>
    <w:uiPriority w:val="0"/>
    <w:rPr>
      <w:rFonts w:ascii="宋体" w:hAnsi="Courier New" w:cs="Courier New"/>
      <w:szCs w:val="21"/>
    </w:rPr>
  </w:style>
  <w:style w:type="paragraph" w:styleId="8">
    <w:name w:val="endnote text"/>
    <w:basedOn w:val="1"/>
    <w:link w:val="31"/>
    <w:unhideWhenUsed/>
    <w:qFormat/>
    <w:uiPriority w:val="99"/>
    <w:pPr>
      <w:snapToGrid w:val="0"/>
      <w:jc w:val="left"/>
    </w:pPr>
  </w:style>
  <w:style w:type="paragraph" w:styleId="9">
    <w:name w:val="Balloon Text"/>
    <w:basedOn w:val="1"/>
    <w:link w:val="25"/>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4"/>
    <w:qFormat/>
    <w:uiPriority w:val="29"/>
    <w:rPr>
      <w:i/>
      <w:iCs/>
      <w:color w:val="000000" w:themeColor="text1"/>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annotation subject"/>
    <w:basedOn w:val="5"/>
    <w:next w:val="5"/>
    <w:link w:val="36"/>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rPr>
  </w:style>
  <w:style w:type="character" w:styleId="20">
    <w:name w:val="endnote reference"/>
    <w:basedOn w:val="18"/>
    <w:unhideWhenUsed/>
    <w:qFormat/>
    <w:uiPriority w:val="99"/>
    <w:rPr>
      <w:vertAlign w:val="superscript"/>
    </w:rPr>
  </w:style>
  <w:style w:type="character" w:styleId="21">
    <w:name w:val="Hyperlink"/>
    <w:basedOn w:val="18"/>
    <w:unhideWhenUsed/>
    <w:qFormat/>
    <w:uiPriority w:val="99"/>
    <w:rPr>
      <w:color w:val="0000FF" w:themeColor="hyperlink"/>
      <w:u w:val="single"/>
    </w:rPr>
  </w:style>
  <w:style w:type="character" w:styleId="22">
    <w:name w:val="annotation reference"/>
    <w:qFormat/>
    <w:uiPriority w:val="99"/>
    <w:rPr>
      <w:sz w:val="21"/>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批注框文本 Char"/>
    <w:basedOn w:val="18"/>
    <w:link w:val="9"/>
    <w:semiHidden/>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标题 1 Char"/>
    <w:basedOn w:val="18"/>
    <w:link w:val="2"/>
    <w:qFormat/>
    <w:uiPriority w:val="9"/>
    <w:rPr>
      <w:b/>
      <w:bCs/>
      <w:kern w:val="44"/>
      <w:sz w:val="44"/>
      <w:szCs w:val="44"/>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文字 Char"/>
    <w:basedOn w:val="18"/>
    <w:link w:val="5"/>
    <w:qFormat/>
    <w:uiPriority w:val="99"/>
  </w:style>
  <w:style w:type="character" w:customStyle="1" w:styleId="30">
    <w:name w:val="标题 2 Char"/>
    <w:basedOn w:val="18"/>
    <w:link w:val="3"/>
    <w:qFormat/>
    <w:uiPriority w:val="9"/>
    <w:rPr>
      <w:rFonts w:asciiTheme="majorHAnsi" w:hAnsiTheme="majorHAnsi" w:eastAsiaTheme="majorEastAsia" w:cstheme="majorBidi"/>
      <w:b/>
      <w:bCs/>
      <w:sz w:val="32"/>
      <w:szCs w:val="32"/>
    </w:rPr>
  </w:style>
  <w:style w:type="character" w:customStyle="1" w:styleId="31">
    <w:name w:val="尾注文本 Char"/>
    <w:basedOn w:val="18"/>
    <w:link w:val="8"/>
    <w:semiHidden/>
    <w:qFormat/>
    <w:uiPriority w:val="99"/>
  </w:style>
  <w:style w:type="character" w:customStyle="1" w:styleId="32">
    <w:name w:val="纯文本 Char"/>
    <w:link w:val="7"/>
    <w:qFormat/>
    <w:uiPriority w:val="0"/>
    <w:rPr>
      <w:rFonts w:ascii="宋体" w:hAnsi="Courier New" w:cs="Courier New"/>
      <w:szCs w:val="21"/>
    </w:rPr>
  </w:style>
  <w:style w:type="character" w:customStyle="1" w:styleId="33">
    <w:name w:val="纯文本 Char1"/>
    <w:basedOn w:val="18"/>
    <w:semiHidden/>
    <w:qFormat/>
    <w:uiPriority w:val="99"/>
    <w:rPr>
      <w:rFonts w:ascii="宋体" w:hAnsi="Courier New" w:eastAsia="宋体" w:cs="Courier New"/>
      <w:szCs w:val="21"/>
    </w:rPr>
  </w:style>
  <w:style w:type="character" w:customStyle="1" w:styleId="34">
    <w:name w:val="引用 Char"/>
    <w:basedOn w:val="18"/>
    <w:link w:val="13"/>
    <w:qFormat/>
    <w:uiPriority w:val="29"/>
    <w:rPr>
      <w:i/>
      <w:iCs/>
      <w:color w:val="000000" w:themeColor="text1"/>
    </w:rPr>
  </w:style>
  <w:style w:type="character" w:customStyle="1" w:styleId="35">
    <w:name w:val="正文缩进 Char"/>
    <w:link w:val="4"/>
    <w:qFormat/>
    <w:uiPriority w:val="0"/>
  </w:style>
  <w:style w:type="character" w:customStyle="1" w:styleId="36">
    <w:name w:val="批注主题 Char"/>
    <w:basedOn w:val="29"/>
    <w:link w:val="15"/>
    <w:semiHidden/>
    <w:qFormat/>
    <w:uiPriority w:val="99"/>
    <w:rPr>
      <w:b/>
      <w:bCs/>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8D5A3-0CC7-4EB9-A028-C421308CB22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6695</Words>
  <Characters>38162</Characters>
  <Lines>318</Lines>
  <Paragraphs>89</Paragraphs>
  <TotalTime>13</TotalTime>
  <ScaleCrop>false</ScaleCrop>
  <LinksUpToDate>false</LinksUpToDate>
  <CharactersWithSpaces>44768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Administrator</cp:lastModifiedBy>
  <cp:lastPrinted>2020-08-10T05:16:00Z</cp:lastPrinted>
  <dcterms:modified xsi:type="dcterms:W3CDTF">2020-08-11T08:58:06Z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