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highlight w:val="none"/>
        </w:rPr>
      </w:pPr>
    </w:p>
    <w:p>
      <w:pPr>
        <w:spacing w:line="360" w:lineRule="auto"/>
        <w:jc w:val="left"/>
        <w:rPr>
          <w:sz w:val="24"/>
          <w:szCs w:val="24"/>
          <w:highlight w:val="none"/>
        </w:rPr>
      </w:pPr>
      <w:r>
        <w:rPr>
          <w:rFonts w:hint="eastAsia"/>
          <w:sz w:val="24"/>
          <w:szCs w:val="24"/>
          <w:highlight w:val="none"/>
        </w:rPr>
        <w:t>附件：</w:t>
      </w:r>
    </w:p>
    <w:p>
      <w:pPr>
        <w:spacing w:line="360" w:lineRule="auto"/>
        <w:jc w:val="center"/>
        <w:rPr>
          <w:rFonts w:hint="eastAsia"/>
          <w:sz w:val="32"/>
          <w:szCs w:val="32"/>
          <w:highlight w:val="none"/>
          <w:lang w:val="en-US" w:eastAsia="zh-CN"/>
        </w:rPr>
      </w:pPr>
      <w:r>
        <w:rPr>
          <w:rFonts w:hint="eastAsia"/>
          <w:sz w:val="32"/>
          <w:szCs w:val="32"/>
          <w:highlight w:val="none"/>
        </w:rPr>
        <w:t>阳新县人民医院检验标本外送服务项目采购需求</w:t>
      </w:r>
      <w:r>
        <w:rPr>
          <w:rFonts w:hint="eastAsia"/>
          <w:sz w:val="32"/>
          <w:szCs w:val="32"/>
          <w:highlight w:val="none"/>
          <w:lang w:val="en-US" w:eastAsia="zh-CN"/>
        </w:rPr>
        <w:t>及供应商报名表</w:t>
      </w:r>
    </w:p>
    <w:p>
      <w:pPr>
        <w:numPr>
          <w:ilvl w:val="0"/>
          <w:numId w:val="2"/>
        </w:numPr>
        <w:spacing w:line="500" w:lineRule="exact"/>
        <w:rPr>
          <w:rFonts w:hint="default" w:ascii="Times New Roman" w:hAnsi="Times New Roman" w:cs="Times New Roman"/>
          <w:b/>
          <w:color w:val="000000"/>
          <w:sz w:val="28"/>
          <w:szCs w:val="28"/>
          <w:highlight w:val="none"/>
          <w:lang w:val="en-US" w:eastAsia="zh-CN"/>
        </w:rPr>
      </w:pPr>
      <w:r>
        <w:rPr>
          <w:rFonts w:hint="eastAsia" w:ascii="Times New Roman" w:hAnsi="Times New Roman" w:cs="Times New Roman"/>
          <w:b/>
          <w:color w:val="000000"/>
          <w:sz w:val="28"/>
          <w:szCs w:val="28"/>
          <w:highlight w:val="none"/>
        </w:rPr>
        <w:t>采购清单</w:t>
      </w:r>
      <w:bookmarkStart w:id="2" w:name="_GoBack"/>
      <w:bookmarkEnd w:id="2"/>
    </w:p>
    <w:tbl>
      <w:tblPr>
        <w:tblStyle w:val="9"/>
        <w:tblW w:w="9732" w:type="dxa"/>
        <w:tblInd w:w="0" w:type="dxa"/>
        <w:tblLayout w:type="fixed"/>
        <w:tblCellMar>
          <w:top w:w="0" w:type="dxa"/>
          <w:left w:w="108" w:type="dxa"/>
          <w:bottom w:w="0" w:type="dxa"/>
          <w:right w:w="108" w:type="dxa"/>
        </w:tblCellMar>
      </w:tblPr>
      <w:tblGrid>
        <w:gridCol w:w="633"/>
        <w:gridCol w:w="1724"/>
        <w:gridCol w:w="4263"/>
        <w:gridCol w:w="1025"/>
        <w:gridCol w:w="913"/>
        <w:gridCol w:w="1174"/>
      </w:tblGrid>
      <w:tr>
        <w:tblPrEx>
          <w:tblCellMar>
            <w:top w:w="0" w:type="dxa"/>
            <w:left w:w="108" w:type="dxa"/>
            <w:bottom w:w="0" w:type="dxa"/>
            <w:right w:w="108" w:type="dxa"/>
          </w:tblCellMar>
        </w:tblPrEx>
        <w:trPr>
          <w:trHeight w:val="720" w:hRule="atLeast"/>
        </w:trPr>
        <w:tc>
          <w:tcPr>
            <w:tcW w:w="973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阳新县人民医院外送检验项目清单</w:t>
            </w: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序号</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检验项目及组合名称</w:t>
            </w:r>
          </w:p>
        </w:tc>
        <w:tc>
          <w:tcPr>
            <w:tcW w:w="42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组合包含检验项目内容</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收费标准（按黄石市标准执行）</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合作</w:t>
            </w:r>
          </w:p>
          <w:p>
            <w:pPr>
              <w:widowControl/>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优惠率</w:t>
            </w: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备注</w:t>
            </w: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微量元素六项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eastAsia="zh-CN"/>
              </w:rPr>
              <w:t>铁</w:t>
            </w:r>
            <w:r>
              <w:rPr>
                <w:rFonts w:hint="eastAsia" w:asciiTheme="minorEastAsia" w:hAnsiTheme="minorEastAsia" w:eastAsiaTheme="minorEastAsia" w:cstheme="minorEastAsia"/>
                <w:color w:val="000000"/>
                <w:kern w:val="0"/>
                <w:sz w:val="21"/>
                <w:szCs w:val="21"/>
                <w:highlight w:val="none"/>
                <w:lang w:val="en-US" w:eastAsia="zh-CN"/>
              </w:rPr>
              <w:t>Fe,镁Mg，钙Ca，铜Cu，锌Zn，铅Pb</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cstheme="minorEastAsia"/>
                <w:color w:val="000000"/>
                <w:kern w:val="0"/>
                <w:sz w:val="21"/>
                <w:szCs w:val="21"/>
                <w:highlight w:val="none"/>
                <w:lang w:val="en-US" w:eastAsia="zh-CN"/>
              </w:rPr>
              <w:t>原子吸收分光光度法</w:t>
            </w: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HPV23分型</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人乳头瘤病毒(HPV)核酸检测</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孕中期产前筛查+化学发光</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lang w:val="en-US" w:eastAsia="zh-CN" w:bidi="ar"/>
              </w:rPr>
              <w:t>雌三醇测定,血清人绒毛膜促性腺激素测定,甲胎蛋白测定(AFP)</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甲状旁腺激素(PTH)</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甲状旁腺激素测定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结核蛋白芯片</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包括结核杆菌、破伤风杆菌、百日咳杆</w:t>
            </w:r>
          </w:p>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菌、军团菌、幽门螺杆菌</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6</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唐氏综合征产前筛查</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雌三醇测定,血清人绒毛膜促性腺激素测</w:t>
            </w:r>
          </w:p>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定,甲胎蛋白测定(AFP)</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7</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肝纤四项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血清Ⅳ型胶原测定，血清Ⅲ型胶原测定,血清层粘连蛋白测定,血清透明质酸酶测定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8</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过敏原综合组特异性IgE抗体</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总IgE测定，吸入物变应原筛查，食入物变应原筛查，特殊变应原(多价变应原)筛查，专项变应原(单价变应原)筛查</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9</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人类白细胞抗原B27(HLA-B27)</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人类白细胞抗原B27(HLA-B27)</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10</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ENA谱15项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lang w:val="en-US" w:eastAsia="zh-CN"/>
              </w:rPr>
              <w:t>Sm,nRNP/Sm,SS-A,Ro5</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，SS-B,ScI-70,Jo-1,CENP-B,Histo，ds-DNA,PM-Sc1,PCNA,AMA-M2,NucIeoson,Ribop</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11</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恶性肿瘤特异生长因子(TSGF)</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恶性肿瘤特异生长因子</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12</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优生优育四项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弓形体抗体测定，风疹病毒抗体测定,巨细胞病毒抗体测定,单纯疱疹病毒抗体测定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13</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丙肝RNA(HCV-RNA)</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丙型肝炎RNA测定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14</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全血铅</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全血铅测定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15</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自身免疫性肝炎（AIH）相关自身抗体谱</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抗可溶性肝抗原/肝-胰抗原 ,抗体(SLA/LP)测定，抗肝肾微粒体抗体(LKM)测定,抗肝细胞特异性脂蛋白抗体测定,抗线粒体抗体测定(AMA),抗核提取物抗体测定(抗ENA 抗体)</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16</w:t>
            </w: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PSC两项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抗核抗体测定(ANA)</w:t>
            </w:r>
          </w:p>
          <w:p>
            <w:pPr>
              <w:keepNext w:val="0"/>
              <w:keepLines w:val="0"/>
              <w:widowControl/>
              <w:suppressLineNumbers w:val="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抗中性粒细胞胞浆抗体测定</w:t>
            </w:r>
          </w:p>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(ANCA)</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17</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抗核抗体两项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抗核抗体测定(ANA)，抗双链DNA测定(抗dsDNA)</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18</w:t>
            </w: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抗双链DNA(抗dsDNA)</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抗双链DNA测定(抗dsDNA)</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19</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血皮质醇(CORT8AM)</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血皮质醇测定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20</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ANCA</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抗中性粒细胞胞浆抗体测定</w:t>
            </w:r>
          </w:p>
          <w:p>
            <w:pPr>
              <w:keepNext w:val="0"/>
              <w:keepLines w:val="0"/>
              <w:widowControl/>
              <w:suppressLineNumbers w:val="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(ANCA)包括cANCA、pANCA、PR3-ANCA、MPO-</w:t>
            </w:r>
          </w:p>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ANCA</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21</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血皮质醇(CORT4pm)+化学发光法</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血皮质醇测定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22</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儿茶酚胺(去甲、肾上)</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eastAsia="zh-CN"/>
              </w:rPr>
              <w:t>血儿茶酚胺（甲氧基肾上腺素</w:t>
            </w:r>
            <w:r>
              <w:rPr>
                <w:rFonts w:hint="eastAsia" w:asciiTheme="minorEastAsia" w:hAnsiTheme="minorEastAsia" w:eastAsiaTheme="minorEastAsia" w:cstheme="minorEastAsia"/>
                <w:color w:val="000000"/>
                <w:kern w:val="0"/>
                <w:sz w:val="21"/>
                <w:szCs w:val="21"/>
                <w:highlight w:val="none"/>
                <w:lang w:val="en-US" w:eastAsia="zh-CN"/>
              </w:rPr>
              <w:t>MN,甲氧基去甲肾上腺素NMN,MN+NMN</w:t>
            </w:r>
            <w:r>
              <w:rPr>
                <w:rFonts w:hint="eastAsia" w:asciiTheme="minorEastAsia" w:hAnsiTheme="minorEastAsia" w:eastAsiaTheme="minorEastAsia" w:cstheme="minorEastAsia"/>
                <w:color w:val="000000"/>
                <w:kern w:val="0"/>
                <w:sz w:val="21"/>
                <w:szCs w:val="21"/>
                <w:highlight w:val="none"/>
                <w:lang w:eastAsia="zh-CN"/>
              </w:rPr>
              <w:t>）</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23</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降钙素(CT)</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降钙素测定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24</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抗核抗体谱11项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lang w:val="en-US" w:eastAsia="zh-CN"/>
              </w:rPr>
              <w:t>Sm,nRNP/Sm,SS-A,Ro52，SS-B,ScI-70,Jo-1,CENP-B,Histo，ds-DNA,PM-Sc1,PCNA,AMA-M2,NucIeoson,Ribop</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25</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高血压三项(立位)</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血浆肾素活性测定，血管紧张素Ⅰ测定,血管紧张素Ⅱ测定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26</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高血压三项(卧位)</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血浆肾素活性测定，血管紧张素Ⅰ测定,血管紧张素Ⅱ测定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27</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巨细胞病毒IgM抗体(CMV-IgM)</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巨细胞病毒IgM抗体(CMV-IgM)</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28</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巨细胞病毒IgG抗体(CMV-IgG)</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巨细胞病毒IgM抗体(CMV-IgM)</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29</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抗环瓜氨酸肽抗体(CCP)</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抗环瓜氨酸肽抗体(抗CCP抗</w:t>
            </w:r>
          </w:p>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体)测定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30</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醛固酮(ALD)(卧位)</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醛固酮(ALD)</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31</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醛固酮(ALD)(立位)</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醛固酮(ALD)</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32</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丙肝病毒基因分型检测</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乙型肝炎病毒（HBV）基因分</w:t>
            </w:r>
          </w:p>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型六个型</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33</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单纯疱疹病毒I型IgM抗体(HSVI-IgM)</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单纯疱疹病毒I型IgM抗体(HSVI-IgM)</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34</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乙肝病毒阿德福韦耐药突变检测</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乙肝病毒阿德福韦耐药突变检测</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35</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优生优育八项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弓形体抗体测定，风疹病毒抗体测定,巨细胞病毒抗体测定,单纯疱疹病毒抗体测定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89"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bottom"/>
            <mc:AlternateContent>
              <mc:Choice Requires="wpsCustomData">
                <wpsCustomData:diagonals>
                  <wpsCustomData:diagonal from="16800" to="10000">
                    <wpsCustomData:border w:val="single" w:color="auto" w:sz="4" w:space="0"/>
                  </wpsCustomData:diagonal>
                </wpsCustomData:diagonals>
              </mc:Choice>
            </mc:AlternateContent>
          </w:tcPr>
          <w:p>
            <w:pPr>
              <w:widowControl/>
              <w:snapToGrid w:val="0"/>
              <w:spacing w:line="240" w:lineRule="auto"/>
              <w:jc w:val="center"/>
              <mc:AlternateContent>
                <mc:Choice Requires="wpsCustomData">
                  <wpsCustomData:diagonalParaType/>
                </mc:Choice>
              </mc:AlternateConten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36</w:t>
            </w:r>
          </w:p>
          <w:p>
            <w:pPr>
              <w:widowControl/>
              <w:jc w:val="center"/>
              <w:rPr>
                <w:rFonts w:hint="eastAsia" w:asciiTheme="minorEastAsia" w:hAnsiTheme="minorEastAsia" w:cstheme="minorEastAsia"/>
                <w:color w:val="000000"/>
                <w:kern w:val="0"/>
                <w:sz w:val="21"/>
                <w:szCs w:val="21"/>
                <w:highlight w:val="none"/>
                <w:lang w:val="en-US" w:eastAsia="zh-CN"/>
              </w:rPr>
            </w:pPr>
          </w:p>
          <w:p>
            <w:pPr>
              <w:widowControl/>
              <w:jc w:val="center"/>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cstheme="minorEastAsia"/>
                <w:color w:val="000000"/>
                <w:kern w:val="0"/>
                <w:sz w:val="21"/>
                <w:szCs w:val="21"/>
                <w:highlight w:val="none"/>
                <w:lang w:val="en-US" w:eastAsia="zh-CN"/>
              </w:rPr>
              <w:t>3</w:t>
            </w:r>
            <w:r>
              <w:rPr>
                <w:rFonts w:hint="eastAsia" w:asciiTheme="minorEastAsia" w:hAnsiTheme="minorEastAsia" w:eastAsiaTheme="minorEastAsia" w:cstheme="minorEastAsia"/>
                <w:color w:val="000000"/>
                <w:kern w:val="0"/>
                <w:sz w:val="21"/>
                <w:szCs w:val="21"/>
                <w:highlight w:val="none"/>
                <w:lang w:val="en-US" w:eastAsia="zh-CN"/>
              </w:rPr>
              <w:t>6</w:t>
            </w: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骨髓涂片检查与诊断</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eastAsia="zh-CN"/>
              </w:rPr>
              <w:t>骨髓图片细胞会诊</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37</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曲霉菌半乳甘露聚糖检测(GM试验)</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曲霉菌半乳甘露聚糖检测(GM试验)</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38</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血皮质醇(CORT4PM)</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血皮质醇测定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39</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血皮质醇(CORT夜12点)+化学发光法</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血皮质醇测定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40</w:t>
            </w: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真菌(1、3)-β-D-葡聚糖检测</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真菌(1、3)-β-D-葡聚糖检测</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41</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T淋巴细胞亚群</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CD3+%,CD4+%,CD8+%,CD4/CD8</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42</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丙肝病毒基因分型</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乙型肝炎病毒（HBV）基因分</w:t>
            </w:r>
          </w:p>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型六个型</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43</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促甲状腺受体抗体(TR-Ab)</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促甲状腺素受体抗体测定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44</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弓形体IgG抗体(TOX-IgG)</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弓形体抗体测定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45</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弓形体IgM抗体(TOX-IgM)</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弓形体抗体测定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46</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骨髓涂片会诊</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eastAsia="zh-CN"/>
              </w:rPr>
              <w:t>骨髓图片细胞会诊</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47</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过敏原食物组特异性IgE抗体</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食物过敏原筛查总IGE，牛奶，鸡蛋白，海鱼组合，虾，蟹，淡水鱼组合，黄豆，花生</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48</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抗AIgG</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免疫球蛋白定量测定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49</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抗核抗体谱17项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lang w:val="en-US" w:eastAsia="zh-CN"/>
              </w:rPr>
              <w:t>Sm,nRNP/Sm,SS-A,Ro52，SS-B,ScI-70,Jo-1,CENP-B,Histo，ds-DNA,PM-Sc1,PCNA,AMA-M2,NucIeoson,Ribop</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50</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抗精子抗体IgG(ASAb-IgG)</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抗精子抗体测定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51</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食物过敏原特异性IgG抗体14项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lang w:val="en-US" w:eastAsia="zh-CN"/>
              </w:rPr>
              <w:t>包括鱼，鸡蛋，牛奶，牛肉，虾，大豆，小麦，鸡肉，鳕鱼，玉米，蟹，蘑菇，猪肉，大米，西红柿</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52</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新高血压三项（立位）</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血浆肾素活性测定，血管紧张素Ⅰ测定,血管紧张素Ⅱ测定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53</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血清Ⅲ型前胶原测定(PCⅢ)</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血清Ⅲ型前胶原测定(PCⅢ)</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54</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血清Ⅳ型胶原测定(CIV)</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血清Ⅳ型胶原测定(CIV)</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55</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血清层粘连蛋白测定(LN)</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血清层粘连蛋白测定(LN)</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56</w:t>
            </w:r>
          </w:p>
        </w:tc>
        <w:tc>
          <w:tcPr>
            <w:tcW w:w="17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血清蛋白电泳</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血清蛋白电泳</w:t>
            </w:r>
          </w:p>
        </w:tc>
        <w:tc>
          <w:tcPr>
            <w:tcW w:w="10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57</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血清生长激素(GH)</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血清生长激素测定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58</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血清透明质酸测定(HA)</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血清透明质酸酶测定</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59</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乙肝基因突变(HBV-YMDD)</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1"/>
                <w:szCs w:val="21"/>
                <w:highlight w:val="none"/>
              </w:rPr>
            </w:pP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r>
        <w:tblPrEx>
          <w:tblCellMar>
            <w:top w:w="0" w:type="dxa"/>
            <w:left w:w="108" w:type="dxa"/>
            <w:bottom w:w="0" w:type="dxa"/>
            <w:right w:w="108" w:type="dxa"/>
          </w:tblCellMar>
        </w:tblPrEx>
        <w:trPr>
          <w:trHeight w:val="600" w:hRule="atLeast"/>
        </w:trPr>
        <w:tc>
          <w:tcPr>
            <w:tcW w:w="6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60</w:t>
            </w:r>
          </w:p>
        </w:tc>
        <w:tc>
          <w:tcPr>
            <w:tcW w:w="1724"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自身免疫性肝炎抗体六项</w:t>
            </w:r>
          </w:p>
        </w:tc>
        <w:tc>
          <w:tcPr>
            <w:tcW w:w="42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抗可溶性肝抗原/肝-胰抗原 ,抗体(SLA/LP)测定，抗肝肾微粒体抗体(LKM)测定,抗肝细胞特异性脂蛋白抗体测定,抗线粒体抗体测定(AMA),抗核提取物抗体测定(抗ENA 抗体)</w:t>
            </w:r>
          </w:p>
        </w:tc>
        <w:tc>
          <w:tcPr>
            <w:tcW w:w="10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highlight w:val="none"/>
              </w:rPr>
            </w:pPr>
          </w:p>
        </w:tc>
      </w:tr>
    </w:tbl>
    <w:p>
      <w:pPr>
        <w:widowControl/>
        <w:spacing w:line="360" w:lineRule="auto"/>
        <w:jc w:val="left"/>
        <w:rPr>
          <w:rFonts w:hint="eastAsia" w:cs="宋体" w:asciiTheme="minorEastAsia" w:hAnsiTheme="minorEastAsia"/>
          <w:color w:val="000000"/>
          <w:kern w:val="0"/>
          <w:sz w:val="28"/>
          <w:szCs w:val="28"/>
          <w:highlight w:val="none"/>
        </w:rPr>
      </w:pPr>
      <w:r>
        <w:rPr>
          <w:rFonts w:hint="eastAsia" w:cs="宋体" w:asciiTheme="minorEastAsia" w:hAnsiTheme="minorEastAsia"/>
          <w:color w:val="000000"/>
          <w:kern w:val="0"/>
          <w:sz w:val="28"/>
          <w:szCs w:val="28"/>
          <w:highlight w:val="none"/>
        </w:rPr>
        <w:t>注：</w:t>
      </w:r>
    </w:p>
    <w:p>
      <w:pPr>
        <w:widowControl/>
        <w:spacing w:line="360" w:lineRule="auto"/>
        <w:jc w:val="left"/>
        <w:rPr>
          <w:rFonts w:hint="default" w:cs="宋体" w:asciiTheme="minorEastAsia" w:hAnsiTheme="minorEastAsia" w:eastAsiaTheme="minorEastAsia"/>
          <w:color w:val="000000"/>
          <w:kern w:val="0"/>
          <w:sz w:val="28"/>
          <w:szCs w:val="28"/>
          <w:highlight w:val="none"/>
          <w:lang w:val="en-US" w:eastAsia="zh-CN"/>
        </w:rPr>
      </w:pPr>
      <w:r>
        <w:rPr>
          <w:rFonts w:hint="eastAsia" w:cs="宋体" w:asciiTheme="minorEastAsia" w:hAnsiTheme="minorEastAsia"/>
          <w:color w:val="000000"/>
          <w:kern w:val="0"/>
          <w:sz w:val="28"/>
          <w:szCs w:val="28"/>
          <w:highlight w:val="none"/>
          <w:lang w:val="en-US" w:eastAsia="zh-CN"/>
        </w:rPr>
        <w:t>1.供应商据实填写收</w:t>
      </w:r>
      <w:r>
        <w:rPr>
          <w:rFonts w:hint="eastAsia" w:cs="宋体" w:asciiTheme="minorEastAsia" w:hAnsiTheme="minorEastAsia"/>
          <w:color w:val="000000"/>
          <w:kern w:val="0"/>
          <w:sz w:val="28"/>
          <w:szCs w:val="28"/>
          <w:highlight w:val="none"/>
          <w:lang w:val="en-US" w:eastAsia="zh-CN"/>
        </w:rPr>
        <w:t>费标准。</w:t>
      </w:r>
    </w:p>
    <w:p>
      <w:pPr>
        <w:widowControl/>
        <w:tabs>
          <w:tab w:val="left" w:pos="2044"/>
        </w:tabs>
        <w:spacing w:line="360" w:lineRule="auto"/>
        <w:rPr>
          <w:rFonts w:asciiTheme="minorEastAsia" w:hAnsiTheme="minorEastAsia"/>
          <w:color w:val="000000"/>
          <w:sz w:val="28"/>
          <w:szCs w:val="28"/>
          <w:highlight w:val="none"/>
        </w:rPr>
      </w:pPr>
      <w:r>
        <w:rPr>
          <w:rFonts w:hint="eastAsia" w:cs="宋体" w:asciiTheme="minorEastAsia" w:hAnsiTheme="minorEastAsia"/>
          <w:color w:val="000000"/>
          <w:kern w:val="0"/>
          <w:sz w:val="28"/>
          <w:szCs w:val="28"/>
          <w:highlight w:val="none"/>
          <w:lang w:val="en-US" w:eastAsia="zh-CN"/>
        </w:rPr>
        <w:t>2.</w:t>
      </w:r>
      <w:r>
        <w:rPr>
          <w:rFonts w:hint="eastAsia" w:asciiTheme="minorEastAsia" w:hAnsiTheme="minorEastAsia"/>
          <w:color w:val="000000"/>
          <w:sz w:val="28"/>
          <w:szCs w:val="28"/>
          <w:highlight w:val="none"/>
        </w:rPr>
        <w:t>供应商的服务价格参考黄石市</w:t>
      </w:r>
      <w:r>
        <w:rPr>
          <w:rFonts w:hint="eastAsia" w:asciiTheme="minorEastAsia" w:hAnsiTheme="minorEastAsia"/>
          <w:color w:val="000000"/>
          <w:sz w:val="28"/>
          <w:szCs w:val="28"/>
          <w:highlight w:val="none"/>
          <w:lang w:val="en-US" w:eastAsia="zh-CN"/>
        </w:rPr>
        <w:t>公立医院</w:t>
      </w:r>
      <w:r>
        <w:rPr>
          <w:rFonts w:hint="eastAsia" w:asciiTheme="minorEastAsia" w:hAnsiTheme="minorEastAsia"/>
          <w:color w:val="000000"/>
          <w:sz w:val="28"/>
          <w:szCs w:val="28"/>
          <w:highlight w:val="none"/>
        </w:rPr>
        <w:t>医疗服务价格标准执行</w:t>
      </w:r>
      <w:r>
        <w:rPr>
          <w:rFonts w:hint="eastAsia" w:asciiTheme="minorEastAsia" w:hAnsiTheme="minorEastAsia"/>
          <w:color w:val="000000"/>
          <w:sz w:val="28"/>
          <w:szCs w:val="28"/>
          <w:highlight w:val="none"/>
          <w:lang w:eastAsia="zh-CN"/>
        </w:rPr>
        <w:t>；</w:t>
      </w:r>
      <w:r>
        <w:rPr>
          <w:rFonts w:hint="eastAsia" w:asciiTheme="minorEastAsia" w:hAnsiTheme="minorEastAsia"/>
          <w:color w:val="000000"/>
          <w:sz w:val="28"/>
          <w:szCs w:val="28"/>
          <w:highlight w:val="none"/>
        </w:rPr>
        <w:t>供应商报价时只须报出一个统一的优惠率，以优惠率为评审依据</w:t>
      </w:r>
      <w:r>
        <w:rPr>
          <w:rFonts w:asciiTheme="minorEastAsia" w:hAnsiTheme="minorEastAsia"/>
          <w:color w:val="000000"/>
          <w:sz w:val="28"/>
          <w:szCs w:val="28"/>
          <w:highlight w:val="none"/>
        </w:rPr>
        <w:t>。</w:t>
      </w:r>
      <w:r>
        <w:rPr>
          <w:rFonts w:hint="eastAsia" w:asciiTheme="minorEastAsia" w:hAnsiTheme="minorEastAsia"/>
          <w:color w:val="000000"/>
          <w:sz w:val="28"/>
          <w:szCs w:val="28"/>
          <w:highlight w:val="none"/>
        </w:rPr>
        <w:t>供应商成交后的服务价格参考黄石市医疗服务价格标准执行，所有服务项目的服务价格</w:t>
      </w:r>
      <w:r>
        <w:rPr>
          <w:rFonts w:hint="eastAsia" w:asciiTheme="minorEastAsia" w:hAnsiTheme="minorEastAsia"/>
          <w:color w:val="000000"/>
          <w:sz w:val="28"/>
          <w:szCs w:val="28"/>
          <w:highlight w:val="none"/>
          <w:lang w:val="en-US" w:eastAsia="zh-CN"/>
        </w:rPr>
        <w:t>为</w:t>
      </w:r>
      <w:r>
        <w:rPr>
          <w:rFonts w:hint="eastAsia" w:asciiTheme="minorEastAsia" w:hAnsiTheme="minorEastAsia"/>
          <w:color w:val="000000"/>
          <w:sz w:val="28"/>
          <w:szCs w:val="28"/>
          <w:highlight w:val="none"/>
        </w:rPr>
        <w:t>乘以优惠率后的总优惠价，由</w:t>
      </w:r>
      <w:r>
        <w:rPr>
          <w:rFonts w:hint="eastAsia" w:asciiTheme="minorEastAsia" w:hAnsiTheme="minorEastAsia"/>
          <w:color w:val="000000"/>
          <w:sz w:val="28"/>
          <w:szCs w:val="28"/>
          <w:highlight w:val="none"/>
          <w:lang w:val="en-US" w:eastAsia="zh-CN"/>
        </w:rPr>
        <w:t>采购人支付给成交供应商</w:t>
      </w:r>
      <w:r>
        <w:rPr>
          <w:rFonts w:hint="eastAsia" w:asciiTheme="minorEastAsia" w:hAnsiTheme="minorEastAsia"/>
          <w:color w:val="000000"/>
          <w:sz w:val="28"/>
          <w:szCs w:val="28"/>
          <w:highlight w:val="none"/>
        </w:rPr>
        <w:t>。</w:t>
      </w:r>
    </w:p>
    <w:p>
      <w:pPr>
        <w:widowControl/>
        <w:tabs>
          <w:tab w:val="left" w:pos="2044"/>
        </w:tabs>
        <w:spacing w:line="360" w:lineRule="auto"/>
        <w:rPr>
          <w:rFonts w:cs="宋体" w:asciiTheme="minorEastAsia" w:hAnsiTheme="minorEastAsia"/>
          <w:color w:val="000000"/>
          <w:kern w:val="0"/>
          <w:sz w:val="28"/>
          <w:szCs w:val="28"/>
          <w:highlight w:val="none"/>
        </w:rPr>
      </w:pPr>
      <w:r>
        <w:rPr>
          <w:rFonts w:hint="eastAsia" w:asciiTheme="minorEastAsia" w:hAnsiTheme="minorEastAsia"/>
          <w:color w:val="000000"/>
          <w:sz w:val="28"/>
          <w:szCs w:val="28"/>
          <w:highlight w:val="none"/>
          <w:lang w:val="en-US" w:eastAsia="zh-CN"/>
        </w:rPr>
        <w:t>3</w:t>
      </w:r>
      <w:r>
        <w:rPr>
          <w:rFonts w:hint="eastAsia" w:asciiTheme="minorEastAsia" w:hAnsiTheme="minorEastAsia"/>
          <w:color w:val="000000"/>
          <w:sz w:val="28"/>
          <w:szCs w:val="28"/>
          <w:highlight w:val="none"/>
        </w:rPr>
        <w:t>.</w:t>
      </w:r>
      <w:r>
        <w:rPr>
          <w:rFonts w:hint="eastAsia" w:cs="宋体" w:asciiTheme="minorEastAsia" w:hAnsiTheme="minorEastAsia"/>
          <w:color w:val="000000"/>
          <w:kern w:val="0"/>
          <w:sz w:val="28"/>
          <w:szCs w:val="28"/>
          <w:highlight w:val="none"/>
        </w:rPr>
        <w:t>组合包含检验项目内容、标准收费均按黄石市</w:t>
      </w:r>
      <w:r>
        <w:rPr>
          <w:rFonts w:hint="eastAsia" w:asciiTheme="minorEastAsia" w:hAnsiTheme="minorEastAsia"/>
          <w:color w:val="000000"/>
          <w:sz w:val="28"/>
          <w:szCs w:val="28"/>
          <w:highlight w:val="none"/>
          <w:lang w:val="en-US" w:eastAsia="zh-CN"/>
        </w:rPr>
        <w:t>公立医院</w:t>
      </w:r>
      <w:r>
        <w:rPr>
          <w:rFonts w:hint="eastAsia" w:cs="宋体" w:asciiTheme="minorEastAsia" w:hAnsiTheme="minorEastAsia"/>
          <w:color w:val="000000"/>
          <w:kern w:val="0"/>
          <w:sz w:val="28"/>
          <w:szCs w:val="28"/>
          <w:highlight w:val="none"/>
        </w:rPr>
        <w:t>医疗服务标准执行；若黄石市未发布</w:t>
      </w:r>
      <w:r>
        <w:rPr>
          <w:rFonts w:hint="eastAsia" w:cs="宋体" w:asciiTheme="minorEastAsia" w:hAnsiTheme="minorEastAsia"/>
          <w:color w:val="000000"/>
          <w:kern w:val="0"/>
          <w:sz w:val="28"/>
          <w:szCs w:val="28"/>
          <w:highlight w:val="none"/>
          <w:lang w:val="en-US" w:eastAsia="zh-CN"/>
        </w:rPr>
        <w:t>最新收费</w:t>
      </w:r>
      <w:r>
        <w:rPr>
          <w:rFonts w:hint="eastAsia" w:cs="宋体" w:asciiTheme="minorEastAsia" w:hAnsiTheme="minorEastAsia"/>
          <w:color w:val="000000"/>
          <w:kern w:val="0"/>
          <w:sz w:val="28"/>
          <w:szCs w:val="28"/>
          <w:highlight w:val="none"/>
        </w:rPr>
        <w:t>标准，则按湖北省</w:t>
      </w:r>
      <w:r>
        <w:rPr>
          <w:rFonts w:hint="eastAsia" w:cs="宋体" w:asciiTheme="minorEastAsia" w:hAnsiTheme="minorEastAsia"/>
          <w:color w:val="000000"/>
          <w:kern w:val="0"/>
          <w:sz w:val="28"/>
          <w:szCs w:val="28"/>
          <w:highlight w:val="none"/>
          <w:lang w:val="en-US" w:eastAsia="zh-CN"/>
        </w:rPr>
        <w:t>最</w:t>
      </w:r>
      <w:r>
        <w:rPr>
          <w:rFonts w:hint="eastAsia" w:cs="宋体" w:asciiTheme="minorEastAsia" w:hAnsiTheme="minorEastAsia"/>
          <w:color w:val="000000"/>
          <w:kern w:val="0"/>
          <w:sz w:val="28"/>
          <w:szCs w:val="28"/>
          <w:highlight w:val="none"/>
          <w:lang w:val="en-US" w:eastAsia="zh-CN"/>
        </w:rPr>
        <w:t>新收费</w:t>
      </w:r>
      <w:r>
        <w:rPr>
          <w:rFonts w:hint="eastAsia" w:cs="宋体" w:asciiTheme="minorEastAsia" w:hAnsiTheme="minorEastAsia"/>
          <w:color w:val="000000"/>
          <w:kern w:val="0"/>
          <w:sz w:val="28"/>
          <w:szCs w:val="28"/>
          <w:highlight w:val="none"/>
        </w:rPr>
        <w:t>标准执行。</w:t>
      </w:r>
    </w:p>
    <w:p>
      <w:pPr>
        <w:numPr>
          <w:ilvl w:val="0"/>
          <w:numId w:val="2"/>
        </w:numPr>
        <w:spacing w:line="500" w:lineRule="exact"/>
        <w:rPr>
          <w:rFonts w:ascii="Times New Roman" w:hAnsi="Times New Roman" w:cs="Times New Roman"/>
          <w:b/>
          <w:color w:val="000000"/>
          <w:sz w:val="28"/>
          <w:szCs w:val="28"/>
          <w:highlight w:val="none"/>
        </w:rPr>
      </w:pPr>
      <w:r>
        <w:rPr>
          <w:rFonts w:hint="eastAsia" w:ascii="Times New Roman" w:hAnsi="Times New Roman" w:cs="Times New Roman"/>
          <w:b/>
          <w:color w:val="000000"/>
          <w:sz w:val="28"/>
          <w:szCs w:val="28"/>
          <w:highlight w:val="none"/>
        </w:rPr>
        <w:t>技术、服务等要求</w:t>
      </w:r>
    </w:p>
    <w:p>
      <w:pPr>
        <w:spacing w:line="500" w:lineRule="exact"/>
        <w:rPr>
          <w:rFonts w:ascii="Times New Roman" w:hAnsi="Times New Roman" w:cs="Times New Roman"/>
          <w:b/>
          <w:color w:val="000000"/>
          <w:sz w:val="28"/>
          <w:szCs w:val="28"/>
          <w:highlight w:val="none"/>
        </w:rPr>
      </w:pPr>
    </w:p>
    <w:p>
      <w:pPr>
        <w:widowControl/>
        <w:numPr>
          <w:ilvl w:val="1"/>
          <w:numId w:val="3"/>
        </w:numPr>
        <w:spacing w:line="360" w:lineRule="auto"/>
        <w:jc w:val="left"/>
        <w:rPr>
          <w:rFonts w:ascii="宋体" w:hAnsi="宋体" w:cs="Tahoma"/>
          <w:kern w:val="0"/>
          <w:sz w:val="28"/>
          <w:szCs w:val="28"/>
          <w:highlight w:val="none"/>
        </w:rPr>
      </w:pPr>
      <w:r>
        <w:rPr>
          <w:rFonts w:hint="eastAsia" w:ascii="宋体" w:hAnsi="宋体" w:cs="Tahoma"/>
          <w:kern w:val="0"/>
          <w:sz w:val="28"/>
          <w:szCs w:val="28"/>
          <w:highlight w:val="none"/>
        </w:rPr>
        <w:t xml:space="preserve">具备实验室特色和研发团队能力，具有解决临床常规问题能力，另具有对罕见疑难病例进行相关监测的能力。 </w:t>
      </w:r>
    </w:p>
    <w:p>
      <w:pPr>
        <w:widowControl/>
        <w:numPr>
          <w:ilvl w:val="1"/>
          <w:numId w:val="3"/>
        </w:numPr>
        <w:spacing w:line="360" w:lineRule="auto"/>
        <w:jc w:val="left"/>
        <w:rPr>
          <w:rFonts w:ascii="宋体" w:hAnsi="宋体" w:cs="Tahoma"/>
          <w:kern w:val="0"/>
          <w:sz w:val="28"/>
          <w:szCs w:val="28"/>
          <w:highlight w:val="none"/>
        </w:rPr>
      </w:pPr>
      <w:r>
        <w:rPr>
          <w:rFonts w:hint="eastAsia" w:ascii="宋体" w:hAnsi="宋体" w:cs="Tahoma"/>
          <w:kern w:val="0"/>
          <w:sz w:val="28"/>
          <w:szCs w:val="28"/>
          <w:highlight w:val="none"/>
        </w:rPr>
        <w:t xml:space="preserve">具备责任承担能力。供应商保证按国家检验规范进行操作，并对标本的检验报告承担相应的责任。 </w:t>
      </w:r>
    </w:p>
    <w:p>
      <w:pPr>
        <w:widowControl/>
        <w:numPr>
          <w:ilvl w:val="1"/>
          <w:numId w:val="3"/>
        </w:numPr>
        <w:spacing w:line="360" w:lineRule="auto"/>
        <w:jc w:val="left"/>
        <w:rPr>
          <w:rFonts w:ascii="宋体" w:hAnsi="宋体" w:cs="Tahoma"/>
          <w:kern w:val="0"/>
          <w:sz w:val="28"/>
          <w:szCs w:val="28"/>
          <w:highlight w:val="none"/>
        </w:rPr>
      </w:pPr>
      <w:r>
        <w:rPr>
          <w:rFonts w:hint="eastAsia" w:ascii="宋体" w:hAnsi="宋体" w:cs="Tahoma"/>
          <w:kern w:val="0"/>
          <w:sz w:val="28"/>
          <w:szCs w:val="28"/>
          <w:highlight w:val="none"/>
        </w:rPr>
        <w:t xml:space="preserve">具备保密能力。供应商有为采购人保密的义务，在未经采购人方同意或授权前提下，供应商不得向采购人检验科室、医务科、临床科室工作人员以外的任何单位或个人泄露采购人委托检验的项目、检验的内容、检验的结果。 </w:t>
      </w:r>
    </w:p>
    <w:p>
      <w:pPr>
        <w:widowControl/>
        <w:numPr>
          <w:ilvl w:val="1"/>
          <w:numId w:val="3"/>
        </w:numPr>
        <w:spacing w:line="360" w:lineRule="auto"/>
        <w:jc w:val="left"/>
        <w:rPr>
          <w:rFonts w:ascii="宋体" w:hAnsi="宋体" w:cs="Tahoma"/>
          <w:kern w:val="0"/>
          <w:sz w:val="28"/>
          <w:szCs w:val="28"/>
          <w:highlight w:val="none"/>
        </w:rPr>
      </w:pPr>
      <w:r>
        <w:rPr>
          <w:rFonts w:hint="eastAsia" w:ascii="宋体" w:hAnsi="宋体" w:cs="Tahoma"/>
          <w:kern w:val="0"/>
          <w:sz w:val="28"/>
          <w:szCs w:val="28"/>
          <w:highlight w:val="none"/>
        </w:rPr>
        <w:t>具备报告召回能力。供应商对需召回检验报告的，应及时通过一切形式通知采购人召回检验报告并通过上述形式提供新的检验报告。</w:t>
      </w:r>
    </w:p>
    <w:p>
      <w:pPr>
        <w:widowControl/>
        <w:numPr>
          <w:ilvl w:val="1"/>
          <w:numId w:val="3"/>
        </w:numPr>
        <w:spacing w:line="360" w:lineRule="auto"/>
        <w:jc w:val="left"/>
        <w:rPr>
          <w:rFonts w:ascii="宋体" w:hAnsi="宋体" w:cs="Tahoma"/>
          <w:kern w:val="0"/>
          <w:sz w:val="28"/>
          <w:szCs w:val="28"/>
          <w:highlight w:val="none"/>
        </w:rPr>
      </w:pPr>
      <w:r>
        <w:rPr>
          <w:rFonts w:hint="eastAsia" w:ascii="宋体" w:hAnsi="宋体" w:cs="Tahoma"/>
          <w:kern w:val="0"/>
          <w:sz w:val="28"/>
          <w:szCs w:val="28"/>
          <w:highlight w:val="none"/>
        </w:rPr>
        <w:t>具备技术支持能力。供应商免费接收采购人人员学习进修、协助采购人培养相关技术人才、对采购人病理科建设及评审提供技术支持。</w:t>
      </w:r>
    </w:p>
    <w:p>
      <w:pPr>
        <w:spacing w:line="500" w:lineRule="exact"/>
        <w:rPr>
          <w:rFonts w:ascii="Times New Roman" w:hAnsi="Times New Roman" w:cs="Times New Roman"/>
          <w:color w:val="000000"/>
          <w:sz w:val="28"/>
          <w:szCs w:val="28"/>
          <w:highlight w:val="none"/>
        </w:rPr>
      </w:pPr>
    </w:p>
    <w:p>
      <w:pPr>
        <w:spacing w:line="500" w:lineRule="exact"/>
        <w:rPr>
          <w:rFonts w:ascii="Times New Roman" w:hAnsi="Times New Roman" w:cs="Times New Roman"/>
          <w:b/>
          <w:color w:val="000000"/>
          <w:sz w:val="28"/>
          <w:szCs w:val="28"/>
          <w:highlight w:val="none"/>
        </w:rPr>
      </w:pPr>
      <w:r>
        <w:rPr>
          <w:rFonts w:hint="eastAsia" w:ascii="Times New Roman" w:hAnsi="Times New Roman" w:cs="Times New Roman"/>
          <w:b/>
          <w:color w:val="000000"/>
          <w:sz w:val="28"/>
          <w:szCs w:val="28"/>
          <w:highlight w:val="none"/>
        </w:rPr>
        <w:t>三、商务要求</w:t>
      </w:r>
    </w:p>
    <w:p>
      <w:pPr>
        <w:spacing w:line="500" w:lineRule="exact"/>
        <w:ind w:firstLine="548" w:firstLineChars="196"/>
        <w:rPr>
          <w:rFonts w:ascii="Times New Roman" w:hAnsi="Times New Roman" w:cs="Times New Roman"/>
          <w:color w:val="000000"/>
          <w:sz w:val="28"/>
          <w:szCs w:val="28"/>
          <w:highlight w:val="none"/>
        </w:rPr>
      </w:pPr>
      <w:r>
        <w:rPr>
          <w:rFonts w:hint="eastAsia" w:ascii="Times New Roman" w:hAnsi="Times New Roman" w:cs="Times New Roman"/>
          <w:color w:val="000000"/>
          <w:sz w:val="28"/>
          <w:szCs w:val="28"/>
          <w:highlight w:val="none"/>
        </w:rPr>
        <w:t>说明：供应商在磋商响应文件《商务要求响应、偏离说明表》中应对以下逐条商务要求进行响应描述或偏离说明。不满足以下要求的，其投标按照无效投标处理。</w:t>
      </w:r>
    </w:p>
    <w:p>
      <w:pPr>
        <w:pStyle w:val="17"/>
        <w:numPr>
          <w:ilvl w:val="0"/>
          <w:numId w:val="4"/>
        </w:numPr>
        <w:tabs>
          <w:tab w:val="left" w:pos="567"/>
        </w:tabs>
        <w:spacing w:line="500" w:lineRule="exact"/>
        <w:ind w:left="567" w:hanging="567" w:firstLineChars="0"/>
        <w:rPr>
          <w:rFonts w:ascii="Times New Roman" w:hAnsi="Times New Roman"/>
          <w:color w:val="000000"/>
          <w:sz w:val="28"/>
          <w:szCs w:val="28"/>
          <w:highlight w:val="none"/>
        </w:rPr>
      </w:pPr>
      <w:r>
        <w:rPr>
          <w:rFonts w:hint="eastAsia" w:ascii="Times New Roman" w:hAnsi="Times New Roman"/>
          <w:b/>
          <w:color w:val="000000"/>
          <w:sz w:val="28"/>
          <w:szCs w:val="28"/>
          <w:highlight w:val="none"/>
        </w:rPr>
        <w:t>服务期限：</w:t>
      </w:r>
      <w:r>
        <w:rPr>
          <w:rFonts w:ascii="Times New Roman" w:hAnsi="Times New Roman"/>
          <w:color w:val="000000"/>
          <w:sz w:val="28"/>
          <w:szCs w:val="28"/>
          <w:highlight w:val="none"/>
        </w:rPr>
        <w:t xml:space="preserve"> </w:t>
      </w:r>
      <w:r>
        <w:rPr>
          <w:rFonts w:hint="eastAsia" w:ascii="Times New Roman" w:hAnsi="Times New Roman"/>
          <w:color w:val="000000"/>
          <w:sz w:val="28"/>
          <w:szCs w:val="28"/>
          <w:highlight w:val="none"/>
        </w:rPr>
        <w:t>1年；1年后，采购人将对成交单位进行服务水平考核，考核通过可延期1年。</w:t>
      </w:r>
    </w:p>
    <w:p>
      <w:pPr>
        <w:pStyle w:val="17"/>
        <w:numPr>
          <w:ilvl w:val="0"/>
          <w:numId w:val="4"/>
        </w:numPr>
        <w:tabs>
          <w:tab w:val="left" w:pos="567"/>
        </w:tabs>
        <w:spacing w:line="500" w:lineRule="exact"/>
        <w:ind w:left="567" w:hanging="567" w:firstLineChars="0"/>
        <w:rPr>
          <w:rFonts w:ascii="Times New Roman" w:hAnsi="Times New Roman"/>
          <w:color w:val="000000"/>
          <w:sz w:val="28"/>
          <w:szCs w:val="28"/>
          <w:highlight w:val="none"/>
        </w:rPr>
      </w:pPr>
      <w:r>
        <w:rPr>
          <w:rFonts w:hint="eastAsia" w:ascii="Times New Roman" w:hAnsi="Times New Roman"/>
          <w:b/>
          <w:color w:val="000000"/>
          <w:sz w:val="28"/>
          <w:szCs w:val="28"/>
          <w:highlight w:val="none"/>
        </w:rPr>
        <w:t>服务地点：</w:t>
      </w:r>
      <w:r>
        <w:rPr>
          <w:rFonts w:hint="eastAsia" w:ascii="Times New Roman" w:hAnsi="Times New Roman"/>
          <w:color w:val="000000"/>
          <w:sz w:val="28"/>
          <w:szCs w:val="28"/>
          <w:highlight w:val="none"/>
        </w:rPr>
        <w:t>阳新县人民医院</w:t>
      </w:r>
    </w:p>
    <w:p>
      <w:pPr>
        <w:pStyle w:val="17"/>
        <w:numPr>
          <w:ilvl w:val="0"/>
          <w:numId w:val="4"/>
        </w:numPr>
        <w:tabs>
          <w:tab w:val="left" w:pos="567"/>
        </w:tabs>
        <w:spacing w:line="500" w:lineRule="exact"/>
        <w:ind w:left="567" w:hanging="567" w:firstLineChars="0"/>
        <w:rPr>
          <w:rFonts w:ascii="Times New Roman" w:hAnsi="Times New Roman"/>
          <w:color w:val="000000"/>
          <w:sz w:val="28"/>
          <w:szCs w:val="28"/>
          <w:highlight w:val="none"/>
        </w:rPr>
      </w:pPr>
      <w:r>
        <w:rPr>
          <w:rFonts w:hint="eastAsia" w:ascii="Times New Roman" w:hAnsi="Times New Roman"/>
          <w:b/>
          <w:color w:val="000000"/>
          <w:sz w:val="28"/>
          <w:szCs w:val="28"/>
          <w:highlight w:val="none"/>
        </w:rPr>
        <w:t>付款方式：</w:t>
      </w:r>
      <w:r>
        <w:rPr>
          <w:rFonts w:ascii="Times New Roman" w:hAnsi="Times New Roman"/>
          <w:color w:val="000000"/>
          <w:sz w:val="28"/>
          <w:szCs w:val="28"/>
          <w:highlight w:val="none"/>
        </w:rPr>
        <w:t xml:space="preserve"> </w:t>
      </w:r>
    </w:p>
    <w:p>
      <w:pPr>
        <w:pStyle w:val="17"/>
        <w:numPr>
          <w:ilvl w:val="0"/>
          <w:numId w:val="5"/>
        </w:numPr>
        <w:tabs>
          <w:tab w:val="left" w:pos="567"/>
        </w:tabs>
        <w:spacing w:line="500" w:lineRule="exact"/>
        <w:ind w:left="567" w:hanging="567" w:firstLineChars="0"/>
        <w:rPr>
          <w:rFonts w:ascii="Times New Roman" w:hAnsi="Times New Roman"/>
          <w:color w:val="000000"/>
          <w:sz w:val="28"/>
          <w:szCs w:val="28"/>
          <w:highlight w:val="none"/>
        </w:rPr>
      </w:pPr>
      <w:r>
        <w:rPr>
          <w:rFonts w:hint="eastAsia" w:ascii="Times New Roman" w:hAnsi="Times New Roman"/>
          <w:color w:val="000000"/>
          <w:sz w:val="28"/>
          <w:szCs w:val="28"/>
          <w:highlight w:val="none"/>
        </w:rPr>
        <w:t>收费标准：</w:t>
      </w:r>
      <w:r>
        <w:rPr>
          <w:rFonts w:hint="eastAsia" w:ascii="Times New Roman" w:hAnsi="Times New Roman"/>
          <w:color w:val="000000"/>
          <w:sz w:val="28"/>
          <w:szCs w:val="28"/>
          <w:highlight w:val="none"/>
          <w:lang w:eastAsia="zh-CN"/>
        </w:rPr>
        <w:t>采购人</w:t>
      </w:r>
      <w:r>
        <w:rPr>
          <w:rFonts w:hint="eastAsia" w:ascii="Times New Roman" w:hAnsi="Times New Roman"/>
          <w:color w:val="000000"/>
          <w:sz w:val="28"/>
          <w:szCs w:val="28"/>
          <w:highlight w:val="none"/>
        </w:rPr>
        <w:t>按照当地物价部门规定的收费标准或</w:t>
      </w:r>
      <w:r>
        <w:rPr>
          <w:rFonts w:hint="eastAsia" w:ascii="Times New Roman" w:hAnsi="Times New Roman"/>
          <w:color w:val="000000"/>
          <w:sz w:val="28"/>
          <w:szCs w:val="28"/>
          <w:highlight w:val="none"/>
          <w:lang w:eastAsia="zh-CN"/>
        </w:rPr>
        <w:t>成交人</w:t>
      </w:r>
      <w:r>
        <w:rPr>
          <w:rFonts w:hint="eastAsia" w:ascii="Times New Roman" w:hAnsi="Times New Roman"/>
          <w:color w:val="000000"/>
          <w:sz w:val="28"/>
          <w:szCs w:val="28"/>
          <w:highlight w:val="none"/>
        </w:rPr>
        <w:t>公开公示的收费标准向患者收取检测费用。</w:t>
      </w:r>
    </w:p>
    <w:p>
      <w:pPr>
        <w:pStyle w:val="17"/>
        <w:numPr>
          <w:ilvl w:val="0"/>
          <w:numId w:val="5"/>
        </w:numPr>
        <w:tabs>
          <w:tab w:val="left" w:pos="567"/>
        </w:tabs>
        <w:spacing w:line="500" w:lineRule="exact"/>
        <w:ind w:left="567" w:hanging="567" w:firstLineChars="0"/>
        <w:rPr>
          <w:rFonts w:ascii="Times New Roman" w:hAnsi="Times New Roman"/>
          <w:color w:val="000000"/>
          <w:sz w:val="28"/>
          <w:szCs w:val="28"/>
          <w:highlight w:val="none"/>
        </w:rPr>
      </w:pPr>
      <w:r>
        <w:rPr>
          <w:rFonts w:hint="eastAsia" w:ascii="Times New Roman" w:hAnsi="Times New Roman"/>
          <w:color w:val="000000"/>
          <w:sz w:val="28"/>
          <w:szCs w:val="28"/>
          <w:highlight w:val="none"/>
        </w:rPr>
        <w:t>收费标准的调整：如当地物价部门规定的收费标准发生变动时，</w:t>
      </w:r>
      <w:r>
        <w:rPr>
          <w:rFonts w:hint="eastAsia" w:ascii="Times New Roman" w:hAnsi="Times New Roman"/>
          <w:color w:val="000000"/>
          <w:sz w:val="28"/>
          <w:szCs w:val="28"/>
          <w:highlight w:val="none"/>
          <w:lang w:eastAsia="zh-CN"/>
        </w:rPr>
        <w:t>采购人</w:t>
      </w:r>
      <w:r>
        <w:rPr>
          <w:rFonts w:hint="eastAsia" w:ascii="Times New Roman" w:hAnsi="Times New Roman"/>
          <w:color w:val="000000"/>
          <w:sz w:val="28"/>
          <w:szCs w:val="28"/>
          <w:highlight w:val="none"/>
        </w:rPr>
        <w:t>应按物价部门的规定及时调整到位；若</w:t>
      </w:r>
      <w:r>
        <w:rPr>
          <w:rFonts w:hint="eastAsia" w:ascii="Times New Roman" w:hAnsi="Times New Roman"/>
          <w:color w:val="000000"/>
          <w:sz w:val="28"/>
          <w:szCs w:val="28"/>
          <w:highlight w:val="none"/>
          <w:lang w:eastAsia="zh-CN"/>
        </w:rPr>
        <w:t>成交人</w:t>
      </w:r>
      <w:r>
        <w:rPr>
          <w:rFonts w:hint="eastAsia" w:ascii="Times New Roman" w:hAnsi="Times New Roman"/>
          <w:color w:val="000000"/>
          <w:sz w:val="28"/>
          <w:szCs w:val="28"/>
          <w:highlight w:val="none"/>
        </w:rPr>
        <w:t>公开公示的收费标准发生变动时，</w:t>
      </w:r>
      <w:r>
        <w:rPr>
          <w:rFonts w:hint="eastAsia" w:ascii="Times New Roman" w:hAnsi="Times New Roman"/>
          <w:color w:val="000000"/>
          <w:sz w:val="28"/>
          <w:szCs w:val="28"/>
          <w:highlight w:val="none"/>
          <w:lang w:eastAsia="zh-CN"/>
        </w:rPr>
        <w:t>成交人</w:t>
      </w:r>
      <w:r>
        <w:rPr>
          <w:rFonts w:hint="eastAsia" w:ascii="Times New Roman" w:hAnsi="Times New Roman"/>
          <w:color w:val="000000"/>
          <w:sz w:val="28"/>
          <w:szCs w:val="28"/>
          <w:highlight w:val="none"/>
        </w:rPr>
        <w:t>应及时通知</w:t>
      </w:r>
      <w:r>
        <w:rPr>
          <w:rFonts w:hint="eastAsia" w:ascii="Times New Roman" w:hAnsi="Times New Roman"/>
          <w:color w:val="000000"/>
          <w:sz w:val="28"/>
          <w:szCs w:val="28"/>
          <w:highlight w:val="none"/>
          <w:lang w:eastAsia="zh-CN"/>
        </w:rPr>
        <w:t>采购人</w:t>
      </w:r>
      <w:r>
        <w:rPr>
          <w:rFonts w:hint="eastAsia" w:ascii="Times New Roman" w:hAnsi="Times New Roman"/>
          <w:color w:val="000000"/>
          <w:sz w:val="28"/>
          <w:szCs w:val="28"/>
          <w:highlight w:val="none"/>
        </w:rPr>
        <w:t>，通知生效日前所有的检测费按原标准结算，通知生效日后所有的检测费按新的标准结算。</w:t>
      </w:r>
    </w:p>
    <w:p>
      <w:pPr>
        <w:pStyle w:val="17"/>
        <w:numPr>
          <w:ilvl w:val="0"/>
          <w:numId w:val="5"/>
        </w:numPr>
        <w:tabs>
          <w:tab w:val="left" w:pos="567"/>
        </w:tabs>
        <w:spacing w:line="500" w:lineRule="exact"/>
        <w:ind w:left="567" w:hanging="567" w:firstLineChars="0"/>
        <w:rPr>
          <w:rFonts w:ascii="Times New Roman" w:hAnsi="Times New Roman"/>
          <w:color w:val="000000"/>
          <w:sz w:val="28"/>
          <w:szCs w:val="28"/>
          <w:highlight w:val="none"/>
        </w:rPr>
      </w:pPr>
      <w:r>
        <w:rPr>
          <w:rFonts w:hint="eastAsia" w:ascii="Times New Roman" w:hAnsi="Times New Roman"/>
          <w:color w:val="000000"/>
          <w:sz w:val="28"/>
          <w:szCs w:val="28"/>
          <w:highlight w:val="none"/>
        </w:rPr>
        <w:t>业务量的结算：以</w:t>
      </w:r>
      <w:r>
        <w:rPr>
          <w:rFonts w:hint="eastAsia" w:ascii="Times New Roman" w:hAnsi="Times New Roman"/>
          <w:color w:val="000000"/>
          <w:sz w:val="28"/>
          <w:szCs w:val="28"/>
          <w:highlight w:val="none"/>
          <w:lang w:eastAsia="zh-CN"/>
        </w:rPr>
        <w:t>成交人</w:t>
      </w:r>
      <w:r>
        <w:rPr>
          <w:rFonts w:hint="eastAsia" w:ascii="Times New Roman" w:hAnsi="Times New Roman"/>
          <w:color w:val="000000"/>
          <w:sz w:val="28"/>
          <w:szCs w:val="28"/>
          <w:highlight w:val="none"/>
        </w:rPr>
        <w:t>LIMS系统项目检测清单或外送样本登记的签收记录为准。</w:t>
      </w:r>
    </w:p>
    <w:p>
      <w:pPr>
        <w:pStyle w:val="17"/>
        <w:numPr>
          <w:ilvl w:val="0"/>
          <w:numId w:val="5"/>
        </w:numPr>
        <w:tabs>
          <w:tab w:val="left" w:pos="567"/>
        </w:tabs>
        <w:spacing w:line="500" w:lineRule="exact"/>
        <w:ind w:left="567" w:hanging="567" w:firstLineChars="0"/>
        <w:rPr>
          <w:rFonts w:ascii="Times New Roman" w:hAnsi="Times New Roman"/>
          <w:color w:val="000000"/>
          <w:sz w:val="28"/>
          <w:szCs w:val="28"/>
          <w:highlight w:val="none"/>
        </w:rPr>
      </w:pPr>
      <w:r>
        <w:rPr>
          <w:rFonts w:hint="eastAsia" w:ascii="Times New Roman" w:hAnsi="Times New Roman"/>
          <w:color w:val="000000"/>
          <w:sz w:val="28"/>
          <w:szCs w:val="28"/>
          <w:highlight w:val="none"/>
        </w:rPr>
        <w:t>结算时间：</w:t>
      </w:r>
      <w:r>
        <w:rPr>
          <w:rFonts w:hint="eastAsia" w:ascii="Times New Roman" w:hAnsi="Times New Roman"/>
          <w:color w:val="000000"/>
          <w:sz w:val="28"/>
          <w:szCs w:val="28"/>
          <w:highlight w:val="none"/>
          <w:lang w:eastAsia="zh-CN"/>
        </w:rPr>
        <w:t>成交人</w:t>
      </w:r>
      <w:r>
        <w:rPr>
          <w:rFonts w:hint="eastAsia" w:ascii="Times New Roman" w:hAnsi="Times New Roman"/>
          <w:color w:val="000000"/>
          <w:sz w:val="28"/>
          <w:szCs w:val="28"/>
          <w:highlight w:val="none"/>
        </w:rPr>
        <w:t>每月就上月26日至本月25日的检测费用与</w:t>
      </w:r>
      <w:r>
        <w:rPr>
          <w:rFonts w:hint="eastAsia" w:ascii="Times New Roman" w:hAnsi="Times New Roman"/>
          <w:color w:val="000000"/>
          <w:sz w:val="28"/>
          <w:szCs w:val="28"/>
          <w:highlight w:val="none"/>
          <w:lang w:eastAsia="zh-CN"/>
        </w:rPr>
        <w:t>采购人</w:t>
      </w:r>
      <w:r>
        <w:rPr>
          <w:rFonts w:hint="eastAsia" w:ascii="Times New Roman" w:hAnsi="Times New Roman"/>
          <w:color w:val="000000"/>
          <w:sz w:val="28"/>
          <w:szCs w:val="28"/>
          <w:highlight w:val="none"/>
        </w:rPr>
        <w:t>进行月度结算。</w:t>
      </w:r>
    </w:p>
    <w:p>
      <w:pPr>
        <w:pStyle w:val="17"/>
        <w:numPr>
          <w:ilvl w:val="0"/>
          <w:numId w:val="5"/>
        </w:numPr>
        <w:tabs>
          <w:tab w:val="left" w:pos="567"/>
        </w:tabs>
        <w:spacing w:line="500" w:lineRule="exact"/>
        <w:ind w:left="567" w:hanging="567" w:firstLineChars="0"/>
        <w:rPr>
          <w:rFonts w:ascii="Times New Roman" w:hAnsi="Times New Roman"/>
          <w:color w:val="000000"/>
          <w:sz w:val="28"/>
          <w:szCs w:val="28"/>
          <w:highlight w:val="none"/>
        </w:rPr>
      </w:pPr>
      <w:r>
        <w:rPr>
          <w:rFonts w:hint="eastAsia" w:ascii="Times New Roman" w:hAnsi="Times New Roman"/>
          <w:color w:val="000000"/>
          <w:sz w:val="28"/>
          <w:szCs w:val="28"/>
          <w:highlight w:val="none"/>
        </w:rPr>
        <w:t>检测服务费的支付：</w:t>
      </w:r>
      <w:r>
        <w:rPr>
          <w:rFonts w:hint="eastAsia" w:ascii="Times New Roman" w:hAnsi="Times New Roman"/>
          <w:color w:val="000000"/>
          <w:sz w:val="28"/>
          <w:szCs w:val="28"/>
          <w:highlight w:val="none"/>
          <w:lang w:eastAsia="zh-CN"/>
        </w:rPr>
        <w:t>采购人</w:t>
      </w:r>
      <w:r>
        <w:rPr>
          <w:rFonts w:hint="eastAsia" w:ascii="Times New Roman" w:hAnsi="Times New Roman"/>
          <w:color w:val="000000"/>
          <w:sz w:val="28"/>
          <w:szCs w:val="28"/>
          <w:highlight w:val="none"/>
        </w:rPr>
        <w:t>应在每个月度结束后60日内以银行转账方式将</w:t>
      </w:r>
      <w:r>
        <w:rPr>
          <w:rFonts w:hint="eastAsia" w:ascii="Times New Roman" w:hAnsi="Times New Roman"/>
          <w:color w:val="000000"/>
          <w:sz w:val="28"/>
          <w:szCs w:val="28"/>
          <w:highlight w:val="none"/>
          <w:lang w:eastAsia="zh-CN"/>
        </w:rPr>
        <w:t>成交人</w:t>
      </w:r>
      <w:r>
        <w:rPr>
          <w:rFonts w:hint="eastAsia" w:ascii="Times New Roman" w:hAnsi="Times New Roman"/>
          <w:color w:val="000000"/>
          <w:sz w:val="28"/>
          <w:szCs w:val="28"/>
          <w:highlight w:val="none"/>
        </w:rPr>
        <w:t>开具发票金额汇入</w:t>
      </w:r>
      <w:r>
        <w:rPr>
          <w:rFonts w:hint="eastAsia" w:ascii="Times New Roman" w:hAnsi="Times New Roman"/>
          <w:color w:val="000000"/>
          <w:sz w:val="28"/>
          <w:szCs w:val="28"/>
          <w:highlight w:val="none"/>
          <w:lang w:eastAsia="zh-CN"/>
        </w:rPr>
        <w:t>成交人</w:t>
      </w:r>
      <w:r>
        <w:rPr>
          <w:rFonts w:hint="eastAsia" w:ascii="Times New Roman" w:hAnsi="Times New Roman"/>
          <w:color w:val="000000"/>
          <w:sz w:val="28"/>
          <w:szCs w:val="28"/>
          <w:highlight w:val="none"/>
        </w:rPr>
        <w:t>指定账户。</w:t>
      </w:r>
    </w:p>
    <w:p>
      <w:pPr>
        <w:pStyle w:val="17"/>
        <w:numPr>
          <w:ilvl w:val="0"/>
          <w:numId w:val="4"/>
        </w:numPr>
        <w:tabs>
          <w:tab w:val="left" w:pos="567"/>
        </w:tabs>
        <w:spacing w:line="500" w:lineRule="exact"/>
        <w:ind w:left="567" w:hanging="567" w:firstLineChars="0"/>
        <w:rPr>
          <w:rFonts w:ascii="Times New Roman" w:hAnsi="Times New Roman"/>
          <w:color w:val="000000"/>
          <w:sz w:val="28"/>
          <w:szCs w:val="28"/>
          <w:highlight w:val="none"/>
        </w:rPr>
      </w:pPr>
      <w:r>
        <w:rPr>
          <w:rFonts w:hint="eastAsia" w:ascii="Times New Roman" w:hAnsi="Times New Roman"/>
          <w:b/>
          <w:color w:val="000000"/>
          <w:sz w:val="28"/>
          <w:szCs w:val="28"/>
          <w:highlight w:val="none"/>
        </w:rPr>
        <w:t>售后服务：</w:t>
      </w:r>
      <w:r>
        <w:rPr>
          <w:rFonts w:hint="eastAsia" w:ascii="Times New Roman" w:hAnsi="Times New Roman"/>
          <w:color w:val="000000"/>
          <w:sz w:val="28"/>
          <w:szCs w:val="28"/>
          <w:highlight w:val="none"/>
        </w:rPr>
        <w:t>在服务周期内成交单位如出现重大事故、影响，采购人有权终止合同。</w:t>
      </w:r>
    </w:p>
    <w:p>
      <w:pPr>
        <w:pStyle w:val="17"/>
        <w:numPr>
          <w:ilvl w:val="0"/>
          <w:numId w:val="4"/>
        </w:numPr>
        <w:tabs>
          <w:tab w:val="left" w:pos="567"/>
        </w:tabs>
        <w:spacing w:line="500" w:lineRule="exact"/>
        <w:ind w:left="567" w:hanging="567" w:firstLineChars="0"/>
        <w:rPr>
          <w:rFonts w:ascii="Times New Roman" w:hAnsi="Times New Roman"/>
          <w:color w:val="000000"/>
          <w:sz w:val="28"/>
          <w:szCs w:val="28"/>
          <w:highlight w:val="none"/>
        </w:rPr>
      </w:pPr>
      <w:r>
        <w:rPr>
          <w:rFonts w:hint="eastAsia" w:ascii="Times New Roman" w:hAnsi="Times New Roman"/>
          <w:b/>
          <w:color w:val="000000"/>
          <w:sz w:val="28"/>
          <w:szCs w:val="28"/>
          <w:highlight w:val="none"/>
        </w:rPr>
        <w:t>最高限价：</w:t>
      </w:r>
      <w:r>
        <w:rPr>
          <w:rFonts w:hint="eastAsia" w:ascii="Times New Roman" w:hAnsi="Times New Roman"/>
          <w:color w:val="000000"/>
          <w:sz w:val="28"/>
          <w:szCs w:val="28"/>
          <w:highlight w:val="none"/>
        </w:rPr>
        <w:t>本项目采购预算控制金额为35万元</w:t>
      </w:r>
      <w:r>
        <w:rPr>
          <w:rFonts w:hint="eastAsia" w:ascii="Times New Roman" w:hAnsi="Times New Roman"/>
          <w:color w:val="000000"/>
          <w:sz w:val="28"/>
          <w:szCs w:val="28"/>
          <w:highlight w:val="none"/>
          <w:lang w:val="en-US" w:eastAsia="zh-CN"/>
        </w:rPr>
        <w:t>整</w:t>
      </w:r>
      <w:r>
        <w:rPr>
          <w:rFonts w:hint="eastAsia" w:ascii="Times New Roman" w:hAnsi="Times New Roman"/>
          <w:color w:val="000000"/>
          <w:sz w:val="28"/>
          <w:szCs w:val="28"/>
          <w:highlight w:val="none"/>
        </w:rPr>
        <w:t>，</w:t>
      </w:r>
      <w:r>
        <w:rPr>
          <w:rFonts w:hint="eastAsia" w:ascii="Times New Roman" w:hAnsi="Times New Roman"/>
          <w:color w:val="000000"/>
          <w:sz w:val="28"/>
          <w:szCs w:val="28"/>
          <w:highlight w:val="none"/>
          <w:lang w:eastAsia="zh-CN"/>
        </w:rPr>
        <w:t>以现执行收费标准进行</w:t>
      </w:r>
      <w:r>
        <w:rPr>
          <w:rFonts w:hint="eastAsia" w:ascii="Times New Roman" w:hAnsi="Times New Roman"/>
          <w:color w:val="000000"/>
          <w:sz w:val="28"/>
          <w:szCs w:val="28"/>
          <w:highlight w:val="none"/>
          <w:lang w:val="en-US" w:eastAsia="zh-CN"/>
        </w:rPr>
        <w:t>优惠率</w:t>
      </w:r>
      <w:r>
        <w:rPr>
          <w:rFonts w:hint="eastAsia" w:ascii="Times New Roman" w:hAnsi="Times New Roman"/>
          <w:color w:val="000000"/>
          <w:sz w:val="28"/>
          <w:szCs w:val="28"/>
          <w:highlight w:val="none"/>
          <w:lang w:eastAsia="zh-CN"/>
        </w:rPr>
        <w:t>报价，报价不得高于现执行收费标准。</w:t>
      </w:r>
    </w:p>
    <w:p>
      <w:pPr>
        <w:pStyle w:val="17"/>
        <w:numPr>
          <w:ilvl w:val="0"/>
          <w:numId w:val="4"/>
        </w:numPr>
        <w:tabs>
          <w:tab w:val="left" w:pos="567"/>
        </w:tabs>
        <w:spacing w:line="500" w:lineRule="exact"/>
        <w:ind w:left="567" w:hanging="567" w:firstLineChars="0"/>
        <w:rPr>
          <w:rFonts w:hint="eastAsia" w:ascii="Times New Roman" w:hAnsi="Times New Roman"/>
          <w:b w:val="0"/>
          <w:bCs/>
          <w:color w:val="000000"/>
          <w:sz w:val="28"/>
          <w:szCs w:val="28"/>
          <w:highlight w:val="none"/>
        </w:rPr>
      </w:pPr>
      <w:r>
        <w:rPr>
          <w:rFonts w:hint="eastAsia" w:ascii="Times New Roman" w:hAnsi="Times New Roman"/>
          <w:b w:val="0"/>
          <w:bCs/>
          <w:color w:val="000000"/>
          <w:sz w:val="28"/>
          <w:szCs w:val="28"/>
          <w:highlight w:val="none"/>
        </w:rPr>
        <w:t>其它未涉及到的有关项目内容，供应商应按相关规定和主管部门的管理要求执行，或由采购人与供应商在签订合同时另行协定。</w:t>
      </w:r>
    </w:p>
    <w:p>
      <w:pPr>
        <w:spacing w:line="440" w:lineRule="exact"/>
        <w:ind w:firstLine="480" w:firstLineChars="200"/>
        <w:jc w:val="left"/>
        <w:rPr>
          <w:sz w:val="24"/>
          <w:highlight w:val="none"/>
        </w:rPr>
      </w:pPr>
      <w:bookmarkStart w:id="0" w:name="_Toc118467468"/>
      <w:bookmarkStart w:id="1" w:name="_Toc244580128"/>
    </w:p>
    <w:bookmarkEnd w:id="0"/>
    <w:bookmarkEnd w:id="1"/>
    <w:p>
      <w:pPr>
        <w:adjustRightInd w:val="0"/>
        <w:snapToGrid w:val="0"/>
        <w:spacing w:line="360" w:lineRule="auto"/>
        <w:jc w:val="center"/>
        <w:outlineLvl w:val="0"/>
        <w:rPr>
          <w:rFonts w:ascii="Times New Roman" w:hAnsi="Times New Roman" w:cs="Times New Roman"/>
          <w:b/>
          <w:sz w:val="36"/>
          <w:szCs w:val="36"/>
          <w:highlight w:val="none"/>
        </w:rPr>
      </w:pPr>
    </w:p>
    <w:p>
      <w:pPr>
        <w:adjustRightInd w:val="0"/>
        <w:snapToGrid w:val="0"/>
        <w:spacing w:line="360" w:lineRule="auto"/>
        <w:jc w:val="center"/>
        <w:outlineLvl w:val="0"/>
        <w:rPr>
          <w:rFonts w:ascii="Times New Roman" w:hAnsi="Times New Roman" w:cs="Times New Roman"/>
          <w:b/>
          <w:sz w:val="36"/>
          <w:szCs w:val="36"/>
          <w:highlight w:val="none"/>
        </w:rPr>
      </w:pPr>
    </w:p>
    <w:p>
      <w:pPr>
        <w:adjustRightInd w:val="0"/>
        <w:snapToGrid w:val="0"/>
        <w:spacing w:line="360" w:lineRule="auto"/>
        <w:jc w:val="center"/>
        <w:outlineLvl w:val="0"/>
        <w:rPr>
          <w:rFonts w:ascii="Times New Roman" w:hAnsi="Times New Roman" w:cs="Times New Roman"/>
          <w:b/>
          <w:sz w:val="36"/>
          <w:szCs w:val="36"/>
          <w:highlight w:val="none"/>
        </w:rPr>
      </w:pPr>
      <w:r>
        <w:rPr>
          <w:rFonts w:ascii="Times New Roman" w:hAnsi="Times New Roman" w:cs="Times New Roman"/>
          <w:b/>
          <w:sz w:val="36"/>
          <w:szCs w:val="36"/>
          <w:highlight w:val="none"/>
        </w:rPr>
        <w:t xml:space="preserve"> 评审办法及评分标准</w:t>
      </w:r>
    </w:p>
    <w:tbl>
      <w:tblPr>
        <w:tblStyle w:val="9"/>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29"/>
        <w:gridCol w:w="697"/>
        <w:gridCol w:w="6144"/>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7" w:type="dxa"/>
            <w:vMerge w:val="restart"/>
            <w:shd w:val="pct10" w:color="auto" w:fill="auto"/>
            <w:vAlign w:val="center"/>
          </w:tcPr>
          <w:p>
            <w:pPr>
              <w:spacing w:line="360" w:lineRule="auto"/>
              <w:ind w:left="-78" w:leftChars="-37" w:right="-86" w:rightChars="-41"/>
              <w:jc w:val="center"/>
              <w:rPr>
                <w:rFonts w:ascii="宋体" w:hAnsi="宋体" w:cs="Times New Roman"/>
                <w:b/>
                <w:color w:val="auto"/>
                <w:sz w:val="24"/>
                <w:szCs w:val="24"/>
                <w:highlight w:val="none"/>
              </w:rPr>
            </w:pPr>
            <w:r>
              <w:rPr>
                <w:rFonts w:hint="eastAsia" w:ascii="宋体" w:hAnsi="宋体" w:cs="Times New Roman"/>
                <w:b/>
                <w:bCs/>
                <w:color w:val="auto"/>
                <w:sz w:val="28"/>
                <w:szCs w:val="28"/>
                <w:highlight w:val="none"/>
              </w:rPr>
              <w:t>商务评议</w:t>
            </w:r>
          </w:p>
        </w:tc>
        <w:tc>
          <w:tcPr>
            <w:tcW w:w="1129" w:type="dxa"/>
            <w:shd w:val="pct10" w:color="auto" w:fill="auto"/>
            <w:vAlign w:val="center"/>
          </w:tcPr>
          <w:p>
            <w:pPr>
              <w:spacing w:line="276" w:lineRule="auto"/>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评审因素</w:t>
            </w:r>
          </w:p>
        </w:tc>
        <w:tc>
          <w:tcPr>
            <w:tcW w:w="697" w:type="dxa"/>
            <w:shd w:val="pct10" w:color="auto" w:fill="auto"/>
            <w:vAlign w:val="center"/>
          </w:tcPr>
          <w:p>
            <w:pPr>
              <w:spacing w:line="276" w:lineRule="auto"/>
              <w:ind w:left="-73" w:leftChars="-35" w:right="-80" w:rightChars="-38"/>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分值</w:t>
            </w:r>
          </w:p>
        </w:tc>
        <w:tc>
          <w:tcPr>
            <w:tcW w:w="6144" w:type="dxa"/>
            <w:shd w:val="pct10" w:color="auto" w:fill="auto"/>
            <w:vAlign w:val="center"/>
          </w:tcPr>
          <w:p>
            <w:pPr>
              <w:spacing w:line="276" w:lineRule="auto"/>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评分标准</w:t>
            </w:r>
          </w:p>
        </w:tc>
        <w:tc>
          <w:tcPr>
            <w:tcW w:w="885" w:type="dxa"/>
            <w:shd w:val="pct10" w:color="auto" w:fill="auto"/>
            <w:vAlign w:val="center"/>
          </w:tcPr>
          <w:p>
            <w:pPr>
              <w:spacing w:line="276" w:lineRule="auto"/>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因素</w:t>
            </w:r>
          </w:p>
          <w:p>
            <w:pPr>
              <w:spacing w:line="276" w:lineRule="auto"/>
              <w:jc w:val="center"/>
              <w:rPr>
                <w:rFonts w:ascii="宋体" w:hAnsi="宋体" w:cs="Times New Roman"/>
                <w:b/>
                <w:color w:val="auto"/>
                <w:sz w:val="24"/>
                <w:szCs w:val="24"/>
                <w:highlight w:val="none"/>
              </w:rPr>
            </w:pPr>
            <w:r>
              <w:rPr>
                <w:rFonts w:hint="eastAsia" w:ascii="宋体" w:hAnsi="宋体" w:cs="Times New Roman"/>
                <w:b/>
                <w:color w:val="auto"/>
                <w:sz w:val="24"/>
                <w:szCs w:val="24"/>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6"/>
              </w:numPr>
              <w:tabs>
                <w:tab w:val="left" w:pos="322"/>
              </w:tabs>
              <w:spacing w:line="360" w:lineRule="auto"/>
              <w:ind w:left="-42" w:right="-42" w:rightChars="-20" w:firstLine="0"/>
              <w:jc w:val="right"/>
              <w:rPr>
                <w:rFonts w:ascii="宋体" w:hAnsi="宋体" w:cs="Times New Roman"/>
                <w:b/>
                <w:color w:val="auto"/>
                <w:sz w:val="24"/>
                <w:highlight w:val="none"/>
              </w:rPr>
            </w:pPr>
          </w:p>
        </w:tc>
        <w:tc>
          <w:tcPr>
            <w:tcW w:w="1129" w:type="dxa"/>
            <w:vAlign w:val="center"/>
          </w:tcPr>
          <w:p>
            <w:pPr>
              <w:widowControl/>
              <w:spacing w:line="276" w:lineRule="auto"/>
              <w:jc w:val="center"/>
              <w:rPr>
                <w:rFonts w:ascii="宋体" w:hAnsi="宋体" w:cs="Times New Roman"/>
                <w:b/>
                <w:color w:val="auto"/>
                <w:sz w:val="24"/>
                <w:szCs w:val="24"/>
                <w:highlight w:val="none"/>
              </w:rPr>
            </w:pPr>
            <w:r>
              <w:rPr>
                <w:rFonts w:hint="eastAsia" w:ascii="宋体" w:hAnsi="宋体" w:cs="宋体"/>
                <w:color w:val="auto"/>
                <w:kern w:val="0"/>
                <w:szCs w:val="21"/>
                <w:highlight w:val="none"/>
              </w:rPr>
              <w:t>财务状况</w:t>
            </w:r>
          </w:p>
        </w:tc>
        <w:tc>
          <w:tcPr>
            <w:tcW w:w="697" w:type="dxa"/>
            <w:vAlign w:val="center"/>
          </w:tcPr>
          <w:p>
            <w:pPr>
              <w:widowControl/>
              <w:spacing w:line="276" w:lineRule="auto"/>
              <w:jc w:val="center"/>
              <w:rPr>
                <w:rFonts w:ascii="宋体" w:hAnsi="宋体" w:cs="Times New Roman"/>
                <w:b/>
                <w:color w:val="auto"/>
                <w:sz w:val="24"/>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tc>
        <w:tc>
          <w:tcPr>
            <w:tcW w:w="6144" w:type="dxa"/>
            <w:vAlign w:val="center"/>
          </w:tcPr>
          <w:p>
            <w:pPr>
              <w:autoSpaceDE w:val="0"/>
              <w:autoSpaceDN w:val="0"/>
              <w:adjustRightInd w:val="0"/>
              <w:spacing w:line="276" w:lineRule="auto"/>
              <w:rPr>
                <w:rFonts w:ascii="宋体" w:hAnsi="宋体" w:cs="Times New Roman"/>
                <w:color w:val="auto"/>
                <w:sz w:val="24"/>
                <w:highlight w:val="none"/>
              </w:rPr>
            </w:pPr>
            <w:r>
              <w:rPr>
                <w:rFonts w:hint="eastAsia" w:ascii="宋体" w:hAnsi="宋体" w:cs="宋体"/>
                <w:color w:val="auto"/>
                <w:kern w:val="0"/>
                <w:szCs w:val="21"/>
                <w:highlight w:val="none"/>
              </w:rPr>
              <w:t>根据供应商经会计师事务所审计的201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年、201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年财务审计报告中，两年盈利或未亏损的得4分，一年盈利或未亏损的得2分，</w:t>
            </w:r>
            <w:r>
              <w:rPr>
                <w:rFonts w:hint="eastAsia" w:ascii="宋体" w:hAnsi="宋体" w:cs="宋体"/>
                <w:color w:val="auto"/>
                <w:kern w:val="0"/>
                <w:szCs w:val="21"/>
                <w:highlight w:val="none"/>
                <w:lang w:val="en-US" w:eastAsia="zh-CN"/>
              </w:rPr>
              <w:t>二</w:t>
            </w:r>
            <w:r>
              <w:rPr>
                <w:rFonts w:hint="eastAsia" w:ascii="宋体" w:hAnsi="宋体" w:cs="宋体"/>
                <w:color w:val="auto"/>
                <w:kern w:val="0"/>
                <w:szCs w:val="21"/>
                <w:highlight w:val="none"/>
              </w:rPr>
              <w:t>年均亏损的得</w:t>
            </w:r>
            <w:r>
              <w:rPr>
                <w:rFonts w:ascii="宋体" w:hAnsi="宋体" w:cs="宋体"/>
                <w:color w:val="auto"/>
                <w:kern w:val="0"/>
                <w:szCs w:val="21"/>
                <w:highlight w:val="none"/>
              </w:rPr>
              <w:t>0</w:t>
            </w:r>
            <w:r>
              <w:rPr>
                <w:rFonts w:hint="eastAsia" w:ascii="宋体" w:hAnsi="宋体" w:cs="宋体"/>
                <w:color w:val="auto"/>
                <w:kern w:val="0"/>
                <w:szCs w:val="21"/>
                <w:highlight w:val="none"/>
              </w:rPr>
              <w:t>分；成立时间少于二年的，一年均盈利或未亏损得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分，否则得</w:t>
            </w:r>
            <w:r>
              <w:rPr>
                <w:rFonts w:ascii="宋体" w:hAnsi="宋体" w:cs="宋体"/>
                <w:color w:val="auto"/>
                <w:kern w:val="0"/>
                <w:szCs w:val="21"/>
                <w:highlight w:val="none"/>
              </w:rPr>
              <w:t>0</w:t>
            </w:r>
            <w:r>
              <w:rPr>
                <w:rFonts w:hint="eastAsia" w:ascii="宋体" w:hAnsi="宋体" w:cs="宋体"/>
                <w:color w:val="auto"/>
                <w:kern w:val="0"/>
                <w:szCs w:val="21"/>
                <w:highlight w:val="none"/>
              </w:rPr>
              <w:t>分。</w:t>
            </w:r>
          </w:p>
        </w:tc>
        <w:tc>
          <w:tcPr>
            <w:tcW w:w="885" w:type="dxa"/>
            <w:vAlign w:val="center"/>
          </w:tcPr>
          <w:p>
            <w:pPr>
              <w:spacing w:line="360" w:lineRule="auto"/>
              <w:ind w:left="-65" w:leftChars="-31" w:right="-36" w:rightChars="-17"/>
              <w:jc w:val="right"/>
              <w:rPr>
                <w:rFonts w:ascii="宋体" w:hAnsi="宋体"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6"/>
              </w:numPr>
              <w:tabs>
                <w:tab w:val="left" w:pos="322"/>
              </w:tabs>
              <w:spacing w:line="360" w:lineRule="auto"/>
              <w:ind w:left="-42" w:right="-42" w:rightChars="-20" w:firstLine="0"/>
              <w:jc w:val="right"/>
              <w:rPr>
                <w:rFonts w:ascii="宋体" w:hAnsi="宋体" w:cs="Times New Roman"/>
                <w:b/>
                <w:color w:val="auto"/>
                <w:sz w:val="24"/>
                <w:highlight w:val="none"/>
              </w:rPr>
            </w:pPr>
          </w:p>
        </w:tc>
        <w:tc>
          <w:tcPr>
            <w:tcW w:w="1129" w:type="dxa"/>
            <w:vAlign w:val="center"/>
          </w:tcPr>
          <w:p>
            <w:pPr>
              <w:widowControl/>
              <w:spacing w:line="276" w:lineRule="auto"/>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类似成功案例</w:t>
            </w:r>
          </w:p>
        </w:tc>
        <w:tc>
          <w:tcPr>
            <w:tcW w:w="697" w:type="dxa"/>
            <w:vAlign w:val="center"/>
          </w:tcPr>
          <w:p>
            <w:pPr>
              <w:widowControl/>
              <w:tabs>
                <w:tab w:val="left" w:pos="396"/>
              </w:tabs>
              <w:spacing w:line="276" w:lineRule="auto"/>
              <w:jc w:val="left"/>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10分</w:t>
            </w:r>
          </w:p>
        </w:tc>
        <w:tc>
          <w:tcPr>
            <w:tcW w:w="6144" w:type="dxa"/>
            <w:vAlign w:val="center"/>
          </w:tcPr>
          <w:p>
            <w:pPr>
              <w:widowControl/>
              <w:spacing w:line="276" w:lineRule="auto"/>
              <w:jc w:val="left"/>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根据供应商2018年至今的类似成功案例数量进行评分：每合作过一家医院得0.5分，此项最高得10分。（提供中标通知书或合同）</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6"/>
              </w:numPr>
              <w:tabs>
                <w:tab w:val="left" w:pos="322"/>
              </w:tabs>
              <w:spacing w:line="360" w:lineRule="auto"/>
              <w:ind w:left="-42" w:right="-42" w:rightChars="-20" w:firstLine="0"/>
              <w:jc w:val="right"/>
              <w:rPr>
                <w:rFonts w:ascii="宋体" w:hAnsi="宋体" w:cs="Times New Roman"/>
                <w:b/>
                <w:color w:val="auto"/>
                <w:sz w:val="24"/>
                <w:highlight w:val="none"/>
              </w:rPr>
            </w:pPr>
          </w:p>
        </w:tc>
        <w:tc>
          <w:tcPr>
            <w:tcW w:w="1129" w:type="dxa"/>
            <w:vAlign w:val="center"/>
          </w:tcPr>
          <w:p>
            <w:pPr>
              <w:widowControl/>
              <w:spacing w:line="276" w:lineRule="auto"/>
              <w:jc w:val="center"/>
              <w:rPr>
                <w:rFonts w:hint="default" w:asciiTheme="minorEastAsia" w:hAnsiTheme="minorEastAsia" w:eastAsiaTheme="minorEastAsia"/>
                <w:color w:val="auto"/>
                <w:kern w:val="0"/>
                <w:szCs w:val="21"/>
                <w:highlight w:val="none"/>
                <w:lang w:val="en-US" w:eastAsia="zh-CN"/>
              </w:rPr>
            </w:pPr>
            <w:r>
              <w:rPr>
                <w:rFonts w:hint="eastAsia" w:asciiTheme="minorEastAsia" w:hAnsiTheme="minorEastAsia"/>
                <w:color w:val="auto"/>
                <w:kern w:val="0"/>
                <w:szCs w:val="21"/>
                <w:highlight w:val="none"/>
                <w:lang w:val="en-US" w:eastAsia="zh-CN"/>
              </w:rPr>
              <w:t>综合实力</w:t>
            </w:r>
          </w:p>
        </w:tc>
        <w:tc>
          <w:tcPr>
            <w:tcW w:w="697" w:type="dxa"/>
            <w:vAlign w:val="center"/>
          </w:tcPr>
          <w:p>
            <w:pPr>
              <w:widowControl/>
              <w:spacing w:line="276" w:lineRule="auto"/>
              <w:jc w:val="center"/>
              <w:rPr>
                <w:rFonts w:hint="default" w:asciiTheme="minorEastAsia" w:hAnsiTheme="minorEastAsia" w:eastAsiaTheme="minorEastAsia"/>
                <w:color w:val="auto"/>
                <w:kern w:val="0"/>
                <w:szCs w:val="21"/>
                <w:highlight w:val="none"/>
                <w:lang w:val="en-US" w:eastAsia="zh-CN"/>
              </w:rPr>
            </w:pPr>
            <w:r>
              <w:rPr>
                <w:rFonts w:hint="eastAsia" w:asciiTheme="minorEastAsia" w:hAnsiTheme="minorEastAsia"/>
                <w:color w:val="auto"/>
                <w:kern w:val="0"/>
                <w:szCs w:val="21"/>
                <w:highlight w:val="none"/>
                <w:lang w:val="en-US" w:eastAsia="zh-CN"/>
              </w:rPr>
              <w:t>4分</w:t>
            </w:r>
          </w:p>
        </w:tc>
        <w:tc>
          <w:tcPr>
            <w:tcW w:w="6144" w:type="dxa"/>
            <w:vAlign w:val="center"/>
          </w:tcPr>
          <w:p>
            <w:pPr>
              <w:widowControl/>
              <w:spacing w:line="276" w:lineRule="auto"/>
              <w:jc w:val="left"/>
              <w:rPr>
                <w:rFonts w:hint="default" w:asciiTheme="minorEastAsia" w:hAnsiTheme="minorEastAsia" w:eastAsiaTheme="minorEastAsia"/>
                <w:color w:val="auto"/>
                <w:kern w:val="0"/>
                <w:szCs w:val="21"/>
                <w:highlight w:val="none"/>
                <w:lang w:val="en-US" w:eastAsia="zh-CN"/>
              </w:rPr>
            </w:pPr>
            <w:r>
              <w:rPr>
                <w:rFonts w:hint="eastAsia" w:asciiTheme="minorEastAsia" w:hAnsiTheme="minorEastAsia"/>
                <w:color w:val="auto"/>
                <w:kern w:val="0"/>
                <w:szCs w:val="21"/>
                <w:highlight w:val="none"/>
                <w:lang w:val="en-US" w:eastAsia="zh-CN"/>
              </w:rPr>
              <w:t>供应商实验室获得中国合格评定国家认可委员会（CNAS）15189认证，每具备一间得2分，此项最高得4分。（提供证明材料）</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6"/>
              </w:numPr>
              <w:tabs>
                <w:tab w:val="left" w:pos="322"/>
              </w:tabs>
              <w:spacing w:line="360" w:lineRule="auto"/>
              <w:ind w:left="-42" w:right="-42" w:rightChars="-20" w:firstLine="0"/>
              <w:jc w:val="right"/>
              <w:rPr>
                <w:rFonts w:ascii="宋体" w:hAnsi="宋体" w:cs="Times New Roman"/>
                <w:b/>
                <w:color w:val="auto"/>
                <w:sz w:val="24"/>
                <w:highlight w:val="none"/>
              </w:rPr>
            </w:pPr>
          </w:p>
        </w:tc>
        <w:tc>
          <w:tcPr>
            <w:tcW w:w="1129" w:type="dxa"/>
            <w:vAlign w:val="center"/>
          </w:tcPr>
          <w:p>
            <w:pPr>
              <w:widowControl/>
              <w:spacing w:line="276" w:lineRule="auto"/>
              <w:jc w:val="center"/>
              <w:rPr>
                <w:rFonts w:cs="Times New Roman" w:asciiTheme="minorEastAsia" w:hAnsiTheme="minorEastAsia"/>
                <w:b/>
                <w:color w:val="auto"/>
                <w:szCs w:val="21"/>
                <w:highlight w:val="none"/>
              </w:rPr>
            </w:pPr>
            <w:r>
              <w:rPr>
                <w:rFonts w:hint="eastAsia" w:cs="宋体" w:asciiTheme="minorEastAsia" w:hAnsiTheme="minorEastAsia"/>
                <w:color w:val="auto"/>
                <w:kern w:val="0"/>
                <w:szCs w:val="21"/>
                <w:highlight w:val="none"/>
              </w:rPr>
              <w:t>文件完整性</w:t>
            </w:r>
          </w:p>
        </w:tc>
        <w:tc>
          <w:tcPr>
            <w:tcW w:w="697" w:type="dxa"/>
            <w:vAlign w:val="center"/>
          </w:tcPr>
          <w:p>
            <w:pPr>
              <w:widowControl/>
              <w:spacing w:line="276" w:lineRule="auto"/>
              <w:jc w:val="center"/>
              <w:rPr>
                <w:rFonts w:cs="Times New Roman" w:asciiTheme="minorEastAsia" w:hAnsiTheme="minorEastAsia"/>
                <w:b/>
                <w:color w:val="auto"/>
                <w:szCs w:val="21"/>
                <w:highlight w:val="none"/>
              </w:rPr>
            </w:pPr>
            <w:r>
              <w:rPr>
                <w:rFonts w:hint="eastAsia" w:cs="宋体" w:asciiTheme="minorEastAsia" w:hAnsiTheme="minorEastAsia"/>
                <w:color w:val="auto"/>
                <w:kern w:val="0"/>
                <w:szCs w:val="21"/>
                <w:highlight w:val="none"/>
                <w:lang w:val="en-US" w:eastAsia="zh-CN"/>
              </w:rPr>
              <w:t>2</w:t>
            </w:r>
            <w:r>
              <w:rPr>
                <w:rFonts w:hint="eastAsia" w:cs="宋体" w:asciiTheme="minorEastAsia" w:hAnsiTheme="minorEastAsia"/>
                <w:color w:val="auto"/>
                <w:kern w:val="0"/>
                <w:szCs w:val="21"/>
                <w:highlight w:val="none"/>
              </w:rPr>
              <w:t>分</w:t>
            </w:r>
          </w:p>
        </w:tc>
        <w:tc>
          <w:tcPr>
            <w:tcW w:w="6144" w:type="dxa"/>
            <w:vAlign w:val="center"/>
          </w:tcPr>
          <w:p>
            <w:pPr>
              <w:autoSpaceDE w:val="0"/>
              <w:autoSpaceDN w:val="0"/>
              <w:adjustRightInd w:val="0"/>
              <w:spacing w:line="276" w:lineRule="auto"/>
              <w:jc w:val="left"/>
              <w:rPr>
                <w:rFonts w:cs="Times New Roman" w:asciiTheme="minorEastAsia" w:hAnsiTheme="minorEastAsia"/>
                <w:color w:val="auto"/>
                <w:szCs w:val="21"/>
                <w:highlight w:val="none"/>
              </w:rPr>
            </w:pPr>
            <w:r>
              <w:rPr>
                <w:rFonts w:hint="eastAsia" w:cs="宋体" w:asciiTheme="minorEastAsia" w:hAnsiTheme="minorEastAsia"/>
                <w:color w:val="auto"/>
                <w:kern w:val="0"/>
                <w:szCs w:val="21"/>
                <w:highlight w:val="none"/>
              </w:rPr>
              <w:t>磋商响应文件</w:t>
            </w:r>
            <w:r>
              <w:rPr>
                <w:rFonts w:cs="宋体" w:asciiTheme="minorEastAsia" w:hAnsiTheme="minorEastAsia"/>
                <w:color w:val="auto"/>
                <w:kern w:val="0"/>
                <w:szCs w:val="21"/>
                <w:highlight w:val="none"/>
              </w:rPr>
              <w:t>全面</w:t>
            </w:r>
            <w:r>
              <w:rPr>
                <w:rFonts w:hint="eastAsia" w:cs="宋体" w:asciiTheme="minorEastAsia" w:hAnsiTheme="minorEastAsia"/>
                <w:color w:val="auto"/>
                <w:kern w:val="0"/>
                <w:szCs w:val="21"/>
                <w:highlight w:val="none"/>
              </w:rPr>
              <w:t>响应磋商文件</w:t>
            </w:r>
            <w:r>
              <w:rPr>
                <w:rFonts w:cs="宋体" w:asciiTheme="minorEastAsia" w:hAnsiTheme="minorEastAsia"/>
                <w:color w:val="auto"/>
                <w:kern w:val="0"/>
                <w:szCs w:val="21"/>
                <w:highlight w:val="none"/>
              </w:rPr>
              <w:t>要求，编制完整、非活页装订，且有详细目录、连续页码、目录与有关材料装订顺序对应清晰、查阅方便得</w:t>
            </w:r>
            <w:r>
              <w:rPr>
                <w:rFonts w:hint="eastAsia" w:cs="宋体" w:asciiTheme="minorEastAsia" w:hAnsiTheme="minorEastAsia"/>
                <w:color w:val="auto"/>
                <w:kern w:val="0"/>
                <w:szCs w:val="21"/>
                <w:highlight w:val="none"/>
                <w:lang w:val="en-US" w:eastAsia="zh-CN"/>
              </w:rPr>
              <w:t>2</w:t>
            </w:r>
            <w:r>
              <w:rPr>
                <w:rFonts w:cs="宋体" w:asciiTheme="minorEastAsia" w:hAnsiTheme="minorEastAsia"/>
                <w:color w:val="auto"/>
                <w:kern w:val="0"/>
                <w:szCs w:val="21"/>
                <w:highlight w:val="none"/>
              </w:rPr>
              <w:t>分。编排杂乱无章、叙述答非所问、资料残缺不全、资料模糊不清、前后不一致等，每处扣</w:t>
            </w:r>
            <w:r>
              <w:rPr>
                <w:rFonts w:hint="eastAsia" w:cs="宋体" w:asciiTheme="minorEastAsia" w:hAnsiTheme="minorEastAsia"/>
                <w:color w:val="auto"/>
                <w:kern w:val="0"/>
                <w:szCs w:val="21"/>
                <w:highlight w:val="none"/>
                <w:lang w:val="en-US" w:eastAsia="zh-CN"/>
              </w:rPr>
              <w:t>1</w:t>
            </w:r>
            <w:r>
              <w:rPr>
                <w:rFonts w:cs="宋体" w:asciiTheme="minorEastAsia" w:hAnsiTheme="minorEastAsia"/>
                <w:color w:val="auto"/>
                <w:kern w:val="0"/>
                <w:szCs w:val="21"/>
                <w:highlight w:val="none"/>
              </w:rPr>
              <w:t>分，扣完为止</w:t>
            </w:r>
            <w:r>
              <w:rPr>
                <w:rFonts w:hint="eastAsia" w:cs="宋体" w:asciiTheme="minorEastAsia" w:hAnsiTheme="minorEastAsia"/>
                <w:color w:val="auto"/>
                <w:kern w:val="0"/>
                <w:szCs w:val="21"/>
                <w:highlight w:val="none"/>
              </w:rPr>
              <w:t>，活页装订不得分。</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276" w:lineRule="auto"/>
              <w:ind w:left="-48" w:leftChars="-23" w:right="-36" w:rightChars="-17"/>
              <w:jc w:val="center"/>
              <w:rPr>
                <w:rFonts w:cs="Times New Roman" w:asciiTheme="minorEastAsia" w:hAnsiTheme="minorEastAsia"/>
                <w:b/>
                <w:color w:val="auto"/>
                <w:szCs w:val="21"/>
                <w:highlight w:val="none"/>
              </w:rPr>
            </w:pPr>
            <w:r>
              <w:rPr>
                <w:rFonts w:hint="eastAsia" w:cs="Times New Roman" w:asciiTheme="minorEastAsia" w:hAnsiTheme="minorEastAsia"/>
                <w:b/>
                <w:color w:val="auto"/>
                <w:szCs w:val="21"/>
                <w:highlight w:val="none"/>
              </w:rPr>
              <w:t>商务分合计</w:t>
            </w:r>
          </w:p>
        </w:tc>
        <w:tc>
          <w:tcPr>
            <w:tcW w:w="7029" w:type="dxa"/>
            <w:gridSpan w:val="2"/>
            <w:vAlign w:val="center"/>
          </w:tcPr>
          <w:p>
            <w:pPr>
              <w:tabs>
                <w:tab w:val="left" w:pos="1605"/>
              </w:tabs>
              <w:spacing w:line="276" w:lineRule="auto"/>
              <w:ind w:left="-65" w:leftChars="-31" w:right="-36" w:rightChars="-17"/>
              <w:jc w:val="left"/>
              <w:rPr>
                <w:rFonts w:cs="Times New Roman" w:asciiTheme="minorEastAsia" w:hAnsiTheme="minorEastAsia"/>
                <w:b/>
                <w:color w:val="auto"/>
                <w:szCs w:val="21"/>
                <w:highlight w:val="none"/>
              </w:rPr>
            </w:pPr>
            <w:r>
              <w:rPr>
                <w:rFonts w:hint="eastAsia" w:cs="Times New Roman" w:asciiTheme="minorEastAsia" w:hAnsiTheme="minorEastAsia"/>
                <w:b/>
                <w:color w:val="auto"/>
                <w:szCs w:val="21"/>
                <w:highlight w:val="none"/>
              </w:rPr>
              <w:tab/>
            </w:r>
            <w:r>
              <w:rPr>
                <w:rFonts w:hint="eastAsia" w:cs="Times New Roman" w:asciiTheme="minorEastAsia" w:hAnsiTheme="minorEastAsia"/>
                <w:b/>
                <w:color w:val="auto"/>
                <w:szCs w:val="21"/>
                <w:highlight w:val="none"/>
                <w:lang w:val="en-US" w:eastAsia="zh-CN"/>
              </w:rPr>
              <w:t>20</w:t>
            </w:r>
            <w:r>
              <w:rPr>
                <w:rFonts w:hint="eastAsia" w:cs="Times New Roman" w:asciiTheme="minorEastAsia" w:hAnsiTheme="minorEastAsia"/>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7" w:type="dxa"/>
            <w:vMerge w:val="restart"/>
            <w:shd w:val="pct10" w:color="auto" w:fill="auto"/>
            <w:vAlign w:val="center"/>
          </w:tcPr>
          <w:p>
            <w:pPr>
              <w:tabs>
                <w:tab w:val="left" w:pos="322"/>
              </w:tabs>
              <w:spacing w:line="360" w:lineRule="auto"/>
              <w:ind w:left="-42" w:right="-42" w:rightChars="-20"/>
              <w:jc w:val="right"/>
              <w:rPr>
                <w:rFonts w:ascii="宋体" w:hAnsi="宋体" w:cs="Times New Roman"/>
                <w:b/>
                <w:color w:val="auto"/>
                <w:sz w:val="24"/>
                <w:szCs w:val="24"/>
                <w:highlight w:val="none"/>
              </w:rPr>
            </w:pPr>
            <w:r>
              <w:rPr>
                <w:rFonts w:hint="eastAsia" w:ascii="宋体" w:hAnsi="宋体" w:cs="Times New Roman"/>
                <w:b/>
                <w:bCs/>
                <w:color w:val="auto"/>
                <w:sz w:val="28"/>
                <w:szCs w:val="28"/>
                <w:highlight w:val="none"/>
              </w:rPr>
              <w:t>技术服务评议</w:t>
            </w:r>
          </w:p>
        </w:tc>
        <w:tc>
          <w:tcPr>
            <w:tcW w:w="1129" w:type="dxa"/>
            <w:shd w:val="pct10" w:color="auto" w:fill="auto"/>
            <w:vAlign w:val="center"/>
          </w:tcPr>
          <w:p>
            <w:pPr>
              <w:spacing w:line="276" w:lineRule="auto"/>
              <w:ind w:left="-78" w:leftChars="-37" w:right="-86" w:rightChars="-41"/>
              <w:jc w:val="center"/>
              <w:rPr>
                <w:rFonts w:cs="Times New Roman" w:asciiTheme="minorEastAsia" w:hAnsiTheme="minorEastAsia"/>
                <w:b/>
                <w:color w:val="auto"/>
                <w:szCs w:val="21"/>
                <w:highlight w:val="none"/>
              </w:rPr>
            </w:pPr>
            <w:r>
              <w:rPr>
                <w:rFonts w:hint="eastAsia" w:cs="Times New Roman" w:asciiTheme="minorEastAsia" w:hAnsiTheme="minorEastAsia"/>
                <w:b/>
                <w:color w:val="auto"/>
                <w:szCs w:val="21"/>
                <w:highlight w:val="none"/>
              </w:rPr>
              <w:t>评审因素</w:t>
            </w:r>
          </w:p>
        </w:tc>
        <w:tc>
          <w:tcPr>
            <w:tcW w:w="697" w:type="dxa"/>
            <w:shd w:val="pct10" w:color="auto" w:fill="auto"/>
            <w:vAlign w:val="center"/>
          </w:tcPr>
          <w:p>
            <w:pPr>
              <w:spacing w:line="276" w:lineRule="auto"/>
              <w:ind w:left="-73" w:leftChars="-35" w:right="-80" w:rightChars="-38"/>
              <w:jc w:val="center"/>
              <w:rPr>
                <w:rFonts w:cs="Times New Roman" w:asciiTheme="minorEastAsia" w:hAnsiTheme="minorEastAsia"/>
                <w:b/>
                <w:color w:val="auto"/>
                <w:szCs w:val="21"/>
                <w:highlight w:val="none"/>
              </w:rPr>
            </w:pPr>
            <w:r>
              <w:rPr>
                <w:rFonts w:hint="eastAsia" w:cs="Times New Roman" w:asciiTheme="minorEastAsia" w:hAnsiTheme="minorEastAsia"/>
                <w:b/>
                <w:color w:val="auto"/>
                <w:szCs w:val="21"/>
                <w:highlight w:val="none"/>
              </w:rPr>
              <w:t>分值</w:t>
            </w:r>
          </w:p>
        </w:tc>
        <w:tc>
          <w:tcPr>
            <w:tcW w:w="6144" w:type="dxa"/>
            <w:shd w:val="pct10" w:color="auto" w:fill="auto"/>
            <w:vAlign w:val="center"/>
          </w:tcPr>
          <w:p>
            <w:pPr>
              <w:spacing w:line="276" w:lineRule="auto"/>
              <w:ind w:left="-78" w:leftChars="-37" w:right="-86" w:rightChars="-41"/>
              <w:jc w:val="center"/>
              <w:rPr>
                <w:rFonts w:cs="Times New Roman" w:asciiTheme="minorEastAsia" w:hAnsiTheme="minorEastAsia"/>
                <w:b/>
                <w:color w:val="auto"/>
                <w:szCs w:val="21"/>
                <w:highlight w:val="none"/>
              </w:rPr>
            </w:pPr>
            <w:r>
              <w:rPr>
                <w:rFonts w:hint="eastAsia" w:cs="Times New Roman" w:asciiTheme="minorEastAsia" w:hAnsiTheme="minorEastAsia"/>
                <w:b/>
                <w:color w:val="auto"/>
                <w:szCs w:val="21"/>
                <w:highlight w:val="none"/>
              </w:rPr>
              <w:t>评分标准</w:t>
            </w:r>
          </w:p>
        </w:tc>
        <w:tc>
          <w:tcPr>
            <w:tcW w:w="885" w:type="dxa"/>
            <w:shd w:val="pct10" w:color="auto" w:fill="auto"/>
            <w:vAlign w:val="center"/>
          </w:tcPr>
          <w:p>
            <w:pPr>
              <w:spacing w:line="276" w:lineRule="auto"/>
              <w:jc w:val="center"/>
              <w:rPr>
                <w:rFonts w:cs="Times New Roman" w:asciiTheme="minorEastAsia" w:hAnsiTheme="minorEastAsia"/>
                <w:b/>
                <w:color w:val="auto"/>
                <w:szCs w:val="21"/>
                <w:highlight w:val="none"/>
              </w:rPr>
            </w:pPr>
            <w:r>
              <w:rPr>
                <w:rFonts w:hint="eastAsia" w:cs="Times New Roman" w:asciiTheme="minorEastAsia" w:hAnsiTheme="minorEastAsia"/>
                <w:b/>
                <w:color w:val="auto"/>
                <w:szCs w:val="21"/>
                <w:highlight w:val="none"/>
              </w:rPr>
              <w:t>因素</w:t>
            </w:r>
          </w:p>
          <w:p>
            <w:pPr>
              <w:spacing w:line="276" w:lineRule="auto"/>
              <w:jc w:val="center"/>
              <w:rPr>
                <w:rFonts w:cs="Times New Roman" w:asciiTheme="minorEastAsia" w:hAnsiTheme="minorEastAsia"/>
                <w:b/>
                <w:color w:val="auto"/>
                <w:szCs w:val="21"/>
                <w:highlight w:val="none"/>
              </w:rPr>
            </w:pPr>
            <w:r>
              <w:rPr>
                <w:rFonts w:hint="eastAsia" w:cs="Times New Roman" w:asciiTheme="minorEastAsia" w:hAnsiTheme="minorEastAsia"/>
                <w:b/>
                <w:color w:val="auto"/>
                <w:szCs w:val="21"/>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cs="Times New Roman"/>
                <w:b/>
                <w:color w:val="auto"/>
                <w:sz w:val="24"/>
                <w:highlight w:val="none"/>
              </w:rPr>
            </w:pPr>
          </w:p>
        </w:tc>
        <w:tc>
          <w:tcPr>
            <w:tcW w:w="1129" w:type="dxa"/>
            <w:vMerge w:val="restart"/>
            <w:vAlign w:val="center"/>
          </w:tcPr>
          <w:p>
            <w:pPr>
              <w:widowControl/>
              <w:spacing w:line="276"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标本运输及保存</w:t>
            </w:r>
          </w:p>
        </w:tc>
        <w:tc>
          <w:tcPr>
            <w:tcW w:w="697" w:type="dxa"/>
            <w:vAlign w:val="center"/>
          </w:tcPr>
          <w:p>
            <w:pPr>
              <w:widowControl/>
              <w:spacing w:line="276" w:lineRule="auto"/>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5分</w:t>
            </w:r>
          </w:p>
        </w:tc>
        <w:tc>
          <w:tcPr>
            <w:tcW w:w="6144" w:type="dxa"/>
            <w:vAlign w:val="center"/>
          </w:tcPr>
          <w:p>
            <w:pPr>
              <w:widowControl/>
              <w:spacing w:line="276" w:lineRule="auto"/>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根据</w:t>
            </w:r>
            <w:r>
              <w:rPr>
                <w:rFonts w:hint="eastAsia" w:cs="宋体" w:asciiTheme="minorEastAsia" w:hAnsiTheme="minorEastAsia"/>
                <w:color w:val="auto"/>
                <w:kern w:val="0"/>
                <w:szCs w:val="21"/>
                <w:highlight w:val="none"/>
                <w:lang w:eastAsia="zh-CN"/>
              </w:rPr>
              <w:t>供应商</w:t>
            </w:r>
            <w:r>
              <w:rPr>
                <w:rFonts w:hint="eastAsia" w:cs="宋体" w:asciiTheme="minorEastAsia" w:hAnsiTheme="minorEastAsia"/>
                <w:color w:val="auto"/>
                <w:kern w:val="0"/>
                <w:szCs w:val="21"/>
                <w:highlight w:val="none"/>
                <w:lang w:val="en-US" w:eastAsia="zh-CN"/>
              </w:rPr>
              <w:t>的</w:t>
            </w:r>
            <w:r>
              <w:rPr>
                <w:rFonts w:hint="eastAsia" w:cs="宋体" w:asciiTheme="minorEastAsia" w:hAnsiTheme="minorEastAsia"/>
                <w:color w:val="auto"/>
                <w:kern w:val="0"/>
                <w:szCs w:val="21"/>
                <w:highlight w:val="none"/>
              </w:rPr>
              <w:t>冷藏物流车辆、运输保温箱、GPS定位完整性</w:t>
            </w:r>
            <w:r>
              <w:rPr>
                <w:rFonts w:hint="eastAsia" w:cs="宋体" w:asciiTheme="minorEastAsia" w:hAnsiTheme="minorEastAsia"/>
                <w:color w:val="auto"/>
                <w:kern w:val="0"/>
                <w:szCs w:val="21"/>
                <w:highlight w:val="none"/>
                <w:lang w:val="en-US" w:eastAsia="zh-CN"/>
              </w:rPr>
              <w:t>等方面综合方案进行打分：内容详细、物资配备齐全得4-5分；内容基本完整、配备基本物资得2-3分；内容简单、物资配备不齐得1-2分；未提供则不得分。</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val="en-US" w:eastAsia="zh-CN"/>
              </w:rPr>
              <w:t>同时</w:t>
            </w:r>
            <w:r>
              <w:rPr>
                <w:rFonts w:hint="eastAsia" w:cs="宋体" w:asciiTheme="minorEastAsia" w:hAnsiTheme="minorEastAsia"/>
                <w:color w:val="auto"/>
                <w:kern w:val="0"/>
                <w:szCs w:val="21"/>
                <w:highlight w:val="none"/>
              </w:rPr>
              <w:t>提供车辆行驶证、年审记录和人员名单，车辆登记注册人须为</w:t>
            </w:r>
            <w:r>
              <w:rPr>
                <w:rFonts w:hint="eastAsia" w:cs="宋体" w:asciiTheme="minorEastAsia" w:hAnsiTheme="minorEastAsia"/>
                <w:color w:val="auto"/>
                <w:kern w:val="0"/>
                <w:szCs w:val="21"/>
                <w:highlight w:val="none"/>
                <w:lang w:val="en-US" w:eastAsia="zh-CN"/>
              </w:rPr>
              <w:t>参与投标供应商</w:t>
            </w:r>
            <w:r>
              <w:rPr>
                <w:rFonts w:hint="eastAsia" w:cs="宋体" w:asciiTheme="minorEastAsia" w:hAnsiTheme="minorEastAsia"/>
                <w:color w:val="auto"/>
                <w:kern w:val="0"/>
                <w:szCs w:val="21"/>
                <w:highlight w:val="none"/>
              </w:rPr>
              <w:t>）</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cs="Times New Roman"/>
                <w:b/>
                <w:color w:val="auto"/>
                <w:sz w:val="24"/>
                <w:highlight w:val="none"/>
              </w:rPr>
            </w:pPr>
          </w:p>
        </w:tc>
        <w:tc>
          <w:tcPr>
            <w:tcW w:w="1129" w:type="dxa"/>
            <w:vMerge w:val="continue"/>
            <w:vAlign w:val="center"/>
          </w:tcPr>
          <w:p>
            <w:pPr>
              <w:widowControl/>
              <w:spacing w:line="276" w:lineRule="auto"/>
              <w:jc w:val="center"/>
              <w:rPr>
                <w:rFonts w:cs="宋体" w:asciiTheme="minorEastAsia" w:hAnsiTheme="minorEastAsia"/>
                <w:color w:val="auto"/>
                <w:kern w:val="0"/>
                <w:szCs w:val="21"/>
                <w:highlight w:val="none"/>
              </w:rPr>
            </w:pPr>
          </w:p>
        </w:tc>
        <w:tc>
          <w:tcPr>
            <w:tcW w:w="697" w:type="dxa"/>
            <w:vAlign w:val="center"/>
          </w:tcPr>
          <w:p>
            <w:pPr>
              <w:widowControl/>
              <w:spacing w:line="276"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6分</w:t>
            </w:r>
          </w:p>
        </w:tc>
        <w:tc>
          <w:tcPr>
            <w:tcW w:w="6144" w:type="dxa"/>
            <w:vAlign w:val="center"/>
          </w:tcPr>
          <w:p>
            <w:pPr>
              <w:widowControl/>
              <w:spacing w:line="276" w:lineRule="auto"/>
              <w:jc w:val="left"/>
              <w:rPr>
                <w:rFonts w:hint="default" w:cs="宋体" w:asciiTheme="minorEastAsia" w:hAnsiTheme="minorEastAsia"/>
                <w:color w:val="auto"/>
                <w:kern w:val="0"/>
                <w:szCs w:val="21"/>
                <w:highlight w:val="none"/>
                <w:lang w:val="en-US"/>
              </w:rPr>
            </w:pPr>
            <w:r>
              <w:rPr>
                <w:rFonts w:hint="eastAsia" w:cs="宋体" w:asciiTheme="minorEastAsia" w:hAnsiTheme="minorEastAsia"/>
                <w:color w:val="auto"/>
                <w:kern w:val="0"/>
                <w:szCs w:val="21"/>
                <w:highlight w:val="none"/>
                <w:lang w:eastAsia="zh-CN"/>
              </w:rPr>
              <w:t>供应商</w:t>
            </w:r>
            <w:r>
              <w:rPr>
                <w:rFonts w:hint="eastAsia" w:cs="宋体" w:asciiTheme="minorEastAsia" w:hAnsiTheme="minorEastAsia"/>
                <w:color w:val="auto"/>
                <w:kern w:val="0"/>
                <w:szCs w:val="21"/>
                <w:highlight w:val="none"/>
              </w:rPr>
              <w:t>提供的运输应急</w:t>
            </w:r>
            <w:r>
              <w:rPr>
                <w:rFonts w:hint="eastAsia" w:cs="宋体" w:asciiTheme="minorEastAsia" w:hAnsiTheme="minorEastAsia"/>
                <w:color w:val="auto"/>
                <w:kern w:val="0"/>
                <w:szCs w:val="21"/>
                <w:highlight w:val="none"/>
                <w:lang w:val="en-US" w:eastAsia="zh-CN"/>
              </w:rPr>
              <w:t>方案</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包括</w:t>
            </w:r>
            <w:r>
              <w:rPr>
                <w:rFonts w:hint="eastAsia" w:cs="宋体" w:asciiTheme="minorEastAsia" w:hAnsiTheme="minorEastAsia"/>
                <w:color w:val="auto"/>
                <w:kern w:val="0"/>
                <w:szCs w:val="21"/>
                <w:highlight w:val="none"/>
              </w:rPr>
              <w:t>应对突发事件</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现场处理</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急救保证标本</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内容完善、安排合理有效、应对迅速、可实施性强得5-6分；方案较为全面、安排合理、有可实施性得3-4分；方案简单、安排清晰、有一定实施性得1-2分；未提供则不得分。</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cs="Times New Roman"/>
                <w:b/>
                <w:color w:val="auto"/>
                <w:sz w:val="24"/>
                <w:highlight w:val="none"/>
              </w:rPr>
            </w:pPr>
          </w:p>
        </w:tc>
        <w:tc>
          <w:tcPr>
            <w:tcW w:w="1129" w:type="dxa"/>
            <w:vMerge w:val="continue"/>
            <w:vAlign w:val="center"/>
          </w:tcPr>
          <w:p>
            <w:pPr>
              <w:widowControl/>
              <w:spacing w:line="276" w:lineRule="auto"/>
              <w:jc w:val="center"/>
              <w:rPr>
                <w:rFonts w:cs="宋体" w:asciiTheme="minorEastAsia" w:hAnsiTheme="minorEastAsia"/>
                <w:color w:val="auto"/>
                <w:kern w:val="0"/>
                <w:szCs w:val="21"/>
                <w:highlight w:val="none"/>
              </w:rPr>
            </w:pPr>
          </w:p>
        </w:tc>
        <w:tc>
          <w:tcPr>
            <w:tcW w:w="697" w:type="dxa"/>
            <w:vAlign w:val="center"/>
          </w:tcPr>
          <w:p>
            <w:pPr>
              <w:widowControl/>
              <w:spacing w:line="276"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6分</w:t>
            </w:r>
          </w:p>
        </w:tc>
        <w:tc>
          <w:tcPr>
            <w:tcW w:w="6144" w:type="dxa"/>
            <w:vAlign w:val="center"/>
          </w:tcPr>
          <w:p>
            <w:pPr>
              <w:widowControl/>
              <w:spacing w:line="276" w:lineRule="auto"/>
              <w:jc w:val="left"/>
              <w:rPr>
                <w:rFonts w:hint="default" w:cs="宋体" w:asciiTheme="minorEastAsia" w:hAnsiTheme="minorEastAsia"/>
                <w:color w:val="auto"/>
                <w:kern w:val="0"/>
                <w:szCs w:val="21"/>
                <w:highlight w:val="none"/>
                <w:lang w:val="en-US"/>
              </w:rPr>
            </w:pPr>
            <w:r>
              <w:rPr>
                <w:rFonts w:hint="eastAsia" w:cs="宋体" w:asciiTheme="minorEastAsia" w:hAnsiTheme="minorEastAsia"/>
                <w:color w:val="auto"/>
                <w:kern w:val="0"/>
                <w:szCs w:val="21"/>
                <w:highlight w:val="none"/>
                <w:lang w:eastAsia="zh-CN"/>
              </w:rPr>
              <w:t>供应商</w:t>
            </w:r>
            <w:r>
              <w:rPr>
                <w:rFonts w:hint="eastAsia" w:cs="宋体" w:asciiTheme="minorEastAsia" w:hAnsiTheme="minorEastAsia"/>
                <w:color w:val="auto"/>
                <w:kern w:val="0"/>
                <w:szCs w:val="21"/>
                <w:highlight w:val="none"/>
              </w:rPr>
              <w:t>提供</w:t>
            </w:r>
            <w:r>
              <w:rPr>
                <w:rFonts w:hint="eastAsia" w:cs="宋体" w:asciiTheme="minorEastAsia" w:hAnsiTheme="minorEastAsia"/>
                <w:color w:val="auto"/>
                <w:kern w:val="0"/>
                <w:szCs w:val="21"/>
                <w:highlight w:val="none"/>
                <w:lang w:val="en-US" w:eastAsia="zh-CN"/>
              </w:rPr>
              <w:t>的关于</w:t>
            </w:r>
            <w:r>
              <w:rPr>
                <w:rFonts w:hint="eastAsia" w:cs="宋体" w:asciiTheme="minorEastAsia" w:hAnsiTheme="minorEastAsia"/>
                <w:color w:val="auto"/>
                <w:kern w:val="0"/>
                <w:szCs w:val="21"/>
                <w:highlight w:val="none"/>
              </w:rPr>
              <w:t>物流平台专业</w:t>
            </w:r>
            <w:r>
              <w:rPr>
                <w:rFonts w:hint="eastAsia" w:cs="宋体" w:asciiTheme="minorEastAsia" w:hAnsiTheme="minorEastAsia"/>
                <w:color w:val="auto"/>
                <w:kern w:val="0"/>
                <w:szCs w:val="21"/>
                <w:highlight w:val="none"/>
                <w:lang w:val="en-US" w:eastAsia="zh-CN"/>
              </w:rPr>
              <w:t>化</w:t>
            </w:r>
            <w:r>
              <w:rPr>
                <w:rFonts w:hint="eastAsia" w:cs="宋体" w:asciiTheme="minorEastAsia" w:hAnsiTheme="minorEastAsia"/>
                <w:color w:val="auto"/>
                <w:kern w:val="0"/>
                <w:szCs w:val="21"/>
                <w:highlight w:val="none"/>
              </w:rPr>
              <w:t>、操作规范</w:t>
            </w:r>
            <w:r>
              <w:rPr>
                <w:rFonts w:hint="eastAsia" w:cs="宋体" w:asciiTheme="minorEastAsia" w:hAnsiTheme="minorEastAsia"/>
                <w:color w:val="auto"/>
                <w:kern w:val="0"/>
                <w:szCs w:val="21"/>
                <w:highlight w:val="none"/>
                <w:lang w:val="en-US" w:eastAsia="zh-CN"/>
              </w:rPr>
              <w:t>化</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特急标本优先加急方案</w:t>
            </w:r>
            <w:r>
              <w:rPr>
                <w:rFonts w:hint="eastAsia" w:cs="宋体" w:asciiTheme="minorEastAsia" w:hAnsiTheme="minorEastAsia"/>
                <w:color w:val="auto"/>
                <w:kern w:val="0"/>
                <w:szCs w:val="21"/>
                <w:highlight w:val="none"/>
                <w:lang w:val="en-US" w:eastAsia="zh-CN"/>
              </w:rPr>
              <w:t>内容</w:t>
            </w:r>
            <w:r>
              <w:rPr>
                <w:rFonts w:hint="eastAsia" w:cs="宋体" w:asciiTheme="minorEastAsia" w:hAnsiTheme="minorEastAsia"/>
                <w:color w:val="auto"/>
                <w:kern w:val="0"/>
                <w:szCs w:val="21"/>
                <w:highlight w:val="none"/>
              </w:rPr>
              <w:t>全面</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保障措施</w:t>
            </w:r>
            <w:r>
              <w:rPr>
                <w:rFonts w:hint="eastAsia" w:cs="宋体" w:asciiTheme="minorEastAsia" w:hAnsiTheme="minorEastAsia"/>
                <w:color w:val="auto"/>
                <w:kern w:val="0"/>
                <w:szCs w:val="21"/>
                <w:highlight w:val="none"/>
                <w:lang w:val="en-US" w:eastAsia="zh-CN"/>
              </w:rPr>
              <w:t>完善、针对性强得5-6分；方案内容基本完整、有保障措施得3-4分；方案内容简单、有基本保障措施得1-2分；未提供则不得分。</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cs="Times New Roman"/>
                <w:b/>
                <w:color w:val="auto"/>
                <w:sz w:val="24"/>
                <w:highlight w:val="none"/>
              </w:rPr>
            </w:pPr>
          </w:p>
        </w:tc>
        <w:tc>
          <w:tcPr>
            <w:tcW w:w="1129" w:type="dxa"/>
            <w:vAlign w:val="center"/>
          </w:tcPr>
          <w:p>
            <w:pPr>
              <w:widowControl/>
              <w:spacing w:line="276"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室间质评</w:t>
            </w:r>
          </w:p>
        </w:tc>
        <w:tc>
          <w:tcPr>
            <w:tcW w:w="697" w:type="dxa"/>
            <w:vAlign w:val="center"/>
          </w:tcPr>
          <w:p>
            <w:pPr>
              <w:widowControl/>
              <w:spacing w:line="276"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w:t>
            </w:r>
            <w:r>
              <w:rPr>
                <w:rFonts w:hint="eastAsia" w:ascii="宋体" w:hAnsi="宋体" w:cs="宋体"/>
                <w:color w:val="auto"/>
                <w:kern w:val="0"/>
                <w:szCs w:val="21"/>
                <w:highlight w:val="none"/>
              </w:rPr>
              <w:t>分</w:t>
            </w:r>
          </w:p>
        </w:tc>
        <w:tc>
          <w:tcPr>
            <w:tcW w:w="6144" w:type="dxa"/>
            <w:vAlign w:val="center"/>
          </w:tcPr>
          <w:p>
            <w:pPr>
              <w:widowControl/>
              <w:spacing w:line="276" w:lineRule="auto"/>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供应商拟投入本项目的实验室2017年-2019年获得实验室室间质评证书</w:t>
            </w:r>
            <w:r>
              <w:rPr>
                <w:rFonts w:hint="eastAsia" w:cs="宋体" w:asciiTheme="minorEastAsia" w:hAnsiTheme="minorEastAsia"/>
                <w:color w:val="auto"/>
                <w:kern w:val="0"/>
                <w:szCs w:val="21"/>
                <w:highlight w:val="none"/>
                <w:lang w:val="en-US" w:eastAsia="zh-CN"/>
              </w:rPr>
              <w:t>，每提供一年得2分；此项最高的6分</w:t>
            </w:r>
            <w:r>
              <w:rPr>
                <w:rFonts w:hint="eastAsia" w:cs="宋体" w:asciiTheme="minorEastAsia" w:hAnsiTheme="minorEastAsia"/>
                <w:color w:val="auto"/>
                <w:kern w:val="0"/>
                <w:szCs w:val="21"/>
                <w:highlight w:val="none"/>
              </w:rPr>
              <w:t>。(提供证书)。</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27" w:type="dxa"/>
            <w:vMerge w:val="continue"/>
            <w:vAlign w:val="center"/>
          </w:tcPr>
          <w:p>
            <w:pPr>
              <w:tabs>
                <w:tab w:val="left" w:pos="322"/>
              </w:tabs>
              <w:spacing w:line="360" w:lineRule="auto"/>
              <w:ind w:left="-42" w:right="-42" w:rightChars="-20"/>
              <w:jc w:val="right"/>
              <w:rPr>
                <w:rFonts w:ascii="宋体" w:hAnsi="宋体" w:cs="Times New Roman"/>
                <w:b/>
                <w:color w:val="auto"/>
                <w:sz w:val="24"/>
                <w:highlight w:val="none"/>
              </w:rPr>
            </w:pPr>
          </w:p>
        </w:tc>
        <w:tc>
          <w:tcPr>
            <w:tcW w:w="1129" w:type="dxa"/>
            <w:vAlign w:val="center"/>
          </w:tcPr>
          <w:p>
            <w:pPr>
              <w:widowControl/>
              <w:spacing w:line="276"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专职人员配备</w:t>
            </w:r>
          </w:p>
        </w:tc>
        <w:tc>
          <w:tcPr>
            <w:tcW w:w="697" w:type="dxa"/>
            <w:vAlign w:val="center"/>
          </w:tcPr>
          <w:p>
            <w:pPr>
              <w:widowControl/>
              <w:spacing w:line="276"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w:t>
            </w:r>
            <w:r>
              <w:rPr>
                <w:rFonts w:hint="eastAsia" w:ascii="宋体" w:hAnsi="宋体" w:cs="宋体"/>
                <w:color w:val="auto"/>
                <w:kern w:val="0"/>
                <w:szCs w:val="21"/>
                <w:highlight w:val="none"/>
              </w:rPr>
              <w:t>分</w:t>
            </w:r>
          </w:p>
        </w:tc>
        <w:tc>
          <w:tcPr>
            <w:tcW w:w="6144" w:type="dxa"/>
            <w:vAlign w:val="center"/>
          </w:tcPr>
          <w:p>
            <w:pPr>
              <w:widowControl/>
              <w:spacing w:line="276" w:lineRule="auto"/>
              <w:jc w:val="left"/>
              <w:rPr>
                <w:rFonts w:hint="eastAsia"/>
                <w:color w:val="auto"/>
                <w:highlight w:val="none"/>
              </w:rPr>
            </w:pPr>
            <w:r>
              <w:rPr>
                <w:rFonts w:hint="eastAsia"/>
                <w:color w:val="auto"/>
                <w:highlight w:val="none"/>
                <w:lang w:val="en-US" w:eastAsia="zh-CN"/>
              </w:rPr>
              <w:t>1.供应商</w:t>
            </w:r>
            <w:r>
              <w:rPr>
                <w:rFonts w:hint="eastAsia"/>
                <w:color w:val="auto"/>
                <w:highlight w:val="none"/>
              </w:rPr>
              <w:t>具有检验专业卫生技术</w:t>
            </w:r>
            <w:r>
              <w:rPr>
                <w:rFonts w:hint="eastAsia"/>
                <w:color w:val="auto"/>
                <w:highlight w:val="none"/>
                <w:lang w:val="en-US" w:eastAsia="zh-CN"/>
              </w:rPr>
              <w:t>中级及以上</w:t>
            </w:r>
            <w:r>
              <w:rPr>
                <w:rFonts w:hint="eastAsia"/>
                <w:color w:val="auto"/>
                <w:highlight w:val="none"/>
              </w:rPr>
              <w:t>人员</w:t>
            </w:r>
            <w:r>
              <w:rPr>
                <w:rFonts w:hint="eastAsia"/>
                <w:color w:val="auto"/>
                <w:highlight w:val="none"/>
                <w:lang w:val="en-US" w:eastAsia="zh-CN"/>
              </w:rPr>
              <w:t>，每提供1人得1分；中级以下每提供1人得0.5分；本项最高得5分；未提供则不得分。</w:t>
            </w:r>
            <w:r>
              <w:rPr>
                <w:rFonts w:hint="eastAsia"/>
                <w:color w:val="auto"/>
                <w:highlight w:val="none"/>
              </w:rPr>
              <w:t>（提供证书、劳动合同）</w:t>
            </w:r>
          </w:p>
          <w:p>
            <w:pPr>
              <w:widowControl/>
              <w:spacing w:line="276" w:lineRule="auto"/>
              <w:jc w:val="left"/>
              <w:rPr>
                <w:rFonts w:hint="eastAsia"/>
                <w:color w:val="auto"/>
                <w:highlight w:val="none"/>
              </w:rPr>
            </w:pPr>
            <w:r>
              <w:rPr>
                <w:rFonts w:hint="eastAsia"/>
                <w:color w:val="auto"/>
                <w:highlight w:val="none"/>
                <w:lang w:val="en-US" w:eastAsia="zh-CN"/>
              </w:rPr>
              <w:t>2.供应商</w:t>
            </w:r>
            <w:r>
              <w:rPr>
                <w:rFonts w:hint="eastAsia"/>
                <w:color w:val="auto"/>
                <w:highlight w:val="none"/>
              </w:rPr>
              <w:t>具有</w:t>
            </w:r>
            <w:r>
              <w:rPr>
                <w:rFonts w:hint="eastAsia"/>
                <w:color w:val="auto"/>
                <w:highlight w:val="none"/>
                <w:lang w:val="en-US" w:eastAsia="zh-CN"/>
              </w:rPr>
              <w:t>高级</w:t>
            </w:r>
            <w:r>
              <w:rPr>
                <w:rFonts w:hint="eastAsia"/>
                <w:color w:val="auto"/>
                <w:highlight w:val="none"/>
              </w:rPr>
              <w:t>专业技术类别执业医师</w:t>
            </w:r>
            <w:r>
              <w:rPr>
                <w:rFonts w:hint="eastAsia"/>
                <w:color w:val="auto"/>
                <w:highlight w:val="none"/>
                <w:lang w:val="en-US" w:eastAsia="zh-CN"/>
              </w:rPr>
              <w:t>每提供1人得1分；具有初、中级</w:t>
            </w:r>
            <w:r>
              <w:rPr>
                <w:rFonts w:hint="eastAsia"/>
                <w:color w:val="auto"/>
                <w:highlight w:val="none"/>
              </w:rPr>
              <w:t>专业技术类别执业医师</w:t>
            </w:r>
            <w:r>
              <w:rPr>
                <w:rFonts w:hint="eastAsia"/>
                <w:color w:val="auto"/>
                <w:highlight w:val="none"/>
                <w:lang w:val="en-US" w:eastAsia="zh-CN"/>
              </w:rPr>
              <w:t>每提供1人得0.5分；本项最高得3分。</w:t>
            </w:r>
            <w:r>
              <w:rPr>
                <w:rFonts w:hint="eastAsia"/>
                <w:color w:val="auto"/>
                <w:highlight w:val="none"/>
              </w:rPr>
              <w:t>（提供相应执业证书及职称证书、劳动合同）</w:t>
            </w:r>
          </w:p>
          <w:p>
            <w:pPr>
              <w:widowControl/>
              <w:spacing w:line="276" w:lineRule="auto"/>
              <w:jc w:val="left"/>
              <w:rPr>
                <w:rFonts w:hint="eastAsia"/>
                <w:color w:val="auto"/>
                <w:highlight w:val="none"/>
              </w:rPr>
            </w:pPr>
            <w:r>
              <w:rPr>
                <w:rFonts w:hint="eastAsia"/>
                <w:color w:val="auto"/>
                <w:highlight w:val="none"/>
                <w:lang w:val="en-US" w:eastAsia="zh-CN"/>
              </w:rPr>
              <w:t>3.供应商具有</w:t>
            </w:r>
            <w:r>
              <w:rPr>
                <w:rFonts w:hint="eastAsia"/>
                <w:color w:val="auto"/>
                <w:highlight w:val="none"/>
              </w:rPr>
              <w:t>当地配送人员</w:t>
            </w:r>
            <w:r>
              <w:rPr>
                <w:rFonts w:hint="eastAsia"/>
                <w:color w:val="auto"/>
                <w:highlight w:val="none"/>
                <w:lang w:val="en-US" w:eastAsia="zh-CN"/>
              </w:rPr>
              <w:t>每提供1人得1分，此项最高得2分</w:t>
            </w:r>
            <w:r>
              <w:rPr>
                <w:rFonts w:hint="eastAsia"/>
                <w:color w:val="auto"/>
                <w:highlight w:val="none"/>
              </w:rPr>
              <w:t>。（</w:t>
            </w:r>
            <w:r>
              <w:rPr>
                <w:rFonts w:hint="eastAsia"/>
                <w:color w:val="auto"/>
                <w:highlight w:val="none"/>
                <w:lang w:val="en-US" w:eastAsia="zh-CN"/>
              </w:rPr>
              <w:t>提供</w:t>
            </w:r>
            <w:r>
              <w:rPr>
                <w:rFonts w:hint="eastAsia"/>
                <w:color w:val="auto"/>
                <w:highlight w:val="none"/>
              </w:rPr>
              <w:t>人员劳动合同及</w:t>
            </w:r>
            <w:r>
              <w:rPr>
                <w:rFonts w:hint="eastAsia"/>
                <w:color w:val="auto"/>
                <w:highlight w:val="none"/>
                <w:lang w:val="en-US" w:eastAsia="zh-CN"/>
              </w:rPr>
              <w:t>2020年5~6月社保证明材料</w:t>
            </w:r>
            <w:r>
              <w:rPr>
                <w:rFonts w:hint="eastAsia"/>
                <w:color w:val="auto"/>
                <w:highlight w:val="none"/>
              </w:rPr>
              <w:t>）</w:t>
            </w:r>
          </w:p>
          <w:p>
            <w:pPr>
              <w:bidi w:val="0"/>
              <w:rPr>
                <w:color w:val="auto"/>
                <w:highlight w:val="none"/>
              </w:rPr>
            </w:pPr>
            <w:r>
              <w:rPr>
                <w:rFonts w:hint="eastAsia"/>
                <w:b/>
                <w:bCs/>
                <w:color w:val="auto"/>
                <w:highlight w:val="none"/>
              </w:rPr>
              <w:t>本项累计得分最高不超过</w:t>
            </w:r>
            <w:r>
              <w:rPr>
                <w:rFonts w:hint="eastAsia"/>
                <w:b/>
                <w:bCs/>
                <w:color w:val="auto"/>
                <w:highlight w:val="none"/>
                <w:lang w:val="en-US" w:eastAsia="zh-CN"/>
              </w:rPr>
              <w:t>10</w:t>
            </w:r>
            <w:r>
              <w:rPr>
                <w:rFonts w:hint="eastAsia"/>
                <w:b/>
                <w:bCs/>
                <w:color w:val="auto"/>
                <w:highlight w:val="none"/>
              </w:rPr>
              <w:t>分</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cs="Times New Roman"/>
                <w:b/>
                <w:color w:val="auto"/>
                <w:sz w:val="24"/>
                <w:highlight w:val="none"/>
              </w:rPr>
            </w:pPr>
          </w:p>
        </w:tc>
        <w:tc>
          <w:tcPr>
            <w:tcW w:w="1129" w:type="dxa"/>
            <w:vAlign w:val="center"/>
          </w:tcPr>
          <w:p>
            <w:pPr>
              <w:widowControl/>
              <w:spacing w:line="276"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系统对接</w:t>
            </w:r>
          </w:p>
        </w:tc>
        <w:tc>
          <w:tcPr>
            <w:tcW w:w="697" w:type="dxa"/>
            <w:vAlign w:val="center"/>
          </w:tcPr>
          <w:p>
            <w:pPr>
              <w:widowControl/>
              <w:spacing w:line="276"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8</w:t>
            </w:r>
            <w:r>
              <w:rPr>
                <w:rFonts w:hint="eastAsia" w:ascii="宋体" w:hAnsi="宋体" w:cs="宋体"/>
                <w:color w:val="auto"/>
                <w:kern w:val="0"/>
                <w:szCs w:val="21"/>
                <w:highlight w:val="none"/>
              </w:rPr>
              <w:t>分</w:t>
            </w:r>
          </w:p>
        </w:tc>
        <w:tc>
          <w:tcPr>
            <w:tcW w:w="6144" w:type="dxa"/>
            <w:vAlign w:val="center"/>
          </w:tcPr>
          <w:p>
            <w:pPr>
              <w:widowControl/>
              <w:spacing w:line="276" w:lineRule="auto"/>
              <w:jc w:val="left"/>
              <w:rPr>
                <w:rFonts w:hint="eastAsia"/>
                <w:color w:val="auto"/>
                <w:highlight w:val="none"/>
                <w:lang w:eastAsia="zh-CN"/>
              </w:rPr>
            </w:pPr>
            <w:r>
              <w:rPr>
                <w:rFonts w:hint="eastAsia"/>
                <w:color w:val="auto"/>
                <w:highlight w:val="none"/>
                <w:lang w:val="en-US" w:eastAsia="zh-CN"/>
              </w:rPr>
              <w:t>1.供应商能承诺提供</w:t>
            </w:r>
            <w:r>
              <w:rPr>
                <w:rFonts w:hint="eastAsia"/>
                <w:color w:val="auto"/>
                <w:highlight w:val="none"/>
              </w:rPr>
              <w:t>在医院网络打印具有法律效应的报告单</w:t>
            </w:r>
            <w:r>
              <w:rPr>
                <w:rFonts w:hint="eastAsia"/>
                <w:color w:val="auto"/>
                <w:highlight w:val="none"/>
                <w:lang w:val="en-US" w:eastAsia="zh-CN"/>
              </w:rPr>
              <w:t>得</w:t>
            </w:r>
            <w:r>
              <w:rPr>
                <w:rFonts w:hint="eastAsia"/>
                <w:color w:val="auto"/>
                <w:highlight w:val="none"/>
              </w:rPr>
              <w:t>2分</w:t>
            </w:r>
            <w:r>
              <w:rPr>
                <w:rFonts w:hint="eastAsia"/>
                <w:color w:val="auto"/>
                <w:highlight w:val="none"/>
                <w:lang w:eastAsia="zh-CN"/>
              </w:rPr>
              <w:t>。</w:t>
            </w:r>
          </w:p>
          <w:p>
            <w:pPr>
              <w:widowControl/>
              <w:spacing w:line="276" w:lineRule="auto"/>
              <w:jc w:val="left"/>
              <w:rPr>
                <w:rFonts w:hint="eastAsia"/>
                <w:color w:val="auto"/>
                <w:highlight w:val="none"/>
                <w:lang w:eastAsia="zh-CN"/>
              </w:rPr>
            </w:pPr>
            <w:r>
              <w:rPr>
                <w:rFonts w:hint="eastAsia"/>
                <w:color w:val="auto"/>
                <w:highlight w:val="none"/>
                <w:lang w:val="en-US" w:eastAsia="zh-CN"/>
              </w:rPr>
              <w:t>2.供应商能承诺</w:t>
            </w:r>
            <w:r>
              <w:rPr>
                <w:rFonts w:hint="eastAsia"/>
                <w:color w:val="auto"/>
                <w:highlight w:val="none"/>
              </w:rPr>
              <w:t>提供医院信息化接口对接及硬件设备</w:t>
            </w:r>
            <w:r>
              <w:rPr>
                <w:rFonts w:hint="eastAsia"/>
                <w:color w:val="auto"/>
                <w:highlight w:val="none"/>
                <w:lang w:val="en-US" w:eastAsia="zh-CN"/>
              </w:rPr>
              <w:t>得</w:t>
            </w:r>
            <w:r>
              <w:rPr>
                <w:rFonts w:hint="eastAsia"/>
                <w:color w:val="auto"/>
                <w:highlight w:val="none"/>
              </w:rPr>
              <w:t>2分</w:t>
            </w:r>
            <w:r>
              <w:rPr>
                <w:rFonts w:hint="eastAsia"/>
                <w:color w:val="auto"/>
                <w:highlight w:val="none"/>
                <w:lang w:eastAsia="zh-CN"/>
              </w:rPr>
              <w:t>。</w:t>
            </w:r>
          </w:p>
          <w:p>
            <w:pPr>
              <w:widowControl/>
              <w:spacing w:line="276" w:lineRule="auto"/>
              <w:jc w:val="left"/>
              <w:rPr>
                <w:rFonts w:hint="eastAsia"/>
                <w:color w:val="auto"/>
                <w:highlight w:val="none"/>
                <w:lang w:eastAsia="zh-CN"/>
              </w:rPr>
            </w:pPr>
            <w:r>
              <w:rPr>
                <w:rFonts w:hint="eastAsia"/>
                <w:color w:val="auto"/>
                <w:highlight w:val="none"/>
                <w:lang w:val="en-US" w:eastAsia="zh-CN"/>
              </w:rPr>
              <w:t>3.供应商能承诺</w:t>
            </w:r>
            <w:r>
              <w:rPr>
                <w:rFonts w:hint="eastAsia"/>
                <w:color w:val="auto"/>
                <w:highlight w:val="none"/>
              </w:rPr>
              <w:t>完成与医院LIS系统与HIS系统的对</w:t>
            </w:r>
            <w:r>
              <w:rPr>
                <w:rFonts w:hint="eastAsia"/>
                <w:color w:val="auto"/>
                <w:highlight w:val="none"/>
                <w:lang w:val="en-US" w:eastAsia="zh-CN"/>
              </w:rPr>
              <w:t>接得</w:t>
            </w:r>
            <w:r>
              <w:rPr>
                <w:rFonts w:hint="eastAsia"/>
                <w:color w:val="auto"/>
                <w:highlight w:val="none"/>
              </w:rPr>
              <w:t>4分</w:t>
            </w:r>
            <w:r>
              <w:rPr>
                <w:rFonts w:hint="eastAsia"/>
                <w:color w:val="auto"/>
                <w:highlight w:val="none"/>
                <w:lang w:eastAsia="zh-CN"/>
              </w:rPr>
              <w:t>。</w:t>
            </w:r>
          </w:p>
          <w:p>
            <w:pPr>
              <w:bidi w:val="0"/>
              <w:rPr>
                <w:rFonts w:hint="eastAsia"/>
                <w:color w:val="auto"/>
                <w:highlight w:val="none"/>
                <w:lang w:eastAsia="zh-CN"/>
              </w:rPr>
            </w:pPr>
            <w:r>
              <w:rPr>
                <w:rFonts w:hint="eastAsia"/>
                <w:b/>
                <w:bCs/>
                <w:color w:val="auto"/>
                <w:highlight w:val="none"/>
              </w:rPr>
              <w:t>本项累计得分最高不超过</w:t>
            </w:r>
            <w:r>
              <w:rPr>
                <w:rFonts w:hint="eastAsia"/>
                <w:b/>
                <w:bCs/>
                <w:color w:val="auto"/>
                <w:highlight w:val="none"/>
                <w:lang w:val="en-US" w:eastAsia="zh-CN"/>
              </w:rPr>
              <w:t>8</w:t>
            </w:r>
            <w:r>
              <w:rPr>
                <w:rFonts w:hint="eastAsia"/>
                <w:b/>
                <w:bCs/>
                <w:color w:val="auto"/>
                <w:highlight w:val="none"/>
              </w:rPr>
              <w:t>分</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cs="Times New Roman"/>
                <w:b/>
                <w:color w:val="auto"/>
                <w:sz w:val="24"/>
                <w:highlight w:val="none"/>
              </w:rPr>
            </w:pPr>
          </w:p>
        </w:tc>
        <w:tc>
          <w:tcPr>
            <w:tcW w:w="1129" w:type="dxa"/>
            <w:vAlign w:val="center"/>
          </w:tcPr>
          <w:p>
            <w:pPr>
              <w:widowControl/>
              <w:spacing w:line="276"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报告时效</w:t>
            </w:r>
          </w:p>
        </w:tc>
        <w:tc>
          <w:tcPr>
            <w:tcW w:w="697" w:type="dxa"/>
            <w:vAlign w:val="center"/>
          </w:tcPr>
          <w:p>
            <w:pPr>
              <w:widowControl/>
              <w:spacing w:line="276" w:lineRule="auto"/>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w:t>
            </w:r>
            <w:r>
              <w:rPr>
                <w:rFonts w:hint="eastAsia" w:ascii="宋体" w:hAnsi="宋体" w:cs="宋体"/>
                <w:color w:val="auto"/>
                <w:kern w:val="0"/>
                <w:szCs w:val="21"/>
                <w:highlight w:val="none"/>
              </w:rPr>
              <w:t>分</w:t>
            </w:r>
          </w:p>
        </w:tc>
        <w:tc>
          <w:tcPr>
            <w:tcW w:w="6144" w:type="dxa"/>
            <w:vAlign w:val="center"/>
          </w:tcPr>
          <w:p>
            <w:pPr>
              <w:widowControl/>
              <w:spacing w:line="276" w:lineRule="auto"/>
              <w:jc w:val="left"/>
              <w:rPr>
                <w:rFonts w:hint="eastAsia"/>
                <w:color w:val="auto"/>
                <w:highlight w:val="none"/>
              </w:rPr>
            </w:pPr>
            <w:r>
              <w:rPr>
                <w:rFonts w:hint="eastAsia"/>
                <w:color w:val="auto"/>
                <w:highlight w:val="none"/>
                <w:lang w:val="en-US" w:eastAsia="zh-CN"/>
              </w:rPr>
              <w:t>1.供应商具备出具</w:t>
            </w:r>
            <w:r>
              <w:rPr>
                <w:rFonts w:hint="eastAsia"/>
                <w:color w:val="auto"/>
                <w:highlight w:val="none"/>
              </w:rPr>
              <w:t>检测临床报告</w:t>
            </w:r>
            <w:r>
              <w:rPr>
                <w:rFonts w:hint="eastAsia"/>
                <w:color w:val="auto"/>
                <w:highlight w:val="none"/>
                <w:lang w:val="en-US" w:eastAsia="zh-CN"/>
              </w:rPr>
              <w:t>相关技术</w:t>
            </w:r>
            <w:r>
              <w:rPr>
                <w:rFonts w:hint="eastAsia"/>
                <w:color w:val="auto"/>
                <w:highlight w:val="none"/>
              </w:rPr>
              <w:t>，</w:t>
            </w:r>
            <w:r>
              <w:rPr>
                <w:rFonts w:hint="eastAsia"/>
                <w:color w:val="auto"/>
                <w:highlight w:val="none"/>
                <w:lang w:val="en-US" w:eastAsia="zh-CN"/>
              </w:rPr>
              <w:t>并</w:t>
            </w:r>
            <w:r>
              <w:rPr>
                <w:rFonts w:hint="eastAsia"/>
                <w:color w:val="auto"/>
                <w:highlight w:val="none"/>
              </w:rPr>
              <w:t>以书面报告形式告知受检者得5分。（提供承诺函</w:t>
            </w:r>
            <w:r>
              <w:rPr>
                <w:rFonts w:hint="eastAsia"/>
                <w:color w:val="auto"/>
                <w:highlight w:val="none"/>
                <w:lang w:eastAsia="zh-CN"/>
              </w:rPr>
              <w:t>、</w:t>
            </w:r>
            <w:r>
              <w:rPr>
                <w:rFonts w:hint="eastAsia"/>
                <w:color w:val="auto"/>
                <w:highlight w:val="none"/>
              </w:rPr>
              <w:t>书面报告）</w:t>
            </w:r>
          </w:p>
          <w:p>
            <w:pPr>
              <w:widowControl/>
              <w:spacing w:line="276" w:lineRule="auto"/>
              <w:jc w:val="left"/>
              <w:rPr>
                <w:rFonts w:hint="eastAsia"/>
                <w:color w:val="auto"/>
                <w:highlight w:val="none"/>
              </w:rPr>
            </w:pPr>
            <w:r>
              <w:rPr>
                <w:rFonts w:hint="eastAsia"/>
                <w:color w:val="auto"/>
                <w:highlight w:val="none"/>
                <w:lang w:val="en-US" w:eastAsia="zh-CN"/>
              </w:rPr>
              <w:t>2.</w:t>
            </w:r>
            <w:r>
              <w:rPr>
                <w:rFonts w:hint="eastAsia"/>
                <w:color w:val="auto"/>
                <w:highlight w:val="none"/>
              </w:rPr>
              <w:t>根据</w:t>
            </w:r>
            <w:r>
              <w:rPr>
                <w:rFonts w:hint="eastAsia"/>
                <w:color w:val="auto"/>
                <w:highlight w:val="none"/>
                <w:lang w:val="en-US" w:eastAsia="zh-CN"/>
              </w:rPr>
              <w:t>供应商</w:t>
            </w:r>
            <w:r>
              <w:rPr>
                <w:rFonts w:hint="eastAsia"/>
                <w:color w:val="auto"/>
                <w:highlight w:val="none"/>
              </w:rPr>
              <w:t>出具</w:t>
            </w:r>
            <w:r>
              <w:rPr>
                <w:rFonts w:hint="eastAsia"/>
                <w:color w:val="auto"/>
                <w:highlight w:val="none"/>
                <w:lang w:val="en-US" w:eastAsia="zh-CN"/>
              </w:rPr>
              <w:t>的</w:t>
            </w:r>
            <w:r>
              <w:rPr>
                <w:rFonts w:hint="eastAsia"/>
                <w:color w:val="auto"/>
                <w:highlight w:val="none"/>
              </w:rPr>
              <w:t>检测结果报告单</w:t>
            </w:r>
            <w:r>
              <w:rPr>
                <w:rFonts w:hint="eastAsia"/>
                <w:color w:val="auto"/>
                <w:highlight w:val="none"/>
                <w:lang w:val="en-US" w:eastAsia="zh-CN"/>
              </w:rPr>
              <w:t>进行</w:t>
            </w:r>
            <w:r>
              <w:rPr>
                <w:rFonts w:hint="eastAsia"/>
                <w:color w:val="auto"/>
                <w:highlight w:val="none"/>
              </w:rPr>
              <w:t>打分</w:t>
            </w:r>
            <w:r>
              <w:rPr>
                <w:rFonts w:hint="eastAsia"/>
                <w:color w:val="auto"/>
                <w:highlight w:val="none"/>
                <w:lang w:eastAsia="zh-CN"/>
              </w:rPr>
              <w:t>：</w:t>
            </w:r>
            <w:r>
              <w:rPr>
                <w:rFonts w:hint="eastAsia"/>
                <w:color w:val="auto"/>
                <w:highlight w:val="none"/>
                <w:lang w:val="en-US" w:eastAsia="zh-CN"/>
              </w:rPr>
              <w:t>报告内容完整、时效性强得3-4分；报告内容完整、有一定时效性得1-2；报告内容基本完整、时效性较差得0-0.5分</w:t>
            </w:r>
            <w:r>
              <w:rPr>
                <w:rFonts w:hint="eastAsia"/>
                <w:color w:val="auto"/>
                <w:highlight w:val="none"/>
              </w:rPr>
              <w:t>。（提供承诺函</w:t>
            </w:r>
            <w:r>
              <w:rPr>
                <w:rFonts w:hint="eastAsia"/>
                <w:color w:val="auto"/>
                <w:highlight w:val="none"/>
                <w:lang w:eastAsia="zh-CN"/>
              </w:rPr>
              <w:t>、</w:t>
            </w:r>
            <w:r>
              <w:rPr>
                <w:rFonts w:hint="eastAsia"/>
                <w:color w:val="auto"/>
                <w:highlight w:val="none"/>
              </w:rPr>
              <w:t>书面报告）</w:t>
            </w:r>
          </w:p>
          <w:p>
            <w:pPr>
              <w:bidi w:val="0"/>
              <w:rPr>
                <w:color w:val="auto"/>
                <w:highlight w:val="none"/>
              </w:rPr>
            </w:pPr>
            <w:r>
              <w:rPr>
                <w:rFonts w:hint="eastAsia"/>
                <w:b/>
                <w:bCs/>
                <w:color w:val="auto"/>
                <w:highlight w:val="none"/>
              </w:rPr>
              <w:t>本项累计得分最高不超过</w:t>
            </w:r>
            <w:r>
              <w:rPr>
                <w:rFonts w:hint="eastAsia"/>
                <w:b/>
                <w:bCs/>
                <w:color w:val="auto"/>
                <w:highlight w:val="none"/>
                <w:lang w:val="en-US" w:eastAsia="zh-CN"/>
              </w:rPr>
              <w:t>9</w:t>
            </w:r>
            <w:r>
              <w:rPr>
                <w:rFonts w:hint="eastAsia"/>
                <w:b/>
                <w:bCs/>
                <w:color w:val="auto"/>
                <w:highlight w:val="none"/>
              </w:rPr>
              <w:t>分</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cs="Times New Roman"/>
                <w:b/>
                <w:color w:val="auto"/>
                <w:sz w:val="24"/>
                <w:highlight w:val="none"/>
              </w:rPr>
            </w:pPr>
          </w:p>
        </w:tc>
        <w:tc>
          <w:tcPr>
            <w:tcW w:w="1129" w:type="dxa"/>
            <w:vAlign w:val="center"/>
          </w:tcPr>
          <w:p>
            <w:pPr>
              <w:spacing w:line="276" w:lineRule="auto"/>
              <w:jc w:val="center"/>
              <w:rPr>
                <w:rFonts w:asciiTheme="minorEastAsia" w:hAnsiTheme="minorEastAsia"/>
                <w:color w:val="auto"/>
                <w:szCs w:val="21"/>
                <w:highlight w:val="none"/>
              </w:rPr>
            </w:pPr>
            <w:r>
              <w:rPr>
                <w:rFonts w:asciiTheme="minorEastAsia" w:hAnsiTheme="minorEastAsia"/>
                <w:color w:val="auto"/>
                <w:szCs w:val="21"/>
                <w:highlight w:val="none"/>
              </w:rPr>
              <w:t>技术响应</w:t>
            </w:r>
          </w:p>
        </w:tc>
        <w:tc>
          <w:tcPr>
            <w:tcW w:w="697" w:type="dxa"/>
            <w:vAlign w:val="center"/>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10</w:t>
            </w:r>
            <w:r>
              <w:rPr>
                <w:rFonts w:hint="eastAsia" w:ascii="宋体" w:hAnsi="宋体" w:cs="宋体"/>
                <w:color w:val="auto"/>
                <w:kern w:val="0"/>
                <w:szCs w:val="21"/>
                <w:highlight w:val="none"/>
              </w:rPr>
              <w:t>分</w:t>
            </w:r>
          </w:p>
        </w:tc>
        <w:tc>
          <w:tcPr>
            <w:tcW w:w="6144" w:type="dxa"/>
            <w:vAlign w:val="center"/>
          </w:tcPr>
          <w:p>
            <w:pPr>
              <w:spacing w:line="276" w:lineRule="auto"/>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1.</w:t>
            </w:r>
            <w:r>
              <w:rPr>
                <w:rFonts w:asciiTheme="minorEastAsia" w:hAnsiTheme="minorEastAsia"/>
                <w:color w:val="auto"/>
                <w:kern w:val="0"/>
                <w:szCs w:val="21"/>
                <w:highlight w:val="none"/>
              </w:rPr>
              <w:t>完全满足用户的要求，并有优于用户</w:t>
            </w:r>
            <w:r>
              <w:rPr>
                <w:rFonts w:hint="eastAsia" w:asciiTheme="minorEastAsia" w:hAnsiTheme="minorEastAsia"/>
                <w:color w:val="auto"/>
                <w:kern w:val="0"/>
                <w:szCs w:val="21"/>
                <w:highlight w:val="none"/>
              </w:rPr>
              <w:t>的</w:t>
            </w:r>
            <w:r>
              <w:rPr>
                <w:rFonts w:asciiTheme="minorEastAsia" w:hAnsiTheme="minorEastAsia"/>
                <w:color w:val="auto"/>
                <w:kern w:val="0"/>
                <w:szCs w:val="21"/>
                <w:highlight w:val="none"/>
              </w:rPr>
              <w:t>技术参数，且能详细描述</w:t>
            </w:r>
            <w:r>
              <w:rPr>
                <w:rFonts w:hint="eastAsia" w:asciiTheme="minorEastAsia" w:hAnsiTheme="minorEastAsia"/>
                <w:color w:val="auto"/>
                <w:kern w:val="0"/>
                <w:szCs w:val="21"/>
                <w:highlight w:val="none"/>
              </w:rPr>
              <w:t>，</w:t>
            </w:r>
            <w:r>
              <w:rPr>
                <w:rFonts w:asciiTheme="minorEastAsia" w:hAnsiTheme="minorEastAsia"/>
                <w:color w:val="auto"/>
                <w:kern w:val="0"/>
                <w:szCs w:val="21"/>
                <w:highlight w:val="none"/>
              </w:rPr>
              <w:t>综合评价最优</w:t>
            </w:r>
            <w:r>
              <w:rPr>
                <w:rFonts w:hint="eastAsia" w:asciiTheme="minorEastAsia" w:hAnsiTheme="minorEastAsia"/>
                <w:color w:val="auto"/>
                <w:kern w:val="0"/>
                <w:szCs w:val="21"/>
                <w:highlight w:val="none"/>
              </w:rPr>
              <w:t>的得10分。</w:t>
            </w:r>
          </w:p>
          <w:p>
            <w:pPr>
              <w:spacing w:line="276" w:lineRule="auto"/>
              <w:rPr>
                <w:rFonts w:asciiTheme="minorEastAsia" w:hAnsiTheme="minorEastAsia"/>
                <w:b/>
                <w:color w:val="auto"/>
                <w:szCs w:val="21"/>
                <w:highlight w:val="none"/>
              </w:rPr>
            </w:pPr>
            <w:r>
              <w:rPr>
                <w:rFonts w:hint="eastAsia" w:asciiTheme="minorEastAsia" w:hAnsiTheme="minorEastAsia"/>
                <w:color w:val="auto"/>
                <w:kern w:val="0"/>
                <w:szCs w:val="21"/>
                <w:highlight w:val="none"/>
              </w:rPr>
              <w:t>2.对于磋商</w:t>
            </w:r>
            <w:r>
              <w:rPr>
                <w:rFonts w:asciiTheme="minorEastAsia" w:hAnsiTheme="minorEastAsia"/>
                <w:color w:val="auto"/>
                <w:kern w:val="0"/>
                <w:szCs w:val="21"/>
                <w:highlight w:val="none"/>
              </w:rPr>
              <w:t>文件的</w:t>
            </w:r>
            <w:r>
              <w:rPr>
                <w:rFonts w:hint="eastAsia" w:asciiTheme="minorEastAsia" w:hAnsiTheme="minorEastAsia"/>
                <w:color w:val="auto"/>
                <w:kern w:val="0"/>
                <w:szCs w:val="21"/>
                <w:highlight w:val="none"/>
              </w:rPr>
              <w:t>技术要求</w:t>
            </w:r>
            <w:r>
              <w:rPr>
                <w:rFonts w:asciiTheme="minorEastAsia" w:hAnsiTheme="minorEastAsia"/>
                <w:color w:val="auto"/>
                <w:kern w:val="0"/>
                <w:szCs w:val="21"/>
                <w:highlight w:val="none"/>
              </w:rPr>
              <w:t>，全部满足的</w:t>
            </w:r>
            <w:r>
              <w:rPr>
                <w:rFonts w:hint="eastAsia" w:asciiTheme="minorEastAsia" w:hAnsiTheme="minorEastAsia"/>
                <w:color w:val="auto"/>
                <w:kern w:val="0"/>
                <w:szCs w:val="21"/>
                <w:highlight w:val="none"/>
              </w:rPr>
              <w:t>得</w:t>
            </w:r>
            <w:r>
              <w:rPr>
                <w:rFonts w:asciiTheme="minorEastAsia" w:hAnsiTheme="minorEastAsia"/>
                <w:color w:val="auto"/>
                <w:kern w:val="0"/>
                <w:szCs w:val="21"/>
                <w:highlight w:val="none"/>
              </w:rPr>
              <w:t>基本分</w:t>
            </w:r>
            <w:r>
              <w:rPr>
                <w:rFonts w:hint="eastAsia" w:asciiTheme="minorEastAsia" w:hAnsiTheme="minorEastAsia"/>
                <w:color w:val="auto"/>
                <w:kern w:val="0"/>
                <w:szCs w:val="21"/>
                <w:highlight w:val="none"/>
              </w:rPr>
              <w:t>10分。一般条款</w:t>
            </w:r>
            <w:r>
              <w:rPr>
                <w:rFonts w:asciiTheme="minorEastAsia" w:hAnsiTheme="minorEastAsia"/>
                <w:color w:val="auto"/>
                <w:kern w:val="0"/>
                <w:szCs w:val="21"/>
                <w:highlight w:val="none"/>
              </w:rPr>
              <w:t>不满足的每条扣</w:t>
            </w:r>
            <w:r>
              <w:rPr>
                <w:rFonts w:hint="eastAsia" w:asciiTheme="minorEastAsia" w:hAnsiTheme="minorEastAsia"/>
                <w:color w:val="auto"/>
                <w:kern w:val="0"/>
                <w:szCs w:val="21"/>
                <w:highlight w:val="none"/>
              </w:rPr>
              <w:t>2分</w:t>
            </w:r>
            <w:r>
              <w:rPr>
                <w:rFonts w:asciiTheme="minorEastAsia" w:hAnsiTheme="minorEastAsia"/>
                <w:color w:val="auto"/>
                <w:kern w:val="0"/>
                <w:szCs w:val="21"/>
                <w:highlight w:val="none"/>
              </w:rPr>
              <w:t>，</w:t>
            </w:r>
            <w:r>
              <w:rPr>
                <w:rFonts w:hint="eastAsia" w:asciiTheme="minorEastAsia" w:hAnsiTheme="minorEastAsia"/>
                <w:color w:val="auto"/>
                <w:kern w:val="0"/>
                <w:szCs w:val="21"/>
                <w:highlight w:val="none"/>
              </w:rPr>
              <w:t>扣完为止。</w:t>
            </w:r>
          </w:p>
        </w:tc>
        <w:tc>
          <w:tcPr>
            <w:tcW w:w="885" w:type="dxa"/>
            <w:vAlign w:val="center"/>
          </w:tcPr>
          <w:p>
            <w:pPr>
              <w:spacing w:line="276" w:lineRule="auto"/>
              <w:ind w:left="-65" w:leftChars="-31" w:right="-36" w:rightChars="-17"/>
              <w:jc w:val="right"/>
              <w:rPr>
                <w:rFonts w:cs="Times New Roman" w:asciiTheme="minorEastAsia" w:hAnsi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276" w:lineRule="auto"/>
              <w:ind w:left="-48" w:leftChars="-23" w:right="-36" w:rightChars="-17"/>
              <w:jc w:val="center"/>
              <w:rPr>
                <w:rFonts w:cs="Times New Roman" w:asciiTheme="minorEastAsia" w:hAnsiTheme="minorEastAsia"/>
                <w:b/>
                <w:color w:val="auto"/>
                <w:szCs w:val="21"/>
                <w:highlight w:val="none"/>
              </w:rPr>
            </w:pPr>
            <w:r>
              <w:rPr>
                <w:rFonts w:hint="eastAsia" w:cs="Times New Roman" w:asciiTheme="minorEastAsia" w:hAnsiTheme="minorEastAsia"/>
                <w:b/>
                <w:color w:val="auto"/>
                <w:szCs w:val="21"/>
                <w:highlight w:val="none"/>
              </w:rPr>
              <w:t>技术分合计</w:t>
            </w:r>
          </w:p>
        </w:tc>
        <w:tc>
          <w:tcPr>
            <w:tcW w:w="7029" w:type="dxa"/>
            <w:gridSpan w:val="2"/>
            <w:vAlign w:val="center"/>
          </w:tcPr>
          <w:p>
            <w:pPr>
              <w:tabs>
                <w:tab w:val="left" w:pos="2295"/>
              </w:tabs>
              <w:spacing w:line="276" w:lineRule="auto"/>
              <w:ind w:left="-65" w:leftChars="-31" w:right="-36" w:rightChars="-17"/>
              <w:jc w:val="left"/>
              <w:rPr>
                <w:rFonts w:cs="Times New Roman" w:asciiTheme="minorEastAsia" w:hAnsiTheme="minorEastAsia"/>
                <w:b/>
                <w:color w:val="auto"/>
                <w:szCs w:val="21"/>
                <w:highlight w:val="none"/>
              </w:rPr>
            </w:pPr>
            <w:r>
              <w:rPr>
                <w:rFonts w:hint="eastAsia" w:cs="Times New Roman" w:asciiTheme="minorEastAsia" w:hAnsiTheme="minorEastAsia"/>
                <w:b/>
                <w:color w:val="auto"/>
                <w:szCs w:val="21"/>
                <w:highlight w:val="none"/>
              </w:rPr>
              <w:tab/>
            </w:r>
            <w:r>
              <w:rPr>
                <w:rFonts w:hint="eastAsia" w:cs="Times New Roman" w:asciiTheme="minorEastAsia" w:hAnsiTheme="minorEastAsia"/>
                <w:b/>
                <w:color w:val="auto"/>
                <w:szCs w:val="21"/>
                <w:highlight w:val="none"/>
                <w:lang w:val="en-US" w:eastAsia="zh-CN"/>
              </w:rPr>
              <w:t>60</w:t>
            </w:r>
            <w:r>
              <w:rPr>
                <w:rFonts w:hint="eastAsia" w:cs="Times New Roman" w:asciiTheme="minorEastAsia" w:hAnsiTheme="minorEastAsia"/>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6" w:type="dxa"/>
            <w:gridSpan w:val="2"/>
            <w:vAlign w:val="center"/>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价格评议</w:t>
            </w:r>
          </w:p>
        </w:tc>
        <w:tc>
          <w:tcPr>
            <w:tcW w:w="697" w:type="dxa"/>
            <w:vAlign w:val="center"/>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lang w:val="en-US" w:eastAsia="zh-CN"/>
              </w:rPr>
              <w:t>20</w:t>
            </w:r>
            <w:r>
              <w:rPr>
                <w:rFonts w:hint="eastAsia" w:asciiTheme="minorEastAsia" w:hAnsiTheme="minorEastAsia"/>
                <w:color w:val="auto"/>
                <w:szCs w:val="21"/>
                <w:highlight w:val="none"/>
              </w:rPr>
              <w:t>分</w:t>
            </w:r>
          </w:p>
        </w:tc>
        <w:tc>
          <w:tcPr>
            <w:tcW w:w="7029" w:type="dxa"/>
            <w:gridSpan w:val="2"/>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满足磋商文件要求且投标价格最低的投标报价为评标基准价，价格分按照下列公式计算：投标报价得分=（评标基准价/投标报价）×价格权值。计算时按四舍五入后保留小数点后两位小数。为保证</w:t>
            </w:r>
            <w:r>
              <w:rPr>
                <w:rFonts w:hint="eastAsia" w:asciiTheme="minorEastAsia" w:hAnsiTheme="minorEastAsia"/>
                <w:color w:val="auto"/>
                <w:szCs w:val="21"/>
                <w:highlight w:val="none"/>
                <w:lang w:val="en-US" w:eastAsia="zh-CN"/>
              </w:rPr>
              <w:t>服务</w:t>
            </w:r>
            <w:r>
              <w:rPr>
                <w:rFonts w:hint="eastAsia" w:asciiTheme="minorEastAsia" w:hAnsiTheme="minorEastAsia"/>
                <w:color w:val="auto"/>
                <w:szCs w:val="21"/>
                <w:highlight w:val="none"/>
              </w:rPr>
              <w:t>质量</w:t>
            </w:r>
            <w:r>
              <w:rPr>
                <w:rFonts w:hint="eastAsia" w:asciiTheme="minorEastAsia" w:hAnsiTheme="minorEastAsia"/>
                <w:color w:val="auto"/>
                <w:szCs w:val="21"/>
                <w:highlight w:val="none"/>
                <w:lang w:eastAsia="zh-CN"/>
              </w:rPr>
              <w:t>，</w:t>
            </w:r>
            <w:r>
              <w:rPr>
                <w:rFonts w:hint="eastAsia" w:asciiTheme="minorEastAsia" w:hAnsiTheme="minorEastAsia"/>
                <w:color w:val="auto"/>
                <w:szCs w:val="21"/>
                <w:highlight w:val="none"/>
              </w:rPr>
              <w:t>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6" w:rightChars="-17"/>
              <w:jc w:val="center"/>
              <w:rPr>
                <w:rFonts w:ascii="宋体" w:hAnsi="宋体" w:cs="Times New Roman"/>
                <w:b/>
                <w:color w:val="auto"/>
                <w:sz w:val="24"/>
                <w:highlight w:val="none"/>
              </w:rPr>
            </w:pPr>
            <w:r>
              <w:rPr>
                <w:rFonts w:hint="eastAsia" w:ascii="宋体" w:hAnsi="宋体" w:cs="Times New Roman"/>
                <w:b/>
                <w:color w:val="auto"/>
                <w:kern w:val="0"/>
                <w:sz w:val="24"/>
                <w:szCs w:val="24"/>
                <w:highlight w:val="none"/>
              </w:rPr>
              <w:t>报价分合计</w:t>
            </w:r>
          </w:p>
        </w:tc>
        <w:tc>
          <w:tcPr>
            <w:tcW w:w="7029" w:type="dxa"/>
            <w:gridSpan w:val="2"/>
            <w:vAlign w:val="center"/>
          </w:tcPr>
          <w:p>
            <w:pPr>
              <w:spacing w:line="360" w:lineRule="auto"/>
              <w:ind w:left="-65" w:leftChars="-31" w:right="-36" w:rightChars="-17"/>
              <w:jc w:val="center"/>
              <w:rPr>
                <w:rFonts w:ascii="宋体" w:hAnsi="宋体" w:cs="Times New Roman"/>
                <w:b/>
                <w:color w:val="auto"/>
                <w:szCs w:val="21"/>
                <w:highlight w:val="none"/>
              </w:rPr>
            </w:pPr>
            <w:r>
              <w:rPr>
                <w:rFonts w:hint="eastAsia" w:ascii="宋体" w:hAnsi="宋体" w:cs="Times New Roman"/>
                <w:b/>
                <w:color w:val="auto"/>
                <w:szCs w:val="21"/>
                <w:highlight w:val="none"/>
                <w:lang w:val="en-US" w:eastAsia="zh-CN"/>
              </w:rPr>
              <w:t>2</w:t>
            </w:r>
            <w:r>
              <w:rPr>
                <w:rFonts w:hint="eastAsia" w:ascii="宋体" w:hAnsi="宋体" w:cs="Times New Roman"/>
                <w:b/>
                <w:color w:val="auto"/>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6" w:rightChars="-17"/>
              <w:jc w:val="center"/>
              <w:rPr>
                <w:rFonts w:ascii="宋体" w:hAnsi="宋体" w:cs="Times New Roman"/>
                <w:b/>
                <w:color w:val="auto"/>
                <w:sz w:val="24"/>
                <w:highlight w:val="none"/>
              </w:rPr>
            </w:pPr>
            <w:r>
              <w:rPr>
                <w:rFonts w:hint="eastAsia" w:ascii="宋体" w:hAnsi="宋体" w:cs="Times New Roman"/>
                <w:b/>
                <w:color w:val="auto"/>
                <w:kern w:val="0"/>
                <w:sz w:val="24"/>
                <w:szCs w:val="24"/>
                <w:highlight w:val="none"/>
              </w:rPr>
              <w:t>得分总计</w:t>
            </w:r>
          </w:p>
        </w:tc>
        <w:tc>
          <w:tcPr>
            <w:tcW w:w="7029" w:type="dxa"/>
            <w:gridSpan w:val="2"/>
            <w:vAlign w:val="center"/>
          </w:tcPr>
          <w:p>
            <w:pPr>
              <w:tabs>
                <w:tab w:val="left" w:pos="6225"/>
              </w:tabs>
              <w:spacing w:line="360" w:lineRule="auto"/>
              <w:ind w:left="-65" w:leftChars="-31" w:right="-36" w:rightChars="-17"/>
              <w:jc w:val="center"/>
              <w:rPr>
                <w:rFonts w:ascii="宋体" w:hAnsi="宋体" w:cs="Times New Roman"/>
                <w:b/>
                <w:color w:val="auto"/>
                <w:szCs w:val="21"/>
                <w:highlight w:val="none"/>
              </w:rPr>
            </w:pPr>
            <w:r>
              <w:rPr>
                <w:rFonts w:hint="eastAsia" w:ascii="宋体" w:hAnsi="宋体" w:cs="Times New Roman"/>
                <w:b/>
                <w:color w:val="auto"/>
                <w:szCs w:val="21"/>
                <w:highlight w:val="none"/>
              </w:rPr>
              <w:t>100分</w:t>
            </w:r>
          </w:p>
        </w:tc>
      </w:tr>
    </w:tbl>
    <w:p>
      <w:pPr>
        <w:pStyle w:val="4"/>
        <w:rPr>
          <w:rFonts w:hint="eastAsia" w:hAnsi="宋体" w:cs="宋体"/>
          <w:sz w:val="24"/>
          <w:szCs w:val="24"/>
          <w:highlight w:val="none"/>
        </w:rPr>
      </w:pPr>
      <w:r>
        <w:rPr>
          <w:rFonts w:hint="eastAsia" w:hAnsi="宋体" w:cs="宋体"/>
          <w:sz w:val="24"/>
          <w:szCs w:val="24"/>
          <w:highlight w:val="none"/>
        </w:rPr>
        <w:t>备注：</w:t>
      </w:r>
      <w:r>
        <w:rPr>
          <w:rFonts w:hint="eastAsia" w:hAnsi="宋体" w:cs="宋体"/>
          <w:sz w:val="24"/>
          <w:szCs w:val="24"/>
          <w:highlight w:val="none"/>
          <w:lang w:val="en-US" w:eastAsia="zh-CN"/>
        </w:rPr>
        <w:t>1.</w:t>
      </w:r>
      <w:r>
        <w:rPr>
          <w:rFonts w:hint="eastAsia" w:hAnsi="宋体" w:cs="宋体"/>
          <w:sz w:val="24"/>
          <w:szCs w:val="24"/>
          <w:highlight w:val="none"/>
        </w:rPr>
        <w:t>以上所有须提供的证件、证书、有关资料等供应商都须提供原始资料的真彩扫描打印件供专家评委评审，否则不得分。供应商投标时须认真对待、如实应标。凡提供虚假材料谋取中标的，一经查实，根据《政府采购法》第七十七条之规定，将对供应商处以罚款、列入不良行为记录名单、依法追究刑事责任等。</w:t>
      </w:r>
    </w:p>
    <w:p>
      <w:pPr>
        <w:pStyle w:val="4"/>
        <w:rPr>
          <w:rFonts w:hint="eastAsia" w:hAnsi="宋体" w:cs="宋体"/>
          <w:sz w:val="24"/>
          <w:szCs w:val="24"/>
          <w:highlight w:val="none"/>
          <w:lang w:val="en-US" w:eastAsia="zh-CN"/>
        </w:rPr>
      </w:pPr>
      <w:r>
        <w:rPr>
          <w:rFonts w:hint="eastAsia" w:hAnsi="宋体" w:cs="宋体"/>
          <w:sz w:val="24"/>
          <w:szCs w:val="24"/>
          <w:highlight w:val="none"/>
          <w:lang w:val="en-US" w:eastAsia="zh-CN"/>
        </w:rPr>
        <w:t>2.</w:t>
      </w:r>
      <w:r>
        <w:rPr>
          <w:rFonts w:hint="eastAsia" w:hAnsi="宋体" w:cs="宋体"/>
          <w:sz w:val="24"/>
          <w:szCs w:val="24"/>
          <w:highlight w:val="none"/>
        </w:rPr>
        <w:t>本项目的各种收费标准按照</w:t>
      </w:r>
      <w:r>
        <w:rPr>
          <w:rFonts w:hint="eastAsia" w:hAnsi="宋体" w:cs="宋体"/>
          <w:sz w:val="24"/>
          <w:szCs w:val="24"/>
          <w:highlight w:val="none"/>
          <w:lang w:val="en-US" w:eastAsia="zh-CN"/>
        </w:rPr>
        <w:t>黄石</w:t>
      </w:r>
      <w:r>
        <w:rPr>
          <w:rFonts w:hint="eastAsia" w:hAnsi="宋体" w:cs="宋体"/>
          <w:sz w:val="24"/>
          <w:szCs w:val="24"/>
          <w:highlight w:val="none"/>
        </w:rPr>
        <w:t>市</w:t>
      </w:r>
      <w:r>
        <w:rPr>
          <w:rFonts w:hint="eastAsia" w:asciiTheme="minorEastAsia" w:hAnsiTheme="minorEastAsia"/>
          <w:color w:val="000000"/>
          <w:sz w:val="24"/>
          <w:szCs w:val="24"/>
          <w:highlight w:val="none"/>
          <w:lang w:val="en-US" w:eastAsia="zh-CN"/>
        </w:rPr>
        <w:t>公立医院</w:t>
      </w:r>
      <w:r>
        <w:rPr>
          <w:rFonts w:hint="eastAsia" w:asciiTheme="minorEastAsia" w:hAnsiTheme="minorEastAsia"/>
          <w:color w:val="000000"/>
          <w:sz w:val="24"/>
          <w:szCs w:val="24"/>
          <w:highlight w:val="none"/>
        </w:rPr>
        <w:t>医疗服务价格标准执行</w:t>
      </w:r>
      <w:r>
        <w:rPr>
          <w:rFonts w:hint="eastAsia" w:hAnsi="宋体" w:cs="宋体"/>
          <w:sz w:val="24"/>
          <w:szCs w:val="24"/>
          <w:highlight w:val="none"/>
        </w:rPr>
        <w:t>，</w:t>
      </w:r>
      <w:r>
        <w:rPr>
          <w:rFonts w:hint="eastAsia" w:hAnsi="宋体" w:cs="宋体"/>
          <w:sz w:val="24"/>
          <w:szCs w:val="24"/>
          <w:highlight w:val="none"/>
        </w:rPr>
        <w:t>由</w:t>
      </w:r>
      <w:r>
        <w:rPr>
          <w:rFonts w:hint="eastAsia" w:hAnsi="宋体" w:cs="宋体"/>
          <w:sz w:val="24"/>
          <w:szCs w:val="24"/>
          <w:highlight w:val="none"/>
          <w:lang w:val="en-US" w:eastAsia="zh-CN"/>
        </w:rPr>
        <w:t>采购</w:t>
      </w:r>
      <w:r>
        <w:rPr>
          <w:rFonts w:hint="eastAsia" w:hAnsi="宋体" w:cs="宋体"/>
          <w:sz w:val="24"/>
          <w:szCs w:val="24"/>
          <w:highlight w:val="none"/>
        </w:rPr>
        <w:t>人向患者收取，</w:t>
      </w:r>
      <w:r>
        <w:rPr>
          <w:rFonts w:hint="eastAsia" w:hAnsi="宋体" w:cs="宋体"/>
          <w:sz w:val="24"/>
          <w:szCs w:val="24"/>
          <w:highlight w:val="none"/>
        </w:rPr>
        <w:t>该价格为不可竞争价格。</w:t>
      </w:r>
      <w:r>
        <w:rPr>
          <w:rFonts w:hint="eastAsia" w:hAnsi="宋体" w:cs="宋体"/>
          <w:sz w:val="24"/>
          <w:szCs w:val="24"/>
          <w:highlight w:val="none"/>
          <w:lang w:val="en-US" w:eastAsia="zh-CN"/>
        </w:rPr>
        <w:t>供应商</w:t>
      </w:r>
      <w:r>
        <w:rPr>
          <w:rFonts w:hint="eastAsia" w:hAnsi="宋体" w:cs="宋体"/>
          <w:sz w:val="24"/>
          <w:szCs w:val="24"/>
          <w:highlight w:val="none"/>
        </w:rPr>
        <w:t>的报价只需报由</w:t>
      </w:r>
      <w:r>
        <w:rPr>
          <w:rFonts w:hint="eastAsia" w:hAnsi="宋体" w:cs="宋体"/>
          <w:sz w:val="24"/>
          <w:szCs w:val="24"/>
          <w:highlight w:val="none"/>
          <w:lang w:val="en-US" w:eastAsia="zh-CN"/>
        </w:rPr>
        <w:t>供应商</w:t>
      </w:r>
      <w:r>
        <w:rPr>
          <w:rFonts w:hint="eastAsia" w:hAnsi="宋体" w:cs="宋体"/>
          <w:sz w:val="24"/>
          <w:szCs w:val="24"/>
          <w:highlight w:val="none"/>
        </w:rPr>
        <w:t>收取的检测费占政府指导标准价的比例（</w:t>
      </w:r>
      <w:r>
        <w:rPr>
          <w:rFonts w:hint="eastAsia" w:hAnsi="宋体" w:cs="宋体"/>
          <w:sz w:val="24"/>
          <w:szCs w:val="24"/>
          <w:highlight w:val="none"/>
          <w:lang w:val="en-US" w:eastAsia="zh-CN"/>
        </w:rPr>
        <w:t>优惠率</w:t>
      </w:r>
      <w:r>
        <w:rPr>
          <w:rFonts w:hint="eastAsia" w:hAnsi="宋体" w:cs="宋体"/>
          <w:sz w:val="24"/>
          <w:szCs w:val="24"/>
          <w:highlight w:val="none"/>
        </w:rPr>
        <w:t>（%）计算公式</w:t>
      </w:r>
      <w:r>
        <w:rPr>
          <w:rFonts w:hint="eastAsia" w:hAnsi="宋体" w:cs="宋体"/>
          <w:sz w:val="24"/>
          <w:szCs w:val="24"/>
          <w:highlight w:val="none"/>
          <w:lang w:val="en-US" w:eastAsia="zh-CN"/>
        </w:rPr>
        <w:t>＝</w:t>
      </w:r>
      <w:r>
        <w:rPr>
          <w:rFonts w:hint="eastAsia" w:hAnsi="宋体" w:cs="宋体"/>
          <w:sz w:val="24"/>
          <w:szCs w:val="24"/>
          <w:highlight w:val="none"/>
        </w:rPr>
        <w:t>检测费/政府指导标准价*100%），该收费比率所形成的价格为可竞争价格。其检测费为所有检测人工费、差旅费、检测设备使用费、试剂耗材费及税费在内所有费用。无论</w:t>
      </w:r>
      <w:r>
        <w:rPr>
          <w:rFonts w:hint="eastAsia" w:hAnsi="宋体" w:cs="宋体"/>
          <w:sz w:val="24"/>
          <w:szCs w:val="24"/>
          <w:highlight w:val="none"/>
          <w:lang w:val="en-US" w:eastAsia="zh-CN"/>
        </w:rPr>
        <w:t>采购</w:t>
      </w:r>
      <w:r>
        <w:rPr>
          <w:rFonts w:hint="eastAsia" w:hAnsi="宋体" w:cs="宋体"/>
          <w:sz w:val="24"/>
          <w:szCs w:val="24"/>
          <w:highlight w:val="none"/>
        </w:rPr>
        <w:t>人的采购批量、配送费用存在何种差别，只允许有一个</w:t>
      </w:r>
      <w:r>
        <w:rPr>
          <w:rFonts w:hint="eastAsia" w:hAnsi="宋体" w:cs="宋体"/>
          <w:sz w:val="24"/>
          <w:szCs w:val="24"/>
          <w:highlight w:val="none"/>
          <w:lang w:val="en-US" w:eastAsia="zh-CN"/>
        </w:rPr>
        <w:t>优惠</w:t>
      </w:r>
      <w:r>
        <w:rPr>
          <w:rFonts w:hint="eastAsia" w:hAnsi="宋体" w:cs="宋体"/>
          <w:sz w:val="24"/>
          <w:szCs w:val="24"/>
          <w:highlight w:val="none"/>
        </w:rPr>
        <w:t>率报价，任何有选择的报价将不予接受。</w:t>
      </w:r>
    </w:p>
    <w:p>
      <w:pPr>
        <w:spacing w:line="360" w:lineRule="auto"/>
        <w:rPr>
          <w:sz w:val="24"/>
          <w:szCs w:val="24"/>
          <w:highlight w:val="none"/>
        </w:rPr>
      </w:pPr>
      <w:r>
        <w:rPr>
          <w:rFonts w:hint="eastAsia"/>
          <w:sz w:val="24"/>
          <w:szCs w:val="24"/>
          <w:highlight w:val="none"/>
        </w:rPr>
        <w:br w:type="page"/>
      </w:r>
    </w:p>
    <w:p>
      <w:pPr>
        <w:jc w:val="center"/>
        <w:rPr>
          <w:sz w:val="32"/>
          <w:szCs w:val="32"/>
          <w:highlight w:val="none"/>
        </w:rPr>
      </w:pPr>
      <w:r>
        <w:rPr>
          <w:rFonts w:hint="eastAsia"/>
          <w:sz w:val="32"/>
          <w:szCs w:val="32"/>
          <w:highlight w:val="none"/>
        </w:rPr>
        <w:t>供应商报名表</w:t>
      </w:r>
    </w:p>
    <w:p>
      <w:pPr>
        <w:rPr>
          <w:sz w:val="24"/>
          <w:szCs w:val="24"/>
          <w:highlight w:val="none"/>
        </w:rPr>
      </w:pPr>
      <w:r>
        <w:rPr>
          <w:rFonts w:hint="eastAsia"/>
          <w:sz w:val="24"/>
          <w:szCs w:val="24"/>
          <w:highlight w:val="none"/>
        </w:rPr>
        <w:t>项目编号：</w:t>
      </w:r>
      <w:r>
        <w:rPr>
          <w:sz w:val="24"/>
          <w:szCs w:val="24"/>
          <w:highlight w:val="none"/>
          <w:u w:val="single"/>
        </w:rPr>
        <w:t xml:space="preserve">                </w:t>
      </w:r>
    </w:p>
    <w:p>
      <w:pPr>
        <w:rPr>
          <w:sz w:val="24"/>
          <w:szCs w:val="24"/>
          <w:highlight w:val="none"/>
        </w:rPr>
      </w:pPr>
      <w:r>
        <w:rPr>
          <w:rFonts w:hint="eastAsia"/>
          <w:sz w:val="24"/>
          <w:szCs w:val="24"/>
          <w:highlight w:val="none"/>
        </w:rPr>
        <w:t>项目名称：</w:t>
      </w:r>
      <w:r>
        <w:rPr>
          <w:sz w:val="24"/>
          <w:szCs w:val="24"/>
          <w:highlight w:val="none"/>
        </w:rPr>
        <w:t xml:space="preserve">  </w:t>
      </w:r>
      <w:r>
        <w:rPr>
          <w:sz w:val="24"/>
          <w:szCs w:val="24"/>
          <w:highlight w:val="none"/>
          <w:u w:val="single"/>
        </w:rPr>
        <w:t xml:space="preserve">                </w:t>
      </w:r>
      <w:r>
        <w:rPr>
          <w:sz w:val="24"/>
          <w:szCs w:val="24"/>
          <w:highlight w:val="none"/>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4"/>
                <w:szCs w:val="24"/>
                <w:highlight w:val="none"/>
              </w:rPr>
            </w:pPr>
            <w:r>
              <w:rPr>
                <w:rFonts w:hint="eastAsia" w:ascii="宋体" w:hAnsi="宋体" w:cs="宋体"/>
                <w:kern w:val="0"/>
                <w:sz w:val="24"/>
                <w:szCs w:val="24"/>
                <w:highlight w:val="none"/>
              </w:rPr>
              <w:t>供应商名称（盖章）</w:t>
            </w:r>
          </w:p>
        </w:tc>
        <w:tc>
          <w:tcPr>
            <w:tcW w:w="6288" w:type="dxa"/>
            <w:vAlign w:val="center"/>
          </w:tcPr>
          <w:p>
            <w:pPr>
              <w:widowControl/>
              <w:spacing w:before="100" w:beforeAutospacing="1" w:after="100" w:afterAutospacing="1"/>
              <w:jc w:val="left"/>
              <w:rPr>
                <w:rFonts w:ascii="宋体" w:cs="宋体"/>
                <w:kern w:val="0"/>
                <w:sz w:val="24"/>
                <w:szCs w:val="24"/>
                <w:highlight w:val="none"/>
              </w:rPr>
            </w:pPr>
            <w:r>
              <w:rPr>
                <w:rFonts w:ascii="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4"/>
                <w:szCs w:val="24"/>
                <w:highlight w:val="none"/>
              </w:rPr>
            </w:pPr>
            <w:r>
              <w:rPr>
                <w:rFonts w:hint="eastAsia" w:ascii="宋体" w:hAnsi="宋体" w:cs="宋体"/>
                <w:kern w:val="0"/>
                <w:sz w:val="24"/>
                <w:szCs w:val="24"/>
                <w:highlight w:val="none"/>
              </w:rPr>
              <w:t>联系人姓名</w:t>
            </w:r>
          </w:p>
        </w:tc>
        <w:tc>
          <w:tcPr>
            <w:tcW w:w="6288" w:type="dxa"/>
            <w:vAlign w:val="center"/>
          </w:tcPr>
          <w:p>
            <w:pPr>
              <w:widowControl/>
              <w:spacing w:before="100" w:beforeAutospacing="1" w:after="100" w:afterAutospacing="1"/>
              <w:jc w:val="left"/>
              <w:rPr>
                <w:rFonts w:ascii="宋体" w:cs="宋体"/>
                <w:kern w:val="0"/>
                <w:sz w:val="24"/>
                <w:szCs w:val="24"/>
                <w:highlight w:val="none"/>
              </w:rPr>
            </w:pPr>
            <w:r>
              <w:rPr>
                <w:rFonts w:ascii="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4"/>
                <w:szCs w:val="24"/>
                <w:highlight w:val="none"/>
              </w:rPr>
            </w:pPr>
            <w:r>
              <w:rPr>
                <w:rFonts w:hint="eastAsia" w:ascii="宋体" w:hAnsi="宋体" w:cs="宋体"/>
                <w:kern w:val="0"/>
                <w:sz w:val="24"/>
                <w:szCs w:val="24"/>
                <w:highlight w:val="none"/>
              </w:rPr>
              <w:t>联系人电话（办公电话和手机）</w:t>
            </w:r>
          </w:p>
        </w:tc>
        <w:tc>
          <w:tcPr>
            <w:tcW w:w="6288" w:type="dxa"/>
            <w:vAlign w:val="center"/>
          </w:tcPr>
          <w:p>
            <w:pPr>
              <w:widowControl/>
              <w:spacing w:before="100" w:beforeAutospacing="1" w:after="100" w:afterAutospacing="1"/>
              <w:jc w:val="left"/>
              <w:rPr>
                <w:rFonts w:ascii="宋体" w:cs="宋体"/>
                <w:kern w:val="0"/>
                <w:sz w:val="24"/>
                <w:szCs w:val="24"/>
                <w:highlight w:val="none"/>
              </w:rPr>
            </w:pPr>
            <w:r>
              <w:rPr>
                <w:rFonts w:ascii="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spacing w:before="100" w:beforeAutospacing="1" w:after="100" w:afterAutospacing="1"/>
              <w:jc w:val="left"/>
              <w:rPr>
                <w:rFonts w:ascii="宋体" w:cs="宋体"/>
                <w:kern w:val="0"/>
                <w:sz w:val="24"/>
                <w:szCs w:val="24"/>
                <w:highlight w:val="none"/>
              </w:rPr>
            </w:pPr>
            <w:r>
              <w:rPr>
                <w:rFonts w:hint="eastAsia" w:ascii="宋体" w:hAnsi="宋体" w:cs="宋体"/>
                <w:kern w:val="0"/>
                <w:sz w:val="24"/>
                <w:szCs w:val="24"/>
                <w:highlight w:val="none"/>
              </w:rPr>
              <w:t>联系人邮箱</w:t>
            </w:r>
          </w:p>
        </w:tc>
        <w:tc>
          <w:tcPr>
            <w:tcW w:w="6288" w:type="dxa"/>
            <w:vAlign w:val="center"/>
          </w:tcPr>
          <w:p>
            <w:pPr>
              <w:widowControl/>
              <w:spacing w:before="100" w:beforeAutospacing="1" w:after="100" w:afterAutospacing="1"/>
              <w:jc w:val="left"/>
              <w:rPr>
                <w:rFonts w:ascii="宋体" w:cs="宋体"/>
                <w:kern w:val="0"/>
                <w:sz w:val="24"/>
                <w:szCs w:val="24"/>
                <w:highlight w:val="none"/>
              </w:rPr>
            </w:pPr>
            <w:r>
              <w:rPr>
                <w:rFonts w:ascii="宋体" w:cs="宋体"/>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restart"/>
            <w:vAlign w:val="center"/>
          </w:tcPr>
          <w:p>
            <w:pPr>
              <w:widowControl/>
              <w:spacing w:before="100" w:beforeAutospacing="1" w:after="100" w:afterAutospacing="1"/>
              <w:jc w:val="left"/>
              <w:rPr>
                <w:rFonts w:ascii="宋体" w:cs="宋体"/>
                <w:kern w:val="0"/>
                <w:sz w:val="24"/>
                <w:szCs w:val="24"/>
                <w:highlight w:val="none"/>
              </w:rPr>
            </w:pPr>
            <w:r>
              <w:rPr>
                <w:rFonts w:hint="eastAsia" w:ascii="宋体" w:hAnsi="宋体" w:cs="宋体"/>
                <w:kern w:val="0"/>
                <w:sz w:val="24"/>
                <w:szCs w:val="24"/>
                <w:highlight w:val="none"/>
              </w:rPr>
              <w:t>供应商提供的</w:t>
            </w:r>
          </w:p>
          <w:p>
            <w:pPr>
              <w:widowControl/>
              <w:spacing w:before="100" w:beforeAutospacing="1" w:after="100" w:afterAutospacing="1"/>
              <w:jc w:val="left"/>
              <w:rPr>
                <w:rFonts w:ascii="宋体" w:cs="宋体"/>
                <w:kern w:val="0"/>
                <w:sz w:val="24"/>
                <w:szCs w:val="24"/>
                <w:highlight w:val="none"/>
              </w:rPr>
            </w:pPr>
            <w:r>
              <w:rPr>
                <w:rFonts w:hint="eastAsia" w:ascii="宋体" w:hAnsi="宋体" w:cs="宋体"/>
                <w:kern w:val="0"/>
                <w:sz w:val="24"/>
                <w:szCs w:val="24"/>
                <w:highlight w:val="none"/>
              </w:rPr>
              <w:t>报名资料</w:t>
            </w:r>
          </w:p>
        </w:tc>
        <w:tc>
          <w:tcPr>
            <w:tcW w:w="6288" w:type="dxa"/>
          </w:tcPr>
          <w:p>
            <w:pPr>
              <w:rPr>
                <w:sz w:val="24"/>
                <w:szCs w:val="24"/>
                <w:highlight w:val="none"/>
              </w:rPr>
            </w:pPr>
            <w:r>
              <w:rPr>
                <w:sz w:val="24"/>
                <w:szCs w:val="24"/>
                <w:highlight w:val="none"/>
              </w:rPr>
              <w:t>1.</w:t>
            </w:r>
            <w:r>
              <w:rPr>
                <w:rFonts w:hint="eastAsia"/>
                <w:sz w:val="24"/>
                <w:szCs w:val="24"/>
                <w:highlight w:val="none"/>
              </w:rPr>
              <w:t>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highlight w:val="none"/>
              </w:rPr>
            </w:pPr>
          </w:p>
        </w:tc>
        <w:tc>
          <w:tcPr>
            <w:tcW w:w="6288" w:type="dxa"/>
          </w:tcPr>
          <w:p>
            <w:pPr>
              <w:rPr>
                <w:sz w:val="24"/>
                <w:szCs w:val="24"/>
                <w:highlight w:val="none"/>
              </w:rPr>
            </w:pPr>
            <w:r>
              <w:rPr>
                <w:sz w:val="24"/>
                <w:szCs w:val="24"/>
                <w:highlight w:val="none"/>
              </w:rPr>
              <w:t>2.</w:t>
            </w:r>
            <w:r>
              <w:rPr>
                <w:rFonts w:hint="eastAsia"/>
                <w:sz w:val="24"/>
                <w:szCs w:val="24"/>
                <w:highlight w:val="none"/>
              </w:rPr>
              <w:t>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highlight w:val="none"/>
              </w:rPr>
            </w:pPr>
          </w:p>
        </w:tc>
        <w:tc>
          <w:tcPr>
            <w:tcW w:w="6288" w:type="dxa"/>
          </w:tcPr>
          <w:p>
            <w:pPr>
              <w:rPr>
                <w:sz w:val="24"/>
                <w:szCs w:val="24"/>
                <w:highlight w:val="none"/>
              </w:rPr>
            </w:pPr>
            <w:r>
              <w:rPr>
                <w:sz w:val="24"/>
                <w:szCs w:val="24"/>
                <w:highlight w:val="none"/>
              </w:rPr>
              <w:t>3.</w:t>
            </w:r>
            <w:r>
              <w:rPr>
                <w:rFonts w:hint="eastAsia"/>
                <w:sz w:val="24"/>
                <w:szCs w:val="24"/>
                <w:highlight w:val="none"/>
              </w:rPr>
              <w:t>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highlight w:val="none"/>
              </w:rPr>
            </w:pPr>
          </w:p>
        </w:tc>
        <w:tc>
          <w:tcPr>
            <w:tcW w:w="6288" w:type="dxa"/>
          </w:tcPr>
          <w:p>
            <w:pPr>
              <w:rPr>
                <w:sz w:val="24"/>
                <w:szCs w:val="24"/>
                <w:highlight w:val="none"/>
              </w:rPr>
            </w:pPr>
            <w:r>
              <w:rPr>
                <w:sz w:val="24"/>
                <w:szCs w:val="24"/>
                <w:highlight w:val="none"/>
              </w:rPr>
              <w:t>4.</w:t>
            </w:r>
            <w:r>
              <w:rPr>
                <w:rFonts w:hint="eastAsia"/>
                <w:sz w:val="24"/>
                <w:szCs w:val="24"/>
                <w:highlight w:val="none"/>
              </w:rPr>
              <w:t>参加政府采购活动前</w:t>
            </w:r>
            <w:r>
              <w:rPr>
                <w:sz w:val="24"/>
                <w:szCs w:val="24"/>
                <w:highlight w:val="none"/>
              </w:rPr>
              <w:t>3</w:t>
            </w:r>
            <w:r>
              <w:rPr>
                <w:rFonts w:hint="eastAsia"/>
                <w:sz w:val="24"/>
                <w:szCs w:val="24"/>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highlight w:val="none"/>
              </w:rPr>
            </w:pPr>
          </w:p>
        </w:tc>
        <w:tc>
          <w:tcPr>
            <w:tcW w:w="6288" w:type="dxa"/>
          </w:tcPr>
          <w:p>
            <w:pPr>
              <w:rPr>
                <w:sz w:val="24"/>
                <w:szCs w:val="24"/>
                <w:highlight w:val="none"/>
              </w:rPr>
            </w:pPr>
            <w:r>
              <w:rPr>
                <w:sz w:val="24"/>
                <w:szCs w:val="24"/>
                <w:highlight w:val="none"/>
              </w:rPr>
              <w:t>5.</w:t>
            </w:r>
            <w:r>
              <w:rPr>
                <w:rFonts w:hint="eastAsia"/>
                <w:sz w:val="24"/>
                <w:szCs w:val="24"/>
                <w:highlight w:val="none"/>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highlight w:val="none"/>
              </w:rPr>
            </w:pPr>
          </w:p>
        </w:tc>
        <w:tc>
          <w:tcPr>
            <w:tcW w:w="6288" w:type="dxa"/>
          </w:tcPr>
          <w:p>
            <w:pPr>
              <w:rPr>
                <w:sz w:val="24"/>
                <w:szCs w:val="24"/>
                <w:highlight w:val="none"/>
              </w:rPr>
            </w:pPr>
            <w:r>
              <w:rPr>
                <w:sz w:val="24"/>
                <w:szCs w:val="24"/>
                <w:highlight w:val="none"/>
              </w:rPr>
              <w:t>6.</w:t>
            </w:r>
            <w:r>
              <w:rPr>
                <w:rFonts w:hint="eastAsia"/>
                <w:sz w:val="24"/>
                <w:szCs w:val="24"/>
                <w:highlight w:val="none"/>
              </w:rPr>
              <w:t>未被列入</w:t>
            </w:r>
            <w:r>
              <w:rPr>
                <w:sz w:val="24"/>
                <w:szCs w:val="24"/>
                <w:highlight w:val="none"/>
              </w:rPr>
              <w:t xml:space="preserve"> </w:t>
            </w:r>
            <w:r>
              <w:rPr>
                <w:rFonts w:hint="eastAsia"/>
                <w:sz w:val="24"/>
                <w:szCs w:val="24"/>
                <w:highlight w:val="none"/>
              </w:rPr>
              <w:t>“信用中国”网站（</w:t>
            </w:r>
            <w:r>
              <w:rPr>
                <w:sz w:val="24"/>
                <w:szCs w:val="24"/>
                <w:highlight w:val="none"/>
              </w:rPr>
              <w:t>www.creditchina.gov.cn</w:t>
            </w:r>
            <w:r>
              <w:rPr>
                <w:rFonts w:hint="eastAsia"/>
                <w:sz w:val="24"/>
                <w:szCs w:val="24"/>
                <w:highlight w:val="none"/>
              </w:rPr>
              <w:t>）失信被执行人、重大税收违法案件当事人名单</w:t>
            </w:r>
            <w:r>
              <w:rPr>
                <w:rFonts w:hint="eastAsia" w:ascii="宋体" w:hAnsi="宋体"/>
                <w:color w:val="000000" w:themeColor="text1"/>
                <w:sz w:val="24"/>
                <w:highlight w:val="none"/>
              </w:rPr>
              <w:t>和“中国政府采购”网站（</w:t>
            </w:r>
            <w:r>
              <w:rPr>
                <w:rFonts w:ascii="宋体" w:hAnsi="宋体"/>
                <w:color w:val="000000" w:themeColor="text1"/>
                <w:sz w:val="24"/>
                <w:highlight w:val="none"/>
              </w:rPr>
              <w:t>www.ccgp.gov.cn</w:t>
            </w:r>
            <w:r>
              <w:rPr>
                <w:rFonts w:hint="eastAsia" w:ascii="宋体" w:hAnsi="宋体"/>
                <w:color w:val="000000" w:themeColor="text1"/>
                <w:sz w:val="24"/>
                <w:highlight w:val="none"/>
              </w:rPr>
              <w:t>）政府采购严重违法失信行为记录名单</w:t>
            </w:r>
            <w:r>
              <w:rPr>
                <w:rFonts w:hint="eastAsia"/>
                <w:sz w:val="24"/>
                <w:szCs w:val="24"/>
                <w:highlight w:val="none"/>
              </w:rPr>
              <w:t>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vAlign w:val="center"/>
          </w:tcPr>
          <w:p>
            <w:pPr>
              <w:widowControl/>
              <w:jc w:val="left"/>
              <w:rPr>
                <w:rFonts w:ascii="宋体" w:cs="宋体"/>
                <w:kern w:val="0"/>
                <w:sz w:val="24"/>
                <w:szCs w:val="24"/>
                <w:highlight w:val="none"/>
              </w:rPr>
            </w:pPr>
          </w:p>
        </w:tc>
        <w:tc>
          <w:tcPr>
            <w:tcW w:w="6288" w:type="dxa"/>
          </w:tcPr>
          <w:p>
            <w:pPr>
              <w:rPr>
                <w:sz w:val="24"/>
                <w:szCs w:val="24"/>
                <w:highlight w:val="none"/>
              </w:rPr>
            </w:pPr>
            <w:r>
              <w:rPr>
                <w:rFonts w:hint="eastAsia"/>
                <w:sz w:val="24"/>
                <w:szCs w:val="24"/>
                <w:highlight w:val="none"/>
              </w:rPr>
              <w:t>7</w:t>
            </w:r>
            <w:r>
              <w:rPr>
                <w:sz w:val="24"/>
                <w:szCs w:val="24"/>
                <w:highlight w:val="none"/>
              </w:rPr>
              <w:t>.</w:t>
            </w:r>
            <w:r>
              <w:rPr>
                <w:rFonts w:hint="eastAsia"/>
                <w:sz w:val="24"/>
                <w:szCs w:val="24"/>
                <w:highlight w:val="none"/>
              </w:rPr>
              <w:t>特定条件：</w:t>
            </w:r>
          </w:p>
          <w:p>
            <w:pPr>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ascii="宋体" w:hAnsi="宋体"/>
                <w:color w:val="000000" w:themeColor="text1"/>
                <w:sz w:val="24"/>
                <w:szCs w:val="24"/>
                <w:highlight w:val="none"/>
              </w:rPr>
              <w:t>具有主管部门颁发的《医疗机构执业许可证》</w:t>
            </w:r>
            <w:r>
              <w:rPr>
                <w:rFonts w:hint="eastAsia" w:ascii="宋体" w:hAnsi="宋体"/>
                <w:color w:val="000000" w:themeColor="text1"/>
                <w:sz w:val="24"/>
                <w:szCs w:val="24"/>
                <w:highlight w:val="none"/>
                <w:lang w:val="en-US" w:eastAsia="zh-CN"/>
              </w:rPr>
              <w:t xml:space="preserve"> </w:t>
            </w:r>
            <w:r>
              <w:rPr>
                <w:rFonts w:hint="eastAsia"/>
                <w:sz w:val="24"/>
                <w:szCs w:val="24"/>
                <w:highlight w:val="none"/>
                <w:lang w:eastAsia="zh-CN"/>
              </w:rPr>
              <w:t>；</w:t>
            </w:r>
          </w:p>
          <w:p>
            <w:pPr>
              <w:rPr>
                <w:sz w:val="24"/>
                <w:highlight w:val="none"/>
              </w:rPr>
            </w:pPr>
            <w:r>
              <w:rPr>
                <w:rFonts w:hint="eastAsia"/>
                <w:sz w:val="24"/>
                <w:szCs w:val="24"/>
                <w:highlight w:val="none"/>
                <w:lang w:val="en-US" w:eastAsia="zh-CN"/>
              </w:rPr>
              <w:t>（2）</w:t>
            </w:r>
            <w:r>
              <w:rPr>
                <w:rFonts w:hint="eastAsia"/>
                <w:sz w:val="24"/>
                <w:szCs w:val="24"/>
                <w:highlight w:val="none"/>
              </w:rPr>
              <w:t>本项目不接受联合体</w:t>
            </w:r>
            <w:r>
              <w:rPr>
                <w:rFonts w:hint="eastAsia"/>
                <w:sz w:val="24"/>
                <w:szCs w:val="24"/>
                <w:highlight w:val="none"/>
                <w:lang w:val="en-US" w:eastAsia="zh-CN"/>
              </w:rPr>
              <w:t>形式的投标</w:t>
            </w:r>
            <w:r>
              <w:rPr>
                <w:rFonts w:hint="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Align w:val="center"/>
          </w:tcPr>
          <w:p>
            <w:pPr>
              <w:widowControl/>
              <w:jc w:val="left"/>
              <w:rPr>
                <w:rFonts w:ascii="宋体" w:cs="宋体"/>
                <w:b/>
                <w:kern w:val="0"/>
                <w:sz w:val="24"/>
                <w:szCs w:val="24"/>
                <w:highlight w:val="none"/>
              </w:rPr>
            </w:pPr>
            <w:r>
              <w:rPr>
                <w:rFonts w:hint="eastAsia" w:ascii="宋体" w:hAnsi="宋体" w:cs="宋体"/>
                <w:b/>
                <w:kern w:val="0"/>
                <w:sz w:val="24"/>
                <w:szCs w:val="24"/>
                <w:highlight w:val="none"/>
              </w:rPr>
              <w:t>供应商意见</w:t>
            </w:r>
          </w:p>
        </w:tc>
        <w:tc>
          <w:tcPr>
            <w:tcW w:w="6288" w:type="dxa"/>
          </w:tcPr>
          <w:p>
            <w:pPr>
              <w:rPr>
                <w:b/>
                <w:sz w:val="24"/>
                <w:szCs w:val="24"/>
                <w:highlight w:val="none"/>
              </w:rPr>
            </w:pPr>
            <w:r>
              <w:rPr>
                <w:rFonts w:hint="eastAsia"/>
                <w:b/>
                <w:sz w:val="24"/>
                <w:szCs w:val="24"/>
                <w:highlight w:val="none"/>
              </w:rPr>
              <w:t>供应商可对本项目采购需求的公正性、专业性、合理性等提出自己正确的意见、建议等（可另页详细表述）。</w:t>
            </w:r>
          </w:p>
        </w:tc>
      </w:tr>
    </w:tbl>
    <w:p>
      <w:pPr>
        <w:pStyle w:val="8"/>
        <w:shd w:val="clear" w:color="auto" w:fill="FFFFFF"/>
        <w:spacing w:before="150" w:beforeAutospacing="0" w:after="150" w:afterAutospacing="0" w:line="360" w:lineRule="atLeast"/>
        <w:ind w:left="150"/>
        <w:rPr>
          <w:rStyle w:val="12"/>
          <w:b w:val="0"/>
          <w:color w:val="000000"/>
          <w:highlight w:val="none"/>
        </w:rPr>
      </w:pPr>
      <w:r>
        <w:rPr>
          <w:rStyle w:val="12"/>
          <w:rFonts w:hint="eastAsia"/>
          <w:b w:val="0"/>
          <w:color w:val="000000"/>
          <w:highlight w:val="none"/>
        </w:rPr>
        <w:t>注意事项：</w:t>
      </w:r>
    </w:p>
    <w:p>
      <w:pPr>
        <w:pStyle w:val="8"/>
        <w:shd w:val="clear" w:color="auto" w:fill="FFFFFF"/>
        <w:spacing w:before="150" w:beforeAutospacing="0" w:after="150" w:afterAutospacing="0" w:line="360" w:lineRule="atLeast"/>
        <w:ind w:left="150" w:firstLine="480" w:firstLineChars="200"/>
        <w:rPr>
          <w:rStyle w:val="12"/>
          <w:b w:val="0"/>
          <w:color w:val="000000"/>
          <w:highlight w:val="none"/>
        </w:rPr>
      </w:pPr>
      <w:r>
        <w:rPr>
          <w:color w:val="000000"/>
          <w:highlight w:val="none"/>
        </w:rPr>
        <w:t>1.</w:t>
      </w:r>
      <w:r>
        <w:rPr>
          <w:rFonts w:hint="eastAsia"/>
          <w:color w:val="000000"/>
          <w:highlight w:val="none"/>
        </w:rPr>
        <w:t>供应商必须严格按照公告的内容和要求，完整递交有关资料，</w:t>
      </w:r>
      <w:r>
        <w:rPr>
          <w:rStyle w:val="12"/>
          <w:rFonts w:hint="eastAsia"/>
          <w:b w:val="0"/>
          <w:color w:val="000000"/>
          <w:highlight w:val="none"/>
        </w:rPr>
        <w:t>逾期递交的将予以拒收。</w:t>
      </w:r>
    </w:p>
    <w:p>
      <w:pPr>
        <w:pStyle w:val="8"/>
        <w:shd w:val="clear" w:color="auto" w:fill="FFFFFF"/>
        <w:spacing w:before="150" w:beforeAutospacing="0" w:after="150" w:afterAutospacing="0" w:line="360" w:lineRule="atLeast"/>
        <w:ind w:left="150" w:firstLine="480" w:firstLineChars="200"/>
        <w:rPr>
          <w:rFonts w:ascii="微软雅黑" w:hAnsi="微软雅黑" w:eastAsia="微软雅黑"/>
          <w:color w:val="000000"/>
          <w:sz w:val="18"/>
          <w:szCs w:val="18"/>
          <w:highlight w:val="none"/>
        </w:rPr>
      </w:pPr>
      <w:r>
        <w:rPr>
          <w:rFonts w:ascii="宋体" w:hAnsi="宋体" w:cs="宋体"/>
          <w:color w:val="000000"/>
          <w:szCs w:val="24"/>
          <w:highlight w:val="none"/>
        </w:rPr>
        <w:t>2.</w:t>
      </w:r>
      <w:r>
        <w:rPr>
          <w:rFonts w:hint="eastAsia" w:ascii="宋体" w:hAnsi="宋体" w:cs="宋体"/>
          <w:bCs/>
          <w:color w:val="000000"/>
          <w:szCs w:val="24"/>
          <w:highlight w:val="none"/>
        </w:rPr>
        <w:t>供应商所递交的资料（全部盖有单位公章）必须为一般常用电脑办公软件能够读取的清晰、易于辨识的彩色电子扫描件、照片（相关证书和证明材料的原件）</w:t>
      </w:r>
      <w:r>
        <w:rPr>
          <w:rFonts w:ascii="宋体" w:cs="宋体"/>
          <w:bCs/>
          <w:color w:val="000000"/>
          <w:szCs w:val="24"/>
          <w:highlight w:val="none"/>
        </w:rPr>
        <w:t>,</w:t>
      </w:r>
      <w:r>
        <w:rPr>
          <w:rFonts w:hint="eastAsia" w:ascii="宋体" w:hAnsi="宋体" w:cs="宋体"/>
          <w:bCs/>
          <w:color w:val="000000"/>
          <w:szCs w:val="24"/>
          <w:highlight w:val="none"/>
        </w:rPr>
        <w:t>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szCs w:val="24"/>
          <w:highlight w:val="none"/>
        </w:rPr>
        <w:t xml:space="preserve"> </w:t>
      </w:r>
    </w:p>
    <w:p>
      <w:pPr>
        <w:pStyle w:val="8"/>
        <w:shd w:val="clear" w:color="auto" w:fill="FFFFFF"/>
        <w:spacing w:before="150" w:beforeAutospacing="0" w:after="150" w:afterAutospacing="0" w:line="360" w:lineRule="atLeast"/>
        <w:ind w:left="150" w:firstLine="480" w:firstLineChars="200"/>
        <w:rPr>
          <w:sz w:val="24"/>
          <w:szCs w:val="24"/>
          <w:highlight w:val="none"/>
        </w:rPr>
      </w:pPr>
      <w:r>
        <w:rPr>
          <w:color w:val="000000"/>
          <w:highlight w:val="none"/>
        </w:rPr>
        <w:t>3.</w:t>
      </w:r>
      <w:r>
        <w:rPr>
          <w:rFonts w:hint="eastAsia"/>
          <w:color w:val="000000"/>
          <w:highlight w:val="none"/>
        </w:rPr>
        <w:t>须在邮件（附件文件名注明公司全称）注明公司全称、项目名称及项目编号（不注明我单位将拒收报名邮件）。</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B4AB"/>
    <w:multiLevelType w:val="singleLevel"/>
    <w:tmpl w:val="0EBDB4AB"/>
    <w:lvl w:ilvl="0" w:tentative="0">
      <w:start w:val="1"/>
      <w:numFmt w:val="chineseCounting"/>
      <w:suff w:val="nothing"/>
      <w:lvlText w:val="%1、"/>
      <w:lvlJc w:val="left"/>
      <w:rPr>
        <w:rFonts w:hint="eastAsia"/>
      </w:rPr>
    </w:lvl>
  </w:abstractNum>
  <w:abstractNum w:abstractNumId="1">
    <w:nsid w:val="172E7971"/>
    <w:multiLevelType w:val="multilevel"/>
    <w:tmpl w:val="172E7971"/>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
    <w:nsid w:val="78085DDE"/>
    <w:multiLevelType w:val="multilevel"/>
    <w:tmpl w:val="78085DDE"/>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7BB21FF4"/>
    <w:multiLevelType w:val="multilevel"/>
    <w:tmpl w:val="7BB21F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DE9"/>
    <w:rsid w:val="00016BFD"/>
    <w:rsid w:val="00021D98"/>
    <w:rsid w:val="00026D00"/>
    <w:rsid w:val="000527BB"/>
    <w:rsid w:val="00056AED"/>
    <w:rsid w:val="0008654C"/>
    <w:rsid w:val="0009726D"/>
    <w:rsid w:val="000A6872"/>
    <w:rsid w:val="000D728B"/>
    <w:rsid w:val="00101CA6"/>
    <w:rsid w:val="00104393"/>
    <w:rsid w:val="00120CEA"/>
    <w:rsid w:val="00122B5C"/>
    <w:rsid w:val="00127B67"/>
    <w:rsid w:val="00162BF4"/>
    <w:rsid w:val="00174B5D"/>
    <w:rsid w:val="001B3DD1"/>
    <w:rsid w:val="00227C74"/>
    <w:rsid w:val="00241FC1"/>
    <w:rsid w:val="00247E29"/>
    <w:rsid w:val="00251305"/>
    <w:rsid w:val="00263FDD"/>
    <w:rsid w:val="0027306D"/>
    <w:rsid w:val="00286F91"/>
    <w:rsid w:val="002912E3"/>
    <w:rsid w:val="002C0DCE"/>
    <w:rsid w:val="002D3A86"/>
    <w:rsid w:val="002E6F83"/>
    <w:rsid w:val="002E70BC"/>
    <w:rsid w:val="00354132"/>
    <w:rsid w:val="00356FB9"/>
    <w:rsid w:val="0038354E"/>
    <w:rsid w:val="003A3307"/>
    <w:rsid w:val="003C173C"/>
    <w:rsid w:val="0042465C"/>
    <w:rsid w:val="00431D7E"/>
    <w:rsid w:val="004357AA"/>
    <w:rsid w:val="004451C8"/>
    <w:rsid w:val="00462B04"/>
    <w:rsid w:val="00465FFA"/>
    <w:rsid w:val="0048653B"/>
    <w:rsid w:val="004D26D1"/>
    <w:rsid w:val="0051396C"/>
    <w:rsid w:val="00526415"/>
    <w:rsid w:val="005517D8"/>
    <w:rsid w:val="00577CD8"/>
    <w:rsid w:val="00587588"/>
    <w:rsid w:val="006101C6"/>
    <w:rsid w:val="0067218F"/>
    <w:rsid w:val="006763BF"/>
    <w:rsid w:val="00680095"/>
    <w:rsid w:val="006A74A1"/>
    <w:rsid w:val="006B1667"/>
    <w:rsid w:val="006B566D"/>
    <w:rsid w:val="00710283"/>
    <w:rsid w:val="00714951"/>
    <w:rsid w:val="00731C4C"/>
    <w:rsid w:val="00770BDF"/>
    <w:rsid w:val="007E530D"/>
    <w:rsid w:val="0081133A"/>
    <w:rsid w:val="00841971"/>
    <w:rsid w:val="00843EA0"/>
    <w:rsid w:val="0085685E"/>
    <w:rsid w:val="00862199"/>
    <w:rsid w:val="008632F9"/>
    <w:rsid w:val="00877547"/>
    <w:rsid w:val="008D5B51"/>
    <w:rsid w:val="009111CF"/>
    <w:rsid w:val="00912E34"/>
    <w:rsid w:val="00917353"/>
    <w:rsid w:val="00965878"/>
    <w:rsid w:val="00973CEA"/>
    <w:rsid w:val="00984E78"/>
    <w:rsid w:val="009F57B7"/>
    <w:rsid w:val="00A06B58"/>
    <w:rsid w:val="00AC4743"/>
    <w:rsid w:val="00AC4FF6"/>
    <w:rsid w:val="00AC7064"/>
    <w:rsid w:val="00AD57E9"/>
    <w:rsid w:val="00AE0050"/>
    <w:rsid w:val="00B02FC2"/>
    <w:rsid w:val="00B37D97"/>
    <w:rsid w:val="00B422CC"/>
    <w:rsid w:val="00B87DB2"/>
    <w:rsid w:val="00BD15BE"/>
    <w:rsid w:val="00C045C9"/>
    <w:rsid w:val="00C04CDB"/>
    <w:rsid w:val="00C554DF"/>
    <w:rsid w:val="00C7441B"/>
    <w:rsid w:val="00C7583C"/>
    <w:rsid w:val="00C77263"/>
    <w:rsid w:val="00C8060B"/>
    <w:rsid w:val="00C81BC1"/>
    <w:rsid w:val="00C94576"/>
    <w:rsid w:val="00CA0AA0"/>
    <w:rsid w:val="00D049F5"/>
    <w:rsid w:val="00D239DE"/>
    <w:rsid w:val="00D34002"/>
    <w:rsid w:val="00D63126"/>
    <w:rsid w:val="00D64C90"/>
    <w:rsid w:val="00D665CD"/>
    <w:rsid w:val="00D9157E"/>
    <w:rsid w:val="00DA12FB"/>
    <w:rsid w:val="00DA3AC3"/>
    <w:rsid w:val="00DC47E0"/>
    <w:rsid w:val="00DD4640"/>
    <w:rsid w:val="00DE7188"/>
    <w:rsid w:val="00DE75E6"/>
    <w:rsid w:val="00E14B01"/>
    <w:rsid w:val="00E5330B"/>
    <w:rsid w:val="00E6320A"/>
    <w:rsid w:val="00E652DF"/>
    <w:rsid w:val="00E721AB"/>
    <w:rsid w:val="00E849D4"/>
    <w:rsid w:val="00E94B33"/>
    <w:rsid w:val="00EB4553"/>
    <w:rsid w:val="00EB5D3C"/>
    <w:rsid w:val="00EC51EB"/>
    <w:rsid w:val="00ED3F8E"/>
    <w:rsid w:val="00EF6F42"/>
    <w:rsid w:val="00F10D7E"/>
    <w:rsid w:val="00F27BC7"/>
    <w:rsid w:val="00F52DE9"/>
    <w:rsid w:val="00F67B38"/>
    <w:rsid w:val="00F76F50"/>
    <w:rsid w:val="00F83087"/>
    <w:rsid w:val="00FD4208"/>
    <w:rsid w:val="00FF19EE"/>
    <w:rsid w:val="036E1E2C"/>
    <w:rsid w:val="05357BDD"/>
    <w:rsid w:val="05EB380B"/>
    <w:rsid w:val="081669CA"/>
    <w:rsid w:val="0B706B75"/>
    <w:rsid w:val="0D662123"/>
    <w:rsid w:val="0DCB5D0A"/>
    <w:rsid w:val="13BB3CF4"/>
    <w:rsid w:val="17867FBC"/>
    <w:rsid w:val="1B2B3562"/>
    <w:rsid w:val="1D3A4920"/>
    <w:rsid w:val="1E4B1951"/>
    <w:rsid w:val="202042A9"/>
    <w:rsid w:val="22584D7B"/>
    <w:rsid w:val="23E661CC"/>
    <w:rsid w:val="24AF6192"/>
    <w:rsid w:val="348827AB"/>
    <w:rsid w:val="357E4F48"/>
    <w:rsid w:val="38BD05F5"/>
    <w:rsid w:val="40586677"/>
    <w:rsid w:val="426E2F53"/>
    <w:rsid w:val="4631003F"/>
    <w:rsid w:val="4F1E5C9D"/>
    <w:rsid w:val="5045265C"/>
    <w:rsid w:val="54117053"/>
    <w:rsid w:val="570C6CFC"/>
    <w:rsid w:val="5A452253"/>
    <w:rsid w:val="5DB549BD"/>
    <w:rsid w:val="5E0C14F9"/>
    <w:rsid w:val="641512DC"/>
    <w:rsid w:val="68D24476"/>
    <w:rsid w:val="6F00649B"/>
    <w:rsid w:val="6FBC0A3F"/>
    <w:rsid w:val="72C54810"/>
    <w:rsid w:val="77471B72"/>
    <w:rsid w:val="79FF7662"/>
    <w:rsid w:val="7DA42B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3"/>
    <w:qFormat/>
    <w:uiPriority w:val="99"/>
    <w:pPr>
      <w:keepNext/>
      <w:keepLines/>
      <w:spacing w:before="340" w:after="330" w:line="576" w:lineRule="auto"/>
      <w:outlineLvl w:val="0"/>
    </w:pPr>
    <w:rPr>
      <w:b/>
      <w:bCs/>
      <w:kern w:val="44"/>
      <w:sz w:val="44"/>
      <w:szCs w:val="44"/>
    </w:rPr>
  </w:style>
  <w:style w:type="paragraph" w:styleId="2">
    <w:name w:val="heading 2"/>
    <w:basedOn w:val="1"/>
    <w:next w:val="1"/>
    <w:qFormat/>
    <w:locked/>
    <w:uiPriority w:val="0"/>
    <w:pPr>
      <w:keepNext/>
      <w:keepLines/>
      <w:numPr>
        <w:ilvl w:val="1"/>
        <w:numId w:val="1"/>
      </w:numPr>
      <w:spacing w:before="260" w:after="260" w:line="416" w:lineRule="auto"/>
      <w:ind w:left="0" w:firstLine="0"/>
      <w:outlineLvl w:val="1"/>
    </w:pPr>
    <w:rPr>
      <w:rFonts w:ascii="Cambria" w:hAnsi="Cambria"/>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420" w:lineRule="auto"/>
    </w:pPr>
    <w:rPr>
      <w:sz w:val="24"/>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bCs/>
    </w:rPr>
  </w:style>
  <w:style w:type="character" w:customStyle="1" w:styleId="13">
    <w:name w:val="标题 1 Char"/>
    <w:basedOn w:val="11"/>
    <w:link w:val="3"/>
    <w:qFormat/>
    <w:locked/>
    <w:uiPriority w:val="99"/>
    <w:rPr>
      <w:rFonts w:eastAsia="宋体" w:cs="Times New Roman"/>
      <w:b/>
      <w:bCs/>
      <w:kern w:val="44"/>
      <w:sz w:val="44"/>
      <w:szCs w:val="44"/>
    </w:rPr>
  </w:style>
  <w:style w:type="character" w:customStyle="1" w:styleId="14">
    <w:name w:val="批注框文本 Char"/>
    <w:basedOn w:val="11"/>
    <w:link w:val="5"/>
    <w:semiHidden/>
    <w:qFormat/>
    <w:locked/>
    <w:uiPriority w:val="99"/>
    <w:rPr>
      <w:rFonts w:cs="Times New Roman"/>
      <w:sz w:val="18"/>
      <w:szCs w:val="18"/>
    </w:rPr>
  </w:style>
  <w:style w:type="character" w:customStyle="1" w:styleId="15">
    <w:name w:val="页脚 Char"/>
    <w:basedOn w:val="11"/>
    <w:link w:val="6"/>
    <w:qFormat/>
    <w:locked/>
    <w:uiPriority w:val="99"/>
    <w:rPr>
      <w:rFonts w:cs="Times New Roman"/>
      <w:sz w:val="18"/>
      <w:szCs w:val="18"/>
    </w:rPr>
  </w:style>
  <w:style w:type="character" w:customStyle="1" w:styleId="16">
    <w:name w:val="页眉 Char"/>
    <w:basedOn w:val="11"/>
    <w:link w:val="7"/>
    <w:qFormat/>
    <w:locked/>
    <w:uiPriority w:val="99"/>
    <w:rPr>
      <w:rFonts w:cs="Times New Roman"/>
      <w:sz w:val="18"/>
      <w:szCs w:val="18"/>
    </w:rPr>
  </w:style>
  <w:style w:type="paragraph" w:styleId="17">
    <w:name w:val="List Paragraph"/>
    <w:basedOn w:val="1"/>
    <w:qFormat/>
    <w:uiPriority w:val="99"/>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3364</Words>
  <Characters>519</Characters>
  <Lines>4</Lines>
  <Paragraphs>7</Paragraphs>
  <TotalTime>7</TotalTime>
  <ScaleCrop>false</ScaleCrop>
  <LinksUpToDate>false</LinksUpToDate>
  <CharactersWithSpaces>3876</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2017-04-17T01:17:00Z</dcterms:created>
  <dc:creator>wangh</dc:creator>
  <cp:lastModifiedBy>Administrator</cp:lastModifiedBy>
  <cp:lastPrinted>2020-08-24T05:33:00Z</cp:lastPrinted>
  <dcterms:modified xsi:type="dcterms:W3CDTF">2020-09-01T02:58:50Z</dcterms:modified>
  <dc:title>湖北省省级政府采购需求公示</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