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rPr>
      </w:pPr>
      <w:r>
        <w:rPr>
          <w:rFonts w:hint="eastAsia"/>
          <w:color w:val="000000" w:themeColor="text1"/>
          <w:w w:val="120"/>
          <w:sz w:val="52"/>
          <w:szCs w:val="52"/>
        </w:rPr>
        <w:t>阳新县县级政府采购</w:t>
      </w:r>
    </w:p>
    <w:p>
      <w:pPr>
        <w:pStyle w:val="9"/>
        <w:adjustRightInd w:val="0"/>
        <w:snapToGrid w:val="0"/>
        <w:spacing w:line="720" w:lineRule="auto"/>
        <w:jc w:val="center"/>
        <w:rPr>
          <w:rFonts w:ascii="黑体" w:hAnsi="黑体" w:eastAsia="黑体" w:cs="Times New Roman"/>
          <w:b/>
          <w:bCs/>
          <w:sz w:val="36"/>
          <w:szCs w:val="24"/>
        </w:rPr>
      </w:pPr>
      <w:r>
        <w:rPr>
          <w:rFonts w:hint="eastAsia" w:ascii="Times New Roman" w:hAnsi="Times New Roman" w:eastAsia="宋体" w:cs="Times New Roman"/>
          <w:snapToGrid w:val="0"/>
          <w:kern w:val="10"/>
          <w:sz w:val="144"/>
          <w:szCs w:val="144"/>
        </w:rPr>
        <w:t>招 标 文 件</w:t>
      </w:r>
    </w:p>
    <w:p>
      <w:pPr>
        <w:spacing w:line="480" w:lineRule="auto"/>
        <w:ind w:firstLine="1600" w:firstLineChars="500"/>
        <w:rPr>
          <w:rFonts w:hint="default" w:eastAsiaTheme="minorEastAsia"/>
          <w:bCs/>
          <w:color w:val="000000" w:themeColor="text1"/>
          <w:sz w:val="32"/>
          <w:szCs w:val="32"/>
          <w:u w:val="single"/>
          <w:lang w:val="en-US" w:eastAsia="zh-CN"/>
        </w:rPr>
      </w:pPr>
      <w:r>
        <w:rPr>
          <w:rFonts w:hint="eastAsia"/>
          <w:bCs/>
          <w:color w:val="000000" w:themeColor="text1"/>
          <w:sz w:val="32"/>
          <w:szCs w:val="32"/>
        </w:rPr>
        <w:t>项目编号：</w:t>
      </w:r>
      <w:r>
        <w:rPr>
          <w:rFonts w:hint="eastAsia"/>
          <w:bCs/>
          <w:color w:val="000000"/>
          <w:sz w:val="32"/>
          <w:szCs w:val="32"/>
          <w:u w:val="single"/>
          <w:lang w:val="en-US" w:eastAsia="zh-CN"/>
        </w:rPr>
        <w:t xml:space="preserve">131-2020CG-162     </w:t>
      </w:r>
    </w:p>
    <w:p>
      <w:pPr>
        <w:spacing w:line="480" w:lineRule="auto"/>
        <w:ind w:firstLine="1600" w:firstLineChars="500"/>
        <w:rPr>
          <w:bCs/>
          <w:color w:val="000000" w:themeColor="text1"/>
          <w:sz w:val="32"/>
          <w:szCs w:val="32"/>
          <w:u w:val="single"/>
        </w:rPr>
      </w:pPr>
      <w:r>
        <w:rPr>
          <w:rFonts w:hint="eastAsia"/>
          <w:bCs/>
          <w:color w:val="000000" w:themeColor="text1"/>
          <w:sz w:val="32"/>
          <w:szCs w:val="32"/>
        </w:rPr>
        <w:t>采 购 人：</w:t>
      </w:r>
      <w:r>
        <w:rPr>
          <w:rFonts w:hint="eastAsia"/>
          <w:bCs/>
          <w:color w:val="000000" w:themeColor="text1"/>
          <w:sz w:val="32"/>
          <w:szCs w:val="32"/>
          <w:u w:val="single"/>
        </w:rPr>
        <w:t>阳新县人民医院</w:t>
      </w:r>
    </w:p>
    <w:p>
      <w:pPr>
        <w:spacing w:line="480" w:lineRule="auto"/>
        <w:ind w:left="3156" w:leftChars="761" w:hanging="1558" w:hangingChars="487"/>
        <w:rPr>
          <w:rFonts w:hint="eastAsia" w:eastAsiaTheme="minorEastAsia"/>
          <w:bCs/>
          <w:color w:val="000000" w:themeColor="text1"/>
          <w:sz w:val="30"/>
          <w:szCs w:val="30"/>
          <w:u w:val="single"/>
          <w:lang w:eastAsia="zh-CN"/>
        </w:rPr>
      </w:pPr>
      <w:r>
        <w:rPr>
          <w:rFonts w:hint="eastAsia"/>
          <w:bCs/>
          <w:color w:val="000000" w:themeColor="text1"/>
          <w:sz w:val="32"/>
          <w:szCs w:val="32"/>
        </w:rPr>
        <w:t>项目名称：</w:t>
      </w:r>
      <w:bookmarkStart w:id="273" w:name="_GoBack"/>
      <w:r>
        <w:rPr>
          <w:rFonts w:hint="eastAsia" w:eastAsiaTheme="minorEastAsia"/>
          <w:bCs/>
          <w:color w:val="000000" w:themeColor="text1"/>
          <w:spacing w:val="-6"/>
          <w:sz w:val="30"/>
          <w:szCs w:val="30"/>
          <w:u w:val="single"/>
          <w:lang w:eastAsia="zh-CN"/>
        </w:rPr>
        <w:t>阳新县人民医院彩色多普勒超声诊断系统采购项目</w:t>
      </w:r>
      <w:bookmarkEnd w:id="273"/>
    </w:p>
    <w:p>
      <w:pPr>
        <w:spacing w:line="480" w:lineRule="auto"/>
        <w:ind w:firstLine="1600" w:firstLineChars="500"/>
        <w:rPr>
          <w:rFonts w:hint="eastAsia" w:eastAsiaTheme="minorEastAsia"/>
          <w:bCs/>
          <w:color w:val="000000" w:themeColor="text1"/>
          <w:sz w:val="32"/>
          <w:szCs w:val="32"/>
          <w:u w:val="single"/>
          <w:lang w:eastAsia="zh-CN"/>
        </w:rPr>
      </w:pPr>
      <w:r>
        <w:rPr>
          <w:rFonts w:hint="eastAsia"/>
          <w:bCs/>
          <w:color w:val="000000" w:themeColor="text1"/>
          <w:sz w:val="32"/>
          <w:szCs w:val="32"/>
        </w:rPr>
        <w:t>采购内容：</w:t>
      </w:r>
      <w:r>
        <w:rPr>
          <w:rFonts w:hint="eastAsia" w:eastAsiaTheme="minorEastAsia"/>
          <w:bCs/>
          <w:color w:val="000000" w:themeColor="text1"/>
          <w:spacing w:val="-6"/>
          <w:sz w:val="30"/>
          <w:szCs w:val="30"/>
          <w:u w:val="single"/>
          <w:lang w:eastAsia="zh-CN"/>
        </w:rPr>
        <w:t>彩色多普勒超声诊断系统</w:t>
      </w:r>
    </w:p>
    <w:p>
      <w:pPr>
        <w:spacing w:line="360" w:lineRule="auto"/>
        <w:ind w:left="2052" w:leftChars="619" w:right="1306" w:rightChars="622" w:hanging="752" w:hangingChars="209"/>
        <w:rPr>
          <w:rFonts w:ascii="宋体" w:hAnsi="宋体" w:eastAsia="宋体" w:cs="Times New Roman"/>
          <w:sz w:val="36"/>
          <w:szCs w:val="36"/>
        </w:rPr>
      </w:pPr>
    </w:p>
    <w:p>
      <w:pPr>
        <w:pStyle w:val="2"/>
      </w:pPr>
    </w:p>
    <w:p>
      <w:pPr>
        <w:adjustRightInd w:val="0"/>
        <w:snapToGrid w:val="0"/>
        <w:jc w:val="center"/>
        <w:rPr>
          <w:rFonts w:hint="eastAsia"/>
          <w:bCs/>
          <w:snapToGrid w:val="0"/>
          <w:color w:val="000000" w:themeColor="text1"/>
          <w:kern w:val="0"/>
          <w:position w:val="-98"/>
          <w:sz w:val="56"/>
          <w:szCs w:val="56"/>
          <w:lang w:eastAsia="zh-CN"/>
        </w:rPr>
      </w:pPr>
      <w:r>
        <w:rPr>
          <w:rFonts w:hint="eastAsia"/>
          <w:bCs/>
          <w:snapToGrid w:val="0"/>
          <w:color w:val="000000" w:themeColor="text1"/>
          <w:kern w:val="0"/>
          <w:position w:val="-98"/>
          <w:sz w:val="56"/>
          <w:szCs w:val="56"/>
          <w:lang w:eastAsia="zh-CN"/>
        </w:rPr>
        <w:t>深圳群伦项目管理有限公司</w:t>
      </w:r>
    </w:p>
    <w:p>
      <w:pPr>
        <w:adjustRightInd w:val="0"/>
        <w:snapToGrid w:val="0"/>
        <w:jc w:val="center"/>
        <w:rPr>
          <w:rFonts w:hint="default"/>
          <w:bCs/>
          <w:snapToGrid w:val="0"/>
          <w:color w:val="000000" w:themeColor="text1"/>
          <w:kern w:val="0"/>
          <w:position w:val="-98"/>
          <w:sz w:val="56"/>
          <w:szCs w:val="56"/>
          <w:lang w:val="en-US" w:eastAsia="zh-CN"/>
        </w:rPr>
        <w:sectPr>
          <w:headerReference r:id="rId3" w:type="default"/>
          <w:footerReference r:id="rId5" w:type="default"/>
          <w:headerReference r:id="rId4" w:type="even"/>
          <w:footerReference r:id="rId6" w:type="even"/>
          <w:pgSz w:w="11906" w:h="16838"/>
          <w:pgMar w:top="1701" w:right="1191" w:bottom="1134" w:left="1417" w:header="680" w:footer="680" w:gutter="0"/>
          <w:cols w:space="0" w:num="1"/>
          <w:rtlGutter w:val="0"/>
          <w:docGrid w:type="lines" w:linePitch="312" w:charSpace="0"/>
        </w:sectPr>
      </w:pPr>
      <w:r>
        <w:rPr>
          <w:rFonts w:hint="eastAsia"/>
          <w:bCs/>
          <w:snapToGrid w:val="0"/>
          <w:color w:val="000000" w:themeColor="text1"/>
          <w:kern w:val="0"/>
          <w:position w:val="-98"/>
          <w:sz w:val="48"/>
          <w:szCs w:val="48"/>
          <w:lang w:val="en-US" w:eastAsia="zh-CN"/>
        </w:rPr>
        <w:t>二0二0年九月</w:t>
      </w:r>
    </w:p>
    <w:p>
      <w:pPr>
        <w:spacing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2"/>
            <w:tabs>
              <w:tab w:val="left" w:pos="1260"/>
              <w:tab w:val="right" w:leader="dot" w:pos="9514"/>
            </w:tabs>
            <w:rPr>
              <w:rFonts w:eastAsiaTheme="minorEastAsia"/>
              <w:b w:val="0"/>
              <w:iCs w:val="0"/>
              <w:color w:val="auto"/>
              <w:kern w:val="2"/>
              <w:sz w:val="21"/>
            </w:rPr>
          </w:pPr>
          <w:r>
            <w:fldChar w:fldCharType="begin"/>
          </w:r>
          <w:r>
            <w:instrText xml:space="preserve"> TOC \o "1-2" \h \z \u </w:instrText>
          </w:r>
          <w:r>
            <w:fldChar w:fldCharType="separate"/>
          </w:r>
          <w:r>
            <w:fldChar w:fldCharType="begin"/>
          </w:r>
          <w:r>
            <w:instrText xml:space="preserve"> HYPERLINK \l "_Toc495861517" </w:instrText>
          </w:r>
          <w:r>
            <w:fldChar w:fldCharType="separate"/>
          </w:r>
          <w:r>
            <w:rPr>
              <w:rStyle w:val="23"/>
              <w:rFonts w:hint="eastAsia" w:ascii="黑体" w:hAnsi="黑体"/>
            </w:rPr>
            <w:t>第一章</w:t>
          </w:r>
          <w:r>
            <w:rPr>
              <w:rFonts w:eastAsiaTheme="minorEastAsia"/>
              <w:b w:val="0"/>
              <w:iCs w:val="0"/>
              <w:color w:val="auto"/>
              <w:kern w:val="2"/>
              <w:sz w:val="21"/>
            </w:rPr>
            <w:tab/>
          </w:r>
          <w:r>
            <w:rPr>
              <w:rStyle w:val="23"/>
              <w:rFonts w:hint="eastAsia" w:ascii="黑体" w:hAnsi="黑体"/>
            </w:rPr>
            <w:t>投标邀请书</w:t>
          </w:r>
          <w:r>
            <w:tab/>
          </w:r>
          <w:r>
            <w:fldChar w:fldCharType="begin"/>
          </w:r>
          <w:r>
            <w:instrText xml:space="preserve"> PAGEREF _Toc495861517 \h </w:instrText>
          </w:r>
          <w:r>
            <w:fldChar w:fldCharType="separate"/>
          </w:r>
          <w:r>
            <w:t>4</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"_Toc495861518" </w:instrText>
          </w:r>
          <w:r>
            <w:fldChar w:fldCharType="separate"/>
          </w:r>
          <w:r>
            <w:rPr>
              <w:rStyle w:val="23"/>
              <w:rFonts w:hint="eastAsia" w:ascii="黑体" w:hAnsi="黑体"/>
            </w:rPr>
            <w:t>第二章</w:t>
          </w:r>
          <w:r>
            <w:rPr>
              <w:rFonts w:eastAsiaTheme="minorEastAsia"/>
              <w:b w:val="0"/>
              <w:iCs w:val="0"/>
              <w:color w:val="auto"/>
              <w:kern w:val="2"/>
              <w:sz w:val="21"/>
            </w:rPr>
            <w:tab/>
          </w:r>
          <w:r>
            <w:rPr>
              <w:rStyle w:val="23"/>
              <w:rFonts w:hint="eastAsia" w:ascii="黑体" w:hAnsi="黑体"/>
            </w:rPr>
            <w:t>投标人须知</w:t>
          </w:r>
          <w:r>
            <w:tab/>
          </w:r>
          <w:r>
            <w:fldChar w:fldCharType="begin"/>
          </w:r>
          <w:r>
            <w:instrText xml:space="preserve"> PAGEREF _Toc495861518 \h </w:instrText>
          </w:r>
          <w:r>
            <w:fldChar w:fldCharType="separate"/>
          </w:r>
          <w:r>
            <w:t>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"_Toc495861519" </w:instrText>
          </w:r>
          <w:r>
            <w:fldChar w:fldCharType="separate"/>
          </w:r>
          <w:r>
            <w:rPr>
              <w:rStyle w:val="23"/>
              <w:rFonts w:hint="eastAsia" w:cs="Times New Roman" w:asciiTheme="majorEastAsia" w:hAnsiTheme="majorEastAsia" w:eastAsiaTheme="majorEastAsia"/>
              <w:b/>
              <w:bCs/>
              <w:lang w:val="zh-CN"/>
            </w:rPr>
            <w:t>投标须知前附表</w:t>
          </w:r>
          <w:r>
            <w:tab/>
          </w:r>
          <w:r>
            <w:fldChar w:fldCharType="begin"/>
          </w:r>
          <w:r>
            <w:instrText xml:space="preserve"> PAGEREF _Toc495861519 \h </w:instrText>
          </w:r>
          <w:r>
            <w:fldChar w:fldCharType="separate"/>
          </w:r>
          <w:r>
            <w:t>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"_Toc495861520" </w:instrText>
          </w:r>
          <w:r>
            <w:fldChar w:fldCharType="separate"/>
          </w:r>
          <w:r>
            <w:rPr>
              <w:rStyle w:val="23"/>
              <w:rFonts w:hint="eastAsia" w:cs="Times New Roman" w:asciiTheme="majorEastAsia" w:hAnsiTheme="majorEastAsia"/>
              <w:lang w:val="zh-CN"/>
            </w:rPr>
            <w:t>一、</w:t>
          </w:r>
          <w:r>
            <w:rPr>
              <w:rFonts w:asciiTheme="minorHAnsi" w:hAnsiTheme="minorHAnsi"/>
              <w:iCs w:val="0"/>
              <w:color w:val="auto"/>
              <w:kern w:val="2"/>
              <w:sz w:val="21"/>
            </w:rPr>
            <w:tab/>
          </w:r>
          <w:r>
            <w:rPr>
              <w:rStyle w:val="23"/>
              <w:rFonts w:hint="eastAsia" w:cs="Times New Roman" w:asciiTheme="majorEastAsia" w:hAnsiTheme="majorEastAsia"/>
              <w:lang w:val="zh-CN"/>
            </w:rPr>
            <w:t>说明</w:t>
          </w:r>
          <w:r>
            <w:tab/>
          </w:r>
          <w:r>
            <w:t>……………………………………………………………………………………</w:t>
          </w:r>
          <w:r>
            <w:rPr>
              <w:rFonts w:hint="eastAsia"/>
            </w:rPr>
            <w:t>.</w:t>
          </w:r>
          <w:r>
            <w:fldChar w:fldCharType="begin"/>
          </w:r>
          <w:r>
            <w:instrText xml:space="preserve"> PAGEREF _Toc495861520 \h </w:instrText>
          </w:r>
          <w:r>
            <w:fldChar w:fldCharType="separate"/>
          </w:r>
          <w:r>
            <w:t>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"_Toc495861521" </w:instrText>
          </w:r>
          <w:r>
            <w:fldChar w:fldCharType="separate"/>
          </w:r>
          <w:r>
            <w:rPr>
              <w:rStyle w:val="23"/>
              <w:rFonts w:hint="eastAsia" w:cs="Times New Roman" w:asciiTheme="majorEastAsia" w:hAnsiTheme="majorEastAsia"/>
              <w:lang w:val="zh-CN"/>
            </w:rPr>
            <w:t>二、</w:t>
          </w:r>
          <w:r>
            <w:rPr>
              <w:rFonts w:asciiTheme="minorHAnsi" w:hAnsiTheme="minorHAnsi"/>
              <w:iCs w:val="0"/>
              <w:color w:val="auto"/>
              <w:kern w:val="2"/>
              <w:sz w:val="21"/>
            </w:rPr>
            <w:tab/>
          </w:r>
          <w:r>
            <w:rPr>
              <w:rStyle w:val="23"/>
              <w:rFonts w:hint="eastAsia" w:cs="Times New Roman" w:asciiTheme="majorEastAsia" w:hAnsiTheme="majorEastAsia"/>
              <w:lang w:val="zh-CN"/>
            </w:rPr>
            <w:t>招标文件</w:t>
          </w:r>
          <w:r>
            <w:tab/>
          </w:r>
          <w:r>
            <w:fldChar w:fldCharType="begin"/>
          </w:r>
          <w:r>
            <w:instrText xml:space="preserve"> PAGEREF _Toc495861521 \h </w:instrText>
          </w:r>
          <w:r>
            <w:fldChar w:fldCharType="separate"/>
          </w:r>
          <w:r>
            <w:t>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"_Toc495861522" </w:instrText>
          </w:r>
          <w:r>
            <w:fldChar w:fldCharType="separate"/>
          </w:r>
          <w:r>
            <w:rPr>
              <w:rStyle w:val="23"/>
              <w:rFonts w:hint="eastAsia" w:cs="Times New Roman" w:asciiTheme="majorEastAsia" w:hAnsiTheme="majorEastAsia"/>
              <w:lang w:val="zh-CN"/>
            </w:rPr>
            <w:t>三、</w:t>
          </w:r>
          <w:r>
            <w:rPr>
              <w:rFonts w:asciiTheme="minorHAnsi" w:hAnsiTheme="minorHAnsi"/>
              <w:iCs w:val="0"/>
              <w:color w:val="auto"/>
              <w:kern w:val="2"/>
              <w:sz w:val="21"/>
            </w:rPr>
            <w:tab/>
          </w:r>
          <w:r>
            <w:rPr>
              <w:rStyle w:val="23"/>
              <w:rFonts w:hint="eastAsia" w:cs="Times New Roman" w:asciiTheme="majorEastAsia" w:hAnsiTheme="majorEastAsia"/>
              <w:lang w:val="zh-CN"/>
            </w:rPr>
            <w:t>投标文件</w:t>
          </w:r>
          <w:r>
            <w:tab/>
          </w:r>
          <w:r>
            <w:fldChar w:fldCharType="begin"/>
          </w:r>
          <w:r>
            <w:instrText xml:space="preserve"> PAGEREF _Toc495861522 \h </w:instrText>
          </w:r>
          <w:r>
            <w:fldChar w:fldCharType="separate"/>
          </w:r>
          <w:r>
            <w:t>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"_Toc495861523" </w:instrText>
          </w:r>
          <w:r>
            <w:fldChar w:fldCharType="separate"/>
          </w:r>
          <w:r>
            <w:rPr>
              <w:rStyle w:val="23"/>
              <w:rFonts w:hint="eastAsia" w:cs="Times New Roman" w:asciiTheme="majorEastAsia" w:hAnsiTheme="majorEastAsia"/>
              <w:lang w:val="zh-CN"/>
            </w:rPr>
            <w:t>四、</w:t>
          </w:r>
          <w:r>
            <w:rPr>
              <w:rFonts w:asciiTheme="minorHAnsi" w:hAnsiTheme="minorHAnsi"/>
              <w:iCs w:val="0"/>
              <w:color w:val="auto"/>
              <w:kern w:val="2"/>
              <w:sz w:val="21"/>
            </w:rPr>
            <w:tab/>
          </w:r>
          <w:r>
            <w:rPr>
              <w:rStyle w:val="23"/>
              <w:rFonts w:hint="eastAsia" w:cs="Times New Roman" w:asciiTheme="majorEastAsia" w:hAnsiTheme="majorEastAsia"/>
              <w:lang w:val="zh-CN"/>
            </w:rPr>
            <w:t>开标与评标</w:t>
          </w:r>
          <w:r>
            <w:tab/>
          </w:r>
          <w:r>
            <w:fldChar w:fldCharType="begin"/>
          </w:r>
          <w:r>
            <w:instrText xml:space="preserve"> PAGEREF _Toc495861523 \h </w:instrText>
          </w:r>
          <w:r>
            <w:fldChar w:fldCharType="separate"/>
          </w:r>
          <w:r>
            <w:t>14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"_Toc495861524" </w:instrText>
          </w:r>
          <w:r>
            <w:fldChar w:fldCharType="separate"/>
          </w:r>
          <w:r>
            <w:rPr>
              <w:rStyle w:val="23"/>
              <w:rFonts w:hint="eastAsia" w:cs="Times New Roman" w:asciiTheme="majorEastAsia" w:hAnsiTheme="majorEastAsia"/>
              <w:lang w:val="zh-CN"/>
            </w:rPr>
            <w:t>五、</w:t>
          </w:r>
          <w:r>
            <w:rPr>
              <w:rFonts w:asciiTheme="minorHAnsi" w:hAnsiTheme="minorHAnsi"/>
              <w:iCs w:val="0"/>
              <w:color w:val="auto"/>
              <w:kern w:val="2"/>
              <w:sz w:val="21"/>
            </w:rPr>
            <w:tab/>
          </w:r>
          <w:r>
            <w:rPr>
              <w:rStyle w:val="23"/>
              <w:rFonts w:hint="eastAsia" w:cs="Times New Roman" w:asciiTheme="majorEastAsia" w:hAnsiTheme="majorEastAsia"/>
              <w:lang w:val="zh-CN"/>
            </w:rPr>
            <w:t>投标人信用信息及查询</w:t>
          </w:r>
          <w:r>
            <w:tab/>
          </w:r>
          <w:r>
            <w:fldChar w:fldCharType="begin"/>
          </w:r>
          <w:r>
            <w:instrText xml:space="preserve"> PAGEREF _Toc495861524 \h </w:instrText>
          </w:r>
          <w:r>
            <w:fldChar w:fldCharType="separate"/>
          </w:r>
          <w:r>
            <w:t>15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"_Toc495861525" </w:instrText>
          </w:r>
          <w:r>
            <w:fldChar w:fldCharType="separate"/>
          </w:r>
          <w:r>
            <w:rPr>
              <w:rStyle w:val="23"/>
              <w:rFonts w:hint="eastAsia" w:cs="Times New Roman" w:asciiTheme="majorEastAsia" w:hAnsiTheme="majorEastAsia"/>
              <w:lang w:val="zh-CN"/>
            </w:rPr>
            <w:t>六、</w:t>
          </w:r>
          <w:r>
            <w:rPr>
              <w:rFonts w:asciiTheme="minorHAnsi" w:hAnsiTheme="minorHAnsi"/>
              <w:iCs w:val="0"/>
              <w:color w:val="auto"/>
              <w:kern w:val="2"/>
              <w:sz w:val="21"/>
            </w:rPr>
            <w:tab/>
          </w:r>
          <w:r>
            <w:rPr>
              <w:rStyle w:val="23"/>
              <w:rFonts w:hint="eastAsia" w:cs="Times New Roman" w:asciiTheme="majorEastAsia" w:hAnsiTheme="majorEastAsia"/>
              <w:lang w:val="zh-CN"/>
            </w:rPr>
            <w:t>中标与合同</w:t>
          </w:r>
          <w:r>
            <w:tab/>
          </w:r>
          <w:r>
            <w:fldChar w:fldCharType="begin"/>
          </w:r>
          <w:r>
            <w:instrText xml:space="preserve"> PAGEREF _Toc495861525 \h </w:instrText>
          </w:r>
          <w:r>
            <w:fldChar w:fldCharType="separate"/>
          </w:r>
          <w:r>
            <w:t>16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"_Toc495861526" </w:instrText>
          </w:r>
          <w:r>
            <w:fldChar w:fldCharType="separate"/>
          </w:r>
          <w:r>
            <w:rPr>
              <w:rStyle w:val="23"/>
              <w:rFonts w:hint="eastAsia" w:cs="Times New Roman" w:asciiTheme="majorEastAsia" w:hAnsiTheme="majorEastAsia"/>
              <w:lang w:val="zh-CN"/>
            </w:rPr>
            <w:t>七、</w:t>
          </w:r>
          <w:r>
            <w:rPr>
              <w:rFonts w:asciiTheme="minorHAnsi" w:hAnsiTheme="minorHAnsi"/>
              <w:iCs w:val="0"/>
              <w:color w:val="auto"/>
              <w:kern w:val="2"/>
              <w:sz w:val="21"/>
            </w:rPr>
            <w:tab/>
          </w:r>
          <w:r>
            <w:rPr>
              <w:rStyle w:val="23"/>
              <w:rFonts w:hint="eastAsia" w:cs="Times New Roman" w:asciiTheme="majorEastAsia" w:hAnsiTheme="majorEastAsia"/>
              <w:lang w:val="zh-CN"/>
            </w:rPr>
            <w:t>采购信息公告</w:t>
          </w:r>
          <w:r>
            <w:tab/>
          </w:r>
          <w:r>
            <w:fldChar w:fldCharType="begin"/>
          </w:r>
          <w:r>
            <w:instrText xml:space="preserve"> PAGEREF _Toc495861526 \h </w:instrText>
          </w:r>
          <w:r>
            <w:fldChar w:fldCharType="separate"/>
          </w:r>
          <w:r>
            <w:t>17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"_Toc495861527" </w:instrText>
          </w:r>
          <w:r>
            <w:fldChar w:fldCharType="separate"/>
          </w:r>
          <w:r>
            <w:rPr>
              <w:rStyle w:val="23"/>
              <w:rFonts w:hint="eastAsia" w:cs="Times New Roman" w:asciiTheme="majorEastAsia" w:hAnsiTheme="majorEastAsia"/>
              <w:lang w:val="zh-CN"/>
            </w:rPr>
            <w:t>八、</w:t>
          </w:r>
          <w:r>
            <w:rPr>
              <w:rFonts w:asciiTheme="minorHAnsi" w:hAnsiTheme="minorHAnsi"/>
              <w:iCs w:val="0"/>
              <w:color w:val="auto"/>
              <w:kern w:val="2"/>
              <w:sz w:val="21"/>
            </w:rPr>
            <w:tab/>
          </w:r>
          <w:r>
            <w:rPr>
              <w:rStyle w:val="23"/>
              <w:rFonts w:hint="eastAsia" w:cs="Times New Roman" w:asciiTheme="majorEastAsia" w:hAnsiTheme="majorEastAsia"/>
              <w:lang w:val="zh-CN"/>
            </w:rPr>
            <w:t>质疑及提交</w:t>
          </w:r>
          <w:r>
            <w:tab/>
          </w:r>
          <w:r>
            <w:fldChar w:fldCharType="begin"/>
          </w:r>
          <w:r>
            <w:instrText xml:space="preserve"> PAGEREF _Toc495861527 \h </w:instrText>
          </w:r>
          <w:r>
            <w:fldChar w:fldCharType="separate"/>
          </w:r>
          <w:r>
            <w:t>17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"_Toc495861528" </w:instrText>
          </w:r>
          <w:r>
            <w:fldChar w:fldCharType="separate"/>
          </w:r>
          <w:r>
            <w:rPr>
              <w:rStyle w:val="23"/>
              <w:rFonts w:hint="eastAsia" w:cs="Times New Roman" w:asciiTheme="majorEastAsia" w:hAnsiTheme="majorEastAsia"/>
              <w:lang w:val="zh-CN"/>
            </w:rPr>
            <w:t>九、</w:t>
          </w:r>
          <w:r>
            <w:rPr>
              <w:rFonts w:asciiTheme="minorHAnsi" w:hAnsiTheme="minorHAnsi"/>
              <w:iCs w:val="0"/>
              <w:color w:val="auto"/>
              <w:kern w:val="2"/>
              <w:sz w:val="21"/>
            </w:rPr>
            <w:tab/>
          </w:r>
          <w:r>
            <w:rPr>
              <w:rStyle w:val="23"/>
              <w:rFonts w:hint="eastAsia" w:cs="Times New Roman" w:asciiTheme="majorEastAsia" w:hAnsiTheme="majorEastAsia"/>
              <w:lang w:val="zh-CN"/>
            </w:rPr>
            <w:t>相关条文解读</w:t>
          </w:r>
          <w:r>
            <w:tab/>
          </w:r>
          <w:r>
            <w:fldChar w:fldCharType="begin"/>
          </w:r>
          <w:r>
            <w:instrText xml:space="preserve"> PAGEREF _Toc495861528 \h </w:instrText>
          </w:r>
          <w:r>
            <w:fldChar w:fldCharType="separate"/>
          </w:r>
          <w:r>
            <w:t>18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"_Toc495861529" </w:instrText>
          </w:r>
          <w:r>
            <w:fldChar w:fldCharType="separate"/>
          </w:r>
          <w:r>
            <w:rPr>
              <w:rStyle w:val="23"/>
              <w:rFonts w:hint="eastAsia" w:cs="Times New Roman" w:asciiTheme="majorEastAsia" w:hAnsiTheme="majorEastAsia"/>
              <w:lang w:val="zh-CN"/>
            </w:rPr>
            <w:t>十、</w:t>
          </w:r>
          <w:r>
            <w:rPr>
              <w:rFonts w:asciiTheme="minorHAnsi" w:hAnsiTheme="minorHAnsi"/>
              <w:iCs w:val="0"/>
              <w:color w:val="auto"/>
              <w:kern w:val="2"/>
              <w:sz w:val="21"/>
            </w:rPr>
            <w:tab/>
          </w:r>
          <w:r>
            <w:rPr>
              <w:rStyle w:val="23"/>
              <w:rFonts w:hint="eastAsia" w:cs="Times New Roman" w:asciiTheme="majorEastAsia" w:hAnsiTheme="majorEastAsia"/>
              <w:lang w:val="zh-CN"/>
            </w:rPr>
            <w:t>其他注意事项</w:t>
          </w:r>
          <w:r>
            <w:tab/>
          </w:r>
          <w:r>
            <w:fldChar w:fldCharType="begin"/>
          </w:r>
          <w:r>
            <w:instrText xml:space="preserve"> PAGEREF _Toc495861529 \h </w:instrText>
          </w:r>
          <w:r>
            <w:fldChar w:fldCharType="separate"/>
          </w:r>
          <w:r>
            <w:t>19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"_Toc495861530" </w:instrText>
          </w:r>
          <w:r>
            <w:fldChar w:fldCharType="separate"/>
          </w:r>
          <w:r>
            <w:rPr>
              <w:rStyle w:val="23"/>
              <w:rFonts w:hint="eastAsia" w:cs="Times New Roman" w:asciiTheme="majorEastAsia" w:hAnsiTheme="majorEastAsia"/>
              <w:lang w:val="zh-CN"/>
            </w:rPr>
            <w:t>十一、</w:t>
          </w:r>
          <w:r>
            <w:rPr>
              <w:rFonts w:asciiTheme="minorHAnsi" w:hAnsiTheme="minorHAnsi"/>
              <w:iCs w:val="0"/>
              <w:color w:val="auto"/>
              <w:kern w:val="2"/>
              <w:sz w:val="21"/>
            </w:rPr>
            <w:tab/>
          </w:r>
          <w:r>
            <w:rPr>
              <w:rStyle w:val="23"/>
              <w:rFonts w:hint="eastAsia" w:cs="Times New Roman" w:asciiTheme="majorEastAsia" w:hAnsiTheme="majorEastAsia"/>
              <w:lang w:val="zh-CN"/>
            </w:rPr>
            <w:t>适用法律</w:t>
          </w:r>
          <w:r>
            <w:tab/>
          </w:r>
          <w:r>
            <w:fldChar w:fldCharType="begin"/>
          </w:r>
          <w:r>
            <w:instrText xml:space="preserve"> PAGEREF _Toc495861530 \h </w:instrText>
          </w:r>
          <w:r>
            <w:fldChar w:fldCharType="separate"/>
          </w:r>
          <w:r>
            <w:t>19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"_Toc495861531" </w:instrText>
          </w:r>
          <w:r>
            <w:fldChar w:fldCharType="separate"/>
          </w:r>
          <w:r>
            <w:rPr>
              <w:rStyle w:val="23"/>
              <w:rFonts w:hint="eastAsia" w:cs="Times New Roman" w:asciiTheme="majorEastAsia" w:hAnsiTheme="majorEastAsia"/>
              <w:lang w:val="zh-CN"/>
            </w:rPr>
            <w:t>十二、</w:t>
          </w:r>
          <w:r>
            <w:rPr>
              <w:rFonts w:asciiTheme="minorHAnsi" w:hAnsiTheme="minorHAnsi"/>
              <w:iCs w:val="0"/>
              <w:color w:val="auto"/>
              <w:kern w:val="2"/>
              <w:sz w:val="21"/>
            </w:rPr>
            <w:tab/>
          </w:r>
          <w:r>
            <w:rPr>
              <w:rStyle w:val="23"/>
              <w:rFonts w:hint="eastAsia" w:cs="Times New Roman" w:asciiTheme="majorEastAsia" w:hAnsiTheme="majorEastAsia"/>
              <w:lang w:val="zh-CN"/>
            </w:rPr>
            <w:t>招标文件的解释权</w:t>
          </w:r>
          <w:r>
            <w:tab/>
          </w:r>
          <w:r>
            <w:fldChar w:fldCharType="begin"/>
          </w:r>
          <w:r>
            <w:instrText xml:space="preserve"> PAGEREF _Toc495861531 \h </w:instrText>
          </w:r>
          <w:r>
            <w:fldChar w:fldCharType="separate"/>
          </w:r>
          <w:r>
            <w:t>19</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"_Toc495861532" </w:instrText>
          </w:r>
          <w:r>
            <w:fldChar w:fldCharType="separate"/>
          </w:r>
          <w:r>
            <w:rPr>
              <w:rStyle w:val="23"/>
              <w:rFonts w:hint="eastAsia" w:ascii="黑体" w:hAnsi="黑体"/>
            </w:rPr>
            <w:t>第三章</w:t>
          </w:r>
          <w:r>
            <w:rPr>
              <w:rFonts w:eastAsiaTheme="minorEastAsia"/>
              <w:b w:val="0"/>
              <w:iCs w:val="0"/>
              <w:color w:val="auto"/>
              <w:kern w:val="2"/>
              <w:sz w:val="21"/>
            </w:rPr>
            <w:tab/>
          </w:r>
          <w:r>
            <w:rPr>
              <w:rStyle w:val="23"/>
              <w:rFonts w:hint="eastAsia" w:ascii="黑体" w:hAnsi="黑体"/>
            </w:rPr>
            <w:t>项目技术、服务及商务要求</w:t>
          </w:r>
          <w:r>
            <w:tab/>
          </w:r>
          <w:r>
            <w:fldChar w:fldCharType="begin"/>
          </w:r>
          <w:r>
            <w:instrText xml:space="preserve"> PAGEREF _Toc495861532 \h </w:instrText>
          </w:r>
          <w:r>
            <w:fldChar w:fldCharType="separate"/>
          </w:r>
          <w:r>
            <w:t>20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"_Toc495861533" </w:instrText>
          </w:r>
          <w:r>
            <w:fldChar w:fldCharType="separate"/>
          </w:r>
          <w:r>
            <w:rPr>
              <w:rStyle w:val="23"/>
              <w:rFonts w:hint="eastAsia" w:cs="Times New Roman" w:asciiTheme="majorEastAsia" w:hAnsiTheme="majorEastAsia"/>
              <w:lang w:val="zh-CN"/>
            </w:rPr>
            <w:t>一、</w:t>
          </w:r>
          <w:r>
            <w:rPr>
              <w:rFonts w:asciiTheme="minorHAnsi" w:hAnsiTheme="minorHAnsi"/>
              <w:iCs w:val="0"/>
              <w:color w:val="auto"/>
              <w:kern w:val="2"/>
              <w:sz w:val="21"/>
            </w:rPr>
            <w:tab/>
          </w:r>
          <w:r>
            <w:rPr>
              <w:rStyle w:val="23"/>
              <w:rFonts w:hint="eastAsia" w:cs="Times New Roman" w:asciiTheme="majorEastAsia" w:hAnsiTheme="majorEastAsia"/>
              <w:lang w:val="zh-CN"/>
            </w:rPr>
            <w:t>采购清单</w:t>
          </w:r>
          <w:r>
            <w:tab/>
          </w:r>
          <w:r>
            <w:fldChar w:fldCharType="begin"/>
          </w:r>
          <w:r>
            <w:instrText xml:space="preserve"> PAGEREF _Toc495861533 \h </w:instrText>
          </w:r>
          <w:r>
            <w:fldChar w:fldCharType="separate"/>
          </w:r>
          <w:r>
            <w:t>20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"_Toc495861536" </w:instrText>
          </w:r>
          <w:r>
            <w:fldChar w:fldCharType="separate"/>
          </w:r>
          <w:r>
            <w:rPr>
              <w:rStyle w:val="23"/>
              <w:rFonts w:hint="eastAsia" w:cs="Times New Roman" w:asciiTheme="majorEastAsia" w:hAnsiTheme="majorEastAsia"/>
              <w:lang w:val="zh-CN"/>
            </w:rPr>
            <w:t>二、</w:t>
          </w:r>
          <w:r>
            <w:rPr>
              <w:rFonts w:asciiTheme="minorHAnsi" w:hAnsiTheme="minorHAnsi"/>
              <w:iCs w:val="0"/>
              <w:color w:val="auto"/>
              <w:kern w:val="2"/>
              <w:sz w:val="21"/>
            </w:rPr>
            <w:tab/>
          </w:r>
          <w:r>
            <w:rPr>
              <w:rStyle w:val="23"/>
              <w:rFonts w:hint="eastAsia" w:cs="Times New Roman" w:asciiTheme="majorEastAsia" w:hAnsiTheme="majorEastAsia"/>
              <w:lang w:val="zh-CN"/>
            </w:rPr>
            <w:t>技术、服务要求</w:t>
          </w:r>
          <w:r>
            <w:tab/>
          </w:r>
          <w:r>
            <w:fldChar w:fldCharType="begin"/>
          </w:r>
          <w:r>
            <w:instrText xml:space="preserve"> PAGEREF _Toc495861536 \h </w:instrText>
          </w:r>
          <w:r>
            <w:fldChar w:fldCharType="separate"/>
          </w:r>
          <w:r>
            <w:t>20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"_Toc495861537" </w:instrText>
          </w:r>
          <w:r>
            <w:fldChar w:fldCharType="separate"/>
          </w:r>
          <w:r>
            <w:rPr>
              <w:rStyle w:val="23"/>
              <w:rFonts w:hint="eastAsia" w:cs="Times New Roman" w:asciiTheme="majorEastAsia" w:hAnsiTheme="majorEastAsia"/>
              <w:lang w:val="zh-CN"/>
            </w:rPr>
            <w:t>三、</w:t>
          </w:r>
          <w:r>
            <w:rPr>
              <w:rFonts w:asciiTheme="minorHAnsi" w:hAnsiTheme="minorHAnsi"/>
              <w:iCs w:val="0"/>
              <w:color w:val="auto"/>
              <w:kern w:val="2"/>
              <w:sz w:val="21"/>
            </w:rPr>
            <w:tab/>
          </w:r>
          <w:r>
            <w:rPr>
              <w:rStyle w:val="23"/>
              <w:rFonts w:hint="eastAsia" w:cs="Times New Roman" w:asciiTheme="majorEastAsia" w:hAnsiTheme="majorEastAsia"/>
              <w:lang w:val="zh-CN"/>
            </w:rPr>
            <w:t>商务要求</w:t>
          </w:r>
          <w:r>
            <w:tab/>
          </w:r>
          <w:r>
            <w:fldChar w:fldCharType="begin"/>
          </w:r>
          <w:r>
            <w:instrText xml:space="preserve"> PAGEREF _Toc495861537 \h </w:instrText>
          </w:r>
          <w:r>
            <w:fldChar w:fldCharType="separate"/>
          </w:r>
          <w:r>
            <w:t>24</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"_Toc495861538" </w:instrText>
          </w:r>
          <w:r>
            <w:fldChar w:fldCharType="separate"/>
          </w:r>
          <w:r>
            <w:rPr>
              <w:rStyle w:val="23"/>
              <w:rFonts w:hint="eastAsia" w:ascii="黑体" w:hAnsi="黑体"/>
            </w:rPr>
            <w:t>第四章</w:t>
          </w:r>
          <w:r>
            <w:rPr>
              <w:rFonts w:eastAsiaTheme="minorEastAsia"/>
              <w:b w:val="0"/>
              <w:iCs w:val="0"/>
              <w:color w:val="auto"/>
              <w:kern w:val="2"/>
              <w:sz w:val="21"/>
            </w:rPr>
            <w:tab/>
          </w:r>
          <w:r>
            <w:rPr>
              <w:rStyle w:val="23"/>
              <w:rFonts w:hint="eastAsia" w:ascii="黑体" w:hAnsi="黑体"/>
            </w:rPr>
            <w:t>资格审查方法及标准</w:t>
          </w:r>
          <w:r>
            <w:tab/>
          </w:r>
          <w:r>
            <w:fldChar w:fldCharType="begin"/>
          </w:r>
          <w:r>
            <w:instrText xml:space="preserve"> PAGEREF _Toc495861538 \h </w:instrText>
          </w:r>
          <w:r>
            <w:fldChar w:fldCharType="separate"/>
          </w:r>
          <w:r>
            <w:t>25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"_Toc495861539" </w:instrText>
          </w:r>
          <w:r>
            <w:fldChar w:fldCharType="separate"/>
          </w:r>
          <w:r>
            <w:rPr>
              <w:rStyle w:val="23"/>
              <w:rFonts w:hint="eastAsia" w:cs="Times New Roman" w:asciiTheme="majorEastAsia" w:hAnsiTheme="majorEastAsia"/>
              <w:lang w:val="zh-CN"/>
            </w:rPr>
            <w:t>一、</w:t>
          </w:r>
          <w:r>
            <w:rPr>
              <w:rFonts w:asciiTheme="minorHAnsi" w:hAnsiTheme="minorHAnsi"/>
              <w:iCs w:val="0"/>
              <w:color w:val="auto"/>
              <w:kern w:val="2"/>
              <w:sz w:val="21"/>
            </w:rPr>
            <w:tab/>
          </w:r>
          <w:r>
            <w:rPr>
              <w:rStyle w:val="23"/>
              <w:rFonts w:hint="eastAsia" w:cs="Times New Roman" w:asciiTheme="majorEastAsia" w:hAnsiTheme="majorEastAsia"/>
              <w:lang w:val="zh-CN"/>
            </w:rPr>
            <w:t>资格审查方法</w:t>
          </w:r>
          <w:r>
            <w:tab/>
          </w:r>
          <w:r>
            <w:fldChar w:fldCharType="begin"/>
          </w:r>
          <w:r>
            <w:instrText xml:space="preserve"> PAGEREF _Toc495861539 \h </w:instrText>
          </w:r>
          <w:r>
            <w:fldChar w:fldCharType="separate"/>
          </w:r>
          <w:r>
            <w:t>25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"_Toc495861540" </w:instrText>
          </w:r>
          <w:r>
            <w:fldChar w:fldCharType="separate"/>
          </w:r>
          <w:r>
            <w:rPr>
              <w:rStyle w:val="23"/>
              <w:rFonts w:hint="eastAsia" w:cs="Times New Roman" w:asciiTheme="majorEastAsia" w:hAnsiTheme="majorEastAsia"/>
              <w:lang w:val="zh-CN"/>
            </w:rPr>
            <w:t>二、</w:t>
          </w:r>
          <w:r>
            <w:rPr>
              <w:rFonts w:asciiTheme="minorHAnsi" w:hAnsiTheme="minorHAnsi"/>
              <w:iCs w:val="0"/>
              <w:color w:val="auto"/>
              <w:kern w:val="2"/>
              <w:sz w:val="21"/>
            </w:rPr>
            <w:tab/>
          </w:r>
          <w:r>
            <w:rPr>
              <w:rStyle w:val="23"/>
              <w:rFonts w:hint="eastAsia" w:cs="Times New Roman" w:asciiTheme="majorEastAsia" w:hAnsiTheme="majorEastAsia"/>
              <w:lang w:val="zh-CN"/>
            </w:rPr>
            <w:t>资格审查标准</w:t>
          </w:r>
          <w:r>
            <w:tab/>
          </w:r>
          <w:r>
            <w:fldChar w:fldCharType="begin"/>
          </w:r>
          <w:r>
            <w:instrText xml:space="preserve"> PAGEREF _Toc495861540 \h </w:instrText>
          </w:r>
          <w:r>
            <w:fldChar w:fldCharType="separate"/>
          </w:r>
          <w:r>
            <w:t>25</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"_Toc495861541" </w:instrText>
          </w:r>
          <w:r>
            <w:fldChar w:fldCharType="separate"/>
          </w:r>
          <w:r>
            <w:rPr>
              <w:rStyle w:val="23"/>
              <w:rFonts w:hint="eastAsia" w:ascii="黑体" w:hAnsi="黑体"/>
            </w:rPr>
            <w:t>第五章</w:t>
          </w:r>
          <w:r>
            <w:rPr>
              <w:rFonts w:eastAsiaTheme="minorEastAsia"/>
              <w:b w:val="0"/>
              <w:iCs w:val="0"/>
              <w:color w:val="auto"/>
              <w:kern w:val="2"/>
              <w:sz w:val="21"/>
            </w:rPr>
            <w:tab/>
          </w:r>
          <w:r>
            <w:rPr>
              <w:rStyle w:val="23"/>
              <w:rFonts w:hint="eastAsia" w:ascii="黑体" w:hAnsi="黑体"/>
            </w:rPr>
            <w:t>评标方法、程序及标准</w:t>
          </w:r>
          <w:r>
            <w:tab/>
          </w:r>
          <w:r>
            <w:fldChar w:fldCharType="begin"/>
          </w:r>
          <w:r>
            <w:instrText xml:space="preserve"> PAGEREF _Toc495861541 \h </w:instrText>
          </w:r>
          <w:r>
            <w:fldChar w:fldCharType="separate"/>
          </w:r>
          <w:r>
            <w:t>27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"_Toc495861542" </w:instrText>
          </w:r>
          <w:r>
            <w:fldChar w:fldCharType="separate"/>
          </w:r>
          <w:r>
            <w:rPr>
              <w:rStyle w:val="23"/>
              <w:rFonts w:hint="eastAsia" w:cs="Times New Roman" w:asciiTheme="majorEastAsia" w:hAnsiTheme="majorEastAsia"/>
              <w:lang w:val="zh-CN"/>
            </w:rPr>
            <w:t>一、</w:t>
          </w:r>
          <w:r>
            <w:rPr>
              <w:rFonts w:asciiTheme="minorHAnsi" w:hAnsiTheme="minorHAnsi"/>
              <w:iCs w:val="0"/>
              <w:color w:val="auto"/>
              <w:kern w:val="2"/>
              <w:sz w:val="21"/>
            </w:rPr>
            <w:tab/>
          </w:r>
          <w:r>
            <w:rPr>
              <w:rStyle w:val="23"/>
              <w:rFonts w:hint="eastAsia" w:cs="Times New Roman" w:asciiTheme="majorEastAsia" w:hAnsiTheme="majorEastAsia"/>
              <w:lang w:val="zh-CN"/>
            </w:rPr>
            <w:t>评标方法</w:t>
          </w:r>
          <w:r>
            <w:tab/>
          </w:r>
          <w:r>
            <w:fldChar w:fldCharType="begin"/>
          </w:r>
          <w:r>
            <w:instrText xml:space="preserve"> PAGEREF _Toc495861542 \h </w:instrText>
          </w:r>
          <w:r>
            <w:fldChar w:fldCharType="separate"/>
          </w:r>
          <w:r>
            <w:t>27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"_Toc495861543" </w:instrText>
          </w:r>
          <w:r>
            <w:fldChar w:fldCharType="separate"/>
          </w:r>
          <w:r>
            <w:rPr>
              <w:rStyle w:val="23"/>
              <w:rFonts w:hint="eastAsia" w:cs="Times New Roman" w:asciiTheme="majorEastAsia" w:hAnsiTheme="majorEastAsia"/>
              <w:lang w:val="zh-CN"/>
            </w:rPr>
            <w:t>二、</w:t>
          </w:r>
          <w:r>
            <w:rPr>
              <w:rFonts w:asciiTheme="minorHAnsi" w:hAnsiTheme="minorHAnsi"/>
              <w:iCs w:val="0"/>
              <w:color w:val="auto"/>
              <w:kern w:val="2"/>
              <w:sz w:val="21"/>
            </w:rPr>
            <w:tab/>
          </w:r>
          <w:r>
            <w:rPr>
              <w:rStyle w:val="23"/>
              <w:rFonts w:hint="eastAsia" w:cs="Times New Roman" w:asciiTheme="majorEastAsia" w:hAnsiTheme="majorEastAsia"/>
              <w:lang w:val="zh-CN"/>
            </w:rPr>
            <w:t>评标程序及标准</w:t>
          </w:r>
          <w:r>
            <w:tab/>
          </w:r>
          <w:r>
            <w:fldChar w:fldCharType="begin"/>
          </w:r>
          <w:r>
            <w:instrText xml:space="preserve"> PAGEREF _Toc495861543 \h </w:instrText>
          </w:r>
          <w:r>
            <w:fldChar w:fldCharType="separate"/>
          </w:r>
          <w:r>
            <w:t>27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"_Toc495861544" </w:instrText>
          </w:r>
          <w:r>
            <w:fldChar w:fldCharType="separate"/>
          </w:r>
          <w:r>
            <w:rPr>
              <w:rStyle w:val="23"/>
              <w:rFonts w:hint="eastAsia" w:cs="Times New Roman" w:asciiTheme="majorEastAsia" w:hAnsiTheme="majorEastAsia"/>
              <w:lang w:val="zh-CN"/>
            </w:rPr>
            <w:t>三、</w:t>
          </w:r>
          <w:r>
            <w:rPr>
              <w:rFonts w:asciiTheme="minorHAnsi" w:hAnsiTheme="minorHAnsi"/>
              <w:iCs w:val="0"/>
              <w:color w:val="auto"/>
              <w:kern w:val="2"/>
              <w:sz w:val="21"/>
            </w:rPr>
            <w:tab/>
          </w:r>
          <w:r>
            <w:rPr>
              <w:rStyle w:val="23"/>
              <w:rFonts w:hint="eastAsia" w:cs="Times New Roman" w:asciiTheme="majorEastAsia" w:hAnsiTheme="majorEastAsia"/>
              <w:lang w:val="zh-CN"/>
            </w:rPr>
            <w:t>评审因素及评分标准</w:t>
          </w:r>
          <w:r>
            <w:tab/>
          </w:r>
          <w:r>
            <w:fldChar w:fldCharType="begin"/>
          </w:r>
          <w:r>
            <w:instrText xml:space="preserve"> PAGEREF _Toc495861544 \h </w:instrText>
          </w:r>
          <w:r>
            <w:fldChar w:fldCharType="separate"/>
          </w:r>
          <w:r>
            <w:t>30</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"_Toc495861545" </w:instrText>
          </w:r>
          <w:r>
            <w:fldChar w:fldCharType="separate"/>
          </w:r>
          <w:r>
            <w:rPr>
              <w:rStyle w:val="23"/>
              <w:rFonts w:hint="eastAsia" w:ascii="黑体" w:hAnsi="黑体"/>
            </w:rPr>
            <w:t>第六章</w:t>
          </w:r>
          <w:r>
            <w:rPr>
              <w:rFonts w:eastAsiaTheme="minorEastAsia"/>
              <w:b w:val="0"/>
              <w:iCs w:val="0"/>
              <w:color w:val="auto"/>
              <w:kern w:val="2"/>
              <w:sz w:val="21"/>
            </w:rPr>
            <w:tab/>
          </w:r>
          <w:r>
            <w:rPr>
              <w:rStyle w:val="23"/>
              <w:rFonts w:hint="eastAsia" w:ascii="黑体" w:hAnsi="黑体"/>
            </w:rPr>
            <w:t>合同书格式（参考）</w:t>
          </w:r>
          <w:r>
            <w:tab/>
          </w:r>
          <w:r>
            <w:fldChar w:fldCharType="begin"/>
          </w:r>
          <w:r>
            <w:instrText xml:space="preserve"> PAGEREF _Toc495861545 \h </w:instrText>
          </w:r>
          <w:r>
            <w:fldChar w:fldCharType="separate"/>
          </w:r>
          <w:r>
            <w:t>32</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"_Toc495861546" </w:instrText>
          </w:r>
          <w:r>
            <w:fldChar w:fldCharType="separate"/>
          </w:r>
          <w:r>
            <w:rPr>
              <w:rStyle w:val="23"/>
              <w:rFonts w:hint="eastAsia" w:ascii="黑体" w:hAnsi="黑体"/>
            </w:rPr>
            <w:t>第七章</w:t>
          </w:r>
          <w:r>
            <w:rPr>
              <w:rFonts w:eastAsiaTheme="minorEastAsia"/>
              <w:b w:val="0"/>
              <w:iCs w:val="0"/>
              <w:color w:val="auto"/>
              <w:kern w:val="2"/>
              <w:sz w:val="21"/>
            </w:rPr>
            <w:tab/>
          </w:r>
          <w:r>
            <w:rPr>
              <w:rStyle w:val="23"/>
              <w:rFonts w:hint="eastAsia" w:ascii="黑体" w:hAnsi="黑体"/>
            </w:rPr>
            <w:t>投标文件格式（参考）</w:t>
          </w:r>
          <w:r>
            <w:tab/>
          </w:r>
          <w:r>
            <w:fldChar w:fldCharType="begin"/>
          </w:r>
          <w:r>
            <w:instrText xml:space="preserve"> PAGEREF _Toc495861546 \h </w:instrText>
          </w:r>
          <w:r>
            <w:fldChar w:fldCharType="separate"/>
          </w:r>
          <w:r>
            <w:t>34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"_Toc495861547" </w:instrText>
          </w:r>
          <w:r>
            <w:fldChar w:fldCharType="separate"/>
          </w:r>
          <w:r>
            <w:rPr>
              <w:rStyle w:val="23"/>
              <w:rFonts w:hint="eastAsia" w:cs="Times New Roman" w:asciiTheme="majorEastAsia" w:hAnsiTheme="majorEastAsia"/>
              <w:lang w:val="zh-CN"/>
            </w:rPr>
            <w:t>第一部分资格证明文件</w:t>
          </w:r>
          <w:r>
            <w:tab/>
          </w:r>
          <w:r>
            <w:fldChar w:fldCharType="begin"/>
          </w:r>
          <w:r>
            <w:instrText xml:space="preserve"> PAGEREF _Toc495861547 \h </w:instrText>
          </w:r>
          <w:r>
            <w:fldChar w:fldCharType="separate"/>
          </w:r>
          <w:r>
            <w:t>34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"_Toc495861548" </w:instrText>
          </w:r>
          <w:r>
            <w:fldChar w:fldCharType="separate"/>
          </w:r>
          <w:r>
            <w:rPr>
              <w:rStyle w:val="23"/>
              <w:rFonts w:hint="eastAsia" w:cs="Times New Roman" w:asciiTheme="majorEastAsia" w:hAnsiTheme="majorEastAsia"/>
              <w:lang w:val="zh-CN"/>
            </w:rPr>
            <w:t>第二部分商务文件</w:t>
          </w:r>
          <w:r>
            <w:tab/>
          </w:r>
          <w:r>
            <w:fldChar w:fldCharType="begin"/>
          </w:r>
          <w:r>
            <w:instrText xml:space="preserve"> PAGEREF _Toc495861548 \h </w:instrText>
          </w:r>
          <w:r>
            <w:fldChar w:fldCharType="separate"/>
          </w:r>
          <w:r>
            <w:t>36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"_Toc495861549" </w:instrText>
          </w:r>
          <w:r>
            <w:fldChar w:fldCharType="separate"/>
          </w:r>
          <w:r>
            <w:rPr>
              <w:rStyle w:val="23"/>
              <w:rFonts w:hint="eastAsia" w:cs="Times New Roman" w:asciiTheme="majorEastAsia" w:hAnsiTheme="majorEastAsia"/>
              <w:lang w:val="zh-CN"/>
            </w:rPr>
            <w:t>第三部分技术、服务文件</w:t>
          </w:r>
          <w:r>
            <w:tab/>
          </w:r>
          <w:r>
            <w:fldChar w:fldCharType="begin"/>
          </w:r>
          <w:r>
            <w:instrText xml:space="preserve"> PAGEREF _Toc495861549 \h </w:instrText>
          </w:r>
          <w:r>
            <w:fldChar w:fldCharType="separate"/>
          </w:r>
          <w:r>
            <w:t>38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"_Toc495861550" </w:instrText>
          </w:r>
          <w:r>
            <w:fldChar w:fldCharType="separate"/>
          </w:r>
          <w:r>
            <w:rPr>
              <w:rStyle w:val="23"/>
              <w:rFonts w:hint="eastAsia" w:eastAsia="宋体"/>
            </w:rPr>
            <w:t>附件一、</w:t>
          </w:r>
          <w:r>
            <w:rPr>
              <w:rFonts w:asciiTheme="minorHAnsi" w:hAnsiTheme="minorHAnsi"/>
              <w:iCs w:val="0"/>
              <w:color w:val="auto"/>
              <w:kern w:val="2"/>
              <w:sz w:val="21"/>
            </w:rPr>
            <w:tab/>
          </w:r>
          <w:r>
            <w:rPr>
              <w:rStyle w:val="23"/>
              <w:rFonts w:hint="eastAsia" w:eastAsia="宋体"/>
            </w:rPr>
            <w:t>投标书</w:t>
          </w:r>
          <w:r>
            <w:tab/>
          </w:r>
          <w:r>
            <w:fldChar w:fldCharType="begin"/>
          </w:r>
          <w:r>
            <w:instrText xml:space="preserve"> PAGEREF _Toc495861550 \h </w:instrText>
          </w:r>
          <w:r>
            <w:fldChar w:fldCharType="separate"/>
          </w:r>
          <w:r>
            <w:t>40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"_Toc495861551" </w:instrText>
          </w:r>
          <w:r>
            <w:fldChar w:fldCharType="separate"/>
          </w:r>
          <w:r>
            <w:rPr>
              <w:rStyle w:val="23"/>
              <w:rFonts w:hint="eastAsia" w:eastAsia="宋体"/>
            </w:rPr>
            <w:t>附件二、</w:t>
          </w:r>
          <w:r>
            <w:rPr>
              <w:rFonts w:asciiTheme="minorHAnsi" w:hAnsiTheme="minorHAnsi"/>
              <w:iCs w:val="0"/>
              <w:color w:val="auto"/>
              <w:kern w:val="2"/>
              <w:sz w:val="21"/>
            </w:rPr>
            <w:tab/>
          </w:r>
          <w:r>
            <w:rPr>
              <w:rStyle w:val="23"/>
              <w:rFonts w:hint="eastAsia" w:eastAsia="宋体"/>
            </w:rPr>
            <w:t>制造商中小企业声明函</w:t>
          </w:r>
          <w:r>
            <w:tab/>
          </w:r>
          <w:r>
            <w:fldChar w:fldCharType="begin"/>
          </w:r>
          <w:r>
            <w:instrText xml:space="preserve"> PAGEREF _Toc495861551 \h </w:instrText>
          </w:r>
          <w:r>
            <w:fldChar w:fldCharType="separate"/>
          </w:r>
          <w:r>
            <w:t>41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"_Toc495861552" </w:instrText>
          </w:r>
          <w:r>
            <w:fldChar w:fldCharType="separate"/>
          </w:r>
          <w:r>
            <w:rPr>
              <w:rStyle w:val="23"/>
              <w:rFonts w:hint="eastAsia" w:eastAsia="宋体"/>
            </w:rPr>
            <w:t>附件三、</w:t>
          </w:r>
          <w:r>
            <w:rPr>
              <w:rFonts w:asciiTheme="minorHAnsi" w:hAnsiTheme="minorHAnsi"/>
              <w:iCs w:val="0"/>
              <w:color w:val="auto"/>
              <w:kern w:val="2"/>
              <w:sz w:val="21"/>
            </w:rPr>
            <w:tab/>
          </w:r>
          <w:r>
            <w:rPr>
              <w:rStyle w:val="23"/>
              <w:rFonts w:hint="eastAsia" w:eastAsia="宋体"/>
            </w:rPr>
            <w:t>中小企业声明函</w:t>
          </w:r>
          <w:r>
            <w:tab/>
          </w:r>
          <w:r>
            <w:fldChar w:fldCharType="begin"/>
          </w:r>
          <w:r>
            <w:instrText xml:space="preserve"> PAGEREF _Toc495861552 \h </w:instrText>
          </w:r>
          <w:r>
            <w:fldChar w:fldCharType="separate"/>
          </w:r>
          <w:r>
            <w:t>42</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"_Toc495861553" </w:instrText>
          </w:r>
          <w:r>
            <w:fldChar w:fldCharType="separate"/>
          </w:r>
          <w:r>
            <w:rPr>
              <w:rStyle w:val="23"/>
              <w:rFonts w:hint="eastAsia" w:eastAsia="宋体"/>
            </w:rPr>
            <w:t>附件四、</w:t>
          </w:r>
          <w:r>
            <w:rPr>
              <w:rFonts w:asciiTheme="minorHAnsi" w:hAnsiTheme="minorHAnsi"/>
              <w:iCs w:val="0"/>
              <w:color w:val="auto"/>
              <w:kern w:val="2"/>
              <w:sz w:val="21"/>
            </w:rPr>
            <w:tab/>
          </w:r>
          <w:r>
            <w:rPr>
              <w:rStyle w:val="23"/>
              <w:rFonts w:hint="eastAsia" w:eastAsia="宋体"/>
            </w:rPr>
            <w:t>残疾人福利性单位声明函</w:t>
          </w:r>
          <w:r>
            <w:tab/>
          </w:r>
          <w:r>
            <w:fldChar w:fldCharType="begin"/>
          </w:r>
          <w:r>
            <w:instrText xml:space="preserve"> PAGEREF _Toc495861553 \h </w:instrText>
          </w:r>
          <w:r>
            <w:fldChar w:fldCharType="separate"/>
          </w:r>
          <w:r>
            <w:t>44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"_Toc495861554" </w:instrText>
          </w:r>
          <w:r>
            <w:fldChar w:fldCharType="separate"/>
          </w:r>
          <w:r>
            <w:rPr>
              <w:rStyle w:val="23"/>
              <w:rFonts w:hint="eastAsia" w:eastAsia="宋体"/>
            </w:rPr>
            <w:t>附件五、</w:t>
          </w:r>
          <w:r>
            <w:rPr>
              <w:rFonts w:asciiTheme="minorHAnsi" w:hAnsiTheme="minorHAnsi"/>
              <w:iCs w:val="0"/>
              <w:color w:val="auto"/>
              <w:kern w:val="2"/>
              <w:sz w:val="21"/>
            </w:rPr>
            <w:tab/>
          </w:r>
          <w:r>
            <w:rPr>
              <w:rStyle w:val="23"/>
              <w:rFonts w:hint="eastAsia" w:eastAsia="宋体"/>
            </w:rPr>
            <w:t>开标一览表</w:t>
          </w:r>
          <w:r>
            <w:tab/>
          </w:r>
          <w:r>
            <w:fldChar w:fldCharType="begin"/>
          </w:r>
          <w:r>
            <w:instrText xml:space="preserve"> PAGEREF _Toc495861554 \h </w:instrText>
          </w:r>
          <w:r>
            <w:fldChar w:fldCharType="separate"/>
          </w:r>
          <w:r>
            <w:t>47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"_Toc495861555" </w:instrText>
          </w:r>
          <w:r>
            <w:fldChar w:fldCharType="separate"/>
          </w:r>
          <w:r>
            <w:rPr>
              <w:rStyle w:val="23"/>
              <w:rFonts w:hint="eastAsia" w:eastAsia="宋体"/>
            </w:rPr>
            <w:t>附件六、</w:t>
          </w:r>
          <w:r>
            <w:rPr>
              <w:rFonts w:asciiTheme="minorHAnsi" w:hAnsiTheme="minorHAnsi"/>
              <w:iCs w:val="0"/>
              <w:color w:val="auto"/>
              <w:kern w:val="2"/>
              <w:sz w:val="21"/>
            </w:rPr>
            <w:tab/>
          </w:r>
          <w:r>
            <w:rPr>
              <w:rStyle w:val="23"/>
              <w:rFonts w:hint="eastAsia" w:eastAsia="宋体"/>
            </w:rPr>
            <w:t>投标报价明细表</w:t>
          </w:r>
          <w:r>
            <w:tab/>
          </w:r>
          <w:r>
            <w:fldChar w:fldCharType="begin"/>
          </w:r>
          <w:r>
            <w:instrText xml:space="preserve"> PAGEREF _Toc495861555 \h </w:instrText>
          </w:r>
          <w:r>
            <w:fldChar w:fldCharType="separate"/>
          </w:r>
          <w:r>
            <w:t>48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"_Toc495861556" </w:instrText>
          </w:r>
          <w:r>
            <w:fldChar w:fldCharType="separate"/>
          </w:r>
          <w:r>
            <w:rPr>
              <w:rStyle w:val="23"/>
              <w:rFonts w:hint="eastAsia" w:eastAsia="宋体"/>
            </w:rPr>
            <w:t>附件七、</w:t>
          </w:r>
          <w:r>
            <w:rPr>
              <w:rFonts w:asciiTheme="minorHAnsi" w:hAnsiTheme="minorHAnsi"/>
              <w:iCs w:val="0"/>
              <w:color w:val="auto"/>
              <w:kern w:val="2"/>
              <w:sz w:val="21"/>
            </w:rPr>
            <w:tab/>
          </w:r>
          <w:r>
            <w:rPr>
              <w:rStyle w:val="23"/>
              <w:rFonts w:hint="eastAsia" w:eastAsia="宋体"/>
            </w:rPr>
            <w:t>小型和微型企业、监狱企业、残疾人福利性单位货物汇总表</w:t>
          </w:r>
          <w:r>
            <w:tab/>
          </w:r>
          <w:r>
            <w:fldChar w:fldCharType="begin"/>
          </w:r>
          <w:r>
            <w:instrText xml:space="preserve"> PAGEREF _Toc495861556 \h </w:instrText>
          </w:r>
          <w:r>
            <w:fldChar w:fldCharType="separate"/>
          </w:r>
          <w:r>
            <w:t>49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"_Toc495861557" </w:instrText>
          </w:r>
          <w:r>
            <w:fldChar w:fldCharType="separate"/>
          </w:r>
          <w:r>
            <w:rPr>
              <w:rStyle w:val="23"/>
              <w:rFonts w:hint="eastAsia" w:eastAsia="宋体"/>
            </w:rPr>
            <w:t>附件八、</w:t>
          </w:r>
          <w:r>
            <w:rPr>
              <w:rFonts w:asciiTheme="minorHAnsi" w:hAnsiTheme="minorHAnsi"/>
              <w:iCs w:val="0"/>
              <w:color w:val="auto"/>
              <w:kern w:val="2"/>
              <w:sz w:val="21"/>
            </w:rPr>
            <w:tab/>
          </w:r>
          <w:r>
            <w:rPr>
              <w:rStyle w:val="23"/>
              <w:rFonts w:hint="eastAsia" w:eastAsia="宋体"/>
            </w:rPr>
            <w:t>投标货物（工程或服务）清单</w:t>
          </w:r>
          <w:r>
            <w:tab/>
          </w:r>
          <w:r>
            <w:fldChar w:fldCharType="begin"/>
          </w:r>
          <w:r>
            <w:instrText xml:space="preserve"> PAGEREF _Toc495861557 \h </w:instrText>
          </w:r>
          <w:r>
            <w:fldChar w:fldCharType="separate"/>
          </w:r>
          <w:r>
            <w:t>50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"_Toc495861558" </w:instrText>
          </w:r>
          <w:r>
            <w:fldChar w:fldCharType="separate"/>
          </w:r>
          <w:r>
            <w:rPr>
              <w:rStyle w:val="23"/>
              <w:rFonts w:hint="eastAsia" w:eastAsia="宋体"/>
            </w:rPr>
            <w:t>附件九、</w:t>
          </w:r>
          <w:r>
            <w:rPr>
              <w:rFonts w:asciiTheme="minorHAnsi" w:hAnsiTheme="minorHAnsi"/>
              <w:iCs w:val="0"/>
              <w:color w:val="auto"/>
              <w:kern w:val="2"/>
              <w:sz w:val="21"/>
            </w:rPr>
            <w:tab/>
          </w:r>
          <w:r>
            <w:rPr>
              <w:rStyle w:val="23"/>
              <w:rFonts w:hint="eastAsia" w:eastAsia="宋体"/>
            </w:rPr>
            <w:t>交纳投标保证金的银行凭证</w:t>
          </w:r>
          <w:r>
            <w:tab/>
          </w:r>
          <w:r>
            <w:fldChar w:fldCharType="begin"/>
          </w:r>
          <w:r>
            <w:instrText xml:space="preserve"> PAGEREF _Toc495861558 \h </w:instrText>
          </w:r>
          <w:r>
            <w:fldChar w:fldCharType="separate"/>
          </w:r>
          <w:r>
            <w:t>51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"_Toc495861559" </w:instrText>
          </w:r>
          <w:r>
            <w:fldChar w:fldCharType="separate"/>
          </w:r>
          <w:r>
            <w:rPr>
              <w:rStyle w:val="23"/>
              <w:rFonts w:hint="eastAsia" w:eastAsia="宋体"/>
            </w:rPr>
            <w:t>附件十、</w:t>
          </w:r>
          <w:r>
            <w:rPr>
              <w:rFonts w:asciiTheme="minorHAnsi" w:hAnsiTheme="minorHAnsi"/>
              <w:iCs w:val="0"/>
              <w:color w:val="auto"/>
              <w:kern w:val="2"/>
              <w:sz w:val="21"/>
            </w:rPr>
            <w:tab/>
          </w:r>
          <w:r>
            <w:rPr>
              <w:rStyle w:val="23"/>
              <w:rFonts w:hint="eastAsia" w:eastAsia="宋体"/>
            </w:rPr>
            <w:t>法定代表人授权书</w:t>
          </w:r>
          <w:r>
            <w:tab/>
          </w:r>
          <w:r>
            <w:fldChar w:fldCharType="begin"/>
          </w:r>
          <w:r>
            <w:instrText xml:space="preserve"> PAGEREF _Toc495861559 \h </w:instrText>
          </w:r>
          <w:r>
            <w:fldChar w:fldCharType="separate"/>
          </w:r>
          <w:r>
            <w:t>52</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"_Toc495861560" </w:instrText>
          </w:r>
          <w:r>
            <w:fldChar w:fldCharType="separate"/>
          </w:r>
          <w:r>
            <w:rPr>
              <w:rStyle w:val="23"/>
              <w:rFonts w:hint="eastAsia" w:eastAsia="宋体"/>
            </w:rPr>
            <w:t>附件十一、</w:t>
          </w:r>
          <w:r>
            <w:rPr>
              <w:rFonts w:asciiTheme="minorHAnsi" w:hAnsiTheme="minorHAnsi"/>
              <w:iCs w:val="0"/>
              <w:color w:val="auto"/>
              <w:kern w:val="2"/>
              <w:sz w:val="21"/>
            </w:rPr>
            <w:tab/>
          </w:r>
          <w:r>
            <w:rPr>
              <w:rStyle w:val="23"/>
              <w:rFonts w:hint="eastAsia" w:eastAsia="宋体"/>
            </w:rPr>
            <w:t>投标人的资格声明</w:t>
          </w:r>
          <w:r>
            <w:tab/>
          </w:r>
          <w:r>
            <w:fldChar w:fldCharType="begin"/>
          </w:r>
          <w:r>
            <w:instrText xml:space="preserve"> PAGEREF _Toc495861560 \h </w:instrText>
          </w:r>
          <w:r>
            <w:fldChar w:fldCharType="separate"/>
          </w:r>
          <w:r>
            <w:t>53</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"_Toc495861561" </w:instrText>
          </w:r>
          <w:r>
            <w:fldChar w:fldCharType="separate"/>
          </w:r>
          <w:r>
            <w:rPr>
              <w:rStyle w:val="23"/>
              <w:rFonts w:hint="eastAsia" w:eastAsia="宋体"/>
            </w:rPr>
            <w:t>附件十二、</w:t>
          </w:r>
          <w:r>
            <w:rPr>
              <w:rFonts w:asciiTheme="minorHAnsi" w:hAnsiTheme="minorHAnsi"/>
              <w:iCs w:val="0"/>
              <w:color w:val="auto"/>
              <w:kern w:val="2"/>
              <w:sz w:val="21"/>
            </w:rPr>
            <w:tab/>
          </w:r>
          <w:r>
            <w:rPr>
              <w:rStyle w:val="23"/>
              <w:rFonts w:hint="eastAsia" w:eastAsia="宋体"/>
            </w:rPr>
            <w:t>项目负责人、技术负责人简历表</w:t>
          </w:r>
          <w:r>
            <w:tab/>
          </w:r>
          <w:r>
            <w:fldChar w:fldCharType="begin"/>
          </w:r>
          <w:r>
            <w:instrText xml:space="preserve"> PAGEREF _Toc495861561 \h </w:instrText>
          </w:r>
          <w:r>
            <w:fldChar w:fldCharType="separate"/>
          </w:r>
          <w:r>
            <w:t>54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"_Toc495861562" </w:instrText>
          </w:r>
          <w:r>
            <w:fldChar w:fldCharType="separate"/>
          </w:r>
          <w:r>
            <w:rPr>
              <w:rStyle w:val="23"/>
              <w:rFonts w:hint="eastAsia" w:eastAsia="宋体"/>
            </w:rPr>
            <w:t>附件十三、</w:t>
          </w:r>
          <w:r>
            <w:rPr>
              <w:rFonts w:asciiTheme="minorHAnsi" w:hAnsiTheme="minorHAnsi"/>
              <w:iCs w:val="0"/>
              <w:color w:val="auto"/>
              <w:kern w:val="2"/>
              <w:sz w:val="21"/>
            </w:rPr>
            <w:tab/>
          </w:r>
          <w:r>
            <w:rPr>
              <w:rStyle w:val="23"/>
              <w:rFonts w:hint="eastAsia" w:eastAsia="宋体"/>
            </w:rPr>
            <w:t>项目班子成员情况表</w:t>
          </w:r>
          <w:r>
            <w:tab/>
          </w:r>
          <w:r>
            <w:fldChar w:fldCharType="begin"/>
          </w:r>
          <w:r>
            <w:instrText xml:space="preserve"> PAGEREF _Toc495861562 \h </w:instrText>
          </w:r>
          <w:r>
            <w:fldChar w:fldCharType="separate"/>
          </w:r>
          <w:r>
            <w:t>55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"_Toc495861563" </w:instrText>
          </w:r>
          <w:r>
            <w:fldChar w:fldCharType="separate"/>
          </w:r>
          <w:r>
            <w:rPr>
              <w:rStyle w:val="23"/>
              <w:rFonts w:hint="eastAsia" w:eastAsia="宋体"/>
            </w:rPr>
            <w:t>附件十四、</w:t>
          </w:r>
          <w:r>
            <w:rPr>
              <w:rFonts w:asciiTheme="minorHAnsi" w:hAnsiTheme="minorHAnsi"/>
              <w:iCs w:val="0"/>
              <w:color w:val="auto"/>
              <w:kern w:val="2"/>
              <w:sz w:val="21"/>
            </w:rPr>
            <w:tab/>
          </w:r>
          <w:r>
            <w:rPr>
              <w:rStyle w:val="23"/>
              <w:rFonts w:hint="eastAsia" w:eastAsia="宋体"/>
            </w:rPr>
            <w:t>投标人类似项目业绩表</w:t>
          </w:r>
          <w:r>
            <w:tab/>
          </w:r>
          <w:r>
            <w:fldChar w:fldCharType="begin"/>
          </w:r>
          <w:r>
            <w:instrText xml:space="preserve"> PAGEREF _Toc495861563 \h </w:instrText>
          </w:r>
          <w:r>
            <w:fldChar w:fldCharType="separate"/>
          </w:r>
          <w:r>
            <w:t>56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"_Toc495861564" </w:instrText>
          </w:r>
          <w:r>
            <w:fldChar w:fldCharType="separate"/>
          </w:r>
          <w:r>
            <w:rPr>
              <w:rStyle w:val="23"/>
              <w:rFonts w:hint="eastAsia" w:eastAsia="宋体"/>
            </w:rPr>
            <w:t>附件十五、</w:t>
          </w:r>
          <w:r>
            <w:rPr>
              <w:rFonts w:asciiTheme="minorHAnsi" w:hAnsiTheme="minorHAnsi"/>
              <w:iCs w:val="0"/>
              <w:color w:val="auto"/>
              <w:kern w:val="2"/>
              <w:sz w:val="21"/>
            </w:rPr>
            <w:tab/>
          </w:r>
          <w:r>
            <w:rPr>
              <w:rStyle w:val="23"/>
              <w:rFonts w:hint="eastAsia" w:eastAsia="宋体"/>
            </w:rPr>
            <w:t>符合性审查对照表</w:t>
          </w:r>
          <w:r>
            <w:tab/>
          </w:r>
          <w:r>
            <w:fldChar w:fldCharType="begin"/>
          </w:r>
          <w:r>
            <w:instrText xml:space="preserve"> PAGEREF _Toc495861564 \h </w:instrText>
          </w:r>
          <w:r>
            <w:fldChar w:fldCharType="separate"/>
          </w:r>
          <w:r>
            <w:t>57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"_Toc495861565" </w:instrText>
          </w:r>
          <w:r>
            <w:fldChar w:fldCharType="separate"/>
          </w:r>
          <w:r>
            <w:rPr>
              <w:rStyle w:val="23"/>
              <w:rFonts w:hint="eastAsia" w:eastAsia="宋体"/>
            </w:rPr>
            <w:t>附件十六、</w:t>
          </w:r>
          <w:r>
            <w:rPr>
              <w:rFonts w:asciiTheme="minorHAnsi" w:hAnsiTheme="minorHAnsi"/>
              <w:iCs w:val="0"/>
              <w:color w:val="auto"/>
              <w:kern w:val="2"/>
              <w:sz w:val="21"/>
            </w:rPr>
            <w:tab/>
          </w:r>
          <w:r>
            <w:rPr>
              <w:rStyle w:val="23"/>
              <w:rFonts w:hint="eastAsia" w:eastAsia="宋体"/>
            </w:rPr>
            <w:t>商务要求响应、偏离说明表</w:t>
          </w:r>
          <w:r>
            <w:tab/>
          </w:r>
          <w:r>
            <w:fldChar w:fldCharType="begin"/>
          </w:r>
          <w:r>
            <w:instrText xml:space="preserve"> PAGEREF _Toc495861565 \h </w:instrText>
          </w:r>
          <w:r>
            <w:fldChar w:fldCharType="separate"/>
          </w:r>
          <w:r>
            <w:t>58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"_Toc495861566" </w:instrText>
          </w:r>
          <w:r>
            <w:fldChar w:fldCharType="separate"/>
          </w:r>
          <w:r>
            <w:rPr>
              <w:rStyle w:val="23"/>
              <w:rFonts w:hint="eastAsia" w:eastAsia="宋体"/>
            </w:rPr>
            <w:t>附件十七、</w:t>
          </w:r>
          <w:r>
            <w:rPr>
              <w:rFonts w:asciiTheme="minorHAnsi" w:hAnsiTheme="minorHAnsi"/>
              <w:iCs w:val="0"/>
              <w:color w:val="auto"/>
              <w:kern w:val="2"/>
              <w:sz w:val="21"/>
            </w:rPr>
            <w:tab/>
          </w:r>
          <w:r>
            <w:rPr>
              <w:rStyle w:val="23"/>
              <w:rFonts w:hint="eastAsia" w:eastAsia="宋体"/>
            </w:rPr>
            <w:t>商务要求“★”号条款响应、偏离说明表</w:t>
          </w:r>
          <w:r>
            <w:tab/>
          </w:r>
          <w:r>
            <w:fldChar w:fldCharType="begin"/>
          </w:r>
          <w:r>
            <w:instrText xml:space="preserve"> PAGEREF _Toc495861566 \h </w:instrText>
          </w:r>
          <w:r>
            <w:fldChar w:fldCharType="separate"/>
          </w:r>
          <w:r>
            <w:t>59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"_Toc495861567" </w:instrText>
          </w:r>
          <w:r>
            <w:fldChar w:fldCharType="separate"/>
          </w:r>
          <w:r>
            <w:rPr>
              <w:rStyle w:val="23"/>
              <w:rFonts w:hint="eastAsia" w:eastAsia="宋体"/>
            </w:rPr>
            <w:t>附件十八、</w:t>
          </w:r>
          <w:r>
            <w:rPr>
              <w:rFonts w:asciiTheme="minorHAnsi" w:hAnsiTheme="minorHAnsi"/>
              <w:iCs w:val="0"/>
              <w:color w:val="auto"/>
              <w:kern w:val="2"/>
              <w:sz w:val="21"/>
            </w:rPr>
            <w:tab/>
          </w:r>
          <w:r>
            <w:rPr>
              <w:rStyle w:val="23"/>
              <w:rFonts w:hint="eastAsia" w:eastAsia="宋体"/>
            </w:rPr>
            <w:t>商务评议对照表</w:t>
          </w:r>
          <w:r>
            <w:tab/>
          </w:r>
          <w:r>
            <w:fldChar w:fldCharType="begin"/>
          </w:r>
          <w:r>
            <w:instrText xml:space="preserve"> PAGEREF _Toc495861567 \h </w:instrText>
          </w:r>
          <w:r>
            <w:fldChar w:fldCharType="separate"/>
          </w:r>
          <w:r>
            <w:t>60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"_Toc495861568" </w:instrText>
          </w:r>
          <w:r>
            <w:fldChar w:fldCharType="separate"/>
          </w:r>
          <w:r>
            <w:rPr>
              <w:rStyle w:val="23"/>
              <w:rFonts w:hint="eastAsia" w:eastAsia="宋体"/>
            </w:rPr>
            <w:t>附件十九、</w:t>
          </w:r>
          <w:r>
            <w:rPr>
              <w:rFonts w:asciiTheme="minorHAnsi" w:hAnsiTheme="minorHAnsi"/>
              <w:iCs w:val="0"/>
              <w:color w:val="auto"/>
              <w:kern w:val="2"/>
              <w:sz w:val="21"/>
            </w:rPr>
            <w:tab/>
          </w:r>
          <w:r>
            <w:rPr>
              <w:rStyle w:val="23"/>
              <w:rFonts w:hint="eastAsia" w:eastAsia="宋体"/>
            </w:rPr>
            <w:t>技术、服务要求响应、偏离说明表</w:t>
          </w:r>
          <w:r>
            <w:tab/>
          </w:r>
          <w:r>
            <w:fldChar w:fldCharType="begin"/>
          </w:r>
          <w:r>
            <w:instrText xml:space="preserve"> PAGEREF _Toc495861568 \h </w:instrText>
          </w:r>
          <w:r>
            <w:fldChar w:fldCharType="separate"/>
          </w:r>
          <w:r>
            <w:t>61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"_Toc495861569" </w:instrText>
          </w:r>
          <w:r>
            <w:fldChar w:fldCharType="separate"/>
          </w:r>
          <w:r>
            <w:rPr>
              <w:rStyle w:val="23"/>
              <w:rFonts w:hint="eastAsia" w:eastAsia="宋体"/>
            </w:rPr>
            <w:t>附件二十、</w:t>
          </w:r>
          <w:r>
            <w:rPr>
              <w:rFonts w:asciiTheme="minorHAnsi" w:hAnsiTheme="minorHAnsi"/>
              <w:iCs w:val="0"/>
              <w:color w:val="auto"/>
              <w:kern w:val="2"/>
              <w:sz w:val="21"/>
            </w:rPr>
            <w:tab/>
          </w:r>
          <w:r>
            <w:rPr>
              <w:rStyle w:val="23"/>
              <w:rFonts w:hint="eastAsia" w:eastAsia="宋体"/>
            </w:rPr>
            <w:t>技术、服务要求“★”号条款响应、偏离说明表</w:t>
          </w:r>
          <w:r>
            <w:tab/>
          </w:r>
          <w:r>
            <w:fldChar w:fldCharType="begin"/>
          </w:r>
          <w:r>
            <w:instrText xml:space="preserve"> PAGEREF _Toc495861569 \h </w:instrText>
          </w:r>
          <w:r>
            <w:fldChar w:fldCharType="separate"/>
          </w:r>
          <w:r>
            <w:t>62</w:t>
          </w:r>
          <w:r>
            <w:fldChar w:fldCharType="end"/>
          </w:r>
          <w:r>
            <w:fldChar w:fldCharType="end"/>
          </w:r>
        </w:p>
        <w:p>
          <w:pPr>
            <w:pStyle w:val="14"/>
            <w:tabs>
              <w:tab w:val="left" w:pos="1870"/>
            </w:tabs>
            <w:rPr>
              <w:rFonts w:asciiTheme="minorHAnsi" w:hAnsiTheme="minorHAnsi"/>
              <w:iCs w:val="0"/>
              <w:color w:val="auto"/>
              <w:kern w:val="2"/>
              <w:sz w:val="21"/>
            </w:rPr>
          </w:pPr>
          <w:r>
            <w:fldChar w:fldCharType="begin"/>
          </w:r>
          <w:r>
            <w:instrText xml:space="preserve"> HYPERLINK \l "_Toc495861570" </w:instrText>
          </w:r>
          <w:r>
            <w:fldChar w:fldCharType="separate"/>
          </w:r>
          <w:r>
            <w:rPr>
              <w:rStyle w:val="23"/>
              <w:rFonts w:hint="eastAsia" w:eastAsia="宋体"/>
            </w:rPr>
            <w:t>附件二十一、</w:t>
          </w:r>
          <w:r>
            <w:rPr>
              <w:rFonts w:asciiTheme="minorHAnsi" w:hAnsiTheme="minorHAnsi"/>
              <w:iCs w:val="0"/>
              <w:color w:val="auto"/>
              <w:kern w:val="2"/>
              <w:sz w:val="21"/>
            </w:rPr>
            <w:tab/>
          </w:r>
          <w:r>
            <w:rPr>
              <w:rStyle w:val="23"/>
              <w:rFonts w:hint="eastAsia" w:eastAsia="宋体"/>
            </w:rPr>
            <w:t>技术、服务评议对照表</w:t>
          </w:r>
          <w:r>
            <w:tab/>
          </w:r>
          <w:r>
            <w:fldChar w:fldCharType="begin"/>
          </w:r>
          <w:r>
            <w:instrText xml:space="preserve"> PAGEREF _Toc495861570 \h </w:instrText>
          </w:r>
          <w:r>
            <w:fldChar w:fldCharType="separate"/>
          </w:r>
          <w:r>
            <w:t>63</w:t>
          </w:r>
          <w:r>
            <w:fldChar w:fldCharType="end"/>
          </w:r>
          <w:r>
            <w:fldChar w:fldCharType="end"/>
          </w:r>
        </w:p>
        <w:p>
          <w:pPr>
            <w:pStyle w:val="2"/>
            <w:tabs>
              <w:tab w:val="left" w:pos="1260"/>
              <w:tab w:val="right" w:leader="dot" w:pos="9514"/>
            </w:tabs>
          </w:pPr>
          <w:r>
            <w:fldChar w:fldCharType="end"/>
          </w:r>
          <w:r>
            <w:rPr>
              <w:b w:val="0"/>
              <w:bCs/>
              <w:lang w:val="zh-CN"/>
            </w:rPr>
            <w:tab/>
          </w:r>
        </w:p>
      </w:sdtContent>
    </w:sdt>
    <w:p>
      <w:r>
        <w:br w:type="page"/>
      </w:r>
    </w:p>
    <w:p>
      <w:pPr>
        <w:pStyle w:val="3"/>
        <w:numPr>
          <w:ilvl w:val="0"/>
          <w:numId w:val="1"/>
        </w:numPr>
        <w:spacing w:before="240" w:after="120"/>
        <w:ind w:left="883" w:hanging="880" w:hangingChars="200"/>
        <w:jc w:val="center"/>
        <w:rPr>
          <w:rFonts w:ascii="黑体" w:hAnsi="黑体" w:eastAsia="黑体"/>
        </w:rPr>
      </w:pPr>
      <w:bookmarkStart w:id="0" w:name="_Toc495861517"/>
      <w:r>
        <w:rPr>
          <w:rFonts w:hint="eastAsia" w:ascii="黑体" w:hAnsi="黑体" w:eastAsia="黑体"/>
        </w:rPr>
        <w:t>投标邀请书</w:t>
      </w:r>
      <w:bookmarkEnd w:id="0"/>
    </w:p>
    <w:p>
      <w:pPr>
        <w:pStyle w:val="16"/>
        <w:keepNext w:val="0"/>
        <w:keepLines w:val="0"/>
        <w:widowControl/>
        <w:suppressLineNumbers w:val="0"/>
        <w:pBdr>
          <w:top w:val="single" w:color="auto" w:sz="6" w:space="0"/>
          <w:left w:val="single" w:color="auto" w:sz="6" w:space="3"/>
          <w:bottom w:val="single" w:color="auto" w:sz="6" w:space="0"/>
          <w:right w:val="single" w:color="auto" w:sz="6" w:space="3"/>
        </w:pBdr>
        <w:spacing w:before="0" w:beforeAutospacing="0" w:after="0" w:afterAutospacing="0" w:line="360" w:lineRule="auto"/>
        <w:ind w:left="0" w:right="0" w:firstLine="720"/>
        <w:rPr>
          <w:color w:val="auto"/>
        </w:rPr>
      </w:pPr>
      <w:r>
        <w:rPr>
          <w:rFonts w:hint="eastAsia" w:ascii="宋体" w:hAnsi="宋体" w:cs="宋体"/>
          <w:color w:val="auto"/>
          <w:sz w:val="24"/>
          <w:szCs w:val="24"/>
          <w:shd w:val="clear" w:fill="FFFFFF"/>
          <w:lang w:eastAsia="zh-CN"/>
        </w:rPr>
        <w:t>阳新县人民医院彩色多普勒超声诊断系统采购项目</w:t>
      </w:r>
      <w:r>
        <w:rPr>
          <w:rFonts w:hint="eastAsia" w:ascii="宋体" w:hAnsi="宋体" w:eastAsia="宋体" w:cs="宋体"/>
          <w:color w:val="auto"/>
          <w:sz w:val="24"/>
          <w:szCs w:val="24"/>
          <w:shd w:val="clear" w:fill="FFFFFF"/>
        </w:rPr>
        <w:t>的潜在投标人应在</w:t>
      </w:r>
      <w:r>
        <w:rPr>
          <w:rFonts w:hint="eastAsia" w:ascii="宋体" w:hAnsi="宋体" w:eastAsia="宋体" w:cs="宋体"/>
          <w:color w:val="auto"/>
          <w:spacing w:val="0"/>
          <w:sz w:val="24"/>
          <w:szCs w:val="24"/>
          <w:shd w:val="clear" w:fill="FFFFFF"/>
        </w:rPr>
        <w:t>“湖北省政府采购网”、“黄石市公共资源交易信息网”及“阳新县人民政府网”</w:t>
      </w:r>
      <w:r>
        <w:rPr>
          <w:rFonts w:hint="eastAsia" w:ascii="宋体" w:hAnsi="宋体" w:eastAsia="宋体" w:cs="宋体"/>
          <w:color w:val="auto"/>
          <w:sz w:val="24"/>
          <w:szCs w:val="24"/>
          <w:shd w:val="clear" w:fill="FFFFFF"/>
        </w:rPr>
        <w:t>获取招标文件，并于</w:t>
      </w:r>
      <w:r>
        <w:rPr>
          <w:rFonts w:hint="eastAsia" w:ascii="宋体" w:hAnsi="宋体" w:eastAsia="宋体" w:cs="宋体"/>
          <w:color w:val="auto"/>
          <w:spacing w:val="0"/>
          <w:sz w:val="24"/>
          <w:szCs w:val="24"/>
          <w:u w:val="single"/>
          <w:shd w:val="clear" w:fill="FFFFFF"/>
        </w:rPr>
        <w:t>2020</w:t>
      </w:r>
      <w:r>
        <w:rPr>
          <w:rFonts w:hint="eastAsia" w:ascii="宋体" w:hAnsi="宋体" w:eastAsia="宋体" w:cs="宋体"/>
          <w:color w:val="auto"/>
          <w:spacing w:val="0"/>
          <w:sz w:val="24"/>
          <w:szCs w:val="24"/>
          <w:shd w:val="clear" w:fill="FFFFFF"/>
        </w:rPr>
        <w:t>年</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cs="宋体"/>
          <w:color w:val="auto"/>
          <w:spacing w:val="0"/>
          <w:sz w:val="24"/>
          <w:szCs w:val="24"/>
          <w:u w:val="single"/>
          <w:shd w:val="clear" w:fill="FFFFFF"/>
          <w:lang w:val="en-US" w:eastAsia="zh-CN"/>
        </w:rPr>
        <w:t xml:space="preserve"> 9 </w:t>
      </w:r>
      <w:r>
        <w:rPr>
          <w:rFonts w:hint="eastAsia" w:ascii="宋体" w:hAnsi="宋体" w:eastAsia="宋体" w:cs="宋体"/>
          <w:color w:val="auto"/>
          <w:spacing w:val="0"/>
          <w:sz w:val="24"/>
          <w:szCs w:val="24"/>
          <w:shd w:val="clear" w:fill="FFFFFF"/>
        </w:rPr>
        <w:t>月</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cs="宋体"/>
          <w:color w:val="auto"/>
          <w:spacing w:val="0"/>
          <w:sz w:val="24"/>
          <w:szCs w:val="24"/>
          <w:u w:val="single"/>
          <w:shd w:val="clear" w:fill="FFFFFF"/>
          <w:lang w:val="en-US" w:eastAsia="zh-CN"/>
        </w:rPr>
        <w:t xml:space="preserve"> 25 </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eastAsia="宋体" w:cs="宋体"/>
          <w:color w:val="auto"/>
          <w:spacing w:val="0"/>
          <w:sz w:val="24"/>
          <w:szCs w:val="24"/>
          <w:shd w:val="clear" w:fill="FFFFFF"/>
        </w:rPr>
        <w:t>日</w:t>
      </w:r>
      <w:r>
        <w:rPr>
          <w:rFonts w:hint="eastAsia" w:ascii="宋体" w:hAnsi="宋体" w:eastAsia="宋体" w:cs="宋体"/>
          <w:color w:val="auto"/>
          <w:spacing w:val="0"/>
          <w:sz w:val="24"/>
          <w:szCs w:val="24"/>
          <w:u w:val="single"/>
          <w:shd w:val="clear" w:fill="FFFFFF"/>
        </w:rPr>
        <w:t>09</w:t>
      </w:r>
      <w:r>
        <w:rPr>
          <w:rFonts w:hint="eastAsia" w:ascii="宋体" w:hAnsi="宋体" w:eastAsia="宋体" w:cs="宋体"/>
          <w:color w:val="auto"/>
          <w:spacing w:val="0"/>
          <w:sz w:val="24"/>
          <w:szCs w:val="24"/>
          <w:shd w:val="clear" w:fill="FFFFFF"/>
        </w:rPr>
        <w:t>点00分(</w:t>
      </w:r>
      <w:r>
        <w:rPr>
          <w:rFonts w:hint="eastAsia" w:ascii="宋体" w:hAnsi="宋体" w:eastAsia="宋体" w:cs="宋体"/>
          <w:color w:val="auto"/>
          <w:sz w:val="24"/>
          <w:szCs w:val="24"/>
          <w:shd w:val="clear" w:fill="FFFFFF"/>
        </w:rPr>
        <w:t>北京时间）前递交投标文件。</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21"/>
          <w:rFonts w:hint="eastAsia" w:ascii="宋体" w:hAnsi="宋体" w:eastAsia="宋体" w:cs="宋体"/>
          <w:color w:val="auto"/>
          <w:sz w:val="24"/>
          <w:szCs w:val="24"/>
          <w:shd w:val="clear" w:fill="FFFFFF"/>
        </w:rPr>
        <w:t>一、项目基本情况</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lang w:val="en-US" w:eastAsia="zh-CN"/>
        </w:rPr>
      </w:pPr>
      <w:r>
        <w:rPr>
          <w:rFonts w:hint="eastAsia" w:ascii="宋体" w:hAnsi="宋体" w:eastAsia="宋体" w:cs="宋体"/>
          <w:color w:val="auto"/>
          <w:sz w:val="24"/>
          <w:szCs w:val="24"/>
          <w:shd w:val="clear" w:fill="FFFFFF"/>
        </w:rPr>
        <w:t>项目编号：131-2020CG-</w:t>
      </w:r>
      <w:r>
        <w:rPr>
          <w:rFonts w:hint="eastAsia" w:ascii="宋体" w:hAnsi="宋体" w:eastAsia="宋体" w:cs="宋体"/>
          <w:color w:val="auto"/>
          <w:sz w:val="24"/>
          <w:szCs w:val="24"/>
          <w:u w:val="none"/>
          <w:shd w:val="clear" w:fill="FFFFFF"/>
          <w:lang w:val="en-US" w:eastAsia="zh-CN"/>
        </w:rPr>
        <w:t>162</w:t>
      </w:r>
      <w:r>
        <w:rPr>
          <w:rFonts w:hint="eastAsia" w:ascii="宋体" w:hAnsi="宋体" w:cs="宋体"/>
          <w:color w:val="auto"/>
          <w:sz w:val="24"/>
          <w:szCs w:val="24"/>
          <w:u w:val="none"/>
          <w:shd w:val="clear" w:fill="FFFFFF"/>
          <w:lang w:val="en-US" w:eastAsia="zh-CN"/>
        </w:rPr>
        <w:t xml:space="preserve"> </w:t>
      </w:r>
      <w:r>
        <w:rPr>
          <w:rFonts w:hint="eastAsia" w:ascii="宋体" w:hAnsi="宋体" w:eastAsia="宋体" w:cs="宋体"/>
          <w:i w:val="0"/>
          <w:caps w:val="0"/>
          <w:color w:val="auto"/>
          <w:spacing w:val="0"/>
          <w:kern w:val="0"/>
          <w:sz w:val="24"/>
          <w:szCs w:val="24"/>
          <w:u w:val="none"/>
          <w:shd w:val="clear" w:fill="FFFFFF"/>
          <w:lang w:val="en-US" w:eastAsia="zh-CN" w:bidi="ar"/>
        </w:rPr>
        <w:t>（政府采购备案号：阳财采计备[2020]A</w:t>
      </w:r>
      <w:r>
        <w:rPr>
          <w:rFonts w:hint="eastAsia" w:ascii="宋体" w:hAnsi="宋体" w:cs="宋体"/>
          <w:i w:val="0"/>
          <w:caps w:val="0"/>
          <w:color w:val="auto"/>
          <w:spacing w:val="0"/>
          <w:kern w:val="0"/>
          <w:sz w:val="24"/>
          <w:szCs w:val="24"/>
          <w:u w:val="single"/>
          <w:shd w:val="clear" w:fill="FFFFFF"/>
          <w:lang w:val="en-US" w:eastAsia="zh-CN" w:bidi="ar"/>
        </w:rPr>
        <w:t xml:space="preserve"> 131</w:t>
      </w:r>
      <w:r>
        <w:rPr>
          <w:rFonts w:hint="eastAsia" w:ascii="宋体" w:hAnsi="宋体" w:eastAsia="宋体" w:cs="宋体"/>
          <w:i w:val="0"/>
          <w:caps w:val="0"/>
          <w:color w:val="auto"/>
          <w:spacing w:val="0"/>
          <w:kern w:val="0"/>
          <w:sz w:val="24"/>
          <w:szCs w:val="24"/>
          <w:u w:val="single"/>
          <w:shd w:val="clear" w:fill="FFFFFF"/>
          <w:lang w:val="en-US" w:eastAsia="zh-CN" w:bidi="ar"/>
        </w:rPr>
        <w:t xml:space="preserve"> </w:t>
      </w:r>
      <w:r>
        <w:rPr>
          <w:rFonts w:hint="eastAsia" w:ascii="宋体" w:hAnsi="宋体" w:eastAsia="宋体" w:cs="宋体"/>
          <w:i w:val="0"/>
          <w:caps w:val="0"/>
          <w:color w:val="auto"/>
          <w:spacing w:val="0"/>
          <w:kern w:val="0"/>
          <w:sz w:val="24"/>
          <w:szCs w:val="24"/>
          <w:u w:val="none"/>
          <w:shd w:val="clear" w:fill="FFFFFF"/>
          <w:lang w:val="en-US" w:eastAsia="zh-CN" w:bidi="ar"/>
        </w:rPr>
        <w:t>号）</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eastAsia="宋体"/>
          <w:color w:val="auto"/>
          <w:lang w:eastAsia="zh-CN"/>
        </w:rPr>
      </w:pPr>
      <w:r>
        <w:rPr>
          <w:rFonts w:hint="eastAsia" w:ascii="宋体" w:hAnsi="宋体" w:eastAsia="宋体" w:cs="宋体"/>
          <w:color w:val="auto"/>
          <w:sz w:val="24"/>
          <w:szCs w:val="24"/>
          <w:shd w:val="clear" w:fill="FFFFFF"/>
        </w:rPr>
        <w:t>项目名称：</w:t>
      </w:r>
      <w:r>
        <w:rPr>
          <w:rFonts w:hint="eastAsia" w:ascii="宋体" w:hAnsi="宋体" w:cs="宋体"/>
          <w:color w:val="auto"/>
          <w:sz w:val="24"/>
          <w:szCs w:val="24"/>
          <w:shd w:val="clear" w:fill="FFFFFF"/>
          <w:lang w:eastAsia="zh-CN"/>
        </w:rPr>
        <w:t>阳新县人民医院彩色多普勒超声诊断系统采购项目</w:t>
      </w:r>
    </w:p>
    <w:p>
      <w:pPr>
        <w:pStyle w:val="16"/>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预算金额：</w:t>
      </w:r>
      <w:r>
        <w:rPr>
          <w:rFonts w:hint="eastAsia" w:ascii="宋体" w:hAnsi="宋体" w:cs="宋体"/>
          <w:color w:val="auto"/>
          <w:sz w:val="24"/>
          <w:szCs w:val="24"/>
          <w:shd w:val="clear" w:fill="FFFFFF"/>
          <w:lang w:val="en-US" w:eastAsia="zh-CN"/>
        </w:rPr>
        <w:t>290</w:t>
      </w:r>
      <w:r>
        <w:rPr>
          <w:rFonts w:hint="eastAsia" w:ascii="宋体" w:hAnsi="宋体" w:eastAsia="宋体" w:cs="宋体"/>
          <w:color w:val="auto"/>
          <w:sz w:val="24"/>
          <w:szCs w:val="24"/>
          <w:shd w:val="clear" w:fill="FFFFFF"/>
        </w:rPr>
        <w:t>万元（超过此金额作为无效投标）</w:t>
      </w:r>
    </w:p>
    <w:p>
      <w:pPr>
        <w:pStyle w:val="16"/>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采购需求：</w:t>
      </w:r>
      <w:r>
        <w:rPr>
          <w:rFonts w:hint="eastAsia" w:ascii="宋体" w:hAnsi="宋体" w:cs="宋体"/>
          <w:color w:val="auto"/>
          <w:sz w:val="24"/>
          <w:szCs w:val="24"/>
          <w:shd w:val="clear" w:fill="FFFFFF"/>
          <w:lang w:eastAsia="zh-CN"/>
        </w:rPr>
        <w:t>彩色多普勒超声诊断仪设备采购，</w:t>
      </w:r>
      <w:r>
        <w:rPr>
          <w:rFonts w:hint="eastAsia" w:ascii="宋体" w:hAnsi="宋体" w:eastAsia="宋体" w:cs="宋体"/>
          <w:color w:val="0C0C0C"/>
          <w:sz w:val="24"/>
          <w:szCs w:val="24"/>
          <w:shd w:val="clear" w:fill="FFFFFF"/>
        </w:rPr>
        <w:t>本项目已办理进口产品审批手续（详见招标文件）</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eastAsia="宋体"/>
          <w:color w:val="auto"/>
          <w:lang w:val="en-US" w:eastAsia="zh-CN"/>
        </w:rPr>
      </w:pPr>
      <w:r>
        <w:rPr>
          <w:rFonts w:hint="eastAsia" w:ascii="宋体" w:hAnsi="宋体" w:eastAsia="宋体" w:cs="宋体"/>
          <w:color w:val="auto"/>
          <w:sz w:val="24"/>
          <w:szCs w:val="24"/>
          <w:shd w:val="clear" w:fill="FFFFFF"/>
        </w:rPr>
        <w:t>合同履行期限：</w:t>
      </w:r>
      <w:r>
        <w:rPr>
          <w:rFonts w:hint="eastAsia" w:ascii="宋体" w:hAnsi="宋体" w:eastAsia="宋体" w:cs="宋体"/>
          <w:sz w:val="24"/>
          <w:szCs w:val="24"/>
          <w:u w:val="none"/>
          <w:lang w:eastAsia="zh-CN"/>
        </w:rPr>
        <w:t>合同签定后</w:t>
      </w:r>
      <w:r>
        <w:rPr>
          <w:rFonts w:hint="eastAsia" w:ascii="宋体" w:hAnsi="宋体" w:cs="宋体"/>
          <w:sz w:val="24"/>
          <w:szCs w:val="24"/>
          <w:u w:val="none"/>
          <w:lang w:val="en-US" w:eastAsia="zh-CN"/>
        </w:rPr>
        <w:t>20</w:t>
      </w:r>
      <w:r>
        <w:rPr>
          <w:rFonts w:hint="eastAsia" w:ascii="宋体" w:hAnsi="宋体" w:eastAsia="宋体" w:cs="宋体"/>
          <w:sz w:val="24"/>
          <w:szCs w:val="24"/>
          <w:u w:val="none"/>
          <w:lang w:val="en-US" w:eastAsia="zh-CN"/>
        </w:rPr>
        <w:t>个工作日内</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本项目不接受联合体投标。</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21"/>
          <w:rFonts w:hint="eastAsia" w:ascii="宋体" w:hAnsi="宋体" w:eastAsia="宋体" w:cs="宋体"/>
          <w:color w:val="auto"/>
          <w:sz w:val="24"/>
          <w:szCs w:val="24"/>
          <w:shd w:val="clear" w:fill="FFFFFF"/>
        </w:rPr>
        <w:t>二、申请人的资格要求：</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1、应具备《政府采购法》第二十二条第一款规定的条件；</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numPr>
          <w:ilvl w:val="0"/>
          <w:numId w:val="0"/>
        </w:numPr>
        <w:tabs>
          <w:tab w:val="left" w:pos="896"/>
        </w:tabs>
        <w:spacing w:line="360" w:lineRule="auto"/>
        <w:ind w:left="482" w:leftChars="0"/>
        <w:rPr>
          <w:rFonts w:hint="eastAsia" w:ascii="宋体" w:hAnsi="宋体" w:eastAsia="宋体" w:cs="Times New Roman"/>
          <w:bCs/>
          <w:color w:val="0C0C0C" w:themeColor="text1" w:themeTint="F2"/>
          <w:sz w:val="24"/>
          <w:szCs w:val="24"/>
          <w:highlight w:val="none"/>
          <w:lang w:val="en-US" w:eastAsia="zh-CN"/>
        </w:rPr>
      </w:pPr>
      <w:r>
        <w:rPr>
          <w:rFonts w:hint="eastAsia" w:ascii="宋体" w:hAnsi="宋体" w:cs="Times New Roman"/>
          <w:bCs/>
          <w:color w:val="0C0C0C" w:themeColor="text1" w:themeTint="F2"/>
          <w:sz w:val="24"/>
          <w:szCs w:val="24"/>
          <w:highlight w:val="none"/>
          <w:lang w:val="en-US" w:eastAsia="zh-CN"/>
        </w:rPr>
        <w:t>3、</w:t>
      </w:r>
      <w:r>
        <w:rPr>
          <w:rFonts w:hint="eastAsia" w:ascii="宋体" w:hAnsi="宋体" w:eastAsia="宋体" w:cs="Times New Roman"/>
          <w:bCs/>
          <w:color w:val="0C0C0C" w:themeColor="text1" w:themeTint="F2"/>
          <w:sz w:val="24"/>
          <w:szCs w:val="24"/>
          <w:highlight w:val="none"/>
          <w:lang w:val="en-US" w:eastAsia="zh-CN"/>
        </w:rPr>
        <w:t>特定条件：</w:t>
      </w:r>
    </w:p>
    <w:p>
      <w:pPr>
        <w:adjustRightInd w:val="0"/>
        <w:snapToGrid w:val="0"/>
        <w:spacing w:line="360" w:lineRule="auto"/>
        <w:ind w:firstLine="480" w:firstLineChars="200"/>
        <w:rPr>
          <w:rFonts w:hint="default" w:ascii="宋体" w:hAnsi="宋体" w:eastAsia="宋体" w:cs="Times New Roman"/>
          <w:color w:val="0C0C0C" w:themeColor="text1" w:themeTint="F2"/>
          <w:sz w:val="24"/>
          <w:szCs w:val="24"/>
          <w:highlight w:val="none"/>
          <w:lang w:val="en-US" w:eastAsia="zh-CN"/>
        </w:rPr>
      </w:pPr>
      <w:r>
        <w:rPr>
          <w:rFonts w:hint="eastAsia" w:ascii="宋体" w:hAnsi="宋体" w:cs="宋体"/>
          <w:color w:val="auto"/>
          <w:sz w:val="24"/>
          <w:highlight w:val="none"/>
          <w:shd w:val="clear" w:color="auto" w:fill="FFFFFF"/>
        </w:rPr>
        <w:t>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设备进口代理商可不提供厂家医疗器械生产许可证)；</w:t>
      </w:r>
    </w:p>
    <w:p>
      <w:pPr>
        <w:numPr>
          <w:ilvl w:val="0"/>
          <w:numId w:val="0"/>
        </w:numPr>
        <w:tabs>
          <w:tab w:val="left" w:pos="896"/>
        </w:tabs>
        <w:spacing w:line="360" w:lineRule="auto"/>
        <w:ind w:left="482" w:leftChars="0"/>
        <w:rPr>
          <w:rFonts w:hint="eastAsia" w:ascii="宋体" w:hAnsi="宋体" w:eastAsia="宋体" w:cs="Times New Roman"/>
          <w:bCs/>
          <w:color w:val="0C0C0C" w:themeColor="text1" w:themeTint="F2"/>
          <w:sz w:val="24"/>
          <w:szCs w:val="24"/>
          <w:highlight w:val="none"/>
          <w:lang w:val="en-US" w:eastAsia="zh-CN"/>
        </w:rPr>
      </w:pPr>
      <w:r>
        <w:rPr>
          <w:rFonts w:hint="eastAsia" w:ascii="宋体" w:hAnsi="宋体" w:cs="Times New Roman"/>
          <w:bCs/>
          <w:color w:val="0C0C0C" w:themeColor="text1" w:themeTint="F2"/>
          <w:sz w:val="24"/>
          <w:szCs w:val="24"/>
          <w:highlight w:val="none"/>
          <w:lang w:val="en-US" w:eastAsia="zh-CN"/>
        </w:rPr>
        <w:t>4、</w:t>
      </w:r>
      <w:r>
        <w:rPr>
          <w:rFonts w:hint="eastAsia" w:ascii="宋体" w:hAnsi="宋体" w:eastAsia="宋体" w:cs="Times New Roman"/>
          <w:bCs/>
          <w:color w:val="0C0C0C" w:themeColor="text1" w:themeTint="F2"/>
          <w:sz w:val="24"/>
          <w:szCs w:val="24"/>
          <w:highlight w:val="none"/>
          <w:lang w:val="en-US" w:eastAsia="zh-CN"/>
        </w:rPr>
        <w:t>本项目不接受联合体形式的投标。</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21"/>
          <w:rFonts w:hint="eastAsia" w:ascii="宋体" w:hAnsi="宋体" w:eastAsia="宋体" w:cs="宋体"/>
          <w:color w:val="auto"/>
          <w:sz w:val="24"/>
          <w:szCs w:val="24"/>
          <w:shd w:val="clear" w:fill="FFFFFF"/>
        </w:rPr>
        <w:t>三、获取招标文件</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时间：</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 9</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 4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日至</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9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11</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日17:30(北京时间)</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招标文件下载：见附件</w:t>
      </w:r>
    </w:p>
    <w:p>
      <w:pPr>
        <w:pStyle w:val="1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Style w:val="21"/>
          <w:rFonts w:hint="eastAsia" w:ascii="宋体" w:hAnsi="宋体" w:eastAsia="宋体" w:cs="宋体"/>
          <w:color w:val="auto"/>
          <w:sz w:val="24"/>
          <w:szCs w:val="24"/>
          <w:shd w:val="clear" w:fill="FFFFFF"/>
        </w:rPr>
      </w:pPr>
      <w:r>
        <w:rPr>
          <w:rStyle w:val="21"/>
          <w:rFonts w:hint="eastAsia" w:ascii="宋体" w:hAnsi="宋体" w:eastAsia="宋体" w:cs="宋体"/>
          <w:color w:val="auto"/>
          <w:sz w:val="24"/>
          <w:szCs w:val="24"/>
          <w:shd w:val="clear" w:fill="FFFFFF"/>
        </w:rPr>
        <w:t>提交投标文件截止时间、开标时间和地点</w:t>
      </w:r>
    </w:p>
    <w:p>
      <w:pPr>
        <w:pStyle w:val="16"/>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b w:val="0"/>
          <w:sz w:val="24"/>
          <w:szCs w:val="24"/>
        </w:rPr>
        <w:t>提交投标文件截止时间、开标时间</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9</w:t>
      </w:r>
      <w:r>
        <w:rPr>
          <w:rFonts w:hint="eastAsia" w:ascii="宋体" w:hAnsi="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 25</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日9时</w:t>
      </w:r>
      <w:r>
        <w:rPr>
          <w:rFonts w:hint="eastAsia" w:ascii="宋体" w:hAnsi="宋体" w:eastAsia="宋体" w:cs="宋体"/>
          <w:color w:val="auto"/>
          <w:sz w:val="24"/>
          <w:szCs w:val="24"/>
          <w:shd w:val="clear" w:fill="FFFFFF"/>
          <w:lang w:val="en-US" w:eastAsia="zh-CN"/>
        </w:rPr>
        <w:t>00分</w:t>
      </w:r>
      <w:r>
        <w:rPr>
          <w:rFonts w:hint="eastAsia" w:ascii="宋体" w:hAnsi="宋体" w:eastAsia="宋体" w:cs="宋体"/>
          <w:color w:val="auto"/>
          <w:sz w:val="24"/>
          <w:szCs w:val="24"/>
          <w:shd w:val="clear" w:fill="FFFFFF"/>
        </w:rPr>
        <w:t>（8时</w:t>
      </w:r>
      <w:r>
        <w:rPr>
          <w:rFonts w:hint="eastAsia" w:ascii="宋体" w:hAnsi="宋体" w:eastAsia="宋体" w:cs="宋体"/>
          <w:color w:val="auto"/>
          <w:sz w:val="24"/>
          <w:szCs w:val="24"/>
          <w:shd w:val="clear" w:fill="FFFFFF"/>
          <w:lang w:val="en-US" w:eastAsia="zh-CN"/>
        </w:rPr>
        <w:t>3</w:t>
      </w:r>
      <w:r>
        <w:rPr>
          <w:rFonts w:hint="eastAsia" w:ascii="宋体" w:hAnsi="宋体" w:eastAsia="宋体" w:cs="宋体"/>
          <w:color w:val="auto"/>
          <w:sz w:val="24"/>
          <w:szCs w:val="24"/>
          <w:shd w:val="clear" w:fill="FFFFFF"/>
        </w:rPr>
        <w:t>0分开始接收投标文件，拒收逾期送达或者未按招标文件要求密封的投标文件）</w:t>
      </w:r>
    </w:p>
    <w:p>
      <w:pPr>
        <w:pStyle w:val="16"/>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b w:val="0"/>
          <w:sz w:val="24"/>
          <w:szCs w:val="24"/>
        </w:rPr>
        <w:t>提交投标文件地点</w:t>
      </w:r>
      <w:r>
        <w:rPr>
          <w:rFonts w:hint="eastAsia" w:ascii="宋体" w:hAnsi="宋体" w:eastAsia="宋体" w:cs="宋体"/>
          <w:color w:val="auto"/>
          <w:sz w:val="24"/>
          <w:szCs w:val="24"/>
          <w:shd w:val="clear" w:fill="FFFFFF"/>
        </w:rPr>
        <w:t>：阳新县公共资源交易中心</w:t>
      </w:r>
      <w:r>
        <w:rPr>
          <w:rFonts w:hint="eastAsia" w:ascii="宋体" w:hAnsi="宋体" w:eastAsia="宋体" w:cs="宋体"/>
          <w:color w:val="auto"/>
          <w:sz w:val="24"/>
          <w:szCs w:val="24"/>
          <w:u w:val="single"/>
          <w:shd w:val="clear" w:fill="FFFFFF"/>
          <w:lang w:val="en-US" w:eastAsia="zh-CN"/>
        </w:rPr>
        <w:t xml:space="preserve"> 二</w:t>
      </w:r>
      <w:r>
        <w:rPr>
          <w:rFonts w:hint="eastAsia" w:ascii="宋体" w:hAnsi="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楼开标大厅（阳新县熊家垴安置小区东侧）</w:t>
      </w:r>
    </w:p>
    <w:p>
      <w:pPr>
        <w:pStyle w:val="16"/>
        <w:keepNext w:val="0"/>
        <w:keepLines w:val="0"/>
        <w:widowControl/>
        <w:suppressLineNumbers w:val="0"/>
        <w:spacing w:before="0" w:beforeAutospacing="0" w:after="0" w:afterAutospacing="0" w:line="360" w:lineRule="auto"/>
        <w:ind w:left="0" w:right="0" w:firstLine="420"/>
        <w:rPr>
          <w:color w:val="auto"/>
        </w:rPr>
      </w:pPr>
      <w:r>
        <w:rPr>
          <w:rStyle w:val="21"/>
          <w:rFonts w:hint="eastAsia" w:ascii="宋体" w:hAnsi="宋体" w:eastAsia="宋体" w:cs="宋体"/>
          <w:color w:val="auto"/>
          <w:sz w:val="24"/>
          <w:szCs w:val="24"/>
          <w:shd w:val="clear" w:fill="FFFFFF"/>
        </w:rPr>
        <w:t>五、公告期限</w:t>
      </w:r>
    </w:p>
    <w:p>
      <w:pPr>
        <w:pStyle w:val="16"/>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自本公告发布之日起5个工作日。</w:t>
      </w:r>
    </w:p>
    <w:p>
      <w:pPr>
        <w:pStyle w:val="16"/>
        <w:keepNext w:val="0"/>
        <w:keepLines w:val="0"/>
        <w:widowControl/>
        <w:suppressLineNumbers w:val="0"/>
        <w:spacing w:before="0" w:beforeAutospacing="0" w:after="0" w:afterAutospacing="0" w:line="360" w:lineRule="auto"/>
        <w:ind w:left="0" w:right="0" w:firstLine="420"/>
        <w:rPr>
          <w:color w:val="auto"/>
        </w:rPr>
      </w:pPr>
      <w:r>
        <w:rPr>
          <w:rStyle w:val="21"/>
          <w:rFonts w:hint="eastAsia" w:ascii="宋体" w:hAnsi="宋体" w:eastAsia="宋体" w:cs="宋体"/>
          <w:color w:val="auto"/>
          <w:sz w:val="24"/>
          <w:szCs w:val="24"/>
          <w:shd w:val="clear" w:fill="FFFFFF"/>
        </w:rPr>
        <w:t>六、其他补充事宜</w:t>
      </w:r>
    </w:p>
    <w:p>
      <w:pPr>
        <w:pStyle w:val="16"/>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lang w:val="en-US" w:eastAsia="zh-CN"/>
        </w:rPr>
        <w:t>1、</w:t>
      </w:r>
      <w:r>
        <w:rPr>
          <w:rFonts w:hint="eastAsia" w:ascii="宋体" w:hAnsi="宋体" w:eastAsia="宋体" w:cs="宋体"/>
          <w:color w:val="auto"/>
          <w:sz w:val="24"/>
          <w:szCs w:val="24"/>
          <w:shd w:val="clear" w:fill="FFFFFF"/>
        </w:rPr>
        <w:t>落实政府采购强制、优先采购节能产品政策；政府采购优先采购环保产品政策；政府采购促进中小企业发展（监狱企业、残疾人福利性单位视同小微企业）等政策。</w:t>
      </w:r>
    </w:p>
    <w:p>
      <w:pPr>
        <w:pStyle w:val="16"/>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2、</w:t>
      </w:r>
      <w:r>
        <w:rPr>
          <w:rFonts w:hint="eastAsia" w:ascii="宋体" w:hAnsi="宋体" w:eastAsia="宋体" w:cs="宋体"/>
          <w:color w:val="auto"/>
          <w:sz w:val="24"/>
          <w:szCs w:val="24"/>
          <w:shd w:val="clear" w:fill="FFFFFF"/>
        </w:rPr>
        <w:t>是否专门面向中小企业、监狱企业、残疾人福利性单位：否。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rPr>
        <w:t>投标人认为招标文件、招标过程和中标结果使自己的权益受到损害的，可以在知道或者应知其权益受到损害之日起7个工作日内，向采购人或代理公司提出质疑。</w:t>
      </w:r>
      <w:r>
        <w:rPr>
          <w:rFonts w:hint="eastAsia" w:ascii="宋体" w:hAnsi="宋体" w:eastAsia="宋体" w:cs="宋体"/>
          <w:kern w:val="0"/>
          <w:sz w:val="24"/>
          <w:szCs w:val="24"/>
        </w:rPr>
        <w:t>质疑时请提交书面质疑函一份（法人代表签字、加盖单位公章。具体要求详见本招标文件“第二章 投标人须知”中的第八条之规定），并附相关证据材料。</w:t>
      </w:r>
    </w:p>
    <w:p>
      <w:pPr>
        <w:pStyle w:val="16"/>
        <w:keepNext w:val="0"/>
        <w:keepLines w:val="0"/>
        <w:widowControl/>
        <w:suppressLineNumbers w:val="0"/>
        <w:spacing w:before="0" w:beforeAutospacing="0" w:after="0" w:afterAutospacing="0" w:line="360" w:lineRule="auto"/>
        <w:ind w:left="0" w:right="0" w:firstLine="420"/>
        <w:rPr>
          <w:color w:val="auto"/>
        </w:rPr>
      </w:pPr>
      <w:r>
        <w:rPr>
          <w:rStyle w:val="21"/>
          <w:rFonts w:hint="eastAsia" w:ascii="宋体" w:hAnsi="宋体" w:eastAsia="宋体" w:cs="宋体"/>
          <w:color w:val="auto"/>
          <w:sz w:val="24"/>
          <w:szCs w:val="24"/>
          <w:shd w:val="clear" w:fill="FFFFFF"/>
        </w:rPr>
        <w:t>七、对本次招标提出询问，请按以下方式联系。</w:t>
      </w:r>
    </w:p>
    <w:p>
      <w:pPr>
        <w:pStyle w:val="16"/>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1.采购人信息</w:t>
      </w:r>
    </w:p>
    <w:p>
      <w:pPr>
        <w:pStyle w:val="16"/>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名   称：</w:t>
      </w:r>
      <w:r>
        <w:rPr>
          <w:rFonts w:hint="eastAsia" w:ascii="宋体" w:hAnsi="宋体" w:eastAsia="宋体" w:cs="宋体"/>
          <w:b/>
          <w:color w:val="000000"/>
          <w:sz w:val="24"/>
          <w:szCs w:val="24"/>
          <w:u w:val="single"/>
          <w:lang w:eastAsia="zh-CN"/>
        </w:rPr>
        <w:t>阳新县人民医院</w:t>
      </w:r>
    </w:p>
    <w:p>
      <w:pPr>
        <w:pStyle w:val="16"/>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地   址：</w:t>
      </w:r>
      <w:r>
        <w:rPr>
          <w:rFonts w:hint="eastAsia" w:ascii="宋体" w:hAnsi="宋体" w:eastAsia="宋体" w:cs="宋体"/>
          <w:b/>
          <w:bCs/>
          <w:kern w:val="0"/>
          <w:sz w:val="24"/>
          <w:u w:val="single"/>
          <w:lang w:eastAsia="zh-CN"/>
        </w:rPr>
        <w:t>阳新县兴国镇儒学垴路</w:t>
      </w:r>
      <w:r>
        <w:rPr>
          <w:rFonts w:hint="eastAsia" w:ascii="宋体" w:hAnsi="宋体" w:eastAsia="宋体" w:cs="宋体"/>
          <w:b/>
          <w:bCs/>
          <w:kern w:val="0"/>
          <w:sz w:val="24"/>
          <w:u w:val="single"/>
          <w:lang w:val="en-US" w:eastAsia="zh-CN"/>
        </w:rPr>
        <w:t>81</w:t>
      </w:r>
      <w:r>
        <w:rPr>
          <w:rFonts w:hint="eastAsia" w:ascii="宋体" w:hAnsi="宋体" w:eastAsia="宋体" w:cs="宋体"/>
          <w:b/>
          <w:bCs/>
          <w:kern w:val="0"/>
          <w:sz w:val="24"/>
          <w:u w:val="single"/>
          <w:lang w:eastAsia="zh-CN"/>
        </w:rPr>
        <w:t>号</w:t>
      </w:r>
    </w:p>
    <w:p>
      <w:pPr>
        <w:pStyle w:val="16"/>
        <w:keepNext w:val="0"/>
        <w:keepLines w:val="0"/>
        <w:widowControl/>
        <w:suppressLineNumbers w:val="0"/>
        <w:spacing w:before="0" w:beforeAutospacing="0" w:after="0" w:afterAutospacing="0" w:line="360" w:lineRule="auto"/>
        <w:ind w:left="0" w:right="0" w:firstLine="480"/>
        <w:rPr>
          <w:rFonts w:hint="default" w:eastAsia="宋体"/>
          <w:color w:val="auto"/>
          <w:lang w:val="en-US" w:eastAsia="zh-CN"/>
        </w:rPr>
      </w:pPr>
      <w:r>
        <w:rPr>
          <w:rFonts w:hint="eastAsia" w:ascii="宋体" w:hAnsi="宋体" w:eastAsia="宋体" w:cs="宋体"/>
          <w:color w:val="auto"/>
          <w:sz w:val="24"/>
          <w:szCs w:val="24"/>
          <w:shd w:val="clear" w:fill="FFFFFF"/>
        </w:rPr>
        <w:t>联系方式：</w:t>
      </w:r>
      <w:r>
        <w:rPr>
          <w:rFonts w:hint="eastAsia" w:ascii="宋体" w:hAnsi="宋体" w:cs="宋体"/>
          <w:b/>
          <w:bCs w:val="0"/>
          <w:color w:val="000000"/>
          <w:kern w:val="0"/>
          <w:sz w:val="24"/>
          <w:szCs w:val="24"/>
          <w:u w:val="single"/>
          <w:lang w:val="en-US" w:eastAsia="zh-CN"/>
        </w:rPr>
        <w:t>13669042989</w:t>
      </w:r>
    </w:p>
    <w:p>
      <w:pPr>
        <w:pStyle w:val="16"/>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2.采购代理机构信息</w:t>
      </w:r>
    </w:p>
    <w:p>
      <w:pPr>
        <w:pStyle w:val="16"/>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名   称：</w:t>
      </w:r>
      <w:r>
        <w:rPr>
          <w:rFonts w:hint="eastAsia" w:ascii="宋体" w:hAnsi="宋体" w:cs="宋体"/>
          <w:b/>
          <w:color w:val="000000"/>
          <w:sz w:val="24"/>
          <w:szCs w:val="24"/>
          <w:u w:val="single"/>
          <w:lang w:eastAsia="zh-CN"/>
        </w:rPr>
        <w:t>深圳群伦项目管理有限公司</w:t>
      </w:r>
    </w:p>
    <w:p>
      <w:pPr>
        <w:pStyle w:val="16"/>
        <w:keepNext w:val="0"/>
        <w:keepLines w:val="0"/>
        <w:widowControl/>
        <w:suppressLineNumbers w:val="0"/>
        <w:spacing w:before="0" w:beforeAutospacing="0" w:after="0" w:afterAutospacing="0" w:line="360" w:lineRule="auto"/>
        <w:ind w:left="0" w:right="0" w:firstLine="480"/>
        <w:rPr>
          <w:rFonts w:hint="eastAsia" w:eastAsia="宋体"/>
          <w:color w:val="auto"/>
          <w:lang w:val="en-US" w:eastAsia="zh-CN"/>
        </w:rPr>
      </w:pPr>
      <w:r>
        <w:rPr>
          <w:rFonts w:hint="eastAsia" w:ascii="宋体" w:hAnsi="宋体" w:eastAsia="宋体" w:cs="宋体"/>
          <w:color w:val="auto"/>
          <w:sz w:val="24"/>
          <w:szCs w:val="24"/>
          <w:shd w:val="clear" w:fill="FFFFFF"/>
        </w:rPr>
        <w:t>地   址：</w:t>
      </w:r>
      <w:r>
        <w:rPr>
          <w:rFonts w:hint="eastAsia" w:ascii="宋体" w:hAnsi="宋体" w:eastAsia="宋体" w:cs="宋体"/>
          <w:b/>
          <w:bCs/>
          <w:color w:val="auto"/>
          <w:sz w:val="24"/>
          <w:szCs w:val="24"/>
          <w:u w:val="single"/>
          <w:shd w:val="clear" w:fill="FFFFFF"/>
        </w:rPr>
        <w:t>阳新县兴国镇金色阳光小区</w:t>
      </w:r>
      <w:r>
        <w:rPr>
          <w:rFonts w:hint="eastAsia" w:ascii="宋体" w:hAnsi="宋体" w:eastAsia="宋体" w:cs="宋体"/>
          <w:b/>
          <w:bCs/>
          <w:color w:val="auto"/>
          <w:sz w:val="24"/>
          <w:szCs w:val="24"/>
          <w:u w:val="single"/>
          <w:shd w:val="clear" w:fill="FFFFFF"/>
          <w:lang w:val="en-US" w:eastAsia="zh-CN"/>
        </w:rPr>
        <w:t>103号</w:t>
      </w:r>
    </w:p>
    <w:p>
      <w:pPr>
        <w:pStyle w:val="16"/>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联系方式：</w:t>
      </w:r>
      <w:r>
        <w:rPr>
          <w:rFonts w:hint="eastAsia" w:ascii="宋体" w:hAnsi="宋体" w:cs="宋体"/>
          <w:b/>
          <w:color w:val="000000"/>
          <w:sz w:val="24"/>
          <w:szCs w:val="24"/>
          <w:u w:val="single"/>
          <w:lang w:val="en-US" w:eastAsia="zh-CN"/>
        </w:rPr>
        <w:t>17871031619</w:t>
      </w:r>
    </w:p>
    <w:p>
      <w:pPr>
        <w:pStyle w:val="16"/>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3.项目联系方式</w:t>
      </w:r>
    </w:p>
    <w:p>
      <w:pPr>
        <w:pStyle w:val="16"/>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项目联系人：</w:t>
      </w:r>
      <w:r>
        <w:rPr>
          <w:rFonts w:hint="eastAsia" w:ascii="宋体" w:hAnsi="宋体" w:cs="宋体"/>
          <w:b/>
          <w:bCs/>
          <w:color w:val="auto"/>
          <w:sz w:val="24"/>
          <w:szCs w:val="24"/>
          <w:u w:val="single"/>
          <w:shd w:val="clear" w:fill="FFFFFF"/>
          <w:lang w:eastAsia="zh-CN"/>
        </w:rPr>
        <w:t>周朝晖</w:t>
      </w:r>
      <w:r>
        <w:rPr>
          <w:rFonts w:hint="eastAsia" w:ascii="宋体" w:hAnsi="宋体" w:eastAsia="宋体" w:cs="宋体"/>
          <w:color w:val="auto"/>
          <w:sz w:val="24"/>
          <w:szCs w:val="24"/>
          <w:shd w:val="clear" w:fill="FFFFFF"/>
        </w:rPr>
        <w:t>  </w:t>
      </w:r>
    </w:p>
    <w:p>
      <w:pPr>
        <w:pStyle w:val="16"/>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fill="FFFFFF"/>
        </w:rPr>
        <w:t>电　　</w:t>
      </w:r>
      <w:r>
        <w:rPr>
          <w:rFonts w:hint="eastAsia" w:ascii="宋体" w:hAnsi="宋体" w:eastAsia="宋体" w:cs="宋体"/>
          <w:color w:val="auto"/>
          <w:sz w:val="24"/>
          <w:szCs w:val="24"/>
          <w:shd w:val="clear" w:fill="FFFFFF"/>
          <w:lang w:val="en-US" w:eastAsia="zh-CN"/>
        </w:rPr>
        <w:t xml:space="preserve"> </w:t>
      </w:r>
      <w:r>
        <w:rPr>
          <w:rFonts w:hint="eastAsia" w:ascii="宋体" w:hAnsi="宋体" w:eastAsia="宋体" w:cs="宋体"/>
          <w:color w:val="auto"/>
          <w:sz w:val="24"/>
          <w:szCs w:val="24"/>
          <w:shd w:val="clear" w:fill="FFFFFF"/>
        </w:rPr>
        <w:t xml:space="preserve"> 话：</w:t>
      </w:r>
      <w:r>
        <w:rPr>
          <w:rFonts w:hint="eastAsia" w:ascii="宋体" w:hAnsi="宋体" w:cs="宋体"/>
          <w:b/>
          <w:color w:val="000000"/>
          <w:sz w:val="24"/>
          <w:szCs w:val="24"/>
          <w:u w:val="single"/>
          <w:lang w:val="en-US" w:eastAsia="zh-CN"/>
        </w:rPr>
        <w:t>17871031619</w:t>
      </w:r>
    </w:p>
    <w:p>
      <w:pPr>
        <w:pStyle w:val="16"/>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 </w:t>
      </w:r>
    </w:p>
    <w:p>
      <w:pPr>
        <w:pStyle w:val="16"/>
        <w:keepNext w:val="0"/>
        <w:keepLines w:val="0"/>
        <w:widowControl/>
        <w:suppressLineNumbers w:val="0"/>
        <w:spacing w:before="0" w:beforeAutospacing="0" w:after="0" w:afterAutospacing="0" w:line="360" w:lineRule="auto"/>
        <w:ind w:left="0" w:right="0" w:firstLine="480"/>
        <w:jc w:val="right"/>
        <w:rPr>
          <w:rFonts w:hint="eastAsia" w:ascii="宋体" w:hAnsi="宋体" w:cs="宋体"/>
          <w:color w:val="auto"/>
          <w:sz w:val="24"/>
          <w:szCs w:val="24"/>
          <w:shd w:val="clear" w:fill="FFFFFF"/>
          <w:lang w:eastAsia="zh-CN"/>
        </w:rPr>
      </w:pPr>
      <w:r>
        <w:rPr>
          <w:rFonts w:hint="eastAsia" w:ascii="宋体" w:hAnsi="宋体" w:cs="宋体"/>
          <w:color w:val="auto"/>
          <w:sz w:val="24"/>
          <w:szCs w:val="24"/>
          <w:shd w:val="clear" w:fill="FFFFFF"/>
          <w:lang w:eastAsia="zh-CN"/>
        </w:rPr>
        <w:t>深圳群伦项目管理有限公司</w:t>
      </w:r>
    </w:p>
    <w:p>
      <w:pPr>
        <w:pStyle w:val="16"/>
        <w:keepNext w:val="0"/>
        <w:keepLines w:val="0"/>
        <w:widowControl/>
        <w:suppressLineNumbers w:val="0"/>
        <w:spacing w:before="0" w:beforeAutospacing="0" w:after="0" w:afterAutospacing="0" w:line="360" w:lineRule="auto"/>
        <w:ind w:left="0" w:right="0" w:firstLine="480"/>
        <w:jc w:val="right"/>
      </w:pP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9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cs="宋体"/>
          <w:color w:val="auto"/>
          <w:sz w:val="24"/>
          <w:szCs w:val="24"/>
          <w:u w:val="single"/>
          <w:shd w:val="clear" w:fill="FFFFFF"/>
          <w:lang w:val="en-US" w:eastAsia="zh-CN"/>
        </w:rPr>
        <w:t xml:space="preserve">  4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w:t>
      </w:r>
    </w:p>
    <w:p>
      <w:pPr>
        <w:pStyle w:val="16"/>
        <w:keepNext w:val="0"/>
        <w:keepLines w:val="0"/>
        <w:widowControl/>
        <w:suppressLineNumbers w:val="0"/>
        <w:spacing w:before="0" w:beforeAutospacing="0" w:after="0" w:afterAutospacing="0" w:line="360" w:lineRule="auto"/>
        <w:ind w:left="0" w:right="0" w:firstLine="480"/>
        <w:jc w:val="right"/>
        <w:rPr>
          <w:rFonts w:hint="eastAsia" w:ascii="宋体" w:hAnsi="宋体" w:cs="宋体"/>
          <w:color w:val="auto"/>
          <w:sz w:val="24"/>
          <w:szCs w:val="24"/>
          <w:shd w:val="clear" w:fill="FFFFFF"/>
          <w:lang w:eastAsia="zh-CN"/>
        </w:rPr>
      </w:pPr>
    </w:p>
    <w:p>
      <w:pPr>
        <w:pStyle w:val="3"/>
        <w:numPr>
          <w:ilvl w:val="0"/>
          <w:numId w:val="1"/>
        </w:numPr>
        <w:spacing w:before="240" w:after="120"/>
        <w:ind w:left="883" w:hanging="880" w:hangingChars="200"/>
        <w:jc w:val="center"/>
        <w:rPr>
          <w:rFonts w:ascii="黑体" w:hAnsi="黑体" w:eastAsia="黑体"/>
          <w:highlight w:val="none"/>
        </w:rPr>
      </w:pPr>
      <w:bookmarkStart w:id="1" w:name="_Toc495861518"/>
      <w:r>
        <w:rPr>
          <w:rFonts w:hint="eastAsia" w:ascii="黑体" w:hAnsi="黑体" w:eastAsia="黑体"/>
          <w:highlight w:val="none"/>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highlight w:val="none"/>
          <w:lang w:val="zh-CN"/>
        </w:rPr>
      </w:pPr>
      <w:bookmarkStart w:id="2" w:name="_Toc495861519"/>
      <w:bookmarkStart w:id="3" w:name="_Toc494561937"/>
      <w:r>
        <w:rPr>
          <w:rFonts w:cs="Times New Roman" w:asciiTheme="majorEastAsia" w:hAnsiTheme="majorEastAsia" w:eastAsiaTheme="majorEastAsia"/>
          <w:b/>
          <w:bCs/>
          <w:sz w:val="32"/>
          <w:szCs w:val="32"/>
          <w:highlight w:val="none"/>
          <w:lang w:val="zh-CN"/>
        </w:rPr>
        <w:t>投标须知前附表</w:t>
      </w:r>
      <w:bookmarkEnd w:id="2"/>
      <w:bookmarkEnd w:id="3"/>
    </w:p>
    <w:tbl>
      <w:tblPr>
        <w:tblStyle w:val="18"/>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highlight w:val="none"/>
              </w:rPr>
            </w:pPr>
            <w:r>
              <w:rPr>
                <w:rFonts w:ascii="宋体" w:hAnsi="宋体" w:eastAsia="宋体" w:cs="Times New Roman"/>
                <w:b/>
                <w:sz w:val="24"/>
                <w:szCs w:val="24"/>
                <w:highlight w:val="none"/>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highlight w:val="none"/>
              </w:rPr>
            </w:pPr>
            <w:r>
              <w:rPr>
                <w:rFonts w:hint="eastAsia" w:ascii="Times New Roman" w:hAnsi="宋体" w:eastAsia="宋体" w:cs="Times New Roman"/>
                <w:b/>
                <w:sz w:val="24"/>
                <w:szCs w:val="24"/>
                <w:highlight w:val="none"/>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highlight w:val="none"/>
              </w:rPr>
            </w:pPr>
            <w:r>
              <w:rPr>
                <w:rFonts w:ascii="Times New Roman" w:hAnsi="宋体" w:eastAsia="宋体" w:cs="Times New Roman"/>
                <w:b/>
                <w:sz w:val="24"/>
                <w:szCs w:val="24"/>
                <w:highlight w:val="none"/>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z w:val="24"/>
                <w:szCs w:val="24"/>
                <w:highlight w:val="none"/>
                <w:lang w:val="en-US" w:eastAsia="zh-CN"/>
              </w:rPr>
              <w:t xml:space="preserve">131-2020CG-162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项目名称</w:t>
            </w:r>
          </w:p>
        </w:tc>
        <w:tc>
          <w:tcPr>
            <w:tcW w:w="6470"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FF0000"/>
                <w:sz w:val="24"/>
                <w:szCs w:val="24"/>
                <w:highlight w:val="none"/>
                <w:lang w:eastAsia="zh-CN"/>
              </w:rPr>
            </w:pPr>
            <w:r>
              <w:rPr>
                <w:rFonts w:hint="eastAsia" w:ascii="Times New Roman" w:hAnsi="Times New Roman" w:eastAsia="宋体" w:cs="Times New Roman"/>
                <w:color w:val="auto"/>
                <w:sz w:val="24"/>
                <w:szCs w:val="24"/>
                <w:highlight w:val="none"/>
                <w:lang w:eastAsia="zh-CN"/>
              </w:rPr>
              <w:t>阳新县人民医院彩色多普勒超声诊断系统采购项目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highlight w:val="none"/>
              </w:rPr>
            </w:pPr>
            <w:r>
              <w:rPr>
                <w:rFonts w:hint="eastAsia" w:ascii="Times New Roman" w:hAnsi="宋体" w:eastAsia="宋体" w:cs="Times New Roman"/>
                <w:color w:val="0D0D0D"/>
                <w:sz w:val="24"/>
                <w:szCs w:val="24"/>
                <w:highlight w:val="none"/>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D0D0D"/>
                <w:kern w:val="0"/>
                <w:sz w:val="24"/>
                <w:szCs w:val="24"/>
                <w:highlight w:val="none"/>
              </w:rPr>
            </w:pPr>
            <w:r>
              <w:rPr>
                <w:rFonts w:hint="eastAsia" w:ascii="宋体" w:hAnsi="宋体" w:eastAsia="宋体" w:cs="宋体"/>
                <w:color w:val="auto"/>
                <w:kern w:val="0"/>
                <w:sz w:val="24"/>
                <w:szCs w:val="24"/>
                <w:highlight w:val="none"/>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highlight w:val="none"/>
              </w:rPr>
            </w:pPr>
            <w:r>
              <w:rPr>
                <w:rFonts w:hint="eastAsia" w:ascii="宋体" w:hAnsi="宋体" w:eastAsia="宋体" w:cs="宋体"/>
                <w:bCs/>
                <w:color w:val="auto"/>
                <w:kern w:val="0"/>
                <w:sz w:val="24"/>
                <w:szCs w:val="24"/>
                <w:highlight w:val="none"/>
                <w:u w:val="none"/>
              </w:rPr>
              <w:t>阳新县人民医院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auto"/>
                <w:kern w:val="0"/>
                <w:sz w:val="24"/>
                <w:szCs w:val="24"/>
                <w:highlight w:val="none"/>
              </w:rPr>
            </w:pPr>
            <w:r>
              <w:rPr>
                <w:rFonts w:hint="eastAsia" w:ascii="Times New Roman" w:hAnsi="宋体"/>
                <w:b/>
                <w:bCs/>
                <w:color w:val="auto"/>
                <w:sz w:val="24"/>
                <w:szCs w:val="24"/>
              </w:rPr>
              <w:t>本项目无须递交投标保证金，该文件涉及投标保证金的部分都将不作任何要求。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保证金</w:t>
            </w:r>
            <w:r>
              <w:rPr>
                <w:rFonts w:hint="eastAsia" w:ascii="Times New Roman" w:hAnsi="宋体" w:eastAsia="宋体" w:cs="Times New Roman"/>
                <w:sz w:val="24"/>
                <w:szCs w:val="24"/>
                <w:highlight w:val="none"/>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正本</w:t>
            </w:r>
            <w:r>
              <w:rPr>
                <w:rFonts w:hint="eastAsia" w:ascii="Times New Roman" w:hAnsi="Times New Roman" w:eastAsia="宋体" w:cs="Times New Roman"/>
                <w:color w:val="auto"/>
                <w:sz w:val="24"/>
                <w:szCs w:val="24"/>
                <w:highlight w:val="none"/>
              </w:rPr>
              <w:t>一</w:t>
            </w:r>
            <w:r>
              <w:rPr>
                <w:rFonts w:ascii="Times New Roman" w:hAnsi="Times New Roman" w:eastAsia="宋体" w:cs="Times New Roman"/>
                <w:color w:val="auto"/>
                <w:sz w:val="24"/>
                <w:szCs w:val="24"/>
                <w:highlight w:val="none"/>
              </w:rPr>
              <w:t>份</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副本</w:t>
            </w:r>
            <w:r>
              <w:rPr>
                <w:rFonts w:hint="eastAsia" w:ascii="Times New Roman" w:hAnsi="Times New Roman" w:eastAsia="宋体" w:cs="Times New Roman"/>
                <w:color w:val="auto"/>
                <w:sz w:val="24"/>
                <w:szCs w:val="24"/>
                <w:highlight w:val="none"/>
              </w:rPr>
              <w:t>四</w:t>
            </w:r>
            <w:r>
              <w:rPr>
                <w:rFonts w:ascii="Times New Roman" w:hAnsi="Times New Roman" w:eastAsia="宋体" w:cs="Times New Roman"/>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开标时间</w:t>
            </w:r>
            <w:r>
              <w:rPr>
                <w:rFonts w:hint="eastAsia" w:ascii="Times New Roman" w:hAnsi="宋体" w:eastAsia="宋体" w:cs="Times New Roman"/>
                <w:sz w:val="24"/>
                <w:szCs w:val="24"/>
                <w:highlight w:val="none"/>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不允许</w:t>
            </w:r>
          </w:p>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详见第三章“</w:t>
            </w:r>
            <w:r>
              <w:rPr>
                <w:rFonts w:hint="eastAsia" w:ascii="宋体" w:hAnsi="宋体" w:eastAsia="宋体" w:cs="Times New Roman"/>
                <w:color w:val="auto"/>
                <w:sz w:val="24"/>
                <w:szCs w:val="24"/>
                <w:highlight w:val="none"/>
              </w:rPr>
              <w:t>项目技术、服务及商务要求</w:t>
            </w:r>
            <w:r>
              <w:rPr>
                <w:rFonts w:hint="eastAsia" w:ascii="Times New Roman" w:hAnsi="Times New Roman" w:eastAsia="宋体" w:cs="Times New Roman"/>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不提交</w:t>
            </w:r>
          </w:p>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详见第三章“</w:t>
            </w:r>
            <w:r>
              <w:rPr>
                <w:rFonts w:hint="eastAsia" w:ascii="宋体" w:hAnsi="宋体" w:eastAsia="宋体" w:cs="Times New Roman"/>
                <w:color w:val="auto"/>
                <w:sz w:val="24"/>
                <w:szCs w:val="24"/>
                <w:highlight w:val="none"/>
              </w:rPr>
              <w:t>项目技术、服务及商务要求</w:t>
            </w:r>
            <w:r>
              <w:rPr>
                <w:rFonts w:hint="eastAsia" w:ascii="Times New Roman" w:hAnsi="Times New Roman" w:eastAsia="宋体" w:cs="Times New Roman"/>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宋体" w:hAnsi="宋体" w:eastAsia="宋体" w:cs="宋体"/>
                <w:color w:val="000000"/>
                <w:sz w:val="24"/>
                <w:szCs w:val="24"/>
                <w:highlight w:val="none"/>
              </w:rPr>
              <w:t>现</w:t>
            </w:r>
            <w:r>
              <w:rPr>
                <w:rFonts w:hint="eastAsia" w:ascii="宋体" w:hAnsi="宋体" w:eastAsia="宋体" w:cs="宋体"/>
                <w:sz w:val="24"/>
                <w:szCs w:val="24"/>
                <w:highlight w:val="none"/>
              </w:rPr>
              <w:t>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不组织</w:t>
            </w:r>
          </w:p>
          <w:p>
            <w:pPr>
              <w:ind w:right="-105" w:rightChars="-5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详见第三章“</w:t>
            </w:r>
            <w:r>
              <w:rPr>
                <w:rFonts w:hint="eastAsia" w:ascii="宋体" w:hAnsi="宋体" w:eastAsia="宋体" w:cs="Times New Roman"/>
                <w:color w:val="auto"/>
                <w:sz w:val="24"/>
                <w:szCs w:val="24"/>
                <w:highlight w:val="none"/>
              </w:rPr>
              <w:t>项目技术、服务及商务要求</w:t>
            </w:r>
            <w:r>
              <w:rPr>
                <w:rFonts w:hint="eastAsia" w:ascii="Times New Roman" w:hAnsi="Times New Roman" w:eastAsia="宋体" w:cs="Times New Roman"/>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highlight w:val="none"/>
              </w:rPr>
            </w:pPr>
            <w:r>
              <w:rPr>
                <w:rFonts w:hint="eastAsia" w:ascii="Times New Roman" w:hAnsi="宋体" w:eastAsia="宋体" w:cs="Times New Roman"/>
                <w:color w:val="0D0D0D"/>
                <w:sz w:val="24"/>
                <w:szCs w:val="24"/>
                <w:highlight w:val="none"/>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不允许</w:t>
            </w:r>
          </w:p>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详见第三章“</w:t>
            </w:r>
            <w:r>
              <w:rPr>
                <w:rFonts w:hint="eastAsia" w:ascii="宋体" w:hAnsi="宋体" w:eastAsia="宋体" w:cs="Times New Roman"/>
                <w:color w:val="auto"/>
                <w:sz w:val="24"/>
                <w:szCs w:val="24"/>
                <w:highlight w:val="none"/>
              </w:rPr>
              <w:t>项目技术、服务及商务要求</w:t>
            </w:r>
            <w:r>
              <w:rPr>
                <w:rFonts w:hint="eastAsia" w:ascii="Times New Roman" w:hAnsi="Times New Roman" w:eastAsia="宋体" w:cs="Times New Roman"/>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综合评分法</w:t>
            </w:r>
          </w:p>
          <w:p>
            <w:pPr>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详见本章“质疑及提交”要求</w:t>
            </w:r>
          </w:p>
        </w:tc>
      </w:tr>
    </w:tbl>
    <w:p>
      <w:pPr>
        <w:keepNext/>
        <w:keepLines/>
        <w:numPr>
          <w:ilvl w:val="0"/>
          <w:numId w:val="4"/>
        </w:numPr>
        <w:spacing w:before="100" w:beforeAutospacing="1" w:after="100" w:afterAutospacing="1" w:line="360" w:lineRule="auto"/>
        <w:ind w:left="482" w:hanging="480" w:hangingChars="150"/>
        <w:outlineLvl w:val="1"/>
        <w:rPr>
          <w:rFonts w:ascii="黑体" w:hAnsi="黑体" w:eastAsia="黑体" w:cs="Times New Roman"/>
          <w:b/>
          <w:bCs/>
          <w:sz w:val="32"/>
          <w:szCs w:val="32"/>
          <w:highlight w:val="none"/>
          <w:lang w:val="zh-CN"/>
        </w:rPr>
      </w:pPr>
      <w:bookmarkStart w:id="4" w:name="_Toc494561938"/>
      <w:r>
        <w:rPr>
          <w:rFonts w:ascii="黑体" w:hAnsi="黑体" w:eastAsia="黑体" w:cs="Times New Roman"/>
          <w:b/>
          <w:bCs/>
          <w:sz w:val="32"/>
          <w:szCs w:val="32"/>
          <w:highlight w:val="none"/>
          <w:lang w:val="zh-CN"/>
        </w:rPr>
        <w:br w:type="page"/>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5" w:name="_Toc495861520"/>
      <w:r>
        <w:rPr>
          <w:rFonts w:hint="eastAsia" w:cs="Times New Roman" w:asciiTheme="majorEastAsia" w:hAnsiTheme="majorEastAsia"/>
          <w:bCs w:val="0"/>
          <w:lang w:val="zh-CN"/>
        </w:rPr>
        <w:t>说  明</w:t>
      </w:r>
      <w:bookmarkEnd w:id="4"/>
      <w:bookmarkEnd w:id="5"/>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color w:val="auto"/>
          <w:sz w:val="24"/>
          <w:szCs w:val="24"/>
          <w:lang w:val="zh-CN"/>
        </w:rPr>
        <w:t>阳新县政府采购办公室、阳新县公共资源交易监督管理局。</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ascii="宋体" w:hAnsi="宋体" w:eastAsia="宋体" w:cs="Times New Roman"/>
          <w:b/>
          <w:color w:val="0C0C0C" w:themeColor="text1" w:themeTint="F2"/>
          <w:sz w:val="24"/>
          <w:szCs w:val="24"/>
          <w:u w:val="single"/>
          <w:lang w:eastAsia="zh-CN"/>
        </w:rPr>
        <w:t>深圳群伦项目管理有限公司</w:t>
      </w:r>
      <w:r>
        <w:rPr>
          <w:rFonts w:hint="eastAsia" w:cs="Times New Roman" w:asciiTheme="minorEastAsia" w:hAnsiTheme="minorEastAsia"/>
          <w:sz w:val="24"/>
          <w:szCs w:val="24"/>
          <w:lang w:val="zh-CN"/>
        </w:rPr>
        <w:t>。</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7"/>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9"/>
        </w:numPr>
        <w:spacing w:line="360" w:lineRule="auto"/>
        <w:ind w:left="854"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9"/>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8"/>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C0C0C" w:themeColor="text1" w:themeTint="F2"/>
          <w:sz w:val="24"/>
          <w:szCs w:val="24"/>
          <w:lang w:val="zh-CN"/>
        </w:rPr>
        <w:t>是指：</w:t>
      </w:r>
      <w:r>
        <w:rPr>
          <w:rFonts w:hint="eastAsia" w:cs="Times New Roman" w:asciiTheme="minorEastAsia" w:hAnsiTheme="minorEastAsia"/>
          <w:color w:val="0C0C0C" w:themeColor="text1" w:themeTint="F2"/>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8"/>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keepNext w:val="0"/>
        <w:keepLines w:val="0"/>
        <w:pageBreakBefore w:val="0"/>
        <w:widowControl w:val="0"/>
        <w:numPr>
          <w:ilvl w:val="0"/>
          <w:numId w:val="10"/>
        </w:numPr>
        <w:kinsoku/>
        <w:wordWrap/>
        <w:overflowPunct/>
        <w:topLinePunct w:val="0"/>
        <w:autoSpaceDE/>
        <w:autoSpaceDN/>
        <w:bidi w:val="0"/>
        <w:spacing w:line="440" w:lineRule="exact"/>
        <w:ind w:left="476" w:hanging="476"/>
        <w:textAlignment w:val="auto"/>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39"/>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firstLineChars="0"/>
        <w:textAlignment w:val="auto"/>
        <w:rPr>
          <w:rFonts w:ascii="宋体" w:hAnsi="宋体"/>
          <w:bCs/>
          <w:sz w:val="24"/>
          <w:szCs w:val="24"/>
        </w:rPr>
      </w:pPr>
      <w:r>
        <w:rPr>
          <w:rFonts w:hint="eastAsia" w:ascii="宋体" w:hAnsi="宋体"/>
          <w:sz w:val="24"/>
          <w:szCs w:val="24"/>
        </w:rPr>
        <w:t>采购代理服务费</w:t>
      </w:r>
    </w:p>
    <w:p>
      <w:pPr>
        <w:pStyle w:val="39"/>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宋体" w:hAnsi="宋体"/>
          <w:b/>
          <w:sz w:val="24"/>
          <w:szCs w:val="24"/>
        </w:rPr>
      </w:pPr>
      <w:r>
        <w:rPr>
          <w:rFonts w:hint="eastAsia" w:ascii="宋体" w:hAnsi="宋体"/>
          <w:b/>
          <w:sz w:val="24"/>
          <w:szCs w:val="24"/>
          <w:lang w:val="en-US" w:eastAsia="zh-CN"/>
        </w:rPr>
        <w:t>4.2.1</w:t>
      </w:r>
      <w:r>
        <w:rPr>
          <w:rFonts w:hint="eastAsia" w:ascii="宋体" w:hAnsi="宋体"/>
          <w:b/>
          <w:sz w:val="24"/>
          <w:szCs w:val="24"/>
        </w:rPr>
        <w:t>经过采购代理机构与采购人协议，规定由中标单位支付。采购代理服务费收费标准如下：</w:t>
      </w:r>
    </w:p>
    <w:p>
      <w:pPr>
        <w:pStyle w:val="39"/>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宋体" w:hAnsi="宋体"/>
          <w:b/>
          <w:sz w:val="24"/>
          <w:szCs w:val="24"/>
        </w:rPr>
      </w:pPr>
    </w:p>
    <w:tbl>
      <w:tblPr>
        <w:tblStyle w:val="18"/>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2" name="Line 16"/>
                      <wp:cNvGraphicFramePr/>
                      <a:graphic xmlns:a="http://schemas.openxmlformats.org/drawingml/2006/main">
                        <a:graphicData uri="http://schemas.microsoft.com/office/word/2010/wordprocessingShape">
                          <wps:wsp>
                            <wps:cNvSp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1.1pt;z-index:251661312;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&#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BGc6zRAAAACQEAAA8AAAAAAAAAAQAgAAAAIgAAAGRy&#10;cy9kb3ducmV2LnhtbFBLAQIUABQAAAAIAIdO4kA7C16t0wEAAKUDAAAOAAAAAAAAAAEAIAAAACAB&#10;AABkcnMvZTJvRG9jLnhtbFBLBQYAAAAABgAGAFkBAABlBQ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3" name="Line 17"/>
                      <wp:cNvGraphicFramePr/>
                      <a:graphic xmlns:a="http://schemas.openxmlformats.org/drawingml/2006/main">
                        <a:graphicData uri="http://schemas.microsoft.com/office/word/2010/wordprocessingShape">
                          <wps:wsp>
                            <wps:cNvSp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5.75pt;z-index:251662336;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&#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uAobVAAAACAEAAA8AAAAAAAAAAQAgAAAAIgAAAGRy&#10;cy9kb3ducmV2LnhtbFBLAQIUABQAAAAIAIdO4kDxi3a7zwEAAKUDAAAOAAAAAAAAAAEAIAAAACQB&#10;AABkcnMvZTJvRG9jLnhtbFBLBQYAAAAABgAGAFkBAABlBQ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uR037VAAAACQEAAA8AAAAAAAAAAQAgAAAAIgAAAGRycy9kb3ducmV2LnhtbFBLAQIU&#10;ABQAAAAIAIdO4kDDYH2XvQEAAIgDAAAOAAAAAAAAAAEAIAAAACQBAABkcnMvZTJvRG9jLnhtbFBL&#10;BQYAAAAABgAGAFkBAABTBQAAAAA=&#10;">
                      <v:fill on="f" focussize="0,0"/>
                      <v:stroke color="#000000" joinstyle="round"/>
                      <v:imagedata o:title=""/>
                      <o:lock v:ext="edit" aspectratio="f"/>
                    </v:line>
                  </w:pict>
                </mc:Fallback>
              </mc:AlternateConten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32</w:t>
            </w:r>
            <w:r>
              <w:rPr>
                <w:rFonts w:hint="eastAsia" w:ascii="宋体" w:hAnsi="宋体" w:cs="宋体"/>
                <w:sz w:val="24"/>
                <w:szCs w:val="24"/>
              </w:rPr>
              <w:t>%</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w:t>
            </w:r>
            <w:r>
              <w:rPr>
                <w:rFonts w:hint="eastAsia" w:ascii="宋体" w:hAnsi="宋体" w:cs="宋体"/>
                <w:sz w:val="24"/>
                <w:szCs w:val="24"/>
                <w:lang w:val="en-US" w:eastAsia="zh-CN"/>
              </w:rPr>
              <w:t>96</w:t>
            </w:r>
            <w:r>
              <w:rPr>
                <w:rFonts w:hint="eastAsia" w:ascii="宋体" w:hAnsi="宋体" w:cs="宋体"/>
                <w:sz w:val="24"/>
                <w:szCs w:val="24"/>
              </w:rPr>
              <w:t>%</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39"/>
        <w:adjustRightInd w:val="0"/>
        <w:snapToGrid w:val="0"/>
        <w:spacing w:line="300" w:lineRule="auto"/>
        <w:ind w:left="420" w:firstLine="0" w:firstLineChars="0"/>
        <w:rPr>
          <w:rFonts w:ascii="宋体" w:hAnsi="宋体"/>
          <w:b/>
          <w:sz w:val="24"/>
          <w:szCs w:val="24"/>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b/>
          <w:sz w:val="24"/>
          <w:szCs w:val="24"/>
        </w:rPr>
      </w:pPr>
      <w:r>
        <w:rPr>
          <w:rFonts w:hint="eastAsia" w:ascii="宋体" w:hAnsi="宋体"/>
          <w:b/>
          <w:sz w:val="24"/>
          <w:szCs w:val="24"/>
          <w:lang w:val="en-US" w:eastAsia="zh-CN"/>
        </w:rPr>
        <w:t>4.2.2</w:t>
      </w: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6" w:name="_Toc278891592"/>
      <w:bookmarkStart w:id="7" w:name="_Toc494561939"/>
      <w:bookmarkStart w:id="8" w:name="_Toc495861521"/>
      <w:bookmarkStart w:id="9" w:name="_Toc272247695"/>
      <w:r>
        <w:rPr>
          <w:rFonts w:hint="eastAsia" w:cs="Times New Roman" w:asciiTheme="majorEastAsia" w:hAnsiTheme="majorEastAsia"/>
          <w:bCs w:val="0"/>
          <w:lang w:val="zh-CN"/>
        </w:rPr>
        <w:t>招标文件</w:t>
      </w:r>
      <w:bookmarkEnd w:id="6"/>
      <w:bookmarkEnd w:id="7"/>
      <w:bookmarkEnd w:id="8"/>
      <w:bookmarkEnd w:id="9"/>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在招标过程中由采购代理机构发出的修正和补充文件等</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2"/>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0" w:name="_Toc278891593"/>
      <w:bookmarkStart w:id="11" w:name="_Toc272247696"/>
      <w:bookmarkStart w:id="12" w:name="_Toc495861522"/>
      <w:bookmarkStart w:id="13" w:name="_Toc494561940"/>
      <w:r>
        <w:rPr>
          <w:rFonts w:hint="eastAsia" w:cs="Times New Roman" w:asciiTheme="majorEastAsia" w:hAnsiTheme="majorEastAsia"/>
          <w:bCs w:val="0"/>
          <w:lang w:val="zh-CN"/>
        </w:rPr>
        <w:t>投标文件</w:t>
      </w:r>
      <w:bookmarkEnd w:id="10"/>
      <w:bookmarkEnd w:id="11"/>
      <w:bookmarkEnd w:id="12"/>
      <w:bookmarkEnd w:id="13"/>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招标文件有分包要求，投标人对招标文件中多个包进行投标的，其投标文件的编制应按每包要求分别装订和封装，并注明对应包号。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4"/>
        </w:numPr>
        <w:spacing w:line="360" w:lineRule="auto"/>
        <w:ind w:left="616" w:hanging="616"/>
        <w:rPr>
          <w:rFonts w:cs="Times New Roman" w:asciiTheme="minorEastAsia" w:hAnsiTheme="minorEastAsia"/>
          <w:color w:val="0C0C0C" w:themeColor="text1" w:themeTint="F2"/>
          <w:sz w:val="24"/>
          <w:szCs w:val="24"/>
          <w:lang w:val="zh-CN"/>
        </w:rPr>
      </w:pPr>
      <w:r>
        <w:rPr>
          <w:rFonts w:hint="eastAsia" w:cs="Times New Roman" w:asciiTheme="minorEastAsia" w:hAnsiTheme="minorEastAsia"/>
          <w:color w:val="0C0C0C" w:themeColor="text1" w:themeTint="F2"/>
          <w:sz w:val="24"/>
          <w:szCs w:val="24"/>
          <w:lang w:val="zh-CN"/>
        </w:rPr>
        <w:t>投标人应对投标文件中所提供资料的真实性负责，</w:t>
      </w:r>
      <w:r>
        <w:rPr>
          <w:rFonts w:hint="eastAsia" w:cs="Times New Roman" w:asciiTheme="minorEastAsia" w:hAnsiTheme="minorEastAsia"/>
          <w:sz w:val="24"/>
          <w:szCs w:val="24"/>
          <w:lang w:val="zh-CN"/>
        </w:rPr>
        <w:t>若有虚假</w:t>
      </w:r>
      <w:r>
        <w:rPr>
          <w:rFonts w:hint="eastAsia" w:cs="Times New Roman" w:asciiTheme="minorEastAsia" w:hAnsiTheme="minorEastAsia"/>
          <w:color w:val="0C0C0C" w:themeColor="text1" w:themeTint="F2"/>
          <w:sz w:val="24"/>
          <w:szCs w:val="24"/>
          <w:lang w:val="zh-CN"/>
        </w:rPr>
        <w:t>，将依法承担相应责任。投标人应自觉接受采购代理机构对其中任何资料进一步核实的要求。</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spacing w:line="360" w:lineRule="auto"/>
        <w:ind w:left="566" w:hanging="564" w:hangingChars="235"/>
        <w:rPr>
          <w:rFonts w:ascii="宋体" w:hAnsi="宋体" w:eastAsia="宋体" w:cs="Times New Roman"/>
          <w:b/>
          <w:sz w:val="24"/>
          <w:szCs w:val="20"/>
        </w:rPr>
      </w:pPr>
      <w:r>
        <w:rPr>
          <w:rFonts w:hint="eastAsia" w:cs="Times New Roman" w:asciiTheme="minorEastAsia" w:hAnsiTheme="minorEastAsia"/>
          <w:b/>
          <w:sz w:val="24"/>
          <w:szCs w:val="24"/>
        </w:rPr>
        <w:t>11.7</w:t>
      </w:r>
      <w:r>
        <w:rPr>
          <w:rFonts w:hint="eastAsia" w:cs="Times New Roman" w:asciiTheme="minorEastAsia" w:hAnsiTheme="minorEastAsia"/>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6"/>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6"/>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6"/>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两个及以上投标人可以组成一个联合体，以一个投标人的身份共同参与投标。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以联合体形式参加政府采购活动的，联合体各方不得再单独参加或者与其他投标人另外组成联合体参加同一合同项下的政府采购活动。</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C0C0C" w:themeColor="text1" w:themeTint="F2"/>
          <w:sz w:val="24"/>
          <w:szCs w:val="24"/>
          <w:lang w:val="zh-CN"/>
        </w:rPr>
        <w:t>签订采购合同，</w:t>
      </w:r>
      <w:r>
        <w:rPr>
          <w:rFonts w:hint="eastAsia" w:ascii="宋体" w:hAnsi="宋体"/>
          <w:color w:val="0C0C0C" w:themeColor="text1" w:themeTint="F2"/>
          <w:sz w:val="24"/>
        </w:rPr>
        <w:t>就采购合同约定的事项对采购人承担连带责任，</w:t>
      </w:r>
      <w:r>
        <w:rPr>
          <w:rFonts w:hint="eastAsia" w:cs="Times New Roman" w:asciiTheme="minorEastAsia" w:hAnsiTheme="minorEastAsia"/>
          <w:color w:val="0C0C0C" w:themeColor="text1" w:themeTint="F2"/>
          <w:sz w:val="24"/>
          <w:szCs w:val="24"/>
          <w:lang w:val="zh-CN"/>
        </w:rPr>
        <w:t>联合体主体单位负主要</w:t>
      </w:r>
      <w:r>
        <w:rPr>
          <w:rFonts w:hint="eastAsia" w:cs="Times New Roman" w:asciiTheme="minorEastAsia" w:hAnsiTheme="minorEastAsia"/>
          <w:sz w:val="24"/>
          <w:szCs w:val="24"/>
          <w:lang w:val="zh-CN"/>
        </w:rPr>
        <w:t>责任。</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联合体中有同类资质的投标人按照联合体分工承担相同工作的，应当按照资质等级较低的投标人确定资质等级。</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7"/>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8"/>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6"/>
        </w:numPr>
        <w:spacing w:line="360" w:lineRule="auto"/>
        <w:ind w:left="560" w:hanging="560"/>
        <w:rPr>
          <w:rFonts w:ascii="宋体" w:hAnsi="宋体"/>
          <w:b/>
          <w:bCs/>
          <w:color w:val="000000"/>
          <w:sz w:val="24"/>
          <w:szCs w:val="24"/>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（交纳金额及账户信息详见本章“投标须知前附表”中规定）。</w:t>
      </w:r>
      <w:r>
        <w:rPr>
          <w:rFonts w:hint="eastAsia" w:ascii="宋体" w:hAnsi="宋体"/>
          <w:b/>
          <w:bCs/>
          <w:color w:val="000000"/>
          <w:sz w:val="24"/>
          <w:szCs w:val="24"/>
          <w:lang w:val="zh-CN"/>
        </w:rPr>
        <w:t>本项目不收取投标保证金。</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1"/>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eastAsia="宋体" w:cs="Times New Roman"/>
          <w:sz w:val="24"/>
          <w:szCs w:val="20"/>
        </w:rPr>
        <w:t>4</w:t>
      </w:r>
      <w:r>
        <w:rPr>
          <w:rFonts w:hint="eastAsia" w:ascii="宋体" w:hAnsi="宋体" w:eastAsia="宋体" w:cs="Times New Roman"/>
          <w:sz w:val="24"/>
          <w:szCs w:val="20"/>
          <w:lang w:val="zh-CN"/>
        </w:rPr>
        <w:t>份。（</w:t>
      </w:r>
      <w:r>
        <w:rPr>
          <w:rFonts w:hint="eastAsia" w:cs="Times New Roman" w:asciiTheme="minorEastAsia" w:hAnsiTheme="minorEastAsia"/>
          <w:b/>
          <w:sz w:val="24"/>
          <w:szCs w:val="24"/>
          <w:lang w:val="zh-CN"/>
        </w:rPr>
        <w:t>如</w:t>
      </w:r>
      <w:r>
        <w:rPr>
          <w:rFonts w:hint="eastAsia" w:cs="Helvetica" w:asciiTheme="minorEastAsia" w:hAnsiTheme="minorEastAsia"/>
          <w:b/>
          <w:kern w:val="0"/>
          <w:sz w:val="24"/>
          <w:szCs w:val="24"/>
          <w:lang w:val="zh-CN"/>
        </w:rPr>
        <w:t>采购人已组织过项目资格预审的，投标人无需再提交资格证明文件</w:t>
      </w:r>
      <w:r>
        <w:rPr>
          <w:rFonts w:hint="eastAsia" w:ascii="宋体" w:hAnsi="宋体" w:eastAsia="宋体" w:cs="Times New Roman"/>
          <w:sz w:val="24"/>
          <w:szCs w:val="20"/>
          <w:lang w:val="zh-CN"/>
        </w:rPr>
        <w:t>）</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份，密封在“资格证明文件”封包内</w:t>
      </w:r>
      <w:r>
        <w:rPr>
          <w:rFonts w:hint="eastAsia" w:cs="Times New Roman" w:asciiTheme="minorEastAsia" w:hAnsiTheme="minorEastAsia"/>
          <w:sz w:val="24"/>
          <w:szCs w:val="24"/>
        </w:rPr>
        <w:t>，封包上注明“第一部分 资格证明文件”</w:t>
      </w:r>
      <w:r>
        <w:rPr>
          <w:rFonts w:hint="eastAsia" w:cs="Times New Roman" w:asciiTheme="minorEastAsia" w:hAnsiTheme="minorEastAsia"/>
          <w:sz w:val="24"/>
          <w:szCs w:val="24"/>
          <w:lang w:val="zh-CN"/>
        </w:rPr>
        <w:t>；</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商务文件正本1份、副本4份，密封在“商务文件”封包内，封包上注明“第二部分 商务文件”；</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技术、服务文件正本1份、副本4份，密封在“技术、服务文件”封包内，封包上注明“第三部分 技术、服务文件”。</w:t>
      </w:r>
    </w:p>
    <w:p>
      <w:pPr>
        <w:numPr>
          <w:ilvl w:val="0"/>
          <w:numId w:val="21"/>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为方便开标时唱标，投标人应将《开标一览表》原件一份</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，并在信封上注明“开标一览表”字样。未单独提交或单独提交的上述资料未按照招标文件规定的格式填写完整并签字、盖章的招标代理机构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1"/>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pPr>
        <w:spacing w:line="360" w:lineRule="auto"/>
        <w:rPr>
          <w:rFonts w:ascii="宋体" w:hAnsi="宋体" w:eastAsia="宋体" w:cs="Times New Roman"/>
          <w:b/>
          <w:sz w:val="24"/>
          <w:szCs w:val="20"/>
          <w:lang w:val="zh-CN"/>
        </w:rPr>
      </w:pPr>
      <w:r>
        <w:rPr>
          <w:rFonts w:hint="eastAsia" w:ascii="宋体" w:hAnsi="宋体" w:eastAsia="宋体" w:cs="Times New Roman"/>
          <w:sz w:val="24"/>
          <w:szCs w:val="20"/>
        </w:rPr>
        <w:t>20.4</w:t>
      </w:r>
      <w:r>
        <w:rPr>
          <w:rFonts w:hint="eastAsia" w:ascii="宋体" w:hAnsi="宋体" w:eastAsia="宋体" w:cs="Times New Roman"/>
          <w:sz w:val="24"/>
          <w:szCs w:val="20"/>
          <w:lang w:val="zh-CN"/>
        </w:rPr>
        <w:t>未按要求密封、标记或存在错误，招标代理机构对其误投或提前启封概不负责。</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3"/>
        </w:numPr>
        <w:spacing w:line="360" w:lineRule="auto"/>
        <w:ind w:left="616" w:hanging="616"/>
        <w:rPr>
          <w:rFonts w:ascii="Helvetica" w:hAnsi="Helvetica" w:eastAsia="宋体" w:cs="Helvetica"/>
          <w:color w:val="auto"/>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w:t>
      </w:r>
      <w:r>
        <w:rPr>
          <w:rFonts w:hint="eastAsia" w:ascii="Helvetica" w:hAnsi="Helvetica" w:eastAsia="宋体" w:cs="Helvetica"/>
          <w:color w:val="auto"/>
          <w:kern w:val="0"/>
          <w:sz w:val="24"/>
          <w:szCs w:val="24"/>
          <w:lang w:val="zh-CN"/>
        </w:rPr>
        <w:t>采购代理机构规定的投标地点。</w:t>
      </w:r>
    </w:p>
    <w:p>
      <w:pPr>
        <w:numPr>
          <w:ilvl w:val="0"/>
          <w:numId w:val="23"/>
        </w:numPr>
        <w:spacing w:line="360" w:lineRule="auto"/>
        <w:ind w:left="616" w:hanging="616"/>
        <w:rPr>
          <w:rFonts w:ascii="Helvetica" w:hAnsi="Helvetica" w:eastAsia="宋体" w:cs="Helvetica"/>
          <w:b/>
          <w:color w:val="auto"/>
          <w:kern w:val="0"/>
          <w:sz w:val="24"/>
          <w:szCs w:val="24"/>
          <w:lang w:val="zh-CN"/>
        </w:rPr>
      </w:pPr>
      <w:r>
        <w:rPr>
          <w:rFonts w:hint="eastAsia" w:ascii="Helvetica" w:hAnsi="Helvetica" w:eastAsia="宋体" w:cs="Helvetica"/>
          <w:color w:val="auto"/>
          <w:kern w:val="0"/>
          <w:sz w:val="24"/>
          <w:szCs w:val="24"/>
          <w:lang w:val="zh-CN"/>
        </w:rPr>
        <w:t>采购代理机构</w:t>
      </w:r>
      <w:r>
        <w:rPr>
          <w:rFonts w:hint="eastAsia" w:ascii="Helvetica" w:hAnsi="Helvetica" w:eastAsia="宋体" w:cs="Helvetica"/>
          <w:b/>
          <w:color w:val="auto"/>
          <w:kern w:val="0"/>
          <w:sz w:val="24"/>
          <w:szCs w:val="24"/>
          <w:lang w:val="zh-CN"/>
        </w:rPr>
        <w:t>拒收逾期送达或者未按招标文件要求密封的投标文件。</w:t>
      </w:r>
    </w:p>
    <w:p>
      <w:pPr>
        <w:numPr>
          <w:ilvl w:val="0"/>
          <w:numId w:val="23"/>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color w:val="auto"/>
          <w:kern w:val="0"/>
          <w:sz w:val="24"/>
          <w:szCs w:val="24"/>
          <w:lang w:val="zh-CN"/>
        </w:rPr>
        <w:t>采购代理机构</w:t>
      </w:r>
      <w:r>
        <w:rPr>
          <w:rFonts w:ascii="Helvetica" w:hAnsi="Helvetica" w:eastAsia="宋体" w:cs="Helvetica"/>
          <w:color w:val="auto"/>
          <w:kern w:val="0"/>
          <w:sz w:val="24"/>
          <w:szCs w:val="24"/>
          <w:lang w:val="zh-CN"/>
        </w:rPr>
        <w:t>收</w:t>
      </w:r>
      <w:r>
        <w:rPr>
          <w:rFonts w:ascii="Helvetica" w:hAnsi="Helvetica" w:eastAsia="宋体" w:cs="Helvetica"/>
          <w:kern w:val="0"/>
          <w:sz w:val="24"/>
          <w:szCs w:val="24"/>
          <w:lang w:val="zh-CN"/>
        </w:rPr>
        <w:t>到投标文件后，应当如实记载投标文件的送达时间和密封情况，签收保存，并向投标人出具签收回执。</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4"/>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4" w:name="_Toc278891595"/>
      <w:bookmarkStart w:id="15" w:name="_Toc494561942"/>
      <w:bookmarkStart w:id="16" w:name="_Toc272247698"/>
      <w:bookmarkStart w:id="17" w:name="_Toc495861523"/>
      <w:r>
        <w:rPr>
          <w:rFonts w:hint="eastAsia" w:cs="Times New Roman" w:asciiTheme="majorEastAsia" w:hAnsiTheme="majorEastAsia"/>
          <w:bCs w:val="0"/>
          <w:lang w:val="zh-CN"/>
        </w:rPr>
        <w:t>开标与评标</w:t>
      </w:r>
      <w:bookmarkEnd w:id="14"/>
      <w:bookmarkEnd w:id="15"/>
      <w:bookmarkEnd w:id="16"/>
      <w:bookmarkEnd w:id="1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5"/>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color w:val="auto"/>
          <w:kern w:val="0"/>
          <w:sz w:val="24"/>
          <w:szCs w:val="24"/>
          <w:lang w:val="zh-CN"/>
        </w:rPr>
        <w:t>采购代理机构</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5"/>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sz w:val="24"/>
          <w:szCs w:val="20"/>
          <w:lang w:val="zh-CN"/>
        </w:rPr>
        <w:t>开标时，由投标人或其推选的代表检查投标文件的密封情况，经确</w:t>
      </w:r>
      <w:r>
        <w:rPr>
          <w:rFonts w:hint="eastAsia" w:ascii="宋体" w:hAnsi="宋体" w:eastAsia="宋体" w:cs="Times New Roman"/>
          <w:color w:val="auto"/>
          <w:sz w:val="24"/>
          <w:szCs w:val="20"/>
          <w:lang w:val="zh-CN"/>
        </w:rPr>
        <w:t>认无误后由</w:t>
      </w:r>
      <w:r>
        <w:rPr>
          <w:rFonts w:hint="eastAsia" w:ascii="Helvetica" w:hAnsi="Helvetica" w:eastAsia="宋体" w:cs="Helvetica"/>
          <w:color w:val="auto"/>
          <w:kern w:val="0"/>
          <w:sz w:val="24"/>
          <w:szCs w:val="24"/>
          <w:lang w:val="zh-CN"/>
        </w:rPr>
        <w:t>采购代理机构</w:t>
      </w:r>
      <w:r>
        <w:rPr>
          <w:rFonts w:hint="eastAsia" w:ascii="宋体" w:hAnsi="宋体" w:eastAsia="宋体" w:cs="Times New Roman"/>
          <w:color w:val="auto"/>
          <w:sz w:val="24"/>
          <w:szCs w:val="20"/>
          <w:lang w:val="zh-CN"/>
        </w:rPr>
        <w:t>工作人员当众拆封，</w:t>
      </w:r>
      <w:r>
        <w:rPr>
          <w:rFonts w:ascii="宋体" w:hAnsi="宋体" w:eastAsia="宋体" w:cs="Times New Roman"/>
          <w:color w:val="auto"/>
          <w:sz w:val="24"/>
          <w:szCs w:val="20"/>
          <w:lang w:val="zh-CN"/>
        </w:rPr>
        <w:t>宣布投标人名称、投标价格和招标文件规定的需要宣布的其他内容。</w:t>
      </w:r>
    </w:p>
    <w:p>
      <w:pPr>
        <w:numPr>
          <w:ilvl w:val="0"/>
          <w:numId w:val="25"/>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color w:val="auto"/>
          <w:kern w:val="0"/>
          <w:sz w:val="24"/>
          <w:szCs w:val="24"/>
          <w:lang w:val="zh-CN"/>
        </w:rPr>
        <w:t>采购代理机构</w:t>
      </w:r>
      <w:r>
        <w:rPr>
          <w:rFonts w:ascii="宋体" w:hAnsi="宋体" w:eastAsia="宋体" w:cs="Times New Roman"/>
          <w:color w:val="auto"/>
          <w:sz w:val="24"/>
          <w:szCs w:val="20"/>
          <w:lang w:val="zh-CN"/>
        </w:rPr>
        <w:t>负责</w:t>
      </w:r>
      <w:r>
        <w:rPr>
          <w:rFonts w:hint="eastAsia" w:ascii="宋体" w:hAnsi="宋体" w:eastAsia="宋体" w:cs="Times New Roman"/>
          <w:color w:val="auto"/>
          <w:sz w:val="24"/>
          <w:szCs w:val="20"/>
          <w:lang w:val="zh-CN"/>
        </w:rPr>
        <w:t>对</w:t>
      </w:r>
      <w:r>
        <w:rPr>
          <w:rFonts w:ascii="宋体" w:hAnsi="宋体" w:eastAsia="宋体" w:cs="Times New Roman"/>
          <w:color w:val="auto"/>
          <w:sz w:val="24"/>
          <w:szCs w:val="20"/>
          <w:lang w:val="zh-CN"/>
        </w:rPr>
        <w:t>开标过程</w:t>
      </w:r>
      <w:r>
        <w:rPr>
          <w:rFonts w:hint="eastAsia" w:ascii="宋体" w:hAnsi="宋体" w:eastAsia="宋体" w:cs="Times New Roman"/>
          <w:color w:val="auto"/>
          <w:sz w:val="24"/>
          <w:szCs w:val="20"/>
          <w:lang w:val="zh-CN"/>
        </w:rPr>
        <w:t>进行</w:t>
      </w:r>
      <w:r>
        <w:rPr>
          <w:rFonts w:ascii="宋体" w:hAnsi="宋体" w:eastAsia="宋体" w:cs="Times New Roman"/>
          <w:color w:val="auto"/>
          <w:sz w:val="24"/>
          <w:szCs w:val="20"/>
          <w:lang w:val="zh-CN"/>
        </w:rPr>
        <w:t>记录，由参加开标的各投标人代表和相关</w:t>
      </w:r>
      <w:r>
        <w:rPr>
          <w:rFonts w:ascii="宋体" w:hAnsi="宋体" w:eastAsia="宋体" w:cs="Times New Roman"/>
          <w:sz w:val="24"/>
          <w:szCs w:val="20"/>
          <w:lang w:val="zh-CN"/>
        </w:rPr>
        <w:t>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5"/>
        </w:numPr>
        <w:spacing w:line="360" w:lineRule="auto"/>
        <w:ind w:left="616" w:hanging="616"/>
        <w:rPr>
          <w:rFonts w:ascii="宋体" w:hAnsi="宋体" w:eastAsia="宋体" w:cs="Times New Roman"/>
          <w:color w:val="auto"/>
          <w:sz w:val="24"/>
          <w:szCs w:val="20"/>
          <w:lang w:val="zh-CN"/>
        </w:rPr>
      </w:pPr>
      <w:r>
        <w:rPr>
          <w:rFonts w:ascii="宋体" w:hAnsi="宋体" w:eastAsia="宋体" w:cs="Times New Roman"/>
          <w:sz w:val="24"/>
          <w:szCs w:val="20"/>
          <w:lang w:val="zh-CN"/>
        </w:rPr>
        <w:t>投标人代表对开标过程和开标记录有疑义，</w:t>
      </w:r>
      <w:r>
        <w:rPr>
          <w:rFonts w:ascii="宋体" w:hAnsi="宋体" w:eastAsia="宋体" w:cs="Times New Roman"/>
          <w:color w:val="auto"/>
          <w:sz w:val="24"/>
          <w:szCs w:val="20"/>
          <w:lang w:val="zh-CN"/>
        </w:rPr>
        <w:t>以及认为采购人、</w:t>
      </w:r>
      <w:r>
        <w:rPr>
          <w:rFonts w:hint="eastAsia" w:ascii="Helvetica" w:hAnsi="Helvetica" w:eastAsia="宋体" w:cs="Helvetica"/>
          <w:color w:val="auto"/>
          <w:kern w:val="0"/>
          <w:sz w:val="24"/>
          <w:szCs w:val="24"/>
          <w:lang w:val="zh-CN"/>
        </w:rPr>
        <w:t>代理公司</w:t>
      </w:r>
      <w:r>
        <w:rPr>
          <w:rFonts w:ascii="宋体" w:hAnsi="宋体" w:eastAsia="宋体" w:cs="Times New Roman"/>
          <w:color w:val="auto"/>
          <w:sz w:val="24"/>
          <w:szCs w:val="20"/>
          <w:lang w:val="zh-CN"/>
        </w:rPr>
        <w:t>相关工作人员有需要回避的情形的，应当场提出询问或者回避申请。采购人、</w:t>
      </w:r>
      <w:r>
        <w:rPr>
          <w:rFonts w:hint="eastAsia" w:ascii="Helvetica" w:hAnsi="Helvetica" w:eastAsia="宋体" w:cs="Helvetica"/>
          <w:color w:val="auto"/>
          <w:kern w:val="0"/>
          <w:sz w:val="24"/>
          <w:szCs w:val="24"/>
          <w:lang w:val="zh-CN"/>
        </w:rPr>
        <w:t>代理公司</w:t>
      </w:r>
      <w:r>
        <w:rPr>
          <w:rFonts w:hint="eastAsia" w:ascii="宋体" w:hAnsi="宋体" w:eastAsia="宋体" w:cs="Times New Roman"/>
          <w:color w:val="auto"/>
          <w:sz w:val="24"/>
          <w:szCs w:val="20"/>
          <w:lang w:val="zh-CN"/>
        </w:rPr>
        <w:t>将</w:t>
      </w:r>
      <w:r>
        <w:rPr>
          <w:rFonts w:ascii="宋体" w:hAnsi="宋体" w:eastAsia="宋体" w:cs="Times New Roman"/>
          <w:color w:val="auto"/>
          <w:sz w:val="24"/>
          <w:szCs w:val="20"/>
          <w:lang w:val="zh-CN"/>
        </w:rPr>
        <w:t>及时处理投标人代表提出的询问或者回避申请。</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26"/>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w:t>
      </w:r>
      <w:r>
        <w:rPr>
          <w:rFonts w:hint="eastAsia" w:ascii="宋体" w:hAnsi="宋体" w:eastAsia="宋体" w:cs="Times New Roman"/>
          <w:bCs/>
          <w:color w:val="FF0000"/>
          <w:sz w:val="24"/>
          <w:szCs w:val="20"/>
          <w:lang w:val="zh-CN"/>
        </w:rPr>
        <w:t>采购人和采购代理公司</w:t>
      </w:r>
      <w:r>
        <w:rPr>
          <w:rFonts w:hint="eastAsia" w:ascii="宋体" w:hAnsi="宋体" w:eastAsia="宋体" w:cs="Times New Roman"/>
          <w:bCs/>
          <w:sz w:val="24"/>
          <w:szCs w:val="20"/>
          <w:lang w:val="zh-CN"/>
        </w:rPr>
        <w:t>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6"/>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8"/>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8"/>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采购代理</w:t>
      </w:r>
      <w:r>
        <w:rPr>
          <w:rFonts w:ascii="宋体" w:hAnsi="宋体" w:eastAsia="宋体" w:cs="Times New Roman"/>
          <w:sz w:val="24"/>
          <w:szCs w:val="20"/>
          <w:lang w:val="zh-CN"/>
        </w:rPr>
        <w:t>机构或者有关部门报告评标中发现的违法行为。</w:t>
      </w:r>
    </w:p>
    <w:p>
      <w:pPr>
        <w:numPr>
          <w:ilvl w:val="0"/>
          <w:numId w:val="29"/>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8" w:name="_Toc494561943"/>
      <w:bookmarkStart w:id="19" w:name="_Toc495861524"/>
      <w:r>
        <w:rPr>
          <w:rFonts w:hint="eastAsia" w:cs="Times New Roman" w:asciiTheme="majorEastAsia" w:hAnsiTheme="majorEastAsia"/>
          <w:bCs w:val="0"/>
          <w:lang w:val="zh-CN"/>
        </w:rPr>
        <w:t>投标人信用信息及查询</w:t>
      </w:r>
      <w:bookmarkEnd w:id="18"/>
      <w:bookmarkEnd w:id="19"/>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列入失信被执行人、重大税收违法案件当事人名单、政府采购严重违法失信行为记录名单的投标人，采购人、采购代理机构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w:t>
      </w:r>
      <w:r>
        <w:rPr>
          <w:rFonts w:hint="eastAsia" w:ascii="宋体" w:hAnsi="宋体" w:cs="Helvetica"/>
          <w:kern w:val="0"/>
          <w:sz w:val="24"/>
          <w:szCs w:val="24"/>
        </w:rPr>
        <w:t>和“中国政府采购网”</w:t>
      </w:r>
      <w:r>
        <w:rPr>
          <w:rFonts w:hint="eastAsia" w:cs="Helvetica" w:asciiTheme="minorEastAsia" w:hAnsiTheme="minorEastAsia"/>
          <w:kern w:val="0"/>
          <w:sz w:val="24"/>
          <w:szCs w:val="24"/>
          <w:lang w:val="zh-CN"/>
        </w:rPr>
        <w:t>发布的信息为准。</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w:t>
      </w:r>
      <w:r>
        <w:rPr>
          <w:rFonts w:hint="eastAsia" w:cs="Helvetica" w:asciiTheme="minorEastAsia" w:hAnsiTheme="minorEastAsia"/>
          <w:color w:val="auto"/>
          <w:kern w:val="0"/>
          <w:sz w:val="24"/>
          <w:szCs w:val="24"/>
          <w:lang w:val="zh-CN"/>
        </w:rPr>
        <w:t>下，</w:t>
      </w:r>
      <w:r>
        <w:rPr>
          <w:rFonts w:hint="eastAsia" w:ascii="Helvetica" w:hAnsi="Helvetica" w:eastAsia="宋体" w:cs="Helvetica"/>
          <w:color w:val="auto"/>
          <w:kern w:val="0"/>
          <w:sz w:val="24"/>
          <w:szCs w:val="24"/>
          <w:lang w:val="zh-CN"/>
        </w:rPr>
        <w:t>采购代理机构</w:t>
      </w:r>
      <w:r>
        <w:rPr>
          <w:rFonts w:hint="eastAsia" w:cs="Helvetica" w:asciiTheme="minorEastAsia" w:hAnsiTheme="minorEastAsia"/>
          <w:color w:val="auto"/>
          <w:kern w:val="0"/>
          <w:sz w:val="24"/>
          <w:szCs w:val="24"/>
          <w:lang w:val="zh-CN"/>
        </w:rPr>
        <w:t>工作</w:t>
      </w:r>
      <w:r>
        <w:rPr>
          <w:rFonts w:hint="eastAsia" w:cs="Helvetica" w:asciiTheme="minorEastAsia" w:hAnsiTheme="minorEastAsia"/>
          <w:kern w:val="0"/>
          <w:sz w:val="24"/>
          <w:szCs w:val="24"/>
          <w:lang w:val="zh-CN"/>
        </w:rPr>
        <w:t>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0" w:name="_Toc495861525"/>
      <w:bookmarkStart w:id="21" w:name="_Toc494561944"/>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3"/>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3"/>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2"/>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2"/>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4"/>
        </w:numPr>
        <w:spacing w:line="360" w:lineRule="auto"/>
        <w:ind w:left="616" w:hanging="616"/>
        <w:rPr>
          <w:rFonts w:ascii="宋体" w:hAnsi="宋体" w:eastAsia="宋体" w:cs="Times New Roman"/>
          <w:sz w:val="24"/>
          <w:szCs w:val="20"/>
          <w:lang w:val="zh-CN"/>
        </w:rPr>
      </w:pPr>
      <w:bookmarkStart w:id="22" w:name="_Toc272247700"/>
      <w:bookmarkStart w:id="23"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4" w:name="_Toc495861526"/>
      <w:bookmarkStart w:id="25" w:name="_Toc494561945"/>
      <w:r>
        <w:rPr>
          <w:rFonts w:hint="eastAsia" w:cs="Times New Roman" w:asciiTheme="majorEastAsia" w:hAnsiTheme="majorEastAsia"/>
          <w:bCs w:val="0"/>
          <w:lang w:val="zh-CN"/>
        </w:rPr>
        <w:t>采购信息公告</w:t>
      </w:r>
      <w:bookmarkEnd w:id="24"/>
      <w:bookmarkEnd w:id="25"/>
    </w:p>
    <w:p>
      <w:pPr>
        <w:numPr>
          <w:ilvl w:val="0"/>
          <w:numId w:val="6"/>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35"/>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6" w:name="_Toc494561946"/>
      <w:bookmarkStart w:id="27" w:name="_Toc495861527"/>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w:t>
      </w:r>
      <w:r>
        <w:rPr>
          <w:rFonts w:hint="eastAsia" w:ascii="宋体" w:hAnsi="宋体" w:eastAsia="宋体" w:cs="Times New Roman"/>
          <w:color w:val="auto"/>
          <w:sz w:val="24"/>
          <w:szCs w:val="20"/>
          <w:lang w:val="zh-CN"/>
        </w:rPr>
        <w:t>作日内，</w:t>
      </w:r>
      <w:r>
        <w:rPr>
          <w:rFonts w:ascii="宋体" w:hAnsi="宋体" w:eastAsia="宋体" w:cs="Times New Roman"/>
          <w:color w:val="auto"/>
          <w:sz w:val="24"/>
          <w:szCs w:val="20"/>
          <w:lang w:val="zh-CN"/>
        </w:rPr>
        <w:t>向</w:t>
      </w:r>
      <w:r>
        <w:rPr>
          <w:rFonts w:hint="eastAsia" w:ascii="宋体" w:hAnsi="宋体" w:eastAsia="宋体" w:cs="Times New Roman"/>
          <w:color w:val="auto"/>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color w:val="auto"/>
          <w:sz w:val="24"/>
          <w:szCs w:val="20"/>
          <w:lang w:val="zh-CN"/>
        </w:rPr>
      </w:pPr>
      <w:r>
        <w:rPr>
          <w:rFonts w:hint="eastAsia" w:ascii="宋体" w:hAnsi="宋体" w:eastAsia="宋体" w:cs="Times New Roman"/>
          <w:sz w:val="24"/>
          <w:szCs w:val="20"/>
          <w:lang w:val="zh-CN"/>
        </w:rPr>
        <w:t>投标人未按本章“质疑及提交”规定的时限、内容及方式进行质疑的，</w:t>
      </w:r>
      <w:r>
        <w:rPr>
          <w:rFonts w:hint="eastAsia" w:ascii="宋体" w:hAnsi="宋体" w:eastAsia="宋体" w:cs="Times New Roman"/>
          <w:color w:val="auto"/>
          <w:sz w:val="24"/>
          <w:szCs w:val="20"/>
          <w:lang w:val="zh-CN"/>
        </w:rPr>
        <w:t>采购人（或代理公司）不予受理。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8" w:name="_Toc494561947"/>
      <w:bookmarkStart w:id="29" w:name="_Toc495861528"/>
      <w:r>
        <w:rPr>
          <w:rFonts w:hint="eastAsia" w:cs="Times New Roman" w:asciiTheme="majorEastAsia" w:hAnsiTheme="majorEastAsia"/>
          <w:bCs w:val="0"/>
          <w:lang w:val="zh-CN"/>
        </w:rPr>
        <w:t>相关条文解读</w:t>
      </w:r>
      <w:bookmarkEnd w:id="28"/>
      <w:bookmarkEnd w:id="29"/>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政府采购法第二十二条第一款第五项所称重大违法记录，是指投标人因违法经营受到刑事处罚或者责令停产停业、吊销许可证或者执照、较大数额罚款等行政处罚。</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各级人民政府财政部门依法对参加政府采购活动的投标人作出的禁止参加政府采购活动等行政处罚决定在全国范围内生效。</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投标人在参加政府采购活动前3年内因违法经营被禁止在一定期限内参加政府采购活动，期限届满的，可以参加政府采购活动。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根据财政部《政府采购法实施条例》释义中关于投标人资格条件的解释，对于银行、保险、石油石化、电力、电信等有行业特殊情况的，采购人和采购代理机构允许其分支机构参与投标。</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30" w:name="_Toc494561948"/>
      <w:bookmarkStart w:id="31" w:name="_Toc495861529"/>
      <w:r>
        <w:rPr>
          <w:rFonts w:hint="eastAsia" w:cs="Times New Roman" w:asciiTheme="majorEastAsia" w:hAnsiTheme="majorEastAsia"/>
          <w:bCs w:val="0"/>
          <w:lang w:val="zh-CN"/>
        </w:rPr>
        <w:t>其他注意事项</w:t>
      </w:r>
      <w:bookmarkEnd w:id="30"/>
      <w:bookmarkEnd w:id="31"/>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单位负责人为同一人或者存在直接控股、管理关系的不同投标人，不得参加同一合同项下的政府采购活动。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除单一来源采购项目外，为采购项目提供整体设计、规范编制或者项目管理、监理、检测等服务的投标人，不得再参加该采购项目的其他采购活动。</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32" w:name="_Toc494561949"/>
      <w:bookmarkStart w:id="33" w:name="_Toc278891598"/>
      <w:bookmarkStart w:id="34" w:name="_Toc495861530"/>
      <w:bookmarkStart w:id="35" w:name="_Toc272247701"/>
      <w:r>
        <w:rPr>
          <w:rFonts w:hint="eastAsia" w:cs="Times New Roman" w:asciiTheme="majorEastAsia" w:hAnsiTheme="majorEastAsia"/>
          <w:bCs w:val="0"/>
          <w:lang w:val="zh-CN"/>
        </w:rPr>
        <w:t>适用法律</w:t>
      </w:r>
      <w:bookmarkEnd w:id="32"/>
      <w:bookmarkEnd w:id="33"/>
      <w:bookmarkEnd w:id="34"/>
      <w:bookmarkEnd w:id="35"/>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6"/>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36" w:name="_Toc494561950"/>
      <w:bookmarkStart w:id="37" w:name="_Toc278891599"/>
      <w:bookmarkStart w:id="38" w:name="_Toc495861531"/>
      <w:bookmarkStart w:id="39" w:name="_Toc272247702"/>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6"/>
        </w:numPr>
        <w:spacing w:line="360" w:lineRule="auto"/>
        <w:ind w:left="560" w:hanging="560"/>
      </w:pPr>
      <w:r>
        <w:rPr>
          <w:rFonts w:hint="eastAsia" w:ascii="宋体" w:hAnsi="宋体" w:eastAsia="宋体" w:cs="Times New Roman"/>
          <w:sz w:val="24"/>
          <w:szCs w:val="20"/>
          <w:lang w:val="zh-CN"/>
        </w:rPr>
        <w:t>招标文件的最终解释</w:t>
      </w:r>
      <w:r>
        <w:rPr>
          <w:rFonts w:hint="eastAsia" w:ascii="宋体" w:hAnsi="宋体" w:eastAsia="宋体" w:cs="Times New Roman"/>
          <w:color w:val="auto"/>
          <w:sz w:val="24"/>
          <w:szCs w:val="20"/>
          <w:lang w:val="zh-CN"/>
        </w:rPr>
        <w:t>权为采购人、采购代理机构</w:t>
      </w:r>
      <w:r>
        <w:rPr>
          <w:rFonts w:hint="eastAsia" w:ascii="宋体" w:hAnsi="宋体" w:eastAsia="宋体" w:cs="Times New Roman"/>
          <w:sz w:val="24"/>
          <w:szCs w:val="20"/>
          <w:lang w:val="zh-CN"/>
        </w:rPr>
        <w:t>所有。</w:t>
      </w:r>
      <w:r>
        <w:br w:type="page"/>
      </w:r>
    </w:p>
    <w:p>
      <w:pPr>
        <w:pStyle w:val="3"/>
        <w:numPr>
          <w:ilvl w:val="0"/>
          <w:numId w:val="1"/>
        </w:numPr>
        <w:jc w:val="center"/>
        <w:rPr>
          <w:rFonts w:ascii="黑体" w:hAnsi="黑体" w:eastAsia="黑体"/>
        </w:rPr>
      </w:pPr>
      <w:bookmarkStart w:id="40" w:name="_Toc495861532"/>
      <w:r>
        <w:rPr>
          <w:rFonts w:hint="eastAsia" w:ascii="黑体" w:hAnsi="黑体" w:eastAsia="黑体"/>
        </w:rPr>
        <w:t>项目技术、服务及商务要求</w:t>
      </w:r>
      <w:bookmarkEnd w:id="40"/>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彩色多普勒超声诊断系统技术要求和规格</w:t>
      </w:r>
    </w:p>
    <w:p>
      <w:pPr>
        <w:keepNext w:val="0"/>
        <w:keepLines w:val="0"/>
        <w:pageBreakBefore w:val="0"/>
        <w:widowControl w:val="0"/>
        <w:numPr>
          <w:ilvl w:val="0"/>
          <w:numId w:val="38"/>
        </w:numPr>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采购清单</w:t>
      </w:r>
    </w:p>
    <w:tbl>
      <w:tblPr>
        <w:tblStyle w:val="19"/>
        <w:tblpPr w:leftFromText="180" w:rightFromText="180" w:vertAnchor="text" w:horzAnchor="page" w:tblpX="1395" w:tblpY="348"/>
        <w:tblOverlap w:val="never"/>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4828"/>
        <w:gridCol w:w="822"/>
        <w:gridCol w:w="853"/>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39" w:type="dxa"/>
            <w:vAlign w:val="center"/>
          </w:tcPr>
          <w:p>
            <w:pPr>
              <w:ind w:left="0" w:leftChars="0" w:firstLine="0" w:firstLineChars="0"/>
              <w:jc w:val="both"/>
              <w:rPr>
                <w:rFonts w:hint="eastAsia" w:ascii="宋体" w:hAnsi="宋体" w:eastAsia="宋体" w:cs="宋体"/>
                <w:b/>
                <w:sz w:val="24"/>
                <w:szCs w:val="24"/>
                <w:lang w:val="zh-CN"/>
              </w:rPr>
            </w:pPr>
            <w:r>
              <w:rPr>
                <w:rFonts w:hint="eastAsia" w:ascii="宋体" w:hAnsi="宋体" w:eastAsia="宋体" w:cs="宋体"/>
                <w:b/>
                <w:sz w:val="24"/>
                <w:szCs w:val="24"/>
                <w:lang w:val="zh-CN"/>
              </w:rPr>
              <w:t xml:space="preserve">序号 </w:t>
            </w:r>
          </w:p>
        </w:tc>
        <w:tc>
          <w:tcPr>
            <w:tcW w:w="4828" w:type="dxa"/>
            <w:vAlign w:val="center"/>
          </w:tcPr>
          <w:p>
            <w:pPr>
              <w:jc w:val="center"/>
              <w:rPr>
                <w:rFonts w:hint="eastAsia" w:ascii="宋体" w:hAnsi="宋体" w:eastAsia="宋体" w:cs="宋体"/>
                <w:b/>
                <w:sz w:val="24"/>
                <w:szCs w:val="24"/>
                <w:lang w:val="zh-CN"/>
              </w:rPr>
            </w:pPr>
            <w:r>
              <w:rPr>
                <w:rFonts w:hint="eastAsia" w:ascii="宋体" w:hAnsi="宋体" w:eastAsia="宋体" w:cs="宋体"/>
                <w:b/>
                <w:sz w:val="24"/>
                <w:szCs w:val="24"/>
                <w:lang w:val="zh-CN"/>
              </w:rPr>
              <w:t>名 称</w:t>
            </w:r>
          </w:p>
        </w:tc>
        <w:tc>
          <w:tcPr>
            <w:tcW w:w="822" w:type="dxa"/>
            <w:vAlign w:val="center"/>
          </w:tcPr>
          <w:p>
            <w:pPr>
              <w:ind w:left="0" w:leftChars="0" w:firstLine="0" w:firstLineChars="0"/>
              <w:jc w:val="both"/>
              <w:rPr>
                <w:rFonts w:hint="eastAsia" w:ascii="宋体" w:hAnsi="宋体" w:eastAsia="宋体" w:cs="宋体"/>
                <w:b/>
                <w:sz w:val="24"/>
                <w:szCs w:val="24"/>
                <w:lang w:val="zh-CN"/>
              </w:rPr>
            </w:pPr>
            <w:r>
              <w:rPr>
                <w:rFonts w:hint="eastAsia" w:ascii="宋体" w:hAnsi="宋体" w:eastAsia="宋体" w:cs="宋体"/>
                <w:b/>
                <w:sz w:val="24"/>
                <w:szCs w:val="24"/>
                <w:lang w:val="zh-CN"/>
              </w:rPr>
              <w:t>数量</w:t>
            </w:r>
          </w:p>
        </w:tc>
        <w:tc>
          <w:tcPr>
            <w:tcW w:w="853" w:type="dxa"/>
            <w:vAlign w:val="center"/>
          </w:tcPr>
          <w:p>
            <w:pPr>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单 位</w:t>
            </w:r>
          </w:p>
        </w:tc>
        <w:tc>
          <w:tcPr>
            <w:tcW w:w="1195" w:type="dxa"/>
            <w:vAlign w:val="center"/>
          </w:tcPr>
          <w:p>
            <w:pPr>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9" w:type="dxa"/>
            <w:vAlign w:val="center"/>
          </w:tcPr>
          <w:p>
            <w:pPr>
              <w:ind w:left="0" w:leftChars="0" w:firstLine="0" w:firstLineChars="0"/>
              <w:jc w:val="both"/>
              <w:rPr>
                <w:rFonts w:hint="eastAsia" w:ascii="宋体" w:hAnsi="宋体" w:eastAsia="宋体" w:cs="宋体"/>
                <w:b/>
                <w:sz w:val="24"/>
                <w:szCs w:val="24"/>
                <w:lang w:val="zh-CN"/>
              </w:rPr>
            </w:pPr>
            <w:r>
              <w:rPr>
                <w:rFonts w:hint="eastAsia" w:ascii="宋体" w:hAnsi="宋体" w:eastAsia="宋体" w:cs="宋体"/>
                <w:b/>
                <w:sz w:val="24"/>
                <w:szCs w:val="24"/>
                <w:lang w:val="zh-CN"/>
              </w:rPr>
              <w:t>1</w:t>
            </w:r>
          </w:p>
        </w:tc>
        <w:tc>
          <w:tcPr>
            <w:tcW w:w="4828" w:type="dxa"/>
            <w:vAlign w:val="center"/>
          </w:tcPr>
          <w:p>
            <w:pPr>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b/>
                <w:bCs/>
                <w:sz w:val="24"/>
                <w:szCs w:val="24"/>
              </w:rPr>
              <w:t>超高端心血管彩色多普勒超声波诊断仪</w:t>
            </w:r>
          </w:p>
        </w:tc>
        <w:tc>
          <w:tcPr>
            <w:tcW w:w="822" w:type="dxa"/>
            <w:vAlign w:val="center"/>
          </w:tcPr>
          <w:p>
            <w:pPr>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53" w:type="dxa"/>
            <w:vAlign w:val="center"/>
          </w:tcPr>
          <w:p>
            <w:pPr>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套</w:t>
            </w:r>
          </w:p>
        </w:tc>
        <w:tc>
          <w:tcPr>
            <w:tcW w:w="1195" w:type="dxa"/>
            <w:vAlign w:val="center"/>
          </w:tcPr>
          <w:p>
            <w:pPr>
              <w:jc w:val="center"/>
              <w:rPr>
                <w:rFonts w:hint="eastAsia" w:ascii="宋体" w:hAnsi="宋体" w:eastAsia="宋体" w:cs="宋体"/>
                <w:sz w:val="24"/>
                <w:szCs w:val="24"/>
                <w:lang w:val="zh-CN"/>
              </w:rPr>
            </w:pP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8"/>
          <w:szCs w:val="28"/>
          <w:lang w:eastAsia="zh-CN"/>
        </w:rPr>
        <w:t>二、技术、服务要求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设备用途及说明：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成人心脏、小儿及新生儿心脏和胎儿心脏超声临床诊断应用和相关科研为主；并支持经食管超声心动图成像；覆盖外周血管、腹部、妇产科/盆腔、泌尿系统和前列腺、浅表组织与小器官、儿科、经颅超声、肌骨、体腔超声(经阴道/经直肠)、术中等介入超声等检查全面应用，具备啮齿类动物心脏定量分析专业软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可支持升级为四维超声心动图系统。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必须提供厂家的最高型号和最新版本。</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主要规格及系统概述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2.1    </w:t>
      </w:r>
      <w:r>
        <w:rPr>
          <w:rFonts w:hint="eastAsia" w:ascii="宋体" w:hAnsi="宋体" w:eastAsia="宋体" w:cs="宋体"/>
          <w:b/>
          <w:bCs/>
          <w:sz w:val="24"/>
          <w:szCs w:val="24"/>
        </w:rPr>
        <w:t>彩色多普勒超声波诊断仪包括：</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.1.1</w:t>
      </w:r>
      <w:r>
        <w:rPr>
          <w:rFonts w:hint="eastAsia" w:ascii="宋体" w:hAnsi="宋体" w:eastAsia="宋体" w:cs="宋体"/>
          <w:sz w:val="24"/>
          <w:szCs w:val="24"/>
        </w:rPr>
        <w:tab/>
      </w:r>
      <w:r>
        <w:rPr>
          <w:rFonts w:hint="eastAsia" w:ascii="宋体" w:hAnsi="宋体" w:eastAsia="宋体" w:cs="宋体"/>
          <w:sz w:val="24"/>
          <w:szCs w:val="24"/>
        </w:rPr>
        <w:t>显示器: ≥22英寸、有机自发光显示器（OLED）</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.1.2</w:t>
      </w:r>
      <w:r>
        <w:rPr>
          <w:rFonts w:hint="eastAsia" w:ascii="宋体" w:hAnsi="宋体" w:eastAsia="宋体" w:cs="宋体"/>
          <w:sz w:val="24"/>
          <w:szCs w:val="24"/>
        </w:rPr>
        <w:tab/>
      </w:r>
      <w:r>
        <w:rPr>
          <w:rFonts w:hint="eastAsia" w:ascii="宋体" w:hAnsi="宋体" w:eastAsia="宋体" w:cs="宋体"/>
          <w:sz w:val="24"/>
          <w:szCs w:val="24"/>
        </w:rPr>
        <w:t>具有12英寸超高分辨率、多点触控彩色触摸屏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.1.3</w:t>
      </w:r>
      <w:r>
        <w:rPr>
          <w:rFonts w:hint="eastAsia" w:ascii="宋体" w:hAnsi="宋体" w:eastAsia="宋体" w:cs="宋体"/>
          <w:sz w:val="24"/>
          <w:szCs w:val="24"/>
        </w:rPr>
        <w:tab/>
      </w:r>
      <w:r>
        <w:rPr>
          <w:rFonts w:hint="eastAsia" w:ascii="宋体" w:hAnsi="宋体" w:eastAsia="宋体" w:cs="宋体"/>
          <w:sz w:val="24"/>
          <w:szCs w:val="24"/>
        </w:rPr>
        <w:t>操作平台电动控制，可在上下/左右/前后范围内灵活调节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.1.4</w:t>
      </w:r>
      <w:r>
        <w:rPr>
          <w:rFonts w:hint="eastAsia" w:ascii="宋体" w:hAnsi="宋体" w:eastAsia="宋体" w:cs="宋体"/>
          <w:sz w:val="24"/>
          <w:szCs w:val="24"/>
        </w:rPr>
        <w:tab/>
      </w:r>
      <w:r>
        <w:rPr>
          <w:rFonts w:hint="eastAsia" w:ascii="宋体" w:hAnsi="宋体" w:eastAsia="宋体" w:cs="宋体"/>
          <w:sz w:val="24"/>
          <w:szCs w:val="24"/>
        </w:rPr>
        <w:t>具备原始数据处理能力：能对存储后的动静态图像可进一步调节增益、彩色显示、多普勒基线位置、时间轴快慢以及多普勒角度校正等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.1.5</w:t>
      </w:r>
      <w:r>
        <w:rPr>
          <w:rFonts w:hint="eastAsia" w:ascii="宋体" w:hAnsi="宋体" w:eastAsia="宋体" w:cs="宋体"/>
          <w:sz w:val="24"/>
          <w:szCs w:val="24"/>
        </w:rPr>
        <w:tab/>
      </w:r>
      <w:r>
        <w:rPr>
          <w:rFonts w:hint="eastAsia" w:ascii="宋体" w:hAnsi="宋体" w:eastAsia="宋体" w:cs="宋体"/>
          <w:sz w:val="24"/>
          <w:szCs w:val="24"/>
        </w:rPr>
        <w:t>动态宽波束发射与接收超声信号，采用整场空间像素成像原理成像，一次性成像，无需调节焦点位置和数目，图像区域无聚焦点或聚焦带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.1.6</w:t>
      </w:r>
      <w:r>
        <w:rPr>
          <w:rFonts w:hint="eastAsia" w:ascii="宋体" w:hAnsi="宋体" w:eastAsia="宋体" w:cs="宋体"/>
          <w:sz w:val="24"/>
          <w:szCs w:val="24"/>
        </w:rPr>
        <w:tab/>
      </w:r>
      <w:r>
        <w:rPr>
          <w:rFonts w:hint="eastAsia" w:ascii="宋体" w:hAnsi="宋体" w:eastAsia="宋体" w:cs="宋体"/>
          <w:sz w:val="24"/>
          <w:szCs w:val="24"/>
        </w:rPr>
        <w:t>智能像素优化技术：提高图像整体空间分辨率、对比分辨率和信噪比。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.1.7</w:t>
      </w:r>
      <w:r>
        <w:rPr>
          <w:rFonts w:hint="eastAsia" w:ascii="宋体" w:hAnsi="宋体" w:eastAsia="宋体" w:cs="宋体"/>
          <w:sz w:val="24"/>
          <w:szCs w:val="24"/>
        </w:rPr>
        <w:tab/>
      </w:r>
      <w:r>
        <w:rPr>
          <w:rFonts w:hint="eastAsia" w:ascii="宋体" w:hAnsi="宋体" w:eastAsia="宋体" w:cs="宋体"/>
          <w:sz w:val="24"/>
          <w:szCs w:val="24"/>
        </w:rPr>
        <w:t>特殊探头技术：具有面阵技术、声能放大、单晶体以及精准温控探头技术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.1.8</w:t>
      </w:r>
      <w:r>
        <w:rPr>
          <w:rFonts w:hint="eastAsia" w:ascii="宋体" w:hAnsi="宋体" w:eastAsia="宋体" w:cs="宋体"/>
          <w:sz w:val="24"/>
          <w:szCs w:val="24"/>
        </w:rPr>
        <w:tab/>
      </w:r>
      <w:r>
        <w:rPr>
          <w:rFonts w:hint="eastAsia" w:ascii="宋体" w:hAnsi="宋体" w:eastAsia="宋体" w:cs="宋体"/>
          <w:b/>
          <w:bCs/>
          <w:sz w:val="24"/>
          <w:szCs w:val="24"/>
        </w:rPr>
        <w:t>二维灰阶成像单元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.1.8.1</w:t>
      </w:r>
      <w:r>
        <w:rPr>
          <w:rFonts w:hint="eastAsia" w:ascii="宋体" w:hAnsi="宋体" w:eastAsia="宋体" w:cs="宋体"/>
          <w:sz w:val="24"/>
          <w:szCs w:val="24"/>
        </w:rPr>
        <w:tab/>
      </w:r>
      <w:r>
        <w:rPr>
          <w:rFonts w:hint="eastAsia" w:ascii="宋体" w:hAnsi="宋体" w:eastAsia="宋体" w:cs="宋体"/>
          <w:sz w:val="24"/>
          <w:szCs w:val="24"/>
        </w:rPr>
        <w:t>所有探头均为宽频、多点变频探头，基波频率、基波与谐波成像频率必须具体在屏幕上显示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.1.8.2</w:t>
      </w:r>
      <w:r>
        <w:rPr>
          <w:rFonts w:hint="eastAsia" w:ascii="宋体" w:hAnsi="宋体" w:eastAsia="宋体" w:cs="宋体"/>
          <w:sz w:val="24"/>
          <w:szCs w:val="24"/>
        </w:rPr>
        <w:tab/>
      </w:r>
      <w:r>
        <w:rPr>
          <w:rFonts w:hint="eastAsia" w:ascii="宋体" w:hAnsi="宋体" w:eastAsia="宋体" w:cs="宋体"/>
          <w:sz w:val="24"/>
          <w:szCs w:val="24"/>
        </w:rPr>
        <w:t>超清斑点噪声抑制技术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.1.8.3</w:t>
      </w:r>
      <w:r>
        <w:rPr>
          <w:rFonts w:hint="eastAsia" w:ascii="宋体" w:hAnsi="宋体" w:eastAsia="宋体" w:cs="宋体"/>
          <w:sz w:val="24"/>
          <w:szCs w:val="24"/>
        </w:rPr>
        <w:tab/>
      </w:r>
      <w:r>
        <w:rPr>
          <w:rFonts w:hint="eastAsia" w:ascii="宋体" w:hAnsi="宋体" w:eastAsia="宋体" w:cs="宋体"/>
          <w:sz w:val="24"/>
          <w:szCs w:val="24"/>
        </w:rPr>
        <w:t>实时空间多角度复合成像，并支持彩色多普勒模式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.1.8.4</w:t>
      </w:r>
      <w:r>
        <w:rPr>
          <w:rFonts w:hint="eastAsia" w:ascii="宋体" w:hAnsi="宋体" w:eastAsia="宋体" w:cs="宋体"/>
          <w:sz w:val="24"/>
          <w:szCs w:val="24"/>
        </w:rPr>
        <w:tab/>
      </w:r>
      <w:r>
        <w:rPr>
          <w:rFonts w:hint="eastAsia" w:ascii="宋体" w:hAnsi="宋体" w:eastAsia="宋体" w:cs="宋体"/>
          <w:sz w:val="24"/>
          <w:szCs w:val="24"/>
        </w:rPr>
        <w:t>心肌增强成像技术：增强心肌细节结构的显示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.1.8.</w:t>
      </w:r>
      <w:r>
        <w:rPr>
          <w:rFonts w:hint="eastAsia" w:ascii="宋体" w:hAnsi="宋体" w:eastAsia="宋体" w:cs="宋体"/>
          <w:sz w:val="24"/>
          <w:szCs w:val="24"/>
          <w:lang w:val="en-US" w:eastAsia="zh-CN"/>
        </w:rPr>
        <w:t>5</w:t>
      </w:r>
      <w:r>
        <w:rPr>
          <w:rFonts w:hint="eastAsia" w:ascii="宋体" w:hAnsi="宋体" w:eastAsia="宋体" w:cs="宋体"/>
          <w:sz w:val="24"/>
          <w:szCs w:val="24"/>
        </w:rPr>
        <w:tab/>
      </w:r>
      <w:r>
        <w:rPr>
          <w:rFonts w:hint="eastAsia" w:ascii="宋体" w:hAnsi="宋体" w:eastAsia="宋体" w:cs="宋体"/>
          <w:sz w:val="24"/>
          <w:szCs w:val="24"/>
        </w:rPr>
        <w:t>高清成像模式：通过双频率复合采集，提高组织分辨率和对比度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.1.8.6</w:t>
      </w:r>
      <w:r>
        <w:rPr>
          <w:rFonts w:hint="eastAsia" w:ascii="宋体" w:hAnsi="宋体" w:eastAsia="宋体" w:cs="宋体"/>
          <w:sz w:val="24"/>
          <w:szCs w:val="24"/>
        </w:rPr>
        <w:tab/>
      </w:r>
      <w:r>
        <w:rPr>
          <w:rFonts w:hint="eastAsia" w:ascii="宋体" w:hAnsi="宋体" w:eastAsia="宋体" w:cs="宋体"/>
          <w:sz w:val="24"/>
          <w:szCs w:val="24"/>
        </w:rPr>
        <w:t>复合滤波：通过复合运算，增强组织边界的显示和解剖结构的平滑度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.1.8.7</w:t>
      </w:r>
      <w:r>
        <w:rPr>
          <w:rFonts w:hint="eastAsia" w:ascii="宋体" w:hAnsi="宋体" w:eastAsia="宋体" w:cs="宋体"/>
          <w:sz w:val="24"/>
          <w:szCs w:val="24"/>
        </w:rPr>
        <w:tab/>
      </w:r>
      <w:r>
        <w:rPr>
          <w:rFonts w:hint="eastAsia" w:ascii="宋体" w:hAnsi="宋体" w:eastAsia="宋体" w:cs="宋体"/>
          <w:sz w:val="24"/>
          <w:szCs w:val="24"/>
        </w:rPr>
        <w:t>一键式实时自动连续优化图像技术，包括增益、对比度、侧向增益补偿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.1.8.8</w:t>
      </w:r>
      <w:r>
        <w:rPr>
          <w:rFonts w:hint="eastAsia" w:ascii="宋体" w:hAnsi="宋体" w:eastAsia="宋体" w:cs="宋体"/>
          <w:sz w:val="24"/>
          <w:szCs w:val="24"/>
        </w:rPr>
        <w:tab/>
      </w:r>
      <w:r>
        <w:rPr>
          <w:rFonts w:hint="eastAsia" w:ascii="宋体" w:hAnsi="宋体" w:eastAsia="宋体" w:cs="宋体"/>
          <w:sz w:val="24"/>
          <w:szCs w:val="24"/>
        </w:rPr>
        <w:t>实时宽景成像技术，可前进和后退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.1.8.9</w:t>
      </w:r>
      <w:r>
        <w:rPr>
          <w:rFonts w:hint="eastAsia" w:ascii="宋体" w:hAnsi="宋体" w:eastAsia="宋体" w:cs="宋体"/>
          <w:sz w:val="24"/>
          <w:szCs w:val="24"/>
        </w:rPr>
        <w:tab/>
      </w:r>
      <w:r>
        <w:rPr>
          <w:rFonts w:hint="eastAsia" w:ascii="宋体" w:hAnsi="宋体" w:eastAsia="宋体" w:cs="宋体"/>
          <w:sz w:val="24"/>
          <w:szCs w:val="24"/>
        </w:rPr>
        <w:t>梯形扩展成像技术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.1.8.10</w:t>
      </w:r>
      <w:r>
        <w:rPr>
          <w:rFonts w:hint="eastAsia" w:ascii="宋体" w:hAnsi="宋体" w:eastAsia="宋体" w:cs="宋体"/>
          <w:sz w:val="24"/>
          <w:szCs w:val="24"/>
        </w:rPr>
        <w:tab/>
      </w:r>
      <w:r>
        <w:rPr>
          <w:rFonts w:hint="eastAsia" w:ascii="宋体" w:hAnsi="宋体" w:eastAsia="宋体" w:cs="宋体"/>
          <w:sz w:val="24"/>
          <w:szCs w:val="24"/>
        </w:rPr>
        <w:t>心尖扩展成像：相控阵心脏探头采用凸阵扩展技术，实现心尖宽视野显示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.1.9</w:t>
      </w:r>
      <w:r>
        <w:rPr>
          <w:rFonts w:hint="eastAsia" w:ascii="宋体" w:hAnsi="宋体" w:eastAsia="宋体" w:cs="宋体"/>
          <w:sz w:val="24"/>
          <w:szCs w:val="24"/>
        </w:rPr>
        <w:tab/>
      </w:r>
      <w:r>
        <w:rPr>
          <w:rFonts w:hint="eastAsia" w:ascii="宋体" w:hAnsi="宋体" w:eastAsia="宋体" w:cs="宋体"/>
          <w:b/>
          <w:bCs/>
          <w:sz w:val="24"/>
          <w:szCs w:val="24"/>
        </w:rPr>
        <w:t>彩色血流成像单元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.1.9.1</w:t>
      </w:r>
      <w:r>
        <w:rPr>
          <w:rFonts w:hint="eastAsia" w:ascii="宋体" w:hAnsi="宋体" w:eastAsia="宋体" w:cs="宋体"/>
          <w:sz w:val="24"/>
          <w:szCs w:val="24"/>
        </w:rPr>
        <w:tab/>
      </w:r>
      <w:r>
        <w:rPr>
          <w:rFonts w:hint="eastAsia" w:ascii="宋体" w:hAnsi="宋体" w:eastAsia="宋体" w:cs="宋体"/>
          <w:sz w:val="24"/>
          <w:szCs w:val="24"/>
        </w:rPr>
        <w:t>具有二维彩色模式、能量图模式、速度方差模式、彩色M型模式等多种模式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.1.9.2</w:t>
      </w:r>
      <w:r>
        <w:rPr>
          <w:rFonts w:hint="eastAsia" w:ascii="宋体" w:hAnsi="宋体" w:eastAsia="宋体" w:cs="宋体"/>
          <w:sz w:val="24"/>
          <w:szCs w:val="24"/>
        </w:rPr>
        <w:tab/>
      </w:r>
      <w:r>
        <w:rPr>
          <w:rFonts w:hint="eastAsia" w:ascii="宋体" w:hAnsi="宋体" w:eastAsia="宋体" w:cs="宋体"/>
          <w:sz w:val="24"/>
          <w:szCs w:val="24"/>
        </w:rPr>
        <w:t xml:space="preserve">具体彩色多普勒频率显示，并独立分级可调,≥8级(附频段图)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.1.9.3</w:t>
      </w:r>
      <w:r>
        <w:rPr>
          <w:rFonts w:hint="eastAsia" w:ascii="宋体" w:hAnsi="宋体" w:eastAsia="宋体" w:cs="宋体"/>
          <w:sz w:val="24"/>
          <w:szCs w:val="24"/>
        </w:rPr>
        <w:tab/>
      </w:r>
      <w:r>
        <w:rPr>
          <w:rFonts w:hint="eastAsia" w:ascii="宋体" w:hAnsi="宋体" w:eastAsia="宋体" w:cs="宋体"/>
          <w:sz w:val="24"/>
          <w:szCs w:val="24"/>
        </w:rPr>
        <w:t>二维和彩色同步双幅实时显示，亦可应用于冻结和存储的回放图像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.1.9.4</w:t>
      </w:r>
      <w:r>
        <w:rPr>
          <w:rFonts w:hint="eastAsia" w:ascii="宋体" w:hAnsi="宋体" w:eastAsia="宋体" w:cs="宋体"/>
          <w:sz w:val="24"/>
          <w:szCs w:val="24"/>
        </w:rPr>
        <w:tab/>
      </w:r>
      <w:r>
        <w:rPr>
          <w:rFonts w:hint="eastAsia" w:ascii="宋体" w:hAnsi="宋体" w:eastAsia="宋体" w:cs="宋体"/>
          <w:sz w:val="24"/>
          <w:szCs w:val="24"/>
        </w:rPr>
        <w:t>具有组织内彩色优先显示功能，以显示组织内低速血流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.1.9.5</w:t>
      </w:r>
      <w:r>
        <w:rPr>
          <w:rFonts w:hint="eastAsia" w:ascii="宋体" w:hAnsi="宋体" w:eastAsia="宋体" w:cs="宋体"/>
          <w:sz w:val="24"/>
          <w:szCs w:val="24"/>
        </w:rPr>
        <w:tab/>
      </w:r>
      <w:r>
        <w:rPr>
          <w:rFonts w:hint="eastAsia" w:ascii="宋体" w:hAnsi="宋体" w:eastAsia="宋体" w:cs="宋体"/>
          <w:sz w:val="24"/>
          <w:szCs w:val="24"/>
        </w:rPr>
        <w:t>具有彩色去除功能，能在实时、冻结、存储的图像上独立去除彩色信号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.1.9.6</w:t>
      </w:r>
      <w:r>
        <w:rPr>
          <w:rFonts w:hint="eastAsia" w:ascii="宋体" w:hAnsi="宋体" w:eastAsia="宋体" w:cs="宋体"/>
          <w:sz w:val="24"/>
          <w:szCs w:val="24"/>
        </w:rPr>
        <w:tab/>
      </w:r>
      <w:r>
        <w:rPr>
          <w:rFonts w:hint="eastAsia" w:ascii="宋体" w:hAnsi="宋体" w:eastAsia="宋体" w:cs="宋体"/>
          <w:sz w:val="24"/>
          <w:szCs w:val="24"/>
        </w:rPr>
        <w:t>能在冻结和回放的彩色模式下，再次调节彩色图谱、编码方式、方差模式、彩色/组织优先、彩色增益、彩色反转、彩色基线、彩色叠加等多项参数，应用于诊断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.1.9.7</w:t>
      </w:r>
      <w:r>
        <w:rPr>
          <w:rFonts w:hint="eastAsia" w:ascii="宋体" w:hAnsi="宋体" w:eastAsia="宋体" w:cs="宋体"/>
          <w:sz w:val="24"/>
          <w:szCs w:val="24"/>
        </w:rPr>
        <w:tab/>
      </w:r>
      <w:r>
        <w:rPr>
          <w:rFonts w:hint="eastAsia" w:ascii="宋体" w:hAnsi="宋体" w:eastAsia="宋体" w:cs="宋体"/>
          <w:sz w:val="24"/>
          <w:szCs w:val="24"/>
        </w:rPr>
        <w:t>彩色帧频可独立调节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.1.9.8</w:t>
      </w:r>
      <w:r>
        <w:rPr>
          <w:rFonts w:hint="eastAsia" w:ascii="宋体" w:hAnsi="宋体" w:eastAsia="宋体" w:cs="宋体"/>
          <w:sz w:val="24"/>
          <w:szCs w:val="24"/>
        </w:rPr>
        <w:tab/>
      </w:r>
      <w:r>
        <w:rPr>
          <w:rFonts w:hint="eastAsia" w:ascii="宋体" w:hAnsi="宋体" w:eastAsia="宋体" w:cs="宋体"/>
          <w:sz w:val="24"/>
          <w:szCs w:val="24"/>
        </w:rPr>
        <w:t>二维灰阶血流显像：非多普勒原理，直接提取微弱的血细胞回声进行成像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.1.9.9</w:t>
      </w:r>
      <w:r>
        <w:rPr>
          <w:rFonts w:hint="eastAsia" w:ascii="宋体" w:hAnsi="宋体" w:eastAsia="宋体" w:cs="宋体"/>
          <w:sz w:val="24"/>
          <w:szCs w:val="24"/>
        </w:rPr>
        <w:tab/>
      </w:r>
      <w:r>
        <w:rPr>
          <w:rFonts w:hint="eastAsia" w:ascii="宋体" w:hAnsi="宋体" w:eastAsia="宋体" w:cs="宋体"/>
          <w:sz w:val="24"/>
          <w:szCs w:val="24"/>
        </w:rPr>
        <w:t>方向性灰阶血流显像：基于灰阶血流信号的彩色血流方向性显示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.1.9.10</w:t>
      </w:r>
      <w:r>
        <w:rPr>
          <w:rFonts w:hint="eastAsia" w:ascii="宋体" w:hAnsi="宋体" w:eastAsia="宋体" w:cs="宋体"/>
          <w:sz w:val="24"/>
          <w:szCs w:val="24"/>
        </w:rPr>
        <w:tab/>
      </w:r>
      <w:r>
        <w:rPr>
          <w:rFonts w:hint="eastAsia" w:ascii="宋体" w:hAnsi="宋体" w:eastAsia="宋体" w:cs="宋体"/>
          <w:sz w:val="24"/>
          <w:szCs w:val="24"/>
        </w:rPr>
        <w:t>具有内置原厂冠脉血流显像软件，能有效去除心腔彩色噪音，显示冠脉血流信号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.1.10</w:t>
      </w:r>
      <w:r>
        <w:rPr>
          <w:rFonts w:hint="eastAsia" w:ascii="宋体" w:hAnsi="宋体" w:eastAsia="宋体" w:cs="宋体"/>
          <w:sz w:val="24"/>
          <w:szCs w:val="24"/>
        </w:rPr>
        <w:tab/>
      </w:r>
      <w:r>
        <w:rPr>
          <w:rFonts w:hint="eastAsia" w:ascii="宋体" w:hAnsi="宋体" w:eastAsia="宋体" w:cs="宋体"/>
          <w:b/>
          <w:bCs/>
          <w:sz w:val="24"/>
          <w:szCs w:val="24"/>
        </w:rPr>
        <w:t>频谱多普勒显示单元及分析系统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.1.10.1</w:t>
      </w:r>
      <w:r>
        <w:rPr>
          <w:rFonts w:hint="eastAsia" w:ascii="宋体" w:hAnsi="宋体" w:eastAsia="宋体" w:cs="宋体"/>
          <w:sz w:val="24"/>
          <w:szCs w:val="24"/>
        </w:rPr>
        <w:tab/>
      </w:r>
      <w:r>
        <w:rPr>
          <w:rFonts w:hint="eastAsia" w:ascii="宋体" w:hAnsi="宋体" w:eastAsia="宋体" w:cs="宋体"/>
          <w:sz w:val="24"/>
          <w:szCs w:val="24"/>
        </w:rPr>
        <w:t>具有PW、CW、HPRF、LPRF等多种模式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.1.10.2</w:t>
      </w:r>
      <w:r>
        <w:rPr>
          <w:rFonts w:hint="eastAsia" w:ascii="宋体" w:hAnsi="宋体" w:eastAsia="宋体" w:cs="宋体"/>
          <w:sz w:val="24"/>
          <w:szCs w:val="24"/>
        </w:rPr>
        <w:tab/>
      </w:r>
      <w:r>
        <w:rPr>
          <w:rFonts w:hint="eastAsia" w:ascii="宋体" w:hAnsi="宋体" w:eastAsia="宋体" w:cs="宋体"/>
          <w:sz w:val="24"/>
          <w:szCs w:val="24"/>
        </w:rPr>
        <w:t>HPRF高脉冲重复频率自动启动功能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.1.10.3</w:t>
      </w:r>
      <w:r>
        <w:rPr>
          <w:rFonts w:hint="eastAsia" w:ascii="宋体" w:hAnsi="宋体" w:eastAsia="宋体" w:cs="宋体"/>
          <w:sz w:val="24"/>
          <w:szCs w:val="24"/>
        </w:rPr>
        <w:tab/>
      </w:r>
      <w:r>
        <w:rPr>
          <w:rFonts w:hint="eastAsia" w:ascii="宋体" w:hAnsi="宋体" w:eastAsia="宋体" w:cs="宋体"/>
          <w:sz w:val="24"/>
          <w:szCs w:val="24"/>
        </w:rPr>
        <w:t>多普勒频率显示、独立可调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.1.10.4</w:t>
      </w:r>
      <w:r>
        <w:rPr>
          <w:rFonts w:hint="eastAsia" w:ascii="宋体" w:hAnsi="宋体" w:eastAsia="宋体" w:cs="宋体"/>
          <w:sz w:val="24"/>
          <w:szCs w:val="24"/>
        </w:rPr>
        <w:tab/>
      </w:r>
      <w:r>
        <w:rPr>
          <w:rFonts w:hint="eastAsia" w:ascii="宋体" w:hAnsi="宋体" w:eastAsia="宋体" w:cs="宋体"/>
          <w:sz w:val="24"/>
          <w:szCs w:val="24"/>
        </w:rPr>
        <w:t>自动频谱优化技术，一键控制，自动调整频谱至最佳范围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.1.10.5</w:t>
      </w:r>
      <w:r>
        <w:rPr>
          <w:rFonts w:hint="eastAsia" w:ascii="宋体" w:hAnsi="宋体" w:eastAsia="宋体" w:cs="宋体"/>
          <w:sz w:val="24"/>
          <w:szCs w:val="24"/>
        </w:rPr>
        <w:tab/>
      </w:r>
      <w:r>
        <w:rPr>
          <w:rFonts w:hint="eastAsia" w:ascii="宋体" w:hAnsi="宋体" w:eastAsia="宋体" w:cs="宋体"/>
          <w:sz w:val="24"/>
          <w:szCs w:val="24"/>
        </w:rPr>
        <w:t>高性能实时双同步、三同步功能，随时可切换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.1.10.6</w:t>
      </w:r>
      <w:r>
        <w:rPr>
          <w:rFonts w:hint="eastAsia" w:ascii="宋体" w:hAnsi="宋体" w:eastAsia="宋体" w:cs="宋体"/>
          <w:sz w:val="24"/>
          <w:szCs w:val="24"/>
        </w:rPr>
        <w:tab/>
      </w:r>
      <w:r>
        <w:rPr>
          <w:rFonts w:hint="eastAsia" w:ascii="宋体" w:hAnsi="宋体" w:eastAsia="宋体" w:cs="宋体"/>
          <w:sz w:val="24"/>
          <w:szCs w:val="24"/>
        </w:rPr>
        <w:t>自动角度纠正功能，以适应不同角度血管检测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.1.10.7</w:t>
      </w:r>
      <w:r>
        <w:rPr>
          <w:rFonts w:hint="eastAsia" w:ascii="宋体" w:hAnsi="宋体" w:eastAsia="宋体" w:cs="宋体"/>
          <w:sz w:val="24"/>
          <w:szCs w:val="24"/>
        </w:rPr>
        <w:tab/>
      </w:r>
      <w:r>
        <w:rPr>
          <w:rFonts w:hint="eastAsia" w:ascii="宋体" w:hAnsi="宋体" w:eastAsia="宋体" w:cs="宋体"/>
          <w:sz w:val="24"/>
          <w:szCs w:val="24"/>
        </w:rPr>
        <w:t>实时扫描中的图像参数调节，包括增益、基线位置、时间轴快慢、角度校正、噪音抑制、对比度、彩色图谱等的调节，也同样能应用于已经冻结或存储后的图像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.1.10.8</w:t>
      </w:r>
      <w:r>
        <w:rPr>
          <w:rFonts w:hint="eastAsia" w:ascii="宋体" w:hAnsi="宋体" w:eastAsia="宋体" w:cs="宋体"/>
          <w:sz w:val="24"/>
          <w:szCs w:val="24"/>
        </w:rPr>
        <w:tab/>
      </w:r>
      <w:r>
        <w:rPr>
          <w:rFonts w:hint="eastAsia" w:ascii="宋体" w:hAnsi="宋体" w:eastAsia="宋体" w:cs="宋体"/>
          <w:sz w:val="24"/>
          <w:szCs w:val="24"/>
        </w:rPr>
        <w:t>频谱自动分析系统：包括实时自动包络、冻结后自动包络、手动包络；自动计算各血流动力学参数，参数可根据客户需要灵活选择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.1.10.9</w:t>
      </w:r>
      <w:r>
        <w:rPr>
          <w:rFonts w:hint="eastAsia" w:ascii="宋体" w:hAnsi="宋体" w:eastAsia="宋体" w:cs="宋体"/>
          <w:sz w:val="24"/>
          <w:szCs w:val="24"/>
        </w:rPr>
        <w:tab/>
      </w:r>
      <w:r>
        <w:rPr>
          <w:rFonts w:hint="eastAsia" w:ascii="宋体" w:hAnsi="宋体" w:eastAsia="宋体" w:cs="宋体"/>
          <w:sz w:val="24"/>
          <w:szCs w:val="24"/>
        </w:rPr>
        <w:t>心脏频谱自动测量：可对心脏瓣膜彩色血流频谱及组织多普勒频谱进行多个心动周期的识别并命名，同时进行自动测量并将结果导入到报告系统（包括：E峰、A峰、EDT、E’、E/E’、AV Trace等参数）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.1.11</w:t>
      </w:r>
      <w:r>
        <w:rPr>
          <w:rFonts w:hint="eastAsia" w:ascii="宋体" w:hAnsi="宋体" w:eastAsia="宋体" w:cs="宋体"/>
          <w:sz w:val="24"/>
          <w:szCs w:val="24"/>
        </w:rPr>
        <w:tab/>
      </w:r>
      <w:r>
        <w:rPr>
          <w:rFonts w:hint="eastAsia" w:ascii="宋体" w:hAnsi="宋体" w:eastAsia="宋体" w:cs="宋体"/>
          <w:b/>
          <w:bCs/>
          <w:sz w:val="24"/>
          <w:szCs w:val="24"/>
        </w:rPr>
        <w:t>组织多普勒成像单元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.1.11.1</w:t>
      </w:r>
      <w:r>
        <w:rPr>
          <w:rFonts w:hint="eastAsia" w:ascii="宋体" w:hAnsi="宋体" w:eastAsia="宋体" w:cs="宋体"/>
          <w:sz w:val="24"/>
          <w:szCs w:val="24"/>
        </w:rPr>
        <w:tab/>
      </w:r>
      <w:r>
        <w:rPr>
          <w:rFonts w:hint="eastAsia" w:ascii="宋体" w:hAnsi="宋体" w:eastAsia="宋体" w:cs="宋体"/>
          <w:sz w:val="24"/>
          <w:szCs w:val="24"/>
        </w:rPr>
        <w:t>实时一键式组织速度成像、组织追踪图成像、组织同步化成像、组织应变及应变率成像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.1.11.2</w:t>
      </w:r>
      <w:r>
        <w:rPr>
          <w:rFonts w:hint="eastAsia" w:ascii="宋体" w:hAnsi="宋体" w:eastAsia="宋体" w:cs="宋体"/>
          <w:sz w:val="24"/>
          <w:szCs w:val="24"/>
        </w:rPr>
        <w:tab/>
      </w:r>
      <w:r>
        <w:rPr>
          <w:rFonts w:hint="eastAsia" w:ascii="宋体" w:hAnsi="宋体" w:eastAsia="宋体" w:cs="宋体"/>
          <w:sz w:val="24"/>
          <w:szCs w:val="24"/>
        </w:rPr>
        <w:t>具有多普勒信号去除功能，能在实时、冻结、存储的图像上独立去除组织多普勒信号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.1.11.3</w:t>
      </w:r>
      <w:r>
        <w:rPr>
          <w:rFonts w:hint="eastAsia" w:ascii="宋体" w:hAnsi="宋体" w:eastAsia="宋体" w:cs="宋体"/>
          <w:sz w:val="24"/>
          <w:szCs w:val="24"/>
        </w:rPr>
        <w:tab/>
      </w:r>
      <w:r>
        <w:rPr>
          <w:rFonts w:hint="eastAsia" w:ascii="宋体" w:hAnsi="宋体" w:eastAsia="宋体" w:cs="宋体"/>
          <w:sz w:val="24"/>
          <w:szCs w:val="24"/>
        </w:rPr>
        <w:t>组织多普勒信号可直接转换为组织追踪图、组织同步化图、应变图和应变率图。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.1.11.4</w:t>
      </w:r>
      <w:r>
        <w:rPr>
          <w:rFonts w:hint="eastAsia" w:ascii="宋体" w:hAnsi="宋体" w:eastAsia="宋体" w:cs="宋体"/>
          <w:sz w:val="24"/>
          <w:szCs w:val="24"/>
        </w:rPr>
        <w:tab/>
      </w:r>
      <w:r>
        <w:rPr>
          <w:rFonts w:hint="eastAsia" w:ascii="宋体" w:hAnsi="宋体" w:eastAsia="宋体" w:cs="宋体"/>
          <w:sz w:val="24"/>
          <w:szCs w:val="24"/>
        </w:rPr>
        <w:t>主机在线组织同步化显像，并具有心肌同步化牛眼图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.1.11.5</w:t>
      </w:r>
      <w:r>
        <w:rPr>
          <w:rFonts w:hint="eastAsia" w:ascii="宋体" w:hAnsi="宋体" w:eastAsia="宋体" w:cs="宋体"/>
          <w:sz w:val="24"/>
          <w:szCs w:val="24"/>
        </w:rPr>
        <w:tab/>
      </w:r>
      <w:r>
        <w:rPr>
          <w:rFonts w:hint="eastAsia" w:ascii="宋体" w:hAnsi="宋体" w:eastAsia="宋体" w:cs="宋体"/>
          <w:sz w:val="24"/>
          <w:szCs w:val="24"/>
        </w:rPr>
        <w:t>主机在线同时显示多个节段的心肌速度曲线、位移曲线、应变及应变率曲线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.1.11.6</w:t>
      </w:r>
      <w:r>
        <w:rPr>
          <w:rFonts w:hint="eastAsia" w:ascii="宋体" w:hAnsi="宋体" w:eastAsia="宋体" w:cs="宋体"/>
          <w:sz w:val="24"/>
          <w:szCs w:val="24"/>
        </w:rPr>
        <w:tab/>
      </w:r>
      <w:r>
        <w:rPr>
          <w:rFonts w:hint="eastAsia" w:ascii="宋体" w:hAnsi="宋体" w:eastAsia="宋体" w:cs="宋体"/>
          <w:sz w:val="24"/>
          <w:szCs w:val="24"/>
        </w:rPr>
        <w:t>定量曲线能自动导入主动脉瓣及二尖瓣开放关闭时间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.1.11.7</w:t>
      </w:r>
      <w:r>
        <w:rPr>
          <w:rFonts w:hint="eastAsia" w:ascii="宋体" w:hAnsi="宋体" w:eastAsia="宋体" w:cs="宋体"/>
          <w:sz w:val="24"/>
          <w:szCs w:val="24"/>
        </w:rPr>
        <w:tab/>
      </w:r>
      <w:r>
        <w:rPr>
          <w:rFonts w:hint="eastAsia" w:ascii="宋体" w:hAnsi="宋体" w:eastAsia="宋体" w:cs="宋体"/>
          <w:sz w:val="24"/>
          <w:szCs w:val="24"/>
        </w:rPr>
        <w:t>支持实时三平面成像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.1.12</w:t>
      </w:r>
      <w:r>
        <w:rPr>
          <w:rFonts w:hint="eastAsia" w:ascii="宋体" w:hAnsi="宋体" w:eastAsia="宋体" w:cs="宋体"/>
          <w:sz w:val="24"/>
          <w:szCs w:val="24"/>
        </w:rPr>
        <w:tab/>
      </w:r>
      <w:r>
        <w:rPr>
          <w:rFonts w:hint="eastAsia" w:ascii="宋体" w:hAnsi="宋体" w:eastAsia="宋体" w:cs="宋体"/>
          <w:b/>
          <w:bCs/>
          <w:sz w:val="24"/>
          <w:szCs w:val="24"/>
        </w:rPr>
        <w:t>组织谐波成像单元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.1.12.1</w:t>
      </w:r>
      <w:r>
        <w:rPr>
          <w:rFonts w:hint="eastAsia" w:ascii="宋体" w:hAnsi="宋体" w:eastAsia="宋体" w:cs="宋体"/>
          <w:sz w:val="24"/>
          <w:szCs w:val="24"/>
        </w:rPr>
        <w:tab/>
      </w:r>
      <w:r>
        <w:rPr>
          <w:rFonts w:hint="eastAsia" w:ascii="宋体" w:hAnsi="宋体" w:eastAsia="宋体" w:cs="宋体"/>
          <w:sz w:val="24"/>
          <w:szCs w:val="24"/>
        </w:rPr>
        <w:t>编码二次谐波技术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.1.12.2</w:t>
      </w:r>
      <w:r>
        <w:rPr>
          <w:rFonts w:hint="eastAsia" w:ascii="宋体" w:hAnsi="宋体" w:eastAsia="宋体" w:cs="宋体"/>
          <w:sz w:val="24"/>
          <w:szCs w:val="24"/>
        </w:rPr>
        <w:tab/>
      </w:r>
      <w:r>
        <w:rPr>
          <w:rFonts w:hint="eastAsia" w:ascii="宋体" w:hAnsi="宋体" w:eastAsia="宋体" w:cs="宋体"/>
          <w:sz w:val="24"/>
          <w:szCs w:val="24"/>
        </w:rPr>
        <w:t>编码脉冲反向谐波技术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.1.12.3</w:t>
      </w:r>
      <w:r>
        <w:rPr>
          <w:rFonts w:hint="eastAsia" w:ascii="宋体" w:hAnsi="宋体" w:eastAsia="宋体" w:cs="宋体"/>
          <w:sz w:val="24"/>
          <w:szCs w:val="24"/>
        </w:rPr>
        <w:tab/>
      </w:r>
      <w:r>
        <w:rPr>
          <w:rFonts w:hint="eastAsia" w:ascii="宋体" w:hAnsi="宋体" w:eastAsia="宋体" w:cs="宋体"/>
          <w:sz w:val="24"/>
          <w:szCs w:val="24"/>
        </w:rPr>
        <w:t>谐波频率和基波频率同时显示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.1.13</w:t>
      </w:r>
      <w:r>
        <w:rPr>
          <w:rFonts w:hint="eastAsia" w:ascii="宋体" w:hAnsi="宋体" w:eastAsia="宋体" w:cs="宋体"/>
          <w:sz w:val="24"/>
          <w:szCs w:val="24"/>
        </w:rPr>
        <w:tab/>
      </w:r>
      <w:r>
        <w:rPr>
          <w:rFonts w:hint="eastAsia" w:ascii="宋体" w:hAnsi="宋体" w:eastAsia="宋体" w:cs="宋体"/>
          <w:b/>
          <w:bCs/>
          <w:sz w:val="24"/>
          <w:szCs w:val="24"/>
        </w:rPr>
        <w:t>超声造影成像单元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.1.13.1</w:t>
      </w:r>
      <w:r>
        <w:rPr>
          <w:rFonts w:hint="eastAsia" w:ascii="宋体" w:hAnsi="宋体" w:eastAsia="宋体" w:cs="宋体"/>
          <w:sz w:val="24"/>
          <w:szCs w:val="24"/>
        </w:rPr>
        <w:tab/>
      </w:r>
      <w:r>
        <w:rPr>
          <w:rFonts w:hint="eastAsia" w:ascii="宋体" w:hAnsi="宋体" w:eastAsia="宋体" w:cs="宋体"/>
          <w:sz w:val="24"/>
          <w:szCs w:val="24"/>
        </w:rPr>
        <w:t>编码脉冲反向谐波技术和超声调制信号用于造影剂成像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.1.13.2</w:t>
      </w:r>
      <w:r>
        <w:rPr>
          <w:rFonts w:hint="eastAsia" w:ascii="宋体" w:hAnsi="宋体" w:eastAsia="宋体" w:cs="宋体"/>
          <w:sz w:val="24"/>
          <w:szCs w:val="24"/>
        </w:rPr>
        <w:tab/>
      </w:r>
      <w:r>
        <w:rPr>
          <w:rFonts w:hint="eastAsia" w:ascii="宋体" w:hAnsi="宋体" w:eastAsia="宋体" w:cs="宋体"/>
          <w:sz w:val="24"/>
          <w:szCs w:val="24"/>
        </w:rPr>
        <w:t>支持左心室造影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.1.13.3</w:t>
      </w:r>
      <w:r>
        <w:rPr>
          <w:rFonts w:hint="eastAsia" w:ascii="宋体" w:hAnsi="宋体" w:eastAsia="宋体" w:cs="宋体"/>
          <w:sz w:val="24"/>
          <w:szCs w:val="24"/>
        </w:rPr>
        <w:tab/>
      </w:r>
      <w:r>
        <w:rPr>
          <w:rFonts w:hint="eastAsia" w:ascii="宋体" w:hAnsi="宋体" w:eastAsia="宋体" w:cs="宋体"/>
          <w:sz w:val="24"/>
          <w:szCs w:val="24"/>
        </w:rPr>
        <w:t>支持血管/腹部造影成像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.1.13.4</w:t>
      </w:r>
      <w:r>
        <w:rPr>
          <w:rFonts w:hint="eastAsia" w:ascii="宋体" w:hAnsi="宋体" w:eastAsia="宋体" w:cs="宋体"/>
          <w:sz w:val="24"/>
          <w:szCs w:val="24"/>
        </w:rPr>
        <w:tab/>
      </w:r>
      <w:r>
        <w:rPr>
          <w:rFonts w:hint="eastAsia" w:ascii="宋体" w:hAnsi="宋体" w:eastAsia="宋体" w:cs="宋体"/>
          <w:sz w:val="24"/>
          <w:szCs w:val="24"/>
        </w:rPr>
        <w:t>支持低机械指数的心肌灌注造影成像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.1.13.5</w:t>
      </w:r>
      <w:r>
        <w:rPr>
          <w:rFonts w:hint="eastAsia" w:ascii="宋体" w:hAnsi="宋体" w:eastAsia="宋体" w:cs="宋体"/>
          <w:sz w:val="24"/>
          <w:szCs w:val="24"/>
        </w:rPr>
        <w:tab/>
      </w:r>
      <w:r>
        <w:rPr>
          <w:rFonts w:hint="eastAsia" w:ascii="宋体" w:hAnsi="宋体" w:eastAsia="宋体" w:cs="宋体"/>
          <w:sz w:val="24"/>
          <w:szCs w:val="24"/>
        </w:rPr>
        <w:t>支持经胸二维及四维探头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.1.13.6</w:t>
      </w:r>
      <w:r>
        <w:rPr>
          <w:rFonts w:hint="eastAsia" w:ascii="宋体" w:hAnsi="宋体" w:eastAsia="宋体" w:cs="宋体"/>
          <w:sz w:val="24"/>
          <w:szCs w:val="24"/>
        </w:rPr>
        <w:tab/>
      </w:r>
      <w:r>
        <w:rPr>
          <w:rFonts w:hint="eastAsia" w:ascii="宋体" w:hAnsi="宋体" w:eastAsia="宋体" w:cs="宋体"/>
          <w:sz w:val="24"/>
          <w:szCs w:val="24"/>
        </w:rPr>
        <w:t>支持食道矩阵容积探头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.1.13.7</w:t>
      </w:r>
      <w:r>
        <w:rPr>
          <w:rFonts w:hint="eastAsia" w:ascii="宋体" w:hAnsi="宋体" w:eastAsia="宋体" w:cs="宋体"/>
          <w:sz w:val="24"/>
          <w:szCs w:val="24"/>
        </w:rPr>
        <w:tab/>
      </w:r>
      <w:r>
        <w:rPr>
          <w:rFonts w:hint="eastAsia" w:ascii="宋体" w:hAnsi="宋体" w:eastAsia="宋体" w:cs="宋体"/>
          <w:sz w:val="24"/>
          <w:szCs w:val="24"/>
        </w:rPr>
        <w:t>可支持三平面造影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.1.13.8</w:t>
      </w:r>
      <w:r>
        <w:rPr>
          <w:rFonts w:hint="eastAsia" w:ascii="宋体" w:hAnsi="宋体" w:eastAsia="宋体" w:cs="宋体"/>
          <w:sz w:val="24"/>
          <w:szCs w:val="24"/>
        </w:rPr>
        <w:tab/>
      </w:r>
      <w:r>
        <w:rPr>
          <w:rFonts w:hint="eastAsia" w:ascii="宋体" w:hAnsi="宋体" w:eastAsia="宋体" w:cs="宋体"/>
          <w:sz w:val="24"/>
          <w:szCs w:val="24"/>
        </w:rPr>
        <w:t>支持负荷超声成像下的心肌灌注造影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.1.13.9</w:t>
      </w:r>
      <w:r>
        <w:rPr>
          <w:rFonts w:hint="eastAsia" w:ascii="宋体" w:hAnsi="宋体" w:eastAsia="宋体" w:cs="宋体"/>
          <w:sz w:val="24"/>
          <w:szCs w:val="24"/>
        </w:rPr>
        <w:tab/>
      </w:r>
      <w:r>
        <w:rPr>
          <w:rFonts w:hint="eastAsia" w:ascii="宋体" w:hAnsi="宋体" w:eastAsia="宋体" w:cs="宋体"/>
          <w:sz w:val="24"/>
          <w:szCs w:val="24"/>
        </w:rPr>
        <w:t>具备flash，机械指数可调,可心电触发和时间触发，长度可调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.1.13.10</w:t>
      </w:r>
      <w:r>
        <w:rPr>
          <w:rFonts w:hint="eastAsia" w:ascii="宋体" w:hAnsi="宋体" w:eastAsia="宋体" w:cs="宋体"/>
          <w:sz w:val="24"/>
          <w:szCs w:val="24"/>
        </w:rPr>
        <w:tab/>
      </w:r>
      <w:r>
        <w:rPr>
          <w:rFonts w:hint="eastAsia" w:ascii="宋体" w:hAnsi="宋体" w:eastAsia="宋体" w:cs="宋体"/>
          <w:sz w:val="24"/>
          <w:szCs w:val="24"/>
        </w:rPr>
        <w:t>具有双时钟计时，存储时间长短可调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.1.13.11</w:t>
      </w:r>
      <w:r>
        <w:rPr>
          <w:rFonts w:hint="eastAsia" w:ascii="宋体" w:hAnsi="宋体" w:eastAsia="宋体" w:cs="宋体"/>
          <w:sz w:val="24"/>
          <w:szCs w:val="24"/>
        </w:rPr>
        <w:tab/>
      </w:r>
      <w:r>
        <w:rPr>
          <w:rFonts w:hint="eastAsia" w:ascii="宋体" w:hAnsi="宋体" w:eastAsia="宋体" w:cs="宋体"/>
          <w:sz w:val="24"/>
          <w:szCs w:val="24"/>
        </w:rPr>
        <w:t>可实时前向存储、实时回放存储、编辑后存储等多种方式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.1.13.12</w:t>
      </w:r>
      <w:r>
        <w:rPr>
          <w:rFonts w:hint="eastAsia" w:ascii="宋体" w:hAnsi="宋体" w:eastAsia="宋体" w:cs="宋体"/>
          <w:sz w:val="24"/>
          <w:szCs w:val="24"/>
        </w:rPr>
        <w:tab/>
      </w:r>
      <w:r>
        <w:rPr>
          <w:rFonts w:hint="eastAsia" w:ascii="宋体" w:hAnsi="宋体" w:eastAsia="宋体" w:cs="宋体"/>
          <w:sz w:val="24"/>
          <w:szCs w:val="24"/>
        </w:rPr>
        <w:t>具有在线及离线时间-强度曲线分析工具，能按wash-in/wash-out分析数据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.1.13.13</w:t>
      </w:r>
      <w:r>
        <w:rPr>
          <w:rFonts w:hint="eastAsia" w:ascii="宋体" w:hAnsi="宋体" w:eastAsia="宋体" w:cs="宋体"/>
          <w:sz w:val="24"/>
          <w:szCs w:val="24"/>
        </w:rPr>
        <w:tab/>
      </w:r>
      <w:r>
        <w:rPr>
          <w:rFonts w:hint="eastAsia" w:ascii="宋体" w:hAnsi="宋体" w:eastAsia="宋体" w:cs="宋体"/>
          <w:sz w:val="24"/>
          <w:szCs w:val="24"/>
        </w:rPr>
        <w:t>分析结果自动导入系统工作表进行存储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.1.14</w:t>
      </w:r>
      <w:r>
        <w:rPr>
          <w:rFonts w:hint="eastAsia" w:ascii="宋体" w:hAnsi="宋体" w:eastAsia="宋体" w:cs="宋体"/>
          <w:sz w:val="24"/>
          <w:szCs w:val="24"/>
        </w:rPr>
        <w:tab/>
      </w:r>
      <w:r>
        <w:rPr>
          <w:rFonts w:hint="eastAsia" w:ascii="宋体" w:hAnsi="宋体" w:eastAsia="宋体" w:cs="宋体"/>
          <w:b/>
          <w:bCs/>
          <w:sz w:val="24"/>
          <w:szCs w:val="24"/>
        </w:rPr>
        <w:t>具有负荷超声成像单元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.1.14.1</w:t>
      </w:r>
      <w:r>
        <w:rPr>
          <w:rFonts w:hint="eastAsia" w:ascii="宋体" w:hAnsi="宋体" w:eastAsia="宋体" w:cs="宋体"/>
          <w:sz w:val="24"/>
          <w:szCs w:val="24"/>
        </w:rPr>
        <w:tab/>
      </w:r>
      <w:r>
        <w:rPr>
          <w:rFonts w:hint="eastAsia" w:ascii="宋体" w:hAnsi="宋体" w:eastAsia="宋体" w:cs="宋体"/>
          <w:sz w:val="24"/>
          <w:szCs w:val="24"/>
        </w:rPr>
        <w:t>内置专业负荷超声模块，包括运动负荷、药物负荷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.1.14.2</w:t>
      </w:r>
      <w:r>
        <w:rPr>
          <w:rFonts w:hint="eastAsia" w:ascii="宋体" w:hAnsi="宋体" w:eastAsia="宋体" w:cs="宋体"/>
          <w:sz w:val="24"/>
          <w:szCs w:val="24"/>
        </w:rPr>
        <w:tab/>
      </w:r>
      <w:r>
        <w:rPr>
          <w:rFonts w:hint="eastAsia" w:ascii="宋体" w:hAnsi="宋体" w:eastAsia="宋体" w:cs="宋体"/>
          <w:sz w:val="24"/>
          <w:szCs w:val="24"/>
        </w:rPr>
        <w:t>可自定义编辑模板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.1.14.3</w:t>
      </w:r>
      <w:r>
        <w:rPr>
          <w:rFonts w:hint="eastAsia" w:ascii="宋体" w:hAnsi="宋体" w:eastAsia="宋体" w:cs="宋体"/>
          <w:sz w:val="24"/>
          <w:szCs w:val="24"/>
        </w:rPr>
        <w:tab/>
      </w:r>
      <w:r>
        <w:rPr>
          <w:rFonts w:hint="eastAsia" w:ascii="宋体" w:hAnsi="宋体" w:eastAsia="宋体" w:cs="宋体"/>
          <w:sz w:val="24"/>
          <w:szCs w:val="24"/>
        </w:rPr>
        <w:t>自动转换所需切面、所需测量和检查阶段；自动保存频率和增益等成像条件应用于下一检查阶段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.1.14.4</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回放时自动显示基础状态下的对比图像，自动同步心动周期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.1.14.5</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支持二维、多平面和四维成像模式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.1.14.6</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支持造影成像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.1.14.7</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支持经食管四维探头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.1.14.8</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负荷超声模块内置在线长轴心肌应变分析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.1.14.9</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可结合组织多普勒,并能定量分析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.1.14.10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支持室壁运动评分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.1.14.11</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内置在同步化治疗评估模板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.1.15</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扫描助手功能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.1.16</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具有专业的啮齿类动物(如小鼠、兔子等实验动物)成像软件，可采集超高帧频心脏图像，实现基于TVI、二维图像的定量分析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b/>
          <w:bCs/>
          <w:sz w:val="24"/>
          <w:szCs w:val="24"/>
        </w:rPr>
        <w:t>测量和分析： (B型、M型、频谱多普勒、彩色多普勒、心脏容积模式)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.2.1</w:t>
      </w:r>
      <w:r>
        <w:rPr>
          <w:rFonts w:hint="eastAsia" w:ascii="宋体" w:hAnsi="宋体" w:eastAsia="宋体" w:cs="宋体"/>
          <w:sz w:val="24"/>
          <w:szCs w:val="24"/>
        </w:rPr>
        <w:tab/>
      </w:r>
      <w:r>
        <w:rPr>
          <w:rFonts w:hint="eastAsia" w:ascii="宋体" w:hAnsi="宋体" w:eastAsia="宋体" w:cs="宋体"/>
          <w:sz w:val="24"/>
          <w:szCs w:val="24"/>
        </w:rPr>
        <w:t>一般测量功能：直径、面积、体积、狭窄率、压差等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.2.2</w:t>
      </w:r>
      <w:r>
        <w:rPr>
          <w:rFonts w:hint="eastAsia" w:ascii="宋体" w:hAnsi="宋体" w:eastAsia="宋体" w:cs="宋体"/>
          <w:sz w:val="24"/>
          <w:szCs w:val="24"/>
        </w:rPr>
        <w:tab/>
      </w:r>
      <w:r>
        <w:rPr>
          <w:rFonts w:hint="eastAsia" w:ascii="宋体" w:hAnsi="宋体" w:eastAsia="宋体" w:cs="宋体"/>
          <w:sz w:val="24"/>
          <w:szCs w:val="24"/>
        </w:rPr>
        <w:t>心脏功能测量与分析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.2.2.1</w:t>
      </w:r>
      <w:r>
        <w:rPr>
          <w:rFonts w:hint="eastAsia" w:ascii="宋体" w:hAnsi="宋体" w:eastAsia="宋体" w:cs="宋体"/>
          <w:sz w:val="24"/>
          <w:szCs w:val="24"/>
        </w:rPr>
        <w:tab/>
      </w:r>
      <w:r>
        <w:rPr>
          <w:rFonts w:hint="eastAsia" w:ascii="宋体" w:hAnsi="宋体" w:eastAsia="宋体" w:cs="宋体"/>
          <w:sz w:val="24"/>
          <w:szCs w:val="24"/>
        </w:rPr>
        <w:t>直线解剖M型和曲线解剖M型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.2.2.2</w:t>
      </w:r>
      <w:r>
        <w:rPr>
          <w:rFonts w:hint="eastAsia" w:ascii="宋体" w:hAnsi="宋体" w:eastAsia="宋体" w:cs="宋体"/>
          <w:sz w:val="24"/>
          <w:szCs w:val="24"/>
        </w:rPr>
        <w:tab/>
      </w:r>
      <w:r>
        <w:rPr>
          <w:rFonts w:hint="eastAsia" w:ascii="宋体" w:hAnsi="宋体" w:eastAsia="宋体" w:cs="宋体"/>
          <w:sz w:val="24"/>
          <w:szCs w:val="24"/>
        </w:rPr>
        <w:t>基于人工智能（AI），自动识别标准切面并选择图像质量最佳的心动周期进行心内膜运动轨迹的追踪，进行二维心功能测量，支持单平面和双平面计算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.2.2.3</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在线斑点追踪定量分析: </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宋体" w:eastAsia="宋体" w:cs="宋体"/>
          <w:sz w:val="24"/>
          <w:szCs w:val="24"/>
          <w:lang w:eastAsia="zh-CN"/>
        </w:rPr>
      </w:pPr>
      <w:r>
        <w:rPr>
          <w:rFonts w:hint="eastAsia" w:ascii="宋体" w:hAnsi="宋体" w:eastAsia="宋体" w:cs="宋体"/>
          <w:sz w:val="24"/>
          <w:szCs w:val="24"/>
        </w:rPr>
        <w:t>基于人工智能（AI），可自动识别切面并选择三个质量最佳的心动周期进行心肌斑点信号的追踪，分析心肌收缩期长轴峰值应变、收缩后收缩指数、提供17和18节段牛眼图、曲线显示模式、曲线解剖M型显示模式等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宋体" w:eastAsia="宋体" w:cs="宋体"/>
          <w:sz w:val="24"/>
          <w:szCs w:val="24"/>
          <w:lang w:eastAsia="zh-CN"/>
        </w:rPr>
      </w:pPr>
      <w:r>
        <w:rPr>
          <w:rFonts w:hint="eastAsia" w:ascii="宋体" w:hAnsi="宋体" w:eastAsia="宋体" w:cs="宋体"/>
          <w:sz w:val="24"/>
          <w:szCs w:val="24"/>
        </w:rPr>
        <w:t>并可同步显示双平面simpson法EF值</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支持在常规成人及小儿心脏探头、经食道探头上实现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.2.2.4</w:t>
      </w:r>
      <w:r>
        <w:rPr>
          <w:rFonts w:hint="eastAsia" w:ascii="宋体" w:hAnsi="宋体" w:eastAsia="宋体" w:cs="宋体"/>
          <w:sz w:val="24"/>
          <w:szCs w:val="24"/>
        </w:rPr>
        <w:tab/>
      </w:r>
      <w:r>
        <w:rPr>
          <w:rFonts w:hint="eastAsia" w:ascii="宋体" w:hAnsi="宋体" w:eastAsia="宋体" w:cs="宋体"/>
          <w:sz w:val="24"/>
          <w:szCs w:val="24"/>
        </w:rPr>
        <w:t>基于二维斑点追踪技术，可直接分析长轴心肌收缩期峰值应变达峰时间、峰值应变离散，提供17和18节段牛眼图显示，以显示和评价心肌二维同步性(附图)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.2.2.5</w:t>
      </w:r>
      <w:r>
        <w:rPr>
          <w:rFonts w:hint="eastAsia" w:ascii="宋体" w:hAnsi="宋体" w:eastAsia="宋体" w:cs="宋体"/>
          <w:sz w:val="24"/>
          <w:szCs w:val="24"/>
        </w:rPr>
        <w:tab/>
      </w:r>
      <w:r>
        <w:rPr>
          <w:rFonts w:hint="eastAsia" w:ascii="宋体" w:hAnsi="宋体" w:eastAsia="宋体" w:cs="宋体"/>
          <w:sz w:val="24"/>
          <w:szCs w:val="24"/>
        </w:rPr>
        <w:t xml:space="preserve">心肌做功定量分析：分析左心整体和局部的做功情况，包括做功指数、整体有效做功、整体无效做功、整体做功效率等参数(附图)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.2.2.6</w:t>
      </w:r>
      <w:r>
        <w:rPr>
          <w:rFonts w:hint="eastAsia" w:ascii="宋体" w:hAnsi="宋体" w:eastAsia="宋体" w:cs="宋体"/>
          <w:sz w:val="24"/>
          <w:szCs w:val="24"/>
        </w:rPr>
        <w:tab/>
      </w:r>
      <w:r>
        <w:rPr>
          <w:rFonts w:hint="eastAsia" w:ascii="宋体" w:hAnsi="宋体" w:eastAsia="宋体" w:cs="宋体"/>
          <w:sz w:val="24"/>
          <w:szCs w:val="24"/>
        </w:rPr>
        <w:t>负荷超声模块内置心肌长轴应变分析功能，在线即可实现不同负荷阶段的心肌应变，提供17和18节段牛眼图显示、曲线显示模式、解剖M型显示模式等，并可同屏对照显示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.2.2.7</w:t>
      </w:r>
      <w:r>
        <w:rPr>
          <w:rFonts w:hint="eastAsia" w:ascii="宋体" w:hAnsi="宋体" w:eastAsia="宋体" w:cs="宋体"/>
          <w:sz w:val="24"/>
          <w:szCs w:val="24"/>
        </w:rPr>
        <w:tab/>
      </w:r>
      <w:r>
        <w:rPr>
          <w:rFonts w:hint="eastAsia" w:ascii="宋体" w:hAnsi="宋体" w:eastAsia="宋体" w:cs="宋体"/>
          <w:sz w:val="24"/>
          <w:szCs w:val="24"/>
        </w:rPr>
        <w:t>具备儿科心脏Z-score评分系统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.2.3</w:t>
      </w:r>
      <w:r>
        <w:rPr>
          <w:rFonts w:hint="eastAsia" w:ascii="宋体" w:hAnsi="宋体" w:eastAsia="宋体" w:cs="宋体"/>
          <w:sz w:val="24"/>
          <w:szCs w:val="24"/>
        </w:rPr>
        <w:tab/>
      </w:r>
      <w:r>
        <w:rPr>
          <w:rFonts w:hint="eastAsia" w:ascii="宋体" w:hAnsi="宋体" w:eastAsia="宋体" w:cs="宋体"/>
          <w:sz w:val="24"/>
          <w:szCs w:val="24"/>
        </w:rPr>
        <w:t>产科测量软件包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.2.3.1</w:t>
      </w:r>
      <w:r>
        <w:rPr>
          <w:rFonts w:hint="eastAsia" w:ascii="宋体" w:hAnsi="宋体" w:eastAsia="宋体" w:cs="宋体"/>
          <w:sz w:val="24"/>
          <w:szCs w:val="24"/>
        </w:rPr>
        <w:tab/>
      </w:r>
      <w:r>
        <w:rPr>
          <w:rFonts w:hint="eastAsia" w:ascii="宋体" w:hAnsi="宋体" w:eastAsia="宋体" w:cs="宋体"/>
          <w:sz w:val="24"/>
          <w:szCs w:val="24"/>
        </w:rPr>
        <w:t>内置产科测量软件包，包含胎儿生长分析数据与图表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.2.3.2</w:t>
      </w:r>
      <w:r>
        <w:rPr>
          <w:rFonts w:hint="eastAsia" w:ascii="宋体" w:hAnsi="宋体" w:eastAsia="宋体" w:cs="宋体"/>
          <w:sz w:val="24"/>
          <w:szCs w:val="24"/>
        </w:rPr>
        <w:tab/>
      </w:r>
      <w:r>
        <w:rPr>
          <w:rFonts w:hint="eastAsia" w:ascii="宋体" w:hAnsi="宋体" w:eastAsia="宋体" w:cs="宋体"/>
          <w:sz w:val="24"/>
          <w:szCs w:val="24"/>
        </w:rPr>
        <w:t>胎儿生长发育曲线显示，支持多胞胎对比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.2.3.3</w:t>
      </w:r>
      <w:r>
        <w:rPr>
          <w:rFonts w:hint="eastAsia" w:ascii="宋体" w:hAnsi="宋体" w:eastAsia="宋体" w:cs="宋体"/>
          <w:sz w:val="24"/>
          <w:szCs w:val="24"/>
        </w:rPr>
        <w:tab/>
      </w:r>
      <w:r>
        <w:rPr>
          <w:rFonts w:hint="eastAsia" w:ascii="宋体" w:hAnsi="宋体" w:eastAsia="宋体" w:cs="宋体"/>
          <w:sz w:val="24"/>
          <w:szCs w:val="24"/>
        </w:rPr>
        <w:t>可根据用户需要选择欧洲、美国和亚洲人群的计算公式，亦可自定义公式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.2.3.4</w:t>
      </w:r>
      <w:r>
        <w:rPr>
          <w:rFonts w:hint="eastAsia" w:ascii="宋体" w:hAnsi="宋体" w:eastAsia="宋体" w:cs="宋体"/>
          <w:sz w:val="24"/>
          <w:szCs w:val="24"/>
        </w:rPr>
        <w:tab/>
      </w:r>
      <w:r>
        <w:rPr>
          <w:rFonts w:hint="eastAsia" w:ascii="宋体" w:hAnsi="宋体" w:eastAsia="宋体" w:cs="宋体"/>
          <w:sz w:val="24"/>
          <w:szCs w:val="24"/>
        </w:rPr>
        <w:t>包含卵巢与子宫测量报告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.2.3.5</w:t>
      </w:r>
      <w:r>
        <w:rPr>
          <w:rFonts w:hint="eastAsia" w:ascii="宋体" w:hAnsi="宋体" w:eastAsia="宋体" w:cs="宋体"/>
          <w:sz w:val="24"/>
          <w:szCs w:val="24"/>
        </w:rPr>
        <w:tab/>
      </w:r>
      <w:r>
        <w:rPr>
          <w:rFonts w:hint="eastAsia" w:ascii="宋体" w:hAnsi="宋体" w:eastAsia="宋体" w:cs="宋体"/>
          <w:sz w:val="24"/>
          <w:szCs w:val="24"/>
        </w:rPr>
        <w:t>测量结果自动导入主机内置工作表，并可自动生成报告输出与打印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.2.4</w:t>
      </w:r>
      <w:r>
        <w:rPr>
          <w:rFonts w:hint="eastAsia" w:ascii="宋体" w:hAnsi="宋体" w:eastAsia="宋体" w:cs="宋体"/>
          <w:sz w:val="24"/>
          <w:szCs w:val="24"/>
        </w:rPr>
        <w:tab/>
      </w:r>
      <w:r>
        <w:rPr>
          <w:rFonts w:hint="eastAsia" w:ascii="宋体" w:hAnsi="宋体" w:eastAsia="宋体" w:cs="宋体"/>
          <w:sz w:val="24"/>
          <w:szCs w:val="24"/>
        </w:rPr>
        <w:t>血流测量与分析: 频谱多普勒实时自动包络，参数可自定义设定。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.2.5</w:t>
      </w:r>
      <w:r>
        <w:rPr>
          <w:rFonts w:hint="eastAsia" w:ascii="宋体" w:hAnsi="宋体" w:eastAsia="宋体" w:cs="宋体"/>
          <w:sz w:val="24"/>
          <w:szCs w:val="24"/>
        </w:rPr>
        <w:tab/>
      </w:r>
      <w:r>
        <w:rPr>
          <w:rFonts w:hint="eastAsia" w:ascii="宋体" w:hAnsi="宋体" w:eastAsia="宋体" w:cs="宋体"/>
          <w:sz w:val="24"/>
          <w:szCs w:val="24"/>
        </w:rPr>
        <w:t>血管内中膜自动测量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.3</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图像存储与（电影）回放重现单元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.3.1</w:t>
      </w:r>
      <w:r>
        <w:rPr>
          <w:rFonts w:hint="eastAsia" w:ascii="宋体" w:hAnsi="宋体" w:eastAsia="宋体" w:cs="宋体"/>
          <w:sz w:val="24"/>
          <w:szCs w:val="24"/>
        </w:rPr>
        <w:tab/>
      </w:r>
      <w:r>
        <w:rPr>
          <w:rFonts w:hint="eastAsia" w:ascii="宋体" w:hAnsi="宋体" w:eastAsia="宋体" w:cs="宋体"/>
          <w:sz w:val="24"/>
          <w:szCs w:val="24"/>
        </w:rPr>
        <w:t>超声图像静态、动态存储，原始数据回放重现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.3.2</w:t>
      </w:r>
      <w:r>
        <w:rPr>
          <w:rFonts w:hint="eastAsia" w:ascii="宋体" w:hAnsi="宋体" w:eastAsia="宋体" w:cs="宋体"/>
          <w:sz w:val="24"/>
          <w:szCs w:val="24"/>
        </w:rPr>
        <w:tab/>
      </w:r>
      <w:r>
        <w:rPr>
          <w:rFonts w:hint="eastAsia" w:ascii="宋体" w:hAnsi="宋体" w:eastAsia="宋体" w:cs="宋体"/>
          <w:sz w:val="24"/>
          <w:szCs w:val="24"/>
        </w:rPr>
        <w:t>动态图像、静态图像以AVI、JPEG格式直接存储于可移动媒介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.3.3</w:t>
      </w:r>
      <w:r>
        <w:rPr>
          <w:rFonts w:hint="eastAsia" w:ascii="宋体" w:hAnsi="宋体" w:eastAsia="宋体" w:cs="宋体"/>
          <w:sz w:val="24"/>
          <w:szCs w:val="24"/>
        </w:rPr>
        <w:tab/>
      </w:r>
      <w:r>
        <w:rPr>
          <w:rFonts w:hint="eastAsia" w:ascii="宋体" w:hAnsi="宋体" w:eastAsia="宋体" w:cs="宋体"/>
          <w:sz w:val="24"/>
          <w:szCs w:val="24"/>
        </w:rPr>
        <w:t>支持压缩和高清DICOM图像传输</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.3.4</w:t>
      </w:r>
      <w:r>
        <w:rPr>
          <w:rFonts w:hint="eastAsia" w:ascii="宋体" w:hAnsi="宋体" w:eastAsia="宋体" w:cs="宋体"/>
          <w:sz w:val="24"/>
          <w:szCs w:val="24"/>
        </w:rPr>
        <w:tab/>
      </w:r>
      <w:r>
        <w:rPr>
          <w:rFonts w:hint="eastAsia" w:ascii="宋体" w:hAnsi="宋体" w:eastAsia="宋体" w:cs="宋体"/>
          <w:sz w:val="24"/>
          <w:szCs w:val="24"/>
        </w:rPr>
        <w:t>在屏剪帖板和多画面同屏回放功能，不同检查日期所存的图像可以回放至同一屏幕比较分析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.3.5</w:t>
      </w:r>
      <w:r>
        <w:rPr>
          <w:rFonts w:hint="eastAsia" w:ascii="宋体" w:hAnsi="宋体" w:eastAsia="宋体" w:cs="宋体"/>
          <w:sz w:val="24"/>
          <w:szCs w:val="24"/>
        </w:rPr>
        <w:tab/>
      </w:r>
      <w:r>
        <w:rPr>
          <w:rFonts w:hint="eastAsia" w:ascii="宋体" w:hAnsi="宋体" w:eastAsia="宋体" w:cs="宋体"/>
          <w:sz w:val="24"/>
          <w:szCs w:val="24"/>
        </w:rPr>
        <w:t>USB接口支持U盘或移动硬盘快速存储屏幕上的图像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.4</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参考信号：</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心电、心音、脉搏波、心电触发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输入/输出信号: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4</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输入：ECG, USB、VGA</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4</w:t>
      </w: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输出：DVI-D，音频，USB</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图像管理与记录装置：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.6.1</w:t>
      </w:r>
      <w:r>
        <w:rPr>
          <w:rFonts w:hint="eastAsia" w:ascii="宋体" w:hAnsi="宋体" w:eastAsia="宋体" w:cs="宋体"/>
          <w:sz w:val="24"/>
          <w:szCs w:val="24"/>
        </w:rPr>
        <w:tab/>
      </w:r>
      <w:r>
        <w:rPr>
          <w:rFonts w:hint="eastAsia" w:ascii="宋体" w:hAnsi="宋体" w:eastAsia="宋体" w:cs="宋体"/>
          <w:sz w:val="24"/>
          <w:szCs w:val="24"/>
        </w:rPr>
        <w:t>内置图像管理系统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.6.2</w:t>
      </w:r>
      <w:r>
        <w:rPr>
          <w:rFonts w:hint="eastAsia" w:ascii="宋体" w:hAnsi="宋体" w:eastAsia="宋体" w:cs="宋体"/>
          <w:sz w:val="24"/>
          <w:szCs w:val="24"/>
        </w:rPr>
        <w:tab/>
      </w:r>
      <w:r>
        <w:rPr>
          <w:rFonts w:hint="eastAsia" w:ascii="宋体" w:hAnsi="宋体" w:eastAsia="宋体" w:cs="宋体"/>
          <w:sz w:val="24"/>
          <w:szCs w:val="24"/>
        </w:rPr>
        <w:t>硬盘存储≥</w:t>
      </w:r>
      <w:r>
        <w:rPr>
          <w:rFonts w:hint="eastAsia" w:ascii="宋体" w:hAnsi="宋体" w:eastAsia="宋体" w:cs="宋体"/>
          <w:sz w:val="24"/>
          <w:szCs w:val="24"/>
          <w:lang w:val="en-US" w:eastAsia="zh-CN"/>
        </w:rPr>
        <w:t>5</w:t>
      </w:r>
      <w:r>
        <w:rPr>
          <w:rFonts w:hint="eastAsia" w:ascii="宋体" w:hAnsi="宋体" w:eastAsia="宋体" w:cs="宋体"/>
          <w:sz w:val="24"/>
          <w:szCs w:val="24"/>
        </w:rPr>
        <w:t>00GB</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.6.3</w:t>
      </w:r>
      <w:r>
        <w:rPr>
          <w:rFonts w:hint="eastAsia" w:ascii="宋体" w:hAnsi="宋体" w:eastAsia="宋体" w:cs="宋体"/>
          <w:sz w:val="24"/>
          <w:szCs w:val="24"/>
        </w:rPr>
        <w:tab/>
      </w:r>
      <w:r>
        <w:rPr>
          <w:rFonts w:hint="eastAsia" w:ascii="宋体" w:hAnsi="宋体" w:eastAsia="宋体" w:cs="宋体"/>
          <w:sz w:val="24"/>
          <w:szCs w:val="24"/>
        </w:rPr>
        <w:t>可扩展的存储装置：大容量移动硬盘、DVD-RW、DVR等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连通性：</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.7.1</w:t>
      </w:r>
      <w:r>
        <w:rPr>
          <w:rFonts w:hint="eastAsia" w:ascii="宋体" w:hAnsi="宋体" w:eastAsia="宋体" w:cs="宋体"/>
          <w:sz w:val="24"/>
          <w:szCs w:val="24"/>
        </w:rPr>
        <w:tab/>
      </w:r>
      <w:r>
        <w:rPr>
          <w:rFonts w:hint="eastAsia" w:ascii="宋体" w:hAnsi="宋体" w:eastAsia="宋体" w:cs="宋体"/>
          <w:sz w:val="24"/>
          <w:szCs w:val="24"/>
        </w:rPr>
        <w:t>医学数字图像和通信DICOM3.0版接口部件，支持高清DICOM传输</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.7.2</w:t>
      </w:r>
      <w:r>
        <w:rPr>
          <w:rFonts w:hint="eastAsia" w:ascii="宋体" w:hAnsi="宋体" w:eastAsia="宋体" w:cs="宋体"/>
          <w:sz w:val="24"/>
          <w:szCs w:val="24"/>
        </w:rPr>
        <w:tab/>
      </w:r>
      <w:r>
        <w:rPr>
          <w:rFonts w:hint="eastAsia" w:ascii="宋体" w:hAnsi="宋体" w:eastAsia="宋体" w:cs="宋体"/>
          <w:sz w:val="24"/>
          <w:szCs w:val="24"/>
        </w:rPr>
        <w:t>支持局域网/PACS/HIS等直接存储、查询与调阅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.7.3</w:t>
      </w:r>
      <w:r>
        <w:rPr>
          <w:rFonts w:hint="eastAsia" w:ascii="宋体" w:hAnsi="宋体" w:eastAsia="宋体" w:cs="宋体"/>
          <w:sz w:val="24"/>
          <w:szCs w:val="24"/>
        </w:rPr>
        <w:tab/>
      </w:r>
      <w:r>
        <w:rPr>
          <w:rFonts w:hint="eastAsia" w:ascii="宋体" w:hAnsi="宋体" w:eastAsia="宋体" w:cs="宋体"/>
          <w:sz w:val="24"/>
          <w:szCs w:val="24"/>
        </w:rPr>
        <w:t>支持DICOM打印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、技术参数及要求：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.1</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系统通用功能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.1.1</w:t>
      </w:r>
      <w:r>
        <w:rPr>
          <w:rFonts w:hint="eastAsia" w:ascii="宋体" w:hAnsi="宋体" w:eastAsia="宋体" w:cs="宋体"/>
          <w:sz w:val="24"/>
          <w:szCs w:val="24"/>
        </w:rPr>
        <w:tab/>
      </w:r>
      <w:r>
        <w:rPr>
          <w:rFonts w:hint="eastAsia" w:ascii="宋体" w:hAnsi="宋体" w:eastAsia="宋体" w:cs="宋体"/>
          <w:sz w:val="24"/>
          <w:szCs w:val="24"/>
        </w:rPr>
        <w:t>显示器: ≥22英寸,为最新型的高分辨率、宽视野、有机自发光显示器（OLED），分辨率≥1920×1080 Pixel，亮度对比度可根据换机要求自动和手动调节可调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操作面板具有12英寸超高分辨率、多点触控彩色触摸屏；可通过手指进行翻页，直接点击操作菜单、调节参数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.1.3</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操作面板具有的触摸屏能进行图管理、图像预览和动态图像播放功能、图像输出操作等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.1.4</w:t>
      </w:r>
      <w:r>
        <w:rPr>
          <w:rFonts w:hint="eastAsia" w:ascii="宋体" w:hAnsi="宋体" w:eastAsia="宋体" w:cs="宋体"/>
          <w:sz w:val="24"/>
          <w:szCs w:val="24"/>
        </w:rPr>
        <w:tab/>
      </w:r>
      <w:r>
        <w:rPr>
          <w:rFonts w:hint="eastAsia" w:ascii="宋体" w:hAnsi="宋体" w:eastAsia="宋体" w:cs="宋体"/>
          <w:sz w:val="24"/>
          <w:szCs w:val="24"/>
        </w:rPr>
        <w:t>操作面板两侧有文件放置盒、耦合剂放置区等外部设备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.1.5</w:t>
      </w:r>
      <w:r>
        <w:rPr>
          <w:rFonts w:hint="eastAsia" w:ascii="宋体" w:hAnsi="宋体" w:eastAsia="宋体" w:cs="宋体"/>
          <w:sz w:val="24"/>
          <w:szCs w:val="24"/>
        </w:rPr>
        <w:tab/>
      </w:r>
      <w:r>
        <w:rPr>
          <w:rFonts w:hint="eastAsia" w:ascii="宋体" w:hAnsi="宋体" w:eastAsia="宋体" w:cs="宋体"/>
          <w:sz w:val="24"/>
          <w:szCs w:val="24"/>
        </w:rPr>
        <w:t>探头接口：激活探头接口数≥4个</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.1.6</w:t>
      </w:r>
      <w:r>
        <w:rPr>
          <w:rFonts w:hint="eastAsia" w:ascii="宋体" w:hAnsi="宋体" w:eastAsia="宋体" w:cs="宋体"/>
          <w:sz w:val="24"/>
          <w:szCs w:val="24"/>
        </w:rPr>
        <w:tab/>
      </w:r>
      <w:r>
        <w:rPr>
          <w:rFonts w:hint="eastAsia" w:ascii="宋体" w:hAnsi="宋体" w:eastAsia="宋体" w:cs="宋体"/>
          <w:sz w:val="24"/>
          <w:szCs w:val="24"/>
        </w:rPr>
        <w:t>触摸屏具有探头接口和探头显示功能、预设条件显示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.1.7</w:t>
      </w:r>
      <w:r>
        <w:rPr>
          <w:rFonts w:hint="eastAsia" w:ascii="宋体" w:hAnsi="宋体" w:eastAsia="宋体" w:cs="宋体"/>
          <w:sz w:val="24"/>
          <w:szCs w:val="24"/>
        </w:rPr>
        <w:tab/>
      </w:r>
      <w:r>
        <w:rPr>
          <w:rFonts w:hint="eastAsia" w:ascii="宋体" w:hAnsi="宋体" w:eastAsia="宋体" w:cs="宋体"/>
          <w:sz w:val="24"/>
          <w:szCs w:val="24"/>
        </w:rPr>
        <w:t>安全性能：符合国家进口商品安全质量要求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.1.8</w:t>
      </w:r>
      <w:r>
        <w:rPr>
          <w:rFonts w:hint="eastAsia" w:ascii="宋体" w:hAnsi="宋体" w:eastAsia="宋体" w:cs="宋体"/>
          <w:sz w:val="24"/>
          <w:szCs w:val="24"/>
        </w:rPr>
        <w:tab/>
      </w:r>
      <w:r>
        <w:rPr>
          <w:rFonts w:hint="eastAsia" w:ascii="宋体" w:hAnsi="宋体" w:eastAsia="宋体" w:cs="宋体"/>
          <w:sz w:val="24"/>
          <w:szCs w:val="24"/>
        </w:rPr>
        <w:t>操作平台：电动控制，可在上下/左右/前后范围内灵活调节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.2</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探头规格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.2.1</w:t>
      </w:r>
      <w:r>
        <w:rPr>
          <w:rFonts w:hint="eastAsia" w:ascii="宋体" w:hAnsi="宋体" w:eastAsia="宋体" w:cs="宋体"/>
          <w:sz w:val="24"/>
          <w:szCs w:val="24"/>
        </w:rPr>
        <w:tab/>
      </w:r>
      <w:r>
        <w:rPr>
          <w:rFonts w:hint="eastAsia" w:ascii="宋体" w:hAnsi="宋体" w:eastAsia="宋体" w:cs="宋体"/>
          <w:sz w:val="24"/>
          <w:szCs w:val="24"/>
        </w:rPr>
        <w:t>频率：所配探头均为宽频带多点变频探头,频率范围1.4-18MHz， 中心频率可选择≥4种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.2.2</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二维、彩色、多普勒均可独立变频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.2.3</w:t>
      </w:r>
      <w:r>
        <w:rPr>
          <w:rFonts w:hint="eastAsia" w:ascii="宋体" w:hAnsi="宋体" w:eastAsia="宋体" w:cs="宋体"/>
          <w:sz w:val="24"/>
          <w:szCs w:val="24"/>
        </w:rPr>
        <w:tab/>
      </w:r>
      <w:r>
        <w:rPr>
          <w:rFonts w:hint="eastAsia" w:ascii="宋体" w:hAnsi="宋体" w:eastAsia="宋体" w:cs="宋体"/>
          <w:sz w:val="24"/>
          <w:szCs w:val="24"/>
        </w:rPr>
        <w:t>类型：可支持相控阵、凸阵、微凸阵、腔内、线阵、经食道矩阵及术中探头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.2.4</w:t>
      </w:r>
      <w:r>
        <w:rPr>
          <w:rFonts w:hint="eastAsia" w:ascii="宋体" w:hAnsi="宋体" w:eastAsia="宋体" w:cs="宋体"/>
          <w:sz w:val="24"/>
          <w:szCs w:val="24"/>
        </w:rPr>
        <w:tab/>
      </w:r>
      <w:r>
        <w:rPr>
          <w:rFonts w:hint="eastAsia" w:ascii="宋体" w:hAnsi="宋体" w:eastAsia="宋体" w:cs="宋体"/>
          <w:sz w:val="24"/>
          <w:szCs w:val="24"/>
        </w:rPr>
        <w:t>B/D兼用：相控阵B/PWD/CWD；线阵B/PWD；凸阵B/PWD</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.2.5</w:t>
      </w:r>
      <w:r>
        <w:rPr>
          <w:rFonts w:hint="eastAsia" w:ascii="宋体" w:hAnsi="宋体" w:eastAsia="宋体" w:cs="宋体"/>
          <w:sz w:val="24"/>
          <w:szCs w:val="24"/>
        </w:rPr>
        <w:tab/>
      </w:r>
      <w:r>
        <w:rPr>
          <w:rFonts w:hint="eastAsia" w:ascii="宋体" w:hAnsi="宋体" w:eastAsia="宋体" w:cs="宋体"/>
          <w:sz w:val="24"/>
          <w:szCs w:val="24"/>
        </w:rPr>
        <w:t>探头工作频率范围: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成人相控阵探头：1.4-4.6MHz</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凸阵探头：1.4-6.0MHz</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电子线阵：2.4-10.0MHz</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四维</w:t>
      </w:r>
      <w:r>
        <w:rPr>
          <w:rFonts w:hint="eastAsia" w:ascii="宋体" w:hAnsi="宋体" w:eastAsia="宋体" w:cs="宋体"/>
          <w:sz w:val="24"/>
          <w:szCs w:val="24"/>
        </w:rPr>
        <w:t>经食道探头：3.0-8.0MHz</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.3</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二维灰阶显像主要参数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.3.1</w:t>
      </w:r>
      <w:r>
        <w:rPr>
          <w:rFonts w:hint="eastAsia" w:ascii="宋体" w:hAnsi="宋体" w:eastAsia="宋体" w:cs="宋体"/>
          <w:sz w:val="24"/>
          <w:szCs w:val="24"/>
        </w:rPr>
        <w:tab/>
      </w:r>
      <w:r>
        <w:rPr>
          <w:rFonts w:hint="eastAsia" w:ascii="宋体" w:hAnsi="宋体" w:eastAsia="宋体" w:cs="宋体"/>
          <w:sz w:val="24"/>
          <w:szCs w:val="24"/>
        </w:rPr>
        <w:t>成人相控阵探头扫描角度：10°—120°选择（附图说明）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.3.2</w:t>
      </w:r>
      <w:r>
        <w:rPr>
          <w:rFonts w:hint="eastAsia" w:ascii="宋体" w:hAnsi="宋体" w:eastAsia="宋体" w:cs="宋体"/>
          <w:sz w:val="24"/>
          <w:szCs w:val="24"/>
        </w:rPr>
        <w:tab/>
      </w:r>
      <w:r>
        <w:rPr>
          <w:rFonts w:hint="eastAsia" w:ascii="宋体" w:hAnsi="宋体" w:eastAsia="宋体" w:cs="宋体"/>
          <w:sz w:val="24"/>
          <w:szCs w:val="24"/>
        </w:rPr>
        <w:t xml:space="preserve">成像速率: 相控阵探头：90o，18cm深度时，帧速率≥100帧/秒 (附图说明)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.3.3</w:t>
      </w:r>
      <w:r>
        <w:rPr>
          <w:rFonts w:hint="eastAsia" w:ascii="宋体" w:hAnsi="宋体" w:eastAsia="宋体" w:cs="宋体"/>
          <w:sz w:val="24"/>
          <w:szCs w:val="24"/>
        </w:rPr>
        <w:tab/>
      </w:r>
      <w:r>
        <w:rPr>
          <w:rFonts w:hint="eastAsia" w:ascii="宋体" w:hAnsi="宋体" w:eastAsia="宋体" w:cs="宋体"/>
          <w:sz w:val="24"/>
          <w:szCs w:val="24"/>
        </w:rPr>
        <w:t>二维灰阶成像≥25</w:t>
      </w:r>
      <w:r>
        <w:rPr>
          <w:rFonts w:hint="eastAsia" w:ascii="宋体" w:hAnsi="宋体" w:eastAsia="宋体" w:cs="宋体"/>
          <w:sz w:val="24"/>
          <w:szCs w:val="24"/>
          <w:lang w:val="en-US" w:eastAsia="zh-CN"/>
        </w:rPr>
        <w:t>6</w:t>
      </w:r>
      <w:r>
        <w:rPr>
          <w:rFonts w:hint="eastAsia" w:ascii="宋体" w:hAnsi="宋体" w:eastAsia="宋体" w:cs="宋体"/>
          <w:sz w:val="24"/>
          <w:szCs w:val="24"/>
        </w:rPr>
        <w:t>灰阶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.3.4</w:t>
      </w:r>
      <w:r>
        <w:rPr>
          <w:rFonts w:hint="eastAsia" w:ascii="宋体" w:hAnsi="宋体" w:eastAsia="宋体" w:cs="宋体"/>
          <w:sz w:val="24"/>
          <w:szCs w:val="24"/>
        </w:rPr>
        <w:tab/>
      </w:r>
      <w:r>
        <w:rPr>
          <w:rFonts w:hint="eastAsia" w:ascii="宋体" w:hAnsi="宋体" w:eastAsia="宋体" w:cs="宋体"/>
          <w:sz w:val="24"/>
          <w:szCs w:val="24"/>
        </w:rPr>
        <w:t>支持高清晰局部放大，放大时增加信息量，提高分辨率和帧频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.3.5</w:t>
      </w:r>
      <w:r>
        <w:rPr>
          <w:rFonts w:hint="eastAsia" w:ascii="宋体" w:hAnsi="宋体" w:eastAsia="宋体" w:cs="宋体"/>
          <w:sz w:val="24"/>
          <w:szCs w:val="24"/>
        </w:rPr>
        <w:tab/>
      </w:r>
      <w:r>
        <w:rPr>
          <w:rFonts w:hint="eastAsia" w:ascii="宋体" w:hAnsi="宋体" w:eastAsia="宋体" w:cs="宋体"/>
          <w:sz w:val="24"/>
          <w:szCs w:val="24"/>
        </w:rPr>
        <w:t>回放重现：灰阶图像回放≥5000幅，允许12窗口同屏回放, 多窗口时允许不同时期的图像和实时图像对比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.3.6</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增益调节：STC分段≥8，B/M可独立调节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.3.7</w:t>
      </w:r>
      <w:r>
        <w:rPr>
          <w:rFonts w:hint="eastAsia" w:ascii="宋体" w:hAnsi="宋体" w:eastAsia="宋体" w:cs="宋体"/>
          <w:sz w:val="24"/>
          <w:szCs w:val="24"/>
        </w:rPr>
        <w:tab/>
      </w:r>
      <w:r>
        <w:rPr>
          <w:rFonts w:hint="eastAsia" w:ascii="宋体" w:hAnsi="宋体" w:eastAsia="宋体" w:cs="宋体"/>
          <w:sz w:val="24"/>
          <w:szCs w:val="24"/>
        </w:rPr>
        <w:t>二次谐波：所配探头支持二次谐波，相控阵探头谐波数≥</w:t>
      </w:r>
      <w:r>
        <w:rPr>
          <w:rFonts w:hint="eastAsia" w:ascii="宋体" w:hAnsi="宋体" w:eastAsia="宋体" w:cs="宋体"/>
          <w:sz w:val="24"/>
          <w:szCs w:val="24"/>
          <w:lang w:val="en-US" w:eastAsia="zh-CN"/>
        </w:rPr>
        <w:t>6</w:t>
      </w:r>
      <w:r>
        <w:rPr>
          <w:rFonts w:hint="eastAsia" w:ascii="宋体" w:hAnsi="宋体" w:eastAsia="宋体" w:cs="宋体"/>
          <w:sz w:val="24"/>
          <w:szCs w:val="24"/>
        </w:rPr>
        <w:t>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.3.8</w:t>
      </w:r>
      <w:r>
        <w:rPr>
          <w:rFonts w:hint="eastAsia" w:ascii="宋体" w:hAnsi="宋体" w:eastAsia="宋体" w:cs="宋体"/>
          <w:sz w:val="24"/>
          <w:szCs w:val="24"/>
        </w:rPr>
        <w:tab/>
      </w:r>
      <w:r>
        <w:rPr>
          <w:rFonts w:hint="eastAsia" w:ascii="宋体" w:hAnsi="宋体" w:eastAsia="宋体" w:cs="宋体"/>
          <w:sz w:val="24"/>
          <w:szCs w:val="24"/>
        </w:rPr>
        <w:t>心脏扫描深度≥30cm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.3.9</w:t>
      </w:r>
      <w:r>
        <w:rPr>
          <w:rFonts w:hint="eastAsia" w:ascii="宋体" w:hAnsi="宋体" w:eastAsia="宋体" w:cs="宋体"/>
          <w:sz w:val="24"/>
          <w:szCs w:val="24"/>
        </w:rPr>
        <w:tab/>
      </w:r>
      <w:r>
        <w:rPr>
          <w:rFonts w:hint="eastAsia" w:ascii="宋体" w:hAnsi="宋体" w:eastAsia="宋体" w:cs="宋体"/>
          <w:sz w:val="24"/>
          <w:szCs w:val="24"/>
        </w:rPr>
        <w:t>腹部探头扫描深度≥50cm （附图说明）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.4</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频谱多普勒成像参数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.4.1</w:t>
      </w:r>
      <w:r>
        <w:rPr>
          <w:rFonts w:hint="eastAsia" w:ascii="宋体" w:hAnsi="宋体" w:eastAsia="宋体" w:cs="宋体"/>
          <w:sz w:val="24"/>
          <w:szCs w:val="24"/>
        </w:rPr>
        <w:tab/>
      </w:r>
      <w:r>
        <w:rPr>
          <w:rFonts w:hint="eastAsia" w:ascii="宋体" w:hAnsi="宋体" w:eastAsia="宋体" w:cs="宋体"/>
          <w:sz w:val="24"/>
          <w:szCs w:val="24"/>
        </w:rPr>
        <w:t>方式： PWD, HPRF，LPRF，CWD</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.4.2</w:t>
      </w:r>
      <w:r>
        <w:rPr>
          <w:rFonts w:hint="eastAsia" w:ascii="宋体" w:hAnsi="宋体" w:eastAsia="宋体" w:cs="宋体"/>
          <w:sz w:val="24"/>
          <w:szCs w:val="24"/>
        </w:rPr>
        <w:tab/>
      </w:r>
      <w:r>
        <w:rPr>
          <w:rFonts w:hint="eastAsia" w:ascii="宋体" w:hAnsi="宋体" w:eastAsia="宋体" w:cs="宋体"/>
          <w:sz w:val="24"/>
          <w:szCs w:val="24"/>
        </w:rPr>
        <w:t>多普勒发射频率：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扇扫：≥八段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线阵：≥三段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凸阵：≥六段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.4.3</w:t>
      </w:r>
      <w:r>
        <w:rPr>
          <w:rFonts w:hint="eastAsia" w:ascii="宋体" w:hAnsi="宋体" w:eastAsia="宋体" w:cs="宋体"/>
          <w:sz w:val="24"/>
          <w:szCs w:val="24"/>
        </w:rPr>
        <w:tab/>
      </w:r>
      <w:r>
        <w:rPr>
          <w:rFonts w:hint="eastAsia" w:ascii="宋体" w:hAnsi="宋体" w:eastAsia="宋体" w:cs="宋体"/>
          <w:sz w:val="24"/>
          <w:szCs w:val="24"/>
        </w:rPr>
        <w:t>最大测量速度：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PWD：血流速度≥7.</w:t>
      </w:r>
      <w:r>
        <w:rPr>
          <w:rFonts w:hint="eastAsia" w:ascii="宋体" w:hAnsi="宋体" w:eastAsia="宋体" w:cs="宋体"/>
          <w:sz w:val="24"/>
          <w:szCs w:val="24"/>
          <w:lang w:val="en-US" w:eastAsia="zh-CN"/>
        </w:rPr>
        <w:t>6</w:t>
      </w:r>
      <w:r>
        <w:rPr>
          <w:rFonts w:hint="eastAsia" w:ascii="宋体" w:hAnsi="宋体" w:eastAsia="宋体" w:cs="宋体"/>
          <w:sz w:val="24"/>
          <w:szCs w:val="24"/>
        </w:rPr>
        <w:t>m/s</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CWD：血流速度≥12m/s</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.4.4</w:t>
      </w:r>
      <w:r>
        <w:rPr>
          <w:rFonts w:hint="eastAsia" w:ascii="宋体" w:hAnsi="宋体" w:eastAsia="宋体" w:cs="宋体"/>
          <w:sz w:val="24"/>
          <w:szCs w:val="24"/>
        </w:rPr>
        <w:tab/>
      </w:r>
      <w:r>
        <w:rPr>
          <w:rFonts w:hint="eastAsia" w:ascii="宋体" w:hAnsi="宋体" w:eastAsia="宋体" w:cs="宋体"/>
          <w:sz w:val="24"/>
          <w:szCs w:val="24"/>
        </w:rPr>
        <w:t>最低测量速度：≤2mm/s(非噪声信号)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.4.5</w:t>
      </w:r>
      <w:r>
        <w:rPr>
          <w:rFonts w:hint="eastAsia" w:ascii="宋体" w:hAnsi="宋体" w:eastAsia="宋体" w:cs="宋体"/>
          <w:sz w:val="24"/>
          <w:szCs w:val="24"/>
        </w:rPr>
        <w:tab/>
      </w:r>
      <w:r>
        <w:rPr>
          <w:rFonts w:hint="eastAsia" w:ascii="宋体" w:hAnsi="宋体" w:eastAsia="宋体" w:cs="宋体"/>
          <w:sz w:val="24"/>
          <w:szCs w:val="24"/>
        </w:rPr>
        <w:t>显示方式：B、M、B/M、B/M/CFI、B/D、D、B/CFI/D</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.4.6</w:t>
      </w:r>
      <w:r>
        <w:rPr>
          <w:rFonts w:hint="eastAsia" w:ascii="宋体" w:hAnsi="宋体" w:eastAsia="宋体" w:cs="宋体"/>
          <w:sz w:val="24"/>
          <w:szCs w:val="24"/>
        </w:rPr>
        <w:tab/>
      </w:r>
      <w:r>
        <w:rPr>
          <w:rFonts w:hint="eastAsia" w:ascii="宋体" w:hAnsi="宋体" w:eastAsia="宋体" w:cs="宋体"/>
          <w:sz w:val="24"/>
          <w:szCs w:val="24"/>
        </w:rPr>
        <w:t>电影回放：≥90秒</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.4.7</w:t>
      </w:r>
      <w:r>
        <w:rPr>
          <w:rFonts w:hint="eastAsia" w:ascii="宋体" w:hAnsi="宋体" w:eastAsia="宋体" w:cs="宋体"/>
          <w:sz w:val="24"/>
          <w:szCs w:val="24"/>
        </w:rPr>
        <w:tab/>
      </w:r>
      <w:r>
        <w:rPr>
          <w:rFonts w:hint="eastAsia" w:ascii="宋体" w:hAnsi="宋体" w:eastAsia="宋体" w:cs="宋体"/>
          <w:sz w:val="24"/>
          <w:szCs w:val="24"/>
        </w:rPr>
        <w:t>零位移动：≥6级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.4.8</w:t>
      </w:r>
      <w:r>
        <w:rPr>
          <w:rFonts w:hint="eastAsia" w:ascii="宋体" w:hAnsi="宋体" w:eastAsia="宋体" w:cs="宋体"/>
          <w:sz w:val="24"/>
          <w:szCs w:val="24"/>
        </w:rPr>
        <w:tab/>
      </w:r>
      <w:r>
        <w:rPr>
          <w:rFonts w:hint="eastAsia" w:ascii="宋体" w:hAnsi="宋体" w:eastAsia="宋体" w:cs="宋体"/>
          <w:sz w:val="24"/>
          <w:szCs w:val="24"/>
        </w:rPr>
        <w:t>取样宽度及位置范围：宽度1-16mm；分级可调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.4.9</w:t>
      </w:r>
      <w:r>
        <w:rPr>
          <w:rFonts w:hint="eastAsia" w:ascii="宋体" w:hAnsi="宋体" w:eastAsia="宋体" w:cs="宋体"/>
          <w:sz w:val="24"/>
          <w:szCs w:val="24"/>
        </w:rPr>
        <w:tab/>
      </w:r>
      <w:r>
        <w:rPr>
          <w:rFonts w:hint="eastAsia" w:ascii="宋体" w:hAnsi="宋体" w:eastAsia="宋体" w:cs="宋体"/>
          <w:sz w:val="24"/>
          <w:szCs w:val="24"/>
        </w:rPr>
        <w:t>显示控制：反转显示(左/右；上/下)、零移位，B—刷新(手控、时间、ECG同步)、D扩展、B/D扩展，局放及移位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.4.10</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频谱自动包络并完成测量，参数可自定义，可于实时、冻结和回放图像上完成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.5</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彩色多普勒成像参数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.5.1</w:t>
      </w:r>
      <w:r>
        <w:rPr>
          <w:rFonts w:hint="eastAsia" w:ascii="宋体" w:hAnsi="宋体" w:eastAsia="宋体" w:cs="宋体"/>
          <w:sz w:val="24"/>
          <w:szCs w:val="24"/>
        </w:rPr>
        <w:tab/>
      </w:r>
      <w:r>
        <w:rPr>
          <w:rFonts w:hint="eastAsia" w:ascii="宋体" w:hAnsi="宋体" w:eastAsia="宋体" w:cs="宋体"/>
          <w:sz w:val="24"/>
          <w:szCs w:val="24"/>
        </w:rPr>
        <w:t>显示方式：速度显示、能量显示、方差显示、彩色心肌速度多普勒显示、彩色心肌位移多普勒显示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.5.2</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实时二同步/三同步显示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.5.3</w:t>
      </w:r>
      <w:r>
        <w:rPr>
          <w:rFonts w:hint="eastAsia" w:ascii="宋体" w:hAnsi="宋体" w:eastAsia="宋体" w:cs="宋体"/>
          <w:sz w:val="24"/>
          <w:szCs w:val="24"/>
        </w:rPr>
        <w:tab/>
      </w:r>
      <w:r>
        <w:rPr>
          <w:rFonts w:hint="eastAsia" w:ascii="宋体" w:hAnsi="宋体" w:eastAsia="宋体" w:cs="宋体"/>
          <w:sz w:val="24"/>
          <w:szCs w:val="24"/>
        </w:rPr>
        <w:t xml:space="preserve">彩色显示帧频：相控阵扇扫探头、90°角，18cm深显示，彩色显示帧频≥19帧/s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.5.4</w:t>
      </w:r>
      <w:r>
        <w:rPr>
          <w:rFonts w:hint="eastAsia" w:ascii="宋体" w:hAnsi="宋体" w:eastAsia="宋体" w:cs="宋体"/>
          <w:sz w:val="24"/>
          <w:szCs w:val="24"/>
        </w:rPr>
        <w:tab/>
      </w:r>
      <w:r>
        <w:rPr>
          <w:rFonts w:hint="eastAsia" w:ascii="宋体" w:hAnsi="宋体" w:eastAsia="宋体" w:cs="宋体"/>
          <w:sz w:val="24"/>
          <w:szCs w:val="24"/>
        </w:rPr>
        <w:t xml:space="preserve">相控阵扇扫探头、90°角，18cm深满屏显示，彩色组织多普勒帧频≥139帧/s (附图显示）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.5.5</w:t>
      </w:r>
      <w:r>
        <w:rPr>
          <w:rFonts w:hint="eastAsia" w:ascii="宋体" w:hAnsi="宋体" w:eastAsia="宋体" w:cs="宋体"/>
          <w:sz w:val="24"/>
          <w:szCs w:val="24"/>
        </w:rPr>
        <w:tab/>
      </w:r>
      <w:r>
        <w:rPr>
          <w:rFonts w:hint="eastAsia" w:ascii="宋体" w:hAnsi="宋体" w:eastAsia="宋体" w:cs="宋体"/>
          <w:sz w:val="24"/>
          <w:szCs w:val="24"/>
        </w:rPr>
        <w:t>显示位置调整：线阵扫描感兴趣的图像范围： -30°- +30°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.5.6</w:t>
      </w:r>
      <w:r>
        <w:rPr>
          <w:rFonts w:hint="eastAsia" w:ascii="宋体" w:hAnsi="宋体" w:eastAsia="宋体" w:cs="宋体"/>
          <w:sz w:val="24"/>
          <w:szCs w:val="24"/>
        </w:rPr>
        <w:tab/>
      </w:r>
      <w:r>
        <w:rPr>
          <w:rFonts w:hint="eastAsia" w:ascii="宋体" w:hAnsi="宋体" w:eastAsia="宋体" w:cs="宋体"/>
          <w:sz w:val="24"/>
          <w:szCs w:val="24"/>
        </w:rPr>
        <w:t>显示控制：零位移动分±15级、黑/白与彩色比较、彩色对比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.5.7</w:t>
      </w:r>
      <w:r>
        <w:rPr>
          <w:rFonts w:hint="eastAsia" w:ascii="宋体" w:hAnsi="宋体" w:eastAsia="宋体" w:cs="宋体"/>
          <w:sz w:val="24"/>
          <w:szCs w:val="24"/>
        </w:rPr>
        <w:tab/>
      </w:r>
      <w:r>
        <w:rPr>
          <w:rFonts w:hint="eastAsia" w:ascii="宋体" w:hAnsi="宋体" w:eastAsia="宋体" w:cs="宋体"/>
          <w:sz w:val="24"/>
          <w:szCs w:val="24"/>
        </w:rPr>
        <w:t>彩色显示速度：最低平均血流显示速度：≤10mm/s</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.5.8</w:t>
      </w:r>
      <w:r>
        <w:rPr>
          <w:rFonts w:hint="eastAsia" w:ascii="宋体" w:hAnsi="宋体" w:eastAsia="宋体" w:cs="宋体"/>
          <w:sz w:val="24"/>
          <w:szCs w:val="24"/>
        </w:rPr>
        <w:tab/>
      </w:r>
      <w:r>
        <w:rPr>
          <w:rFonts w:hint="eastAsia" w:ascii="宋体" w:hAnsi="宋体" w:eastAsia="宋体" w:cs="宋体"/>
          <w:sz w:val="24"/>
          <w:szCs w:val="24"/>
        </w:rPr>
        <w:t>实时组织多普勒速度成像、实时组织多普勒位移成像,可M型、直线解剖M型、曲线解剖M型及频谱分析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.6</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超声功率输出调节:</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B/M、CWD、PWD、Color Doppler输出功率可调</w:t>
      </w:r>
    </w:p>
    <w:p>
      <w:pPr>
        <w:keepNext w:val="0"/>
        <w:keepLines w:val="0"/>
        <w:pageBreakBefore w:val="0"/>
        <w:widowControl w:val="0"/>
        <w:numPr>
          <w:ilvl w:val="0"/>
          <w:numId w:val="39"/>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其它</w:t>
      </w:r>
      <w:r>
        <w:rPr>
          <w:rFonts w:hint="eastAsia" w:ascii="宋体" w:hAnsi="宋体" w:eastAsia="宋体" w:cs="宋体"/>
          <w:b/>
          <w:bCs/>
          <w:sz w:val="24"/>
          <w:szCs w:val="24"/>
          <w:lang w:eastAsia="zh-CN"/>
        </w:rPr>
        <w:t>附件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超声工作站一套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高清采集卡一套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alibri" w:hAnsi="Calibri" w:eastAsia="宋体" w:cs="Times New Roman"/>
          <w:b/>
          <w:color w:val="000000"/>
          <w:sz w:val="24"/>
          <w:szCs w:val="32"/>
          <w:highlight w:val="none"/>
        </w:rPr>
      </w:pPr>
      <w:r>
        <w:rPr>
          <w:rFonts w:hint="eastAsia" w:ascii="Calibri" w:hAnsi="Calibri" w:eastAsia="宋体" w:cs="Times New Roman"/>
          <w:b/>
          <w:color w:val="000000"/>
          <w:sz w:val="24"/>
          <w:szCs w:val="32"/>
          <w:highlight w:val="none"/>
          <w:lang w:eastAsia="zh-CN"/>
        </w:rPr>
        <w:t>注：</w:t>
      </w:r>
      <w:r>
        <w:rPr>
          <w:rFonts w:hint="eastAsia" w:ascii="Calibri" w:hAnsi="Calibri" w:eastAsia="宋体" w:cs="Times New Roman"/>
          <w:b/>
          <w:color w:val="000000"/>
          <w:sz w:val="24"/>
          <w:szCs w:val="32"/>
          <w:highlight w:val="none"/>
        </w:rPr>
        <w:t>以上技术要求中加注</w:t>
      </w:r>
      <w:r>
        <w:rPr>
          <w:rFonts w:hint="eastAsia" w:ascii="宋体" w:hAnsi="宋体" w:eastAsia="宋体" w:cs="Times New Roman"/>
          <w:b/>
          <w:color w:val="000000"/>
          <w:sz w:val="24"/>
          <w:szCs w:val="32"/>
          <w:highlight w:val="none"/>
        </w:rPr>
        <w:t>“★</w:t>
      </w:r>
      <w:r>
        <w:rPr>
          <w:rFonts w:hint="eastAsia" w:ascii="Calibri" w:hAnsi="Calibri" w:eastAsia="宋体" w:cs="Times New Roman"/>
          <w:b/>
          <w:color w:val="000000"/>
          <w:sz w:val="24"/>
          <w:szCs w:val="32"/>
          <w:highlight w:val="none"/>
        </w:rPr>
        <w:t>”号标识的为重要技术参数，负偏离时作为评分因素考量。</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Calibri" w:hAnsi="Calibri" w:eastAsia="宋体" w:cs="Times New Roman"/>
          <w:b/>
          <w:color w:val="000000"/>
          <w:sz w:val="24"/>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Calibri" w:hAnsi="Calibri" w:eastAsia="宋体" w:cs="Times New Roman"/>
          <w:b/>
          <w:color w:val="000000"/>
          <w:sz w:val="24"/>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Calibri" w:hAnsi="Calibri" w:eastAsia="宋体" w:cs="Times New Roman"/>
          <w:b/>
          <w:color w:val="000000"/>
          <w:sz w:val="24"/>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textAlignment w:val="auto"/>
        <w:rPr>
          <w:rFonts w:hint="eastAsia" w:ascii="Calibri" w:hAnsi="Calibri" w:eastAsia="宋体" w:cs="Times New Roman"/>
          <w:b/>
          <w:color w:val="000000"/>
          <w:sz w:val="24"/>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Calibri" w:hAnsi="Calibri" w:eastAsia="宋体" w:cs="Times New Roman"/>
          <w:b/>
          <w:color w:val="000000"/>
          <w:sz w:val="24"/>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三、商务要求：</w:t>
      </w:r>
    </w:p>
    <w:p>
      <w:pPr>
        <w:pStyle w:val="39"/>
        <w:numPr>
          <w:ilvl w:val="0"/>
          <w:numId w:val="40"/>
        </w:numPr>
        <w:spacing w:line="360" w:lineRule="auto"/>
        <w:ind w:firstLineChars="0"/>
        <w:rPr>
          <w:rFonts w:hint="eastAsia" w:ascii="宋体" w:hAnsi="宋体" w:eastAsia="宋体" w:cs="宋体"/>
          <w:sz w:val="24"/>
          <w:highlight w:val="none"/>
        </w:rPr>
      </w:pPr>
      <w:r>
        <w:rPr>
          <w:rFonts w:hint="eastAsia" w:ascii="宋体" w:hAnsi="宋体" w:eastAsia="宋体" w:cs="宋体"/>
          <w:b/>
          <w:color w:val="000000"/>
          <w:sz w:val="24"/>
          <w:szCs w:val="24"/>
          <w:highlight w:val="none"/>
        </w:rPr>
        <w:t>交货验收与工期：</w:t>
      </w:r>
      <w:r>
        <w:rPr>
          <w:rFonts w:hint="eastAsia" w:ascii="宋体" w:hAnsi="宋体" w:eastAsia="宋体" w:cs="宋体"/>
          <w:sz w:val="24"/>
          <w:highlight w:val="none"/>
        </w:rPr>
        <w:t>签定合同后按合同和招标、投标文件约定的要求和标准进行交货验收，交货期为签定合同后</w:t>
      </w:r>
      <w:r>
        <w:rPr>
          <w:rFonts w:hint="eastAsia" w:ascii="宋体" w:hAnsi="宋体" w:eastAsia="宋体" w:cs="宋体"/>
          <w:b/>
          <w:color w:val="000000"/>
          <w:sz w:val="24"/>
          <w:highlight w:val="none"/>
          <w:lang w:val="en-US" w:eastAsia="zh-CN"/>
        </w:rPr>
        <w:t>20</w:t>
      </w:r>
      <w:r>
        <w:rPr>
          <w:rFonts w:hint="eastAsia" w:ascii="宋体" w:hAnsi="宋体" w:eastAsia="宋体" w:cs="宋体"/>
          <w:b/>
          <w:color w:val="000000"/>
          <w:sz w:val="24"/>
          <w:highlight w:val="none"/>
        </w:rPr>
        <w:t>天内（日历</w:t>
      </w:r>
      <w:r>
        <w:rPr>
          <w:rFonts w:hint="eastAsia" w:ascii="宋体" w:hAnsi="宋体" w:eastAsia="宋体" w:cs="宋体"/>
          <w:b/>
          <w:color w:val="000000"/>
          <w:sz w:val="24"/>
          <w:highlight w:val="none"/>
          <w:lang w:eastAsia="zh-CN"/>
        </w:rPr>
        <w:t>天</w:t>
      </w:r>
      <w:r>
        <w:rPr>
          <w:rFonts w:hint="eastAsia" w:ascii="宋体" w:hAnsi="宋体" w:eastAsia="宋体" w:cs="宋体"/>
          <w:b/>
          <w:color w:val="000000"/>
          <w:sz w:val="24"/>
          <w:highlight w:val="none"/>
        </w:rPr>
        <w:t>）</w:t>
      </w:r>
      <w:r>
        <w:rPr>
          <w:rFonts w:hint="eastAsia" w:ascii="宋体" w:hAnsi="宋体" w:eastAsia="宋体" w:cs="宋体"/>
          <w:color w:val="000000"/>
          <w:sz w:val="24"/>
          <w:highlight w:val="none"/>
        </w:rPr>
        <w:t>。“交货</w:t>
      </w:r>
      <w:r>
        <w:rPr>
          <w:rFonts w:hint="eastAsia" w:ascii="宋体" w:hAnsi="宋体" w:eastAsia="宋体" w:cs="宋体"/>
          <w:sz w:val="24"/>
          <w:highlight w:val="none"/>
        </w:rPr>
        <w:t>期”指所有货物运抵现场安装调试完毕后交付用户验收的日期。</w:t>
      </w:r>
    </w:p>
    <w:p>
      <w:pPr>
        <w:pStyle w:val="39"/>
        <w:numPr>
          <w:ilvl w:val="0"/>
          <w:numId w:val="40"/>
        </w:numPr>
        <w:spacing w:line="360" w:lineRule="auto"/>
        <w:ind w:firstLineChars="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交货地点：阳新县人民医院指定地点。</w:t>
      </w:r>
    </w:p>
    <w:p>
      <w:pPr>
        <w:keepNext w:val="0"/>
        <w:keepLines w:val="0"/>
        <w:pageBreakBefore w:val="0"/>
        <w:widowControl w:val="0"/>
        <w:numPr>
          <w:ilvl w:val="0"/>
          <w:numId w:val="40"/>
        </w:numPr>
        <w:kinsoku/>
        <w:wordWrap/>
        <w:overflowPunct/>
        <w:topLinePunct w:val="0"/>
        <w:autoSpaceDE/>
        <w:autoSpaceDN/>
        <w:bidi w:val="0"/>
        <w:adjustRightInd/>
        <w:snapToGrid/>
        <w:spacing w:line="400" w:lineRule="exact"/>
        <w:ind w:left="420" w:leftChars="0" w:hanging="420" w:firstLineChars="0"/>
        <w:textAlignment w:val="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eastAsia="zh-CN"/>
        </w:rPr>
        <w:t>质保期：</w:t>
      </w:r>
      <w:r>
        <w:rPr>
          <w:rFonts w:hint="eastAsia" w:ascii="宋体" w:hAnsi="宋体" w:eastAsia="宋体" w:cs="宋体"/>
          <w:b/>
          <w:color w:val="000000"/>
          <w:sz w:val="24"/>
          <w:szCs w:val="24"/>
          <w:highlight w:val="none"/>
          <w:lang w:val="en-US" w:eastAsia="zh-CN"/>
        </w:rPr>
        <w:t>1年。</w:t>
      </w:r>
    </w:p>
    <w:p>
      <w:pPr>
        <w:keepNext w:val="0"/>
        <w:keepLines w:val="0"/>
        <w:pageBreakBefore w:val="0"/>
        <w:widowControl w:val="0"/>
        <w:numPr>
          <w:ilvl w:val="0"/>
          <w:numId w:val="40"/>
        </w:numPr>
        <w:kinsoku/>
        <w:wordWrap/>
        <w:overflowPunct/>
        <w:topLinePunct w:val="0"/>
        <w:autoSpaceDE/>
        <w:autoSpaceDN/>
        <w:bidi w:val="0"/>
        <w:adjustRightInd/>
        <w:snapToGrid/>
        <w:spacing w:line="400" w:lineRule="exact"/>
        <w:ind w:left="420" w:leftChars="0" w:hanging="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售后服务要求：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  开机率≥98%，仪器故障要求12小时内应答，24小时形成解决方案。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4.2 投标人需要在中国大陆地区设有售后服务机构和设施，并配备受过专业培训的售后服务人员。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4.3 为保证设备正常运行，投标人应在中国境内方便的地方设置备件库，存入所有必须的备件，并保证5年以上的供应期，提供400全国免费电话。</w:t>
      </w:r>
    </w:p>
    <w:p>
      <w:pPr>
        <w:pStyle w:val="39"/>
        <w:numPr>
          <w:ilvl w:val="0"/>
          <w:numId w:val="0"/>
        </w:numPr>
        <w:spacing w:line="360" w:lineRule="auto"/>
        <w:ind w:leftChars="0"/>
        <w:rPr>
          <w:rFonts w:hint="eastAsia" w:ascii="宋体" w:hAnsi="宋体" w:eastAsia="宋体" w:cs="宋体"/>
          <w:b/>
          <w:color w:val="000000"/>
          <w:sz w:val="24"/>
          <w:szCs w:val="24"/>
          <w:highlight w:val="none"/>
        </w:rPr>
      </w:pPr>
      <w:r>
        <w:rPr>
          <w:rFonts w:hint="eastAsia" w:ascii="宋体" w:hAnsi="宋体" w:eastAsia="宋体" w:cs="宋体"/>
          <w:b w:val="0"/>
          <w:bCs w:val="0"/>
          <w:sz w:val="24"/>
          <w:szCs w:val="24"/>
          <w:lang w:val="en-US" w:eastAsia="zh-CN"/>
        </w:rPr>
        <w:t>4.4现场培训：投标人提供现场技术培训，保证使用人员能够正确操作设备的各项功能。</w:t>
      </w:r>
    </w:p>
    <w:p>
      <w:pPr>
        <w:pStyle w:val="39"/>
        <w:numPr>
          <w:ilvl w:val="0"/>
          <w:numId w:val="40"/>
        </w:numPr>
        <w:spacing w:line="360" w:lineRule="auto"/>
        <w:ind w:firstLineChars="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付款方式：</w:t>
      </w:r>
      <w:r>
        <w:rPr>
          <w:rFonts w:hint="eastAsia" w:ascii="宋体" w:hAnsi="宋体" w:eastAsia="宋体" w:cs="宋体"/>
          <w:b/>
          <w:color w:val="000000"/>
          <w:sz w:val="24"/>
          <w:szCs w:val="24"/>
          <w:highlight w:val="none"/>
          <w:lang w:val="en-US" w:eastAsia="zh-CN"/>
        </w:rPr>
        <w:t>验收合格</w:t>
      </w:r>
      <w:r>
        <w:rPr>
          <w:rFonts w:hint="eastAsia" w:ascii="宋体" w:hAnsi="宋体" w:eastAsia="宋体" w:cs="宋体"/>
          <w:b/>
          <w:color w:val="000000"/>
          <w:sz w:val="24"/>
          <w:szCs w:val="24"/>
          <w:highlight w:val="none"/>
        </w:rPr>
        <w:t>后付全款的90%，余下10%质保期结束后付清。</w:t>
      </w:r>
    </w:p>
    <w:p>
      <w:pPr>
        <w:pStyle w:val="39"/>
        <w:numPr>
          <w:ilvl w:val="0"/>
          <w:numId w:val="40"/>
        </w:numPr>
        <w:spacing w:line="360" w:lineRule="auto"/>
        <w:ind w:firstLineChars="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其他要求：</w:t>
      </w:r>
    </w:p>
    <w:p>
      <w:pPr>
        <w:pStyle w:val="39"/>
        <w:numPr>
          <w:ilvl w:val="0"/>
          <w:numId w:val="0"/>
        </w:numPr>
        <w:tabs>
          <w:tab w:val="left" w:pos="426"/>
        </w:tabs>
        <w:spacing w:line="36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6.1</w:t>
      </w:r>
      <w:r>
        <w:rPr>
          <w:rFonts w:hint="eastAsia" w:ascii="宋体" w:hAnsi="宋体" w:eastAsia="宋体" w:cs="宋体"/>
          <w:sz w:val="24"/>
          <w:szCs w:val="24"/>
          <w:highlight w:val="none"/>
        </w:rPr>
        <w:t>本项目采购预算控制总金额为</w:t>
      </w:r>
      <w:r>
        <w:rPr>
          <w:rFonts w:hint="eastAsia" w:ascii="宋体" w:hAnsi="宋体" w:eastAsia="宋体" w:cs="宋体"/>
          <w:b/>
          <w:sz w:val="24"/>
          <w:szCs w:val="24"/>
          <w:highlight w:val="none"/>
          <w:lang w:val="en-US" w:eastAsia="zh-CN"/>
        </w:rPr>
        <w:t>290</w:t>
      </w:r>
      <w:r>
        <w:rPr>
          <w:rFonts w:hint="eastAsia" w:ascii="宋体" w:hAnsi="宋体" w:eastAsia="宋体" w:cs="宋体"/>
          <w:sz w:val="24"/>
          <w:szCs w:val="24"/>
          <w:highlight w:val="none"/>
        </w:rPr>
        <w:t>万元，超出预算控制金额将导致其报价无效。</w:t>
      </w:r>
    </w:p>
    <w:p>
      <w:pPr>
        <w:pStyle w:val="39"/>
        <w:numPr>
          <w:ilvl w:val="0"/>
          <w:numId w:val="0"/>
        </w:numPr>
        <w:tabs>
          <w:tab w:val="left" w:pos="426"/>
        </w:tabs>
        <w:spacing w:line="36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6.2</w:t>
      </w:r>
      <w:r>
        <w:rPr>
          <w:rFonts w:hint="eastAsia" w:ascii="宋体" w:hAnsi="宋体" w:eastAsia="宋体" w:cs="宋体"/>
          <w:sz w:val="24"/>
          <w:szCs w:val="24"/>
          <w:highlight w:val="none"/>
        </w:rPr>
        <w:t>投标人不得以低于成本的报价进行投标，低于成本价的将导致其投标无效。</w:t>
      </w:r>
    </w:p>
    <w:p>
      <w:pPr>
        <w:pStyle w:val="39"/>
        <w:numPr>
          <w:ilvl w:val="0"/>
          <w:numId w:val="0"/>
        </w:numPr>
        <w:tabs>
          <w:tab w:val="left" w:pos="426"/>
        </w:tabs>
        <w:spacing w:line="36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6.3本</w:t>
      </w:r>
      <w:r>
        <w:rPr>
          <w:rFonts w:hint="eastAsia" w:ascii="宋体" w:hAnsi="宋体" w:eastAsia="宋体" w:cs="宋体"/>
          <w:sz w:val="24"/>
          <w:szCs w:val="24"/>
          <w:highlight w:val="none"/>
        </w:rPr>
        <w:t>项目已经政府采购主管部门审核同意，可以采购进口产品，但不限制符合招标要求的国内产品参与采购竞争。采购进口产品时评标委员会将优先考虑向我国企业转让技术、与我国企业签订消化吸收再创新方案的供应商的进口产品。</w:t>
      </w:r>
    </w:p>
    <w:p>
      <w:pPr>
        <w:pStyle w:val="39"/>
        <w:numPr>
          <w:ilvl w:val="0"/>
          <w:numId w:val="0"/>
        </w:numPr>
        <w:tabs>
          <w:tab w:val="left" w:pos="42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6.4</w:t>
      </w:r>
      <w:r>
        <w:rPr>
          <w:rFonts w:hint="eastAsia" w:ascii="宋体" w:hAnsi="宋体" w:eastAsia="宋体" w:cs="宋体"/>
          <w:sz w:val="24"/>
          <w:szCs w:val="24"/>
        </w:rPr>
        <w:t>本项目投标报价包含但不限于：设备价（包括硬件、软件）、运至合同指定地点的运输费、安装费（包括损耗、额外材料等）、保险费、安装、技术培训费、各种税费等。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rPr>
      </w:pPr>
    </w:p>
    <w:p>
      <w:pPr>
        <w:widowControl/>
        <w:jc w:val="left"/>
        <w:rPr>
          <w:rFonts w:ascii="Calibri" w:hAnsi="宋体" w:eastAsia="宋体" w:cs="Times New Roman"/>
          <w:sz w:val="24"/>
          <w:szCs w:val="24"/>
        </w:rPr>
      </w:pPr>
    </w:p>
    <w:p>
      <w:pPr>
        <w:pStyle w:val="3"/>
        <w:numPr>
          <w:ilvl w:val="0"/>
          <w:numId w:val="1"/>
        </w:numPr>
        <w:jc w:val="center"/>
        <w:rPr>
          <w:rFonts w:ascii="黑体" w:hAnsi="黑体" w:eastAsia="黑体"/>
        </w:rPr>
      </w:pPr>
      <w:bookmarkStart w:id="41" w:name="_Toc495861538"/>
      <w:r>
        <w:rPr>
          <w:rFonts w:hint="eastAsia" w:ascii="黑体" w:hAnsi="黑体" w:eastAsia="黑体"/>
        </w:rPr>
        <w:t>资格审查方法及标准</w:t>
      </w:r>
      <w:bookmarkEnd w:id="41"/>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4"/>
        <w:numPr>
          <w:ilvl w:val="0"/>
          <w:numId w:val="41"/>
        </w:numPr>
        <w:spacing w:before="0" w:after="0" w:line="360" w:lineRule="auto"/>
        <w:ind w:left="616" w:hanging="616"/>
        <w:jc w:val="left"/>
        <w:rPr>
          <w:rFonts w:cs="Times New Roman" w:asciiTheme="majorEastAsia" w:hAnsiTheme="majorEastAsia"/>
          <w:bCs w:val="0"/>
          <w:sz w:val="30"/>
          <w:szCs w:val="30"/>
          <w:lang w:val="zh-CN"/>
        </w:rPr>
      </w:pPr>
      <w:bookmarkStart w:id="42" w:name="_Toc494561958"/>
      <w:bookmarkStart w:id="43" w:name="_Toc495861539"/>
      <w:r>
        <w:rPr>
          <w:rFonts w:hint="eastAsia" w:cs="Times New Roman" w:asciiTheme="majorEastAsia" w:hAnsiTheme="majorEastAsia"/>
          <w:bCs w:val="0"/>
          <w:sz w:val="30"/>
          <w:szCs w:val="30"/>
          <w:lang w:val="zh-CN"/>
        </w:rPr>
        <w:t>资格审查方法</w:t>
      </w:r>
      <w:bookmarkEnd w:id="42"/>
      <w:bookmarkEnd w:id="43"/>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w:t>
      </w:r>
      <w:r>
        <w:rPr>
          <w:rFonts w:hint="eastAsia" w:ascii="宋体" w:hAnsi="宋体" w:eastAsia="宋体" w:cs="Times New Roman"/>
          <w:bCs/>
          <w:color w:val="FF0000"/>
          <w:sz w:val="24"/>
          <w:szCs w:val="20"/>
          <w:lang w:val="zh-CN"/>
        </w:rPr>
        <w:t>采购人、采购代理机构</w:t>
      </w:r>
      <w:r>
        <w:rPr>
          <w:rFonts w:hint="eastAsia" w:ascii="宋体" w:hAnsi="宋体" w:eastAsia="宋体" w:cs="Times New Roman"/>
          <w:bCs/>
          <w:color w:val="0D0D0D"/>
          <w:sz w:val="24"/>
          <w:szCs w:val="20"/>
          <w:lang w:val="zh-CN"/>
        </w:rPr>
        <w:t>成立资格审查小组，依据法律、法规及招标文件的规定，对投标人的资格进行审查，以确定投标人资格是否合格。</w:t>
      </w:r>
    </w:p>
    <w:p>
      <w:pPr>
        <w:pStyle w:val="4"/>
        <w:numPr>
          <w:ilvl w:val="0"/>
          <w:numId w:val="41"/>
        </w:numPr>
        <w:spacing w:before="0" w:after="0" w:line="360" w:lineRule="auto"/>
        <w:ind w:left="616" w:hanging="616"/>
        <w:jc w:val="left"/>
        <w:rPr>
          <w:rFonts w:cs="Times New Roman" w:asciiTheme="majorEastAsia" w:hAnsiTheme="majorEastAsia"/>
          <w:bCs w:val="0"/>
          <w:sz w:val="30"/>
          <w:szCs w:val="30"/>
          <w:lang w:val="zh-CN"/>
        </w:rPr>
      </w:pPr>
      <w:bookmarkStart w:id="44" w:name="_Toc495861540"/>
      <w:bookmarkStart w:id="45" w:name="_Toc494561959"/>
      <w:r>
        <w:rPr>
          <w:rFonts w:hint="eastAsia" w:cs="Times New Roman" w:asciiTheme="majorEastAsia" w:hAnsiTheme="majorEastAsia"/>
          <w:bCs w:val="0"/>
          <w:sz w:val="30"/>
          <w:szCs w:val="30"/>
          <w:lang w:val="zh-CN"/>
        </w:rPr>
        <w:t>资格审查标准</w:t>
      </w:r>
      <w:bookmarkEnd w:id="44"/>
      <w:bookmarkEnd w:id="45"/>
    </w:p>
    <w:p>
      <w:pPr>
        <w:numPr>
          <w:ilvl w:val="0"/>
          <w:numId w:val="42"/>
        </w:numPr>
        <w:tabs>
          <w:tab w:val="left" w:pos="616"/>
        </w:tabs>
        <w:spacing w:line="360" w:lineRule="auto"/>
        <w:ind w:left="14" w:firstLine="238"/>
        <w:rPr>
          <w:rFonts w:ascii="宋体" w:hAnsi="宋体"/>
          <w:b/>
          <w:color w:val="000000"/>
          <w:sz w:val="24"/>
          <w:szCs w:val="24"/>
          <w:lang w:val="zh-CN"/>
        </w:rPr>
      </w:pPr>
      <w:r>
        <w:rPr>
          <w:rFonts w:hint="eastAsia" w:ascii="宋体" w:hAnsi="宋体"/>
          <w:b/>
          <w:color w:val="000000"/>
          <w:sz w:val="24"/>
          <w:szCs w:val="24"/>
          <w:lang w:val="zh-CN"/>
        </w:rPr>
        <w:t>资格证明文件审查</w:t>
      </w:r>
    </w:p>
    <w:p>
      <w:pPr>
        <w:tabs>
          <w:tab w:val="left" w:pos="616"/>
        </w:tabs>
        <w:spacing w:line="360" w:lineRule="auto"/>
        <w:ind w:firstLine="420"/>
        <w:rPr>
          <w:rFonts w:ascii="Helvetica" w:hAnsi="Helvetica" w:cs="Helvetica"/>
          <w:b/>
          <w:color w:val="000000"/>
          <w:kern w:val="0"/>
          <w:sz w:val="24"/>
          <w:szCs w:val="24"/>
          <w:lang w:val="zh-CN"/>
        </w:rPr>
      </w:pPr>
      <w:r>
        <w:rPr>
          <w:rFonts w:hint="eastAsia" w:ascii="Helvetica" w:hAnsi="Helvetica" w:cs="Helvetica"/>
          <w:color w:val="000000"/>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color w:val="000000"/>
          <w:kern w:val="0"/>
          <w:sz w:val="24"/>
          <w:szCs w:val="24"/>
          <w:lang w:val="zh-CN"/>
        </w:rPr>
        <w:t>无效投标处理：</w:t>
      </w:r>
    </w:p>
    <w:p>
      <w:pPr>
        <w:pStyle w:val="28"/>
        <w:numPr>
          <w:ilvl w:val="0"/>
          <w:numId w:val="43"/>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应具备《政府采购法》第二十二条第一款规定的条件，</w:t>
      </w:r>
      <w:r>
        <w:rPr>
          <w:rFonts w:hint="eastAsia" w:hAnsi="宋体"/>
          <w:color w:val="000000"/>
          <w:sz w:val="24"/>
          <w:szCs w:val="24"/>
        </w:rPr>
        <w:t>提供下列材料</w:t>
      </w:r>
      <w:r>
        <w:rPr>
          <w:rFonts w:hint="eastAsia" w:ascii="宋体" w:hAnsi="宋体"/>
          <w:color w:val="000000"/>
          <w:sz w:val="24"/>
          <w:szCs w:val="24"/>
          <w:lang w:val="zh-CN"/>
        </w:rPr>
        <w:t>：</w:t>
      </w:r>
    </w:p>
    <w:p>
      <w:pPr>
        <w:pStyle w:val="28"/>
        <w:numPr>
          <w:ilvl w:val="0"/>
          <w:numId w:val="44"/>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法人或者其他组织的营业执照等证明文件，自然人的身份证明；</w:t>
      </w:r>
    </w:p>
    <w:p>
      <w:pPr>
        <w:pStyle w:val="28"/>
        <w:numPr>
          <w:ilvl w:val="0"/>
          <w:numId w:val="44"/>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财务状况报告，依法缴纳税收和社会保障资金的相关材料；</w:t>
      </w:r>
    </w:p>
    <w:p>
      <w:pPr>
        <w:pStyle w:val="28"/>
        <w:numPr>
          <w:ilvl w:val="0"/>
          <w:numId w:val="44"/>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具备履行合同所必需的设备和专业技术能力的证明材料；</w:t>
      </w:r>
    </w:p>
    <w:p>
      <w:pPr>
        <w:pStyle w:val="28"/>
        <w:numPr>
          <w:ilvl w:val="0"/>
          <w:numId w:val="44"/>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参加政府采购活动前3年内在经营活动中没有重大违法记录的书面声明；</w:t>
      </w:r>
    </w:p>
    <w:p>
      <w:pPr>
        <w:pStyle w:val="28"/>
        <w:numPr>
          <w:ilvl w:val="0"/>
          <w:numId w:val="44"/>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具备法律、行政法规规定的其他条件的证明材料。</w:t>
      </w:r>
    </w:p>
    <w:p>
      <w:pPr>
        <w:pStyle w:val="28"/>
        <w:numPr>
          <w:ilvl w:val="0"/>
          <w:numId w:val="43"/>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28"/>
        <w:numPr>
          <w:ilvl w:val="0"/>
          <w:numId w:val="43"/>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招标文件第一章“投标人资格要求”中有特殊要求的，投标人应提供其符合特殊要求的证明材料或者情况说明；</w:t>
      </w:r>
    </w:p>
    <w:p>
      <w:pPr>
        <w:pStyle w:val="28"/>
        <w:numPr>
          <w:ilvl w:val="0"/>
          <w:numId w:val="43"/>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不符合联合体投标相关规定和要求的；</w:t>
      </w:r>
    </w:p>
    <w:p>
      <w:pPr>
        <w:pStyle w:val="28"/>
        <w:numPr>
          <w:ilvl w:val="0"/>
          <w:numId w:val="43"/>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投标人认为需提供的其它相关资格证明材料；</w:t>
      </w:r>
    </w:p>
    <w:p>
      <w:pPr>
        <w:numPr>
          <w:ilvl w:val="0"/>
          <w:numId w:val="0"/>
        </w:numPr>
        <w:tabs>
          <w:tab w:val="left" w:pos="616"/>
        </w:tabs>
        <w:spacing w:line="360" w:lineRule="auto"/>
        <w:ind w:left="252" w:leftChars="0"/>
        <w:rPr>
          <w:rFonts w:ascii="宋体" w:hAnsi="宋体" w:eastAsia="宋体" w:cs="Times New Roman"/>
          <w:b/>
          <w:sz w:val="24"/>
          <w:szCs w:val="24"/>
          <w:lang w:val="zh-CN"/>
        </w:rPr>
      </w:pPr>
      <w:r>
        <w:rPr>
          <w:rFonts w:hint="eastAsia" w:ascii="宋体" w:hAnsi="宋体"/>
          <w:color w:val="000000"/>
          <w:sz w:val="24"/>
          <w:szCs w:val="24"/>
          <w:lang w:val="en-US" w:eastAsia="zh-CN"/>
        </w:rPr>
        <w:t xml:space="preserve">1.6 </w:t>
      </w:r>
      <w:r>
        <w:rPr>
          <w:rFonts w:hint="eastAsia" w:ascii="宋体" w:hAnsi="宋体"/>
          <w:color w:val="000000"/>
          <w:sz w:val="24"/>
          <w:szCs w:val="24"/>
          <w:lang w:val="zh-CN"/>
        </w:rPr>
        <w:t>资格证明文件正本应为清晰彩色影印件且加盖单位公章。</w:t>
      </w:r>
    </w:p>
    <w:p>
      <w:pPr>
        <w:numPr>
          <w:ilvl w:val="0"/>
          <w:numId w:val="42"/>
        </w:numPr>
        <w:tabs>
          <w:tab w:val="left" w:pos="616"/>
        </w:tabs>
        <w:spacing w:line="360" w:lineRule="auto"/>
        <w:ind w:left="14" w:leftChars="0" w:firstLine="238" w:firstLineChars="0"/>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28"/>
        <w:numPr>
          <w:ilvl w:val="0"/>
          <w:numId w:val="45"/>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28"/>
        <w:numPr>
          <w:ilvl w:val="0"/>
          <w:numId w:val="45"/>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28"/>
        <w:numPr>
          <w:ilvl w:val="0"/>
          <w:numId w:val="45"/>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28"/>
        <w:numPr>
          <w:ilvl w:val="0"/>
          <w:numId w:val="45"/>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3"/>
        <w:numPr>
          <w:ilvl w:val="0"/>
          <w:numId w:val="1"/>
        </w:numPr>
        <w:jc w:val="center"/>
        <w:rPr>
          <w:rFonts w:ascii="黑体" w:hAnsi="黑体" w:eastAsia="黑体"/>
        </w:rPr>
      </w:pPr>
      <w:bookmarkStart w:id="46" w:name="_Toc495861541"/>
      <w:r>
        <w:rPr>
          <w:rFonts w:hint="eastAsia" w:ascii="黑体" w:hAnsi="黑体" w:eastAsia="黑体"/>
        </w:rPr>
        <w:t>评标方法、程序及标准</w:t>
      </w:r>
      <w:bookmarkEnd w:id="46"/>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4"/>
        <w:numPr>
          <w:ilvl w:val="0"/>
          <w:numId w:val="46"/>
        </w:numPr>
        <w:spacing w:before="0" w:after="0" w:line="360" w:lineRule="auto"/>
        <w:ind w:left="616" w:hanging="616"/>
        <w:jc w:val="left"/>
        <w:rPr>
          <w:rFonts w:cs="Times New Roman" w:asciiTheme="majorEastAsia" w:hAnsiTheme="majorEastAsia"/>
          <w:bCs w:val="0"/>
          <w:sz w:val="30"/>
          <w:szCs w:val="30"/>
          <w:lang w:val="zh-CN"/>
        </w:rPr>
      </w:pPr>
      <w:bookmarkStart w:id="47" w:name="_Toc272247708"/>
      <w:bookmarkStart w:id="48" w:name="_Toc278891605"/>
      <w:bookmarkStart w:id="49" w:name="_Toc495861542"/>
      <w:bookmarkStart w:id="50" w:name="_Toc494561961"/>
      <w:r>
        <w:rPr>
          <w:rFonts w:hint="eastAsia" w:cs="Times New Roman" w:asciiTheme="majorEastAsia" w:hAnsiTheme="majorEastAsia"/>
          <w:bCs w:val="0"/>
          <w:sz w:val="30"/>
          <w:szCs w:val="30"/>
          <w:lang w:val="zh-CN"/>
        </w:rPr>
        <w:t>评标</w:t>
      </w:r>
      <w:bookmarkEnd w:id="47"/>
      <w:bookmarkEnd w:id="48"/>
      <w:r>
        <w:rPr>
          <w:rFonts w:hint="eastAsia" w:cs="Times New Roman" w:asciiTheme="majorEastAsia" w:hAnsiTheme="majorEastAsia"/>
          <w:bCs w:val="0"/>
          <w:sz w:val="30"/>
          <w:szCs w:val="30"/>
          <w:lang w:val="zh-CN"/>
        </w:rPr>
        <w:t>方法</w:t>
      </w:r>
      <w:bookmarkEnd w:id="49"/>
      <w:bookmarkEnd w:id="50"/>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4"/>
        <w:numPr>
          <w:ilvl w:val="0"/>
          <w:numId w:val="46"/>
        </w:numPr>
        <w:spacing w:before="0" w:after="0" w:line="360" w:lineRule="auto"/>
        <w:ind w:left="616" w:hanging="616"/>
        <w:jc w:val="left"/>
        <w:rPr>
          <w:rFonts w:cs="Times New Roman" w:asciiTheme="majorEastAsia" w:hAnsiTheme="majorEastAsia"/>
          <w:bCs w:val="0"/>
          <w:sz w:val="30"/>
          <w:szCs w:val="30"/>
          <w:lang w:val="zh-CN"/>
        </w:rPr>
      </w:pPr>
      <w:bookmarkStart w:id="51" w:name="_Toc278891606"/>
      <w:bookmarkStart w:id="52" w:name="_Toc272247709"/>
      <w:bookmarkStart w:id="53" w:name="_Toc494561962"/>
      <w:bookmarkStart w:id="54" w:name="_Toc495861543"/>
      <w:r>
        <w:rPr>
          <w:rFonts w:hint="eastAsia" w:cs="Times New Roman" w:asciiTheme="majorEastAsia" w:hAnsiTheme="majorEastAsia"/>
          <w:bCs w:val="0"/>
          <w:sz w:val="30"/>
          <w:szCs w:val="30"/>
          <w:lang w:val="zh-CN"/>
        </w:rPr>
        <w:t>评标程序</w:t>
      </w:r>
      <w:bookmarkEnd w:id="51"/>
      <w:bookmarkEnd w:id="52"/>
      <w:r>
        <w:rPr>
          <w:rFonts w:hint="eastAsia" w:cs="Times New Roman" w:asciiTheme="majorEastAsia" w:hAnsiTheme="majorEastAsia"/>
          <w:bCs w:val="0"/>
          <w:sz w:val="30"/>
          <w:szCs w:val="30"/>
          <w:lang w:val="zh-CN"/>
        </w:rPr>
        <w:t>及标准</w:t>
      </w:r>
      <w:bookmarkEnd w:id="53"/>
      <w:bookmarkEnd w:id="54"/>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47"/>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4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4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4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4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4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4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4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4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4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48"/>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4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4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numPr>
          <w:ilvl w:val="0"/>
          <w:numId w:val="4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4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4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4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47"/>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49"/>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49"/>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49"/>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50"/>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50"/>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50"/>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50"/>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50"/>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50"/>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49"/>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47"/>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51"/>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51"/>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51"/>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2"/>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52"/>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53"/>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3"/>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3"/>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53"/>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53"/>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51"/>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54"/>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54"/>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51"/>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55"/>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采购代理机构对各评委的总分进行复核。各项统计结果均精确到小数点后两位。</w:t>
      </w:r>
    </w:p>
    <w:p>
      <w:pPr>
        <w:numPr>
          <w:ilvl w:val="0"/>
          <w:numId w:val="55"/>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47"/>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5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5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lang w:val="zh-CN"/>
        </w:rPr>
      </w:pPr>
    </w:p>
    <w:p>
      <w:pPr>
        <w:pStyle w:val="4"/>
        <w:numPr>
          <w:ilvl w:val="0"/>
          <w:numId w:val="46"/>
        </w:numPr>
        <w:spacing w:before="0" w:after="0" w:line="360" w:lineRule="auto"/>
        <w:ind w:left="616" w:hanging="616"/>
        <w:jc w:val="left"/>
        <w:rPr>
          <w:rFonts w:cs="Times New Roman" w:asciiTheme="majorEastAsia" w:hAnsiTheme="majorEastAsia"/>
          <w:bCs w:val="0"/>
          <w:sz w:val="30"/>
          <w:szCs w:val="30"/>
          <w:lang w:val="zh-CN"/>
        </w:rPr>
      </w:pPr>
      <w:bookmarkStart w:id="55" w:name="_Toc494561963"/>
      <w:bookmarkStart w:id="56" w:name="_Toc495861544"/>
      <w:r>
        <w:rPr>
          <w:rFonts w:hint="eastAsia" w:cs="Times New Roman" w:asciiTheme="majorEastAsia" w:hAnsiTheme="majorEastAsia"/>
          <w:bCs w:val="0"/>
          <w:sz w:val="30"/>
          <w:szCs w:val="30"/>
          <w:lang w:val="zh-CN"/>
        </w:rPr>
        <w:t>评审因素及评分标准</w:t>
      </w:r>
      <w:bookmarkEnd w:id="55"/>
      <w:bookmarkEnd w:id="56"/>
    </w:p>
    <w:tbl>
      <w:tblPr>
        <w:tblStyle w:val="18"/>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13"/>
        <w:gridCol w:w="6777"/>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1" w:type="dxa"/>
            <w:tcBorders>
              <w:top w:val="single" w:color="auto" w:sz="4" w:space="0"/>
              <w:left w:val="single" w:color="auto" w:sz="4" w:space="0"/>
              <w:bottom w:val="single" w:color="auto" w:sz="4" w:space="0"/>
              <w:right w:val="single" w:color="auto" w:sz="4" w:space="0"/>
              <w:tl2br w:val="single" w:color="auto" w:sz="4" w:space="0"/>
            </w:tcBorders>
            <w:noWrap/>
            <w:vAlign w:val="center"/>
          </w:tcPr>
          <w:p>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w:t>
            </w:r>
          </w:p>
        </w:tc>
        <w:tc>
          <w:tcPr>
            <w:tcW w:w="819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分值细则</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76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 评议</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8190" w:type="dxa"/>
            <w:gridSpan w:val="2"/>
            <w:tcBorders>
              <w:top w:val="single" w:color="auto" w:sz="4" w:space="0"/>
              <w:left w:val="single" w:color="auto" w:sz="4" w:space="0"/>
              <w:bottom w:val="single" w:color="auto" w:sz="4" w:space="0"/>
              <w:right w:val="single" w:color="auto" w:sz="4" w:space="0"/>
            </w:tcBorders>
            <w:noWrap/>
            <w:vAlign w:val="center"/>
          </w:tcPr>
          <w:p>
            <w:pPr>
              <w:pStyle w:val="40"/>
              <w:ind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投标报价)×价格分。计算时保留两位小数。为保证产品质量，投标报价低于采购预算80%时，评标委员会将对其进行成本分析，评标委员会认为报价低于成本价时将否决其投标。</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761" w:type="dxa"/>
            <w:tcBorders>
              <w:top w:val="single" w:color="auto" w:sz="4" w:space="0"/>
              <w:left w:val="single" w:color="auto" w:sz="4" w:space="0"/>
              <w:right w:val="single" w:color="auto" w:sz="4" w:space="0"/>
            </w:tcBorders>
            <w:noWrap/>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议</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c>
          <w:tcPr>
            <w:tcW w:w="1413"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设备技术参数响应</w:t>
            </w:r>
          </w:p>
        </w:tc>
        <w:tc>
          <w:tcPr>
            <w:tcW w:w="6777" w:type="dxa"/>
            <w:tcBorders>
              <w:top w:val="single" w:color="auto" w:sz="4" w:space="0"/>
              <w:left w:val="single" w:color="auto" w:sz="4" w:space="0"/>
              <w:bottom w:val="single" w:color="auto" w:sz="4" w:space="0"/>
              <w:right w:val="single" w:color="auto" w:sz="4" w:space="0"/>
            </w:tcBorders>
            <w:noWrap/>
            <w:vAlign w:val="center"/>
          </w:tcPr>
          <w:p>
            <w:pP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kern w:val="0"/>
                <w:sz w:val="24"/>
                <w:szCs w:val="24"/>
                <w:highlight w:val="none"/>
              </w:rPr>
              <w:t>完全满足用户的要求，或有优于用户的技术参数（投标人需提供所投产品的彩页样本或检验报告，如投标人技术响应内容与产品彩页样本或检验报告不一致的本项得0分），且能详细描述，综合评价最优的得</w:t>
            </w:r>
            <w:r>
              <w:rPr>
                <w:rFonts w:hint="eastAsia" w:asciiTheme="minorEastAsia" w:hAnsiTheme="minorEastAsia" w:eastAsiaTheme="minorEastAsia" w:cstheme="minorEastAsia"/>
                <w:kern w:val="0"/>
                <w:sz w:val="24"/>
                <w:szCs w:val="24"/>
                <w:highlight w:val="none"/>
                <w:lang w:val="en-US" w:eastAsia="zh-CN"/>
              </w:rPr>
              <w:t>50</w:t>
            </w:r>
            <w:r>
              <w:rPr>
                <w:rFonts w:hint="eastAsia" w:asciiTheme="minorEastAsia" w:hAnsiTheme="minorEastAsia" w:eastAsiaTheme="minorEastAsia" w:cstheme="minorEastAsia"/>
                <w:kern w:val="0"/>
                <w:sz w:val="24"/>
                <w:szCs w:val="24"/>
                <w:highlight w:val="none"/>
              </w:rPr>
              <w:t>分。</w:t>
            </w:r>
          </w:p>
          <w:p>
            <w:pPr>
              <w:numPr>
                <w:ilvl w:val="0"/>
                <w:numId w:val="0"/>
              </w:numPr>
              <w:jc w:val="left"/>
              <w:rPr>
                <w:rFonts w:hint="eastAsia" w:ascii="宋体" w:hAnsi="宋体" w:eastAsia="宋体" w:cs="宋体"/>
                <w:bCs/>
                <w:color w:val="auto"/>
                <w:sz w:val="24"/>
                <w:szCs w:val="24"/>
                <w:highlight w:val="none"/>
                <w:lang w:val="en-US" w:eastAsia="zh-CN"/>
              </w:rPr>
            </w:pPr>
            <w:r>
              <w:rPr>
                <w:rFonts w:hint="eastAsia" w:asciiTheme="minorEastAsia" w:hAnsiTheme="minorEastAsia" w:eastAsiaTheme="minorEastAsia" w:cstheme="minorEastAsia"/>
                <w:sz w:val="24"/>
                <w:szCs w:val="24"/>
                <w:highlight w:val="none"/>
              </w:rPr>
              <w:t>2.“</w:t>
            </w:r>
            <w:r>
              <w:rPr>
                <w:rFonts w:hint="eastAsia" w:ascii="宋体" w:hAnsi="宋体" w:eastAsia="宋体" w:cs="宋体"/>
                <w:b/>
                <w:color w:val="000000"/>
                <w:sz w:val="24"/>
                <w:szCs w:val="24"/>
                <w:highlight w:val="none"/>
              </w:rPr>
              <w:t>★</w:t>
            </w:r>
            <w:r>
              <w:rPr>
                <w:rFonts w:hint="eastAsia" w:asciiTheme="minorEastAsia" w:hAnsiTheme="minorEastAsia" w:eastAsiaTheme="minorEastAsia" w:cstheme="minorEastAsia"/>
                <w:sz w:val="24"/>
                <w:szCs w:val="24"/>
                <w:highlight w:val="none"/>
              </w:rPr>
              <w:t>”号标识的条款，为重要技术参数，每一项负偏离，扣5分；其他参数，每一项负偏离，扣2分，</w:t>
            </w:r>
            <w:r>
              <w:rPr>
                <w:rFonts w:hint="eastAsia" w:asciiTheme="minorEastAsia" w:hAnsiTheme="minorEastAsia" w:cstheme="minorEastAsia"/>
                <w:sz w:val="24"/>
                <w:szCs w:val="24"/>
                <w:highlight w:val="none"/>
                <w:lang w:eastAsia="zh-CN"/>
              </w:rPr>
              <w:t>累计</w:t>
            </w:r>
            <w:r>
              <w:rPr>
                <w:rFonts w:hint="eastAsia" w:asciiTheme="minorEastAsia" w:hAnsiTheme="minorEastAsia" w:eastAsiaTheme="minorEastAsia" w:cstheme="minorEastAsia"/>
                <w:sz w:val="24"/>
                <w:szCs w:val="24"/>
                <w:highlight w:val="none"/>
              </w:rPr>
              <w:t>扣完</w:t>
            </w:r>
            <w:r>
              <w:rPr>
                <w:rFonts w:hint="eastAsia" w:asciiTheme="minorEastAsia" w:hAnsiTheme="minorEastAsia" w:eastAsiaTheme="minorEastAsia" w:cstheme="minorEastAsia"/>
                <w:sz w:val="24"/>
                <w:szCs w:val="24"/>
                <w:highlight w:val="none"/>
                <w:lang w:val="en-US" w:eastAsia="zh-CN"/>
              </w:rPr>
              <w:t>50</w:t>
            </w:r>
            <w:r>
              <w:rPr>
                <w:rFonts w:hint="eastAsia" w:asciiTheme="minorEastAsia" w:hAnsiTheme="minorEastAsia" w:eastAsiaTheme="minorEastAsia" w:cstheme="minorEastAsia"/>
                <w:sz w:val="24"/>
                <w:szCs w:val="24"/>
                <w:highlight w:val="none"/>
              </w:rPr>
              <w:t>分为止。</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1" w:type="dxa"/>
            <w:vMerge w:val="restart"/>
            <w:tcBorders>
              <w:top w:val="single" w:color="auto" w:sz="4" w:space="0"/>
              <w:left w:val="single" w:color="auto" w:sz="4" w:space="0"/>
              <w:right w:val="single" w:color="auto" w:sz="4" w:space="0"/>
            </w:tcBorders>
            <w:noWrap/>
            <w:vAlign w:val="center"/>
          </w:tcPr>
          <w:p>
            <w:pPr>
              <w:widowControl/>
              <w:ind w:left="240" w:hanging="240" w:hanging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商</w:t>
            </w:r>
            <w:r>
              <w:rPr>
                <w:rFonts w:hint="eastAsia" w:ascii="宋体" w:hAnsi="宋体" w:eastAsia="宋体" w:cs="宋体"/>
                <w:color w:val="auto"/>
                <w:sz w:val="24"/>
                <w:szCs w:val="24"/>
                <w:highlight w:val="none"/>
                <w:lang w:eastAsia="zh-CN"/>
              </w:rPr>
              <w:t>务</w:t>
            </w:r>
          </w:p>
          <w:p>
            <w:pPr>
              <w:widowControl/>
              <w:ind w:left="240" w:hanging="240" w:hanging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投标文件编制规范</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cs="宋体"/>
                <w:kern w:val="0"/>
                <w:sz w:val="24"/>
                <w:szCs w:val="24"/>
              </w:rPr>
            </w:pPr>
            <w:r>
              <w:rPr>
                <w:rFonts w:hint="eastAsia" w:asciiTheme="minorEastAsia" w:hAnsiTheme="minorEastAsia" w:eastAsiaTheme="minorEastAsia" w:cstheme="minorEastAsia"/>
                <w:kern w:val="0"/>
                <w:sz w:val="24"/>
                <w:szCs w:val="24"/>
                <w:highlight w:val="none"/>
              </w:rPr>
              <w:t>投标文件全面响应招标文件要求，编制完整、非活页装订，且有详细目录、连续页码、目录与有关材料装订顺序对应清晰、查阅方便得</w:t>
            </w:r>
            <w:r>
              <w:rPr>
                <w:rFonts w:hint="eastAsia" w:asciiTheme="minorEastAsia" w:hAnsi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rPr>
              <w:t>分。编排杂乱无章、叙述答非所问、资料残缺不全、资料模糊不清、前后不一致等，每处扣</w:t>
            </w:r>
            <w:r>
              <w:rPr>
                <w:rFonts w:hint="eastAsia" w:asciiTheme="minorEastAsia" w:hAnsiTheme="minorEastAsia" w:eastAsia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分，扣完为止，活页装订不得分。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Cs/>
                <w:color w:val="auto"/>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rPr>
              <w:t>类似成功案例</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根据投标人</w:t>
            </w:r>
            <w:r>
              <w:rPr>
                <w:rFonts w:hint="eastAsia" w:asciiTheme="minorEastAsia" w:hAnsiTheme="minorEastAsia" w:cstheme="minorEastAsia"/>
                <w:color w:val="000000" w:themeColor="text1"/>
                <w:sz w:val="24"/>
                <w:szCs w:val="24"/>
                <w:highlight w:val="none"/>
                <w:lang w:val="en-US" w:eastAsia="zh-CN"/>
              </w:rPr>
              <w:t>提供</w:t>
            </w:r>
            <w:r>
              <w:rPr>
                <w:rFonts w:hint="eastAsia" w:asciiTheme="minorEastAsia" w:hAnsiTheme="minorEastAsia" w:eastAsiaTheme="minorEastAsia" w:cstheme="minorEastAsia"/>
                <w:color w:val="000000" w:themeColor="text1"/>
                <w:sz w:val="24"/>
                <w:szCs w:val="24"/>
                <w:highlight w:val="none"/>
              </w:rPr>
              <w:t>（201</w:t>
            </w:r>
            <w:r>
              <w:rPr>
                <w:rFonts w:hint="eastAsia" w:asciiTheme="minorEastAsia" w:hAnsiTheme="minorEastAsia" w:eastAsiaTheme="minorEastAsia" w:cstheme="minorEastAsia"/>
                <w:color w:val="000000" w:themeColor="text1"/>
                <w:sz w:val="24"/>
                <w:szCs w:val="24"/>
                <w:highlight w:val="none"/>
                <w:lang w:val="en-US" w:eastAsia="zh-CN"/>
              </w:rPr>
              <w:t>7</w:t>
            </w:r>
            <w:r>
              <w:rPr>
                <w:rFonts w:hint="eastAsia" w:asciiTheme="minorEastAsia" w:hAnsiTheme="minorEastAsia" w:eastAsiaTheme="minorEastAsia" w:cstheme="minorEastAsia"/>
                <w:color w:val="000000" w:themeColor="text1"/>
                <w:sz w:val="24"/>
                <w:szCs w:val="24"/>
                <w:highlight w:val="none"/>
              </w:rPr>
              <w:t>年</w:t>
            </w:r>
            <w:r>
              <w:rPr>
                <w:rFonts w:hint="eastAsia" w:asciiTheme="minorEastAsia" w:hAnsiTheme="minorEastAsia" w:cstheme="minorEastAsia"/>
                <w:color w:val="000000" w:themeColor="text1"/>
                <w:sz w:val="24"/>
                <w:szCs w:val="24"/>
                <w:highlight w:val="none"/>
                <w:lang w:val="en-US" w:eastAsia="zh-CN"/>
              </w:rPr>
              <w:t>8</w:t>
            </w:r>
            <w:r>
              <w:rPr>
                <w:rFonts w:hint="eastAsia" w:asciiTheme="minorEastAsia" w:hAnsiTheme="minorEastAsia" w:eastAsiaTheme="minorEastAsia" w:cstheme="minorEastAsia"/>
                <w:color w:val="000000" w:themeColor="text1"/>
                <w:sz w:val="24"/>
                <w:szCs w:val="24"/>
                <w:highlight w:val="none"/>
              </w:rPr>
              <w:t>月至今）的类似成功案例进行评分，每提供一份得</w:t>
            </w:r>
            <w:r>
              <w:rPr>
                <w:rFonts w:hint="eastAsia" w:asciiTheme="minorEastAsia" w:hAnsiTheme="minorEastAsia" w:cstheme="minorEastAsia"/>
                <w:color w:val="000000" w:themeColor="text1"/>
                <w:sz w:val="24"/>
                <w:szCs w:val="24"/>
                <w:highlight w:val="none"/>
                <w:lang w:val="en-US" w:eastAsia="zh-CN"/>
              </w:rPr>
              <w:t>0.5</w:t>
            </w:r>
            <w:r>
              <w:rPr>
                <w:rFonts w:hint="eastAsia" w:asciiTheme="minorEastAsia" w:hAnsiTheme="minorEastAsia" w:eastAsiaTheme="minorEastAsia" w:cstheme="minorEastAsia"/>
                <w:color w:val="000000" w:themeColor="text1"/>
                <w:sz w:val="24"/>
                <w:szCs w:val="24"/>
                <w:highlight w:val="none"/>
              </w:rPr>
              <w:t>分，最高得</w:t>
            </w:r>
            <w:r>
              <w:rPr>
                <w:rFonts w:hint="eastAsia" w:asciiTheme="minorEastAsia" w:hAnsi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分。（提供合同</w:t>
            </w:r>
            <w:r>
              <w:rPr>
                <w:rFonts w:hint="eastAsia" w:asciiTheme="minorEastAsia" w:hAnsiTheme="minorEastAsia" w:cstheme="minorEastAsia"/>
                <w:color w:val="000000" w:themeColor="text1"/>
                <w:sz w:val="24"/>
                <w:szCs w:val="24"/>
                <w:highlight w:val="none"/>
                <w:lang w:eastAsia="zh-CN"/>
              </w:rPr>
              <w:t>、</w:t>
            </w:r>
            <w:r>
              <w:rPr>
                <w:rFonts w:hint="eastAsia" w:asciiTheme="minorEastAsia" w:hAnsiTheme="minorEastAsia" w:eastAsiaTheme="minorEastAsia" w:cstheme="minorEastAsia"/>
                <w:color w:val="000000" w:themeColor="text1"/>
                <w:sz w:val="24"/>
                <w:szCs w:val="24"/>
                <w:highlight w:val="none"/>
              </w:rPr>
              <w:t>中标通知书复印件并加盖公章）</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Cs/>
                <w:color w:val="auto"/>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rPr>
              <w:t>售后服务服务方案</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投标人提供的售后服务方案安排合理，备品备件供应措施合理，售后服务网点分布广，针对性强得</w:t>
            </w:r>
            <w:r>
              <w:rPr>
                <w:rFonts w:hint="eastAsia" w:asciiTheme="minorEastAsia" w:hAnsiTheme="minorEastAsia" w:cstheme="minorEastAsia"/>
                <w:color w:val="000000" w:themeColor="text1"/>
                <w:sz w:val="24"/>
                <w:szCs w:val="24"/>
                <w:highlight w:val="none"/>
                <w:lang w:val="en-US" w:eastAsia="zh-CN"/>
              </w:rPr>
              <w:t>4</w:t>
            </w:r>
            <w:r>
              <w:rPr>
                <w:rFonts w:hint="eastAsia" w:asciiTheme="minorEastAsia" w:hAnsiTheme="minorEastAsia" w:eastAsiaTheme="minorEastAsia" w:cstheme="minorEastAsia"/>
                <w:color w:val="000000" w:themeColor="text1"/>
                <w:sz w:val="24"/>
                <w:szCs w:val="24"/>
                <w:highlight w:val="none"/>
              </w:rPr>
              <w:t>-</w:t>
            </w:r>
            <w:r>
              <w:rPr>
                <w:rFonts w:hint="eastAsia" w:asciiTheme="minorEastAsia" w:hAnsiTheme="minorEastAsia" w:cstheme="minorEastAsia"/>
                <w:color w:val="000000" w:themeColor="text1"/>
                <w:sz w:val="24"/>
                <w:szCs w:val="24"/>
                <w:highlight w:val="none"/>
                <w:lang w:val="en-US" w:eastAsia="zh-CN"/>
              </w:rPr>
              <w:t>5</w:t>
            </w:r>
            <w:r>
              <w:rPr>
                <w:rFonts w:hint="eastAsia" w:asciiTheme="minorEastAsia" w:hAnsiTheme="minorEastAsia" w:eastAsiaTheme="minorEastAsia" w:cstheme="minorEastAsia"/>
                <w:color w:val="000000" w:themeColor="text1"/>
                <w:sz w:val="24"/>
                <w:szCs w:val="24"/>
                <w:highlight w:val="none"/>
              </w:rPr>
              <w:t>分；方案基本合理，有一定针对性，有售后服务网点得</w:t>
            </w:r>
            <w:r>
              <w:rPr>
                <w:rFonts w:hint="eastAsia" w:asciiTheme="minorEastAsia" w:hAnsi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w:t>
            </w:r>
            <w:r>
              <w:rPr>
                <w:rFonts w:hint="eastAsia" w:asciiTheme="minorEastAsia" w:hAnsiTheme="minorEastAsia" w:cstheme="minorEastAsia"/>
                <w:color w:val="000000" w:themeColor="text1"/>
                <w:sz w:val="24"/>
                <w:szCs w:val="24"/>
                <w:highlight w:val="none"/>
                <w:lang w:val="en-US" w:eastAsia="zh-CN"/>
              </w:rPr>
              <w:t>3</w:t>
            </w:r>
            <w:r>
              <w:rPr>
                <w:rFonts w:hint="eastAsia" w:asciiTheme="minorEastAsia" w:hAnsiTheme="minorEastAsia" w:eastAsiaTheme="minorEastAsia" w:cstheme="minorEastAsia"/>
                <w:color w:val="000000" w:themeColor="text1"/>
                <w:sz w:val="24"/>
                <w:szCs w:val="24"/>
                <w:highlight w:val="none"/>
              </w:rPr>
              <w:t>分；方案简单，售后服务网点较少得</w:t>
            </w:r>
            <w:r>
              <w:rPr>
                <w:rFonts w:hint="eastAsia" w:asciiTheme="minorEastAsia" w:hAnsiTheme="minorEastAsia" w:cstheme="minorEastAsia"/>
                <w:color w:val="000000" w:themeColor="text1"/>
                <w:sz w:val="24"/>
                <w:szCs w:val="24"/>
                <w:highlight w:val="none"/>
                <w:lang w:val="en-US" w:eastAsia="zh-CN"/>
              </w:rPr>
              <w:t>0</w:t>
            </w:r>
            <w:r>
              <w:rPr>
                <w:rFonts w:hint="eastAsia" w:asciiTheme="minorEastAsia" w:hAnsiTheme="minorEastAsia" w:eastAsiaTheme="minorEastAsia" w:cstheme="minorEastAsia"/>
                <w:color w:val="000000" w:themeColor="text1"/>
                <w:sz w:val="24"/>
                <w:szCs w:val="24"/>
                <w:highlight w:val="none"/>
              </w:rPr>
              <w:t>-</w:t>
            </w:r>
            <w:r>
              <w:rPr>
                <w:rFonts w:hint="eastAsia" w:asciiTheme="minorEastAsia" w:hAnsiTheme="minorEastAsia" w:cstheme="minorEastAsia"/>
                <w:color w:val="000000" w:themeColor="text1"/>
                <w:sz w:val="24"/>
                <w:szCs w:val="24"/>
                <w:highlight w:val="none"/>
                <w:lang w:val="en-US" w:eastAsia="zh-CN"/>
              </w:rPr>
              <w:t>1</w:t>
            </w:r>
            <w:r>
              <w:rPr>
                <w:rFonts w:hint="eastAsia" w:asciiTheme="minorEastAsia" w:hAnsiTheme="minorEastAsia" w:eastAsiaTheme="minorEastAsia" w:cstheme="minorEastAsia"/>
                <w:color w:val="000000" w:themeColor="text1"/>
                <w:sz w:val="24"/>
                <w:szCs w:val="24"/>
                <w:highlight w:val="none"/>
              </w:rPr>
              <w:t>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right w:val="single" w:color="auto" w:sz="4" w:space="0"/>
            </w:tcBorders>
            <w:noWrap/>
            <w:vAlign w:val="center"/>
          </w:tcPr>
          <w:p>
            <w:pPr>
              <w:widowControl/>
              <w:jc w:val="left"/>
              <w:rPr>
                <w:rFonts w:hint="eastAsia" w:ascii="宋体" w:hAnsi="宋体" w:eastAsia="宋体" w:cs="宋体"/>
                <w:bCs/>
                <w:color w:val="auto"/>
                <w:sz w:val="24"/>
                <w:szCs w:val="24"/>
                <w:highlight w:val="none"/>
                <w:lang w:eastAsia="zh-CN"/>
              </w:rPr>
            </w:pPr>
            <w:r>
              <w:rPr>
                <w:rFonts w:hint="eastAsia" w:asciiTheme="minorEastAsia" w:hAnsiTheme="minorEastAsia" w:eastAsiaTheme="minorEastAsia" w:cstheme="minorEastAsia"/>
                <w:color w:val="000000" w:themeColor="text1"/>
                <w:sz w:val="24"/>
                <w:szCs w:val="24"/>
                <w:highlight w:val="none"/>
              </w:rPr>
              <w:t>培训方案</w:t>
            </w:r>
          </w:p>
        </w:tc>
        <w:tc>
          <w:tcPr>
            <w:tcW w:w="6777" w:type="dxa"/>
            <w:tcBorders>
              <w:top w:val="single" w:color="auto" w:sz="4" w:space="0"/>
              <w:left w:val="single" w:color="auto" w:sz="4" w:space="0"/>
              <w:right w:val="single" w:color="auto" w:sz="4" w:space="0"/>
            </w:tcBorders>
            <w:noWrap/>
            <w:vAlign w:val="center"/>
          </w:tcPr>
          <w:p>
            <w:pPr>
              <w:keepNext w:val="0"/>
              <w:keepLines w:val="0"/>
              <w:widowControl/>
              <w:suppressLineNumbers w:val="0"/>
              <w:jc w:val="left"/>
              <w:rPr>
                <w:rFonts w:hint="eastAsia" w:ascii="宋体" w:hAnsi="宋体" w:cs="宋体" w:eastAsiaTheme="minorEastAsia"/>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投标人提供的培训方案</w:t>
            </w:r>
            <w:r>
              <w:rPr>
                <w:rFonts w:hint="eastAsia" w:asciiTheme="minorEastAsia" w:hAnsiTheme="minorEastAsia" w:cstheme="minorEastAsia"/>
                <w:color w:val="000000" w:themeColor="text1"/>
                <w:sz w:val="24"/>
                <w:szCs w:val="24"/>
                <w:highlight w:val="none"/>
                <w:lang w:eastAsia="zh-CN"/>
              </w:rPr>
              <w:t>（</w:t>
            </w:r>
            <w:r>
              <w:rPr>
                <w:rFonts w:hint="eastAsia" w:asciiTheme="minorEastAsia" w:hAnsiTheme="minorEastAsia" w:cstheme="minorEastAsia"/>
                <w:color w:val="000000" w:themeColor="text1"/>
                <w:sz w:val="24"/>
                <w:szCs w:val="24"/>
                <w:highlight w:val="none"/>
                <w:lang w:val="en-US" w:eastAsia="zh-CN"/>
              </w:rPr>
              <w:t>包括</w:t>
            </w:r>
            <w:r>
              <w:rPr>
                <w:rFonts w:hint="eastAsia" w:asciiTheme="minorEastAsia" w:hAnsiTheme="minorEastAsia" w:eastAsiaTheme="minorEastAsia" w:cstheme="minorEastAsia"/>
                <w:color w:val="000000" w:themeColor="text1"/>
                <w:sz w:val="24"/>
                <w:szCs w:val="24"/>
                <w:highlight w:val="none"/>
              </w:rPr>
              <w:t>专业技术情况</w:t>
            </w:r>
            <w:r>
              <w:rPr>
                <w:rFonts w:hint="eastAsia" w:asciiTheme="minorEastAsia" w:hAnsiTheme="minorEastAsia" w:cstheme="minorEastAsia"/>
                <w:color w:val="000000" w:themeColor="text1"/>
                <w:sz w:val="24"/>
                <w:szCs w:val="24"/>
                <w:highlight w:val="none"/>
                <w:lang w:eastAsia="zh-CN"/>
              </w:rPr>
              <w:t>、</w:t>
            </w:r>
            <w:r>
              <w:rPr>
                <w:rFonts w:hint="eastAsia" w:asciiTheme="minorEastAsia" w:hAnsiTheme="minorEastAsia" w:eastAsiaTheme="minorEastAsia" w:cstheme="minorEastAsia"/>
                <w:color w:val="000000" w:themeColor="text1"/>
                <w:sz w:val="24"/>
                <w:szCs w:val="24"/>
                <w:highlight w:val="none"/>
              </w:rPr>
              <w:t>培训计划等方面</w:t>
            </w:r>
            <w:r>
              <w:rPr>
                <w:rFonts w:hint="eastAsia" w:asciiTheme="minorEastAsia" w:hAnsiTheme="minorEastAsia" w:cstheme="minorEastAsia"/>
                <w:color w:val="000000" w:themeColor="text1"/>
                <w:sz w:val="24"/>
                <w:szCs w:val="24"/>
                <w:highlight w:val="none"/>
                <w:lang w:eastAsia="zh-CN"/>
              </w:rPr>
              <w:t>）</w:t>
            </w:r>
            <w:r>
              <w:rPr>
                <w:rFonts w:hint="eastAsia" w:asciiTheme="minorEastAsia" w:hAnsiTheme="minorEastAsia" w:eastAsiaTheme="minorEastAsia" w:cstheme="minorEastAsia"/>
                <w:color w:val="000000" w:themeColor="text1"/>
                <w:sz w:val="24"/>
                <w:szCs w:val="24"/>
                <w:highlight w:val="none"/>
              </w:rPr>
              <w:t>内容完整、合理、针对性强得</w:t>
            </w:r>
            <w:r>
              <w:rPr>
                <w:rFonts w:hint="eastAsia" w:asciiTheme="minorEastAsia" w:hAnsiTheme="minorEastAsia" w:cstheme="minorEastAsia"/>
                <w:color w:val="000000" w:themeColor="text1"/>
                <w:sz w:val="24"/>
                <w:szCs w:val="24"/>
                <w:highlight w:val="none"/>
                <w:lang w:val="en-US" w:eastAsia="zh-CN"/>
              </w:rPr>
              <w:t>4-5</w:t>
            </w:r>
            <w:r>
              <w:rPr>
                <w:rFonts w:hint="eastAsia" w:asciiTheme="minorEastAsia" w:hAnsiTheme="minorEastAsia" w:eastAsiaTheme="minorEastAsia" w:cstheme="minorEastAsia"/>
                <w:color w:val="000000" w:themeColor="text1"/>
                <w:sz w:val="24"/>
                <w:szCs w:val="24"/>
                <w:highlight w:val="none"/>
              </w:rPr>
              <w:t>分；方案内容完整、计划可行符合项目需求得</w:t>
            </w:r>
            <w:r>
              <w:rPr>
                <w:rFonts w:hint="eastAsia" w:asciiTheme="minorEastAsia" w:hAnsiTheme="minorEastAsia" w:cstheme="minorEastAsia"/>
                <w:color w:val="000000" w:themeColor="text1"/>
                <w:sz w:val="24"/>
                <w:szCs w:val="24"/>
                <w:highlight w:val="none"/>
                <w:lang w:val="en-US" w:eastAsia="zh-CN"/>
              </w:rPr>
              <w:t>2-3</w:t>
            </w:r>
            <w:r>
              <w:rPr>
                <w:rFonts w:hint="eastAsia" w:asciiTheme="minorEastAsia" w:hAnsiTheme="minorEastAsia" w:eastAsiaTheme="minorEastAsia" w:cstheme="minorEastAsia"/>
                <w:color w:val="000000" w:themeColor="text1"/>
                <w:sz w:val="24"/>
                <w:szCs w:val="24"/>
                <w:highlight w:val="none"/>
              </w:rPr>
              <w:t>分；方案内容完整基本符合项目需求得</w:t>
            </w:r>
            <w:r>
              <w:rPr>
                <w:rFonts w:hint="eastAsia" w:asciiTheme="minorEastAsia" w:hAnsiTheme="minorEastAsia" w:cstheme="minorEastAsia"/>
                <w:color w:val="000000" w:themeColor="text1"/>
                <w:sz w:val="24"/>
                <w:szCs w:val="24"/>
                <w:highlight w:val="none"/>
                <w:lang w:val="en-US" w:eastAsia="zh-CN"/>
              </w:rPr>
              <w:t>0-1</w:t>
            </w:r>
            <w:r>
              <w:rPr>
                <w:rFonts w:hint="eastAsia" w:asciiTheme="minorEastAsia" w:hAnsiTheme="minorEastAsia" w:eastAsiaTheme="minorEastAsia" w:cstheme="minorEastAsia"/>
                <w:color w:val="000000" w:themeColor="text1"/>
                <w:sz w:val="24"/>
                <w:szCs w:val="24"/>
                <w:highlight w:val="none"/>
              </w:rPr>
              <w:t>分</w:t>
            </w:r>
            <w:r>
              <w:rPr>
                <w:rFonts w:hint="eastAsia" w:asciiTheme="minorEastAsia" w:hAnsiTheme="minorEastAsia" w:cstheme="minorEastAsia"/>
                <w:color w:val="000000" w:themeColor="text1"/>
                <w:sz w:val="24"/>
                <w:szCs w:val="24"/>
                <w:highlight w:val="none"/>
                <w:lang w:eastAsia="zh-CN"/>
              </w:rPr>
              <w:t>。</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right w:val="single" w:color="auto" w:sz="4" w:space="0"/>
            </w:tcBorders>
            <w:noWrap/>
            <w:vAlign w:val="center"/>
          </w:tcPr>
          <w:p>
            <w:pPr>
              <w:widowControl/>
              <w:jc w:val="left"/>
              <w:rPr>
                <w:rFonts w:hint="eastAsia" w:ascii="宋体" w:hAnsi="宋体" w:eastAsia="宋体" w:cs="宋体"/>
                <w:bCs/>
                <w:color w:val="auto"/>
                <w:kern w:val="0"/>
                <w:sz w:val="24"/>
                <w:szCs w:val="24"/>
                <w:highlight w:val="none"/>
                <w:lang w:eastAsia="zh-CN"/>
              </w:rPr>
            </w:pPr>
            <w:r>
              <w:rPr>
                <w:rFonts w:hint="eastAsia" w:asciiTheme="minorEastAsia" w:hAnsiTheme="minorEastAsia" w:eastAsiaTheme="minorEastAsia" w:cstheme="minorEastAsia"/>
                <w:color w:val="000000" w:themeColor="text1"/>
                <w:spacing w:val="-6"/>
                <w:sz w:val="24"/>
                <w:szCs w:val="24"/>
                <w:highlight w:val="none"/>
              </w:rPr>
              <w:t>交货期保障计划措施</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为确保交货期而采取的保障措施,计划最完善得</w:t>
            </w:r>
            <w:r>
              <w:rPr>
                <w:rFonts w:hint="eastAsia" w:asciiTheme="minorEastAsia" w:hAnsiTheme="minorEastAsia" w:eastAsiaTheme="minorEastAsia" w:cstheme="minorEastAsia"/>
                <w:color w:val="000000" w:themeColor="text1"/>
                <w:sz w:val="24"/>
                <w:szCs w:val="24"/>
                <w:highlight w:val="none"/>
                <w:lang w:val="en-US" w:eastAsia="zh-CN"/>
              </w:rPr>
              <w:t>3</w:t>
            </w:r>
            <w:r>
              <w:rPr>
                <w:rFonts w:hint="eastAsia" w:asciiTheme="minorEastAsia" w:hAnsiTheme="minorEastAsia" w:eastAsiaTheme="minorEastAsia" w:cstheme="minorEastAsia"/>
                <w:color w:val="000000" w:themeColor="text1"/>
                <w:sz w:val="24"/>
                <w:szCs w:val="24"/>
                <w:highlight w:val="none"/>
              </w:rPr>
              <w:t>分，计划较详细的得</w:t>
            </w:r>
            <w:r>
              <w:rPr>
                <w:rFonts w:hint="eastAsia" w:asciiTheme="minorEastAsia" w:hAnsiTheme="minorEastAsia" w:eastAsia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分，计划较简单的</w:t>
            </w:r>
            <w:r>
              <w:rPr>
                <w:rFonts w:hint="eastAsia" w:asciiTheme="minorEastAsia" w:hAnsiTheme="minorEastAsia" w:eastAsiaTheme="minorEastAsia" w:cstheme="minorEastAsia"/>
                <w:color w:val="000000" w:themeColor="text1"/>
                <w:sz w:val="24"/>
                <w:szCs w:val="24"/>
                <w:highlight w:val="none"/>
                <w:lang w:val="en-US" w:eastAsia="zh-CN"/>
              </w:rPr>
              <w:t>1</w:t>
            </w:r>
            <w:r>
              <w:rPr>
                <w:rFonts w:hint="eastAsia" w:asciiTheme="minorEastAsia" w:hAnsiTheme="minorEastAsia" w:eastAsiaTheme="minorEastAsia" w:cstheme="minorEastAsia"/>
                <w:color w:val="000000" w:themeColor="text1"/>
                <w:sz w:val="24"/>
                <w:szCs w:val="24"/>
                <w:highlight w:val="none"/>
              </w:rPr>
              <w:t>分，未提供则不得分。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left w:val="single" w:color="auto" w:sz="4" w:space="0"/>
              <w:right w:val="single" w:color="auto" w:sz="4" w:space="0"/>
            </w:tcBorders>
            <w:noWrap/>
            <w:vAlign w:val="center"/>
          </w:tcPr>
          <w:p>
            <w:pPr>
              <w:widowControl/>
              <w:jc w:val="left"/>
              <w:rPr>
                <w:rFonts w:hint="eastAsia" w:ascii="宋体" w:hAnsi="宋体" w:eastAsia="宋体" w:cs="宋体"/>
                <w:bCs/>
                <w:color w:val="auto"/>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实施</w:t>
            </w:r>
            <w:r>
              <w:rPr>
                <w:rFonts w:hint="eastAsia" w:asciiTheme="minorEastAsia" w:hAnsiTheme="minorEastAsia" w:eastAsiaTheme="minorEastAsia" w:cstheme="minorEastAsia"/>
                <w:kern w:val="0"/>
                <w:sz w:val="24"/>
                <w:szCs w:val="24"/>
                <w:highlight w:val="none"/>
              </w:rPr>
              <w:t>方案</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投标人提供的实施方案（包括安装、调试计划、验收方案）非常完整且合理、可操作性</w:t>
            </w:r>
            <w:r>
              <w:rPr>
                <w:rFonts w:hint="eastAsia" w:asciiTheme="minorEastAsia" w:hAnsiTheme="minorEastAsia" w:cstheme="minorEastAsia"/>
                <w:color w:val="000000" w:themeColor="text1"/>
                <w:sz w:val="24"/>
                <w:szCs w:val="24"/>
                <w:highlight w:val="none"/>
                <w:lang w:val="en-US" w:eastAsia="zh-CN"/>
              </w:rPr>
              <w:t>强</w:t>
            </w:r>
            <w:r>
              <w:rPr>
                <w:rFonts w:hint="eastAsia" w:asciiTheme="minorEastAsia" w:hAnsiTheme="minorEastAsia" w:eastAsiaTheme="minorEastAsia" w:cstheme="minorEastAsia"/>
                <w:color w:val="000000" w:themeColor="text1"/>
                <w:sz w:val="24"/>
                <w:szCs w:val="24"/>
                <w:highlight w:val="none"/>
              </w:rPr>
              <w:t>得</w:t>
            </w:r>
            <w:r>
              <w:rPr>
                <w:rFonts w:hint="eastAsia" w:asciiTheme="minorEastAsia" w:hAnsiTheme="minorEastAsia" w:cstheme="minorEastAsia"/>
                <w:color w:val="000000" w:themeColor="text1"/>
                <w:sz w:val="24"/>
                <w:szCs w:val="24"/>
                <w:highlight w:val="none"/>
                <w:lang w:val="en-US" w:eastAsia="zh-CN"/>
              </w:rPr>
              <w:t>3</w:t>
            </w:r>
            <w:r>
              <w:rPr>
                <w:rFonts w:hint="eastAsia" w:asciiTheme="minorEastAsia" w:hAnsiTheme="minorEastAsia" w:eastAsiaTheme="minorEastAsia" w:cstheme="minorEastAsia"/>
                <w:color w:val="000000" w:themeColor="text1"/>
                <w:sz w:val="24"/>
                <w:szCs w:val="24"/>
                <w:highlight w:val="none"/>
              </w:rPr>
              <w:t>分；</w:t>
            </w:r>
            <w:r>
              <w:rPr>
                <w:rFonts w:hint="eastAsia" w:asciiTheme="minorEastAsia" w:hAnsiTheme="minorEastAsia" w:cstheme="minorEastAsia"/>
                <w:color w:val="000000" w:themeColor="text1"/>
                <w:sz w:val="24"/>
                <w:szCs w:val="24"/>
                <w:highlight w:val="none"/>
                <w:lang w:val="en-US" w:eastAsia="zh-CN"/>
              </w:rPr>
              <w:t>方案</w:t>
            </w:r>
            <w:r>
              <w:rPr>
                <w:rFonts w:hint="eastAsia" w:asciiTheme="minorEastAsia" w:hAnsiTheme="minorEastAsia" w:eastAsiaTheme="minorEastAsia" w:cstheme="minorEastAsia"/>
                <w:color w:val="000000" w:themeColor="text1"/>
                <w:sz w:val="24"/>
                <w:szCs w:val="24"/>
                <w:highlight w:val="none"/>
              </w:rPr>
              <w:t>基本完整、有可操作性得</w:t>
            </w:r>
            <w:r>
              <w:rPr>
                <w:rFonts w:hint="eastAsia" w:asciiTheme="minorEastAsia" w:hAnsi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分；</w:t>
            </w:r>
            <w:r>
              <w:rPr>
                <w:rFonts w:hint="eastAsia" w:asciiTheme="minorEastAsia" w:hAnsiTheme="minorEastAsia" w:cstheme="minorEastAsia"/>
                <w:color w:val="000000" w:themeColor="text1"/>
                <w:sz w:val="24"/>
                <w:szCs w:val="24"/>
                <w:highlight w:val="none"/>
                <w:lang w:val="en-US" w:eastAsia="zh-CN"/>
              </w:rPr>
              <w:t>方案</w:t>
            </w:r>
            <w:r>
              <w:rPr>
                <w:rFonts w:hint="eastAsia" w:asciiTheme="minorEastAsia" w:hAnsiTheme="minorEastAsia" w:eastAsiaTheme="minorEastAsia" w:cstheme="minorEastAsia"/>
                <w:color w:val="000000" w:themeColor="text1"/>
                <w:sz w:val="24"/>
                <w:szCs w:val="24"/>
                <w:highlight w:val="none"/>
              </w:rPr>
              <w:t>简单欠妥、可操作性不高得</w:t>
            </w:r>
            <w:r>
              <w:rPr>
                <w:rFonts w:hint="eastAsia" w:asciiTheme="minorEastAsia" w:hAnsiTheme="minorEastAsia" w:cstheme="minorEastAsia"/>
                <w:color w:val="000000" w:themeColor="text1"/>
                <w:sz w:val="24"/>
                <w:szCs w:val="24"/>
                <w:highlight w:val="none"/>
                <w:lang w:val="en-US" w:eastAsia="zh-CN"/>
              </w:rPr>
              <w:t>1分，未提供则不得分。</w:t>
            </w:r>
            <w:r>
              <w:rPr>
                <w:rFonts w:hint="eastAsia" w:ascii="宋体" w:hAnsi="宋体" w:eastAsia="宋体" w:cs="宋体"/>
                <w:color w:val="auto"/>
                <w:kern w:val="0"/>
                <w:sz w:val="24"/>
                <w:szCs w:val="24"/>
                <w:highlight w:val="none"/>
                <w:lang w:val="en-US" w:eastAsia="zh-CN" w:bidi="ar"/>
              </w:rPr>
              <w:t xml:space="preserve"> </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bl>
    <w:p/>
    <w:p>
      <w:r>
        <w:br w:type="page"/>
      </w:r>
    </w:p>
    <w:p>
      <w:pPr>
        <w:pStyle w:val="3"/>
        <w:numPr>
          <w:ilvl w:val="0"/>
          <w:numId w:val="1"/>
        </w:numPr>
        <w:jc w:val="center"/>
        <w:rPr>
          <w:rFonts w:ascii="黑体" w:hAnsi="黑体" w:eastAsia="黑体"/>
        </w:rPr>
      </w:pPr>
      <w:bookmarkStart w:id="57" w:name="_Toc494745310"/>
      <w:bookmarkStart w:id="58" w:name="_Toc494665546"/>
      <w:bookmarkStart w:id="59" w:name="_Toc494702263"/>
      <w:bookmarkStart w:id="60" w:name="_Toc495861545"/>
      <w:bookmarkStart w:id="61" w:name="_Toc494721093"/>
      <w:bookmarkStart w:id="62" w:name="_Toc494665943"/>
      <w:bookmarkStart w:id="63" w:name="_Toc494664993"/>
      <w:r>
        <w:rPr>
          <w:rFonts w:hint="eastAsia" w:ascii="黑体" w:hAnsi="黑体" w:eastAsia="黑体"/>
        </w:rPr>
        <w:t>合同书格式（参考）</w:t>
      </w:r>
      <w:bookmarkEnd w:id="57"/>
      <w:bookmarkEnd w:id="58"/>
      <w:bookmarkEnd w:id="59"/>
      <w:bookmarkEnd w:id="60"/>
      <w:bookmarkEnd w:id="61"/>
      <w:bookmarkEnd w:id="62"/>
      <w:bookmarkEnd w:id="63"/>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5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5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5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5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58"/>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58"/>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58"/>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58"/>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58"/>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采购代理机构发出的中标通知书；</w:t>
      </w:r>
    </w:p>
    <w:p>
      <w:pPr>
        <w:numPr>
          <w:ilvl w:val="0"/>
          <w:numId w:val="58"/>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59"/>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59"/>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59"/>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59"/>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5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5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5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5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5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57"/>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57"/>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57"/>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3"/>
        <w:numPr>
          <w:ilvl w:val="0"/>
          <w:numId w:val="1"/>
        </w:numPr>
        <w:jc w:val="center"/>
        <w:rPr>
          <w:rFonts w:ascii="黑体" w:hAnsi="黑体" w:eastAsia="黑体"/>
        </w:rPr>
      </w:pPr>
      <w:bookmarkStart w:id="64" w:name="_Toc494665944"/>
      <w:bookmarkStart w:id="65" w:name="_Toc494702264"/>
      <w:bookmarkStart w:id="66" w:name="_Toc494721094"/>
      <w:bookmarkStart w:id="67" w:name="_Toc494664994"/>
      <w:bookmarkStart w:id="68" w:name="_Toc494745311"/>
      <w:bookmarkStart w:id="69" w:name="_Toc494665547"/>
      <w:bookmarkStart w:id="70" w:name="_Toc495861546"/>
      <w:r>
        <w:rPr>
          <w:rFonts w:hint="eastAsia" w:ascii="黑体" w:hAnsi="黑体" w:eastAsia="黑体"/>
        </w:rPr>
        <w:t>投标文件格式（参考）</w:t>
      </w:r>
      <w:bookmarkEnd w:id="64"/>
      <w:bookmarkEnd w:id="65"/>
      <w:bookmarkEnd w:id="66"/>
      <w:bookmarkEnd w:id="67"/>
      <w:bookmarkEnd w:id="68"/>
      <w:bookmarkEnd w:id="69"/>
      <w:bookmarkEnd w:id="70"/>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4"/>
        <w:spacing w:before="340" w:after="480" w:line="360" w:lineRule="auto"/>
        <w:jc w:val="center"/>
        <w:rPr>
          <w:rFonts w:cs="Times New Roman" w:asciiTheme="majorEastAsia" w:hAnsiTheme="majorEastAsia"/>
          <w:bCs w:val="0"/>
          <w:sz w:val="44"/>
          <w:szCs w:val="44"/>
          <w:lang w:val="zh-CN"/>
        </w:rPr>
      </w:pPr>
      <w:bookmarkStart w:id="71" w:name="_Toc494702265"/>
      <w:bookmarkStart w:id="72" w:name="_Toc494665945"/>
      <w:bookmarkStart w:id="73" w:name="_Toc495861547"/>
      <w:bookmarkStart w:id="74" w:name="_Toc494745312"/>
      <w:bookmarkStart w:id="75" w:name="_Toc494664995"/>
      <w:bookmarkStart w:id="76" w:name="_Toc494665548"/>
      <w:bookmarkStart w:id="77" w:name="_Toc494721095"/>
      <w:r>
        <w:rPr>
          <w:rFonts w:hint="eastAsia" w:cs="Times New Roman" w:asciiTheme="majorEastAsia" w:hAnsiTheme="majorEastAsia"/>
          <w:bCs w:val="0"/>
          <w:sz w:val="44"/>
          <w:szCs w:val="44"/>
          <w:lang w:val="zh-CN"/>
        </w:rPr>
        <w:t>第一部分 资格证明文件</w:t>
      </w:r>
      <w:bookmarkEnd w:id="71"/>
      <w:bookmarkEnd w:id="72"/>
      <w:bookmarkEnd w:id="73"/>
      <w:bookmarkEnd w:id="74"/>
      <w:bookmarkEnd w:id="75"/>
      <w:bookmarkEnd w:id="76"/>
      <w:bookmarkEnd w:id="77"/>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78" w:name="_Toc494665946"/>
      <w:bookmarkStart w:id="79" w:name="_Toc494664996"/>
      <w:bookmarkStart w:id="80" w:name="_Toc494665549"/>
      <w:bookmarkStart w:id="81" w:name="_Toc494702266"/>
      <w:bookmarkStart w:id="82" w:name="_Toc494745313"/>
      <w:bookmarkStart w:id="83" w:name="_Toc494721096"/>
      <w:r>
        <w:rPr>
          <w:rFonts w:hint="eastAsia" w:ascii="黑体" w:hAnsi="黑体" w:eastAsia="黑体" w:cs="Times New Roman"/>
          <w:b/>
          <w:sz w:val="36"/>
          <w:szCs w:val="36"/>
        </w:rPr>
        <w:t>资格证明文件组成</w:t>
      </w:r>
      <w:bookmarkEnd w:id="78"/>
      <w:bookmarkEnd w:id="79"/>
      <w:bookmarkEnd w:id="80"/>
      <w:bookmarkEnd w:id="81"/>
      <w:bookmarkEnd w:id="82"/>
      <w:bookmarkEnd w:id="83"/>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6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0"/>
        </w:numPr>
        <w:autoSpaceDE w:val="0"/>
        <w:autoSpaceDN w:val="0"/>
        <w:adjustRightInd w:val="0"/>
        <w:spacing w:line="360" w:lineRule="auto"/>
        <w:ind w:left="490" w:hanging="370"/>
        <w:rPr>
          <w:rFonts w:ascii="宋体" w:hAnsi="宋体" w:eastAsia="宋体" w:cs="Times New Roman"/>
          <w:b/>
          <w:color w:val="0C0C0C" w:themeColor="text1" w:themeTint="F2"/>
          <w:kern w:val="0"/>
          <w:sz w:val="24"/>
          <w:szCs w:val="32"/>
        </w:rPr>
      </w:pPr>
      <w:r>
        <w:rPr>
          <w:rFonts w:hint="eastAsia" w:ascii="宋体" w:hAnsi="宋体"/>
          <w:color w:val="0C0C0C" w:themeColor="text1" w:themeTint="F2"/>
          <w:kern w:val="0"/>
          <w:sz w:val="24"/>
          <w:szCs w:val="32"/>
        </w:rPr>
        <w:t>应具备《政府采购法》第二十二条第一款规定的条件，提供下列材料：</w:t>
      </w:r>
    </w:p>
    <w:p>
      <w:pPr>
        <w:pStyle w:val="28"/>
        <w:numPr>
          <w:ilvl w:val="0"/>
          <w:numId w:val="6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28"/>
        <w:numPr>
          <w:ilvl w:val="0"/>
          <w:numId w:val="6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color w:val="000000"/>
          <w:sz w:val="24"/>
          <w:szCs w:val="24"/>
          <w:lang w:val="zh-CN"/>
        </w:rPr>
        <w:t>财务状况报告，依法缴纳税收和社会保障资金的相关材料；</w:t>
      </w:r>
    </w:p>
    <w:p>
      <w:pPr>
        <w:pStyle w:val="28"/>
        <w:numPr>
          <w:ilvl w:val="0"/>
          <w:numId w:val="6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28"/>
        <w:numPr>
          <w:ilvl w:val="0"/>
          <w:numId w:val="6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28"/>
        <w:numPr>
          <w:ilvl w:val="0"/>
          <w:numId w:val="6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highlight w:val="none"/>
        </w:rPr>
      </w:pPr>
      <w:r>
        <w:rPr>
          <w:rFonts w:hint="eastAsia" w:ascii="宋体" w:hAnsi="宋体" w:eastAsia="宋体" w:cs="Courier New"/>
          <w:color w:val="0D0D0D"/>
          <w:sz w:val="24"/>
          <w:szCs w:val="24"/>
          <w:highlight w:val="none"/>
        </w:rPr>
        <w:t>未被“信用中国”网站(www.creditchina.gov.cn)列入失信被执行人、重大税收违法案件当事人名单</w:t>
      </w:r>
      <w:r>
        <w:rPr>
          <w:rFonts w:hint="eastAsia" w:ascii="宋体" w:hAnsi="宋体" w:eastAsia="宋体" w:cs="Times New Roman"/>
          <w:sz w:val="24"/>
          <w:szCs w:val="24"/>
          <w:highlight w:val="none"/>
        </w:rPr>
        <w:t>和“中国政府采购”网站（www.ccgp.gov.cn）政府采购严重违法失信行为记录名单的网页截图</w:t>
      </w:r>
      <w:r>
        <w:rPr>
          <w:rFonts w:hint="eastAsia" w:ascii="宋体" w:hAnsi="宋体" w:eastAsia="宋体" w:cs="Courier New"/>
          <w:color w:val="0D0D0D"/>
          <w:sz w:val="24"/>
          <w:szCs w:val="24"/>
          <w:highlight w:val="none"/>
        </w:rPr>
        <w:t>；</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60"/>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84" w:name="_Toc494745314"/>
      <w:bookmarkStart w:id="85" w:name="_Toc494721097"/>
      <w:bookmarkStart w:id="86" w:name="_Toc494702267"/>
      <w:bookmarkStart w:id="87" w:name="_Toc495861548"/>
      <w:bookmarkStart w:id="88" w:name="_Toc494665550"/>
      <w:bookmarkStart w:id="89" w:name="_Toc494665947"/>
      <w:bookmarkStart w:id="90" w:name="_Toc494664997"/>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第二部分 商务文件</w:t>
      </w:r>
      <w:bookmarkEnd w:id="84"/>
      <w:bookmarkEnd w:id="85"/>
      <w:bookmarkEnd w:id="86"/>
      <w:bookmarkEnd w:id="87"/>
      <w:bookmarkEnd w:id="88"/>
      <w:bookmarkEnd w:id="89"/>
      <w:bookmarkEnd w:id="90"/>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91" w:name="_Toc494665948"/>
      <w:bookmarkStart w:id="92" w:name="_Toc494745315"/>
      <w:bookmarkStart w:id="93" w:name="_Toc494665551"/>
      <w:bookmarkStart w:id="94" w:name="_Toc494664998"/>
      <w:bookmarkStart w:id="95" w:name="_Toc494721098"/>
      <w:bookmarkStart w:id="96" w:name="_Toc494702268"/>
      <w:r>
        <w:rPr>
          <w:rFonts w:hint="eastAsia" w:ascii="黑体" w:hAnsi="黑体" w:eastAsia="黑体" w:cs="Times New Roman"/>
          <w:b/>
          <w:sz w:val="36"/>
          <w:szCs w:val="36"/>
        </w:rPr>
        <w:t>商务文件组成</w:t>
      </w:r>
      <w:bookmarkEnd w:id="91"/>
      <w:bookmarkEnd w:id="92"/>
      <w:bookmarkEnd w:id="93"/>
      <w:bookmarkEnd w:id="94"/>
      <w:bookmarkEnd w:id="95"/>
      <w:bookmarkEnd w:id="96"/>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62"/>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制造商中小企业声明函（附件二）；</w:t>
      </w:r>
    </w:p>
    <w:p>
      <w:pPr>
        <w:numPr>
          <w:ilvl w:val="0"/>
          <w:numId w:val="62"/>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62"/>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62"/>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62"/>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62"/>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62"/>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交纳投标保证金的银行凭证（附件九，适用招标文件有交纳要求的应当提供）；</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法定代表人授权书（附件十）；</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关于不存在招标文件第二章“十一 其他注意事项”中规定禁止情形的书面声明；</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投标人的资格声明（附件十一）；</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项目负责人、技术负责人简历表（附件十二）；</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项目班子成员情况表（附件十三）；</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投标人类似项目业绩表（附件十四）；</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符合性审查对照表（附件十五）；</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商务要求响应、偏离说明表（附件十六）；</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商务要求“★”号条款响应、偏离说明表（附件十七）</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商务评议对照表（附件十八）。</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97" w:name="_Toc494702269"/>
      <w:bookmarkStart w:id="98" w:name="_Toc494721099"/>
      <w:bookmarkStart w:id="99" w:name="_Toc494664999"/>
      <w:bookmarkStart w:id="100" w:name="_Toc494665552"/>
      <w:bookmarkStart w:id="101" w:name="_Toc495861549"/>
      <w:bookmarkStart w:id="102" w:name="_Toc494745316"/>
      <w:bookmarkStart w:id="103" w:name="_Toc494665949"/>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第三部分 技术、服务文件</w:t>
      </w:r>
      <w:bookmarkEnd w:id="97"/>
      <w:bookmarkEnd w:id="98"/>
      <w:bookmarkEnd w:id="99"/>
      <w:bookmarkEnd w:id="100"/>
      <w:bookmarkEnd w:id="101"/>
      <w:bookmarkEnd w:id="102"/>
      <w:bookmarkEnd w:id="103"/>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4" w:name="_Toc494665000"/>
      <w:bookmarkStart w:id="105" w:name="_Toc494745317"/>
      <w:bookmarkStart w:id="106" w:name="_Toc494665553"/>
      <w:bookmarkStart w:id="107" w:name="_Toc494702270"/>
      <w:bookmarkStart w:id="108" w:name="_Toc494665950"/>
      <w:bookmarkStart w:id="109" w:name="_Toc494721100"/>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04"/>
      <w:bookmarkEnd w:id="105"/>
      <w:bookmarkEnd w:id="106"/>
      <w:bookmarkEnd w:id="107"/>
      <w:bookmarkEnd w:id="108"/>
      <w:bookmarkEnd w:id="109"/>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6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63"/>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6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技术、服务要求响应、偏离说明表（附件十九）；</w:t>
      </w:r>
    </w:p>
    <w:p>
      <w:pPr>
        <w:numPr>
          <w:ilvl w:val="0"/>
          <w:numId w:val="6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技术、服务要求“★”号条款响应、偏离说明表（附件二十）；</w:t>
      </w:r>
    </w:p>
    <w:p>
      <w:pPr>
        <w:numPr>
          <w:ilvl w:val="0"/>
          <w:numId w:val="6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技术、服务评议对照表（附件二十一）；</w:t>
      </w:r>
    </w:p>
    <w:p>
      <w:pPr>
        <w:numPr>
          <w:ilvl w:val="0"/>
          <w:numId w:val="6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4"/>
        <w:numPr>
          <w:ilvl w:val="0"/>
          <w:numId w:val="64"/>
        </w:numPr>
        <w:spacing w:before="100" w:beforeAutospacing="1" w:afterLines="50" w:line="360" w:lineRule="auto"/>
        <w:ind w:left="1288" w:hanging="1288"/>
        <w:rPr>
          <w:rFonts w:ascii="宋体" w:hAnsi="宋体" w:eastAsia="宋体"/>
        </w:rPr>
      </w:pPr>
      <w:bookmarkStart w:id="110" w:name="_Toc494702271"/>
      <w:bookmarkStart w:id="111" w:name="_Toc236473298"/>
      <w:bookmarkStart w:id="112" w:name="_Toc494665951"/>
      <w:bookmarkStart w:id="113" w:name="_Toc494721101"/>
      <w:bookmarkStart w:id="114" w:name="_Toc494665554"/>
      <w:bookmarkStart w:id="115" w:name="_Toc494745318"/>
      <w:bookmarkStart w:id="116" w:name="_Toc494665001"/>
      <w:bookmarkStart w:id="117" w:name="_Toc238276242"/>
      <w:bookmarkStart w:id="118" w:name="_Toc495861550"/>
      <w:r>
        <w:rPr>
          <w:rFonts w:hint="eastAsia" w:ascii="宋体" w:hAnsi="宋体" w:eastAsia="宋体"/>
        </w:rPr>
        <w:t>投标书</w:t>
      </w:r>
      <w:bookmarkEnd w:id="110"/>
      <w:bookmarkEnd w:id="111"/>
      <w:bookmarkEnd w:id="112"/>
      <w:bookmarkEnd w:id="113"/>
      <w:bookmarkEnd w:id="114"/>
      <w:bookmarkEnd w:id="115"/>
      <w:bookmarkEnd w:id="116"/>
      <w:bookmarkEnd w:id="117"/>
      <w:bookmarkEnd w:id="118"/>
    </w:p>
    <w:p>
      <w:pPr>
        <w:spacing w:line="360" w:lineRule="auto"/>
        <w:rPr>
          <w:b/>
          <w:sz w:val="28"/>
          <w:szCs w:val="28"/>
        </w:rPr>
      </w:pPr>
      <w:r>
        <w:rPr>
          <w:rFonts w:hint="eastAsia"/>
          <w:b/>
          <w:sz w:val="28"/>
          <w:szCs w:val="28"/>
        </w:rPr>
        <w:t>采购</w:t>
      </w:r>
      <w:r>
        <w:rPr>
          <w:rFonts w:hint="eastAsia"/>
          <w:b/>
          <w:color w:val="auto"/>
          <w:sz w:val="28"/>
          <w:szCs w:val="28"/>
        </w:rPr>
        <w:t>人（或采购代理公司）</w:t>
      </w:r>
      <w:r>
        <w:rPr>
          <w:rFonts w:hint="eastAsia"/>
          <w:b/>
          <w:sz w:val="28"/>
          <w:szCs w:val="28"/>
        </w:rPr>
        <w:t>：</w:t>
      </w:r>
    </w:p>
    <w:p>
      <w:pPr>
        <w:spacing w:line="360" w:lineRule="auto"/>
        <w:ind w:firstLine="480" w:firstLineChars="200"/>
        <w:rPr>
          <w:rFonts w:asciiTheme="minorEastAsia" w:hAnsiTheme="minorEastAsia"/>
          <w:color w:val="0C0C0C" w:themeColor="text1" w:themeTint="F2"/>
          <w:sz w:val="24"/>
          <w:szCs w:val="24"/>
        </w:rPr>
      </w:pPr>
      <w:r>
        <w:rPr>
          <w:rFonts w:hint="eastAsia" w:asciiTheme="minorEastAsia" w:hAnsiTheme="minorEastAsia"/>
          <w:color w:val="0C0C0C" w:themeColor="text1" w:themeTint="F2"/>
          <w:sz w:val="24"/>
          <w:szCs w:val="24"/>
        </w:rPr>
        <w:t>依据贵方___</w:t>
      </w:r>
      <w:r>
        <w:rPr>
          <w:rFonts w:hint="eastAsia" w:asciiTheme="minorEastAsia" w:hAnsiTheme="minorEastAsia"/>
          <w:color w:val="0C0C0C" w:themeColor="text1" w:themeTint="F2"/>
          <w:sz w:val="24"/>
          <w:szCs w:val="24"/>
          <w:u w:val="single"/>
        </w:rPr>
        <w:t xml:space="preserve">  _</w:t>
      </w:r>
      <w:r>
        <w:rPr>
          <w:rFonts w:hint="eastAsia" w:asciiTheme="minorEastAsia" w:hAnsiTheme="minorEastAsia"/>
          <w:color w:val="0C0C0C" w:themeColor="text1" w:themeTint="F2"/>
          <w:sz w:val="24"/>
          <w:szCs w:val="24"/>
        </w:rPr>
        <w:t>项目（项目编号：_____）招标的投标邀请，我方代表</w:t>
      </w:r>
      <w:r>
        <w:rPr>
          <w:rFonts w:hint="eastAsia" w:asciiTheme="minorEastAsia" w:hAnsiTheme="minorEastAsia"/>
          <w:color w:val="0C0C0C" w:themeColor="text1" w:themeTint="F2"/>
          <w:sz w:val="24"/>
          <w:szCs w:val="24"/>
          <w:u w:val="single"/>
        </w:rPr>
        <w:t>（姓名、职务）</w:t>
      </w:r>
      <w:r>
        <w:rPr>
          <w:rFonts w:hint="eastAsia" w:asciiTheme="minorEastAsia" w:hAnsiTheme="minorEastAsia"/>
          <w:color w:val="0C0C0C" w:themeColor="text1" w:themeTint="F2"/>
          <w:sz w:val="24"/>
          <w:szCs w:val="24"/>
        </w:rPr>
        <w:t>经正式授权并代表投标人</w:t>
      </w:r>
      <w:r>
        <w:rPr>
          <w:rFonts w:hint="eastAsia" w:asciiTheme="minorEastAsia" w:hAnsiTheme="minorEastAsia"/>
          <w:color w:val="0C0C0C" w:themeColor="text1" w:themeTint="F2"/>
          <w:sz w:val="24"/>
          <w:szCs w:val="24"/>
          <w:u w:val="single"/>
        </w:rPr>
        <w:t>（投标人全称 ）</w:t>
      </w:r>
      <w:r>
        <w:rPr>
          <w:rFonts w:hint="eastAsia" w:asciiTheme="minorEastAsia" w:hAnsiTheme="minorEastAsia"/>
          <w:color w:val="0C0C0C" w:themeColor="text1" w:themeTint="F2"/>
          <w:sz w:val="24"/>
          <w:szCs w:val="24"/>
        </w:rPr>
        <w:t>提交</w:t>
      </w:r>
      <w:r>
        <w:rPr>
          <w:rFonts w:hint="eastAsia" w:ascii="宋体" w:hAnsi="宋体"/>
          <w:color w:val="0C0C0C" w:themeColor="text1" w:themeTint="F2"/>
          <w:kern w:val="0"/>
          <w:sz w:val="24"/>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C0C0C" w:themeColor="text1" w:themeTint="F2"/>
          <w:kern w:val="0"/>
          <w:sz w:val="24"/>
          <w:szCs w:val="24"/>
        </w:rPr>
      </w:pPr>
      <w:r>
        <w:rPr>
          <w:rFonts w:hint="eastAsia" w:ascii="宋体" w:hAnsi="宋体" w:eastAsia="宋体" w:cs="Times New Roman"/>
          <w:b/>
          <w:color w:val="0C0C0C" w:themeColor="text1" w:themeTint="F2"/>
          <w:kern w:val="0"/>
          <w:sz w:val="24"/>
          <w:szCs w:val="24"/>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C0C0C" w:themeColor="text1" w:themeTint="F2"/>
          <w:sz w:val="24"/>
          <w:szCs w:val="24"/>
        </w:rPr>
        <w:t>自</w:t>
      </w:r>
      <w:r>
        <w:rPr>
          <w:rFonts w:hint="eastAsia" w:ascii="宋体" w:hAnsi="宋体"/>
          <w:color w:val="0C0C0C" w:themeColor="text1" w:themeTint="F2"/>
          <w:kern w:val="0"/>
          <w:sz w:val="24"/>
        </w:rPr>
        <w:t>递交投标文件截止之日</w:t>
      </w:r>
      <w:r>
        <w:rPr>
          <w:rFonts w:hint="eastAsia" w:asciiTheme="minorEastAsia" w:hAnsiTheme="minorEastAsia"/>
          <w:color w:val="0C0C0C" w:themeColor="text1" w:themeTint="F2"/>
          <w:sz w:val="24"/>
          <w:szCs w:val="24"/>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4"/>
        <w:numPr>
          <w:ilvl w:val="0"/>
          <w:numId w:val="64"/>
        </w:numPr>
        <w:spacing w:before="100" w:beforeAutospacing="1" w:afterLines="50" w:line="360" w:lineRule="auto"/>
        <w:ind w:left="1288" w:hanging="1288"/>
        <w:rPr>
          <w:rFonts w:ascii="宋体" w:hAnsi="宋体" w:eastAsia="宋体"/>
        </w:rPr>
      </w:pPr>
      <w:bookmarkStart w:id="119" w:name="_Toc494721102"/>
      <w:bookmarkStart w:id="120" w:name="_Toc494665002"/>
      <w:bookmarkStart w:id="121" w:name="_Toc495861551"/>
      <w:bookmarkStart w:id="122" w:name="_Toc494665952"/>
      <w:bookmarkStart w:id="123" w:name="_Toc494665555"/>
      <w:bookmarkStart w:id="124" w:name="_Toc494702272"/>
      <w:bookmarkStart w:id="125" w:name="_Toc494745319"/>
      <w:r>
        <w:rPr>
          <w:rFonts w:hint="eastAsia" w:ascii="宋体" w:hAnsi="宋体" w:eastAsia="宋体"/>
        </w:rPr>
        <w:t>制造商中小企业声明函</w:t>
      </w:r>
      <w:bookmarkEnd w:id="119"/>
      <w:bookmarkEnd w:id="120"/>
      <w:bookmarkEnd w:id="121"/>
      <w:bookmarkEnd w:id="122"/>
      <w:bookmarkEnd w:id="123"/>
      <w:bookmarkEnd w:id="124"/>
      <w:bookmarkEnd w:id="125"/>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制造商中小企业声明函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1.根据《工业和信息化部、国家统计局、国</w:t>
      </w:r>
      <w:r>
        <w:rPr>
          <w:rFonts w:hint="eastAsia" w:ascii="宋体" w:hAnsi="宋体" w:eastAsia="宋体" w:cs="Times New Roman"/>
          <w:color w:val="0D0D0D"/>
          <w:sz w:val="24"/>
          <w:szCs w:val="21"/>
          <w:lang w:val="zh-CN"/>
        </w:rPr>
        <w:t>家发展和改革委员会、财政部关于印发中小企业划型标准规定的通知》（工信部联企业〔2011〕300号）规定的划分标准</w:t>
      </w:r>
      <w:r>
        <w:rPr>
          <w:rFonts w:hint="eastAsia" w:hAnsi="宋体"/>
          <w:color w:val="0C0C0C" w:themeColor="text1" w:themeTint="F2"/>
          <w:sz w:val="24"/>
        </w:rPr>
        <w:t>（详见《中小企业划型标准》）</w:t>
      </w:r>
      <w:r>
        <w:rPr>
          <w:rFonts w:hint="eastAsia" w:ascii="宋体" w:hAnsi="宋体" w:eastAsia="宋体" w:cs="Times New Roman"/>
          <w:color w:val="0D0D0D"/>
          <w:sz w:val="24"/>
          <w:szCs w:val="21"/>
          <w:lang w:val="zh-CN"/>
        </w:rPr>
        <w:t>，本公司为______（请填写：中型、小型、微型）企业。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2.本公司授权</w:t>
      </w:r>
      <w:r>
        <w:rPr>
          <w:rFonts w:hint="eastAsia" w:ascii="宋体" w:hAnsi="宋体" w:eastAsia="宋体" w:cs="Times New Roman"/>
          <w:color w:val="0D0D0D"/>
          <w:sz w:val="24"/>
          <w:szCs w:val="21"/>
          <w:u w:val="single"/>
          <w:lang w:val="zh-CN"/>
        </w:rPr>
        <w:t xml:space="preserve">  （投标人）  </w:t>
      </w:r>
      <w:r>
        <w:rPr>
          <w:rFonts w:hint="eastAsia" w:ascii="宋体" w:hAnsi="宋体" w:eastAsia="宋体" w:cs="Times New Roman"/>
          <w:color w:val="0D0D0D"/>
          <w:sz w:val="24"/>
          <w:szCs w:val="21"/>
          <w:lang w:val="zh-CN"/>
        </w:rPr>
        <w:t>参加_</w:t>
      </w:r>
      <w:r>
        <w:rPr>
          <w:rFonts w:hint="eastAsia" w:ascii="宋体" w:hAnsi="宋体" w:eastAsia="宋体" w:cs="Times New Roman"/>
          <w:color w:val="0D0D0D"/>
          <w:sz w:val="24"/>
          <w:szCs w:val="21"/>
          <w:u w:val="single"/>
          <w:lang w:val="zh-CN"/>
        </w:rPr>
        <w:t>_（采购人）_</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w:t>
      </w:r>
      <w:r>
        <w:rPr>
          <w:rFonts w:hint="eastAsia" w:ascii="宋体" w:hAnsi="宋体" w:eastAsia="宋体" w:cs="Times New Roman"/>
          <w:sz w:val="24"/>
          <w:szCs w:val="21"/>
          <w:lang w:val="zh-CN"/>
        </w:rPr>
        <w:t>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color w:val="0D0D0D"/>
          <w:sz w:val="24"/>
          <w:szCs w:val="24"/>
        </w:rPr>
      </w:pPr>
      <w:r>
        <w:rPr>
          <w:rFonts w:hint="eastAsia" w:ascii="宋体" w:hAnsi="宋体" w:eastAsia="宋体" w:cs="Times New Roman"/>
          <w:bCs/>
          <w:sz w:val="24"/>
          <w:szCs w:val="24"/>
          <w:lang w:val="zh-CN"/>
        </w:rPr>
        <w:t>3</w:t>
      </w:r>
      <w:r>
        <w:rPr>
          <w:rFonts w:hint="eastAsia" w:ascii="宋体" w:hAnsi="宋体" w:eastAsia="宋体" w:cs="Times New Roman"/>
          <w:bCs/>
          <w:sz w:val="24"/>
          <w:szCs w:val="24"/>
        </w:rPr>
        <w:t>.由本公司制造的</w:t>
      </w:r>
      <w:r>
        <w:rPr>
          <w:rFonts w:hint="eastAsia" w:ascii="宋体" w:hAnsi="宋体" w:eastAsia="宋体" w:cs="Times New Roman"/>
          <w:bCs/>
          <w:color w:val="0D0D0D"/>
          <w:sz w:val="24"/>
          <w:szCs w:val="24"/>
        </w:rPr>
        <w:t>货物清单见下表：</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beforeLines="50"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spacing w:line="360" w:lineRule="auto"/>
        <w:rPr>
          <w:rFonts w:ascii="宋体" w:hAnsi="宋体" w:eastAsia="宋体" w:cs="Times New Roman"/>
          <w:bCs/>
          <w:sz w:val="24"/>
          <w:szCs w:val="24"/>
        </w:rPr>
      </w:pPr>
    </w:p>
    <w:p>
      <w:pPr>
        <w:pStyle w:val="9"/>
        <w:spacing w:line="360" w:lineRule="auto"/>
        <w:ind w:left="960" w:hanging="960" w:hangingChars="400"/>
        <w:jc w:val="left"/>
        <w:rPr>
          <w:rFonts w:hAnsi="宋体" w:cs="Corbel"/>
          <w:color w:val="0C0C0C" w:themeColor="text1" w:themeTint="F2"/>
          <w:sz w:val="24"/>
        </w:rPr>
      </w:pPr>
      <w:r>
        <w:rPr>
          <w:rFonts w:hint="eastAsia" w:hAnsi="宋体" w:eastAsia="宋体" w:cs="Times New Roman"/>
          <w:bCs/>
          <w:sz w:val="24"/>
          <w:szCs w:val="24"/>
        </w:rPr>
        <w:t>说明：</w:t>
      </w:r>
      <w:r>
        <w:rPr>
          <w:rFonts w:hint="eastAsia" w:hAnsi="宋体" w:cs="Corbel"/>
          <w:sz w:val="24"/>
        </w:rPr>
        <w:t>1、投标人所投</w:t>
      </w:r>
      <w:r>
        <w:rPr>
          <w:rFonts w:hint="eastAsia" w:hAnsi="宋体" w:cs="Corbel"/>
          <w:color w:val="0C0C0C" w:themeColor="text1" w:themeTint="F2"/>
          <w:sz w:val="24"/>
        </w:rPr>
        <w:t>货物为自己制造的，也应按本声明函格式填写。</w:t>
      </w:r>
    </w:p>
    <w:p>
      <w:pPr>
        <w:pStyle w:val="9"/>
        <w:spacing w:line="360" w:lineRule="auto"/>
        <w:ind w:left="958" w:leftChars="342" w:hanging="240" w:hangingChars="10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2、组成联合体的大中型企业和其他自然人、法人或者其他组织，与小型、微型企业之间不得存在投资关系。</w:t>
      </w:r>
    </w:p>
    <w:p>
      <w:pPr>
        <w:pStyle w:val="9"/>
        <w:spacing w:line="360" w:lineRule="auto"/>
        <w:ind w:left="958" w:leftChars="342" w:hanging="240" w:hangingChars="100"/>
        <w:jc w:val="left"/>
        <w:rPr>
          <w:rFonts w:hAnsi="宋体" w:eastAsia="宋体" w:cs="Times New Roman"/>
          <w:bCs/>
          <w:color w:val="0C0C0C" w:themeColor="text1" w:themeTint="F2"/>
          <w:sz w:val="24"/>
          <w:szCs w:val="24"/>
        </w:rPr>
      </w:pPr>
      <w:r>
        <w:rPr>
          <w:rFonts w:hint="eastAsia" w:hAnsi="宋体"/>
          <w:color w:val="0C0C0C" w:themeColor="text1" w:themeTint="F2"/>
          <w:sz w:val="24"/>
        </w:rPr>
        <w:t>3、如以联合体方式参与本项目投标的投标人，则应由联合体双方签字盖章。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pStyle w:val="4"/>
        <w:numPr>
          <w:ilvl w:val="0"/>
          <w:numId w:val="64"/>
        </w:numPr>
        <w:spacing w:before="100" w:beforeAutospacing="1" w:afterLines="50" w:line="360" w:lineRule="auto"/>
        <w:ind w:left="1288" w:hanging="1288"/>
        <w:rPr>
          <w:rFonts w:ascii="宋体" w:hAnsi="宋体" w:eastAsia="宋体"/>
        </w:rPr>
      </w:pPr>
      <w:bookmarkStart w:id="126" w:name="_Toc495861552"/>
      <w:bookmarkStart w:id="127" w:name="_Toc456264006"/>
      <w:bookmarkStart w:id="128" w:name="_Toc494721103"/>
      <w:bookmarkStart w:id="129" w:name="_Toc494745320"/>
      <w:bookmarkStart w:id="130" w:name="_Toc494702273"/>
      <w:bookmarkStart w:id="131" w:name="_Toc494665556"/>
      <w:bookmarkStart w:id="132" w:name="_Toc494665953"/>
      <w:bookmarkStart w:id="133" w:name="_Toc494665003"/>
      <w:r>
        <w:rPr>
          <w:rFonts w:hint="eastAsia" w:ascii="宋体" w:hAnsi="宋体" w:eastAsia="宋体"/>
        </w:rPr>
        <w:t>中小企业声明函</w:t>
      </w:r>
      <w:bookmarkEnd w:id="126"/>
      <w:bookmarkEnd w:id="127"/>
      <w:bookmarkEnd w:id="128"/>
      <w:bookmarkEnd w:id="129"/>
      <w:bookmarkEnd w:id="130"/>
      <w:bookmarkEnd w:id="131"/>
      <w:bookmarkEnd w:id="132"/>
      <w:bookmarkEnd w:id="133"/>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本公司郑重声明，根据《政府</w:t>
      </w:r>
      <w:r>
        <w:rPr>
          <w:rFonts w:hint="eastAsia" w:ascii="宋体" w:hAnsi="宋体" w:eastAsia="宋体" w:cs="Times New Roman"/>
          <w:color w:val="0D0D0D"/>
          <w:sz w:val="24"/>
          <w:szCs w:val="21"/>
          <w:lang w:val="zh-CN"/>
        </w:rPr>
        <w:t>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color w:val="0D0D0D"/>
          <w:sz w:val="24"/>
          <w:szCs w:val="21"/>
          <w:lang w:val="zh-CN"/>
        </w:rPr>
        <w:t>1.根据《工业和信息化部、国家统计局、国家发展和改革委员会、财政部关于印发中小企业划型标准规定的通知》（工信部联企业〔2011〕300号</w:t>
      </w:r>
      <w:r>
        <w:rPr>
          <w:rFonts w:hint="eastAsia" w:ascii="宋体" w:hAnsi="宋体" w:eastAsia="宋体" w:cs="Times New Roman"/>
          <w:color w:val="0C0C0C" w:themeColor="text1" w:themeTint="F2"/>
          <w:sz w:val="24"/>
          <w:szCs w:val="21"/>
          <w:lang w:val="zh-CN"/>
        </w:rPr>
        <w:t>）规定的划分标准</w:t>
      </w:r>
      <w:r>
        <w:rPr>
          <w:rFonts w:hint="eastAsia" w:hAnsi="宋体"/>
          <w:color w:val="0C0C0C" w:themeColor="text1" w:themeTint="F2"/>
          <w:sz w:val="24"/>
        </w:rPr>
        <w:t>（详见《中小企业划型标准》）</w:t>
      </w:r>
      <w:r>
        <w:rPr>
          <w:rFonts w:hint="eastAsia" w:ascii="宋体" w:hAnsi="宋体" w:eastAsia="宋体" w:cs="Times New Roman"/>
          <w:color w:val="0C0C0C" w:themeColor="text1" w:themeTint="F2"/>
          <w:sz w:val="24"/>
          <w:szCs w:val="21"/>
          <w:lang w:val="zh-CN"/>
        </w:rPr>
        <w:t>，本公司为______（请填写：中型、小</w:t>
      </w:r>
      <w:r>
        <w:rPr>
          <w:rFonts w:hint="eastAsia" w:ascii="宋体" w:hAnsi="宋体" w:eastAsia="宋体" w:cs="Times New Roman"/>
          <w:color w:val="0D0D0D"/>
          <w:sz w:val="24"/>
          <w:szCs w:val="21"/>
          <w:lang w:val="zh-CN"/>
        </w:rPr>
        <w:t>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2.本公司参加_</w:t>
      </w:r>
      <w:r>
        <w:rPr>
          <w:rFonts w:hint="eastAsia" w:ascii="宋体" w:hAnsi="宋体" w:eastAsia="宋体" w:cs="Times New Roman"/>
          <w:color w:val="0D0D0D"/>
          <w:sz w:val="24"/>
          <w:szCs w:val="21"/>
          <w:u w:val="single"/>
          <w:lang w:val="zh-CN"/>
        </w:rPr>
        <w:t>_（采购人）</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_）采购活动由本企业承担工程（或提供服务）。</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sz w:val="28"/>
          <w:szCs w:val="24"/>
        </w:rPr>
      </w:pPr>
    </w:p>
    <w:p>
      <w:pPr>
        <w:adjustRightInd w:val="0"/>
        <w:snapToGrid w:val="0"/>
        <w:spacing w:line="360" w:lineRule="auto"/>
        <w:rPr>
          <w:rFonts w:ascii="宋体" w:hAnsi="宋体" w:eastAsia="宋体" w:cs="Times New Roman"/>
          <w:sz w:val="28"/>
          <w:szCs w:val="24"/>
        </w:rPr>
      </w:pPr>
    </w:p>
    <w:p>
      <w:pPr>
        <w:spacing w:line="360" w:lineRule="auto"/>
        <w:ind w:left="950" w:hanging="950" w:hangingChars="396"/>
        <w:jc w:val="left"/>
        <w:rPr>
          <w:rFonts w:ascii="宋体" w:hAnsi="宋体" w:eastAsia="宋体" w:cs="Times New Roman"/>
          <w:sz w:val="24"/>
          <w:szCs w:val="21"/>
          <w:lang w:val="zh-CN"/>
        </w:rPr>
      </w:pPr>
      <w:r>
        <w:rPr>
          <w:rFonts w:hint="eastAsia" w:ascii="宋体" w:hAnsi="宋体" w:eastAsia="宋体" w:cs="Times New Roman"/>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sz w:val="24"/>
          <w:szCs w:val="21"/>
          <w:lang w:val="zh-CN"/>
        </w:rPr>
      </w:pPr>
      <w:r>
        <w:rPr>
          <w:rFonts w:hint="eastAsia" w:ascii="宋体" w:hAnsi="宋体" w:eastAsia="宋体" w:cs="Times New Roman"/>
          <w:sz w:val="24"/>
          <w:szCs w:val="21"/>
          <w:lang w:val="zh-CN"/>
        </w:rPr>
        <w:t>2.以联合体方式参与本项目投标的投标人，应由联合体双方签字盖章。</w:t>
      </w: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pPr>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br w:type="page"/>
      </w:r>
    </w:p>
    <w:p>
      <w:pPr>
        <w:spacing w:line="240" w:lineRule="atLeast"/>
        <w:ind w:right="-65" w:rightChars="-31"/>
        <w:jc w:val="center"/>
        <w:rPr>
          <w:rFonts w:ascii="宋体" w:hAnsi="宋体" w:eastAsia="宋体" w:cs="Times New Roman"/>
          <w:b/>
          <w:sz w:val="30"/>
          <w:szCs w:val="30"/>
          <w:lang w:val="zh-CN"/>
        </w:rPr>
      </w:pPr>
      <w:bookmarkStart w:id="134" w:name="_Toc476153619"/>
      <w:r>
        <w:rPr>
          <w:rFonts w:hint="eastAsia" w:ascii="宋体" w:hAnsi="宋体" w:eastAsia="宋体" w:cs="Times New Roman"/>
          <w:b/>
          <w:sz w:val="30"/>
          <w:szCs w:val="30"/>
          <w:lang w:val="zh-CN"/>
        </w:rPr>
        <w:t>中小企业划型标准</w:t>
      </w:r>
      <w:bookmarkEnd w:id="134"/>
    </w:p>
    <w:tbl>
      <w:tblPr>
        <w:tblStyle w:val="18"/>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sectPr>
          <w:pgSz w:w="16838" w:h="11906" w:orient="landscape"/>
          <w:pgMar w:top="1191" w:right="1134" w:bottom="1191" w:left="1134" w:header="851" w:footer="851" w:gutter="0"/>
          <w:cols w:space="425" w:num="1"/>
          <w:docGrid w:type="lines" w:linePitch="312" w:charSpace="0"/>
        </w:sectPr>
      </w:pPr>
      <w:r>
        <w:br w:type="page"/>
      </w:r>
    </w:p>
    <w:p>
      <w:pPr>
        <w:pStyle w:val="4"/>
        <w:numPr>
          <w:ilvl w:val="0"/>
          <w:numId w:val="64"/>
        </w:numPr>
        <w:spacing w:before="100" w:beforeAutospacing="1" w:afterLines="50" w:line="360" w:lineRule="auto"/>
        <w:ind w:left="1288" w:hanging="1288"/>
        <w:rPr>
          <w:rFonts w:ascii="宋体" w:hAnsi="宋体" w:eastAsia="宋体"/>
        </w:rPr>
      </w:pPr>
      <w:bookmarkStart w:id="135" w:name="_Toc494745321"/>
      <w:bookmarkStart w:id="136" w:name="_Toc494665954"/>
      <w:bookmarkStart w:id="137" w:name="_Toc495861553"/>
      <w:bookmarkStart w:id="138" w:name="_Toc494665004"/>
      <w:bookmarkStart w:id="139" w:name="_Toc494721104"/>
      <w:bookmarkStart w:id="140" w:name="_Toc494665557"/>
      <w:bookmarkStart w:id="141" w:name="_Toc494702274"/>
      <w:r>
        <w:rPr>
          <w:rFonts w:hint="eastAsia" w:ascii="宋体" w:hAnsi="宋体" w:eastAsia="宋体"/>
        </w:rPr>
        <w:t>残疾人福利性单位声明函</w:t>
      </w:r>
      <w:bookmarkEnd w:id="135"/>
      <w:bookmarkEnd w:id="136"/>
      <w:bookmarkEnd w:id="137"/>
      <w:bookmarkEnd w:id="138"/>
      <w:bookmarkEnd w:id="139"/>
      <w:bookmarkEnd w:id="140"/>
      <w:bookmarkEnd w:id="141"/>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pStyle w:val="9"/>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C0C0C" w:themeColor="text1" w:themeTint="F2"/>
          <w:sz w:val="24"/>
        </w:rPr>
        <w:t>单位为符合条件的残疾人福利性单位（详见“残疾人福利性单位应当满足的条件”）。</w:t>
      </w:r>
    </w:p>
    <w:p>
      <w:pPr>
        <w:pStyle w:val="9"/>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C0C0C" w:themeColor="text1" w:themeTint="F2"/>
          <w:sz w:val="24"/>
          <w:szCs w:val="24"/>
        </w:rPr>
      </w:pPr>
    </w:p>
    <w:p>
      <w:pPr>
        <w:pStyle w:val="9"/>
        <w:spacing w:line="360" w:lineRule="auto"/>
        <w:jc w:val="left"/>
        <w:rPr>
          <w:rFonts w:hAnsi="宋体" w:cs="Corbel"/>
          <w:color w:val="0C0C0C" w:themeColor="text1" w:themeTint="F2"/>
          <w:sz w:val="24"/>
        </w:rPr>
      </w:pPr>
      <w:r>
        <w:rPr>
          <w:rFonts w:hint="eastAsia" w:hAnsi="宋体" w:eastAsia="宋体" w:cs="Times New Roman"/>
          <w:bCs/>
          <w:color w:val="0C0C0C" w:themeColor="text1" w:themeTint="F2"/>
          <w:sz w:val="24"/>
          <w:szCs w:val="24"/>
        </w:rPr>
        <w:t>说明：</w:t>
      </w:r>
      <w:r>
        <w:rPr>
          <w:rFonts w:hint="eastAsia" w:hAnsi="宋体" w:cs="Corbel"/>
          <w:color w:val="0C0C0C" w:themeColor="text1" w:themeTint="F2"/>
          <w:sz w:val="24"/>
        </w:rPr>
        <w:t>1、投标人所投货物为自己制造的，也应按本声明函格式填写。</w:t>
      </w:r>
    </w:p>
    <w:p>
      <w:pPr>
        <w:pStyle w:val="9"/>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2、组成联合体的大中型企业和其他自然人、法人或者其他组织，与残疾人福利性单位之间不得存在投资关系。</w:t>
      </w:r>
    </w:p>
    <w:p>
      <w:pPr>
        <w:pStyle w:val="9"/>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3、以联合体方式参与本项目投标的投标人，应由联合体双方签字盖章。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color w:val="auto"/>
          <w:sz w:val="28"/>
          <w:szCs w:val="28"/>
        </w:rPr>
      </w:pPr>
      <w:r>
        <w:rPr>
          <w:rFonts w:hint="eastAsia"/>
          <w:b/>
          <w:sz w:val="28"/>
          <w:szCs w:val="28"/>
        </w:rPr>
        <w:t>采</w:t>
      </w:r>
      <w:r>
        <w:rPr>
          <w:rFonts w:hint="eastAsia"/>
          <w:b/>
          <w:color w:val="auto"/>
          <w:sz w:val="28"/>
          <w:szCs w:val="28"/>
        </w:rPr>
        <w:t>购人（或采购代理公司）：</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C0C0C" w:themeColor="text1" w:themeTint="F2"/>
          <w:sz w:val="24"/>
          <w:szCs w:val="24"/>
        </w:rPr>
        <w:t>部 民政部 中国残疾人联合会关于促进残疾人就业政府采购政策的通知》（财库〔2017〕141号）的规定，本单位为符合条件的残疾人福利性单位</w:t>
      </w:r>
      <w:r>
        <w:rPr>
          <w:rFonts w:hint="eastAsia" w:hAnsi="宋体"/>
          <w:color w:val="0C0C0C" w:themeColor="text1" w:themeTint="F2"/>
          <w:sz w:val="24"/>
        </w:rPr>
        <w:t>（详见“残疾人福利性单位应当满足的条件”）</w:t>
      </w:r>
      <w:r>
        <w:rPr>
          <w:rFonts w:hint="eastAsia" w:ascii="宋体" w:hAnsi="宋体" w:eastAsia="宋体" w:cs="Times New Roman"/>
          <w:color w:val="0C0C0C" w:themeColor="text1" w:themeTint="F2"/>
          <w:sz w:val="24"/>
          <w:szCs w:val="24"/>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C0C0C" w:themeColor="text1" w:themeTint="F2"/>
          <w:sz w:val="24"/>
          <w:szCs w:val="21"/>
        </w:rPr>
      </w:pPr>
      <w:r>
        <w:rPr>
          <w:rFonts w:hint="eastAsia" w:ascii="宋体" w:hAnsi="宋体" w:cs="Courier New"/>
          <w:color w:val="0C0C0C" w:themeColor="text1" w:themeTint="F2"/>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C0C0C" w:themeColor="text1" w:themeTint="F2"/>
          <w:sz w:val="24"/>
          <w:szCs w:val="24"/>
        </w:rPr>
      </w:pPr>
      <w:r>
        <w:rPr>
          <w:rFonts w:hint="eastAsia" w:ascii="宋体" w:hAnsi="宋体" w:cs="Courier New"/>
          <w:color w:val="0C0C0C" w:themeColor="text1" w:themeTint="F2"/>
          <w:sz w:val="24"/>
          <w:szCs w:val="21"/>
        </w:rPr>
        <w:t>2、以联合体方式参与本项目投标的投标人，应由联合体双方签字盖章。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4"/>
        <w:numPr>
          <w:ilvl w:val="0"/>
          <w:numId w:val="64"/>
        </w:numPr>
        <w:spacing w:before="100" w:beforeAutospacing="1" w:afterLines="50" w:line="360" w:lineRule="auto"/>
        <w:ind w:left="1288" w:hanging="1288"/>
        <w:rPr>
          <w:rFonts w:ascii="宋体" w:hAnsi="宋体" w:eastAsia="宋体"/>
        </w:rPr>
      </w:pPr>
      <w:bookmarkStart w:id="142" w:name="_Toc494665558"/>
      <w:bookmarkStart w:id="143" w:name="_Toc495861554"/>
      <w:bookmarkStart w:id="144" w:name="_Toc494665005"/>
      <w:bookmarkStart w:id="145" w:name="_Toc494721105"/>
      <w:bookmarkStart w:id="146" w:name="_Toc494665955"/>
      <w:bookmarkStart w:id="147" w:name="_Toc494702275"/>
      <w:bookmarkStart w:id="148" w:name="_Toc494577410"/>
      <w:bookmarkStart w:id="149" w:name="_Toc494745322"/>
      <w:r>
        <w:rPr>
          <w:rFonts w:hint="eastAsia" w:ascii="宋体" w:hAnsi="宋体" w:eastAsia="宋体"/>
        </w:rPr>
        <w:t>开标一览表</w:t>
      </w:r>
      <w:bookmarkEnd w:id="142"/>
      <w:bookmarkEnd w:id="143"/>
      <w:bookmarkEnd w:id="144"/>
      <w:bookmarkEnd w:id="145"/>
      <w:bookmarkEnd w:id="146"/>
      <w:bookmarkEnd w:id="147"/>
      <w:bookmarkEnd w:id="148"/>
      <w:bookmarkEnd w:id="149"/>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小写：万元整（¥）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4"/>
        <w:numPr>
          <w:ilvl w:val="0"/>
          <w:numId w:val="64"/>
        </w:numPr>
        <w:spacing w:before="100" w:beforeAutospacing="1" w:afterLines="50" w:line="360" w:lineRule="auto"/>
        <w:ind w:left="1288" w:hanging="1288"/>
        <w:rPr>
          <w:rFonts w:ascii="宋体" w:hAnsi="宋体" w:eastAsia="宋体"/>
        </w:rPr>
      </w:pPr>
      <w:bookmarkStart w:id="150" w:name="_Toc494721106"/>
      <w:bookmarkStart w:id="151" w:name="_Toc494665006"/>
      <w:bookmarkStart w:id="152" w:name="_Toc495861555"/>
      <w:bookmarkStart w:id="153" w:name="_Toc494577411"/>
      <w:bookmarkStart w:id="154" w:name="_Toc494665559"/>
      <w:bookmarkStart w:id="155" w:name="_Toc494665956"/>
      <w:bookmarkStart w:id="156" w:name="_Toc494702276"/>
      <w:bookmarkStart w:id="157" w:name="_Toc494745323"/>
      <w:r>
        <w:rPr>
          <w:rFonts w:hint="eastAsia" w:ascii="宋体" w:hAnsi="宋体" w:eastAsia="宋体"/>
        </w:rPr>
        <w:t>投标报价明细表</w:t>
      </w:r>
      <w:bookmarkEnd w:id="150"/>
      <w:bookmarkEnd w:id="151"/>
      <w:bookmarkEnd w:id="152"/>
      <w:bookmarkEnd w:id="153"/>
      <w:bookmarkEnd w:id="154"/>
      <w:bookmarkEnd w:id="155"/>
      <w:bookmarkEnd w:id="156"/>
      <w:bookmarkEnd w:id="157"/>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C0C0C" w:themeColor="text1" w:themeTint="F2"/>
                <w:sz w:val="24"/>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4"/>
        </w:numPr>
        <w:spacing w:before="100" w:beforeAutospacing="1" w:afterLines="50" w:line="360" w:lineRule="auto"/>
        <w:ind w:left="1288" w:hanging="1288"/>
        <w:rPr>
          <w:rFonts w:ascii="宋体" w:hAnsi="宋体" w:eastAsia="宋体"/>
          <w:sz w:val="31"/>
          <w:szCs w:val="31"/>
        </w:rPr>
      </w:pPr>
      <w:bookmarkStart w:id="158" w:name="_Toc495861556"/>
      <w:bookmarkStart w:id="159" w:name="_Toc494745324"/>
      <w:bookmarkStart w:id="160" w:name="_Toc494721107"/>
      <w:bookmarkStart w:id="161" w:name="_Toc494577412"/>
      <w:bookmarkStart w:id="162" w:name="_Toc494665007"/>
      <w:bookmarkStart w:id="163" w:name="_Toc494665957"/>
      <w:bookmarkStart w:id="164" w:name="_Toc494702277"/>
      <w:bookmarkStart w:id="165" w:name="_Toc494665560"/>
      <w:r>
        <w:rPr>
          <w:rFonts w:hint="eastAsia" w:ascii="宋体" w:hAnsi="宋体" w:eastAsia="宋体"/>
          <w:sz w:val="31"/>
          <w:szCs w:val="31"/>
        </w:rPr>
        <w:t>小型和微型企业、监狱企业、残疾人福利性单位货物汇总表</w:t>
      </w:r>
      <w:bookmarkEnd w:id="158"/>
      <w:bookmarkEnd w:id="159"/>
      <w:bookmarkEnd w:id="160"/>
      <w:bookmarkEnd w:id="161"/>
      <w:bookmarkEnd w:id="162"/>
      <w:bookmarkEnd w:id="163"/>
      <w:bookmarkEnd w:id="164"/>
      <w:bookmarkEnd w:id="16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4"/>
        </w:numPr>
        <w:spacing w:before="100" w:beforeAutospacing="1" w:afterLines="50" w:line="360" w:lineRule="auto"/>
        <w:ind w:left="1288" w:hanging="1288"/>
        <w:rPr>
          <w:rFonts w:ascii="宋体" w:hAnsi="宋体" w:eastAsia="宋体"/>
        </w:rPr>
      </w:pPr>
      <w:bookmarkStart w:id="166" w:name="_Toc494745325"/>
      <w:bookmarkStart w:id="167" w:name="_Toc494665561"/>
      <w:bookmarkStart w:id="168" w:name="_Toc494665008"/>
      <w:bookmarkStart w:id="169" w:name="_Toc495861557"/>
      <w:bookmarkStart w:id="170" w:name="_Toc494721108"/>
      <w:bookmarkStart w:id="171" w:name="_Toc494665958"/>
      <w:bookmarkStart w:id="172" w:name="_Toc494702278"/>
      <w:r>
        <w:rPr>
          <w:rFonts w:hint="eastAsia" w:ascii="宋体" w:hAnsi="宋体" w:eastAsia="宋体"/>
        </w:rPr>
        <w:t>投标货物（工程或服务）清单</w:t>
      </w:r>
      <w:bookmarkEnd w:id="166"/>
      <w:bookmarkEnd w:id="167"/>
      <w:bookmarkEnd w:id="168"/>
      <w:bookmarkEnd w:id="169"/>
      <w:bookmarkEnd w:id="170"/>
      <w:bookmarkEnd w:id="171"/>
      <w:bookmarkEnd w:id="172"/>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4"/>
        </w:numPr>
        <w:spacing w:before="100" w:beforeAutospacing="1" w:afterLines="50" w:line="360" w:lineRule="auto"/>
        <w:ind w:left="1288" w:hanging="1288"/>
        <w:rPr>
          <w:rFonts w:ascii="宋体" w:hAnsi="宋体" w:eastAsia="宋体"/>
        </w:rPr>
      </w:pPr>
      <w:bookmarkStart w:id="173" w:name="_Toc494665009"/>
      <w:bookmarkStart w:id="174" w:name="_Toc494702279"/>
      <w:bookmarkStart w:id="175" w:name="_Toc494721109"/>
      <w:bookmarkStart w:id="176" w:name="_Toc494745326"/>
      <w:bookmarkStart w:id="177" w:name="_Toc494665562"/>
      <w:bookmarkStart w:id="178" w:name="_Toc495861558"/>
      <w:bookmarkStart w:id="179" w:name="_Toc494665959"/>
      <w:r>
        <w:rPr>
          <w:rFonts w:hint="eastAsia" w:ascii="宋体" w:hAnsi="宋体" w:eastAsia="宋体"/>
        </w:rPr>
        <w:t>交纳投标保证金的银行凭证</w:t>
      </w:r>
      <w:bookmarkEnd w:id="173"/>
      <w:bookmarkEnd w:id="174"/>
      <w:bookmarkEnd w:id="175"/>
      <w:bookmarkEnd w:id="176"/>
      <w:bookmarkEnd w:id="177"/>
      <w:bookmarkEnd w:id="178"/>
      <w:bookmarkEnd w:id="179"/>
    </w:p>
    <w:p>
      <w:pPr>
        <w:spacing w:line="480" w:lineRule="auto"/>
        <w:rPr>
          <w:rFonts w:ascii="宋体" w:hAnsi="宋体" w:cs="Courier New"/>
          <w:b/>
          <w:color w:val="auto"/>
          <w:sz w:val="28"/>
          <w:szCs w:val="28"/>
        </w:rPr>
      </w:pPr>
      <w:r>
        <w:rPr>
          <w:rFonts w:hint="eastAsia"/>
          <w:b/>
          <w:sz w:val="28"/>
          <w:szCs w:val="28"/>
        </w:rPr>
        <w:t>采购人</w:t>
      </w:r>
      <w:r>
        <w:rPr>
          <w:rFonts w:hint="eastAsia"/>
          <w:b/>
          <w:color w:val="auto"/>
          <w:sz w:val="28"/>
          <w:szCs w:val="28"/>
        </w:rPr>
        <w:t>（或代理公司）</w:t>
      </w:r>
      <w:r>
        <w:rPr>
          <w:rFonts w:hint="eastAsia" w:ascii="宋体" w:hAnsi="宋体" w:cs="Courier New"/>
          <w:b/>
          <w:color w:val="auto"/>
          <w:sz w:val="28"/>
          <w:szCs w:val="28"/>
        </w:rPr>
        <w:t>：</w:t>
      </w:r>
    </w:p>
    <w:p>
      <w:pPr>
        <w:spacing w:line="360" w:lineRule="auto"/>
        <w:ind w:firstLine="489"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_）的政府采购活动。按招标文件的规定，已递交人民币（大写）</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sz w:val="24"/>
          <w:szCs w:val="21"/>
          <w:lang w:val="zh-CN"/>
        </w:rPr>
        <w:t>万元的投标保证金。</w:t>
      </w:r>
    </w:p>
    <w:tbl>
      <w:tblPr>
        <w:tblStyle w:val="18"/>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18"/>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0"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说明：投标人应认真填写银行信息，与转帐或电汇银行凭证的相关信息一致，集中采购机构将依据此凭证信息查退投标保证金。</w:t>
      </w:r>
    </w:p>
    <w:p>
      <w:r>
        <w:br w:type="page"/>
      </w:r>
    </w:p>
    <w:p>
      <w:pPr>
        <w:pStyle w:val="4"/>
        <w:numPr>
          <w:ilvl w:val="0"/>
          <w:numId w:val="64"/>
        </w:numPr>
        <w:spacing w:before="100" w:beforeAutospacing="1" w:afterLines="50" w:line="360" w:lineRule="auto"/>
        <w:ind w:left="1288" w:hanging="1288"/>
        <w:rPr>
          <w:rFonts w:ascii="宋体" w:hAnsi="宋体" w:eastAsia="宋体"/>
        </w:rPr>
      </w:pPr>
      <w:bookmarkStart w:id="180" w:name="_Toc494665010"/>
      <w:bookmarkStart w:id="181" w:name="_Toc494702280"/>
      <w:bookmarkStart w:id="182" w:name="_Toc236473303"/>
      <w:bookmarkStart w:id="183" w:name="_Toc494721110"/>
      <w:bookmarkStart w:id="184" w:name="_Toc495861559"/>
      <w:bookmarkStart w:id="185" w:name="_Toc238276247"/>
      <w:bookmarkStart w:id="186" w:name="_Toc494745327"/>
      <w:bookmarkStart w:id="187" w:name="_Toc494665563"/>
      <w:bookmarkStart w:id="188" w:name="_Toc494665960"/>
      <w:r>
        <w:rPr>
          <w:rFonts w:hint="eastAsia" w:ascii="宋体" w:hAnsi="宋体" w:eastAsia="宋体"/>
        </w:rPr>
        <w:t>法定代表人授权书</w:t>
      </w:r>
      <w:bookmarkEnd w:id="180"/>
      <w:bookmarkEnd w:id="181"/>
      <w:bookmarkEnd w:id="182"/>
      <w:bookmarkEnd w:id="183"/>
      <w:bookmarkEnd w:id="184"/>
      <w:bookmarkEnd w:id="185"/>
      <w:bookmarkEnd w:id="186"/>
      <w:bookmarkEnd w:id="187"/>
      <w:bookmarkEnd w:id="188"/>
    </w:p>
    <w:p>
      <w:pPr>
        <w:spacing w:line="480" w:lineRule="auto"/>
        <w:rPr>
          <w:rFonts w:ascii="宋体" w:hAnsi="宋体" w:eastAsia="宋体" w:cs="Times New Roman"/>
          <w:b/>
          <w:sz w:val="24"/>
          <w:szCs w:val="24"/>
        </w:rPr>
      </w:pPr>
      <w:r>
        <w:rPr>
          <w:rFonts w:hint="eastAsia"/>
          <w:b/>
          <w:color w:val="auto"/>
          <w:sz w:val="28"/>
          <w:szCs w:val="28"/>
        </w:rPr>
        <w:t>采购人（或代理公司）</w:t>
      </w:r>
      <w:r>
        <w:rPr>
          <w:rFonts w:hint="eastAsia" w:ascii="宋体" w:hAnsi="宋体" w:cs="Courier New"/>
          <w:b/>
          <w:color w:val="auto"/>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18"/>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4"/>
        <w:numPr>
          <w:ilvl w:val="0"/>
          <w:numId w:val="64"/>
        </w:numPr>
        <w:spacing w:before="100" w:beforeAutospacing="1" w:afterLines="50" w:line="360" w:lineRule="auto"/>
        <w:ind w:left="1610" w:hanging="1610"/>
        <w:rPr>
          <w:rFonts w:ascii="宋体" w:hAnsi="宋体" w:eastAsia="宋体"/>
        </w:rPr>
      </w:pPr>
      <w:bookmarkStart w:id="189" w:name="_Toc494665564"/>
      <w:bookmarkStart w:id="190" w:name="_Toc236473304"/>
      <w:bookmarkStart w:id="191" w:name="_Toc494721111"/>
      <w:bookmarkStart w:id="192" w:name="_Toc494745328"/>
      <w:bookmarkStart w:id="193" w:name="_Toc494665011"/>
      <w:bookmarkStart w:id="194" w:name="_Toc238276248"/>
      <w:bookmarkStart w:id="195" w:name="_Toc494702281"/>
      <w:bookmarkStart w:id="196" w:name="_Toc495861560"/>
      <w:bookmarkStart w:id="197" w:name="_Toc494665961"/>
      <w:r>
        <w:rPr>
          <w:rFonts w:hint="eastAsia" w:ascii="宋体" w:hAnsi="宋体" w:eastAsia="宋体"/>
        </w:rPr>
        <w:t>投标人的资格声明</w:t>
      </w:r>
      <w:bookmarkEnd w:id="189"/>
      <w:bookmarkEnd w:id="190"/>
      <w:bookmarkEnd w:id="191"/>
      <w:bookmarkEnd w:id="192"/>
      <w:bookmarkEnd w:id="193"/>
      <w:bookmarkEnd w:id="194"/>
      <w:bookmarkEnd w:id="195"/>
      <w:bookmarkEnd w:id="196"/>
      <w:bookmarkEnd w:id="197"/>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18"/>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18"/>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4"/>
        <w:numPr>
          <w:ilvl w:val="0"/>
          <w:numId w:val="64"/>
        </w:numPr>
        <w:spacing w:before="100" w:beforeAutospacing="1" w:afterLines="50" w:line="360" w:lineRule="auto"/>
        <w:ind w:left="1610" w:hanging="1610"/>
        <w:rPr>
          <w:rFonts w:ascii="宋体" w:hAnsi="宋体" w:eastAsia="宋体"/>
        </w:rPr>
      </w:pPr>
      <w:bookmarkStart w:id="198" w:name="_Toc495861561"/>
      <w:bookmarkStart w:id="199" w:name="_Toc494745329"/>
      <w:bookmarkStart w:id="200" w:name="_Toc494665565"/>
      <w:bookmarkStart w:id="201" w:name="_Toc494702282"/>
      <w:bookmarkStart w:id="202" w:name="_Toc494721112"/>
      <w:bookmarkStart w:id="203" w:name="_Toc494665962"/>
      <w:bookmarkStart w:id="204" w:name="_Toc494665012"/>
      <w:r>
        <w:rPr>
          <w:rFonts w:hint="eastAsia" w:ascii="宋体" w:hAnsi="宋体" w:eastAsia="宋体"/>
        </w:rPr>
        <w:t>项目负责人、技术负责人简历表</w:t>
      </w:r>
      <w:bookmarkEnd w:id="198"/>
      <w:bookmarkEnd w:id="199"/>
      <w:bookmarkEnd w:id="200"/>
      <w:bookmarkEnd w:id="201"/>
      <w:bookmarkEnd w:id="202"/>
      <w:bookmarkEnd w:id="203"/>
      <w:bookmarkEnd w:id="20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4"/>
        </w:numPr>
        <w:spacing w:before="100" w:beforeAutospacing="1" w:afterLines="50" w:line="360" w:lineRule="auto"/>
        <w:ind w:left="1610" w:hanging="1610"/>
        <w:rPr>
          <w:rFonts w:ascii="宋体" w:hAnsi="宋体" w:eastAsia="宋体"/>
        </w:rPr>
      </w:pPr>
      <w:bookmarkStart w:id="205" w:name="_Toc236473307"/>
      <w:bookmarkStart w:id="206" w:name="_Toc494721113"/>
      <w:bookmarkStart w:id="207" w:name="_Toc494665963"/>
      <w:bookmarkStart w:id="208" w:name="_Toc494702283"/>
      <w:bookmarkStart w:id="209" w:name="_Toc494745330"/>
      <w:bookmarkStart w:id="210" w:name="_Toc495861562"/>
      <w:bookmarkStart w:id="211" w:name="_Toc494665566"/>
      <w:bookmarkStart w:id="212" w:name="_Toc238276251"/>
      <w:bookmarkStart w:id="213" w:name="_Toc494665013"/>
      <w:r>
        <w:rPr>
          <w:rFonts w:hint="eastAsia" w:ascii="宋体" w:hAnsi="宋体" w:eastAsia="宋体"/>
        </w:rPr>
        <w:t>项目班子成员情况表</w:t>
      </w:r>
      <w:bookmarkEnd w:id="205"/>
      <w:bookmarkEnd w:id="206"/>
      <w:bookmarkEnd w:id="207"/>
      <w:bookmarkEnd w:id="208"/>
      <w:bookmarkEnd w:id="209"/>
      <w:bookmarkEnd w:id="210"/>
      <w:bookmarkEnd w:id="211"/>
      <w:bookmarkEnd w:id="212"/>
      <w:bookmarkEnd w:id="21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4"/>
        </w:numPr>
        <w:spacing w:before="100" w:beforeAutospacing="1" w:afterLines="50" w:line="360" w:lineRule="auto"/>
        <w:ind w:left="1610" w:hanging="1610"/>
        <w:rPr>
          <w:rFonts w:ascii="宋体" w:hAnsi="宋体" w:eastAsia="宋体"/>
        </w:rPr>
      </w:pPr>
      <w:bookmarkStart w:id="214" w:name="_Toc494721114"/>
      <w:bookmarkStart w:id="215" w:name="_Toc494665567"/>
      <w:bookmarkStart w:id="216" w:name="_Toc495861563"/>
      <w:bookmarkStart w:id="217" w:name="_Toc494745331"/>
      <w:bookmarkStart w:id="218" w:name="_Toc236473312"/>
      <w:bookmarkStart w:id="219" w:name="_Toc494665964"/>
      <w:bookmarkStart w:id="220" w:name="_Toc494665014"/>
      <w:bookmarkStart w:id="221" w:name="_Toc494702284"/>
      <w:bookmarkStart w:id="222" w:name="_Toc238276256"/>
      <w:r>
        <w:rPr>
          <w:rFonts w:hint="eastAsia" w:ascii="宋体" w:hAnsi="宋体" w:eastAsia="宋体"/>
        </w:rPr>
        <w:t>投标人类似项目业绩表</w:t>
      </w:r>
      <w:bookmarkEnd w:id="214"/>
      <w:bookmarkEnd w:id="215"/>
      <w:bookmarkEnd w:id="216"/>
      <w:bookmarkEnd w:id="217"/>
      <w:bookmarkEnd w:id="218"/>
      <w:bookmarkEnd w:id="219"/>
      <w:bookmarkEnd w:id="220"/>
      <w:bookmarkEnd w:id="221"/>
      <w:bookmarkEnd w:id="22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4"/>
        </w:numPr>
        <w:spacing w:before="100" w:beforeAutospacing="1" w:afterLines="50" w:line="360" w:lineRule="auto"/>
        <w:ind w:left="1610" w:hanging="1610"/>
        <w:rPr>
          <w:rFonts w:ascii="宋体" w:hAnsi="宋体" w:eastAsia="宋体"/>
        </w:rPr>
      </w:pPr>
      <w:bookmarkStart w:id="223" w:name="_Toc494745332"/>
      <w:bookmarkStart w:id="224" w:name="_Toc494702285"/>
      <w:bookmarkStart w:id="225" w:name="_Toc495861564"/>
      <w:bookmarkStart w:id="226" w:name="_Toc494665965"/>
      <w:bookmarkStart w:id="227" w:name="_Toc494665568"/>
      <w:bookmarkStart w:id="228" w:name="_Toc494665015"/>
      <w:bookmarkStart w:id="229" w:name="_Toc494721115"/>
      <w:r>
        <w:rPr>
          <w:rFonts w:hint="eastAsia" w:ascii="宋体" w:hAnsi="宋体" w:eastAsia="宋体"/>
        </w:rPr>
        <w:t>符合性审查对照表</w:t>
      </w:r>
      <w:bookmarkEnd w:id="223"/>
      <w:bookmarkEnd w:id="224"/>
      <w:bookmarkEnd w:id="225"/>
      <w:bookmarkEnd w:id="226"/>
      <w:bookmarkEnd w:id="227"/>
      <w:bookmarkEnd w:id="228"/>
      <w:bookmarkEnd w:id="22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4"/>
        </w:numPr>
        <w:spacing w:before="100" w:beforeAutospacing="1" w:afterLines="50" w:line="360" w:lineRule="auto"/>
        <w:ind w:left="1610" w:hanging="1610"/>
        <w:rPr>
          <w:rFonts w:ascii="宋体" w:hAnsi="宋体" w:eastAsia="宋体"/>
        </w:rPr>
      </w:pPr>
      <w:bookmarkStart w:id="230" w:name="_Toc495861565"/>
      <w:bookmarkStart w:id="231" w:name="_Toc494745333"/>
      <w:bookmarkStart w:id="232" w:name="_Toc494721116"/>
      <w:bookmarkStart w:id="233" w:name="_Toc494665016"/>
      <w:bookmarkStart w:id="234" w:name="_Toc494665569"/>
      <w:bookmarkStart w:id="235" w:name="_Toc494665966"/>
      <w:bookmarkStart w:id="236" w:name="_Toc494702286"/>
      <w:r>
        <w:rPr>
          <w:rFonts w:hint="eastAsia" w:ascii="宋体" w:hAnsi="宋体" w:eastAsia="宋体"/>
        </w:rPr>
        <w:t>商务要求响应、偏离说明表</w:t>
      </w:r>
      <w:bookmarkEnd w:id="230"/>
      <w:bookmarkEnd w:id="231"/>
      <w:bookmarkEnd w:id="232"/>
      <w:bookmarkEnd w:id="233"/>
      <w:bookmarkEnd w:id="234"/>
      <w:bookmarkEnd w:id="235"/>
      <w:bookmarkEnd w:id="23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4"/>
        </w:numPr>
        <w:spacing w:before="100" w:beforeAutospacing="1" w:afterLines="50" w:line="360" w:lineRule="auto"/>
        <w:ind w:left="1610" w:hanging="1610"/>
        <w:rPr>
          <w:rFonts w:ascii="宋体" w:hAnsi="宋体" w:eastAsia="宋体"/>
        </w:rPr>
      </w:pPr>
      <w:bookmarkStart w:id="237" w:name="_Toc494665967"/>
      <w:bookmarkStart w:id="238" w:name="_Toc494721117"/>
      <w:bookmarkStart w:id="239" w:name="_Toc494665017"/>
      <w:bookmarkStart w:id="240" w:name="_Toc494665570"/>
      <w:bookmarkStart w:id="241" w:name="_Toc495861566"/>
      <w:bookmarkStart w:id="242" w:name="_Toc494702287"/>
      <w:bookmarkStart w:id="243" w:name="_Toc494745334"/>
      <w:r>
        <w:rPr>
          <w:rFonts w:hint="eastAsia" w:ascii="宋体" w:hAnsi="宋体" w:eastAsia="宋体"/>
        </w:rPr>
        <w:t>商务要求“★”号条款响应、偏离说明表</w:t>
      </w:r>
      <w:bookmarkEnd w:id="237"/>
      <w:bookmarkEnd w:id="238"/>
      <w:bookmarkEnd w:id="239"/>
      <w:bookmarkEnd w:id="240"/>
      <w:bookmarkEnd w:id="241"/>
      <w:bookmarkEnd w:id="242"/>
      <w:bookmarkEnd w:id="24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4"/>
        </w:numPr>
        <w:spacing w:before="100" w:beforeAutospacing="1" w:afterLines="50" w:line="360" w:lineRule="auto"/>
        <w:ind w:left="1610" w:hanging="1610"/>
        <w:rPr>
          <w:rFonts w:ascii="宋体" w:hAnsi="宋体" w:eastAsia="宋体"/>
        </w:rPr>
      </w:pPr>
      <w:bookmarkStart w:id="244" w:name="_Toc494702288"/>
      <w:bookmarkStart w:id="245" w:name="_Toc495861567"/>
      <w:bookmarkStart w:id="246" w:name="_Toc494721118"/>
      <w:bookmarkStart w:id="247" w:name="_Toc494665018"/>
      <w:bookmarkStart w:id="248" w:name="_Toc494665968"/>
      <w:bookmarkStart w:id="249" w:name="_Toc494745335"/>
      <w:bookmarkStart w:id="250" w:name="_Toc494665571"/>
      <w:r>
        <w:rPr>
          <w:rFonts w:hint="eastAsia" w:ascii="宋体" w:hAnsi="宋体" w:eastAsia="宋体"/>
        </w:rPr>
        <w:t>商务评议对照表</w:t>
      </w:r>
      <w:bookmarkEnd w:id="244"/>
      <w:bookmarkEnd w:id="245"/>
      <w:bookmarkEnd w:id="246"/>
      <w:bookmarkEnd w:id="247"/>
      <w:bookmarkEnd w:id="248"/>
      <w:bookmarkEnd w:id="249"/>
      <w:bookmarkEnd w:id="25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4"/>
        </w:numPr>
        <w:spacing w:before="100" w:beforeAutospacing="1" w:afterLines="50" w:line="360" w:lineRule="auto"/>
        <w:ind w:left="1610" w:hanging="1610"/>
        <w:rPr>
          <w:rFonts w:ascii="宋体" w:hAnsi="宋体" w:eastAsia="宋体"/>
        </w:rPr>
      </w:pPr>
      <w:bookmarkStart w:id="251" w:name="_Toc495861568"/>
      <w:bookmarkStart w:id="252" w:name="_Toc494665019"/>
      <w:bookmarkStart w:id="253" w:name="_Toc494702289"/>
      <w:bookmarkStart w:id="254" w:name="_Toc494721119"/>
      <w:bookmarkStart w:id="255" w:name="_Toc494665572"/>
      <w:bookmarkStart w:id="256" w:name="_Toc494665969"/>
      <w:bookmarkStart w:id="257" w:name="_Toc494745336"/>
      <w:r>
        <w:rPr>
          <w:rFonts w:hint="eastAsia" w:ascii="宋体" w:hAnsi="宋体" w:eastAsia="宋体"/>
        </w:rPr>
        <w:t>技术、服务要求响应、偏离说明表</w:t>
      </w:r>
      <w:bookmarkEnd w:id="251"/>
      <w:bookmarkEnd w:id="252"/>
      <w:bookmarkEnd w:id="253"/>
      <w:bookmarkEnd w:id="254"/>
      <w:bookmarkEnd w:id="255"/>
      <w:bookmarkEnd w:id="256"/>
      <w:bookmarkEnd w:id="25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4"/>
        </w:numPr>
        <w:spacing w:before="100" w:beforeAutospacing="1" w:afterLines="50" w:line="360" w:lineRule="auto"/>
        <w:ind w:left="1610" w:hanging="1610"/>
        <w:rPr>
          <w:rFonts w:ascii="宋体" w:hAnsi="宋体" w:eastAsia="宋体"/>
        </w:rPr>
      </w:pPr>
      <w:bookmarkStart w:id="258" w:name="_Toc494721120"/>
      <w:bookmarkStart w:id="259" w:name="_Toc494665020"/>
      <w:bookmarkStart w:id="260" w:name="_Toc494665970"/>
      <w:bookmarkStart w:id="261" w:name="_Toc494702290"/>
      <w:bookmarkStart w:id="262" w:name="_Toc495861569"/>
      <w:bookmarkStart w:id="263" w:name="_Toc494665573"/>
      <w:bookmarkStart w:id="264" w:name="_Toc494745337"/>
      <w:bookmarkStart w:id="265" w:name="_Toc329859066"/>
      <w:r>
        <w:rPr>
          <w:rFonts w:hint="eastAsia" w:ascii="宋体" w:hAnsi="宋体" w:eastAsia="宋体"/>
        </w:rPr>
        <w:t>技术、服务要求“★”号条款响应、偏离说明表</w:t>
      </w:r>
      <w:bookmarkEnd w:id="258"/>
      <w:bookmarkEnd w:id="259"/>
      <w:bookmarkEnd w:id="260"/>
      <w:bookmarkEnd w:id="261"/>
      <w:bookmarkEnd w:id="262"/>
      <w:bookmarkEnd w:id="263"/>
      <w:bookmarkEnd w:id="26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65"/>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4"/>
        </w:numPr>
        <w:spacing w:before="100" w:beforeAutospacing="1" w:afterLines="50" w:line="360" w:lineRule="auto"/>
        <w:ind w:left="1610" w:hanging="1610"/>
        <w:rPr>
          <w:rFonts w:ascii="宋体" w:hAnsi="宋体" w:eastAsia="宋体"/>
        </w:rPr>
      </w:pPr>
      <w:bookmarkStart w:id="266" w:name="_Toc494665574"/>
      <w:bookmarkStart w:id="267" w:name="_Toc494745338"/>
      <w:bookmarkStart w:id="268" w:name="_Toc494665021"/>
      <w:bookmarkStart w:id="269" w:name="_Toc494665971"/>
      <w:bookmarkStart w:id="270" w:name="_Toc494721121"/>
      <w:bookmarkStart w:id="271" w:name="_Toc495861570"/>
      <w:bookmarkStart w:id="272" w:name="_Toc494702291"/>
      <w:r>
        <w:rPr>
          <w:rFonts w:hint="eastAsia" w:ascii="宋体" w:hAnsi="宋体" w:eastAsia="宋体"/>
        </w:rPr>
        <w:t>技术、服务评议对照表</w:t>
      </w:r>
      <w:bookmarkEnd w:id="266"/>
      <w:bookmarkEnd w:id="267"/>
      <w:bookmarkEnd w:id="268"/>
      <w:bookmarkEnd w:id="269"/>
      <w:bookmarkEnd w:id="270"/>
      <w:bookmarkEnd w:id="271"/>
      <w:bookmarkEnd w:id="27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2"/>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w:t>
    </w:r>
    <w:r>
      <w:rPr>
        <w:rFonts w:hint="eastAsia" w:asciiTheme="minorEastAsia" w:hAnsiTheme="minorEastAsia"/>
        <w:u w:val="single"/>
        <w:lang w:eastAsia="zh-CN"/>
      </w:rPr>
      <w:t>深圳群伦项目管理有限公司</w:t>
    </w:r>
    <w:r>
      <w:rPr>
        <w:rFonts w:hint="eastAsia" w:asciiTheme="minorEastAsia" w:hAnsiTheme="minorEastAsia"/>
      </w:rPr>
      <w:t>制</w:t>
    </w:r>
  </w:p>
  <w:p>
    <w:pPr>
      <w:pStyle w:val="12"/>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33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000000" w:themeColor="text1" w:sz="0" w:space="1"/>
      </w:pBdr>
      <w:tabs>
        <w:tab w:val="clear" w:pos="4153"/>
      </w:tabs>
      <w:jc w:val="left"/>
      <w:rPr>
        <w:rFonts w:hint="eastAsia" w:eastAsiaTheme="minorEastAsia"/>
        <w:b/>
        <w:u w:val="single"/>
        <w:lang w:eastAsia="zh-CN"/>
      </w:rPr>
    </w:pPr>
    <w:r>
      <w:rPr>
        <w:rFonts w:hint="eastAsia"/>
        <w:b/>
        <w:u w:val="single"/>
      </w:rPr>
      <w:t>项目名称</w:t>
    </w:r>
    <w:r>
      <w:rPr>
        <w:rFonts w:hint="eastAsia" w:asciiTheme="minorEastAsia" w:hAnsiTheme="minorEastAsia"/>
        <w:b/>
        <w:u w:val="single"/>
      </w:rPr>
      <w:t>：</w:t>
    </w:r>
    <w:r>
      <w:rPr>
        <w:rFonts w:hint="eastAsia"/>
        <w:b/>
        <w:u w:val="single"/>
        <w:lang w:eastAsia="zh-CN"/>
      </w:rPr>
      <w:t>阳新县人民医院彩色多普勒超声诊断系统采购项目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929FA9"/>
    <w:multiLevelType w:val="singleLevel"/>
    <w:tmpl w:val="9E929FA9"/>
    <w:lvl w:ilvl="0" w:tentative="0">
      <w:start w:val="4"/>
      <w:numFmt w:val="decimal"/>
      <w:suff w:val="space"/>
      <w:lvlText w:val="%1、"/>
      <w:lvlJc w:val="left"/>
    </w:lvl>
  </w:abstractNum>
  <w:abstractNum w:abstractNumId="1">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4CC2663"/>
    <w:multiLevelType w:val="multilevel"/>
    <w:tmpl w:val="04CC2663"/>
    <w:lvl w:ilvl="0" w:tentative="0">
      <w:start w:val="1"/>
      <w:numFmt w:val="decimal"/>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7">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1">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4">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5">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8">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9">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0">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1">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3">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7">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1">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7">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8">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9">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2">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4">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9">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0">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1">
    <w:nsid w:val="5F504802"/>
    <w:multiLevelType w:val="multilevel"/>
    <w:tmpl w:val="5F504802"/>
    <w:lvl w:ilvl="0" w:tentative="0">
      <w:start w:val="1"/>
      <w:numFmt w:val="decimal"/>
      <w:lvlText w:val="20.1.%1 "/>
      <w:lvlJc w:val="left"/>
      <w:pPr>
        <w:ind w:left="562" w:hanging="420"/>
      </w:pPr>
      <w:rPr>
        <w:rFonts w:hint="eastAsia" w:ascii="楷体" w:hAnsi="楷体" w:eastAsia="楷体"/>
        <w:b w:val="0"/>
        <w:strike w:val="0"/>
        <w:dstrike w:val="0"/>
        <w:color w:val="auto"/>
        <w:u w:val="none"/>
      </w:rPr>
    </w:lvl>
    <w:lvl w:ilvl="1" w:tentative="0">
      <w:start w:val="1"/>
      <w:numFmt w:val="lowerLetter"/>
      <w:lvlText w:val="%2)"/>
      <w:lvlJc w:val="left"/>
      <w:pPr>
        <w:ind w:left="779" w:hanging="420"/>
      </w:pPr>
    </w:lvl>
    <w:lvl w:ilvl="2" w:tentative="0">
      <w:start w:val="1"/>
      <w:numFmt w:val="lowerRoman"/>
      <w:lvlText w:val="%3."/>
      <w:lvlJc w:val="right"/>
      <w:pPr>
        <w:ind w:left="1199" w:hanging="420"/>
      </w:pPr>
    </w:lvl>
    <w:lvl w:ilvl="3" w:tentative="0">
      <w:start w:val="1"/>
      <w:numFmt w:val="decimal"/>
      <w:lvlText w:val="%4."/>
      <w:lvlJc w:val="left"/>
      <w:pPr>
        <w:ind w:left="1619" w:hanging="420"/>
      </w:pPr>
    </w:lvl>
    <w:lvl w:ilvl="4" w:tentative="0">
      <w:start w:val="1"/>
      <w:numFmt w:val="lowerLetter"/>
      <w:lvlText w:val="%5)"/>
      <w:lvlJc w:val="left"/>
      <w:pPr>
        <w:ind w:left="2039" w:hanging="420"/>
      </w:pPr>
    </w:lvl>
    <w:lvl w:ilvl="5" w:tentative="0">
      <w:start w:val="1"/>
      <w:numFmt w:val="lowerRoman"/>
      <w:lvlText w:val="%6."/>
      <w:lvlJc w:val="right"/>
      <w:pPr>
        <w:ind w:left="2459" w:hanging="420"/>
      </w:pPr>
    </w:lvl>
    <w:lvl w:ilvl="6" w:tentative="0">
      <w:start w:val="1"/>
      <w:numFmt w:val="decimal"/>
      <w:lvlText w:val="%7."/>
      <w:lvlJc w:val="left"/>
      <w:pPr>
        <w:ind w:left="2879" w:hanging="420"/>
      </w:pPr>
    </w:lvl>
    <w:lvl w:ilvl="7" w:tentative="0">
      <w:start w:val="1"/>
      <w:numFmt w:val="lowerLetter"/>
      <w:lvlText w:val="%8)"/>
      <w:lvlJc w:val="left"/>
      <w:pPr>
        <w:ind w:left="3299" w:hanging="420"/>
      </w:pPr>
    </w:lvl>
    <w:lvl w:ilvl="8" w:tentative="0">
      <w:start w:val="1"/>
      <w:numFmt w:val="lowerRoman"/>
      <w:lvlText w:val="%9."/>
      <w:lvlJc w:val="right"/>
      <w:pPr>
        <w:ind w:left="3719" w:hanging="420"/>
      </w:pPr>
    </w:lvl>
  </w:abstractNum>
  <w:abstractNum w:abstractNumId="52">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386669A"/>
    <w:multiLevelType w:val="singleLevel"/>
    <w:tmpl w:val="6386669A"/>
    <w:lvl w:ilvl="0" w:tentative="0">
      <w:start w:val="1"/>
      <w:numFmt w:val="chineseCounting"/>
      <w:suff w:val="nothing"/>
      <w:lvlText w:val="%1、"/>
      <w:lvlJc w:val="left"/>
      <w:rPr>
        <w:rFonts w:hint="eastAsia"/>
      </w:rPr>
    </w:lvl>
  </w:abstractNum>
  <w:abstractNum w:abstractNumId="54">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5">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6B81BFFD"/>
    <w:multiLevelType w:val="singleLevel"/>
    <w:tmpl w:val="6B81BFFD"/>
    <w:lvl w:ilvl="0" w:tentative="0">
      <w:start w:val="4"/>
      <w:numFmt w:val="chineseCounting"/>
      <w:suff w:val="nothing"/>
      <w:lvlText w:val="%1、"/>
      <w:lvlJc w:val="left"/>
      <w:rPr>
        <w:rFonts w:hint="eastAsia"/>
      </w:rPr>
    </w:lvl>
  </w:abstractNum>
  <w:abstractNum w:abstractNumId="58">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60">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3">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4">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7">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2"/>
  </w:num>
  <w:num w:numId="2">
    <w:abstractNumId w:val="57"/>
  </w:num>
  <w:num w:numId="3">
    <w:abstractNumId w:val="31"/>
  </w:num>
  <w:num w:numId="4">
    <w:abstractNumId w:val="45"/>
  </w:num>
  <w:num w:numId="5">
    <w:abstractNumId w:val="3"/>
  </w:num>
  <w:num w:numId="6">
    <w:abstractNumId w:val="39"/>
  </w:num>
  <w:num w:numId="7">
    <w:abstractNumId w:val="16"/>
  </w:num>
  <w:num w:numId="8">
    <w:abstractNumId w:val="7"/>
  </w:num>
  <w:num w:numId="9">
    <w:abstractNumId w:val="54"/>
  </w:num>
  <w:num w:numId="10">
    <w:abstractNumId w:val="33"/>
  </w:num>
  <w:num w:numId="11">
    <w:abstractNumId w:val="48"/>
  </w:num>
  <w:num w:numId="12">
    <w:abstractNumId w:val="30"/>
  </w:num>
  <w:num w:numId="13">
    <w:abstractNumId w:val="6"/>
  </w:num>
  <w:num w:numId="14">
    <w:abstractNumId w:val="23"/>
  </w:num>
  <w:num w:numId="15">
    <w:abstractNumId w:val="24"/>
  </w:num>
  <w:num w:numId="16">
    <w:abstractNumId w:val="10"/>
  </w:num>
  <w:num w:numId="17">
    <w:abstractNumId w:val="9"/>
  </w:num>
  <w:num w:numId="18">
    <w:abstractNumId w:val="64"/>
  </w:num>
  <w:num w:numId="19">
    <w:abstractNumId w:val="11"/>
  </w:num>
  <w:num w:numId="20">
    <w:abstractNumId w:val="29"/>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67"/>
  </w:num>
  <w:num w:numId="25">
    <w:abstractNumId w:val="46"/>
  </w:num>
  <w:num w:numId="26">
    <w:abstractNumId w:val="60"/>
  </w:num>
  <w:num w:numId="27">
    <w:abstractNumId w:val="65"/>
  </w:num>
  <w:num w:numId="28">
    <w:abstractNumId w:val="44"/>
  </w:num>
  <w:num w:numId="29">
    <w:abstractNumId w:val="8"/>
  </w:num>
  <w:num w:numId="30">
    <w:abstractNumId w:val="20"/>
  </w:num>
  <w:num w:numId="31">
    <w:abstractNumId w:val="61"/>
  </w:num>
  <w:num w:numId="32">
    <w:abstractNumId w:val="55"/>
  </w:num>
  <w:num w:numId="33">
    <w:abstractNumId w:val="37"/>
  </w:num>
  <w:num w:numId="34">
    <w:abstractNumId w:val="52"/>
  </w:num>
  <w:num w:numId="35">
    <w:abstractNumId w:val="25"/>
  </w:num>
  <w:num w:numId="36">
    <w:abstractNumId w:val="56"/>
  </w:num>
  <w:num w:numId="37">
    <w:abstractNumId w:val="2"/>
  </w:num>
  <w:num w:numId="38">
    <w:abstractNumId w:val="53"/>
  </w:num>
  <w:num w:numId="39">
    <w:abstractNumId w:val="0"/>
  </w:num>
  <w:num w:numId="40">
    <w:abstractNumId w:val="5"/>
  </w:num>
  <w:num w:numId="41">
    <w:abstractNumId w:val="47"/>
  </w:num>
  <w:num w:numId="42">
    <w:abstractNumId w:val="27"/>
  </w:num>
  <w:num w:numId="43">
    <w:abstractNumId w:val="43"/>
  </w:num>
  <w:num w:numId="44">
    <w:abstractNumId w:val="32"/>
  </w:num>
  <w:num w:numId="45">
    <w:abstractNumId w:val="40"/>
  </w:num>
  <w:num w:numId="46">
    <w:abstractNumId w:val="34"/>
  </w:num>
  <w:num w:numId="47">
    <w:abstractNumId w:val="18"/>
  </w:num>
  <w:num w:numId="48">
    <w:abstractNumId w:val="50"/>
  </w:num>
  <w:num w:numId="49">
    <w:abstractNumId w:val="68"/>
  </w:num>
  <w:num w:numId="50">
    <w:abstractNumId w:val="19"/>
  </w:num>
  <w:num w:numId="51">
    <w:abstractNumId w:val="17"/>
  </w:num>
  <w:num w:numId="52">
    <w:abstractNumId w:val="1"/>
  </w:num>
  <w:num w:numId="53">
    <w:abstractNumId w:val="49"/>
    <w:lvlOverride w:ilvl="0">
      <w:startOverride w:val="1"/>
    </w:lvlOverride>
  </w:num>
  <w:num w:numId="54">
    <w:abstractNumId w:val="14"/>
  </w:num>
  <w:num w:numId="55">
    <w:abstractNumId w:val="26"/>
  </w:num>
  <w:num w:numId="56">
    <w:abstractNumId w:val="66"/>
  </w:num>
  <w:num w:numId="57">
    <w:abstractNumId w:val="59"/>
  </w:num>
  <w:num w:numId="58">
    <w:abstractNumId w:val="41"/>
  </w:num>
  <w:num w:numId="59">
    <w:abstractNumId w:val="13"/>
  </w:num>
  <w:num w:numId="60">
    <w:abstractNumId w:val="22"/>
  </w:num>
  <w:num w:numId="61">
    <w:abstractNumId w:val="62"/>
  </w:num>
  <w:num w:numId="62">
    <w:abstractNumId w:val="36"/>
  </w:num>
  <w:num w:numId="63">
    <w:abstractNumId w:val="63"/>
  </w:num>
  <w:num w:numId="64">
    <w:abstractNumId w:val="12"/>
  </w:num>
  <w:num w:numId="65">
    <w:abstractNumId w:val="58"/>
  </w:num>
  <w:num w:numId="66">
    <w:abstractNumId w:val="21"/>
  </w:num>
  <w:num w:numId="67">
    <w:abstractNumId w:val="4"/>
  </w:num>
  <w:num w:numId="68">
    <w:abstractNumId w:val="15"/>
  </w:num>
  <w:num w:numId="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02D40"/>
    <w:rsid w:val="00016562"/>
    <w:rsid w:val="00017BE8"/>
    <w:rsid w:val="00020344"/>
    <w:rsid w:val="00033032"/>
    <w:rsid w:val="00036A8C"/>
    <w:rsid w:val="00040B72"/>
    <w:rsid w:val="00042640"/>
    <w:rsid w:val="00046CAA"/>
    <w:rsid w:val="000658A4"/>
    <w:rsid w:val="00075213"/>
    <w:rsid w:val="0007595C"/>
    <w:rsid w:val="00077E85"/>
    <w:rsid w:val="000812D6"/>
    <w:rsid w:val="00081EFC"/>
    <w:rsid w:val="000855FE"/>
    <w:rsid w:val="0008587E"/>
    <w:rsid w:val="00092450"/>
    <w:rsid w:val="00095415"/>
    <w:rsid w:val="000B1EA5"/>
    <w:rsid w:val="000B3053"/>
    <w:rsid w:val="000B42CE"/>
    <w:rsid w:val="000C1DBB"/>
    <w:rsid w:val="000C2224"/>
    <w:rsid w:val="000C46E9"/>
    <w:rsid w:val="000D274B"/>
    <w:rsid w:val="000E0271"/>
    <w:rsid w:val="000E36E2"/>
    <w:rsid w:val="000E4686"/>
    <w:rsid w:val="000F64E0"/>
    <w:rsid w:val="00100585"/>
    <w:rsid w:val="00102CDB"/>
    <w:rsid w:val="00105BC5"/>
    <w:rsid w:val="00107608"/>
    <w:rsid w:val="00122C84"/>
    <w:rsid w:val="00131900"/>
    <w:rsid w:val="00133220"/>
    <w:rsid w:val="001338E8"/>
    <w:rsid w:val="001641C9"/>
    <w:rsid w:val="00173975"/>
    <w:rsid w:val="00177C62"/>
    <w:rsid w:val="00185E9A"/>
    <w:rsid w:val="001A0AB1"/>
    <w:rsid w:val="001A1335"/>
    <w:rsid w:val="001A2B2A"/>
    <w:rsid w:val="001A54E8"/>
    <w:rsid w:val="001B03BB"/>
    <w:rsid w:val="001B38CD"/>
    <w:rsid w:val="001B6C3D"/>
    <w:rsid w:val="001C1A58"/>
    <w:rsid w:val="001C7B23"/>
    <w:rsid w:val="001D2460"/>
    <w:rsid w:val="001D3EE7"/>
    <w:rsid w:val="001D4BF5"/>
    <w:rsid w:val="001D6085"/>
    <w:rsid w:val="001D7598"/>
    <w:rsid w:val="001E157C"/>
    <w:rsid w:val="001E5D69"/>
    <w:rsid w:val="001E7CEA"/>
    <w:rsid w:val="001F002C"/>
    <w:rsid w:val="002002B5"/>
    <w:rsid w:val="00211625"/>
    <w:rsid w:val="00220470"/>
    <w:rsid w:val="00222B0D"/>
    <w:rsid w:val="00223408"/>
    <w:rsid w:val="002234E8"/>
    <w:rsid w:val="002334D5"/>
    <w:rsid w:val="00236772"/>
    <w:rsid w:val="002426EA"/>
    <w:rsid w:val="002446C6"/>
    <w:rsid w:val="0026342E"/>
    <w:rsid w:val="00265D6A"/>
    <w:rsid w:val="00273CC3"/>
    <w:rsid w:val="00276CFD"/>
    <w:rsid w:val="002774C0"/>
    <w:rsid w:val="00277541"/>
    <w:rsid w:val="00282BB3"/>
    <w:rsid w:val="00293211"/>
    <w:rsid w:val="002949F9"/>
    <w:rsid w:val="00295F64"/>
    <w:rsid w:val="002B3F35"/>
    <w:rsid w:val="002B5D25"/>
    <w:rsid w:val="002B7581"/>
    <w:rsid w:val="002C38E4"/>
    <w:rsid w:val="002C7FA6"/>
    <w:rsid w:val="002D07BB"/>
    <w:rsid w:val="002D3BCA"/>
    <w:rsid w:val="002D412B"/>
    <w:rsid w:val="002E09C6"/>
    <w:rsid w:val="002E2DBD"/>
    <w:rsid w:val="002E46D6"/>
    <w:rsid w:val="002F7703"/>
    <w:rsid w:val="003108ED"/>
    <w:rsid w:val="00310B7E"/>
    <w:rsid w:val="00310F98"/>
    <w:rsid w:val="00314B08"/>
    <w:rsid w:val="00315B2B"/>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21F4"/>
    <w:rsid w:val="00383221"/>
    <w:rsid w:val="00386E0E"/>
    <w:rsid w:val="00393E94"/>
    <w:rsid w:val="003A1DED"/>
    <w:rsid w:val="003B0D5A"/>
    <w:rsid w:val="003B4F8E"/>
    <w:rsid w:val="003B718F"/>
    <w:rsid w:val="003B7A0D"/>
    <w:rsid w:val="003C2008"/>
    <w:rsid w:val="003C2241"/>
    <w:rsid w:val="003C6083"/>
    <w:rsid w:val="003D1759"/>
    <w:rsid w:val="003D5E80"/>
    <w:rsid w:val="003E0B35"/>
    <w:rsid w:val="003E5643"/>
    <w:rsid w:val="003F076C"/>
    <w:rsid w:val="003F2B92"/>
    <w:rsid w:val="003F3007"/>
    <w:rsid w:val="0040329E"/>
    <w:rsid w:val="0040679C"/>
    <w:rsid w:val="00406BC4"/>
    <w:rsid w:val="004110F8"/>
    <w:rsid w:val="00413D71"/>
    <w:rsid w:val="00414A80"/>
    <w:rsid w:val="004161BA"/>
    <w:rsid w:val="0042169F"/>
    <w:rsid w:val="004349F3"/>
    <w:rsid w:val="0043503C"/>
    <w:rsid w:val="00436CC2"/>
    <w:rsid w:val="004475F1"/>
    <w:rsid w:val="00451751"/>
    <w:rsid w:val="00456E3D"/>
    <w:rsid w:val="00457308"/>
    <w:rsid w:val="004605F3"/>
    <w:rsid w:val="00461DFE"/>
    <w:rsid w:val="00476E59"/>
    <w:rsid w:val="00484C57"/>
    <w:rsid w:val="004871A8"/>
    <w:rsid w:val="004912A5"/>
    <w:rsid w:val="004A4F81"/>
    <w:rsid w:val="004B0CC2"/>
    <w:rsid w:val="004B118F"/>
    <w:rsid w:val="004B4BED"/>
    <w:rsid w:val="004C1027"/>
    <w:rsid w:val="004C214B"/>
    <w:rsid w:val="004C62F7"/>
    <w:rsid w:val="004C750B"/>
    <w:rsid w:val="004D548F"/>
    <w:rsid w:val="004E00F2"/>
    <w:rsid w:val="004E3B18"/>
    <w:rsid w:val="004E40B4"/>
    <w:rsid w:val="004E48AF"/>
    <w:rsid w:val="004E5A44"/>
    <w:rsid w:val="004F21F4"/>
    <w:rsid w:val="004F3B73"/>
    <w:rsid w:val="004F43AD"/>
    <w:rsid w:val="005025B6"/>
    <w:rsid w:val="00511E96"/>
    <w:rsid w:val="0051229B"/>
    <w:rsid w:val="005130B9"/>
    <w:rsid w:val="0051781B"/>
    <w:rsid w:val="00522A02"/>
    <w:rsid w:val="00522D80"/>
    <w:rsid w:val="00525A93"/>
    <w:rsid w:val="005343DA"/>
    <w:rsid w:val="005437D7"/>
    <w:rsid w:val="005445A9"/>
    <w:rsid w:val="00545B0F"/>
    <w:rsid w:val="00545EDA"/>
    <w:rsid w:val="00552BFE"/>
    <w:rsid w:val="00556850"/>
    <w:rsid w:val="00557511"/>
    <w:rsid w:val="00560FA5"/>
    <w:rsid w:val="00566563"/>
    <w:rsid w:val="00573437"/>
    <w:rsid w:val="0057573F"/>
    <w:rsid w:val="00580FFF"/>
    <w:rsid w:val="005813AA"/>
    <w:rsid w:val="0058585A"/>
    <w:rsid w:val="005865A5"/>
    <w:rsid w:val="005967BA"/>
    <w:rsid w:val="005A58A0"/>
    <w:rsid w:val="005A7923"/>
    <w:rsid w:val="005A7CA7"/>
    <w:rsid w:val="005B12FC"/>
    <w:rsid w:val="005B3EB5"/>
    <w:rsid w:val="005B6D3E"/>
    <w:rsid w:val="005B713A"/>
    <w:rsid w:val="005C31D8"/>
    <w:rsid w:val="005D6632"/>
    <w:rsid w:val="005D6D24"/>
    <w:rsid w:val="005E2664"/>
    <w:rsid w:val="005E3CD4"/>
    <w:rsid w:val="005F1528"/>
    <w:rsid w:val="005F1588"/>
    <w:rsid w:val="005F2449"/>
    <w:rsid w:val="00601112"/>
    <w:rsid w:val="00601990"/>
    <w:rsid w:val="00605C0D"/>
    <w:rsid w:val="00614821"/>
    <w:rsid w:val="00617E7B"/>
    <w:rsid w:val="00623CBB"/>
    <w:rsid w:val="006302AC"/>
    <w:rsid w:val="0063362D"/>
    <w:rsid w:val="00640D44"/>
    <w:rsid w:val="006440C5"/>
    <w:rsid w:val="0064700C"/>
    <w:rsid w:val="00651541"/>
    <w:rsid w:val="00663B35"/>
    <w:rsid w:val="00666B23"/>
    <w:rsid w:val="0067786F"/>
    <w:rsid w:val="00680A96"/>
    <w:rsid w:val="006854AE"/>
    <w:rsid w:val="00690659"/>
    <w:rsid w:val="006A2B14"/>
    <w:rsid w:val="006A6A07"/>
    <w:rsid w:val="006A6C1D"/>
    <w:rsid w:val="006A6C51"/>
    <w:rsid w:val="006A7A3D"/>
    <w:rsid w:val="006C00CA"/>
    <w:rsid w:val="006C0B5F"/>
    <w:rsid w:val="006C0B7B"/>
    <w:rsid w:val="006C1AF1"/>
    <w:rsid w:val="006C6FDC"/>
    <w:rsid w:val="006D1D6E"/>
    <w:rsid w:val="006F0D07"/>
    <w:rsid w:val="00702F6F"/>
    <w:rsid w:val="007135DD"/>
    <w:rsid w:val="007158A1"/>
    <w:rsid w:val="00715E44"/>
    <w:rsid w:val="00722075"/>
    <w:rsid w:val="00723103"/>
    <w:rsid w:val="00725899"/>
    <w:rsid w:val="00725F67"/>
    <w:rsid w:val="007308BA"/>
    <w:rsid w:val="007318D6"/>
    <w:rsid w:val="00731B1A"/>
    <w:rsid w:val="00732E91"/>
    <w:rsid w:val="00737211"/>
    <w:rsid w:val="00742DD3"/>
    <w:rsid w:val="007575FF"/>
    <w:rsid w:val="0077270B"/>
    <w:rsid w:val="00773A2C"/>
    <w:rsid w:val="00774EB7"/>
    <w:rsid w:val="00775A96"/>
    <w:rsid w:val="00780DBA"/>
    <w:rsid w:val="00782541"/>
    <w:rsid w:val="00784AEB"/>
    <w:rsid w:val="00784ED7"/>
    <w:rsid w:val="00786E84"/>
    <w:rsid w:val="00787DAB"/>
    <w:rsid w:val="007A27DA"/>
    <w:rsid w:val="007A2D91"/>
    <w:rsid w:val="007A427D"/>
    <w:rsid w:val="007A4F23"/>
    <w:rsid w:val="007A6B84"/>
    <w:rsid w:val="007A6F5F"/>
    <w:rsid w:val="007C0DA7"/>
    <w:rsid w:val="007C132C"/>
    <w:rsid w:val="007C1D03"/>
    <w:rsid w:val="007D053D"/>
    <w:rsid w:val="007D72CF"/>
    <w:rsid w:val="007E3D3C"/>
    <w:rsid w:val="007F504A"/>
    <w:rsid w:val="007F6863"/>
    <w:rsid w:val="007F6F97"/>
    <w:rsid w:val="00802536"/>
    <w:rsid w:val="00804419"/>
    <w:rsid w:val="0081114F"/>
    <w:rsid w:val="008166C4"/>
    <w:rsid w:val="00816910"/>
    <w:rsid w:val="00820E08"/>
    <w:rsid w:val="00821E3D"/>
    <w:rsid w:val="0082486D"/>
    <w:rsid w:val="00835FDE"/>
    <w:rsid w:val="008456E3"/>
    <w:rsid w:val="00845DF8"/>
    <w:rsid w:val="00852604"/>
    <w:rsid w:val="00863EDD"/>
    <w:rsid w:val="00866FCC"/>
    <w:rsid w:val="00876E59"/>
    <w:rsid w:val="00877211"/>
    <w:rsid w:val="0088586B"/>
    <w:rsid w:val="008879F9"/>
    <w:rsid w:val="008906B3"/>
    <w:rsid w:val="008966BE"/>
    <w:rsid w:val="008A30BA"/>
    <w:rsid w:val="008B4F32"/>
    <w:rsid w:val="008B5601"/>
    <w:rsid w:val="008B6529"/>
    <w:rsid w:val="008C23E3"/>
    <w:rsid w:val="008D35F1"/>
    <w:rsid w:val="008D3612"/>
    <w:rsid w:val="008D5777"/>
    <w:rsid w:val="008D7D59"/>
    <w:rsid w:val="008E2203"/>
    <w:rsid w:val="008F1B81"/>
    <w:rsid w:val="008F3383"/>
    <w:rsid w:val="009020C7"/>
    <w:rsid w:val="0090240A"/>
    <w:rsid w:val="00903A2D"/>
    <w:rsid w:val="00907388"/>
    <w:rsid w:val="00914F14"/>
    <w:rsid w:val="009166FD"/>
    <w:rsid w:val="00930734"/>
    <w:rsid w:val="009334F9"/>
    <w:rsid w:val="00933750"/>
    <w:rsid w:val="00935E05"/>
    <w:rsid w:val="0093723A"/>
    <w:rsid w:val="009402E6"/>
    <w:rsid w:val="00943F98"/>
    <w:rsid w:val="00947542"/>
    <w:rsid w:val="00954A2F"/>
    <w:rsid w:val="00955AC9"/>
    <w:rsid w:val="00956AAC"/>
    <w:rsid w:val="00967D22"/>
    <w:rsid w:val="0097080D"/>
    <w:rsid w:val="009714FE"/>
    <w:rsid w:val="00973398"/>
    <w:rsid w:val="00982AD3"/>
    <w:rsid w:val="009849C0"/>
    <w:rsid w:val="00985CFC"/>
    <w:rsid w:val="0098774A"/>
    <w:rsid w:val="00990D0C"/>
    <w:rsid w:val="009944A9"/>
    <w:rsid w:val="00996DEE"/>
    <w:rsid w:val="009A0C8D"/>
    <w:rsid w:val="009B11C0"/>
    <w:rsid w:val="009B3048"/>
    <w:rsid w:val="009B3424"/>
    <w:rsid w:val="009D33F8"/>
    <w:rsid w:val="009D36C0"/>
    <w:rsid w:val="009E04AF"/>
    <w:rsid w:val="009E2B86"/>
    <w:rsid w:val="009E6D3C"/>
    <w:rsid w:val="009F522E"/>
    <w:rsid w:val="009F5327"/>
    <w:rsid w:val="00A013C3"/>
    <w:rsid w:val="00A0172F"/>
    <w:rsid w:val="00A0485B"/>
    <w:rsid w:val="00A05AF5"/>
    <w:rsid w:val="00A0777C"/>
    <w:rsid w:val="00A116CE"/>
    <w:rsid w:val="00A1585C"/>
    <w:rsid w:val="00A16E33"/>
    <w:rsid w:val="00A27BC0"/>
    <w:rsid w:val="00A30AE5"/>
    <w:rsid w:val="00A30DFD"/>
    <w:rsid w:val="00A33A80"/>
    <w:rsid w:val="00A3568F"/>
    <w:rsid w:val="00A36FFA"/>
    <w:rsid w:val="00A40BC9"/>
    <w:rsid w:val="00A46DEF"/>
    <w:rsid w:val="00A5026C"/>
    <w:rsid w:val="00A51D8F"/>
    <w:rsid w:val="00A52A2B"/>
    <w:rsid w:val="00A62860"/>
    <w:rsid w:val="00A678FB"/>
    <w:rsid w:val="00A813D2"/>
    <w:rsid w:val="00A837A7"/>
    <w:rsid w:val="00A879DB"/>
    <w:rsid w:val="00A92A55"/>
    <w:rsid w:val="00AB2B17"/>
    <w:rsid w:val="00AB3343"/>
    <w:rsid w:val="00AC1ADB"/>
    <w:rsid w:val="00AC399F"/>
    <w:rsid w:val="00AC584B"/>
    <w:rsid w:val="00AD18FC"/>
    <w:rsid w:val="00AD52A3"/>
    <w:rsid w:val="00AD634F"/>
    <w:rsid w:val="00AE02A5"/>
    <w:rsid w:val="00AF18BF"/>
    <w:rsid w:val="00B002B6"/>
    <w:rsid w:val="00B0070A"/>
    <w:rsid w:val="00B161F2"/>
    <w:rsid w:val="00B20FD9"/>
    <w:rsid w:val="00B36D9B"/>
    <w:rsid w:val="00B37F1F"/>
    <w:rsid w:val="00B4413E"/>
    <w:rsid w:val="00B52520"/>
    <w:rsid w:val="00B67CCB"/>
    <w:rsid w:val="00B73233"/>
    <w:rsid w:val="00B73CD6"/>
    <w:rsid w:val="00B80369"/>
    <w:rsid w:val="00B84A3B"/>
    <w:rsid w:val="00B93416"/>
    <w:rsid w:val="00B956F2"/>
    <w:rsid w:val="00B96DE4"/>
    <w:rsid w:val="00BA438A"/>
    <w:rsid w:val="00BA4681"/>
    <w:rsid w:val="00BB5021"/>
    <w:rsid w:val="00BB78CC"/>
    <w:rsid w:val="00BC2268"/>
    <w:rsid w:val="00BC386C"/>
    <w:rsid w:val="00BC3AA1"/>
    <w:rsid w:val="00BC3C81"/>
    <w:rsid w:val="00BC6967"/>
    <w:rsid w:val="00BD0C54"/>
    <w:rsid w:val="00BD2144"/>
    <w:rsid w:val="00BD62C1"/>
    <w:rsid w:val="00BD681B"/>
    <w:rsid w:val="00BE3563"/>
    <w:rsid w:val="00BF5732"/>
    <w:rsid w:val="00C0257A"/>
    <w:rsid w:val="00C040D1"/>
    <w:rsid w:val="00C05B9A"/>
    <w:rsid w:val="00C139A6"/>
    <w:rsid w:val="00C1592E"/>
    <w:rsid w:val="00C37FEA"/>
    <w:rsid w:val="00C4038F"/>
    <w:rsid w:val="00C404FE"/>
    <w:rsid w:val="00C43620"/>
    <w:rsid w:val="00C469B0"/>
    <w:rsid w:val="00C52140"/>
    <w:rsid w:val="00C64D3E"/>
    <w:rsid w:val="00C6612A"/>
    <w:rsid w:val="00C6643D"/>
    <w:rsid w:val="00C6680F"/>
    <w:rsid w:val="00C66ACC"/>
    <w:rsid w:val="00C72415"/>
    <w:rsid w:val="00C77E82"/>
    <w:rsid w:val="00C8468C"/>
    <w:rsid w:val="00C90E37"/>
    <w:rsid w:val="00C9289E"/>
    <w:rsid w:val="00C92F51"/>
    <w:rsid w:val="00CA0EE5"/>
    <w:rsid w:val="00CA0F95"/>
    <w:rsid w:val="00CB10F9"/>
    <w:rsid w:val="00CB3DF8"/>
    <w:rsid w:val="00CB413B"/>
    <w:rsid w:val="00CE2A32"/>
    <w:rsid w:val="00CF76A5"/>
    <w:rsid w:val="00D04EB4"/>
    <w:rsid w:val="00D123DC"/>
    <w:rsid w:val="00D13A17"/>
    <w:rsid w:val="00D14987"/>
    <w:rsid w:val="00D14E3A"/>
    <w:rsid w:val="00D204F5"/>
    <w:rsid w:val="00D32F66"/>
    <w:rsid w:val="00D47930"/>
    <w:rsid w:val="00D5042D"/>
    <w:rsid w:val="00D64AB9"/>
    <w:rsid w:val="00D65037"/>
    <w:rsid w:val="00D7177A"/>
    <w:rsid w:val="00D90694"/>
    <w:rsid w:val="00D9318A"/>
    <w:rsid w:val="00D94CD4"/>
    <w:rsid w:val="00DA4143"/>
    <w:rsid w:val="00DB00B6"/>
    <w:rsid w:val="00DB3C8A"/>
    <w:rsid w:val="00DB45E8"/>
    <w:rsid w:val="00DB6984"/>
    <w:rsid w:val="00DC0D68"/>
    <w:rsid w:val="00DC4938"/>
    <w:rsid w:val="00DD25CD"/>
    <w:rsid w:val="00DD6657"/>
    <w:rsid w:val="00DD69C1"/>
    <w:rsid w:val="00DE4A9E"/>
    <w:rsid w:val="00DF77F1"/>
    <w:rsid w:val="00E02B75"/>
    <w:rsid w:val="00E05B42"/>
    <w:rsid w:val="00E14D3C"/>
    <w:rsid w:val="00E15A50"/>
    <w:rsid w:val="00E22388"/>
    <w:rsid w:val="00E23510"/>
    <w:rsid w:val="00E2369D"/>
    <w:rsid w:val="00E32C21"/>
    <w:rsid w:val="00E34D2C"/>
    <w:rsid w:val="00E3763E"/>
    <w:rsid w:val="00E41743"/>
    <w:rsid w:val="00E45675"/>
    <w:rsid w:val="00E46441"/>
    <w:rsid w:val="00E516C0"/>
    <w:rsid w:val="00E54453"/>
    <w:rsid w:val="00E54FFA"/>
    <w:rsid w:val="00E71EB0"/>
    <w:rsid w:val="00E76F1B"/>
    <w:rsid w:val="00E85CC4"/>
    <w:rsid w:val="00E951DF"/>
    <w:rsid w:val="00E971BC"/>
    <w:rsid w:val="00EA0C6D"/>
    <w:rsid w:val="00EB1E3A"/>
    <w:rsid w:val="00EB4033"/>
    <w:rsid w:val="00EB482A"/>
    <w:rsid w:val="00ED0545"/>
    <w:rsid w:val="00ED53B7"/>
    <w:rsid w:val="00EE3C83"/>
    <w:rsid w:val="00EE715C"/>
    <w:rsid w:val="00EF7BF0"/>
    <w:rsid w:val="00F04B4C"/>
    <w:rsid w:val="00F05FC4"/>
    <w:rsid w:val="00F152FA"/>
    <w:rsid w:val="00F17360"/>
    <w:rsid w:val="00F22E40"/>
    <w:rsid w:val="00F242DA"/>
    <w:rsid w:val="00F24BF3"/>
    <w:rsid w:val="00F25A4D"/>
    <w:rsid w:val="00F30B5D"/>
    <w:rsid w:val="00F36746"/>
    <w:rsid w:val="00F403DB"/>
    <w:rsid w:val="00F42684"/>
    <w:rsid w:val="00F47226"/>
    <w:rsid w:val="00F54AE6"/>
    <w:rsid w:val="00F5567D"/>
    <w:rsid w:val="00F56CC3"/>
    <w:rsid w:val="00F63420"/>
    <w:rsid w:val="00F71D83"/>
    <w:rsid w:val="00F7567B"/>
    <w:rsid w:val="00F95486"/>
    <w:rsid w:val="00FB2B31"/>
    <w:rsid w:val="00FC2E73"/>
    <w:rsid w:val="00FC492E"/>
    <w:rsid w:val="00FD11DF"/>
    <w:rsid w:val="00FD30DA"/>
    <w:rsid w:val="00FD44A8"/>
    <w:rsid w:val="00FE2024"/>
    <w:rsid w:val="00FE51C1"/>
    <w:rsid w:val="00FE74BE"/>
    <w:rsid w:val="00FF0213"/>
    <w:rsid w:val="00FF328A"/>
    <w:rsid w:val="00FF37FD"/>
    <w:rsid w:val="00FF3C6D"/>
    <w:rsid w:val="00FF4FBA"/>
    <w:rsid w:val="00FF6E00"/>
    <w:rsid w:val="03A73CF4"/>
    <w:rsid w:val="04753635"/>
    <w:rsid w:val="05321762"/>
    <w:rsid w:val="0A6722A5"/>
    <w:rsid w:val="0D6F5C11"/>
    <w:rsid w:val="0EF80799"/>
    <w:rsid w:val="0F094BCA"/>
    <w:rsid w:val="0F1858A5"/>
    <w:rsid w:val="10E27459"/>
    <w:rsid w:val="10E55AF8"/>
    <w:rsid w:val="11923040"/>
    <w:rsid w:val="11957B06"/>
    <w:rsid w:val="14A94CF4"/>
    <w:rsid w:val="159A33B0"/>
    <w:rsid w:val="167F0D15"/>
    <w:rsid w:val="196041C6"/>
    <w:rsid w:val="21301669"/>
    <w:rsid w:val="22AD30BD"/>
    <w:rsid w:val="22E72707"/>
    <w:rsid w:val="236061AB"/>
    <w:rsid w:val="23C273EB"/>
    <w:rsid w:val="24EB3DA2"/>
    <w:rsid w:val="26C2454E"/>
    <w:rsid w:val="26F855C1"/>
    <w:rsid w:val="288276C8"/>
    <w:rsid w:val="28EC18A1"/>
    <w:rsid w:val="295E2013"/>
    <w:rsid w:val="2965017D"/>
    <w:rsid w:val="2A824E14"/>
    <w:rsid w:val="2C312DD5"/>
    <w:rsid w:val="304A6516"/>
    <w:rsid w:val="31614F93"/>
    <w:rsid w:val="31E15663"/>
    <w:rsid w:val="31FC5DB5"/>
    <w:rsid w:val="350B2553"/>
    <w:rsid w:val="35697647"/>
    <w:rsid w:val="365A1F4A"/>
    <w:rsid w:val="3D955D30"/>
    <w:rsid w:val="400B4708"/>
    <w:rsid w:val="404F533F"/>
    <w:rsid w:val="40A54B4F"/>
    <w:rsid w:val="41C32F69"/>
    <w:rsid w:val="4213428A"/>
    <w:rsid w:val="44950120"/>
    <w:rsid w:val="45805AFC"/>
    <w:rsid w:val="493A18C5"/>
    <w:rsid w:val="4C2D33F0"/>
    <w:rsid w:val="4CEB4BB9"/>
    <w:rsid w:val="4F10670E"/>
    <w:rsid w:val="517A21E4"/>
    <w:rsid w:val="51C24008"/>
    <w:rsid w:val="527F3B83"/>
    <w:rsid w:val="58D37AD5"/>
    <w:rsid w:val="5F01496B"/>
    <w:rsid w:val="615B2B13"/>
    <w:rsid w:val="61FC1355"/>
    <w:rsid w:val="625D4F5F"/>
    <w:rsid w:val="628C48D0"/>
    <w:rsid w:val="63BF1EF6"/>
    <w:rsid w:val="668C644E"/>
    <w:rsid w:val="68713C99"/>
    <w:rsid w:val="69222A26"/>
    <w:rsid w:val="6D001766"/>
    <w:rsid w:val="6D1E19C3"/>
    <w:rsid w:val="6DEA08AB"/>
    <w:rsid w:val="794842A6"/>
    <w:rsid w:val="7BC0350F"/>
    <w:rsid w:val="7C202697"/>
    <w:rsid w:val="7D883202"/>
    <w:rsid w:val="7E4C1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line="440" w:lineRule="exact"/>
      <w:jc w:val="left"/>
    </w:pPr>
    <w:rPr>
      <w:rFonts w:eastAsia="黑体"/>
      <w:b/>
      <w:kern w:val="0"/>
      <w:sz w:val="28"/>
    </w:rPr>
  </w:style>
  <w:style w:type="paragraph" w:styleId="6">
    <w:name w:val="Normal Indent"/>
    <w:basedOn w:val="1"/>
    <w:link w:val="37"/>
    <w:qFormat/>
    <w:uiPriority w:val="0"/>
    <w:pPr>
      <w:ind w:firstLine="420"/>
    </w:pPr>
  </w:style>
  <w:style w:type="paragraph" w:styleId="7">
    <w:name w:val="annotation text"/>
    <w:basedOn w:val="1"/>
    <w:link w:val="31"/>
    <w:unhideWhenUsed/>
    <w:qFormat/>
    <w:uiPriority w:val="99"/>
    <w:pPr>
      <w:jc w:val="left"/>
    </w:pPr>
  </w:style>
  <w:style w:type="paragraph" w:styleId="8">
    <w:name w:val="toc 3"/>
    <w:basedOn w:val="1"/>
    <w:next w:val="1"/>
    <w:unhideWhenUsed/>
    <w:qFormat/>
    <w:uiPriority w:val="39"/>
    <w:pPr>
      <w:widowControl/>
      <w:spacing w:after="100" w:line="276" w:lineRule="auto"/>
      <w:ind w:left="440"/>
      <w:jc w:val="left"/>
    </w:pPr>
    <w:rPr>
      <w:kern w:val="0"/>
      <w:sz w:val="22"/>
    </w:rPr>
  </w:style>
  <w:style w:type="paragraph" w:styleId="9">
    <w:name w:val="Plain Text"/>
    <w:basedOn w:val="1"/>
    <w:link w:val="34"/>
    <w:qFormat/>
    <w:uiPriority w:val="0"/>
    <w:rPr>
      <w:rFonts w:ascii="宋体" w:hAnsi="Courier New" w:cs="Courier New"/>
      <w:szCs w:val="21"/>
    </w:rPr>
  </w:style>
  <w:style w:type="paragraph" w:styleId="10">
    <w:name w:val="endnote text"/>
    <w:basedOn w:val="1"/>
    <w:link w:val="33"/>
    <w:unhideWhenUsed/>
    <w:qFormat/>
    <w:uiPriority w:val="99"/>
    <w:pPr>
      <w:snapToGrid w:val="0"/>
      <w:jc w:val="left"/>
    </w:pPr>
  </w:style>
  <w:style w:type="paragraph" w:styleId="11">
    <w:name w:val="Balloon Text"/>
    <w:basedOn w:val="1"/>
    <w:link w:val="27"/>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5"/>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5">
    <w:name w:val="引用1"/>
    <w:basedOn w:val="1"/>
    <w:next w:val="1"/>
    <w:link w:val="36"/>
    <w:qFormat/>
    <w:uiPriority w:val="29"/>
    <w:rPr>
      <w:i/>
      <w:iCs/>
      <w:color w:val="000000" w:themeColor="text1"/>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annotation subject"/>
    <w:basedOn w:val="7"/>
    <w:next w:val="7"/>
    <w:link w:val="38"/>
    <w:unhideWhenUsed/>
    <w:qFormat/>
    <w:uiPriority w:val="99"/>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styleId="22">
    <w:name w:val="endnote reference"/>
    <w:basedOn w:val="20"/>
    <w:unhideWhenUsed/>
    <w:qFormat/>
    <w:uiPriority w:val="99"/>
    <w:rPr>
      <w:vertAlign w:val="superscript"/>
    </w:rPr>
  </w:style>
  <w:style w:type="character" w:styleId="23">
    <w:name w:val="Hyperlink"/>
    <w:basedOn w:val="20"/>
    <w:unhideWhenUsed/>
    <w:qFormat/>
    <w:uiPriority w:val="99"/>
    <w:rPr>
      <w:color w:val="0000FF" w:themeColor="hyperlink"/>
      <w:u w:val="single"/>
    </w:rPr>
  </w:style>
  <w:style w:type="character" w:styleId="24">
    <w:name w:val="annotation reference"/>
    <w:qFormat/>
    <w:uiPriority w:val="99"/>
    <w:rPr>
      <w:sz w:val="21"/>
    </w:rPr>
  </w:style>
  <w:style w:type="character" w:customStyle="1" w:styleId="25">
    <w:name w:val="页眉 Char"/>
    <w:basedOn w:val="20"/>
    <w:link w:val="13"/>
    <w:qFormat/>
    <w:uiPriority w:val="99"/>
    <w:rPr>
      <w:sz w:val="18"/>
      <w:szCs w:val="18"/>
    </w:rPr>
  </w:style>
  <w:style w:type="character" w:customStyle="1" w:styleId="26">
    <w:name w:val="页脚 Char"/>
    <w:basedOn w:val="20"/>
    <w:link w:val="12"/>
    <w:qFormat/>
    <w:uiPriority w:val="99"/>
    <w:rPr>
      <w:sz w:val="18"/>
      <w:szCs w:val="18"/>
    </w:rPr>
  </w:style>
  <w:style w:type="character" w:customStyle="1" w:styleId="27">
    <w:name w:val="批注框文本 Char"/>
    <w:basedOn w:val="20"/>
    <w:link w:val="11"/>
    <w:semiHidden/>
    <w:qFormat/>
    <w:uiPriority w:val="99"/>
    <w:rPr>
      <w:sz w:val="18"/>
      <w:szCs w:val="18"/>
    </w:rPr>
  </w:style>
  <w:style w:type="paragraph" w:customStyle="1" w:styleId="28">
    <w:name w:val="列出段落1"/>
    <w:basedOn w:val="1"/>
    <w:qFormat/>
    <w:uiPriority w:val="34"/>
    <w:pPr>
      <w:ind w:firstLine="420" w:firstLineChars="200"/>
    </w:pPr>
  </w:style>
  <w:style w:type="character" w:customStyle="1" w:styleId="29">
    <w:name w:val="标题 1 Char"/>
    <w:basedOn w:val="20"/>
    <w:link w:val="3"/>
    <w:qFormat/>
    <w:uiPriority w:val="9"/>
    <w:rPr>
      <w:b/>
      <w:bCs/>
      <w:kern w:val="44"/>
      <w:sz w:val="44"/>
      <w:szCs w:val="44"/>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文字 Char"/>
    <w:basedOn w:val="20"/>
    <w:link w:val="7"/>
    <w:qFormat/>
    <w:uiPriority w:val="99"/>
  </w:style>
  <w:style w:type="character" w:customStyle="1" w:styleId="32">
    <w:name w:val="标题 2 Char"/>
    <w:basedOn w:val="20"/>
    <w:link w:val="4"/>
    <w:qFormat/>
    <w:uiPriority w:val="9"/>
    <w:rPr>
      <w:rFonts w:asciiTheme="majorHAnsi" w:hAnsiTheme="majorHAnsi" w:eastAsiaTheme="majorEastAsia" w:cstheme="majorBidi"/>
      <w:b/>
      <w:bCs/>
      <w:sz w:val="32"/>
      <w:szCs w:val="32"/>
    </w:rPr>
  </w:style>
  <w:style w:type="character" w:customStyle="1" w:styleId="33">
    <w:name w:val="尾注文本 Char"/>
    <w:basedOn w:val="20"/>
    <w:link w:val="10"/>
    <w:semiHidden/>
    <w:qFormat/>
    <w:uiPriority w:val="99"/>
  </w:style>
  <w:style w:type="character" w:customStyle="1" w:styleId="34">
    <w:name w:val="纯文本 Char"/>
    <w:link w:val="9"/>
    <w:qFormat/>
    <w:uiPriority w:val="0"/>
    <w:rPr>
      <w:rFonts w:ascii="宋体" w:hAnsi="Courier New" w:cs="Courier New"/>
      <w:szCs w:val="21"/>
    </w:rPr>
  </w:style>
  <w:style w:type="character" w:customStyle="1" w:styleId="35">
    <w:name w:val="纯文本 Char1"/>
    <w:basedOn w:val="20"/>
    <w:semiHidden/>
    <w:qFormat/>
    <w:uiPriority w:val="99"/>
    <w:rPr>
      <w:rFonts w:ascii="宋体" w:hAnsi="Courier New" w:eastAsia="宋体" w:cs="Courier New"/>
      <w:szCs w:val="21"/>
    </w:rPr>
  </w:style>
  <w:style w:type="character" w:customStyle="1" w:styleId="36">
    <w:name w:val="引用 Char"/>
    <w:basedOn w:val="20"/>
    <w:link w:val="15"/>
    <w:qFormat/>
    <w:uiPriority w:val="29"/>
    <w:rPr>
      <w:i/>
      <w:iCs/>
      <w:color w:val="000000" w:themeColor="text1"/>
    </w:rPr>
  </w:style>
  <w:style w:type="character" w:customStyle="1" w:styleId="37">
    <w:name w:val="正文缩进 Char"/>
    <w:link w:val="6"/>
    <w:qFormat/>
    <w:uiPriority w:val="0"/>
  </w:style>
  <w:style w:type="character" w:customStyle="1" w:styleId="38">
    <w:name w:val="批注主题 Char"/>
    <w:basedOn w:val="31"/>
    <w:link w:val="17"/>
    <w:semiHidden/>
    <w:qFormat/>
    <w:uiPriority w:val="99"/>
    <w:rPr>
      <w:b/>
      <w:bCs/>
    </w:rPr>
  </w:style>
  <w:style w:type="paragraph" w:styleId="39">
    <w:name w:val="List Paragraph"/>
    <w:basedOn w:val="1"/>
    <w:unhideWhenUsed/>
    <w:qFormat/>
    <w:uiPriority w:val="99"/>
    <w:pPr>
      <w:ind w:firstLine="420" w:firstLineChars="200"/>
    </w:pPr>
  </w:style>
  <w:style w:type="paragraph" w:customStyle="1" w:styleId="40">
    <w:name w:val="列出段落3"/>
    <w:basedOn w:val="1"/>
    <w:qFormat/>
    <w:uiPriority w:val="0"/>
    <w:pPr>
      <w:ind w:firstLine="420" w:firstLineChars="200"/>
    </w:pPr>
  </w:style>
  <w:style w:type="paragraph" w:customStyle="1" w:styleId="4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E78A5-AC87-4CD3-97F1-243E8649722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73</Pages>
  <Words>6694</Words>
  <Characters>38162</Characters>
  <Lines>318</Lines>
  <Paragraphs>89</Paragraphs>
  <TotalTime>13</TotalTime>
  <ScaleCrop>false</ScaleCrop>
  <LinksUpToDate>false</LinksUpToDate>
  <CharactersWithSpaces>44767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2020-08-05T08:29:00Z</dcterms:created>
  <dc:creator>502-2</dc:creator>
  <cp:lastModifiedBy>Administrator</cp:lastModifiedBy>
  <cp:lastPrinted>2020-08-20T07:53:00Z</cp:lastPrinted>
  <dcterms:modified xsi:type="dcterms:W3CDTF">2020-09-04T08:35:14Z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