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color w:val="000000" w:themeColor="text1"/>
          <w:w w:val="120"/>
          <w:sz w:val="52"/>
          <w:szCs w:val="52"/>
        </w:rPr>
      </w:pPr>
      <w:r>
        <w:rPr>
          <w:rFonts w:hint="eastAsia"/>
          <w:color w:val="000000" w:themeColor="text1"/>
          <w:w w:val="120"/>
          <w:sz w:val="52"/>
          <w:szCs w:val="52"/>
        </w:rPr>
        <w:t>阳新县县级政府采购</w:t>
      </w:r>
    </w:p>
    <w:p>
      <w:pPr>
        <w:pStyle w:val="2"/>
        <w:rPr>
          <w:rFonts w:hint="eastAsia"/>
          <w:color w:val="000000" w:themeColor="text1"/>
          <w:w w:val="120"/>
          <w:sz w:val="52"/>
          <w:szCs w:val="52"/>
        </w:rPr>
      </w:pPr>
    </w:p>
    <w:p/>
    <w:p>
      <w:pPr>
        <w:pStyle w:val="10"/>
        <w:adjustRightInd w:val="0"/>
        <w:snapToGrid w:val="0"/>
        <w:spacing w:line="720" w:lineRule="auto"/>
        <w:jc w:val="center"/>
        <w:rPr>
          <w:rFonts w:ascii="黑体" w:hAnsi="黑体" w:eastAsia="黑体" w:cs="Times New Roman"/>
          <w:b/>
          <w:bCs/>
          <w:sz w:val="36"/>
          <w:szCs w:val="24"/>
        </w:rPr>
      </w:pPr>
      <w:r>
        <w:rPr>
          <w:rFonts w:hint="eastAsia" w:ascii="Times New Roman" w:hAnsi="Times New Roman" w:eastAsia="宋体" w:cs="Times New Roman"/>
          <w:snapToGrid w:val="0"/>
          <w:kern w:val="10"/>
          <w:sz w:val="144"/>
          <w:szCs w:val="144"/>
        </w:rPr>
        <w:t>招 标 文 件</w:t>
      </w:r>
    </w:p>
    <w:p>
      <w:pPr>
        <w:spacing w:line="480" w:lineRule="auto"/>
        <w:ind w:firstLine="1600" w:firstLineChars="500"/>
        <w:rPr>
          <w:rFonts w:hint="default" w:eastAsiaTheme="minorEastAsia"/>
          <w:bCs/>
          <w:color w:val="000000" w:themeColor="text1"/>
          <w:sz w:val="32"/>
          <w:szCs w:val="32"/>
          <w:u w:val="single"/>
          <w:lang w:val="en-US" w:eastAsia="zh-CN"/>
        </w:rPr>
      </w:pPr>
      <w:r>
        <w:rPr>
          <w:rFonts w:hint="eastAsia"/>
          <w:bCs/>
          <w:color w:val="000000" w:themeColor="text1"/>
          <w:sz w:val="32"/>
          <w:szCs w:val="32"/>
        </w:rPr>
        <w:t>项目编号：</w:t>
      </w:r>
      <w:r>
        <w:rPr>
          <w:rFonts w:hint="eastAsia"/>
          <w:bCs/>
          <w:color w:val="000000"/>
          <w:sz w:val="32"/>
          <w:szCs w:val="32"/>
          <w:u w:val="single"/>
          <w:lang w:val="en-US" w:eastAsia="zh-CN"/>
        </w:rPr>
        <w:t xml:space="preserve">131-2020CG-164     </w:t>
      </w:r>
    </w:p>
    <w:p>
      <w:pPr>
        <w:spacing w:line="480" w:lineRule="auto"/>
        <w:ind w:firstLine="1600" w:firstLineChars="500"/>
        <w:rPr>
          <w:bCs/>
          <w:color w:val="000000" w:themeColor="text1"/>
          <w:sz w:val="32"/>
          <w:szCs w:val="32"/>
          <w:u w:val="single"/>
        </w:rPr>
      </w:pPr>
      <w:r>
        <w:rPr>
          <w:rFonts w:hint="eastAsia"/>
          <w:bCs/>
          <w:color w:val="000000" w:themeColor="text1"/>
          <w:sz w:val="32"/>
          <w:szCs w:val="32"/>
        </w:rPr>
        <w:t>采 购 人：</w:t>
      </w:r>
      <w:r>
        <w:rPr>
          <w:rFonts w:hint="eastAsia"/>
          <w:bCs/>
          <w:color w:val="000000" w:themeColor="text1"/>
          <w:sz w:val="32"/>
          <w:szCs w:val="32"/>
          <w:u w:val="single"/>
        </w:rPr>
        <w:t>阳新县人民医院</w:t>
      </w:r>
    </w:p>
    <w:p>
      <w:pPr>
        <w:spacing w:line="480" w:lineRule="auto"/>
        <w:ind w:left="3156" w:leftChars="761" w:hanging="1558" w:hangingChars="487"/>
        <w:rPr>
          <w:rFonts w:hint="eastAsia" w:eastAsiaTheme="minorEastAsia"/>
          <w:bCs/>
          <w:color w:val="000000" w:themeColor="text1"/>
          <w:sz w:val="30"/>
          <w:szCs w:val="30"/>
          <w:u w:val="single"/>
          <w:lang w:eastAsia="zh-CN"/>
        </w:rPr>
      </w:pPr>
      <w:r>
        <w:rPr>
          <w:rFonts w:hint="eastAsia"/>
          <w:bCs/>
          <w:color w:val="000000" w:themeColor="text1"/>
          <w:sz w:val="32"/>
          <w:szCs w:val="32"/>
        </w:rPr>
        <w:t>项目名称：</w:t>
      </w:r>
      <w:bookmarkStart w:id="274" w:name="_GoBack"/>
      <w:r>
        <w:rPr>
          <w:rFonts w:hint="eastAsia"/>
          <w:bCs/>
          <w:color w:val="000000" w:themeColor="text1"/>
          <w:spacing w:val="-6"/>
          <w:sz w:val="30"/>
          <w:szCs w:val="30"/>
          <w:u w:val="single"/>
          <w:lang w:eastAsia="zh-CN"/>
        </w:rPr>
        <w:t>阳新县人民医院血液透析机设备采购项目</w:t>
      </w:r>
      <w:bookmarkEnd w:id="274"/>
    </w:p>
    <w:p>
      <w:pPr>
        <w:spacing w:line="480" w:lineRule="auto"/>
        <w:ind w:firstLine="1600" w:firstLineChars="500"/>
        <w:rPr>
          <w:rFonts w:hint="eastAsia" w:eastAsiaTheme="minorEastAsia"/>
          <w:bCs/>
          <w:color w:val="000000" w:themeColor="text1"/>
          <w:sz w:val="32"/>
          <w:szCs w:val="32"/>
          <w:u w:val="single"/>
          <w:lang w:eastAsia="zh-CN"/>
        </w:rPr>
      </w:pPr>
      <w:r>
        <w:rPr>
          <w:rFonts w:hint="eastAsia"/>
          <w:bCs/>
          <w:color w:val="000000" w:themeColor="text1"/>
          <w:sz w:val="32"/>
          <w:szCs w:val="32"/>
        </w:rPr>
        <w:t>采购内容：</w:t>
      </w:r>
      <w:r>
        <w:rPr>
          <w:rFonts w:hint="eastAsia"/>
          <w:bCs/>
          <w:color w:val="000000" w:themeColor="text1"/>
          <w:spacing w:val="-6"/>
          <w:sz w:val="30"/>
          <w:szCs w:val="30"/>
          <w:u w:val="single"/>
          <w:lang w:eastAsia="zh-CN"/>
        </w:rPr>
        <w:t>血液透析机设备</w:t>
      </w:r>
    </w:p>
    <w:p>
      <w:pPr>
        <w:adjustRightInd w:val="0"/>
        <w:snapToGrid w:val="0"/>
        <w:jc w:val="center"/>
        <w:rPr>
          <w:rFonts w:hint="eastAsia"/>
          <w:bCs/>
          <w:snapToGrid w:val="0"/>
          <w:color w:val="000000" w:themeColor="text1"/>
          <w:kern w:val="0"/>
          <w:position w:val="-98"/>
          <w:sz w:val="56"/>
          <w:szCs w:val="56"/>
          <w:lang w:eastAsia="zh-CN"/>
        </w:rPr>
      </w:pPr>
    </w:p>
    <w:p>
      <w:pPr>
        <w:adjustRightInd w:val="0"/>
        <w:snapToGrid w:val="0"/>
        <w:jc w:val="center"/>
        <w:rPr>
          <w:rFonts w:hint="eastAsia"/>
          <w:bCs/>
          <w:snapToGrid w:val="0"/>
          <w:color w:val="000000" w:themeColor="text1"/>
          <w:kern w:val="0"/>
          <w:position w:val="-98"/>
          <w:sz w:val="56"/>
          <w:szCs w:val="56"/>
          <w:lang w:eastAsia="zh-CN"/>
        </w:rPr>
      </w:pPr>
      <w:r>
        <w:rPr>
          <w:rFonts w:hint="eastAsia"/>
          <w:bCs/>
          <w:snapToGrid w:val="0"/>
          <w:color w:val="000000" w:themeColor="text1"/>
          <w:kern w:val="0"/>
          <w:position w:val="-98"/>
          <w:sz w:val="56"/>
          <w:szCs w:val="56"/>
          <w:lang w:eastAsia="zh-CN"/>
        </w:rPr>
        <w:t>深圳群伦项目管理有限公司</w:t>
      </w:r>
    </w:p>
    <w:p>
      <w:pPr>
        <w:adjustRightInd w:val="0"/>
        <w:snapToGrid w:val="0"/>
        <w:jc w:val="center"/>
        <w:rPr>
          <w:rFonts w:hint="default"/>
          <w:bCs/>
          <w:snapToGrid w:val="0"/>
          <w:color w:val="000000" w:themeColor="text1"/>
          <w:kern w:val="0"/>
          <w:position w:val="-98"/>
          <w:sz w:val="56"/>
          <w:szCs w:val="56"/>
          <w:lang w:val="en-US" w:eastAsia="zh-CN"/>
        </w:rPr>
        <w:sectPr>
          <w:headerReference r:id="rId3" w:type="default"/>
          <w:footerReference r:id="rId5" w:type="default"/>
          <w:headerReference r:id="rId4" w:type="even"/>
          <w:footerReference r:id="rId6" w:type="even"/>
          <w:pgSz w:w="11906" w:h="16838"/>
          <w:pgMar w:top="1701" w:right="1191" w:bottom="1134" w:left="1191" w:header="680" w:footer="680" w:gutter="0"/>
          <w:cols w:space="0" w:num="1"/>
          <w:rtlGutter w:val="0"/>
          <w:docGrid w:type="lines" w:linePitch="312" w:charSpace="0"/>
        </w:sectPr>
      </w:pPr>
      <w:r>
        <w:rPr>
          <w:rFonts w:hint="eastAsia"/>
          <w:bCs/>
          <w:snapToGrid w:val="0"/>
          <w:color w:val="000000" w:themeColor="text1"/>
          <w:kern w:val="0"/>
          <w:position w:val="-98"/>
          <w:sz w:val="48"/>
          <w:szCs w:val="48"/>
          <w:lang w:val="en-US" w:eastAsia="zh-CN"/>
        </w:rPr>
        <w:t>二0二0年九月</w:t>
      </w:r>
    </w:p>
    <w:p>
      <w:pPr>
        <w:spacing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2"/>
            <w:tabs>
              <w:tab w:val="left" w:pos="1260"/>
              <w:tab w:val="right" w:leader="dot" w:pos="9514"/>
            </w:tabs>
            <w:rPr>
              <w:rFonts w:eastAsia="黑体" w:asciiTheme="minorHAnsi" w:hAnsiTheme="minorHAnsi" w:cstheme="minorBidi"/>
              <w:b/>
              <w:kern w:val="0"/>
              <w:sz w:val="28"/>
              <w:szCs w:val="22"/>
              <w:lang w:val="en-US" w:eastAsia="zh-CN" w:bidi="ar-SA"/>
            </w:rPr>
          </w:pPr>
          <w:r>
            <w:fldChar w:fldCharType="begin"/>
          </w:r>
          <w:r>
            <w:instrText xml:space="preserve"> TOC \o "1-2" \h \z \u </w:instrText>
          </w:r>
          <w:r>
            <w:fldChar w:fldCharType="separate"/>
          </w:r>
        </w:p>
        <w:p>
          <w:pPr>
            <w:pStyle w:val="2"/>
            <w:tabs>
              <w:tab w:val="right" w:leader="dot" w:pos="9524"/>
            </w:tabs>
          </w:pPr>
          <w:r>
            <w:fldChar w:fldCharType="begin"/>
          </w:r>
          <w:r>
            <w:instrText xml:space="preserve"> HYPERLINK \l _Toc29226 </w:instrText>
          </w:r>
          <w:r>
            <w:fldChar w:fldCharType="separate"/>
          </w:r>
          <w:r>
            <w:rPr>
              <w:rFonts w:hint="eastAsia" w:ascii="黑体" w:hAnsi="黑体" w:eastAsia="黑体"/>
            </w:rPr>
            <w:t>第一章 投标邀请书</w:t>
          </w:r>
          <w:r>
            <w:tab/>
          </w:r>
          <w:r>
            <w:fldChar w:fldCharType="begin"/>
          </w:r>
          <w:r>
            <w:instrText xml:space="preserve"> PAGEREF _Toc29226 </w:instrText>
          </w:r>
          <w:r>
            <w:fldChar w:fldCharType="separate"/>
          </w:r>
          <w:r>
            <w:t>4</w:t>
          </w:r>
          <w:r>
            <w:fldChar w:fldCharType="end"/>
          </w:r>
          <w:r>
            <w:fldChar w:fldCharType="end"/>
          </w:r>
        </w:p>
        <w:p>
          <w:pPr>
            <w:pStyle w:val="2"/>
            <w:tabs>
              <w:tab w:val="right" w:leader="dot" w:pos="9524"/>
            </w:tabs>
          </w:pPr>
          <w:r>
            <w:fldChar w:fldCharType="begin"/>
          </w:r>
          <w:r>
            <w:instrText xml:space="preserve"> HYPERLINK \l _Toc13827 </w:instrText>
          </w:r>
          <w:r>
            <w:fldChar w:fldCharType="separate"/>
          </w:r>
          <w:r>
            <w:rPr>
              <w:rFonts w:hint="eastAsia" w:ascii="黑体" w:hAnsi="黑体" w:eastAsia="黑体"/>
            </w:rPr>
            <w:t xml:space="preserve">第二章 </w:t>
          </w:r>
          <w:r>
            <w:rPr>
              <w:rFonts w:hint="eastAsia" w:ascii="黑体" w:hAnsi="黑体" w:eastAsia="黑体"/>
              <w:highlight w:val="none"/>
            </w:rPr>
            <w:t>投标人须知</w:t>
          </w:r>
          <w:r>
            <w:tab/>
          </w:r>
          <w:r>
            <w:fldChar w:fldCharType="begin"/>
          </w:r>
          <w:r>
            <w:instrText xml:space="preserve"> PAGEREF _Toc13827 </w:instrText>
          </w:r>
          <w:r>
            <w:fldChar w:fldCharType="separate"/>
          </w:r>
          <w:r>
            <w:t>6</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_Toc2279 </w:instrText>
          </w:r>
          <w:r>
            <w:fldChar w:fldCharType="separate"/>
          </w:r>
          <w:r>
            <w:rPr>
              <w:rFonts w:cs="Times New Roman" w:asciiTheme="majorEastAsia" w:hAnsiTheme="majorEastAsia" w:eastAsiaTheme="majorEastAsia"/>
              <w:bCs/>
              <w:szCs w:val="32"/>
              <w:highlight w:val="none"/>
              <w:lang w:val="zh-CN"/>
            </w:rPr>
            <w:t>投标须知前附表</w:t>
          </w:r>
          <w:r>
            <w:tab/>
          </w:r>
          <w:r>
            <w:fldChar w:fldCharType="begin"/>
          </w:r>
          <w:r>
            <w:instrText xml:space="preserve"> PAGEREF _Toc2279 </w:instrText>
          </w:r>
          <w:r>
            <w:fldChar w:fldCharType="separate"/>
          </w:r>
          <w:r>
            <w:t>6</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_Toc6495 </w:instrText>
          </w:r>
          <w:r>
            <w:fldChar w:fldCharType="separate"/>
          </w:r>
          <w:r>
            <w:rPr>
              <w:rFonts w:hint="default" w:ascii="黑体" w:hAnsi="黑体" w:eastAsia="黑体" w:cs="Times New Roman"/>
              <w:bCs/>
              <w:strike w:val="0"/>
              <w:szCs w:val="32"/>
              <w:lang w:val="zh-CN"/>
            </w:rPr>
            <w:t xml:space="preserve">一、 </w:t>
          </w:r>
          <w:r>
            <w:tab/>
          </w:r>
          <w:r>
            <w:fldChar w:fldCharType="begin"/>
          </w:r>
          <w:r>
            <w:instrText xml:space="preserve"> PAGEREF _Toc6495 </w:instrText>
          </w:r>
          <w:r>
            <w:fldChar w:fldCharType="separate"/>
          </w:r>
          <w:r>
            <w:t>6</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_Toc24377 </w:instrText>
          </w:r>
          <w:r>
            <w:fldChar w:fldCharType="separate"/>
          </w:r>
          <w:r>
            <w:rPr>
              <w:rFonts w:hint="eastAsia" w:cs="Times New Roman" w:asciiTheme="majorEastAsia" w:hAnsiTheme="majorEastAsia"/>
              <w:bCs w:val="0"/>
              <w:szCs w:val="30"/>
              <w:lang w:val="zh-CN"/>
            </w:rPr>
            <w:t xml:space="preserve">一、 </w:t>
          </w:r>
          <w:r>
            <w:rPr>
              <w:rFonts w:hint="eastAsia" w:cs="Times New Roman" w:asciiTheme="majorEastAsia" w:hAnsiTheme="majorEastAsia"/>
              <w:bCs w:val="0"/>
              <w:lang w:val="zh-CN"/>
            </w:rPr>
            <w:t>说  明</w:t>
          </w:r>
          <w:r>
            <w:tab/>
          </w:r>
          <w:r>
            <w:fldChar w:fldCharType="begin"/>
          </w:r>
          <w:r>
            <w:instrText xml:space="preserve"> PAGEREF _Toc24377 </w:instrText>
          </w:r>
          <w:r>
            <w:fldChar w:fldCharType="separate"/>
          </w:r>
          <w:r>
            <w:t>7</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_Toc12249 </w:instrText>
          </w:r>
          <w:r>
            <w:fldChar w:fldCharType="separate"/>
          </w:r>
          <w:r>
            <w:rPr>
              <w:rFonts w:hint="eastAsia" w:cs="Times New Roman" w:asciiTheme="majorEastAsia" w:hAnsiTheme="majorEastAsia"/>
              <w:bCs w:val="0"/>
              <w:szCs w:val="30"/>
              <w:lang w:val="zh-CN"/>
            </w:rPr>
            <w:t xml:space="preserve">二、 </w:t>
          </w:r>
          <w:r>
            <w:rPr>
              <w:rFonts w:hint="eastAsia" w:cs="Times New Roman" w:asciiTheme="majorEastAsia" w:hAnsiTheme="majorEastAsia"/>
              <w:bCs w:val="0"/>
              <w:lang w:val="zh-CN"/>
            </w:rPr>
            <w:t>招标文件</w:t>
          </w:r>
          <w:r>
            <w:tab/>
          </w:r>
          <w:r>
            <w:fldChar w:fldCharType="begin"/>
          </w:r>
          <w:r>
            <w:instrText xml:space="preserve"> PAGEREF _Toc12249 </w:instrText>
          </w:r>
          <w:r>
            <w:fldChar w:fldCharType="separate"/>
          </w:r>
          <w:r>
            <w:t>8</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_Toc32674 </w:instrText>
          </w:r>
          <w:r>
            <w:fldChar w:fldCharType="separate"/>
          </w:r>
          <w:r>
            <w:rPr>
              <w:rFonts w:hint="eastAsia" w:cs="Times New Roman" w:asciiTheme="majorEastAsia" w:hAnsiTheme="majorEastAsia"/>
              <w:bCs w:val="0"/>
              <w:szCs w:val="30"/>
              <w:lang w:val="zh-CN"/>
            </w:rPr>
            <w:t xml:space="preserve">三、 </w:t>
          </w:r>
          <w:r>
            <w:rPr>
              <w:rFonts w:hint="eastAsia" w:cs="Times New Roman" w:asciiTheme="majorEastAsia" w:hAnsiTheme="majorEastAsia"/>
              <w:bCs w:val="0"/>
              <w:lang w:val="zh-CN"/>
            </w:rPr>
            <w:t>投标文件</w:t>
          </w:r>
          <w:r>
            <w:tab/>
          </w:r>
          <w:r>
            <w:fldChar w:fldCharType="begin"/>
          </w:r>
          <w:r>
            <w:instrText xml:space="preserve"> PAGEREF _Toc32674 </w:instrText>
          </w:r>
          <w:r>
            <w:fldChar w:fldCharType="separate"/>
          </w:r>
          <w:r>
            <w:t>9</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_Toc4791 </w:instrText>
          </w:r>
          <w:r>
            <w:fldChar w:fldCharType="separate"/>
          </w:r>
          <w:r>
            <w:rPr>
              <w:rFonts w:hint="eastAsia" w:cs="Times New Roman" w:asciiTheme="majorEastAsia" w:hAnsiTheme="majorEastAsia"/>
              <w:bCs w:val="0"/>
              <w:szCs w:val="30"/>
              <w:lang w:val="zh-CN"/>
            </w:rPr>
            <w:t xml:space="preserve">四、 </w:t>
          </w:r>
          <w:r>
            <w:rPr>
              <w:rFonts w:hint="eastAsia" w:cs="Times New Roman" w:asciiTheme="majorEastAsia" w:hAnsiTheme="majorEastAsia"/>
              <w:bCs w:val="0"/>
              <w:lang w:val="zh-CN"/>
            </w:rPr>
            <w:t>开标与评标</w:t>
          </w:r>
          <w:r>
            <w:tab/>
          </w:r>
          <w:r>
            <w:fldChar w:fldCharType="begin"/>
          </w:r>
          <w:r>
            <w:instrText xml:space="preserve"> PAGEREF _Toc4791 </w:instrText>
          </w:r>
          <w:r>
            <w:fldChar w:fldCharType="separate"/>
          </w:r>
          <w:r>
            <w:t>13</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_Toc15324 </w:instrText>
          </w:r>
          <w:r>
            <w:fldChar w:fldCharType="separate"/>
          </w:r>
          <w:r>
            <w:rPr>
              <w:rFonts w:hint="eastAsia" w:cs="Times New Roman" w:asciiTheme="majorEastAsia" w:hAnsiTheme="majorEastAsia"/>
              <w:bCs w:val="0"/>
              <w:szCs w:val="30"/>
              <w:lang w:val="zh-CN"/>
            </w:rPr>
            <w:t xml:space="preserve">五、 </w:t>
          </w:r>
          <w:r>
            <w:rPr>
              <w:rFonts w:hint="eastAsia" w:cs="Times New Roman" w:asciiTheme="majorEastAsia" w:hAnsiTheme="majorEastAsia"/>
              <w:bCs w:val="0"/>
              <w:lang w:val="zh-CN"/>
            </w:rPr>
            <w:t>投标人信用信息及查询</w:t>
          </w:r>
          <w:r>
            <w:tab/>
          </w:r>
          <w:r>
            <w:fldChar w:fldCharType="begin"/>
          </w:r>
          <w:r>
            <w:instrText xml:space="preserve"> PAGEREF _Toc15324 </w:instrText>
          </w:r>
          <w:r>
            <w:fldChar w:fldCharType="separate"/>
          </w:r>
          <w:r>
            <w:t>15</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_Toc7217 </w:instrText>
          </w:r>
          <w:r>
            <w:fldChar w:fldCharType="separate"/>
          </w:r>
          <w:r>
            <w:rPr>
              <w:rFonts w:hint="eastAsia" w:cs="Times New Roman" w:asciiTheme="majorEastAsia" w:hAnsiTheme="majorEastAsia"/>
              <w:bCs w:val="0"/>
              <w:szCs w:val="30"/>
              <w:lang w:val="zh-CN"/>
            </w:rPr>
            <w:t xml:space="preserve">六、 </w:t>
          </w:r>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r>
            <w:tab/>
          </w:r>
          <w:r>
            <w:fldChar w:fldCharType="begin"/>
          </w:r>
          <w:r>
            <w:instrText xml:space="preserve"> PAGEREF _Toc7217 </w:instrText>
          </w:r>
          <w:r>
            <w:fldChar w:fldCharType="separate"/>
          </w:r>
          <w:r>
            <w:t>15</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_Toc7959 </w:instrText>
          </w:r>
          <w:r>
            <w:fldChar w:fldCharType="separate"/>
          </w:r>
          <w:r>
            <w:rPr>
              <w:rFonts w:hint="eastAsia" w:cs="Times New Roman" w:asciiTheme="majorEastAsia" w:hAnsiTheme="majorEastAsia"/>
              <w:bCs w:val="0"/>
              <w:szCs w:val="30"/>
              <w:lang w:val="zh-CN"/>
            </w:rPr>
            <w:t xml:space="preserve">七、 </w:t>
          </w:r>
          <w:r>
            <w:rPr>
              <w:rFonts w:hint="eastAsia" w:cs="Times New Roman" w:asciiTheme="majorEastAsia" w:hAnsiTheme="majorEastAsia"/>
              <w:bCs w:val="0"/>
              <w:lang w:val="zh-CN"/>
            </w:rPr>
            <w:t>采购信息公告</w:t>
          </w:r>
          <w:r>
            <w:tab/>
          </w:r>
          <w:r>
            <w:fldChar w:fldCharType="begin"/>
          </w:r>
          <w:r>
            <w:instrText xml:space="preserve"> PAGEREF _Toc7959 </w:instrText>
          </w:r>
          <w:r>
            <w:fldChar w:fldCharType="separate"/>
          </w:r>
          <w:r>
            <w:t>16</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_Toc17705 </w:instrText>
          </w:r>
          <w:r>
            <w:fldChar w:fldCharType="separate"/>
          </w:r>
          <w:r>
            <w:rPr>
              <w:rFonts w:hint="eastAsia" w:cs="Times New Roman" w:asciiTheme="majorEastAsia" w:hAnsiTheme="majorEastAsia"/>
              <w:bCs w:val="0"/>
              <w:szCs w:val="30"/>
              <w:lang w:val="zh-CN"/>
            </w:rPr>
            <w:t xml:space="preserve">八、 </w:t>
          </w:r>
          <w:r>
            <w:rPr>
              <w:rFonts w:hint="eastAsia" w:cs="Times New Roman" w:asciiTheme="majorEastAsia" w:hAnsiTheme="majorEastAsia"/>
              <w:bCs w:val="0"/>
              <w:lang w:val="zh-CN"/>
            </w:rPr>
            <w:t>质疑及提交</w:t>
          </w:r>
          <w:r>
            <w:tab/>
          </w:r>
          <w:r>
            <w:fldChar w:fldCharType="begin"/>
          </w:r>
          <w:r>
            <w:instrText xml:space="preserve"> PAGEREF _Toc17705 </w:instrText>
          </w:r>
          <w:r>
            <w:fldChar w:fldCharType="separate"/>
          </w:r>
          <w:r>
            <w:t>17</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_Toc14166 </w:instrText>
          </w:r>
          <w:r>
            <w:fldChar w:fldCharType="separate"/>
          </w:r>
          <w:r>
            <w:rPr>
              <w:rFonts w:hint="eastAsia" w:cs="Times New Roman" w:asciiTheme="majorEastAsia" w:hAnsiTheme="majorEastAsia"/>
              <w:bCs w:val="0"/>
              <w:szCs w:val="30"/>
              <w:lang w:val="zh-CN"/>
            </w:rPr>
            <w:t xml:space="preserve">九、 </w:t>
          </w:r>
          <w:r>
            <w:rPr>
              <w:rFonts w:hint="eastAsia" w:cs="Times New Roman" w:asciiTheme="majorEastAsia" w:hAnsiTheme="majorEastAsia"/>
              <w:bCs w:val="0"/>
              <w:lang w:val="zh-CN"/>
            </w:rPr>
            <w:t>相关条文解读</w:t>
          </w:r>
          <w:r>
            <w:tab/>
          </w:r>
          <w:r>
            <w:fldChar w:fldCharType="begin"/>
          </w:r>
          <w:r>
            <w:instrText xml:space="preserve"> PAGEREF _Toc14166 </w:instrText>
          </w:r>
          <w:r>
            <w:fldChar w:fldCharType="separate"/>
          </w:r>
          <w:r>
            <w:t>17</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_Toc8598 </w:instrText>
          </w:r>
          <w:r>
            <w:fldChar w:fldCharType="separate"/>
          </w:r>
          <w:r>
            <w:rPr>
              <w:rFonts w:hint="eastAsia" w:cs="Times New Roman" w:asciiTheme="majorEastAsia" w:hAnsiTheme="majorEastAsia"/>
              <w:bCs w:val="0"/>
              <w:szCs w:val="30"/>
              <w:lang w:val="zh-CN"/>
            </w:rPr>
            <w:t xml:space="preserve">十、 </w:t>
          </w:r>
          <w:r>
            <w:rPr>
              <w:rFonts w:hint="eastAsia" w:cs="Times New Roman" w:asciiTheme="majorEastAsia" w:hAnsiTheme="majorEastAsia"/>
              <w:bCs w:val="0"/>
              <w:lang w:val="zh-CN"/>
            </w:rPr>
            <w:t>其他注意事项</w:t>
          </w:r>
          <w:r>
            <w:tab/>
          </w:r>
          <w:r>
            <w:fldChar w:fldCharType="begin"/>
          </w:r>
          <w:r>
            <w:instrText xml:space="preserve"> PAGEREF _Toc8598 </w:instrText>
          </w:r>
          <w:r>
            <w:fldChar w:fldCharType="separate"/>
          </w:r>
          <w:r>
            <w:t>18</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_Toc5805 </w:instrText>
          </w:r>
          <w:r>
            <w:fldChar w:fldCharType="separate"/>
          </w:r>
          <w:r>
            <w:rPr>
              <w:rFonts w:hint="eastAsia" w:cs="Times New Roman" w:asciiTheme="majorEastAsia" w:hAnsiTheme="majorEastAsia"/>
              <w:bCs w:val="0"/>
              <w:szCs w:val="30"/>
              <w:lang w:val="zh-CN"/>
            </w:rPr>
            <w:t xml:space="preserve">十一、 </w:t>
          </w:r>
          <w:r>
            <w:rPr>
              <w:rFonts w:hint="eastAsia" w:cs="Times New Roman" w:asciiTheme="majorEastAsia" w:hAnsiTheme="majorEastAsia"/>
              <w:bCs w:val="0"/>
              <w:lang w:val="zh-CN"/>
            </w:rPr>
            <w:t>适用法律</w:t>
          </w:r>
          <w:r>
            <w:tab/>
          </w:r>
          <w:r>
            <w:fldChar w:fldCharType="begin"/>
          </w:r>
          <w:r>
            <w:instrText xml:space="preserve"> PAGEREF _Toc5805 </w:instrText>
          </w:r>
          <w:r>
            <w:fldChar w:fldCharType="separate"/>
          </w:r>
          <w:r>
            <w:t>18</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_Toc31054 </w:instrText>
          </w:r>
          <w:r>
            <w:fldChar w:fldCharType="separate"/>
          </w:r>
          <w:r>
            <w:rPr>
              <w:rFonts w:hint="eastAsia" w:cs="Times New Roman" w:asciiTheme="majorEastAsia" w:hAnsiTheme="majorEastAsia"/>
              <w:bCs w:val="0"/>
              <w:szCs w:val="30"/>
              <w:lang w:val="zh-CN"/>
            </w:rPr>
            <w:t xml:space="preserve">十二、 </w:t>
          </w:r>
          <w:r>
            <w:rPr>
              <w:rFonts w:hint="eastAsia" w:cs="Times New Roman" w:asciiTheme="majorEastAsia" w:hAnsiTheme="majorEastAsia"/>
              <w:bCs w:val="0"/>
              <w:lang w:val="zh-CN"/>
            </w:rPr>
            <w:t>招标文件的解释权</w:t>
          </w:r>
          <w:r>
            <w:tab/>
          </w:r>
          <w:r>
            <w:fldChar w:fldCharType="begin"/>
          </w:r>
          <w:r>
            <w:instrText xml:space="preserve"> PAGEREF _Toc31054 </w:instrText>
          </w:r>
          <w:r>
            <w:fldChar w:fldCharType="separate"/>
          </w:r>
          <w:r>
            <w:t>18</w:t>
          </w:r>
          <w:r>
            <w:fldChar w:fldCharType="end"/>
          </w:r>
          <w:r>
            <w:fldChar w:fldCharType="end"/>
          </w:r>
        </w:p>
        <w:p>
          <w:pPr>
            <w:pStyle w:val="2"/>
            <w:tabs>
              <w:tab w:val="right" w:leader="dot" w:pos="9524"/>
            </w:tabs>
          </w:pPr>
          <w:r>
            <w:fldChar w:fldCharType="begin"/>
          </w:r>
          <w:r>
            <w:instrText xml:space="preserve"> HYPERLINK \l _Toc13161 </w:instrText>
          </w:r>
          <w:r>
            <w:fldChar w:fldCharType="separate"/>
          </w:r>
          <w:r>
            <w:rPr>
              <w:rFonts w:hint="eastAsia" w:ascii="黑体" w:hAnsi="黑体" w:eastAsia="黑体"/>
            </w:rPr>
            <w:t>第三章 项目技术、服务及商务要求</w:t>
          </w:r>
          <w:r>
            <w:tab/>
          </w:r>
          <w:r>
            <w:fldChar w:fldCharType="begin"/>
          </w:r>
          <w:r>
            <w:instrText xml:space="preserve"> PAGEREF _Toc13161 </w:instrText>
          </w:r>
          <w:r>
            <w:fldChar w:fldCharType="separate"/>
          </w:r>
          <w:r>
            <w:t>19</w:t>
          </w:r>
          <w:r>
            <w:fldChar w:fldCharType="end"/>
          </w:r>
          <w:r>
            <w:fldChar w:fldCharType="end"/>
          </w:r>
        </w:p>
        <w:p>
          <w:pPr>
            <w:pStyle w:val="2"/>
            <w:tabs>
              <w:tab w:val="right" w:leader="dot" w:pos="9524"/>
            </w:tabs>
          </w:pPr>
          <w:r>
            <w:fldChar w:fldCharType="begin"/>
          </w:r>
          <w:r>
            <w:instrText xml:space="preserve"> HYPERLINK \l _Toc10257 </w:instrText>
          </w:r>
          <w:r>
            <w:fldChar w:fldCharType="separate"/>
          </w:r>
          <w:r>
            <w:rPr>
              <w:rFonts w:hint="eastAsia" w:ascii="黑体" w:hAnsi="黑体" w:eastAsia="黑体"/>
            </w:rPr>
            <w:t>第四章 资格审查方法及标准</w:t>
          </w:r>
          <w:r>
            <w:tab/>
          </w:r>
          <w:r>
            <w:fldChar w:fldCharType="begin"/>
          </w:r>
          <w:r>
            <w:instrText xml:space="preserve"> PAGEREF _Toc10257 </w:instrText>
          </w:r>
          <w:r>
            <w:fldChar w:fldCharType="separate"/>
          </w:r>
          <w:r>
            <w:t>24</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_Toc18017 </w:instrText>
          </w:r>
          <w:r>
            <w:fldChar w:fldCharType="separate"/>
          </w:r>
          <w:r>
            <w:rPr>
              <w:rFonts w:hint="eastAsia" w:cs="Times New Roman" w:asciiTheme="majorEastAsia" w:hAnsiTheme="majorEastAsia"/>
              <w:bCs w:val="0"/>
              <w:szCs w:val="30"/>
              <w:lang w:val="zh-CN"/>
            </w:rPr>
            <w:t>一、 资格审查方法</w:t>
          </w:r>
          <w:r>
            <w:tab/>
          </w:r>
          <w:r>
            <w:fldChar w:fldCharType="begin"/>
          </w:r>
          <w:r>
            <w:instrText xml:space="preserve"> PAGEREF _Toc18017 </w:instrText>
          </w:r>
          <w:r>
            <w:fldChar w:fldCharType="separate"/>
          </w:r>
          <w:r>
            <w:t>24</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_Toc1797 </w:instrText>
          </w:r>
          <w:r>
            <w:fldChar w:fldCharType="separate"/>
          </w:r>
          <w:r>
            <w:rPr>
              <w:rFonts w:hint="eastAsia" w:cs="Times New Roman" w:asciiTheme="majorEastAsia" w:hAnsiTheme="majorEastAsia"/>
              <w:bCs w:val="0"/>
              <w:szCs w:val="30"/>
              <w:lang w:val="zh-CN"/>
            </w:rPr>
            <w:t>二、 资格审查标准</w:t>
          </w:r>
          <w:r>
            <w:tab/>
          </w:r>
          <w:r>
            <w:fldChar w:fldCharType="begin"/>
          </w:r>
          <w:r>
            <w:instrText xml:space="preserve"> PAGEREF _Toc1797 </w:instrText>
          </w:r>
          <w:r>
            <w:fldChar w:fldCharType="separate"/>
          </w:r>
          <w:r>
            <w:t>24</w:t>
          </w:r>
          <w:r>
            <w:fldChar w:fldCharType="end"/>
          </w:r>
          <w:r>
            <w:fldChar w:fldCharType="end"/>
          </w:r>
        </w:p>
        <w:p>
          <w:pPr>
            <w:pStyle w:val="2"/>
            <w:tabs>
              <w:tab w:val="right" w:leader="dot" w:pos="9524"/>
            </w:tabs>
          </w:pPr>
          <w:r>
            <w:fldChar w:fldCharType="begin"/>
          </w:r>
          <w:r>
            <w:instrText xml:space="preserve"> HYPERLINK \l _Toc270 </w:instrText>
          </w:r>
          <w:r>
            <w:fldChar w:fldCharType="separate"/>
          </w:r>
          <w:r>
            <w:rPr>
              <w:rFonts w:hint="eastAsia" w:ascii="黑体" w:hAnsi="黑体" w:eastAsia="黑体"/>
            </w:rPr>
            <w:t>第五章 评标方法、程序及标准</w:t>
          </w:r>
          <w:r>
            <w:tab/>
          </w:r>
          <w:r>
            <w:fldChar w:fldCharType="begin"/>
          </w:r>
          <w:r>
            <w:instrText xml:space="preserve"> PAGEREF _Toc270 </w:instrText>
          </w:r>
          <w:r>
            <w:fldChar w:fldCharType="separate"/>
          </w:r>
          <w:r>
            <w:t>26</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_Toc29445 </w:instrText>
          </w:r>
          <w:r>
            <w:fldChar w:fldCharType="separate"/>
          </w:r>
          <w:r>
            <w:rPr>
              <w:rFonts w:hint="eastAsia" w:cs="Times New Roman" w:asciiTheme="majorEastAsia" w:hAnsiTheme="majorEastAsia"/>
              <w:bCs w:val="0"/>
              <w:szCs w:val="30"/>
              <w:lang w:val="zh-CN"/>
            </w:rPr>
            <w:t>一、 评标方法</w:t>
          </w:r>
          <w:r>
            <w:tab/>
          </w:r>
          <w:r>
            <w:fldChar w:fldCharType="begin"/>
          </w:r>
          <w:r>
            <w:instrText xml:space="preserve"> PAGEREF _Toc29445 </w:instrText>
          </w:r>
          <w:r>
            <w:fldChar w:fldCharType="separate"/>
          </w:r>
          <w:r>
            <w:t>26</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_Toc279 </w:instrText>
          </w:r>
          <w:r>
            <w:fldChar w:fldCharType="separate"/>
          </w:r>
          <w:r>
            <w:rPr>
              <w:rFonts w:hint="eastAsia" w:cs="Times New Roman" w:asciiTheme="majorEastAsia" w:hAnsiTheme="majorEastAsia"/>
              <w:bCs w:val="0"/>
              <w:szCs w:val="30"/>
              <w:lang w:val="zh-CN"/>
            </w:rPr>
            <w:t>二、 评标程序及标准</w:t>
          </w:r>
          <w:r>
            <w:tab/>
          </w:r>
          <w:r>
            <w:fldChar w:fldCharType="begin"/>
          </w:r>
          <w:r>
            <w:instrText xml:space="preserve"> PAGEREF _Toc279 </w:instrText>
          </w:r>
          <w:r>
            <w:fldChar w:fldCharType="separate"/>
          </w:r>
          <w:r>
            <w:t>26</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_Toc24176 </w:instrText>
          </w:r>
          <w:r>
            <w:fldChar w:fldCharType="separate"/>
          </w:r>
          <w:r>
            <w:rPr>
              <w:rFonts w:hint="eastAsia" w:cs="Times New Roman" w:asciiTheme="majorEastAsia" w:hAnsiTheme="majorEastAsia"/>
              <w:bCs w:val="0"/>
              <w:szCs w:val="30"/>
              <w:lang w:val="zh-CN"/>
            </w:rPr>
            <w:t>三、 评审因素及评分标准</w:t>
          </w:r>
          <w:r>
            <w:tab/>
          </w:r>
          <w:r>
            <w:fldChar w:fldCharType="begin"/>
          </w:r>
          <w:r>
            <w:instrText xml:space="preserve"> PAGEREF _Toc24176 </w:instrText>
          </w:r>
          <w:r>
            <w:fldChar w:fldCharType="separate"/>
          </w:r>
          <w:r>
            <w:t>30</w:t>
          </w:r>
          <w:r>
            <w:fldChar w:fldCharType="end"/>
          </w:r>
          <w:r>
            <w:fldChar w:fldCharType="end"/>
          </w:r>
        </w:p>
        <w:p>
          <w:pPr>
            <w:pStyle w:val="2"/>
            <w:tabs>
              <w:tab w:val="right" w:leader="dot" w:pos="9524"/>
            </w:tabs>
          </w:pPr>
          <w:r>
            <w:fldChar w:fldCharType="begin"/>
          </w:r>
          <w:r>
            <w:instrText xml:space="preserve"> HYPERLINK \l _Toc21866 </w:instrText>
          </w:r>
          <w:r>
            <w:fldChar w:fldCharType="separate"/>
          </w:r>
          <w:r>
            <w:rPr>
              <w:rFonts w:hint="eastAsia" w:ascii="黑体" w:hAnsi="黑体" w:eastAsia="黑体"/>
            </w:rPr>
            <w:t>第六章 合同书格式（参考）</w:t>
          </w:r>
          <w:r>
            <w:tab/>
          </w:r>
          <w:r>
            <w:fldChar w:fldCharType="begin"/>
          </w:r>
          <w:r>
            <w:instrText xml:space="preserve"> PAGEREF _Toc21866 </w:instrText>
          </w:r>
          <w:r>
            <w:fldChar w:fldCharType="separate"/>
          </w:r>
          <w:r>
            <w:t>31</w:t>
          </w:r>
          <w:r>
            <w:fldChar w:fldCharType="end"/>
          </w:r>
          <w:r>
            <w:fldChar w:fldCharType="end"/>
          </w:r>
        </w:p>
        <w:p>
          <w:pPr>
            <w:pStyle w:val="2"/>
            <w:tabs>
              <w:tab w:val="right" w:leader="dot" w:pos="9524"/>
            </w:tabs>
          </w:pPr>
          <w:r>
            <w:fldChar w:fldCharType="begin"/>
          </w:r>
          <w:r>
            <w:instrText xml:space="preserve"> HYPERLINK \l _Toc4696 </w:instrText>
          </w:r>
          <w:r>
            <w:fldChar w:fldCharType="separate"/>
          </w:r>
          <w:r>
            <w:rPr>
              <w:rFonts w:hint="eastAsia" w:ascii="黑体" w:hAnsi="黑体" w:eastAsia="黑体"/>
            </w:rPr>
            <w:t>第七章 投标文件格式（参考）</w:t>
          </w:r>
          <w:r>
            <w:tab/>
          </w:r>
          <w:r>
            <w:fldChar w:fldCharType="begin"/>
          </w:r>
          <w:r>
            <w:instrText xml:space="preserve"> PAGEREF _Toc4696 </w:instrText>
          </w:r>
          <w:r>
            <w:fldChar w:fldCharType="separate"/>
          </w:r>
          <w:r>
            <w:t>33</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_Toc18733 </w:instrText>
          </w:r>
          <w:r>
            <w:fldChar w:fldCharType="separate"/>
          </w:r>
          <w:r>
            <w:rPr>
              <w:rFonts w:hint="eastAsia" w:cs="Times New Roman" w:asciiTheme="majorEastAsia" w:hAnsiTheme="majorEastAsia"/>
              <w:bCs w:val="0"/>
              <w:szCs w:val="44"/>
              <w:lang w:val="zh-CN"/>
            </w:rPr>
            <w:t>第一部分 资格证明文件</w:t>
          </w:r>
          <w:r>
            <w:tab/>
          </w:r>
          <w:r>
            <w:fldChar w:fldCharType="begin"/>
          </w:r>
          <w:r>
            <w:instrText xml:space="preserve"> PAGEREF _Toc18733 </w:instrText>
          </w:r>
          <w:r>
            <w:fldChar w:fldCharType="separate"/>
          </w:r>
          <w:r>
            <w:t>33</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_Toc8768 </w:instrText>
          </w:r>
          <w:r>
            <w:fldChar w:fldCharType="separate"/>
          </w:r>
          <w:r>
            <w:rPr>
              <w:rFonts w:hint="eastAsia" w:cs="Times New Roman" w:asciiTheme="majorEastAsia" w:hAnsiTheme="majorEastAsia"/>
              <w:bCs w:val="0"/>
              <w:szCs w:val="44"/>
              <w:lang w:val="zh-CN"/>
            </w:rPr>
            <w:t>第二部分 商务文件</w:t>
          </w:r>
          <w:r>
            <w:tab/>
          </w:r>
          <w:r>
            <w:fldChar w:fldCharType="begin"/>
          </w:r>
          <w:r>
            <w:instrText xml:space="preserve"> PAGEREF _Toc8768 </w:instrText>
          </w:r>
          <w:r>
            <w:fldChar w:fldCharType="separate"/>
          </w:r>
          <w:r>
            <w:t>35</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_Toc2814 </w:instrText>
          </w:r>
          <w:r>
            <w:fldChar w:fldCharType="separate"/>
          </w:r>
          <w:r>
            <w:rPr>
              <w:rFonts w:hint="eastAsia" w:cs="Times New Roman" w:asciiTheme="majorEastAsia" w:hAnsiTheme="majorEastAsia"/>
              <w:bCs w:val="0"/>
              <w:szCs w:val="44"/>
              <w:lang w:val="zh-CN"/>
            </w:rPr>
            <w:t>第三部分 技术、服务文件</w:t>
          </w:r>
          <w:r>
            <w:tab/>
          </w:r>
          <w:r>
            <w:fldChar w:fldCharType="begin"/>
          </w:r>
          <w:r>
            <w:instrText xml:space="preserve"> PAGEREF _Toc2814 </w:instrText>
          </w:r>
          <w:r>
            <w:fldChar w:fldCharType="separate"/>
          </w:r>
          <w:r>
            <w:t>37</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_Toc28371 </w:instrText>
          </w:r>
          <w:r>
            <w:fldChar w:fldCharType="separate"/>
          </w:r>
          <w:r>
            <w:rPr>
              <w:rFonts w:hint="eastAsia" w:ascii="宋体" w:hAnsi="宋体" w:eastAsia="宋体"/>
              <w:i w:val="0"/>
            </w:rPr>
            <w:t xml:space="preserve">附件一、 </w:t>
          </w:r>
          <w:r>
            <w:rPr>
              <w:rFonts w:hint="eastAsia" w:ascii="宋体" w:hAnsi="宋体" w:eastAsia="宋体"/>
            </w:rPr>
            <w:t>投标书</w:t>
          </w:r>
          <w:r>
            <w:tab/>
          </w:r>
          <w:r>
            <w:fldChar w:fldCharType="begin"/>
          </w:r>
          <w:r>
            <w:instrText xml:space="preserve"> PAGEREF _Toc28371 </w:instrText>
          </w:r>
          <w:r>
            <w:fldChar w:fldCharType="separate"/>
          </w:r>
          <w:r>
            <w:t>39</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_Toc15190 </w:instrText>
          </w:r>
          <w:r>
            <w:fldChar w:fldCharType="separate"/>
          </w:r>
          <w:r>
            <w:rPr>
              <w:rFonts w:hint="eastAsia" w:ascii="宋体" w:hAnsi="宋体" w:eastAsia="宋体"/>
              <w:i w:val="0"/>
            </w:rPr>
            <w:t xml:space="preserve">附件二、 </w:t>
          </w:r>
          <w:r>
            <w:rPr>
              <w:rFonts w:hint="eastAsia" w:ascii="宋体" w:hAnsi="宋体" w:eastAsia="宋体"/>
            </w:rPr>
            <w:t>制造商中小企业声明函</w:t>
          </w:r>
          <w:r>
            <w:tab/>
          </w:r>
          <w:r>
            <w:fldChar w:fldCharType="begin"/>
          </w:r>
          <w:r>
            <w:instrText xml:space="preserve"> PAGEREF _Toc15190 </w:instrText>
          </w:r>
          <w:r>
            <w:fldChar w:fldCharType="separate"/>
          </w:r>
          <w:r>
            <w:t>40</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_Toc14131 </w:instrText>
          </w:r>
          <w:r>
            <w:fldChar w:fldCharType="separate"/>
          </w:r>
          <w:r>
            <w:rPr>
              <w:rFonts w:hint="eastAsia" w:ascii="宋体" w:hAnsi="宋体" w:eastAsia="宋体"/>
              <w:i w:val="0"/>
            </w:rPr>
            <w:t xml:space="preserve">附件三、 </w:t>
          </w:r>
          <w:r>
            <w:rPr>
              <w:rFonts w:hint="eastAsia" w:ascii="宋体" w:hAnsi="宋体" w:eastAsia="宋体"/>
            </w:rPr>
            <w:t>中小企业声明函</w:t>
          </w:r>
          <w:r>
            <w:tab/>
          </w:r>
          <w:r>
            <w:fldChar w:fldCharType="begin"/>
          </w:r>
          <w:r>
            <w:instrText xml:space="preserve"> PAGEREF _Toc14131 </w:instrText>
          </w:r>
          <w:r>
            <w:fldChar w:fldCharType="separate"/>
          </w:r>
          <w:r>
            <w:t>41</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_Toc798 </w:instrText>
          </w:r>
          <w:r>
            <w:fldChar w:fldCharType="separate"/>
          </w:r>
          <w:r>
            <w:rPr>
              <w:rFonts w:hint="eastAsia" w:ascii="宋体" w:hAnsi="宋体" w:eastAsia="宋体"/>
              <w:i w:val="0"/>
            </w:rPr>
            <w:t xml:space="preserve">附件四、 </w:t>
          </w:r>
          <w:r>
            <w:rPr>
              <w:rFonts w:hint="eastAsia" w:ascii="宋体" w:hAnsi="宋体" w:eastAsia="宋体"/>
            </w:rPr>
            <w:t>残疾人福利性单位声明函</w:t>
          </w:r>
          <w:r>
            <w:tab/>
          </w:r>
          <w:r>
            <w:fldChar w:fldCharType="begin"/>
          </w:r>
          <w:r>
            <w:instrText xml:space="preserve"> PAGEREF _Toc798 </w:instrText>
          </w:r>
          <w:r>
            <w:fldChar w:fldCharType="separate"/>
          </w:r>
          <w:r>
            <w:t>43</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_Toc30156 </w:instrText>
          </w:r>
          <w:r>
            <w:fldChar w:fldCharType="separate"/>
          </w:r>
          <w:r>
            <w:rPr>
              <w:rFonts w:hint="eastAsia" w:ascii="宋体" w:hAnsi="宋体" w:eastAsia="宋体"/>
              <w:i w:val="0"/>
            </w:rPr>
            <w:t xml:space="preserve">附件五、 </w:t>
          </w:r>
          <w:r>
            <w:rPr>
              <w:rFonts w:hint="eastAsia" w:ascii="宋体" w:hAnsi="宋体" w:eastAsia="宋体"/>
            </w:rPr>
            <w:t>开标一览表</w:t>
          </w:r>
          <w:r>
            <w:tab/>
          </w:r>
          <w:r>
            <w:fldChar w:fldCharType="begin"/>
          </w:r>
          <w:r>
            <w:instrText xml:space="preserve"> PAGEREF _Toc30156 </w:instrText>
          </w:r>
          <w:r>
            <w:fldChar w:fldCharType="separate"/>
          </w:r>
          <w:r>
            <w:t>46</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_Toc7078 </w:instrText>
          </w:r>
          <w:r>
            <w:fldChar w:fldCharType="separate"/>
          </w:r>
          <w:r>
            <w:rPr>
              <w:rFonts w:hint="eastAsia" w:ascii="宋体" w:hAnsi="宋体" w:eastAsia="宋体"/>
              <w:i w:val="0"/>
            </w:rPr>
            <w:t xml:space="preserve">附件六、 </w:t>
          </w:r>
          <w:r>
            <w:rPr>
              <w:rFonts w:hint="eastAsia" w:ascii="宋体" w:hAnsi="宋体" w:eastAsia="宋体"/>
            </w:rPr>
            <w:t>投标报价明细表</w:t>
          </w:r>
          <w:r>
            <w:tab/>
          </w:r>
          <w:r>
            <w:fldChar w:fldCharType="begin"/>
          </w:r>
          <w:r>
            <w:instrText xml:space="preserve"> PAGEREF _Toc7078 </w:instrText>
          </w:r>
          <w:r>
            <w:fldChar w:fldCharType="separate"/>
          </w:r>
          <w:r>
            <w:t>47</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_Toc27866 </w:instrText>
          </w:r>
          <w:r>
            <w:fldChar w:fldCharType="separate"/>
          </w:r>
          <w:r>
            <w:rPr>
              <w:rFonts w:hint="eastAsia" w:ascii="宋体" w:hAnsi="宋体" w:eastAsia="宋体"/>
              <w:i w:val="0"/>
              <w:szCs w:val="31"/>
            </w:rPr>
            <w:t xml:space="preserve">附件七、 </w:t>
          </w:r>
          <w:r>
            <w:rPr>
              <w:rFonts w:hint="eastAsia" w:ascii="宋体" w:hAnsi="宋体" w:eastAsia="宋体"/>
              <w:szCs w:val="31"/>
            </w:rPr>
            <w:t>小型和微型企业、监狱企业、残疾人福利性单位货物汇总表</w:t>
          </w:r>
          <w:r>
            <w:tab/>
          </w:r>
          <w:r>
            <w:fldChar w:fldCharType="begin"/>
          </w:r>
          <w:r>
            <w:instrText xml:space="preserve"> PAGEREF _Toc27866 </w:instrText>
          </w:r>
          <w:r>
            <w:fldChar w:fldCharType="separate"/>
          </w:r>
          <w:r>
            <w:t>48</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_Toc15268 </w:instrText>
          </w:r>
          <w:r>
            <w:fldChar w:fldCharType="separate"/>
          </w:r>
          <w:r>
            <w:rPr>
              <w:rFonts w:hint="eastAsia" w:ascii="宋体" w:hAnsi="宋体" w:eastAsia="宋体"/>
              <w:i w:val="0"/>
            </w:rPr>
            <w:t xml:space="preserve">附件八、 </w:t>
          </w:r>
          <w:r>
            <w:rPr>
              <w:rFonts w:hint="eastAsia" w:ascii="宋体" w:hAnsi="宋体" w:eastAsia="宋体"/>
            </w:rPr>
            <w:t>投标货物（工程或服务）清单</w:t>
          </w:r>
          <w:r>
            <w:tab/>
          </w:r>
          <w:r>
            <w:fldChar w:fldCharType="begin"/>
          </w:r>
          <w:r>
            <w:instrText xml:space="preserve"> PAGEREF _Toc15268 </w:instrText>
          </w:r>
          <w:r>
            <w:fldChar w:fldCharType="separate"/>
          </w:r>
          <w:r>
            <w:t>49</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_Toc10242 </w:instrText>
          </w:r>
          <w:r>
            <w:fldChar w:fldCharType="separate"/>
          </w:r>
          <w:r>
            <w:rPr>
              <w:rFonts w:hint="eastAsia" w:ascii="宋体" w:hAnsi="宋体" w:eastAsia="宋体"/>
              <w:i w:val="0"/>
            </w:rPr>
            <w:t xml:space="preserve">附件九、 </w:t>
          </w:r>
          <w:r>
            <w:rPr>
              <w:rFonts w:hint="eastAsia" w:ascii="宋体" w:hAnsi="宋体" w:eastAsia="宋体"/>
            </w:rPr>
            <w:t>交纳投标保证金的银行凭证</w:t>
          </w:r>
          <w:r>
            <w:tab/>
          </w:r>
          <w:r>
            <w:fldChar w:fldCharType="begin"/>
          </w:r>
          <w:r>
            <w:instrText xml:space="preserve"> PAGEREF _Toc10242 </w:instrText>
          </w:r>
          <w:r>
            <w:fldChar w:fldCharType="separate"/>
          </w:r>
          <w:r>
            <w:t>50</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_Toc14569 </w:instrText>
          </w:r>
          <w:r>
            <w:fldChar w:fldCharType="separate"/>
          </w:r>
          <w:r>
            <w:rPr>
              <w:rFonts w:hint="eastAsia" w:ascii="宋体" w:hAnsi="宋体" w:eastAsia="宋体"/>
              <w:i w:val="0"/>
            </w:rPr>
            <w:t xml:space="preserve">附件十、 </w:t>
          </w:r>
          <w:r>
            <w:rPr>
              <w:rFonts w:hint="eastAsia" w:ascii="宋体" w:hAnsi="宋体" w:eastAsia="宋体"/>
            </w:rPr>
            <w:t>法定代表人授权书</w:t>
          </w:r>
          <w:r>
            <w:tab/>
          </w:r>
          <w:r>
            <w:fldChar w:fldCharType="begin"/>
          </w:r>
          <w:r>
            <w:instrText xml:space="preserve"> PAGEREF _Toc14569 </w:instrText>
          </w:r>
          <w:r>
            <w:fldChar w:fldCharType="separate"/>
          </w:r>
          <w:r>
            <w:t>51</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_Toc9120 </w:instrText>
          </w:r>
          <w:r>
            <w:fldChar w:fldCharType="separate"/>
          </w:r>
          <w:r>
            <w:rPr>
              <w:rFonts w:hint="eastAsia" w:ascii="宋体" w:hAnsi="宋体" w:eastAsia="宋体"/>
              <w:i w:val="0"/>
            </w:rPr>
            <w:t xml:space="preserve">附件十一、 </w:t>
          </w:r>
          <w:r>
            <w:rPr>
              <w:rFonts w:hint="eastAsia" w:ascii="宋体" w:hAnsi="宋体" w:eastAsia="宋体"/>
            </w:rPr>
            <w:t>投标人的资格声明</w:t>
          </w:r>
          <w:r>
            <w:tab/>
          </w:r>
          <w:r>
            <w:fldChar w:fldCharType="begin"/>
          </w:r>
          <w:r>
            <w:instrText xml:space="preserve"> PAGEREF _Toc9120 </w:instrText>
          </w:r>
          <w:r>
            <w:fldChar w:fldCharType="separate"/>
          </w:r>
          <w:r>
            <w:t>52</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_Toc27877 </w:instrText>
          </w:r>
          <w:r>
            <w:fldChar w:fldCharType="separate"/>
          </w:r>
          <w:r>
            <w:rPr>
              <w:rFonts w:hint="eastAsia" w:ascii="宋体" w:hAnsi="宋体" w:eastAsia="宋体"/>
              <w:i w:val="0"/>
            </w:rPr>
            <w:t xml:space="preserve">附件十二、 </w:t>
          </w:r>
          <w:r>
            <w:rPr>
              <w:rFonts w:hint="eastAsia" w:ascii="宋体" w:hAnsi="宋体" w:eastAsia="宋体"/>
            </w:rPr>
            <w:t>项目负责人、技术负责人简历表</w:t>
          </w:r>
          <w:r>
            <w:tab/>
          </w:r>
          <w:r>
            <w:fldChar w:fldCharType="begin"/>
          </w:r>
          <w:r>
            <w:instrText xml:space="preserve"> PAGEREF _Toc27877 </w:instrText>
          </w:r>
          <w:r>
            <w:fldChar w:fldCharType="separate"/>
          </w:r>
          <w:r>
            <w:t>53</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_Toc4040 </w:instrText>
          </w:r>
          <w:r>
            <w:fldChar w:fldCharType="separate"/>
          </w:r>
          <w:r>
            <w:rPr>
              <w:rFonts w:hint="eastAsia" w:ascii="宋体" w:hAnsi="宋体" w:eastAsia="宋体"/>
              <w:i w:val="0"/>
            </w:rPr>
            <w:t xml:space="preserve">附件十三、 </w:t>
          </w:r>
          <w:r>
            <w:rPr>
              <w:rFonts w:hint="eastAsia" w:ascii="宋体" w:hAnsi="宋体" w:eastAsia="宋体"/>
            </w:rPr>
            <w:t>项目班子成员情况表</w:t>
          </w:r>
          <w:r>
            <w:tab/>
          </w:r>
          <w:r>
            <w:fldChar w:fldCharType="begin"/>
          </w:r>
          <w:r>
            <w:instrText xml:space="preserve"> PAGEREF _Toc4040 </w:instrText>
          </w:r>
          <w:r>
            <w:fldChar w:fldCharType="separate"/>
          </w:r>
          <w:r>
            <w:t>54</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_Toc6713 </w:instrText>
          </w:r>
          <w:r>
            <w:fldChar w:fldCharType="separate"/>
          </w:r>
          <w:r>
            <w:rPr>
              <w:rFonts w:hint="eastAsia" w:ascii="宋体" w:hAnsi="宋体" w:eastAsia="宋体"/>
              <w:i w:val="0"/>
            </w:rPr>
            <w:t xml:space="preserve">附件十四、 </w:t>
          </w:r>
          <w:r>
            <w:rPr>
              <w:rFonts w:hint="eastAsia" w:ascii="宋体" w:hAnsi="宋体" w:eastAsia="宋体"/>
            </w:rPr>
            <w:t>投标人类似项目业绩表</w:t>
          </w:r>
          <w:r>
            <w:tab/>
          </w:r>
          <w:r>
            <w:fldChar w:fldCharType="begin"/>
          </w:r>
          <w:r>
            <w:instrText xml:space="preserve"> PAGEREF _Toc6713 </w:instrText>
          </w:r>
          <w:r>
            <w:fldChar w:fldCharType="separate"/>
          </w:r>
          <w:r>
            <w:t>55</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_Toc5128 </w:instrText>
          </w:r>
          <w:r>
            <w:fldChar w:fldCharType="separate"/>
          </w:r>
          <w:r>
            <w:rPr>
              <w:rFonts w:hint="eastAsia" w:ascii="宋体" w:hAnsi="宋体" w:eastAsia="宋体"/>
              <w:i w:val="0"/>
            </w:rPr>
            <w:t xml:space="preserve">附件十五、 </w:t>
          </w:r>
          <w:r>
            <w:rPr>
              <w:rFonts w:hint="eastAsia" w:ascii="宋体" w:hAnsi="宋体" w:eastAsia="宋体"/>
            </w:rPr>
            <w:t>符合性审查对照表</w:t>
          </w:r>
          <w:r>
            <w:tab/>
          </w:r>
          <w:r>
            <w:fldChar w:fldCharType="begin"/>
          </w:r>
          <w:r>
            <w:instrText xml:space="preserve"> PAGEREF _Toc5128 </w:instrText>
          </w:r>
          <w:r>
            <w:fldChar w:fldCharType="separate"/>
          </w:r>
          <w:r>
            <w:t>56</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_Toc17380 </w:instrText>
          </w:r>
          <w:r>
            <w:fldChar w:fldCharType="separate"/>
          </w:r>
          <w:r>
            <w:rPr>
              <w:rFonts w:hint="eastAsia" w:ascii="宋体" w:hAnsi="宋体" w:eastAsia="宋体"/>
              <w:i w:val="0"/>
            </w:rPr>
            <w:t xml:space="preserve">附件十六、 </w:t>
          </w:r>
          <w:r>
            <w:rPr>
              <w:rFonts w:hint="eastAsia" w:ascii="宋体" w:hAnsi="宋体" w:eastAsia="宋体"/>
            </w:rPr>
            <w:t>商务要求响应、偏离说明表</w:t>
          </w:r>
          <w:r>
            <w:tab/>
          </w:r>
          <w:r>
            <w:fldChar w:fldCharType="begin"/>
          </w:r>
          <w:r>
            <w:instrText xml:space="preserve"> PAGEREF _Toc17380 </w:instrText>
          </w:r>
          <w:r>
            <w:fldChar w:fldCharType="separate"/>
          </w:r>
          <w:r>
            <w:t>57</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_Toc25190 </w:instrText>
          </w:r>
          <w:r>
            <w:fldChar w:fldCharType="separate"/>
          </w:r>
          <w:r>
            <w:rPr>
              <w:rFonts w:hint="eastAsia" w:ascii="宋体" w:hAnsi="宋体" w:eastAsia="宋体"/>
              <w:i w:val="0"/>
            </w:rPr>
            <w:t xml:space="preserve">附件十七、 </w:t>
          </w:r>
          <w:r>
            <w:rPr>
              <w:rFonts w:hint="eastAsia" w:ascii="宋体" w:hAnsi="宋体" w:eastAsia="宋体"/>
            </w:rPr>
            <w:t>商务要求“★”号条款响应、偏离说明表</w:t>
          </w:r>
          <w:r>
            <w:tab/>
          </w:r>
          <w:r>
            <w:fldChar w:fldCharType="begin"/>
          </w:r>
          <w:r>
            <w:instrText xml:space="preserve"> PAGEREF _Toc25190 </w:instrText>
          </w:r>
          <w:r>
            <w:fldChar w:fldCharType="separate"/>
          </w:r>
          <w:r>
            <w:t>58</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_Toc10960 </w:instrText>
          </w:r>
          <w:r>
            <w:fldChar w:fldCharType="separate"/>
          </w:r>
          <w:r>
            <w:rPr>
              <w:rFonts w:hint="eastAsia" w:ascii="宋体" w:hAnsi="宋体" w:eastAsia="宋体"/>
              <w:i w:val="0"/>
            </w:rPr>
            <w:t xml:space="preserve">附件十八、 </w:t>
          </w:r>
          <w:r>
            <w:rPr>
              <w:rFonts w:hint="eastAsia" w:ascii="宋体" w:hAnsi="宋体" w:eastAsia="宋体"/>
            </w:rPr>
            <w:t>商务评议对照表</w:t>
          </w:r>
          <w:r>
            <w:tab/>
          </w:r>
          <w:r>
            <w:fldChar w:fldCharType="begin"/>
          </w:r>
          <w:r>
            <w:instrText xml:space="preserve"> PAGEREF _Toc10960 </w:instrText>
          </w:r>
          <w:r>
            <w:fldChar w:fldCharType="separate"/>
          </w:r>
          <w:r>
            <w:t>59</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_Toc6966 </w:instrText>
          </w:r>
          <w:r>
            <w:fldChar w:fldCharType="separate"/>
          </w:r>
          <w:r>
            <w:rPr>
              <w:rFonts w:hint="eastAsia" w:ascii="宋体" w:hAnsi="宋体" w:eastAsia="宋体"/>
              <w:i w:val="0"/>
            </w:rPr>
            <w:t xml:space="preserve">附件十九、 </w:t>
          </w:r>
          <w:r>
            <w:rPr>
              <w:rFonts w:hint="eastAsia" w:ascii="宋体" w:hAnsi="宋体" w:eastAsia="宋体"/>
            </w:rPr>
            <w:t>技术、服务要求响应、偏离说明表</w:t>
          </w:r>
          <w:r>
            <w:tab/>
          </w:r>
          <w:r>
            <w:fldChar w:fldCharType="begin"/>
          </w:r>
          <w:r>
            <w:instrText xml:space="preserve"> PAGEREF _Toc6966 </w:instrText>
          </w:r>
          <w:r>
            <w:fldChar w:fldCharType="separate"/>
          </w:r>
          <w:r>
            <w:t>60</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_Toc3270 </w:instrText>
          </w:r>
          <w:r>
            <w:fldChar w:fldCharType="separate"/>
          </w:r>
          <w:r>
            <w:rPr>
              <w:rFonts w:hint="eastAsia" w:ascii="宋体" w:hAnsi="宋体" w:eastAsia="宋体"/>
              <w:i w:val="0"/>
            </w:rPr>
            <w:t xml:space="preserve">附件二十、 </w:t>
          </w:r>
          <w:r>
            <w:rPr>
              <w:rFonts w:hint="eastAsia" w:ascii="宋体" w:hAnsi="宋体" w:eastAsia="宋体"/>
            </w:rPr>
            <w:t>技术、服务要求“★”号条款响应、偏离说明表</w:t>
          </w:r>
          <w:r>
            <w:tab/>
          </w:r>
          <w:r>
            <w:fldChar w:fldCharType="begin"/>
          </w:r>
          <w:r>
            <w:instrText xml:space="preserve"> PAGEREF _Toc3270 </w:instrText>
          </w:r>
          <w:r>
            <w:fldChar w:fldCharType="separate"/>
          </w:r>
          <w:r>
            <w:t>61</w:t>
          </w:r>
          <w:r>
            <w:fldChar w:fldCharType="end"/>
          </w:r>
          <w:r>
            <w:fldChar w:fldCharType="end"/>
          </w:r>
        </w:p>
        <w:p>
          <w:pPr>
            <w:pStyle w:val="15"/>
            <w:tabs>
              <w:tab w:val="right" w:leader="dot" w:pos="9524"/>
              <w:tab w:val="clear" w:pos="756"/>
              <w:tab w:val="clear" w:pos="966"/>
              <w:tab w:val="clear" w:pos="1204"/>
              <w:tab w:val="clear" w:pos="1442"/>
              <w:tab w:val="clear" w:pos="9514"/>
            </w:tabs>
          </w:pPr>
          <w:r>
            <w:fldChar w:fldCharType="begin"/>
          </w:r>
          <w:r>
            <w:instrText xml:space="preserve"> HYPERLINK \l _Toc20668 </w:instrText>
          </w:r>
          <w:r>
            <w:fldChar w:fldCharType="separate"/>
          </w:r>
          <w:r>
            <w:rPr>
              <w:rFonts w:hint="eastAsia" w:ascii="宋体" w:hAnsi="宋体" w:eastAsia="宋体"/>
              <w:i w:val="0"/>
            </w:rPr>
            <w:t xml:space="preserve">附件二十一、 </w:t>
          </w:r>
          <w:r>
            <w:rPr>
              <w:rFonts w:hint="eastAsia" w:ascii="宋体" w:hAnsi="宋体" w:eastAsia="宋体"/>
            </w:rPr>
            <w:t>技术、服务评议对照表</w:t>
          </w:r>
          <w:r>
            <w:tab/>
          </w:r>
          <w:r>
            <w:fldChar w:fldCharType="begin"/>
          </w:r>
          <w:r>
            <w:instrText xml:space="preserve"> PAGEREF _Toc20668 </w:instrText>
          </w:r>
          <w:r>
            <w:fldChar w:fldCharType="separate"/>
          </w:r>
          <w:r>
            <w:t>62</w:t>
          </w:r>
          <w:r>
            <w:fldChar w:fldCharType="end"/>
          </w:r>
          <w:r>
            <w:fldChar w:fldCharType="end"/>
          </w:r>
        </w:p>
        <w:p>
          <w:pPr>
            <w:pStyle w:val="2"/>
            <w:tabs>
              <w:tab w:val="left" w:pos="1260"/>
              <w:tab w:val="right" w:leader="dot" w:pos="9514"/>
            </w:tabs>
          </w:pPr>
          <w:r>
            <w:fldChar w:fldCharType="end"/>
          </w:r>
          <w:r>
            <w:rPr>
              <w:b w:val="0"/>
              <w:bCs/>
              <w:lang w:val="zh-CN"/>
            </w:rPr>
            <w:tab/>
          </w:r>
        </w:p>
      </w:sdtContent>
    </w:sdt>
    <w:p>
      <w:r>
        <w:br w:type="page"/>
      </w:r>
    </w:p>
    <w:p>
      <w:pPr>
        <w:pStyle w:val="3"/>
        <w:numPr>
          <w:ilvl w:val="0"/>
          <w:numId w:val="1"/>
        </w:numPr>
        <w:spacing w:before="240" w:after="120"/>
        <w:ind w:left="883" w:hanging="880" w:hangingChars="200"/>
        <w:jc w:val="center"/>
        <w:rPr>
          <w:rFonts w:ascii="黑体" w:hAnsi="黑体" w:eastAsia="黑体"/>
        </w:rPr>
      </w:pPr>
      <w:bookmarkStart w:id="0" w:name="_Toc29226"/>
      <w:r>
        <w:rPr>
          <w:rFonts w:hint="eastAsia" w:ascii="黑体" w:hAnsi="黑体" w:eastAsia="黑体"/>
        </w:rPr>
        <w:t>投标邀请书</w:t>
      </w:r>
      <w:bookmarkEnd w:id="0"/>
    </w:p>
    <w:p>
      <w:pPr>
        <w:pStyle w:val="17"/>
        <w:keepNext w:val="0"/>
        <w:keepLines w:val="0"/>
        <w:widowControl/>
        <w:suppressLineNumbers w:val="0"/>
        <w:pBdr>
          <w:top w:val="single" w:color="auto" w:sz="6" w:space="0"/>
          <w:left w:val="single" w:color="auto" w:sz="6" w:space="3"/>
          <w:bottom w:val="single" w:color="auto" w:sz="6" w:space="0"/>
          <w:right w:val="single" w:color="auto" w:sz="6" w:space="3"/>
        </w:pBdr>
        <w:spacing w:before="0" w:beforeAutospacing="0" w:after="0" w:afterAutospacing="0" w:line="360" w:lineRule="auto"/>
        <w:ind w:left="0" w:right="0" w:firstLine="720"/>
        <w:rPr>
          <w:color w:val="auto"/>
        </w:rPr>
      </w:pPr>
      <w:r>
        <w:rPr>
          <w:rFonts w:hint="eastAsia" w:ascii="宋体" w:hAnsi="宋体" w:cs="宋体"/>
          <w:color w:val="auto"/>
          <w:sz w:val="24"/>
          <w:szCs w:val="24"/>
          <w:shd w:val="clear" w:fill="FFFFFF"/>
          <w:lang w:eastAsia="zh-CN"/>
        </w:rPr>
        <w:t>阳新县人民医院血液透析机设备采购项目</w:t>
      </w:r>
      <w:r>
        <w:rPr>
          <w:rFonts w:hint="eastAsia" w:ascii="宋体" w:hAnsi="宋体" w:eastAsia="宋体" w:cs="宋体"/>
          <w:color w:val="auto"/>
          <w:sz w:val="24"/>
          <w:szCs w:val="24"/>
          <w:shd w:val="clear" w:fill="FFFFFF"/>
        </w:rPr>
        <w:t>的潜在投标人应在</w:t>
      </w:r>
      <w:r>
        <w:rPr>
          <w:rFonts w:hint="eastAsia" w:ascii="宋体" w:hAnsi="宋体" w:eastAsia="宋体" w:cs="宋体"/>
          <w:color w:val="auto"/>
          <w:spacing w:val="0"/>
          <w:sz w:val="24"/>
          <w:szCs w:val="24"/>
          <w:shd w:val="clear" w:fill="FFFFFF"/>
        </w:rPr>
        <w:t>“湖北省政府采购网”、“黄石市公共资源交易信息网”及“阳新县人民政府网”</w:t>
      </w:r>
      <w:r>
        <w:rPr>
          <w:rFonts w:hint="eastAsia" w:ascii="宋体" w:hAnsi="宋体" w:eastAsia="宋体" w:cs="宋体"/>
          <w:color w:val="auto"/>
          <w:sz w:val="24"/>
          <w:szCs w:val="24"/>
          <w:shd w:val="clear" w:fill="FFFFFF"/>
        </w:rPr>
        <w:t>获取招标文件，并于</w:t>
      </w:r>
      <w:r>
        <w:rPr>
          <w:rFonts w:hint="eastAsia" w:ascii="宋体" w:hAnsi="宋体" w:eastAsia="宋体" w:cs="宋体"/>
          <w:color w:val="auto"/>
          <w:spacing w:val="0"/>
          <w:sz w:val="24"/>
          <w:szCs w:val="24"/>
          <w:u w:val="single"/>
          <w:shd w:val="clear" w:fill="FFFFFF"/>
        </w:rPr>
        <w:t>2020</w:t>
      </w:r>
      <w:r>
        <w:rPr>
          <w:rFonts w:hint="eastAsia" w:ascii="宋体" w:hAnsi="宋体" w:eastAsia="宋体" w:cs="宋体"/>
          <w:color w:val="auto"/>
          <w:spacing w:val="0"/>
          <w:sz w:val="24"/>
          <w:szCs w:val="24"/>
          <w:shd w:val="clear" w:fill="FFFFFF"/>
        </w:rPr>
        <w:t>年</w:t>
      </w:r>
      <w:r>
        <w:rPr>
          <w:rFonts w:hint="eastAsia" w:ascii="宋体" w:hAnsi="宋体" w:cs="宋体"/>
          <w:color w:val="auto"/>
          <w:spacing w:val="0"/>
          <w:sz w:val="24"/>
          <w:szCs w:val="24"/>
          <w:u w:val="single"/>
          <w:shd w:val="clear" w:fill="FFFFFF"/>
          <w:lang w:val="en-US" w:eastAsia="zh-CN"/>
        </w:rPr>
        <w:t xml:space="preserve"> 10 </w:t>
      </w:r>
      <w:r>
        <w:rPr>
          <w:rFonts w:hint="eastAsia" w:ascii="宋体" w:hAnsi="宋体" w:eastAsia="宋体" w:cs="宋体"/>
          <w:color w:val="auto"/>
          <w:spacing w:val="0"/>
          <w:sz w:val="24"/>
          <w:szCs w:val="24"/>
          <w:shd w:val="clear" w:fill="FFFFFF"/>
        </w:rPr>
        <w:t>月</w:t>
      </w:r>
      <w:r>
        <w:rPr>
          <w:rFonts w:hint="eastAsia" w:ascii="宋体" w:hAnsi="宋体" w:cs="宋体"/>
          <w:color w:val="auto"/>
          <w:spacing w:val="0"/>
          <w:sz w:val="24"/>
          <w:szCs w:val="24"/>
          <w:u w:val="single"/>
          <w:shd w:val="clear" w:fill="FFFFFF"/>
          <w:lang w:val="en-US" w:eastAsia="zh-CN"/>
        </w:rPr>
        <w:t xml:space="preserve"> 10 </w:t>
      </w:r>
      <w:r>
        <w:rPr>
          <w:rFonts w:hint="eastAsia" w:ascii="宋体" w:hAnsi="宋体" w:eastAsia="宋体" w:cs="宋体"/>
          <w:color w:val="auto"/>
          <w:spacing w:val="0"/>
          <w:sz w:val="24"/>
          <w:szCs w:val="24"/>
          <w:shd w:val="clear" w:fill="FFFFFF"/>
        </w:rPr>
        <w:t>日</w:t>
      </w:r>
      <w:r>
        <w:rPr>
          <w:rFonts w:hint="eastAsia" w:ascii="宋体" w:hAnsi="宋体" w:eastAsia="宋体" w:cs="宋体"/>
          <w:color w:val="auto"/>
          <w:spacing w:val="0"/>
          <w:sz w:val="24"/>
          <w:szCs w:val="24"/>
          <w:u w:val="single"/>
          <w:shd w:val="clear" w:fill="FFFFFF"/>
        </w:rPr>
        <w:t>09</w:t>
      </w:r>
      <w:r>
        <w:rPr>
          <w:rFonts w:hint="eastAsia" w:ascii="宋体" w:hAnsi="宋体" w:eastAsia="宋体" w:cs="宋体"/>
          <w:color w:val="auto"/>
          <w:spacing w:val="0"/>
          <w:sz w:val="24"/>
          <w:szCs w:val="24"/>
          <w:shd w:val="clear" w:fill="FFFFFF"/>
        </w:rPr>
        <w:t>点00分(</w:t>
      </w:r>
      <w:r>
        <w:rPr>
          <w:rFonts w:hint="eastAsia" w:ascii="宋体" w:hAnsi="宋体" w:eastAsia="宋体" w:cs="宋体"/>
          <w:color w:val="auto"/>
          <w:sz w:val="24"/>
          <w:szCs w:val="24"/>
          <w:shd w:val="clear" w:fill="FFFFFF"/>
        </w:rPr>
        <w:t>北京时间）前递交投标文件。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color w:val="auto"/>
        </w:rPr>
      </w:pPr>
      <w:r>
        <w:rPr>
          <w:rStyle w:val="22"/>
          <w:rFonts w:hint="eastAsia" w:ascii="宋体" w:hAnsi="宋体" w:eastAsia="宋体" w:cs="宋体"/>
          <w:color w:val="auto"/>
          <w:sz w:val="24"/>
          <w:szCs w:val="24"/>
          <w:shd w:val="clear" w:fill="FFFFFF"/>
        </w:rPr>
        <w:t>一、项目基本情况</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eastAsia="宋体"/>
          <w:color w:val="auto"/>
          <w:lang w:val="en-US" w:eastAsia="zh-CN"/>
        </w:rPr>
      </w:pPr>
      <w:r>
        <w:rPr>
          <w:rFonts w:hint="eastAsia" w:ascii="宋体" w:hAnsi="宋体" w:eastAsia="宋体" w:cs="宋体"/>
          <w:color w:val="auto"/>
          <w:sz w:val="24"/>
          <w:szCs w:val="24"/>
          <w:shd w:val="clear" w:fill="FFFFFF"/>
        </w:rPr>
        <w:t>项目编号：131-2020CG</w:t>
      </w:r>
      <w:r>
        <w:rPr>
          <w:rFonts w:hint="eastAsia" w:ascii="宋体" w:hAnsi="宋体" w:eastAsia="宋体" w:cs="宋体"/>
          <w:color w:val="auto"/>
          <w:sz w:val="24"/>
          <w:szCs w:val="24"/>
          <w:u w:val="none"/>
          <w:shd w:val="clear" w:fill="FFFFFF"/>
        </w:rPr>
        <w:t>-</w:t>
      </w:r>
      <w:r>
        <w:rPr>
          <w:rFonts w:hint="eastAsia" w:ascii="宋体" w:hAnsi="宋体" w:cs="宋体"/>
          <w:color w:val="auto"/>
          <w:sz w:val="24"/>
          <w:szCs w:val="24"/>
          <w:u w:val="none"/>
          <w:shd w:val="clear" w:fill="FFFFFF"/>
          <w:lang w:val="en-US" w:eastAsia="zh-CN"/>
        </w:rPr>
        <w:t xml:space="preserve">164 </w:t>
      </w:r>
      <w:r>
        <w:rPr>
          <w:rFonts w:hint="eastAsia" w:ascii="宋体" w:hAnsi="宋体" w:eastAsia="宋体" w:cs="宋体"/>
          <w:i w:val="0"/>
          <w:caps w:val="0"/>
          <w:color w:val="auto"/>
          <w:spacing w:val="0"/>
          <w:kern w:val="0"/>
          <w:sz w:val="24"/>
          <w:szCs w:val="24"/>
          <w:u w:val="none"/>
          <w:shd w:val="clear" w:fill="FFFFFF"/>
          <w:lang w:val="en-US" w:eastAsia="zh-CN" w:bidi="ar"/>
        </w:rPr>
        <w:t>（政府采购备案号：阳财采计备[2020]A</w:t>
      </w:r>
      <w:r>
        <w:rPr>
          <w:rFonts w:hint="eastAsia" w:ascii="宋体" w:hAnsi="宋体" w:cs="宋体"/>
          <w:i w:val="0"/>
          <w:caps w:val="0"/>
          <w:color w:val="auto"/>
          <w:spacing w:val="0"/>
          <w:kern w:val="0"/>
          <w:sz w:val="24"/>
          <w:szCs w:val="24"/>
          <w:u w:val="none"/>
          <w:shd w:val="clear" w:fill="FFFFFF"/>
          <w:lang w:val="en-US" w:eastAsia="zh-CN" w:bidi="ar"/>
        </w:rPr>
        <w:t xml:space="preserve"> 129</w:t>
      </w:r>
      <w:r>
        <w:rPr>
          <w:rFonts w:hint="eastAsia" w:ascii="宋体" w:hAnsi="宋体" w:eastAsia="宋体" w:cs="宋体"/>
          <w:i w:val="0"/>
          <w:caps w:val="0"/>
          <w:color w:val="auto"/>
          <w:spacing w:val="0"/>
          <w:kern w:val="0"/>
          <w:sz w:val="24"/>
          <w:szCs w:val="24"/>
          <w:u w:val="none"/>
          <w:shd w:val="clear" w:fill="FFFFFF"/>
          <w:lang w:val="en-US" w:eastAsia="zh-CN" w:bidi="ar"/>
        </w:rPr>
        <w:t xml:space="preserve"> 号）</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eastAsia="宋体"/>
          <w:color w:val="auto"/>
          <w:lang w:eastAsia="zh-CN"/>
        </w:rPr>
      </w:pPr>
      <w:r>
        <w:rPr>
          <w:rFonts w:hint="eastAsia" w:ascii="宋体" w:hAnsi="宋体" w:eastAsia="宋体" w:cs="宋体"/>
          <w:color w:val="auto"/>
          <w:sz w:val="24"/>
          <w:szCs w:val="24"/>
          <w:shd w:val="clear" w:fill="FFFFFF"/>
        </w:rPr>
        <w:t>项目名称：</w:t>
      </w:r>
      <w:r>
        <w:rPr>
          <w:rFonts w:hint="eastAsia" w:ascii="宋体" w:hAnsi="宋体" w:cs="宋体"/>
          <w:color w:val="auto"/>
          <w:sz w:val="24"/>
          <w:szCs w:val="24"/>
          <w:shd w:val="clear" w:fill="FFFFFF"/>
          <w:lang w:eastAsia="zh-CN"/>
        </w:rPr>
        <w:t>阳新县人民医院血液透析机设备采购项目</w:t>
      </w:r>
    </w:p>
    <w:p>
      <w:pPr>
        <w:pStyle w:val="17"/>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480"/>
        <w:textAlignment w:val="auto"/>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预算金额：</w:t>
      </w:r>
      <w:r>
        <w:rPr>
          <w:rFonts w:hint="eastAsia" w:ascii="宋体" w:hAnsi="宋体" w:cs="宋体"/>
          <w:color w:val="auto"/>
          <w:sz w:val="24"/>
          <w:szCs w:val="24"/>
          <w:shd w:val="clear" w:fill="FFFFFF"/>
          <w:lang w:val="en-US" w:eastAsia="zh-CN"/>
        </w:rPr>
        <w:t>669</w:t>
      </w:r>
      <w:r>
        <w:rPr>
          <w:rFonts w:hint="eastAsia" w:ascii="宋体" w:hAnsi="宋体" w:eastAsia="宋体" w:cs="宋体"/>
          <w:color w:val="auto"/>
          <w:sz w:val="24"/>
          <w:szCs w:val="24"/>
          <w:shd w:val="clear" w:fill="FFFFFF"/>
        </w:rPr>
        <w:t>万元（</w:t>
      </w:r>
      <w:r>
        <w:rPr>
          <w:rFonts w:hint="eastAsia" w:ascii="宋体" w:hAnsi="宋体" w:cs="宋体"/>
          <w:color w:val="auto"/>
          <w:sz w:val="24"/>
          <w:szCs w:val="24"/>
          <w:shd w:val="clear" w:fill="FFFFFF"/>
          <w:lang w:val="en-US" w:eastAsia="zh-CN"/>
        </w:rPr>
        <w:t>A包：507万元；B包162万元</w:t>
      </w:r>
      <w:r>
        <w:rPr>
          <w:rFonts w:hint="eastAsia" w:ascii="宋体" w:hAnsi="宋体" w:eastAsia="宋体" w:cs="宋体"/>
          <w:color w:val="auto"/>
          <w:sz w:val="24"/>
          <w:szCs w:val="24"/>
          <w:shd w:val="clear" w:fill="FFFFFF"/>
        </w:rPr>
        <w:t>）</w:t>
      </w:r>
    </w:p>
    <w:p>
      <w:pPr>
        <w:pStyle w:val="17"/>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480"/>
        <w:textAlignment w:val="auto"/>
        <w:rPr>
          <w:color w:val="auto"/>
          <w:spacing w:val="-6"/>
        </w:rPr>
      </w:pPr>
      <w:r>
        <w:rPr>
          <w:rFonts w:hint="eastAsia" w:ascii="宋体" w:hAnsi="宋体" w:eastAsia="宋体" w:cs="宋体"/>
          <w:color w:val="auto"/>
          <w:sz w:val="24"/>
          <w:szCs w:val="24"/>
          <w:shd w:val="clear" w:fill="FFFFFF"/>
        </w:rPr>
        <w:t>采购需求：</w:t>
      </w:r>
      <w:r>
        <w:rPr>
          <w:rFonts w:hint="eastAsia" w:ascii="宋体" w:hAnsi="宋体" w:cs="宋体"/>
          <w:color w:val="auto"/>
          <w:spacing w:val="-6"/>
          <w:sz w:val="24"/>
          <w:szCs w:val="24"/>
          <w:shd w:val="clear" w:fill="FFFFFF"/>
          <w:lang w:eastAsia="zh-CN"/>
        </w:rPr>
        <w:t>血液透析机设备采购，</w:t>
      </w:r>
      <w:r>
        <w:rPr>
          <w:rFonts w:hint="eastAsia" w:ascii="宋体" w:hAnsi="宋体" w:eastAsia="宋体" w:cs="宋体"/>
          <w:color w:val="0C0C0C"/>
          <w:spacing w:val="-6"/>
          <w:sz w:val="24"/>
          <w:szCs w:val="24"/>
          <w:shd w:val="clear" w:fill="FFFFFF"/>
        </w:rPr>
        <w:t>本项目已办理进口产品审批手续（</w:t>
      </w:r>
      <w:r>
        <w:rPr>
          <w:rFonts w:hint="eastAsia" w:ascii="宋体" w:hAnsi="宋体" w:cs="宋体"/>
          <w:i w:val="0"/>
          <w:caps w:val="0"/>
          <w:color w:val="auto"/>
          <w:spacing w:val="-6"/>
          <w:kern w:val="0"/>
          <w:sz w:val="24"/>
          <w:szCs w:val="24"/>
          <w:u w:val="none"/>
          <w:shd w:val="clear" w:color="auto" w:fill="FFFFFF"/>
          <w:lang w:val="en-US" w:eastAsia="zh-CN" w:bidi="ar"/>
        </w:rPr>
        <w:t>详见招标文件第三章</w:t>
      </w:r>
      <w:r>
        <w:rPr>
          <w:rFonts w:hint="eastAsia" w:ascii="宋体" w:hAnsi="宋体" w:eastAsia="宋体" w:cs="宋体"/>
          <w:color w:val="0C0C0C"/>
          <w:spacing w:val="-6"/>
          <w:sz w:val="24"/>
          <w:szCs w:val="24"/>
          <w:shd w:val="clear" w:fill="FFFFFF"/>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eastAsia="宋体"/>
          <w:color w:val="auto"/>
          <w:lang w:val="en-US" w:eastAsia="zh-CN"/>
        </w:rPr>
      </w:pPr>
      <w:r>
        <w:rPr>
          <w:rFonts w:hint="eastAsia" w:ascii="宋体" w:hAnsi="宋体" w:eastAsia="宋体" w:cs="宋体"/>
          <w:color w:val="auto"/>
          <w:sz w:val="24"/>
          <w:szCs w:val="24"/>
          <w:shd w:val="clear" w:fill="FFFFFF"/>
        </w:rPr>
        <w:t>合同履行期限：</w:t>
      </w:r>
      <w:r>
        <w:rPr>
          <w:rFonts w:hint="eastAsia" w:ascii="宋体" w:hAnsi="宋体" w:eastAsia="宋体" w:cs="宋体"/>
          <w:sz w:val="24"/>
          <w:szCs w:val="24"/>
          <w:u w:val="none"/>
          <w:lang w:eastAsia="zh-CN"/>
        </w:rPr>
        <w:t>合同签定后</w:t>
      </w:r>
      <w:r>
        <w:rPr>
          <w:rFonts w:hint="eastAsia" w:ascii="宋体" w:hAnsi="宋体" w:cs="宋体"/>
          <w:sz w:val="24"/>
          <w:szCs w:val="24"/>
          <w:u w:val="none"/>
          <w:lang w:val="en-US" w:eastAsia="zh-CN"/>
        </w:rPr>
        <w:t>20</w:t>
      </w:r>
      <w:r>
        <w:rPr>
          <w:rFonts w:hint="eastAsia" w:ascii="宋体" w:hAnsi="宋体" w:eastAsia="宋体" w:cs="宋体"/>
          <w:sz w:val="24"/>
          <w:szCs w:val="24"/>
          <w:u w:val="none"/>
          <w:lang w:val="en-US" w:eastAsia="zh-CN"/>
        </w:rPr>
        <w:t>个工作日内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color w:val="auto"/>
        </w:rPr>
      </w:pPr>
      <w:r>
        <w:rPr>
          <w:rFonts w:hint="eastAsia" w:ascii="宋体" w:hAnsi="宋体" w:eastAsia="宋体" w:cs="宋体"/>
          <w:color w:val="auto"/>
          <w:sz w:val="24"/>
          <w:szCs w:val="24"/>
          <w:shd w:val="clear" w:fill="FFFFFF"/>
        </w:rPr>
        <w:t>本项目不接受联合体投标。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color w:val="auto"/>
        </w:rPr>
      </w:pPr>
      <w:r>
        <w:rPr>
          <w:rStyle w:val="22"/>
          <w:rFonts w:hint="eastAsia" w:ascii="宋体" w:hAnsi="宋体" w:eastAsia="宋体" w:cs="宋体"/>
          <w:color w:val="auto"/>
          <w:sz w:val="24"/>
          <w:szCs w:val="24"/>
          <w:shd w:val="clear" w:fill="FFFFFF"/>
        </w:rPr>
        <w:t>二、申请人的资格要求：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color w:val="auto"/>
        </w:rPr>
      </w:pPr>
      <w:r>
        <w:rPr>
          <w:rFonts w:hint="eastAsia" w:ascii="宋体" w:hAnsi="宋体" w:eastAsia="宋体" w:cs="宋体"/>
          <w:color w:val="auto"/>
          <w:sz w:val="24"/>
          <w:szCs w:val="24"/>
          <w:shd w:val="clear" w:fill="FFFFFF"/>
        </w:rPr>
        <w:t>1、应具备《政府采购法》第二十二条第一款规定的条件；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w:t>
      </w:r>
      <w:r>
        <w:rPr>
          <w:rFonts w:hint="eastAsia" w:ascii="宋体" w:hAnsi="宋体" w:eastAsia="宋体" w:cs="Times New Roman"/>
          <w:color w:val="auto"/>
          <w:sz w:val="24"/>
          <w:szCs w:val="24"/>
        </w:rPr>
        <w:t>“中国政府采购网”（www.ccgp.gov.cn）</w:t>
      </w:r>
      <w:r>
        <w:rPr>
          <w:rFonts w:hint="eastAsia" w:ascii="宋体" w:hAnsi="宋体" w:eastAsia="宋体" w:cs="宋体"/>
          <w:color w:val="auto"/>
          <w:sz w:val="24"/>
          <w:szCs w:val="24"/>
          <w:shd w:val="clear" w:fill="FFFFFF"/>
        </w:rPr>
        <w:t>政府采购严重违法失信行为记录名单；</w:t>
      </w:r>
    </w:p>
    <w:p>
      <w:pPr>
        <w:keepNext w:val="0"/>
        <w:keepLines w:val="0"/>
        <w:pageBreakBefore w:val="0"/>
        <w:numPr>
          <w:ilvl w:val="0"/>
          <w:numId w:val="0"/>
        </w:numPr>
        <w:tabs>
          <w:tab w:val="left" w:pos="896"/>
        </w:tabs>
        <w:kinsoku/>
        <w:wordWrap/>
        <w:overflowPunct/>
        <w:topLinePunct w:val="0"/>
        <w:autoSpaceDE/>
        <w:autoSpaceDN/>
        <w:bidi w:val="0"/>
        <w:spacing w:line="440" w:lineRule="exact"/>
        <w:ind w:left="482" w:leftChars="0"/>
        <w:textAlignment w:val="auto"/>
        <w:rPr>
          <w:rFonts w:hint="eastAsia" w:ascii="宋体" w:hAnsi="宋体" w:eastAsia="宋体" w:cs="Times New Roman"/>
          <w:bCs/>
          <w:color w:val="0C0C0C" w:themeColor="text1" w:themeTint="F2"/>
          <w:sz w:val="24"/>
          <w:szCs w:val="24"/>
          <w:highlight w:val="none"/>
          <w:lang w:val="en-US" w:eastAsia="zh-CN"/>
        </w:rPr>
      </w:pPr>
      <w:r>
        <w:rPr>
          <w:rFonts w:hint="eastAsia" w:ascii="宋体" w:hAnsi="宋体" w:cs="Times New Roman"/>
          <w:bCs/>
          <w:color w:val="0C0C0C" w:themeColor="text1" w:themeTint="F2"/>
          <w:sz w:val="24"/>
          <w:szCs w:val="24"/>
          <w:highlight w:val="none"/>
          <w:lang w:val="en-US" w:eastAsia="zh-CN"/>
        </w:rPr>
        <w:t>3、</w:t>
      </w:r>
      <w:r>
        <w:rPr>
          <w:rFonts w:hint="eastAsia" w:ascii="宋体" w:hAnsi="宋体" w:eastAsia="宋体" w:cs="Times New Roman"/>
          <w:bCs/>
          <w:color w:val="0C0C0C" w:themeColor="text1" w:themeTint="F2"/>
          <w:sz w:val="24"/>
          <w:szCs w:val="24"/>
          <w:highlight w:val="none"/>
          <w:lang w:val="en-US" w:eastAsia="zh-CN"/>
        </w:rPr>
        <w:t>特定条件：</w:t>
      </w:r>
    </w:p>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设备进口代理商可不提供厂家医疗器械生产许可证)；</w:t>
      </w:r>
    </w:p>
    <w:p>
      <w:pPr>
        <w:keepNext w:val="0"/>
        <w:keepLines w:val="0"/>
        <w:pageBreakBefore w:val="0"/>
        <w:numPr>
          <w:ilvl w:val="0"/>
          <w:numId w:val="0"/>
        </w:numPr>
        <w:tabs>
          <w:tab w:val="left" w:pos="896"/>
        </w:tabs>
        <w:kinsoku/>
        <w:wordWrap/>
        <w:overflowPunct/>
        <w:topLinePunct w:val="0"/>
        <w:autoSpaceDE/>
        <w:autoSpaceDN/>
        <w:bidi w:val="0"/>
        <w:spacing w:line="440" w:lineRule="exact"/>
        <w:ind w:left="482" w:leftChars="0"/>
        <w:textAlignment w:val="auto"/>
        <w:rPr>
          <w:rFonts w:hint="eastAsia" w:ascii="宋体" w:hAnsi="宋体" w:eastAsia="宋体" w:cs="Times New Roman"/>
          <w:bCs/>
          <w:color w:val="0C0C0C" w:themeColor="text1" w:themeTint="F2"/>
          <w:sz w:val="24"/>
          <w:szCs w:val="24"/>
          <w:highlight w:val="none"/>
          <w:lang w:val="en-US" w:eastAsia="zh-CN"/>
        </w:rPr>
      </w:pPr>
      <w:r>
        <w:rPr>
          <w:rFonts w:hint="eastAsia" w:ascii="宋体" w:hAnsi="宋体" w:cs="Times New Roman"/>
          <w:bCs/>
          <w:color w:val="0C0C0C" w:themeColor="text1" w:themeTint="F2"/>
          <w:sz w:val="24"/>
          <w:szCs w:val="24"/>
          <w:highlight w:val="none"/>
          <w:lang w:val="en-US" w:eastAsia="zh-CN"/>
        </w:rPr>
        <w:t>4、</w:t>
      </w:r>
      <w:r>
        <w:rPr>
          <w:rFonts w:hint="eastAsia" w:ascii="宋体" w:hAnsi="宋体" w:eastAsia="宋体" w:cs="Times New Roman"/>
          <w:bCs/>
          <w:color w:val="0C0C0C" w:themeColor="text1" w:themeTint="F2"/>
          <w:sz w:val="24"/>
          <w:szCs w:val="24"/>
          <w:highlight w:val="none"/>
          <w:lang w:val="en-US" w:eastAsia="zh-CN"/>
        </w:rPr>
        <w:t>本项目不接受联合体形式的投标。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color w:val="auto"/>
        </w:rPr>
      </w:pPr>
      <w:r>
        <w:rPr>
          <w:rStyle w:val="22"/>
          <w:rFonts w:hint="eastAsia" w:ascii="宋体" w:hAnsi="宋体" w:eastAsia="宋体" w:cs="宋体"/>
          <w:color w:val="auto"/>
          <w:sz w:val="24"/>
          <w:szCs w:val="24"/>
          <w:shd w:val="clear" w:fill="FFFFFF"/>
        </w:rPr>
        <w:t>三、获取招标文件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color w:val="auto"/>
        </w:rPr>
      </w:pPr>
      <w:r>
        <w:rPr>
          <w:rFonts w:hint="eastAsia" w:ascii="宋体" w:hAnsi="宋体" w:eastAsia="宋体" w:cs="宋体"/>
          <w:color w:val="auto"/>
          <w:sz w:val="24"/>
          <w:szCs w:val="24"/>
          <w:shd w:val="clear" w:fill="FFFFFF"/>
        </w:rPr>
        <w:t>时间：</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9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9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日至</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9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16</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日17:30(北京时间)</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color w:val="auto"/>
        </w:rPr>
      </w:pPr>
      <w:r>
        <w:rPr>
          <w:rFonts w:hint="eastAsia" w:ascii="宋体" w:hAnsi="宋体" w:eastAsia="宋体" w:cs="宋体"/>
          <w:color w:val="auto"/>
          <w:sz w:val="24"/>
          <w:szCs w:val="24"/>
          <w:shd w:val="clear" w:fill="FFFFFF"/>
        </w:rPr>
        <w:t>招标文件下载：见附件</w:t>
      </w:r>
    </w:p>
    <w:p>
      <w:pPr>
        <w:pStyle w:val="1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rStyle w:val="22"/>
          <w:rFonts w:hint="eastAsia" w:ascii="宋体" w:hAnsi="宋体" w:eastAsia="宋体" w:cs="宋体"/>
          <w:color w:val="auto"/>
          <w:sz w:val="24"/>
          <w:szCs w:val="24"/>
          <w:shd w:val="clear" w:fill="FFFFFF"/>
        </w:rPr>
      </w:pPr>
      <w:r>
        <w:rPr>
          <w:rStyle w:val="22"/>
          <w:rFonts w:hint="eastAsia" w:ascii="宋体" w:hAnsi="宋体" w:eastAsia="宋体" w:cs="宋体"/>
          <w:color w:val="auto"/>
          <w:sz w:val="24"/>
          <w:szCs w:val="24"/>
          <w:shd w:val="clear" w:fill="FFFFFF"/>
        </w:rPr>
        <w:t>提交投标文件截止时间、开标时间和地点</w:t>
      </w:r>
    </w:p>
    <w:p>
      <w:pPr>
        <w:pStyle w:val="17"/>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b w:val="0"/>
          <w:sz w:val="24"/>
          <w:szCs w:val="24"/>
        </w:rPr>
        <w:t>提交投标文件截止时间、开标时间</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10</w:t>
      </w:r>
      <w:r>
        <w:rPr>
          <w:rFonts w:hint="eastAsia" w:ascii="宋体" w:hAnsi="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10</w:t>
      </w:r>
      <w:r>
        <w:rPr>
          <w:rFonts w:hint="eastAsia" w:ascii="宋体" w:hAnsi="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日9时</w:t>
      </w:r>
      <w:r>
        <w:rPr>
          <w:rFonts w:hint="eastAsia" w:ascii="宋体" w:hAnsi="宋体" w:eastAsia="宋体" w:cs="宋体"/>
          <w:color w:val="auto"/>
          <w:sz w:val="24"/>
          <w:szCs w:val="24"/>
          <w:shd w:val="clear" w:fill="FFFFFF"/>
          <w:lang w:val="en-US" w:eastAsia="zh-CN"/>
        </w:rPr>
        <w:t>00分</w:t>
      </w:r>
      <w:r>
        <w:rPr>
          <w:rFonts w:hint="eastAsia" w:ascii="宋体" w:hAnsi="宋体" w:eastAsia="宋体" w:cs="宋体"/>
          <w:color w:val="auto"/>
          <w:sz w:val="24"/>
          <w:szCs w:val="24"/>
          <w:shd w:val="clear" w:fill="FFFFFF"/>
        </w:rPr>
        <w:t>（8时</w:t>
      </w:r>
      <w:r>
        <w:rPr>
          <w:rFonts w:hint="eastAsia" w:ascii="宋体" w:hAnsi="宋体" w:eastAsia="宋体" w:cs="宋体"/>
          <w:color w:val="auto"/>
          <w:sz w:val="24"/>
          <w:szCs w:val="24"/>
          <w:shd w:val="clear" w:fill="FFFFFF"/>
          <w:lang w:val="en-US" w:eastAsia="zh-CN"/>
        </w:rPr>
        <w:t>3</w:t>
      </w:r>
      <w:r>
        <w:rPr>
          <w:rFonts w:hint="eastAsia" w:ascii="宋体" w:hAnsi="宋体" w:eastAsia="宋体" w:cs="宋体"/>
          <w:color w:val="auto"/>
          <w:sz w:val="24"/>
          <w:szCs w:val="24"/>
          <w:shd w:val="clear" w:fill="FFFFFF"/>
        </w:rPr>
        <w:t>0分开始接收投标文件，拒收逾期送达或者未按招标文件要求密封的投标文件）</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b w:val="0"/>
          <w:sz w:val="24"/>
          <w:szCs w:val="24"/>
        </w:rPr>
        <w:t>提交投标文件地点</w:t>
      </w:r>
      <w:r>
        <w:rPr>
          <w:rFonts w:hint="eastAsia" w:ascii="宋体" w:hAnsi="宋体" w:eastAsia="宋体" w:cs="宋体"/>
          <w:color w:val="auto"/>
          <w:sz w:val="24"/>
          <w:szCs w:val="24"/>
          <w:shd w:val="clear" w:fill="FFFFFF"/>
        </w:rPr>
        <w:t>：阳新县公共资源交易中心</w:t>
      </w:r>
      <w:r>
        <w:rPr>
          <w:rFonts w:hint="eastAsia" w:ascii="宋体" w:hAnsi="宋体" w:eastAsia="宋体" w:cs="宋体"/>
          <w:color w:val="auto"/>
          <w:sz w:val="24"/>
          <w:szCs w:val="24"/>
          <w:u w:val="single"/>
          <w:shd w:val="clear" w:fill="FFFFFF"/>
          <w:lang w:val="en-US" w:eastAsia="zh-CN"/>
        </w:rPr>
        <w:t xml:space="preserve"> 二</w:t>
      </w:r>
      <w:r>
        <w:rPr>
          <w:rFonts w:hint="eastAsia" w:ascii="宋体" w:hAnsi="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楼开标大厅（阳新县熊家垴安置小区东侧）</w:t>
      </w:r>
    </w:p>
    <w:p>
      <w:pPr>
        <w:pStyle w:val="17"/>
        <w:keepNext w:val="0"/>
        <w:keepLines w:val="0"/>
        <w:widowControl/>
        <w:suppressLineNumbers w:val="0"/>
        <w:spacing w:before="0" w:beforeAutospacing="0" w:after="0" w:afterAutospacing="0" w:line="360" w:lineRule="auto"/>
        <w:ind w:left="0" w:right="0" w:firstLine="420"/>
        <w:rPr>
          <w:color w:val="auto"/>
        </w:rPr>
      </w:pPr>
      <w:r>
        <w:rPr>
          <w:rStyle w:val="22"/>
          <w:rFonts w:hint="eastAsia" w:ascii="宋体" w:hAnsi="宋体" w:eastAsia="宋体" w:cs="宋体"/>
          <w:color w:val="auto"/>
          <w:sz w:val="24"/>
          <w:szCs w:val="24"/>
          <w:shd w:val="clear" w:fill="FFFFFF"/>
        </w:rPr>
        <w:t>五、公告期限</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自本公告发布之日起5个工作日。</w:t>
      </w:r>
    </w:p>
    <w:p>
      <w:pPr>
        <w:pStyle w:val="17"/>
        <w:keepNext w:val="0"/>
        <w:keepLines w:val="0"/>
        <w:widowControl/>
        <w:suppressLineNumbers w:val="0"/>
        <w:spacing w:before="0" w:beforeAutospacing="0" w:after="0" w:afterAutospacing="0" w:line="360" w:lineRule="auto"/>
        <w:ind w:left="0" w:right="0" w:firstLine="420"/>
        <w:rPr>
          <w:color w:val="auto"/>
        </w:rPr>
      </w:pPr>
      <w:r>
        <w:rPr>
          <w:rStyle w:val="22"/>
          <w:rFonts w:hint="eastAsia" w:ascii="宋体" w:hAnsi="宋体" w:eastAsia="宋体" w:cs="宋体"/>
          <w:color w:val="auto"/>
          <w:sz w:val="24"/>
          <w:szCs w:val="24"/>
          <w:shd w:val="clear" w:fill="FFFFFF"/>
        </w:rPr>
        <w:t>六、其他补充事宜</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lang w:val="en-US" w:eastAsia="zh-CN"/>
        </w:rPr>
        <w:t>1、</w:t>
      </w:r>
      <w:r>
        <w:rPr>
          <w:rFonts w:hint="eastAsia" w:ascii="宋体" w:hAnsi="宋体" w:eastAsia="宋体" w:cs="宋体"/>
          <w:color w:val="auto"/>
          <w:sz w:val="24"/>
          <w:szCs w:val="24"/>
          <w:shd w:val="clear" w:fill="FFFFFF"/>
        </w:rPr>
        <w:t>落实政府采购强制、优先采购节能产品政策；政府采购优先采购环保产品政策；政府采购促进中小企业发展（监狱企业、残疾人福利性单位视同小微企业）等政策。</w:t>
      </w:r>
    </w:p>
    <w:p>
      <w:pPr>
        <w:pStyle w:val="17"/>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2、</w:t>
      </w:r>
      <w:r>
        <w:rPr>
          <w:rFonts w:hint="eastAsia" w:ascii="宋体" w:hAnsi="宋体" w:eastAsia="宋体" w:cs="宋体"/>
          <w:color w:val="auto"/>
          <w:sz w:val="24"/>
          <w:szCs w:val="24"/>
          <w:shd w:val="clear" w:fill="FFFFFF"/>
        </w:rPr>
        <w:t>是否专门面向中小企业、监狱企业、残疾人福利性单位：否。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rPr>
        <w:t>投标人认为招标文件、招标过程和中标结果使自己的权益受到损害的，可以在知道或者应知其权益受到损害之日起7个工作日内，向采购人或代理公司提出质疑。</w:t>
      </w:r>
      <w:r>
        <w:rPr>
          <w:rFonts w:hint="eastAsia" w:ascii="宋体" w:hAnsi="宋体" w:eastAsia="宋体" w:cs="宋体"/>
          <w:kern w:val="0"/>
          <w:sz w:val="24"/>
          <w:szCs w:val="24"/>
        </w:rPr>
        <w:t>质疑时请提交书面质疑函一份（法人代表签字、加盖单位公章。具体要求详见本招标文件“第二章 投标人须知”中的第八条之规定），并附相关证据材料。</w:t>
      </w:r>
    </w:p>
    <w:p>
      <w:pPr>
        <w:pStyle w:val="17"/>
        <w:keepNext w:val="0"/>
        <w:keepLines w:val="0"/>
        <w:widowControl/>
        <w:suppressLineNumbers w:val="0"/>
        <w:spacing w:before="0" w:beforeAutospacing="0" w:after="0" w:afterAutospacing="0" w:line="360" w:lineRule="auto"/>
        <w:ind w:left="0" w:right="0" w:firstLine="420"/>
        <w:rPr>
          <w:color w:val="auto"/>
        </w:rPr>
      </w:pPr>
      <w:r>
        <w:rPr>
          <w:rStyle w:val="22"/>
          <w:rFonts w:hint="eastAsia" w:ascii="宋体" w:hAnsi="宋体" w:eastAsia="宋体" w:cs="宋体"/>
          <w:color w:val="auto"/>
          <w:sz w:val="24"/>
          <w:szCs w:val="24"/>
          <w:shd w:val="clear" w:fill="FFFFFF"/>
        </w:rPr>
        <w:t>七、对本次招标提出询问，请按以下方式联系。</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1.采购人信息</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名   称：</w:t>
      </w:r>
      <w:r>
        <w:rPr>
          <w:rFonts w:hint="eastAsia" w:ascii="宋体" w:hAnsi="宋体" w:eastAsia="宋体" w:cs="宋体"/>
          <w:b/>
          <w:color w:val="000000"/>
          <w:sz w:val="24"/>
          <w:szCs w:val="24"/>
          <w:u w:val="single"/>
          <w:lang w:eastAsia="zh-CN"/>
        </w:rPr>
        <w:t>阳新县人民医院</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地   址：</w:t>
      </w:r>
      <w:r>
        <w:rPr>
          <w:rFonts w:hint="eastAsia" w:ascii="宋体" w:hAnsi="宋体" w:eastAsia="宋体" w:cs="宋体"/>
          <w:b/>
          <w:bCs/>
          <w:kern w:val="0"/>
          <w:sz w:val="24"/>
          <w:u w:val="single"/>
          <w:lang w:eastAsia="zh-CN"/>
        </w:rPr>
        <w:t>阳新县兴国镇儒学垴路</w:t>
      </w:r>
      <w:r>
        <w:rPr>
          <w:rFonts w:hint="eastAsia" w:ascii="宋体" w:hAnsi="宋体" w:eastAsia="宋体" w:cs="宋体"/>
          <w:b/>
          <w:bCs/>
          <w:kern w:val="0"/>
          <w:sz w:val="24"/>
          <w:u w:val="single"/>
          <w:lang w:val="en-US" w:eastAsia="zh-CN"/>
        </w:rPr>
        <w:t>81</w:t>
      </w:r>
      <w:r>
        <w:rPr>
          <w:rFonts w:hint="eastAsia" w:ascii="宋体" w:hAnsi="宋体" w:eastAsia="宋体" w:cs="宋体"/>
          <w:b/>
          <w:bCs/>
          <w:kern w:val="0"/>
          <w:sz w:val="24"/>
          <w:u w:val="single"/>
          <w:lang w:eastAsia="zh-CN"/>
        </w:rPr>
        <w:t>号</w:t>
      </w:r>
    </w:p>
    <w:p>
      <w:pPr>
        <w:pStyle w:val="17"/>
        <w:keepNext w:val="0"/>
        <w:keepLines w:val="0"/>
        <w:widowControl/>
        <w:suppressLineNumbers w:val="0"/>
        <w:spacing w:before="0" w:beforeAutospacing="0" w:after="0" w:afterAutospacing="0" w:line="360" w:lineRule="auto"/>
        <w:ind w:left="0" w:right="0" w:firstLine="480"/>
        <w:rPr>
          <w:rFonts w:hint="default" w:eastAsia="宋体"/>
          <w:color w:val="auto"/>
          <w:lang w:val="en-US" w:eastAsia="zh-CN"/>
        </w:rPr>
      </w:pPr>
      <w:r>
        <w:rPr>
          <w:rFonts w:hint="eastAsia" w:ascii="宋体" w:hAnsi="宋体" w:eastAsia="宋体" w:cs="宋体"/>
          <w:color w:val="auto"/>
          <w:sz w:val="24"/>
          <w:szCs w:val="24"/>
          <w:shd w:val="clear" w:fill="FFFFFF"/>
        </w:rPr>
        <w:t>联系方式：</w:t>
      </w:r>
      <w:r>
        <w:rPr>
          <w:rFonts w:hint="eastAsia" w:ascii="宋体" w:hAnsi="宋体" w:cs="宋体"/>
          <w:b/>
          <w:bCs w:val="0"/>
          <w:color w:val="000000"/>
          <w:kern w:val="0"/>
          <w:sz w:val="24"/>
          <w:szCs w:val="24"/>
          <w:u w:val="single"/>
          <w:lang w:val="en-US" w:eastAsia="zh-CN"/>
        </w:rPr>
        <w:t>13669042989</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2.采购代理机构信息</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名   称：</w:t>
      </w:r>
      <w:r>
        <w:rPr>
          <w:rFonts w:hint="eastAsia" w:ascii="宋体" w:hAnsi="宋体" w:cs="宋体"/>
          <w:b/>
          <w:color w:val="000000"/>
          <w:sz w:val="24"/>
          <w:szCs w:val="24"/>
          <w:u w:val="single"/>
          <w:lang w:eastAsia="zh-CN"/>
        </w:rPr>
        <w:t>深圳群伦项目管理有限公司</w:t>
      </w:r>
    </w:p>
    <w:p>
      <w:pPr>
        <w:pStyle w:val="17"/>
        <w:keepNext w:val="0"/>
        <w:keepLines w:val="0"/>
        <w:widowControl/>
        <w:suppressLineNumbers w:val="0"/>
        <w:spacing w:before="0" w:beforeAutospacing="0" w:after="0" w:afterAutospacing="0" w:line="360" w:lineRule="auto"/>
        <w:ind w:left="0" w:right="0" w:firstLine="480"/>
        <w:rPr>
          <w:rFonts w:hint="default"/>
          <w:color w:val="auto"/>
          <w:lang w:val="en-US"/>
        </w:rPr>
      </w:pPr>
      <w:r>
        <w:rPr>
          <w:rFonts w:hint="eastAsia" w:ascii="宋体" w:hAnsi="宋体" w:eastAsia="宋体" w:cs="宋体"/>
          <w:color w:val="auto"/>
          <w:sz w:val="24"/>
          <w:szCs w:val="24"/>
          <w:shd w:val="clear" w:fill="FFFFFF"/>
        </w:rPr>
        <w:t>地   址：</w:t>
      </w:r>
      <w:r>
        <w:rPr>
          <w:rFonts w:hint="eastAsia" w:ascii="宋体" w:hAnsi="宋体" w:cs="宋体"/>
          <w:b/>
          <w:color w:val="000000"/>
          <w:sz w:val="24"/>
          <w:szCs w:val="24"/>
          <w:u w:val="single"/>
          <w:lang w:eastAsia="zh-CN"/>
        </w:rPr>
        <w:t>阳新县兴国镇金色阳光小区</w:t>
      </w:r>
      <w:r>
        <w:rPr>
          <w:rFonts w:hint="eastAsia" w:ascii="宋体" w:hAnsi="宋体" w:cs="宋体"/>
          <w:b/>
          <w:color w:val="000000"/>
          <w:sz w:val="24"/>
          <w:szCs w:val="24"/>
          <w:u w:val="single"/>
          <w:lang w:val="en-US" w:eastAsia="zh-CN"/>
        </w:rPr>
        <w:t>103号</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联系方式：</w:t>
      </w:r>
      <w:r>
        <w:rPr>
          <w:rFonts w:hint="eastAsia" w:ascii="宋体" w:hAnsi="宋体" w:cs="宋体"/>
          <w:b/>
          <w:color w:val="000000"/>
          <w:sz w:val="24"/>
          <w:szCs w:val="24"/>
          <w:u w:val="single"/>
          <w:lang w:val="en-US" w:eastAsia="zh-CN"/>
        </w:rPr>
        <w:t>17871031619</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3.项目联系方式</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项目联系人：</w:t>
      </w:r>
      <w:r>
        <w:rPr>
          <w:rFonts w:hint="eastAsia" w:ascii="宋体" w:hAnsi="宋体" w:cs="宋体"/>
          <w:b/>
          <w:bCs/>
          <w:color w:val="auto"/>
          <w:sz w:val="24"/>
          <w:szCs w:val="24"/>
          <w:u w:val="single"/>
          <w:shd w:val="clear" w:fill="FFFFFF"/>
          <w:lang w:eastAsia="zh-CN"/>
        </w:rPr>
        <w:t>周朝晖</w:t>
      </w:r>
      <w:r>
        <w:rPr>
          <w:rFonts w:hint="eastAsia" w:ascii="宋体" w:hAnsi="宋体" w:eastAsia="宋体" w:cs="宋体"/>
          <w:color w:val="auto"/>
          <w:sz w:val="24"/>
          <w:szCs w:val="24"/>
          <w:shd w:val="clear" w:fill="FFFFFF"/>
        </w:rPr>
        <w:t>  </w:t>
      </w:r>
    </w:p>
    <w:p>
      <w:pPr>
        <w:pStyle w:val="17"/>
        <w:keepNext w:val="0"/>
        <w:keepLines w:val="0"/>
        <w:widowControl/>
        <w:suppressLineNumbers w:val="0"/>
        <w:spacing w:before="0" w:beforeAutospacing="0" w:after="0" w:afterAutospacing="0" w:line="360" w:lineRule="auto"/>
        <w:ind w:left="0" w:right="0" w:firstLine="480"/>
        <w:rPr>
          <w:rFonts w:hint="default"/>
          <w:color w:val="auto"/>
          <w:lang w:val="en-US"/>
        </w:rPr>
      </w:pPr>
      <w:r>
        <w:rPr>
          <w:rFonts w:hint="eastAsia" w:ascii="宋体" w:hAnsi="宋体" w:eastAsia="宋体" w:cs="宋体"/>
          <w:color w:val="auto"/>
          <w:sz w:val="24"/>
          <w:szCs w:val="24"/>
          <w:shd w:val="clear" w:fill="FFFFFF"/>
        </w:rPr>
        <w:t>电　　</w:t>
      </w:r>
      <w:r>
        <w:rPr>
          <w:rFonts w:hint="eastAsia" w:ascii="宋体" w:hAnsi="宋体" w:eastAsia="宋体" w:cs="宋体"/>
          <w:color w:val="auto"/>
          <w:sz w:val="24"/>
          <w:szCs w:val="24"/>
          <w:shd w:val="clear" w:fill="FFFFFF"/>
          <w:lang w:val="en-US" w:eastAsia="zh-CN"/>
        </w:rPr>
        <w:t xml:space="preserve"> </w:t>
      </w:r>
      <w:r>
        <w:rPr>
          <w:rFonts w:hint="eastAsia" w:ascii="宋体" w:hAnsi="宋体" w:eastAsia="宋体" w:cs="宋体"/>
          <w:color w:val="auto"/>
          <w:sz w:val="24"/>
          <w:szCs w:val="24"/>
          <w:shd w:val="clear" w:fill="FFFFFF"/>
        </w:rPr>
        <w:t xml:space="preserve"> 话：</w:t>
      </w:r>
      <w:r>
        <w:rPr>
          <w:rFonts w:hint="eastAsia" w:ascii="宋体" w:hAnsi="宋体" w:cs="宋体"/>
          <w:b/>
          <w:color w:val="000000"/>
          <w:sz w:val="24"/>
          <w:szCs w:val="24"/>
          <w:u w:val="single"/>
          <w:lang w:val="en-US" w:eastAsia="zh-CN"/>
        </w:rPr>
        <w:t>17871031619</w:t>
      </w:r>
    </w:p>
    <w:p>
      <w:pPr>
        <w:pStyle w:val="17"/>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 </w:t>
      </w:r>
    </w:p>
    <w:p>
      <w:pPr>
        <w:pStyle w:val="17"/>
        <w:keepNext w:val="0"/>
        <w:keepLines w:val="0"/>
        <w:widowControl/>
        <w:suppressLineNumbers w:val="0"/>
        <w:spacing w:before="0" w:beforeAutospacing="0" w:after="0" w:afterAutospacing="0" w:line="360" w:lineRule="auto"/>
        <w:ind w:left="0" w:right="0" w:firstLine="480"/>
        <w:jc w:val="right"/>
        <w:rPr>
          <w:rFonts w:hint="eastAsia" w:eastAsiaTheme="minorEastAsia"/>
          <w:color w:val="auto"/>
          <w:lang w:eastAsia="zh-CN"/>
        </w:rPr>
      </w:pPr>
      <w:r>
        <w:rPr>
          <w:rFonts w:hint="eastAsia" w:ascii="宋体" w:hAnsi="宋体" w:cs="宋体"/>
          <w:color w:val="auto"/>
          <w:sz w:val="24"/>
          <w:szCs w:val="24"/>
          <w:shd w:val="clear" w:fill="FFFFFF"/>
          <w:lang w:eastAsia="zh-CN"/>
        </w:rPr>
        <w:t>深圳群伦项目管理有限公司</w:t>
      </w:r>
    </w:p>
    <w:p>
      <w:pPr>
        <w:pStyle w:val="17"/>
        <w:keepNext w:val="0"/>
        <w:keepLines w:val="0"/>
        <w:widowControl/>
        <w:suppressLineNumbers w:val="0"/>
        <w:spacing w:before="0" w:beforeAutospacing="0" w:after="0" w:afterAutospacing="0" w:line="360" w:lineRule="auto"/>
        <w:ind w:left="0" w:right="0" w:firstLine="480"/>
        <w:jc w:val="right"/>
      </w:pP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 9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cs="宋体"/>
          <w:color w:val="auto"/>
          <w:sz w:val="24"/>
          <w:szCs w:val="24"/>
          <w:u w:val="single"/>
          <w:shd w:val="clear" w:fill="FFFFFF"/>
          <w:lang w:val="en-US" w:eastAsia="zh-CN"/>
        </w:rPr>
        <w:t xml:space="preserve"> 9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w:t>
      </w:r>
    </w:p>
    <w:p>
      <w:pPr>
        <w:pStyle w:val="3"/>
        <w:numPr>
          <w:ilvl w:val="0"/>
          <w:numId w:val="1"/>
        </w:numPr>
        <w:spacing w:before="240" w:after="120"/>
        <w:ind w:left="883" w:hanging="880" w:hangingChars="200"/>
        <w:jc w:val="center"/>
        <w:rPr>
          <w:rFonts w:ascii="黑体" w:hAnsi="黑体" w:eastAsia="黑体"/>
          <w:highlight w:val="none"/>
        </w:rPr>
      </w:pPr>
      <w:bookmarkStart w:id="1" w:name="_Toc13827"/>
      <w:r>
        <w:rPr>
          <w:rFonts w:hint="eastAsia" w:ascii="黑体" w:hAnsi="黑体" w:eastAsia="黑体"/>
          <w:highlight w:val="none"/>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highlight w:val="none"/>
          <w:lang w:val="zh-CN"/>
        </w:rPr>
      </w:pPr>
      <w:bookmarkStart w:id="2" w:name="_Toc2279"/>
      <w:bookmarkStart w:id="3" w:name="_Toc494561937"/>
      <w:r>
        <w:rPr>
          <w:rFonts w:cs="Times New Roman" w:asciiTheme="majorEastAsia" w:hAnsiTheme="majorEastAsia" w:eastAsiaTheme="majorEastAsia"/>
          <w:b/>
          <w:bCs/>
          <w:sz w:val="32"/>
          <w:szCs w:val="32"/>
          <w:highlight w:val="none"/>
          <w:lang w:val="zh-CN"/>
        </w:rPr>
        <w:t>投标须知前附表</w:t>
      </w:r>
      <w:bookmarkEnd w:id="2"/>
      <w:bookmarkEnd w:id="3"/>
    </w:p>
    <w:tbl>
      <w:tblPr>
        <w:tblStyle w:val="19"/>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color w:val="auto"/>
                <w:sz w:val="24"/>
                <w:szCs w:val="24"/>
                <w:highlight w:val="none"/>
              </w:rPr>
            </w:pPr>
            <w:r>
              <w:rPr>
                <w:rFonts w:hint="eastAsia" w:ascii="Times New Roman" w:hAnsi="宋体" w:eastAsia="宋体" w:cs="Times New Roman"/>
                <w:b/>
                <w:color w:val="auto"/>
                <w:sz w:val="24"/>
                <w:szCs w:val="24"/>
                <w:highlight w:val="none"/>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color w:val="auto"/>
                <w:sz w:val="24"/>
                <w:szCs w:val="24"/>
                <w:highlight w:val="none"/>
              </w:rPr>
            </w:pPr>
            <w:r>
              <w:rPr>
                <w:rFonts w:ascii="Times New Roman" w:hAnsi="宋体" w:eastAsia="宋体" w:cs="Times New Roman"/>
                <w:b/>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highlight w:val="none"/>
              </w:rPr>
            </w:pPr>
            <w:r>
              <w:rPr>
                <w:rFonts w:ascii="Times New Roman" w:hAnsi="宋体" w:eastAsia="宋体" w:cs="Times New Roman"/>
                <w:color w:val="auto"/>
                <w:sz w:val="24"/>
                <w:szCs w:val="24"/>
                <w:highlight w:val="none"/>
              </w:rPr>
              <w:t>项目编号</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auto"/>
                <w:sz w:val="24"/>
                <w:szCs w:val="24"/>
                <w:highlight w:val="none"/>
                <w:lang w:val="en-US" w:eastAsia="zh-CN"/>
              </w:rPr>
              <w:t xml:space="preserve">131-2020CG-164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ascii="Times New Roman" w:hAnsi="宋体" w:eastAsia="宋体" w:cs="Times New Roman"/>
                <w:color w:val="auto"/>
                <w:sz w:val="24"/>
                <w:szCs w:val="24"/>
                <w:highlight w:val="none"/>
              </w:rPr>
              <w:t>项目名称</w:t>
            </w:r>
          </w:p>
        </w:tc>
        <w:tc>
          <w:tcPr>
            <w:tcW w:w="6470"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阳新县人民医院血液透析机设备采购项目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ascii="Times New Roman" w:hAnsi="宋体" w:eastAsia="宋体" w:cs="Times New Roman"/>
                <w:color w:val="auto"/>
                <w:sz w:val="24"/>
                <w:szCs w:val="24"/>
                <w:highlight w:val="none"/>
              </w:rPr>
              <w:t>采购人</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u w:val="none"/>
              </w:rPr>
              <w:t>阳新县人民医院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ascii="Times New Roman" w:hAnsi="宋体" w:eastAsia="宋体" w:cs="Times New Roman"/>
                <w:color w:val="auto"/>
                <w:sz w:val="24"/>
                <w:szCs w:val="24"/>
                <w:highlight w:val="none"/>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auto"/>
                <w:kern w:val="0"/>
                <w:sz w:val="24"/>
                <w:szCs w:val="24"/>
                <w:highlight w:val="none"/>
              </w:rPr>
            </w:pPr>
            <w:r>
              <w:rPr>
                <w:rFonts w:hint="eastAsia" w:ascii="Times New Roman" w:hAnsi="宋体"/>
                <w:b/>
                <w:bCs/>
                <w:color w:val="auto"/>
                <w:sz w:val="24"/>
                <w:szCs w:val="24"/>
              </w:rPr>
              <w:t>本项目无须递交投标保证金，该文件涉及投标保证金的部分都将不作任何要求。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ascii="Times New Roman" w:hAnsi="宋体" w:eastAsia="宋体" w:cs="Times New Roman"/>
                <w:color w:val="auto"/>
                <w:sz w:val="24"/>
                <w:szCs w:val="24"/>
                <w:highlight w:val="none"/>
              </w:rPr>
              <w:t>保证金</w:t>
            </w:r>
            <w:r>
              <w:rPr>
                <w:rFonts w:hint="eastAsia" w:ascii="Times New Roman" w:hAnsi="宋体" w:eastAsia="宋体" w:cs="Times New Roman"/>
                <w:color w:val="auto"/>
                <w:sz w:val="24"/>
                <w:szCs w:val="24"/>
                <w:highlight w:val="none"/>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highlight w:val="none"/>
              </w:rPr>
            </w:pPr>
            <w:r>
              <w:rPr>
                <w:rFonts w:ascii="Times New Roman" w:hAnsi="宋体" w:eastAsia="宋体" w:cs="Times New Roman"/>
                <w:color w:val="auto"/>
                <w:sz w:val="24"/>
                <w:szCs w:val="24"/>
                <w:highlight w:val="none"/>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正本</w:t>
            </w:r>
            <w:r>
              <w:rPr>
                <w:rFonts w:hint="eastAsia" w:ascii="Times New Roman" w:hAnsi="Times New Roman" w:eastAsia="宋体" w:cs="Times New Roman"/>
                <w:color w:val="auto"/>
                <w:sz w:val="24"/>
                <w:szCs w:val="24"/>
                <w:highlight w:val="none"/>
              </w:rPr>
              <w:t>一</w:t>
            </w:r>
            <w:r>
              <w:rPr>
                <w:rFonts w:ascii="Times New Roman" w:hAnsi="Times New Roman" w:eastAsia="宋体" w:cs="Times New Roman"/>
                <w:color w:val="auto"/>
                <w:sz w:val="24"/>
                <w:szCs w:val="24"/>
                <w:highlight w:val="none"/>
              </w:rPr>
              <w:t>份</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副本</w:t>
            </w:r>
            <w:r>
              <w:rPr>
                <w:rFonts w:hint="eastAsia" w:ascii="Times New Roman" w:hAnsi="Times New Roman" w:eastAsia="宋体" w:cs="Times New Roman"/>
                <w:color w:val="auto"/>
                <w:sz w:val="24"/>
                <w:szCs w:val="24"/>
                <w:highlight w:val="none"/>
              </w:rPr>
              <w:t>四</w:t>
            </w:r>
            <w:r>
              <w:rPr>
                <w:rFonts w:ascii="Times New Roman" w:hAnsi="Times New Roman" w:eastAsia="宋体" w:cs="Times New Roman"/>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highlight w:val="none"/>
              </w:rPr>
            </w:pPr>
            <w:r>
              <w:rPr>
                <w:rFonts w:ascii="Times New Roman" w:hAnsi="宋体" w:eastAsia="宋体" w:cs="Times New Roman"/>
                <w:color w:val="auto"/>
                <w:sz w:val="24"/>
                <w:szCs w:val="24"/>
                <w:highlight w:val="none"/>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highlight w:val="none"/>
              </w:rPr>
            </w:pPr>
            <w:r>
              <w:rPr>
                <w:rFonts w:ascii="Times New Roman" w:hAnsi="宋体" w:eastAsia="宋体" w:cs="Times New Roman"/>
                <w:color w:val="auto"/>
                <w:sz w:val="24"/>
                <w:szCs w:val="24"/>
                <w:highlight w:val="none"/>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highlight w:val="none"/>
              </w:rPr>
            </w:pPr>
            <w:r>
              <w:rPr>
                <w:rFonts w:ascii="Times New Roman" w:hAnsi="宋体" w:eastAsia="宋体" w:cs="Times New Roman"/>
                <w:color w:val="auto"/>
                <w:sz w:val="24"/>
                <w:szCs w:val="24"/>
                <w:highlight w:val="none"/>
              </w:rPr>
              <w:t>开标时间</w:t>
            </w:r>
            <w:r>
              <w:rPr>
                <w:rFonts w:hint="eastAsia" w:ascii="Times New Roman" w:hAnsi="宋体" w:eastAsia="宋体" w:cs="Times New Roman"/>
                <w:color w:val="auto"/>
                <w:sz w:val="24"/>
                <w:szCs w:val="24"/>
                <w:highlight w:val="none"/>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不允许</w:t>
            </w:r>
          </w:p>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详见第三章“</w:t>
            </w:r>
            <w:r>
              <w:rPr>
                <w:rFonts w:hint="eastAsia" w:ascii="宋体" w:hAnsi="宋体" w:eastAsia="宋体" w:cs="Times New Roman"/>
                <w:color w:val="auto"/>
                <w:sz w:val="24"/>
                <w:szCs w:val="24"/>
                <w:highlight w:val="none"/>
              </w:rPr>
              <w:t>项目技术、服务及商务要求</w:t>
            </w:r>
            <w:r>
              <w:rPr>
                <w:rFonts w:hint="eastAsia" w:ascii="Times New Roman" w:hAnsi="Times New Roman" w:eastAsia="宋体" w:cs="Times New Roman"/>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highlight w:val="none"/>
              </w:rPr>
            </w:pPr>
            <w:r>
              <w:rPr>
                <w:rFonts w:ascii="Times New Roman" w:hAnsi="宋体" w:eastAsia="宋体" w:cs="Times New Roman"/>
                <w:color w:val="auto"/>
                <w:sz w:val="24"/>
                <w:szCs w:val="24"/>
                <w:highlight w:val="none"/>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不提交</w:t>
            </w:r>
          </w:p>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详见第三章“</w:t>
            </w:r>
            <w:r>
              <w:rPr>
                <w:rFonts w:hint="eastAsia" w:ascii="宋体" w:hAnsi="宋体" w:eastAsia="宋体" w:cs="Times New Roman"/>
                <w:color w:val="auto"/>
                <w:sz w:val="24"/>
                <w:szCs w:val="24"/>
                <w:highlight w:val="none"/>
              </w:rPr>
              <w:t>项目技术、服务及商务要求</w:t>
            </w:r>
            <w:r>
              <w:rPr>
                <w:rFonts w:hint="eastAsia" w:ascii="Times New Roman" w:hAnsi="Times New Roman" w:eastAsia="宋体" w:cs="Times New Roman"/>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hint="eastAsia" w:ascii="宋体" w:hAnsi="宋体" w:eastAsia="宋体" w:cs="宋体"/>
                <w:color w:val="auto"/>
                <w:sz w:val="24"/>
                <w:szCs w:val="24"/>
                <w:highlight w:val="none"/>
              </w:rPr>
              <w:t>现场考察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不组织</w:t>
            </w:r>
          </w:p>
          <w:p>
            <w:pPr>
              <w:ind w:right="-105" w:rightChars="-5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详见第三章“</w:t>
            </w:r>
            <w:r>
              <w:rPr>
                <w:rFonts w:hint="eastAsia" w:ascii="宋体" w:hAnsi="宋体" w:eastAsia="宋体" w:cs="Times New Roman"/>
                <w:color w:val="auto"/>
                <w:sz w:val="24"/>
                <w:szCs w:val="24"/>
                <w:highlight w:val="none"/>
              </w:rPr>
              <w:t>项目技术、服务及商务要求</w:t>
            </w:r>
            <w:r>
              <w:rPr>
                <w:rFonts w:hint="eastAsia" w:ascii="Times New Roman" w:hAnsi="Times New Roman" w:eastAsia="宋体" w:cs="Times New Roman"/>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不允许</w:t>
            </w:r>
          </w:p>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详见第三章“</w:t>
            </w:r>
            <w:r>
              <w:rPr>
                <w:rFonts w:hint="eastAsia" w:ascii="宋体" w:hAnsi="宋体" w:eastAsia="宋体" w:cs="Times New Roman"/>
                <w:color w:val="auto"/>
                <w:sz w:val="24"/>
                <w:szCs w:val="24"/>
                <w:highlight w:val="none"/>
              </w:rPr>
              <w:t>项目技术、服务及商务要求</w:t>
            </w:r>
            <w:r>
              <w:rPr>
                <w:rFonts w:hint="eastAsia" w:ascii="Times New Roman" w:hAnsi="Times New Roman" w:eastAsia="宋体" w:cs="Times New Roman"/>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ascii="Times New Roman" w:hAnsi="宋体" w:eastAsia="宋体" w:cs="Times New Roman"/>
                <w:color w:val="auto"/>
                <w:sz w:val="24"/>
                <w:szCs w:val="24"/>
                <w:highlight w:val="none"/>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综合评分法</w:t>
            </w:r>
          </w:p>
          <w:p>
            <w:pPr>
              <w:rPr>
                <w:rFonts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color w:val="auto"/>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详见本章“质疑及提交”要求</w:t>
            </w:r>
          </w:p>
        </w:tc>
      </w:tr>
    </w:tbl>
    <w:p>
      <w:pPr>
        <w:keepNext/>
        <w:keepLines/>
        <w:numPr>
          <w:ilvl w:val="0"/>
          <w:numId w:val="4"/>
        </w:numPr>
        <w:spacing w:before="100" w:beforeAutospacing="1" w:after="100" w:afterAutospacing="1" w:line="360" w:lineRule="auto"/>
        <w:ind w:left="482" w:hanging="480" w:hangingChars="150"/>
        <w:outlineLvl w:val="1"/>
        <w:rPr>
          <w:rFonts w:ascii="黑体" w:hAnsi="黑体" w:eastAsia="黑体" w:cs="Times New Roman"/>
          <w:b/>
          <w:bCs/>
          <w:sz w:val="32"/>
          <w:szCs w:val="32"/>
          <w:highlight w:val="none"/>
          <w:lang w:val="zh-CN"/>
        </w:rPr>
      </w:pPr>
      <w:bookmarkStart w:id="4" w:name="_Toc494561938"/>
      <w:r>
        <w:rPr>
          <w:rFonts w:ascii="黑体" w:hAnsi="黑体" w:eastAsia="黑体" w:cs="Times New Roman"/>
          <w:b/>
          <w:bCs/>
          <w:sz w:val="32"/>
          <w:szCs w:val="32"/>
          <w:highlight w:val="none"/>
          <w:lang w:val="zh-CN"/>
        </w:rPr>
        <w:br w:type="page"/>
      </w:r>
      <w:bookmarkStart w:id="5" w:name="_Toc6495"/>
      <w:bookmarkEnd w:id="5"/>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6" w:name="_Toc24377"/>
      <w:r>
        <w:rPr>
          <w:rFonts w:hint="eastAsia" w:cs="Times New Roman" w:asciiTheme="majorEastAsia" w:hAnsiTheme="majorEastAsia"/>
          <w:bCs w:val="0"/>
          <w:lang w:val="zh-CN"/>
        </w:rPr>
        <w:t>说  明</w:t>
      </w:r>
      <w:bookmarkEnd w:id="4"/>
      <w:bookmarkEnd w:id="6"/>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color w:val="auto"/>
          <w:sz w:val="24"/>
          <w:szCs w:val="24"/>
          <w:lang w:val="zh-CN"/>
        </w:rPr>
        <w:t>阳新县政府采购办公室、阳新县公共资源交易监督管理局。</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w:t>
      </w:r>
      <w:r>
        <w:rPr>
          <w:rFonts w:hint="eastAsia" w:ascii="宋体" w:hAnsi="宋体" w:eastAsia="宋体" w:cs="Times New Roman"/>
          <w:b/>
          <w:color w:val="0C0C0C" w:themeColor="text1" w:themeTint="F2"/>
          <w:sz w:val="24"/>
          <w:szCs w:val="24"/>
          <w:u w:val="single"/>
          <w:lang w:eastAsia="zh-CN"/>
        </w:rPr>
        <w:t>深圳群伦项目管理有限公司</w:t>
      </w:r>
      <w:r>
        <w:rPr>
          <w:rFonts w:hint="eastAsia" w:cs="Times New Roman" w:asciiTheme="minorEastAsia" w:hAnsiTheme="minorEastAsia"/>
          <w:sz w:val="24"/>
          <w:szCs w:val="24"/>
          <w:lang w:val="zh-CN"/>
        </w:rPr>
        <w:t>。</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7"/>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9"/>
        </w:numPr>
        <w:spacing w:line="360" w:lineRule="auto"/>
        <w:ind w:left="854"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9"/>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8"/>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C0C0C" w:themeColor="text1" w:themeTint="F2"/>
          <w:sz w:val="24"/>
          <w:szCs w:val="24"/>
          <w:lang w:val="zh-CN"/>
        </w:rPr>
        <w:t>是指：</w:t>
      </w:r>
      <w:r>
        <w:rPr>
          <w:rFonts w:hint="eastAsia" w:cs="Times New Roman" w:asciiTheme="minorEastAsia" w:hAnsiTheme="minorEastAsia"/>
          <w:color w:val="0C0C0C" w:themeColor="text1" w:themeTint="F2"/>
          <w:sz w:val="24"/>
          <w:szCs w:val="24"/>
          <w:lang w:val="zh-CN"/>
        </w:rPr>
        <w:t>除货物和工程（含本章3.2条所述工程及《招标投标法》所定义工程）以外的其他政府采购对象,包括政府自身需要的服务和政府向社会公众提供的公共服务。</w:t>
      </w:r>
    </w:p>
    <w:p>
      <w:pPr>
        <w:numPr>
          <w:ilvl w:val="0"/>
          <w:numId w:val="8"/>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keepNext w:val="0"/>
        <w:keepLines w:val="0"/>
        <w:pageBreakBefore w:val="0"/>
        <w:widowControl w:val="0"/>
        <w:numPr>
          <w:ilvl w:val="0"/>
          <w:numId w:val="10"/>
        </w:numPr>
        <w:kinsoku/>
        <w:wordWrap/>
        <w:overflowPunct/>
        <w:topLinePunct w:val="0"/>
        <w:autoSpaceDE/>
        <w:autoSpaceDN/>
        <w:bidi w:val="0"/>
        <w:spacing w:line="440" w:lineRule="exact"/>
        <w:ind w:left="476" w:hanging="476"/>
        <w:textAlignment w:val="auto"/>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40"/>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firstLineChars="0"/>
        <w:textAlignment w:val="auto"/>
        <w:rPr>
          <w:rFonts w:ascii="宋体" w:hAnsi="宋体"/>
          <w:bCs/>
          <w:sz w:val="24"/>
          <w:szCs w:val="24"/>
        </w:rPr>
      </w:pPr>
      <w:r>
        <w:rPr>
          <w:rFonts w:hint="eastAsia" w:ascii="宋体" w:hAnsi="宋体"/>
          <w:sz w:val="24"/>
          <w:szCs w:val="24"/>
        </w:rPr>
        <w:t>采购代理服务费</w:t>
      </w:r>
    </w:p>
    <w:p>
      <w:pPr>
        <w:pStyle w:val="40"/>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宋体" w:hAnsi="宋体"/>
          <w:b/>
          <w:sz w:val="24"/>
          <w:szCs w:val="24"/>
        </w:rPr>
      </w:pPr>
      <w:r>
        <w:rPr>
          <w:rFonts w:hint="eastAsia" w:ascii="宋体" w:hAnsi="宋体"/>
          <w:b/>
          <w:sz w:val="24"/>
          <w:szCs w:val="24"/>
          <w:lang w:val="en-US" w:eastAsia="zh-CN"/>
        </w:rPr>
        <w:t>4.2.1</w:t>
      </w:r>
      <w:r>
        <w:rPr>
          <w:rFonts w:hint="eastAsia" w:ascii="宋体" w:hAnsi="宋体"/>
          <w:b/>
          <w:sz w:val="24"/>
          <w:szCs w:val="24"/>
        </w:rPr>
        <w:t>经过采购代理机构与采购人协议，规定由中标单位支付。采购代理服务费收费标准如下：</w:t>
      </w:r>
    </w:p>
    <w:p>
      <w:pPr>
        <w:pStyle w:val="40"/>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宋体" w:hAnsi="宋体"/>
          <w:b/>
          <w:sz w:val="24"/>
          <w:szCs w:val="24"/>
        </w:rPr>
      </w:pPr>
    </w:p>
    <w:tbl>
      <w:tblPr>
        <w:tblStyle w:val="19"/>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2" name="Line 16"/>
                      <wp:cNvGraphicFramePr/>
                      <a:graphic xmlns:a="http://schemas.openxmlformats.org/drawingml/2006/main">
                        <a:graphicData uri="http://schemas.microsoft.com/office/word/2010/wordprocessingShape">
                          <wps:wsp>
                            <wps:cNvSpPr/>
                            <wps:spPr>
                              <a:xfrm flipH="1" flipV="1">
                                <a:off x="0" y="0"/>
                                <a:ext cx="141097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05pt;margin-top:8pt;height:68.5pt;width:111.1pt;z-index:251661312;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&#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BGc6zRAAAACQEAAA8AAAAAAAAAAQAgAAAAIgAAAGRy&#10;cy9kb3ducmV2LnhtbFBLAQIUABQAAAAIAIdO4kA7C16t0wEAAKUDAAAOAAAAAAAAAAEAIAAAACAB&#10;AABkcnMvZTJvRG9jLnhtbFBLBQYAAAAABgAGAFkBAABlBQ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3" name="Line 17"/>
                      <wp:cNvGraphicFramePr/>
                      <a:graphic xmlns:a="http://schemas.openxmlformats.org/drawingml/2006/main">
                        <a:graphicData uri="http://schemas.microsoft.com/office/word/2010/wordprocessingShape">
                          <wps:wsp>
                            <wps:cNvSpPr/>
                            <wps:spPr>
                              <a:xfrm flipH="1" flipV="1">
                                <a:off x="0" y="0"/>
                                <a:ext cx="159702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4.3pt;height:33.15pt;width:125.75pt;z-index:251662336;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&#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4uAobVAAAACAEAAA8AAAAAAAAAAQAgAAAAIgAAAGRy&#10;cy9kb3ducmV2LnhtbFBLAQIUABQAAAAIAIdO4kDxi3a7zwEAAKUDAAAOAAAAAAAAAAEAIAAAACQB&#10;AABkcnMvZTJvRG9jLnhtbFBLBQYAAAAABgAGAFkBAABlBQ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uR037VAAAACQEAAA8AAAAAAAAAAQAgAAAAIgAAAGRycy9kb3ducmV2LnhtbFBLAQIU&#10;ABQAAAAIAIdO4kDDYH2XvQEAAIgDAAAOAAAAAAAAAAEAIAAAACQBAABkcnMvZTJvRG9jLnhtbFBL&#10;BQYAAAAABgAGAFkBAABTBQAAAAA=&#10;">
                      <v:fill on="f" focussize="0,0"/>
                      <v:stroke color="#000000" joinstyle="round"/>
                      <v:imagedata o:title=""/>
                      <o:lock v:ext="edit" aspectratio="f"/>
                    </v:line>
                  </w:pict>
                </mc:Fallback>
              </mc:AlternateConten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32</w:t>
            </w:r>
            <w:r>
              <w:rPr>
                <w:rFonts w:hint="eastAsia" w:ascii="宋体" w:hAnsi="宋体" w:cs="宋体"/>
                <w:sz w:val="24"/>
                <w:szCs w:val="24"/>
              </w:rPr>
              <w:t>%</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0.</w:t>
            </w:r>
            <w:r>
              <w:rPr>
                <w:rFonts w:hint="eastAsia" w:ascii="宋体" w:hAnsi="宋体" w:cs="宋体"/>
                <w:sz w:val="24"/>
                <w:szCs w:val="24"/>
                <w:lang w:val="en-US" w:eastAsia="zh-CN"/>
              </w:rPr>
              <w:t>96</w:t>
            </w:r>
            <w:r>
              <w:rPr>
                <w:rFonts w:hint="eastAsia" w:ascii="宋体" w:hAnsi="宋体" w:cs="宋体"/>
                <w:sz w:val="24"/>
                <w:szCs w:val="24"/>
              </w:rPr>
              <w:t>%</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40"/>
        <w:adjustRightInd w:val="0"/>
        <w:snapToGrid w:val="0"/>
        <w:spacing w:line="300" w:lineRule="auto"/>
        <w:ind w:left="420" w:firstLine="0" w:firstLineChars="0"/>
        <w:rPr>
          <w:rFonts w:ascii="宋体" w:hAnsi="宋体"/>
          <w:b/>
          <w:sz w:val="24"/>
          <w:szCs w:val="24"/>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b/>
          <w:sz w:val="24"/>
          <w:szCs w:val="24"/>
        </w:rPr>
      </w:pPr>
      <w:r>
        <w:rPr>
          <w:rFonts w:hint="eastAsia" w:ascii="宋体" w:hAnsi="宋体"/>
          <w:b/>
          <w:sz w:val="24"/>
          <w:szCs w:val="24"/>
          <w:lang w:val="en-US" w:eastAsia="zh-CN"/>
        </w:rPr>
        <w:t>4.2.2</w:t>
      </w:r>
      <w:r>
        <w:rPr>
          <w:rFonts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7" w:name="_Toc12249"/>
      <w:bookmarkStart w:id="8" w:name="_Toc278891592"/>
      <w:bookmarkStart w:id="9" w:name="_Toc494561939"/>
      <w:bookmarkStart w:id="10" w:name="_Toc272247695"/>
      <w:r>
        <w:rPr>
          <w:rFonts w:hint="eastAsia" w:cs="Times New Roman" w:asciiTheme="majorEastAsia" w:hAnsiTheme="majorEastAsia"/>
          <w:bCs w:val="0"/>
          <w:lang w:val="zh-CN"/>
        </w:rPr>
        <w:t>招标文件</w:t>
      </w:r>
      <w:bookmarkEnd w:id="7"/>
      <w:bookmarkEnd w:id="8"/>
      <w:bookmarkEnd w:id="9"/>
      <w:bookmarkEnd w:id="10"/>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在招标过程中由采购代理机构发出的修正和补充文件等</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潜在投标人对招标文件有疑问的，可以向采购代理机构提出询问，或在6.2规定的时间前以书面的形式向采购代理机构提交疑问函。</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2"/>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采购代理机构和采购人可以对已发出的招标文件进行必要的澄清或者修改。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sz w:val="24"/>
          <w:szCs w:val="20"/>
          <w:lang w:val="zh-CN"/>
        </w:rPr>
        <w:t>采购代理机构</w:t>
      </w:r>
      <w:r>
        <w:rPr>
          <w:rFonts w:hint="eastAsia" w:ascii="Helvetica" w:hAnsi="Helvetica" w:eastAsia="宋体" w:cs="Helvetica"/>
          <w:kern w:val="0"/>
          <w:sz w:val="24"/>
          <w:szCs w:val="24"/>
          <w:lang w:val="zh-CN"/>
        </w:rPr>
        <w:t>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1" w:name="_Toc494561940"/>
      <w:bookmarkStart w:id="12" w:name="_Toc278891593"/>
      <w:bookmarkStart w:id="13" w:name="_Toc32674"/>
      <w:bookmarkStart w:id="14" w:name="_Toc272247696"/>
      <w:r>
        <w:rPr>
          <w:rFonts w:hint="eastAsia" w:cs="Times New Roman" w:asciiTheme="majorEastAsia" w:hAnsiTheme="majorEastAsia"/>
          <w:bCs w:val="0"/>
          <w:lang w:val="zh-CN"/>
        </w:rPr>
        <w:t>投标文件</w:t>
      </w:r>
      <w:bookmarkEnd w:id="11"/>
      <w:bookmarkEnd w:id="12"/>
      <w:bookmarkEnd w:id="13"/>
      <w:bookmarkEnd w:id="14"/>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招标文件有分包要求，投标人对招标文件中多个包进行投标的，其投标文件的编制应按每包要求分别装订和封装，并注明对应包号。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4"/>
        </w:numPr>
        <w:spacing w:line="360" w:lineRule="auto"/>
        <w:ind w:left="616" w:hanging="616"/>
        <w:rPr>
          <w:rFonts w:cs="Times New Roman" w:asciiTheme="minorEastAsia" w:hAnsiTheme="minorEastAsia"/>
          <w:color w:val="0C0C0C" w:themeColor="text1" w:themeTint="F2"/>
          <w:sz w:val="24"/>
          <w:szCs w:val="24"/>
          <w:lang w:val="zh-CN"/>
        </w:rPr>
      </w:pPr>
      <w:r>
        <w:rPr>
          <w:rFonts w:hint="eastAsia" w:cs="Times New Roman" w:asciiTheme="minorEastAsia" w:hAnsiTheme="minorEastAsia"/>
          <w:color w:val="0C0C0C" w:themeColor="text1" w:themeTint="F2"/>
          <w:sz w:val="24"/>
          <w:szCs w:val="24"/>
          <w:lang w:val="zh-CN"/>
        </w:rPr>
        <w:t>投标人应对投标文件中所提供资料的真实性负责，</w:t>
      </w:r>
      <w:r>
        <w:rPr>
          <w:rFonts w:hint="eastAsia" w:cs="Times New Roman" w:asciiTheme="minorEastAsia" w:hAnsiTheme="minorEastAsia"/>
          <w:sz w:val="24"/>
          <w:szCs w:val="24"/>
          <w:lang w:val="zh-CN"/>
        </w:rPr>
        <w:t>若有虚假</w:t>
      </w:r>
      <w:r>
        <w:rPr>
          <w:rFonts w:hint="eastAsia" w:cs="Times New Roman" w:asciiTheme="minorEastAsia" w:hAnsiTheme="minorEastAsia"/>
          <w:color w:val="0C0C0C" w:themeColor="text1" w:themeTint="F2"/>
          <w:sz w:val="24"/>
          <w:szCs w:val="24"/>
          <w:lang w:val="zh-CN"/>
        </w:rPr>
        <w:t>，将依法承担相应责任。投标人应自觉接受采购代理机构对其中任何资料进一步核实的要求。</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spacing w:line="360" w:lineRule="auto"/>
        <w:ind w:left="566" w:hanging="564" w:hangingChars="235"/>
        <w:rPr>
          <w:rFonts w:ascii="宋体" w:hAnsi="宋体" w:eastAsia="宋体" w:cs="Times New Roman"/>
          <w:b/>
          <w:sz w:val="24"/>
          <w:szCs w:val="20"/>
        </w:rPr>
      </w:pPr>
      <w:r>
        <w:rPr>
          <w:rFonts w:hint="eastAsia" w:cs="Times New Roman" w:asciiTheme="minorEastAsia" w:hAnsiTheme="minorEastAsia"/>
          <w:b/>
          <w:sz w:val="24"/>
          <w:szCs w:val="24"/>
        </w:rPr>
        <w:t>11.7</w:t>
      </w:r>
      <w:r>
        <w:rPr>
          <w:rFonts w:hint="eastAsia" w:cs="Times New Roman" w:asciiTheme="minorEastAsia" w:hAnsiTheme="minorEastAsia"/>
          <w:b/>
          <w:sz w:val="24"/>
          <w:szCs w:val="24"/>
          <w:lang w:val="zh-CN"/>
        </w:rPr>
        <w:t>投标人应将投标文件第一部分资格证明文件、第二部分商务文件、第三部分技术、服务文件分册编制装订，分别逐页连续标注页码，建立目录索引。</w:t>
      </w:r>
      <w:r>
        <w:rPr>
          <w:rFonts w:hint="eastAsia" w:ascii="宋体" w:hAnsi="宋体" w:eastAsia="宋体" w:cs="Times New Roman"/>
          <w:b/>
          <w:sz w:val="24"/>
          <w:szCs w:val="20"/>
          <w:lang w:val="zh-CN"/>
        </w:rPr>
        <w:t>各部分文件及内容详见第七章“投标文件格式”要求。</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6"/>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6"/>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6"/>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两个及以上投标人可以组成一个联合体，以一个投标人的身份共同参与投标。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以联合体形式参加政府采购活动的，联合体各方不得再单独参加或者与其他投标人另外组成联合体参加同一合同项下的政府采购活动。</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C0C0C" w:themeColor="text1" w:themeTint="F2"/>
          <w:sz w:val="24"/>
          <w:szCs w:val="24"/>
          <w:lang w:val="zh-CN"/>
        </w:rPr>
        <w:t>签订采购合同，</w:t>
      </w:r>
      <w:r>
        <w:rPr>
          <w:rFonts w:hint="eastAsia" w:ascii="宋体" w:hAnsi="宋体"/>
          <w:color w:val="0C0C0C" w:themeColor="text1" w:themeTint="F2"/>
          <w:sz w:val="24"/>
        </w:rPr>
        <w:t>就采购合同约定的事项对采购人承担连带责任，</w:t>
      </w:r>
      <w:r>
        <w:rPr>
          <w:rFonts w:hint="eastAsia" w:cs="Times New Roman" w:asciiTheme="minorEastAsia" w:hAnsiTheme="minorEastAsia"/>
          <w:color w:val="0C0C0C" w:themeColor="text1" w:themeTint="F2"/>
          <w:sz w:val="24"/>
          <w:szCs w:val="24"/>
          <w:lang w:val="zh-CN"/>
        </w:rPr>
        <w:t>联合体主体单位负主要</w:t>
      </w:r>
      <w:r>
        <w:rPr>
          <w:rFonts w:hint="eastAsia" w:cs="Times New Roman" w:asciiTheme="minorEastAsia" w:hAnsiTheme="minorEastAsia"/>
          <w:sz w:val="24"/>
          <w:szCs w:val="24"/>
          <w:lang w:val="zh-CN"/>
        </w:rPr>
        <w:t>责任。</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联合体中有同类资质的投标人按照联合体分工承担相同工作的，应当按照资质等级较低的投标人确定资质等级。</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7"/>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8"/>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6"/>
        </w:numPr>
        <w:spacing w:line="360" w:lineRule="auto"/>
        <w:ind w:left="560" w:hanging="560"/>
        <w:rPr>
          <w:rFonts w:ascii="宋体" w:hAnsi="宋体"/>
          <w:b/>
          <w:bCs/>
          <w:color w:val="000000"/>
          <w:sz w:val="24"/>
          <w:szCs w:val="24"/>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（交纳金额及账户信息详见本章“投标须知前附表”中规定）。</w:t>
      </w:r>
      <w:r>
        <w:rPr>
          <w:rFonts w:hint="eastAsia" w:ascii="宋体" w:hAnsi="宋体"/>
          <w:b/>
          <w:bCs/>
          <w:color w:val="000000"/>
          <w:sz w:val="24"/>
          <w:szCs w:val="24"/>
          <w:lang w:val="zh-CN"/>
        </w:rPr>
        <w:t>本项目不收取投标保证金。</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或采购人可要求投标人延长投标有效期。这种要求与答复均应以书面形式提交。投标人可拒绝</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numPr>
          <w:ilvl w:val="0"/>
          <w:numId w:val="21"/>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投标文件包括第一部分资格证明文件，第二部分商务文件，第三部分技术、服务文件, 上述三部分应分别密封在独立封包中，并在封包上标明各部分名称，每个封包内应包括正本1份、副本</w:t>
      </w:r>
      <w:r>
        <w:rPr>
          <w:rFonts w:hint="eastAsia" w:ascii="宋体" w:hAnsi="宋体" w:eastAsia="宋体" w:cs="Times New Roman"/>
          <w:sz w:val="24"/>
          <w:szCs w:val="20"/>
        </w:rPr>
        <w:t>4</w:t>
      </w:r>
      <w:r>
        <w:rPr>
          <w:rFonts w:hint="eastAsia" w:ascii="宋体" w:hAnsi="宋体" w:eastAsia="宋体" w:cs="Times New Roman"/>
          <w:sz w:val="24"/>
          <w:szCs w:val="20"/>
          <w:lang w:val="zh-CN"/>
        </w:rPr>
        <w:t>份。（</w:t>
      </w:r>
      <w:r>
        <w:rPr>
          <w:rFonts w:hint="eastAsia" w:cs="Times New Roman" w:asciiTheme="minorEastAsia" w:hAnsiTheme="minorEastAsia"/>
          <w:b/>
          <w:sz w:val="24"/>
          <w:szCs w:val="24"/>
          <w:lang w:val="zh-CN"/>
        </w:rPr>
        <w:t>如</w:t>
      </w:r>
      <w:r>
        <w:rPr>
          <w:rFonts w:hint="eastAsia" w:cs="Helvetica" w:asciiTheme="minorEastAsia" w:hAnsiTheme="minorEastAsia"/>
          <w:b/>
          <w:kern w:val="0"/>
          <w:sz w:val="24"/>
          <w:szCs w:val="24"/>
          <w:lang w:val="zh-CN"/>
        </w:rPr>
        <w:t>采购人已组织过项目资格预审的，投标人无需再提交资格证明文件</w:t>
      </w:r>
      <w:r>
        <w:rPr>
          <w:rFonts w:hint="eastAsia" w:ascii="宋体" w:hAnsi="宋体" w:eastAsia="宋体" w:cs="Times New Roman"/>
          <w:sz w:val="24"/>
          <w:szCs w:val="20"/>
          <w:lang w:val="zh-CN"/>
        </w:rPr>
        <w:t>）</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份，密封在“资格证明文件”封包内</w:t>
      </w:r>
      <w:r>
        <w:rPr>
          <w:rFonts w:hint="eastAsia" w:cs="Times New Roman" w:asciiTheme="minorEastAsia" w:hAnsiTheme="minorEastAsia"/>
          <w:sz w:val="24"/>
          <w:szCs w:val="24"/>
        </w:rPr>
        <w:t>，封包上注明“第一部分 资格证明文件”</w:t>
      </w:r>
      <w:r>
        <w:rPr>
          <w:rFonts w:hint="eastAsia" w:cs="Times New Roman" w:asciiTheme="minorEastAsia" w:hAnsiTheme="minorEastAsia"/>
          <w:sz w:val="24"/>
          <w:szCs w:val="24"/>
          <w:lang w:val="zh-CN"/>
        </w:rPr>
        <w:t>；</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商务文件正本1份、副本4份，密封在“商务文件”封包内，封包上注明“第二部分 商务文件”；</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技术、服务文件正本1份、副本4份，密封在“技术、服务文件”封包内，封包上注明“第三部分 技术、服务文件”。</w:t>
      </w:r>
    </w:p>
    <w:p>
      <w:pPr>
        <w:numPr>
          <w:ilvl w:val="0"/>
          <w:numId w:val="21"/>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为方便开标时唱标，投标人应将《开标一览表》原件一份</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，并在信封上注明“开标一览表”字样。未单独提交或单独提交的上述资料未按照招标文件规定的格式填写完整并签字、盖章的招标代理机构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21"/>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“开标一览表”信封和投标文件各部分的封包上还应注明采购项目编号、项目名称、投标内容和有“在（招标文件中规定的开标日期和时间）之前不得启封”的字样，封口处加盖投标人公章。</w:t>
      </w:r>
    </w:p>
    <w:p>
      <w:pPr>
        <w:spacing w:line="360" w:lineRule="auto"/>
        <w:rPr>
          <w:rFonts w:ascii="宋体" w:hAnsi="宋体" w:eastAsia="宋体" w:cs="Times New Roman"/>
          <w:b/>
          <w:sz w:val="24"/>
          <w:szCs w:val="20"/>
          <w:lang w:val="zh-CN"/>
        </w:rPr>
      </w:pPr>
      <w:r>
        <w:rPr>
          <w:rFonts w:hint="eastAsia" w:ascii="宋体" w:hAnsi="宋体" w:eastAsia="宋体" w:cs="Times New Roman"/>
          <w:sz w:val="24"/>
          <w:szCs w:val="20"/>
        </w:rPr>
        <w:t>20.4</w:t>
      </w:r>
      <w:r>
        <w:rPr>
          <w:rFonts w:hint="eastAsia" w:ascii="宋体" w:hAnsi="宋体" w:eastAsia="宋体" w:cs="Times New Roman"/>
          <w:sz w:val="24"/>
          <w:szCs w:val="20"/>
          <w:lang w:val="zh-CN"/>
        </w:rPr>
        <w:t>未按要求密封、标记或存在错误，招标代理机构对其误投或提前启封概不负责。</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3"/>
        </w:numPr>
        <w:spacing w:line="360" w:lineRule="auto"/>
        <w:ind w:left="616" w:hanging="616"/>
        <w:rPr>
          <w:rFonts w:ascii="Helvetica" w:hAnsi="Helvetica" w:eastAsia="宋体" w:cs="Helvetica"/>
          <w:color w:val="auto"/>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w:t>
      </w:r>
      <w:r>
        <w:rPr>
          <w:rFonts w:hint="eastAsia" w:ascii="Helvetica" w:hAnsi="Helvetica" w:eastAsia="宋体" w:cs="Helvetica"/>
          <w:color w:val="auto"/>
          <w:kern w:val="0"/>
          <w:sz w:val="24"/>
          <w:szCs w:val="24"/>
          <w:lang w:val="zh-CN"/>
        </w:rPr>
        <w:t>采购代理机构规定的投标地点。</w:t>
      </w:r>
    </w:p>
    <w:p>
      <w:pPr>
        <w:numPr>
          <w:ilvl w:val="0"/>
          <w:numId w:val="23"/>
        </w:numPr>
        <w:spacing w:line="360" w:lineRule="auto"/>
        <w:ind w:left="616" w:hanging="616"/>
        <w:rPr>
          <w:rFonts w:ascii="Helvetica" w:hAnsi="Helvetica" w:eastAsia="宋体" w:cs="Helvetica"/>
          <w:b/>
          <w:color w:val="auto"/>
          <w:kern w:val="0"/>
          <w:sz w:val="24"/>
          <w:szCs w:val="24"/>
          <w:lang w:val="zh-CN"/>
        </w:rPr>
      </w:pPr>
      <w:r>
        <w:rPr>
          <w:rFonts w:hint="eastAsia" w:ascii="Helvetica" w:hAnsi="Helvetica" w:eastAsia="宋体" w:cs="Helvetica"/>
          <w:color w:val="auto"/>
          <w:kern w:val="0"/>
          <w:sz w:val="24"/>
          <w:szCs w:val="24"/>
          <w:lang w:val="zh-CN"/>
        </w:rPr>
        <w:t>采购代理机构</w:t>
      </w:r>
      <w:r>
        <w:rPr>
          <w:rFonts w:hint="eastAsia" w:ascii="Helvetica" w:hAnsi="Helvetica" w:eastAsia="宋体" w:cs="Helvetica"/>
          <w:b/>
          <w:color w:val="auto"/>
          <w:kern w:val="0"/>
          <w:sz w:val="24"/>
          <w:szCs w:val="24"/>
          <w:lang w:val="zh-CN"/>
        </w:rPr>
        <w:t>拒收逾期送达或者未按招标文件要求密封的投标文件。</w:t>
      </w:r>
    </w:p>
    <w:p>
      <w:pPr>
        <w:numPr>
          <w:ilvl w:val="0"/>
          <w:numId w:val="23"/>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color w:val="auto"/>
          <w:kern w:val="0"/>
          <w:sz w:val="24"/>
          <w:szCs w:val="24"/>
          <w:lang w:val="zh-CN"/>
        </w:rPr>
        <w:t>采购代理机构</w:t>
      </w:r>
      <w:r>
        <w:rPr>
          <w:rFonts w:ascii="Helvetica" w:hAnsi="Helvetica" w:eastAsia="宋体" w:cs="Helvetica"/>
          <w:color w:val="auto"/>
          <w:kern w:val="0"/>
          <w:sz w:val="24"/>
          <w:szCs w:val="24"/>
          <w:lang w:val="zh-CN"/>
        </w:rPr>
        <w:t>收</w:t>
      </w:r>
      <w:r>
        <w:rPr>
          <w:rFonts w:ascii="Helvetica" w:hAnsi="Helvetica" w:eastAsia="宋体" w:cs="Helvetica"/>
          <w:kern w:val="0"/>
          <w:sz w:val="24"/>
          <w:szCs w:val="24"/>
          <w:lang w:val="zh-CN"/>
        </w:rPr>
        <w:t>到投标文件后，应当如实记载投标文件的送达时间和密封情况，签收保存，并向投标人出具签收回执。</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4"/>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5" w:name="_Toc272247698"/>
      <w:bookmarkStart w:id="16" w:name="_Toc4791"/>
      <w:bookmarkStart w:id="17" w:name="_Toc494561942"/>
      <w:bookmarkStart w:id="18" w:name="_Toc278891595"/>
      <w:r>
        <w:rPr>
          <w:rFonts w:hint="eastAsia" w:cs="Times New Roman" w:asciiTheme="majorEastAsia" w:hAnsiTheme="majorEastAsia"/>
          <w:bCs w:val="0"/>
          <w:lang w:val="zh-CN"/>
        </w:rPr>
        <w:t>开标与评标</w:t>
      </w:r>
      <w:bookmarkEnd w:id="15"/>
      <w:bookmarkEnd w:id="16"/>
      <w:bookmarkEnd w:id="17"/>
      <w:bookmarkEnd w:id="18"/>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25"/>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color w:val="auto"/>
          <w:kern w:val="0"/>
          <w:sz w:val="24"/>
          <w:szCs w:val="24"/>
          <w:lang w:val="zh-CN"/>
        </w:rPr>
        <w:t>采购代理机构</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5"/>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sz w:val="24"/>
          <w:szCs w:val="20"/>
          <w:lang w:val="zh-CN"/>
        </w:rPr>
        <w:t>开标时，由投标人或其推选的代表检查投标文件的密封情况，经确</w:t>
      </w:r>
      <w:r>
        <w:rPr>
          <w:rFonts w:hint="eastAsia" w:ascii="宋体" w:hAnsi="宋体" w:eastAsia="宋体" w:cs="Times New Roman"/>
          <w:color w:val="auto"/>
          <w:sz w:val="24"/>
          <w:szCs w:val="20"/>
          <w:lang w:val="zh-CN"/>
        </w:rPr>
        <w:t>认无误后由</w:t>
      </w:r>
      <w:r>
        <w:rPr>
          <w:rFonts w:hint="eastAsia" w:ascii="Helvetica" w:hAnsi="Helvetica" w:eastAsia="宋体" w:cs="Helvetica"/>
          <w:color w:val="auto"/>
          <w:kern w:val="0"/>
          <w:sz w:val="24"/>
          <w:szCs w:val="24"/>
          <w:lang w:val="zh-CN"/>
        </w:rPr>
        <w:t>采购代理机构</w:t>
      </w:r>
      <w:r>
        <w:rPr>
          <w:rFonts w:hint="eastAsia" w:ascii="宋体" w:hAnsi="宋体" w:eastAsia="宋体" w:cs="Times New Roman"/>
          <w:color w:val="auto"/>
          <w:sz w:val="24"/>
          <w:szCs w:val="20"/>
          <w:lang w:val="zh-CN"/>
        </w:rPr>
        <w:t>工作人员当众拆封，</w:t>
      </w:r>
      <w:r>
        <w:rPr>
          <w:rFonts w:ascii="宋体" w:hAnsi="宋体" w:eastAsia="宋体" w:cs="Times New Roman"/>
          <w:color w:val="auto"/>
          <w:sz w:val="24"/>
          <w:szCs w:val="20"/>
          <w:lang w:val="zh-CN"/>
        </w:rPr>
        <w:t>宣布投标人名称、投标价格和招标文件规定的需要宣布的其他内容。</w:t>
      </w:r>
    </w:p>
    <w:p>
      <w:pPr>
        <w:numPr>
          <w:ilvl w:val="0"/>
          <w:numId w:val="25"/>
        </w:numPr>
        <w:spacing w:line="360" w:lineRule="auto"/>
        <w:ind w:left="616" w:hanging="616"/>
        <w:rPr>
          <w:rFonts w:ascii="宋体" w:hAnsi="宋体" w:eastAsia="宋体" w:cs="Times New Roman"/>
          <w:sz w:val="24"/>
          <w:szCs w:val="20"/>
          <w:lang w:val="zh-CN"/>
        </w:rPr>
      </w:pPr>
      <w:r>
        <w:rPr>
          <w:rFonts w:hint="eastAsia" w:ascii="Helvetica" w:hAnsi="Helvetica" w:eastAsia="宋体" w:cs="Helvetica"/>
          <w:color w:val="auto"/>
          <w:kern w:val="0"/>
          <w:sz w:val="24"/>
          <w:szCs w:val="24"/>
          <w:lang w:val="zh-CN"/>
        </w:rPr>
        <w:t>采购代理机构</w:t>
      </w:r>
      <w:r>
        <w:rPr>
          <w:rFonts w:ascii="宋体" w:hAnsi="宋体" w:eastAsia="宋体" w:cs="Times New Roman"/>
          <w:color w:val="auto"/>
          <w:sz w:val="24"/>
          <w:szCs w:val="20"/>
          <w:lang w:val="zh-CN"/>
        </w:rPr>
        <w:t>负责</w:t>
      </w:r>
      <w:r>
        <w:rPr>
          <w:rFonts w:hint="eastAsia" w:ascii="宋体" w:hAnsi="宋体" w:eastAsia="宋体" w:cs="Times New Roman"/>
          <w:color w:val="auto"/>
          <w:sz w:val="24"/>
          <w:szCs w:val="20"/>
          <w:lang w:val="zh-CN"/>
        </w:rPr>
        <w:t>对</w:t>
      </w:r>
      <w:r>
        <w:rPr>
          <w:rFonts w:ascii="宋体" w:hAnsi="宋体" w:eastAsia="宋体" w:cs="Times New Roman"/>
          <w:color w:val="auto"/>
          <w:sz w:val="24"/>
          <w:szCs w:val="20"/>
          <w:lang w:val="zh-CN"/>
        </w:rPr>
        <w:t>开标过程</w:t>
      </w:r>
      <w:r>
        <w:rPr>
          <w:rFonts w:hint="eastAsia" w:ascii="宋体" w:hAnsi="宋体" w:eastAsia="宋体" w:cs="Times New Roman"/>
          <w:color w:val="auto"/>
          <w:sz w:val="24"/>
          <w:szCs w:val="20"/>
          <w:lang w:val="zh-CN"/>
        </w:rPr>
        <w:t>进行</w:t>
      </w:r>
      <w:r>
        <w:rPr>
          <w:rFonts w:ascii="宋体" w:hAnsi="宋体" w:eastAsia="宋体" w:cs="Times New Roman"/>
          <w:color w:val="auto"/>
          <w:sz w:val="24"/>
          <w:szCs w:val="20"/>
          <w:lang w:val="zh-CN"/>
        </w:rPr>
        <w:t>记录，由参加开标的各投标人代表和相关</w:t>
      </w:r>
      <w:r>
        <w:rPr>
          <w:rFonts w:ascii="宋体" w:hAnsi="宋体" w:eastAsia="宋体" w:cs="Times New Roman"/>
          <w:sz w:val="24"/>
          <w:szCs w:val="20"/>
          <w:lang w:val="zh-CN"/>
        </w:rPr>
        <w:t>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25"/>
        </w:numPr>
        <w:spacing w:line="360" w:lineRule="auto"/>
        <w:ind w:left="616" w:hanging="616"/>
        <w:rPr>
          <w:rFonts w:ascii="宋体" w:hAnsi="宋体" w:eastAsia="宋体" w:cs="Times New Roman"/>
          <w:color w:val="auto"/>
          <w:sz w:val="24"/>
          <w:szCs w:val="20"/>
          <w:lang w:val="zh-CN"/>
        </w:rPr>
      </w:pPr>
      <w:r>
        <w:rPr>
          <w:rFonts w:ascii="宋体" w:hAnsi="宋体" w:eastAsia="宋体" w:cs="Times New Roman"/>
          <w:sz w:val="24"/>
          <w:szCs w:val="20"/>
          <w:lang w:val="zh-CN"/>
        </w:rPr>
        <w:t>投标人代表对开标过程和开标记录有疑义，</w:t>
      </w:r>
      <w:r>
        <w:rPr>
          <w:rFonts w:ascii="宋体" w:hAnsi="宋体" w:eastAsia="宋体" w:cs="Times New Roman"/>
          <w:color w:val="auto"/>
          <w:sz w:val="24"/>
          <w:szCs w:val="20"/>
          <w:lang w:val="zh-CN"/>
        </w:rPr>
        <w:t>以及认为采购人、</w:t>
      </w:r>
      <w:r>
        <w:rPr>
          <w:rFonts w:hint="eastAsia" w:ascii="Helvetica" w:hAnsi="Helvetica" w:eastAsia="宋体" w:cs="Helvetica"/>
          <w:color w:val="auto"/>
          <w:kern w:val="0"/>
          <w:sz w:val="24"/>
          <w:szCs w:val="24"/>
          <w:lang w:val="zh-CN"/>
        </w:rPr>
        <w:t>代理公司</w:t>
      </w:r>
      <w:r>
        <w:rPr>
          <w:rFonts w:ascii="宋体" w:hAnsi="宋体" w:eastAsia="宋体" w:cs="Times New Roman"/>
          <w:color w:val="auto"/>
          <w:sz w:val="24"/>
          <w:szCs w:val="20"/>
          <w:lang w:val="zh-CN"/>
        </w:rPr>
        <w:t>相关工作人员有需要回避的情形的，应当场提出询问或者回避申请。采购人、</w:t>
      </w:r>
      <w:r>
        <w:rPr>
          <w:rFonts w:hint="eastAsia" w:ascii="Helvetica" w:hAnsi="Helvetica" w:eastAsia="宋体" w:cs="Helvetica"/>
          <w:color w:val="auto"/>
          <w:kern w:val="0"/>
          <w:sz w:val="24"/>
          <w:szCs w:val="24"/>
          <w:lang w:val="zh-CN"/>
        </w:rPr>
        <w:t>代理公司</w:t>
      </w:r>
      <w:r>
        <w:rPr>
          <w:rFonts w:hint="eastAsia" w:ascii="宋体" w:hAnsi="宋体" w:eastAsia="宋体" w:cs="Times New Roman"/>
          <w:color w:val="auto"/>
          <w:sz w:val="24"/>
          <w:szCs w:val="20"/>
          <w:lang w:val="zh-CN"/>
        </w:rPr>
        <w:t>将</w:t>
      </w:r>
      <w:r>
        <w:rPr>
          <w:rFonts w:ascii="宋体" w:hAnsi="宋体" w:eastAsia="宋体" w:cs="Times New Roman"/>
          <w:color w:val="auto"/>
          <w:sz w:val="24"/>
          <w:szCs w:val="20"/>
          <w:lang w:val="zh-CN"/>
        </w:rPr>
        <w:t>及时处理投标人代表提出的询问或者回避申请。</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26"/>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bCs/>
          <w:sz w:val="24"/>
          <w:szCs w:val="20"/>
          <w:lang w:val="zh-CN"/>
        </w:rPr>
        <w:t>公开招标采购项目开标结束后，</w:t>
      </w:r>
      <w:r>
        <w:rPr>
          <w:rFonts w:hint="eastAsia" w:ascii="宋体" w:hAnsi="宋体" w:eastAsia="宋体" w:cs="Times New Roman"/>
          <w:bCs/>
          <w:color w:val="FF0000"/>
          <w:sz w:val="24"/>
          <w:szCs w:val="20"/>
          <w:lang w:val="zh-CN"/>
        </w:rPr>
        <w:t>采购人和采购代理公司</w:t>
      </w:r>
      <w:r>
        <w:rPr>
          <w:rFonts w:hint="eastAsia" w:ascii="宋体" w:hAnsi="宋体" w:eastAsia="宋体" w:cs="Times New Roman"/>
          <w:bCs/>
          <w:sz w:val="24"/>
          <w:szCs w:val="20"/>
          <w:lang w:val="zh-CN"/>
        </w:rPr>
        <w:t>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26"/>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8"/>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28"/>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9"/>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30"/>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采购代理</w:t>
      </w:r>
      <w:r>
        <w:rPr>
          <w:rFonts w:ascii="宋体" w:hAnsi="宋体" w:eastAsia="宋体" w:cs="Times New Roman"/>
          <w:sz w:val="24"/>
          <w:szCs w:val="20"/>
          <w:lang w:val="zh-CN"/>
        </w:rPr>
        <w:t>机构或者有关部门报告评标中发现的违法行为。</w:t>
      </w:r>
    </w:p>
    <w:p>
      <w:pPr>
        <w:numPr>
          <w:ilvl w:val="0"/>
          <w:numId w:val="29"/>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9" w:name="_Toc494561943"/>
      <w:bookmarkStart w:id="20" w:name="_Toc15324"/>
      <w:r>
        <w:rPr>
          <w:rFonts w:hint="eastAsia" w:cs="Times New Roman" w:asciiTheme="majorEastAsia" w:hAnsiTheme="majorEastAsia"/>
          <w:bCs w:val="0"/>
          <w:lang w:val="zh-CN"/>
        </w:rPr>
        <w:t>投标人信用信息及查询</w:t>
      </w:r>
      <w:bookmarkEnd w:id="19"/>
      <w:bookmarkEnd w:id="20"/>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列入失信被执行人、重大税收违法案件当事人名单、政府采购严重违法失信行为记录名单的投标人，采购人、采购代理机构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w:t>
      </w:r>
      <w:r>
        <w:rPr>
          <w:rFonts w:hint="eastAsia" w:ascii="宋体" w:hAnsi="宋体" w:cs="Helvetica"/>
          <w:kern w:val="0"/>
          <w:sz w:val="24"/>
          <w:szCs w:val="24"/>
        </w:rPr>
        <w:t>和“中国政府采购网”</w:t>
      </w:r>
      <w:r>
        <w:rPr>
          <w:rFonts w:hint="eastAsia" w:cs="Helvetica" w:asciiTheme="minorEastAsia" w:hAnsiTheme="minorEastAsia"/>
          <w:kern w:val="0"/>
          <w:sz w:val="24"/>
          <w:szCs w:val="24"/>
          <w:lang w:val="zh-CN"/>
        </w:rPr>
        <w:t>发布的信息为准。</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w:t>
      </w:r>
      <w:r>
        <w:rPr>
          <w:rFonts w:hint="eastAsia" w:cs="Helvetica" w:asciiTheme="minorEastAsia" w:hAnsiTheme="minorEastAsia"/>
          <w:color w:val="auto"/>
          <w:kern w:val="0"/>
          <w:sz w:val="24"/>
          <w:szCs w:val="24"/>
          <w:lang w:val="zh-CN"/>
        </w:rPr>
        <w:t>下，</w:t>
      </w:r>
      <w:r>
        <w:rPr>
          <w:rFonts w:hint="eastAsia" w:ascii="Helvetica" w:hAnsi="Helvetica" w:eastAsia="宋体" w:cs="Helvetica"/>
          <w:color w:val="auto"/>
          <w:kern w:val="0"/>
          <w:sz w:val="24"/>
          <w:szCs w:val="24"/>
          <w:lang w:val="zh-CN"/>
        </w:rPr>
        <w:t>采购代理机构</w:t>
      </w:r>
      <w:r>
        <w:rPr>
          <w:rFonts w:hint="eastAsia" w:cs="Helvetica" w:asciiTheme="minorEastAsia" w:hAnsiTheme="minorEastAsia"/>
          <w:color w:val="auto"/>
          <w:kern w:val="0"/>
          <w:sz w:val="24"/>
          <w:szCs w:val="24"/>
          <w:lang w:val="zh-CN"/>
        </w:rPr>
        <w:t>工作</w:t>
      </w:r>
      <w:r>
        <w:rPr>
          <w:rFonts w:hint="eastAsia" w:cs="Helvetica" w:asciiTheme="minorEastAsia" w:hAnsiTheme="minorEastAsia"/>
          <w:kern w:val="0"/>
          <w:sz w:val="24"/>
          <w:szCs w:val="24"/>
          <w:lang w:val="zh-CN"/>
        </w:rPr>
        <w:t>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1" w:name="_Toc494561944"/>
      <w:bookmarkStart w:id="22" w:name="_Toc7217"/>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1"/>
      <w:bookmarkEnd w:id="22"/>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2"/>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2"/>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3"/>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3"/>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2"/>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2"/>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4"/>
        </w:numPr>
        <w:spacing w:line="360" w:lineRule="auto"/>
        <w:ind w:left="616" w:hanging="616"/>
        <w:rPr>
          <w:rFonts w:ascii="宋体" w:hAnsi="宋体" w:eastAsia="宋体" w:cs="Times New Roman"/>
          <w:sz w:val="24"/>
          <w:szCs w:val="20"/>
          <w:lang w:val="zh-CN"/>
        </w:rPr>
      </w:pPr>
      <w:bookmarkStart w:id="23" w:name="_Toc272247700"/>
      <w:bookmarkStart w:id="24" w:name="_Toc278891597"/>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5" w:name="_Toc494561945"/>
      <w:bookmarkStart w:id="26" w:name="_Toc7959"/>
      <w:r>
        <w:rPr>
          <w:rFonts w:hint="eastAsia" w:cs="Times New Roman" w:asciiTheme="majorEastAsia" w:hAnsiTheme="majorEastAsia"/>
          <w:bCs w:val="0"/>
          <w:lang w:val="zh-CN"/>
        </w:rPr>
        <w:t>采购信息公告</w:t>
      </w:r>
      <w:bookmarkEnd w:id="25"/>
      <w:bookmarkEnd w:id="26"/>
    </w:p>
    <w:p>
      <w:pPr>
        <w:numPr>
          <w:ilvl w:val="0"/>
          <w:numId w:val="6"/>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在招标活动中的公告、补充、更正、结果等采购信息均依法在政府采购监管部门指定媒体上（中国湖北政府采购网http://www.ccgp-hubei.gov.cn/）发布。</w:t>
      </w:r>
    </w:p>
    <w:p>
      <w:pPr>
        <w:numPr>
          <w:ilvl w:val="0"/>
          <w:numId w:val="35"/>
        </w:numPr>
        <w:tabs>
          <w:tab w:val="left" w:pos="616"/>
        </w:tabs>
        <w:spacing w:line="360" w:lineRule="auto"/>
        <w:ind w:left="616" w:hanging="616"/>
        <w:rPr>
          <w:rFonts w:cs="Helvetica" w:asciiTheme="minorEastAsia" w:hAnsiTheme="minorEastAsia"/>
          <w:b/>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7" w:name="_Toc494561946"/>
      <w:bookmarkStart w:id="28" w:name="_Toc17705"/>
      <w:r>
        <w:rPr>
          <w:rFonts w:hint="eastAsia" w:cs="Times New Roman" w:asciiTheme="majorEastAsia" w:hAnsiTheme="majorEastAsia"/>
          <w:bCs w:val="0"/>
          <w:lang w:val="zh-CN"/>
        </w:rPr>
        <w:t>质疑</w:t>
      </w:r>
      <w:bookmarkEnd w:id="23"/>
      <w:bookmarkEnd w:id="24"/>
      <w:r>
        <w:rPr>
          <w:rFonts w:hint="eastAsia" w:cs="Times New Roman" w:asciiTheme="majorEastAsia" w:hAnsiTheme="majorEastAsia"/>
          <w:bCs w:val="0"/>
          <w:lang w:val="zh-CN"/>
        </w:rPr>
        <w:t>及提交</w:t>
      </w:r>
      <w:bookmarkEnd w:id="27"/>
      <w:bookmarkEnd w:id="28"/>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w:t>
      </w:r>
      <w:r>
        <w:rPr>
          <w:rFonts w:hint="eastAsia" w:ascii="宋体" w:hAnsi="宋体" w:eastAsia="宋体" w:cs="Times New Roman"/>
          <w:color w:val="auto"/>
          <w:sz w:val="24"/>
          <w:szCs w:val="20"/>
          <w:lang w:val="zh-CN"/>
        </w:rPr>
        <w:t>作日内，</w:t>
      </w:r>
      <w:r>
        <w:rPr>
          <w:rFonts w:ascii="宋体" w:hAnsi="宋体" w:eastAsia="宋体" w:cs="Times New Roman"/>
          <w:color w:val="auto"/>
          <w:sz w:val="24"/>
          <w:szCs w:val="20"/>
          <w:lang w:val="zh-CN"/>
        </w:rPr>
        <w:t>向</w:t>
      </w:r>
      <w:r>
        <w:rPr>
          <w:rFonts w:hint="eastAsia" w:ascii="宋体" w:hAnsi="宋体" w:eastAsia="宋体" w:cs="Times New Roman"/>
          <w:color w:val="auto"/>
          <w:sz w:val="24"/>
          <w:szCs w:val="20"/>
          <w:lang w:val="zh-CN"/>
        </w:rPr>
        <w:t>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color w:val="auto"/>
          <w:sz w:val="24"/>
          <w:szCs w:val="20"/>
          <w:lang w:val="zh-CN"/>
        </w:rPr>
      </w:pPr>
      <w:r>
        <w:rPr>
          <w:rFonts w:hint="eastAsia" w:ascii="宋体" w:hAnsi="宋体" w:eastAsia="宋体" w:cs="Times New Roman"/>
          <w:sz w:val="24"/>
          <w:szCs w:val="20"/>
          <w:lang w:val="zh-CN"/>
        </w:rPr>
        <w:t>投标人未按本章“质疑及提交”规定的时限、内容及方式进行质疑的，</w:t>
      </w:r>
      <w:r>
        <w:rPr>
          <w:rFonts w:hint="eastAsia" w:ascii="宋体" w:hAnsi="宋体" w:eastAsia="宋体" w:cs="Times New Roman"/>
          <w:color w:val="auto"/>
          <w:sz w:val="24"/>
          <w:szCs w:val="20"/>
          <w:lang w:val="zh-CN"/>
        </w:rPr>
        <w:t>采购人（或代理公司）不予受理。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9" w:name="_Toc494561947"/>
      <w:bookmarkStart w:id="30" w:name="_Toc14166"/>
      <w:r>
        <w:rPr>
          <w:rFonts w:hint="eastAsia" w:cs="Times New Roman" w:asciiTheme="majorEastAsia" w:hAnsiTheme="majorEastAsia"/>
          <w:bCs w:val="0"/>
          <w:lang w:val="zh-CN"/>
        </w:rPr>
        <w:t>相关条文解读</w:t>
      </w:r>
      <w:bookmarkEnd w:id="29"/>
      <w:bookmarkEnd w:id="30"/>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政府采购法第二十二条第一款第五项所称重大违法记录，是指投标人因违法经营受到刑事处罚或者责令停产停业、吊销许可证或者执照、较大数额罚款等行政处罚。</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各级人民政府财政部门依法对参加政府采购活动的投标人作出的禁止参加政府采购活动等行政处罚决定在全国范围内生效。</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投标人在参加政府采购活动前3年内因违法经营被禁止在一定期限内参加政府采购活动，期限届满的，可以参加政府采购活动。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根据财政部《政府采购法实施条例》释义中关于投标人资格条件的解释，对于银行、保险、石油石化、电力、电信等有行业特殊情况的，采购人和采购代理机构允许其分支机构参与投标。</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31" w:name="_Toc494561948"/>
      <w:bookmarkStart w:id="32" w:name="_Toc8598"/>
      <w:r>
        <w:rPr>
          <w:rFonts w:hint="eastAsia" w:cs="Times New Roman" w:asciiTheme="majorEastAsia" w:hAnsiTheme="majorEastAsia"/>
          <w:bCs w:val="0"/>
          <w:lang w:val="zh-CN"/>
        </w:rPr>
        <w:t>其他注意事项</w:t>
      </w:r>
      <w:bookmarkEnd w:id="31"/>
      <w:bookmarkEnd w:id="32"/>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单位负责人为同一人或者存在直接控股、管理关系的不同投标人，不得参加同一合同项下的政府采购活动。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除单一来源采购项目外，为采购项目提供整体设计、规范编制或者项目管理、监理、检测等服务的投标人，不得再参加该采购项目的其他采购活动。</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33" w:name="_Toc494561949"/>
      <w:bookmarkStart w:id="34" w:name="_Toc272247701"/>
      <w:bookmarkStart w:id="35" w:name="_Toc278891598"/>
      <w:bookmarkStart w:id="36" w:name="_Toc5805"/>
      <w:r>
        <w:rPr>
          <w:rFonts w:hint="eastAsia" w:cs="Times New Roman" w:asciiTheme="majorEastAsia" w:hAnsiTheme="majorEastAsia"/>
          <w:bCs w:val="0"/>
          <w:lang w:val="zh-CN"/>
        </w:rPr>
        <w:t>适用法律</w:t>
      </w:r>
      <w:bookmarkEnd w:id="33"/>
      <w:bookmarkEnd w:id="34"/>
      <w:bookmarkEnd w:id="35"/>
      <w:bookmarkEnd w:id="36"/>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6"/>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37" w:name="_Toc272247702"/>
      <w:bookmarkStart w:id="38" w:name="_Toc494561950"/>
      <w:bookmarkStart w:id="39" w:name="_Toc278891599"/>
      <w:bookmarkStart w:id="40" w:name="_Toc31054"/>
      <w:r>
        <w:rPr>
          <w:rFonts w:hint="eastAsia" w:cs="Times New Roman" w:asciiTheme="majorEastAsia" w:hAnsiTheme="majorEastAsia"/>
          <w:bCs w:val="0"/>
          <w:lang w:val="zh-CN"/>
        </w:rPr>
        <w:t>招标文件的解释权</w:t>
      </w:r>
      <w:bookmarkEnd w:id="37"/>
      <w:bookmarkEnd w:id="38"/>
      <w:bookmarkEnd w:id="39"/>
      <w:bookmarkEnd w:id="40"/>
    </w:p>
    <w:p>
      <w:pPr>
        <w:numPr>
          <w:ilvl w:val="0"/>
          <w:numId w:val="6"/>
        </w:numPr>
        <w:spacing w:line="360" w:lineRule="auto"/>
        <w:ind w:left="560" w:hanging="560"/>
      </w:pPr>
      <w:r>
        <w:rPr>
          <w:rFonts w:hint="eastAsia" w:ascii="宋体" w:hAnsi="宋体" w:eastAsia="宋体" w:cs="Times New Roman"/>
          <w:sz w:val="24"/>
          <w:szCs w:val="20"/>
          <w:lang w:val="zh-CN"/>
        </w:rPr>
        <w:t>招标文件的最终解释</w:t>
      </w:r>
      <w:r>
        <w:rPr>
          <w:rFonts w:hint="eastAsia" w:ascii="宋体" w:hAnsi="宋体" w:eastAsia="宋体" w:cs="Times New Roman"/>
          <w:color w:val="auto"/>
          <w:sz w:val="24"/>
          <w:szCs w:val="20"/>
          <w:lang w:val="zh-CN"/>
        </w:rPr>
        <w:t>权为采购人、采购代理机构</w:t>
      </w:r>
      <w:r>
        <w:rPr>
          <w:rFonts w:hint="eastAsia" w:ascii="宋体" w:hAnsi="宋体" w:eastAsia="宋体" w:cs="Times New Roman"/>
          <w:sz w:val="24"/>
          <w:szCs w:val="20"/>
          <w:lang w:val="zh-CN"/>
        </w:rPr>
        <w:t>所有。</w:t>
      </w:r>
      <w:r>
        <w:br w:type="page"/>
      </w:r>
    </w:p>
    <w:p>
      <w:pPr>
        <w:pStyle w:val="3"/>
        <w:numPr>
          <w:ilvl w:val="0"/>
          <w:numId w:val="1"/>
        </w:numPr>
        <w:jc w:val="center"/>
        <w:rPr>
          <w:rFonts w:ascii="黑体" w:hAnsi="黑体" w:eastAsia="黑体"/>
        </w:rPr>
      </w:pPr>
      <w:bookmarkStart w:id="41" w:name="_Toc13161"/>
      <w:r>
        <w:rPr>
          <w:rFonts w:hint="eastAsia" w:ascii="黑体" w:hAnsi="黑体" w:eastAsia="黑体"/>
        </w:rPr>
        <w:t>项目技术、服务及商务要求</w:t>
      </w:r>
      <w:bookmarkEnd w:id="41"/>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A包：</w:t>
      </w:r>
    </w:p>
    <w:p>
      <w:pPr>
        <w:pStyle w:val="43"/>
        <w:ind w:left="0" w:leftChars="0" w:firstLine="0" w:firstLineChars="0"/>
        <w:rPr>
          <w:rFonts w:hint="eastAsia" w:eastAsia="宋体"/>
          <w:b/>
          <w:bCs/>
          <w:sz w:val="28"/>
          <w:szCs w:val="28"/>
          <w:lang w:eastAsia="zh-CN"/>
        </w:rPr>
      </w:pPr>
      <w:r>
        <w:rPr>
          <w:rFonts w:hint="eastAsia"/>
          <w:b/>
          <w:bCs/>
          <w:sz w:val="28"/>
          <w:szCs w:val="28"/>
          <w:lang w:eastAsia="zh-CN"/>
        </w:rPr>
        <w:t>一、采购清单</w:t>
      </w:r>
    </w:p>
    <w:tbl>
      <w:tblPr>
        <w:tblStyle w:val="19"/>
        <w:tblW w:w="8866" w:type="dxa"/>
        <w:tblInd w:w="118" w:type="dxa"/>
        <w:tblLayout w:type="fixed"/>
        <w:tblCellMar>
          <w:top w:w="0" w:type="dxa"/>
          <w:left w:w="108" w:type="dxa"/>
          <w:bottom w:w="0" w:type="dxa"/>
          <w:right w:w="108" w:type="dxa"/>
        </w:tblCellMar>
      </w:tblPr>
      <w:tblGrid>
        <w:gridCol w:w="793"/>
        <w:gridCol w:w="4048"/>
        <w:gridCol w:w="960"/>
        <w:gridCol w:w="1143"/>
        <w:gridCol w:w="1922"/>
      </w:tblGrid>
      <w:tr>
        <w:tblPrEx>
          <w:tblCellMar>
            <w:top w:w="0" w:type="dxa"/>
            <w:left w:w="108" w:type="dxa"/>
            <w:bottom w:w="0" w:type="dxa"/>
            <w:right w:w="108" w:type="dxa"/>
          </w:tblCellMar>
        </w:tblPrEx>
        <w:trPr>
          <w:trHeight w:val="285" w:hRule="atLeast"/>
          <w:tblHeader/>
        </w:trPr>
        <w:tc>
          <w:tcPr>
            <w:tcW w:w="793" w:type="dxa"/>
            <w:tcBorders>
              <w:top w:val="single" w:color="auto" w:sz="8" w:space="0"/>
              <w:left w:val="single" w:color="auto" w:sz="8" w:space="0"/>
              <w:bottom w:val="single" w:color="000000" w:sz="8"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4048" w:type="dxa"/>
            <w:tcBorders>
              <w:top w:val="single" w:color="auto" w:sz="8" w:space="0"/>
              <w:left w:val="single" w:color="auto" w:sz="8" w:space="0"/>
              <w:bottom w:val="single" w:color="000000" w:sz="8" w:space="0"/>
              <w:right w:val="single" w:color="000000"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名称</w:t>
            </w:r>
          </w:p>
        </w:tc>
        <w:tc>
          <w:tcPr>
            <w:tcW w:w="960" w:type="dxa"/>
            <w:tcBorders>
              <w:top w:val="single" w:color="auto" w:sz="8" w:space="0"/>
              <w:left w:val="single" w:color="auto" w:sz="8" w:space="0"/>
              <w:bottom w:val="single" w:color="000000" w:sz="8"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c>
          <w:tcPr>
            <w:tcW w:w="1143" w:type="dxa"/>
            <w:tcBorders>
              <w:top w:val="single" w:color="auto" w:sz="8" w:space="0"/>
              <w:left w:val="single" w:color="auto" w:sz="8" w:space="0"/>
              <w:bottom w:val="single" w:color="000000" w:sz="8"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单位</w:t>
            </w:r>
          </w:p>
        </w:tc>
        <w:tc>
          <w:tcPr>
            <w:tcW w:w="1922" w:type="dxa"/>
            <w:tcBorders>
              <w:top w:val="single" w:color="auto" w:sz="8" w:space="0"/>
              <w:left w:val="nil"/>
              <w:bottom w:val="nil"/>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货物/服务</w:t>
            </w:r>
            <w:r>
              <w:rPr>
                <w:rFonts w:ascii="Calibri" w:hAnsi="Calibri" w:eastAsia="宋体" w:cs="Calibri"/>
                <w:color w:val="auto"/>
                <w:kern w:val="0"/>
                <w:szCs w:val="21"/>
              </w:rPr>
              <w:t> </w:t>
            </w:r>
          </w:p>
        </w:tc>
      </w:tr>
      <w:tr>
        <w:tblPrEx>
          <w:tblCellMar>
            <w:top w:w="0" w:type="dxa"/>
            <w:left w:w="108" w:type="dxa"/>
            <w:bottom w:w="0" w:type="dxa"/>
            <w:right w:w="108" w:type="dxa"/>
          </w:tblCellMar>
        </w:tblPrEx>
        <w:trPr>
          <w:trHeight w:val="330" w:hRule="atLeast"/>
        </w:trPr>
        <w:tc>
          <w:tcPr>
            <w:tcW w:w="793" w:type="dxa"/>
            <w:tcBorders>
              <w:top w:val="nil"/>
              <w:left w:val="single" w:color="auto" w:sz="8" w:space="0"/>
              <w:bottom w:val="single" w:color="auto" w:sz="8" w:space="0"/>
              <w:right w:val="single" w:color="auto" w:sz="8" w:space="0"/>
            </w:tcBorders>
            <w:noWrap w:val="0"/>
            <w:vAlign w:val="center"/>
          </w:tcPr>
          <w:p>
            <w:pPr>
              <w:widowControl/>
              <w:numPr>
                <w:ilvl w:val="0"/>
                <w:numId w:val="0"/>
              </w:numPr>
              <w:ind w:leftChars="0"/>
              <w:jc w:val="both"/>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1.</w:t>
            </w:r>
          </w:p>
        </w:tc>
        <w:tc>
          <w:tcPr>
            <w:tcW w:w="4048" w:type="dxa"/>
            <w:tcBorders>
              <w:top w:val="single" w:color="auto" w:sz="8" w:space="0"/>
              <w:left w:val="nil"/>
              <w:bottom w:val="single" w:color="auto" w:sz="8" w:space="0"/>
              <w:right w:val="single" w:color="000000" w:sz="8" w:space="0"/>
            </w:tcBorders>
            <w:noWrap w:val="0"/>
            <w:vAlign w:val="center"/>
          </w:tcPr>
          <w:p>
            <w:pPr>
              <w:widowControl/>
              <w:numPr>
                <w:ilvl w:val="0"/>
                <w:numId w:val="0"/>
              </w:numPr>
              <w:ind w:leftChars="0"/>
              <w:jc w:val="both"/>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血液透析机（单泵）设备</w:t>
            </w:r>
          </w:p>
        </w:tc>
        <w:tc>
          <w:tcPr>
            <w:tcW w:w="960" w:type="dxa"/>
            <w:tcBorders>
              <w:top w:val="nil"/>
              <w:left w:val="nil"/>
              <w:bottom w:val="single" w:color="auto" w:sz="8" w:space="0"/>
              <w:right w:val="single" w:color="auto" w:sz="8"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39</w:t>
            </w:r>
          </w:p>
        </w:tc>
        <w:tc>
          <w:tcPr>
            <w:tcW w:w="1143" w:type="dxa"/>
            <w:tcBorders>
              <w:top w:val="nil"/>
              <w:left w:val="nil"/>
              <w:bottom w:val="single" w:color="auto" w:sz="8" w:space="0"/>
              <w:right w:val="single" w:color="auto" w:sz="8" w:space="0"/>
            </w:tcBorders>
            <w:noWrap w:val="0"/>
            <w:vAlign w:val="center"/>
          </w:tcPr>
          <w:p>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1922" w:type="dxa"/>
            <w:tcBorders>
              <w:top w:val="nil"/>
              <w:left w:val="nil"/>
              <w:bottom w:val="single" w:color="auto" w:sz="8" w:space="0"/>
              <w:right w:val="single" w:color="auto" w:sz="8"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货物</w:t>
            </w:r>
          </w:p>
        </w:tc>
      </w:tr>
    </w:tbl>
    <w:p>
      <w:pPr>
        <w:spacing w:line="360" w:lineRule="auto"/>
        <w:jc w:val="both"/>
        <w:rPr>
          <w:rFonts w:hint="eastAsia" w:hAnsi="宋体" w:eastAsia="宋体"/>
          <w:b/>
          <w:bCs/>
          <w:sz w:val="32"/>
          <w:szCs w:val="32"/>
          <w:lang w:eastAsia="zh-CN"/>
        </w:rPr>
      </w:pPr>
      <w:r>
        <w:rPr>
          <w:rFonts w:hint="eastAsia" w:hAnsi="宋体"/>
          <w:b/>
          <w:bCs/>
          <w:sz w:val="32"/>
          <w:szCs w:val="32"/>
          <w:lang w:eastAsia="zh-CN"/>
        </w:rPr>
        <w:t>二、技术参数</w:t>
      </w:r>
    </w:p>
    <w:tbl>
      <w:tblPr>
        <w:tblStyle w:val="19"/>
        <w:tblW w:w="100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807"/>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9" w:type="dxa"/>
            <w:noWrap w:val="0"/>
            <w:vAlign w:val="center"/>
          </w:tcPr>
          <w:p>
            <w:pPr>
              <w:spacing w:line="360" w:lineRule="exact"/>
              <w:jc w:val="center"/>
              <w:rPr>
                <w:b/>
                <w:bCs/>
                <w:sz w:val="24"/>
              </w:rPr>
            </w:pPr>
            <w:r>
              <w:rPr>
                <w:rFonts w:hAnsi="宋体"/>
                <w:b/>
                <w:bCs/>
                <w:sz w:val="24"/>
              </w:rPr>
              <w:t>序号</w:t>
            </w:r>
          </w:p>
        </w:tc>
        <w:tc>
          <w:tcPr>
            <w:tcW w:w="2807" w:type="dxa"/>
            <w:noWrap w:val="0"/>
            <w:vAlign w:val="center"/>
          </w:tcPr>
          <w:p>
            <w:pPr>
              <w:spacing w:line="360" w:lineRule="exact"/>
              <w:jc w:val="center"/>
              <w:rPr>
                <w:b/>
                <w:bCs/>
                <w:sz w:val="24"/>
              </w:rPr>
            </w:pPr>
            <w:r>
              <w:rPr>
                <w:rFonts w:hAnsi="宋体"/>
                <w:b/>
                <w:bCs/>
                <w:sz w:val="24"/>
              </w:rPr>
              <w:t>技术和性能参数</w:t>
            </w:r>
          </w:p>
        </w:tc>
        <w:tc>
          <w:tcPr>
            <w:tcW w:w="6324" w:type="dxa"/>
            <w:noWrap w:val="0"/>
            <w:vAlign w:val="center"/>
          </w:tcPr>
          <w:p>
            <w:pPr>
              <w:spacing w:line="360" w:lineRule="exact"/>
              <w:jc w:val="center"/>
              <w:rPr>
                <w:b/>
                <w:bCs/>
                <w:sz w:val="24"/>
              </w:rPr>
            </w:pPr>
            <w:r>
              <w:rPr>
                <w:rFonts w:hAnsi="宋体"/>
                <w:b/>
                <w:bCs/>
                <w:sz w:val="24"/>
              </w:rPr>
              <w:t>技术和性能参数要求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9" w:type="dxa"/>
            <w:noWrap w:val="0"/>
            <w:vAlign w:val="center"/>
          </w:tcPr>
          <w:p>
            <w:pPr>
              <w:spacing w:line="360" w:lineRule="exact"/>
              <w:jc w:val="center"/>
              <w:rPr>
                <w:b/>
                <w:bCs/>
                <w:sz w:val="24"/>
              </w:rPr>
            </w:pPr>
            <w:r>
              <w:rPr>
                <w:rFonts w:hint="eastAsia" w:hAnsi="宋体"/>
                <w:b/>
                <w:bCs/>
                <w:color w:val="auto"/>
                <w:sz w:val="24"/>
                <w:lang w:eastAsia="zh-CN"/>
              </w:rPr>
              <w:t>★</w:t>
            </w:r>
            <w:r>
              <w:rPr>
                <w:rFonts w:hAnsi="宋体"/>
                <w:b/>
                <w:bCs/>
                <w:sz w:val="24"/>
              </w:rPr>
              <w:t>１</w:t>
            </w:r>
          </w:p>
        </w:tc>
        <w:tc>
          <w:tcPr>
            <w:tcW w:w="2807" w:type="dxa"/>
            <w:noWrap w:val="0"/>
            <w:vAlign w:val="center"/>
          </w:tcPr>
          <w:p>
            <w:pPr>
              <w:spacing w:line="360" w:lineRule="exact"/>
              <w:jc w:val="center"/>
              <w:rPr>
                <w:b/>
                <w:bCs/>
                <w:sz w:val="24"/>
              </w:rPr>
            </w:pPr>
            <w:r>
              <w:rPr>
                <w:rFonts w:hAnsi="宋体"/>
                <w:b/>
                <w:bCs/>
                <w:sz w:val="24"/>
              </w:rPr>
              <w:t>临床应用</w:t>
            </w:r>
          </w:p>
        </w:tc>
        <w:tc>
          <w:tcPr>
            <w:tcW w:w="6324" w:type="dxa"/>
            <w:noWrap w:val="0"/>
            <w:vAlign w:val="center"/>
          </w:tcPr>
          <w:p>
            <w:pPr>
              <w:spacing w:line="360" w:lineRule="exact"/>
              <w:jc w:val="left"/>
              <w:rPr>
                <w:rFonts w:hint="eastAsia"/>
                <w:sz w:val="24"/>
              </w:rPr>
            </w:pPr>
            <w:r>
              <w:rPr>
                <w:rFonts w:hAnsi="宋体"/>
                <w:sz w:val="24"/>
              </w:rPr>
              <w:t>可作碳酸氢盐、醋酸盐常规透析</w:t>
            </w:r>
            <w:r>
              <w:rPr>
                <w:rFonts w:hint="eastAsia" w:hAnsi="宋体"/>
                <w:sz w:val="24"/>
              </w:rPr>
              <w:t>，单针透析，原装进口机型(欧美品牌)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89" w:type="dxa"/>
            <w:noWrap w:val="0"/>
            <w:vAlign w:val="center"/>
          </w:tcPr>
          <w:p>
            <w:pPr>
              <w:spacing w:line="360" w:lineRule="exact"/>
              <w:ind w:firstLine="115" w:firstLineChars="48"/>
              <w:jc w:val="center"/>
              <w:rPr>
                <w:rFonts w:hint="eastAsia" w:hAnsi="宋体"/>
                <w:b/>
                <w:bCs/>
                <w:sz w:val="24"/>
              </w:rPr>
            </w:pPr>
            <w:r>
              <w:rPr>
                <w:rFonts w:hint="eastAsia" w:hAnsi="宋体"/>
                <w:b/>
                <w:bCs/>
                <w:color w:val="auto"/>
                <w:sz w:val="24"/>
                <w:lang w:eastAsia="zh-CN"/>
              </w:rPr>
              <w:t>★</w:t>
            </w:r>
            <w:r>
              <w:rPr>
                <w:rFonts w:hint="eastAsia" w:hAnsi="宋体"/>
                <w:b/>
                <w:bCs/>
                <w:sz w:val="24"/>
              </w:rPr>
              <w:t xml:space="preserve"> 2</w:t>
            </w:r>
          </w:p>
        </w:tc>
        <w:tc>
          <w:tcPr>
            <w:tcW w:w="2807" w:type="dxa"/>
            <w:noWrap w:val="0"/>
            <w:vAlign w:val="center"/>
          </w:tcPr>
          <w:p>
            <w:pPr>
              <w:spacing w:line="360" w:lineRule="exact"/>
              <w:jc w:val="center"/>
              <w:rPr>
                <w:rFonts w:hint="eastAsia" w:hAnsi="宋体"/>
                <w:b/>
                <w:bCs/>
                <w:sz w:val="24"/>
              </w:rPr>
            </w:pPr>
            <w:r>
              <w:rPr>
                <w:rFonts w:hint="eastAsia" w:hAnsi="宋体"/>
                <w:b/>
                <w:bCs/>
                <w:sz w:val="24"/>
              </w:rPr>
              <w:t>操作界面</w:t>
            </w:r>
          </w:p>
        </w:tc>
        <w:tc>
          <w:tcPr>
            <w:tcW w:w="6324" w:type="dxa"/>
            <w:noWrap w:val="0"/>
            <w:vAlign w:val="center"/>
          </w:tcPr>
          <w:p>
            <w:pPr>
              <w:spacing w:line="360" w:lineRule="exact"/>
              <w:jc w:val="left"/>
              <w:rPr>
                <w:rFonts w:hint="eastAsia" w:ascii="宋体" w:hAnsi="宋体"/>
                <w:sz w:val="24"/>
              </w:rPr>
            </w:pPr>
            <w:r>
              <w:rPr>
                <w:rFonts w:hint="eastAsia" w:ascii="宋体" w:hAnsi="宋体"/>
                <w:sz w:val="24"/>
              </w:rPr>
              <w:t>≥1</w:t>
            </w:r>
            <w:r>
              <w:rPr>
                <w:rFonts w:ascii="宋体" w:hAnsi="宋体"/>
                <w:sz w:val="24"/>
              </w:rPr>
              <w:t>2</w:t>
            </w:r>
            <w:r>
              <w:rPr>
                <w:rFonts w:hint="eastAsia" w:ascii="宋体" w:hAnsi="宋体"/>
                <w:sz w:val="24"/>
              </w:rPr>
              <w:t>英寸彩色中文液晶触摸屏，中文引导操作菜单,具有</w:t>
            </w:r>
            <w:r>
              <w:rPr>
                <w:rFonts w:ascii="宋体" w:hAnsi="宋体"/>
                <w:sz w:val="24"/>
              </w:rPr>
              <w:t>360</w:t>
            </w:r>
            <w:r>
              <w:rPr>
                <w:rFonts w:hint="eastAsia" w:ascii="宋体" w:hAnsi="宋体"/>
                <w:sz w:val="24"/>
              </w:rPr>
              <w:t>度分级声光报警系统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89" w:type="dxa"/>
            <w:noWrap w:val="0"/>
            <w:vAlign w:val="center"/>
          </w:tcPr>
          <w:p>
            <w:pPr>
              <w:spacing w:line="360" w:lineRule="exact"/>
              <w:ind w:firstLine="115" w:firstLineChars="48"/>
              <w:jc w:val="center"/>
              <w:rPr>
                <w:rFonts w:hint="eastAsia" w:hAnsi="宋体"/>
                <w:b/>
                <w:bCs/>
                <w:sz w:val="24"/>
              </w:rPr>
            </w:pPr>
            <w:r>
              <w:rPr>
                <w:rFonts w:hint="eastAsia" w:hAnsi="宋体"/>
                <w:b/>
                <w:bCs/>
                <w:sz w:val="24"/>
              </w:rPr>
              <w:t>2</w:t>
            </w:r>
            <w:r>
              <w:rPr>
                <w:rFonts w:hAnsi="宋体"/>
                <w:b/>
                <w:bCs/>
                <w:sz w:val="24"/>
              </w:rPr>
              <w:t>.1</w:t>
            </w:r>
          </w:p>
        </w:tc>
        <w:tc>
          <w:tcPr>
            <w:tcW w:w="2807" w:type="dxa"/>
            <w:noWrap w:val="0"/>
            <w:vAlign w:val="center"/>
          </w:tcPr>
          <w:p>
            <w:pPr>
              <w:spacing w:line="360" w:lineRule="exact"/>
              <w:jc w:val="center"/>
              <w:rPr>
                <w:rFonts w:hint="eastAsia" w:hAnsi="宋体"/>
                <w:b/>
                <w:bCs/>
                <w:sz w:val="24"/>
              </w:rPr>
            </w:pPr>
            <w:r>
              <w:rPr>
                <w:rFonts w:hint="eastAsia" w:hAnsi="宋体"/>
                <w:b/>
                <w:bCs/>
                <w:sz w:val="24"/>
              </w:rPr>
              <w:t>参数显示</w:t>
            </w:r>
          </w:p>
        </w:tc>
        <w:tc>
          <w:tcPr>
            <w:tcW w:w="6324" w:type="dxa"/>
            <w:noWrap w:val="0"/>
            <w:vAlign w:val="center"/>
          </w:tcPr>
          <w:p>
            <w:pPr>
              <w:spacing w:line="360" w:lineRule="exact"/>
              <w:jc w:val="left"/>
              <w:rPr>
                <w:rFonts w:hint="eastAsia" w:ascii="宋体" w:hAnsi="宋体"/>
                <w:sz w:val="24"/>
              </w:rPr>
            </w:pPr>
            <w:r>
              <w:rPr>
                <w:rFonts w:hint="eastAsia" w:ascii="宋体" w:hAnsi="宋体"/>
                <w:sz w:val="24"/>
              </w:rPr>
              <w:t>动脉压，静脉压，BPM， Diascan清除率，血流量，累积血容量，累积肝素，时间，超滤率，累积超滤量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9" w:type="dxa"/>
            <w:noWrap w:val="0"/>
            <w:vAlign w:val="center"/>
          </w:tcPr>
          <w:p>
            <w:pPr>
              <w:spacing w:line="360" w:lineRule="exact"/>
              <w:ind w:firstLine="115" w:firstLineChars="48"/>
              <w:jc w:val="center"/>
              <w:rPr>
                <w:rFonts w:hint="eastAsia" w:hAnsi="宋体"/>
                <w:b/>
                <w:bCs/>
                <w:sz w:val="24"/>
              </w:rPr>
            </w:pPr>
            <w:r>
              <w:rPr>
                <w:rFonts w:hint="eastAsia" w:hAnsi="宋体"/>
                <w:b/>
                <w:bCs/>
                <w:sz w:val="24"/>
              </w:rPr>
              <w:t>3</w:t>
            </w:r>
          </w:p>
        </w:tc>
        <w:tc>
          <w:tcPr>
            <w:tcW w:w="2807" w:type="dxa"/>
            <w:noWrap w:val="0"/>
            <w:vAlign w:val="center"/>
          </w:tcPr>
          <w:p>
            <w:pPr>
              <w:spacing w:line="360" w:lineRule="exact"/>
              <w:jc w:val="center"/>
              <w:rPr>
                <w:rFonts w:hint="eastAsia" w:hAnsi="宋体"/>
                <w:b/>
                <w:bCs/>
                <w:sz w:val="24"/>
              </w:rPr>
            </w:pPr>
            <w:r>
              <w:rPr>
                <w:rFonts w:hint="eastAsia" w:hAnsi="宋体"/>
                <w:b/>
                <w:bCs/>
                <w:sz w:val="24"/>
              </w:rPr>
              <w:t>供电要求</w:t>
            </w:r>
          </w:p>
        </w:tc>
        <w:tc>
          <w:tcPr>
            <w:tcW w:w="6324" w:type="dxa"/>
            <w:noWrap w:val="0"/>
            <w:vAlign w:val="center"/>
          </w:tcPr>
          <w:p>
            <w:pPr>
              <w:spacing w:line="360" w:lineRule="exact"/>
              <w:jc w:val="left"/>
              <w:rPr>
                <w:rFonts w:hint="eastAsia" w:ascii="宋体" w:hAnsi="宋体"/>
                <w:sz w:val="24"/>
              </w:rPr>
            </w:pPr>
            <w:r>
              <w:rPr>
                <w:rFonts w:hint="eastAsia" w:hAnsi="宋体"/>
                <w:sz w:val="24"/>
              </w:rPr>
              <w:t>230V，</w:t>
            </w:r>
            <w:r>
              <w:rPr>
                <w:rFonts w:hint="eastAsia" w:ascii="宋体" w:hAnsi="宋体"/>
                <w:sz w:val="24"/>
              </w:rPr>
              <w:t>50/60Hz，230V下最大功耗2025W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9" w:type="dxa"/>
            <w:noWrap w:val="0"/>
            <w:vAlign w:val="center"/>
          </w:tcPr>
          <w:p>
            <w:pPr>
              <w:spacing w:line="360" w:lineRule="exact"/>
              <w:ind w:firstLine="355" w:firstLineChars="148"/>
              <w:rPr>
                <w:rFonts w:hint="eastAsia" w:hAnsi="宋体"/>
                <w:b/>
                <w:bCs/>
                <w:sz w:val="24"/>
              </w:rPr>
            </w:pPr>
            <w:r>
              <w:rPr>
                <w:rFonts w:hint="eastAsia" w:hAnsi="宋体"/>
                <w:b/>
                <w:bCs/>
                <w:sz w:val="24"/>
              </w:rPr>
              <w:t>4</w:t>
            </w:r>
          </w:p>
        </w:tc>
        <w:tc>
          <w:tcPr>
            <w:tcW w:w="2807" w:type="dxa"/>
            <w:noWrap w:val="0"/>
            <w:vAlign w:val="center"/>
          </w:tcPr>
          <w:p>
            <w:pPr>
              <w:spacing w:line="360" w:lineRule="exact"/>
              <w:jc w:val="center"/>
              <w:rPr>
                <w:rFonts w:hint="eastAsia" w:hAnsi="宋体"/>
                <w:b/>
                <w:bCs/>
                <w:sz w:val="24"/>
              </w:rPr>
            </w:pPr>
            <w:r>
              <w:rPr>
                <w:rFonts w:hint="eastAsia" w:hAnsi="宋体"/>
                <w:b/>
                <w:bCs/>
                <w:sz w:val="24"/>
              </w:rPr>
              <w:t>供水</w:t>
            </w:r>
          </w:p>
        </w:tc>
        <w:tc>
          <w:tcPr>
            <w:tcW w:w="6324" w:type="dxa"/>
            <w:noWrap w:val="0"/>
            <w:vAlign w:val="center"/>
          </w:tcPr>
          <w:p>
            <w:pPr>
              <w:spacing w:line="360" w:lineRule="exact"/>
              <w:jc w:val="lef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9" w:type="dxa"/>
            <w:noWrap w:val="0"/>
            <w:vAlign w:val="center"/>
          </w:tcPr>
          <w:p>
            <w:pPr>
              <w:spacing w:line="360" w:lineRule="exact"/>
              <w:ind w:firstLine="115" w:firstLineChars="48"/>
              <w:rPr>
                <w:rFonts w:hint="eastAsia" w:hAnsi="宋体"/>
                <w:b/>
                <w:bCs/>
                <w:sz w:val="24"/>
              </w:rPr>
            </w:pPr>
            <w:r>
              <w:rPr>
                <w:rFonts w:hint="eastAsia" w:hAnsi="宋体"/>
                <w:b/>
                <w:bCs/>
                <w:sz w:val="24"/>
              </w:rPr>
              <w:t>4.1</w:t>
            </w:r>
          </w:p>
        </w:tc>
        <w:tc>
          <w:tcPr>
            <w:tcW w:w="2807" w:type="dxa"/>
            <w:noWrap w:val="0"/>
            <w:vAlign w:val="center"/>
          </w:tcPr>
          <w:p>
            <w:pPr>
              <w:spacing w:line="360" w:lineRule="exact"/>
              <w:jc w:val="center"/>
              <w:rPr>
                <w:rFonts w:hint="eastAsia" w:hAnsi="宋体"/>
                <w:b/>
                <w:bCs/>
                <w:sz w:val="24"/>
              </w:rPr>
            </w:pPr>
            <w:r>
              <w:rPr>
                <w:rFonts w:hint="eastAsia" w:hAnsi="宋体"/>
                <w:bCs/>
                <w:sz w:val="24"/>
              </w:rPr>
              <w:t>进水压</w:t>
            </w:r>
          </w:p>
        </w:tc>
        <w:tc>
          <w:tcPr>
            <w:tcW w:w="6324" w:type="dxa"/>
            <w:noWrap w:val="0"/>
            <w:vAlign w:val="center"/>
          </w:tcPr>
          <w:p>
            <w:pPr>
              <w:spacing w:line="360" w:lineRule="exact"/>
              <w:jc w:val="left"/>
              <w:rPr>
                <w:rFonts w:hint="eastAsia" w:hAnsi="宋体"/>
                <w:sz w:val="24"/>
              </w:rPr>
            </w:pPr>
            <w:r>
              <w:rPr>
                <w:rFonts w:hint="eastAsia" w:hAnsi="宋体"/>
                <w:sz w:val="24"/>
              </w:rPr>
              <w:t>1.2</w:t>
            </w:r>
            <w:r>
              <w:rPr>
                <w:rFonts w:hint="eastAsia" w:ascii="宋体" w:hAnsi="宋体"/>
                <w:sz w:val="24"/>
              </w:rPr>
              <w:t>～6.0bar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9" w:type="dxa"/>
            <w:noWrap w:val="0"/>
            <w:vAlign w:val="center"/>
          </w:tcPr>
          <w:p>
            <w:pPr>
              <w:spacing w:line="360" w:lineRule="exact"/>
              <w:ind w:firstLine="115" w:firstLineChars="48"/>
              <w:rPr>
                <w:rFonts w:hint="eastAsia" w:hAnsi="宋体"/>
                <w:bCs/>
                <w:sz w:val="24"/>
              </w:rPr>
            </w:pPr>
            <w:r>
              <w:rPr>
                <w:rFonts w:hint="eastAsia" w:hAnsi="宋体"/>
                <w:bCs/>
                <w:sz w:val="24"/>
              </w:rPr>
              <w:t>4.</w:t>
            </w:r>
            <w:r>
              <w:rPr>
                <w:rFonts w:hAnsi="宋体"/>
                <w:bCs/>
                <w:sz w:val="24"/>
              </w:rPr>
              <w:t>2</w:t>
            </w:r>
          </w:p>
        </w:tc>
        <w:tc>
          <w:tcPr>
            <w:tcW w:w="2807" w:type="dxa"/>
            <w:noWrap w:val="0"/>
            <w:vAlign w:val="center"/>
          </w:tcPr>
          <w:p>
            <w:pPr>
              <w:spacing w:line="360" w:lineRule="exact"/>
              <w:jc w:val="center"/>
              <w:rPr>
                <w:rFonts w:hint="eastAsia" w:hAnsi="宋体"/>
                <w:bCs/>
                <w:sz w:val="24"/>
              </w:rPr>
            </w:pPr>
            <w:r>
              <w:rPr>
                <w:rFonts w:hint="eastAsia" w:hAnsi="宋体"/>
                <w:bCs/>
                <w:sz w:val="24"/>
              </w:rPr>
              <w:t>进水温度</w:t>
            </w:r>
          </w:p>
        </w:tc>
        <w:tc>
          <w:tcPr>
            <w:tcW w:w="6324" w:type="dxa"/>
            <w:noWrap w:val="0"/>
            <w:vAlign w:val="center"/>
          </w:tcPr>
          <w:p>
            <w:pPr>
              <w:spacing w:line="360" w:lineRule="exact"/>
              <w:jc w:val="left"/>
              <w:rPr>
                <w:rFonts w:hint="eastAsia" w:hAnsi="宋体"/>
                <w:sz w:val="24"/>
              </w:rPr>
            </w:pPr>
            <w:r>
              <w:rPr>
                <w:rFonts w:hint="eastAsia" w:ascii="宋体" w:hAnsi="宋体"/>
                <w:sz w:val="24"/>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89" w:type="dxa"/>
            <w:noWrap w:val="0"/>
            <w:vAlign w:val="center"/>
          </w:tcPr>
          <w:p>
            <w:pPr>
              <w:spacing w:line="360" w:lineRule="exact"/>
              <w:ind w:firstLine="120" w:firstLineChars="50"/>
              <w:rPr>
                <w:rFonts w:hint="eastAsia"/>
                <w:b/>
                <w:bCs/>
                <w:sz w:val="24"/>
              </w:rPr>
            </w:pPr>
            <w:r>
              <w:rPr>
                <w:rFonts w:hint="eastAsia" w:hAnsi="宋体"/>
                <w:b/>
                <w:bCs/>
                <w:sz w:val="24"/>
              </w:rPr>
              <w:t>5</w:t>
            </w:r>
          </w:p>
        </w:tc>
        <w:tc>
          <w:tcPr>
            <w:tcW w:w="2807" w:type="dxa"/>
            <w:noWrap w:val="0"/>
            <w:vAlign w:val="center"/>
          </w:tcPr>
          <w:p>
            <w:pPr>
              <w:spacing w:line="360" w:lineRule="exact"/>
              <w:jc w:val="center"/>
              <w:rPr>
                <w:rFonts w:hint="eastAsia"/>
                <w:b/>
                <w:bCs/>
                <w:sz w:val="24"/>
              </w:rPr>
            </w:pPr>
            <w:r>
              <w:rPr>
                <w:rFonts w:hAnsi="宋体"/>
                <w:b/>
                <w:bCs/>
                <w:sz w:val="24"/>
              </w:rPr>
              <w:t>体外循环</w:t>
            </w:r>
            <w:r>
              <w:rPr>
                <w:rFonts w:hint="eastAsia" w:hAnsi="宋体"/>
                <w:b/>
                <w:bCs/>
                <w:sz w:val="24"/>
              </w:rPr>
              <w:t>通路</w:t>
            </w:r>
          </w:p>
        </w:tc>
        <w:tc>
          <w:tcPr>
            <w:tcW w:w="6324" w:type="dxa"/>
            <w:noWrap w:val="0"/>
            <w:vAlign w:val="center"/>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89" w:type="dxa"/>
            <w:noWrap w:val="0"/>
            <w:vAlign w:val="center"/>
          </w:tcPr>
          <w:p>
            <w:pPr>
              <w:spacing w:line="360" w:lineRule="exact"/>
              <w:ind w:firstLine="120" w:firstLineChars="50"/>
              <w:rPr>
                <w:rFonts w:hint="eastAsia"/>
                <w:sz w:val="24"/>
              </w:rPr>
            </w:pPr>
            <w:r>
              <w:rPr>
                <w:rFonts w:hint="eastAsia" w:hAnsi="宋体"/>
                <w:sz w:val="24"/>
              </w:rPr>
              <w:t>5.1</w:t>
            </w:r>
          </w:p>
        </w:tc>
        <w:tc>
          <w:tcPr>
            <w:tcW w:w="2807" w:type="dxa"/>
            <w:noWrap w:val="0"/>
            <w:vAlign w:val="center"/>
          </w:tcPr>
          <w:p>
            <w:pPr>
              <w:spacing w:line="360" w:lineRule="exact"/>
              <w:jc w:val="center"/>
              <w:rPr>
                <w:sz w:val="24"/>
              </w:rPr>
            </w:pPr>
            <w:r>
              <w:rPr>
                <w:rFonts w:hAnsi="宋体"/>
                <w:sz w:val="24"/>
              </w:rPr>
              <w:t>动脉压监测显示范围</w:t>
            </w:r>
          </w:p>
        </w:tc>
        <w:tc>
          <w:tcPr>
            <w:tcW w:w="6324" w:type="dxa"/>
            <w:noWrap w:val="0"/>
            <w:vAlign w:val="center"/>
          </w:tcPr>
          <w:p>
            <w:pPr>
              <w:spacing w:line="360" w:lineRule="exact"/>
              <w:jc w:val="left"/>
              <w:rPr>
                <w:rFonts w:hint="eastAsia"/>
                <w:sz w:val="24"/>
              </w:rPr>
            </w:pPr>
            <w:r>
              <w:rPr>
                <w:sz w:val="24"/>
              </w:rPr>
              <w:t>-</w:t>
            </w:r>
            <w:r>
              <w:rPr>
                <w:rFonts w:hint="eastAsia"/>
                <w:sz w:val="24"/>
              </w:rPr>
              <w:t>7</w:t>
            </w:r>
            <w:r>
              <w:rPr>
                <w:sz w:val="24"/>
              </w:rPr>
              <w:t>00 mmH</w:t>
            </w:r>
            <w:r>
              <w:rPr>
                <w:rFonts w:ascii="宋体" w:hAnsi="宋体"/>
                <w:sz w:val="24"/>
              </w:rPr>
              <w:t>g</w:t>
            </w:r>
            <w:r>
              <w:rPr>
                <w:rFonts w:hint="eastAsia" w:ascii="宋体" w:hAnsi="宋体"/>
                <w:sz w:val="24"/>
              </w:rPr>
              <w:t>～</w:t>
            </w:r>
            <w:r>
              <w:rPr>
                <w:rFonts w:hint="eastAsia"/>
                <w:sz w:val="24"/>
              </w:rPr>
              <w:t>+75</w:t>
            </w:r>
            <w:r>
              <w:rPr>
                <w:sz w:val="24"/>
              </w:rPr>
              <w:t>0mmHg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89" w:type="dxa"/>
            <w:noWrap w:val="0"/>
            <w:vAlign w:val="center"/>
          </w:tcPr>
          <w:p>
            <w:pPr>
              <w:spacing w:line="360" w:lineRule="exact"/>
              <w:ind w:firstLine="120" w:firstLineChars="50"/>
              <w:rPr>
                <w:rFonts w:hint="eastAsia"/>
                <w:sz w:val="24"/>
              </w:rPr>
            </w:pPr>
            <w:r>
              <w:rPr>
                <w:rFonts w:hint="eastAsia" w:hAnsi="宋体"/>
                <w:sz w:val="24"/>
              </w:rPr>
              <w:t>5.2</w:t>
            </w:r>
          </w:p>
        </w:tc>
        <w:tc>
          <w:tcPr>
            <w:tcW w:w="2807" w:type="dxa"/>
            <w:noWrap w:val="0"/>
            <w:vAlign w:val="center"/>
          </w:tcPr>
          <w:p>
            <w:pPr>
              <w:spacing w:line="360" w:lineRule="exact"/>
              <w:jc w:val="center"/>
              <w:rPr>
                <w:sz w:val="24"/>
              </w:rPr>
            </w:pPr>
            <w:r>
              <w:rPr>
                <w:rFonts w:hAnsi="宋体"/>
                <w:sz w:val="24"/>
              </w:rPr>
              <w:t>动脉压监测精度</w:t>
            </w:r>
          </w:p>
        </w:tc>
        <w:tc>
          <w:tcPr>
            <w:tcW w:w="6324" w:type="dxa"/>
            <w:noWrap w:val="0"/>
            <w:vAlign w:val="center"/>
          </w:tcPr>
          <w:p>
            <w:pPr>
              <w:spacing w:line="360" w:lineRule="exact"/>
              <w:jc w:val="left"/>
              <w:rPr>
                <w:sz w:val="24"/>
              </w:rPr>
            </w:pPr>
            <w:r>
              <w:rPr>
                <w:sz w:val="24"/>
                <w:vertAlign w:val="subscript"/>
              </w:rPr>
              <w:softHyphen/>
            </w:r>
            <w:r>
              <w:rPr>
                <w:sz w:val="24"/>
              </w:rPr>
              <w:softHyphen/>
            </w:r>
            <w:r>
              <w:rPr>
                <w:sz w:val="24"/>
              </w:rPr>
              <w:softHyphen/>
            </w:r>
            <w:r>
              <w:rPr>
                <w:sz w:val="24"/>
                <w:vertAlign w:val="subscript"/>
              </w:rPr>
              <w:softHyphen/>
            </w:r>
            <w:r>
              <w:rPr>
                <w:sz w:val="24"/>
                <w:vertAlign w:val="subscript"/>
              </w:rPr>
              <w:softHyphen/>
            </w:r>
            <w:r>
              <w:rPr>
                <w:sz w:val="24"/>
              </w:rPr>
              <w:softHyphen/>
            </w:r>
            <w:r>
              <w:rPr>
                <w:sz w:val="24"/>
                <w:vertAlign w:val="subscript"/>
              </w:rPr>
              <w:softHyphen/>
            </w:r>
            <w:r>
              <w:rPr>
                <w:sz w:val="24"/>
                <w:vertAlign w:val="subscript"/>
              </w:rPr>
              <w:softHyphen/>
            </w:r>
            <w:r>
              <w:rPr>
                <w:sz w:val="24"/>
              </w:rPr>
              <w:t>≤</w:t>
            </w:r>
            <w:r>
              <w:rPr>
                <w:rFonts w:hint="eastAsia"/>
                <w:sz w:val="24"/>
              </w:rPr>
              <w:t xml:space="preserve"> ±5mmHg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89" w:type="dxa"/>
            <w:noWrap w:val="0"/>
            <w:vAlign w:val="center"/>
          </w:tcPr>
          <w:p>
            <w:pPr>
              <w:spacing w:line="360" w:lineRule="exact"/>
              <w:ind w:firstLine="120" w:firstLineChars="50"/>
              <w:rPr>
                <w:rFonts w:hint="eastAsia"/>
                <w:sz w:val="24"/>
              </w:rPr>
            </w:pPr>
            <w:r>
              <w:rPr>
                <w:rFonts w:hint="eastAsia"/>
                <w:sz w:val="24"/>
              </w:rPr>
              <w:t>5.3</w:t>
            </w:r>
          </w:p>
        </w:tc>
        <w:tc>
          <w:tcPr>
            <w:tcW w:w="2807" w:type="dxa"/>
            <w:noWrap w:val="0"/>
            <w:vAlign w:val="center"/>
          </w:tcPr>
          <w:p>
            <w:pPr>
              <w:spacing w:line="360" w:lineRule="exact"/>
              <w:jc w:val="center"/>
              <w:rPr>
                <w:sz w:val="24"/>
              </w:rPr>
            </w:pPr>
            <w:r>
              <w:rPr>
                <w:rFonts w:hAnsi="宋体"/>
                <w:sz w:val="24"/>
              </w:rPr>
              <w:t>静脉压监测显示范围</w:t>
            </w:r>
          </w:p>
        </w:tc>
        <w:tc>
          <w:tcPr>
            <w:tcW w:w="6324" w:type="dxa"/>
            <w:noWrap w:val="0"/>
            <w:vAlign w:val="center"/>
          </w:tcPr>
          <w:p>
            <w:pPr>
              <w:spacing w:line="360" w:lineRule="exact"/>
              <w:jc w:val="left"/>
              <w:rPr>
                <w:rFonts w:hint="eastAsia"/>
                <w:sz w:val="24"/>
              </w:rPr>
            </w:pPr>
            <w:r>
              <w:rPr>
                <w:sz w:val="24"/>
                <w:vertAlign w:val="subscript"/>
              </w:rPr>
              <w:softHyphen/>
            </w:r>
            <w:r>
              <w:rPr>
                <w:sz w:val="24"/>
                <w:vertAlign w:val="subscript"/>
              </w:rPr>
              <w:softHyphen/>
            </w:r>
            <w:r>
              <w:rPr>
                <w:sz w:val="24"/>
              </w:rPr>
              <w:softHyphen/>
            </w:r>
            <w:r>
              <w:rPr>
                <w:sz w:val="24"/>
              </w:rPr>
              <w:softHyphen/>
            </w:r>
            <w:r>
              <w:rPr>
                <w:sz w:val="24"/>
              </w:rPr>
              <w:t xml:space="preserve"> -</w:t>
            </w:r>
            <w:r>
              <w:rPr>
                <w:rFonts w:hint="eastAsia"/>
                <w:sz w:val="24"/>
              </w:rPr>
              <w:t>70</w:t>
            </w:r>
            <w:r>
              <w:rPr>
                <w:sz w:val="24"/>
              </w:rPr>
              <w:t>0 mmH</w:t>
            </w:r>
            <w:r>
              <w:rPr>
                <w:rFonts w:ascii="宋体" w:hAnsi="宋体"/>
                <w:sz w:val="24"/>
              </w:rPr>
              <w:t>g</w:t>
            </w:r>
            <w:r>
              <w:rPr>
                <w:rFonts w:hint="eastAsia" w:ascii="宋体" w:hAnsi="宋体"/>
                <w:sz w:val="24"/>
              </w:rPr>
              <w:t>～+75</w:t>
            </w:r>
            <w:r>
              <w:rPr>
                <w:sz w:val="24"/>
              </w:rPr>
              <w:t>0mmHg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89" w:type="dxa"/>
            <w:noWrap w:val="0"/>
            <w:vAlign w:val="center"/>
          </w:tcPr>
          <w:p>
            <w:pPr>
              <w:spacing w:line="360" w:lineRule="exact"/>
              <w:ind w:firstLine="120" w:firstLineChars="50"/>
              <w:rPr>
                <w:rFonts w:hint="eastAsia"/>
                <w:sz w:val="24"/>
              </w:rPr>
            </w:pPr>
            <w:r>
              <w:rPr>
                <w:rFonts w:hint="eastAsia" w:hAnsi="宋体"/>
                <w:sz w:val="24"/>
              </w:rPr>
              <w:t>5.4</w:t>
            </w:r>
          </w:p>
        </w:tc>
        <w:tc>
          <w:tcPr>
            <w:tcW w:w="2807" w:type="dxa"/>
            <w:noWrap w:val="0"/>
            <w:vAlign w:val="center"/>
          </w:tcPr>
          <w:p>
            <w:pPr>
              <w:spacing w:line="360" w:lineRule="exact"/>
              <w:jc w:val="center"/>
              <w:rPr>
                <w:sz w:val="24"/>
              </w:rPr>
            </w:pPr>
            <w:r>
              <w:rPr>
                <w:rFonts w:hAnsi="宋体"/>
                <w:sz w:val="24"/>
              </w:rPr>
              <w:t>静脉压监测精度</w:t>
            </w:r>
          </w:p>
        </w:tc>
        <w:tc>
          <w:tcPr>
            <w:tcW w:w="6324" w:type="dxa"/>
            <w:noWrap w:val="0"/>
            <w:vAlign w:val="center"/>
          </w:tcPr>
          <w:p>
            <w:pPr>
              <w:spacing w:line="360" w:lineRule="exact"/>
              <w:jc w:val="left"/>
              <w:rPr>
                <w:sz w:val="24"/>
              </w:rPr>
            </w:pPr>
            <w:r>
              <w:rPr>
                <w:sz w:val="24"/>
                <w:vertAlign w:val="subscript"/>
              </w:rPr>
              <w:softHyphen/>
            </w:r>
            <w:r>
              <w:rPr>
                <w:sz w:val="24"/>
              </w:rPr>
              <w:softHyphen/>
            </w:r>
            <w:r>
              <w:rPr>
                <w:sz w:val="24"/>
              </w:rPr>
              <w:softHyphen/>
            </w:r>
            <w:r>
              <w:rPr>
                <w:sz w:val="24"/>
                <w:vertAlign w:val="subscript"/>
              </w:rPr>
              <w:softHyphen/>
            </w:r>
            <w:r>
              <w:rPr>
                <w:sz w:val="24"/>
                <w:vertAlign w:val="subscript"/>
              </w:rPr>
              <w:softHyphen/>
            </w:r>
            <w:r>
              <w:rPr>
                <w:sz w:val="24"/>
              </w:rPr>
              <w:softHyphen/>
            </w:r>
            <w:r>
              <w:rPr>
                <w:sz w:val="24"/>
                <w:vertAlign w:val="subscript"/>
              </w:rPr>
              <w:softHyphen/>
            </w:r>
            <w:r>
              <w:rPr>
                <w:sz w:val="24"/>
                <w:vertAlign w:val="subscript"/>
              </w:rPr>
              <w:softHyphen/>
            </w:r>
            <w:r>
              <w:rPr>
                <w:sz w:val="24"/>
              </w:rPr>
              <w:t>≤</w:t>
            </w:r>
            <w:r>
              <w:rPr>
                <w:rFonts w:hint="eastAsia"/>
                <w:sz w:val="24"/>
              </w:rPr>
              <w:t xml:space="preserve"> ±5mmHg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89" w:type="dxa"/>
            <w:noWrap w:val="0"/>
            <w:vAlign w:val="center"/>
          </w:tcPr>
          <w:p>
            <w:pPr>
              <w:spacing w:line="360" w:lineRule="exact"/>
              <w:ind w:firstLine="120" w:firstLineChars="50"/>
              <w:rPr>
                <w:rFonts w:hint="eastAsia" w:hAnsi="宋体"/>
                <w:sz w:val="24"/>
              </w:rPr>
            </w:pPr>
            <w:r>
              <w:rPr>
                <w:rFonts w:hint="eastAsia" w:hAnsi="宋体"/>
                <w:sz w:val="24"/>
              </w:rPr>
              <w:t>5</w:t>
            </w:r>
            <w:r>
              <w:rPr>
                <w:rFonts w:hAnsi="宋体"/>
                <w:sz w:val="24"/>
              </w:rPr>
              <w:t>.5</w:t>
            </w:r>
          </w:p>
        </w:tc>
        <w:tc>
          <w:tcPr>
            <w:tcW w:w="2807" w:type="dxa"/>
            <w:noWrap w:val="0"/>
            <w:vAlign w:val="center"/>
          </w:tcPr>
          <w:p>
            <w:pPr>
              <w:spacing w:line="360" w:lineRule="exact"/>
              <w:rPr>
                <w:rFonts w:hint="eastAsia" w:hAnsi="宋体"/>
                <w:sz w:val="24"/>
              </w:rPr>
            </w:pPr>
            <w:r>
              <w:rPr>
                <w:rFonts w:hint="eastAsia" w:hAnsi="宋体"/>
                <w:sz w:val="24"/>
              </w:rPr>
              <w:t>跨膜压检测显示范围</w:t>
            </w:r>
          </w:p>
        </w:tc>
        <w:tc>
          <w:tcPr>
            <w:tcW w:w="6324" w:type="dxa"/>
            <w:noWrap w:val="0"/>
            <w:vAlign w:val="top"/>
          </w:tcPr>
          <w:p>
            <w:pPr>
              <w:spacing w:line="500" w:lineRule="exact"/>
              <w:jc w:val="left"/>
              <w:rPr>
                <w:rFonts w:ascii="微软雅黑" w:hAnsi="微软雅黑" w:eastAsia="微软雅黑"/>
                <w:szCs w:val="21"/>
              </w:rPr>
            </w:pPr>
            <w:r>
              <w:rPr>
                <w:rFonts w:hint="eastAsia" w:ascii="微软雅黑" w:hAnsi="微软雅黑" w:eastAsia="微软雅黑"/>
                <w:szCs w:val="21"/>
              </w:rPr>
              <w:t>﹣100～﹢500mmHg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89" w:type="dxa"/>
            <w:noWrap w:val="0"/>
            <w:vAlign w:val="center"/>
          </w:tcPr>
          <w:p>
            <w:pPr>
              <w:spacing w:line="360" w:lineRule="exact"/>
              <w:ind w:firstLine="120" w:firstLineChars="50"/>
              <w:rPr>
                <w:rFonts w:hint="eastAsia" w:hAnsi="宋体"/>
                <w:sz w:val="24"/>
              </w:rPr>
            </w:pPr>
            <w:r>
              <w:rPr>
                <w:rFonts w:hint="eastAsia" w:hAnsi="宋体"/>
                <w:sz w:val="24"/>
              </w:rPr>
              <w:t>5</w:t>
            </w:r>
            <w:r>
              <w:rPr>
                <w:rFonts w:hAnsi="宋体"/>
                <w:sz w:val="24"/>
              </w:rPr>
              <w:t>.6</w:t>
            </w:r>
          </w:p>
        </w:tc>
        <w:tc>
          <w:tcPr>
            <w:tcW w:w="2807" w:type="dxa"/>
            <w:noWrap w:val="0"/>
            <w:vAlign w:val="center"/>
          </w:tcPr>
          <w:p>
            <w:pPr>
              <w:spacing w:line="360" w:lineRule="exact"/>
              <w:jc w:val="center"/>
              <w:rPr>
                <w:rFonts w:hAnsi="宋体"/>
                <w:sz w:val="24"/>
              </w:rPr>
            </w:pPr>
            <w:r>
              <w:rPr>
                <w:rFonts w:hint="eastAsia" w:hAnsi="宋体"/>
                <w:sz w:val="24"/>
              </w:rPr>
              <w:t>跨膜压检测精度</w:t>
            </w:r>
          </w:p>
        </w:tc>
        <w:tc>
          <w:tcPr>
            <w:tcW w:w="6324" w:type="dxa"/>
            <w:noWrap w:val="0"/>
            <w:vAlign w:val="top"/>
          </w:tcPr>
          <w:p>
            <w:pPr>
              <w:spacing w:line="500" w:lineRule="exact"/>
              <w:jc w:val="left"/>
              <w:rPr>
                <w:rFonts w:ascii="微软雅黑" w:hAnsi="微软雅黑" w:eastAsia="微软雅黑"/>
                <w:szCs w:val="21"/>
              </w:rPr>
            </w:pPr>
            <w:r>
              <w:rPr>
                <w:rFonts w:hint="eastAsia" w:ascii="微软雅黑" w:hAnsi="微软雅黑" w:eastAsia="微软雅黑"/>
                <w:szCs w:val="21"/>
              </w:rPr>
              <w:t xml:space="preserve">±10mmHg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9" w:type="dxa"/>
            <w:noWrap w:val="0"/>
            <w:vAlign w:val="center"/>
          </w:tcPr>
          <w:p>
            <w:pPr>
              <w:spacing w:line="360" w:lineRule="exact"/>
              <w:ind w:firstLine="120" w:firstLineChars="50"/>
              <w:rPr>
                <w:rFonts w:hint="eastAsia"/>
                <w:sz w:val="24"/>
              </w:rPr>
            </w:pPr>
            <w:r>
              <w:rPr>
                <w:rFonts w:hint="eastAsia" w:hAnsi="宋体"/>
                <w:sz w:val="24"/>
              </w:rPr>
              <w:t>5.</w:t>
            </w:r>
            <w:r>
              <w:rPr>
                <w:rFonts w:hAnsi="宋体"/>
                <w:sz w:val="24"/>
              </w:rPr>
              <w:t>7</w:t>
            </w:r>
          </w:p>
        </w:tc>
        <w:tc>
          <w:tcPr>
            <w:tcW w:w="2807" w:type="dxa"/>
            <w:noWrap w:val="0"/>
            <w:vAlign w:val="center"/>
          </w:tcPr>
          <w:p>
            <w:pPr>
              <w:spacing w:line="360" w:lineRule="exact"/>
              <w:jc w:val="center"/>
              <w:rPr>
                <w:rFonts w:hint="eastAsia"/>
                <w:sz w:val="24"/>
              </w:rPr>
            </w:pPr>
            <w:r>
              <w:rPr>
                <w:rFonts w:hint="eastAsia" w:hAnsi="宋体"/>
                <w:sz w:val="24"/>
              </w:rPr>
              <w:t>血</w:t>
            </w:r>
            <w:r>
              <w:rPr>
                <w:rFonts w:hAnsi="宋体"/>
                <w:sz w:val="24"/>
              </w:rPr>
              <w:t>流量</w:t>
            </w:r>
            <w:r>
              <w:rPr>
                <w:rFonts w:hint="eastAsia" w:hAnsi="宋体"/>
                <w:sz w:val="24"/>
              </w:rPr>
              <w:t>范围</w:t>
            </w:r>
          </w:p>
        </w:tc>
        <w:tc>
          <w:tcPr>
            <w:tcW w:w="6324" w:type="dxa"/>
            <w:noWrap w:val="0"/>
            <w:vAlign w:val="center"/>
          </w:tcPr>
          <w:p>
            <w:pPr>
              <w:spacing w:line="360" w:lineRule="exact"/>
              <w:jc w:val="left"/>
              <w:rPr>
                <w:sz w:val="24"/>
              </w:rPr>
            </w:pPr>
            <w:r>
              <w:rPr>
                <w:rFonts w:hint="eastAsia"/>
                <w:sz w:val="24"/>
              </w:rPr>
              <w:t>0或20</w:t>
            </w:r>
            <w:r>
              <w:rPr>
                <w:rFonts w:hint="eastAsia" w:hAnsi="宋体"/>
                <w:sz w:val="24"/>
              </w:rPr>
              <w:t>～5</w:t>
            </w:r>
            <w:r>
              <w:rPr>
                <w:sz w:val="24"/>
              </w:rPr>
              <w:t>00ml/min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89" w:type="dxa"/>
            <w:noWrap w:val="0"/>
            <w:vAlign w:val="center"/>
          </w:tcPr>
          <w:p>
            <w:pPr>
              <w:spacing w:line="360" w:lineRule="exact"/>
              <w:ind w:firstLine="120" w:firstLineChars="50"/>
              <w:rPr>
                <w:rFonts w:hint="eastAsia" w:hAnsi="宋体"/>
                <w:sz w:val="24"/>
              </w:rPr>
            </w:pPr>
            <w:r>
              <w:rPr>
                <w:rFonts w:hint="eastAsia" w:hAnsi="宋体"/>
                <w:sz w:val="24"/>
              </w:rPr>
              <w:t>5.</w:t>
            </w:r>
            <w:r>
              <w:rPr>
                <w:rFonts w:hAnsi="宋体"/>
                <w:sz w:val="24"/>
              </w:rPr>
              <w:t>8</w:t>
            </w:r>
          </w:p>
        </w:tc>
        <w:tc>
          <w:tcPr>
            <w:tcW w:w="2807" w:type="dxa"/>
            <w:noWrap w:val="0"/>
            <w:vAlign w:val="center"/>
          </w:tcPr>
          <w:p>
            <w:pPr>
              <w:spacing w:line="360" w:lineRule="exact"/>
              <w:jc w:val="center"/>
              <w:rPr>
                <w:rFonts w:hint="eastAsia" w:hAnsi="宋体"/>
                <w:sz w:val="24"/>
              </w:rPr>
            </w:pPr>
            <w:r>
              <w:rPr>
                <w:rFonts w:hAnsi="宋体"/>
                <w:sz w:val="24"/>
              </w:rPr>
              <w:t>动脉血泵</w:t>
            </w:r>
            <w:r>
              <w:rPr>
                <w:rFonts w:hint="eastAsia" w:hAnsi="宋体"/>
                <w:sz w:val="24"/>
              </w:rPr>
              <w:t>泵管</w:t>
            </w:r>
          </w:p>
        </w:tc>
        <w:tc>
          <w:tcPr>
            <w:tcW w:w="6324" w:type="dxa"/>
            <w:noWrap w:val="0"/>
            <w:vAlign w:val="center"/>
          </w:tcPr>
          <w:p>
            <w:pPr>
              <w:spacing w:line="360" w:lineRule="exact"/>
              <w:jc w:val="left"/>
              <w:rPr>
                <w:rFonts w:hint="eastAsia"/>
                <w:sz w:val="24"/>
              </w:rPr>
            </w:pPr>
            <w:r>
              <w:rPr>
                <w:rFonts w:hint="eastAsia" w:ascii="宋体" w:hAnsi="宋体"/>
                <w:sz w:val="24"/>
              </w:rPr>
              <w:t>可适用于成人或儿童，并可自动引导泵管安装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9" w:type="dxa"/>
            <w:noWrap w:val="0"/>
            <w:vAlign w:val="center"/>
          </w:tcPr>
          <w:p>
            <w:pPr>
              <w:spacing w:line="360" w:lineRule="exact"/>
              <w:ind w:firstLine="120" w:firstLineChars="50"/>
              <w:rPr>
                <w:rFonts w:hint="eastAsia" w:hAnsi="宋体"/>
                <w:sz w:val="24"/>
              </w:rPr>
            </w:pPr>
            <w:r>
              <w:rPr>
                <w:rFonts w:hint="eastAsia" w:hAnsi="宋体"/>
                <w:sz w:val="24"/>
              </w:rPr>
              <w:t>5.</w:t>
            </w:r>
            <w:r>
              <w:rPr>
                <w:rFonts w:hAnsi="宋体"/>
                <w:sz w:val="24"/>
              </w:rPr>
              <w:t>9</w:t>
            </w:r>
          </w:p>
        </w:tc>
        <w:tc>
          <w:tcPr>
            <w:tcW w:w="2807" w:type="dxa"/>
            <w:noWrap w:val="0"/>
            <w:vAlign w:val="center"/>
          </w:tcPr>
          <w:p>
            <w:pPr>
              <w:spacing w:line="360" w:lineRule="exact"/>
              <w:jc w:val="center"/>
              <w:rPr>
                <w:rFonts w:hint="eastAsia" w:hAnsi="宋体"/>
                <w:sz w:val="24"/>
              </w:rPr>
            </w:pPr>
            <w:r>
              <w:rPr>
                <w:rFonts w:hint="eastAsia" w:hAnsi="宋体"/>
                <w:sz w:val="24"/>
              </w:rPr>
              <w:t>空气监测器</w:t>
            </w:r>
          </w:p>
        </w:tc>
        <w:tc>
          <w:tcPr>
            <w:tcW w:w="6324" w:type="dxa"/>
            <w:noWrap w:val="0"/>
            <w:vAlign w:val="center"/>
          </w:tcPr>
          <w:p>
            <w:pPr>
              <w:ind w:left="480" w:hanging="480" w:hangingChars="200"/>
              <w:jc w:val="left"/>
              <w:rPr>
                <w:rFonts w:hint="eastAsia" w:ascii="宋体" w:hAnsi="宋体"/>
                <w:sz w:val="24"/>
                <w:szCs w:val="28"/>
              </w:rPr>
            </w:pPr>
            <w:r>
              <w:rPr>
                <w:rFonts w:hint="eastAsia" w:ascii="宋体" w:hAnsi="宋体"/>
                <w:sz w:val="24"/>
                <w:szCs w:val="28"/>
              </w:rPr>
              <w:t>具有双通道结构的超声波探测，探测室直径：22mm</w:t>
            </w:r>
          </w:p>
          <w:p>
            <w:pPr>
              <w:ind w:left="480" w:hanging="480" w:hangingChars="200"/>
              <w:jc w:val="left"/>
              <w:rPr>
                <w:rFonts w:hint="eastAsia"/>
                <w:sz w:val="24"/>
              </w:rPr>
            </w:pPr>
            <w:r>
              <w:rPr>
                <w:rFonts w:hint="eastAsia" w:ascii="宋体" w:hAnsi="宋体"/>
                <w:sz w:val="24"/>
                <w:szCs w:val="28"/>
              </w:rPr>
              <w:t>灵敏度：1</w:t>
            </w:r>
            <w:r>
              <w:rPr>
                <w:rFonts w:hint="eastAsia" w:ascii="宋体" w:hAnsi="宋体"/>
                <w:sz w:val="24"/>
                <w:szCs w:val="28"/>
              </w:rPr>
              <w:sym w:font="SymbolPS" w:char="F06D"/>
            </w:r>
            <w:r>
              <w:rPr>
                <w:rFonts w:hint="eastAsia" w:ascii="宋体" w:hAnsi="宋体"/>
                <w:sz w:val="24"/>
                <w:szCs w:val="28"/>
              </w:rPr>
              <w:t>L气泡直径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9" w:type="dxa"/>
            <w:noWrap w:val="0"/>
            <w:vAlign w:val="center"/>
          </w:tcPr>
          <w:p>
            <w:pPr>
              <w:spacing w:line="360" w:lineRule="exact"/>
              <w:ind w:firstLine="120" w:firstLineChars="50"/>
              <w:rPr>
                <w:rFonts w:hint="eastAsia" w:hAnsi="宋体"/>
                <w:sz w:val="24"/>
              </w:rPr>
            </w:pPr>
            <w:r>
              <w:rPr>
                <w:rFonts w:hint="eastAsia" w:hAnsi="宋体"/>
                <w:sz w:val="24"/>
              </w:rPr>
              <w:t>5.</w:t>
            </w:r>
            <w:r>
              <w:rPr>
                <w:rFonts w:hAnsi="宋体"/>
                <w:sz w:val="24"/>
              </w:rPr>
              <w:t>10</w:t>
            </w:r>
          </w:p>
        </w:tc>
        <w:tc>
          <w:tcPr>
            <w:tcW w:w="2807" w:type="dxa"/>
            <w:noWrap w:val="0"/>
            <w:vAlign w:val="center"/>
          </w:tcPr>
          <w:p>
            <w:pPr>
              <w:spacing w:line="360" w:lineRule="exact"/>
              <w:jc w:val="center"/>
              <w:rPr>
                <w:rFonts w:hint="eastAsia" w:hAnsi="宋体"/>
                <w:sz w:val="24"/>
              </w:rPr>
            </w:pPr>
            <w:r>
              <w:rPr>
                <w:rFonts w:hint="eastAsia" w:hAnsi="宋体"/>
                <w:sz w:val="24"/>
              </w:rPr>
              <w:t>肝素泵递送范围</w:t>
            </w:r>
          </w:p>
        </w:tc>
        <w:tc>
          <w:tcPr>
            <w:tcW w:w="6324" w:type="dxa"/>
            <w:noWrap w:val="0"/>
            <w:vAlign w:val="center"/>
          </w:tcPr>
          <w:p>
            <w:pPr>
              <w:spacing w:line="360" w:lineRule="exact"/>
              <w:jc w:val="left"/>
              <w:rPr>
                <w:rFonts w:hint="eastAsia"/>
                <w:sz w:val="24"/>
              </w:rPr>
            </w:pPr>
            <w:r>
              <w:rPr>
                <w:rFonts w:hint="eastAsia" w:ascii="宋体" w:hAnsi="宋体"/>
                <w:sz w:val="24"/>
              </w:rPr>
              <w:t>0～10ml/h，调节梯度为0.1ml，可设定肝素泵提前停止时间，可显示累积输入肝素量 可设定肝素一次性追加量，单剂追加注射功能：0～10ml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9" w:type="dxa"/>
            <w:noWrap w:val="0"/>
            <w:vAlign w:val="center"/>
          </w:tcPr>
          <w:p>
            <w:pPr>
              <w:spacing w:line="360" w:lineRule="exact"/>
              <w:ind w:firstLine="120" w:firstLineChars="50"/>
              <w:rPr>
                <w:rFonts w:hint="eastAsia" w:hAnsi="宋体"/>
                <w:sz w:val="24"/>
              </w:rPr>
            </w:pPr>
            <w:r>
              <w:rPr>
                <w:rFonts w:hint="eastAsia" w:hAnsi="宋体"/>
                <w:sz w:val="24"/>
              </w:rPr>
              <w:t>5.</w:t>
            </w:r>
            <w:r>
              <w:rPr>
                <w:rFonts w:hAnsi="宋体"/>
                <w:sz w:val="24"/>
              </w:rPr>
              <w:t>11</w:t>
            </w:r>
          </w:p>
        </w:tc>
        <w:tc>
          <w:tcPr>
            <w:tcW w:w="2807" w:type="dxa"/>
            <w:noWrap w:val="0"/>
            <w:vAlign w:val="center"/>
          </w:tcPr>
          <w:p>
            <w:pPr>
              <w:spacing w:line="360" w:lineRule="exact"/>
              <w:jc w:val="center"/>
              <w:rPr>
                <w:rFonts w:hint="eastAsia" w:hAnsi="宋体"/>
                <w:sz w:val="24"/>
              </w:rPr>
            </w:pPr>
            <w:r>
              <w:rPr>
                <w:rFonts w:hint="eastAsia" w:hAnsi="宋体"/>
                <w:sz w:val="24"/>
              </w:rPr>
              <w:t>肝素泵注射器尺寸</w:t>
            </w:r>
          </w:p>
        </w:tc>
        <w:tc>
          <w:tcPr>
            <w:tcW w:w="6324" w:type="dxa"/>
            <w:noWrap w:val="0"/>
            <w:vAlign w:val="center"/>
          </w:tcPr>
          <w:p>
            <w:pPr>
              <w:spacing w:line="360" w:lineRule="exact"/>
              <w:jc w:val="left"/>
              <w:rPr>
                <w:rFonts w:hint="eastAsia"/>
                <w:sz w:val="24"/>
              </w:rPr>
            </w:pPr>
            <w:r>
              <w:rPr>
                <w:rFonts w:hint="eastAsia" w:ascii="宋体" w:hAnsi="宋体"/>
                <w:sz w:val="24"/>
              </w:rPr>
              <w:t>内径在10~30ml之间，应符合ISO 7886-2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9" w:type="dxa"/>
            <w:noWrap w:val="0"/>
            <w:vAlign w:val="center"/>
          </w:tcPr>
          <w:p>
            <w:pPr>
              <w:spacing w:line="360" w:lineRule="exact"/>
              <w:ind w:firstLine="120" w:firstLineChars="50"/>
              <w:rPr>
                <w:rFonts w:hint="eastAsia" w:hAnsi="宋体"/>
                <w:sz w:val="24"/>
              </w:rPr>
            </w:pPr>
            <w:r>
              <w:rPr>
                <w:rFonts w:hint="eastAsia" w:hAnsi="宋体"/>
                <w:b/>
                <w:color w:val="auto"/>
                <w:sz w:val="24"/>
                <w:lang w:eastAsia="zh-CN"/>
              </w:rPr>
              <w:t>★</w:t>
            </w:r>
            <w:r>
              <w:rPr>
                <w:rFonts w:hint="eastAsia" w:hAnsi="宋体"/>
                <w:sz w:val="24"/>
              </w:rPr>
              <w:t>5.1</w:t>
            </w:r>
            <w:r>
              <w:rPr>
                <w:rFonts w:hAnsi="宋体"/>
                <w:sz w:val="24"/>
              </w:rPr>
              <w:t>2</w:t>
            </w:r>
          </w:p>
        </w:tc>
        <w:tc>
          <w:tcPr>
            <w:tcW w:w="2807" w:type="dxa"/>
            <w:noWrap w:val="0"/>
            <w:vAlign w:val="center"/>
          </w:tcPr>
          <w:p>
            <w:pPr>
              <w:spacing w:line="360" w:lineRule="exact"/>
              <w:jc w:val="center"/>
              <w:rPr>
                <w:rFonts w:hint="eastAsia" w:hAnsi="宋体"/>
                <w:sz w:val="24"/>
              </w:rPr>
            </w:pPr>
            <w:r>
              <w:rPr>
                <w:rFonts w:hint="eastAsia"/>
                <w:szCs w:val="21"/>
              </w:rPr>
              <w:t>自动预冲及自动排空</w:t>
            </w:r>
          </w:p>
        </w:tc>
        <w:tc>
          <w:tcPr>
            <w:tcW w:w="6324" w:type="dxa"/>
            <w:noWrap w:val="0"/>
            <w:vAlign w:val="center"/>
          </w:tcPr>
          <w:p>
            <w:pPr>
              <w:spacing w:line="360" w:lineRule="exact"/>
              <w:jc w:val="left"/>
              <w:rPr>
                <w:rFonts w:hint="eastAsia"/>
                <w:sz w:val="24"/>
              </w:rPr>
            </w:pPr>
            <w:r>
              <w:rPr>
                <w:rFonts w:hint="eastAsia"/>
                <w:spacing w:val="-2"/>
                <w:kern w:val="0"/>
                <w:sz w:val="24"/>
              </w:rPr>
              <w:t>可预设针对不同规格和预冲量的多种辅助预冲程</w:t>
            </w:r>
            <w:r>
              <w:rPr>
                <w:rFonts w:hint="eastAsia"/>
                <w:spacing w:val="-2"/>
                <w:kern w:val="0"/>
                <w:sz w:val="24"/>
                <w:lang w:eastAsia="zh-CN"/>
              </w:rPr>
              <w:t>序</w:t>
            </w:r>
            <w:r>
              <w:rPr>
                <w:rFonts w:hint="eastAsia"/>
                <w:spacing w:val="-2"/>
                <w:kern w:val="0"/>
                <w:sz w:val="24"/>
              </w:rPr>
              <w:t>，新管路更换程序、管路再循环程序、回血程序等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89" w:type="dxa"/>
            <w:noWrap w:val="0"/>
            <w:vAlign w:val="center"/>
          </w:tcPr>
          <w:p>
            <w:pPr>
              <w:spacing w:line="360" w:lineRule="exact"/>
              <w:ind w:firstLine="120" w:firstLineChars="50"/>
              <w:jc w:val="center"/>
              <w:rPr>
                <w:rFonts w:hint="eastAsia" w:hAnsi="宋体"/>
                <w:sz w:val="24"/>
              </w:rPr>
            </w:pPr>
            <w:r>
              <w:rPr>
                <w:rFonts w:hint="eastAsia" w:hAnsi="宋体"/>
                <w:sz w:val="24"/>
              </w:rPr>
              <w:t>6</w:t>
            </w:r>
          </w:p>
        </w:tc>
        <w:tc>
          <w:tcPr>
            <w:tcW w:w="2807" w:type="dxa"/>
            <w:noWrap w:val="0"/>
            <w:vAlign w:val="center"/>
          </w:tcPr>
          <w:p>
            <w:pPr>
              <w:spacing w:line="360" w:lineRule="exact"/>
              <w:jc w:val="center"/>
              <w:rPr>
                <w:rFonts w:hint="eastAsia" w:hAnsi="宋体"/>
                <w:sz w:val="24"/>
              </w:rPr>
            </w:pPr>
            <w:r>
              <w:rPr>
                <w:rFonts w:hint="eastAsia" w:hAnsi="宋体"/>
                <w:b/>
                <w:bCs/>
                <w:sz w:val="24"/>
              </w:rPr>
              <w:t>透析液环路</w:t>
            </w:r>
          </w:p>
        </w:tc>
        <w:tc>
          <w:tcPr>
            <w:tcW w:w="6324" w:type="dxa"/>
            <w:noWrap w:val="0"/>
            <w:vAlign w:val="center"/>
          </w:tcPr>
          <w:p>
            <w:pPr>
              <w:spacing w:line="360" w:lineRule="exact"/>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89" w:type="dxa"/>
            <w:noWrap w:val="0"/>
            <w:vAlign w:val="center"/>
          </w:tcPr>
          <w:p>
            <w:pPr>
              <w:spacing w:line="360" w:lineRule="exact"/>
              <w:ind w:firstLine="120" w:firstLineChars="50"/>
              <w:jc w:val="center"/>
              <w:rPr>
                <w:rFonts w:hint="eastAsia" w:hAnsi="宋体"/>
                <w:sz w:val="24"/>
              </w:rPr>
            </w:pPr>
            <w:r>
              <w:rPr>
                <w:rFonts w:hint="eastAsia" w:hAnsi="宋体"/>
                <w:sz w:val="24"/>
              </w:rPr>
              <w:t>6.1</w:t>
            </w:r>
          </w:p>
        </w:tc>
        <w:tc>
          <w:tcPr>
            <w:tcW w:w="2807" w:type="dxa"/>
            <w:noWrap w:val="0"/>
            <w:vAlign w:val="center"/>
          </w:tcPr>
          <w:p>
            <w:pPr>
              <w:spacing w:line="360" w:lineRule="exact"/>
              <w:jc w:val="center"/>
              <w:rPr>
                <w:rFonts w:hint="eastAsia" w:hAnsi="宋体"/>
                <w:sz w:val="24"/>
              </w:rPr>
            </w:pPr>
            <w:r>
              <w:rPr>
                <w:rFonts w:hint="eastAsia" w:hAnsi="宋体"/>
                <w:sz w:val="24"/>
              </w:rPr>
              <w:t>透析液流量范围</w:t>
            </w:r>
          </w:p>
        </w:tc>
        <w:tc>
          <w:tcPr>
            <w:tcW w:w="6324" w:type="dxa"/>
            <w:noWrap w:val="0"/>
            <w:vAlign w:val="center"/>
          </w:tcPr>
          <w:p>
            <w:pPr>
              <w:spacing w:line="360" w:lineRule="exact"/>
              <w:jc w:val="left"/>
              <w:rPr>
                <w:rFonts w:hint="eastAsia"/>
                <w:sz w:val="24"/>
              </w:rPr>
            </w:pPr>
            <w:r>
              <w:rPr>
                <w:sz w:val="24"/>
              </w:rPr>
              <w:t>300</w:t>
            </w:r>
            <w:r>
              <w:rPr>
                <w:rFonts w:hAnsi="宋体"/>
                <w:sz w:val="24"/>
              </w:rPr>
              <w:t>－</w:t>
            </w:r>
            <w:r>
              <w:rPr>
                <w:rFonts w:hint="eastAsia" w:hAnsi="宋体"/>
                <w:sz w:val="24"/>
              </w:rPr>
              <w:t>7</w:t>
            </w:r>
            <w:r>
              <w:rPr>
                <w:sz w:val="24"/>
              </w:rPr>
              <w:t>00ml/min</w:t>
            </w:r>
            <w:r>
              <w:rPr>
                <w:rFonts w:hint="eastAsia"/>
                <w:sz w:val="24"/>
              </w:rPr>
              <w:t>，可调，调节梯度</w:t>
            </w:r>
            <w:r>
              <w:rPr>
                <w:sz w:val="24"/>
              </w:rPr>
              <w:t>1ml/min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9" w:type="dxa"/>
            <w:noWrap w:val="0"/>
            <w:vAlign w:val="center"/>
          </w:tcPr>
          <w:p>
            <w:pPr>
              <w:spacing w:line="360" w:lineRule="exact"/>
              <w:jc w:val="center"/>
              <w:rPr>
                <w:rFonts w:hint="eastAsia"/>
                <w:sz w:val="24"/>
              </w:rPr>
            </w:pPr>
            <w:r>
              <w:rPr>
                <w:rFonts w:hint="eastAsia"/>
                <w:sz w:val="24"/>
              </w:rPr>
              <w:t>6.2</w:t>
            </w:r>
          </w:p>
        </w:tc>
        <w:tc>
          <w:tcPr>
            <w:tcW w:w="2807" w:type="dxa"/>
            <w:noWrap w:val="0"/>
            <w:vAlign w:val="center"/>
          </w:tcPr>
          <w:p>
            <w:pPr>
              <w:spacing w:line="360" w:lineRule="exact"/>
              <w:jc w:val="center"/>
              <w:rPr>
                <w:rFonts w:hint="eastAsia" w:hAnsi="宋体"/>
                <w:sz w:val="24"/>
              </w:rPr>
            </w:pPr>
            <w:r>
              <w:rPr>
                <w:rFonts w:hint="eastAsia" w:hAnsi="宋体"/>
                <w:sz w:val="24"/>
              </w:rPr>
              <w:t>透析温度显示范围</w:t>
            </w:r>
          </w:p>
        </w:tc>
        <w:tc>
          <w:tcPr>
            <w:tcW w:w="6324" w:type="dxa"/>
            <w:noWrap w:val="0"/>
            <w:vAlign w:val="center"/>
          </w:tcPr>
          <w:p>
            <w:pPr>
              <w:spacing w:line="360" w:lineRule="exact"/>
              <w:jc w:val="left"/>
              <w:rPr>
                <w:rFonts w:hint="eastAsia"/>
                <w:sz w:val="24"/>
              </w:rPr>
            </w:pPr>
            <w:r>
              <w:rPr>
                <w:sz w:val="24"/>
              </w:rPr>
              <w:t>3</w:t>
            </w:r>
            <w:r>
              <w:rPr>
                <w:rFonts w:hint="eastAsia"/>
                <w:sz w:val="24"/>
              </w:rPr>
              <w:t>3</w:t>
            </w:r>
            <w:r>
              <w:rPr>
                <w:sz w:val="24"/>
                <w:vertAlign w:val="superscript"/>
              </w:rPr>
              <w:t>0</w:t>
            </w:r>
            <w:r>
              <w:rPr>
                <w:sz w:val="24"/>
              </w:rPr>
              <w:t>C</w:t>
            </w:r>
            <w:r>
              <w:rPr>
                <w:rFonts w:hAnsi="宋体"/>
                <w:sz w:val="24"/>
              </w:rPr>
              <w:t>－</w:t>
            </w:r>
            <w:r>
              <w:rPr>
                <w:rFonts w:hint="eastAsia"/>
                <w:sz w:val="24"/>
              </w:rPr>
              <w:t>40</w:t>
            </w:r>
            <w:r>
              <w:rPr>
                <w:sz w:val="24"/>
                <w:vertAlign w:val="superscript"/>
              </w:rPr>
              <w:t>0</w:t>
            </w:r>
            <w:r>
              <w:rPr>
                <w:sz w:val="24"/>
              </w:rPr>
              <w:t>C</w:t>
            </w:r>
            <w:r>
              <w:rPr>
                <w:rFonts w:hint="eastAsia"/>
                <w:sz w:val="24"/>
              </w:rPr>
              <w:t>，可调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889" w:type="dxa"/>
            <w:noWrap w:val="0"/>
            <w:vAlign w:val="center"/>
          </w:tcPr>
          <w:p>
            <w:pPr>
              <w:spacing w:line="360" w:lineRule="exact"/>
              <w:jc w:val="center"/>
              <w:rPr>
                <w:rFonts w:hint="eastAsia"/>
                <w:sz w:val="24"/>
              </w:rPr>
            </w:pPr>
            <w:r>
              <w:rPr>
                <w:rFonts w:hint="eastAsia"/>
                <w:color w:val="auto"/>
                <w:sz w:val="24"/>
                <w:lang w:eastAsia="zh-CN"/>
              </w:rPr>
              <w:t>★</w:t>
            </w:r>
            <w:r>
              <w:rPr>
                <w:rFonts w:hint="eastAsia"/>
                <w:sz w:val="24"/>
              </w:rPr>
              <w:t>6.3</w:t>
            </w:r>
          </w:p>
        </w:tc>
        <w:tc>
          <w:tcPr>
            <w:tcW w:w="2807" w:type="dxa"/>
            <w:noWrap w:val="0"/>
            <w:vAlign w:val="center"/>
          </w:tcPr>
          <w:p>
            <w:pPr>
              <w:spacing w:line="360" w:lineRule="exact"/>
              <w:jc w:val="center"/>
              <w:rPr>
                <w:rFonts w:hint="eastAsia"/>
                <w:sz w:val="24"/>
              </w:rPr>
            </w:pPr>
            <w:r>
              <w:rPr>
                <w:rFonts w:hint="eastAsia"/>
                <w:sz w:val="24"/>
              </w:rPr>
              <w:t>透析液制备方式</w:t>
            </w:r>
          </w:p>
        </w:tc>
        <w:tc>
          <w:tcPr>
            <w:tcW w:w="6324" w:type="dxa"/>
            <w:noWrap w:val="0"/>
            <w:vAlign w:val="center"/>
          </w:tcPr>
          <w:p>
            <w:pPr>
              <w:spacing w:line="360" w:lineRule="exact"/>
              <w:jc w:val="left"/>
              <w:rPr>
                <w:rFonts w:hint="eastAsia"/>
                <w:sz w:val="24"/>
              </w:rPr>
            </w:pPr>
            <w:r>
              <w:rPr>
                <w:rFonts w:hint="eastAsia"/>
                <w:sz w:val="24"/>
              </w:rPr>
              <w:t>容量式透析液配比程序，采用电导度反馈式A</w:t>
            </w:r>
            <w:r>
              <w:rPr>
                <w:sz w:val="24"/>
              </w:rPr>
              <w:t>B</w:t>
            </w:r>
            <w:r>
              <w:rPr>
                <w:rFonts w:hint="eastAsia"/>
                <w:sz w:val="24"/>
              </w:rPr>
              <w:t>液泵可根据电导度自动改变泵速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889" w:type="dxa"/>
            <w:noWrap w:val="0"/>
            <w:vAlign w:val="center"/>
          </w:tcPr>
          <w:p>
            <w:pPr>
              <w:spacing w:line="360" w:lineRule="exact"/>
              <w:jc w:val="center"/>
              <w:rPr>
                <w:rFonts w:hint="eastAsia"/>
                <w:sz w:val="24"/>
              </w:rPr>
            </w:pPr>
            <w:r>
              <w:rPr>
                <w:rFonts w:hint="eastAsia" w:hAnsi="宋体"/>
                <w:b/>
                <w:bCs/>
                <w:color w:val="auto"/>
                <w:sz w:val="24"/>
                <w:lang w:eastAsia="zh-CN"/>
              </w:rPr>
              <w:t>★</w:t>
            </w:r>
            <w:r>
              <w:rPr>
                <w:rFonts w:hint="eastAsia" w:ascii="宋体" w:hAnsi="宋体" w:cs="宋体"/>
                <w:sz w:val="24"/>
              </w:rPr>
              <w:t>6.4</w:t>
            </w:r>
          </w:p>
        </w:tc>
        <w:tc>
          <w:tcPr>
            <w:tcW w:w="2807" w:type="dxa"/>
            <w:noWrap w:val="0"/>
            <w:vAlign w:val="center"/>
          </w:tcPr>
          <w:p>
            <w:pPr>
              <w:spacing w:line="360" w:lineRule="exact"/>
              <w:jc w:val="center"/>
              <w:rPr>
                <w:rFonts w:hint="eastAsia"/>
                <w:sz w:val="24"/>
              </w:rPr>
            </w:pPr>
            <w:r>
              <w:rPr>
                <w:rFonts w:hint="eastAsia"/>
                <w:sz w:val="24"/>
              </w:rPr>
              <w:t>超滤方式</w:t>
            </w:r>
          </w:p>
        </w:tc>
        <w:tc>
          <w:tcPr>
            <w:tcW w:w="6324" w:type="dxa"/>
            <w:noWrap w:val="0"/>
            <w:vAlign w:val="center"/>
          </w:tcPr>
          <w:p>
            <w:pPr>
              <w:spacing w:line="360" w:lineRule="exact"/>
              <w:jc w:val="left"/>
              <w:rPr>
                <w:rFonts w:hint="eastAsia" w:ascii="宋体" w:hAnsi="宋体" w:eastAsia="宋体"/>
                <w:sz w:val="24"/>
                <w:lang w:eastAsia="zh-CN"/>
              </w:rPr>
            </w:pPr>
            <w:r>
              <w:rPr>
                <w:rFonts w:hint="eastAsia" w:ascii="宋体" w:hAnsi="宋体"/>
                <w:sz w:val="24"/>
              </w:rPr>
              <w:t>增强版双通道电磁容量超滤监控，同时在透析器前后对透析液流量进行直接电磁测量，具备双超滤监控系统</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9" w:type="dxa"/>
            <w:noWrap w:val="0"/>
            <w:vAlign w:val="center"/>
          </w:tcPr>
          <w:p>
            <w:pPr>
              <w:spacing w:line="360" w:lineRule="exact"/>
              <w:jc w:val="center"/>
              <w:rPr>
                <w:rFonts w:hint="eastAsia"/>
                <w:sz w:val="24"/>
              </w:rPr>
            </w:pPr>
            <w:r>
              <w:rPr>
                <w:rFonts w:hint="eastAsia"/>
                <w:sz w:val="24"/>
              </w:rPr>
              <w:t>6.5</w:t>
            </w:r>
          </w:p>
        </w:tc>
        <w:tc>
          <w:tcPr>
            <w:tcW w:w="2807" w:type="dxa"/>
            <w:noWrap w:val="0"/>
            <w:vAlign w:val="center"/>
          </w:tcPr>
          <w:p>
            <w:pPr>
              <w:spacing w:line="360" w:lineRule="exact"/>
              <w:jc w:val="center"/>
              <w:rPr>
                <w:sz w:val="24"/>
              </w:rPr>
            </w:pPr>
            <w:r>
              <w:rPr>
                <w:rFonts w:hint="eastAsia"/>
                <w:sz w:val="24"/>
              </w:rPr>
              <w:t>超滤精度</w:t>
            </w:r>
          </w:p>
        </w:tc>
        <w:tc>
          <w:tcPr>
            <w:tcW w:w="6324" w:type="dxa"/>
            <w:noWrap w:val="0"/>
            <w:vAlign w:val="center"/>
          </w:tcPr>
          <w:p>
            <w:pPr>
              <w:spacing w:line="360" w:lineRule="exact"/>
              <w:jc w:val="left"/>
              <w:rPr>
                <w:rFonts w:hint="eastAsia"/>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9" w:type="dxa"/>
            <w:noWrap w:val="0"/>
            <w:vAlign w:val="center"/>
          </w:tcPr>
          <w:p>
            <w:pPr>
              <w:spacing w:line="360" w:lineRule="exact"/>
              <w:jc w:val="center"/>
              <w:rPr>
                <w:rFonts w:hint="eastAsia"/>
                <w:sz w:val="24"/>
              </w:rPr>
            </w:pPr>
            <w:r>
              <w:rPr>
                <w:rFonts w:hint="eastAsia"/>
                <w:sz w:val="24"/>
              </w:rPr>
              <w:t>6.6</w:t>
            </w:r>
          </w:p>
        </w:tc>
        <w:tc>
          <w:tcPr>
            <w:tcW w:w="2807" w:type="dxa"/>
            <w:noWrap w:val="0"/>
            <w:vAlign w:val="center"/>
          </w:tcPr>
          <w:p>
            <w:pPr>
              <w:spacing w:line="360" w:lineRule="exact"/>
              <w:jc w:val="center"/>
              <w:rPr>
                <w:rFonts w:hint="eastAsia"/>
                <w:sz w:val="24"/>
              </w:rPr>
            </w:pPr>
            <w:r>
              <w:rPr>
                <w:rFonts w:hint="eastAsia"/>
                <w:sz w:val="24"/>
              </w:rPr>
              <w:t>超滤率</w:t>
            </w:r>
          </w:p>
        </w:tc>
        <w:tc>
          <w:tcPr>
            <w:tcW w:w="6324" w:type="dxa"/>
            <w:noWrap w:val="0"/>
            <w:vAlign w:val="center"/>
          </w:tcPr>
          <w:p>
            <w:pPr>
              <w:spacing w:line="360" w:lineRule="exact"/>
              <w:jc w:val="left"/>
              <w:rPr>
                <w:rFonts w:hint="eastAsia"/>
                <w:sz w:val="24"/>
              </w:rPr>
            </w:pPr>
            <w:r>
              <w:rPr>
                <w:rFonts w:hint="eastAsia"/>
                <w:sz w:val="24"/>
              </w:rPr>
              <w:t>0-4L/h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9" w:type="dxa"/>
            <w:noWrap w:val="0"/>
            <w:vAlign w:val="center"/>
          </w:tcPr>
          <w:p>
            <w:pPr>
              <w:spacing w:line="360" w:lineRule="exact"/>
              <w:jc w:val="center"/>
              <w:rPr>
                <w:rFonts w:hint="eastAsia" w:hAnsi="宋体"/>
                <w:b/>
                <w:bCs/>
                <w:sz w:val="24"/>
              </w:rPr>
            </w:pPr>
            <w:r>
              <w:rPr>
                <w:rFonts w:hint="eastAsia" w:hAnsi="宋体"/>
                <w:b/>
                <w:bCs/>
                <w:sz w:val="24"/>
              </w:rPr>
              <w:t>6</w:t>
            </w:r>
            <w:r>
              <w:rPr>
                <w:rFonts w:hAnsi="宋体"/>
                <w:b/>
                <w:bCs/>
                <w:sz w:val="24"/>
              </w:rPr>
              <w:t>.7</w:t>
            </w:r>
          </w:p>
        </w:tc>
        <w:tc>
          <w:tcPr>
            <w:tcW w:w="2807" w:type="dxa"/>
            <w:noWrap w:val="0"/>
            <w:vAlign w:val="center"/>
          </w:tcPr>
          <w:p>
            <w:pPr>
              <w:spacing w:line="360" w:lineRule="exact"/>
              <w:jc w:val="center"/>
              <w:rPr>
                <w:rFonts w:hint="eastAsia"/>
                <w:sz w:val="24"/>
              </w:rPr>
            </w:pPr>
            <w:r>
              <w:rPr>
                <w:rFonts w:hint="eastAsia"/>
                <w:sz w:val="24"/>
              </w:rPr>
              <w:t>超滤曲线</w:t>
            </w:r>
          </w:p>
        </w:tc>
        <w:tc>
          <w:tcPr>
            <w:tcW w:w="6324" w:type="dxa"/>
            <w:noWrap w:val="0"/>
            <w:vAlign w:val="center"/>
          </w:tcPr>
          <w:p>
            <w:pPr>
              <w:spacing w:line="360" w:lineRule="exact"/>
              <w:jc w:val="left"/>
              <w:rPr>
                <w:rFonts w:hint="eastAsia"/>
                <w:sz w:val="24"/>
              </w:rPr>
            </w:pPr>
            <w:r>
              <w:rPr>
                <w:rFonts w:hint="eastAsia"/>
                <w:sz w:val="24"/>
              </w:rPr>
              <w:t>具备UFR\Na+\HCO3- 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9" w:type="dxa"/>
            <w:noWrap w:val="0"/>
            <w:vAlign w:val="center"/>
          </w:tcPr>
          <w:p>
            <w:pPr>
              <w:spacing w:line="360" w:lineRule="exact"/>
              <w:jc w:val="center"/>
              <w:rPr>
                <w:rFonts w:hint="eastAsia"/>
                <w:sz w:val="24"/>
              </w:rPr>
            </w:pPr>
            <w:r>
              <w:rPr>
                <w:rFonts w:hint="eastAsia" w:hAnsi="宋体"/>
                <w:b/>
                <w:bCs/>
                <w:color w:val="auto"/>
                <w:sz w:val="24"/>
                <w:lang w:eastAsia="zh-CN"/>
              </w:rPr>
              <w:t>★</w:t>
            </w:r>
            <w:r>
              <w:rPr>
                <w:rFonts w:hint="eastAsia"/>
                <w:sz w:val="24"/>
              </w:rPr>
              <w:t>6.</w:t>
            </w:r>
            <w:r>
              <w:rPr>
                <w:sz w:val="24"/>
              </w:rPr>
              <w:t>8</w:t>
            </w:r>
          </w:p>
        </w:tc>
        <w:tc>
          <w:tcPr>
            <w:tcW w:w="2807" w:type="dxa"/>
            <w:noWrap w:val="0"/>
            <w:vAlign w:val="center"/>
          </w:tcPr>
          <w:p>
            <w:pPr>
              <w:spacing w:line="360" w:lineRule="exact"/>
              <w:jc w:val="center"/>
              <w:rPr>
                <w:rFonts w:hint="eastAsia"/>
                <w:sz w:val="24"/>
              </w:rPr>
            </w:pPr>
            <w:r>
              <w:rPr>
                <w:rFonts w:hint="eastAsia"/>
                <w:sz w:val="24"/>
              </w:rPr>
              <w:t>待机模式</w:t>
            </w:r>
          </w:p>
        </w:tc>
        <w:tc>
          <w:tcPr>
            <w:tcW w:w="6324" w:type="dxa"/>
            <w:noWrap w:val="0"/>
            <w:vAlign w:val="center"/>
          </w:tcPr>
          <w:p>
            <w:pPr>
              <w:spacing w:line="360" w:lineRule="exact"/>
              <w:jc w:val="left"/>
              <w:rPr>
                <w:rFonts w:hint="eastAsia"/>
                <w:sz w:val="24"/>
              </w:rPr>
            </w:pPr>
            <w:r>
              <w:rPr>
                <w:rFonts w:hint="eastAsia"/>
                <w:sz w:val="24"/>
              </w:rPr>
              <w:t>可零流量待机待机不吸透析液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9" w:type="dxa"/>
            <w:noWrap w:val="0"/>
            <w:vAlign w:val="center"/>
          </w:tcPr>
          <w:p>
            <w:pPr>
              <w:spacing w:line="360" w:lineRule="exact"/>
              <w:jc w:val="center"/>
              <w:rPr>
                <w:rFonts w:hint="eastAsia" w:hAnsi="宋体"/>
                <w:b/>
                <w:bCs/>
                <w:sz w:val="24"/>
              </w:rPr>
            </w:pPr>
            <w:r>
              <w:rPr>
                <w:rFonts w:hint="eastAsia" w:hAnsi="宋体"/>
                <w:b/>
                <w:bCs/>
                <w:sz w:val="24"/>
              </w:rPr>
              <w:t>6</w:t>
            </w:r>
            <w:r>
              <w:rPr>
                <w:rFonts w:hAnsi="宋体"/>
                <w:b/>
                <w:bCs/>
                <w:sz w:val="24"/>
              </w:rPr>
              <w:t>.9</w:t>
            </w:r>
          </w:p>
        </w:tc>
        <w:tc>
          <w:tcPr>
            <w:tcW w:w="2807" w:type="dxa"/>
            <w:noWrap w:val="0"/>
            <w:vAlign w:val="center"/>
          </w:tcPr>
          <w:p>
            <w:pPr>
              <w:spacing w:line="360" w:lineRule="exact"/>
              <w:jc w:val="center"/>
              <w:rPr>
                <w:rFonts w:hint="eastAsia"/>
                <w:sz w:val="24"/>
              </w:rPr>
            </w:pPr>
            <w:r>
              <w:rPr>
                <w:rFonts w:hint="eastAsia"/>
                <w:sz w:val="24"/>
              </w:rPr>
              <w:t>透析液过滤装置</w:t>
            </w:r>
          </w:p>
        </w:tc>
        <w:tc>
          <w:tcPr>
            <w:tcW w:w="6324" w:type="dxa"/>
            <w:noWrap w:val="0"/>
            <w:vAlign w:val="center"/>
          </w:tcPr>
          <w:p>
            <w:pPr>
              <w:spacing w:line="360" w:lineRule="exact"/>
              <w:jc w:val="left"/>
              <w:rPr>
                <w:rFonts w:hint="eastAsia"/>
                <w:sz w:val="24"/>
              </w:rPr>
            </w:pPr>
            <w:r>
              <w:rPr>
                <w:rFonts w:hint="eastAsia"/>
                <w:sz w:val="24"/>
              </w:rPr>
              <w:t>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89" w:type="dxa"/>
            <w:noWrap w:val="0"/>
            <w:vAlign w:val="center"/>
          </w:tcPr>
          <w:p>
            <w:pPr>
              <w:spacing w:line="360" w:lineRule="exact"/>
              <w:rPr>
                <w:rFonts w:hint="eastAsia"/>
                <w:b/>
                <w:sz w:val="24"/>
              </w:rPr>
            </w:pPr>
            <w:r>
              <w:rPr>
                <w:rFonts w:hint="eastAsia"/>
                <w:sz w:val="24"/>
              </w:rPr>
              <w:t xml:space="preserve">  7</w:t>
            </w:r>
          </w:p>
        </w:tc>
        <w:tc>
          <w:tcPr>
            <w:tcW w:w="2807" w:type="dxa"/>
            <w:noWrap w:val="0"/>
            <w:vAlign w:val="center"/>
          </w:tcPr>
          <w:p>
            <w:pPr>
              <w:spacing w:line="360" w:lineRule="exact"/>
              <w:jc w:val="center"/>
              <w:rPr>
                <w:rFonts w:hint="eastAsia"/>
                <w:b/>
                <w:bCs/>
                <w:sz w:val="24"/>
              </w:rPr>
            </w:pPr>
            <w:r>
              <w:rPr>
                <w:rFonts w:hint="eastAsia"/>
                <w:sz w:val="24"/>
              </w:rPr>
              <w:t>漏血探测器</w:t>
            </w:r>
          </w:p>
        </w:tc>
        <w:tc>
          <w:tcPr>
            <w:tcW w:w="6324" w:type="dxa"/>
            <w:noWrap w:val="0"/>
            <w:vAlign w:val="center"/>
          </w:tcPr>
          <w:p>
            <w:pPr>
              <w:ind w:left="540" w:hanging="540" w:hangingChars="225"/>
              <w:jc w:val="left"/>
              <w:rPr>
                <w:rFonts w:hint="eastAsia" w:ascii="宋体" w:hAnsi="宋体"/>
                <w:sz w:val="24"/>
                <w:szCs w:val="28"/>
              </w:rPr>
            </w:pPr>
            <w:r>
              <w:rPr>
                <w:rFonts w:hint="eastAsia" w:ascii="宋体" w:hAnsi="宋体"/>
                <w:sz w:val="24"/>
                <w:szCs w:val="28"/>
              </w:rPr>
              <w:t>红外线探测，</w:t>
            </w:r>
          </w:p>
          <w:p>
            <w:pPr>
              <w:ind w:left="540" w:hanging="540" w:hangingChars="225"/>
              <w:jc w:val="left"/>
              <w:rPr>
                <w:rFonts w:hint="eastAsia"/>
                <w:sz w:val="24"/>
              </w:rPr>
            </w:pPr>
            <w:r>
              <w:rPr>
                <w:rFonts w:hint="eastAsia" w:ascii="宋体" w:hAnsi="宋体"/>
                <w:sz w:val="24"/>
                <w:szCs w:val="28"/>
              </w:rPr>
              <w:t>≥0.3ml/min(Hct32%,300-700ml/min)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89" w:type="dxa"/>
            <w:noWrap w:val="0"/>
            <w:vAlign w:val="center"/>
          </w:tcPr>
          <w:p>
            <w:pPr>
              <w:spacing w:line="360" w:lineRule="exact"/>
              <w:rPr>
                <w:rFonts w:hint="eastAsia" w:hAnsi="宋体"/>
                <w:b/>
                <w:bCs/>
                <w:color w:val="FF0000"/>
                <w:sz w:val="24"/>
              </w:rPr>
            </w:pPr>
            <w:r>
              <w:rPr>
                <w:rFonts w:hint="eastAsia" w:hAnsi="宋体"/>
                <w:b/>
                <w:bCs/>
                <w:color w:val="auto"/>
                <w:sz w:val="24"/>
                <w:lang w:eastAsia="zh-CN"/>
              </w:rPr>
              <w:t>★</w:t>
            </w:r>
            <w:r>
              <w:rPr>
                <w:rFonts w:hint="eastAsia" w:ascii="宋体" w:hAnsi="宋体" w:cs="宋体"/>
                <w:sz w:val="24"/>
              </w:rPr>
              <w:t>8</w:t>
            </w:r>
          </w:p>
        </w:tc>
        <w:tc>
          <w:tcPr>
            <w:tcW w:w="2807" w:type="dxa"/>
            <w:noWrap w:val="0"/>
            <w:vAlign w:val="center"/>
          </w:tcPr>
          <w:p>
            <w:pPr>
              <w:spacing w:line="360" w:lineRule="exact"/>
              <w:jc w:val="center"/>
              <w:rPr>
                <w:rFonts w:hint="eastAsia"/>
                <w:b/>
                <w:sz w:val="24"/>
              </w:rPr>
            </w:pPr>
            <w:r>
              <w:rPr>
                <w:rFonts w:hint="eastAsia"/>
                <w:b/>
                <w:sz w:val="24"/>
              </w:rPr>
              <w:t>电导度控制系统</w:t>
            </w:r>
          </w:p>
        </w:tc>
        <w:tc>
          <w:tcPr>
            <w:tcW w:w="6324" w:type="dxa"/>
            <w:noWrap w:val="0"/>
            <w:vAlign w:val="center"/>
          </w:tcPr>
          <w:p>
            <w:pPr>
              <w:spacing w:line="360" w:lineRule="exact"/>
              <w:jc w:val="left"/>
              <w:rPr>
                <w:rFonts w:hint="eastAsia"/>
                <w:sz w:val="24"/>
              </w:rPr>
            </w:pPr>
            <w:r>
              <w:rPr>
                <w:rFonts w:hint="eastAsia"/>
                <w:spacing w:val="-2"/>
                <w:kern w:val="0"/>
                <w:sz w:val="24"/>
              </w:rPr>
              <w:t>由多个传感器组成，具备反馈补偿功能。明确指示A、B浓缩液浓稀状况及液偏差警报</w:t>
            </w:r>
            <w:r>
              <w:rPr>
                <w:rFonts w:hint="eastAsia"/>
                <w:sz w:val="24"/>
              </w:rPr>
              <w:t>标配三套电导度监测装置。三套独立CPU系统：互相监督、相互控制（第一套CPU控制A，B电导；第二套CPU</w:t>
            </w:r>
          </w:p>
          <w:p>
            <w:pPr>
              <w:spacing w:line="360" w:lineRule="exact"/>
              <w:jc w:val="left"/>
              <w:rPr>
                <w:rFonts w:hint="eastAsia" w:eastAsia="宋体"/>
                <w:sz w:val="24"/>
                <w:lang w:val="en-US" w:eastAsia="zh-CN"/>
              </w:rPr>
            </w:pPr>
            <w:r>
              <w:rPr>
                <w:rFonts w:hint="eastAsia"/>
                <w:sz w:val="24"/>
              </w:rPr>
              <w:t>控制保护电导；第三套CPU监控第一第二套CPU。）反馈式补偿功能：维持最终透析液的离子准确</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89" w:type="dxa"/>
            <w:noWrap w:val="0"/>
            <w:vAlign w:val="center"/>
          </w:tcPr>
          <w:p>
            <w:pPr>
              <w:spacing w:line="360" w:lineRule="exact"/>
              <w:rPr>
                <w:rFonts w:hint="eastAsia" w:hAnsi="宋体"/>
                <w:b/>
                <w:bCs/>
                <w:color w:val="FF0000"/>
                <w:sz w:val="24"/>
              </w:rPr>
            </w:pPr>
            <w:r>
              <w:rPr>
                <w:rFonts w:hint="eastAsia" w:hAnsi="宋体"/>
                <w:b/>
                <w:bCs/>
                <w:color w:val="auto"/>
                <w:sz w:val="24"/>
                <w:lang w:eastAsia="zh-CN"/>
              </w:rPr>
              <w:t>★</w:t>
            </w:r>
            <w:r>
              <w:rPr>
                <w:rFonts w:hint="eastAsia" w:hAnsi="宋体"/>
                <w:b/>
                <w:bCs/>
                <w:sz w:val="24"/>
              </w:rPr>
              <w:t>9</w:t>
            </w:r>
          </w:p>
        </w:tc>
        <w:tc>
          <w:tcPr>
            <w:tcW w:w="2807" w:type="dxa"/>
            <w:noWrap w:val="0"/>
            <w:vAlign w:val="center"/>
          </w:tcPr>
          <w:p>
            <w:pPr>
              <w:spacing w:line="360" w:lineRule="exact"/>
              <w:jc w:val="center"/>
              <w:rPr>
                <w:rFonts w:hint="eastAsia"/>
                <w:b/>
                <w:sz w:val="24"/>
              </w:rPr>
            </w:pPr>
            <w:r>
              <w:rPr>
                <w:rFonts w:hint="eastAsia"/>
                <w:b/>
                <w:sz w:val="24"/>
              </w:rPr>
              <w:t>在线清除率（K</w:t>
            </w:r>
            <w:r>
              <w:rPr>
                <w:b/>
                <w:sz w:val="24"/>
              </w:rPr>
              <w:t>TV</w:t>
            </w:r>
            <w:r>
              <w:rPr>
                <w:rFonts w:hint="eastAsia"/>
                <w:b/>
                <w:sz w:val="24"/>
              </w:rPr>
              <w:t>）检测</w:t>
            </w:r>
          </w:p>
        </w:tc>
        <w:tc>
          <w:tcPr>
            <w:tcW w:w="6324" w:type="dxa"/>
            <w:noWrap w:val="0"/>
            <w:vAlign w:val="center"/>
          </w:tcPr>
          <w:p>
            <w:pPr>
              <w:spacing w:line="360" w:lineRule="exact"/>
              <w:jc w:val="left"/>
              <w:rPr>
                <w:rFonts w:hint="eastAsia"/>
                <w:sz w:val="24"/>
              </w:rPr>
            </w:pPr>
            <w:r>
              <w:rPr>
                <w:rFonts w:hint="eastAsia"/>
                <w:sz w:val="24"/>
              </w:rPr>
              <w:t>标配D</w:t>
            </w:r>
            <w:r>
              <w:rPr>
                <w:sz w:val="24"/>
              </w:rPr>
              <w:t>IASCAN</w:t>
            </w:r>
            <w:r>
              <w:rPr>
                <w:rFonts w:hint="eastAsia"/>
                <w:sz w:val="24"/>
              </w:rPr>
              <w:t>在线清除率检测装置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89" w:type="dxa"/>
            <w:noWrap w:val="0"/>
            <w:vAlign w:val="center"/>
          </w:tcPr>
          <w:p>
            <w:pPr>
              <w:spacing w:line="360" w:lineRule="exact"/>
              <w:rPr>
                <w:rFonts w:hint="eastAsia" w:hAnsi="宋体"/>
                <w:b/>
                <w:bCs/>
                <w:color w:val="FF0000"/>
                <w:sz w:val="24"/>
              </w:rPr>
            </w:pPr>
            <w:r>
              <w:rPr>
                <w:rFonts w:hint="eastAsia" w:hAnsi="宋体"/>
                <w:b/>
                <w:bCs/>
                <w:color w:val="auto"/>
                <w:sz w:val="24"/>
                <w:lang w:eastAsia="zh-CN"/>
              </w:rPr>
              <w:t>★</w:t>
            </w:r>
            <w:r>
              <w:rPr>
                <w:rFonts w:hint="eastAsia" w:hAnsi="宋体"/>
                <w:b/>
                <w:bCs/>
                <w:sz w:val="24"/>
              </w:rPr>
              <w:t>1</w:t>
            </w:r>
            <w:r>
              <w:rPr>
                <w:rFonts w:hAnsi="宋体"/>
                <w:b/>
                <w:bCs/>
                <w:sz w:val="24"/>
              </w:rPr>
              <w:t>0</w:t>
            </w:r>
          </w:p>
        </w:tc>
        <w:tc>
          <w:tcPr>
            <w:tcW w:w="2807" w:type="dxa"/>
            <w:noWrap w:val="0"/>
            <w:vAlign w:val="center"/>
          </w:tcPr>
          <w:p>
            <w:pPr>
              <w:spacing w:line="360" w:lineRule="exact"/>
              <w:jc w:val="center"/>
              <w:rPr>
                <w:rFonts w:hint="eastAsia"/>
                <w:b/>
                <w:sz w:val="24"/>
              </w:rPr>
            </w:pPr>
            <w:r>
              <w:rPr>
                <w:rFonts w:hint="eastAsia"/>
                <w:b/>
                <w:sz w:val="24"/>
              </w:rPr>
              <w:t>在线血压检测装置</w:t>
            </w:r>
          </w:p>
        </w:tc>
        <w:tc>
          <w:tcPr>
            <w:tcW w:w="6324" w:type="dxa"/>
            <w:noWrap w:val="0"/>
            <w:vAlign w:val="center"/>
          </w:tcPr>
          <w:p>
            <w:pPr>
              <w:spacing w:line="360" w:lineRule="exact"/>
              <w:jc w:val="left"/>
              <w:rPr>
                <w:rFonts w:hint="eastAsia"/>
                <w:sz w:val="24"/>
              </w:rPr>
            </w:pPr>
            <w:r>
              <w:rPr>
                <w:rFonts w:hint="eastAsia"/>
                <w:sz w:val="24"/>
              </w:rPr>
              <w:t>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89" w:type="dxa"/>
            <w:noWrap w:val="0"/>
            <w:vAlign w:val="center"/>
          </w:tcPr>
          <w:p>
            <w:pPr>
              <w:spacing w:line="360" w:lineRule="exact"/>
              <w:rPr>
                <w:rFonts w:hint="eastAsia"/>
                <w:sz w:val="24"/>
              </w:rPr>
            </w:pPr>
            <w:r>
              <w:rPr>
                <w:rFonts w:hint="eastAsia" w:hAnsi="宋体"/>
                <w:b/>
                <w:bCs/>
                <w:color w:val="auto"/>
                <w:sz w:val="24"/>
                <w:lang w:eastAsia="zh-CN"/>
              </w:rPr>
              <w:t>★</w:t>
            </w:r>
            <w:r>
              <w:rPr>
                <w:rFonts w:hint="eastAsia"/>
                <w:sz w:val="24"/>
              </w:rPr>
              <w:t xml:space="preserve"> </w:t>
            </w:r>
            <w:r>
              <w:rPr>
                <w:sz w:val="24"/>
              </w:rPr>
              <w:t>11</w:t>
            </w:r>
          </w:p>
        </w:tc>
        <w:tc>
          <w:tcPr>
            <w:tcW w:w="2807" w:type="dxa"/>
            <w:noWrap w:val="0"/>
            <w:vAlign w:val="center"/>
          </w:tcPr>
          <w:p>
            <w:pPr>
              <w:spacing w:line="360" w:lineRule="exact"/>
              <w:jc w:val="center"/>
              <w:rPr>
                <w:rFonts w:hint="eastAsia"/>
                <w:b/>
                <w:sz w:val="24"/>
              </w:rPr>
            </w:pPr>
            <w:r>
              <w:rPr>
                <w:rFonts w:hint="eastAsia"/>
                <w:b/>
                <w:sz w:val="24"/>
              </w:rPr>
              <w:t>消毒和清洁程序</w:t>
            </w:r>
          </w:p>
        </w:tc>
        <w:tc>
          <w:tcPr>
            <w:tcW w:w="6324" w:type="dxa"/>
            <w:noWrap w:val="0"/>
            <w:vAlign w:val="center"/>
          </w:tcPr>
          <w:p>
            <w:pPr>
              <w:spacing w:line="360" w:lineRule="exact"/>
              <w:jc w:val="left"/>
              <w:rPr>
                <w:rFonts w:hint="eastAsia"/>
                <w:sz w:val="24"/>
              </w:rPr>
            </w:pPr>
            <w:r>
              <w:rPr>
                <w:rFonts w:hint="eastAsia"/>
                <w:spacing w:val="-1"/>
                <w:kern w:val="0"/>
                <w:sz w:val="24"/>
                <w:szCs w:val="25"/>
              </w:rPr>
              <w:t>可提供多种化学消毒和热消毒方式。消毒、脱钙可一次完成，热消毒温度可达93℃，清洗脱钙采用柠檬酸消毒棒和碳酸氢钠消毒棒在线配置消毒液，具备消毒日志。具备午间短时热消毒消毒时间只要2</w:t>
            </w:r>
            <w:r>
              <w:rPr>
                <w:spacing w:val="-1"/>
                <w:kern w:val="0"/>
                <w:sz w:val="24"/>
                <w:szCs w:val="25"/>
              </w:rPr>
              <w:t>5</w:t>
            </w:r>
            <w:r>
              <w:rPr>
                <w:rFonts w:hint="eastAsia"/>
                <w:spacing w:val="-1"/>
                <w:kern w:val="0"/>
                <w:sz w:val="24"/>
                <w:szCs w:val="25"/>
              </w:rPr>
              <w:t>分钟。可利用热消毒水处理整合热消毒。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bCs/>
                <w:sz w:val="24"/>
              </w:rPr>
            </w:pPr>
            <w:r>
              <w:rPr>
                <w:rFonts w:hint="eastAsia"/>
                <w:bCs/>
                <w:sz w:val="24"/>
              </w:rPr>
              <w:t>1</w:t>
            </w:r>
            <w:r>
              <w:rPr>
                <w:bCs/>
                <w:sz w:val="24"/>
              </w:rPr>
              <w:t>2</w:t>
            </w:r>
          </w:p>
        </w:tc>
        <w:tc>
          <w:tcPr>
            <w:tcW w:w="280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b/>
                <w:bCs/>
                <w:sz w:val="24"/>
              </w:rPr>
            </w:pPr>
            <w:r>
              <w:rPr>
                <w:rFonts w:hAnsi="宋体"/>
                <w:b/>
                <w:bCs/>
                <w:sz w:val="24"/>
              </w:rPr>
              <w:t>后备电池</w:t>
            </w:r>
          </w:p>
        </w:tc>
        <w:tc>
          <w:tcPr>
            <w:tcW w:w="632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eastAsia="宋体"/>
                <w:sz w:val="24"/>
                <w:lang w:eastAsia="zh-CN"/>
              </w:rPr>
            </w:pPr>
            <w:r>
              <w:rPr>
                <w:rFonts w:hint="eastAsia"/>
                <w:sz w:val="24"/>
                <w:szCs w:val="28"/>
              </w:rPr>
              <w:t>标配后备电源≥3</w:t>
            </w:r>
            <w:r>
              <w:rPr>
                <w:sz w:val="24"/>
                <w:szCs w:val="28"/>
              </w:rPr>
              <w:t>0</w:t>
            </w:r>
            <w:r>
              <w:rPr>
                <w:rFonts w:hint="eastAsia"/>
                <w:sz w:val="24"/>
                <w:szCs w:val="28"/>
              </w:rPr>
              <w:t>分钟，</w:t>
            </w:r>
            <w:r>
              <w:rPr>
                <w:rFonts w:hint="eastAsia"/>
                <w:spacing w:val="-2"/>
                <w:kern w:val="0"/>
                <w:sz w:val="24"/>
              </w:rPr>
              <w:t>在断电时可以自动监测切换，对机器整体供电（除加热系统），并能继续进行全面的安全监测，如体外循环监测、低温警报等，不丢失治疗数据</w:t>
            </w:r>
            <w:r>
              <w:rPr>
                <w:rFonts w:hint="eastAsia"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hAnsi="宋体"/>
                <w:bCs/>
                <w:color w:val="000000"/>
                <w:sz w:val="24"/>
              </w:rPr>
            </w:pPr>
            <w:r>
              <w:rPr>
                <w:rFonts w:hint="eastAsia" w:hAnsi="宋体"/>
                <w:bCs/>
                <w:color w:val="000000"/>
                <w:sz w:val="24"/>
              </w:rPr>
              <w:t>1</w:t>
            </w:r>
            <w:r>
              <w:rPr>
                <w:rFonts w:hAnsi="宋体"/>
                <w:bCs/>
                <w:color w:val="000000"/>
                <w:sz w:val="24"/>
              </w:rPr>
              <w:t>3</w:t>
            </w:r>
          </w:p>
        </w:tc>
        <w:tc>
          <w:tcPr>
            <w:tcW w:w="280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hAnsi="宋体"/>
                <w:b/>
                <w:bCs/>
                <w:sz w:val="24"/>
              </w:rPr>
            </w:pPr>
            <w:r>
              <w:rPr>
                <w:rFonts w:hAnsi="宋体"/>
                <w:b/>
                <w:bCs/>
                <w:sz w:val="24"/>
              </w:rPr>
              <w:t>维修与校正和程序</w:t>
            </w:r>
          </w:p>
        </w:tc>
        <w:tc>
          <w:tcPr>
            <w:tcW w:w="63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hAnsi="宋体"/>
                <w:sz w:val="24"/>
              </w:rPr>
            </w:pPr>
            <w:r>
              <w:rPr>
                <w:rFonts w:hint="eastAsia" w:hAnsi="宋体"/>
                <w:sz w:val="24"/>
              </w:rPr>
              <w:t>有内置维修和故障诊断软件，有声光报警显示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hAnsi="宋体"/>
                <w:bCs/>
                <w:color w:val="000000"/>
                <w:sz w:val="24"/>
              </w:rPr>
            </w:pPr>
            <w:r>
              <w:rPr>
                <w:rFonts w:hint="eastAsia" w:hAnsi="宋体"/>
                <w:b/>
                <w:bCs/>
                <w:color w:val="auto"/>
                <w:sz w:val="24"/>
                <w:lang w:eastAsia="zh-CN"/>
              </w:rPr>
              <w:t>★</w:t>
            </w:r>
            <w:r>
              <w:rPr>
                <w:rFonts w:hint="eastAsia" w:hAnsi="宋体"/>
                <w:bCs/>
                <w:color w:val="000000"/>
                <w:sz w:val="24"/>
              </w:rPr>
              <w:t>1</w:t>
            </w:r>
            <w:r>
              <w:rPr>
                <w:rFonts w:hAnsi="宋体"/>
                <w:bCs/>
                <w:color w:val="000000"/>
                <w:sz w:val="24"/>
              </w:rPr>
              <w:t>4</w:t>
            </w:r>
          </w:p>
        </w:tc>
        <w:tc>
          <w:tcPr>
            <w:tcW w:w="280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hAnsi="宋体"/>
                <w:b/>
                <w:bCs/>
                <w:sz w:val="24"/>
              </w:rPr>
            </w:pPr>
            <w:r>
              <w:rPr>
                <w:rFonts w:hint="eastAsia" w:hAnsi="宋体"/>
                <w:b/>
                <w:bCs/>
                <w:sz w:val="24"/>
              </w:rPr>
              <w:t>数字化通讯</w:t>
            </w:r>
          </w:p>
        </w:tc>
        <w:tc>
          <w:tcPr>
            <w:tcW w:w="6324" w:type="dxa"/>
            <w:tcBorders>
              <w:top w:val="single" w:color="auto" w:sz="4" w:space="0"/>
              <w:left w:val="single" w:color="auto" w:sz="4" w:space="0"/>
              <w:bottom w:val="single" w:color="auto" w:sz="4" w:space="0"/>
              <w:right w:val="single" w:color="auto" w:sz="4" w:space="0"/>
            </w:tcBorders>
            <w:noWrap w:val="0"/>
            <w:vAlign w:val="center"/>
          </w:tcPr>
          <w:p>
            <w:pPr>
              <w:ind w:left="472" w:hanging="472" w:hangingChars="200"/>
              <w:jc w:val="left"/>
              <w:rPr>
                <w:rFonts w:hint="eastAsia"/>
                <w:spacing w:val="-2"/>
                <w:kern w:val="0"/>
                <w:sz w:val="24"/>
              </w:rPr>
            </w:pPr>
            <w:r>
              <w:rPr>
                <w:rFonts w:hint="eastAsia"/>
                <w:spacing w:val="-2"/>
                <w:kern w:val="0"/>
                <w:sz w:val="24"/>
              </w:rPr>
              <w:t>有数字化计算机信息网络接口，RS232C或S422</w:t>
            </w:r>
          </w:p>
          <w:p>
            <w:pPr>
              <w:jc w:val="left"/>
              <w:rPr>
                <w:rFonts w:hint="eastAsia" w:ascii="宋体" w:hAnsi="宋体" w:eastAsia="宋体" w:cs="宋体"/>
                <w:sz w:val="24"/>
              </w:rPr>
            </w:pPr>
            <w:r>
              <w:rPr>
                <w:rFonts w:hint="eastAsia"/>
                <w:spacing w:val="-2"/>
                <w:kern w:val="0"/>
                <w:sz w:val="24"/>
              </w:rPr>
              <w:t>接口。可提供透析机的数据输出格式和通讯协议并可由HL7标准传输</w:t>
            </w:r>
            <w:r>
              <w:rPr>
                <w:rFonts w:hint="eastAsia"/>
                <w:sz w:val="24"/>
                <w:szCs w:val="28"/>
              </w:rPr>
              <w:t xml:space="preserve"> ，可自动连接第三方管理系统无需附加数据设备。</w:t>
            </w:r>
          </w:p>
        </w:tc>
      </w:tr>
    </w:tbl>
    <w:p>
      <w:pPr>
        <w:spacing w:line="480" w:lineRule="exact"/>
        <w:ind w:left="0" w:leftChars="0" w:firstLine="0" w:firstLineChars="0"/>
        <w:jc w:val="left"/>
        <w:rPr>
          <w:rFonts w:hint="eastAsia" w:ascii="宋体" w:hAnsi="宋体"/>
          <w:b/>
          <w:bCs/>
          <w:sz w:val="24"/>
          <w:szCs w:val="24"/>
        </w:rPr>
      </w:pPr>
      <w:r>
        <w:rPr>
          <w:rFonts w:hint="eastAsia" w:ascii="华文中宋" w:hAnsi="华文中宋" w:eastAsia="华文中宋"/>
          <w:b/>
          <w:bCs/>
          <w:sz w:val="28"/>
          <w:szCs w:val="32"/>
        </w:rPr>
        <w:t>注</w:t>
      </w:r>
      <w:r>
        <w:rPr>
          <w:rFonts w:hint="eastAsia" w:ascii="宋体" w:hAnsi="宋体"/>
          <w:b/>
          <w:bCs/>
          <w:sz w:val="28"/>
          <w:szCs w:val="28"/>
        </w:rPr>
        <w:t>：(1) 标注“</w:t>
      </w:r>
      <w:r>
        <w:rPr>
          <w:rFonts w:hint="default" w:ascii="宋体" w:hAnsi="宋体"/>
          <w:b/>
          <w:bCs/>
          <w:sz w:val="28"/>
          <w:szCs w:val="28"/>
          <w:lang w:val="en-US"/>
        </w:rPr>
        <w:t>★</w:t>
      </w:r>
      <w:r>
        <w:rPr>
          <w:rFonts w:hint="eastAsia" w:ascii="宋体" w:hAnsi="宋体"/>
          <w:b/>
          <w:bCs/>
          <w:sz w:val="28"/>
          <w:szCs w:val="28"/>
        </w:rPr>
        <w:t>”号的参数为关键性技术参数指标</w:t>
      </w:r>
      <w:r>
        <w:rPr>
          <w:rFonts w:hint="eastAsia" w:ascii="宋体" w:hAnsi="宋体"/>
          <w:b/>
          <w:bCs/>
          <w:sz w:val="24"/>
          <w:szCs w:val="24"/>
        </w:rPr>
        <w:t>。</w:t>
      </w:r>
    </w:p>
    <w:p>
      <w:pPr>
        <w:rPr>
          <w:rFonts w:hint="eastAsia" w:ascii="宋体" w:hAnsi="宋体" w:eastAsia="宋体" w:cs="宋体"/>
          <w:sz w:val="24"/>
          <w:szCs w:val="32"/>
          <w:lang w:eastAsia="zh-CN"/>
        </w:rPr>
      </w:pPr>
    </w:p>
    <w:p>
      <w:pPr>
        <w:pStyle w:val="2"/>
        <w:rPr>
          <w:rFonts w:hint="eastAsia"/>
          <w:lang w:val="en-US" w:eastAsia="zh-CN"/>
        </w:rPr>
      </w:pPr>
      <w:r>
        <w:rPr>
          <w:rFonts w:hint="eastAsia"/>
          <w:sz w:val="40"/>
          <w:szCs w:val="32"/>
          <w:lang w:val="en-US" w:eastAsia="zh-CN"/>
        </w:rPr>
        <w:t>B包：</w:t>
      </w:r>
    </w:p>
    <w:p>
      <w:pPr>
        <w:pStyle w:val="43"/>
        <w:ind w:left="0" w:leftChars="0" w:firstLine="0" w:firstLineChars="0"/>
        <w:rPr>
          <w:rFonts w:hint="eastAsia" w:eastAsia="宋体"/>
          <w:b/>
          <w:bCs/>
          <w:sz w:val="28"/>
          <w:szCs w:val="28"/>
          <w:lang w:eastAsia="zh-CN"/>
        </w:rPr>
      </w:pPr>
      <w:r>
        <w:rPr>
          <w:rFonts w:hint="eastAsia"/>
          <w:b/>
          <w:bCs/>
          <w:sz w:val="28"/>
          <w:szCs w:val="28"/>
          <w:lang w:eastAsia="zh-CN"/>
        </w:rPr>
        <w:t>一、采购清单</w:t>
      </w:r>
    </w:p>
    <w:tbl>
      <w:tblPr>
        <w:tblStyle w:val="19"/>
        <w:tblW w:w="9438" w:type="dxa"/>
        <w:tblInd w:w="118" w:type="dxa"/>
        <w:tblLayout w:type="fixed"/>
        <w:tblCellMar>
          <w:top w:w="0" w:type="dxa"/>
          <w:left w:w="108" w:type="dxa"/>
          <w:bottom w:w="0" w:type="dxa"/>
          <w:right w:w="108" w:type="dxa"/>
        </w:tblCellMar>
      </w:tblPr>
      <w:tblGrid>
        <w:gridCol w:w="868"/>
        <w:gridCol w:w="4434"/>
        <w:gridCol w:w="1051"/>
        <w:gridCol w:w="1252"/>
        <w:gridCol w:w="1833"/>
      </w:tblGrid>
      <w:tr>
        <w:tblPrEx>
          <w:tblCellMar>
            <w:top w:w="0" w:type="dxa"/>
            <w:left w:w="108" w:type="dxa"/>
            <w:bottom w:w="0" w:type="dxa"/>
            <w:right w:w="108" w:type="dxa"/>
          </w:tblCellMar>
        </w:tblPrEx>
        <w:trPr>
          <w:trHeight w:val="479" w:hRule="atLeast"/>
          <w:tblHeader/>
        </w:trPr>
        <w:tc>
          <w:tcPr>
            <w:tcW w:w="868" w:type="dxa"/>
            <w:tcBorders>
              <w:top w:val="single" w:color="auto" w:sz="8" w:space="0"/>
              <w:left w:val="single" w:color="auto" w:sz="8" w:space="0"/>
              <w:bottom w:val="single" w:color="000000" w:sz="8"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4434" w:type="dxa"/>
            <w:tcBorders>
              <w:top w:val="single" w:color="auto" w:sz="8" w:space="0"/>
              <w:left w:val="single" w:color="auto" w:sz="8" w:space="0"/>
              <w:bottom w:val="single" w:color="000000" w:sz="8" w:space="0"/>
              <w:right w:val="single" w:color="000000"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名称</w:t>
            </w:r>
          </w:p>
        </w:tc>
        <w:tc>
          <w:tcPr>
            <w:tcW w:w="1051" w:type="dxa"/>
            <w:tcBorders>
              <w:top w:val="single" w:color="auto" w:sz="8" w:space="0"/>
              <w:left w:val="single" w:color="auto" w:sz="8" w:space="0"/>
              <w:bottom w:val="single" w:color="000000" w:sz="8"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c>
          <w:tcPr>
            <w:tcW w:w="1252" w:type="dxa"/>
            <w:tcBorders>
              <w:top w:val="single" w:color="auto" w:sz="8" w:space="0"/>
              <w:left w:val="single" w:color="auto" w:sz="8" w:space="0"/>
              <w:bottom w:val="single" w:color="auto" w:sz="4"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单位</w:t>
            </w:r>
          </w:p>
        </w:tc>
        <w:tc>
          <w:tcPr>
            <w:tcW w:w="1833" w:type="dxa"/>
            <w:tcBorders>
              <w:top w:val="single" w:color="auto" w:sz="8" w:space="0"/>
              <w:left w:val="nil"/>
              <w:bottom w:val="single" w:color="auto" w:sz="4"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货物/服务</w:t>
            </w:r>
            <w:r>
              <w:rPr>
                <w:rFonts w:ascii="Calibri" w:hAnsi="Calibri" w:eastAsia="宋体" w:cs="Calibri"/>
                <w:color w:val="auto"/>
                <w:kern w:val="0"/>
                <w:szCs w:val="21"/>
              </w:rPr>
              <w:t> </w:t>
            </w:r>
          </w:p>
        </w:tc>
      </w:tr>
      <w:tr>
        <w:tblPrEx>
          <w:tblCellMar>
            <w:top w:w="0" w:type="dxa"/>
            <w:left w:w="108" w:type="dxa"/>
            <w:bottom w:w="0" w:type="dxa"/>
            <w:right w:w="108" w:type="dxa"/>
          </w:tblCellMar>
        </w:tblPrEx>
        <w:trPr>
          <w:trHeight w:val="498" w:hRule="atLeast"/>
        </w:trPr>
        <w:tc>
          <w:tcPr>
            <w:tcW w:w="868" w:type="dxa"/>
            <w:tcBorders>
              <w:top w:val="nil"/>
              <w:left w:val="single" w:color="auto" w:sz="8" w:space="0"/>
              <w:bottom w:val="single" w:color="auto" w:sz="8" w:space="0"/>
              <w:right w:val="single" w:color="auto" w:sz="8" w:space="0"/>
            </w:tcBorders>
            <w:noWrap w:val="0"/>
            <w:vAlign w:val="center"/>
          </w:tcPr>
          <w:p>
            <w:pPr>
              <w:widowControl/>
              <w:numPr>
                <w:ilvl w:val="0"/>
                <w:numId w:val="0"/>
              </w:numPr>
              <w:ind w:leftChars="0"/>
              <w:jc w:val="both"/>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1.</w:t>
            </w:r>
          </w:p>
        </w:tc>
        <w:tc>
          <w:tcPr>
            <w:tcW w:w="4434" w:type="dxa"/>
            <w:tcBorders>
              <w:top w:val="single" w:color="auto" w:sz="8" w:space="0"/>
              <w:left w:val="nil"/>
              <w:bottom w:val="single" w:color="auto" w:sz="8" w:space="0"/>
              <w:right w:val="single" w:color="000000" w:sz="8" w:space="0"/>
            </w:tcBorders>
            <w:noWrap w:val="0"/>
            <w:vAlign w:val="center"/>
          </w:tcPr>
          <w:p>
            <w:pPr>
              <w:widowControl/>
              <w:numPr>
                <w:ilvl w:val="0"/>
                <w:numId w:val="0"/>
              </w:numPr>
              <w:ind w:leftChars="0"/>
              <w:jc w:val="both"/>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血液透析机（双泵）设备</w:t>
            </w:r>
          </w:p>
        </w:tc>
        <w:tc>
          <w:tcPr>
            <w:tcW w:w="1051" w:type="dxa"/>
            <w:tcBorders>
              <w:top w:val="nil"/>
              <w:left w:val="nil"/>
              <w:bottom w:val="single" w:color="auto" w:sz="8" w:space="0"/>
              <w:right w:val="single" w:color="auto" w:sz="8"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1252" w:type="dxa"/>
            <w:tcBorders>
              <w:top w:val="single" w:color="auto" w:sz="4" w:space="0"/>
              <w:left w:val="nil"/>
              <w:bottom w:val="single" w:color="auto" w:sz="8" w:space="0"/>
              <w:right w:val="single" w:color="auto" w:sz="8" w:space="0"/>
            </w:tcBorders>
            <w:noWrap w:val="0"/>
            <w:vAlign w:val="center"/>
          </w:tcPr>
          <w:p>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1833" w:type="dxa"/>
            <w:tcBorders>
              <w:top w:val="single" w:color="auto" w:sz="4" w:space="0"/>
              <w:left w:val="nil"/>
              <w:bottom w:val="single" w:color="auto" w:sz="8" w:space="0"/>
              <w:right w:val="single" w:color="auto" w:sz="8"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货物</w:t>
            </w:r>
          </w:p>
        </w:tc>
      </w:tr>
    </w:tbl>
    <w:p>
      <w:pPr>
        <w:pStyle w:val="2"/>
        <w:rPr>
          <w:rFonts w:hint="eastAsia" w:ascii="宋体" w:hAnsi="宋体" w:eastAsia="宋体" w:cs="宋体"/>
          <w:lang w:val="en-US" w:eastAsia="zh-CN"/>
        </w:rPr>
      </w:pPr>
    </w:p>
    <w:p>
      <w:pPr>
        <w:pStyle w:val="2"/>
        <w:rPr>
          <w:rFonts w:hint="eastAsia" w:ascii="宋体" w:hAnsi="宋体" w:eastAsia="宋体" w:cs="宋体"/>
          <w:lang w:val="en-US" w:eastAsia="zh-CN"/>
        </w:rPr>
      </w:pPr>
      <w:r>
        <w:rPr>
          <w:rFonts w:hint="eastAsia" w:ascii="宋体" w:hAnsi="宋体" w:eastAsia="宋体" w:cs="宋体"/>
          <w:lang w:val="en-US" w:eastAsia="zh-CN"/>
        </w:rPr>
        <w:t>二、技术参数</w:t>
      </w:r>
    </w:p>
    <w:p>
      <w:pPr>
        <w:ind w:firstLine="2520" w:firstLineChars="1200"/>
      </w:pPr>
    </w:p>
    <w:tbl>
      <w:tblPr>
        <w:tblStyle w:val="20"/>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3099"/>
        <w:gridCol w:w="5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1</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整机要求</w:t>
            </w:r>
          </w:p>
        </w:tc>
        <w:tc>
          <w:tcPr>
            <w:tcW w:w="5955" w:type="dxa"/>
            <w:vAlign w:val="center"/>
          </w:tcPr>
          <w:p>
            <w:pPr>
              <w:ind w:right="298" w:rightChars="142"/>
              <w:jc w:val="both"/>
              <w:rPr>
                <w:rFonts w:asciiTheme="minorEastAsia" w:hAnsiTheme="minorEastAsia"/>
                <w:sz w:val="24"/>
                <w:szCs w:val="24"/>
              </w:rPr>
            </w:pPr>
            <w:r>
              <w:rPr>
                <w:rFonts w:hint="eastAsia" w:asciiTheme="minorEastAsia" w:hAnsiTheme="minorEastAsia"/>
                <w:sz w:val="24"/>
                <w:szCs w:val="24"/>
                <w:lang w:val="zh-CN"/>
              </w:rPr>
              <w:t>原装进口，国际一线品牌，投标方所投品牌机型为此品牌最新注册机型（首次</w:t>
            </w:r>
            <w:r>
              <w:rPr>
                <w:rFonts w:asciiTheme="minorEastAsia" w:hAnsiTheme="minorEastAsia"/>
                <w:sz w:val="24"/>
                <w:szCs w:val="24"/>
                <w:lang w:val="zh-CN"/>
              </w:rPr>
              <w:t>注册</w:t>
            </w:r>
            <w:r>
              <w:rPr>
                <w:rFonts w:hint="eastAsia" w:asciiTheme="minorEastAsia" w:hAnsiTheme="minorEastAsia"/>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b/>
                <w:sz w:val="24"/>
                <w:szCs w:val="24"/>
                <w:lang w:eastAsia="zh-CN"/>
              </w:rPr>
              <w:t>★</w:t>
            </w:r>
            <w:r>
              <w:rPr>
                <w:rFonts w:hint="eastAsia" w:asciiTheme="minorEastAsia" w:hAnsiTheme="minorEastAsia"/>
                <w:sz w:val="24"/>
                <w:szCs w:val="24"/>
              </w:rPr>
              <w:t>2</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lang w:val="zh-CN"/>
              </w:rPr>
              <w:t>临床应用</w:t>
            </w:r>
          </w:p>
        </w:tc>
        <w:tc>
          <w:tcPr>
            <w:tcW w:w="5955" w:type="dxa"/>
            <w:vAlign w:val="center"/>
          </w:tcPr>
          <w:p>
            <w:pPr>
              <w:jc w:val="both"/>
              <w:rPr>
                <w:rFonts w:asciiTheme="minorEastAsia" w:hAnsiTheme="minorEastAsia"/>
                <w:sz w:val="24"/>
                <w:szCs w:val="24"/>
              </w:rPr>
            </w:pPr>
            <w:r>
              <w:rPr>
                <w:rFonts w:asciiTheme="minorEastAsia" w:hAnsiTheme="minorEastAsia"/>
                <w:sz w:val="24"/>
                <w:szCs w:val="24"/>
              </w:rPr>
              <w:t>可作碳酸氢盐、醋酸盐常规透析</w:t>
            </w:r>
            <w:r>
              <w:rPr>
                <w:rFonts w:hint="eastAsia" w:asciiTheme="minorEastAsia" w:hAnsiTheme="minorEastAsia"/>
                <w:sz w:val="24"/>
                <w:szCs w:val="24"/>
              </w:rPr>
              <w:t>，单针透析程序贯超滤程序ISO-UF，HD\HDF\HF,</w:t>
            </w:r>
            <w:r>
              <w:rPr>
                <w:rFonts w:asciiTheme="minorEastAsia" w:hAnsiTheme="minorEastAsia"/>
                <w:sz w:val="24"/>
                <w:szCs w:val="24"/>
              </w:rPr>
              <w:t>online</w:t>
            </w:r>
            <w:r>
              <w:rPr>
                <w:rFonts w:hint="eastAsia" w:asciiTheme="minorEastAsia" w:hAnsiTheme="minorEastAsia"/>
                <w:sz w:val="24"/>
                <w:szCs w:val="24"/>
              </w:rPr>
              <w:t>在线生成置换液，可进行24小时的缓慢持续的治疗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3</w:t>
            </w:r>
          </w:p>
        </w:tc>
        <w:tc>
          <w:tcPr>
            <w:tcW w:w="3099" w:type="dxa"/>
            <w:tcBorders>
              <w:bottom w:val="single" w:color="auto" w:sz="4" w:space="0"/>
            </w:tcBorders>
            <w:vAlign w:val="center"/>
          </w:tcPr>
          <w:p>
            <w:pPr>
              <w:jc w:val="both"/>
              <w:rPr>
                <w:rFonts w:asciiTheme="minorEastAsia" w:hAnsiTheme="minorEastAsia"/>
                <w:b/>
                <w:sz w:val="24"/>
                <w:szCs w:val="24"/>
              </w:rPr>
            </w:pPr>
            <w:r>
              <w:rPr>
                <w:rFonts w:hint="eastAsia" w:asciiTheme="minorEastAsia" w:hAnsiTheme="minorEastAsia"/>
                <w:b/>
                <w:sz w:val="24"/>
                <w:szCs w:val="24"/>
                <w:lang w:val="zh-CN"/>
              </w:rPr>
              <w:t>显示屏</w:t>
            </w:r>
          </w:p>
        </w:tc>
        <w:tc>
          <w:tcPr>
            <w:tcW w:w="5955" w:type="dxa"/>
            <w:tcBorders>
              <w:bottom w:val="single" w:color="auto" w:sz="4" w:space="0"/>
            </w:tcBorders>
            <w:vAlign w:val="center"/>
          </w:tcPr>
          <w:p>
            <w:pPr>
              <w:jc w:val="both"/>
              <w:rPr>
                <w:rFonts w:asciiTheme="minorEastAsia" w:hAnsiTheme="minorEastAsia"/>
                <w:sz w:val="24"/>
                <w:szCs w:val="24"/>
              </w:rPr>
            </w:pPr>
            <w:r>
              <w:rPr>
                <w:rFonts w:hint="eastAsia" w:asciiTheme="minorEastAsia" w:hAnsiTheme="minorEastAsia"/>
                <w:sz w:val="24"/>
                <w:szCs w:val="24"/>
                <w:lang w:val="zh-CN"/>
              </w:rPr>
              <w:t>≥15英寸的高分辨率彩色可旋转式触摸屏，中英文操作界面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4</w:t>
            </w:r>
          </w:p>
        </w:tc>
        <w:tc>
          <w:tcPr>
            <w:tcW w:w="3099" w:type="dxa"/>
            <w:tcBorders>
              <w:right w:val="single" w:color="auto" w:sz="4" w:space="0"/>
            </w:tcBorders>
            <w:vAlign w:val="center"/>
          </w:tcPr>
          <w:p>
            <w:pPr>
              <w:jc w:val="both"/>
              <w:rPr>
                <w:rFonts w:asciiTheme="minorEastAsia" w:hAnsiTheme="minorEastAsia"/>
                <w:b/>
                <w:sz w:val="24"/>
                <w:szCs w:val="24"/>
              </w:rPr>
            </w:pPr>
            <w:r>
              <w:rPr>
                <w:rFonts w:hint="eastAsia" w:asciiTheme="minorEastAsia" w:hAnsiTheme="minorEastAsia"/>
                <w:b/>
                <w:sz w:val="24"/>
                <w:szCs w:val="24"/>
              </w:rPr>
              <w:t>供水</w:t>
            </w:r>
          </w:p>
        </w:tc>
        <w:tc>
          <w:tcPr>
            <w:tcW w:w="5955" w:type="dxa"/>
            <w:tcBorders>
              <w:left w:val="single" w:color="auto" w:sz="4" w:space="0"/>
            </w:tcBorders>
            <w:vAlign w:val="center"/>
          </w:tcPr>
          <w:p>
            <w:pPr>
              <w:jc w:val="both"/>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4.1</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进水压</w:t>
            </w:r>
          </w:p>
        </w:tc>
        <w:tc>
          <w:tcPr>
            <w:tcW w:w="5955" w:type="dxa"/>
            <w:vAlign w:val="center"/>
          </w:tcPr>
          <w:p>
            <w:pPr>
              <w:jc w:val="both"/>
              <w:rPr>
                <w:rFonts w:asciiTheme="minorEastAsia" w:hAnsiTheme="minorEastAsia"/>
                <w:sz w:val="24"/>
                <w:szCs w:val="24"/>
              </w:rPr>
            </w:pPr>
            <w:r>
              <w:rPr>
                <w:rFonts w:asciiTheme="minorEastAsia" w:hAnsiTheme="minorEastAsia"/>
                <w:sz w:val="24"/>
                <w:szCs w:val="24"/>
              </w:rPr>
              <w:t>1.5 ～ 6.0 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4.2</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进水温度</w:t>
            </w:r>
          </w:p>
        </w:tc>
        <w:tc>
          <w:tcPr>
            <w:tcW w:w="5955" w:type="dxa"/>
            <w:vAlign w:val="center"/>
          </w:tcPr>
          <w:p>
            <w:pPr>
              <w:jc w:val="both"/>
              <w:rPr>
                <w:rFonts w:asciiTheme="minorEastAsia" w:hAnsiTheme="minorEastAsia"/>
                <w:sz w:val="24"/>
                <w:szCs w:val="24"/>
              </w:rPr>
            </w:pPr>
            <w:r>
              <w:rPr>
                <w:rFonts w:asciiTheme="minorEastAsia" w:hAnsiTheme="minorEastAsia"/>
                <w:sz w:val="24"/>
                <w:szCs w:val="24"/>
              </w:rPr>
              <w:t>5℃ ～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4.3</w:t>
            </w:r>
          </w:p>
        </w:tc>
        <w:tc>
          <w:tcPr>
            <w:tcW w:w="3099" w:type="dxa"/>
            <w:tcBorders>
              <w:bottom w:val="single" w:color="auto" w:sz="4" w:space="0"/>
            </w:tcBorders>
            <w:vAlign w:val="center"/>
          </w:tcPr>
          <w:p>
            <w:pPr>
              <w:jc w:val="both"/>
              <w:rPr>
                <w:rFonts w:asciiTheme="minorEastAsia" w:hAnsiTheme="minorEastAsia"/>
                <w:b/>
                <w:sz w:val="24"/>
                <w:szCs w:val="24"/>
              </w:rPr>
            </w:pPr>
            <w:r>
              <w:rPr>
                <w:rFonts w:hint="eastAsia" w:asciiTheme="minorEastAsia" w:hAnsiTheme="minorEastAsia"/>
                <w:b/>
                <w:sz w:val="24"/>
                <w:szCs w:val="24"/>
              </w:rPr>
              <w:t>最大的废液管高度</w:t>
            </w:r>
          </w:p>
        </w:tc>
        <w:tc>
          <w:tcPr>
            <w:tcW w:w="5955" w:type="dxa"/>
            <w:tcBorders>
              <w:bottom w:val="single" w:color="auto" w:sz="4" w:space="0"/>
            </w:tcBorders>
            <w:vAlign w:val="center"/>
          </w:tcPr>
          <w:p>
            <w:pPr>
              <w:jc w:val="both"/>
              <w:rPr>
                <w:rFonts w:asciiTheme="minorEastAsia" w:hAnsiTheme="minorEastAsia"/>
                <w:sz w:val="24"/>
                <w:szCs w:val="24"/>
              </w:rPr>
            </w:pPr>
            <w:r>
              <w:rPr>
                <w:rFonts w:hint="eastAsia" w:asciiTheme="minorEastAsia" w:hAnsiTheme="minorEastAsia"/>
                <w:sz w:val="24"/>
                <w:szCs w:val="24"/>
              </w:rPr>
              <w:t>1米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5</w:t>
            </w:r>
          </w:p>
        </w:tc>
        <w:tc>
          <w:tcPr>
            <w:tcW w:w="3099" w:type="dxa"/>
            <w:tcBorders>
              <w:right w:val="single" w:color="auto" w:sz="4" w:space="0"/>
            </w:tcBorders>
            <w:vAlign w:val="center"/>
          </w:tcPr>
          <w:p>
            <w:pPr>
              <w:jc w:val="both"/>
              <w:rPr>
                <w:rFonts w:asciiTheme="minorEastAsia" w:hAnsiTheme="minorEastAsia"/>
                <w:b/>
                <w:sz w:val="24"/>
                <w:szCs w:val="24"/>
              </w:rPr>
            </w:pPr>
            <w:r>
              <w:rPr>
                <w:rFonts w:hint="eastAsia" w:asciiTheme="minorEastAsia" w:hAnsiTheme="minorEastAsia"/>
                <w:b/>
                <w:sz w:val="24"/>
                <w:szCs w:val="24"/>
              </w:rPr>
              <w:t>浓缩液供给</w:t>
            </w:r>
          </w:p>
        </w:tc>
        <w:tc>
          <w:tcPr>
            <w:tcW w:w="5955" w:type="dxa"/>
            <w:tcBorders>
              <w:left w:val="single" w:color="auto" w:sz="4" w:space="0"/>
            </w:tcBorders>
            <w:vAlign w:val="center"/>
          </w:tcPr>
          <w:p>
            <w:pPr>
              <w:jc w:val="both"/>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5.1</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供液压</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大于或等于1米的吸入高度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6</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供电要求</w:t>
            </w:r>
          </w:p>
        </w:tc>
        <w:tc>
          <w:tcPr>
            <w:tcW w:w="5955" w:type="dxa"/>
            <w:vAlign w:val="center"/>
          </w:tcPr>
          <w:p>
            <w:pPr>
              <w:jc w:val="both"/>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6.1</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电源</w:t>
            </w:r>
          </w:p>
        </w:tc>
        <w:tc>
          <w:tcPr>
            <w:tcW w:w="5955" w:type="dxa"/>
            <w:vAlign w:val="center"/>
          </w:tcPr>
          <w:p>
            <w:pPr>
              <w:jc w:val="both"/>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30</w:t>
            </w:r>
            <w:r>
              <w:rPr>
                <w:rFonts w:asciiTheme="minorEastAsia" w:hAnsiTheme="minorEastAsia"/>
                <w:sz w:val="24"/>
                <w:szCs w:val="24"/>
              </w:rPr>
              <w:t>V</w:t>
            </w:r>
            <w:r>
              <w:rPr>
                <w:rFonts w:hint="eastAsia" w:asciiTheme="minorEastAsia" w:hAnsiTheme="minorEastAsia"/>
                <w:sz w:val="24"/>
                <w:szCs w:val="24"/>
              </w:rPr>
              <w:t xml:space="preserve"> AC </w:t>
            </w:r>
            <w:r>
              <w:rPr>
                <w:rFonts w:cs="Arial" w:asciiTheme="minorEastAsia" w:hAnsiTheme="minorEastAsia"/>
                <w:sz w:val="24"/>
                <w:szCs w:val="24"/>
              </w:rPr>
              <w:t>±</w:t>
            </w:r>
            <w:r>
              <w:rPr>
                <w:rFonts w:hint="eastAsia" w:asciiTheme="minorEastAsia" w:hAnsiTheme="minorEastAsia"/>
                <w:sz w:val="24"/>
                <w:szCs w:val="24"/>
              </w:rPr>
              <w:t>10%, 47/63</w:t>
            </w:r>
            <w:r>
              <w:rPr>
                <w:rFonts w:asciiTheme="minorEastAsia" w:hAnsiTheme="minorEastAsia"/>
                <w:sz w:val="24"/>
                <w:szCs w:val="24"/>
              </w:rPr>
              <w:t xml:space="preserve"> H</w:t>
            </w:r>
            <w:r>
              <w:rPr>
                <w:rFonts w:hint="eastAsia" w:asciiTheme="minorEastAsia" w:hAnsiTheme="minorEastAsia"/>
                <w:sz w:val="24"/>
                <w:szCs w:val="24"/>
              </w:rPr>
              <w:t>Z, 11</w:t>
            </w:r>
            <w:r>
              <w:rPr>
                <w:rFonts w:asciiTheme="minorEastAsia" w:hAnsiTheme="minorEastAsia"/>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7</w:t>
            </w:r>
          </w:p>
        </w:tc>
        <w:tc>
          <w:tcPr>
            <w:tcW w:w="3099" w:type="dxa"/>
            <w:vAlign w:val="center"/>
          </w:tcPr>
          <w:p>
            <w:pPr>
              <w:jc w:val="both"/>
              <w:rPr>
                <w:rFonts w:asciiTheme="minorEastAsia" w:hAnsiTheme="minorEastAsia"/>
                <w:b/>
                <w:sz w:val="24"/>
                <w:szCs w:val="24"/>
              </w:rPr>
            </w:pPr>
            <w:r>
              <w:rPr>
                <w:rFonts w:hint="eastAsia" w:asciiTheme="minorEastAsia" w:hAnsiTheme="minorEastAsia"/>
                <w:b/>
                <w:bCs/>
                <w:sz w:val="24"/>
                <w:szCs w:val="24"/>
              </w:rPr>
              <w:t>体外循环通路</w:t>
            </w:r>
          </w:p>
        </w:tc>
        <w:tc>
          <w:tcPr>
            <w:tcW w:w="5955" w:type="dxa"/>
            <w:vAlign w:val="center"/>
          </w:tcPr>
          <w:p>
            <w:pPr>
              <w:jc w:val="both"/>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7.1</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动脉压监测</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显示范围：</w:t>
            </w:r>
            <w:r>
              <w:rPr>
                <w:rFonts w:asciiTheme="minorEastAsia" w:hAnsiTheme="minorEastAsia"/>
                <w:sz w:val="24"/>
                <w:szCs w:val="24"/>
              </w:rPr>
              <w:t>-300mmHg ～ +</w:t>
            </w:r>
            <w:r>
              <w:rPr>
                <w:rFonts w:hint="eastAsia" w:asciiTheme="minorEastAsia" w:hAnsiTheme="minorEastAsia"/>
                <w:sz w:val="24"/>
                <w:szCs w:val="24"/>
              </w:rPr>
              <w:t>300</w:t>
            </w:r>
            <w:r>
              <w:rPr>
                <w:rFonts w:asciiTheme="minorEastAsia" w:hAnsiTheme="minorEastAsia"/>
                <w:sz w:val="24"/>
                <w:szCs w:val="24"/>
              </w:rPr>
              <w:t>mmHg</w:t>
            </w:r>
            <w:r>
              <w:rPr>
                <w:rFonts w:hint="eastAsia" w:asciiTheme="minorEastAsia" w:hAnsiTheme="minorEastAsia"/>
                <w:sz w:val="24"/>
                <w:szCs w:val="24"/>
              </w:rPr>
              <w:t>；精度：</w:t>
            </w:r>
            <w:r>
              <w:rPr>
                <w:rFonts w:hint="eastAsia" w:ascii="宋体" w:hAnsi="宋体"/>
                <w:sz w:val="24"/>
                <w:szCs w:val="24"/>
              </w:rPr>
              <w:t>≤</w:t>
            </w:r>
            <w:r>
              <w:rPr>
                <w:rFonts w:asciiTheme="minorEastAsia" w:hAnsiTheme="minorEastAsia"/>
                <w:sz w:val="24"/>
                <w:szCs w:val="24"/>
              </w:rPr>
              <w:t>±</w:t>
            </w:r>
            <w:r>
              <w:rPr>
                <w:rFonts w:hint="eastAsia" w:asciiTheme="minorEastAsia" w:hAnsiTheme="minorEastAsia"/>
                <w:sz w:val="24"/>
                <w:szCs w:val="24"/>
              </w:rPr>
              <w:t>7</w:t>
            </w:r>
            <w:r>
              <w:rPr>
                <w:rFonts w:asciiTheme="minorEastAsia" w:hAnsiTheme="minorEastAsia"/>
                <w:sz w:val="24"/>
                <w:szCs w:val="24"/>
              </w:rPr>
              <w:t>mmHg</w:t>
            </w:r>
            <w:r>
              <w:rPr>
                <w:rFonts w:hint="eastAsia" w:asciiTheme="minorEastAsia" w:hAnsiTheme="minorEastAsia"/>
                <w:sz w:val="24"/>
                <w:szCs w:val="24"/>
              </w:rPr>
              <w:t>；分辨率：5</w:t>
            </w:r>
            <w:r>
              <w:rPr>
                <w:rFonts w:asciiTheme="minorEastAsia" w:hAnsiTheme="minorEastAsia"/>
                <w:sz w:val="24"/>
                <w:szCs w:val="24"/>
              </w:rPr>
              <w:t>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7.2</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静脉压监测</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显示</w:t>
            </w:r>
            <w:r>
              <w:rPr>
                <w:rFonts w:asciiTheme="minorEastAsia" w:hAnsiTheme="minorEastAsia"/>
                <w:sz w:val="24"/>
                <w:szCs w:val="24"/>
              </w:rPr>
              <w:t>范围：-</w:t>
            </w:r>
            <w:r>
              <w:rPr>
                <w:rFonts w:hint="eastAsia" w:asciiTheme="minorEastAsia" w:hAnsiTheme="minorEastAsia"/>
                <w:sz w:val="24"/>
                <w:szCs w:val="24"/>
              </w:rPr>
              <w:t>100</w:t>
            </w:r>
            <w:r>
              <w:rPr>
                <w:rFonts w:asciiTheme="minorEastAsia" w:hAnsiTheme="minorEastAsia"/>
                <w:sz w:val="24"/>
                <w:szCs w:val="24"/>
              </w:rPr>
              <w:t>mmHg ～ +</w:t>
            </w:r>
            <w:r>
              <w:rPr>
                <w:rFonts w:hint="eastAsia" w:asciiTheme="minorEastAsia" w:hAnsiTheme="minorEastAsia"/>
                <w:sz w:val="24"/>
                <w:szCs w:val="24"/>
              </w:rPr>
              <w:t>500</w:t>
            </w:r>
            <w:r>
              <w:rPr>
                <w:rFonts w:asciiTheme="minorEastAsia" w:hAnsiTheme="minorEastAsia"/>
                <w:sz w:val="24"/>
                <w:szCs w:val="24"/>
              </w:rPr>
              <w:t>mmHg</w:t>
            </w:r>
            <w:r>
              <w:rPr>
                <w:rFonts w:hint="eastAsia" w:asciiTheme="minorEastAsia" w:hAnsiTheme="minorEastAsia"/>
                <w:sz w:val="24"/>
                <w:szCs w:val="24"/>
              </w:rPr>
              <w:t>；精度</w:t>
            </w:r>
            <w:r>
              <w:rPr>
                <w:rFonts w:asciiTheme="minorEastAsia" w:hAnsiTheme="minorEastAsia"/>
                <w:sz w:val="24"/>
                <w:szCs w:val="24"/>
              </w:rPr>
              <w:t>：</w:t>
            </w:r>
            <w:r>
              <w:rPr>
                <w:rFonts w:hint="eastAsia" w:ascii="宋体" w:hAnsi="宋体"/>
                <w:sz w:val="24"/>
                <w:szCs w:val="24"/>
              </w:rPr>
              <w:t>≤</w:t>
            </w:r>
            <w:r>
              <w:rPr>
                <w:rFonts w:asciiTheme="minorEastAsia" w:hAnsiTheme="minorEastAsia"/>
                <w:sz w:val="24"/>
                <w:szCs w:val="24"/>
              </w:rPr>
              <w:t>±</w:t>
            </w:r>
            <w:r>
              <w:rPr>
                <w:rFonts w:hint="eastAsia" w:asciiTheme="minorEastAsia" w:hAnsiTheme="minorEastAsia"/>
                <w:sz w:val="24"/>
                <w:szCs w:val="24"/>
              </w:rPr>
              <w:t>7</w:t>
            </w:r>
            <w:r>
              <w:rPr>
                <w:rFonts w:asciiTheme="minorEastAsia" w:hAnsiTheme="minorEastAsia"/>
                <w:sz w:val="24"/>
                <w:szCs w:val="24"/>
              </w:rPr>
              <w:t>mmHg</w:t>
            </w:r>
            <w:r>
              <w:rPr>
                <w:rFonts w:hint="eastAsia" w:asciiTheme="minorEastAsia" w:hAnsiTheme="minorEastAsia"/>
                <w:sz w:val="24"/>
                <w:szCs w:val="24"/>
              </w:rPr>
              <w:t>；</w:t>
            </w:r>
            <w:r>
              <w:rPr>
                <w:rFonts w:asciiTheme="minorEastAsia" w:hAnsiTheme="minorEastAsia"/>
                <w:sz w:val="24"/>
                <w:szCs w:val="24"/>
              </w:rPr>
              <w:t>分辨率：</w:t>
            </w:r>
            <w:r>
              <w:rPr>
                <w:rFonts w:hint="eastAsia" w:asciiTheme="minorEastAsia" w:hAnsiTheme="minorEastAsia"/>
                <w:sz w:val="24"/>
                <w:szCs w:val="24"/>
              </w:rPr>
              <w:t>5</w:t>
            </w:r>
            <w:r>
              <w:rPr>
                <w:rFonts w:asciiTheme="minorEastAsia" w:hAnsiTheme="minorEastAsia"/>
                <w:sz w:val="24"/>
                <w:szCs w:val="24"/>
              </w:rPr>
              <w:t>m</w:t>
            </w:r>
            <w:r>
              <w:rPr>
                <w:rFonts w:hint="eastAsia" w:asciiTheme="minorEastAsia" w:hAnsiTheme="minorEastAsia"/>
                <w:sz w:val="24"/>
                <w:szCs w:val="24"/>
              </w:rPr>
              <w:t>m</w:t>
            </w:r>
            <w:r>
              <w:rPr>
                <w:rFonts w:asciiTheme="minorEastAsia" w:hAnsiTheme="minorEastAsia"/>
                <w:sz w:val="24"/>
                <w:szCs w:val="24"/>
              </w:rPr>
              <w:t>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7.3</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跨膜压力监测</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显示</w:t>
            </w:r>
            <w:r>
              <w:rPr>
                <w:rFonts w:asciiTheme="minorEastAsia" w:hAnsiTheme="minorEastAsia"/>
                <w:sz w:val="24"/>
                <w:szCs w:val="24"/>
              </w:rPr>
              <w:t>范围：-</w:t>
            </w:r>
            <w:r>
              <w:rPr>
                <w:rFonts w:hint="eastAsia" w:asciiTheme="minorEastAsia" w:hAnsiTheme="minorEastAsia"/>
                <w:sz w:val="24"/>
                <w:szCs w:val="24"/>
              </w:rPr>
              <w:t>100</w:t>
            </w:r>
            <w:r>
              <w:rPr>
                <w:rFonts w:asciiTheme="minorEastAsia" w:hAnsiTheme="minorEastAsia"/>
                <w:sz w:val="24"/>
                <w:szCs w:val="24"/>
              </w:rPr>
              <w:t xml:space="preserve"> mmHg ～ +4</w:t>
            </w:r>
            <w:r>
              <w:rPr>
                <w:rFonts w:hint="eastAsia" w:asciiTheme="minorEastAsia" w:hAnsiTheme="minorEastAsia"/>
                <w:sz w:val="24"/>
                <w:szCs w:val="24"/>
              </w:rPr>
              <w:t>00</w:t>
            </w:r>
            <w:r>
              <w:rPr>
                <w:rFonts w:asciiTheme="minorEastAsia" w:hAnsiTheme="minorEastAsia"/>
                <w:sz w:val="24"/>
                <w:szCs w:val="24"/>
              </w:rPr>
              <w:t xml:space="preserve"> mmHg</w:t>
            </w:r>
            <w:r>
              <w:rPr>
                <w:rFonts w:hint="eastAsia" w:asciiTheme="minorEastAsia" w:hAnsiTheme="minorEastAsia"/>
                <w:sz w:val="24"/>
                <w:szCs w:val="24"/>
              </w:rPr>
              <w:t>；分辨</w:t>
            </w:r>
            <w:r>
              <w:rPr>
                <w:rFonts w:asciiTheme="minorEastAsia" w:hAnsiTheme="minorEastAsia"/>
                <w:sz w:val="24"/>
                <w:szCs w:val="24"/>
              </w:rPr>
              <w:t>率：</w:t>
            </w:r>
            <w:r>
              <w:rPr>
                <w:rFonts w:hint="eastAsia" w:asciiTheme="minorEastAsia" w:hAnsiTheme="minorEastAsia"/>
                <w:sz w:val="24"/>
                <w:szCs w:val="24"/>
              </w:rPr>
              <w:t>5</w:t>
            </w:r>
            <w:r>
              <w:rPr>
                <w:rFonts w:asciiTheme="minorEastAsia" w:hAnsiTheme="minorEastAsia"/>
                <w:sz w:val="24"/>
                <w:szCs w:val="24"/>
              </w:rPr>
              <w:t>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7.4</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动脉血泵血流量</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流量</w:t>
            </w:r>
            <w:r>
              <w:rPr>
                <w:rFonts w:asciiTheme="minorEastAsia" w:hAnsiTheme="minorEastAsia"/>
                <w:sz w:val="24"/>
                <w:szCs w:val="24"/>
              </w:rPr>
              <w:t>范围：30～600ml/min</w:t>
            </w:r>
            <w:r>
              <w:rPr>
                <w:rFonts w:hint="eastAsia" w:asciiTheme="minorEastAsia" w:hAnsiTheme="minorEastAsia"/>
                <w:sz w:val="24"/>
                <w:szCs w:val="24"/>
              </w:rPr>
              <w:t>；精度</w:t>
            </w:r>
            <w:r>
              <w:rPr>
                <w:rFonts w:asciiTheme="minorEastAsia" w:hAnsiTheme="minorEastAsia"/>
                <w:sz w:val="24"/>
                <w:szCs w:val="24"/>
              </w:rPr>
              <w:t>：</w:t>
            </w:r>
            <w:r>
              <w:rPr>
                <w:rFonts w:hint="eastAsia" w:asciiTheme="minorEastAsia" w:hAnsiTheme="minorEastAsia"/>
                <w:sz w:val="24"/>
                <w:szCs w:val="24"/>
              </w:rPr>
              <w:t>±</w:t>
            </w:r>
            <w:r>
              <w:rPr>
                <w:rFonts w:asciiTheme="minorEastAsia" w:hAnsiTheme="minorEastAsia"/>
                <w:sz w:val="24"/>
                <w:szCs w:val="24"/>
              </w:rPr>
              <w:t>10%</w:t>
            </w:r>
            <w:r>
              <w:rPr>
                <w:rFonts w:hint="eastAsia" w:asciiTheme="minorEastAsia" w:hAnsiTheme="minorEastAsia"/>
                <w:sz w:val="24"/>
                <w:szCs w:val="24"/>
              </w:rPr>
              <w:t>；动脉血泵管直径：</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b/>
                <w:sz w:val="24"/>
                <w:szCs w:val="24"/>
                <w:lang w:eastAsia="zh-CN"/>
              </w:rPr>
              <w:t>★</w:t>
            </w:r>
            <w:r>
              <w:rPr>
                <w:rFonts w:hint="eastAsia" w:asciiTheme="minorEastAsia" w:hAnsiTheme="minorEastAsia"/>
                <w:sz w:val="24"/>
                <w:szCs w:val="24"/>
              </w:rPr>
              <w:t>8</w:t>
            </w:r>
          </w:p>
        </w:tc>
        <w:tc>
          <w:tcPr>
            <w:tcW w:w="3099" w:type="dxa"/>
            <w:vAlign w:val="center"/>
          </w:tcPr>
          <w:p>
            <w:pPr>
              <w:jc w:val="both"/>
              <w:rPr>
                <w:rFonts w:asciiTheme="minorEastAsia" w:hAnsiTheme="minorEastAsia"/>
                <w:b/>
                <w:sz w:val="24"/>
                <w:szCs w:val="24"/>
              </w:rPr>
            </w:pPr>
            <w:r>
              <w:rPr>
                <w:rFonts w:asciiTheme="minorEastAsia" w:hAnsiTheme="minorEastAsia"/>
                <w:b/>
                <w:sz w:val="24"/>
                <w:szCs w:val="24"/>
              </w:rPr>
              <w:t>空气检测器</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超声传导检测空气和血液泡沫，静脉夹中另有光学检测器，双重监测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9</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肝素泵</w:t>
            </w:r>
          </w:p>
        </w:tc>
        <w:tc>
          <w:tcPr>
            <w:tcW w:w="5955" w:type="dxa"/>
            <w:vAlign w:val="center"/>
          </w:tcPr>
          <w:p>
            <w:pPr>
              <w:jc w:val="both"/>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9.1</w:t>
            </w:r>
          </w:p>
        </w:tc>
        <w:tc>
          <w:tcPr>
            <w:tcW w:w="3099" w:type="dxa"/>
            <w:vAlign w:val="center"/>
          </w:tcPr>
          <w:p>
            <w:pPr>
              <w:jc w:val="both"/>
              <w:rPr>
                <w:rFonts w:asciiTheme="minorEastAsia" w:hAnsiTheme="minorEastAsia"/>
                <w:b/>
                <w:sz w:val="24"/>
                <w:szCs w:val="24"/>
              </w:rPr>
            </w:pPr>
            <w:r>
              <w:rPr>
                <w:rFonts w:asciiTheme="minorEastAsia" w:hAnsiTheme="minorEastAsia"/>
                <w:b/>
                <w:sz w:val="24"/>
                <w:szCs w:val="24"/>
              </w:rPr>
              <w:t>流量范围</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 xml:space="preserve">0.5 </w:t>
            </w:r>
            <w:r>
              <w:rPr>
                <w:rFonts w:asciiTheme="minorEastAsia" w:hAnsiTheme="minorEastAsia"/>
                <w:sz w:val="24"/>
                <w:szCs w:val="24"/>
              </w:rPr>
              <w:t>～</w:t>
            </w:r>
            <w:r>
              <w:rPr>
                <w:rFonts w:hint="eastAsia" w:asciiTheme="minorEastAsia" w:hAnsiTheme="minorEastAsia"/>
                <w:sz w:val="24"/>
                <w:szCs w:val="24"/>
              </w:rPr>
              <w:t xml:space="preserve"> 10 ml/h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9.2</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单次追加</w:t>
            </w:r>
            <w:r>
              <w:rPr>
                <w:rFonts w:asciiTheme="minorEastAsia" w:hAnsiTheme="minorEastAsia"/>
                <w:b/>
                <w:sz w:val="24"/>
                <w:szCs w:val="24"/>
              </w:rPr>
              <w:t>剂量</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 xml:space="preserve">1.0ml </w:t>
            </w:r>
            <w:r>
              <w:rPr>
                <w:rFonts w:asciiTheme="minorEastAsia" w:hAnsiTheme="minorEastAsia"/>
                <w:sz w:val="24"/>
                <w:szCs w:val="24"/>
              </w:rPr>
              <w:t>～</w:t>
            </w:r>
            <w:r>
              <w:rPr>
                <w:rFonts w:hint="eastAsia" w:asciiTheme="minorEastAsia" w:hAnsiTheme="minorEastAsia"/>
                <w:sz w:val="24"/>
                <w:szCs w:val="24"/>
              </w:rPr>
              <w:t>20.0ml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9.3</w:t>
            </w:r>
          </w:p>
        </w:tc>
        <w:tc>
          <w:tcPr>
            <w:tcW w:w="3099" w:type="dxa"/>
            <w:vAlign w:val="center"/>
          </w:tcPr>
          <w:p>
            <w:pPr>
              <w:jc w:val="both"/>
              <w:rPr>
                <w:rFonts w:asciiTheme="minorEastAsia" w:hAnsiTheme="minorEastAsia"/>
                <w:b/>
                <w:sz w:val="24"/>
                <w:szCs w:val="24"/>
              </w:rPr>
            </w:pPr>
            <w:r>
              <w:rPr>
                <w:rFonts w:asciiTheme="minorEastAsia" w:hAnsiTheme="minorEastAsia"/>
                <w:b/>
                <w:sz w:val="24"/>
                <w:szCs w:val="24"/>
              </w:rPr>
              <w:t>注射器型号</w:t>
            </w:r>
          </w:p>
        </w:tc>
        <w:tc>
          <w:tcPr>
            <w:tcW w:w="5955" w:type="dxa"/>
            <w:vAlign w:val="center"/>
          </w:tcPr>
          <w:p>
            <w:pPr>
              <w:jc w:val="both"/>
              <w:rPr>
                <w:rFonts w:asciiTheme="minorEastAsia" w:hAnsiTheme="minorEastAsia"/>
                <w:sz w:val="24"/>
                <w:szCs w:val="24"/>
              </w:rPr>
            </w:pPr>
            <w:r>
              <w:rPr>
                <w:rFonts w:asciiTheme="minorEastAsia" w:hAnsiTheme="minorEastAsia"/>
                <w:sz w:val="24"/>
                <w:szCs w:val="24"/>
              </w:rPr>
              <w:t>20ml,30ml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10</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透析液环路</w:t>
            </w:r>
          </w:p>
        </w:tc>
        <w:tc>
          <w:tcPr>
            <w:tcW w:w="5955" w:type="dxa"/>
            <w:vAlign w:val="center"/>
          </w:tcPr>
          <w:p>
            <w:pPr>
              <w:jc w:val="both"/>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10.1</w:t>
            </w:r>
          </w:p>
        </w:tc>
        <w:tc>
          <w:tcPr>
            <w:tcW w:w="3099" w:type="dxa"/>
            <w:vAlign w:val="center"/>
          </w:tcPr>
          <w:p>
            <w:pPr>
              <w:jc w:val="both"/>
              <w:rPr>
                <w:rFonts w:asciiTheme="minorEastAsia" w:hAnsiTheme="minorEastAsia"/>
                <w:b/>
                <w:sz w:val="24"/>
                <w:szCs w:val="24"/>
              </w:rPr>
            </w:pPr>
            <w:r>
              <w:rPr>
                <w:rFonts w:asciiTheme="minorEastAsia" w:hAnsiTheme="minorEastAsia"/>
                <w:b/>
                <w:sz w:val="24"/>
                <w:szCs w:val="24"/>
              </w:rPr>
              <w:t>流</w:t>
            </w:r>
            <w:r>
              <w:rPr>
                <w:rFonts w:hint="eastAsia" w:asciiTheme="minorEastAsia" w:hAnsiTheme="minorEastAsia"/>
                <w:b/>
                <w:sz w:val="24"/>
                <w:szCs w:val="24"/>
              </w:rPr>
              <w:t>量</w:t>
            </w:r>
          </w:p>
        </w:tc>
        <w:tc>
          <w:tcPr>
            <w:tcW w:w="5955" w:type="dxa"/>
            <w:vAlign w:val="center"/>
          </w:tcPr>
          <w:p>
            <w:pPr>
              <w:jc w:val="both"/>
              <w:rPr>
                <w:rFonts w:asciiTheme="minorEastAsia" w:hAnsiTheme="minorEastAsia"/>
                <w:sz w:val="24"/>
                <w:szCs w:val="24"/>
              </w:rPr>
            </w:pPr>
            <w:r>
              <w:rPr>
                <w:rFonts w:asciiTheme="minorEastAsia" w:hAnsiTheme="minorEastAsia"/>
                <w:sz w:val="24"/>
                <w:szCs w:val="24"/>
                <w:lang w:val="sv-SE"/>
              </w:rPr>
              <w:t>0</w:t>
            </w:r>
            <w:r>
              <w:rPr>
                <w:rFonts w:asciiTheme="minorEastAsia" w:hAnsiTheme="minorEastAsia"/>
                <w:sz w:val="24"/>
                <w:szCs w:val="24"/>
              </w:rPr>
              <w:t>﹣</w:t>
            </w:r>
            <w:r>
              <w:rPr>
                <w:rFonts w:hint="eastAsia" w:asciiTheme="minorEastAsia" w:hAnsiTheme="minorEastAsia"/>
                <w:sz w:val="24"/>
                <w:szCs w:val="24"/>
                <w:lang w:val="sv-SE"/>
              </w:rPr>
              <w:t>1000</w:t>
            </w:r>
            <w:r>
              <w:rPr>
                <w:rFonts w:asciiTheme="minorEastAsia" w:hAnsiTheme="minorEastAsia"/>
                <w:sz w:val="24"/>
                <w:szCs w:val="24"/>
                <w:lang w:val="sv-SE"/>
              </w:rPr>
              <w:t>ml/min</w:t>
            </w:r>
            <w:r>
              <w:rPr>
                <w:rFonts w:hint="eastAsia" w:asciiTheme="minorEastAsia" w:hAnsiTheme="minorEastAsia"/>
                <w:sz w:val="24"/>
                <w:szCs w:val="24"/>
                <w:lang w:val="sv-SE"/>
              </w:rPr>
              <w:t>（</w:t>
            </w:r>
            <w:r>
              <w:rPr>
                <w:rFonts w:hint="eastAsia" w:asciiTheme="minorEastAsia" w:hAnsiTheme="minorEastAsia"/>
                <w:sz w:val="24"/>
                <w:szCs w:val="24"/>
              </w:rPr>
              <w:t>每</w:t>
            </w:r>
            <w:r>
              <w:rPr>
                <w:rFonts w:hint="eastAsia" w:asciiTheme="minorEastAsia" w:hAnsiTheme="minorEastAsia"/>
                <w:sz w:val="24"/>
                <w:szCs w:val="24"/>
                <w:lang w:val="sv-SE"/>
              </w:rPr>
              <w:t>100ml/min可调）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10.2</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节流</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lang w:val="sv-SE"/>
              </w:rPr>
              <w:t>在准备和再灌注时，随时等待使用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10.3</w:t>
            </w:r>
          </w:p>
        </w:tc>
        <w:tc>
          <w:tcPr>
            <w:tcW w:w="3099" w:type="dxa"/>
            <w:vAlign w:val="center"/>
          </w:tcPr>
          <w:p>
            <w:pPr>
              <w:jc w:val="both"/>
              <w:rPr>
                <w:rFonts w:asciiTheme="minorEastAsia" w:hAnsiTheme="minorEastAsia"/>
                <w:b/>
                <w:sz w:val="24"/>
                <w:szCs w:val="24"/>
              </w:rPr>
            </w:pPr>
            <w:r>
              <w:rPr>
                <w:rFonts w:asciiTheme="minorEastAsia" w:hAnsiTheme="minorEastAsia"/>
                <w:b/>
                <w:sz w:val="24"/>
                <w:szCs w:val="24"/>
              </w:rPr>
              <w:t>温度</w:t>
            </w:r>
          </w:p>
        </w:tc>
        <w:tc>
          <w:tcPr>
            <w:tcW w:w="5955" w:type="dxa"/>
            <w:vAlign w:val="center"/>
          </w:tcPr>
          <w:p>
            <w:pPr>
              <w:jc w:val="both"/>
              <w:rPr>
                <w:rFonts w:asciiTheme="minorEastAsia" w:hAnsiTheme="minorEastAsia"/>
                <w:sz w:val="24"/>
                <w:szCs w:val="24"/>
              </w:rPr>
            </w:pPr>
            <w:r>
              <w:rPr>
                <w:rFonts w:cs="Arial" w:asciiTheme="minorEastAsia" w:hAnsiTheme="minorEastAsia"/>
                <w:sz w:val="24"/>
                <w:szCs w:val="24"/>
              </w:rPr>
              <w:t>3</w:t>
            </w:r>
            <w:r>
              <w:rPr>
                <w:rFonts w:hint="eastAsia" w:cs="Arial" w:asciiTheme="minorEastAsia" w:hAnsiTheme="minorEastAsia"/>
                <w:sz w:val="24"/>
                <w:szCs w:val="24"/>
              </w:rPr>
              <w:t>4</w:t>
            </w:r>
            <w:r>
              <w:rPr>
                <w:rFonts w:cs="Arial" w:asciiTheme="minorEastAsia" w:hAnsiTheme="minorEastAsia"/>
                <w:sz w:val="24"/>
                <w:szCs w:val="24"/>
              </w:rPr>
              <w:t xml:space="preserve">℃ ～ </w:t>
            </w:r>
            <w:r>
              <w:rPr>
                <w:rFonts w:hint="eastAsia" w:cs="Arial" w:asciiTheme="minorEastAsia" w:hAnsiTheme="minorEastAsia"/>
                <w:sz w:val="24"/>
                <w:szCs w:val="24"/>
              </w:rPr>
              <w:t>39</w:t>
            </w:r>
            <w:r>
              <w:rPr>
                <w:rFonts w:cs="Arial"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11</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电导度</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范围</w:t>
            </w:r>
            <w:r>
              <w:rPr>
                <w:rFonts w:asciiTheme="minorEastAsia" w:hAnsiTheme="minorEastAsia"/>
                <w:sz w:val="24"/>
                <w:szCs w:val="24"/>
              </w:rPr>
              <w:t>：12.8</w:t>
            </w:r>
            <w:r>
              <w:rPr>
                <w:rFonts w:hint="eastAsia" w:asciiTheme="minorEastAsia" w:hAnsiTheme="minorEastAsia"/>
                <w:sz w:val="24"/>
                <w:szCs w:val="24"/>
              </w:rPr>
              <w:t xml:space="preserve"> </w:t>
            </w:r>
            <w:r>
              <w:rPr>
                <w:rFonts w:asciiTheme="minorEastAsia" w:hAnsiTheme="minorEastAsia"/>
                <w:sz w:val="24"/>
                <w:szCs w:val="24"/>
              </w:rPr>
              <w:t>～</w:t>
            </w:r>
            <w:r>
              <w:rPr>
                <w:rFonts w:hint="eastAsia" w:asciiTheme="minorEastAsia" w:hAnsiTheme="minorEastAsia"/>
                <w:sz w:val="24"/>
                <w:szCs w:val="24"/>
              </w:rPr>
              <w:t xml:space="preserve"> </w:t>
            </w:r>
            <w:r>
              <w:rPr>
                <w:rFonts w:asciiTheme="minorEastAsia" w:hAnsiTheme="minorEastAsia"/>
                <w:sz w:val="24"/>
                <w:szCs w:val="24"/>
              </w:rPr>
              <w:t>15.7mS/cm</w:t>
            </w:r>
            <w:r>
              <w:rPr>
                <w:rFonts w:hint="eastAsia" w:asciiTheme="minorEastAsia" w:hAnsiTheme="minorEastAsia"/>
                <w:sz w:val="24"/>
                <w:szCs w:val="24"/>
              </w:rPr>
              <w:t xml:space="preserve">  </w:t>
            </w:r>
            <w:r>
              <w:rPr>
                <w:rFonts w:asciiTheme="minorEastAsia" w:hAnsiTheme="minorEastAsia"/>
                <w:sz w:val="24"/>
                <w:szCs w:val="24"/>
              </w:rPr>
              <w:t>(25℃)</w:t>
            </w:r>
            <w:r>
              <w:rPr>
                <w:rFonts w:hint="eastAsia" w:asciiTheme="minorEastAsia" w:hAnsiTheme="minorEastAsia"/>
                <w:sz w:val="24"/>
                <w:szCs w:val="24"/>
              </w:rPr>
              <w:t>；精度</w:t>
            </w:r>
            <w:r>
              <w:rPr>
                <w:rFonts w:asciiTheme="minorEastAsia" w:hAnsiTheme="minorEastAsia"/>
                <w:sz w:val="24"/>
                <w:szCs w:val="24"/>
              </w:rPr>
              <w:t>：±</w:t>
            </w:r>
            <w:r>
              <w:rPr>
                <w:rFonts w:hint="eastAsia" w:asciiTheme="minorEastAsia" w:hAnsiTheme="minorEastAsia"/>
                <w:sz w:val="24"/>
                <w:szCs w:val="24"/>
              </w:rPr>
              <w:t xml:space="preserve"> </w:t>
            </w:r>
            <w:r>
              <w:rPr>
                <w:rFonts w:asciiTheme="minorEastAsia" w:hAnsiTheme="minorEastAsia"/>
                <w:sz w:val="24"/>
                <w:szCs w:val="24"/>
              </w:rPr>
              <w:t>0.1mS/cm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b/>
                <w:sz w:val="24"/>
                <w:szCs w:val="24"/>
                <w:lang w:eastAsia="zh-CN"/>
              </w:rPr>
              <w:t>★</w:t>
            </w:r>
            <w:r>
              <w:rPr>
                <w:rFonts w:hint="eastAsia" w:asciiTheme="minorEastAsia" w:hAnsiTheme="minorEastAsia"/>
                <w:sz w:val="24"/>
                <w:szCs w:val="24"/>
              </w:rPr>
              <w:t>12</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透析液制备方式</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容量式透析液配比程序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b/>
                <w:sz w:val="24"/>
                <w:szCs w:val="24"/>
                <w:lang w:eastAsia="zh-CN"/>
              </w:rPr>
              <w:t>★</w:t>
            </w:r>
            <w:r>
              <w:rPr>
                <w:rFonts w:hint="eastAsia" w:asciiTheme="minorEastAsia" w:hAnsiTheme="minorEastAsia"/>
                <w:sz w:val="24"/>
                <w:szCs w:val="24"/>
              </w:rPr>
              <w:t>13</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联机清除率透析</w:t>
            </w:r>
            <w:r>
              <w:rPr>
                <w:rFonts w:asciiTheme="minorEastAsia" w:hAnsiTheme="minorEastAsia"/>
                <w:b/>
                <w:sz w:val="24"/>
                <w:szCs w:val="24"/>
              </w:rPr>
              <w:t>充分性</w:t>
            </w:r>
            <w:r>
              <w:rPr>
                <w:rFonts w:hint="eastAsia" w:asciiTheme="minorEastAsia" w:hAnsiTheme="minorEastAsia"/>
                <w:b/>
                <w:sz w:val="24"/>
                <w:szCs w:val="24"/>
              </w:rPr>
              <w:t>监测仪</w:t>
            </w:r>
          </w:p>
        </w:tc>
        <w:tc>
          <w:tcPr>
            <w:tcW w:w="5955" w:type="dxa"/>
            <w:vAlign w:val="center"/>
          </w:tcPr>
          <w:p>
            <w:pPr>
              <w:jc w:val="both"/>
              <w:rPr>
                <w:rFonts w:asciiTheme="minorEastAsia" w:hAnsiTheme="minorEastAsia"/>
                <w:sz w:val="24"/>
                <w:szCs w:val="24"/>
              </w:rPr>
            </w:pPr>
            <w:r>
              <w:rPr>
                <w:rFonts w:hint="eastAsia" w:ascii="Arial" w:hAnsi="Arial" w:cs="Arial"/>
                <w:sz w:val="24"/>
                <w:szCs w:val="24"/>
              </w:rPr>
              <w:t>无需</w:t>
            </w:r>
            <w:r>
              <w:rPr>
                <w:rFonts w:ascii="Arial" w:hAnsi="Arial" w:cs="Arial"/>
                <w:sz w:val="24"/>
                <w:szCs w:val="24"/>
              </w:rPr>
              <w:t>更换耗材</w:t>
            </w:r>
            <w:r>
              <w:rPr>
                <w:rFonts w:hint="eastAsia" w:ascii="Arial" w:hAnsi="Arial" w:cs="Arial"/>
                <w:sz w:val="24"/>
                <w:szCs w:val="24"/>
              </w:rPr>
              <w:t>且是KT/V原理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13.1</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清除率K的精度</w:t>
            </w:r>
          </w:p>
        </w:tc>
        <w:tc>
          <w:tcPr>
            <w:tcW w:w="5955" w:type="dxa"/>
            <w:vAlign w:val="center"/>
          </w:tcPr>
          <w:p>
            <w:pPr>
              <w:jc w:val="both"/>
              <w:rPr>
                <w:rFonts w:asciiTheme="minorEastAsia" w:hAnsiTheme="minorEastAsia"/>
                <w:sz w:val="24"/>
                <w:szCs w:val="24"/>
              </w:rPr>
            </w:pPr>
            <w:r>
              <w:rPr>
                <w:rFonts w:asciiTheme="minorEastAsia" w:hAnsiTheme="minorEastAsia"/>
                <w:sz w:val="24"/>
                <w:szCs w:val="24"/>
              </w:rPr>
              <w:t>±</w:t>
            </w:r>
            <w:r>
              <w:rPr>
                <w:rFonts w:hint="eastAsia" w:asciiTheme="minorEastAsia" w:hAnsiTheme="minorEastAsia"/>
                <w:sz w:val="24"/>
                <w:szCs w:val="24"/>
              </w:rPr>
              <w:t xml:space="preserve">6 </w:t>
            </w:r>
            <w:r>
              <w:rPr>
                <w:rFonts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14</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透析液滤过器</w:t>
            </w:r>
          </w:p>
        </w:tc>
        <w:tc>
          <w:tcPr>
            <w:tcW w:w="5955" w:type="dxa"/>
            <w:vAlign w:val="center"/>
          </w:tcPr>
          <w:p>
            <w:pPr>
              <w:jc w:val="both"/>
              <w:rPr>
                <w:rFonts w:asciiTheme="minorEastAsia" w:hAnsiTheme="minorEastAsia"/>
                <w:sz w:val="24"/>
                <w:szCs w:val="24"/>
              </w:rPr>
            </w:pPr>
            <w:r>
              <w:rPr>
                <w:rFonts w:hint="eastAsia" w:cs="Arial" w:asciiTheme="minorEastAsia" w:hAnsiTheme="minorEastAsia"/>
                <w:sz w:val="24"/>
                <w:szCs w:val="24"/>
              </w:rPr>
              <w:t>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15</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置换液速率</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25</w:t>
            </w:r>
            <w:r>
              <w:rPr>
                <w:rFonts w:asciiTheme="minorEastAsia" w:hAnsiTheme="minorEastAsia"/>
                <w:sz w:val="24"/>
                <w:szCs w:val="24"/>
              </w:rPr>
              <w:t xml:space="preserve"> ～</w:t>
            </w:r>
            <w:r>
              <w:rPr>
                <w:rFonts w:hint="eastAsia" w:asciiTheme="minorEastAsia" w:hAnsiTheme="minorEastAsia"/>
                <w:sz w:val="24"/>
                <w:szCs w:val="24"/>
              </w:rPr>
              <w:t xml:space="preserve"> 550ml/min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15</w:t>
            </w:r>
            <w:r>
              <w:rPr>
                <w:rFonts w:asciiTheme="minorEastAsia" w:hAnsiTheme="minorEastAsia"/>
                <w:sz w:val="24"/>
                <w:szCs w:val="24"/>
              </w:rPr>
              <w:t>.1</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精度</w:t>
            </w:r>
          </w:p>
        </w:tc>
        <w:tc>
          <w:tcPr>
            <w:tcW w:w="5955" w:type="dxa"/>
            <w:vAlign w:val="center"/>
          </w:tcPr>
          <w:p>
            <w:pPr>
              <w:jc w:val="both"/>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0</w:t>
            </w:r>
            <w:r>
              <w:rPr>
                <w:rFonts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b/>
                <w:sz w:val="24"/>
                <w:szCs w:val="24"/>
                <w:lang w:eastAsia="zh-CN"/>
              </w:rPr>
              <w:t>★</w:t>
            </w:r>
            <w:r>
              <w:rPr>
                <w:rFonts w:hint="eastAsia" w:asciiTheme="minorEastAsia" w:hAnsiTheme="minorEastAsia"/>
                <w:sz w:val="24"/>
                <w:szCs w:val="24"/>
              </w:rPr>
              <w:t>16</w:t>
            </w:r>
          </w:p>
        </w:tc>
        <w:tc>
          <w:tcPr>
            <w:tcW w:w="3099" w:type="dxa"/>
            <w:vAlign w:val="center"/>
          </w:tcPr>
          <w:p>
            <w:pPr>
              <w:jc w:val="both"/>
              <w:rPr>
                <w:rFonts w:asciiTheme="minorEastAsia" w:hAnsiTheme="minorEastAsia"/>
                <w:b/>
                <w:sz w:val="24"/>
                <w:szCs w:val="24"/>
              </w:rPr>
            </w:pPr>
            <w:r>
              <w:rPr>
                <w:rFonts w:hint="eastAsia" w:cs="Arial" w:asciiTheme="minorEastAsia" w:hAnsiTheme="minorEastAsia"/>
                <w:b/>
                <w:sz w:val="24"/>
                <w:szCs w:val="24"/>
              </w:rPr>
              <w:t>自动</w:t>
            </w:r>
            <w:r>
              <w:rPr>
                <w:rFonts w:cs="Arial" w:asciiTheme="minorEastAsia" w:hAnsiTheme="minorEastAsia"/>
                <w:b/>
                <w:sz w:val="24"/>
                <w:szCs w:val="24"/>
              </w:rPr>
              <w:t>补液功能</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具备置换液自动地匹配有效血流量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b/>
                <w:sz w:val="24"/>
                <w:szCs w:val="24"/>
              </w:rPr>
            </w:pPr>
            <w:r>
              <w:rPr>
                <w:rFonts w:hint="eastAsia" w:asciiTheme="minorEastAsia" w:hAnsiTheme="minorEastAsia"/>
                <w:b/>
                <w:sz w:val="24"/>
                <w:szCs w:val="24"/>
                <w:lang w:eastAsia="zh-CN"/>
              </w:rPr>
              <w:t>★</w:t>
            </w:r>
            <w:r>
              <w:rPr>
                <w:rFonts w:hint="eastAsia" w:asciiTheme="minorEastAsia" w:hAnsiTheme="minorEastAsia"/>
                <w:sz w:val="24"/>
                <w:szCs w:val="24"/>
              </w:rPr>
              <w:t>17</w:t>
            </w:r>
          </w:p>
        </w:tc>
        <w:tc>
          <w:tcPr>
            <w:tcW w:w="3099" w:type="dxa"/>
            <w:vAlign w:val="center"/>
          </w:tcPr>
          <w:p>
            <w:pPr>
              <w:jc w:val="both"/>
              <w:rPr>
                <w:rFonts w:cs="Arial" w:asciiTheme="minorEastAsia" w:hAnsiTheme="minorEastAsia"/>
                <w:b/>
                <w:sz w:val="24"/>
                <w:szCs w:val="24"/>
              </w:rPr>
            </w:pPr>
            <w:r>
              <w:rPr>
                <w:rFonts w:hint="eastAsia" w:asciiTheme="minorEastAsia" w:hAnsiTheme="minorEastAsia"/>
                <w:b/>
                <w:kern w:val="0"/>
                <w:sz w:val="24"/>
                <w:szCs w:val="24"/>
              </w:rPr>
              <w:t>碳酸氢盐浓缩干粉</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8</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超滤</w:t>
            </w:r>
          </w:p>
        </w:tc>
        <w:tc>
          <w:tcPr>
            <w:tcW w:w="5955" w:type="dxa"/>
            <w:vAlign w:val="center"/>
          </w:tcPr>
          <w:p>
            <w:pPr>
              <w:jc w:val="both"/>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18.1</w:t>
            </w:r>
          </w:p>
        </w:tc>
        <w:tc>
          <w:tcPr>
            <w:tcW w:w="3099" w:type="dxa"/>
            <w:vAlign w:val="center"/>
          </w:tcPr>
          <w:p>
            <w:pPr>
              <w:jc w:val="both"/>
              <w:rPr>
                <w:rFonts w:asciiTheme="minorEastAsia" w:hAnsiTheme="minorEastAsia"/>
                <w:b/>
                <w:sz w:val="24"/>
                <w:szCs w:val="24"/>
              </w:rPr>
            </w:pPr>
            <w:r>
              <w:rPr>
                <w:rFonts w:asciiTheme="minorEastAsia" w:hAnsiTheme="minorEastAsia"/>
                <w:b/>
                <w:sz w:val="24"/>
                <w:szCs w:val="24"/>
              </w:rPr>
              <w:t>超滤率</w:t>
            </w:r>
          </w:p>
        </w:tc>
        <w:tc>
          <w:tcPr>
            <w:tcW w:w="5955" w:type="dxa"/>
            <w:vAlign w:val="center"/>
          </w:tcPr>
          <w:p>
            <w:pPr>
              <w:jc w:val="both"/>
              <w:rPr>
                <w:rFonts w:asciiTheme="minorEastAsia" w:hAnsiTheme="minorEastAsia"/>
                <w:sz w:val="24"/>
                <w:szCs w:val="24"/>
              </w:rPr>
            </w:pPr>
            <w:r>
              <w:rPr>
                <w:rFonts w:asciiTheme="minorEastAsia" w:hAnsiTheme="minorEastAsia"/>
                <w:sz w:val="24"/>
                <w:szCs w:val="24"/>
              </w:rPr>
              <w:t>0 ～ 4000ml/h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18.2</w:t>
            </w:r>
          </w:p>
        </w:tc>
        <w:tc>
          <w:tcPr>
            <w:tcW w:w="3099" w:type="dxa"/>
            <w:vAlign w:val="center"/>
          </w:tcPr>
          <w:p>
            <w:pPr>
              <w:jc w:val="both"/>
              <w:rPr>
                <w:rFonts w:asciiTheme="minorEastAsia" w:hAnsiTheme="minorEastAsia"/>
                <w:b/>
                <w:sz w:val="24"/>
                <w:szCs w:val="24"/>
              </w:rPr>
            </w:pPr>
            <w:r>
              <w:rPr>
                <w:rFonts w:asciiTheme="minorEastAsia" w:hAnsiTheme="minorEastAsia"/>
                <w:b/>
                <w:sz w:val="24"/>
                <w:szCs w:val="24"/>
              </w:rPr>
              <w:t>精</w:t>
            </w:r>
            <w:r>
              <w:rPr>
                <w:rFonts w:hint="eastAsia" w:asciiTheme="minorEastAsia" w:hAnsiTheme="minorEastAsia"/>
                <w:b/>
                <w:sz w:val="24"/>
                <w:szCs w:val="24"/>
              </w:rPr>
              <w:t>确</w:t>
            </w:r>
            <w:r>
              <w:rPr>
                <w:rFonts w:asciiTheme="minorEastAsia" w:hAnsiTheme="minorEastAsia"/>
                <w:b/>
                <w:sz w:val="24"/>
                <w:szCs w:val="24"/>
              </w:rPr>
              <w:t>度</w:t>
            </w:r>
          </w:p>
        </w:tc>
        <w:tc>
          <w:tcPr>
            <w:tcW w:w="5955" w:type="dxa"/>
            <w:vAlign w:val="center"/>
          </w:tcPr>
          <w:p>
            <w:pPr>
              <w:jc w:val="both"/>
              <w:rPr>
                <w:rFonts w:asciiTheme="minorEastAsia" w:hAnsiTheme="minorEastAsia"/>
                <w:sz w:val="24"/>
                <w:szCs w:val="24"/>
              </w:rPr>
            </w:pPr>
            <w:r>
              <w:rPr>
                <w:rFonts w:asciiTheme="minorEastAsia" w:hAnsiTheme="minorEastAsia"/>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18.3</w:t>
            </w:r>
          </w:p>
        </w:tc>
        <w:tc>
          <w:tcPr>
            <w:tcW w:w="3099" w:type="dxa"/>
            <w:vAlign w:val="center"/>
          </w:tcPr>
          <w:p>
            <w:pPr>
              <w:jc w:val="both"/>
              <w:rPr>
                <w:rFonts w:asciiTheme="minorEastAsia" w:hAnsiTheme="minorEastAsia"/>
                <w:b/>
                <w:sz w:val="24"/>
                <w:szCs w:val="24"/>
              </w:rPr>
            </w:pPr>
            <w:r>
              <w:rPr>
                <w:rFonts w:asciiTheme="minorEastAsia" w:hAnsiTheme="minorEastAsia"/>
                <w:b/>
                <w:sz w:val="24"/>
                <w:szCs w:val="24"/>
              </w:rPr>
              <w:t>透析器的选择</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超滤系数无限制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18.4</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参数显示</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超滤目标，超滤时间，超滤率，超滤量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b/>
                <w:sz w:val="24"/>
                <w:szCs w:val="24"/>
                <w:lang w:eastAsia="zh-CN"/>
              </w:rPr>
              <w:t>★</w:t>
            </w:r>
            <w:r>
              <w:rPr>
                <w:rFonts w:hint="eastAsia" w:asciiTheme="minorEastAsia" w:hAnsiTheme="minorEastAsia"/>
                <w:sz w:val="24"/>
                <w:szCs w:val="24"/>
              </w:rPr>
              <w:t>19</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超滤方式</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密闭式容量平衡腔系统,平衡腔容积为</w:t>
            </w:r>
            <w:r>
              <w:rPr>
                <w:rFonts w:hint="eastAsia"/>
                <w:sz w:val="24"/>
                <w:szCs w:val="24"/>
              </w:rPr>
              <w:t>3</w:t>
            </w:r>
            <w:r>
              <w:rPr>
                <w:rFonts w:hint="eastAsia" w:asciiTheme="minorEastAsia" w:hAnsiTheme="minorEastAsia"/>
                <w:sz w:val="24"/>
                <w:szCs w:val="24"/>
              </w:rPr>
              <w:t>0</w:t>
            </w:r>
            <w:r>
              <w:rPr>
                <w:rFonts w:asciiTheme="minorEastAsia" w:hAnsiTheme="minorEastAsia"/>
                <w:sz w:val="24"/>
                <w:szCs w:val="24"/>
              </w:rPr>
              <w: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20</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超滤曲线和钠曲线</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自由设定的超滤曲线和钠曲线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21</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漏血检测器敏感度</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透析液流量1</w:t>
            </w:r>
            <w:r>
              <w:rPr>
                <w:rFonts w:asciiTheme="minorEastAsia" w:hAnsiTheme="minorEastAsia"/>
                <w:sz w:val="24"/>
                <w:szCs w:val="24"/>
              </w:rPr>
              <w:t>00</w:t>
            </w:r>
            <w:r>
              <w:rPr>
                <w:rFonts w:hint="eastAsia" w:asciiTheme="minorEastAsia" w:hAnsiTheme="minorEastAsia"/>
                <w:sz w:val="24"/>
                <w:szCs w:val="24"/>
              </w:rPr>
              <w:t>-1000</w:t>
            </w:r>
            <w:r>
              <w:rPr>
                <w:rFonts w:asciiTheme="minorEastAsia" w:hAnsiTheme="minorEastAsia"/>
                <w:sz w:val="24"/>
                <w:szCs w:val="24"/>
              </w:rPr>
              <w:t>ml/min时≤0.5ml/min</w:t>
            </w:r>
            <w:r>
              <w:rPr>
                <w:rFonts w:hint="eastAsia" w:asciiTheme="minorEastAsia" w:hAnsiTheme="minorEastAsia"/>
                <w:sz w:val="24"/>
                <w:szCs w:val="24"/>
              </w:rPr>
              <w:t>（Hct=25%）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b/>
                <w:sz w:val="24"/>
                <w:szCs w:val="24"/>
                <w:lang w:eastAsia="zh-CN"/>
              </w:rPr>
              <w:t>★</w:t>
            </w:r>
            <w:r>
              <w:rPr>
                <w:rFonts w:hint="eastAsia" w:asciiTheme="minorEastAsia" w:hAnsiTheme="minorEastAsia"/>
                <w:sz w:val="24"/>
                <w:szCs w:val="24"/>
              </w:rPr>
              <w:t>22</w:t>
            </w:r>
          </w:p>
        </w:tc>
        <w:tc>
          <w:tcPr>
            <w:tcW w:w="3099" w:type="dxa"/>
            <w:vAlign w:val="center"/>
          </w:tcPr>
          <w:p>
            <w:pPr>
              <w:jc w:val="both"/>
              <w:rPr>
                <w:rFonts w:asciiTheme="minorEastAsia" w:hAnsiTheme="minorEastAsia"/>
                <w:b/>
                <w:sz w:val="24"/>
                <w:szCs w:val="24"/>
              </w:rPr>
            </w:pPr>
            <w:r>
              <w:rPr>
                <w:rFonts w:hint="eastAsia" w:cs="Arial" w:asciiTheme="minorEastAsia" w:hAnsiTheme="minorEastAsia"/>
                <w:b/>
                <w:sz w:val="24"/>
                <w:szCs w:val="24"/>
              </w:rPr>
              <w:t>血压监测仪</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22.1</w:t>
            </w:r>
          </w:p>
        </w:tc>
        <w:tc>
          <w:tcPr>
            <w:tcW w:w="3099" w:type="dxa"/>
            <w:vAlign w:val="center"/>
          </w:tcPr>
          <w:p>
            <w:pPr>
              <w:jc w:val="both"/>
              <w:rPr>
                <w:rFonts w:asciiTheme="minorEastAsia" w:hAnsiTheme="minorEastAsia"/>
                <w:b/>
                <w:sz w:val="24"/>
                <w:szCs w:val="24"/>
              </w:rPr>
            </w:pPr>
            <w:r>
              <w:rPr>
                <w:rFonts w:hint="eastAsia" w:cs="Arial" w:asciiTheme="minorEastAsia" w:hAnsiTheme="minorEastAsia"/>
                <w:b/>
                <w:sz w:val="24"/>
                <w:szCs w:val="24"/>
              </w:rPr>
              <w:t>显示范围</w:t>
            </w:r>
          </w:p>
        </w:tc>
        <w:tc>
          <w:tcPr>
            <w:tcW w:w="5955" w:type="dxa"/>
            <w:vAlign w:val="center"/>
          </w:tcPr>
          <w:p>
            <w:pPr>
              <w:ind w:right="298" w:rightChars="142"/>
              <w:jc w:val="both"/>
              <w:rPr>
                <w:rFonts w:asciiTheme="minorEastAsia" w:hAnsiTheme="minorEastAsia"/>
                <w:sz w:val="24"/>
                <w:szCs w:val="24"/>
              </w:rPr>
            </w:pPr>
            <w:r>
              <w:rPr>
                <w:rFonts w:hint="eastAsia" w:asciiTheme="minorEastAsia" w:hAnsiTheme="minorEastAsia"/>
                <w:sz w:val="24"/>
                <w:szCs w:val="24"/>
              </w:rPr>
              <w:t xml:space="preserve">收缩压：30mmHg </w:t>
            </w:r>
            <w:r>
              <w:rPr>
                <w:rFonts w:asciiTheme="minorEastAsia" w:hAnsiTheme="minorEastAsia"/>
                <w:sz w:val="24"/>
                <w:szCs w:val="24"/>
              </w:rPr>
              <w:t xml:space="preserve"> ～</w:t>
            </w:r>
            <w:r>
              <w:rPr>
                <w:rFonts w:hint="eastAsia" w:asciiTheme="minorEastAsia" w:hAnsiTheme="minorEastAsia"/>
                <w:sz w:val="24"/>
                <w:szCs w:val="24"/>
              </w:rPr>
              <w:t xml:space="preserve"> 280 mmHg</w:t>
            </w:r>
          </w:p>
          <w:p>
            <w:pPr>
              <w:ind w:right="298" w:rightChars="142"/>
              <w:jc w:val="both"/>
              <w:rPr>
                <w:rFonts w:asciiTheme="minorEastAsia" w:hAnsiTheme="minorEastAsia"/>
                <w:sz w:val="24"/>
                <w:szCs w:val="24"/>
              </w:rPr>
            </w:pPr>
            <w:r>
              <w:rPr>
                <w:rFonts w:hint="eastAsia" w:asciiTheme="minorEastAsia" w:hAnsiTheme="minorEastAsia"/>
                <w:sz w:val="24"/>
                <w:szCs w:val="24"/>
              </w:rPr>
              <w:t xml:space="preserve">舒张压：10mmHg </w:t>
            </w:r>
            <w:r>
              <w:rPr>
                <w:rFonts w:asciiTheme="minorEastAsia" w:hAnsiTheme="minorEastAsia"/>
                <w:sz w:val="24"/>
                <w:szCs w:val="24"/>
              </w:rPr>
              <w:t xml:space="preserve"> ～</w:t>
            </w:r>
            <w:r>
              <w:rPr>
                <w:rFonts w:hint="eastAsia" w:asciiTheme="minorEastAsia" w:hAnsiTheme="minorEastAsia"/>
                <w:sz w:val="24"/>
                <w:szCs w:val="24"/>
              </w:rPr>
              <w:t xml:space="preserve"> 240 mmHg</w:t>
            </w:r>
          </w:p>
          <w:p>
            <w:pPr>
              <w:jc w:val="both"/>
              <w:rPr>
                <w:rFonts w:asciiTheme="minorEastAsia" w:hAnsiTheme="minorEastAsia"/>
                <w:sz w:val="24"/>
                <w:szCs w:val="24"/>
              </w:rPr>
            </w:pPr>
            <w:r>
              <w:rPr>
                <w:rFonts w:hint="eastAsia" w:asciiTheme="minorEastAsia" w:hAnsiTheme="minorEastAsia"/>
                <w:sz w:val="24"/>
                <w:szCs w:val="24"/>
              </w:rPr>
              <w:t xml:space="preserve">平均动脉压： 20mmHg </w:t>
            </w:r>
            <w:r>
              <w:rPr>
                <w:rFonts w:asciiTheme="minorEastAsia" w:hAnsiTheme="minorEastAsia"/>
                <w:sz w:val="24"/>
                <w:szCs w:val="24"/>
              </w:rPr>
              <w:t xml:space="preserve"> ～</w:t>
            </w:r>
            <w:r>
              <w:rPr>
                <w:rFonts w:hint="eastAsia" w:asciiTheme="minorEastAsia" w:hAnsiTheme="minorEastAsia"/>
                <w:sz w:val="24"/>
                <w:szCs w:val="24"/>
              </w:rPr>
              <w:t xml:space="preserve"> 255 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22.2</w:t>
            </w:r>
          </w:p>
        </w:tc>
        <w:tc>
          <w:tcPr>
            <w:tcW w:w="3099" w:type="dxa"/>
            <w:vAlign w:val="center"/>
          </w:tcPr>
          <w:p>
            <w:pPr>
              <w:jc w:val="both"/>
              <w:rPr>
                <w:rFonts w:asciiTheme="minorEastAsia" w:hAnsiTheme="minorEastAsia"/>
                <w:b/>
                <w:sz w:val="24"/>
                <w:szCs w:val="24"/>
              </w:rPr>
            </w:pPr>
            <w:r>
              <w:rPr>
                <w:rFonts w:hint="eastAsia" w:cs="Arial" w:asciiTheme="minorEastAsia" w:hAnsiTheme="minorEastAsia"/>
                <w:b/>
                <w:sz w:val="24"/>
                <w:szCs w:val="24"/>
              </w:rPr>
              <w:t>精确度</w:t>
            </w:r>
          </w:p>
        </w:tc>
        <w:tc>
          <w:tcPr>
            <w:tcW w:w="5955" w:type="dxa"/>
            <w:vAlign w:val="center"/>
          </w:tcPr>
          <w:p>
            <w:pPr>
              <w:jc w:val="both"/>
              <w:rPr>
                <w:rFonts w:asciiTheme="minorEastAsia" w:hAnsiTheme="minorEastAsia"/>
                <w:sz w:val="24"/>
                <w:szCs w:val="24"/>
              </w:rPr>
            </w:pPr>
            <w:r>
              <w:rPr>
                <w:rFonts w:asciiTheme="minorEastAsia" w:hAnsiTheme="minorEastAsia"/>
                <w:sz w:val="24"/>
                <w:szCs w:val="24"/>
              </w:rPr>
              <w:t>±</w:t>
            </w:r>
            <w:r>
              <w:rPr>
                <w:rFonts w:hint="eastAsia" w:asciiTheme="minorEastAsia" w:hAnsiTheme="minorEastAsia"/>
                <w:sz w:val="24"/>
                <w:szCs w:val="24"/>
              </w:rPr>
              <w:t>3 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23</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消毒和清洁程序</w:t>
            </w:r>
          </w:p>
        </w:tc>
        <w:tc>
          <w:tcPr>
            <w:tcW w:w="5955" w:type="dxa"/>
            <w:vAlign w:val="center"/>
          </w:tcPr>
          <w:p>
            <w:pPr>
              <w:jc w:val="both"/>
              <w:rPr>
                <w:rFonts w:asciiTheme="minorEastAsia" w:hAnsiTheme="minorEastAsia"/>
                <w:sz w:val="24"/>
                <w:szCs w:val="24"/>
              </w:rPr>
            </w:pPr>
            <w:r>
              <w:rPr>
                <w:rFonts w:hint="eastAsia" w:asciiTheme="minorEastAsia" w:hAnsiTheme="minorEastAsia"/>
                <w:sz w:val="24"/>
                <w:szCs w:val="24"/>
              </w:rPr>
              <w:t>全自动的化学消毒∕</w:t>
            </w:r>
            <w:r>
              <w:rPr>
                <w:rFonts w:asciiTheme="minorEastAsia" w:hAnsiTheme="minorEastAsia"/>
                <w:sz w:val="24"/>
                <w:szCs w:val="24"/>
              </w:rPr>
              <w:t>热消毒</w:t>
            </w:r>
            <w:r>
              <w:rPr>
                <w:rFonts w:hint="eastAsia" w:asciiTheme="minorEastAsia" w:hAnsiTheme="minorEastAsia"/>
                <w:sz w:val="24"/>
                <w:szCs w:val="24"/>
              </w:rPr>
              <w:t>，消毒、脱钙和冲洗一次完成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23.1</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清洗温度/流量</w:t>
            </w:r>
          </w:p>
        </w:tc>
        <w:tc>
          <w:tcPr>
            <w:tcW w:w="5955" w:type="dxa"/>
            <w:vAlign w:val="center"/>
          </w:tcPr>
          <w:p>
            <w:pPr>
              <w:jc w:val="both"/>
              <w:rPr>
                <w:rFonts w:asciiTheme="minorEastAsia" w:hAnsiTheme="minorEastAsia"/>
                <w:sz w:val="24"/>
                <w:szCs w:val="24"/>
              </w:rPr>
            </w:pPr>
            <w:r>
              <w:rPr>
                <w:rFonts w:asciiTheme="minorEastAsia" w:hAnsiTheme="minorEastAsia"/>
                <w:sz w:val="24"/>
                <w:szCs w:val="24"/>
              </w:rPr>
              <w:t>37℃/600ml/min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23.2</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热清洗(再循环)温度/流量</w:t>
            </w:r>
          </w:p>
        </w:tc>
        <w:tc>
          <w:tcPr>
            <w:tcW w:w="5955" w:type="dxa"/>
            <w:vAlign w:val="center"/>
          </w:tcPr>
          <w:p>
            <w:pPr>
              <w:jc w:val="both"/>
              <w:rPr>
                <w:rFonts w:asciiTheme="minorEastAsia" w:hAnsiTheme="minorEastAsia"/>
                <w:sz w:val="24"/>
                <w:szCs w:val="24"/>
              </w:rPr>
            </w:pPr>
            <w:r>
              <w:rPr>
                <w:rFonts w:asciiTheme="minorEastAsia" w:hAnsiTheme="minorEastAsia"/>
                <w:sz w:val="24"/>
                <w:szCs w:val="24"/>
              </w:rPr>
              <w:t>8</w:t>
            </w:r>
            <w:r>
              <w:rPr>
                <w:rFonts w:hint="eastAsia" w:asciiTheme="minorEastAsia" w:hAnsiTheme="minorEastAsia"/>
                <w:sz w:val="24"/>
                <w:szCs w:val="24"/>
              </w:rPr>
              <w:t>5</w:t>
            </w:r>
            <w:r>
              <w:rPr>
                <w:rFonts w:asciiTheme="minorEastAsia" w:hAnsiTheme="minorEastAsia"/>
                <w:sz w:val="24"/>
                <w:szCs w:val="24"/>
              </w:rPr>
              <w:t>℃/450ml/min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23.3</w:t>
            </w:r>
          </w:p>
        </w:tc>
        <w:tc>
          <w:tcPr>
            <w:tcW w:w="3099" w:type="dxa"/>
            <w:vAlign w:val="center"/>
          </w:tcPr>
          <w:p>
            <w:pPr>
              <w:jc w:val="both"/>
              <w:rPr>
                <w:rFonts w:asciiTheme="minorEastAsia" w:hAnsiTheme="minorEastAsia"/>
                <w:b/>
                <w:sz w:val="24"/>
                <w:szCs w:val="24"/>
              </w:rPr>
            </w:pPr>
            <w:r>
              <w:rPr>
                <w:rFonts w:hint="eastAsia" w:asciiTheme="minorEastAsia" w:hAnsiTheme="minorEastAsia"/>
                <w:b/>
                <w:sz w:val="24"/>
                <w:szCs w:val="24"/>
              </w:rPr>
              <w:t>热消毒(再循环)温度/流量</w:t>
            </w:r>
          </w:p>
        </w:tc>
        <w:tc>
          <w:tcPr>
            <w:tcW w:w="5955" w:type="dxa"/>
            <w:vAlign w:val="center"/>
          </w:tcPr>
          <w:p>
            <w:pPr>
              <w:jc w:val="both"/>
              <w:rPr>
                <w:rFonts w:asciiTheme="minorEastAsia" w:hAnsiTheme="minorEastAsia"/>
                <w:sz w:val="24"/>
                <w:szCs w:val="24"/>
              </w:rPr>
            </w:pPr>
            <w:r>
              <w:rPr>
                <w:rFonts w:asciiTheme="minorEastAsia" w:hAnsiTheme="minorEastAsia"/>
                <w:sz w:val="24"/>
                <w:szCs w:val="24"/>
                <w:lang w:val="sv-SE"/>
              </w:rPr>
              <w:t>8</w:t>
            </w:r>
            <w:r>
              <w:rPr>
                <w:rFonts w:hint="eastAsia" w:asciiTheme="minorEastAsia" w:hAnsiTheme="minorEastAsia"/>
                <w:sz w:val="24"/>
                <w:szCs w:val="24"/>
                <w:lang w:val="sv-SE"/>
              </w:rPr>
              <w:t>5</w:t>
            </w:r>
            <w:r>
              <w:rPr>
                <w:rFonts w:asciiTheme="minorEastAsia" w:hAnsiTheme="minorEastAsia"/>
                <w:sz w:val="24"/>
                <w:szCs w:val="24"/>
                <w:lang w:val="sv-SE"/>
              </w:rPr>
              <w:t>℃/450ml/min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24</w:t>
            </w:r>
          </w:p>
        </w:tc>
        <w:tc>
          <w:tcPr>
            <w:tcW w:w="3099" w:type="dxa"/>
            <w:vAlign w:val="center"/>
          </w:tcPr>
          <w:p>
            <w:pPr>
              <w:jc w:val="both"/>
              <w:rPr>
                <w:rFonts w:asciiTheme="minorEastAsia" w:hAnsiTheme="minorEastAsia"/>
                <w:b/>
                <w:sz w:val="24"/>
                <w:szCs w:val="24"/>
              </w:rPr>
            </w:pPr>
            <w:r>
              <w:rPr>
                <w:rFonts w:asciiTheme="minorEastAsia" w:hAnsiTheme="minorEastAsia"/>
                <w:b/>
                <w:sz w:val="24"/>
                <w:szCs w:val="24"/>
              </w:rPr>
              <w:t>后备电池</w:t>
            </w:r>
          </w:p>
        </w:tc>
        <w:tc>
          <w:tcPr>
            <w:tcW w:w="5955" w:type="dxa"/>
            <w:vAlign w:val="center"/>
          </w:tcPr>
          <w:p>
            <w:pPr>
              <w:jc w:val="both"/>
              <w:rPr>
                <w:rFonts w:asciiTheme="minorEastAsia" w:hAnsiTheme="minorEastAsia"/>
                <w:sz w:val="24"/>
                <w:szCs w:val="24"/>
              </w:rPr>
            </w:pPr>
            <w:r>
              <w:rPr>
                <w:rFonts w:asciiTheme="minorEastAsia" w:hAnsiTheme="minorEastAsia"/>
                <w:sz w:val="24"/>
                <w:szCs w:val="24"/>
              </w:rPr>
              <w:t>标配，</w:t>
            </w:r>
            <w:r>
              <w:rPr>
                <w:rFonts w:hint="eastAsia" w:asciiTheme="minorEastAsia" w:hAnsiTheme="minorEastAsia"/>
                <w:sz w:val="24"/>
                <w:szCs w:val="24"/>
              </w:rPr>
              <w:t>支持整机维持体外循环至少15分钟,所有监测功能均正常工作,治疗数据不丢失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9" w:type="dxa"/>
            <w:vAlign w:val="center"/>
          </w:tcPr>
          <w:p>
            <w:pPr>
              <w:jc w:val="both"/>
              <w:rPr>
                <w:rFonts w:asciiTheme="minorEastAsia" w:hAnsiTheme="minorEastAsia"/>
                <w:sz w:val="24"/>
                <w:szCs w:val="24"/>
              </w:rPr>
            </w:pPr>
            <w:r>
              <w:rPr>
                <w:rFonts w:hint="eastAsia" w:asciiTheme="minorEastAsia" w:hAnsiTheme="minorEastAsia"/>
                <w:sz w:val="24"/>
                <w:szCs w:val="24"/>
              </w:rPr>
              <w:t>25</w:t>
            </w:r>
          </w:p>
        </w:tc>
        <w:tc>
          <w:tcPr>
            <w:tcW w:w="3099" w:type="dxa"/>
            <w:vAlign w:val="center"/>
          </w:tcPr>
          <w:p>
            <w:pPr>
              <w:jc w:val="both"/>
              <w:rPr>
                <w:rFonts w:asciiTheme="minorEastAsia" w:hAnsiTheme="minorEastAsia"/>
                <w:b/>
                <w:sz w:val="24"/>
                <w:szCs w:val="24"/>
              </w:rPr>
            </w:pPr>
            <w:r>
              <w:rPr>
                <w:rFonts w:asciiTheme="minorEastAsia" w:hAnsiTheme="minorEastAsia"/>
                <w:b/>
                <w:bCs/>
                <w:sz w:val="24"/>
                <w:szCs w:val="24"/>
              </w:rPr>
              <w:t>维修与校正和程序</w:t>
            </w:r>
          </w:p>
        </w:tc>
        <w:tc>
          <w:tcPr>
            <w:tcW w:w="5955" w:type="dxa"/>
            <w:vAlign w:val="center"/>
          </w:tcPr>
          <w:p>
            <w:pPr>
              <w:jc w:val="both"/>
              <w:rPr>
                <w:rFonts w:asciiTheme="minorEastAsia" w:hAnsiTheme="minorEastAsia"/>
                <w:sz w:val="24"/>
                <w:szCs w:val="24"/>
              </w:rPr>
            </w:pPr>
            <w:r>
              <w:rPr>
                <w:rFonts w:asciiTheme="minorEastAsia" w:hAnsiTheme="minorEastAsia"/>
                <w:sz w:val="24"/>
                <w:szCs w:val="24"/>
              </w:rPr>
              <w:t>机器内置维修与校正程序</w:t>
            </w:r>
            <w:r>
              <w:rPr>
                <w:rFonts w:hint="eastAsia" w:asciiTheme="minorEastAsia" w:hAnsiTheme="minorEastAsia"/>
                <w:sz w:val="24"/>
                <w:szCs w:val="24"/>
              </w:rPr>
              <w:t>，</w:t>
            </w:r>
            <w:r>
              <w:rPr>
                <w:rFonts w:asciiTheme="minorEastAsia" w:hAnsiTheme="minorEastAsia"/>
                <w:sz w:val="24"/>
                <w:szCs w:val="24"/>
              </w:rPr>
              <w:t>机器水</w:t>
            </w:r>
            <w:r>
              <w:rPr>
                <w:rFonts w:hint="eastAsia" w:asciiTheme="minorEastAsia" w:hAnsiTheme="minorEastAsia"/>
                <w:sz w:val="24"/>
                <w:szCs w:val="24"/>
              </w:rPr>
              <w:t>路、</w:t>
            </w:r>
            <w:r>
              <w:rPr>
                <w:rFonts w:asciiTheme="minorEastAsia" w:hAnsiTheme="minorEastAsia"/>
                <w:sz w:val="24"/>
                <w:szCs w:val="24"/>
              </w:rPr>
              <w:t>电</w:t>
            </w:r>
            <w:r>
              <w:rPr>
                <w:rFonts w:hint="eastAsia" w:asciiTheme="minorEastAsia" w:hAnsiTheme="minorEastAsia"/>
                <w:sz w:val="24"/>
                <w:szCs w:val="24"/>
              </w:rPr>
              <w:t>路</w:t>
            </w:r>
            <w:r>
              <w:rPr>
                <w:rFonts w:asciiTheme="minorEastAsia" w:hAnsiTheme="minorEastAsia"/>
                <w:sz w:val="24"/>
                <w:szCs w:val="24"/>
              </w:rPr>
              <w:t>严格分离，模块化设计</w:t>
            </w:r>
          </w:p>
        </w:tc>
      </w:tr>
    </w:tbl>
    <w:p>
      <w:pPr>
        <w:spacing w:line="480" w:lineRule="exact"/>
        <w:ind w:left="0" w:leftChars="0" w:firstLine="0" w:firstLineChars="0"/>
        <w:jc w:val="left"/>
        <w:rPr>
          <w:rFonts w:hint="eastAsia" w:ascii="宋体" w:hAnsi="宋体"/>
          <w:b/>
          <w:bCs/>
          <w:sz w:val="24"/>
          <w:szCs w:val="24"/>
        </w:rPr>
      </w:pPr>
      <w:r>
        <w:rPr>
          <w:rFonts w:hint="eastAsia" w:ascii="华文中宋" w:hAnsi="华文中宋" w:eastAsia="华文中宋"/>
          <w:b/>
          <w:bCs/>
          <w:sz w:val="28"/>
          <w:szCs w:val="32"/>
        </w:rPr>
        <w:t>注</w:t>
      </w:r>
      <w:r>
        <w:rPr>
          <w:rFonts w:hint="eastAsia" w:ascii="宋体" w:hAnsi="宋体"/>
          <w:b/>
          <w:bCs/>
          <w:sz w:val="28"/>
          <w:szCs w:val="28"/>
        </w:rPr>
        <w:t>：(1) 标注“</w:t>
      </w:r>
      <w:r>
        <w:rPr>
          <w:rFonts w:hint="default" w:ascii="宋体" w:hAnsi="宋体"/>
          <w:b/>
          <w:bCs/>
          <w:sz w:val="28"/>
          <w:szCs w:val="28"/>
          <w:lang w:val="en-US"/>
        </w:rPr>
        <w:t>★</w:t>
      </w:r>
      <w:r>
        <w:rPr>
          <w:rFonts w:hint="eastAsia" w:ascii="宋体" w:hAnsi="宋体"/>
          <w:b/>
          <w:bCs/>
          <w:sz w:val="28"/>
          <w:szCs w:val="28"/>
        </w:rPr>
        <w:t>”号的参数为关键性技术参数指标</w:t>
      </w:r>
      <w:r>
        <w:rPr>
          <w:rFonts w:hint="eastAsia" w:ascii="宋体" w:hAnsi="宋体"/>
          <w:b/>
          <w:bCs/>
          <w:sz w:val="24"/>
          <w:szCs w:val="24"/>
        </w:rPr>
        <w:t>。</w:t>
      </w:r>
    </w:p>
    <w:p>
      <w:pPr>
        <w:pStyle w:val="2"/>
        <w:rPr>
          <w:rFonts w:hint="eastAsia"/>
        </w:rPr>
      </w:pPr>
    </w:p>
    <w:p>
      <w:pPr>
        <w:pStyle w:val="13"/>
        <w:numPr>
          <w:ilvl w:val="0"/>
          <w:numId w:val="38"/>
        </w:numPr>
        <w:rPr>
          <w:rFonts w:hint="eastAsia" w:ascii="宋体" w:hAnsi="宋体" w:cs="宋体"/>
          <w:bCs/>
          <w:sz w:val="28"/>
          <w:szCs w:val="28"/>
          <w:lang w:eastAsia="zh-CN"/>
        </w:rPr>
      </w:pPr>
      <w:r>
        <w:rPr>
          <w:rFonts w:hint="eastAsia" w:ascii="宋体" w:hAnsi="宋体" w:cs="宋体"/>
          <w:b/>
          <w:bCs w:val="0"/>
          <w:sz w:val="28"/>
          <w:szCs w:val="28"/>
          <w:lang w:eastAsia="zh-CN"/>
        </w:rPr>
        <w:t>商务要求</w:t>
      </w:r>
      <w:r>
        <w:rPr>
          <w:rFonts w:hint="eastAsia" w:ascii="宋体" w:hAnsi="宋体" w:cs="宋体"/>
          <w:bCs/>
          <w:sz w:val="28"/>
          <w:szCs w:val="28"/>
          <w:lang w:eastAsia="zh-CN"/>
        </w:rPr>
        <w:t>：</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highlight w:val="none"/>
        </w:rPr>
      </w:pPr>
      <w:r>
        <w:rPr>
          <w:rFonts w:hint="eastAsia" w:ascii="宋体" w:hAnsi="宋体" w:cs="宋体"/>
          <w:b/>
          <w:color w:val="000000"/>
          <w:sz w:val="24"/>
          <w:szCs w:val="24"/>
          <w:highlight w:val="none"/>
          <w:lang w:val="en-US" w:eastAsia="zh-CN"/>
        </w:rPr>
        <w:t>1、</w:t>
      </w:r>
      <w:r>
        <w:rPr>
          <w:rFonts w:hint="eastAsia" w:ascii="宋体" w:hAnsi="宋体" w:eastAsia="宋体" w:cs="宋体"/>
          <w:b/>
          <w:color w:val="000000"/>
          <w:sz w:val="24"/>
          <w:szCs w:val="24"/>
          <w:highlight w:val="none"/>
        </w:rPr>
        <w:t>交货验收与工期：</w:t>
      </w:r>
      <w:r>
        <w:rPr>
          <w:rFonts w:hint="eastAsia" w:ascii="宋体" w:hAnsi="宋体" w:eastAsia="宋体" w:cs="宋体"/>
          <w:sz w:val="24"/>
          <w:highlight w:val="none"/>
        </w:rPr>
        <w:t>签定合同后按合同和招标、投标文件约定的要求和标准进行交货验收，交货期为签定合同后</w:t>
      </w:r>
      <w:r>
        <w:rPr>
          <w:rFonts w:hint="eastAsia" w:ascii="宋体" w:hAnsi="宋体" w:eastAsia="宋体" w:cs="宋体"/>
          <w:b/>
          <w:color w:val="000000"/>
          <w:sz w:val="24"/>
          <w:highlight w:val="none"/>
          <w:lang w:val="en-US" w:eastAsia="zh-CN"/>
        </w:rPr>
        <w:t>20</w:t>
      </w:r>
      <w:r>
        <w:rPr>
          <w:rFonts w:hint="eastAsia" w:ascii="宋体" w:hAnsi="宋体" w:eastAsia="宋体" w:cs="宋体"/>
          <w:b/>
          <w:color w:val="000000"/>
          <w:sz w:val="24"/>
          <w:highlight w:val="none"/>
        </w:rPr>
        <w:t>天内（日历</w:t>
      </w:r>
      <w:r>
        <w:rPr>
          <w:rFonts w:hint="eastAsia" w:ascii="宋体" w:hAnsi="宋体" w:eastAsia="宋体" w:cs="宋体"/>
          <w:b/>
          <w:color w:val="000000"/>
          <w:sz w:val="24"/>
          <w:highlight w:val="none"/>
          <w:lang w:eastAsia="zh-CN"/>
        </w:rPr>
        <w:t>天</w:t>
      </w:r>
      <w:r>
        <w:rPr>
          <w:rFonts w:hint="eastAsia" w:ascii="宋体" w:hAnsi="宋体" w:eastAsia="宋体" w:cs="宋体"/>
          <w:b/>
          <w:color w:val="000000"/>
          <w:sz w:val="24"/>
          <w:highlight w:val="none"/>
        </w:rPr>
        <w:t>）</w:t>
      </w:r>
      <w:r>
        <w:rPr>
          <w:rFonts w:hint="eastAsia" w:ascii="宋体" w:hAnsi="宋体" w:eastAsia="宋体" w:cs="宋体"/>
          <w:color w:val="000000"/>
          <w:sz w:val="24"/>
          <w:highlight w:val="none"/>
        </w:rPr>
        <w:t>。“交货</w:t>
      </w:r>
      <w:r>
        <w:rPr>
          <w:rFonts w:hint="eastAsia" w:ascii="宋体" w:hAnsi="宋体" w:eastAsia="宋体" w:cs="宋体"/>
          <w:sz w:val="24"/>
          <w:highlight w:val="none"/>
        </w:rPr>
        <w:t>期”指所有货物运抵现场安装调试完毕后交付用户验收的日期。</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2、</w:t>
      </w:r>
      <w:r>
        <w:rPr>
          <w:rFonts w:hint="eastAsia" w:ascii="宋体" w:hAnsi="宋体" w:eastAsia="宋体" w:cs="宋体"/>
          <w:b/>
          <w:color w:val="000000"/>
          <w:sz w:val="24"/>
          <w:szCs w:val="24"/>
          <w:highlight w:val="none"/>
        </w:rPr>
        <w:t>交货地点：阳新县人民医院指定地点。</w:t>
      </w:r>
    </w:p>
    <w:p>
      <w:pPr>
        <w:pStyle w:val="40"/>
        <w:numPr>
          <w:ilvl w:val="0"/>
          <w:numId w:val="0"/>
        </w:numPr>
        <w:spacing w:line="360" w:lineRule="auto"/>
        <w:ind w:leftChars="0"/>
        <w:rPr>
          <w:rFonts w:cs="宋体" w:asciiTheme="minorEastAsia" w:hAnsiTheme="minorEastAsia"/>
          <w:b/>
          <w:color w:val="000000"/>
          <w:sz w:val="24"/>
          <w:szCs w:val="24"/>
          <w:highlight w:val="none"/>
        </w:rPr>
      </w:pPr>
      <w:r>
        <w:rPr>
          <w:rFonts w:hint="eastAsia" w:ascii="宋体" w:hAnsi="宋体" w:cs="宋体"/>
          <w:b/>
          <w:color w:val="000000"/>
          <w:sz w:val="24"/>
          <w:szCs w:val="24"/>
          <w:highlight w:val="none"/>
          <w:lang w:val="en-US" w:eastAsia="zh-CN"/>
        </w:rPr>
        <w:t>3、</w:t>
      </w:r>
      <w:r>
        <w:rPr>
          <w:rFonts w:hint="eastAsia" w:ascii="宋体" w:hAnsi="宋体" w:eastAsia="宋体" w:cs="宋体"/>
          <w:b/>
          <w:color w:val="000000"/>
          <w:sz w:val="24"/>
          <w:szCs w:val="24"/>
          <w:highlight w:val="none"/>
          <w:lang w:eastAsia="zh-CN"/>
        </w:rPr>
        <w:t>质保期：</w:t>
      </w:r>
      <w:r>
        <w:rPr>
          <w:rFonts w:hint="eastAsia" w:ascii="宋体" w:hAnsi="宋体" w:eastAsia="宋体" w:cs="宋体"/>
          <w:b/>
          <w:color w:val="000000"/>
          <w:sz w:val="24"/>
          <w:szCs w:val="24"/>
          <w:highlight w:val="none"/>
          <w:lang w:val="en-US" w:eastAsia="zh-CN"/>
        </w:rPr>
        <w:t>A包质保期2年，B包质保期1年。</w:t>
      </w:r>
      <w:r>
        <w:rPr>
          <w:rFonts w:hint="eastAsia" w:cs="宋体" w:asciiTheme="minorEastAsia" w:hAnsiTheme="minorEastAsia"/>
          <w:b w:val="0"/>
          <w:bCs/>
          <w:color w:val="000000"/>
          <w:sz w:val="24"/>
          <w:szCs w:val="24"/>
          <w:highlight w:val="none"/>
          <w:lang w:val="en-US" w:eastAsia="zh-CN"/>
        </w:rPr>
        <w:t>质保期内出现质量问题免费维修，出现人为问题提供免费人工服务；制造商能提供</w:t>
      </w:r>
      <w:r>
        <w:rPr>
          <w:rFonts w:hint="eastAsia" w:cs="宋体" w:asciiTheme="minorEastAsia" w:hAnsiTheme="minorEastAsia"/>
          <w:b w:val="0"/>
          <w:bCs/>
          <w:color w:val="000000"/>
          <w:sz w:val="24"/>
          <w:szCs w:val="24"/>
          <w:highlight w:val="none"/>
          <w:lang w:eastAsia="zh-CN"/>
        </w:rPr>
        <w:t>专业工程师安装及维修服务。</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cs="宋体"/>
          <w:b/>
          <w:color w:val="000000"/>
          <w:sz w:val="24"/>
          <w:szCs w:val="24"/>
          <w:highlight w:val="none"/>
          <w:lang w:val="en-US" w:eastAsia="zh-CN"/>
        </w:rPr>
        <w:t>4、</w:t>
      </w:r>
      <w:r>
        <w:rPr>
          <w:rFonts w:hint="eastAsia" w:ascii="宋体" w:hAnsi="宋体" w:eastAsia="宋体" w:cs="宋体"/>
          <w:b/>
          <w:bCs/>
          <w:sz w:val="24"/>
          <w:szCs w:val="24"/>
          <w:lang w:val="en-US" w:eastAsia="zh-CN"/>
        </w:rPr>
        <w:t>售后服务要求：</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  开机率≥98%，仪器故障要求12小时内应答，24小时形成解决方案</w:t>
      </w:r>
      <w:r>
        <w:rPr>
          <w:rFonts w:hint="eastAsia" w:ascii="宋体" w:hAnsi="宋体" w:cs="宋体"/>
          <w:b w:val="0"/>
          <w:bCs w:val="0"/>
          <w:sz w:val="24"/>
          <w:szCs w:val="24"/>
          <w:lang w:val="en-US" w:eastAsia="zh-CN"/>
        </w:rPr>
        <w:t>。</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r>
        <w:rPr>
          <w:rFonts w:hint="eastAsia" w:ascii="宋体" w:hAnsi="宋体" w:cs="宋体"/>
          <w:b w:val="0"/>
          <w:bCs w:val="0"/>
          <w:sz w:val="24"/>
          <w:szCs w:val="24"/>
          <w:lang w:val="en-US" w:eastAsia="zh-CN"/>
        </w:rPr>
        <w:t xml:space="preserve">2  </w:t>
      </w:r>
      <w:r>
        <w:rPr>
          <w:rFonts w:hint="eastAsia" w:ascii="宋体" w:hAnsi="宋体" w:eastAsia="宋体" w:cs="宋体"/>
          <w:b w:val="0"/>
          <w:bCs w:val="0"/>
          <w:sz w:val="24"/>
          <w:szCs w:val="24"/>
          <w:lang w:val="en-US" w:eastAsia="zh-CN"/>
        </w:rPr>
        <w:t>投标人需要在中国大陆地区设有售后服务机构和设施，并配备受过专业培训的售后服务人员。</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r>
        <w:rPr>
          <w:rFonts w:hint="eastAsia" w:ascii="宋体" w:hAnsi="宋体" w:cs="宋体"/>
          <w:b w:val="0"/>
          <w:bCs w:val="0"/>
          <w:sz w:val="24"/>
          <w:szCs w:val="24"/>
          <w:lang w:val="en-US" w:eastAsia="zh-CN"/>
        </w:rPr>
        <w:t xml:space="preserve">3 </w:t>
      </w:r>
      <w:r>
        <w:rPr>
          <w:rFonts w:hint="eastAsia" w:ascii="宋体" w:hAnsi="宋体" w:eastAsia="宋体" w:cs="宋体"/>
          <w:b w:val="0"/>
          <w:bCs w:val="0"/>
          <w:sz w:val="24"/>
          <w:szCs w:val="24"/>
          <w:lang w:val="en-US" w:eastAsia="zh-CN"/>
        </w:rPr>
        <w:t xml:space="preserve"> A包：为保证设备正常运行，投标人应在中国境内方便的地方设置备件库，存入所有必须的备件，并保证5年以上的供应期；</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B包：为保证设备正常运行，投标人应在中国境内方便的地方设置备件库，存入所有必须的备件，并保证5年以上的供应期，提供400全国免费电话。</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color w:val="000000"/>
          <w:sz w:val="24"/>
          <w:szCs w:val="24"/>
          <w:highlight w:val="none"/>
        </w:rPr>
      </w:pPr>
      <w:r>
        <w:rPr>
          <w:rFonts w:hint="eastAsia" w:ascii="宋体" w:hAnsi="宋体" w:eastAsia="宋体" w:cs="宋体"/>
          <w:b w:val="0"/>
          <w:bCs w:val="0"/>
          <w:sz w:val="24"/>
          <w:szCs w:val="24"/>
          <w:lang w:val="en-US" w:eastAsia="zh-CN"/>
        </w:rPr>
        <w:t>4.</w:t>
      </w:r>
      <w:r>
        <w:rPr>
          <w:rFonts w:hint="eastAsia" w:ascii="宋体" w:hAnsi="宋体" w:cs="宋体"/>
          <w:b w:val="0"/>
          <w:bCs w:val="0"/>
          <w:sz w:val="24"/>
          <w:szCs w:val="24"/>
          <w:lang w:val="en-US" w:eastAsia="zh-CN"/>
        </w:rPr>
        <w:t xml:space="preserve">4   </w:t>
      </w:r>
      <w:r>
        <w:rPr>
          <w:rFonts w:hint="eastAsia" w:ascii="宋体" w:hAnsi="宋体" w:eastAsia="宋体" w:cs="宋体"/>
          <w:b w:val="0"/>
          <w:bCs w:val="0"/>
          <w:sz w:val="24"/>
          <w:szCs w:val="24"/>
          <w:lang w:val="en-US" w:eastAsia="zh-CN"/>
        </w:rPr>
        <w:t>现场培训：投标人提供现场技术培训，保证使用人员能够正确操作设备的各项功能。</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5、</w:t>
      </w:r>
      <w:r>
        <w:rPr>
          <w:rFonts w:hint="eastAsia" w:ascii="宋体" w:hAnsi="宋体" w:eastAsia="宋体" w:cs="宋体"/>
          <w:b/>
          <w:color w:val="000000"/>
          <w:sz w:val="24"/>
          <w:szCs w:val="24"/>
          <w:highlight w:val="none"/>
        </w:rPr>
        <w:t>付款方式：</w:t>
      </w:r>
      <w:r>
        <w:rPr>
          <w:rFonts w:hint="eastAsia" w:ascii="宋体" w:hAnsi="宋体" w:eastAsia="宋体" w:cs="宋体"/>
          <w:b/>
          <w:color w:val="000000"/>
          <w:sz w:val="24"/>
          <w:szCs w:val="24"/>
          <w:highlight w:val="none"/>
          <w:lang w:val="en-US" w:eastAsia="zh-CN"/>
        </w:rPr>
        <w:t>验收合格</w:t>
      </w:r>
      <w:r>
        <w:rPr>
          <w:rFonts w:hint="eastAsia" w:ascii="宋体" w:hAnsi="宋体" w:eastAsia="宋体" w:cs="宋体"/>
          <w:b/>
          <w:color w:val="000000"/>
          <w:sz w:val="24"/>
          <w:szCs w:val="24"/>
          <w:highlight w:val="none"/>
        </w:rPr>
        <w:t>后付全款的90%，余下10%质保期结束后付清。</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6、</w:t>
      </w:r>
      <w:r>
        <w:rPr>
          <w:rFonts w:hint="eastAsia" w:ascii="宋体" w:hAnsi="宋体" w:eastAsia="宋体" w:cs="宋体"/>
          <w:b/>
          <w:color w:val="000000"/>
          <w:sz w:val="24"/>
          <w:szCs w:val="24"/>
          <w:highlight w:val="none"/>
        </w:rPr>
        <w:t>其他要求：</w:t>
      </w:r>
    </w:p>
    <w:p>
      <w:pPr>
        <w:pStyle w:val="40"/>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6.1</w:t>
      </w:r>
      <w:r>
        <w:rPr>
          <w:rFonts w:hint="eastAsia" w:ascii="宋体" w:hAnsi="宋体" w:eastAsia="宋体" w:cs="宋体"/>
          <w:sz w:val="24"/>
          <w:szCs w:val="24"/>
          <w:highlight w:val="none"/>
        </w:rPr>
        <w:t>本项目采购预算控制总金额为</w:t>
      </w:r>
      <w:r>
        <w:rPr>
          <w:rFonts w:hint="eastAsia" w:ascii="宋体" w:hAnsi="宋体" w:cs="宋体"/>
          <w:b/>
          <w:sz w:val="24"/>
          <w:szCs w:val="24"/>
          <w:highlight w:val="none"/>
          <w:lang w:val="en-US" w:eastAsia="zh-CN"/>
        </w:rPr>
        <w:t>669</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其中A包507万，B包162万元）</w:t>
      </w:r>
      <w:r>
        <w:rPr>
          <w:rFonts w:hint="eastAsia" w:ascii="宋体" w:hAnsi="宋体" w:eastAsia="宋体" w:cs="宋体"/>
          <w:sz w:val="24"/>
          <w:szCs w:val="24"/>
          <w:highlight w:val="none"/>
        </w:rPr>
        <w:t>，超出预算控制金额将导致其报价无效。</w:t>
      </w:r>
    </w:p>
    <w:p>
      <w:pPr>
        <w:pStyle w:val="40"/>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6.2</w:t>
      </w:r>
      <w:r>
        <w:rPr>
          <w:rFonts w:hint="eastAsia" w:ascii="宋体" w:hAnsi="宋体" w:eastAsia="宋体" w:cs="宋体"/>
          <w:sz w:val="24"/>
          <w:szCs w:val="24"/>
          <w:highlight w:val="none"/>
        </w:rPr>
        <w:t>投标人不得以低于成本的报价进行投标，低于成本价的将导致其投标无效。</w:t>
      </w:r>
    </w:p>
    <w:p>
      <w:pPr>
        <w:pStyle w:val="40"/>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6.3本</w:t>
      </w:r>
      <w:r>
        <w:rPr>
          <w:rFonts w:hint="eastAsia" w:ascii="宋体" w:hAnsi="宋体" w:eastAsia="宋体" w:cs="宋体"/>
          <w:sz w:val="24"/>
          <w:szCs w:val="24"/>
          <w:highlight w:val="none"/>
        </w:rPr>
        <w:t>项目已经政府采购主管部门审核同意，可以采购进口产品，但不限制符合招标要求的国内产品参与采购竞争。采购进口产品时评标委员会将优先考虑向我国企业转让技术、与我国企业签订消化吸收再创新方案的供应商的进口产品。</w:t>
      </w:r>
    </w:p>
    <w:p>
      <w:pPr>
        <w:pStyle w:val="40"/>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40" w:lineRule="exact"/>
        <w:ind w:leftChars="0"/>
        <w:textAlignment w:val="auto"/>
        <w:rPr>
          <w:rFonts w:hint="eastAsia"/>
          <w:lang w:val="en-US" w:eastAsia="zh-CN"/>
        </w:rPr>
      </w:pPr>
      <w:r>
        <w:rPr>
          <w:rFonts w:hint="eastAsia" w:ascii="宋体" w:hAnsi="宋体" w:eastAsia="宋体" w:cs="宋体"/>
          <w:sz w:val="24"/>
          <w:szCs w:val="24"/>
          <w:lang w:val="en-US" w:eastAsia="zh-CN"/>
        </w:rPr>
        <w:t>6.4</w:t>
      </w:r>
      <w:r>
        <w:rPr>
          <w:rFonts w:hint="eastAsia" w:ascii="宋体" w:hAnsi="宋体" w:eastAsia="宋体" w:cs="宋体"/>
          <w:sz w:val="24"/>
          <w:szCs w:val="24"/>
        </w:rPr>
        <w:t>本项目投标报价包含但不限于：设备价（包括硬件、软件）、运至合同指定地点的运输费、安装费（包括损耗、额外材料等）、保险费、安装、技术培训费、各种税费等。</w:t>
      </w:r>
    </w:p>
    <w:p>
      <w:pPr>
        <w:pStyle w:val="2"/>
        <w:rPr>
          <w:rFonts w:hint="eastAsia"/>
        </w:rPr>
      </w:pPr>
    </w:p>
    <w:p/>
    <w:p>
      <w:pPr>
        <w:pStyle w:val="3"/>
        <w:numPr>
          <w:ilvl w:val="0"/>
          <w:numId w:val="1"/>
        </w:numPr>
        <w:jc w:val="center"/>
        <w:rPr>
          <w:rFonts w:ascii="黑体" w:hAnsi="黑体" w:eastAsia="黑体"/>
        </w:rPr>
      </w:pPr>
      <w:bookmarkStart w:id="42" w:name="_Toc10257"/>
      <w:r>
        <w:rPr>
          <w:rFonts w:hint="eastAsia" w:ascii="黑体" w:hAnsi="黑体" w:eastAsia="黑体"/>
        </w:rPr>
        <w:t>资格审查方法及标准</w:t>
      </w:r>
      <w:bookmarkEnd w:id="42"/>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4"/>
        <w:numPr>
          <w:ilvl w:val="0"/>
          <w:numId w:val="39"/>
        </w:numPr>
        <w:spacing w:before="0" w:after="0" w:line="360" w:lineRule="auto"/>
        <w:ind w:left="616" w:hanging="616"/>
        <w:jc w:val="left"/>
        <w:rPr>
          <w:rFonts w:cs="Times New Roman" w:asciiTheme="majorEastAsia" w:hAnsiTheme="majorEastAsia"/>
          <w:bCs w:val="0"/>
          <w:sz w:val="30"/>
          <w:szCs w:val="30"/>
          <w:lang w:val="zh-CN"/>
        </w:rPr>
      </w:pPr>
      <w:bookmarkStart w:id="43" w:name="_Toc494561958"/>
      <w:bookmarkStart w:id="44" w:name="_Toc18017"/>
      <w:r>
        <w:rPr>
          <w:rFonts w:hint="eastAsia" w:cs="Times New Roman" w:asciiTheme="majorEastAsia" w:hAnsiTheme="majorEastAsia"/>
          <w:bCs w:val="0"/>
          <w:sz w:val="30"/>
          <w:szCs w:val="30"/>
          <w:lang w:val="zh-CN"/>
        </w:rPr>
        <w:t>资格审查方法</w:t>
      </w:r>
      <w:bookmarkEnd w:id="43"/>
      <w:bookmarkEnd w:id="44"/>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w:t>
      </w:r>
      <w:r>
        <w:rPr>
          <w:rFonts w:hint="eastAsia" w:ascii="宋体" w:hAnsi="宋体" w:eastAsia="宋体" w:cs="Times New Roman"/>
          <w:bCs/>
          <w:color w:val="FF0000"/>
          <w:sz w:val="24"/>
          <w:szCs w:val="20"/>
          <w:lang w:val="zh-CN"/>
        </w:rPr>
        <w:t>采购人、采购代理机构</w:t>
      </w:r>
      <w:r>
        <w:rPr>
          <w:rFonts w:hint="eastAsia" w:ascii="宋体" w:hAnsi="宋体" w:eastAsia="宋体" w:cs="Times New Roman"/>
          <w:bCs/>
          <w:color w:val="0D0D0D"/>
          <w:sz w:val="24"/>
          <w:szCs w:val="20"/>
          <w:lang w:val="zh-CN"/>
        </w:rPr>
        <w:t>成立资格审查小组，依据法律、法规及招标文件的规定，对投标人的资格进行审查，以确定投标人资格是否合格。</w:t>
      </w:r>
    </w:p>
    <w:p>
      <w:pPr>
        <w:pStyle w:val="4"/>
        <w:numPr>
          <w:ilvl w:val="0"/>
          <w:numId w:val="39"/>
        </w:numPr>
        <w:spacing w:before="0" w:after="0" w:line="360" w:lineRule="auto"/>
        <w:ind w:left="616" w:hanging="616"/>
        <w:jc w:val="left"/>
        <w:rPr>
          <w:rFonts w:cs="Times New Roman" w:asciiTheme="majorEastAsia" w:hAnsiTheme="majorEastAsia"/>
          <w:bCs w:val="0"/>
          <w:sz w:val="30"/>
          <w:szCs w:val="30"/>
          <w:lang w:val="zh-CN"/>
        </w:rPr>
      </w:pPr>
      <w:bookmarkStart w:id="45" w:name="_Toc494561959"/>
      <w:bookmarkStart w:id="46" w:name="_Toc1797"/>
      <w:r>
        <w:rPr>
          <w:rFonts w:hint="eastAsia" w:cs="Times New Roman" w:asciiTheme="majorEastAsia" w:hAnsiTheme="majorEastAsia"/>
          <w:bCs w:val="0"/>
          <w:sz w:val="30"/>
          <w:szCs w:val="30"/>
          <w:lang w:val="zh-CN"/>
        </w:rPr>
        <w:t>资格审查标准</w:t>
      </w:r>
      <w:bookmarkEnd w:id="45"/>
      <w:bookmarkEnd w:id="46"/>
    </w:p>
    <w:p>
      <w:pPr>
        <w:numPr>
          <w:ilvl w:val="0"/>
          <w:numId w:val="40"/>
        </w:numPr>
        <w:tabs>
          <w:tab w:val="left" w:pos="616"/>
        </w:tabs>
        <w:spacing w:line="360" w:lineRule="auto"/>
        <w:ind w:left="14" w:firstLine="238"/>
        <w:rPr>
          <w:rFonts w:ascii="宋体" w:hAnsi="宋体"/>
          <w:b/>
          <w:color w:val="000000"/>
          <w:sz w:val="24"/>
          <w:szCs w:val="24"/>
          <w:lang w:val="zh-CN"/>
        </w:rPr>
      </w:pPr>
      <w:r>
        <w:rPr>
          <w:rFonts w:hint="eastAsia" w:ascii="宋体" w:hAnsi="宋体"/>
          <w:b/>
          <w:color w:val="000000"/>
          <w:sz w:val="24"/>
          <w:szCs w:val="24"/>
          <w:lang w:val="zh-CN"/>
        </w:rPr>
        <w:t>资格证明文件审查</w:t>
      </w:r>
    </w:p>
    <w:p>
      <w:pPr>
        <w:tabs>
          <w:tab w:val="left" w:pos="616"/>
        </w:tabs>
        <w:spacing w:line="360" w:lineRule="auto"/>
        <w:ind w:firstLine="420"/>
        <w:rPr>
          <w:rFonts w:ascii="Helvetica" w:hAnsi="Helvetica" w:cs="Helvetica"/>
          <w:b/>
          <w:color w:val="000000"/>
          <w:kern w:val="0"/>
          <w:sz w:val="24"/>
          <w:szCs w:val="24"/>
          <w:lang w:val="zh-CN"/>
        </w:rPr>
      </w:pPr>
      <w:r>
        <w:rPr>
          <w:rFonts w:hint="eastAsia" w:ascii="Helvetica" w:hAnsi="Helvetica" w:cs="Helvetica"/>
          <w:color w:val="000000"/>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color w:val="000000"/>
          <w:kern w:val="0"/>
          <w:sz w:val="24"/>
          <w:szCs w:val="24"/>
          <w:lang w:val="zh-CN"/>
        </w:rPr>
        <w:t>无效投标处理：</w:t>
      </w:r>
    </w:p>
    <w:p>
      <w:pPr>
        <w:pStyle w:val="29"/>
        <w:numPr>
          <w:ilvl w:val="0"/>
          <w:numId w:val="4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应具备《政府采购法》第二十二条第一款规定的条件，</w:t>
      </w:r>
      <w:r>
        <w:rPr>
          <w:rFonts w:hint="eastAsia" w:hAnsi="宋体"/>
          <w:color w:val="000000"/>
          <w:sz w:val="24"/>
          <w:szCs w:val="24"/>
        </w:rPr>
        <w:t>提供下列材料</w:t>
      </w:r>
      <w:r>
        <w:rPr>
          <w:rFonts w:hint="eastAsia" w:ascii="宋体" w:hAnsi="宋体"/>
          <w:color w:val="000000"/>
          <w:sz w:val="24"/>
          <w:szCs w:val="24"/>
          <w:lang w:val="zh-CN"/>
        </w:rPr>
        <w:t>：</w:t>
      </w:r>
    </w:p>
    <w:p>
      <w:pPr>
        <w:pStyle w:val="29"/>
        <w:numPr>
          <w:ilvl w:val="0"/>
          <w:numId w:val="4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法人或者其他组织的营业执照等证明文件，自然人的身份证明；</w:t>
      </w:r>
    </w:p>
    <w:p>
      <w:pPr>
        <w:pStyle w:val="29"/>
        <w:numPr>
          <w:ilvl w:val="0"/>
          <w:numId w:val="4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财务状况报告，依法缴纳税收和社会保障资金的相关材料；</w:t>
      </w:r>
    </w:p>
    <w:p>
      <w:pPr>
        <w:pStyle w:val="29"/>
        <w:numPr>
          <w:ilvl w:val="0"/>
          <w:numId w:val="4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具备履行合同所必需的设备和专业技术能力的证明材料；</w:t>
      </w:r>
    </w:p>
    <w:p>
      <w:pPr>
        <w:pStyle w:val="29"/>
        <w:numPr>
          <w:ilvl w:val="0"/>
          <w:numId w:val="4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参加政府采购活动前3年内在经营活动中没有重大违法记录的书面声明；</w:t>
      </w:r>
    </w:p>
    <w:p>
      <w:pPr>
        <w:pStyle w:val="29"/>
        <w:numPr>
          <w:ilvl w:val="0"/>
          <w:numId w:val="4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具备法律、行政法规规定的其他条件的证明材料。</w:t>
      </w:r>
    </w:p>
    <w:p>
      <w:pPr>
        <w:pStyle w:val="29"/>
        <w:numPr>
          <w:ilvl w:val="0"/>
          <w:numId w:val="4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29"/>
        <w:numPr>
          <w:ilvl w:val="0"/>
          <w:numId w:val="4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招标文件第一章“投标人资格要求”中有特殊要求的，投标人应提供其符合特殊要求的证明材料或者情况说明；</w:t>
      </w:r>
    </w:p>
    <w:p>
      <w:pPr>
        <w:pStyle w:val="29"/>
        <w:numPr>
          <w:ilvl w:val="0"/>
          <w:numId w:val="4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不符合联合体投标相关规定和要求的；</w:t>
      </w:r>
    </w:p>
    <w:p>
      <w:pPr>
        <w:pStyle w:val="29"/>
        <w:numPr>
          <w:ilvl w:val="0"/>
          <w:numId w:val="4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投标人认为需提供的其它相关资格证明材料；</w:t>
      </w:r>
    </w:p>
    <w:p>
      <w:pPr>
        <w:numPr>
          <w:ilvl w:val="0"/>
          <w:numId w:val="0"/>
        </w:numPr>
        <w:tabs>
          <w:tab w:val="left" w:pos="616"/>
        </w:tabs>
        <w:spacing w:line="360" w:lineRule="auto"/>
        <w:ind w:left="252" w:leftChars="0"/>
        <w:rPr>
          <w:rFonts w:ascii="宋体" w:hAnsi="宋体" w:eastAsia="宋体" w:cs="Times New Roman"/>
          <w:b/>
          <w:sz w:val="24"/>
          <w:szCs w:val="24"/>
          <w:lang w:val="zh-CN"/>
        </w:rPr>
      </w:pPr>
      <w:r>
        <w:rPr>
          <w:rFonts w:hint="eastAsia" w:ascii="宋体" w:hAnsi="宋体"/>
          <w:color w:val="000000"/>
          <w:sz w:val="24"/>
          <w:szCs w:val="24"/>
          <w:lang w:val="en-US" w:eastAsia="zh-CN"/>
        </w:rPr>
        <w:t xml:space="preserve">1.6 </w:t>
      </w:r>
      <w:r>
        <w:rPr>
          <w:rFonts w:hint="eastAsia" w:ascii="宋体" w:hAnsi="宋体"/>
          <w:color w:val="000000"/>
          <w:sz w:val="24"/>
          <w:szCs w:val="24"/>
          <w:lang w:val="zh-CN"/>
        </w:rPr>
        <w:t>资格证明文件正本应为清晰彩色影印件且加盖单位公章。</w:t>
      </w:r>
    </w:p>
    <w:p>
      <w:pPr>
        <w:numPr>
          <w:ilvl w:val="0"/>
          <w:numId w:val="40"/>
        </w:numPr>
        <w:tabs>
          <w:tab w:val="left" w:pos="616"/>
        </w:tabs>
        <w:spacing w:line="360" w:lineRule="auto"/>
        <w:ind w:left="14" w:leftChars="0" w:firstLine="238" w:firstLineChars="0"/>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29"/>
        <w:numPr>
          <w:ilvl w:val="0"/>
          <w:numId w:val="4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29"/>
        <w:numPr>
          <w:ilvl w:val="0"/>
          <w:numId w:val="4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29"/>
        <w:numPr>
          <w:ilvl w:val="0"/>
          <w:numId w:val="4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29"/>
        <w:numPr>
          <w:ilvl w:val="0"/>
          <w:numId w:val="4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3"/>
        <w:numPr>
          <w:ilvl w:val="0"/>
          <w:numId w:val="1"/>
        </w:numPr>
        <w:jc w:val="center"/>
        <w:rPr>
          <w:rFonts w:ascii="黑体" w:hAnsi="黑体" w:eastAsia="黑体"/>
        </w:rPr>
      </w:pPr>
      <w:bookmarkStart w:id="47" w:name="_Toc270"/>
      <w:r>
        <w:rPr>
          <w:rFonts w:hint="eastAsia" w:ascii="黑体" w:hAnsi="黑体" w:eastAsia="黑体"/>
        </w:rPr>
        <w:t>评标方法、程序及标准</w:t>
      </w:r>
      <w:bookmarkEnd w:id="47"/>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4"/>
        <w:numPr>
          <w:ilvl w:val="0"/>
          <w:numId w:val="44"/>
        </w:numPr>
        <w:spacing w:before="0" w:after="0" w:line="360" w:lineRule="auto"/>
        <w:ind w:left="616" w:hanging="616"/>
        <w:jc w:val="left"/>
        <w:rPr>
          <w:rFonts w:cs="Times New Roman" w:asciiTheme="majorEastAsia" w:hAnsiTheme="majorEastAsia"/>
          <w:bCs w:val="0"/>
          <w:sz w:val="30"/>
          <w:szCs w:val="30"/>
          <w:lang w:val="zh-CN"/>
        </w:rPr>
      </w:pPr>
      <w:bookmarkStart w:id="48" w:name="_Toc272247708"/>
      <w:bookmarkStart w:id="49" w:name="_Toc278891605"/>
      <w:bookmarkStart w:id="50" w:name="_Toc29445"/>
      <w:bookmarkStart w:id="51" w:name="_Toc494561961"/>
      <w:r>
        <w:rPr>
          <w:rFonts w:hint="eastAsia" w:cs="Times New Roman" w:asciiTheme="majorEastAsia" w:hAnsiTheme="majorEastAsia"/>
          <w:bCs w:val="0"/>
          <w:sz w:val="30"/>
          <w:szCs w:val="30"/>
          <w:lang w:val="zh-CN"/>
        </w:rPr>
        <w:t>评标</w:t>
      </w:r>
      <w:bookmarkEnd w:id="48"/>
      <w:bookmarkEnd w:id="49"/>
      <w:r>
        <w:rPr>
          <w:rFonts w:hint="eastAsia" w:cs="Times New Roman" w:asciiTheme="majorEastAsia" w:hAnsiTheme="majorEastAsia"/>
          <w:bCs w:val="0"/>
          <w:sz w:val="30"/>
          <w:szCs w:val="30"/>
          <w:lang w:val="zh-CN"/>
        </w:rPr>
        <w:t>方法</w:t>
      </w:r>
      <w:bookmarkEnd w:id="50"/>
      <w:bookmarkEnd w:id="51"/>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4"/>
        <w:numPr>
          <w:ilvl w:val="0"/>
          <w:numId w:val="44"/>
        </w:numPr>
        <w:spacing w:before="0" w:after="0" w:line="360" w:lineRule="auto"/>
        <w:ind w:left="616" w:hanging="616"/>
        <w:jc w:val="left"/>
        <w:rPr>
          <w:rFonts w:cs="Times New Roman" w:asciiTheme="majorEastAsia" w:hAnsiTheme="majorEastAsia"/>
          <w:bCs w:val="0"/>
          <w:sz w:val="30"/>
          <w:szCs w:val="30"/>
          <w:lang w:val="zh-CN"/>
        </w:rPr>
      </w:pPr>
      <w:bookmarkStart w:id="52" w:name="_Toc278891606"/>
      <w:bookmarkStart w:id="53" w:name="_Toc272247709"/>
      <w:bookmarkStart w:id="54" w:name="_Toc494561962"/>
      <w:bookmarkStart w:id="55" w:name="_Toc279"/>
      <w:r>
        <w:rPr>
          <w:rFonts w:hint="eastAsia" w:cs="Times New Roman" w:asciiTheme="majorEastAsia" w:hAnsiTheme="majorEastAsia"/>
          <w:bCs w:val="0"/>
          <w:sz w:val="30"/>
          <w:szCs w:val="30"/>
          <w:lang w:val="zh-CN"/>
        </w:rPr>
        <w:t>评标程序</w:t>
      </w:r>
      <w:bookmarkEnd w:id="52"/>
      <w:bookmarkEnd w:id="53"/>
      <w:r>
        <w:rPr>
          <w:rFonts w:hint="eastAsia" w:cs="Times New Roman" w:asciiTheme="majorEastAsia" w:hAnsiTheme="majorEastAsia"/>
          <w:bCs w:val="0"/>
          <w:sz w:val="30"/>
          <w:szCs w:val="30"/>
          <w:lang w:val="zh-CN"/>
        </w:rPr>
        <w:t>及标准</w:t>
      </w:r>
      <w:bookmarkEnd w:id="54"/>
      <w:bookmarkEnd w:id="55"/>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45"/>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46"/>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未按要求提供招标文件第二章“十一 其他注意事项”中规定的书面声明的；</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45"/>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47"/>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47"/>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47"/>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4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4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4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4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4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4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47"/>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45"/>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4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4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4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0"/>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50"/>
        </w:numPr>
        <w:adjustRightInd w:val="0"/>
        <w:spacing w:line="360" w:lineRule="auto"/>
        <w:ind w:left="742" w:hanging="493"/>
        <w:rPr>
          <w:rFonts w:ascii="宋体" w:hAnsi="宋体" w:eastAsia="宋体" w:cs="Times New Roman"/>
          <w:b/>
          <w:sz w:val="24"/>
          <w:szCs w:val="24"/>
          <w:lang w:val="zh-CN"/>
        </w:rPr>
      </w:pPr>
      <w:r>
        <w:rPr>
          <w:rFonts w:hint="eastAsia" w:ascii="宋体" w:hAnsi="宋体" w:eastAsia="宋体" w:cs="Times New Roman"/>
          <w:b/>
          <w:sz w:val="24"/>
          <w:szCs w:val="24"/>
          <w:lang w:val="zh-CN"/>
        </w:rPr>
        <w:t>小型和微型企业、监狱企业、残疾人福利性单位价格扣除：</w:t>
      </w:r>
    </w:p>
    <w:p>
      <w:pPr>
        <w:numPr>
          <w:ilvl w:val="0"/>
          <w:numId w:val="51"/>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51"/>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非专门面向中小企业的工程、服务类采购项目，投标人是小型和微型企业的价格给予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51"/>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鼓励大中型企业和其他自然人</w:t>
      </w:r>
      <w:r>
        <w:rPr>
          <w:rFonts w:ascii="宋体" w:hAnsi="宋体" w:eastAsia="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sz w:val="24"/>
          <w:szCs w:val="20"/>
        </w:rPr>
        <w:t>30%</w:t>
      </w:r>
      <w:r>
        <w:rPr>
          <w:rFonts w:ascii="宋体" w:hAnsi="宋体" w:eastAsia="宋体" w:cs="Times New Roman"/>
          <w:bCs/>
          <w:sz w:val="24"/>
          <w:szCs w:val="20"/>
        </w:rPr>
        <w:t>以上的，可给予联合体</w:t>
      </w:r>
      <w:r>
        <w:rPr>
          <w:rFonts w:ascii="宋体" w:hAnsi="宋体" w:eastAsia="宋体" w:cs="Times New Roman"/>
          <w:b/>
          <w:bCs/>
          <w:sz w:val="24"/>
          <w:szCs w:val="20"/>
          <w:lang w:val="zh-CN"/>
        </w:rPr>
        <w:t>3%</w:t>
      </w:r>
      <w:r>
        <w:rPr>
          <w:rFonts w:ascii="宋体" w:hAnsi="宋体" w:eastAsia="宋体" w:cs="Times New Roman"/>
          <w:bCs/>
          <w:sz w:val="24"/>
          <w:szCs w:val="20"/>
        </w:rPr>
        <w:t>的价格扣除</w:t>
      </w:r>
      <w:r>
        <w:rPr>
          <w:rFonts w:hint="eastAsia" w:ascii="宋体" w:hAnsi="宋体" w:eastAsia="宋体" w:cs="Times New Roman"/>
          <w:bCs/>
          <w:sz w:val="24"/>
          <w:szCs w:val="20"/>
        </w:rPr>
        <w:t>，</w:t>
      </w:r>
      <w:r>
        <w:rPr>
          <w:rFonts w:hint="eastAsia" w:ascii="宋体" w:hAnsi="宋体" w:eastAsia="宋体" w:cs="Times New Roman"/>
          <w:bCs/>
          <w:sz w:val="24"/>
          <w:szCs w:val="20"/>
          <w:lang w:val="zh-CN"/>
        </w:rPr>
        <w:t>不重复享受政策。</w:t>
      </w:r>
    </w:p>
    <w:p>
      <w:pPr>
        <w:numPr>
          <w:ilvl w:val="0"/>
          <w:numId w:val="51"/>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监狱企业</w:t>
      </w:r>
      <w:r>
        <w:rPr>
          <w:rFonts w:hint="eastAsia" w:ascii="宋体" w:hAnsi="宋体" w:eastAsia="宋体" w:cs="Times New Roman"/>
          <w:bCs/>
          <w:sz w:val="24"/>
          <w:szCs w:val="20"/>
          <w:lang w:val="zh-CN"/>
        </w:rPr>
        <w:t>、残疾人福利性单位</w:t>
      </w:r>
      <w:r>
        <w:rPr>
          <w:rFonts w:ascii="宋体" w:hAnsi="宋体" w:eastAsia="宋体" w:cs="Times New Roman"/>
          <w:bCs/>
          <w:sz w:val="24"/>
          <w:szCs w:val="20"/>
          <w:lang w:val="zh-CN"/>
        </w:rPr>
        <w:t>视同小型、微型企业，享受预留份额、评审中价格扣除等政府采购促进中小企业发展的政府采购政策</w:t>
      </w:r>
      <w:r>
        <w:rPr>
          <w:rFonts w:hint="eastAsia" w:ascii="宋体" w:hAnsi="宋体" w:eastAsia="宋体" w:cs="Times New Roman"/>
          <w:bCs/>
          <w:sz w:val="24"/>
          <w:szCs w:val="20"/>
          <w:lang w:val="zh-CN"/>
        </w:rPr>
        <w:t>，残疾人福利性单位属于小型、微型企业的，不重复享受政策。</w:t>
      </w:r>
    </w:p>
    <w:p>
      <w:pPr>
        <w:numPr>
          <w:ilvl w:val="0"/>
          <w:numId w:val="51"/>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4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52"/>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52"/>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4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53"/>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采购代理机构对各评委的总分进行复核。各项统计结果均精确到小数点后两位。</w:t>
      </w:r>
    </w:p>
    <w:p>
      <w:pPr>
        <w:numPr>
          <w:ilvl w:val="0"/>
          <w:numId w:val="53"/>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45"/>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5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5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5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5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lang w:val="zh-CN"/>
        </w:rPr>
      </w:pPr>
    </w:p>
    <w:p>
      <w:pPr>
        <w:pStyle w:val="4"/>
        <w:numPr>
          <w:ilvl w:val="0"/>
          <w:numId w:val="44"/>
        </w:numPr>
        <w:spacing w:before="0" w:after="0" w:line="360" w:lineRule="auto"/>
        <w:ind w:left="616" w:hanging="616"/>
        <w:jc w:val="left"/>
        <w:rPr>
          <w:rFonts w:cs="Times New Roman" w:asciiTheme="majorEastAsia" w:hAnsiTheme="majorEastAsia"/>
          <w:bCs w:val="0"/>
          <w:sz w:val="30"/>
          <w:szCs w:val="30"/>
          <w:lang w:val="zh-CN"/>
        </w:rPr>
      </w:pPr>
      <w:bookmarkStart w:id="56" w:name="_Toc24176"/>
      <w:bookmarkStart w:id="57" w:name="_Toc494561963"/>
      <w:r>
        <w:rPr>
          <w:rFonts w:hint="eastAsia" w:cs="Times New Roman" w:asciiTheme="majorEastAsia" w:hAnsiTheme="majorEastAsia"/>
          <w:bCs w:val="0"/>
          <w:sz w:val="30"/>
          <w:szCs w:val="30"/>
          <w:lang w:val="zh-CN"/>
        </w:rPr>
        <w:t>评审因素及评分标准</w:t>
      </w:r>
      <w:bookmarkEnd w:id="56"/>
      <w:bookmarkEnd w:id="57"/>
    </w:p>
    <w:tbl>
      <w:tblPr>
        <w:tblStyle w:val="19"/>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13"/>
        <w:gridCol w:w="6777"/>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61" w:type="dxa"/>
            <w:tcBorders>
              <w:top w:val="single" w:color="auto" w:sz="4" w:space="0"/>
              <w:left w:val="single" w:color="auto" w:sz="4" w:space="0"/>
              <w:bottom w:val="single" w:color="auto" w:sz="4" w:space="0"/>
              <w:right w:val="single" w:color="auto" w:sz="4" w:space="0"/>
              <w:tl2br w:val="single" w:color="auto" w:sz="4" w:space="0"/>
            </w:tcBorders>
            <w:noWrap/>
            <w:vAlign w:val="center"/>
          </w:tcPr>
          <w:p>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w:t>
            </w:r>
          </w:p>
        </w:tc>
        <w:tc>
          <w:tcPr>
            <w:tcW w:w="819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分值细则</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76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 评议</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8190" w:type="dxa"/>
            <w:gridSpan w:val="2"/>
            <w:tcBorders>
              <w:top w:val="single" w:color="auto" w:sz="4" w:space="0"/>
              <w:left w:val="single" w:color="auto" w:sz="4" w:space="0"/>
              <w:bottom w:val="single" w:color="auto" w:sz="4" w:space="0"/>
              <w:right w:val="single" w:color="auto" w:sz="4" w:space="0"/>
            </w:tcBorders>
            <w:noWrap/>
            <w:vAlign w:val="center"/>
          </w:tcPr>
          <w:p>
            <w:pPr>
              <w:pStyle w:val="41"/>
              <w:ind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投标报价)×价格分。计算时保留两位小数。为保证产品质量，投标报价低于采购预算80%时，评标委员会将对其进行成本分析，评标委员会认为报价低于成本价时将否决其投标。</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761" w:type="dxa"/>
            <w:tcBorders>
              <w:top w:val="single" w:color="auto" w:sz="4" w:space="0"/>
              <w:left w:val="single" w:color="auto" w:sz="4" w:space="0"/>
              <w:right w:val="single" w:color="auto" w:sz="4" w:space="0"/>
            </w:tcBorders>
            <w:noWrap/>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议</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c>
          <w:tcPr>
            <w:tcW w:w="1413"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设备技术参数响应</w:t>
            </w:r>
          </w:p>
        </w:tc>
        <w:tc>
          <w:tcPr>
            <w:tcW w:w="6777" w:type="dxa"/>
            <w:tcBorders>
              <w:top w:val="single" w:color="auto" w:sz="4" w:space="0"/>
              <w:left w:val="single" w:color="auto" w:sz="4" w:space="0"/>
              <w:bottom w:val="single" w:color="auto" w:sz="4" w:space="0"/>
              <w:right w:val="single" w:color="auto" w:sz="4" w:space="0"/>
            </w:tcBorders>
            <w:noWrap/>
            <w:vAlign w:val="center"/>
          </w:tcPr>
          <w:p>
            <w:pP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kern w:val="0"/>
                <w:sz w:val="24"/>
                <w:szCs w:val="24"/>
                <w:highlight w:val="none"/>
              </w:rPr>
              <w:t>完全满足用户的要求，或有优于用户的技术参数（投标人需提供所投产品的彩页样本或检验报告，如投标人技术响应内容与产品彩页样本或检验报告不一致的本项得0分），且能详细描述，综合评价最优的得</w:t>
            </w:r>
            <w:r>
              <w:rPr>
                <w:rFonts w:hint="eastAsia" w:asciiTheme="minorEastAsia" w:hAnsiTheme="minorEastAsia" w:eastAsiaTheme="minorEastAsia" w:cstheme="minorEastAsia"/>
                <w:kern w:val="0"/>
                <w:sz w:val="24"/>
                <w:szCs w:val="24"/>
                <w:highlight w:val="none"/>
                <w:lang w:val="en-US" w:eastAsia="zh-CN"/>
              </w:rPr>
              <w:t>50</w:t>
            </w:r>
            <w:r>
              <w:rPr>
                <w:rFonts w:hint="eastAsia" w:asciiTheme="minorEastAsia" w:hAnsiTheme="minorEastAsia" w:eastAsiaTheme="minorEastAsia" w:cstheme="minorEastAsia"/>
                <w:kern w:val="0"/>
                <w:sz w:val="24"/>
                <w:szCs w:val="24"/>
                <w:highlight w:val="none"/>
              </w:rPr>
              <w:t>分。</w:t>
            </w:r>
          </w:p>
          <w:p>
            <w:pPr>
              <w:numPr>
                <w:ilvl w:val="0"/>
                <w:numId w:val="0"/>
              </w:numPr>
              <w:jc w:val="left"/>
              <w:rPr>
                <w:rFonts w:hint="eastAsia" w:ascii="宋体" w:hAnsi="宋体" w:eastAsia="宋体" w:cs="宋体"/>
                <w:bCs/>
                <w:color w:val="auto"/>
                <w:sz w:val="24"/>
                <w:szCs w:val="24"/>
                <w:highlight w:val="none"/>
                <w:lang w:val="en-US" w:eastAsia="zh-CN"/>
              </w:rPr>
            </w:pPr>
            <w:r>
              <w:rPr>
                <w:rFonts w:hint="eastAsia" w:asciiTheme="minorEastAsia" w:hAnsiTheme="minorEastAsia" w:eastAsiaTheme="minorEastAsia" w:cstheme="minorEastAsia"/>
                <w:sz w:val="24"/>
                <w:szCs w:val="24"/>
                <w:highlight w:val="none"/>
              </w:rPr>
              <w:t>2.“</w:t>
            </w:r>
            <w:r>
              <w:rPr>
                <w:rFonts w:hint="eastAsia" w:ascii="宋体" w:hAnsi="宋体" w:eastAsia="宋体" w:cs="宋体"/>
                <w:b/>
                <w:color w:val="000000"/>
                <w:sz w:val="24"/>
                <w:szCs w:val="24"/>
                <w:highlight w:val="none"/>
              </w:rPr>
              <w:t>★</w:t>
            </w:r>
            <w:r>
              <w:rPr>
                <w:rFonts w:hint="eastAsia" w:asciiTheme="minorEastAsia" w:hAnsiTheme="minorEastAsia" w:eastAsiaTheme="minorEastAsia" w:cstheme="minorEastAsia"/>
                <w:sz w:val="24"/>
                <w:szCs w:val="24"/>
                <w:highlight w:val="none"/>
              </w:rPr>
              <w:t>”号标识的条款，为重要技术参数，每一项负偏离，扣5分；其他参数，每一项负偏离，扣2分，</w:t>
            </w:r>
            <w:r>
              <w:rPr>
                <w:rFonts w:hint="eastAsia" w:asciiTheme="minorEastAsia" w:hAnsiTheme="minorEastAsia" w:cstheme="minorEastAsia"/>
                <w:sz w:val="24"/>
                <w:szCs w:val="24"/>
                <w:highlight w:val="none"/>
                <w:lang w:eastAsia="zh-CN"/>
              </w:rPr>
              <w:t>累计</w:t>
            </w:r>
            <w:r>
              <w:rPr>
                <w:rFonts w:hint="eastAsia" w:asciiTheme="minorEastAsia" w:hAnsiTheme="minorEastAsia" w:eastAsiaTheme="minorEastAsia" w:cstheme="minorEastAsia"/>
                <w:sz w:val="24"/>
                <w:szCs w:val="24"/>
                <w:highlight w:val="none"/>
              </w:rPr>
              <w:t>扣完</w:t>
            </w:r>
            <w:r>
              <w:rPr>
                <w:rFonts w:hint="eastAsia" w:asciiTheme="minorEastAsia" w:hAnsiTheme="minorEastAsia" w:eastAsiaTheme="minorEastAsia" w:cstheme="minorEastAsia"/>
                <w:sz w:val="24"/>
                <w:szCs w:val="24"/>
                <w:highlight w:val="none"/>
                <w:lang w:val="en-US" w:eastAsia="zh-CN"/>
              </w:rPr>
              <w:t>50</w:t>
            </w:r>
            <w:r>
              <w:rPr>
                <w:rFonts w:hint="eastAsia" w:asciiTheme="minorEastAsia" w:hAnsiTheme="minorEastAsia" w:eastAsiaTheme="minorEastAsia" w:cstheme="minorEastAsia"/>
                <w:sz w:val="24"/>
                <w:szCs w:val="24"/>
                <w:highlight w:val="none"/>
              </w:rPr>
              <w:t>分为止。</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1" w:type="dxa"/>
            <w:vMerge w:val="restart"/>
            <w:tcBorders>
              <w:top w:val="single" w:color="auto" w:sz="4" w:space="0"/>
              <w:left w:val="single" w:color="auto" w:sz="4" w:space="0"/>
              <w:right w:val="single" w:color="auto" w:sz="4" w:space="0"/>
            </w:tcBorders>
            <w:noWrap/>
            <w:vAlign w:val="center"/>
          </w:tcPr>
          <w:p>
            <w:pPr>
              <w:widowControl/>
              <w:ind w:left="240" w:hanging="240" w:hanging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商</w:t>
            </w:r>
            <w:r>
              <w:rPr>
                <w:rFonts w:hint="eastAsia" w:ascii="宋体" w:hAnsi="宋体" w:eastAsia="宋体" w:cs="宋体"/>
                <w:color w:val="auto"/>
                <w:sz w:val="24"/>
                <w:szCs w:val="24"/>
                <w:highlight w:val="none"/>
                <w:lang w:eastAsia="zh-CN"/>
              </w:rPr>
              <w:t>务</w:t>
            </w:r>
          </w:p>
          <w:p>
            <w:pPr>
              <w:widowControl/>
              <w:ind w:left="240" w:hanging="240" w:hanging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投标文件编制规范</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cs="宋体"/>
                <w:kern w:val="0"/>
                <w:sz w:val="24"/>
                <w:szCs w:val="24"/>
              </w:rPr>
            </w:pPr>
            <w:r>
              <w:rPr>
                <w:rFonts w:hint="eastAsia" w:asciiTheme="minorEastAsia" w:hAnsiTheme="minorEastAsia" w:eastAsiaTheme="minorEastAsia" w:cstheme="minorEastAsia"/>
                <w:kern w:val="0"/>
                <w:sz w:val="24"/>
                <w:szCs w:val="24"/>
                <w:highlight w:val="none"/>
              </w:rPr>
              <w:t>投标文件全面响应招标文件要求，编制完整、非活页装订，且有详细目录、连续页码、目录与有关材料装订顺序对应清晰、查阅方便得</w:t>
            </w:r>
            <w:r>
              <w:rPr>
                <w:rFonts w:hint="eastAsia" w:asciiTheme="minorEastAsia" w:hAnsiTheme="minorEastAsia" w:cstheme="minorEastAsia"/>
                <w:kern w:val="0"/>
                <w:sz w:val="24"/>
                <w:szCs w:val="24"/>
                <w:highlight w:val="none"/>
                <w:lang w:val="en-US" w:eastAsia="zh-CN"/>
              </w:rPr>
              <w:t>2</w:t>
            </w:r>
            <w:r>
              <w:rPr>
                <w:rFonts w:hint="eastAsia" w:asciiTheme="minorEastAsia" w:hAnsiTheme="minorEastAsia" w:eastAsiaTheme="minorEastAsia" w:cstheme="minorEastAsia"/>
                <w:kern w:val="0"/>
                <w:sz w:val="24"/>
                <w:szCs w:val="24"/>
                <w:highlight w:val="none"/>
              </w:rPr>
              <w:t>分。编排杂乱无章、叙述答非所问、资料残缺不全、资料模糊不清、前后不一致等，每处扣</w:t>
            </w:r>
            <w:r>
              <w:rPr>
                <w:rFonts w:hint="eastAsia" w:asciiTheme="minorEastAsia" w:hAnsiTheme="minorEastAsia" w:eastAsia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分，扣完为止，活页装订不得分。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Cs/>
                <w:color w:val="auto"/>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rPr>
              <w:t>类似成功案例</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根据投标人</w:t>
            </w:r>
            <w:r>
              <w:rPr>
                <w:rFonts w:hint="eastAsia" w:asciiTheme="minorEastAsia" w:hAnsiTheme="minorEastAsia" w:cstheme="minorEastAsia"/>
                <w:color w:val="000000" w:themeColor="text1"/>
                <w:sz w:val="24"/>
                <w:szCs w:val="24"/>
                <w:highlight w:val="none"/>
                <w:lang w:val="en-US" w:eastAsia="zh-CN"/>
              </w:rPr>
              <w:t>提供</w:t>
            </w:r>
            <w:r>
              <w:rPr>
                <w:rFonts w:hint="eastAsia" w:asciiTheme="minorEastAsia" w:hAnsiTheme="minorEastAsia" w:eastAsiaTheme="minorEastAsia" w:cstheme="minorEastAsia"/>
                <w:color w:val="000000" w:themeColor="text1"/>
                <w:sz w:val="24"/>
                <w:szCs w:val="24"/>
                <w:highlight w:val="none"/>
              </w:rPr>
              <w:t>（201</w:t>
            </w:r>
            <w:r>
              <w:rPr>
                <w:rFonts w:hint="eastAsia" w:asciiTheme="minorEastAsia" w:hAnsiTheme="minorEastAsia" w:eastAsiaTheme="minorEastAsia" w:cstheme="minorEastAsia"/>
                <w:color w:val="000000" w:themeColor="text1"/>
                <w:sz w:val="24"/>
                <w:szCs w:val="24"/>
                <w:highlight w:val="none"/>
                <w:lang w:val="en-US" w:eastAsia="zh-CN"/>
              </w:rPr>
              <w:t>7</w:t>
            </w:r>
            <w:r>
              <w:rPr>
                <w:rFonts w:hint="eastAsia" w:asciiTheme="minorEastAsia" w:hAnsiTheme="minorEastAsia" w:eastAsiaTheme="minorEastAsia" w:cstheme="minorEastAsia"/>
                <w:color w:val="000000" w:themeColor="text1"/>
                <w:sz w:val="24"/>
                <w:szCs w:val="24"/>
                <w:highlight w:val="none"/>
              </w:rPr>
              <w:t>年</w:t>
            </w:r>
            <w:r>
              <w:rPr>
                <w:rFonts w:hint="eastAsia" w:asciiTheme="minorEastAsia" w:hAnsiTheme="minorEastAsia" w:cstheme="minorEastAsia"/>
                <w:color w:val="000000" w:themeColor="text1"/>
                <w:sz w:val="24"/>
                <w:szCs w:val="24"/>
                <w:highlight w:val="none"/>
                <w:lang w:val="en-US" w:eastAsia="zh-CN"/>
              </w:rPr>
              <w:t>8</w:t>
            </w:r>
            <w:r>
              <w:rPr>
                <w:rFonts w:hint="eastAsia" w:asciiTheme="minorEastAsia" w:hAnsiTheme="minorEastAsia" w:eastAsiaTheme="minorEastAsia" w:cstheme="minorEastAsia"/>
                <w:color w:val="000000" w:themeColor="text1"/>
                <w:sz w:val="24"/>
                <w:szCs w:val="24"/>
                <w:highlight w:val="none"/>
              </w:rPr>
              <w:t>月至今）的类似成功案例进行评分，每提供一份得</w:t>
            </w:r>
            <w:r>
              <w:rPr>
                <w:rFonts w:hint="eastAsia" w:asciiTheme="minorEastAsia" w:hAnsiTheme="minorEastAsia" w:cstheme="minorEastAsia"/>
                <w:color w:val="000000" w:themeColor="text1"/>
                <w:sz w:val="24"/>
                <w:szCs w:val="24"/>
                <w:highlight w:val="none"/>
                <w:lang w:val="en-US" w:eastAsia="zh-CN"/>
              </w:rPr>
              <w:t>0.5</w:t>
            </w:r>
            <w:r>
              <w:rPr>
                <w:rFonts w:hint="eastAsia" w:asciiTheme="minorEastAsia" w:hAnsiTheme="minorEastAsia" w:eastAsiaTheme="minorEastAsia" w:cstheme="minorEastAsia"/>
                <w:color w:val="000000" w:themeColor="text1"/>
                <w:sz w:val="24"/>
                <w:szCs w:val="24"/>
                <w:highlight w:val="none"/>
              </w:rPr>
              <w:t>分，最高得</w:t>
            </w:r>
            <w:r>
              <w:rPr>
                <w:rFonts w:hint="eastAsia" w:asciiTheme="minorEastAsia" w:hAnsiTheme="minorEastAsia" w:cstheme="minorEastAsia"/>
                <w:color w:val="000000" w:themeColor="text1"/>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rPr>
              <w:t>分。（提供合同</w:t>
            </w:r>
            <w:r>
              <w:rPr>
                <w:rFonts w:hint="eastAsia" w:asciiTheme="minorEastAsia" w:hAnsiTheme="minorEastAsia" w:cstheme="minorEastAsia"/>
                <w:color w:val="000000" w:themeColor="text1"/>
                <w:sz w:val="24"/>
                <w:szCs w:val="24"/>
                <w:highlight w:val="none"/>
                <w:lang w:eastAsia="zh-CN"/>
              </w:rPr>
              <w:t>、</w:t>
            </w:r>
            <w:r>
              <w:rPr>
                <w:rFonts w:hint="eastAsia" w:asciiTheme="minorEastAsia" w:hAnsiTheme="minorEastAsia" w:eastAsiaTheme="minorEastAsia" w:cstheme="minorEastAsia"/>
                <w:color w:val="000000" w:themeColor="text1"/>
                <w:sz w:val="24"/>
                <w:szCs w:val="24"/>
                <w:highlight w:val="none"/>
              </w:rPr>
              <w:t>中标通知书复印件并加盖公章）</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Cs/>
                <w:color w:val="auto"/>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rPr>
              <w:t>售后服务服务方案</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投标人提供的售后服务方案安排合理，备品备件供应措施合理，售后服务网点分布广，针对性强得</w:t>
            </w:r>
            <w:r>
              <w:rPr>
                <w:rFonts w:hint="eastAsia" w:asciiTheme="minorEastAsia" w:hAnsiTheme="minorEastAsia" w:cstheme="minorEastAsia"/>
                <w:color w:val="000000" w:themeColor="text1"/>
                <w:sz w:val="24"/>
                <w:szCs w:val="24"/>
                <w:highlight w:val="none"/>
                <w:lang w:val="en-US" w:eastAsia="zh-CN"/>
              </w:rPr>
              <w:t>4</w:t>
            </w:r>
            <w:r>
              <w:rPr>
                <w:rFonts w:hint="eastAsia" w:asciiTheme="minorEastAsia" w:hAnsiTheme="minorEastAsia" w:eastAsiaTheme="minorEastAsia" w:cstheme="minorEastAsia"/>
                <w:color w:val="000000" w:themeColor="text1"/>
                <w:sz w:val="24"/>
                <w:szCs w:val="24"/>
                <w:highlight w:val="none"/>
              </w:rPr>
              <w:t>-</w:t>
            </w:r>
            <w:r>
              <w:rPr>
                <w:rFonts w:hint="eastAsia" w:asciiTheme="minorEastAsia" w:hAnsiTheme="minorEastAsia" w:cstheme="minorEastAsia"/>
                <w:color w:val="000000" w:themeColor="text1"/>
                <w:sz w:val="24"/>
                <w:szCs w:val="24"/>
                <w:highlight w:val="none"/>
                <w:lang w:val="en-US" w:eastAsia="zh-CN"/>
              </w:rPr>
              <w:t>5</w:t>
            </w:r>
            <w:r>
              <w:rPr>
                <w:rFonts w:hint="eastAsia" w:asciiTheme="minorEastAsia" w:hAnsiTheme="minorEastAsia" w:eastAsiaTheme="minorEastAsia" w:cstheme="minorEastAsia"/>
                <w:color w:val="000000" w:themeColor="text1"/>
                <w:sz w:val="24"/>
                <w:szCs w:val="24"/>
                <w:highlight w:val="none"/>
              </w:rPr>
              <w:t>分；方案基本合理，有一定针对性，有售后服务网点得</w:t>
            </w:r>
            <w:r>
              <w:rPr>
                <w:rFonts w:hint="eastAsia" w:asciiTheme="minorEastAsia" w:hAnsiTheme="minorEastAsia" w:cstheme="minorEastAsia"/>
                <w:color w:val="000000" w:themeColor="text1"/>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rPr>
              <w:t>-</w:t>
            </w:r>
            <w:r>
              <w:rPr>
                <w:rFonts w:hint="eastAsia" w:asciiTheme="minorEastAsia" w:hAnsiTheme="minorEastAsia" w:cstheme="minorEastAsia"/>
                <w:color w:val="000000" w:themeColor="text1"/>
                <w:sz w:val="24"/>
                <w:szCs w:val="24"/>
                <w:highlight w:val="none"/>
                <w:lang w:val="en-US" w:eastAsia="zh-CN"/>
              </w:rPr>
              <w:t>3</w:t>
            </w:r>
            <w:r>
              <w:rPr>
                <w:rFonts w:hint="eastAsia" w:asciiTheme="minorEastAsia" w:hAnsiTheme="minorEastAsia" w:eastAsiaTheme="minorEastAsia" w:cstheme="minorEastAsia"/>
                <w:color w:val="000000" w:themeColor="text1"/>
                <w:sz w:val="24"/>
                <w:szCs w:val="24"/>
                <w:highlight w:val="none"/>
              </w:rPr>
              <w:t>分；方案简单，售后服务网点较少得</w:t>
            </w:r>
            <w:r>
              <w:rPr>
                <w:rFonts w:hint="eastAsia" w:asciiTheme="minorEastAsia" w:hAnsiTheme="minorEastAsia" w:cstheme="minorEastAsia"/>
                <w:color w:val="000000" w:themeColor="text1"/>
                <w:sz w:val="24"/>
                <w:szCs w:val="24"/>
                <w:highlight w:val="none"/>
                <w:lang w:val="en-US" w:eastAsia="zh-CN"/>
              </w:rPr>
              <w:t>0</w:t>
            </w:r>
            <w:r>
              <w:rPr>
                <w:rFonts w:hint="eastAsia" w:asciiTheme="minorEastAsia" w:hAnsiTheme="minorEastAsia" w:eastAsiaTheme="minorEastAsia" w:cstheme="minorEastAsia"/>
                <w:color w:val="000000" w:themeColor="text1"/>
                <w:sz w:val="24"/>
                <w:szCs w:val="24"/>
                <w:highlight w:val="none"/>
              </w:rPr>
              <w:t>-</w:t>
            </w:r>
            <w:r>
              <w:rPr>
                <w:rFonts w:hint="eastAsia" w:asciiTheme="minorEastAsia" w:hAnsiTheme="minorEastAsia" w:cstheme="minorEastAsia"/>
                <w:color w:val="000000" w:themeColor="text1"/>
                <w:sz w:val="24"/>
                <w:szCs w:val="24"/>
                <w:highlight w:val="none"/>
                <w:lang w:val="en-US" w:eastAsia="zh-CN"/>
              </w:rPr>
              <w:t>1</w:t>
            </w:r>
            <w:r>
              <w:rPr>
                <w:rFonts w:hint="eastAsia" w:asciiTheme="minorEastAsia" w:hAnsiTheme="minorEastAsia" w:eastAsiaTheme="minorEastAsia" w:cstheme="minorEastAsia"/>
                <w:color w:val="000000" w:themeColor="text1"/>
                <w:sz w:val="24"/>
                <w:szCs w:val="24"/>
                <w:highlight w:val="none"/>
              </w:rPr>
              <w:t>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right w:val="single" w:color="auto" w:sz="4" w:space="0"/>
            </w:tcBorders>
            <w:noWrap/>
            <w:vAlign w:val="center"/>
          </w:tcPr>
          <w:p>
            <w:pPr>
              <w:widowControl/>
              <w:jc w:val="left"/>
              <w:rPr>
                <w:rFonts w:hint="eastAsia" w:ascii="宋体" w:hAnsi="宋体" w:eastAsia="宋体" w:cs="宋体"/>
                <w:bCs/>
                <w:color w:val="auto"/>
                <w:sz w:val="24"/>
                <w:szCs w:val="24"/>
                <w:highlight w:val="none"/>
                <w:lang w:eastAsia="zh-CN"/>
              </w:rPr>
            </w:pPr>
            <w:r>
              <w:rPr>
                <w:rFonts w:hint="eastAsia" w:asciiTheme="minorEastAsia" w:hAnsiTheme="minorEastAsia" w:eastAsiaTheme="minorEastAsia" w:cstheme="minorEastAsia"/>
                <w:color w:val="000000" w:themeColor="text1"/>
                <w:sz w:val="24"/>
                <w:szCs w:val="24"/>
                <w:highlight w:val="none"/>
              </w:rPr>
              <w:t>培训方案</w:t>
            </w:r>
          </w:p>
        </w:tc>
        <w:tc>
          <w:tcPr>
            <w:tcW w:w="6777" w:type="dxa"/>
            <w:tcBorders>
              <w:top w:val="single" w:color="auto" w:sz="4" w:space="0"/>
              <w:left w:val="single" w:color="auto" w:sz="4" w:space="0"/>
              <w:right w:val="single" w:color="auto" w:sz="4" w:space="0"/>
            </w:tcBorders>
            <w:noWrap/>
            <w:vAlign w:val="center"/>
          </w:tcPr>
          <w:p>
            <w:pPr>
              <w:keepNext w:val="0"/>
              <w:keepLines w:val="0"/>
              <w:widowControl/>
              <w:suppressLineNumbers w:val="0"/>
              <w:jc w:val="left"/>
              <w:rPr>
                <w:rFonts w:hint="eastAsia" w:ascii="宋体" w:hAnsi="宋体" w:cs="宋体" w:eastAsiaTheme="minorEastAsia"/>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投标人提供的培训方案</w:t>
            </w:r>
            <w:r>
              <w:rPr>
                <w:rFonts w:hint="eastAsia" w:asciiTheme="minorEastAsia" w:hAnsiTheme="minorEastAsia" w:cstheme="minorEastAsia"/>
                <w:color w:val="000000" w:themeColor="text1"/>
                <w:sz w:val="24"/>
                <w:szCs w:val="24"/>
                <w:highlight w:val="none"/>
                <w:lang w:eastAsia="zh-CN"/>
              </w:rPr>
              <w:t>（</w:t>
            </w:r>
            <w:r>
              <w:rPr>
                <w:rFonts w:hint="eastAsia" w:asciiTheme="minorEastAsia" w:hAnsiTheme="minorEastAsia" w:cstheme="minorEastAsia"/>
                <w:color w:val="000000" w:themeColor="text1"/>
                <w:sz w:val="24"/>
                <w:szCs w:val="24"/>
                <w:highlight w:val="none"/>
                <w:lang w:val="en-US" w:eastAsia="zh-CN"/>
              </w:rPr>
              <w:t>包括</w:t>
            </w:r>
            <w:r>
              <w:rPr>
                <w:rFonts w:hint="eastAsia" w:asciiTheme="minorEastAsia" w:hAnsiTheme="minorEastAsia" w:eastAsiaTheme="minorEastAsia" w:cstheme="minorEastAsia"/>
                <w:color w:val="000000" w:themeColor="text1"/>
                <w:sz w:val="24"/>
                <w:szCs w:val="24"/>
                <w:highlight w:val="none"/>
              </w:rPr>
              <w:t>专业技术情况</w:t>
            </w:r>
            <w:r>
              <w:rPr>
                <w:rFonts w:hint="eastAsia" w:asciiTheme="minorEastAsia" w:hAnsiTheme="minorEastAsia" w:cstheme="minorEastAsia"/>
                <w:color w:val="000000" w:themeColor="text1"/>
                <w:sz w:val="24"/>
                <w:szCs w:val="24"/>
                <w:highlight w:val="none"/>
                <w:lang w:eastAsia="zh-CN"/>
              </w:rPr>
              <w:t>、</w:t>
            </w:r>
            <w:r>
              <w:rPr>
                <w:rFonts w:hint="eastAsia" w:asciiTheme="minorEastAsia" w:hAnsiTheme="minorEastAsia" w:eastAsiaTheme="minorEastAsia" w:cstheme="minorEastAsia"/>
                <w:color w:val="000000" w:themeColor="text1"/>
                <w:sz w:val="24"/>
                <w:szCs w:val="24"/>
                <w:highlight w:val="none"/>
              </w:rPr>
              <w:t>培训计划等方面</w:t>
            </w:r>
            <w:r>
              <w:rPr>
                <w:rFonts w:hint="eastAsia" w:asciiTheme="minorEastAsia" w:hAnsiTheme="minorEastAsia" w:cstheme="minorEastAsia"/>
                <w:color w:val="000000" w:themeColor="text1"/>
                <w:sz w:val="24"/>
                <w:szCs w:val="24"/>
                <w:highlight w:val="none"/>
                <w:lang w:eastAsia="zh-CN"/>
              </w:rPr>
              <w:t>）</w:t>
            </w:r>
            <w:r>
              <w:rPr>
                <w:rFonts w:hint="eastAsia" w:asciiTheme="minorEastAsia" w:hAnsiTheme="minorEastAsia" w:eastAsiaTheme="minorEastAsia" w:cstheme="minorEastAsia"/>
                <w:color w:val="000000" w:themeColor="text1"/>
                <w:sz w:val="24"/>
                <w:szCs w:val="24"/>
                <w:highlight w:val="none"/>
              </w:rPr>
              <w:t>内容完整、合理、针对性强得</w:t>
            </w:r>
            <w:r>
              <w:rPr>
                <w:rFonts w:hint="eastAsia" w:asciiTheme="minorEastAsia" w:hAnsiTheme="minorEastAsia" w:cstheme="minorEastAsia"/>
                <w:color w:val="000000" w:themeColor="text1"/>
                <w:sz w:val="24"/>
                <w:szCs w:val="24"/>
                <w:highlight w:val="none"/>
                <w:lang w:val="en-US" w:eastAsia="zh-CN"/>
              </w:rPr>
              <w:t>4-5</w:t>
            </w:r>
            <w:r>
              <w:rPr>
                <w:rFonts w:hint="eastAsia" w:asciiTheme="minorEastAsia" w:hAnsiTheme="minorEastAsia" w:eastAsiaTheme="minorEastAsia" w:cstheme="minorEastAsia"/>
                <w:color w:val="000000" w:themeColor="text1"/>
                <w:sz w:val="24"/>
                <w:szCs w:val="24"/>
                <w:highlight w:val="none"/>
              </w:rPr>
              <w:t>分；方案内容完整、计划可行符合项目需求得</w:t>
            </w:r>
            <w:r>
              <w:rPr>
                <w:rFonts w:hint="eastAsia" w:asciiTheme="minorEastAsia" w:hAnsiTheme="minorEastAsia" w:cstheme="minorEastAsia"/>
                <w:color w:val="000000" w:themeColor="text1"/>
                <w:sz w:val="24"/>
                <w:szCs w:val="24"/>
                <w:highlight w:val="none"/>
                <w:lang w:val="en-US" w:eastAsia="zh-CN"/>
              </w:rPr>
              <w:t>2-3</w:t>
            </w:r>
            <w:r>
              <w:rPr>
                <w:rFonts w:hint="eastAsia" w:asciiTheme="minorEastAsia" w:hAnsiTheme="minorEastAsia" w:eastAsiaTheme="minorEastAsia" w:cstheme="minorEastAsia"/>
                <w:color w:val="000000" w:themeColor="text1"/>
                <w:sz w:val="24"/>
                <w:szCs w:val="24"/>
                <w:highlight w:val="none"/>
              </w:rPr>
              <w:t>分；方案内容完整基本符合项目需求得</w:t>
            </w:r>
            <w:r>
              <w:rPr>
                <w:rFonts w:hint="eastAsia" w:asciiTheme="minorEastAsia" w:hAnsiTheme="minorEastAsia" w:cstheme="minorEastAsia"/>
                <w:color w:val="000000" w:themeColor="text1"/>
                <w:sz w:val="24"/>
                <w:szCs w:val="24"/>
                <w:highlight w:val="none"/>
                <w:lang w:val="en-US" w:eastAsia="zh-CN"/>
              </w:rPr>
              <w:t>0-1</w:t>
            </w:r>
            <w:r>
              <w:rPr>
                <w:rFonts w:hint="eastAsia" w:asciiTheme="minorEastAsia" w:hAnsiTheme="minorEastAsia" w:eastAsiaTheme="minorEastAsia" w:cstheme="minorEastAsia"/>
                <w:color w:val="000000" w:themeColor="text1"/>
                <w:sz w:val="24"/>
                <w:szCs w:val="24"/>
                <w:highlight w:val="none"/>
              </w:rPr>
              <w:t>分</w:t>
            </w:r>
            <w:r>
              <w:rPr>
                <w:rFonts w:hint="eastAsia" w:asciiTheme="minorEastAsia" w:hAnsiTheme="minorEastAsia" w:cstheme="minorEastAsia"/>
                <w:color w:val="000000" w:themeColor="text1"/>
                <w:sz w:val="24"/>
                <w:szCs w:val="24"/>
                <w:highlight w:val="none"/>
                <w:lang w:eastAsia="zh-CN"/>
              </w:rPr>
              <w:t>。</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right w:val="single" w:color="auto" w:sz="4" w:space="0"/>
            </w:tcBorders>
            <w:noWrap/>
            <w:vAlign w:val="center"/>
          </w:tcPr>
          <w:p>
            <w:pPr>
              <w:widowControl/>
              <w:jc w:val="left"/>
              <w:rPr>
                <w:rFonts w:hint="eastAsia" w:ascii="宋体" w:hAnsi="宋体" w:eastAsia="宋体" w:cs="宋体"/>
                <w:bCs/>
                <w:color w:val="auto"/>
                <w:kern w:val="0"/>
                <w:sz w:val="24"/>
                <w:szCs w:val="24"/>
                <w:highlight w:val="none"/>
                <w:lang w:eastAsia="zh-CN"/>
              </w:rPr>
            </w:pPr>
            <w:r>
              <w:rPr>
                <w:rFonts w:hint="eastAsia" w:asciiTheme="minorEastAsia" w:hAnsiTheme="minorEastAsia" w:eastAsiaTheme="minorEastAsia" w:cstheme="minorEastAsia"/>
                <w:color w:val="000000" w:themeColor="text1"/>
                <w:spacing w:val="-6"/>
                <w:sz w:val="24"/>
                <w:szCs w:val="24"/>
                <w:highlight w:val="none"/>
              </w:rPr>
              <w:t>交货期保障计划措施</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为确保交货期而采取的保障措施,计划最完善得</w:t>
            </w:r>
            <w:r>
              <w:rPr>
                <w:rFonts w:hint="eastAsia" w:asciiTheme="minorEastAsia" w:hAnsiTheme="minorEastAsia" w:eastAsiaTheme="minorEastAsia" w:cstheme="minorEastAsia"/>
                <w:color w:val="000000" w:themeColor="text1"/>
                <w:sz w:val="24"/>
                <w:szCs w:val="24"/>
                <w:highlight w:val="none"/>
                <w:lang w:val="en-US" w:eastAsia="zh-CN"/>
              </w:rPr>
              <w:t>3</w:t>
            </w:r>
            <w:r>
              <w:rPr>
                <w:rFonts w:hint="eastAsia" w:asciiTheme="minorEastAsia" w:hAnsiTheme="minorEastAsia" w:eastAsiaTheme="minorEastAsia" w:cstheme="minorEastAsia"/>
                <w:color w:val="000000" w:themeColor="text1"/>
                <w:sz w:val="24"/>
                <w:szCs w:val="24"/>
                <w:highlight w:val="none"/>
              </w:rPr>
              <w:t>分，计划较详细的得</w:t>
            </w:r>
            <w:r>
              <w:rPr>
                <w:rFonts w:hint="eastAsia" w:asciiTheme="minorEastAsia" w:hAnsiTheme="minorEastAsia" w:eastAsiaTheme="minorEastAsia" w:cstheme="minorEastAsia"/>
                <w:color w:val="000000" w:themeColor="text1"/>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rPr>
              <w:t>分，计划较简单的</w:t>
            </w:r>
            <w:r>
              <w:rPr>
                <w:rFonts w:hint="eastAsia" w:asciiTheme="minorEastAsia" w:hAnsiTheme="minorEastAsia" w:eastAsiaTheme="minorEastAsia" w:cstheme="minorEastAsia"/>
                <w:color w:val="000000" w:themeColor="text1"/>
                <w:sz w:val="24"/>
                <w:szCs w:val="24"/>
                <w:highlight w:val="none"/>
                <w:lang w:val="en-US" w:eastAsia="zh-CN"/>
              </w:rPr>
              <w:t>1</w:t>
            </w:r>
            <w:r>
              <w:rPr>
                <w:rFonts w:hint="eastAsia" w:asciiTheme="minorEastAsia" w:hAnsiTheme="minorEastAsia" w:eastAsiaTheme="minorEastAsia" w:cstheme="minorEastAsia"/>
                <w:color w:val="000000" w:themeColor="text1"/>
                <w:sz w:val="24"/>
                <w:szCs w:val="24"/>
                <w:highlight w:val="none"/>
              </w:rPr>
              <w:t>分，未提供则不得分。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left w:val="single" w:color="auto" w:sz="4" w:space="0"/>
              <w:right w:val="single" w:color="auto" w:sz="4" w:space="0"/>
            </w:tcBorders>
            <w:noWrap/>
            <w:vAlign w:val="center"/>
          </w:tcPr>
          <w:p>
            <w:pPr>
              <w:widowControl/>
              <w:jc w:val="left"/>
              <w:rPr>
                <w:rFonts w:hint="eastAsia" w:ascii="宋体" w:hAnsi="宋体" w:eastAsia="宋体" w:cs="宋体"/>
                <w:bCs/>
                <w:color w:val="auto"/>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实施</w:t>
            </w:r>
            <w:r>
              <w:rPr>
                <w:rFonts w:hint="eastAsia" w:asciiTheme="minorEastAsia" w:hAnsiTheme="minorEastAsia" w:eastAsiaTheme="minorEastAsia" w:cstheme="minorEastAsia"/>
                <w:kern w:val="0"/>
                <w:sz w:val="24"/>
                <w:szCs w:val="24"/>
                <w:highlight w:val="none"/>
              </w:rPr>
              <w:t>方案</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投标人提供的实施方案（包括安装、调试计划、验收方案）非常完整且合理、可操作性</w:t>
            </w:r>
            <w:r>
              <w:rPr>
                <w:rFonts w:hint="eastAsia" w:asciiTheme="minorEastAsia" w:hAnsiTheme="minorEastAsia" w:cstheme="minorEastAsia"/>
                <w:color w:val="000000" w:themeColor="text1"/>
                <w:sz w:val="24"/>
                <w:szCs w:val="24"/>
                <w:highlight w:val="none"/>
                <w:lang w:val="en-US" w:eastAsia="zh-CN"/>
              </w:rPr>
              <w:t>强</w:t>
            </w:r>
            <w:r>
              <w:rPr>
                <w:rFonts w:hint="eastAsia" w:asciiTheme="minorEastAsia" w:hAnsiTheme="minorEastAsia" w:eastAsiaTheme="minorEastAsia" w:cstheme="minorEastAsia"/>
                <w:color w:val="000000" w:themeColor="text1"/>
                <w:sz w:val="24"/>
                <w:szCs w:val="24"/>
                <w:highlight w:val="none"/>
              </w:rPr>
              <w:t>得</w:t>
            </w:r>
            <w:r>
              <w:rPr>
                <w:rFonts w:hint="eastAsia" w:asciiTheme="minorEastAsia" w:hAnsiTheme="minorEastAsia" w:cstheme="minorEastAsia"/>
                <w:color w:val="000000" w:themeColor="text1"/>
                <w:sz w:val="24"/>
                <w:szCs w:val="24"/>
                <w:highlight w:val="none"/>
                <w:lang w:val="en-US" w:eastAsia="zh-CN"/>
              </w:rPr>
              <w:t>3</w:t>
            </w:r>
            <w:r>
              <w:rPr>
                <w:rFonts w:hint="eastAsia" w:asciiTheme="minorEastAsia" w:hAnsiTheme="minorEastAsia" w:eastAsiaTheme="minorEastAsia" w:cstheme="minorEastAsia"/>
                <w:color w:val="000000" w:themeColor="text1"/>
                <w:sz w:val="24"/>
                <w:szCs w:val="24"/>
                <w:highlight w:val="none"/>
              </w:rPr>
              <w:t>分；</w:t>
            </w:r>
            <w:r>
              <w:rPr>
                <w:rFonts w:hint="eastAsia" w:asciiTheme="minorEastAsia" w:hAnsiTheme="minorEastAsia" w:cstheme="minorEastAsia"/>
                <w:color w:val="000000" w:themeColor="text1"/>
                <w:sz w:val="24"/>
                <w:szCs w:val="24"/>
                <w:highlight w:val="none"/>
                <w:lang w:val="en-US" w:eastAsia="zh-CN"/>
              </w:rPr>
              <w:t>方案</w:t>
            </w:r>
            <w:r>
              <w:rPr>
                <w:rFonts w:hint="eastAsia" w:asciiTheme="minorEastAsia" w:hAnsiTheme="minorEastAsia" w:eastAsiaTheme="minorEastAsia" w:cstheme="minorEastAsia"/>
                <w:color w:val="000000" w:themeColor="text1"/>
                <w:sz w:val="24"/>
                <w:szCs w:val="24"/>
                <w:highlight w:val="none"/>
              </w:rPr>
              <w:t>基本完整、有可操作性得</w:t>
            </w:r>
            <w:r>
              <w:rPr>
                <w:rFonts w:hint="eastAsia" w:asciiTheme="minorEastAsia" w:hAnsiTheme="minorEastAsia" w:cstheme="minorEastAsia"/>
                <w:color w:val="000000" w:themeColor="text1"/>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rPr>
              <w:t>分；</w:t>
            </w:r>
            <w:r>
              <w:rPr>
                <w:rFonts w:hint="eastAsia" w:asciiTheme="minorEastAsia" w:hAnsiTheme="minorEastAsia" w:cstheme="minorEastAsia"/>
                <w:color w:val="000000" w:themeColor="text1"/>
                <w:sz w:val="24"/>
                <w:szCs w:val="24"/>
                <w:highlight w:val="none"/>
                <w:lang w:val="en-US" w:eastAsia="zh-CN"/>
              </w:rPr>
              <w:t>方案</w:t>
            </w:r>
            <w:r>
              <w:rPr>
                <w:rFonts w:hint="eastAsia" w:asciiTheme="minorEastAsia" w:hAnsiTheme="minorEastAsia" w:eastAsiaTheme="minorEastAsia" w:cstheme="minorEastAsia"/>
                <w:color w:val="000000" w:themeColor="text1"/>
                <w:sz w:val="24"/>
                <w:szCs w:val="24"/>
                <w:highlight w:val="none"/>
              </w:rPr>
              <w:t>简单欠妥、可操作性不高得</w:t>
            </w:r>
            <w:r>
              <w:rPr>
                <w:rFonts w:hint="eastAsia" w:asciiTheme="minorEastAsia" w:hAnsiTheme="minorEastAsia" w:cstheme="minorEastAsia"/>
                <w:color w:val="000000" w:themeColor="text1"/>
                <w:sz w:val="24"/>
                <w:szCs w:val="24"/>
                <w:highlight w:val="none"/>
                <w:lang w:val="en-US" w:eastAsia="zh-CN"/>
              </w:rPr>
              <w:t>1分，未提供则不得分。</w:t>
            </w:r>
            <w:r>
              <w:rPr>
                <w:rFonts w:hint="eastAsia" w:ascii="宋体" w:hAnsi="宋体" w:eastAsia="宋体" w:cs="宋体"/>
                <w:color w:val="auto"/>
                <w:kern w:val="0"/>
                <w:sz w:val="24"/>
                <w:szCs w:val="24"/>
                <w:highlight w:val="none"/>
                <w:lang w:val="en-US" w:eastAsia="zh-CN" w:bidi="ar"/>
              </w:rPr>
              <w:t xml:space="preserve"> </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bl>
    <w:p/>
    <w:p>
      <w:r>
        <w:br w:type="page"/>
      </w:r>
    </w:p>
    <w:p>
      <w:pPr>
        <w:pStyle w:val="3"/>
        <w:numPr>
          <w:ilvl w:val="0"/>
          <w:numId w:val="1"/>
        </w:numPr>
        <w:jc w:val="center"/>
        <w:rPr>
          <w:rFonts w:ascii="黑体" w:hAnsi="黑体" w:eastAsia="黑体"/>
        </w:rPr>
      </w:pPr>
      <w:bookmarkStart w:id="58" w:name="_Toc494721093"/>
      <w:bookmarkStart w:id="59" w:name="_Toc21866"/>
      <w:bookmarkStart w:id="60" w:name="_Toc494665943"/>
      <w:bookmarkStart w:id="61" w:name="_Toc494665546"/>
      <w:bookmarkStart w:id="62" w:name="_Toc494745310"/>
      <w:bookmarkStart w:id="63" w:name="_Toc494702263"/>
      <w:bookmarkStart w:id="64" w:name="_Toc494664993"/>
      <w:r>
        <w:rPr>
          <w:rFonts w:hint="eastAsia" w:ascii="黑体" w:hAnsi="黑体" w:eastAsia="黑体"/>
        </w:rPr>
        <w:t>合同书格式（参考）</w:t>
      </w:r>
      <w:bookmarkEnd w:id="58"/>
      <w:bookmarkEnd w:id="59"/>
      <w:bookmarkEnd w:id="60"/>
      <w:bookmarkEnd w:id="61"/>
      <w:bookmarkEnd w:id="62"/>
      <w:bookmarkEnd w:id="63"/>
      <w:bookmarkEnd w:id="64"/>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5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5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5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5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5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采购代理机构发出的中标通知书；</w:t>
      </w:r>
    </w:p>
    <w:p>
      <w:pPr>
        <w:numPr>
          <w:ilvl w:val="0"/>
          <w:numId w:val="5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57"/>
        </w:numPr>
        <w:spacing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57"/>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57"/>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57"/>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55"/>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55"/>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55"/>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3"/>
        <w:numPr>
          <w:ilvl w:val="0"/>
          <w:numId w:val="1"/>
        </w:numPr>
        <w:jc w:val="center"/>
        <w:rPr>
          <w:rFonts w:ascii="黑体" w:hAnsi="黑体" w:eastAsia="黑体"/>
        </w:rPr>
      </w:pPr>
      <w:bookmarkStart w:id="65" w:name="_Toc494665944"/>
      <w:bookmarkStart w:id="66" w:name="_Toc494665547"/>
      <w:bookmarkStart w:id="67" w:name="_Toc494721094"/>
      <w:bookmarkStart w:id="68" w:name="_Toc4696"/>
      <w:bookmarkStart w:id="69" w:name="_Toc494702264"/>
      <w:bookmarkStart w:id="70" w:name="_Toc494745311"/>
      <w:bookmarkStart w:id="71" w:name="_Toc494664994"/>
      <w:r>
        <w:rPr>
          <w:rFonts w:hint="eastAsia" w:ascii="黑体" w:hAnsi="黑体" w:eastAsia="黑体"/>
        </w:rPr>
        <w:t>投标文件格式（参考）</w:t>
      </w:r>
      <w:bookmarkEnd w:id="65"/>
      <w:bookmarkEnd w:id="66"/>
      <w:bookmarkEnd w:id="67"/>
      <w:bookmarkEnd w:id="68"/>
      <w:bookmarkEnd w:id="69"/>
      <w:bookmarkEnd w:id="70"/>
      <w:bookmarkEnd w:id="71"/>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Lines="200"/>
        <w:jc w:val="center"/>
        <w:rPr>
          <w:rFonts w:ascii="黑体" w:hAnsi="黑体" w:eastAsia="黑体"/>
          <w:b/>
          <w:sz w:val="144"/>
          <w:szCs w:val="144"/>
        </w:rPr>
      </w:pPr>
    </w:p>
    <w:p>
      <w:pPr>
        <w:pStyle w:val="4"/>
        <w:spacing w:before="340" w:after="480" w:line="360" w:lineRule="auto"/>
        <w:jc w:val="center"/>
        <w:rPr>
          <w:rFonts w:cs="Times New Roman" w:asciiTheme="majorEastAsia" w:hAnsiTheme="majorEastAsia"/>
          <w:bCs w:val="0"/>
          <w:sz w:val="44"/>
          <w:szCs w:val="44"/>
          <w:lang w:val="zh-CN"/>
        </w:rPr>
      </w:pPr>
      <w:bookmarkStart w:id="72" w:name="_Toc494702265"/>
      <w:bookmarkStart w:id="73" w:name="_Toc494665945"/>
      <w:bookmarkStart w:id="74" w:name="_Toc494665548"/>
      <w:bookmarkStart w:id="75" w:name="_Toc494745312"/>
      <w:bookmarkStart w:id="76" w:name="_Toc18733"/>
      <w:bookmarkStart w:id="77" w:name="_Toc494664995"/>
      <w:bookmarkStart w:id="78" w:name="_Toc494721095"/>
      <w:r>
        <w:rPr>
          <w:rFonts w:hint="eastAsia" w:cs="Times New Roman" w:asciiTheme="majorEastAsia" w:hAnsiTheme="majorEastAsia"/>
          <w:bCs w:val="0"/>
          <w:sz w:val="44"/>
          <w:szCs w:val="44"/>
          <w:lang w:val="zh-CN"/>
        </w:rPr>
        <w:t>第一部分 资格证明文件</w:t>
      </w:r>
      <w:bookmarkEnd w:id="72"/>
      <w:bookmarkEnd w:id="73"/>
      <w:bookmarkEnd w:id="74"/>
      <w:bookmarkEnd w:id="75"/>
      <w:bookmarkEnd w:id="76"/>
      <w:bookmarkEnd w:id="77"/>
      <w:bookmarkEnd w:id="78"/>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96"/>
          <w:szCs w:val="96"/>
        </w:rPr>
      </w:pPr>
      <w:r>
        <w:rPr>
          <w:rFonts w:hint="eastAsia" w:cs="Times New Roman" w:asciiTheme="minorEastAsia" w:hAnsiTheme="minorEastAsia"/>
          <w:b/>
          <w:bCs/>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79" w:name="_Toc494745313"/>
      <w:bookmarkStart w:id="80" w:name="_Toc494702266"/>
      <w:bookmarkStart w:id="81" w:name="_Toc494665549"/>
      <w:bookmarkStart w:id="82" w:name="_Toc494664996"/>
      <w:bookmarkStart w:id="83" w:name="_Toc494721096"/>
      <w:bookmarkStart w:id="84" w:name="_Toc494665946"/>
      <w:r>
        <w:rPr>
          <w:rFonts w:hint="eastAsia" w:ascii="黑体" w:hAnsi="黑体" w:eastAsia="黑体" w:cs="Times New Roman"/>
          <w:b/>
          <w:sz w:val="36"/>
          <w:szCs w:val="36"/>
        </w:rPr>
        <w:t>资格证明文件组成</w:t>
      </w:r>
      <w:bookmarkEnd w:id="79"/>
      <w:bookmarkEnd w:id="80"/>
      <w:bookmarkEnd w:id="81"/>
      <w:bookmarkEnd w:id="82"/>
      <w:bookmarkEnd w:id="83"/>
      <w:bookmarkEnd w:id="84"/>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58"/>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58"/>
        </w:numPr>
        <w:autoSpaceDE w:val="0"/>
        <w:autoSpaceDN w:val="0"/>
        <w:adjustRightInd w:val="0"/>
        <w:spacing w:line="360" w:lineRule="auto"/>
        <w:ind w:left="490" w:hanging="370"/>
        <w:rPr>
          <w:rFonts w:ascii="宋体" w:hAnsi="宋体" w:eastAsia="宋体" w:cs="Times New Roman"/>
          <w:b/>
          <w:color w:val="0C0C0C" w:themeColor="text1" w:themeTint="F2"/>
          <w:kern w:val="0"/>
          <w:sz w:val="24"/>
          <w:szCs w:val="32"/>
        </w:rPr>
      </w:pPr>
      <w:r>
        <w:rPr>
          <w:rFonts w:hint="eastAsia" w:ascii="宋体" w:hAnsi="宋体"/>
          <w:color w:val="0C0C0C" w:themeColor="text1" w:themeTint="F2"/>
          <w:kern w:val="0"/>
          <w:sz w:val="24"/>
          <w:szCs w:val="32"/>
        </w:rPr>
        <w:t>应具备《政府采购法》第二十二条第一款规定的条件，提供下列材料：</w:t>
      </w:r>
    </w:p>
    <w:p>
      <w:pPr>
        <w:pStyle w:val="29"/>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29"/>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color w:val="000000"/>
          <w:sz w:val="24"/>
          <w:szCs w:val="24"/>
          <w:lang w:val="zh-CN"/>
        </w:rPr>
        <w:t>财务状况报告，依法缴纳税收和社会保障资金的相关材料；</w:t>
      </w:r>
    </w:p>
    <w:p>
      <w:pPr>
        <w:pStyle w:val="29"/>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29"/>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29"/>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58"/>
        </w:numPr>
        <w:autoSpaceDE w:val="0"/>
        <w:autoSpaceDN w:val="0"/>
        <w:adjustRightInd w:val="0"/>
        <w:spacing w:line="360" w:lineRule="auto"/>
        <w:ind w:left="490" w:hanging="370"/>
        <w:rPr>
          <w:rFonts w:ascii="宋体" w:hAnsi="宋体" w:eastAsia="宋体" w:cs="Courier New"/>
          <w:color w:val="0D0D0D"/>
          <w:sz w:val="24"/>
          <w:szCs w:val="24"/>
          <w:highlight w:val="none"/>
        </w:rPr>
      </w:pPr>
      <w:r>
        <w:rPr>
          <w:rFonts w:hint="eastAsia" w:ascii="宋体" w:hAnsi="宋体" w:eastAsia="宋体" w:cs="Courier New"/>
          <w:color w:val="0D0D0D"/>
          <w:sz w:val="24"/>
          <w:szCs w:val="24"/>
          <w:highlight w:val="none"/>
        </w:rPr>
        <w:t>未被“信用中国”网站(www.creditchina.gov.cn)列入失信被执行人、重大税收违法案件当事人名单</w:t>
      </w:r>
      <w:r>
        <w:rPr>
          <w:rFonts w:hint="eastAsia" w:ascii="宋体" w:hAnsi="宋体" w:eastAsia="宋体" w:cs="Times New Roman"/>
          <w:sz w:val="24"/>
          <w:szCs w:val="24"/>
          <w:highlight w:val="none"/>
        </w:rPr>
        <w:t>和“中国政府采购”网站（www.ccgp.gov.cn）政府采购严重违法失信行为记录名单的网页截图</w:t>
      </w:r>
      <w:r>
        <w:rPr>
          <w:rFonts w:hint="eastAsia" w:ascii="宋体" w:hAnsi="宋体" w:eastAsia="宋体" w:cs="Courier New"/>
          <w:color w:val="0D0D0D"/>
          <w:sz w:val="24"/>
          <w:szCs w:val="24"/>
          <w:highlight w:val="none"/>
        </w:rPr>
        <w:t>；</w:t>
      </w:r>
    </w:p>
    <w:p>
      <w:pPr>
        <w:numPr>
          <w:ilvl w:val="0"/>
          <w:numId w:val="5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58"/>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5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85" w:name="_Toc494665550"/>
      <w:bookmarkStart w:id="86" w:name="_Toc494702267"/>
      <w:bookmarkStart w:id="87" w:name="_Toc494721097"/>
      <w:bookmarkStart w:id="88" w:name="_Toc494745314"/>
      <w:bookmarkStart w:id="89" w:name="_Toc494664997"/>
      <w:bookmarkStart w:id="90" w:name="_Toc494665947"/>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bookmarkStart w:id="91" w:name="_Toc8768"/>
      <w:r>
        <w:rPr>
          <w:rFonts w:hint="eastAsia" w:cs="Times New Roman" w:asciiTheme="majorEastAsia" w:hAnsiTheme="majorEastAsia"/>
          <w:bCs w:val="0"/>
          <w:sz w:val="44"/>
          <w:szCs w:val="44"/>
          <w:lang w:val="zh-CN"/>
        </w:rPr>
        <w:t>第二部分 商务文件</w:t>
      </w:r>
      <w:bookmarkEnd w:id="85"/>
      <w:bookmarkEnd w:id="86"/>
      <w:bookmarkEnd w:id="87"/>
      <w:bookmarkEnd w:id="88"/>
      <w:bookmarkEnd w:id="89"/>
      <w:bookmarkEnd w:id="90"/>
      <w:bookmarkEnd w:id="91"/>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92" w:name="_Toc494721098"/>
      <w:bookmarkStart w:id="93" w:name="_Toc494665948"/>
      <w:bookmarkStart w:id="94" w:name="_Toc494745315"/>
      <w:bookmarkStart w:id="95" w:name="_Toc494702268"/>
      <w:bookmarkStart w:id="96" w:name="_Toc494664998"/>
      <w:bookmarkStart w:id="97" w:name="_Toc494665551"/>
      <w:r>
        <w:rPr>
          <w:rFonts w:hint="eastAsia" w:ascii="黑体" w:hAnsi="黑体" w:eastAsia="黑体" w:cs="Times New Roman"/>
          <w:b/>
          <w:sz w:val="36"/>
          <w:szCs w:val="36"/>
        </w:rPr>
        <w:t>商务文件组成</w:t>
      </w:r>
      <w:bookmarkEnd w:id="92"/>
      <w:bookmarkEnd w:id="93"/>
      <w:bookmarkEnd w:id="94"/>
      <w:bookmarkEnd w:id="95"/>
      <w:bookmarkEnd w:id="96"/>
      <w:bookmarkEnd w:id="97"/>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6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6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60"/>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制造商中小企业声明函（附件二）；</w:t>
      </w:r>
    </w:p>
    <w:p>
      <w:pPr>
        <w:numPr>
          <w:ilvl w:val="0"/>
          <w:numId w:val="60"/>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kern w:val="0"/>
          <w:sz w:val="24"/>
          <w:szCs w:val="32"/>
        </w:rPr>
        <w:t>中小企业声</w:t>
      </w:r>
      <w:r>
        <w:rPr>
          <w:rFonts w:hint="eastAsia" w:ascii="宋体" w:hAnsi="宋体" w:eastAsia="宋体" w:cs="Times New Roman"/>
          <w:color w:val="0D0D0D"/>
          <w:kern w:val="0"/>
          <w:sz w:val="24"/>
          <w:szCs w:val="32"/>
        </w:rPr>
        <w:t>明函（附件三）；</w:t>
      </w:r>
    </w:p>
    <w:p>
      <w:pPr>
        <w:numPr>
          <w:ilvl w:val="0"/>
          <w:numId w:val="60"/>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残疾人福利性单位声明函（附件四）</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开标一览表（附件五）；</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投标报价明细表（附件六）；</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小型和微型企业、监狱企业、残疾人福利性单位货物汇总表（附件七）；</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投标货物、服务清单（附件八）；</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交纳投标保证金的银行凭证（附件九，适用招标文件有交纳要求的应当提供）；</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法定代表人授权书（附件十）；</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关于不存在招标文件第二章“十一 其他注意事项”中规定禁止情形的书面声明；</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投标人的资格声明（附件十一）；</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项目负责人、技术负责人简历表（附件十二）；</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项目班子成员情况表（附件十三）；</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投标人类似项目业绩表（附件十四）；</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符合性审查对照表（附件十五）；</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商务要求响应、偏离说明表（附件十六）；</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商务要求“★”号条款响应、偏离说明表（附件十七）</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商务评议对照表（附件十八）。</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98" w:name="_Toc494664999"/>
      <w:bookmarkStart w:id="99" w:name="_Toc494721099"/>
      <w:bookmarkStart w:id="100" w:name="_Toc494665552"/>
      <w:bookmarkStart w:id="101" w:name="_Toc494665949"/>
      <w:bookmarkStart w:id="102" w:name="_Toc494702269"/>
      <w:bookmarkStart w:id="103" w:name="_Toc494745316"/>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bookmarkStart w:id="104" w:name="_Toc2814"/>
      <w:r>
        <w:rPr>
          <w:rFonts w:hint="eastAsia" w:cs="Times New Roman" w:asciiTheme="majorEastAsia" w:hAnsiTheme="majorEastAsia"/>
          <w:bCs w:val="0"/>
          <w:sz w:val="44"/>
          <w:szCs w:val="44"/>
          <w:lang w:val="zh-CN"/>
        </w:rPr>
        <w:t>第三部分 技术、服务文件</w:t>
      </w:r>
      <w:bookmarkEnd w:id="98"/>
      <w:bookmarkEnd w:id="99"/>
      <w:bookmarkEnd w:id="100"/>
      <w:bookmarkEnd w:id="101"/>
      <w:bookmarkEnd w:id="102"/>
      <w:bookmarkEnd w:id="103"/>
      <w:bookmarkEnd w:id="104"/>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05" w:name="_Toc494721100"/>
      <w:bookmarkStart w:id="106" w:name="_Toc494702270"/>
      <w:bookmarkStart w:id="107" w:name="_Toc494665553"/>
      <w:bookmarkStart w:id="108" w:name="_Toc494665950"/>
      <w:bookmarkStart w:id="109" w:name="_Toc494745317"/>
      <w:bookmarkStart w:id="110" w:name="_Toc494665000"/>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05"/>
      <w:bookmarkEnd w:id="106"/>
      <w:bookmarkEnd w:id="107"/>
      <w:bookmarkEnd w:id="108"/>
      <w:bookmarkEnd w:id="109"/>
      <w:bookmarkEnd w:id="110"/>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61"/>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技术、服务要求响应、偏离说明表（附件十九）；</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技术、服务要求“★”号条款响应、偏离说明表（附件二十）；</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技术、服务评议对照表（附件二十一）；</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4"/>
        <w:numPr>
          <w:ilvl w:val="0"/>
          <w:numId w:val="62"/>
        </w:numPr>
        <w:spacing w:before="100" w:beforeAutospacing="1" w:afterLines="50" w:line="360" w:lineRule="auto"/>
        <w:ind w:left="1288" w:hanging="1288"/>
        <w:rPr>
          <w:rFonts w:ascii="宋体" w:hAnsi="宋体" w:eastAsia="宋体"/>
        </w:rPr>
      </w:pPr>
      <w:bookmarkStart w:id="111" w:name="_Toc236473298"/>
      <w:bookmarkStart w:id="112" w:name="_Toc494721101"/>
      <w:bookmarkStart w:id="113" w:name="_Toc494665951"/>
      <w:bookmarkStart w:id="114" w:name="_Toc494665001"/>
      <w:bookmarkStart w:id="115" w:name="_Toc494745318"/>
      <w:bookmarkStart w:id="116" w:name="_Toc238276242"/>
      <w:bookmarkStart w:id="117" w:name="_Toc494702271"/>
      <w:bookmarkStart w:id="118" w:name="_Toc494665554"/>
      <w:bookmarkStart w:id="119" w:name="_Toc28371"/>
      <w:r>
        <w:rPr>
          <w:rFonts w:hint="eastAsia" w:ascii="宋体" w:hAnsi="宋体" w:eastAsia="宋体"/>
        </w:rPr>
        <w:t>投标书</w:t>
      </w:r>
      <w:bookmarkEnd w:id="111"/>
      <w:bookmarkEnd w:id="112"/>
      <w:bookmarkEnd w:id="113"/>
      <w:bookmarkEnd w:id="114"/>
      <w:bookmarkEnd w:id="115"/>
      <w:bookmarkEnd w:id="116"/>
      <w:bookmarkEnd w:id="117"/>
      <w:bookmarkEnd w:id="118"/>
      <w:bookmarkEnd w:id="119"/>
    </w:p>
    <w:p>
      <w:pPr>
        <w:spacing w:line="360" w:lineRule="auto"/>
        <w:rPr>
          <w:b/>
          <w:sz w:val="28"/>
          <w:szCs w:val="28"/>
        </w:rPr>
      </w:pPr>
      <w:r>
        <w:rPr>
          <w:rFonts w:hint="eastAsia"/>
          <w:b/>
          <w:sz w:val="28"/>
          <w:szCs w:val="28"/>
        </w:rPr>
        <w:t>采购</w:t>
      </w:r>
      <w:r>
        <w:rPr>
          <w:rFonts w:hint="eastAsia"/>
          <w:b/>
          <w:color w:val="auto"/>
          <w:sz w:val="28"/>
          <w:szCs w:val="28"/>
        </w:rPr>
        <w:t>人（或采购代理公司）</w:t>
      </w:r>
      <w:r>
        <w:rPr>
          <w:rFonts w:hint="eastAsia"/>
          <w:b/>
          <w:sz w:val="28"/>
          <w:szCs w:val="28"/>
        </w:rPr>
        <w:t>：</w:t>
      </w:r>
    </w:p>
    <w:p>
      <w:pPr>
        <w:spacing w:line="360" w:lineRule="auto"/>
        <w:ind w:firstLine="480" w:firstLineChars="200"/>
        <w:rPr>
          <w:rFonts w:asciiTheme="minorEastAsia" w:hAnsiTheme="minorEastAsia"/>
          <w:color w:val="0C0C0C" w:themeColor="text1" w:themeTint="F2"/>
          <w:sz w:val="24"/>
          <w:szCs w:val="24"/>
        </w:rPr>
      </w:pPr>
      <w:r>
        <w:rPr>
          <w:rFonts w:hint="eastAsia" w:asciiTheme="minorEastAsia" w:hAnsiTheme="minorEastAsia"/>
          <w:color w:val="0C0C0C" w:themeColor="text1" w:themeTint="F2"/>
          <w:sz w:val="24"/>
          <w:szCs w:val="24"/>
        </w:rPr>
        <w:t>依据贵方___</w:t>
      </w:r>
      <w:r>
        <w:rPr>
          <w:rFonts w:hint="eastAsia" w:asciiTheme="minorEastAsia" w:hAnsiTheme="minorEastAsia"/>
          <w:color w:val="0C0C0C" w:themeColor="text1" w:themeTint="F2"/>
          <w:sz w:val="24"/>
          <w:szCs w:val="24"/>
          <w:u w:val="single"/>
        </w:rPr>
        <w:t xml:space="preserve">  _</w:t>
      </w:r>
      <w:r>
        <w:rPr>
          <w:rFonts w:hint="eastAsia" w:asciiTheme="minorEastAsia" w:hAnsiTheme="minorEastAsia"/>
          <w:color w:val="0C0C0C" w:themeColor="text1" w:themeTint="F2"/>
          <w:sz w:val="24"/>
          <w:szCs w:val="24"/>
        </w:rPr>
        <w:t>项目（项目编号：_____）招标的投标邀请，我方代表</w:t>
      </w:r>
      <w:r>
        <w:rPr>
          <w:rFonts w:hint="eastAsia" w:asciiTheme="minorEastAsia" w:hAnsiTheme="minorEastAsia"/>
          <w:color w:val="0C0C0C" w:themeColor="text1" w:themeTint="F2"/>
          <w:sz w:val="24"/>
          <w:szCs w:val="24"/>
          <w:u w:val="single"/>
        </w:rPr>
        <w:t>（姓名、职务）</w:t>
      </w:r>
      <w:r>
        <w:rPr>
          <w:rFonts w:hint="eastAsia" w:asciiTheme="minorEastAsia" w:hAnsiTheme="minorEastAsia"/>
          <w:color w:val="0C0C0C" w:themeColor="text1" w:themeTint="F2"/>
          <w:sz w:val="24"/>
          <w:szCs w:val="24"/>
        </w:rPr>
        <w:t>经正式授权并代表投标人</w:t>
      </w:r>
      <w:r>
        <w:rPr>
          <w:rFonts w:hint="eastAsia" w:asciiTheme="minorEastAsia" w:hAnsiTheme="minorEastAsia"/>
          <w:color w:val="0C0C0C" w:themeColor="text1" w:themeTint="F2"/>
          <w:sz w:val="24"/>
          <w:szCs w:val="24"/>
          <w:u w:val="single"/>
        </w:rPr>
        <w:t>（投标人全称 ）</w:t>
      </w:r>
      <w:r>
        <w:rPr>
          <w:rFonts w:hint="eastAsia" w:asciiTheme="minorEastAsia" w:hAnsiTheme="minorEastAsia"/>
          <w:color w:val="0C0C0C" w:themeColor="text1" w:themeTint="F2"/>
          <w:sz w:val="24"/>
          <w:szCs w:val="24"/>
        </w:rPr>
        <w:t>提交</w:t>
      </w:r>
      <w:r>
        <w:rPr>
          <w:rFonts w:hint="eastAsia" w:ascii="宋体" w:hAnsi="宋体"/>
          <w:color w:val="0C0C0C" w:themeColor="text1" w:themeTint="F2"/>
          <w:kern w:val="0"/>
          <w:sz w:val="24"/>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C0C0C" w:themeColor="text1" w:themeTint="F2"/>
          <w:kern w:val="0"/>
          <w:sz w:val="24"/>
          <w:szCs w:val="24"/>
        </w:rPr>
      </w:pPr>
      <w:r>
        <w:rPr>
          <w:rFonts w:hint="eastAsia" w:ascii="宋体" w:hAnsi="宋体" w:eastAsia="宋体" w:cs="Times New Roman"/>
          <w:b/>
          <w:color w:val="0C0C0C" w:themeColor="text1" w:themeTint="F2"/>
          <w:kern w:val="0"/>
          <w:sz w:val="24"/>
          <w:szCs w:val="24"/>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C0C0C" w:themeColor="text1" w:themeTint="F2"/>
          <w:sz w:val="24"/>
          <w:szCs w:val="24"/>
        </w:rPr>
        <w:t>自</w:t>
      </w:r>
      <w:r>
        <w:rPr>
          <w:rFonts w:hint="eastAsia" w:ascii="宋体" w:hAnsi="宋体"/>
          <w:color w:val="0C0C0C" w:themeColor="text1" w:themeTint="F2"/>
          <w:kern w:val="0"/>
          <w:sz w:val="24"/>
        </w:rPr>
        <w:t>递交投标文件截止之日</w:t>
      </w:r>
      <w:r>
        <w:rPr>
          <w:rFonts w:hint="eastAsia" w:asciiTheme="minorEastAsia" w:hAnsiTheme="minorEastAsia"/>
          <w:color w:val="0C0C0C" w:themeColor="text1" w:themeTint="F2"/>
          <w:sz w:val="24"/>
          <w:szCs w:val="24"/>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4"/>
        <w:numPr>
          <w:ilvl w:val="0"/>
          <w:numId w:val="62"/>
        </w:numPr>
        <w:spacing w:before="100" w:beforeAutospacing="1" w:afterLines="50" w:line="360" w:lineRule="auto"/>
        <w:ind w:left="1288" w:hanging="1288"/>
        <w:rPr>
          <w:rFonts w:ascii="宋体" w:hAnsi="宋体" w:eastAsia="宋体"/>
        </w:rPr>
      </w:pPr>
      <w:bookmarkStart w:id="120" w:name="_Toc494665952"/>
      <w:bookmarkStart w:id="121" w:name="_Toc494721102"/>
      <w:bookmarkStart w:id="122" w:name="_Toc494665555"/>
      <w:bookmarkStart w:id="123" w:name="_Toc494665002"/>
      <w:bookmarkStart w:id="124" w:name="_Toc494745319"/>
      <w:bookmarkStart w:id="125" w:name="_Toc15190"/>
      <w:bookmarkStart w:id="126" w:name="_Toc494702272"/>
      <w:r>
        <w:rPr>
          <w:rFonts w:hint="eastAsia" w:ascii="宋体" w:hAnsi="宋体" w:eastAsia="宋体"/>
        </w:rPr>
        <w:t>制造商中小企业声明函</w:t>
      </w:r>
      <w:bookmarkEnd w:id="120"/>
      <w:bookmarkEnd w:id="121"/>
      <w:bookmarkEnd w:id="122"/>
      <w:bookmarkEnd w:id="123"/>
      <w:bookmarkEnd w:id="124"/>
      <w:bookmarkEnd w:id="125"/>
      <w:bookmarkEnd w:id="126"/>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制造商中小企业声明函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auto"/>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1.根据《工业和信息化部、国家统计局、国</w:t>
      </w:r>
      <w:r>
        <w:rPr>
          <w:rFonts w:hint="eastAsia" w:ascii="宋体" w:hAnsi="宋体" w:eastAsia="宋体" w:cs="Times New Roman"/>
          <w:color w:val="0D0D0D"/>
          <w:sz w:val="24"/>
          <w:szCs w:val="21"/>
          <w:lang w:val="zh-CN"/>
        </w:rPr>
        <w:t>家发展和改革委员会、财政部关于印发中小企业划型标准规定的通知》（工信部联企业〔2011〕300号）规定的划分标准</w:t>
      </w:r>
      <w:r>
        <w:rPr>
          <w:rFonts w:hint="eastAsia" w:hAnsi="宋体"/>
          <w:color w:val="0C0C0C" w:themeColor="text1" w:themeTint="F2"/>
          <w:sz w:val="24"/>
        </w:rPr>
        <w:t>（详见《中小企业划型标准》）</w:t>
      </w:r>
      <w:r>
        <w:rPr>
          <w:rFonts w:hint="eastAsia" w:ascii="宋体" w:hAnsi="宋体" w:eastAsia="宋体" w:cs="Times New Roman"/>
          <w:color w:val="0D0D0D"/>
          <w:sz w:val="24"/>
          <w:szCs w:val="21"/>
          <w:lang w:val="zh-CN"/>
        </w:rPr>
        <w:t>，本公司为______（请填写：中型、小型、微型）企业。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2.本公司授权</w:t>
      </w:r>
      <w:r>
        <w:rPr>
          <w:rFonts w:hint="eastAsia" w:ascii="宋体" w:hAnsi="宋体" w:eastAsia="宋体" w:cs="Times New Roman"/>
          <w:color w:val="0D0D0D"/>
          <w:sz w:val="24"/>
          <w:szCs w:val="21"/>
          <w:u w:val="single"/>
          <w:lang w:val="zh-CN"/>
        </w:rPr>
        <w:t xml:space="preserve">  （投标人）  </w:t>
      </w:r>
      <w:r>
        <w:rPr>
          <w:rFonts w:hint="eastAsia" w:ascii="宋体" w:hAnsi="宋体" w:eastAsia="宋体" w:cs="Times New Roman"/>
          <w:color w:val="0D0D0D"/>
          <w:sz w:val="24"/>
          <w:szCs w:val="21"/>
          <w:lang w:val="zh-CN"/>
        </w:rPr>
        <w:t>参加_</w:t>
      </w:r>
      <w:r>
        <w:rPr>
          <w:rFonts w:hint="eastAsia" w:ascii="宋体" w:hAnsi="宋体" w:eastAsia="宋体" w:cs="Times New Roman"/>
          <w:color w:val="0D0D0D"/>
          <w:sz w:val="24"/>
          <w:szCs w:val="21"/>
          <w:u w:val="single"/>
          <w:lang w:val="zh-CN"/>
        </w:rPr>
        <w:t>_（采购人）_</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w:t>
      </w:r>
      <w:r>
        <w:rPr>
          <w:rFonts w:hint="eastAsia" w:ascii="宋体" w:hAnsi="宋体" w:eastAsia="宋体" w:cs="Times New Roman"/>
          <w:sz w:val="24"/>
          <w:szCs w:val="21"/>
          <w:lang w:val="zh-CN"/>
        </w:rPr>
        <w:t>目（项目编号：_____）采购活动提供本企业制造的货物。本条所称货物不包括使用大型企业注册商标的货物。</w:t>
      </w:r>
    </w:p>
    <w:p>
      <w:pPr>
        <w:spacing w:line="360" w:lineRule="auto"/>
        <w:ind w:firstLine="480" w:firstLineChars="200"/>
        <w:rPr>
          <w:rFonts w:ascii="宋体" w:hAnsi="宋体" w:eastAsia="宋体" w:cs="Times New Roman"/>
          <w:bCs/>
          <w:color w:val="0D0D0D"/>
          <w:sz w:val="24"/>
          <w:szCs w:val="24"/>
        </w:rPr>
      </w:pPr>
      <w:r>
        <w:rPr>
          <w:rFonts w:hint="eastAsia" w:ascii="宋体" w:hAnsi="宋体" w:eastAsia="宋体" w:cs="Times New Roman"/>
          <w:bCs/>
          <w:sz w:val="24"/>
          <w:szCs w:val="24"/>
          <w:lang w:val="zh-CN"/>
        </w:rPr>
        <w:t>3</w:t>
      </w:r>
      <w:r>
        <w:rPr>
          <w:rFonts w:hint="eastAsia" w:ascii="宋体" w:hAnsi="宋体" w:eastAsia="宋体" w:cs="Times New Roman"/>
          <w:bCs/>
          <w:sz w:val="24"/>
          <w:szCs w:val="24"/>
        </w:rPr>
        <w:t>.由本公司制造的</w:t>
      </w:r>
      <w:r>
        <w:rPr>
          <w:rFonts w:hint="eastAsia" w:ascii="宋体" w:hAnsi="宋体" w:eastAsia="宋体" w:cs="Times New Roman"/>
          <w:bCs/>
          <w:color w:val="0D0D0D"/>
          <w:sz w:val="24"/>
          <w:szCs w:val="24"/>
        </w:rPr>
        <w:t>货物清单见下表：</w:t>
      </w:r>
    </w:p>
    <w:tbl>
      <w:tblPr>
        <w:tblStyle w:val="19"/>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beforeLines="50"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spacing w:line="360" w:lineRule="auto"/>
        <w:rPr>
          <w:rFonts w:ascii="宋体" w:hAnsi="宋体" w:eastAsia="宋体" w:cs="Times New Roman"/>
          <w:bCs/>
          <w:sz w:val="24"/>
          <w:szCs w:val="24"/>
        </w:rPr>
      </w:pPr>
    </w:p>
    <w:p>
      <w:pPr>
        <w:pStyle w:val="10"/>
        <w:spacing w:line="360" w:lineRule="auto"/>
        <w:ind w:left="960" w:hanging="960" w:hangingChars="400"/>
        <w:jc w:val="left"/>
        <w:rPr>
          <w:rFonts w:hAnsi="宋体" w:cs="Corbel"/>
          <w:color w:val="0C0C0C" w:themeColor="text1" w:themeTint="F2"/>
          <w:sz w:val="24"/>
        </w:rPr>
      </w:pPr>
      <w:r>
        <w:rPr>
          <w:rFonts w:hint="eastAsia" w:hAnsi="宋体" w:eastAsia="宋体" w:cs="Times New Roman"/>
          <w:bCs/>
          <w:sz w:val="24"/>
          <w:szCs w:val="24"/>
        </w:rPr>
        <w:t>说明：</w:t>
      </w:r>
      <w:r>
        <w:rPr>
          <w:rFonts w:hint="eastAsia" w:hAnsi="宋体" w:cs="Corbel"/>
          <w:sz w:val="24"/>
        </w:rPr>
        <w:t>1、投标人所投</w:t>
      </w:r>
      <w:r>
        <w:rPr>
          <w:rFonts w:hint="eastAsia" w:hAnsi="宋体" w:cs="Corbel"/>
          <w:color w:val="0C0C0C" w:themeColor="text1" w:themeTint="F2"/>
          <w:sz w:val="24"/>
        </w:rPr>
        <w:t>货物为自己制造的，也应按本声明函格式填写。</w:t>
      </w:r>
    </w:p>
    <w:p>
      <w:pPr>
        <w:pStyle w:val="10"/>
        <w:spacing w:line="360" w:lineRule="auto"/>
        <w:ind w:left="958" w:leftChars="342" w:hanging="240" w:hangingChars="10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2、组成联合体的大中型企业和其他自然人、法人或者其他组织，与小型、微型企业之间不得存在投资关系。</w:t>
      </w:r>
    </w:p>
    <w:p>
      <w:pPr>
        <w:pStyle w:val="10"/>
        <w:spacing w:line="360" w:lineRule="auto"/>
        <w:ind w:left="958" w:leftChars="342" w:hanging="240" w:hangingChars="100"/>
        <w:jc w:val="left"/>
        <w:rPr>
          <w:rFonts w:hAnsi="宋体" w:eastAsia="宋体" w:cs="Times New Roman"/>
          <w:bCs/>
          <w:color w:val="0C0C0C" w:themeColor="text1" w:themeTint="F2"/>
          <w:sz w:val="24"/>
          <w:szCs w:val="24"/>
        </w:rPr>
      </w:pPr>
      <w:r>
        <w:rPr>
          <w:rFonts w:hint="eastAsia" w:hAnsi="宋体"/>
          <w:color w:val="0C0C0C" w:themeColor="text1" w:themeTint="F2"/>
          <w:sz w:val="24"/>
        </w:rPr>
        <w:t>3、如以联合体方式参与本项目投标的投标人，则应由联合体双方签字盖章。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pStyle w:val="4"/>
        <w:numPr>
          <w:ilvl w:val="0"/>
          <w:numId w:val="62"/>
        </w:numPr>
        <w:spacing w:before="100" w:beforeAutospacing="1" w:afterLines="50" w:line="360" w:lineRule="auto"/>
        <w:ind w:left="1288" w:hanging="1288"/>
        <w:rPr>
          <w:rFonts w:ascii="宋体" w:hAnsi="宋体" w:eastAsia="宋体"/>
        </w:rPr>
      </w:pPr>
      <w:bookmarkStart w:id="127" w:name="_Toc494665953"/>
      <w:bookmarkStart w:id="128" w:name="_Toc494721103"/>
      <w:bookmarkStart w:id="129" w:name="_Toc494665003"/>
      <w:bookmarkStart w:id="130" w:name="_Toc456264006"/>
      <w:bookmarkStart w:id="131" w:name="_Toc494702273"/>
      <w:bookmarkStart w:id="132" w:name="_Toc494665556"/>
      <w:bookmarkStart w:id="133" w:name="_Toc494745320"/>
      <w:bookmarkStart w:id="134" w:name="_Toc14131"/>
      <w:r>
        <w:rPr>
          <w:rFonts w:hint="eastAsia" w:ascii="宋体" w:hAnsi="宋体" w:eastAsia="宋体"/>
        </w:rPr>
        <w:t>中小企业声明函</w:t>
      </w:r>
      <w:bookmarkEnd w:id="127"/>
      <w:bookmarkEnd w:id="128"/>
      <w:bookmarkEnd w:id="129"/>
      <w:bookmarkEnd w:id="130"/>
      <w:bookmarkEnd w:id="131"/>
      <w:bookmarkEnd w:id="132"/>
      <w:bookmarkEnd w:id="133"/>
      <w:bookmarkEnd w:id="134"/>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auto"/>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本公司郑重声明，根据《政府</w:t>
      </w:r>
      <w:r>
        <w:rPr>
          <w:rFonts w:hint="eastAsia" w:ascii="宋体" w:hAnsi="宋体" w:eastAsia="宋体" w:cs="Times New Roman"/>
          <w:color w:val="0D0D0D"/>
          <w:sz w:val="24"/>
          <w:szCs w:val="21"/>
          <w:lang w:val="zh-CN"/>
        </w:rPr>
        <w:t>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color w:val="0D0D0D"/>
          <w:sz w:val="24"/>
          <w:szCs w:val="21"/>
          <w:lang w:val="zh-CN"/>
        </w:rPr>
        <w:t>1.根据《工业和信息化部、国家统计局、国家发展和改革委员会、财政部关于印发中小企业划型标准规定的通知》（工信部联企业〔2011〕300号</w:t>
      </w:r>
      <w:r>
        <w:rPr>
          <w:rFonts w:hint="eastAsia" w:ascii="宋体" w:hAnsi="宋体" w:eastAsia="宋体" w:cs="Times New Roman"/>
          <w:color w:val="0C0C0C" w:themeColor="text1" w:themeTint="F2"/>
          <w:sz w:val="24"/>
          <w:szCs w:val="21"/>
          <w:lang w:val="zh-CN"/>
        </w:rPr>
        <w:t>）规定的划分标准</w:t>
      </w:r>
      <w:r>
        <w:rPr>
          <w:rFonts w:hint="eastAsia" w:hAnsi="宋体"/>
          <w:color w:val="0C0C0C" w:themeColor="text1" w:themeTint="F2"/>
          <w:sz w:val="24"/>
        </w:rPr>
        <w:t>（详见《中小企业划型标准》）</w:t>
      </w:r>
      <w:r>
        <w:rPr>
          <w:rFonts w:hint="eastAsia" w:ascii="宋体" w:hAnsi="宋体" w:eastAsia="宋体" w:cs="Times New Roman"/>
          <w:color w:val="0C0C0C" w:themeColor="text1" w:themeTint="F2"/>
          <w:sz w:val="24"/>
          <w:szCs w:val="21"/>
          <w:lang w:val="zh-CN"/>
        </w:rPr>
        <w:t>，本公司为______（请填写：中型、小</w:t>
      </w:r>
      <w:r>
        <w:rPr>
          <w:rFonts w:hint="eastAsia" w:ascii="宋体" w:hAnsi="宋体" w:eastAsia="宋体" w:cs="Times New Roman"/>
          <w:color w:val="0D0D0D"/>
          <w:sz w:val="24"/>
          <w:szCs w:val="21"/>
          <w:lang w:val="zh-CN"/>
        </w:rPr>
        <w:t>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2.本公司参加_</w:t>
      </w:r>
      <w:r>
        <w:rPr>
          <w:rFonts w:hint="eastAsia" w:ascii="宋体" w:hAnsi="宋体" w:eastAsia="宋体" w:cs="Times New Roman"/>
          <w:color w:val="0D0D0D"/>
          <w:sz w:val="24"/>
          <w:szCs w:val="21"/>
          <w:u w:val="single"/>
          <w:lang w:val="zh-CN"/>
        </w:rPr>
        <w:t>_（采购人）</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_）采购活动由本企业承担工程（或提供服务）。</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sz w:val="28"/>
          <w:szCs w:val="24"/>
        </w:rPr>
      </w:pPr>
    </w:p>
    <w:p>
      <w:pPr>
        <w:adjustRightInd w:val="0"/>
        <w:snapToGrid w:val="0"/>
        <w:spacing w:line="360" w:lineRule="auto"/>
        <w:rPr>
          <w:rFonts w:ascii="宋体" w:hAnsi="宋体" w:eastAsia="宋体" w:cs="Times New Roman"/>
          <w:sz w:val="28"/>
          <w:szCs w:val="24"/>
        </w:rPr>
      </w:pPr>
    </w:p>
    <w:p>
      <w:pPr>
        <w:spacing w:line="360" w:lineRule="auto"/>
        <w:ind w:left="950" w:hanging="950" w:hangingChars="396"/>
        <w:jc w:val="left"/>
        <w:rPr>
          <w:rFonts w:ascii="宋体" w:hAnsi="宋体" w:eastAsia="宋体" w:cs="Times New Roman"/>
          <w:sz w:val="24"/>
          <w:szCs w:val="21"/>
          <w:lang w:val="zh-CN"/>
        </w:rPr>
      </w:pPr>
      <w:r>
        <w:rPr>
          <w:rFonts w:hint="eastAsia" w:ascii="宋体" w:hAnsi="宋体" w:eastAsia="宋体" w:cs="Times New Roman"/>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sz w:val="24"/>
          <w:szCs w:val="21"/>
          <w:lang w:val="zh-CN"/>
        </w:rPr>
      </w:pPr>
      <w:r>
        <w:rPr>
          <w:rFonts w:hint="eastAsia" w:ascii="宋体" w:hAnsi="宋体" w:eastAsia="宋体" w:cs="Times New Roman"/>
          <w:sz w:val="24"/>
          <w:szCs w:val="21"/>
          <w:lang w:val="zh-CN"/>
        </w:rPr>
        <w:t>2.以联合体方式参与本项目投标的投标人，应由联合体双方签字盖章。</w:t>
      </w: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pPr>
        <w:sectPr>
          <w:headerReference r:id="rId7" w:type="default"/>
          <w:footerReference r:id="rId8" w:type="default"/>
          <w:pgSz w:w="11906" w:h="16838"/>
          <w:pgMar w:top="1134" w:right="1191" w:bottom="1134" w:left="1191" w:header="851" w:footer="624" w:gutter="0"/>
          <w:cols w:space="425" w:num="1"/>
          <w:docGrid w:type="linesAndChars" w:linePitch="312" w:charSpace="0"/>
        </w:sectPr>
      </w:pPr>
      <w:r>
        <w:br w:type="page"/>
      </w:r>
    </w:p>
    <w:p>
      <w:pPr>
        <w:spacing w:line="240" w:lineRule="atLeast"/>
        <w:ind w:right="-65" w:rightChars="-31"/>
        <w:jc w:val="center"/>
        <w:rPr>
          <w:rFonts w:ascii="宋体" w:hAnsi="宋体" w:eastAsia="宋体" w:cs="Times New Roman"/>
          <w:b/>
          <w:sz w:val="30"/>
          <w:szCs w:val="30"/>
          <w:lang w:val="zh-CN"/>
        </w:rPr>
      </w:pPr>
      <w:bookmarkStart w:id="135" w:name="_Toc476153619"/>
      <w:r>
        <w:rPr>
          <w:rFonts w:hint="eastAsia" w:ascii="宋体" w:hAnsi="宋体" w:eastAsia="宋体" w:cs="Times New Roman"/>
          <w:b/>
          <w:sz w:val="30"/>
          <w:szCs w:val="30"/>
          <w:lang w:val="zh-CN"/>
        </w:rPr>
        <w:t>中小企业划型标准</w:t>
      </w:r>
      <w:bookmarkEnd w:id="135"/>
    </w:p>
    <w:tbl>
      <w:tblPr>
        <w:tblStyle w:val="19"/>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sectPr>
          <w:pgSz w:w="16838" w:h="11906" w:orient="landscape"/>
          <w:pgMar w:top="1191" w:right="1134" w:bottom="1191" w:left="1134" w:header="851" w:footer="851" w:gutter="0"/>
          <w:cols w:space="425" w:num="1"/>
          <w:docGrid w:type="lines" w:linePitch="312" w:charSpace="0"/>
        </w:sectPr>
      </w:pPr>
      <w:r>
        <w:br w:type="page"/>
      </w:r>
    </w:p>
    <w:p>
      <w:pPr>
        <w:pStyle w:val="4"/>
        <w:numPr>
          <w:ilvl w:val="0"/>
          <w:numId w:val="62"/>
        </w:numPr>
        <w:spacing w:before="100" w:beforeAutospacing="1" w:afterLines="50" w:line="360" w:lineRule="auto"/>
        <w:ind w:left="1288" w:hanging="1288"/>
        <w:rPr>
          <w:rFonts w:ascii="宋体" w:hAnsi="宋体" w:eastAsia="宋体"/>
        </w:rPr>
      </w:pPr>
      <w:bookmarkStart w:id="136" w:name="_Toc494665954"/>
      <w:bookmarkStart w:id="137" w:name="_Toc494721104"/>
      <w:bookmarkStart w:id="138" w:name="_Toc494665557"/>
      <w:bookmarkStart w:id="139" w:name="_Toc494665004"/>
      <w:bookmarkStart w:id="140" w:name="_Toc494745321"/>
      <w:bookmarkStart w:id="141" w:name="_Toc494702274"/>
      <w:bookmarkStart w:id="142" w:name="_Toc798"/>
      <w:r>
        <w:rPr>
          <w:rFonts w:hint="eastAsia" w:ascii="宋体" w:hAnsi="宋体" w:eastAsia="宋体"/>
        </w:rPr>
        <w:t>残疾人福利性单位声明函</w:t>
      </w:r>
      <w:bookmarkEnd w:id="136"/>
      <w:bookmarkEnd w:id="137"/>
      <w:bookmarkEnd w:id="138"/>
      <w:bookmarkEnd w:id="139"/>
      <w:bookmarkEnd w:id="140"/>
      <w:bookmarkEnd w:id="141"/>
      <w:bookmarkEnd w:id="142"/>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auto"/>
          <w:sz w:val="28"/>
          <w:szCs w:val="28"/>
        </w:rPr>
        <w:t>（或采购代理公司）</w:t>
      </w:r>
      <w:r>
        <w:rPr>
          <w:rFonts w:hint="eastAsia"/>
          <w:b/>
          <w:sz w:val="28"/>
          <w:szCs w:val="28"/>
        </w:rPr>
        <w:t>：</w:t>
      </w:r>
    </w:p>
    <w:p>
      <w:pPr>
        <w:pStyle w:val="10"/>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w:t>
      </w:r>
      <w:r>
        <w:rPr>
          <w:rFonts w:hint="eastAsia" w:hAnsi="宋体"/>
          <w:color w:val="0C0C0C" w:themeColor="text1" w:themeTint="F2"/>
          <w:sz w:val="24"/>
        </w:rPr>
        <w:t>单位为符合条件的残疾人福利性单位（详见“残疾人福利性单位应当满足的条件”）。</w:t>
      </w:r>
    </w:p>
    <w:p>
      <w:pPr>
        <w:pStyle w:val="10"/>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D0D0D"/>
          <w:sz w:val="24"/>
        </w:rPr>
      </w:pPr>
      <w:r>
        <w:rPr>
          <w:rFonts w:hint="eastAsia" w:ascii="宋体" w:hAnsi="宋体"/>
          <w:bCs/>
          <w:sz w:val="24"/>
          <w:lang w:val="zh-CN"/>
        </w:rPr>
        <w:t>2</w:t>
      </w:r>
      <w:r>
        <w:rPr>
          <w:rFonts w:hint="eastAsia" w:ascii="宋体" w:hAnsi="宋体"/>
          <w:bCs/>
          <w:sz w:val="24"/>
        </w:rPr>
        <w:t>.由本单位制造的</w:t>
      </w:r>
      <w:r>
        <w:rPr>
          <w:rFonts w:hint="eastAsia" w:ascii="宋体" w:hAnsi="宋体"/>
          <w:bCs/>
          <w:color w:val="0D0D0D"/>
          <w:sz w:val="24"/>
        </w:rPr>
        <w:t>货物清单见下表：</w:t>
      </w:r>
    </w:p>
    <w:tbl>
      <w:tblPr>
        <w:tblStyle w:val="19"/>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color w:val="0C0C0C" w:themeColor="text1" w:themeTint="F2"/>
          <w:sz w:val="24"/>
          <w:szCs w:val="24"/>
        </w:rPr>
      </w:pPr>
    </w:p>
    <w:p>
      <w:pPr>
        <w:pStyle w:val="10"/>
        <w:spacing w:line="360" w:lineRule="auto"/>
        <w:jc w:val="left"/>
        <w:rPr>
          <w:rFonts w:hAnsi="宋体" w:cs="Corbel"/>
          <w:color w:val="0C0C0C" w:themeColor="text1" w:themeTint="F2"/>
          <w:sz w:val="24"/>
        </w:rPr>
      </w:pPr>
      <w:r>
        <w:rPr>
          <w:rFonts w:hint="eastAsia" w:hAnsi="宋体" w:eastAsia="宋体" w:cs="Times New Roman"/>
          <w:bCs/>
          <w:color w:val="0C0C0C" w:themeColor="text1" w:themeTint="F2"/>
          <w:sz w:val="24"/>
          <w:szCs w:val="24"/>
        </w:rPr>
        <w:t>说明：</w:t>
      </w:r>
      <w:r>
        <w:rPr>
          <w:rFonts w:hint="eastAsia" w:hAnsi="宋体" w:cs="Corbel"/>
          <w:color w:val="0C0C0C" w:themeColor="text1" w:themeTint="F2"/>
          <w:sz w:val="24"/>
        </w:rPr>
        <w:t>1、投标人所投货物为自己制造的，也应按本声明函格式填写。</w:t>
      </w:r>
    </w:p>
    <w:p>
      <w:pPr>
        <w:pStyle w:val="10"/>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2、组成联合体的大中型企业和其他自然人、法人或者其他组织，与残疾人福利性单位之间不得存在投资关系。</w:t>
      </w:r>
    </w:p>
    <w:p>
      <w:pPr>
        <w:pStyle w:val="10"/>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3、以联合体方式参与本项目投标的投标人，应由联合体双方签字盖章。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adjustRightInd w:val="0"/>
        <w:snapToGrid w:val="0"/>
        <w:jc w:val="center"/>
        <w:rPr>
          <w:rFonts w:ascii="宋体" w:hAnsi="宋体" w:eastAsia="宋体" w:cs="Times New Roman"/>
          <w:b/>
          <w:sz w:val="30"/>
          <w:szCs w:val="30"/>
          <w:lang w:val="zh-CN"/>
        </w:rPr>
      </w:pPr>
    </w:p>
    <w:p>
      <w:pPr>
        <w:adjustRightInd w:val="0"/>
        <w:snapToGrid w:val="0"/>
        <w:spacing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color w:val="auto"/>
          <w:sz w:val="28"/>
          <w:szCs w:val="28"/>
        </w:rPr>
      </w:pPr>
      <w:r>
        <w:rPr>
          <w:rFonts w:hint="eastAsia"/>
          <w:b/>
          <w:sz w:val="28"/>
          <w:szCs w:val="28"/>
        </w:rPr>
        <w:t>采</w:t>
      </w:r>
      <w:r>
        <w:rPr>
          <w:rFonts w:hint="eastAsia"/>
          <w:b/>
          <w:color w:val="auto"/>
          <w:sz w:val="28"/>
          <w:szCs w:val="28"/>
        </w:rPr>
        <w:t>购人（或采购代理公司）：</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C0C0C" w:themeColor="text1" w:themeTint="F2"/>
          <w:sz w:val="24"/>
          <w:szCs w:val="24"/>
        </w:rPr>
        <w:t>部 民政部 中国残疾人联合会关于促进残疾人就业政府采购政策的通知》（财库〔2017〕141号）的规定，本单位为符合条件的残疾人福利性单位</w:t>
      </w:r>
      <w:r>
        <w:rPr>
          <w:rFonts w:hint="eastAsia" w:hAnsi="宋体"/>
          <w:color w:val="0C0C0C" w:themeColor="text1" w:themeTint="F2"/>
          <w:sz w:val="24"/>
        </w:rPr>
        <w:t>（详见“残疾人福利性单位应当满足的条件”）</w:t>
      </w:r>
      <w:r>
        <w:rPr>
          <w:rFonts w:hint="eastAsia" w:ascii="宋体" w:hAnsi="宋体" w:eastAsia="宋体" w:cs="Times New Roman"/>
          <w:color w:val="0C0C0C" w:themeColor="text1" w:themeTint="F2"/>
          <w:sz w:val="24"/>
          <w:szCs w:val="24"/>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C0C0C" w:themeColor="text1" w:themeTint="F2"/>
          <w:sz w:val="24"/>
          <w:szCs w:val="21"/>
        </w:rPr>
      </w:pPr>
      <w:r>
        <w:rPr>
          <w:rFonts w:hint="eastAsia" w:ascii="宋体" w:hAnsi="宋体" w:cs="Courier New"/>
          <w:color w:val="0C0C0C" w:themeColor="text1" w:themeTint="F2"/>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C0C0C" w:themeColor="text1" w:themeTint="F2"/>
          <w:sz w:val="24"/>
          <w:szCs w:val="24"/>
        </w:rPr>
      </w:pPr>
      <w:r>
        <w:rPr>
          <w:rFonts w:hint="eastAsia" w:ascii="宋体" w:hAnsi="宋体" w:cs="Courier New"/>
          <w:color w:val="0C0C0C" w:themeColor="text1" w:themeTint="F2"/>
          <w:sz w:val="24"/>
          <w:szCs w:val="21"/>
        </w:rPr>
        <w:t>2、以联合体方式参与本项目投标的投标人，应由联合体双方签字盖章。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4"/>
        <w:numPr>
          <w:ilvl w:val="0"/>
          <w:numId w:val="62"/>
        </w:numPr>
        <w:spacing w:before="100" w:beforeAutospacing="1" w:afterLines="50" w:line="360" w:lineRule="auto"/>
        <w:ind w:left="1288" w:hanging="1288"/>
        <w:rPr>
          <w:rFonts w:ascii="宋体" w:hAnsi="宋体" w:eastAsia="宋体"/>
        </w:rPr>
      </w:pPr>
      <w:bookmarkStart w:id="143" w:name="_Toc494665558"/>
      <w:bookmarkStart w:id="144" w:name="_Toc494577410"/>
      <w:bookmarkStart w:id="145" w:name="_Toc494665005"/>
      <w:bookmarkStart w:id="146" w:name="_Toc494702275"/>
      <w:bookmarkStart w:id="147" w:name="_Toc30156"/>
      <w:bookmarkStart w:id="148" w:name="_Toc494745322"/>
      <w:bookmarkStart w:id="149" w:name="_Toc494665955"/>
      <w:bookmarkStart w:id="150" w:name="_Toc494721105"/>
      <w:r>
        <w:rPr>
          <w:rFonts w:hint="eastAsia" w:ascii="宋体" w:hAnsi="宋体" w:eastAsia="宋体"/>
        </w:rPr>
        <w:t>开标一览表</w:t>
      </w:r>
      <w:bookmarkEnd w:id="143"/>
      <w:bookmarkEnd w:id="144"/>
      <w:bookmarkEnd w:id="145"/>
      <w:bookmarkEnd w:id="146"/>
      <w:bookmarkEnd w:id="147"/>
      <w:bookmarkEnd w:id="148"/>
      <w:bookmarkEnd w:id="149"/>
      <w:bookmarkEnd w:id="150"/>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小写：万元整（¥）</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w:t>
            </w:r>
          </w:p>
          <w:p>
            <w:pPr>
              <w:spacing w:line="276" w:lineRule="auto"/>
              <w:ind w:left="-48" w:leftChars="-23" w:right="-65" w:rightChars="-31"/>
              <w:jc w:val="left"/>
              <w:rPr>
                <w:rFonts w:ascii="宋体" w:hAnsi="宋体" w:eastAsia="宋体" w:cs="宋体"/>
                <w:kern w:val="0"/>
                <w:sz w:val="24"/>
                <w:szCs w:val="24"/>
                <w:lang w:val="zh-CN"/>
              </w:rPr>
            </w:pPr>
            <w:r>
              <w:rPr>
                <w:rFonts w:hint="eastAsia" w:ascii="宋体" w:hAnsi="宋体" w:eastAsia="宋体" w:cs="宋体"/>
                <w:color w:val="FF0000"/>
                <w:kern w:val="0"/>
                <w:sz w:val="24"/>
                <w:szCs w:val="24"/>
              </w:rPr>
              <w:t>万仟佰拾元整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3．为方便开标时唱标，投标人应另附《开标一览表》及《交纳投标保证金的银行凭证》（如有交纳保证金要求的）各一份一并</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4"/>
        <w:numPr>
          <w:ilvl w:val="0"/>
          <w:numId w:val="62"/>
        </w:numPr>
        <w:spacing w:before="100" w:beforeAutospacing="1" w:afterLines="50" w:line="360" w:lineRule="auto"/>
        <w:ind w:left="1288" w:hanging="1288"/>
        <w:rPr>
          <w:rFonts w:ascii="宋体" w:hAnsi="宋体" w:eastAsia="宋体"/>
        </w:rPr>
      </w:pPr>
      <w:bookmarkStart w:id="151" w:name="_Toc494665956"/>
      <w:bookmarkStart w:id="152" w:name="_Toc494665559"/>
      <w:bookmarkStart w:id="153" w:name="_Toc494721106"/>
      <w:bookmarkStart w:id="154" w:name="_Toc494745323"/>
      <w:bookmarkStart w:id="155" w:name="_Toc494577411"/>
      <w:bookmarkStart w:id="156" w:name="_Toc494702276"/>
      <w:bookmarkStart w:id="157" w:name="_Toc494665006"/>
      <w:bookmarkStart w:id="158" w:name="_Toc7078"/>
      <w:r>
        <w:rPr>
          <w:rFonts w:hint="eastAsia" w:ascii="宋体" w:hAnsi="宋体" w:eastAsia="宋体"/>
        </w:rPr>
        <w:t>投标报价明细表</w:t>
      </w:r>
      <w:bookmarkEnd w:id="151"/>
      <w:bookmarkEnd w:id="152"/>
      <w:bookmarkEnd w:id="153"/>
      <w:bookmarkEnd w:id="154"/>
      <w:bookmarkEnd w:id="155"/>
      <w:bookmarkEnd w:id="156"/>
      <w:bookmarkEnd w:id="157"/>
      <w:bookmarkEnd w:id="158"/>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D0D0D"/>
                <w:kern w:val="0"/>
                <w:sz w:val="24"/>
              </w:rPr>
            </w:pPr>
            <w:r>
              <w:rPr>
                <w:rFonts w:hint="eastAsia" w:ascii="宋体" w:hAnsi="宋体"/>
                <w:color w:val="0C0C0C" w:themeColor="text1" w:themeTint="F2"/>
                <w:sz w:val="24"/>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2．报价明细表合计应与《开标一览表》中的投标总报价一致。</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288" w:hanging="1288"/>
        <w:rPr>
          <w:rFonts w:ascii="宋体" w:hAnsi="宋体" w:eastAsia="宋体"/>
          <w:sz w:val="31"/>
          <w:szCs w:val="31"/>
        </w:rPr>
      </w:pPr>
      <w:bookmarkStart w:id="159" w:name="_Toc494721107"/>
      <w:bookmarkStart w:id="160" w:name="_Toc27866"/>
      <w:bookmarkStart w:id="161" w:name="_Toc494745324"/>
      <w:bookmarkStart w:id="162" w:name="_Toc494702277"/>
      <w:bookmarkStart w:id="163" w:name="_Toc494665957"/>
      <w:bookmarkStart w:id="164" w:name="_Toc494665560"/>
      <w:bookmarkStart w:id="165" w:name="_Toc494577412"/>
      <w:bookmarkStart w:id="166" w:name="_Toc494665007"/>
      <w:r>
        <w:rPr>
          <w:rFonts w:hint="eastAsia" w:ascii="宋体" w:hAnsi="宋体" w:eastAsia="宋体"/>
          <w:sz w:val="31"/>
          <w:szCs w:val="31"/>
        </w:rPr>
        <w:t>小型和微型企业、监狱企业、残疾人福利性单位货物汇总表</w:t>
      </w:r>
      <w:bookmarkEnd w:id="159"/>
      <w:bookmarkEnd w:id="160"/>
      <w:bookmarkEnd w:id="161"/>
      <w:bookmarkEnd w:id="162"/>
      <w:bookmarkEnd w:id="163"/>
      <w:bookmarkEnd w:id="164"/>
      <w:bookmarkEnd w:id="165"/>
      <w:bookmarkEnd w:id="16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1</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2</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3</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4</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5</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6</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7</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color w:val="0D0D0D"/>
          <w:sz w:val="24"/>
        </w:rPr>
        <w:t>投标人</w:t>
      </w:r>
      <w:r>
        <w:rPr>
          <w:rFonts w:hint="eastAsia" w:ascii="宋体" w:hAnsi="宋体"/>
          <w:sz w:val="24"/>
        </w:rPr>
        <w:t>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288" w:hanging="1288"/>
        <w:rPr>
          <w:rFonts w:ascii="宋体" w:hAnsi="宋体" w:eastAsia="宋体"/>
        </w:rPr>
      </w:pPr>
      <w:bookmarkStart w:id="167" w:name="_Toc494665008"/>
      <w:bookmarkStart w:id="168" w:name="_Toc15268"/>
      <w:bookmarkStart w:id="169" w:name="_Toc494665561"/>
      <w:bookmarkStart w:id="170" w:name="_Toc494721108"/>
      <w:bookmarkStart w:id="171" w:name="_Toc494702278"/>
      <w:bookmarkStart w:id="172" w:name="_Toc494665958"/>
      <w:bookmarkStart w:id="173" w:name="_Toc494745325"/>
      <w:r>
        <w:rPr>
          <w:rFonts w:hint="eastAsia" w:ascii="宋体" w:hAnsi="宋体" w:eastAsia="宋体"/>
        </w:rPr>
        <w:t>投标货物（工程或服务）清单</w:t>
      </w:r>
      <w:bookmarkEnd w:id="167"/>
      <w:bookmarkEnd w:id="168"/>
      <w:bookmarkEnd w:id="169"/>
      <w:bookmarkEnd w:id="170"/>
      <w:bookmarkEnd w:id="171"/>
      <w:bookmarkEnd w:id="172"/>
      <w:bookmarkEnd w:id="173"/>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288" w:hanging="1288"/>
        <w:rPr>
          <w:rFonts w:ascii="宋体" w:hAnsi="宋体" w:eastAsia="宋体"/>
        </w:rPr>
      </w:pPr>
      <w:bookmarkStart w:id="174" w:name="_Toc494665562"/>
      <w:bookmarkStart w:id="175" w:name="_Toc10242"/>
      <w:bookmarkStart w:id="176" w:name="_Toc494721109"/>
      <w:bookmarkStart w:id="177" w:name="_Toc494702279"/>
      <w:bookmarkStart w:id="178" w:name="_Toc494745326"/>
      <w:bookmarkStart w:id="179" w:name="_Toc494665009"/>
      <w:bookmarkStart w:id="180" w:name="_Toc494665959"/>
      <w:r>
        <w:rPr>
          <w:rFonts w:hint="eastAsia" w:ascii="宋体" w:hAnsi="宋体" w:eastAsia="宋体"/>
        </w:rPr>
        <w:t>交纳投标保证金的银行凭证</w:t>
      </w:r>
      <w:bookmarkEnd w:id="174"/>
      <w:bookmarkEnd w:id="175"/>
      <w:bookmarkEnd w:id="176"/>
      <w:bookmarkEnd w:id="177"/>
      <w:bookmarkEnd w:id="178"/>
      <w:bookmarkEnd w:id="179"/>
      <w:bookmarkEnd w:id="180"/>
    </w:p>
    <w:p>
      <w:pPr>
        <w:spacing w:line="480" w:lineRule="auto"/>
        <w:rPr>
          <w:rFonts w:ascii="宋体" w:hAnsi="宋体" w:cs="Courier New"/>
          <w:b/>
          <w:color w:val="auto"/>
          <w:sz w:val="28"/>
          <w:szCs w:val="28"/>
        </w:rPr>
      </w:pPr>
      <w:r>
        <w:rPr>
          <w:rFonts w:hint="eastAsia"/>
          <w:b/>
          <w:sz w:val="28"/>
          <w:szCs w:val="28"/>
        </w:rPr>
        <w:t>采购人</w:t>
      </w:r>
      <w:r>
        <w:rPr>
          <w:rFonts w:hint="eastAsia"/>
          <w:b/>
          <w:color w:val="auto"/>
          <w:sz w:val="28"/>
          <w:szCs w:val="28"/>
        </w:rPr>
        <w:t>（或代理公司）</w:t>
      </w:r>
      <w:r>
        <w:rPr>
          <w:rFonts w:hint="eastAsia" w:ascii="宋体" w:hAnsi="宋体" w:cs="Courier New"/>
          <w:b/>
          <w:color w:val="auto"/>
          <w:sz w:val="28"/>
          <w:szCs w:val="28"/>
        </w:rPr>
        <w:t>：</w:t>
      </w:r>
    </w:p>
    <w:p>
      <w:pPr>
        <w:spacing w:line="360" w:lineRule="auto"/>
        <w:ind w:firstLine="489" w:firstLineChars="204"/>
        <w:jc w:val="left"/>
        <w:rPr>
          <w:rFonts w:ascii="宋体" w:hAnsi="宋体" w:eastAsia="宋体" w:cs="Times New Roman"/>
          <w:sz w:val="24"/>
          <w:szCs w:val="21"/>
          <w:lang w:val="zh-CN"/>
        </w:rPr>
      </w:pPr>
      <w:r>
        <w:rPr>
          <w:rFonts w:hint="eastAsia" w:ascii="宋体" w:hAnsi="宋体" w:eastAsia="宋体" w:cs="Times New Roman"/>
          <w:sz w:val="24"/>
          <w:szCs w:val="21"/>
          <w:u w:val="single"/>
          <w:lang w:val="zh-CN"/>
        </w:rPr>
        <w:t xml:space="preserve">  （投标人全称）  </w:t>
      </w:r>
      <w:r>
        <w:rPr>
          <w:rFonts w:hint="eastAsia" w:ascii="宋体" w:hAnsi="宋体" w:eastAsia="宋体" w:cs="Times New Roman"/>
          <w:sz w:val="24"/>
          <w:szCs w:val="21"/>
          <w:lang w:val="zh-CN"/>
        </w:rPr>
        <w:t>参加贵方组织的</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_）的政府采购活动。按招标文件的规定，已递交人民币（大写）</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sz w:val="24"/>
          <w:szCs w:val="21"/>
          <w:lang w:val="zh-CN"/>
        </w:rPr>
        <w:t>万元的投标保证金。</w:t>
      </w:r>
    </w:p>
    <w:tbl>
      <w:tblPr>
        <w:tblStyle w:val="19"/>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投标人</w:t>
            </w: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全  称</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地  址</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邮  编</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 系 人</w:t>
            </w:r>
          </w:p>
        </w:tc>
        <w:tc>
          <w:tcPr>
            <w:tcW w:w="2160" w:type="dxa"/>
            <w:vAlign w:val="center"/>
          </w:tcPr>
          <w:p>
            <w:pPr>
              <w:widowControl/>
              <w:spacing w:line="360" w:lineRule="auto"/>
              <w:jc w:val="left"/>
              <w:rPr>
                <w:rFonts w:ascii="宋体" w:hAnsi="宋体" w:eastAsia="宋体" w:cs="宋体"/>
                <w:kern w:val="0"/>
                <w:sz w:val="24"/>
                <w:szCs w:val="21"/>
              </w:rPr>
            </w:pPr>
          </w:p>
        </w:tc>
        <w:tc>
          <w:tcPr>
            <w:tcW w:w="1440"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联系电话</w:t>
            </w:r>
          </w:p>
        </w:tc>
        <w:tc>
          <w:tcPr>
            <w:tcW w:w="3523" w:type="dxa"/>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开 户 银 行</w:t>
            </w:r>
          </w:p>
        </w:tc>
        <w:tc>
          <w:tcPr>
            <w:tcW w:w="7123" w:type="dxa"/>
            <w:gridSpan w:val="3"/>
            <w:vAlign w:val="center"/>
          </w:tcPr>
          <w:p>
            <w:pPr>
              <w:widowControl/>
              <w:spacing w:line="360" w:lineRule="auto"/>
              <w:jc w:val="left"/>
              <w:rPr>
                <w:rFonts w:ascii="宋体" w:hAnsi="宋体" w:eastAsia="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帐  号</w:t>
            </w:r>
          </w:p>
        </w:tc>
        <w:tc>
          <w:tcPr>
            <w:tcW w:w="7123" w:type="dxa"/>
            <w:gridSpan w:val="3"/>
            <w:vAlign w:val="center"/>
          </w:tcPr>
          <w:p>
            <w:pPr>
              <w:widowControl/>
              <w:spacing w:line="360" w:lineRule="auto"/>
              <w:jc w:val="left"/>
              <w:rPr>
                <w:rFonts w:ascii="宋体" w:hAnsi="宋体" w:eastAsia="宋体" w:cs="Arial"/>
                <w:kern w:val="0"/>
                <w:sz w:val="24"/>
                <w:szCs w:val="21"/>
              </w:rPr>
            </w:pPr>
          </w:p>
        </w:tc>
      </w:tr>
    </w:tbl>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tbl>
      <w:tblPr>
        <w:tblStyle w:val="19"/>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粘贴转帐、电汇或网上银行凭证（清晰影印件）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10" w:leftChars="38" w:hanging="31" w:hangingChars="13"/>
              <w:rPr>
                <w:rFonts w:ascii="宋体" w:hAnsi="宋体" w:eastAsia="宋体" w:cs="Times New Roman"/>
                <w:b/>
                <w:sz w:val="24"/>
                <w:szCs w:val="20"/>
                <w:lang w:val="zh-CN"/>
              </w:rPr>
            </w:pPr>
            <w:r>
              <w:rPr>
                <w:rFonts w:hint="eastAsia" w:ascii="宋体" w:hAnsi="宋体" w:eastAsia="宋体" w:cs="Times New Roman"/>
                <w:sz w:val="24"/>
                <w:szCs w:val="20"/>
                <w:lang w:val="zh-CN"/>
              </w:rPr>
              <w:t>注：在交款凭证备注中说明项目编号及开标时间</w:t>
            </w:r>
          </w:p>
        </w:tc>
      </w:tr>
    </w:tbl>
    <w:p>
      <w:pPr>
        <w:spacing w:line="360" w:lineRule="auto"/>
        <w:ind w:left="720" w:hanging="720" w:hangingChars="300"/>
        <w:jc w:val="left"/>
        <w:rPr>
          <w:rFonts w:ascii="宋体" w:hAnsi="宋体" w:eastAsia="宋体" w:cs="Times New Roman"/>
          <w:sz w:val="24"/>
          <w:szCs w:val="24"/>
        </w:rPr>
      </w:pPr>
      <w:r>
        <w:rPr>
          <w:rFonts w:hint="eastAsia" w:ascii="宋体" w:hAnsi="宋体" w:eastAsia="宋体" w:cs="Times New Roman"/>
          <w:sz w:val="24"/>
          <w:szCs w:val="24"/>
        </w:rPr>
        <w:t>说明：投标人应认真填写银行信息，与转帐或电汇银行凭证的相关信息一致，集中采购机构将依据此凭证信息查退投标保证金。</w:t>
      </w:r>
    </w:p>
    <w:p>
      <w:r>
        <w:br w:type="page"/>
      </w:r>
    </w:p>
    <w:p>
      <w:pPr>
        <w:pStyle w:val="4"/>
        <w:numPr>
          <w:ilvl w:val="0"/>
          <w:numId w:val="62"/>
        </w:numPr>
        <w:spacing w:before="100" w:beforeAutospacing="1" w:afterLines="50" w:line="360" w:lineRule="auto"/>
        <w:ind w:left="1288" w:hanging="1288"/>
        <w:rPr>
          <w:rFonts w:ascii="宋体" w:hAnsi="宋体" w:eastAsia="宋体"/>
        </w:rPr>
      </w:pPr>
      <w:bookmarkStart w:id="181" w:name="_Toc494745327"/>
      <w:bookmarkStart w:id="182" w:name="_Toc494702280"/>
      <w:bookmarkStart w:id="183" w:name="_Toc236473303"/>
      <w:bookmarkStart w:id="184" w:name="_Toc494721110"/>
      <w:bookmarkStart w:id="185" w:name="_Toc14569"/>
      <w:bookmarkStart w:id="186" w:name="_Toc238276247"/>
      <w:bookmarkStart w:id="187" w:name="_Toc494665563"/>
      <w:bookmarkStart w:id="188" w:name="_Toc494665960"/>
      <w:bookmarkStart w:id="189" w:name="_Toc494665010"/>
      <w:r>
        <w:rPr>
          <w:rFonts w:hint="eastAsia" w:ascii="宋体" w:hAnsi="宋体" w:eastAsia="宋体"/>
        </w:rPr>
        <w:t>法定代表人授权书</w:t>
      </w:r>
      <w:bookmarkEnd w:id="181"/>
      <w:bookmarkEnd w:id="182"/>
      <w:bookmarkEnd w:id="183"/>
      <w:bookmarkEnd w:id="184"/>
      <w:bookmarkEnd w:id="185"/>
      <w:bookmarkEnd w:id="186"/>
      <w:bookmarkEnd w:id="187"/>
      <w:bookmarkEnd w:id="188"/>
      <w:bookmarkEnd w:id="189"/>
    </w:p>
    <w:p>
      <w:pPr>
        <w:spacing w:line="480" w:lineRule="auto"/>
        <w:rPr>
          <w:rFonts w:ascii="宋体" w:hAnsi="宋体" w:eastAsia="宋体" w:cs="Times New Roman"/>
          <w:b/>
          <w:sz w:val="24"/>
          <w:szCs w:val="24"/>
        </w:rPr>
      </w:pPr>
      <w:r>
        <w:rPr>
          <w:rFonts w:hint="eastAsia"/>
          <w:b/>
          <w:color w:val="auto"/>
          <w:sz w:val="28"/>
          <w:szCs w:val="28"/>
        </w:rPr>
        <w:t>采购人（或代理公司）</w:t>
      </w:r>
      <w:r>
        <w:rPr>
          <w:rFonts w:hint="eastAsia" w:ascii="宋体" w:hAnsi="宋体" w:cs="Courier New"/>
          <w:b/>
          <w:color w:val="auto"/>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19"/>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4"/>
        <w:numPr>
          <w:ilvl w:val="0"/>
          <w:numId w:val="62"/>
        </w:numPr>
        <w:spacing w:before="100" w:beforeAutospacing="1" w:afterLines="50" w:line="360" w:lineRule="auto"/>
        <w:ind w:left="1610" w:hanging="1610"/>
        <w:rPr>
          <w:rFonts w:ascii="宋体" w:hAnsi="宋体" w:eastAsia="宋体"/>
        </w:rPr>
      </w:pPr>
      <w:bookmarkStart w:id="190" w:name="_Toc9120"/>
      <w:bookmarkStart w:id="191" w:name="_Toc238276248"/>
      <w:bookmarkStart w:id="192" w:name="_Toc494665961"/>
      <w:bookmarkStart w:id="193" w:name="_Toc494665011"/>
      <w:bookmarkStart w:id="194" w:name="_Toc494721111"/>
      <w:bookmarkStart w:id="195" w:name="_Toc236473304"/>
      <w:bookmarkStart w:id="196" w:name="_Toc494745328"/>
      <w:bookmarkStart w:id="197" w:name="_Toc494702281"/>
      <w:bookmarkStart w:id="198" w:name="_Toc494665564"/>
      <w:r>
        <w:rPr>
          <w:rFonts w:hint="eastAsia" w:ascii="宋体" w:hAnsi="宋体" w:eastAsia="宋体"/>
        </w:rPr>
        <w:t>投标人的资格声明</w:t>
      </w:r>
      <w:bookmarkEnd w:id="190"/>
      <w:bookmarkEnd w:id="191"/>
      <w:bookmarkEnd w:id="192"/>
      <w:bookmarkEnd w:id="193"/>
      <w:bookmarkEnd w:id="194"/>
      <w:bookmarkEnd w:id="195"/>
      <w:bookmarkEnd w:id="196"/>
      <w:bookmarkEnd w:id="197"/>
      <w:bookmarkEnd w:id="198"/>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19"/>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19"/>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兹证明上述声明是真实的、正确，并提供了全部能提供的资料和数据，同意按照采购代理机构要求出示有关证明文件。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4"/>
        <w:numPr>
          <w:ilvl w:val="0"/>
          <w:numId w:val="62"/>
        </w:numPr>
        <w:spacing w:before="100" w:beforeAutospacing="1" w:afterLines="50" w:line="360" w:lineRule="auto"/>
        <w:ind w:left="1610" w:hanging="1610"/>
        <w:rPr>
          <w:rFonts w:ascii="宋体" w:hAnsi="宋体" w:eastAsia="宋体"/>
        </w:rPr>
      </w:pPr>
      <w:bookmarkStart w:id="199" w:name="_Toc494721112"/>
      <w:bookmarkStart w:id="200" w:name="_Toc494665565"/>
      <w:bookmarkStart w:id="201" w:name="_Toc27877"/>
      <w:bookmarkStart w:id="202" w:name="_Toc494665012"/>
      <w:bookmarkStart w:id="203" w:name="_Toc494745329"/>
      <w:bookmarkStart w:id="204" w:name="_Toc494665962"/>
      <w:bookmarkStart w:id="205" w:name="_Toc494702282"/>
      <w:r>
        <w:rPr>
          <w:rFonts w:hint="eastAsia" w:ascii="宋体" w:hAnsi="宋体" w:eastAsia="宋体"/>
        </w:rPr>
        <w:t>项目负责人、技术负责人简历表</w:t>
      </w:r>
      <w:bookmarkEnd w:id="199"/>
      <w:bookmarkEnd w:id="200"/>
      <w:bookmarkEnd w:id="201"/>
      <w:bookmarkEnd w:id="202"/>
      <w:bookmarkEnd w:id="203"/>
      <w:bookmarkEnd w:id="204"/>
      <w:bookmarkEnd w:id="20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610" w:hanging="1610"/>
        <w:rPr>
          <w:rFonts w:ascii="宋体" w:hAnsi="宋体" w:eastAsia="宋体"/>
        </w:rPr>
      </w:pPr>
      <w:bookmarkStart w:id="206" w:name="_Toc494721113"/>
      <w:bookmarkStart w:id="207" w:name="_Toc494702283"/>
      <w:bookmarkStart w:id="208" w:name="_Toc4040"/>
      <w:bookmarkStart w:id="209" w:name="_Toc494665013"/>
      <w:bookmarkStart w:id="210" w:name="_Toc238276251"/>
      <w:bookmarkStart w:id="211" w:name="_Toc236473307"/>
      <w:bookmarkStart w:id="212" w:name="_Toc494745330"/>
      <w:bookmarkStart w:id="213" w:name="_Toc494665963"/>
      <w:bookmarkStart w:id="214" w:name="_Toc494665566"/>
      <w:r>
        <w:rPr>
          <w:rFonts w:hint="eastAsia" w:ascii="宋体" w:hAnsi="宋体" w:eastAsia="宋体"/>
        </w:rPr>
        <w:t>项目班子成员情况表</w:t>
      </w:r>
      <w:bookmarkEnd w:id="206"/>
      <w:bookmarkEnd w:id="207"/>
      <w:bookmarkEnd w:id="208"/>
      <w:bookmarkEnd w:id="209"/>
      <w:bookmarkEnd w:id="210"/>
      <w:bookmarkEnd w:id="211"/>
      <w:bookmarkEnd w:id="212"/>
      <w:bookmarkEnd w:id="213"/>
      <w:bookmarkEnd w:id="21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610" w:hanging="1610"/>
        <w:rPr>
          <w:rFonts w:ascii="宋体" w:hAnsi="宋体" w:eastAsia="宋体"/>
        </w:rPr>
      </w:pPr>
      <w:bookmarkStart w:id="215" w:name="_Toc6713"/>
      <w:bookmarkStart w:id="216" w:name="_Toc494721114"/>
      <w:bookmarkStart w:id="217" w:name="_Toc494665014"/>
      <w:bookmarkStart w:id="218" w:name="_Toc236473312"/>
      <w:bookmarkStart w:id="219" w:name="_Toc494665964"/>
      <w:bookmarkStart w:id="220" w:name="_Toc494702284"/>
      <w:bookmarkStart w:id="221" w:name="_Toc238276256"/>
      <w:bookmarkStart w:id="222" w:name="_Toc494665567"/>
      <w:bookmarkStart w:id="223" w:name="_Toc494745331"/>
      <w:r>
        <w:rPr>
          <w:rFonts w:hint="eastAsia" w:ascii="宋体" w:hAnsi="宋体" w:eastAsia="宋体"/>
        </w:rPr>
        <w:t>投标人类似项目业绩表</w:t>
      </w:r>
      <w:bookmarkEnd w:id="215"/>
      <w:bookmarkEnd w:id="216"/>
      <w:bookmarkEnd w:id="217"/>
      <w:bookmarkEnd w:id="218"/>
      <w:bookmarkEnd w:id="219"/>
      <w:bookmarkEnd w:id="220"/>
      <w:bookmarkEnd w:id="221"/>
      <w:bookmarkEnd w:id="222"/>
      <w:bookmarkEnd w:id="22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610" w:hanging="1610"/>
        <w:rPr>
          <w:rFonts w:ascii="宋体" w:hAnsi="宋体" w:eastAsia="宋体"/>
        </w:rPr>
      </w:pPr>
      <w:bookmarkStart w:id="224" w:name="_Toc494721115"/>
      <w:bookmarkStart w:id="225" w:name="_Toc494665965"/>
      <w:bookmarkStart w:id="226" w:name="_Toc494702285"/>
      <w:bookmarkStart w:id="227" w:name="_Toc5128"/>
      <w:bookmarkStart w:id="228" w:name="_Toc494745332"/>
      <w:bookmarkStart w:id="229" w:name="_Toc494665015"/>
      <w:bookmarkStart w:id="230" w:name="_Toc494665568"/>
      <w:r>
        <w:rPr>
          <w:rFonts w:hint="eastAsia" w:ascii="宋体" w:hAnsi="宋体" w:eastAsia="宋体"/>
        </w:rPr>
        <w:t>符合性审查对照表</w:t>
      </w:r>
      <w:bookmarkEnd w:id="224"/>
      <w:bookmarkEnd w:id="225"/>
      <w:bookmarkEnd w:id="226"/>
      <w:bookmarkEnd w:id="227"/>
      <w:bookmarkEnd w:id="228"/>
      <w:bookmarkEnd w:id="229"/>
      <w:bookmarkEnd w:id="230"/>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610" w:hanging="1610"/>
        <w:rPr>
          <w:rFonts w:ascii="宋体" w:hAnsi="宋体" w:eastAsia="宋体"/>
        </w:rPr>
      </w:pPr>
      <w:bookmarkStart w:id="231" w:name="_Toc17380"/>
      <w:bookmarkStart w:id="232" w:name="_Toc494665569"/>
      <w:bookmarkStart w:id="233" w:name="_Toc494665016"/>
      <w:bookmarkStart w:id="234" w:name="_Toc494745333"/>
      <w:bookmarkStart w:id="235" w:name="_Toc494702286"/>
      <w:bookmarkStart w:id="236" w:name="_Toc494721116"/>
      <w:bookmarkStart w:id="237" w:name="_Toc494665966"/>
      <w:r>
        <w:rPr>
          <w:rFonts w:hint="eastAsia" w:ascii="宋体" w:hAnsi="宋体" w:eastAsia="宋体"/>
        </w:rPr>
        <w:t>商务要求响应、偏离说明表</w:t>
      </w:r>
      <w:bookmarkEnd w:id="231"/>
      <w:bookmarkEnd w:id="232"/>
      <w:bookmarkEnd w:id="233"/>
      <w:bookmarkEnd w:id="234"/>
      <w:bookmarkEnd w:id="235"/>
      <w:bookmarkEnd w:id="236"/>
      <w:bookmarkEnd w:id="23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610" w:hanging="1610"/>
        <w:rPr>
          <w:rFonts w:ascii="宋体" w:hAnsi="宋体" w:eastAsia="宋体"/>
        </w:rPr>
      </w:pPr>
      <w:bookmarkStart w:id="238" w:name="_Toc494665967"/>
      <w:bookmarkStart w:id="239" w:name="_Toc494665017"/>
      <w:bookmarkStart w:id="240" w:name="_Toc494721117"/>
      <w:bookmarkStart w:id="241" w:name="_Toc494702287"/>
      <w:bookmarkStart w:id="242" w:name="_Toc494745334"/>
      <w:bookmarkStart w:id="243" w:name="_Toc494665570"/>
      <w:bookmarkStart w:id="244" w:name="_Toc25190"/>
      <w:r>
        <w:rPr>
          <w:rFonts w:hint="eastAsia" w:ascii="宋体" w:hAnsi="宋体" w:eastAsia="宋体"/>
        </w:rPr>
        <w:t>商务要求“★”号条款响应、偏离说明表</w:t>
      </w:r>
      <w:bookmarkEnd w:id="238"/>
      <w:bookmarkEnd w:id="239"/>
      <w:bookmarkEnd w:id="240"/>
      <w:bookmarkEnd w:id="241"/>
      <w:bookmarkEnd w:id="242"/>
      <w:bookmarkEnd w:id="243"/>
      <w:bookmarkEnd w:id="24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610" w:hanging="1610"/>
        <w:rPr>
          <w:rFonts w:ascii="宋体" w:hAnsi="宋体" w:eastAsia="宋体"/>
        </w:rPr>
      </w:pPr>
      <w:bookmarkStart w:id="245" w:name="_Toc494702288"/>
      <w:bookmarkStart w:id="246" w:name="_Toc494721118"/>
      <w:bookmarkStart w:id="247" w:name="_Toc494665018"/>
      <w:bookmarkStart w:id="248" w:name="_Toc494665968"/>
      <w:bookmarkStart w:id="249" w:name="_Toc10960"/>
      <w:bookmarkStart w:id="250" w:name="_Toc494745335"/>
      <w:bookmarkStart w:id="251" w:name="_Toc494665571"/>
      <w:r>
        <w:rPr>
          <w:rFonts w:hint="eastAsia" w:ascii="宋体" w:hAnsi="宋体" w:eastAsia="宋体"/>
        </w:rPr>
        <w:t>商务评议对照表</w:t>
      </w:r>
      <w:bookmarkEnd w:id="245"/>
      <w:bookmarkEnd w:id="246"/>
      <w:bookmarkEnd w:id="247"/>
      <w:bookmarkEnd w:id="248"/>
      <w:bookmarkEnd w:id="249"/>
      <w:bookmarkEnd w:id="250"/>
      <w:bookmarkEnd w:id="25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610" w:hanging="1610"/>
        <w:rPr>
          <w:rFonts w:ascii="宋体" w:hAnsi="宋体" w:eastAsia="宋体"/>
        </w:rPr>
      </w:pPr>
      <w:bookmarkStart w:id="252" w:name="_Toc494702289"/>
      <w:bookmarkStart w:id="253" w:name="_Toc494721119"/>
      <w:bookmarkStart w:id="254" w:name="_Toc6966"/>
      <w:bookmarkStart w:id="255" w:name="_Toc494745336"/>
      <w:bookmarkStart w:id="256" w:name="_Toc494665019"/>
      <w:bookmarkStart w:id="257" w:name="_Toc494665572"/>
      <w:bookmarkStart w:id="258" w:name="_Toc494665969"/>
      <w:r>
        <w:rPr>
          <w:rFonts w:hint="eastAsia" w:ascii="宋体" w:hAnsi="宋体" w:eastAsia="宋体"/>
        </w:rPr>
        <w:t>技术、服务要求响应、偏离说明表</w:t>
      </w:r>
      <w:bookmarkEnd w:id="252"/>
      <w:bookmarkEnd w:id="253"/>
      <w:bookmarkEnd w:id="254"/>
      <w:bookmarkEnd w:id="255"/>
      <w:bookmarkEnd w:id="256"/>
      <w:bookmarkEnd w:id="257"/>
      <w:bookmarkEnd w:id="25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610" w:hanging="1610"/>
        <w:rPr>
          <w:rFonts w:ascii="宋体" w:hAnsi="宋体" w:eastAsia="宋体"/>
        </w:rPr>
      </w:pPr>
      <w:bookmarkStart w:id="259" w:name="_Toc3270"/>
      <w:bookmarkStart w:id="260" w:name="_Toc494721120"/>
      <w:bookmarkStart w:id="261" w:name="_Toc494665573"/>
      <w:bookmarkStart w:id="262" w:name="_Toc494665020"/>
      <w:bookmarkStart w:id="263" w:name="_Toc494745337"/>
      <w:bookmarkStart w:id="264" w:name="_Toc494665970"/>
      <w:bookmarkStart w:id="265" w:name="_Toc494702290"/>
      <w:bookmarkStart w:id="266" w:name="_Toc329859066"/>
      <w:r>
        <w:rPr>
          <w:rFonts w:hint="eastAsia" w:ascii="宋体" w:hAnsi="宋体" w:eastAsia="宋体"/>
        </w:rPr>
        <w:t>技术、服务要求“★”号条款响应、偏离说明表</w:t>
      </w:r>
      <w:bookmarkEnd w:id="259"/>
      <w:bookmarkEnd w:id="260"/>
      <w:bookmarkEnd w:id="261"/>
      <w:bookmarkEnd w:id="262"/>
      <w:bookmarkEnd w:id="263"/>
      <w:bookmarkEnd w:id="264"/>
      <w:bookmarkEnd w:id="26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66"/>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1610" w:hanging="1610"/>
        <w:rPr>
          <w:rFonts w:ascii="宋体" w:hAnsi="宋体" w:eastAsia="宋体"/>
        </w:rPr>
      </w:pPr>
      <w:bookmarkStart w:id="267" w:name="_Toc494665021"/>
      <w:bookmarkStart w:id="268" w:name="_Toc494665574"/>
      <w:bookmarkStart w:id="269" w:name="_Toc494702291"/>
      <w:bookmarkStart w:id="270" w:name="_Toc494745338"/>
      <w:bookmarkStart w:id="271" w:name="_Toc20668"/>
      <w:bookmarkStart w:id="272" w:name="_Toc494665971"/>
      <w:bookmarkStart w:id="273" w:name="_Toc494721121"/>
      <w:r>
        <w:rPr>
          <w:rFonts w:hint="eastAsia" w:ascii="宋体" w:hAnsi="宋体" w:eastAsia="宋体"/>
        </w:rPr>
        <w:t>技术、服务评议对照表</w:t>
      </w:r>
      <w:bookmarkEnd w:id="267"/>
      <w:bookmarkEnd w:id="268"/>
      <w:bookmarkEnd w:id="269"/>
      <w:bookmarkEnd w:id="270"/>
      <w:bookmarkEnd w:id="271"/>
      <w:bookmarkEnd w:id="272"/>
      <w:bookmarkEnd w:id="27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0" w:hanging="720" w:hangingChars="3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ymbolPS">
    <w:altName w:val="Symbol"/>
    <w:panose1 w:val="050501020106070206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3"/>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000000" w:themeColor="text1" w:sz="4" w:space="1"/>
      </w:pBdr>
      <w:tabs>
        <w:tab w:val="clear" w:pos="4153"/>
        <w:tab w:val="clear" w:pos="8306"/>
      </w:tabs>
      <w:ind w:right="-9" w:firstLine="360" w:firstLineChars="200"/>
      <w:jc w:val="both"/>
    </w:pPr>
    <w:r>
      <w:rPr>
        <w:rFonts w:hint="eastAsia" w:asciiTheme="minorEastAsia" w:hAnsiTheme="minorEastAsia"/>
      </w:rPr>
      <w:t xml:space="preserve">                                                                    </w:t>
    </w:r>
    <w:r>
      <w:rPr>
        <w:rFonts w:hint="eastAsia" w:asciiTheme="minorEastAsia" w:hAnsiTheme="minorEastAsia"/>
        <w:u w:val="single"/>
        <w:lang w:eastAsia="zh-CN"/>
      </w:rPr>
      <w:t>深圳群伦项目管理有限公司</w:t>
    </w:r>
    <w:r>
      <w:rPr>
        <w:rFonts w:hint="eastAsia" w:asciiTheme="minorEastAsia" w:hAnsiTheme="minorEastAsia"/>
      </w:rPr>
      <w:t>制</w:t>
    </w:r>
  </w:p>
  <w:p>
    <w:pPr>
      <w:pStyle w:val="13"/>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33</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000000" w:themeColor="text1" w:sz="0" w:space="1"/>
      </w:pBdr>
      <w:tabs>
        <w:tab w:val="clear" w:pos="4153"/>
      </w:tabs>
      <w:jc w:val="left"/>
      <w:rPr>
        <w:rFonts w:hint="eastAsia" w:eastAsiaTheme="minorEastAsia"/>
        <w:b/>
        <w:u w:val="single"/>
        <w:lang w:eastAsia="zh-CN"/>
      </w:rPr>
    </w:pPr>
    <w:r>
      <w:rPr>
        <w:rFonts w:hint="eastAsia"/>
        <w:b/>
        <w:u w:val="single"/>
      </w:rPr>
      <w:t>项目名称</w:t>
    </w:r>
    <w:r>
      <w:rPr>
        <w:rFonts w:hint="eastAsia" w:asciiTheme="minorEastAsia" w:hAnsiTheme="minorEastAsia"/>
        <w:b/>
        <w:u w:val="single"/>
      </w:rPr>
      <w:t>：</w:t>
    </w:r>
    <w:r>
      <w:rPr>
        <w:rFonts w:hint="eastAsia"/>
        <w:b/>
        <w:u w:val="single"/>
        <w:lang w:eastAsia="zh-CN"/>
      </w:rPr>
      <w:t>阳新县人民医院血液透析机设备采购项目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9">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2">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3">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6">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8">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9">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1">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5">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9">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5">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6">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7">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0">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5076BB4D"/>
    <w:multiLevelType w:val="singleLevel"/>
    <w:tmpl w:val="5076BB4D"/>
    <w:lvl w:ilvl="0" w:tentative="0">
      <w:start w:val="3"/>
      <w:numFmt w:val="chineseCounting"/>
      <w:suff w:val="nothing"/>
      <w:lvlText w:val="%1、"/>
      <w:lvlJc w:val="left"/>
      <w:rPr>
        <w:rFonts w:hint="eastAsia"/>
      </w:rPr>
    </w:lvl>
  </w:abstractNum>
  <w:abstractNum w:abstractNumId="43">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8">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9">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0">
    <w:nsid w:val="5F504802"/>
    <w:multiLevelType w:val="multilevel"/>
    <w:tmpl w:val="5F504802"/>
    <w:lvl w:ilvl="0" w:tentative="0">
      <w:start w:val="1"/>
      <w:numFmt w:val="decimal"/>
      <w:lvlText w:val="20.1.%1 "/>
      <w:lvlJc w:val="left"/>
      <w:pPr>
        <w:ind w:left="562" w:hanging="420"/>
      </w:pPr>
      <w:rPr>
        <w:rFonts w:hint="eastAsia" w:ascii="楷体" w:hAnsi="楷体" w:eastAsia="楷体"/>
        <w:b w:val="0"/>
        <w:strike w:val="0"/>
        <w:dstrike w:val="0"/>
        <w:color w:val="auto"/>
        <w:u w:val="none"/>
      </w:rPr>
    </w:lvl>
    <w:lvl w:ilvl="1" w:tentative="0">
      <w:start w:val="1"/>
      <w:numFmt w:val="lowerLetter"/>
      <w:lvlText w:val="%2)"/>
      <w:lvlJc w:val="left"/>
      <w:pPr>
        <w:ind w:left="779" w:hanging="420"/>
      </w:pPr>
    </w:lvl>
    <w:lvl w:ilvl="2" w:tentative="0">
      <w:start w:val="1"/>
      <w:numFmt w:val="lowerRoman"/>
      <w:lvlText w:val="%3."/>
      <w:lvlJc w:val="right"/>
      <w:pPr>
        <w:ind w:left="1199" w:hanging="420"/>
      </w:pPr>
    </w:lvl>
    <w:lvl w:ilvl="3" w:tentative="0">
      <w:start w:val="1"/>
      <w:numFmt w:val="decimal"/>
      <w:lvlText w:val="%4."/>
      <w:lvlJc w:val="left"/>
      <w:pPr>
        <w:ind w:left="1619" w:hanging="420"/>
      </w:pPr>
    </w:lvl>
    <w:lvl w:ilvl="4" w:tentative="0">
      <w:start w:val="1"/>
      <w:numFmt w:val="lowerLetter"/>
      <w:lvlText w:val="%5)"/>
      <w:lvlJc w:val="left"/>
      <w:pPr>
        <w:ind w:left="2039" w:hanging="420"/>
      </w:pPr>
    </w:lvl>
    <w:lvl w:ilvl="5" w:tentative="0">
      <w:start w:val="1"/>
      <w:numFmt w:val="lowerRoman"/>
      <w:lvlText w:val="%6."/>
      <w:lvlJc w:val="right"/>
      <w:pPr>
        <w:ind w:left="2459" w:hanging="420"/>
      </w:pPr>
    </w:lvl>
    <w:lvl w:ilvl="6" w:tentative="0">
      <w:start w:val="1"/>
      <w:numFmt w:val="decimal"/>
      <w:lvlText w:val="%7."/>
      <w:lvlJc w:val="left"/>
      <w:pPr>
        <w:ind w:left="2879" w:hanging="420"/>
      </w:pPr>
    </w:lvl>
    <w:lvl w:ilvl="7" w:tentative="0">
      <w:start w:val="1"/>
      <w:numFmt w:val="lowerLetter"/>
      <w:lvlText w:val="%8)"/>
      <w:lvlJc w:val="left"/>
      <w:pPr>
        <w:ind w:left="3299" w:hanging="420"/>
      </w:pPr>
    </w:lvl>
    <w:lvl w:ilvl="8" w:tentative="0">
      <w:start w:val="1"/>
      <w:numFmt w:val="lowerRoman"/>
      <w:lvlText w:val="%9."/>
      <w:lvlJc w:val="right"/>
      <w:pPr>
        <w:ind w:left="3719" w:hanging="420"/>
      </w:pPr>
    </w:lvl>
  </w:abstractNum>
  <w:abstractNum w:abstractNumId="51">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3">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B81BFFD"/>
    <w:multiLevelType w:val="singleLevel"/>
    <w:tmpl w:val="6B81BFFD"/>
    <w:lvl w:ilvl="0" w:tentative="0">
      <w:start w:val="4"/>
      <w:numFmt w:val="chineseCounting"/>
      <w:suff w:val="nothing"/>
      <w:lvlText w:val="%1、"/>
      <w:lvlJc w:val="left"/>
      <w:rPr>
        <w:rFonts w:hint="eastAsia"/>
      </w:rPr>
    </w:lvl>
  </w:abstractNum>
  <w:abstractNum w:abstractNumId="56">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58">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61">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2">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5">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0"/>
  </w:num>
  <w:num w:numId="2">
    <w:abstractNumId w:val="55"/>
  </w:num>
  <w:num w:numId="3">
    <w:abstractNumId w:val="29"/>
  </w:num>
  <w:num w:numId="4">
    <w:abstractNumId w:val="44"/>
  </w:num>
  <w:num w:numId="5">
    <w:abstractNumId w:val="2"/>
  </w:num>
  <w:num w:numId="6">
    <w:abstractNumId w:val="37"/>
  </w:num>
  <w:num w:numId="7">
    <w:abstractNumId w:val="14"/>
  </w:num>
  <w:num w:numId="8">
    <w:abstractNumId w:val="5"/>
  </w:num>
  <w:num w:numId="9">
    <w:abstractNumId w:val="52"/>
  </w:num>
  <w:num w:numId="10">
    <w:abstractNumId w:val="31"/>
  </w:num>
  <w:num w:numId="11">
    <w:abstractNumId w:val="47"/>
  </w:num>
  <w:num w:numId="12">
    <w:abstractNumId w:val="28"/>
  </w:num>
  <w:num w:numId="13">
    <w:abstractNumId w:val="4"/>
  </w:num>
  <w:num w:numId="14">
    <w:abstractNumId w:val="21"/>
  </w:num>
  <w:num w:numId="15">
    <w:abstractNumId w:val="22"/>
  </w:num>
  <w:num w:numId="16">
    <w:abstractNumId w:val="8"/>
  </w:num>
  <w:num w:numId="17">
    <w:abstractNumId w:val="7"/>
  </w:num>
  <w:num w:numId="18">
    <w:abstractNumId w:val="62"/>
  </w:num>
  <w:num w:numId="19">
    <w:abstractNumId w:val="9"/>
  </w:num>
  <w:num w:numId="20">
    <w:abstractNumId w:val="27"/>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65"/>
  </w:num>
  <w:num w:numId="25">
    <w:abstractNumId w:val="45"/>
  </w:num>
  <w:num w:numId="26">
    <w:abstractNumId w:val="58"/>
  </w:num>
  <w:num w:numId="27">
    <w:abstractNumId w:val="63"/>
  </w:num>
  <w:num w:numId="28">
    <w:abstractNumId w:val="43"/>
  </w:num>
  <w:num w:numId="29">
    <w:abstractNumId w:val="6"/>
  </w:num>
  <w:num w:numId="30">
    <w:abstractNumId w:val="18"/>
  </w:num>
  <w:num w:numId="31">
    <w:abstractNumId w:val="59"/>
  </w:num>
  <w:num w:numId="32">
    <w:abstractNumId w:val="53"/>
  </w:num>
  <w:num w:numId="33">
    <w:abstractNumId w:val="35"/>
  </w:num>
  <w:num w:numId="34">
    <w:abstractNumId w:val="51"/>
  </w:num>
  <w:num w:numId="35">
    <w:abstractNumId w:val="23"/>
  </w:num>
  <w:num w:numId="36">
    <w:abstractNumId w:val="54"/>
  </w:num>
  <w:num w:numId="37">
    <w:abstractNumId w:val="1"/>
  </w:num>
  <w:num w:numId="38">
    <w:abstractNumId w:val="42"/>
  </w:num>
  <w:num w:numId="39">
    <w:abstractNumId w:val="46"/>
  </w:num>
  <w:num w:numId="40">
    <w:abstractNumId w:val="25"/>
  </w:num>
  <w:num w:numId="41">
    <w:abstractNumId w:val="41"/>
  </w:num>
  <w:num w:numId="42">
    <w:abstractNumId w:val="30"/>
  </w:num>
  <w:num w:numId="43">
    <w:abstractNumId w:val="38"/>
  </w:num>
  <w:num w:numId="44">
    <w:abstractNumId w:val="32"/>
  </w:num>
  <w:num w:numId="45">
    <w:abstractNumId w:val="16"/>
  </w:num>
  <w:num w:numId="46">
    <w:abstractNumId w:val="49"/>
  </w:num>
  <w:num w:numId="47">
    <w:abstractNumId w:val="66"/>
  </w:num>
  <w:num w:numId="48">
    <w:abstractNumId w:val="17"/>
  </w:num>
  <w:num w:numId="49">
    <w:abstractNumId w:val="15"/>
  </w:num>
  <w:num w:numId="50">
    <w:abstractNumId w:val="0"/>
  </w:num>
  <w:num w:numId="51">
    <w:abstractNumId w:val="48"/>
    <w:lvlOverride w:ilvl="0">
      <w:startOverride w:val="1"/>
    </w:lvlOverride>
  </w:num>
  <w:num w:numId="52">
    <w:abstractNumId w:val="12"/>
  </w:num>
  <w:num w:numId="53">
    <w:abstractNumId w:val="24"/>
  </w:num>
  <w:num w:numId="54">
    <w:abstractNumId w:val="64"/>
  </w:num>
  <w:num w:numId="55">
    <w:abstractNumId w:val="57"/>
  </w:num>
  <w:num w:numId="56">
    <w:abstractNumId w:val="39"/>
  </w:num>
  <w:num w:numId="57">
    <w:abstractNumId w:val="11"/>
  </w:num>
  <w:num w:numId="58">
    <w:abstractNumId w:val="20"/>
  </w:num>
  <w:num w:numId="59">
    <w:abstractNumId w:val="60"/>
  </w:num>
  <w:num w:numId="60">
    <w:abstractNumId w:val="34"/>
  </w:num>
  <w:num w:numId="61">
    <w:abstractNumId w:val="61"/>
  </w:num>
  <w:num w:numId="62">
    <w:abstractNumId w:val="10"/>
  </w:num>
  <w:num w:numId="63">
    <w:abstractNumId w:val="56"/>
  </w:num>
  <w:num w:numId="64">
    <w:abstractNumId w:val="19"/>
  </w:num>
  <w:num w:numId="65">
    <w:abstractNumId w:val="3"/>
  </w:num>
  <w:num w:numId="66">
    <w:abstractNumId w:val="13"/>
  </w:num>
  <w:num w:numId="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02D40"/>
    <w:rsid w:val="00016562"/>
    <w:rsid w:val="00017BE8"/>
    <w:rsid w:val="00020344"/>
    <w:rsid w:val="00033032"/>
    <w:rsid w:val="00036A8C"/>
    <w:rsid w:val="00040B72"/>
    <w:rsid w:val="00042640"/>
    <w:rsid w:val="00046CAA"/>
    <w:rsid w:val="000658A4"/>
    <w:rsid w:val="00075213"/>
    <w:rsid w:val="0007595C"/>
    <w:rsid w:val="00077E85"/>
    <w:rsid w:val="000812D6"/>
    <w:rsid w:val="00081EFC"/>
    <w:rsid w:val="000855FE"/>
    <w:rsid w:val="0008587E"/>
    <w:rsid w:val="00092450"/>
    <w:rsid w:val="00095415"/>
    <w:rsid w:val="000B1EA5"/>
    <w:rsid w:val="000B3053"/>
    <w:rsid w:val="000B42CE"/>
    <w:rsid w:val="000C1DBB"/>
    <w:rsid w:val="000C2224"/>
    <w:rsid w:val="000C46E9"/>
    <w:rsid w:val="000D274B"/>
    <w:rsid w:val="000E0271"/>
    <w:rsid w:val="000E36E2"/>
    <w:rsid w:val="000E4686"/>
    <w:rsid w:val="000F64E0"/>
    <w:rsid w:val="00100585"/>
    <w:rsid w:val="00102CDB"/>
    <w:rsid w:val="00105BC5"/>
    <w:rsid w:val="00107608"/>
    <w:rsid w:val="00122C84"/>
    <w:rsid w:val="00131900"/>
    <w:rsid w:val="00133220"/>
    <w:rsid w:val="001338E8"/>
    <w:rsid w:val="001641C9"/>
    <w:rsid w:val="00173975"/>
    <w:rsid w:val="00177C62"/>
    <w:rsid w:val="00185E9A"/>
    <w:rsid w:val="001A0AB1"/>
    <w:rsid w:val="001A1335"/>
    <w:rsid w:val="001A2B2A"/>
    <w:rsid w:val="001A54E8"/>
    <w:rsid w:val="001B03BB"/>
    <w:rsid w:val="001B38CD"/>
    <w:rsid w:val="001B6C3D"/>
    <w:rsid w:val="001C1A58"/>
    <w:rsid w:val="001C7B23"/>
    <w:rsid w:val="001D2460"/>
    <w:rsid w:val="001D3EE7"/>
    <w:rsid w:val="001D4BF5"/>
    <w:rsid w:val="001D6085"/>
    <w:rsid w:val="001D7598"/>
    <w:rsid w:val="001E157C"/>
    <w:rsid w:val="001E5D69"/>
    <w:rsid w:val="001E7CEA"/>
    <w:rsid w:val="001F002C"/>
    <w:rsid w:val="002002B5"/>
    <w:rsid w:val="00211625"/>
    <w:rsid w:val="00220470"/>
    <w:rsid w:val="00222B0D"/>
    <w:rsid w:val="00223408"/>
    <w:rsid w:val="002234E8"/>
    <w:rsid w:val="002334D5"/>
    <w:rsid w:val="00236772"/>
    <w:rsid w:val="002426EA"/>
    <w:rsid w:val="002446C6"/>
    <w:rsid w:val="0026342E"/>
    <w:rsid w:val="00265D6A"/>
    <w:rsid w:val="00273CC3"/>
    <w:rsid w:val="00276CFD"/>
    <w:rsid w:val="002774C0"/>
    <w:rsid w:val="00277541"/>
    <w:rsid w:val="00282BB3"/>
    <w:rsid w:val="00293211"/>
    <w:rsid w:val="002949F9"/>
    <w:rsid w:val="00295F64"/>
    <w:rsid w:val="002B3F35"/>
    <w:rsid w:val="002B5D25"/>
    <w:rsid w:val="002B7581"/>
    <w:rsid w:val="002C38E4"/>
    <w:rsid w:val="002C7FA6"/>
    <w:rsid w:val="002D07BB"/>
    <w:rsid w:val="002D3BCA"/>
    <w:rsid w:val="002D412B"/>
    <w:rsid w:val="002E09C6"/>
    <w:rsid w:val="002E2DBD"/>
    <w:rsid w:val="002E46D6"/>
    <w:rsid w:val="002F7703"/>
    <w:rsid w:val="003108ED"/>
    <w:rsid w:val="00310B7E"/>
    <w:rsid w:val="00310F98"/>
    <w:rsid w:val="00314B08"/>
    <w:rsid w:val="00315B2B"/>
    <w:rsid w:val="00316026"/>
    <w:rsid w:val="00320ACF"/>
    <w:rsid w:val="00323F1C"/>
    <w:rsid w:val="00333225"/>
    <w:rsid w:val="0033323B"/>
    <w:rsid w:val="00344E95"/>
    <w:rsid w:val="00352AE1"/>
    <w:rsid w:val="00353542"/>
    <w:rsid w:val="003540BC"/>
    <w:rsid w:val="00360712"/>
    <w:rsid w:val="0036309F"/>
    <w:rsid w:val="0036474B"/>
    <w:rsid w:val="003661C8"/>
    <w:rsid w:val="00366E30"/>
    <w:rsid w:val="00377B5F"/>
    <w:rsid w:val="003821F4"/>
    <w:rsid w:val="00383221"/>
    <w:rsid w:val="00386E0E"/>
    <w:rsid w:val="00393E94"/>
    <w:rsid w:val="003A1DED"/>
    <w:rsid w:val="003B0D5A"/>
    <w:rsid w:val="003B4F8E"/>
    <w:rsid w:val="003B718F"/>
    <w:rsid w:val="003B7A0D"/>
    <w:rsid w:val="003C2008"/>
    <w:rsid w:val="003C2241"/>
    <w:rsid w:val="003C6083"/>
    <w:rsid w:val="003D1759"/>
    <w:rsid w:val="003D5E80"/>
    <w:rsid w:val="003E0B35"/>
    <w:rsid w:val="003E5643"/>
    <w:rsid w:val="003F076C"/>
    <w:rsid w:val="003F2B92"/>
    <w:rsid w:val="003F3007"/>
    <w:rsid w:val="0040329E"/>
    <w:rsid w:val="0040679C"/>
    <w:rsid w:val="00406BC4"/>
    <w:rsid w:val="004110F8"/>
    <w:rsid w:val="00413D71"/>
    <w:rsid w:val="00414A80"/>
    <w:rsid w:val="004161BA"/>
    <w:rsid w:val="0042169F"/>
    <w:rsid w:val="004349F3"/>
    <w:rsid w:val="0043503C"/>
    <w:rsid w:val="00436CC2"/>
    <w:rsid w:val="004475F1"/>
    <w:rsid w:val="00451751"/>
    <w:rsid w:val="00456E3D"/>
    <w:rsid w:val="00457308"/>
    <w:rsid w:val="004605F3"/>
    <w:rsid w:val="00461DFE"/>
    <w:rsid w:val="00476E59"/>
    <w:rsid w:val="00484C57"/>
    <w:rsid w:val="004871A8"/>
    <w:rsid w:val="004912A5"/>
    <w:rsid w:val="004A4F81"/>
    <w:rsid w:val="004B0CC2"/>
    <w:rsid w:val="004B118F"/>
    <w:rsid w:val="004B4BED"/>
    <w:rsid w:val="004C1027"/>
    <w:rsid w:val="004C214B"/>
    <w:rsid w:val="004C62F7"/>
    <w:rsid w:val="004C750B"/>
    <w:rsid w:val="004D548F"/>
    <w:rsid w:val="004E00F2"/>
    <w:rsid w:val="004E3B18"/>
    <w:rsid w:val="004E40B4"/>
    <w:rsid w:val="004E48AF"/>
    <w:rsid w:val="004E5A44"/>
    <w:rsid w:val="004F21F4"/>
    <w:rsid w:val="004F3B73"/>
    <w:rsid w:val="004F43AD"/>
    <w:rsid w:val="005025B6"/>
    <w:rsid w:val="00511E96"/>
    <w:rsid w:val="0051229B"/>
    <w:rsid w:val="005130B9"/>
    <w:rsid w:val="0051781B"/>
    <w:rsid w:val="00522A02"/>
    <w:rsid w:val="00522D80"/>
    <w:rsid w:val="00525A93"/>
    <w:rsid w:val="005343DA"/>
    <w:rsid w:val="005437D7"/>
    <w:rsid w:val="005445A9"/>
    <w:rsid w:val="00545B0F"/>
    <w:rsid w:val="00545EDA"/>
    <w:rsid w:val="00552BFE"/>
    <w:rsid w:val="00556850"/>
    <w:rsid w:val="00557511"/>
    <w:rsid w:val="00560FA5"/>
    <w:rsid w:val="00566563"/>
    <w:rsid w:val="00573437"/>
    <w:rsid w:val="0057573F"/>
    <w:rsid w:val="00580FFF"/>
    <w:rsid w:val="005813AA"/>
    <w:rsid w:val="0058585A"/>
    <w:rsid w:val="005865A5"/>
    <w:rsid w:val="005967BA"/>
    <w:rsid w:val="005A58A0"/>
    <w:rsid w:val="005A7923"/>
    <w:rsid w:val="005A7CA7"/>
    <w:rsid w:val="005B12FC"/>
    <w:rsid w:val="005B3EB5"/>
    <w:rsid w:val="005B6D3E"/>
    <w:rsid w:val="005B713A"/>
    <w:rsid w:val="005C31D8"/>
    <w:rsid w:val="005D6632"/>
    <w:rsid w:val="005D6D24"/>
    <w:rsid w:val="005E2664"/>
    <w:rsid w:val="005E3CD4"/>
    <w:rsid w:val="005F1528"/>
    <w:rsid w:val="005F1588"/>
    <w:rsid w:val="005F2449"/>
    <w:rsid w:val="00601112"/>
    <w:rsid w:val="00601990"/>
    <w:rsid w:val="00605C0D"/>
    <w:rsid w:val="00614821"/>
    <w:rsid w:val="00617E7B"/>
    <w:rsid w:val="00623CBB"/>
    <w:rsid w:val="006302AC"/>
    <w:rsid w:val="0063362D"/>
    <w:rsid w:val="00640D44"/>
    <w:rsid w:val="006440C5"/>
    <w:rsid w:val="0064700C"/>
    <w:rsid w:val="00651541"/>
    <w:rsid w:val="00663B35"/>
    <w:rsid w:val="00666B23"/>
    <w:rsid w:val="0067786F"/>
    <w:rsid w:val="00680A96"/>
    <w:rsid w:val="006854AE"/>
    <w:rsid w:val="00690659"/>
    <w:rsid w:val="006A2B14"/>
    <w:rsid w:val="006A6A07"/>
    <w:rsid w:val="006A6C1D"/>
    <w:rsid w:val="006A6C51"/>
    <w:rsid w:val="006A7A3D"/>
    <w:rsid w:val="006C00CA"/>
    <w:rsid w:val="006C0B5F"/>
    <w:rsid w:val="006C0B7B"/>
    <w:rsid w:val="006C1AF1"/>
    <w:rsid w:val="006C6FDC"/>
    <w:rsid w:val="006D1D6E"/>
    <w:rsid w:val="006F0D07"/>
    <w:rsid w:val="00702F6F"/>
    <w:rsid w:val="007135DD"/>
    <w:rsid w:val="007158A1"/>
    <w:rsid w:val="00715E44"/>
    <w:rsid w:val="00722075"/>
    <w:rsid w:val="00723103"/>
    <w:rsid w:val="00725899"/>
    <w:rsid w:val="00725F67"/>
    <w:rsid w:val="007308BA"/>
    <w:rsid w:val="007318D6"/>
    <w:rsid w:val="00731B1A"/>
    <w:rsid w:val="00732E91"/>
    <w:rsid w:val="00737211"/>
    <w:rsid w:val="00742DD3"/>
    <w:rsid w:val="007575FF"/>
    <w:rsid w:val="0077270B"/>
    <w:rsid w:val="00773A2C"/>
    <w:rsid w:val="00774EB7"/>
    <w:rsid w:val="00775A96"/>
    <w:rsid w:val="00780DBA"/>
    <w:rsid w:val="00782541"/>
    <w:rsid w:val="00784AEB"/>
    <w:rsid w:val="00784ED7"/>
    <w:rsid w:val="00786E84"/>
    <w:rsid w:val="00787DAB"/>
    <w:rsid w:val="007A27DA"/>
    <w:rsid w:val="007A2D91"/>
    <w:rsid w:val="007A427D"/>
    <w:rsid w:val="007A4F23"/>
    <w:rsid w:val="007A6B84"/>
    <w:rsid w:val="007A6F5F"/>
    <w:rsid w:val="007C0DA7"/>
    <w:rsid w:val="007C132C"/>
    <w:rsid w:val="007C1D03"/>
    <w:rsid w:val="007D053D"/>
    <w:rsid w:val="007D72CF"/>
    <w:rsid w:val="007E3D3C"/>
    <w:rsid w:val="007F504A"/>
    <w:rsid w:val="007F6863"/>
    <w:rsid w:val="007F6F97"/>
    <w:rsid w:val="00802536"/>
    <w:rsid w:val="00804419"/>
    <w:rsid w:val="0081114F"/>
    <w:rsid w:val="008166C4"/>
    <w:rsid w:val="00816910"/>
    <w:rsid w:val="00820E08"/>
    <w:rsid w:val="00821E3D"/>
    <w:rsid w:val="0082486D"/>
    <w:rsid w:val="00835FDE"/>
    <w:rsid w:val="008456E3"/>
    <w:rsid w:val="00845DF8"/>
    <w:rsid w:val="00852604"/>
    <w:rsid w:val="00863EDD"/>
    <w:rsid w:val="00866FCC"/>
    <w:rsid w:val="00876E59"/>
    <w:rsid w:val="00877211"/>
    <w:rsid w:val="0088586B"/>
    <w:rsid w:val="008879F9"/>
    <w:rsid w:val="008906B3"/>
    <w:rsid w:val="008966BE"/>
    <w:rsid w:val="008A30BA"/>
    <w:rsid w:val="008B4F32"/>
    <w:rsid w:val="008B5601"/>
    <w:rsid w:val="008B6529"/>
    <w:rsid w:val="008C23E3"/>
    <w:rsid w:val="008D35F1"/>
    <w:rsid w:val="008D3612"/>
    <w:rsid w:val="008D5777"/>
    <w:rsid w:val="008D7D59"/>
    <w:rsid w:val="008E2203"/>
    <w:rsid w:val="008F1B81"/>
    <w:rsid w:val="008F3383"/>
    <w:rsid w:val="009020C7"/>
    <w:rsid w:val="0090240A"/>
    <w:rsid w:val="00903A2D"/>
    <w:rsid w:val="00907388"/>
    <w:rsid w:val="00914F14"/>
    <w:rsid w:val="009166FD"/>
    <w:rsid w:val="00930734"/>
    <w:rsid w:val="009334F9"/>
    <w:rsid w:val="00933750"/>
    <w:rsid w:val="00935E05"/>
    <w:rsid w:val="0093723A"/>
    <w:rsid w:val="009402E6"/>
    <w:rsid w:val="00943F98"/>
    <w:rsid w:val="00947542"/>
    <w:rsid w:val="00954A2F"/>
    <w:rsid w:val="00955AC9"/>
    <w:rsid w:val="00956AAC"/>
    <w:rsid w:val="00967D22"/>
    <w:rsid w:val="0097080D"/>
    <w:rsid w:val="009714FE"/>
    <w:rsid w:val="00973398"/>
    <w:rsid w:val="00982AD3"/>
    <w:rsid w:val="009849C0"/>
    <w:rsid w:val="00985CFC"/>
    <w:rsid w:val="0098774A"/>
    <w:rsid w:val="00990D0C"/>
    <w:rsid w:val="009944A9"/>
    <w:rsid w:val="00996DEE"/>
    <w:rsid w:val="009A0C8D"/>
    <w:rsid w:val="009B11C0"/>
    <w:rsid w:val="009B3048"/>
    <w:rsid w:val="009B3424"/>
    <w:rsid w:val="009D33F8"/>
    <w:rsid w:val="009D36C0"/>
    <w:rsid w:val="009E04AF"/>
    <w:rsid w:val="009E2B86"/>
    <w:rsid w:val="009E6D3C"/>
    <w:rsid w:val="009F522E"/>
    <w:rsid w:val="009F5327"/>
    <w:rsid w:val="00A013C3"/>
    <w:rsid w:val="00A0172F"/>
    <w:rsid w:val="00A0485B"/>
    <w:rsid w:val="00A05AF5"/>
    <w:rsid w:val="00A0777C"/>
    <w:rsid w:val="00A116CE"/>
    <w:rsid w:val="00A1585C"/>
    <w:rsid w:val="00A16E33"/>
    <w:rsid w:val="00A27BC0"/>
    <w:rsid w:val="00A30AE5"/>
    <w:rsid w:val="00A30DFD"/>
    <w:rsid w:val="00A33A80"/>
    <w:rsid w:val="00A3568F"/>
    <w:rsid w:val="00A36FFA"/>
    <w:rsid w:val="00A40BC9"/>
    <w:rsid w:val="00A46DEF"/>
    <w:rsid w:val="00A5026C"/>
    <w:rsid w:val="00A51D8F"/>
    <w:rsid w:val="00A52A2B"/>
    <w:rsid w:val="00A62860"/>
    <w:rsid w:val="00A678FB"/>
    <w:rsid w:val="00A813D2"/>
    <w:rsid w:val="00A837A7"/>
    <w:rsid w:val="00A879DB"/>
    <w:rsid w:val="00A92A55"/>
    <w:rsid w:val="00AB2B17"/>
    <w:rsid w:val="00AB3343"/>
    <w:rsid w:val="00AC1ADB"/>
    <w:rsid w:val="00AC399F"/>
    <w:rsid w:val="00AC584B"/>
    <w:rsid w:val="00AD18FC"/>
    <w:rsid w:val="00AD52A3"/>
    <w:rsid w:val="00AD634F"/>
    <w:rsid w:val="00AE02A5"/>
    <w:rsid w:val="00AF18BF"/>
    <w:rsid w:val="00B002B6"/>
    <w:rsid w:val="00B0070A"/>
    <w:rsid w:val="00B161F2"/>
    <w:rsid w:val="00B20FD9"/>
    <w:rsid w:val="00B36D9B"/>
    <w:rsid w:val="00B37F1F"/>
    <w:rsid w:val="00B4413E"/>
    <w:rsid w:val="00B52520"/>
    <w:rsid w:val="00B67CCB"/>
    <w:rsid w:val="00B73233"/>
    <w:rsid w:val="00B73CD6"/>
    <w:rsid w:val="00B80369"/>
    <w:rsid w:val="00B84A3B"/>
    <w:rsid w:val="00B93416"/>
    <w:rsid w:val="00B956F2"/>
    <w:rsid w:val="00B96DE4"/>
    <w:rsid w:val="00BA438A"/>
    <w:rsid w:val="00BA4681"/>
    <w:rsid w:val="00BB5021"/>
    <w:rsid w:val="00BB78CC"/>
    <w:rsid w:val="00BC2268"/>
    <w:rsid w:val="00BC386C"/>
    <w:rsid w:val="00BC3AA1"/>
    <w:rsid w:val="00BC3C81"/>
    <w:rsid w:val="00BC6967"/>
    <w:rsid w:val="00BD0C54"/>
    <w:rsid w:val="00BD2144"/>
    <w:rsid w:val="00BD62C1"/>
    <w:rsid w:val="00BD681B"/>
    <w:rsid w:val="00BE3563"/>
    <w:rsid w:val="00BF5732"/>
    <w:rsid w:val="00C0257A"/>
    <w:rsid w:val="00C040D1"/>
    <w:rsid w:val="00C05B9A"/>
    <w:rsid w:val="00C139A6"/>
    <w:rsid w:val="00C1592E"/>
    <w:rsid w:val="00C37FEA"/>
    <w:rsid w:val="00C4038F"/>
    <w:rsid w:val="00C404FE"/>
    <w:rsid w:val="00C43620"/>
    <w:rsid w:val="00C469B0"/>
    <w:rsid w:val="00C52140"/>
    <w:rsid w:val="00C64D3E"/>
    <w:rsid w:val="00C6612A"/>
    <w:rsid w:val="00C6643D"/>
    <w:rsid w:val="00C6680F"/>
    <w:rsid w:val="00C66ACC"/>
    <w:rsid w:val="00C72415"/>
    <w:rsid w:val="00C77E82"/>
    <w:rsid w:val="00C8468C"/>
    <w:rsid w:val="00C90E37"/>
    <w:rsid w:val="00C9289E"/>
    <w:rsid w:val="00C92F51"/>
    <w:rsid w:val="00CA0EE5"/>
    <w:rsid w:val="00CA0F95"/>
    <w:rsid w:val="00CB10F9"/>
    <w:rsid w:val="00CB3DF8"/>
    <w:rsid w:val="00CB413B"/>
    <w:rsid w:val="00CE2A32"/>
    <w:rsid w:val="00CF76A5"/>
    <w:rsid w:val="00D04EB4"/>
    <w:rsid w:val="00D123DC"/>
    <w:rsid w:val="00D13A17"/>
    <w:rsid w:val="00D14987"/>
    <w:rsid w:val="00D14E3A"/>
    <w:rsid w:val="00D204F5"/>
    <w:rsid w:val="00D32F66"/>
    <w:rsid w:val="00D47930"/>
    <w:rsid w:val="00D5042D"/>
    <w:rsid w:val="00D64AB9"/>
    <w:rsid w:val="00D65037"/>
    <w:rsid w:val="00D7177A"/>
    <w:rsid w:val="00D90694"/>
    <w:rsid w:val="00D9318A"/>
    <w:rsid w:val="00D94CD4"/>
    <w:rsid w:val="00DA4143"/>
    <w:rsid w:val="00DB00B6"/>
    <w:rsid w:val="00DB3C8A"/>
    <w:rsid w:val="00DB45E8"/>
    <w:rsid w:val="00DB6984"/>
    <w:rsid w:val="00DC0D68"/>
    <w:rsid w:val="00DC4938"/>
    <w:rsid w:val="00DD25CD"/>
    <w:rsid w:val="00DD6657"/>
    <w:rsid w:val="00DD69C1"/>
    <w:rsid w:val="00DE4A9E"/>
    <w:rsid w:val="00DF77F1"/>
    <w:rsid w:val="00E02B75"/>
    <w:rsid w:val="00E05B42"/>
    <w:rsid w:val="00E14D3C"/>
    <w:rsid w:val="00E15A50"/>
    <w:rsid w:val="00E22388"/>
    <w:rsid w:val="00E23510"/>
    <w:rsid w:val="00E2369D"/>
    <w:rsid w:val="00E32C21"/>
    <w:rsid w:val="00E34D2C"/>
    <w:rsid w:val="00E3763E"/>
    <w:rsid w:val="00E41743"/>
    <w:rsid w:val="00E45675"/>
    <w:rsid w:val="00E46441"/>
    <w:rsid w:val="00E516C0"/>
    <w:rsid w:val="00E54453"/>
    <w:rsid w:val="00E54FFA"/>
    <w:rsid w:val="00E71EB0"/>
    <w:rsid w:val="00E76F1B"/>
    <w:rsid w:val="00E85CC4"/>
    <w:rsid w:val="00E951DF"/>
    <w:rsid w:val="00E971BC"/>
    <w:rsid w:val="00EA0C6D"/>
    <w:rsid w:val="00EB1E3A"/>
    <w:rsid w:val="00EB4033"/>
    <w:rsid w:val="00EB482A"/>
    <w:rsid w:val="00ED0545"/>
    <w:rsid w:val="00ED53B7"/>
    <w:rsid w:val="00EE3C83"/>
    <w:rsid w:val="00EE715C"/>
    <w:rsid w:val="00EF7BF0"/>
    <w:rsid w:val="00F04B4C"/>
    <w:rsid w:val="00F05FC4"/>
    <w:rsid w:val="00F152FA"/>
    <w:rsid w:val="00F17360"/>
    <w:rsid w:val="00F22E40"/>
    <w:rsid w:val="00F242DA"/>
    <w:rsid w:val="00F24BF3"/>
    <w:rsid w:val="00F25A4D"/>
    <w:rsid w:val="00F30B5D"/>
    <w:rsid w:val="00F36746"/>
    <w:rsid w:val="00F403DB"/>
    <w:rsid w:val="00F42684"/>
    <w:rsid w:val="00F47226"/>
    <w:rsid w:val="00F54AE6"/>
    <w:rsid w:val="00F5567D"/>
    <w:rsid w:val="00F56CC3"/>
    <w:rsid w:val="00F63420"/>
    <w:rsid w:val="00F71D83"/>
    <w:rsid w:val="00F7567B"/>
    <w:rsid w:val="00F95486"/>
    <w:rsid w:val="00FB2B31"/>
    <w:rsid w:val="00FC2E73"/>
    <w:rsid w:val="00FC492E"/>
    <w:rsid w:val="00FD11DF"/>
    <w:rsid w:val="00FD30DA"/>
    <w:rsid w:val="00FD44A8"/>
    <w:rsid w:val="00FE2024"/>
    <w:rsid w:val="00FE51C1"/>
    <w:rsid w:val="00FE74BE"/>
    <w:rsid w:val="00FF0213"/>
    <w:rsid w:val="00FF328A"/>
    <w:rsid w:val="00FF37FD"/>
    <w:rsid w:val="00FF3C6D"/>
    <w:rsid w:val="00FF4FBA"/>
    <w:rsid w:val="00FF6E00"/>
    <w:rsid w:val="03A73CF4"/>
    <w:rsid w:val="04753635"/>
    <w:rsid w:val="05321762"/>
    <w:rsid w:val="05471135"/>
    <w:rsid w:val="091E3D8C"/>
    <w:rsid w:val="0A6722A5"/>
    <w:rsid w:val="0B89045C"/>
    <w:rsid w:val="0D6F5C11"/>
    <w:rsid w:val="0EB77508"/>
    <w:rsid w:val="0EF80799"/>
    <w:rsid w:val="0F094BCA"/>
    <w:rsid w:val="0F1858A5"/>
    <w:rsid w:val="10E27459"/>
    <w:rsid w:val="10E55AF8"/>
    <w:rsid w:val="11923040"/>
    <w:rsid w:val="11957B06"/>
    <w:rsid w:val="11BD50EE"/>
    <w:rsid w:val="14A94CF4"/>
    <w:rsid w:val="159A33B0"/>
    <w:rsid w:val="167F0D15"/>
    <w:rsid w:val="196041C6"/>
    <w:rsid w:val="21301669"/>
    <w:rsid w:val="22AD30BD"/>
    <w:rsid w:val="22E72707"/>
    <w:rsid w:val="236061AB"/>
    <w:rsid w:val="26F855C1"/>
    <w:rsid w:val="285475F6"/>
    <w:rsid w:val="288276C8"/>
    <w:rsid w:val="28EC18A1"/>
    <w:rsid w:val="295E2013"/>
    <w:rsid w:val="2965017D"/>
    <w:rsid w:val="2BC02C33"/>
    <w:rsid w:val="2C312DD5"/>
    <w:rsid w:val="2D256D10"/>
    <w:rsid w:val="304A6516"/>
    <w:rsid w:val="3050657B"/>
    <w:rsid w:val="31614F93"/>
    <w:rsid w:val="31FC5DB5"/>
    <w:rsid w:val="350B2553"/>
    <w:rsid w:val="35697647"/>
    <w:rsid w:val="365A1F4A"/>
    <w:rsid w:val="3D955D30"/>
    <w:rsid w:val="404F533F"/>
    <w:rsid w:val="41C32F69"/>
    <w:rsid w:val="4213428A"/>
    <w:rsid w:val="42EC2D6E"/>
    <w:rsid w:val="44950120"/>
    <w:rsid w:val="45805AFC"/>
    <w:rsid w:val="493A18C5"/>
    <w:rsid w:val="4C2D33F0"/>
    <w:rsid w:val="4CEB4BB9"/>
    <w:rsid w:val="4F10670E"/>
    <w:rsid w:val="517A21E4"/>
    <w:rsid w:val="51C24008"/>
    <w:rsid w:val="527F3B83"/>
    <w:rsid w:val="5A877C81"/>
    <w:rsid w:val="5F01496B"/>
    <w:rsid w:val="615B2B13"/>
    <w:rsid w:val="61FC1355"/>
    <w:rsid w:val="625D4F5F"/>
    <w:rsid w:val="628C48D0"/>
    <w:rsid w:val="63BF1EF6"/>
    <w:rsid w:val="668C644E"/>
    <w:rsid w:val="68713C99"/>
    <w:rsid w:val="69222A26"/>
    <w:rsid w:val="6D001766"/>
    <w:rsid w:val="6D1E19C3"/>
    <w:rsid w:val="6DEA08AB"/>
    <w:rsid w:val="7BC0350F"/>
    <w:rsid w:val="7C202697"/>
    <w:rsid w:val="7D883202"/>
    <w:rsid w:val="7E4C13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line="440" w:lineRule="exact"/>
      <w:jc w:val="left"/>
    </w:pPr>
    <w:rPr>
      <w:rFonts w:eastAsia="黑体"/>
      <w:b/>
      <w:kern w:val="0"/>
      <w:sz w:val="28"/>
    </w:rPr>
  </w:style>
  <w:style w:type="paragraph" w:styleId="6">
    <w:name w:val="Normal Indent"/>
    <w:basedOn w:val="1"/>
    <w:link w:val="38"/>
    <w:qFormat/>
    <w:uiPriority w:val="0"/>
    <w:pPr>
      <w:ind w:firstLine="420"/>
    </w:pPr>
  </w:style>
  <w:style w:type="paragraph" w:styleId="7">
    <w:name w:val="annotation text"/>
    <w:basedOn w:val="1"/>
    <w:link w:val="32"/>
    <w:unhideWhenUsed/>
    <w:qFormat/>
    <w:uiPriority w:val="99"/>
    <w:pPr>
      <w:jc w:val="left"/>
    </w:pPr>
  </w:style>
  <w:style w:type="paragraph" w:styleId="8">
    <w:name w:val="Body Text"/>
    <w:basedOn w:val="1"/>
    <w:qFormat/>
    <w:uiPriority w:val="0"/>
    <w:pPr>
      <w:spacing w:after="120"/>
    </w:p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Plain Text"/>
    <w:basedOn w:val="1"/>
    <w:link w:val="35"/>
    <w:qFormat/>
    <w:uiPriority w:val="0"/>
    <w:rPr>
      <w:rFonts w:ascii="宋体" w:hAnsi="Courier New" w:cs="Courier New"/>
      <w:szCs w:val="21"/>
    </w:rPr>
  </w:style>
  <w:style w:type="paragraph" w:styleId="11">
    <w:name w:val="endnote text"/>
    <w:basedOn w:val="1"/>
    <w:link w:val="34"/>
    <w:unhideWhenUsed/>
    <w:qFormat/>
    <w:uiPriority w:val="99"/>
    <w:pPr>
      <w:snapToGrid w:val="0"/>
      <w:jc w:val="left"/>
    </w:pPr>
  </w:style>
  <w:style w:type="paragraph" w:styleId="12">
    <w:name w:val="Balloon Text"/>
    <w:basedOn w:val="1"/>
    <w:link w:val="28"/>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6"/>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6">
    <w:name w:val="引用1"/>
    <w:basedOn w:val="1"/>
    <w:next w:val="1"/>
    <w:link w:val="37"/>
    <w:qFormat/>
    <w:uiPriority w:val="29"/>
    <w:rPr>
      <w:i/>
      <w:iCs/>
      <w:color w:val="000000" w:themeColor="text1"/>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annotation subject"/>
    <w:basedOn w:val="7"/>
    <w:next w:val="7"/>
    <w:link w:val="39"/>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rPr>
  </w:style>
  <w:style w:type="character" w:styleId="23">
    <w:name w:val="endnote reference"/>
    <w:basedOn w:val="21"/>
    <w:unhideWhenUsed/>
    <w:qFormat/>
    <w:uiPriority w:val="99"/>
    <w:rPr>
      <w:vertAlign w:val="superscript"/>
    </w:rPr>
  </w:style>
  <w:style w:type="character" w:styleId="24">
    <w:name w:val="Hyperlink"/>
    <w:basedOn w:val="21"/>
    <w:unhideWhenUsed/>
    <w:qFormat/>
    <w:uiPriority w:val="99"/>
    <w:rPr>
      <w:color w:val="0000FF" w:themeColor="hyperlink"/>
      <w:u w:val="single"/>
    </w:rPr>
  </w:style>
  <w:style w:type="character" w:styleId="25">
    <w:name w:val="annotation reference"/>
    <w:qFormat/>
    <w:uiPriority w:val="99"/>
    <w:rPr>
      <w:sz w:val="21"/>
    </w:rPr>
  </w:style>
  <w:style w:type="character" w:customStyle="1" w:styleId="26">
    <w:name w:val="页眉 Char"/>
    <w:basedOn w:val="21"/>
    <w:link w:val="14"/>
    <w:qFormat/>
    <w:uiPriority w:val="99"/>
    <w:rPr>
      <w:sz w:val="18"/>
      <w:szCs w:val="18"/>
    </w:rPr>
  </w:style>
  <w:style w:type="character" w:customStyle="1" w:styleId="27">
    <w:name w:val="页脚 Char"/>
    <w:basedOn w:val="21"/>
    <w:link w:val="13"/>
    <w:qFormat/>
    <w:uiPriority w:val="99"/>
    <w:rPr>
      <w:sz w:val="18"/>
      <w:szCs w:val="18"/>
    </w:rPr>
  </w:style>
  <w:style w:type="character" w:customStyle="1" w:styleId="28">
    <w:name w:val="批注框文本 Char"/>
    <w:basedOn w:val="21"/>
    <w:link w:val="12"/>
    <w:semiHidden/>
    <w:qFormat/>
    <w:uiPriority w:val="99"/>
    <w:rPr>
      <w:sz w:val="18"/>
      <w:szCs w:val="18"/>
    </w:rPr>
  </w:style>
  <w:style w:type="paragraph" w:customStyle="1" w:styleId="29">
    <w:name w:val="列出段落1"/>
    <w:basedOn w:val="1"/>
    <w:qFormat/>
    <w:uiPriority w:val="34"/>
    <w:pPr>
      <w:ind w:firstLine="420" w:firstLineChars="200"/>
    </w:pPr>
  </w:style>
  <w:style w:type="character" w:customStyle="1" w:styleId="30">
    <w:name w:val="标题 1 Char"/>
    <w:basedOn w:val="21"/>
    <w:link w:val="3"/>
    <w:qFormat/>
    <w:uiPriority w:val="9"/>
    <w:rPr>
      <w:b/>
      <w:bCs/>
      <w:kern w:val="44"/>
      <w:sz w:val="44"/>
      <w:szCs w:val="44"/>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文字 Char"/>
    <w:basedOn w:val="21"/>
    <w:link w:val="7"/>
    <w:qFormat/>
    <w:uiPriority w:val="99"/>
  </w:style>
  <w:style w:type="character" w:customStyle="1" w:styleId="33">
    <w:name w:val="标题 2 Char"/>
    <w:basedOn w:val="21"/>
    <w:link w:val="4"/>
    <w:qFormat/>
    <w:uiPriority w:val="9"/>
    <w:rPr>
      <w:rFonts w:asciiTheme="majorHAnsi" w:hAnsiTheme="majorHAnsi" w:eastAsiaTheme="majorEastAsia" w:cstheme="majorBidi"/>
      <w:b/>
      <w:bCs/>
      <w:sz w:val="32"/>
      <w:szCs w:val="32"/>
    </w:rPr>
  </w:style>
  <w:style w:type="character" w:customStyle="1" w:styleId="34">
    <w:name w:val="尾注文本 Char"/>
    <w:basedOn w:val="21"/>
    <w:link w:val="11"/>
    <w:semiHidden/>
    <w:qFormat/>
    <w:uiPriority w:val="99"/>
  </w:style>
  <w:style w:type="character" w:customStyle="1" w:styleId="35">
    <w:name w:val="纯文本 Char"/>
    <w:link w:val="10"/>
    <w:qFormat/>
    <w:uiPriority w:val="0"/>
    <w:rPr>
      <w:rFonts w:ascii="宋体" w:hAnsi="Courier New" w:cs="Courier New"/>
      <w:szCs w:val="21"/>
    </w:rPr>
  </w:style>
  <w:style w:type="character" w:customStyle="1" w:styleId="36">
    <w:name w:val="纯文本 Char1"/>
    <w:basedOn w:val="21"/>
    <w:semiHidden/>
    <w:qFormat/>
    <w:uiPriority w:val="99"/>
    <w:rPr>
      <w:rFonts w:ascii="宋体" w:hAnsi="Courier New" w:eastAsia="宋体" w:cs="Courier New"/>
      <w:szCs w:val="21"/>
    </w:rPr>
  </w:style>
  <w:style w:type="character" w:customStyle="1" w:styleId="37">
    <w:name w:val="引用 Char"/>
    <w:basedOn w:val="21"/>
    <w:link w:val="16"/>
    <w:qFormat/>
    <w:uiPriority w:val="29"/>
    <w:rPr>
      <w:i/>
      <w:iCs/>
      <w:color w:val="000000" w:themeColor="text1"/>
    </w:rPr>
  </w:style>
  <w:style w:type="character" w:customStyle="1" w:styleId="38">
    <w:name w:val="正文缩进 Char"/>
    <w:link w:val="6"/>
    <w:qFormat/>
    <w:uiPriority w:val="0"/>
  </w:style>
  <w:style w:type="character" w:customStyle="1" w:styleId="39">
    <w:name w:val="批注主题 Char"/>
    <w:basedOn w:val="32"/>
    <w:link w:val="18"/>
    <w:semiHidden/>
    <w:qFormat/>
    <w:uiPriority w:val="99"/>
    <w:rPr>
      <w:b/>
      <w:bCs/>
    </w:rPr>
  </w:style>
  <w:style w:type="paragraph" w:styleId="40">
    <w:name w:val="List Paragraph"/>
    <w:basedOn w:val="1"/>
    <w:unhideWhenUsed/>
    <w:qFormat/>
    <w:uiPriority w:val="99"/>
    <w:pPr>
      <w:ind w:firstLine="420" w:firstLineChars="200"/>
    </w:pPr>
  </w:style>
  <w:style w:type="paragraph" w:customStyle="1" w:styleId="41">
    <w:name w:val="列出段落3"/>
    <w:basedOn w:val="1"/>
    <w:qFormat/>
    <w:uiPriority w:val="0"/>
    <w:pPr>
      <w:ind w:firstLine="420" w:firstLineChars="200"/>
    </w:pPr>
  </w:style>
  <w:style w:type="paragraph" w:customStyle="1" w:styleId="4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3">
    <w:name w:val="正文（缩进）"/>
    <w:basedOn w:val="1"/>
    <w:qFormat/>
    <w:uiPriority w:val="0"/>
    <w:pPr>
      <w:spacing w:beforeLines="50" w:afterLines="50"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E78A5-AC87-4CD3-97F1-243E8649722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73</Pages>
  <Words>6694</Words>
  <Characters>38162</Characters>
  <Lines>318</Lines>
  <Paragraphs>89</Paragraphs>
  <TotalTime>5</TotalTime>
  <ScaleCrop>false</ScaleCrop>
  <LinksUpToDate>false</LinksUpToDate>
  <CharactersWithSpaces>44767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2020-08-05T08:29:00Z</dcterms:created>
  <dc:creator>502-2</dc:creator>
  <cp:lastModifiedBy>Administrator</cp:lastModifiedBy>
  <cp:lastPrinted>2020-09-06T14:15:00Z</cp:lastPrinted>
  <dcterms:modified xsi:type="dcterms:W3CDTF">2020-09-09T01:41:59Z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