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936" w:afterLines="300"/>
        <w:jc w:val="center"/>
        <w:rPr>
          <w:rFonts w:ascii="黑体" w:hAnsi="黑体" w:eastAsia="黑体"/>
          <w:b/>
          <w:color w:val="000000" w:themeColor="text1"/>
          <w:sz w:val="52"/>
          <w:szCs w:val="52"/>
        </w:rPr>
      </w:pPr>
    </w:p>
    <w:p>
      <w:pPr>
        <w:spacing w:after="936" w:afterLines="300"/>
        <w:jc w:val="center"/>
        <w:rPr>
          <w:rFonts w:ascii="黑体" w:hAnsi="黑体" w:eastAsia="黑体"/>
          <w:b/>
          <w:color w:val="000000" w:themeColor="text1"/>
          <w:sz w:val="52"/>
          <w:szCs w:val="52"/>
        </w:rPr>
      </w:pPr>
      <w:r>
        <w:rPr>
          <w:rFonts w:hint="eastAsia" w:ascii="黑体" w:hAnsi="黑体" w:eastAsia="黑体"/>
          <w:b/>
          <w:color w:val="000000" w:themeColor="text1"/>
          <w:sz w:val="52"/>
          <w:szCs w:val="52"/>
        </w:rPr>
        <w:t>阳新县县级政府采购</w:t>
      </w:r>
    </w:p>
    <w:p>
      <w:pPr>
        <w:spacing w:after="936" w:afterLines="300"/>
        <w:jc w:val="center"/>
        <w:rPr>
          <w:rFonts w:ascii="黑体" w:hAnsi="黑体" w:eastAsia="黑体"/>
          <w:b/>
          <w:color w:val="000000" w:themeColor="text1"/>
          <w:sz w:val="144"/>
          <w:szCs w:val="144"/>
        </w:rPr>
      </w:pPr>
      <w:r>
        <w:rPr>
          <w:rFonts w:hint="eastAsia" w:ascii="黑体" w:hAnsi="黑体" w:eastAsia="黑体"/>
          <w:b/>
          <w:color w:val="000000" w:themeColor="text1"/>
          <w:sz w:val="144"/>
          <w:szCs w:val="144"/>
        </w:rPr>
        <w:t>招 标 文 件</w:t>
      </w:r>
    </w:p>
    <w:p>
      <w:pPr>
        <w:pStyle w:val="24"/>
      </w:pPr>
    </w:p>
    <w:p>
      <w:pPr>
        <w:spacing w:line="360" w:lineRule="auto"/>
        <w:ind w:left="2055" w:leftChars="619" w:right="1306" w:rightChars="622" w:hanging="755" w:hangingChars="209"/>
        <w:rPr>
          <w:rFonts w:ascii="黑体" w:hAnsi="黑体" w:eastAsia="黑体" w:cs="Times New Roman"/>
          <w:b/>
          <w:bCs/>
          <w:color w:val="000000" w:themeColor="text1"/>
          <w:sz w:val="36"/>
          <w:szCs w:val="24"/>
        </w:rPr>
      </w:pPr>
    </w:p>
    <w:p>
      <w:pPr>
        <w:spacing w:line="360" w:lineRule="auto"/>
        <w:ind w:left="2055" w:leftChars="619" w:right="1306" w:rightChars="622" w:hanging="755" w:hangingChars="209"/>
        <w:rPr>
          <w:rFonts w:ascii="黑体" w:hAnsi="黑体" w:eastAsia="黑体" w:cs="Times New Roman"/>
          <w:b/>
          <w:bCs/>
          <w:color w:val="000000" w:themeColor="text1"/>
          <w:sz w:val="36"/>
          <w:szCs w:val="24"/>
        </w:rPr>
      </w:pPr>
    </w:p>
    <w:p>
      <w:pPr>
        <w:spacing w:line="360" w:lineRule="auto"/>
        <w:ind w:right="1306" w:rightChars="622" w:firstLine="1084" w:firstLineChars="300"/>
        <w:rPr>
          <w:rFonts w:ascii="华文中宋" w:hAnsi="华文中宋" w:eastAsia="黑体"/>
          <w:color w:val="000000" w:themeColor="text1"/>
          <w:sz w:val="32"/>
          <w:u w:val="single"/>
        </w:rPr>
      </w:pPr>
      <w:r>
        <w:rPr>
          <w:rFonts w:hint="eastAsia" w:ascii="黑体" w:hAnsi="黑体" w:eastAsia="黑体" w:cs="Times New Roman"/>
          <w:b/>
          <w:bCs/>
          <w:color w:val="000000" w:themeColor="text1"/>
          <w:sz w:val="36"/>
          <w:szCs w:val="24"/>
        </w:rPr>
        <w:t>项目编号：131-2020CG-167</w:t>
      </w:r>
    </w:p>
    <w:p>
      <w:pPr>
        <w:spacing w:line="360" w:lineRule="auto"/>
        <w:ind w:right="1306" w:rightChars="622" w:firstLine="1084" w:firstLineChars="300"/>
        <w:rPr>
          <w:rFonts w:ascii="宋体" w:hAnsi="宋体" w:eastAsia="黑体" w:cs="Times New Roman"/>
          <w:bCs/>
          <w:color w:val="000000" w:themeColor="text1"/>
          <w:sz w:val="36"/>
          <w:szCs w:val="24"/>
        </w:rPr>
      </w:pPr>
      <w:r>
        <w:rPr>
          <w:rFonts w:hint="eastAsia" w:ascii="黑体" w:hAnsi="黑体" w:eastAsia="黑体" w:cs="Times New Roman"/>
          <w:b/>
          <w:bCs/>
          <w:color w:val="000000" w:themeColor="text1"/>
          <w:sz w:val="36"/>
          <w:szCs w:val="24"/>
        </w:rPr>
        <w:t>采购人：</w:t>
      </w:r>
      <w:r>
        <w:rPr>
          <w:rFonts w:hint="eastAsia" w:ascii="宋体" w:hAnsi="宋体" w:eastAsia="黑体" w:cs="宋体"/>
          <w:color w:val="000000" w:themeColor="text1"/>
          <w:kern w:val="0"/>
          <w:sz w:val="32"/>
          <w:szCs w:val="32"/>
          <w:u w:val="single"/>
        </w:rPr>
        <w:t>阳新县卫生健康局</w:t>
      </w:r>
    </w:p>
    <w:p>
      <w:pPr>
        <w:spacing w:line="360" w:lineRule="auto"/>
        <w:ind w:right="1306" w:rightChars="622" w:firstLine="1084" w:firstLineChars="300"/>
        <w:rPr>
          <w:rFonts w:ascii="宋体" w:hAnsi="宋体" w:eastAsia="黑体" w:cs="宋体"/>
          <w:color w:val="000000" w:themeColor="text1"/>
          <w:kern w:val="0"/>
          <w:sz w:val="32"/>
          <w:szCs w:val="32"/>
          <w:u w:val="single"/>
        </w:rPr>
      </w:pPr>
      <w:r>
        <w:rPr>
          <w:rFonts w:hint="eastAsia" w:ascii="黑体" w:hAnsi="黑体" w:eastAsia="黑体" w:cs="Times New Roman"/>
          <w:b/>
          <w:bCs/>
          <w:color w:val="000000" w:themeColor="text1"/>
          <w:sz w:val="36"/>
          <w:szCs w:val="24"/>
        </w:rPr>
        <w:t>项目名称：</w:t>
      </w:r>
      <w:r>
        <w:rPr>
          <w:rFonts w:hint="eastAsia" w:ascii="宋体" w:hAnsi="宋体" w:eastAsia="黑体" w:cs="宋体"/>
          <w:color w:val="000000" w:themeColor="text1"/>
          <w:kern w:val="0"/>
          <w:sz w:val="32"/>
          <w:szCs w:val="32"/>
          <w:u w:val="single"/>
        </w:rPr>
        <w:t>阳新县基层医疗机构设备购置项目</w:t>
      </w:r>
    </w:p>
    <w:p>
      <w:pPr>
        <w:spacing w:line="360" w:lineRule="auto"/>
        <w:ind w:right="1306" w:rightChars="622" w:firstLine="1084" w:firstLineChars="300"/>
        <w:rPr>
          <w:rFonts w:ascii="宋体" w:hAnsi="宋体" w:eastAsia="黑体" w:cs="宋体"/>
          <w:color w:val="000000" w:themeColor="text1"/>
          <w:kern w:val="0"/>
          <w:sz w:val="32"/>
          <w:szCs w:val="32"/>
          <w:u w:val="single"/>
        </w:rPr>
      </w:pPr>
      <w:r>
        <w:rPr>
          <w:rFonts w:hint="eastAsia" w:ascii="黑体" w:hAnsi="黑体" w:eastAsia="黑体" w:cs="Times New Roman"/>
          <w:b/>
          <w:bCs/>
          <w:color w:val="000000" w:themeColor="text1"/>
          <w:sz w:val="36"/>
          <w:szCs w:val="24"/>
        </w:rPr>
        <w:t>采购内容：</w:t>
      </w:r>
      <w:r>
        <w:rPr>
          <w:rFonts w:hint="eastAsia" w:ascii="宋体" w:hAnsi="宋体" w:eastAsia="黑体" w:cs="宋体"/>
          <w:color w:val="000000" w:themeColor="text1"/>
          <w:kern w:val="0"/>
          <w:sz w:val="32"/>
          <w:szCs w:val="32"/>
          <w:u w:val="single"/>
        </w:rPr>
        <w:t>基层医疗机构设备购置</w:t>
      </w:r>
    </w:p>
    <w:p>
      <w:pPr>
        <w:pStyle w:val="24"/>
      </w:pPr>
    </w:p>
    <w:p>
      <w:pPr>
        <w:jc w:val="center"/>
        <w:rPr>
          <w:rFonts w:ascii="黑体" w:hAnsi="黑体" w:eastAsia="黑体"/>
          <w:b/>
          <w:color w:val="000000" w:themeColor="text1"/>
          <w:sz w:val="72"/>
          <w:szCs w:val="72"/>
        </w:rPr>
      </w:pPr>
      <w:r>
        <w:rPr>
          <w:rFonts w:hint="eastAsia" w:ascii="黑体" w:hAnsi="黑体" w:eastAsia="黑体"/>
          <w:b/>
          <w:color w:val="000000" w:themeColor="text1"/>
          <w:sz w:val="72"/>
          <w:szCs w:val="72"/>
        </w:rPr>
        <w:t>衡正国际工程咨询有限公司</w:t>
      </w:r>
    </w:p>
    <w:p>
      <w:pPr>
        <w:jc w:val="center"/>
        <w:rPr>
          <w:rFonts w:ascii="黑体" w:hAnsi="黑体" w:eastAsia="黑体"/>
          <w:b/>
          <w:color w:val="000000" w:themeColor="text1"/>
          <w:sz w:val="44"/>
        </w:rPr>
      </w:pPr>
      <w:r>
        <w:rPr>
          <w:rFonts w:hint="eastAsia" w:ascii="黑体" w:hAnsi="黑体" w:eastAsia="黑体"/>
          <w:b/>
          <w:color w:val="000000" w:themeColor="text1"/>
          <w:sz w:val="44"/>
        </w:rPr>
        <w:t>2020年9月</w:t>
      </w:r>
    </w:p>
    <w:p>
      <w:pPr>
        <w:rPr>
          <w:color w:val="000000" w:themeColor="text1"/>
        </w:rPr>
        <w:sectPr>
          <w:headerReference r:id="rId3" w:type="default"/>
          <w:footerReference r:id="rId5" w:type="default"/>
          <w:headerReference r:id="rId4" w:type="even"/>
          <w:footerReference r:id="rId6" w:type="even"/>
          <w:pgSz w:w="11906" w:h="16838"/>
          <w:pgMar w:top="1522" w:right="1035" w:bottom="1134" w:left="991" w:header="680" w:footer="680" w:gutter="0"/>
          <w:cols w:space="425" w:num="1"/>
          <w:docGrid w:type="lines" w:linePitch="312" w:charSpace="0"/>
        </w:sectPr>
      </w:pPr>
    </w:p>
    <w:p>
      <w:pPr>
        <w:spacing w:before="312" w:beforeLines="100"/>
        <w:jc w:val="center"/>
        <w:rPr>
          <w:rFonts w:ascii="黑体" w:hAnsi="黑体" w:eastAsia="黑体"/>
          <w:color w:val="000000" w:themeColor="text1"/>
          <w:sz w:val="44"/>
          <w:szCs w:val="44"/>
        </w:rPr>
      </w:pPr>
      <w:r>
        <w:rPr>
          <w:rFonts w:hint="eastAsia" w:ascii="黑体" w:hAnsi="黑体" w:eastAsia="黑体"/>
          <w:color w:val="000000" w:themeColor="text1"/>
          <w:sz w:val="44"/>
          <w:szCs w:val="44"/>
        </w:rPr>
        <w:t>目   录</w:t>
      </w:r>
    </w:p>
    <w:sdt>
      <w:sdtPr>
        <w:rPr>
          <w:lang w:val="zh-CN"/>
        </w:rPr>
        <w:id w:val="1482579200"/>
      </w:sdtPr>
      <w:sdtEndPr>
        <w:rPr>
          <w:b w:val="0"/>
          <w:bCs/>
          <w:lang w:val="zh-CN"/>
        </w:rPr>
      </w:sdtEndPr>
      <w:sdtContent>
        <w:p>
          <w:pPr>
            <w:pStyle w:val="13"/>
            <w:tabs>
              <w:tab w:val="left" w:pos="1260"/>
              <w:tab w:val="right" w:leader="dot" w:pos="9514"/>
            </w:tabs>
          </w:pPr>
          <w:r>
            <w:fldChar w:fldCharType="begin"/>
          </w:r>
          <w:r>
            <w:instrText xml:space="preserve"> TOC \o "1-2" \h \z \u </w:instrText>
          </w:r>
          <w:r>
            <w:fldChar w:fldCharType="separate"/>
          </w:r>
        </w:p>
        <w:p>
          <w:pPr>
            <w:pStyle w:val="13"/>
            <w:tabs>
              <w:tab w:val="right" w:leader="dot" w:pos="9524"/>
            </w:tabs>
          </w:pPr>
          <w:r>
            <w:fldChar w:fldCharType="begin"/>
          </w:r>
          <w:r>
            <w:instrText xml:space="preserve"> HYPERLINK \l "_Toc23548" </w:instrText>
          </w:r>
          <w:r>
            <w:fldChar w:fldCharType="separate"/>
          </w:r>
          <w:r>
            <w:rPr>
              <w:rFonts w:hint="eastAsia" w:ascii="黑体" w:hAnsi="黑体"/>
            </w:rPr>
            <w:t>第一章 投标邀请书</w:t>
          </w:r>
          <w:r>
            <w:tab/>
          </w:r>
          <w:r>
            <w:fldChar w:fldCharType="begin"/>
          </w:r>
          <w:r>
            <w:instrText xml:space="preserve"> PAGEREF _Toc23548 </w:instrText>
          </w:r>
          <w:r>
            <w:fldChar w:fldCharType="separate"/>
          </w:r>
          <w:r>
            <w:t>4</w:t>
          </w:r>
          <w:r>
            <w:fldChar w:fldCharType="end"/>
          </w:r>
          <w:r>
            <w:fldChar w:fldCharType="end"/>
          </w:r>
        </w:p>
        <w:p>
          <w:pPr>
            <w:pStyle w:val="13"/>
            <w:tabs>
              <w:tab w:val="right" w:leader="dot" w:pos="9524"/>
            </w:tabs>
          </w:pPr>
          <w:r>
            <w:fldChar w:fldCharType="begin"/>
          </w:r>
          <w:r>
            <w:instrText xml:space="preserve"> HYPERLINK \l "_Toc30604" </w:instrText>
          </w:r>
          <w:r>
            <w:fldChar w:fldCharType="separate"/>
          </w:r>
          <w:r>
            <w:rPr>
              <w:rFonts w:hint="eastAsia" w:ascii="黑体" w:hAnsi="黑体"/>
            </w:rPr>
            <w:t>第二章 投标人须知</w:t>
          </w:r>
          <w:r>
            <w:tab/>
          </w:r>
          <w:r>
            <w:fldChar w:fldCharType="begin"/>
          </w:r>
          <w:r>
            <w:instrText xml:space="preserve"> PAGEREF _Toc30604 </w:instrText>
          </w:r>
          <w:r>
            <w:fldChar w:fldCharType="separate"/>
          </w:r>
          <w:r>
            <w:t>6</w:t>
          </w:r>
          <w:r>
            <w:fldChar w:fldCharType="end"/>
          </w:r>
          <w:r>
            <w:fldChar w:fldCharType="end"/>
          </w:r>
        </w:p>
        <w:p>
          <w:pPr>
            <w:pStyle w:val="14"/>
            <w:tabs>
              <w:tab w:val="right" w:leader="dot" w:pos="9524"/>
              <w:tab w:val="clear" w:pos="756"/>
              <w:tab w:val="clear" w:pos="966"/>
              <w:tab w:val="clear" w:pos="1204"/>
              <w:tab w:val="clear" w:pos="1442"/>
              <w:tab w:val="clear" w:pos="9514"/>
            </w:tabs>
          </w:pPr>
          <w:r>
            <w:fldChar w:fldCharType="begin"/>
          </w:r>
          <w:r>
            <w:instrText xml:space="preserve"> HYPERLINK \l "_Toc29600" </w:instrText>
          </w:r>
          <w:r>
            <w:fldChar w:fldCharType="separate"/>
          </w:r>
          <w:r>
            <w:rPr>
              <w:rFonts w:cs="Times New Roman" w:asciiTheme="majorEastAsia" w:hAnsiTheme="majorEastAsia" w:eastAsiaTheme="majorEastAsia"/>
              <w:bCs/>
              <w:szCs w:val="32"/>
              <w:lang w:val="zh-CN"/>
            </w:rPr>
            <w:t>投标须知前附表</w:t>
          </w:r>
          <w:r>
            <w:tab/>
          </w:r>
          <w:r>
            <w:fldChar w:fldCharType="begin"/>
          </w:r>
          <w:r>
            <w:instrText xml:space="preserve"> PAGEREF _Toc29600 </w:instrText>
          </w:r>
          <w:r>
            <w:fldChar w:fldCharType="separate"/>
          </w:r>
          <w:r>
            <w:t>6</w:t>
          </w:r>
          <w:r>
            <w:fldChar w:fldCharType="end"/>
          </w:r>
          <w:r>
            <w:fldChar w:fldCharType="end"/>
          </w:r>
        </w:p>
        <w:p>
          <w:pPr>
            <w:pStyle w:val="14"/>
            <w:tabs>
              <w:tab w:val="right" w:leader="dot" w:pos="9524"/>
              <w:tab w:val="clear" w:pos="756"/>
              <w:tab w:val="clear" w:pos="966"/>
              <w:tab w:val="clear" w:pos="1204"/>
              <w:tab w:val="clear" w:pos="1442"/>
              <w:tab w:val="clear" w:pos="9514"/>
            </w:tabs>
          </w:pPr>
          <w:r>
            <w:fldChar w:fldCharType="begin"/>
          </w:r>
          <w:r>
            <w:instrText xml:space="preserve"> HYPERLINK \l "_Toc1612" </w:instrText>
          </w:r>
          <w:r>
            <w:fldChar w:fldCharType="separate"/>
          </w:r>
          <w:r>
            <w:rPr>
              <w:rFonts w:hint="eastAsia" w:cs="Times New Roman" w:asciiTheme="majorEastAsia" w:hAnsiTheme="majorEastAsia"/>
              <w:szCs w:val="30"/>
              <w:lang w:val="zh-CN"/>
            </w:rPr>
            <w:t xml:space="preserve">一、 </w:t>
          </w:r>
          <w:r>
            <w:rPr>
              <w:rFonts w:hint="eastAsia" w:cs="Times New Roman" w:asciiTheme="majorEastAsia" w:hAnsiTheme="majorEastAsia"/>
              <w:lang w:val="zh-CN"/>
            </w:rPr>
            <w:t>说  明</w:t>
          </w:r>
          <w:r>
            <w:tab/>
          </w:r>
          <w:r>
            <w:fldChar w:fldCharType="begin"/>
          </w:r>
          <w:r>
            <w:instrText xml:space="preserve"> PAGEREF _Toc1612 </w:instrText>
          </w:r>
          <w:r>
            <w:fldChar w:fldCharType="separate"/>
          </w:r>
          <w:r>
            <w:t>7</w:t>
          </w:r>
          <w:r>
            <w:fldChar w:fldCharType="end"/>
          </w:r>
          <w:r>
            <w:fldChar w:fldCharType="end"/>
          </w:r>
        </w:p>
        <w:p>
          <w:pPr>
            <w:pStyle w:val="14"/>
            <w:tabs>
              <w:tab w:val="right" w:leader="dot" w:pos="9524"/>
              <w:tab w:val="clear" w:pos="756"/>
              <w:tab w:val="clear" w:pos="966"/>
              <w:tab w:val="clear" w:pos="1204"/>
              <w:tab w:val="clear" w:pos="1442"/>
              <w:tab w:val="clear" w:pos="9514"/>
            </w:tabs>
          </w:pPr>
          <w:r>
            <w:fldChar w:fldCharType="begin"/>
          </w:r>
          <w:r>
            <w:instrText xml:space="preserve"> HYPERLINK \l "_Toc8194" </w:instrText>
          </w:r>
          <w:r>
            <w:fldChar w:fldCharType="separate"/>
          </w:r>
          <w:r>
            <w:rPr>
              <w:rFonts w:hint="eastAsia" w:cs="Times New Roman" w:asciiTheme="majorEastAsia" w:hAnsiTheme="majorEastAsia"/>
              <w:szCs w:val="30"/>
              <w:lang w:val="zh-CN"/>
            </w:rPr>
            <w:t xml:space="preserve">二、 </w:t>
          </w:r>
          <w:r>
            <w:rPr>
              <w:rFonts w:hint="eastAsia" w:cs="Times New Roman" w:asciiTheme="majorEastAsia" w:hAnsiTheme="majorEastAsia"/>
              <w:lang w:val="zh-CN"/>
            </w:rPr>
            <w:t>招标文件</w:t>
          </w:r>
          <w:r>
            <w:tab/>
          </w:r>
          <w:r>
            <w:fldChar w:fldCharType="begin"/>
          </w:r>
          <w:r>
            <w:instrText xml:space="preserve"> PAGEREF _Toc8194 </w:instrText>
          </w:r>
          <w:r>
            <w:fldChar w:fldCharType="separate"/>
          </w:r>
          <w:r>
            <w:t>8</w:t>
          </w:r>
          <w:r>
            <w:fldChar w:fldCharType="end"/>
          </w:r>
          <w:r>
            <w:fldChar w:fldCharType="end"/>
          </w:r>
        </w:p>
        <w:p>
          <w:pPr>
            <w:pStyle w:val="14"/>
            <w:tabs>
              <w:tab w:val="right" w:leader="dot" w:pos="9524"/>
              <w:tab w:val="clear" w:pos="756"/>
              <w:tab w:val="clear" w:pos="966"/>
              <w:tab w:val="clear" w:pos="1204"/>
              <w:tab w:val="clear" w:pos="1442"/>
              <w:tab w:val="clear" w:pos="9514"/>
            </w:tabs>
          </w:pPr>
          <w:r>
            <w:fldChar w:fldCharType="begin"/>
          </w:r>
          <w:r>
            <w:instrText xml:space="preserve"> HYPERLINK \l "_Toc27230" </w:instrText>
          </w:r>
          <w:r>
            <w:fldChar w:fldCharType="separate"/>
          </w:r>
          <w:r>
            <w:rPr>
              <w:rFonts w:hint="eastAsia" w:cs="Times New Roman" w:asciiTheme="majorEastAsia" w:hAnsiTheme="majorEastAsia"/>
              <w:szCs w:val="30"/>
              <w:lang w:val="zh-CN"/>
            </w:rPr>
            <w:t xml:space="preserve">三、 </w:t>
          </w:r>
          <w:r>
            <w:rPr>
              <w:rFonts w:hint="eastAsia" w:cs="Times New Roman" w:asciiTheme="majorEastAsia" w:hAnsiTheme="majorEastAsia"/>
              <w:lang w:val="zh-CN"/>
            </w:rPr>
            <w:t>投标文件</w:t>
          </w:r>
          <w:r>
            <w:tab/>
          </w:r>
          <w:r>
            <w:fldChar w:fldCharType="begin"/>
          </w:r>
          <w:r>
            <w:instrText xml:space="preserve"> PAGEREF _Toc27230 </w:instrText>
          </w:r>
          <w:r>
            <w:fldChar w:fldCharType="separate"/>
          </w:r>
          <w:r>
            <w:t>9</w:t>
          </w:r>
          <w:r>
            <w:fldChar w:fldCharType="end"/>
          </w:r>
          <w:r>
            <w:fldChar w:fldCharType="end"/>
          </w:r>
        </w:p>
        <w:p>
          <w:pPr>
            <w:pStyle w:val="14"/>
            <w:tabs>
              <w:tab w:val="right" w:leader="dot" w:pos="9524"/>
              <w:tab w:val="clear" w:pos="756"/>
              <w:tab w:val="clear" w:pos="966"/>
              <w:tab w:val="clear" w:pos="1204"/>
              <w:tab w:val="clear" w:pos="1442"/>
              <w:tab w:val="clear" w:pos="9514"/>
            </w:tabs>
          </w:pPr>
          <w:r>
            <w:fldChar w:fldCharType="begin"/>
          </w:r>
          <w:r>
            <w:instrText xml:space="preserve"> HYPERLINK \l "_Toc24257" </w:instrText>
          </w:r>
          <w:r>
            <w:fldChar w:fldCharType="separate"/>
          </w:r>
          <w:r>
            <w:rPr>
              <w:rFonts w:hint="eastAsia" w:cs="Times New Roman" w:asciiTheme="majorEastAsia" w:hAnsiTheme="majorEastAsia"/>
              <w:szCs w:val="30"/>
              <w:lang w:val="zh-CN"/>
            </w:rPr>
            <w:t xml:space="preserve">四、 </w:t>
          </w:r>
          <w:r>
            <w:rPr>
              <w:rFonts w:hint="eastAsia" w:cs="Times New Roman" w:asciiTheme="majorEastAsia" w:hAnsiTheme="majorEastAsia"/>
              <w:lang w:val="zh-CN"/>
            </w:rPr>
            <w:t>开标与评标</w:t>
          </w:r>
          <w:r>
            <w:tab/>
          </w:r>
          <w:r>
            <w:fldChar w:fldCharType="begin"/>
          </w:r>
          <w:r>
            <w:instrText xml:space="preserve"> PAGEREF _Toc24257 </w:instrText>
          </w:r>
          <w:r>
            <w:fldChar w:fldCharType="separate"/>
          </w:r>
          <w:r>
            <w:t>14</w:t>
          </w:r>
          <w:r>
            <w:fldChar w:fldCharType="end"/>
          </w:r>
          <w:r>
            <w:fldChar w:fldCharType="end"/>
          </w:r>
        </w:p>
        <w:p>
          <w:pPr>
            <w:pStyle w:val="14"/>
            <w:tabs>
              <w:tab w:val="right" w:leader="dot" w:pos="9524"/>
              <w:tab w:val="clear" w:pos="756"/>
              <w:tab w:val="clear" w:pos="966"/>
              <w:tab w:val="clear" w:pos="1204"/>
              <w:tab w:val="clear" w:pos="1442"/>
              <w:tab w:val="clear" w:pos="9514"/>
            </w:tabs>
          </w:pPr>
          <w:r>
            <w:fldChar w:fldCharType="begin"/>
          </w:r>
          <w:r>
            <w:instrText xml:space="preserve"> HYPERLINK \l "_Toc31076" </w:instrText>
          </w:r>
          <w:r>
            <w:fldChar w:fldCharType="separate"/>
          </w:r>
          <w:r>
            <w:rPr>
              <w:rFonts w:hint="eastAsia" w:cs="Times New Roman" w:asciiTheme="majorEastAsia" w:hAnsiTheme="majorEastAsia"/>
              <w:szCs w:val="30"/>
              <w:lang w:val="zh-CN"/>
            </w:rPr>
            <w:t xml:space="preserve">五、 </w:t>
          </w:r>
          <w:r>
            <w:rPr>
              <w:rFonts w:hint="eastAsia" w:cs="Times New Roman" w:asciiTheme="majorEastAsia" w:hAnsiTheme="majorEastAsia"/>
              <w:lang w:val="zh-CN"/>
            </w:rPr>
            <w:t>投标人信用信息及查询</w:t>
          </w:r>
          <w:r>
            <w:tab/>
          </w:r>
          <w:r>
            <w:fldChar w:fldCharType="begin"/>
          </w:r>
          <w:r>
            <w:instrText xml:space="preserve"> PAGEREF _Toc31076 </w:instrText>
          </w:r>
          <w:r>
            <w:fldChar w:fldCharType="separate"/>
          </w:r>
          <w:r>
            <w:t>16</w:t>
          </w:r>
          <w:r>
            <w:fldChar w:fldCharType="end"/>
          </w:r>
          <w:r>
            <w:fldChar w:fldCharType="end"/>
          </w:r>
        </w:p>
        <w:p>
          <w:pPr>
            <w:pStyle w:val="14"/>
            <w:tabs>
              <w:tab w:val="right" w:leader="dot" w:pos="9524"/>
              <w:tab w:val="clear" w:pos="756"/>
              <w:tab w:val="clear" w:pos="966"/>
              <w:tab w:val="clear" w:pos="1204"/>
              <w:tab w:val="clear" w:pos="1442"/>
              <w:tab w:val="clear" w:pos="9514"/>
            </w:tabs>
          </w:pPr>
          <w:r>
            <w:fldChar w:fldCharType="begin"/>
          </w:r>
          <w:r>
            <w:instrText xml:space="preserve"> HYPERLINK \l "_Toc11144" </w:instrText>
          </w:r>
          <w:r>
            <w:fldChar w:fldCharType="separate"/>
          </w:r>
          <w:r>
            <w:rPr>
              <w:rFonts w:hint="eastAsia" w:cs="Times New Roman" w:asciiTheme="majorEastAsia" w:hAnsiTheme="majorEastAsia"/>
              <w:szCs w:val="30"/>
              <w:lang w:val="zh-CN"/>
            </w:rPr>
            <w:t xml:space="preserve">六、 </w:t>
          </w:r>
          <w:r>
            <w:rPr>
              <w:rFonts w:cs="Times New Roman" w:asciiTheme="majorEastAsia" w:hAnsiTheme="majorEastAsia"/>
              <w:lang w:val="zh-CN"/>
            </w:rPr>
            <w:t>中标</w:t>
          </w:r>
          <w:r>
            <w:rPr>
              <w:rFonts w:hint="eastAsia" w:cs="Times New Roman" w:asciiTheme="majorEastAsia" w:hAnsiTheme="majorEastAsia"/>
              <w:lang w:val="zh-CN"/>
            </w:rPr>
            <w:t>与</w:t>
          </w:r>
          <w:r>
            <w:rPr>
              <w:rFonts w:cs="Times New Roman" w:asciiTheme="majorEastAsia" w:hAnsiTheme="majorEastAsia"/>
              <w:lang w:val="zh-CN"/>
            </w:rPr>
            <w:t>合同</w:t>
          </w:r>
          <w:r>
            <w:tab/>
          </w:r>
          <w:r>
            <w:fldChar w:fldCharType="begin"/>
          </w:r>
          <w:r>
            <w:instrText xml:space="preserve"> PAGEREF _Toc11144 </w:instrText>
          </w:r>
          <w:r>
            <w:fldChar w:fldCharType="separate"/>
          </w:r>
          <w:r>
            <w:t>16</w:t>
          </w:r>
          <w:r>
            <w:fldChar w:fldCharType="end"/>
          </w:r>
          <w:r>
            <w:fldChar w:fldCharType="end"/>
          </w:r>
        </w:p>
        <w:p>
          <w:pPr>
            <w:pStyle w:val="14"/>
            <w:tabs>
              <w:tab w:val="right" w:leader="dot" w:pos="9524"/>
              <w:tab w:val="clear" w:pos="756"/>
              <w:tab w:val="clear" w:pos="966"/>
              <w:tab w:val="clear" w:pos="1204"/>
              <w:tab w:val="clear" w:pos="1442"/>
              <w:tab w:val="clear" w:pos="9514"/>
            </w:tabs>
          </w:pPr>
          <w:r>
            <w:fldChar w:fldCharType="begin"/>
          </w:r>
          <w:r>
            <w:instrText xml:space="preserve"> HYPERLINK \l "_Toc4771" </w:instrText>
          </w:r>
          <w:r>
            <w:fldChar w:fldCharType="separate"/>
          </w:r>
          <w:r>
            <w:rPr>
              <w:rFonts w:hint="eastAsia" w:cs="Times New Roman" w:asciiTheme="majorEastAsia" w:hAnsiTheme="majorEastAsia"/>
              <w:szCs w:val="30"/>
              <w:lang w:val="zh-CN"/>
            </w:rPr>
            <w:t xml:space="preserve">七、 </w:t>
          </w:r>
          <w:r>
            <w:rPr>
              <w:rFonts w:hint="eastAsia" w:cs="Times New Roman" w:asciiTheme="majorEastAsia" w:hAnsiTheme="majorEastAsia"/>
              <w:lang w:val="zh-CN"/>
            </w:rPr>
            <w:t>采购信息公告</w:t>
          </w:r>
          <w:r>
            <w:tab/>
          </w:r>
          <w:r>
            <w:fldChar w:fldCharType="begin"/>
          </w:r>
          <w:r>
            <w:instrText xml:space="preserve"> PAGEREF _Toc4771 </w:instrText>
          </w:r>
          <w:r>
            <w:fldChar w:fldCharType="separate"/>
          </w:r>
          <w:r>
            <w:t>17</w:t>
          </w:r>
          <w:r>
            <w:fldChar w:fldCharType="end"/>
          </w:r>
          <w:r>
            <w:fldChar w:fldCharType="end"/>
          </w:r>
        </w:p>
        <w:p>
          <w:pPr>
            <w:pStyle w:val="14"/>
            <w:tabs>
              <w:tab w:val="right" w:leader="dot" w:pos="9524"/>
              <w:tab w:val="clear" w:pos="756"/>
              <w:tab w:val="clear" w:pos="966"/>
              <w:tab w:val="clear" w:pos="1204"/>
              <w:tab w:val="clear" w:pos="1442"/>
              <w:tab w:val="clear" w:pos="9514"/>
            </w:tabs>
          </w:pPr>
          <w:r>
            <w:fldChar w:fldCharType="begin"/>
          </w:r>
          <w:r>
            <w:instrText xml:space="preserve"> HYPERLINK \l "_Toc6568" </w:instrText>
          </w:r>
          <w:r>
            <w:fldChar w:fldCharType="separate"/>
          </w:r>
          <w:r>
            <w:rPr>
              <w:rFonts w:hint="eastAsia" w:cs="Times New Roman" w:asciiTheme="majorEastAsia" w:hAnsiTheme="majorEastAsia"/>
              <w:szCs w:val="30"/>
              <w:lang w:val="zh-CN"/>
            </w:rPr>
            <w:t xml:space="preserve">八、 </w:t>
          </w:r>
          <w:r>
            <w:rPr>
              <w:rFonts w:hint="eastAsia" w:cs="Times New Roman" w:asciiTheme="majorEastAsia" w:hAnsiTheme="majorEastAsia"/>
              <w:lang w:val="zh-CN"/>
            </w:rPr>
            <w:t>质疑及提交</w:t>
          </w:r>
          <w:r>
            <w:tab/>
          </w:r>
          <w:r>
            <w:fldChar w:fldCharType="begin"/>
          </w:r>
          <w:r>
            <w:instrText xml:space="preserve"> PAGEREF _Toc6568 </w:instrText>
          </w:r>
          <w:r>
            <w:fldChar w:fldCharType="separate"/>
          </w:r>
          <w:r>
            <w:t>18</w:t>
          </w:r>
          <w:r>
            <w:fldChar w:fldCharType="end"/>
          </w:r>
          <w:r>
            <w:fldChar w:fldCharType="end"/>
          </w:r>
        </w:p>
        <w:p>
          <w:pPr>
            <w:pStyle w:val="14"/>
            <w:tabs>
              <w:tab w:val="right" w:leader="dot" w:pos="9524"/>
              <w:tab w:val="clear" w:pos="756"/>
              <w:tab w:val="clear" w:pos="966"/>
              <w:tab w:val="clear" w:pos="1204"/>
              <w:tab w:val="clear" w:pos="1442"/>
              <w:tab w:val="clear" w:pos="9514"/>
            </w:tabs>
          </w:pPr>
          <w:r>
            <w:fldChar w:fldCharType="begin"/>
          </w:r>
          <w:r>
            <w:instrText xml:space="preserve"> HYPERLINK \l "_Toc28870" </w:instrText>
          </w:r>
          <w:r>
            <w:fldChar w:fldCharType="separate"/>
          </w:r>
          <w:r>
            <w:rPr>
              <w:rFonts w:hint="eastAsia" w:cs="Times New Roman" w:asciiTheme="majorEastAsia" w:hAnsiTheme="majorEastAsia"/>
              <w:szCs w:val="30"/>
              <w:lang w:val="zh-CN"/>
            </w:rPr>
            <w:t xml:space="preserve">九、 </w:t>
          </w:r>
          <w:r>
            <w:rPr>
              <w:rFonts w:hint="eastAsia" w:cs="Times New Roman" w:asciiTheme="majorEastAsia" w:hAnsiTheme="majorEastAsia"/>
              <w:lang w:val="zh-CN"/>
            </w:rPr>
            <w:t>相关条文解读</w:t>
          </w:r>
          <w:r>
            <w:tab/>
          </w:r>
          <w:r>
            <w:fldChar w:fldCharType="begin"/>
          </w:r>
          <w:r>
            <w:instrText xml:space="preserve"> PAGEREF _Toc28870 </w:instrText>
          </w:r>
          <w:r>
            <w:fldChar w:fldCharType="separate"/>
          </w:r>
          <w:r>
            <w:t>19</w:t>
          </w:r>
          <w:r>
            <w:fldChar w:fldCharType="end"/>
          </w:r>
          <w:r>
            <w:fldChar w:fldCharType="end"/>
          </w:r>
        </w:p>
        <w:p>
          <w:pPr>
            <w:pStyle w:val="14"/>
            <w:tabs>
              <w:tab w:val="right" w:leader="dot" w:pos="9524"/>
              <w:tab w:val="clear" w:pos="756"/>
              <w:tab w:val="clear" w:pos="966"/>
              <w:tab w:val="clear" w:pos="1204"/>
              <w:tab w:val="clear" w:pos="1442"/>
              <w:tab w:val="clear" w:pos="9514"/>
            </w:tabs>
          </w:pPr>
          <w:r>
            <w:fldChar w:fldCharType="begin"/>
          </w:r>
          <w:r>
            <w:instrText xml:space="preserve"> HYPERLINK \l "_Toc857" </w:instrText>
          </w:r>
          <w:r>
            <w:fldChar w:fldCharType="separate"/>
          </w:r>
          <w:r>
            <w:rPr>
              <w:rFonts w:hint="eastAsia" w:cs="Times New Roman" w:asciiTheme="majorEastAsia" w:hAnsiTheme="majorEastAsia"/>
              <w:szCs w:val="30"/>
              <w:lang w:val="zh-CN"/>
            </w:rPr>
            <w:t xml:space="preserve">十、 </w:t>
          </w:r>
          <w:r>
            <w:rPr>
              <w:rFonts w:hint="eastAsia" w:cs="Times New Roman" w:asciiTheme="majorEastAsia" w:hAnsiTheme="majorEastAsia"/>
              <w:lang w:val="zh-CN"/>
            </w:rPr>
            <w:t>其他注意事项</w:t>
          </w:r>
          <w:r>
            <w:tab/>
          </w:r>
          <w:r>
            <w:fldChar w:fldCharType="begin"/>
          </w:r>
          <w:r>
            <w:instrText xml:space="preserve"> PAGEREF _Toc857 </w:instrText>
          </w:r>
          <w:r>
            <w:fldChar w:fldCharType="separate"/>
          </w:r>
          <w:r>
            <w:t>19</w:t>
          </w:r>
          <w:r>
            <w:fldChar w:fldCharType="end"/>
          </w:r>
          <w:r>
            <w:fldChar w:fldCharType="end"/>
          </w:r>
        </w:p>
        <w:p>
          <w:pPr>
            <w:pStyle w:val="14"/>
            <w:tabs>
              <w:tab w:val="right" w:leader="dot" w:pos="9524"/>
              <w:tab w:val="clear" w:pos="756"/>
              <w:tab w:val="clear" w:pos="966"/>
              <w:tab w:val="clear" w:pos="1204"/>
              <w:tab w:val="clear" w:pos="1442"/>
              <w:tab w:val="clear" w:pos="9514"/>
            </w:tabs>
          </w:pPr>
          <w:r>
            <w:fldChar w:fldCharType="begin"/>
          </w:r>
          <w:r>
            <w:instrText xml:space="preserve"> HYPERLINK \l "_Toc11919" </w:instrText>
          </w:r>
          <w:r>
            <w:fldChar w:fldCharType="separate"/>
          </w:r>
          <w:r>
            <w:rPr>
              <w:rFonts w:hint="eastAsia" w:cs="Times New Roman" w:asciiTheme="majorEastAsia" w:hAnsiTheme="majorEastAsia"/>
              <w:szCs w:val="30"/>
              <w:lang w:val="zh-CN"/>
            </w:rPr>
            <w:t xml:space="preserve">十一、 </w:t>
          </w:r>
          <w:r>
            <w:rPr>
              <w:rFonts w:hint="eastAsia" w:cs="Times New Roman" w:asciiTheme="majorEastAsia" w:hAnsiTheme="majorEastAsia"/>
              <w:lang w:val="zh-CN"/>
            </w:rPr>
            <w:t>适用法律</w:t>
          </w:r>
          <w:r>
            <w:tab/>
          </w:r>
          <w:r>
            <w:fldChar w:fldCharType="begin"/>
          </w:r>
          <w:r>
            <w:instrText xml:space="preserve"> PAGEREF _Toc11919 </w:instrText>
          </w:r>
          <w:r>
            <w:fldChar w:fldCharType="separate"/>
          </w:r>
          <w:r>
            <w:t>19</w:t>
          </w:r>
          <w:r>
            <w:fldChar w:fldCharType="end"/>
          </w:r>
          <w:r>
            <w:fldChar w:fldCharType="end"/>
          </w:r>
        </w:p>
        <w:p>
          <w:pPr>
            <w:pStyle w:val="14"/>
            <w:tabs>
              <w:tab w:val="right" w:leader="dot" w:pos="9524"/>
              <w:tab w:val="clear" w:pos="756"/>
              <w:tab w:val="clear" w:pos="966"/>
              <w:tab w:val="clear" w:pos="1204"/>
              <w:tab w:val="clear" w:pos="1442"/>
              <w:tab w:val="clear" w:pos="9514"/>
            </w:tabs>
          </w:pPr>
          <w:r>
            <w:fldChar w:fldCharType="begin"/>
          </w:r>
          <w:r>
            <w:instrText xml:space="preserve"> HYPERLINK \l "_Toc17423" </w:instrText>
          </w:r>
          <w:r>
            <w:fldChar w:fldCharType="separate"/>
          </w:r>
          <w:r>
            <w:rPr>
              <w:rFonts w:hint="eastAsia" w:cs="Times New Roman" w:asciiTheme="majorEastAsia" w:hAnsiTheme="majorEastAsia"/>
              <w:szCs w:val="30"/>
              <w:lang w:val="zh-CN"/>
            </w:rPr>
            <w:t xml:space="preserve">十二、 </w:t>
          </w:r>
          <w:r>
            <w:rPr>
              <w:rFonts w:hint="eastAsia" w:cs="Times New Roman" w:asciiTheme="majorEastAsia" w:hAnsiTheme="majorEastAsia"/>
              <w:lang w:val="zh-CN"/>
            </w:rPr>
            <w:t>招标文件的解释权</w:t>
          </w:r>
          <w:r>
            <w:tab/>
          </w:r>
          <w:r>
            <w:fldChar w:fldCharType="begin"/>
          </w:r>
          <w:r>
            <w:instrText xml:space="preserve"> PAGEREF _Toc17423 </w:instrText>
          </w:r>
          <w:r>
            <w:fldChar w:fldCharType="separate"/>
          </w:r>
          <w:r>
            <w:t>19</w:t>
          </w:r>
          <w:r>
            <w:fldChar w:fldCharType="end"/>
          </w:r>
          <w:r>
            <w:fldChar w:fldCharType="end"/>
          </w:r>
        </w:p>
        <w:p>
          <w:pPr>
            <w:pStyle w:val="13"/>
            <w:tabs>
              <w:tab w:val="right" w:leader="dot" w:pos="9524"/>
            </w:tabs>
          </w:pPr>
          <w:r>
            <w:fldChar w:fldCharType="begin"/>
          </w:r>
          <w:r>
            <w:instrText xml:space="preserve"> HYPERLINK \l "_Toc15959" </w:instrText>
          </w:r>
          <w:r>
            <w:fldChar w:fldCharType="separate"/>
          </w:r>
          <w:r>
            <w:rPr>
              <w:rFonts w:hint="eastAsia"/>
            </w:rPr>
            <w:t xml:space="preserve">第三章 </w:t>
          </w:r>
          <w:r>
            <w:rPr>
              <w:rFonts w:hint="eastAsia" w:ascii="黑体" w:hAnsi="黑体"/>
            </w:rPr>
            <w:t>项目技术、服务及商务要求</w:t>
          </w:r>
          <w:r>
            <w:tab/>
          </w:r>
          <w:r>
            <w:fldChar w:fldCharType="begin"/>
          </w:r>
          <w:r>
            <w:instrText xml:space="preserve"> PAGEREF _Toc15959 </w:instrText>
          </w:r>
          <w:r>
            <w:fldChar w:fldCharType="separate"/>
          </w:r>
          <w:r>
            <w:t>20</w:t>
          </w:r>
          <w:r>
            <w:fldChar w:fldCharType="end"/>
          </w:r>
          <w:r>
            <w:fldChar w:fldCharType="end"/>
          </w:r>
        </w:p>
        <w:p>
          <w:pPr>
            <w:pStyle w:val="13"/>
            <w:tabs>
              <w:tab w:val="right" w:leader="dot" w:pos="9524"/>
            </w:tabs>
          </w:pPr>
          <w:r>
            <w:fldChar w:fldCharType="begin"/>
          </w:r>
          <w:r>
            <w:instrText xml:space="preserve"> HYPERLINK \l "_Toc24213" </w:instrText>
          </w:r>
          <w:r>
            <w:fldChar w:fldCharType="separate"/>
          </w:r>
          <w:r>
            <w:rPr>
              <w:rFonts w:hint="eastAsia" w:ascii="黑体" w:hAnsi="黑体"/>
            </w:rPr>
            <w:t>第四章 资格审查方法及标准</w:t>
          </w:r>
          <w:r>
            <w:tab/>
          </w:r>
          <w:r>
            <w:fldChar w:fldCharType="begin"/>
          </w:r>
          <w:r>
            <w:instrText xml:space="preserve"> PAGEREF _Toc24213 </w:instrText>
          </w:r>
          <w:r>
            <w:fldChar w:fldCharType="separate"/>
          </w:r>
          <w:r>
            <w:t>44</w:t>
          </w:r>
          <w:r>
            <w:fldChar w:fldCharType="end"/>
          </w:r>
          <w:r>
            <w:fldChar w:fldCharType="end"/>
          </w:r>
        </w:p>
        <w:p>
          <w:pPr>
            <w:pStyle w:val="14"/>
            <w:tabs>
              <w:tab w:val="right" w:leader="dot" w:pos="9524"/>
              <w:tab w:val="clear" w:pos="756"/>
              <w:tab w:val="clear" w:pos="966"/>
              <w:tab w:val="clear" w:pos="1204"/>
              <w:tab w:val="clear" w:pos="1442"/>
              <w:tab w:val="clear" w:pos="9514"/>
            </w:tabs>
          </w:pPr>
          <w:r>
            <w:fldChar w:fldCharType="begin"/>
          </w:r>
          <w:r>
            <w:instrText xml:space="preserve"> HYPERLINK \l "_Toc21069" </w:instrText>
          </w:r>
          <w:r>
            <w:fldChar w:fldCharType="separate"/>
          </w:r>
          <w:r>
            <w:rPr>
              <w:rFonts w:hint="eastAsia" w:cs="Times New Roman" w:asciiTheme="majorEastAsia" w:hAnsiTheme="majorEastAsia"/>
              <w:szCs w:val="30"/>
              <w:lang w:val="zh-CN"/>
            </w:rPr>
            <w:t>一、 资格审查方法</w:t>
          </w:r>
          <w:r>
            <w:tab/>
          </w:r>
          <w:r>
            <w:fldChar w:fldCharType="begin"/>
          </w:r>
          <w:r>
            <w:instrText xml:space="preserve"> PAGEREF _Toc21069 </w:instrText>
          </w:r>
          <w:r>
            <w:fldChar w:fldCharType="separate"/>
          </w:r>
          <w:r>
            <w:t>44</w:t>
          </w:r>
          <w:r>
            <w:fldChar w:fldCharType="end"/>
          </w:r>
          <w:r>
            <w:fldChar w:fldCharType="end"/>
          </w:r>
        </w:p>
        <w:p>
          <w:pPr>
            <w:pStyle w:val="14"/>
            <w:tabs>
              <w:tab w:val="right" w:leader="dot" w:pos="9524"/>
              <w:tab w:val="clear" w:pos="756"/>
              <w:tab w:val="clear" w:pos="966"/>
              <w:tab w:val="clear" w:pos="1204"/>
              <w:tab w:val="clear" w:pos="1442"/>
              <w:tab w:val="clear" w:pos="9514"/>
            </w:tabs>
          </w:pPr>
          <w:r>
            <w:fldChar w:fldCharType="begin"/>
          </w:r>
          <w:r>
            <w:instrText xml:space="preserve"> HYPERLINK \l "_Toc13504" </w:instrText>
          </w:r>
          <w:r>
            <w:fldChar w:fldCharType="separate"/>
          </w:r>
          <w:r>
            <w:rPr>
              <w:rFonts w:hint="eastAsia" w:cs="Times New Roman" w:asciiTheme="majorEastAsia" w:hAnsiTheme="majorEastAsia"/>
              <w:szCs w:val="30"/>
              <w:lang w:val="zh-CN"/>
            </w:rPr>
            <w:t>二、 资格审查标准</w:t>
          </w:r>
          <w:r>
            <w:tab/>
          </w:r>
          <w:r>
            <w:fldChar w:fldCharType="begin"/>
          </w:r>
          <w:r>
            <w:instrText xml:space="preserve"> PAGEREF _Toc13504 </w:instrText>
          </w:r>
          <w:r>
            <w:fldChar w:fldCharType="separate"/>
          </w:r>
          <w:r>
            <w:t>44</w:t>
          </w:r>
          <w:r>
            <w:fldChar w:fldCharType="end"/>
          </w:r>
          <w:r>
            <w:fldChar w:fldCharType="end"/>
          </w:r>
        </w:p>
        <w:p>
          <w:pPr>
            <w:pStyle w:val="13"/>
            <w:tabs>
              <w:tab w:val="right" w:leader="dot" w:pos="9524"/>
            </w:tabs>
          </w:pPr>
          <w:r>
            <w:fldChar w:fldCharType="begin"/>
          </w:r>
          <w:r>
            <w:instrText xml:space="preserve"> HYPERLINK \l "_Toc25544" </w:instrText>
          </w:r>
          <w:r>
            <w:fldChar w:fldCharType="separate"/>
          </w:r>
          <w:r>
            <w:rPr>
              <w:rFonts w:hint="eastAsia" w:ascii="黑体" w:hAnsi="黑体"/>
            </w:rPr>
            <w:t>第五章 评标方法、程序及标准</w:t>
          </w:r>
          <w:r>
            <w:tab/>
          </w:r>
          <w:r>
            <w:fldChar w:fldCharType="begin"/>
          </w:r>
          <w:r>
            <w:instrText xml:space="preserve"> PAGEREF _Toc25544 </w:instrText>
          </w:r>
          <w:r>
            <w:fldChar w:fldCharType="separate"/>
          </w:r>
          <w:r>
            <w:t>46</w:t>
          </w:r>
          <w:r>
            <w:fldChar w:fldCharType="end"/>
          </w:r>
          <w:r>
            <w:fldChar w:fldCharType="end"/>
          </w:r>
        </w:p>
        <w:p>
          <w:pPr>
            <w:pStyle w:val="14"/>
            <w:tabs>
              <w:tab w:val="right" w:leader="dot" w:pos="9524"/>
              <w:tab w:val="clear" w:pos="756"/>
              <w:tab w:val="clear" w:pos="966"/>
              <w:tab w:val="clear" w:pos="1204"/>
              <w:tab w:val="clear" w:pos="1442"/>
              <w:tab w:val="clear" w:pos="9514"/>
            </w:tabs>
          </w:pPr>
          <w:r>
            <w:fldChar w:fldCharType="begin"/>
          </w:r>
          <w:r>
            <w:instrText xml:space="preserve"> HYPERLINK \l "_Toc26105" </w:instrText>
          </w:r>
          <w:r>
            <w:fldChar w:fldCharType="separate"/>
          </w:r>
          <w:r>
            <w:rPr>
              <w:rFonts w:hint="eastAsia" w:cs="Times New Roman" w:asciiTheme="majorEastAsia" w:hAnsiTheme="majorEastAsia"/>
              <w:szCs w:val="30"/>
              <w:lang w:val="zh-CN"/>
            </w:rPr>
            <w:t>一、 评标方法</w:t>
          </w:r>
          <w:r>
            <w:tab/>
          </w:r>
          <w:r>
            <w:fldChar w:fldCharType="begin"/>
          </w:r>
          <w:r>
            <w:instrText xml:space="preserve"> PAGEREF _Toc26105 </w:instrText>
          </w:r>
          <w:r>
            <w:fldChar w:fldCharType="separate"/>
          </w:r>
          <w:r>
            <w:t>46</w:t>
          </w:r>
          <w:r>
            <w:fldChar w:fldCharType="end"/>
          </w:r>
          <w:r>
            <w:fldChar w:fldCharType="end"/>
          </w:r>
        </w:p>
        <w:p>
          <w:pPr>
            <w:pStyle w:val="14"/>
            <w:tabs>
              <w:tab w:val="right" w:leader="dot" w:pos="9524"/>
              <w:tab w:val="clear" w:pos="756"/>
              <w:tab w:val="clear" w:pos="966"/>
              <w:tab w:val="clear" w:pos="1204"/>
              <w:tab w:val="clear" w:pos="1442"/>
              <w:tab w:val="clear" w:pos="9514"/>
            </w:tabs>
          </w:pPr>
          <w:r>
            <w:fldChar w:fldCharType="begin"/>
          </w:r>
          <w:r>
            <w:instrText xml:space="preserve"> HYPERLINK \l "_Toc14904" </w:instrText>
          </w:r>
          <w:r>
            <w:fldChar w:fldCharType="separate"/>
          </w:r>
          <w:r>
            <w:rPr>
              <w:rFonts w:hint="eastAsia" w:cs="Times New Roman" w:asciiTheme="majorEastAsia" w:hAnsiTheme="majorEastAsia"/>
              <w:szCs w:val="30"/>
              <w:lang w:val="zh-CN"/>
            </w:rPr>
            <w:t>二、 评标程序及标准</w:t>
          </w:r>
          <w:r>
            <w:tab/>
          </w:r>
          <w:r>
            <w:fldChar w:fldCharType="begin"/>
          </w:r>
          <w:r>
            <w:instrText xml:space="preserve"> PAGEREF _Toc14904 </w:instrText>
          </w:r>
          <w:r>
            <w:fldChar w:fldCharType="separate"/>
          </w:r>
          <w:r>
            <w:t>46</w:t>
          </w:r>
          <w:r>
            <w:fldChar w:fldCharType="end"/>
          </w:r>
          <w:r>
            <w:fldChar w:fldCharType="end"/>
          </w:r>
        </w:p>
        <w:p>
          <w:pPr>
            <w:pStyle w:val="14"/>
            <w:tabs>
              <w:tab w:val="right" w:leader="dot" w:pos="9524"/>
              <w:tab w:val="clear" w:pos="756"/>
              <w:tab w:val="clear" w:pos="966"/>
              <w:tab w:val="clear" w:pos="1204"/>
              <w:tab w:val="clear" w:pos="1442"/>
              <w:tab w:val="clear" w:pos="9514"/>
            </w:tabs>
          </w:pPr>
          <w:r>
            <w:fldChar w:fldCharType="begin"/>
          </w:r>
          <w:r>
            <w:instrText xml:space="preserve"> HYPERLINK \l "_Toc21241" </w:instrText>
          </w:r>
          <w:r>
            <w:fldChar w:fldCharType="separate"/>
          </w:r>
          <w:r>
            <w:rPr>
              <w:rFonts w:hint="eastAsia" w:cs="Times New Roman" w:asciiTheme="majorEastAsia" w:hAnsiTheme="majorEastAsia"/>
              <w:szCs w:val="30"/>
              <w:lang w:val="zh-CN"/>
            </w:rPr>
            <w:t>三、评审因素及评分标准</w:t>
          </w:r>
          <w:r>
            <w:tab/>
          </w:r>
          <w:r>
            <w:fldChar w:fldCharType="begin"/>
          </w:r>
          <w:r>
            <w:instrText xml:space="preserve"> PAGEREF _Toc21241 </w:instrText>
          </w:r>
          <w:r>
            <w:fldChar w:fldCharType="separate"/>
          </w:r>
          <w:r>
            <w:t>50</w:t>
          </w:r>
          <w:r>
            <w:fldChar w:fldCharType="end"/>
          </w:r>
          <w:r>
            <w:fldChar w:fldCharType="end"/>
          </w:r>
        </w:p>
        <w:p>
          <w:pPr>
            <w:pStyle w:val="13"/>
            <w:tabs>
              <w:tab w:val="right" w:leader="dot" w:pos="9524"/>
            </w:tabs>
          </w:pPr>
          <w:r>
            <w:fldChar w:fldCharType="begin"/>
          </w:r>
          <w:r>
            <w:instrText xml:space="preserve"> HYPERLINK \l "_Toc5740" </w:instrText>
          </w:r>
          <w:r>
            <w:fldChar w:fldCharType="separate"/>
          </w:r>
          <w:r>
            <w:rPr>
              <w:rFonts w:hint="eastAsia" w:ascii="黑体" w:hAnsi="黑体"/>
            </w:rPr>
            <w:t>第六章 合同书格式（参考）</w:t>
          </w:r>
          <w:r>
            <w:tab/>
          </w:r>
          <w:r>
            <w:fldChar w:fldCharType="begin"/>
          </w:r>
          <w:r>
            <w:instrText xml:space="preserve"> PAGEREF _Toc5740 </w:instrText>
          </w:r>
          <w:r>
            <w:fldChar w:fldCharType="separate"/>
          </w:r>
          <w:r>
            <w:t>53</w:t>
          </w:r>
          <w:r>
            <w:fldChar w:fldCharType="end"/>
          </w:r>
          <w:r>
            <w:fldChar w:fldCharType="end"/>
          </w:r>
        </w:p>
        <w:p>
          <w:pPr>
            <w:pStyle w:val="13"/>
            <w:tabs>
              <w:tab w:val="right" w:leader="dot" w:pos="9524"/>
            </w:tabs>
          </w:pPr>
          <w:r>
            <w:fldChar w:fldCharType="begin"/>
          </w:r>
          <w:r>
            <w:instrText xml:space="preserve"> HYPERLINK \l "_Toc30816" </w:instrText>
          </w:r>
          <w:r>
            <w:fldChar w:fldCharType="separate"/>
          </w:r>
          <w:r>
            <w:rPr>
              <w:rFonts w:hint="eastAsia" w:ascii="黑体" w:hAnsi="黑体"/>
            </w:rPr>
            <w:t>第七章 投标文件格式（参考）</w:t>
          </w:r>
          <w:r>
            <w:tab/>
          </w:r>
          <w:r>
            <w:fldChar w:fldCharType="begin"/>
          </w:r>
          <w:r>
            <w:instrText xml:space="preserve"> PAGEREF _Toc30816 </w:instrText>
          </w:r>
          <w:r>
            <w:fldChar w:fldCharType="separate"/>
          </w:r>
          <w:r>
            <w:t>60</w:t>
          </w:r>
          <w:r>
            <w:fldChar w:fldCharType="end"/>
          </w:r>
          <w:r>
            <w:fldChar w:fldCharType="end"/>
          </w:r>
        </w:p>
        <w:p>
          <w:pPr>
            <w:pStyle w:val="14"/>
            <w:tabs>
              <w:tab w:val="right" w:leader="dot" w:pos="9524"/>
              <w:tab w:val="clear" w:pos="756"/>
              <w:tab w:val="clear" w:pos="966"/>
              <w:tab w:val="clear" w:pos="1204"/>
              <w:tab w:val="clear" w:pos="1442"/>
              <w:tab w:val="clear" w:pos="9514"/>
            </w:tabs>
          </w:pPr>
          <w:r>
            <w:fldChar w:fldCharType="begin"/>
          </w:r>
          <w:r>
            <w:instrText xml:space="preserve"> HYPERLINK \l "_Toc3405" </w:instrText>
          </w:r>
          <w:r>
            <w:fldChar w:fldCharType="separate"/>
          </w:r>
          <w:r>
            <w:rPr>
              <w:rFonts w:hint="eastAsia" w:cs="Times New Roman" w:asciiTheme="majorEastAsia" w:hAnsiTheme="majorEastAsia"/>
              <w:szCs w:val="44"/>
              <w:lang w:val="zh-CN"/>
            </w:rPr>
            <w:t>第一部分 资格证明文件</w:t>
          </w:r>
          <w:r>
            <w:tab/>
          </w:r>
          <w:r>
            <w:fldChar w:fldCharType="begin"/>
          </w:r>
          <w:r>
            <w:instrText xml:space="preserve"> PAGEREF _Toc3405 </w:instrText>
          </w:r>
          <w:r>
            <w:fldChar w:fldCharType="separate"/>
          </w:r>
          <w:r>
            <w:t>60</w:t>
          </w:r>
          <w:r>
            <w:fldChar w:fldCharType="end"/>
          </w:r>
          <w:r>
            <w:fldChar w:fldCharType="end"/>
          </w:r>
        </w:p>
        <w:p>
          <w:pPr>
            <w:pStyle w:val="14"/>
            <w:tabs>
              <w:tab w:val="right" w:leader="dot" w:pos="9524"/>
              <w:tab w:val="clear" w:pos="756"/>
              <w:tab w:val="clear" w:pos="966"/>
              <w:tab w:val="clear" w:pos="1204"/>
              <w:tab w:val="clear" w:pos="1442"/>
              <w:tab w:val="clear" w:pos="9514"/>
            </w:tabs>
          </w:pPr>
          <w:r>
            <w:fldChar w:fldCharType="begin"/>
          </w:r>
          <w:r>
            <w:instrText xml:space="preserve"> HYPERLINK \l "_Toc7956" </w:instrText>
          </w:r>
          <w:r>
            <w:fldChar w:fldCharType="separate"/>
          </w:r>
          <w:r>
            <w:rPr>
              <w:rFonts w:hint="eastAsia" w:cs="Times New Roman" w:asciiTheme="majorEastAsia" w:hAnsiTheme="majorEastAsia"/>
              <w:szCs w:val="44"/>
              <w:lang w:val="zh-CN"/>
            </w:rPr>
            <w:t>第二部分 商务文件</w:t>
          </w:r>
          <w:r>
            <w:tab/>
          </w:r>
          <w:r>
            <w:fldChar w:fldCharType="begin"/>
          </w:r>
          <w:r>
            <w:instrText xml:space="preserve"> PAGEREF _Toc7956 </w:instrText>
          </w:r>
          <w:r>
            <w:fldChar w:fldCharType="separate"/>
          </w:r>
          <w:r>
            <w:t>62</w:t>
          </w:r>
          <w:r>
            <w:fldChar w:fldCharType="end"/>
          </w:r>
          <w:r>
            <w:fldChar w:fldCharType="end"/>
          </w:r>
        </w:p>
        <w:p>
          <w:pPr>
            <w:pStyle w:val="14"/>
            <w:tabs>
              <w:tab w:val="right" w:leader="dot" w:pos="9524"/>
              <w:tab w:val="clear" w:pos="756"/>
              <w:tab w:val="clear" w:pos="966"/>
              <w:tab w:val="clear" w:pos="1204"/>
              <w:tab w:val="clear" w:pos="1442"/>
              <w:tab w:val="clear" w:pos="9514"/>
            </w:tabs>
          </w:pPr>
          <w:r>
            <w:fldChar w:fldCharType="begin"/>
          </w:r>
          <w:r>
            <w:instrText xml:space="preserve"> HYPERLINK \l "_Toc13638" </w:instrText>
          </w:r>
          <w:r>
            <w:fldChar w:fldCharType="separate"/>
          </w:r>
          <w:r>
            <w:rPr>
              <w:rFonts w:hint="eastAsia" w:cs="Times New Roman" w:asciiTheme="majorEastAsia" w:hAnsiTheme="majorEastAsia"/>
              <w:szCs w:val="44"/>
              <w:lang w:val="zh-CN"/>
            </w:rPr>
            <w:t>第三部分 技术、服务文件</w:t>
          </w:r>
          <w:r>
            <w:tab/>
          </w:r>
          <w:r>
            <w:fldChar w:fldCharType="begin"/>
          </w:r>
          <w:r>
            <w:instrText xml:space="preserve"> PAGEREF _Toc13638 </w:instrText>
          </w:r>
          <w:r>
            <w:fldChar w:fldCharType="separate"/>
          </w:r>
          <w:r>
            <w:t>64</w:t>
          </w:r>
          <w:r>
            <w:fldChar w:fldCharType="end"/>
          </w:r>
          <w:r>
            <w:fldChar w:fldCharType="end"/>
          </w:r>
        </w:p>
        <w:p>
          <w:pPr>
            <w:pStyle w:val="14"/>
            <w:tabs>
              <w:tab w:val="right" w:leader="dot" w:pos="9524"/>
              <w:tab w:val="clear" w:pos="756"/>
              <w:tab w:val="clear" w:pos="966"/>
              <w:tab w:val="clear" w:pos="1204"/>
              <w:tab w:val="clear" w:pos="1442"/>
              <w:tab w:val="clear" w:pos="9514"/>
            </w:tabs>
          </w:pPr>
          <w:r>
            <w:fldChar w:fldCharType="begin"/>
          </w:r>
          <w:r>
            <w:instrText xml:space="preserve"> HYPERLINK \l "_Toc6282" </w:instrText>
          </w:r>
          <w:r>
            <w:fldChar w:fldCharType="separate"/>
          </w:r>
          <w:r>
            <w:rPr>
              <w:rFonts w:hint="eastAsia" w:eastAsia="宋体"/>
            </w:rPr>
            <w:t>附件一、 投标书</w:t>
          </w:r>
          <w:r>
            <w:tab/>
          </w:r>
          <w:r>
            <w:fldChar w:fldCharType="begin"/>
          </w:r>
          <w:r>
            <w:instrText xml:space="preserve"> PAGEREF _Toc6282 </w:instrText>
          </w:r>
          <w:r>
            <w:fldChar w:fldCharType="separate"/>
          </w:r>
          <w:r>
            <w:t>66</w:t>
          </w:r>
          <w:r>
            <w:fldChar w:fldCharType="end"/>
          </w:r>
          <w:r>
            <w:fldChar w:fldCharType="end"/>
          </w:r>
        </w:p>
        <w:p>
          <w:pPr>
            <w:pStyle w:val="14"/>
            <w:tabs>
              <w:tab w:val="right" w:leader="dot" w:pos="9524"/>
              <w:tab w:val="clear" w:pos="756"/>
              <w:tab w:val="clear" w:pos="966"/>
              <w:tab w:val="clear" w:pos="1204"/>
              <w:tab w:val="clear" w:pos="1442"/>
              <w:tab w:val="clear" w:pos="9514"/>
            </w:tabs>
          </w:pPr>
          <w:r>
            <w:fldChar w:fldCharType="begin"/>
          </w:r>
          <w:r>
            <w:instrText xml:space="preserve"> HYPERLINK \l "_Toc9184" </w:instrText>
          </w:r>
          <w:r>
            <w:fldChar w:fldCharType="separate"/>
          </w:r>
          <w:r>
            <w:rPr>
              <w:rFonts w:hint="eastAsia" w:eastAsia="宋体"/>
            </w:rPr>
            <w:t>附件二、 制造商中小企业声明函</w:t>
          </w:r>
          <w:r>
            <w:tab/>
          </w:r>
          <w:r>
            <w:fldChar w:fldCharType="begin"/>
          </w:r>
          <w:r>
            <w:instrText xml:space="preserve"> PAGEREF _Toc9184 </w:instrText>
          </w:r>
          <w:r>
            <w:fldChar w:fldCharType="separate"/>
          </w:r>
          <w:r>
            <w:t>67</w:t>
          </w:r>
          <w:r>
            <w:fldChar w:fldCharType="end"/>
          </w:r>
          <w:r>
            <w:fldChar w:fldCharType="end"/>
          </w:r>
        </w:p>
        <w:p>
          <w:pPr>
            <w:pStyle w:val="14"/>
            <w:tabs>
              <w:tab w:val="right" w:leader="dot" w:pos="9524"/>
              <w:tab w:val="clear" w:pos="756"/>
              <w:tab w:val="clear" w:pos="966"/>
              <w:tab w:val="clear" w:pos="1204"/>
              <w:tab w:val="clear" w:pos="1442"/>
              <w:tab w:val="clear" w:pos="9514"/>
            </w:tabs>
          </w:pPr>
          <w:r>
            <w:fldChar w:fldCharType="begin"/>
          </w:r>
          <w:r>
            <w:instrText xml:space="preserve"> HYPERLINK \l "_Toc11879" </w:instrText>
          </w:r>
          <w:r>
            <w:fldChar w:fldCharType="separate"/>
          </w:r>
          <w:r>
            <w:rPr>
              <w:rFonts w:hint="eastAsia" w:eastAsia="宋体"/>
            </w:rPr>
            <w:t>附件三、 中小企业声明函</w:t>
          </w:r>
          <w:r>
            <w:tab/>
          </w:r>
          <w:r>
            <w:fldChar w:fldCharType="begin"/>
          </w:r>
          <w:r>
            <w:instrText xml:space="preserve"> PAGEREF _Toc11879 </w:instrText>
          </w:r>
          <w:r>
            <w:fldChar w:fldCharType="separate"/>
          </w:r>
          <w:r>
            <w:t>68</w:t>
          </w:r>
          <w:r>
            <w:fldChar w:fldCharType="end"/>
          </w:r>
          <w:r>
            <w:fldChar w:fldCharType="end"/>
          </w:r>
        </w:p>
        <w:p>
          <w:pPr>
            <w:pStyle w:val="14"/>
            <w:tabs>
              <w:tab w:val="right" w:leader="dot" w:pos="9524"/>
              <w:tab w:val="clear" w:pos="756"/>
              <w:tab w:val="clear" w:pos="966"/>
              <w:tab w:val="clear" w:pos="1204"/>
              <w:tab w:val="clear" w:pos="1442"/>
              <w:tab w:val="clear" w:pos="9514"/>
            </w:tabs>
          </w:pPr>
          <w:r>
            <w:fldChar w:fldCharType="begin"/>
          </w:r>
          <w:r>
            <w:instrText xml:space="preserve"> HYPERLINK \l "_Toc25959" </w:instrText>
          </w:r>
          <w:r>
            <w:fldChar w:fldCharType="separate"/>
          </w:r>
          <w:r>
            <w:rPr>
              <w:rFonts w:hint="eastAsia" w:eastAsia="宋体"/>
            </w:rPr>
            <w:t>附件四、 残疾人福利性单位声明函</w:t>
          </w:r>
          <w:r>
            <w:tab/>
          </w:r>
          <w:r>
            <w:fldChar w:fldCharType="begin"/>
          </w:r>
          <w:r>
            <w:instrText xml:space="preserve"> PAGEREF _Toc25959 </w:instrText>
          </w:r>
          <w:r>
            <w:fldChar w:fldCharType="separate"/>
          </w:r>
          <w:r>
            <w:t>70</w:t>
          </w:r>
          <w:r>
            <w:fldChar w:fldCharType="end"/>
          </w:r>
          <w:r>
            <w:fldChar w:fldCharType="end"/>
          </w:r>
        </w:p>
        <w:p>
          <w:pPr>
            <w:pStyle w:val="14"/>
            <w:tabs>
              <w:tab w:val="right" w:leader="dot" w:pos="9524"/>
              <w:tab w:val="clear" w:pos="756"/>
              <w:tab w:val="clear" w:pos="966"/>
              <w:tab w:val="clear" w:pos="1204"/>
              <w:tab w:val="clear" w:pos="1442"/>
              <w:tab w:val="clear" w:pos="9514"/>
            </w:tabs>
          </w:pPr>
          <w:r>
            <w:fldChar w:fldCharType="begin"/>
          </w:r>
          <w:r>
            <w:instrText xml:space="preserve"> HYPERLINK \l "_Toc26653" </w:instrText>
          </w:r>
          <w:r>
            <w:fldChar w:fldCharType="separate"/>
          </w:r>
          <w:r>
            <w:rPr>
              <w:rFonts w:hint="eastAsia" w:eastAsia="宋体"/>
            </w:rPr>
            <w:t>附件五、 开标一览表</w:t>
          </w:r>
          <w:r>
            <w:tab/>
          </w:r>
          <w:r>
            <w:fldChar w:fldCharType="begin"/>
          </w:r>
          <w:r>
            <w:instrText xml:space="preserve"> PAGEREF _Toc26653 </w:instrText>
          </w:r>
          <w:r>
            <w:fldChar w:fldCharType="separate"/>
          </w:r>
          <w:r>
            <w:t>73</w:t>
          </w:r>
          <w:r>
            <w:fldChar w:fldCharType="end"/>
          </w:r>
          <w:r>
            <w:fldChar w:fldCharType="end"/>
          </w:r>
        </w:p>
        <w:p>
          <w:pPr>
            <w:pStyle w:val="14"/>
            <w:tabs>
              <w:tab w:val="right" w:leader="dot" w:pos="9524"/>
              <w:tab w:val="clear" w:pos="756"/>
              <w:tab w:val="clear" w:pos="966"/>
              <w:tab w:val="clear" w:pos="1204"/>
              <w:tab w:val="clear" w:pos="1442"/>
              <w:tab w:val="clear" w:pos="9514"/>
            </w:tabs>
          </w:pPr>
          <w:r>
            <w:fldChar w:fldCharType="begin"/>
          </w:r>
          <w:r>
            <w:instrText xml:space="preserve"> HYPERLINK \l "_Toc9871" </w:instrText>
          </w:r>
          <w:r>
            <w:fldChar w:fldCharType="separate"/>
          </w:r>
          <w:r>
            <w:rPr>
              <w:rFonts w:hint="eastAsia" w:eastAsia="宋体"/>
            </w:rPr>
            <w:t>附件六、 投标报价明细表</w:t>
          </w:r>
          <w:r>
            <w:tab/>
          </w:r>
          <w:r>
            <w:fldChar w:fldCharType="begin"/>
          </w:r>
          <w:r>
            <w:instrText xml:space="preserve"> PAGEREF _Toc9871 </w:instrText>
          </w:r>
          <w:r>
            <w:fldChar w:fldCharType="separate"/>
          </w:r>
          <w:r>
            <w:t>74</w:t>
          </w:r>
          <w:r>
            <w:fldChar w:fldCharType="end"/>
          </w:r>
          <w:r>
            <w:fldChar w:fldCharType="end"/>
          </w:r>
        </w:p>
        <w:p>
          <w:pPr>
            <w:pStyle w:val="14"/>
            <w:tabs>
              <w:tab w:val="right" w:leader="dot" w:pos="9524"/>
              <w:tab w:val="clear" w:pos="756"/>
              <w:tab w:val="clear" w:pos="966"/>
              <w:tab w:val="clear" w:pos="1204"/>
              <w:tab w:val="clear" w:pos="1442"/>
              <w:tab w:val="clear" w:pos="9514"/>
            </w:tabs>
          </w:pPr>
          <w:r>
            <w:fldChar w:fldCharType="begin"/>
          </w:r>
          <w:r>
            <w:instrText xml:space="preserve"> HYPERLINK \l "_Toc7786" </w:instrText>
          </w:r>
          <w:r>
            <w:fldChar w:fldCharType="separate"/>
          </w:r>
          <w:r>
            <w:rPr>
              <w:rFonts w:hint="eastAsia" w:eastAsia="宋体"/>
              <w:szCs w:val="31"/>
            </w:rPr>
            <w:t>附件七、 小型和微型企业、监狱企业、残疾人福利性单位货物汇总表</w:t>
          </w:r>
          <w:r>
            <w:tab/>
          </w:r>
          <w:r>
            <w:fldChar w:fldCharType="begin"/>
          </w:r>
          <w:r>
            <w:instrText xml:space="preserve"> PAGEREF _Toc7786 </w:instrText>
          </w:r>
          <w:r>
            <w:fldChar w:fldCharType="separate"/>
          </w:r>
          <w:r>
            <w:t>75</w:t>
          </w:r>
          <w:r>
            <w:fldChar w:fldCharType="end"/>
          </w:r>
          <w:r>
            <w:fldChar w:fldCharType="end"/>
          </w:r>
        </w:p>
        <w:p>
          <w:pPr>
            <w:pStyle w:val="14"/>
            <w:tabs>
              <w:tab w:val="right" w:leader="dot" w:pos="9524"/>
              <w:tab w:val="clear" w:pos="756"/>
              <w:tab w:val="clear" w:pos="966"/>
              <w:tab w:val="clear" w:pos="1204"/>
              <w:tab w:val="clear" w:pos="1442"/>
              <w:tab w:val="clear" w:pos="9514"/>
            </w:tabs>
          </w:pPr>
          <w:r>
            <w:fldChar w:fldCharType="begin"/>
          </w:r>
          <w:r>
            <w:instrText xml:space="preserve"> HYPERLINK \l "_Toc18551" </w:instrText>
          </w:r>
          <w:r>
            <w:fldChar w:fldCharType="separate"/>
          </w:r>
          <w:r>
            <w:rPr>
              <w:rFonts w:hint="eastAsia" w:eastAsia="宋体"/>
            </w:rPr>
            <w:t>附件八、 投标货物（工程或服务）清单</w:t>
          </w:r>
          <w:r>
            <w:tab/>
          </w:r>
          <w:r>
            <w:fldChar w:fldCharType="begin"/>
          </w:r>
          <w:r>
            <w:instrText xml:space="preserve"> PAGEREF _Toc18551 </w:instrText>
          </w:r>
          <w:r>
            <w:fldChar w:fldCharType="separate"/>
          </w:r>
          <w:r>
            <w:t>76</w:t>
          </w:r>
          <w:r>
            <w:fldChar w:fldCharType="end"/>
          </w:r>
          <w:r>
            <w:fldChar w:fldCharType="end"/>
          </w:r>
        </w:p>
        <w:p>
          <w:pPr>
            <w:pStyle w:val="14"/>
            <w:tabs>
              <w:tab w:val="right" w:leader="dot" w:pos="9524"/>
              <w:tab w:val="clear" w:pos="756"/>
              <w:tab w:val="clear" w:pos="966"/>
              <w:tab w:val="clear" w:pos="1204"/>
              <w:tab w:val="clear" w:pos="1442"/>
              <w:tab w:val="clear" w:pos="9514"/>
            </w:tabs>
          </w:pPr>
          <w:r>
            <w:fldChar w:fldCharType="begin"/>
          </w:r>
          <w:r>
            <w:instrText xml:space="preserve"> HYPERLINK \l "_Toc21481" </w:instrText>
          </w:r>
          <w:r>
            <w:fldChar w:fldCharType="separate"/>
          </w:r>
          <w:r>
            <w:rPr>
              <w:rFonts w:hint="eastAsia" w:eastAsia="宋体"/>
            </w:rPr>
            <w:t>附件九、 法定代表人授权书</w:t>
          </w:r>
          <w:r>
            <w:tab/>
          </w:r>
          <w:r>
            <w:fldChar w:fldCharType="begin"/>
          </w:r>
          <w:r>
            <w:instrText xml:space="preserve"> PAGEREF _Toc21481 </w:instrText>
          </w:r>
          <w:r>
            <w:fldChar w:fldCharType="separate"/>
          </w:r>
          <w:r>
            <w:t>77</w:t>
          </w:r>
          <w:r>
            <w:fldChar w:fldCharType="end"/>
          </w:r>
          <w:r>
            <w:fldChar w:fldCharType="end"/>
          </w:r>
        </w:p>
        <w:p>
          <w:pPr>
            <w:pStyle w:val="14"/>
            <w:tabs>
              <w:tab w:val="right" w:leader="dot" w:pos="9524"/>
              <w:tab w:val="clear" w:pos="756"/>
              <w:tab w:val="clear" w:pos="966"/>
              <w:tab w:val="clear" w:pos="1204"/>
              <w:tab w:val="clear" w:pos="1442"/>
              <w:tab w:val="clear" w:pos="9514"/>
            </w:tabs>
          </w:pPr>
          <w:r>
            <w:fldChar w:fldCharType="begin"/>
          </w:r>
          <w:r>
            <w:instrText xml:space="preserve"> HYPERLINK \l "_Toc6517" </w:instrText>
          </w:r>
          <w:r>
            <w:fldChar w:fldCharType="separate"/>
          </w:r>
          <w:r>
            <w:rPr>
              <w:rFonts w:hint="eastAsia" w:eastAsia="宋体"/>
            </w:rPr>
            <w:t>附件十、 投标人的资格声明</w:t>
          </w:r>
          <w:r>
            <w:tab/>
          </w:r>
          <w:r>
            <w:fldChar w:fldCharType="begin"/>
          </w:r>
          <w:r>
            <w:instrText xml:space="preserve"> PAGEREF _Toc6517 </w:instrText>
          </w:r>
          <w:r>
            <w:fldChar w:fldCharType="separate"/>
          </w:r>
          <w:r>
            <w:t>78</w:t>
          </w:r>
          <w:r>
            <w:fldChar w:fldCharType="end"/>
          </w:r>
          <w:r>
            <w:fldChar w:fldCharType="end"/>
          </w:r>
        </w:p>
        <w:p>
          <w:pPr>
            <w:pStyle w:val="14"/>
            <w:tabs>
              <w:tab w:val="right" w:leader="dot" w:pos="9524"/>
              <w:tab w:val="clear" w:pos="756"/>
              <w:tab w:val="clear" w:pos="966"/>
              <w:tab w:val="clear" w:pos="1204"/>
              <w:tab w:val="clear" w:pos="1442"/>
              <w:tab w:val="clear" w:pos="9514"/>
            </w:tabs>
          </w:pPr>
          <w:r>
            <w:fldChar w:fldCharType="begin"/>
          </w:r>
          <w:r>
            <w:instrText xml:space="preserve"> HYPERLINK \l "_Toc17175" </w:instrText>
          </w:r>
          <w:r>
            <w:fldChar w:fldCharType="separate"/>
          </w:r>
          <w:r>
            <w:rPr>
              <w:rFonts w:hint="eastAsia" w:eastAsia="宋体"/>
            </w:rPr>
            <w:t>附件十一、 项目负责人、技术负责人简历表</w:t>
          </w:r>
          <w:r>
            <w:tab/>
          </w:r>
          <w:r>
            <w:fldChar w:fldCharType="begin"/>
          </w:r>
          <w:r>
            <w:instrText xml:space="preserve"> PAGEREF _Toc17175 </w:instrText>
          </w:r>
          <w:r>
            <w:fldChar w:fldCharType="separate"/>
          </w:r>
          <w:r>
            <w:t>79</w:t>
          </w:r>
          <w:r>
            <w:fldChar w:fldCharType="end"/>
          </w:r>
          <w:r>
            <w:fldChar w:fldCharType="end"/>
          </w:r>
        </w:p>
        <w:p>
          <w:pPr>
            <w:pStyle w:val="14"/>
            <w:tabs>
              <w:tab w:val="right" w:leader="dot" w:pos="9524"/>
              <w:tab w:val="clear" w:pos="756"/>
              <w:tab w:val="clear" w:pos="966"/>
              <w:tab w:val="clear" w:pos="1204"/>
              <w:tab w:val="clear" w:pos="1442"/>
              <w:tab w:val="clear" w:pos="9514"/>
            </w:tabs>
          </w:pPr>
          <w:r>
            <w:fldChar w:fldCharType="begin"/>
          </w:r>
          <w:r>
            <w:instrText xml:space="preserve"> HYPERLINK \l "_Toc401" </w:instrText>
          </w:r>
          <w:r>
            <w:fldChar w:fldCharType="separate"/>
          </w:r>
          <w:r>
            <w:rPr>
              <w:rFonts w:hint="eastAsia" w:eastAsia="宋体"/>
            </w:rPr>
            <w:t>附件十二、 项目班子成员情况表</w:t>
          </w:r>
          <w:r>
            <w:tab/>
          </w:r>
          <w:r>
            <w:fldChar w:fldCharType="begin"/>
          </w:r>
          <w:r>
            <w:instrText xml:space="preserve"> PAGEREF _Toc401 </w:instrText>
          </w:r>
          <w:r>
            <w:fldChar w:fldCharType="separate"/>
          </w:r>
          <w:r>
            <w:t>80</w:t>
          </w:r>
          <w:r>
            <w:fldChar w:fldCharType="end"/>
          </w:r>
          <w:r>
            <w:fldChar w:fldCharType="end"/>
          </w:r>
        </w:p>
        <w:p>
          <w:pPr>
            <w:pStyle w:val="14"/>
            <w:tabs>
              <w:tab w:val="right" w:leader="dot" w:pos="9524"/>
              <w:tab w:val="clear" w:pos="756"/>
              <w:tab w:val="clear" w:pos="966"/>
              <w:tab w:val="clear" w:pos="1204"/>
              <w:tab w:val="clear" w:pos="1442"/>
              <w:tab w:val="clear" w:pos="9514"/>
            </w:tabs>
          </w:pPr>
          <w:r>
            <w:fldChar w:fldCharType="begin"/>
          </w:r>
          <w:r>
            <w:instrText xml:space="preserve"> HYPERLINK \l "_Toc21872" </w:instrText>
          </w:r>
          <w:r>
            <w:fldChar w:fldCharType="separate"/>
          </w:r>
          <w:r>
            <w:rPr>
              <w:rFonts w:hint="eastAsia" w:eastAsia="宋体"/>
            </w:rPr>
            <w:t>附件十三、 投标人类似项目业绩表</w:t>
          </w:r>
          <w:r>
            <w:tab/>
          </w:r>
          <w:r>
            <w:fldChar w:fldCharType="begin"/>
          </w:r>
          <w:r>
            <w:instrText xml:space="preserve"> PAGEREF _Toc21872 </w:instrText>
          </w:r>
          <w:r>
            <w:fldChar w:fldCharType="separate"/>
          </w:r>
          <w:r>
            <w:t>81</w:t>
          </w:r>
          <w:r>
            <w:fldChar w:fldCharType="end"/>
          </w:r>
          <w:r>
            <w:fldChar w:fldCharType="end"/>
          </w:r>
        </w:p>
        <w:p>
          <w:pPr>
            <w:pStyle w:val="14"/>
            <w:tabs>
              <w:tab w:val="right" w:leader="dot" w:pos="9524"/>
              <w:tab w:val="clear" w:pos="756"/>
              <w:tab w:val="clear" w:pos="966"/>
              <w:tab w:val="clear" w:pos="1204"/>
              <w:tab w:val="clear" w:pos="1442"/>
              <w:tab w:val="clear" w:pos="9514"/>
            </w:tabs>
          </w:pPr>
          <w:r>
            <w:fldChar w:fldCharType="begin"/>
          </w:r>
          <w:r>
            <w:instrText xml:space="preserve"> HYPERLINK \l "_Toc10144" </w:instrText>
          </w:r>
          <w:r>
            <w:fldChar w:fldCharType="separate"/>
          </w:r>
          <w:r>
            <w:rPr>
              <w:rFonts w:hint="eastAsia" w:eastAsia="宋体"/>
            </w:rPr>
            <w:t>附件十四、 符合性审查对照表</w:t>
          </w:r>
          <w:r>
            <w:tab/>
          </w:r>
          <w:r>
            <w:fldChar w:fldCharType="begin"/>
          </w:r>
          <w:r>
            <w:instrText xml:space="preserve"> PAGEREF _Toc10144 </w:instrText>
          </w:r>
          <w:r>
            <w:fldChar w:fldCharType="separate"/>
          </w:r>
          <w:r>
            <w:t>82</w:t>
          </w:r>
          <w:r>
            <w:fldChar w:fldCharType="end"/>
          </w:r>
          <w:r>
            <w:fldChar w:fldCharType="end"/>
          </w:r>
        </w:p>
        <w:p>
          <w:pPr>
            <w:pStyle w:val="14"/>
            <w:tabs>
              <w:tab w:val="right" w:leader="dot" w:pos="9524"/>
              <w:tab w:val="clear" w:pos="756"/>
              <w:tab w:val="clear" w:pos="966"/>
              <w:tab w:val="clear" w:pos="1204"/>
              <w:tab w:val="clear" w:pos="1442"/>
              <w:tab w:val="clear" w:pos="9514"/>
            </w:tabs>
          </w:pPr>
          <w:r>
            <w:fldChar w:fldCharType="begin"/>
          </w:r>
          <w:r>
            <w:instrText xml:space="preserve"> HYPERLINK \l "_Toc5271" </w:instrText>
          </w:r>
          <w:r>
            <w:fldChar w:fldCharType="separate"/>
          </w:r>
          <w:r>
            <w:rPr>
              <w:rFonts w:hint="eastAsia" w:eastAsia="宋体"/>
            </w:rPr>
            <w:t>附件十五、 商务要求响应、偏离说明表</w:t>
          </w:r>
          <w:r>
            <w:tab/>
          </w:r>
          <w:r>
            <w:fldChar w:fldCharType="begin"/>
          </w:r>
          <w:r>
            <w:instrText xml:space="preserve"> PAGEREF _Toc5271 </w:instrText>
          </w:r>
          <w:r>
            <w:fldChar w:fldCharType="separate"/>
          </w:r>
          <w:r>
            <w:t>83</w:t>
          </w:r>
          <w:r>
            <w:fldChar w:fldCharType="end"/>
          </w:r>
          <w:r>
            <w:fldChar w:fldCharType="end"/>
          </w:r>
        </w:p>
        <w:p>
          <w:pPr>
            <w:pStyle w:val="14"/>
            <w:tabs>
              <w:tab w:val="right" w:leader="dot" w:pos="9524"/>
              <w:tab w:val="clear" w:pos="756"/>
              <w:tab w:val="clear" w:pos="966"/>
              <w:tab w:val="clear" w:pos="1204"/>
              <w:tab w:val="clear" w:pos="1442"/>
              <w:tab w:val="clear" w:pos="9514"/>
            </w:tabs>
          </w:pPr>
          <w:r>
            <w:fldChar w:fldCharType="begin"/>
          </w:r>
          <w:r>
            <w:instrText xml:space="preserve"> HYPERLINK \l "_Toc31828" </w:instrText>
          </w:r>
          <w:r>
            <w:fldChar w:fldCharType="separate"/>
          </w:r>
          <w:r>
            <w:rPr>
              <w:rFonts w:hint="eastAsia" w:eastAsia="宋体"/>
            </w:rPr>
            <w:t>附件十六、 商务要求“★”号条款响应、偏离说明表</w:t>
          </w:r>
          <w:r>
            <w:tab/>
          </w:r>
          <w:r>
            <w:fldChar w:fldCharType="begin"/>
          </w:r>
          <w:r>
            <w:instrText xml:space="preserve"> PAGEREF _Toc31828 </w:instrText>
          </w:r>
          <w:r>
            <w:fldChar w:fldCharType="separate"/>
          </w:r>
          <w:r>
            <w:t>84</w:t>
          </w:r>
          <w:r>
            <w:fldChar w:fldCharType="end"/>
          </w:r>
          <w:r>
            <w:fldChar w:fldCharType="end"/>
          </w:r>
        </w:p>
        <w:p>
          <w:pPr>
            <w:pStyle w:val="14"/>
            <w:tabs>
              <w:tab w:val="right" w:leader="dot" w:pos="9524"/>
              <w:tab w:val="clear" w:pos="756"/>
              <w:tab w:val="clear" w:pos="966"/>
              <w:tab w:val="clear" w:pos="1204"/>
              <w:tab w:val="clear" w:pos="1442"/>
              <w:tab w:val="clear" w:pos="9514"/>
            </w:tabs>
          </w:pPr>
          <w:r>
            <w:fldChar w:fldCharType="begin"/>
          </w:r>
          <w:r>
            <w:instrText xml:space="preserve"> HYPERLINK \l "_Toc28070" </w:instrText>
          </w:r>
          <w:r>
            <w:fldChar w:fldCharType="separate"/>
          </w:r>
          <w:r>
            <w:rPr>
              <w:rFonts w:hint="eastAsia" w:eastAsia="宋体"/>
            </w:rPr>
            <w:t>附件十七、 商务评议对照表</w:t>
          </w:r>
          <w:r>
            <w:tab/>
          </w:r>
          <w:r>
            <w:fldChar w:fldCharType="begin"/>
          </w:r>
          <w:r>
            <w:instrText xml:space="preserve"> PAGEREF _Toc28070 </w:instrText>
          </w:r>
          <w:r>
            <w:fldChar w:fldCharType="separate"/>
          </w:r>
          <w:r>
            <w:t>85</w:t>
          </w:r>
          <w:r>
            <w:fldChar w:fldCharType="end"/>
          </w:r>
          <w:r>
            <w:fldChar w:fldCharType="end"/>
          </w:r>
        </w:p>
        <w:p>
          <w:pPr>
            <w:pStyle w:val="14"/>
            <w:tabs>
              <w:tab w:val="right" w:leader="dot" w:pos="9524"/>
              <w:tab w:val="clear" w:pos="756"/>
              <w:tab w:val="clear" w:pos="966"/>
              <w:tab w:val="clear" w:pos="1204"/>
              <w:tab w:val="clear" w:pos="1442"/>
              <w:tab w:val="clear" w:pos="9514"/>
            </w:tabs>
          </w:pPr>
          <w:r>
            <w:fldChar w:fldCharType="begin"/>
          </w:r>
          <w:r>
            <w:instrText xml:space="preserve"> HYPERLINK \l "_Toc17092" </w:instrText>
          </w:r>
          <w:r>
            <w:fldChar w:fldCharType="separate"/>
          </w:r>
          <w:r>
            <w:rPr>
              <w:rFonts w:hint="eastAsia" w:eastAsia="宋体"/>
            </w:rPr>
            <w:t>附件十八、 技术、服务要求响应、偏离说明表</w:t>
          </w:r>
          <w:r>
            <w:tab/>
          </w:r>
          <w:r>
            <w:fldChar w:fldCharType="begin"/>
          </w:r>
          <w:r>
            <w:instrText xml:space="preserve"> PAGEREF _Toc17092 </w:instrText>
          </w:r>
          <w:r>
            <w:fldChar w:fldCharType="separate"/>
          </w:r>
          <w:r>
            <w:t>86</w:t>
          </w:r>
          <w:r>
            <w:fldChar w:fldCharType="end"/>
          </w:r>
          <w:r>
            <w:fldChar w:fldCharType="end"/>
          </w:r>
        </w:p>
        <w:p>
          <w:pPr>
            <w:pStyle w:val="14"/>
            <w:tabs>
              <w:tab w:val="right" w:leader="dot" w:pos="9524"/>
              <w:tab w:val="clear" w:pos="756"/>
              <w:tab w:val="clear" w:pos="966"/>
              <w:tab w:val="clear" w:pos="1204"/>
              <w:tab w:val="clear" w:pos="1442"/>
              <w:tab w:val="clear" w:pos="9514"/>
            </w:tabs>
          </w:pPr>
          <w:r>
            <w:fldChar w:fldCharType="begin"/>
          </w:r>
          <w:r>
            <w:instrText xml:space="preserve"> HYPERLINK \l "_Toc8218" </w:instrText>
          </w:r>
          <w:r>
            <w:fldChar w:fldCharType="separate"/>
          </w:r>
          <w:r>
            <w:rPr>
              <w:rFonts w:hint="eastAsia" w:eastAsia="宋体"/>
            </w:rPr>
            <w:t>附件十九、 技术、服务要求“★”号条款响应、偏离说明表</w:t>
          </w:r>
          <w:r>
            <w:tab/>
          </w:r>
          <w:r>
            <w:fldChar w:fldCharType="begin"/>
          </w:r>
          <w:r>
            <w:instrText xml:space="preserve"> PAGEREF _Toc8218 </w:instrText>
          </w:r>
          <w:r>
            <w:fldChar w:fldCharType="separate"/>
          </w:r>
          <w:r>
            <w:t>87</w:t>
          </w:r>
          <w:r>
            <w:fldChar w:fldCharType="end"/>
          </w:r>
          <w:r>
            <w:fldChar w:fldCharType="end"/>
          </w:r>
        </w:p>
        <w:p>
          <w:pPr>
            <w:pStyle w:val="14"/>
            <w:tabs>
              <w:tab w:val="right" w:leader="dot" w:pos="9524"/>
              <w:tab w:val="clear" w:pos="756"/>
              <w:tab w:val="clear" w:pos="966"/>
              <w:tab w:val="clear" w:pos="1204"/>
              <w:tab w:val="clear" w:pos="1442"/>
              <w:tab w:val="clear" w:pos="9514"/>
            </w:tabs>
          </w:pPr>
          <w:r>
            <w:fldChar w:fldCharType="begin"/>
          </w:r>
          <w:r>
            <w:instrText xml:space="preserve"> HYPERLINK \l "_Toc10806" </w:instrText>
          </w:r>
          <w:r>
            <w:fldChar w:fldCharType="separate"/>
          </w:r>
          <w:r>
            <w:rPr>
              <w:rFonts w:hint="eastAsia" w:eastAsia="宋体"/>
            </w:rPr>
            <w:t>附件二十、 技术、服务评议对照表</w:t>
          </w:r>
          <w:r>
            <w:tab/>
          </w:r>
          <w:r>
            <w:fldChar w:fldCharType="begin"/>
          </w:r>
          <w:r>
            <w:instrText xml:space="preserve"> PAGEREF _Toc10806 </w:instrText>
          </w:r>
          <w:r>
            <w:fldChar w:fldCharType="separate"/>
          </w:r>
          <w:r>
            <w:t>88</w:t>
          </w:r>
          <w:r>
            <w:fldChar w:fldCharType="end"/>
          </w:r>
          <w:r>
            <w:fldChar w:fldCharType="end"/>
          </w:r>
        </w:p>
        <w:p>
          <w:pPr>
            <w:pStyle w:val="13"/>
            <w:tabs>
              <w:tab w:val="left" w:pos="1260"/>
              <w:tab w:val="right" w:leader="dot" w:pos="9514"/>
            </w:tabs>
          </w:pPr>
          <w:r>
            <w:fldChar w:fldCharType="end"/>
          </w:r>
          <w:r>
            <w:rPr>
              <w:b w:val="0"/>
              <w:bCs/>
              <w:lang w:val="zh-CN"/>
            </w:rPr>
            <w:tab/>
          </w:r>
        </w:p>
      </w:sdtContent>
    </w:sdt>
    <w:p>
      <w:pPr>
        <w:rPr>
          <w:color w:val="000000" w:themeColor="text1"/>
        </w:rPr>
      </w:pPr>
      <w:r>
        <w:rPr>
          <w:color w:val="000000" w:themeColor="text1"/>
        </w:rPr>
        <w:br w:type="page"/>
      </w:r>
    </w:p>
    <w:p>
      <w:pPr>
        <w:pStyle w:val="3"/>
        <w:numPr>
          <w:ilvl w:val="0"/>
          <w:numId w:val="1"/>
        </w:numPr>
        <w:spacing w:before="240" w:after="120"/>
        <w:ind w:left="883" w:hanging="880" w:hangingChars="200"/>
        <w:jc w:val="center"/>
        <w:rPr>
          <w:rFonts w:ascii="黑体" w:hAnsi="黑体" w:eastAsia="黑体"/>
          <w:color w:val="000000" w:themeColor="text1"/>
        </w:rPr>
      </w:pPr>
      <w:bookmarkStart w:id="0" w:name="_Toc23548"/>
      <w:r>
        <w:rPr>
          <w:rFonts w:hint="eastAsia" w:ascii="黑体" w:hAnsi="黑体" w:eastAsia="黑体"/>
          <w:color w:val="000000" w:themeColor="text1"/>
        </w:rPr>
        <w:t>投标邀请书</w:t>
      </w:r>
      <w:bookmarkEnd w:id="0"/>
    </w:p>
    <w:p>
      <w:pPr>
        <w:pStyle w:val="17"/>
        <w:widowControl/>
        <w:pBdr>
          <w:top w:val="single" w:color="auto" w:sz="6" w:space="0"/>
          <w:left w:val="single" w:color="auto" w:sz="6" w:space="3"/>
          <w:bottom w:val="single" w:color="auto" w:sz="6" w:space="0"/>
          <w:right w:val="single" w:color="auto" w:sz="6" w:space="3"/>
        </w:pBdr>
        <w:spacing w:beforeAutospacing="0" w:afterAutospacing="0" w:line="360" w:lineRule="auto"/>
        <w:ind w:firstLine="720"/>
        <w:rPr>
          <w:rFonts w:ascii="宋体" w:hAnsi="宋体" w:eastAsia="宋体"/>
          <w:color w:val="000000" w:themeColor="text1"/>
          <w:szCs w:val="24"/>
        </w:rPr>
      </w:pPr>
      <w:r>
        <w:rPr>
          <w:rFonts w:hint="eastAsia" w:ascii="宋体" w:hAnsi="宋体" w:cs="宋体"/>
          <w:szCs w:val="24"/>
          <w:shd w:val="clear" w:color="auto" w:fill="FFFFFF"/>
        </w:rPr>
        <w:t>阳新县基层医疗机构设备购置项目</w:t>
      </w:r>
      <w:r>
        <w:rPr>
          <w:rFonts w:hint="eastAsia" w:ascii="宋体" w:hAnsi="宋体" w:eastAsia="宋体" w:cs="宋体"/>
          <w:szCs w:val="24"/>
          <w:shd w:val="clear" w:color="auto" w:fill="FFFFFF"/>
        </w:rPr>
        <w:t>的潜在投标人应在“湖北省政府采购网”、“黄石市公共资源交易信息网”及“阳新县人民政府网”获取招标文件，并于</w:t>
      </w:r>
      <w:r>
        <w:rPr>
          <w:rFonts w:hint="eastAsia" w:ascii="宋体" w:hAnsi="宋体" w:eastAsia="宋体" w:cs="宋体"/>
          <w:szCs w:val="24"/>
          <w:u w:val="single"/>
          <w:shd w:val="clear" w:color="auto" w:fill="FFFFFF"/>
        </w:rPr>
        <w:t>2020</w:t>
      </w:r>
      <w:r>
        <w:rPr>
          <w:rFonts w:hint="eastAsia" w:ascii="宋体" w:hAnsi="宋体" w:eastAsia="宋体" w:cs="宋体"/>
          <w:szCs w:val="24"/>
          <w:shd w:val="clear" w:color="auto" w:fill="FFFFFF"/>
        </w:rPr>
        <w:t>年</w:t>
      </w:r>
      <w:r>
        <w:rPr>
          <w:rFonts w:hint="eastAsia" w:ascii="宋体" w:hAnsi="宋体" w:eastAsia="宋体" w:cs="宋体"/>
          <w:szCs w:val="24"/>
          <w:u w:val="single"/>
          <w:shd w:val="clear" w:color="auto" w:fill="FFFFFF"/>
          <w:lang w:val="en-US" w:eastAsia="zh-CN"/>
        </w:rPr>
        <w:t>9</w:t>
      </w:r>
      <w:r>
        <w:rPr>
          <w:rFonts w:hint="eastAsia" w:ascii="宋体" w:hAnsi="宋体" w:eastAsia="宋体" w:cs="宋体"/>
          <w:szCs w:val="24"/>
          <w:shd w:val="clear" w:color="auto" w:fill="FFFFFF"/>
        </w:rPr>
        <w:t>月</w:t>
      </w:r>
      <w:r>
        <w:rPr>
          <w:rFonts w:hint="eastAsia" w:ascii="宋体" w:hAnsi="宋体" w:eastAsia="宋体" w:cs="宋体"/>
          <w:szCs w:val="24"/>
          <w:u w:val="single"/>
          <w:shd w:val="clear" w:color="auto" w:fill="FFFFFF"/>
        </w:rPr>
        <w:t xml:space="preserve"> </w:t>
      </w:r>
      <w:r>
        <w:rPr>
          <w:rFonts w:hint="eastAsia" w:ascii="宋体" w:hAnsi="宋体" w:eastAsia="宋体" w:cs="宋体"/>
          <w:szCs w:val="24"/>
          <w:u w:val="single"/>
          <w:shd w:val="clear" w:color="auto" w:fill="FFFFFF"/>
          <w:lang w:val="en-US" w:eastAsia="zh-CN"/>
        </w:rPr>
        <w:t>30</w:t>
      </w:r>
      <w:r>
        <w:rPr>
          <w:rFonts w:hint="eastAsia" w:ascii="宋体" w:hAnsi="宋体" w:eastAsia="宋体" w:cs="宋体"/>
          <w:szCs w:val="24"/>
          <w:shd w:val="clear" w:color="auto" w:fill="FFFFFF"/>
        </w:rPr>
        <w:t>日</w:t>
      </w:r>
      <w:r>
        <w:rPr>
          <w:rFonts w:hint="eastAsia" w:ascii="宋体" w:hAnsi="宋体" w:eastAsia="宋体" w:cs="宋体"/>
          <w:szCs w:val="24"/>
          <w:u w:val="single"/>
          <w:shd w:val="clear" w:color="auto" w:fill="FFFFFF"/>
          <w:lang w:val="en-US" w:eastAsia="zh-CN"/>
        </w:rPr>
        <w:t>15</w:t>
      </w:r>
      <w:r>
        <w:rPr>
          <w:rFonts w:hint="eastAsia" w:ascii="宋体" w:hAnsi="宋体" w:eastAsia="宋体" w:cs="宋体"/>
          <w:szCs w:val="24"/>
          <w:shd w:val="clear" w:color="auto" w:fill="FFFFFF"/>
        </w:rPr>
        <w:t>点00分(北京时间）前递交投标文件。</w:t>
      </w:r>
    </w:p>
    <w:p>
      <w:pPr>
        <w:pStyle w:val="17"/>
        <w:widowControl/>
        <w:spacing w:beforeAutospacing="0" w:afterAutospacing="0" w:line="500" w:lineRule="exact"/>
        <w:ind w:firstLine="420"/>
      </w:pPr>
      <w:r>
        <w:rPr>
          <w:rStyle w:val="21"/>
          <w:rFonts w:hint="eastAsia" w:ascii="宋体" w:hAnsi="宋体" w:eastAsia="宋体" w:cs="宋体"/>
          <w:szCs w:val="24"/>
          <w:shd w:val="clear" w:color="auto" w:fill="FFFFFF"/>
        </w:rPr>
        <w:t>一、项目基本情况</w:t>
      </w:r>
    </w:p>
    <w:p>
      <w:pPr>
        <w:spacing w:line="500" w:lineRule="exact"/>
        <w:ind w:firstLine="480" w:firstLineChars="200"/>
        <w:rPr>
          <w:rFonts w:eastAsia="宋体"/>
        </w:rPr>
      </w:pPr>
      <w:r>
        <w:rPr>
          <w:rFonts w:hint="eastAsia" w:ascii="宋体" w:hAnsi="宋体" w:eastAsia="宋体" w:cs="宋体"/>
          <w:sz w:val="24"/>
          <w:szCs w:val="24"/>
          <w:shd w:val="clear" w:color="auto" w:fill="FFFFFF"/>
        </w:rPr>
        <w:t>项目编号：131-2020CG-167</w:t>
      </w:r>
      <w:r>
        <w:rPr>
          <w:rFonts w:hint="eastAsia" w:ascii="宋体" w:hAnsi="宋体" w:eastAsia="宋体" w:cs="宋体"/>
          <w:kern w:val="0"/>
          <w:sz w:val="24"/>
          <w:szCs w:val="24"/>
          <w:shd w:val="clear" w:color="auto" w:fill="FFFFFF"/>
          <w:lang w:bidi="ar"/>
        </w:rPr>
        <w:t>（政府采购备案号：阳财采计备[2020]A</w:t>
      </w:r>
      <w:r>
        <w:rPr>
          <w:rFonts w:hint="eastAsia" w:ascii="宋体" w:hAnsi="宋体" w:cs="宋体"/>
          <w:kern w:val="0"/>
          <w:sz w:val="24"/>
          <w:szCs w:val="24"/>
          <w:u w:val="single"/>
          <w:shd w:val="clear" w:color="auto" w:fill="FFFFFF"/>
          <w:lang w:bidi="ar"/>
        </w:rPr>
        <w:t>138</w:t>
      </w:r>
      <w:r>
        <w:rPr>
          <w:rFonts w:hint="eastAsia" w:ascii="宋体" w:hAnsi="宋体" w:eastAsia="宋体" w:cs="宋体"/>
          <w:kern w:val="0"/>
          <w:sz w:val="24"/>
          <w:szCs w:val="24"/>
          <w:shd w:val="clear" w:color="auto" w:fill="FFFFFF"/>
          <w:lang w:bidi="ar"/>
        </w:rPr>
        <w:t>号）</w:t>
      </w:r>
    </w:p>
    <w:p>
      <w:pPr>
        <w:pStyle w:val="17"/>
        <w:widowControl/>
        <w:spacing w:beforeAutospacing="0" w:afterAutospacing="0" w:line="500" w:lineRule="exact"/>
        <w:ind w:firstLine="480"/>
        <w:rPr>
          <w:rFonts w:eastAsia="宋体"/>
        </w:rPr>
      </w:pPr>
      <w:r>
        <w:rPr>
          <w:rFonts w:hint="eastAsia" w:ascii="宋体" w:hAnsi="宋体" w:eastAsia="宋体" w:cs="宋体"/>
          <w:szCs w:val="24"/>
          <w:shd w:val="clear" w:color="auto" w:fill="FFFFFF"/>
        </w:rPr>
        <w:t>项目名称：</w:t>
      </w:r>
      <w:r>
        <w:rPr>
          <w:rFonts w:hint="eastAsia" w:ascii="宋体" w:hAnsi="宋体" w:cs="宋体"/>
          <w:szCs w:val="24"/>
          <w:shd w:val="clear" w:color="auto" w:fill="FFFFFF"/>
        </w:rPr>
        <w:t>阳新县基层医疗机构设备购置项目</w:t>
      </w:r>
    </w:p>
    <w:p>
      <w:pPr>
        <w:pStyle w:val="17"/>
        <w:widowControl/>
        <w:spacing w:beforeAutospacing="0" w:afterAutospacing="0" w:line="360" w:lineRule="auto"/>
        <w:ind w:firstLine="480"/>
        <w:rPr>
          <w:rFonts w:ascii="宋体" w:hAnsi="宋体" w:eastAsia="宋体" w:cs="宋体"/>
          <w:szCs w:val="24"/>
          <w:shd w:val="clear" w:color="auto" w:fill="FFFFFF"/>
        </w:rPr>
      </w:pPr>
      <w:r>
        <w:rPr>
          <w:rFonts w:hint="eastAsia" w:ascii="宋体" w:hAnsi="宋体" w:eastAsia="宋体" w:cs="宋体"/>
          <w:szCs w:val="24"/>
          <w:shd w:val="clear" w:color="auto" w:fill="FFFFFF"/>
        </w:rPr>
        <w:t>预算金额：</w:t>
      </w:r>
      <w:r>
        <w:rPr>
          <w:rFonts w:hint="eastAsia" w:ascii="宋体" w:hAnsi="宋体" w:cs="宋体"/>
          <w:szCs w:val="24"/>
          <w:shd w:val="clear" w:color="auto" w:fill="FFFFFF"/>
        </w:rPr>
        <w:t>1198</w:t>
      </w:r>
      <w:r>
        <w:rPr>
          <w:rFonts w:hint="eastAsia" w:ascii="宋体" w:hAnsi="宋体" w:eastAsia="宋体" w:cs="宋体"/>
          <w:szCs w:val="24"/>
          <w:shd w:val="clear" w:color="auto" w:fill="FFFFFF"/>
        </w:rPr>
        <w:t>万元（超过此金额作为无效投标）</w:t>
      </w:r>
    </w:p>
    <w:p>
      <w:pPr>
        <w:pStyle w:val="17"/>
        <w:widowControl/>
        <w:spacing w:beforeAutospacing="0" w:afterAutospacing="0" w:line="360" w:lineRule="auto"/>
        <w:ind w:firstLine="480"/>
      </w:pPr>
      <w:r>
        <w:rPr>
          <w:rFonts w:hint="eastAsia" w:ascii="宋体" w:hAnsi="宋体" w:eastAsia="宋体" w:cs="宋体"/>
          <w:szCs w:val="24"/>
          <w:shd w:val="clear" w:color="auto" w:fill="FFFFFF"/>
        </w:rPr>
        <w:t>采购需求：基层医疗机构设备购置</w:t>
      </w:r>
      <w:r>
        <w:rPr>
          <w:rFonts w:hint="eastAsia" w:ascii="宋体" w:hAnsi="宋体" w:eastAsia="宋体" w:cs="宋体"/>
          <w:color w:val="0C0C0C"/>
          <w:szCs w:val="24"/>
          <w:shd w:val="clear" w:color="auto" w:fill="FFFFFF"/>
        </w:rPr>
        <w:t>（详见招标文件）</w:t>
      </w:r>
    </w:p>
    <w:p>
      <w:pPr>
        <w:pStyle w:val="17"/>
        <w:widowControl/>
        <w:spacing w:beforeAutospacing="0" w:afterAutospacing="0" w:line="500" w:lineRule="exact"/>
        <w:ind w:firstLine="480"/>
        <w:rPr>
          <w:rFonts w:eastAsia="宋体"/>
        </w:rPr>
      </w:pPr>
      <w:r>
        <w:rPr>
          <w:rFonts w:hint="eastAsia" w:ascii="宋体" w:hAnsi="宋体" w:eastAsia="宋体" w:cs="宋体"/>
          <w:szCs w:val="24"/>
          <w:shd w:val="clear" w:color="auto" w:fill="FFFFFF"/>
        </w:rPr>
        <w:t>合同履行期限：合同签定生效后50个日历天内完成交货及安装调试</w:t>
      </w:r>
    </w:p>
    <w:p>
      <w:pPr>
        <w:pStyle w:val="17"/>
        <w:widowControl/>
        <w:spacing w:beforeAutospacing="0" w:afterAutospacing="0" w:line="500" w:lineRule="exact"/>
        <w:ind w:firstLine="480"/>
      </w:pPr>
      <w:r>
        <w:rPr>
          <w:rFonts w:hint="eastAsia" w:ascii="宋体" w:hAnsi="宋体" w:eastAsia="宋体" w:cs="宋体"/>
          <w:szCs w:val="24"/>
          <w:shd w:val="clear" w:color="auto" w:fill="FFFFFF"/>
        </w:rPr>
        <w:t>本项目不接受联合体投标。</w:t>
      </w:r>
    </w:p>
    <w:p>
      <w:pPr>
        <w:pStyle w:val="17"/>
        <w:widowControl/>
        <w:spacing w:beforeAutospacing="0" w:afterAutospacing="0" w:line="500" w:lineRule="exact"/>
        <w:ind w:firstLine="420"/>
      </w:pPr>
      <w:r>
        <w:rPr>
          <w:rStyle w:val="21"/>
          <w:rFonts w:hint="eastAsia" w:ascii="宋体" w:hAnsi="宋体" w:eastAsia="宋体" w:cs="宋体"/>
          <w:szCs w:val="24"/>
          <w:shd w:val="clear" w:color="auto" w:fill="FFFFFF"/>
        </w:rPr>
        <w:t>二、申请人的资格要求：</w:t>
      </w:r>
    </w:p>
    <w:p>
      <w:pPr>
        <w:pStyle w:val="17"/>
        <w:widowControl/>
        <w:spacing w:beforeAutospacing="0" w:afterAutospacing="0" w:line="500" w:lineRule="exact"/>
        <w:ind w:firstLine="480"/>
      </w:pPr>
      <w:r>
        <w:rPr>
          <w:rFonts w:hint="eastAsia" w:ascii="宋体" w:hAnsi="宋体" w:eastAsia="宋体" w:cs="宋体"/>
          <w:szCs w:val="24"/>
          <w:shd w:val="clear" w:color="auto" w:fill="FFFFFF"/>
        </w:rPr>
        <w:t>1、应具备《政府采购法》第二十二条第一款规定的条件；</w:t>
      </w:r>
    </w:p>
    <w:p>
      <w:pPr>
        <w:pStyle w:val="17"/>
        <w:widowControl/>
        <w:spacing w:beforeAutospacing="0" w:afterAutospacing="0" w:line="500" w:lineRule="exact"/>
        <w:ind w:firstLine="480"/>
        <w:rPr>
          <w:rFonts w:ascii="宋体" w:hAnsi="宋体" w:eastAsia="宋体" w:cs="宋体"/>
          <w:szCs w:val="24"/>
          <w:shd w:val="clear" w:color="auto" w:fill="FFFFFF"/>
        </w:rPr>
      </w:pPr>
      <w:r>
        <w:rPr>
          <w:rFonts w:hint="eastAsia" w:ascii="宋体" w:hAnsi="宋体" w:eastAsia="宋体" w:cs="宋体"/>
          <w:szCs w:val="24"/>
          <w:shd w:val="clear" w:color="auto" w:fill="FFFFFF"/>
        </w:rPr>
        <w:t>2、参加本次政府采购活动前三年内，在经营活动中没有重大违法记录并须提交《参加政府采购活动前3年内在经营活动中没有重大违法记录的书面声明》，且必须未被列入"信用中国"网站(www.creditchina.gov.cn)失信被执行人（须提供网站截图）、重大税收违法案件当事人、政府采购严重违法失信行为记录名单；</w:t>
      </w:r>
    </w:p>
    <w:p>
      <w:pPr>
        <w:tabs>
          <w:tab w:val="left" w:pos="896"/>
        </w:tabs>
        <w:spacing w:line="360" w:lineRule="auto"/>
        <w:ind w:left="482"/>
        <w:rPr>
          <w:rFonts w:ascii="宋体" w:hAnsi="宋体" w:eastAsia="宋体" w:cs="Times New Roman"/>
          <w:bCs/>
          <w:color w:val="0C0C0C" w:themeColor="text1" w:themeTint="F2"/>
          <w:sz w:val="24"/>
          <w:szCs w:val="24"/>
        </w:rPr>
      </w:pPr>
      <w:r>
        <w:rPr>
          <w:rFonts w:hint="eastAsia" w:ascii="宋体" w:hAnsi="宋体" w:cs="Times New Roman"/>
          <w:bCs/>
          <w:color w:val="0C0C0C" w:themeColor="text1" w:themeTint="F2"/>
          <w:sz w:val="24"/>
          <w:szCs w:val="24"/>
        </w:rPr>
        <w:t>3、</w:t>
      </w:r>
      <w:r>
        <w:rPr>
          <w:rFonts w:hint="eastAsia" w:ascii="宋体" w:hAnsi="宋体" w:eastAsia="宋体" w:cs="Times New Roman"/>
          <w:bCs/>
          <w:color w:val="0C0C0C" w:themeColor="text1" w:themeTint="F2"/>
          <w:sz w:val="24"/>
          <w:szCs w:val="24"/>
        </w:rPr>
        <w:t>特定条件：</w:t>
      </w:r>
    </w:p>
    <w:p>
      <w:pPr>
        <w:adjustRightInd w:val="0"/>
        <w:snapToGrid w:val="0"/>
        <w:spacing w:line="360" w:lineRule="auto"/>
        <w:ind w:firstLine="480" w:firstLineChars="200"/>
        <w:rPr>
          <w:rFonts w:ascii="宋体" w:hAnsi="宋体" w:eastAsia="宋体" w:cs="宋体"/>
          <w:kern w:val="0"/>
          <w:sz w:val="24"/>
          <w:szCs w:val="24"/>
          <w:shd w:val="clear" w:color="auto" w:fill="FFFFFF"/>
          <w:lang w:bidi="ar"/>
        </w:rPr>
      </w:pPr>
      <w:r>
        <w:rPr>
          <w:rFonts w:hint="eastAsia" w:ascii="宋体" w:hAnsi="宋体" w:eastAsia="宋体" w:cs="宋体"/>
          <w:kern w:val="0"/>
          <w:sz w:val="24"/>
          <w:szCs w:val="24"/>
          <w:shd w:val="clear" w:color="auto" w:fill="FFFFFF"/>
          <w:lang w:bidi="ar"/>
        </w:rPr>
        <w:t>（1）供应商须具备医疗器械生产（经营）许可证；供应商为生产厂家的应具有《中华人民共和国医疗器械注册证》、《医疗器械生产许可证》、《医疗器械经营企业许可证》或《第二类医疗器械经营备案凭证》；如供应商为代理商的则须提供《医疗器械经营企业许可证》或《第二类医疗器械经营备案凭证》以及产品的生产厂家的《中华人民共和国医疗器械注册证》、《医疗器械生产许可证》；</w:t>
      </w:r>
    </w:p>
    <w:p>
      <w:pPr>
        <w:tabs>
          <w:tab w:val="left" w:pos="896"/>
        </w:tabs>
        <w:spacing w:line="360" w:lineRule="auto"/>
        <w:ind w:left="482"/>
        <w:rPr>
          <w:rFonts w:ascii="宋体" w:hAnsi="宋体" w:eastAsia="宋体" w:cs="Times New Roman"/>
          <w:bCs/>
          <w:color w:val="0C0C0C" w:themeColor="text1" w:themeTint="F2"/>
          <w:sz w:val="24"/>
          <w:szCs w:val="24"/>
        </w:rPr>
      </w:pPr>
      <w:r>
        <w:rPr>
          <w:rFonts w:hint="eastAsia" w:ascii="宋体" w:hAnsi="宋体" w:cs="Times New Roman"/>
          <w:bCs/>
          <w:color w:val="0C0C0C" w:themeColor="text1" w:themeTint="F2"/>
          <w:sz w:val="24"/>
          <w:szCs w:val="24"/>
        </w:rPr>
        <w:t>4、</w:t>
      </w:r>
      <w:r>
        <w:rPr>
          <w:rFonts w:hint="eastAsia" w:ascii="宋体" w:hAnsi="宋体" w:eastAsia="宋体" w:cs="Times New Roman"/>
          <w:bCs/>
          <w:color w:val="0C0C0C" w:themeColor="text1" w:themeTint="F2"/>
          <w:sz w:val="24"/>
          <w:szCs w:val="24"/>
        </w:rPr>
        <w:t>本项目不接受进口设备产品的投标。</w:t>
      </w:r>
    </w:p>
    <w:p>
      <w:pPr>
        <w:tabs>
          <w:tab w:val="left" w:pos="896"/>
        </w:tabs>
        <w:spacing w:line="360" w:lineRule="auto"/>
        <w:ind w:left="482"/>
        <w:rPr>
          <w:rFonts w:ascii="宋体" w:hAnsi="宋体" w:eastAsia="宋体" w:cs="Times New Roman"/>
          <w:bCs/>
          <w:color w:val="0C0C0C" w:themeColor="text1" w:themeTint="F2"/>
          <w:sz w:val="24"/>
          <w:szCs w:val="24"/>
        </w:rPr>
      </w:pPr>
      <w:r>
        <w:rPr>
          <w:rFonts w:hint="eastAsia" w:ascii="宋体" w:hAnsi="宋体" w:cs="Times New Roman"/>
          <w:bCs/>
          <w:color w:val="0C0C0C" w:themeColor="text1" w:themeTint="F2"/>
          <w:sz w:val="24"/>
          <w:szCs w:val="24"/>
        </w:rPr>
        <w:t>5、</w:t>
      </w:r>
      <w:r>
        <w:rPr>
          <w:rFonts w:hint="eastAsia" w:ascii="宋体" w:hAnsi="宋体" w:eastAsia="宋体" w:cs="Times New Roman"/>
          <w:bCs/>
          <w:color w:val="0C0C0C" w:themeColor="text1" w:themeTint="F2"/>
          <w:sz w:val="24"/>
          <w:szCs w:val="24"/>
        </w:rPr>
        <w:t>本项目不接受联合体形式的投标。</w:t>
      </w:r>
    </w:p>
    <w:p>
      <w:pPr>
        <w:pStyle w:val="17"/>
        <w:widowControl/>
        <w:spacing w:beforeAutospacing="0" w:afterAutospacing="0" w:line="500" w:lineRule="exact"/>
        <w:ind w:firstLine="420"/>
      </w:pPr>
      <w:r>
        <w:rPr>
          <w:rStyle w:val="21"/>
          <w:rFonts w:hint="eastAsia" w:ascii="宋体" w:hAnsi="宋体" w:eastAsia="宋体" w:cs="宋体"/>
          <w:szCs w:val="24"/>
          <w:shd w:val="clear" w:color="auto" w:fill="FFFFFF"/>
        </w:rPr>
        <w:t>三、获取招标文件</w:t>
      </w:r>
    </w:p>
    <w:p>
      <w:pPr>
        <w:pStyle w:val="17"/>
        <w:widowControl/>
        <w:spacing w:beforeAutospacing="0" w:afterAutospacing="0" w:line="500" w:lineRule="exact"/>
        <w:ind w:firstLine="480"/>
      </w:pPr>
      <w:r>
        <w:rPr>
          <w:rFonts w:hint="eastAsia" w:ascii="宋体" w:hAnsi="宋体" w:eastAsia="宋体" w:cs="宋体"/>
          <w:szCs w:val="24"/>
          <w:shd w:val="clear" w:color="auto" w:fill="FFFFFF"/>
        </w:rPr>
        <w:t>时间：</w:t>
      </w:r>
      <w:r>
        <w:rPr>
          <w:rFonts w:hint="eastAsia" w:ascii="宋体" w:hAnsi="宋体" w:eastAsia="宋体" w:cs="宋体"/>
          <w:szCs w:val="24"/>
          <w:u w:val="single"/>
          <w:shd w:val="clear" w:color="auto" w:fill="FFFFFF"/>
        </w:rPr>
        <w:t>2020</w:t>
      </w:r>
      <w:r>
        <w:rPr>
          <w:rFonts w:hint="eastAsia" w:ascii="宋体" w:hAnsi="宋体" w:eastAsia="宋体" w:cs="宋体"/>
          <w:szCs w:val="24"/>
          <w:shd w:val="clear" w:color="auto" w:fill="FFFFFF"/>
        </w:rPr>
        <w:t>年</w:t>
      </w:r>
      <w:r>
        <w:rPr>
          <w:rFonts w:hint="eastAsia" w:ascii="宋体" w:hAnsi="宋体" w:eastAsia="宋体" w:cs="宋体"/>
          <w:szCs w:val="24"/>
          <w:u w:val="single"/>
          <w:shd w:val="clear" w:color="auto" w:fill="FFFFFF"/>
          <w:lang w:val="en-US" w:eastAsia="zh-CN"/>
        </w:rPr>
        <w:t>9</w:t>
      </w:r>
      <w:r>
        <w:rPr>
          <w:rFonts w:hint="eastAsia" w:ascii="宋体" w:hAnsi="宋体" w:eastAsia="宋体" w:cs="宋体"/>
          <w:szCs w:val="24"/>
          <w:shd w:val="clear" w:color="auto" w:fill="FFFFFF"/>
        </w:rPr>
        <w:t>月</w:t>
      </w:r>
      <w:r>
        <w:rPr>
          <w:rFonts w:hint="eastAsia" w:ascii="宋体" w:hAnsi="宋体" w:eastAsia="宋体" w:cs="宋体"/>
          <w:szCs w:val="24"/>
          <w:u w:val="single"/>
          <w:shd w:val="clear" w:color="auto" w:fill="FFFFFF"/>
          <w:lang w:val="en-US" w:eastAsia="zh-CN"/>
        </w:rPr>
        <w:t>9</w:t>
      </w:r>
      <w:r>
        <w:rPr>
          <w:rFonts w:hint="eastAsia" w:ascii="宋体" w:hAnsi="宋体" w:eastAsia="宋体" w:cs="宋体"/>
          <w:szCs w:val="24"/>
          <w:shd w:val="clear" w:color="auto" w:fill="FFFFFF"/>
        </w:rPr>
        <w:t>日至</w:t>
      </w:r>
      <w:r>
        <w:rPr>
          <w:rFonts w:hint="eastAsia" w:ascii="宋体" w:hAnsi="宋体" w:eastAsia="宋体" w:cs="宋体"/>
          <w:szCs w:val="24"/>
          <w:u w:val="single"/>
          <w:shd w:val="clear" w:color="auto" w:fill="FFFFFF"/>
        </w:rPr>
        <w:t>2020</w:t>
      </w:r>
      <w:r>
        <w:rPr>
          <w:rFonts w:hint="eastAsia" w:ascii="宋体" w:hAnsi="宋体" w:eastAsia="宋体" w:cs="宋体"/>
          <w:szCs w:val="24"/>
          <w:shd w:val="clear" w:color="auto" w:fill="FFFFFF"/>
        </w:rPr>
        <w:t>年</w:t>
      </w:r>
      <w:r>
        <w:rPr>
          <w:rFonts w:hint="eastAsia" w:ascii="宋体" w:hAnsi="宋体" w:eastAsia="宋体" w:cs="宋体"/>
          <w:szCs w:val="24"/>
          <w:u w:val="single"/>
          <w:shd w:val="clear" w:color="auto" w:fill="FFFFFF"/>
        </w:rPr>
        <w:t xml:space="preserve"> </w:t>
      </w:r>
      <w:r>
        <w:rPr>
          <w:rFonts w:hint="eastAsia" w:ascii="宋体" w:hAnsi="宋体" w:eastAsia="宋体" w:cs="宋体"/>
          <w:szCs w:val="24"/>
          <w:u w:val="single"/>
          <w:shd w:val="clear" w:color="auto" w:fill="FFFFFF"/>
          <w:lang w:val="en-US" w:eastAsia="zh-CN"/>
        </w:rPr>
        <w:t>9</w:t>
      </w:r>
      <w:r>
        <w:rPr>
          <w:rFonts w:hint="eastAsia" w:ascii="宋体" w:hAnsi="宋体" w:eastAsia="宋体" w:cs="宋体"/>
          <w:szCs w:val="24"/>
          <w:shd w:val="clear" w:color="auto" w:fill="FFFFFF"/>
        </w:rPr>
        <w:t>月</w:t>
      </w:r>
      <w:r>
        <w:rPr>
          <w:rFonts w:hint="eastAsia" w:ascii="宋体" w:hAnsi="宋体" w:eastAsia="宋体" w:cs="宋体"/>
          <w:szCs w:val="24"/>
          <w:u w:val="single"/>
          <w:shd w:val="clear" w:color="auto" w:fill="FFFFFF"/>
        </w:rPr>
        <w:t xml:space="preserve"> </w:t>
      </w:r>
      <w:r>
        <w:rPr>
          <w:rFonts w:hint="eastAsia" w:ascii="宋体" w:hAnsi="宋体" w:eastAsia="宋体" w:cs="宋体"/>
          <w:szCs w:val="24"/>
          <w:u w:val="single"/>
          <w:shd w:val="clear" w:color="auto" w:fill="FFFFFF"/>
          <w:lang w:val="en-US" w:eastAsia="zh-CN"/>
        </w:rPr>
        <w:t>16</w:t>
      </w:r>
      <w:r>
        <w:rPr>
          <w:rFonts w:hint="eastAsia" w:ascii="宋体" w:hAnsi="宋体" w:eastAsia="宋体" w:cs="宋体"/>
          <w:szCs w:val="24"/>
          <w:shd w:val="clear" w:color="auto" w:fill="FFFFFF"/>
        </w:rPr>
        <w:t>日17:30(北京时间)</w:t>
      </w:r>
    </w:p>
    <w:p>
      <w:pPr>
        <w:pStyle w:val="17"/>
        <w:widowControl/>
        <w:spacing w:beforeAutospacing="0" w:afterAutospacing="0" w:line="500" w:lineRule="exact"/>
        <w:ind w:firstLine="480"/>
      </w:pPr>
      <w:r>
        <w:rPr>
          <w:rFonts w:hint="eastAsia" w:ascii="宋体" w:hAnsi="宋体" w:eastAsia="宋体" w:cs="宋体"/>
          <w:szCs w:val="24"/>
          <w:shd w:val="clear" w:color="auto" w:fill="FFFFFF"/>
        </w:rPr>
        <w:t>招标文件下载：见附件</w:t>
      </w:r>
    </w:p>
    <w:p>
      <w:pPr>
        <w:pStyle w:val="17"/>
        <w:widowControl/>
        <w:numPr>
          <w:ilvl w:val="0"/>
          <w:numId w:val="2"/>
        </w:numPr>
        <w:spacing w:beforeAutospacing="0" w:afterAutospacing="0" w:line="500" w:lineRule="exact"/>
        <w:ind w:firstLine="420"/>
        <w:rPr>
          <w:rStyle w:val="21"/>
          <w:rFonts w:ascii="宋体" w:hAnsi="宋体" w:eastAsia="宋体" w:cs="宋体"/>
          <w:szCs w:val="24"/>
          <w:shd w:val="clear" w:color="auto" w:fill="FFFFFF"/>
        </w:rPr>
      </w:pPr>
      <w:r>
        <w:rPr>
          <w:rStyle w:val="21"/>
          <w:rFonts w:hint="eastAsia" w:ascii="宋体" w:hAnsi="宋体" w:eastAsia="宋体" w:cs="宋体"/>
          <w:szCs w:val="24"/>
          <w:shd w:val="clear" w:color="auto" w:fill="FFFFFF"/>
        </w:rPr>
        <w:t>提交投标文件截止时间、开标时间和地点</w:t>
      </w:r>
    </w:p>
    <w:p>
      <w:pPr>
        <w:pStyle w:val="17"/>
        <w:widowControl/>
        <w:spacing w:beforeAutospacing="0" w:afterAutospacing="0" w:line="360" w:lineRule="auto"/>
        <w:ind w:firstLine="480"/>
        <w:rPr>
          <w:rFonts w:ascii="宋体" w:hAnsi="宋体" w:eastAsia="宋体" w:cs="宋体"/>
          <w:szCs w:val="24"/>
          <w:shd w:val="clear" w:color="auto" w:fill="FFFFFF"/>
        </w:rPr>
      </w:pPr>
      <w:r>
        <w:rPr>
          <w:rFonts w:hint="eastAsia" w:ascii="宋体" w:hAnsi="宋体" w:eastAsia="宋体" w:cs="宋体"/>
          <w:szCs w:val="24"/>
        </w:rPr>
        <w:t>提交投标文件截止时间、开标时间</w:t>
      </w:r>
      <w:r>
        <w:rPr>
          <w:rFonts w:hint="eastAsia" w:ascii="宋体" w:hAnsi="宋体" w:eastAsia="宋体" w:cs="宋体"/>
          <w:szCs w:val="24"/>
          <w:shd w:val="clear" w:color="auto" w:fill="FFFFFF"/>
        </w:rPr>
        <w:t>：</w:t>
      </w:r>
      <w:r>
        <w:rPr>
          <w:rFonts w:hint="eastAsia" w:ascii="宋体" w:hAnsi="宋体" w:eastAsia="宋体" w:cs="宋体"/>
          <w:szCs w:val="24"/>
          <w:u w:val="single"/>
          <w:shd w:val="clear" w:color="auto" w:fill="FFFFFF"/>
        </w:rPr>
        <w:t>2020</w:t>
      </w:r>
      <w:r>
        <w:rPr>
          <w:rFonts w:hint="eastAsia" w:ascii="宋体" w:hAnsi="宋体" w:eastAsia="宋体" w:cs="宋体"/>
          <w:szCs w:val="24"/>
          <w:shd w:val="clear" w:color="auto" w:fill="FFFFFF"/>
        </w:rPr>
        <w:t>年</w:t>
      </w:r>
      <w:r>
        <w:rPr>
          <w:rFonts w:hint="eastAsia" w:ascii="宋体" w:hAnsi="宋体" w:eastAsia="宋体" w:cs="宋体"/>
          <w:szCs w:val="24"/>
          <w:u w:val="single"/>
          <w:shd w:val="clear" w:color="auto" w:fill="FFFFFF"/>
          <w:lang w:val="en-US" w:eastAsia="zh-CN"/>
        </w:rPr>
        <w:t>9</w:t>
      </w:r>
      <w:r>
        <w:rPr>
          <w:rFonts w:hint="eastAsia" w:ascii="宋体" w:hAnsi="宋体" w:eastAsia="宋体" w:cs="宋体"/>
          <w:szCs w:val="24"/>
          <w:shd w:val="clear" w:color="auto" w:fill="FFFFFF"/>
        </w:rPr>
        <w:t>月</w:t>
      </w:r>
      <w:r>
        <w:rPr>
          <w:rFonts w:hint="eastAsia" w:ascii="宋体" w:hAnsi="宋体" w:eastAsia="宋体" w:cs="宋体"/>
          <w:szCs w:val="24"/>
          <w:u w:val="single"/>
          <w:shd w:val="clear" w:color="auto" w:fill="FFFFFF"/>
          <w:lang w:val="en-US" w:eastAsia="zh-CN"/>
        </w:rPr>
        <w:t>30</w:t>
      </w:r>
      <w:r>
        <w:rPr>
          <w:rFonts w:hint="eastAsia" w:ascii="宋体" w:hAnsi="宋体" w:eastAsia="宋体" w:cs="宋体"/>
          <w:szCs w:val="24"/>
          <w:u w:val="single"/>
          <w:shd w:val="clear" w:color="auto" w:fill="FFFFFF"/>
        </w:rPr>
        <w:t xml:space="preserve"> </w:t>
      </w:r>
      <w:r>
        <w:rPr>
          <w:rFonts w:hint="eastAsia" w:ascii="宋体" w:hAnsi="宋体" w:eastAsia="宋体" w:cs="宋体"/>
          <w:szCs w:val="24"/>
          <w:shd w:val="clear" w:color="auto" w:fill="FFFFFF"/>
        </w:rPr>
        <w:t>日</w:t>
      </w:r>
      <w:r>
        <w:rPr>
          <w:rFonts w:hint="eastAsia" w:ascii="宋体" w:hAnsi="宋体" w:eastAsia="宋体" w:cs="宋体"/>
          <w:szCs w:val="24"/>
          <w:shd w:val="clear" w:color="auto" w:fill="FFFFFF"/>
          <w:lang w:val="en-US" w:eastAsia="zh-CN"/>
        </w:rPr>
        <w:t>15</w:t>
      </w:r>
      <w:r>
        <w:rPr>
          <w:rFonts w:hint="eastAsia" w:ascii="宋体" w:hAnsi="宋体" w:eastAsia="宋体" w:cs="宋体"/>
          <w:szCs w:val="24"/>
          <w:shd w:val="clear" w:color="auto" w:fill="FFFFFF"/>
        </w:rPr>
        <w:t>时00分（</w:t>
      </w:r>
      <w:r>
        <w:rPr>
          <w:rFonts w:hint="eastAsia" w:ascii="宋体" w:hAnsi="宋体" w:eastAsia="宋体" w:cs="宋体"/>
          <w:szCs w:val="24"/>
          <w:shd w:val="clear" w:color="auto" w:fill="FFFFFF"/>
          <w:lang w:val="en-US" w:eastAsia="zh-CN"/>
        </w:rPr>
        <w:t>14</w:t>
      </w:r>
      <w:bookmarkStart w:id="284" w:name="_GoBack"/>
      <w:bookmarkEnd w:id="284"/>
      <w:r>
        <w:rPr>
          <w:rFonts w:hint="eastAsia" w:ascii="宋体" w:hAnsi="宋体" w:eastAsia="宋体" w:cs="宋体"/>
          <w:szCs w:val="24"/>
          <w:shd w:val="clear" w:color="auto" w:fill="FFFFFF"/>
        </w:rPr>
        <w:t>时30分开始接收投标文件，拒收逾期送达或者未按招标文件要求密封的投标文件）</w:t>
      </w:r>
    </w:p>
    <w:p>
      <w:pPr>
        <w:pStyle w:val="17"/>
        <w:widowControl/>
        <w:spacing w:beforeAutospacing="0" w:afterAutospacing="0" w:line="360" w:lineRule="auto"/>
        <w:ind w:firstLine="480"/>
      </w:pPr>
      <w:r>
        <w:rPr>
          <w:rFonts w:hint="eastAsia" w:ascii="宋体" w:hAnsi="宋体" w:eastAsia="宋体" w:cs="宋体"/>
          <w:szCs w:val="24"/>
        </w:rPr>
        <w:t>提交投标文件地点</w:t>
      </w:r>
      <w:r>
        <w:rPr>
          <w:rFonts w:hint="eastAsia" w:ascii="宋体" w:hAnsi="宋体" w:eastAsia="宋体" w:cs="宋体"/>
          <w:szCs w:val="24"/>
          <w:shd w:val="clear" w:color="auto" w:fill="FFFFFF"/>
        </w:rPr>
        <w:t>：阳新县公共资源交易中心</w:t>
      </w:r>
      <w:r>
        <w:rPr>
          <w:rFonts w:hint="eastAsia" w:ascii="宋体" w:hAnsi="宋体" w:eastAsia="宋体" w:cs="宋体"/>
          <w:szCs w:val="24"/>
          <w:u w:val="single"/>
          <w:shd w:val="clear" w:color="auto" w:fill="FFFFFF"/>
        </w:rPr>
        <w:t xml:space="preserve">  二</w:t>
      </w:r>
      <w:r>
        <w:rPr>
          <w:rFonts w:hint="eastAsia" w:ascii="宋体" w:hAnsi="宋体" w:cs="宋体"/>
          <w:szCs w:val="24"/>
          <w:u w:val="single"/>
          <w:shd w:val="clear" w:color="auto" w:fill="FFFFFF"/>
        </w:rPr>
        <w:t xml:space="preserve"> </w:t>
      </w:r>
      <w:r>
        <w:rPr>
          <w:rFonts w:hint="eastAsia" w:ascii="宋体" w:hAnsi="宋体" w:eastAsia="宋体" w:cs="宋体"/>
          <w:szCs w:val="24"/>
          <w:u w:val="single"/>
          <w:shd w:val="clear" w:color="auto" w:fill="FFFFFF"/>
        </w:rPr>
        <w:t xml:space="preserve"> </w:t>
      </w:r>
      <w:r>
        <w:rPr>
          <w:rFonts w:hint="eastAsia" w:ascii="宋体" w:hAnsi="宋体" w:eastAsia="宋体" w:cs="宋体"/>
          <w:szCs w:val="24"/>
          <w:shd w:val="clear" w:color="auto" w:fill="FFFFFF"/>
        </w:rPr>
        <w:t>楼开标大厅（阳新县熊家垴安置小区东侧）</w:t>
      </w:r>
    </w:p>
    <w:p>
      <w:pPr>
        <w:pStyle w:val="17"/>
        <w:widowControl/>
        <w:spacing w:beforeAutospacing="0" w:afterAutospacing="0" w:line="360" w:lineRule="auto"/>
        <w:ind w:firstLine="420"/>
      </w:pPr>
      <w:r>
        <w:rPr>
          <w:rStyle w:val="21"/>
          <w:rFonts w:hint="eastAsia" w:ascii="宋体" w:hAnsi="宋体" w:eastAsia="宋体" w:cs="宋体"/>
          <w:szCs w:val="24"/>
          <w:shd w:val="clear" w:color="auto" w:fill="FFFFFF"/>
        </w:rPr>
        <w:t>五、公告期限</w:t>
      </w:r>
    </w:p>
    <w:p>
      <w:pPr>
        <w:pStyle w:val="17"/>
        <w:widowControl/>
        <w:spacing w:beforeAutospacing="0" w:afterAutospacing="0" w:line="360" w:lineRule="auto"/>
        <w:ind w:firstLine="480"/>
      </w:pPr>
      <w:r>
        <w:rPr>
          <w:rFonts w:hint="eastAsia" w:ascii="宋体" w:hAnsi="宋体" w:eastAsia="宋体" w:cs="宋体"/>
          <w:szCs w:val="24"/>
          <w:shd w:val="clear" w:color="auto" w:fill="FFFFFF"/>
        </w:rPr>
        <w:t>自本公告发布之日起5个工作日。</w:t>
      </w:r>
    </w:p>
    <w:p>
      <w:pPr>
        <w:pStyle w:val="17"/>
        <w:widowControl/>
        <w:spacing w:beforeAutospacing="0" w:afterAutospacing="0" w:line="360" w:lineRule="auto"/>
        <w:ind w:firstLine="420"/>
      </w:pPr>
      <w:r>
        <w:rPr>
          <w:rStyle w:val="21"/>
          <w:rFonts w:hint="eastAsia" w:ascii="宋体" w:hAnsi="宋体" w:eastAsia="宋体" w:cs="宋体"/>
          <w:szCs w:val="24"/>
          <w:shd w:val="clear" w:color="auto" w:fill="FFFFFF"/>
        </w:rPr>
        <w:t>六、其他补充事宜</w:t>
      </w:r>
    </w:p>
    <w:p>
      <w:pPr>
        <w:pStyle w:val="17"/>
        <w:widowControl/>
        <w:spacing w:beforeAutospacing="0" w:afterAutospacing="0" w:line="360" w:lineRule="auto"/>
        <w:ind w:firstLine="480"/>
      </w:pPr>
      <w:r>
        <w:rPr>
          <w:rFonts w:hint="eastAsia" w:ascii="宋体" w:hAnsi="宋体" w:eastAsia="宋体" w:cs="宋体"/>
          <w:szCs w:val="24"/>
          <w:shd w:val="clear" w:color="auto" w:fill="FFFFFF"/>
        </w:rPr>
        <w:t>1、落实政府采购强制、优先采购节能产品政策；政府采购优先采购环保产品政策；政府采购促进中小企业发展（监狱企业、残疾人福利性单位视同小微企业）等政策。</w:t>
      </w:r>
    </w:p>
    <w:p>
      <w:pPr>
        <w:pStyle w:val="17"/>
        <w:widowControl/>
        <w:spacing w:beforeAutospacing="0" w:afterAutospacing="0" w:line="360" w:lineRule="auto"/>
        <w:ind w:firstLine="480"/>
        <w:rPr>
          <w:rFonts w:ascii="宋体" w:hAnsi="宋体" w:eastAsia="宋体" w:cs="宋体"/>
          <w:szCs w:val="24"/>
          <w:shd w:val="clear" w:color="auto" w:fill="FFFFFF"/>
        </w:rPr>
      </w:pPr>
      <w:r>
        <w:rPr>
          <w:rFonts w:hint="eastAsia" w:ascii="宋体" w:hAnsi="宋体" w:eastAsia="宋体" w:cs="宋体"/>
          <w:szCs w:val="24"/>
          <w:shd w:val="clear" w:color="auto" w:fill="FFFFFF"/>
        </w:rPr>
        <w:t>2、是否专门面向中小企业、监狱企业、残疾人福利性单位：否。</w:t>
      </w:r>
    </w:p>
    <w:p>
      <w:pPr>
        <w:spacing w:line="5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3、</w:t>
      </w:r>
      <w:r>
        <w:rPr>
          <w:rFonts w:hint="eastAsia" w:ascii="宋体" w:hAnsi="宋体" w:eastAsia="宋体" w:cs="宋体"/>
          <w:kern w:val="0"/>
          <w:sz w:val="24"/>
          <w:szCs w:val="24"/>
          <w:lang w:val="zh-CN"/>
        </w:rPr>
        <w:t>投标人认为招标文件、招标过程和中标结果使自己的权益受到损害的，可以在知道或者应知其权益受到损害之日起7个工作日内，向采购人或代理公司提出质疑。</w:t>
      </w:r>
      <w:r>
        <w:rPr>
          <w:rFonts w:hint="eastAsia" w:ascii="宋体" w:hAnsi="宋体" w:eastAsia="宋体" w:cs="宋体"/>
          <w:kern w:val="0"/>
          <w:sz w:val="24"/>
          <w:szCs w:val="24"/>
        </w:rPr>
        <w:t>质疑时请提交书面质疑函一份（法人代表签字、加盖单位公章。具体要求详见本招标文件“第二章 投标人须知”中的第八条之规定），并附相关证据材料。</w:t>
      </w:r>
    </w:p>
    <w:p>
      <w:pPr>
        <w:pStyle w:val="17"/>
        <w:widowControl/>
        <w:spacing w:beforeAutospacing="0" w:afterAutospacing="0" w:line="360" w:lineRule="auto"/>
        <w:ind w:firstLine="420"/>
      </w:pPr>
      <w:r>
        <w:rPr>
          <w:rStyle w:val="21"/>
          <w:rFonts w:hint="eastAsia" w:ascii="宋体" w:hAnsi="宋体" w:eastAsia="宋体" w:cs="宋体"/>
          <w:szCs w:val="24"/>
          <w:shd w:val="clear" w:color="auto" w:fill="FFFFFF"/>
        </w:rPr>
        <w:t>七、对本次招标提出询问，请按以下方式联系。</w:t>
      </w:r>
    </w:p>
    <w:p>
      <w:pPr>
        <w:pStyle w:val="17"/>
        <w:widowControl/>
        <w:spacing w:beforeAutospacing="0" w:afterAutospacing="0" w:line="360" w:lineRule="auto"/>
        <w:ind w:firstLine="320"/>
        <w:rPr>
          <w:rFonts w:ascii="宋体" w:hAnsi="宋体" w:eastAsia="宋体" w:cs="宋体"/>
          <w:szCs w:val="24"/>
        </w:rPr>
      </w:pPr>
      <w:r>
        <w:rPr>
          <w:rFonts w:hint="eastAsia" w:ascii="宋体" w:hAnsi="宋体" w:eastAsia="宋体" w:cs="宋体"/>
          <w:szCs w:val="24"/>
        </w:rPr>
        <w:t>1.采购人信息</w:t>
      </w:r>
    </w:p>
    <w:p>
      <w:pPr>
        <w:pStyle w:val="17"/>
        <w:widowControl/>
        <w:spacing w:beforeAutospacing="0" w:afterAutospacing="0" w:line="360" w:lineRule="auto"/>
        <w:ind w:firstLine="320"/>
        <w:rPr>
          <w:rFonts w:ascii="宋体" w:hAnsi="宋体" w:eastAsia="宋体" w:cs="宋体"/>
          <w:szCs w:val="24"/>
        </w:rPr>
      </w:pPr>
      <w:r>
        <w:rPr>
          <w:rFonts w:hint="eastAsia" w:ascii="宋体" w:hAnsi="宋体" w:eastAsia="宋体" w:cs="宋体"/>
          <w:szCs w:val="24"/>
        </w:rPr>
        <w:t>名    称：阳新县卫生健康局</w:t>
      </w:r>
    </w:p>
    <w:p>
      <w:pPr>
        <w:pStyle w:val="17"/>
        <w:widowControl/>
        <w:spacing w:beforeAutospacing="0" w:afterAutospacing="0" w:line="360" w:lineRule="auto"/>
        <w:ind w:firstLine="320"/>
        <w:rPr>
          <w:rFonts w:ascii="宋体" w:hAnsi="宋体" w:eastAsia="宋体" w:cs="宋体"/>
          <w:szCs w:val="24"/>
        </w:rPr>
      </w:pPr>
      <w:r>
        <w:rPr>
          <w:rFonts w:hint="eastAsia" w:ascii="宋体" w:hAnsi="宋体" w:eastAsia="宋体" w:cs="宋体"/>
          <w:szCs w:val="24"/>
        </w:rPr>
        <w:t xml:space="preserve">地    址：阳新县兴国镇 </w:t>
      </w:r>
    </w:p>
    <w:p>
      <w:pPr>
        <w:pStyle w:val="17"/>
        <w:widowControl/>
        <w:spacing w:beforeAutospacing="0" w:afterAutospacing="0" w:line="360" w:lineRule="auto"/>
        <w:ind w:firstLine="320"/>
        <w:rPr>
          <w:rFonts w:ascii="宋体" w:hAnsi="宋体" w:eastAsia="宋体" w:cs="宋体"/>
          <w:szCs w:val="24"/>
        </w:rPr>
      </w:pPr>
      <w:r>
        <w:rPr>
          <w:rFonts w:hint="eastAsia" w:ascii="宋体" w:hAnsi="宋体" w:eastAsia="宋体" w:cs="宋体"/>
          <w:szCs w:val="24"/>
        </w:rPr>
        <w:t>联系方式：徐晓红    13507232612</w:t>
      </w:r>
    </w:p>
    <w:p>
      <w:pPr>
        <w:pStyle w:val="17"/>
        <w:widowControl/>
        <w:spacing w:beforeAutospacing="0" w:afterAutospacing="0" w:line="360" w:lineRule="auto"/>
        <w:ind w:firstLine="320"/>
        <w:rPr>
          <w:rFonts w:ascii="宋体" w:hAnsi="宋体" w:eastAsia="宋体" w:cs="宋体"/>
          <w:szCs w:val="24"/>
        </w:rPr>
      </w:pPr>
      <w:r>
        <w:rPr>
          <w:rFonts w:hint="eastAsia" w:ascii="宋体" w:hAnsi="宋体" w:eastAsia="宋体" w:cs="宋体"/>
          <w:szCs w:val="24"/>
        </w:rPr>
        <w:t>2.采购代理机构信息</w:t>
      </w:r>
    </w:p>
    <w:p>
      <w:pPr>
        <w:pStyle w:val="17"/>
        <w:widowControl/>
        <w:spacing w:beforeAutospacing="0" w:afterAutospacing="0" w:line="360" w:lineRule="auto"/>
        <w:ind w:firstLine="320"/>
        <w:rPr>
          <w:rFonts w:ascii="宋体" w:hAnsi="宋体" w:eastAsia="宋体" w:cs="宋体"/>
          <w:szCs w:val="24"/>
        </w:rPr>
      </w:pPr>
      <w:r>
        <w:rPr>
          <w:rFonts w:hint="eastAsia" w:ascii="宋体" w:hAnsi="宋体" w:eastAsia="宋体" w:cs="宋体"/>
          <w:szCs w:val="24"/>
        </w:rPr>
        <w:t>名    称：衡正国际工程咨询有限公司</w:t>
      </w:r>
    </w:p>
    <w:p>
      <w:pPr>
        <w:pStyle w:val="17"/>
        <w:widowControl/>
        <w:spacing w:beforeAutospacing="0" w:afterAutospacing="0" w:line="360" w:lineRule="auto"/>
        <w:ind w:firstLine="320"/>
        <w:rPr>
          <w:rFonts w:ascii="宋体" w:hAnsi="宋体" w:eastAsia="宋体" w:cs="宋体"/>
          <w:szCs w:val="24"/>
        </w:rPr>
      </w:pPr>
      <w:r>
        <w:rPr>
          <w:rFonts w:hint="eastAsia" w:ascii="宋体" w:hAnsi="宋体" w:eastAsia="宋体" w:cs="宋体"/>
          <w:szCs w:val="24"/>
        </w:rPr>
        <w:t>地　　址：澜桥世家办公区1栋四楼</w:t>
      </w:r>
    </w:p>
    <w:p>
      <w:pPr>
        <w:pStyle w:val="17"/>
        <w:widowControl/>
        <w:spacing w:beforeAutospacing="0" w:afterAutospacing="0" w:line="360" w:lineRule="auto"/>
        <w:ind w:firstLine="320"/>
        <w:rPr>
          <w:rFonts w:ascii="宋体" w:hAnsi="宋体" w:eastAsia="宋体" w:cs="宋体"/>
          <w:szCs w:val="24"/>
        </w:rPr>
      </w:pPr>
      <w:r>
        <w:rPr>
          <w:rFonts w:hint="eastAsia" w:ascii="宋体" w:hAnsi="宋体" w:eastAsia="宋体" w:cs="宋体"/>
          <w:szCs w:val="24"/>
        </w:rPr>
        <w:t>联系方式：石林   13971196990</w:t>
      </w:r>
    </w:p>
    <w:p>
      <w:pPr>
        <w:pStyle w:val="17"/>
        <w:widowControl/>
        <w:spacing w:beforeAutospacing="0" w:afterAutospacing="0" w:line="360" w:lineRule="auto"/>
        <w:ind w:firstLine="320"/>
        <w:rPr>
          <w:rFonts w:ascii="宋体" w:hAnsi="宋体" w:eastAsia="宋体" w:cs="宋体"/>
          <w:szCs w:val="24"/>
        </w:rPr>
      </w:pPr>
      <w:r>
        <w:rPr>
          <w:rFonts w:hint="eastAsia" w:ascii="宋体" w:hAnsi="宋体" w:eastAsia="宋体" w:cs="宋体"/>
          <w:szCs w:val="24"/>
        </w:rPr>
        <w:t>3.项目联系方式</w:t>
      </w:r>
    </w:p>
    <w:p>
      <w:pPr>
        <w:pStyle w:val="17"/>
        <w:widowControl/>
        <w:spacing w:beforeAutospacing="0" w:afterAutospacing="0" w:line="360" w:lineRule="auto"/>
        <w:ind w:firstLine="320"/>
        <w:rPr>
          <w:rFonts w:ascii="宋体" w:hAnsi="宋体" w:eastAsia="宋体" w:cs="宋体"/>
          <w:szCs w:val="24"/>
        </w:rPr>
      </w:pPr>
      <w:r>
        <w:rPr>
          <w:rFonts w:hint="eastAsia" w:ascii="宋体" w:hAnsi="宋体" w:eastAsia="宋体" w:cs="宋体"/>
          <w:szCs w:val="24"/>
        </w:rPr>
        <w:t>项目联系人：石林</w:t>
      </w:r>
    </w:p>
    <w:p>
      <w:pPr>
        <w:pStyle w:val="17"/>
        <w:widowControl/>
        <w:spacing w:beforeAutospacing="0" w:afterAutospacing="0" w:line="360" w:lineRule="auto"/>
        <w:ind w:firstLine="320"/>
        <w:rPr>
          <w:rFonts w:ascii="宋体" w:hAnsi="宋体" w:eastAsia="宋体" w:cs="宋体"/>
          <w:szCs w:val="24"/>
        </w:rPr>
      </w:pPr>
      <w:r>
        <w:rPr>
          <w:rFonts w:hint="eastAsia" w:ascii="宋体" w:hAnsi="宋体" w:eastAsia="宋体" w:cs="宋体"/>
          <w:szCs w:val="24"/>
        </w:rPr>
        <w:t>电　　 话：13971196990</w:t>
      </w:r>
    </w:p>
    <w:p>
      <w:pPr>
        <w:pStyle w:val="17"/>
        <w:widowControl/>
        <w:spacing w:beforeAutospacing="0" w:afterAutospacing="0" w:line="360" w:lineRule="auto"/>
        <w:ind w:firstLine="480"/>
      </w:pPr>
      <w:r>
        <w:rPr>
          <w:rFonts w:hint="eastAsia" w:ascii="宋体" w:hAnsi="宋体" w:eastAsia="宋体" w:cs="宋体"/>
          <w:szCs w:val="24"/>
          <w:shd w:val="clear" w:color="auto" w:fill="FFFFFF"/>
        </w:rPr>
        <w:t> </w:t>
      </w:r>
    </w:p>
    <w:p>
      <w:pPr>
        <w:pStyle w:val="17"/>
        <w:widowControl/>
        <w:spacing w:beforeAutospacing="0" w:afterAutospacing="0" w:line="360" w:lineRule="auto"/>
        <w:ind w:firstLine="480"/>
        <w:jc w:val="right"/>
        <w:rPr>
          <w:rFonts w:ascii="宋体" w:hAnsi="宋体" w:cs="宋体"/>
          <w:szCs w:val="24"/>
          <w:shd w:val="clear" w:color="auto" w:fill="FFFFFF"/>
        </w:rPr>
      </w:pPr>
      <w:r>
        <w:rPr>
          <w:rFonts w:hint="eastAsia" w:ascii="宋体" w:hAnsi="宋体" w:cs="宋体"/>
          <w:szCs w:val="24"/>
          <w:shd w:val="clear" w:color="auto" w:fill="FFFFFF"/>
        </w:rPr>
        <w:t>衡正国际工程咨询有限公司</w:t>
      </w:r>
    </w:p>
    <w:p>
      <w:pPr>
        <w:pStyle w:val="17"/>
        <w:widowControl/>
        <w:spacing w:beforeAutospacing="0" w:afterAutospacing="0" w:line="360" w:lineRule="auto"/>
        <w:ind w:firstLine="480"/>
        <w:jc w:val="right"/>
      </w:pPr>
      <w:r>
        <w:rPr>
          <w:rFonts w:hint="eastAsia" w:ascii="宋体" w:hAnsi="宋体" w:eastAsia="宋体" w:cs="宋体"/>
          <w:szCs w:val="24"/>
          <w:u w:val="single"/>
          <w:shd w:val="clear" w:color="auto" w:fill="FFFFFF"/>
        </w:rPr>
        <w:t>2020</w:t>
      </w:r>
      <w:r>
        <w:rPr>
          <w:rFonts w:hint="eastAsia" w:ascii="宋体" w:hAnsi="宋体" w:eastAsia="宋体" w:cs="宋体"/>
          <w:szCs w:val="24"/>
          <w:shd w:val="clear" w:color="auto" w:fill="FFFFFF"/>
        </w:rPr>
        <w:t>年</w:t>
      </w:r>
      <w:r>
        <w:rPr>
          <w:rFonts w:hint="eastAsia" w:ascii="宋体" w:hAnsi="宋体" w:eastAsia="宋体" w:cs="宋体"/>
          <w:szCs w:val="24"/>
          <w:u w:val="single"/>
          <w:shd w:val="clear" w:color="auto" w:fill="FFFFFF"/>
        </w:rPr>
        <w:t>9</w:t>
      </w:r>
      <w:r>
        <w:rPr>
          <w:rFonts w:hint="eastAsia" w:ascii="宋体" w:hAnsi="宋体" w:eastAsia="宋体" w:cs="宋体"/>
          <w:szCs w:val="24"/>
          <w:shd w:val="clear" w:color="auto" w:fill="FFFFFF"/>
        </w:rPr>
        <w:t>月</w:t>
      </w:r>
      <w:r>
        <w:rPr>
          <w:rFonts w:hint="eastAsia" w:ascii="宋体" w:hAnsi="宋体" w:cs="宋体"/>
          <w:szCs w:val="24"/>
          <w:u w:val="single"/>
          <w:shd w:val="clear" w:color="auto" w:fill="FFFFFF"/>
        </w:rPr>
        <w:t>9</w:t>
      </w:r>
      <w:r>
        <w:rPr>
          <w:rFonts w:hint="eastAsia" w:ascii="宋体" w:hAnsi="宋体" w:eastAsia="宋体" w:cs="宋体"/>
          <w:szCs w:val="24"/>
          <w:shd w:val="clear" w:color="auto" w:fill="FFFFFF"/>
        </w:rPr>
        <w:t>日</w:t>
      </w:r>
    </w:p>
    <w:p>
      <w:pPr>
        <w:spacing w:line="360" w:lineRule="auto"/>
        <w:ind w:firstLine="560" w:firstLineChars="200"/>
        <w:jc w:val="right"/>
        <w:rPr>
          <w:color w:val="000000" w:themeColor="text1"/>
        </w:rPr>
      </w:pPr>
      <w:r>
        <w:rPr>
          <w:rFonts w:hint="eastAsia" w:ascii="宋体" w:hAnsi="宋体" w:eastAsia="宋体" w:cs="Times New Roman"/>
          <w:b/>
          <w:color w:val="000000" w:themeColor="text1"/>
          <w:sz w:val="28"/>
          <w:szCs w:val="28"/>
          <w:lang w:val="zh-CN"/>
        </w:rPr>
        <w:br w:type="page"/>
      </w:r>
    </w:p>
    <w:p>
      <w:pPr>
        <w:pStyle w:val="3"/>
        <w:numPr>
          <w:ilvl w:val="0"/>
          <w:numId w:val="1"/>
        </w:numPr>
        <w:spacing w:before="240" w:after="120"/>
        <w:ind w:left="883" w:hanging="880" w:hangingChars="200"/>
        <w:jc w:val="center"/>
        <w:rPr>
          <w:rFonts w:ascii="黑体" w:hAnsi="黑体" w:eastAsia="黑体"/>
          <w:color w:val="000000" w:themeColor="text1"/>
        </w:rPr>
      </w:pPr>
      <w:bookmarkStart w:id="1" w:name="_Toc30604"/>
      <w:r>
        <w:rPr>
          <w:rFonts w:hint="eastAsia" w:ascii="黑体" w:hAnsi="黑体" w:eastAsia="黑体"/>
          <w:color w:val="000000" w:themeColor="text1"/>
        </w:rPr>
        <w:t>投标人须知</w:t>
      </w:r>
      <w:bookmarkEnd w:id="1"/>
    </w:p>
    <w:p>
      <w:pPr>
        <w:keepNext/>
        <w:keepLines/>
        <w:spacing w:line="360" w:lineRule="auto"/>
        <w:jc w:val="center"/>
        <w:outlineLvl w:val="1"/>
        <w:rPr>
          <w:rFonts w:cs="Times New Roman" w:asciiTheme="majorEastAsia" w:hAnsiTheme="majorEastAsia" w:eastAsiaTheme="majorEastAsia"/>
          <w:b/>
          <w:bCs/>
          <w:color w:val="000000" w:themeColor="text1"/>
          <w:sz w:val="32"/>
          <w:szCs w:val="32"/>
          <w:lang w:val="zh-CN"/>
        </w:rPr>
      </w:pPr>
      <w:bookmarkStart w:id="2" w:name="_Toc29600"/>
      <w:bookmarkStart w:id="3" w:name="_Toc494561937"/>
      <w:r>
        <w:rPr>
          <w:rFonts w:cs="Times New Roman" w:asciiTheme="majorEastAsia" w:hAnsiTheme="majorEastAsia" w:eastAsiaTheme="majorEastAsia"/>
          <w:b/>
          <w:bCs/>
          <w:color w:val="000000" w:themeColor="text1"/>
          <w:sz w:val="32"/>
          <w:szCs w:val="32"/>
          <w:lang w:val="zh-CN"/>
        </w:rPr>
        <w:t>投标须知前附表</w:t>
      </w:r>
      <w:bookmarkEnd w:id="2"/>
      <w:bookmarkEnd w:id="3"/>
    </w:p>
    <w:tbl>
      <w:tblPr>
        <w:tblStyle w:val="18"/>
        <w:tblW w:w="9354" w:type="dxa"/>
        <w:tblInd w:w="12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6"/>
        <w:gridCol w:w="2208"/>
        <w:gridCol w:w="64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0" w:hRule="atLeast"/>
        </w:trPr>
        <w:tc>
          <w:tcPr>
            <w:tcW w:w="676" w:type="dxa"/>
            <w:tcBorders>
              <w:top w:val="single" w:color="auto" w:sz="4" w:space="0"/>
              <w:bottom w:val="single" w:color="auto" w:sz="4" w:space="0"/>
              <w:right w:val="single" w:color="auto" w:sz="4" w:space="0"/>
            </w:tcBorders>
            <w:vAlign w:val="center"/>
          </w:tcPr>
          <w:p>
            <w:pPr>
              <w:spacing w:line="276" w:lineRule="auto"/>
              <w:ind w:left="-52" w:leftChars="-25" w:right="-27" w:rightChars="-13"/>
              <w:jc w:val="center"/>
              <w:rPr>
                <w:rFonts w:ascii="宋体" w:hAnsi="宋体" w:eastAsia="宋体" w:cs="Times New Roman"/>
                <w:b/>
                <w:color w:val="000000" w:themeColor="text1"/>
                <w:sz w:val="24"/>
                <w:szCs w:val="24"/>
              </w:rPr>
            </w:pPr>
            <w:r>
              <w:rPr>
                <w:rFonts w:ascii="宋体" w:hAnsi="宋体" w:eastAsia="宋体" w:cs="Times New Roman"/>
                <w:b/>
                <w:color w:val="000000" w:themeColor="text1"/>
                <w:sz w:val="24"/>
                <w:szCs w:val="24"/>
              </w:rPr>
              <w:t>序号</w:t>
            </w:r>
          </w:p>
        </w:tc>
        <w:tc>
          <w:tcPr>
            <w:tcW w:w="2208" w:type="dxa"/>
            <w:tcBorders>
              <w:top w:val="single" w:color="auto" w:sz="4" w:space="0"/>
              <w:left w:val="single" w:color="auto" w:sz="4" w:space="0"/>
              <w:bottom w:val="single" w:color="auto" w:sz="4" w:space="0"/>
              <w:right w:val="single" w:color="auto" w:sz="4" w:space="0"/>
            </w:tcBorders>
            <w:vAlign w:val="center"/>
          </w:tcPr>
          <w:p>
            <w:pPr>
              <w:spacing w:line="276" w:lineRule="auto"/>
              <w:ind w:right="-11"/>
              <w:jc w:val="center"/>
              <w:rPr>
                <w:rFonts w:ascii="Times New Roman" w:hAnsi="Times New Roman" w:eastAsia="宋体" w:cs="Times New Roman"/>
                <w:b/>
                <w:color w:val="000000" w:themeColor="text1"/>
                <w:sz w:val="24"/>
                <w:szCs w:val="24"/>
              </w:rPr>
            </w:pPr>
            <w:r>
              <w:rPr>
                <w:rFonts w:hint="eastAsia" w:ascii="Times New Roman" w:hAnsi="宋体" w:eastAsia="宋体" w:cs="Times New Roman"/>
                <w:b/>
                <w:color w:val="000000" w:themeColor="text1"/>
                <w:sz w:val="24"/>
                <w:szCs w:val="24"/>
              </w:rPr>
              <w:t>名  称</w:t>
            </w:r>
          </w:p>
        </w:tc>
        <w:tc>
          <w:tcPr>
            <w:tcW w:w="6470" w:type="dxa"/>
            <w:tcBorders>
              <w:top w:val="single" w:color="auto" w:sz="4" w:space="0"/>
              <w:left w:val="single" w:color="auto" w:sz="4" w:space="0"/>
              <w:bottom w:val="single" w:color="auto" w:sz="4" w:space="0"/>
            </w:tcBorders>
            <w:vAlign w:val="center"/>
          </w:tcPr>
          <w:p>
            <w:pPr>
              <w:spacing w:line="276" w:lineRule="auto"/>
              <w:ind w:left="57" w:right="57" w:firstLine="482" w:firstLineChars="201"/>
              <w:jc w:val="center"/>
              <w:rPr>
                <w:rFonts w:ascii="Times New Roman" w:hAnsi="Times New Roman" w:eastAsia="宋体" w:cs="Times New Roman"/>
                <w:b/>
                <w:color w:val="000000" w:themeColor="text1"/>
                <w:sz w:val="24"/>
                <w:szCs w:val="24"/>
              </w:rPr>
            </w:pPr>
            <w:r>
              <w:rPr>
                <w:rFonts w:ascii="Times New Roman" w:hAnsi="宋体" w:eastAsia="宋体" w:cs="Times New Roman"/>
                <w:b/>
                <w:color w:val="000000" w:themeColor="text1"/>
                <w:sz w:val="24"/>
                <w:szCs w:val="24"/>
              </w:rPr>
              <w:t>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color w:val="000000" w:themeColor="text1"/>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 w:val="24"/>
                <w:szCs w:val="24"/>
              </w:rPr>
            </w:pPr>
            <w:r>
              <w:rPr>
                <w:rFonts w:ascii="Times New Roman" w:hAnsi="宋体" w:eastAsia="宋体" w:cs="Times New Roman"/>
                <w:color w:val="000000" w:themeColor="text1"/>
                <w:sz w:val="24"/>
                <w:szCs w:val="24"/>
              </w:rPr>
              <w:t>项目编号</w:t>
            </w:r>
          </w:p>
        </w:tc>
        <w:tc>
          <w:tcPr>
            <w:tcW w:w="6470" w:type="dxa"/>
            <w:tcBorders>
              <w:top w:val="single" w:color="auto" w:sz="4" w:space="0"/>
              <w:left w:val="single" w:color="auto" w:sz="4" w:space="0"/>
              <w:bottom w:val="single" w:color="auto" w:sz="4" w:space="0"/>
            </w:tcBorders>
            <w:vAlign w:val="center"/>
          </w:tcPr>
          <w:p>
            <w:pPr>
              <w:rPr>
                <w:rFonts w:hint="default" w:ascii="Times New Roman" w:hAnsi="Times New Roman" w:eastAsia="宋体" w:cs="Times New Roman"/>
                <w:color w:val="000000" w:themeColor="text1"/>
                <w:sz w:val="24"/>
                <w:szCs w:val="24"/>
                <w:lang w:val="en-US" w:eastAsia="zh-CN"/>
              </w:rPr>
            </w:pPr>
            <w:r>
              <w:rPr>
                <w:rFonts w:hint="eastAsia" w:ascii="宋体" w:hAnsi="宋体" w:eastAsia="宋体" w:cs="宋体"/>
                <w:b/>
                <w:bCs/>
                <w:color w:val="000000" w:themeColor="text1"/>
                <w:kern w:val="0"/>
                <w:sz w:val="24"/>
                <w:szCs w:val="24"/>
                <w:u w:val="single"/>
              </w:rPr>
              <w:t>131-2020CG-</w:t>
            </w:r>
            <w:r>
              <w:rPr>
                <w:rFonts w:hint="eastAsia" w:ascii="宋体" w:hAnsi="宋体" w:eastAsia="宋体" w:cs="宋体"/>
                <w:b/>
                <w:bCs/>
                <w:color w:val="000000" w:themeColor="text1"/>
                <w:kern w:val="0"/>
                <w:sz w:val="24"/>
                <w:szCs w:val="24"/>
                <w:u w:val="single"/>
                <w:lang w:val="en-US" w:eastAsia="zh-CN"/>
              </w:rPr>
              <w:t>167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color w:val="000000" w:themeColor="text1"/>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000000" w:themeColor="text1"/>
                <w:sz w:val="24"/>
                <w:szCs w:val="24"/>
              </w:rPr>
            </w:pPr>
            <w:r>
              <w:rPr>
                <w:rFonts w:ascii="Times New Roman" w:hAnsi="宋体" w:eastAsia="宋体" w:cs="Times New Roman"/>
                <w:color w:val="000000" w:themeColor="text1"/>
                <w:sz w:val="24"/>
                <w:szCs w:val="24"/>
              </w:rPr>
              <w:t>项目名称</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00000" w:themeColor="text1"/>
                <w:sz w:val="24"/>
                <w:szCs w:val="24"/>
              </w:rPr>
            </w:pPr>
            <w:r>
              <w:rPr>
                <w:rFonts w:hint="eastAsia" w:ascii="宋体" w:hAnsi="宋体" w:eastAsia="宋体" w:cs="宋体"/>
                <w:b/>
                <w:bCs/>
                <w:color w:val="000000" w:themeColor="text1"/>
                <w:kern w:val="0"/>
                <w:sz w:val="24"/>
                <w:szCs w:val="24"/>
                <w:u w:val="single"/>
              </w:rPr>
              <w:t>阳新县基层医疗机构设备购置项目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color w:val="000000" w:themeColor="text1"/>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000000" w:themeColor="text1"/>
                <w:sz w:val="24"/>
                <w:szCs w:val="24"/>
              </w:rPr>
            </w:pPr>
            <w:r>
              <w:rPr>
                <w:rFonts w:hint="eastAsia" w:ascii="Times New Roman" w:hAnsi="宋体" w:eastAsia="宋体" w:cs="Times New Roman"/>
                <w:color w:val="000000" w:themeColor="text1"/>
                <w:sz w:val="24"/>
                <w:szCs w:val="24"/>
              </w:rPr>
              <w:t>项目属性</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货物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color w:val="000000" w:themeColor="text1"/>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000000" w:themeColor="text1"/>
                <w:sz w:val="24"/>
                <w:szCs w:val="24"/>
              </w:rPr>
            </w:pPr>
            <w:r>
              <w:rPr>
                <w:rFonts w:ascii="Times New Roman" w:hAnsi="宋体" w:eastAsia="宋体" w:cs="Times New Roman"/>
                <w:color w:val="000000" w:themeColor="text1"/>
                <w:sz w:val="24"/>
                <w:szCs w:val="24"/>
              </w:rPr>
              <w:t>采购人</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宋体"/>
                <w:color w:val="000000" w:themeColor="text1"/>
                <w:kern w:val="0"/>
                <w:sz w:val="24"/>
                <w:szCs w:val="24"/>
              </w:rPr>
            </w:pPr>
            <w:r>
              <w:rPr>
                <w:rFonts w:hint="eastAsia" w:ascii="宋体" w:hAnsi="宋体" w:eastAsia="宋体" w:cs="宋体"/>
                <w:b/>
                <w:bCs/>
                <w:color w:val="000000" w:themeColor="text1"/>
                <w:kern w:val="0"/>
                <w:sz w:val="24"/>
                <w:szCs w:val="24"/>
                <w:u w:val="single"/>
              </w:rPr>
              <w:t>阳新县卫生健康局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color w:val="000000" w:themeColor="text1"/>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000000" w:themeColor="text1"/>
                <w:sz w:val="24"/>
                <w:szCs w:val="24"/>
              </w:rPr>
            </w:pPr>
            <w:r>
              <w:rPr>
                <w:rFonts w:ascii="Times New Roman" w:hAnsi="宋体" w:eastAsia="宋体" w:cs="Times New Roman"/>
                <w:color w:val="000000" w:themeColor="text1"/>
                <w:sz w:val="24"/>
                <w:szCs w:val="24"/>
              </w:rPr>
              <w:t>投标保证金</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color w:val="000000" w:themeColor="text1"/>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000000" w:themeColor="text1"/>
                <w:sz w:val="24"/>
                <w:szCs w:val="24"/>
              </w:rPr>
            </w:pPr>
            <w:r>
              <w:rPr>
                <w:rFonts w:ascii="Times New Roman" w:hAnsi="宋体" w:eastAsia="宋体" w:cs="Times New Roman"/>
                <w:color w:val="000000" w:themeColor="text1"/>
                <w:sz w:val="24"/>
                <w:szCs w:val="24"/>
              </w:rPr>
              <w:t>保证金</w:t>
            </w:r>
            <w:r>
              <w:rPr>
                <w:rFonts w:hint="eastAsia" w:ascii="Times New Roman" w:hAnsi="宋体" w:eastAsia="宋体" w:cs="Times New Roman"/>
                <w:color w:val="000000" w:themeColor="text1"/>
                <w:sz w:val="24"/>
                <w:szCs w:val="24"/>
              </w:rPr>
              <w:t>账户信息</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color w:val="000000" w:themeColor="text1"/>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 w:val="24"/>
                <w:szCs w:val="24"/>
              </w:rPr>
            </w:pPr>
            <w:r>
              <w:rPr>
                <w:rFonts w:ascii="Times New Roman" w:hAnsi="宋体" w:eastAsia="宋体" w:cs="Times New Roman"/>
                <w:color w:val="000000" w:themeColor="text1"/>
                <w:sz w:val="24"/>
                <w:szCs w:val="24"/>
              </w:rPr>
              <w:t>投标文件份数</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正本</w:t>
            </w:r>
            <w:r>
              <w:rPr>
                <w:rFonts w:hint="eastAsia" w:ascii="Times New Roman" w:hAnsi="Times New Roman" w:eastAsia="宋体" w:cs="Times New Roman"/>
                <w:color w:val="000000" w:themeColor="text1"/>
                <w:sz w:val="24"/>
                <w:szCs w:val="24"/>
              </w:rPr>
              <w:t>一</w:t>
            </w:r>
            <w:r>
              <w:rPr>
                <w:rFonts w:ascii="Times New Roman" w:hAnsi="Times New Roman" w:eastAsia="宋体" w:cs="Times New Roman"/>
                <w:color w:val="000000" w:themeColor="text1"/>
                <w:sz w:val="24"/>
                <w:szCs w:val="24"/>
              </w:rPr>
              <w:t>份</w:t>
            </w:r>
            <w:r>
              <w:rPr>
                <w:rFonts w:hint="eastAsia" w:ascii="Times New Roman" w:hAnsi="Times New Roman" w:eastAsia="宋体" w:cs="Times New Roman"/>
                <w:color w:val="000000" w:themeColor="text1"/>
                <w:sz w:val="24"/>
                <w:szCs w:val="24"/>
              </w:rPr>
              <w:t>，</w:t>
            </w:r>
            <w:r>
              <w:rPr>
                <w:rFonts w:ascii="Times New Roman" w:hAnsi="Times New Roman" w:eastAsia="宋体" w:cs="Times New Roman"/>
                <w:color w:val="000000" w:themeColor="text1"/>
                <w:sz w:val="24"/>
                <w:szCs w:val="24"/>
              </w:rPr>
              <w:t>副本</w:t>
            </w:r>
            <w:r>
              <w:rPr>
                <w:rFonts w:hint="eastAsia" w:ascii="Times New Roman" w:hAnsi="Times New Roman" w:eastAsia="宋体" w:cs="Times New Roman"/>
                <w:color w:val="000000" w:themeColor="text1"/>
                <w:sz w:val="24"/>
                <w:szCs w:val="24"/>
              </w:rPr>
              <w:t>四</w:t>
            </w:r>
            <w:r>
              <w:rPr>
                <w:rFonts w:ascii="Times New Roman" w:hAnsi="Times New Roman" w:eastAsia="宋体" w:cs="Times New Roman"/>
                <w:color w:val="000000" w:themeColor="text1"/>
                <w:sz w:val="24"/>
                <w:szCs w:val="24"/>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color w:val="000000" w:themeColor="text1"/>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 w:val="24"/>
                <w:szCs w:val="24"/>
              </w:rPr>
            </w:pPr>
            <w:r>
              <w:rPr>
                <w:rFonts w:ascii="Times New Roman" w:hAnsi="宋体" w:eastAsia="宋体" w:cs="Times New Roman"/>
                <w:color w:val="000000" w:themeColor="text1"/>
                <w:sz w:val="24"/>
                <w:szCs w:val="24"/>
              </w:rPr>
              <w:t>投标有效期</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00000" w:themeColor="text1"/>
                <w:sz w:val="24"/>
                <w:szCs w:val="24"/>
              </w:rPr>
            </w:pPr>
            <w:r>
              <w:rPr>
                <w:rFonts w:hint="eastAsia" w:ascii="宋体" w:hAnsi="宋体" w:eastAsia="宋体" w:cs="宋体"/>
                <w:color w:val="000000" w:themeColor="text1"/>
                <w:kern w:val="0"/>
                <w:sz w:val="24"/>
                <w:szCs w:val="24"/>
              </w:rPr>
              <w:t>提交投标文件截止之日起90日历日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color w:val="000000" w:themeColor="text1"/>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000000" w:themeColor="text1"/>
                <w:sz w:val="24"/>
                <w:szCs w:val="24"/>
              </w:rPr>
            </w:pPr>
            <w:r>
              <w:rPr>
                <w:rFonts w:hint="eastAsia" w:ascii="Times New Roman" w:hAnsi="宋体" w:eastAsia="宋体" w:cs="Times New Roman"/>
                <w:color w:val="000000" w:themeColor="text1"/>
                <w:sz w:val="24"/>
                <w:szCs w:val="24"/>
              </w:rPr>
              <w:t>资格预审</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00000" w:themeColor="text1"/>
                <w:sz w:val="24"/>
                <w:szCs w:val="24"/>
                <w:highlight w:val="yellow"/>
              </w:rPr>
            </w:pPr>
            <w:r>
              <w:rPr>
                <w:rFonts w:hint="eastAsia" w:ascii="Times New Roman" w:hAnsi="Times New Roman" w:eastAsia="宋体" w:cs="Times New Roman"/>
                <w:color w:val="000000" w:themeColor="text1"/>
                <w:sz w:val="24"/>
                <w:szCs w:val="24"/>
                <w:highlight w:val="yellow"/>
              </w:rPr>
              <w:t>不进行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color w:val="000000" w:themeColor="text1"/>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 w:val="24"/>
                <w:szCs w:val="24"/>
              </w:rPr>
            </w:pPr>
            <w:r>
              <w:rPr>
                <w:rFonts w:ascii="Times New Roman" w:hAnsi="宋体" w:eastAsia="宋体" w:cs="Times New Roman"/>
                <w:color w:val="000000" w:themeColor="text1"/>
                <w:sz w:val="24"/>
                <w:szCs w:val="24"/>
              </w:rPr>
              <w:t>投标文件递交时间</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00000" w:themeColor="text1"/>
                <w:sz w:val="24"/>
                <w:szCs w:val="24"/>
              </w:rPr>
            </w:pPr>
            <w:r>
              <w:rPr>
                <w:rFonts w:hint="eastAsia" w:ascii="Times New Roman" w:hAnsi="Times New Roman" w:eastAsia="宋体" w:cs="Times New Roman"/>
                <w:color w:val="000000" w:themeColor="text1"/>
                <w:sz w:val="24"/>
                <w:szCs w:val="24"/>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color w:val="000000" w:themeColor="text1"/>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 w:val="24"/>
                <w:szCs w:val="24"/>
              </w:rPr>
            </w:pPr>
            <w:r>
              <w:rPr>
                <w:rFonts w:ascii="Times New Roman" w:hAnsi="宋体" w:eastAsia="宋体" w:cs="Times New Roman"/>
                <w:color w:val="000000" w:themeColor="text1"/>
                <w:sz w:val="24"/>
                <w:szCs w:val="24"/>
              </w:rPr>
              <w:t>开标时间</w:t>
            </w:r>
            <w:r>
              <w:rPr>
                <w:rFonts w:hint="eastAsia" w:ascii="Times New Roman" w:hAnsi="宋体" w:eastAsia="宋体" w:cs="Times New Roman"/>
                <w:color w:val="000000" w:themeColor="text1"/>
                <w:sz w:val="24"/>
                <w:szCs w:val="24"/>
              </w:rPr>
              <w:t>、地点</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00000" w:themeColor="text1"/>
                <w:sz w:val="24"/>
                <w:szCs w:val="24"/>
              </w:rPr>
            </w:pPr>
            <w:r>
              <w:rPr>
                <w:rFonts w:hint="eastAsia" w:ascii="Times New Roman" w:hAnsi="Times New Roman" w:eastAsia="宋体" w:cs="Times New Roman"/>
                <w:color w:val="000000" w:themeColor="text1"/>
                <w:sz w:val="24"/>
                <w:szCs w:val="24"/>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color w:val="000000" w:themeColor="text1"/>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000000" w:themeColor="text1"/>
                <w:sz w:val="24"/>
                <w:szCs w:val="24"/>
              </w:rPr>
            </w:pPr>
            <w:r>
              <w:rPr>
                <w:rFonts w:hint="eastAsia" w:ascii="Times New Roman" w:hAnsi="宋体" w:eastAsia="宋体" w:cs="Times New Roman"/>
                <w:color w:val="000000" w:themeColor="text1"/>
                <w:sz w:val="24"/>
                <w:szCs w:val="24"/>
              </w:rPr>
              <w:t>备选方案</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00000" w:themeColor="text1"/>
                <w:sz w:val="24"/>
                <w:szCs w:val="24"/>
              </w:rPr>
            </w:pPr>
            <w:r>
              <w:rPr>
                <w:rFonts w:hint="eastAsia" w:ascii="Times New Roman" w:hAnsi="Times New Roman" w:eastAsia="宋体" w:cs="Times New Roman"/>
                <w:color w:val="000000" w:themeColor="text1"/>
                <w:sz w:val="24"/>
                <w:szCs w:val="24"/>
              </w:rPr>
              <w:t>不允许</w:t>
            </w:r>
          </w:p>
          <w:p>
            <w:pPr>
              <w:rPr>
                <w:rFonts w:ascii="Times New Roman" w:hAnsi="Times New Roman" w:eastAsia="宋体" w:cs="Times New Roman"/>
                <w:color w:val="000000" w:themeColor="text1"/>
                <w:sz w:val="24"/>
                <w:szCs w:val="24"/>
              </w:rPr>
            </w:pPr>
            <w:r>
              <w:rPr>
                <w:rFonts w:hint="eastAsia" w:ascii="Times New Roman" w:hAnsi="Times New Roman" w:eastAsia="宋体" w:cs="Times New Roman"/>
                <w:color w:val="000000" w:themeColor="text1"/>
                <w:sz w:val="24"/>
                <w:szCs w:val="24"/>
              </w:rPr>
              <w:t>详见第三章“</w:t>
            </w:r>
            <w:r>
              <w:rPr>
                <w:rFonts w:hint="eastAsia" w:ascii="宋体" w:hAnsi="宋体" w:eastAsia="宋体" w:cs="Times New Roman"/>
                <w:color w:val="000000" w:themeColor="text1"/>
                <w:sz w:val="24"/>
                <w:szCs w:val="24"/>
              </w:rPr>
              <w:t>项目技术、服务及商务要求</w:t>
            </w:r>
            <w:r>
              <w:rPr>
                <w:rFonts w:hint="eastAsia" w:ascii="Times New Roman" w:hAnsi="Times New Roman" w:eastAsia="宋体" w:cs="Times New Roman"/>
                <w:color w:val="000000" w:themeColor="text1"/>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color w:val="000000" w:themeColor="text1"/>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 w:val="24"/>
                <w:szCs w:val="24"/>
              </w:rPr>
            </w:pPr>
            <w:r>
              <w:rPr>
                <w:rFonts w:ascii="Times New Roman" w:hAnsi="宋体" w:eastAsia="宋体" w:cs="Times New Roman"/>
                <w:color w:val="000000" w:themeColor="text1"/>
                <w:sz w:val="24"/>
                <w:szCs w:val="24"/>
              </w:rPr>
              <w:t>实物样品</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00000" w:themeColor="text1"/>
                <w:sz w:val="24"/>
                <w:szCs w:val="24"/>
              </w:rPr>
            </w:pPr>
            <w:r>
              <w:rPr>
                <w:rFonts w:hint="eastAsia" w:ascii="Times New Roman" w:hAnsi="Times New Roman" w:eastAsia="宋体" w:cs="Times New Roman"/>
                <w:color w:val="000000" w:themeColor="text1"/>
                <w:sz w:val="24"/>
                <w:szCs w:val="24"/>
                <w:highlight w:val="yellow"/>
              </w:rPr>
              <w:t>不提交</w:t>
            </w:r>
          </w:p>
          <w:p>
            <w:pPr>
              <w:rPr>
                <w:rFonts w:ascii="Times New Roman" w:hAnsi="Times New Roman" w:eastAsia="宋体" w:cs="Times New Roman"/>
                <w:color w:val="000000" w:themeColor="text1"/>
                <w:sz w:val="24"/>
                <w:szCs w:val="24"/>
              </w:rPr>
            </w:pPr>
            <w:r>
              <w:rPr>
                <w:rFonts w:hint="eastAsia" w:ascii="Times New Roman" w:hAnsi="Times New Roman" w:eastAsia="宋体" w:cs="Times New Roman"/>
                <w:color w:val="000000" w:themeColor="text1"/>
                <w:sz w:val="24"/>
                <w:szCs w:val="24"/>
              </w:rPr>
              <w:t>详见第三章“</w:t>
            </w:r>
            <w:r>
              <w:rPr>
                <w:rFonts w:hint="eastAsia" w:ascii="宋体" w:hAnsi="宋体" w:eastAsia="宋体" w:cs="Times New Roman"/>
                <w:color w:val="000000" w:themeColor="text1"/>
                <w:sz w:val="24"/>
                <w:szCs w:val="24"/>
              </w:rPr>
              <w:t>项目技术、服务及商务要求</w:t>
            </w:r>
            <w:r>
              <w:rPr>
                <w:rFonts w:hint="eastAsia" w:ascii="Times New Roman" w:hAnsi="Times New Roman" w:eastAsia="宋体" w:cs="Times New Roman"/>
                <w:color w:val="000000" w:themeColor="text1"/>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color w:val="000000" w:themeColor="text1"/>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000000" w:themeColor="text1"/>
                <w:sz w:val="24"/>
                <w:szCs w:val="24"/>
              </w:rPr>
            </w:pPr>
            <w:r>
              <w:rPr>
                <w:rFonts w:hint="eastAsia" w:ascii="宋体" w:hAnsi="宋体" w:eastAsia="宋体" w:cs="宋体"/>
                <w:color w:val="000000" w:themeColor="text1"/>
                <w:sz w:val="24"/>
                <w:szCs w:val="24"/>
              </w:rPr>
              <w:t>现场考察</w:t>
            </w:r>
          </w:p>
        </w:tc>
        <w:tc>
          <w:tcPr>
            <w:tcW w:w="6470" w:type="dxa"/>
            <w:tcBorders>
              <w:top w:val="single" w:color="auto" w:sz="4" w:space="0"/>
              <w:left w:val="single" w:color="auto" w:sz="4" w:space="0"/>
              <w:bottom w:val="single" w:color="auto" w:sz="4" w:space="0"/>
            </w:tcBorders>
            <w:vAlign w:val="center"/>
          </w:tcPr>
          <w:p>
            <w:pPr>
              <w:ind w:right="-105" w:rightChars="-50"/>
              <w:rPr>
                <w:rFonts w:ascii="Times New Roman" w:hAnsi="Times New Roman" w:eastAsia="宋体" w:cs="Times New Roman"/>
                <w:color w:val="000000" w:themeColor="text1"/>
                <w:sz w:val="24"/>
                <w:szCs w:val="24"/>
              </w:rPr>
            </w:pPr>
            <w:r>
              <w:rPr>
                <w:rFonts w:hint="eastAsia" w:ascii="Times New Roman" w:hAnsi="Times New Roman" w:eastAsia="宋体" w:cs="Times New Roman"/>
                <w:color w:val="000000" w:themeColor="text1"/>
                <w:sz w:val="24"/>
                <w:szCs w:val="24"/>
                <w:highlight w:val="yellow"/>
              </w:rPr>
              <w:t>不组织</w:t>
            </w:r>
          </w:p>
          <w:p>
            <w:pPr>
              <w:ind w:right="-105" w:rightChars="-50"/>
              <w:rPr>
                <w:rFonts w:ascii="Times New Roman" w:hAnsi="Times New Roman" w:eastAsia="宋体" w:cs="Times New Roman"/>
                <w:color w:val="000000" w:themeColor="text1"/>
                <w:sz w:val="24"/>
                <w:szCs w:val="24"/>
              </w:rPr>
            </w:pPr>
            <w:r>
              <w:rPr>
                <w:rFonts w:hint="eastAsia" w:ascii="Times New Roman" w:hAnsi="Times New Roman" w:eastAsia="宋体" w:cs="Times New Roman"/>
                <w:color w:val="000000" w:themeColor="text1"/>
                <w:sz w:val="24"/>
                <w:szCs w:val="24"/>
              </w:rPr>
              <w:t>详见第三章“</w:t>
            </w:r>
            <w:r>
              <w:rPr>
                <w:rFonts w:hint="eastAsia" w:ascii="宋体" w:hAnsi="宋体" w:eastAsia="宋体" w:cs="Times New Roman"/>
                <w:color w:val="000000" w:themeColor="text1"/>
                <w:sz w:val="24"/>
                <w:szCs w:val="24"/>
              </w:rPr>
              <w:t>项目技术、服务及商务要求</w:t>
            </w:r>
            <w:r>
              <w:rPr>
                <w:rFonts w:hint="eastAsia" w:ascii="Times New Roman" w:hAnsi="Times New Roman" w:eastAsia="宋体" w:cs="Times New Roman"/>
                <w:color w:val="000000" w:themeColor="text1"/>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color w:val="000000" w:themeColor="text1"/>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000000" w:themeColor="text1"/>
                <w:sz w:val="24"/>
                <w:szCs w:val="24"/>
              </w:rPr>
            </w:pPr>
            <w:r>
              <w:rPr>
                <w:rFonts w:hint="eastAsia" w:ascii="Times New Roman" w:hAnsi="宋体" w:eastAsia="宋体" w:cs="Times New Roman"/>
                <w:color w:val="000000" w:themeColor="text1"/>
                <w:sz w:val="24"/>
                <w:szCs w:val="24"/>
              </w:rPr>
              <w:t>中标后分包</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00000" w:themeColor="text1"/>
                <w:sz w:val="24"/>
                <w:szCs w:val="24"/>
              </w:rPr>
            </w:pPr>
            <w:r>
              <w:rPr>
                <w:rFonts w:hint="eastAsia" w:ascii="Times New Roman" w:hAnsi="Times New Roman" w:eastAsia="宋体" w:cs="Times New Roman"/>
                <w:color w:val="000000" w:themeColor="text1"/>
                <w:sz w:val="24"/>
                <w:szCs w:val="24"/>
              </w:rPr>
              <w:t>不允许</w:t>
            </w:r>
          </w:p>
          <w:p>
            <w:pPr>
              <w:rPr>
                <w:rFonts w:ascii="Times New Roman" w:hAnsi="Times New Roman" w:eastAsia="宋体" w:cs="Times New Roman"/>
                <w:color w:val="000000" w:themeColor="text1"/>
                <w:sz w:val="24"/>
                <w:szCs w:val="24"/>
                <w:highlight w:val="yellow"/>
              </w:rPr>
            </w:pPr>
            <w:r>
              <w:rPr>
                <w:rFonts w:hint="eastAsia" w:ascii="Times New Roman" w:hAnsi="Times New Roman" w:eastAsia="宋体" w:cs="Times New Roman"/>
                <w:color w:val="000000" w:themeColor="text1"/>
                <w:sz w:val="24"/>
                <w:szCs w:val="24"/>
              </w:rPr>
              <w:t>详见第三章“</w:t>
            </w:r>
            <w:r>
              <w:rPr>
                <w:rFonts w:hint="eastAsia" w:ascii="宋体" w:hAnsi="宋体" w:eastAsia="宋体" w:cs="Times New Roman"/>
                <w:color w:val="000000" w:themeColor="text1"/>
                <w:sz w:val="24"/>
                <w:szCs w:val="24"/>
              </w:rPr>
              <w:t>项目技术、服务及商务要求</w:t>
            </w:r>
            <w:r>
              <w:rPr>
                <w:rFonts w:hint="eastAsia" w:ascii="Times New Roman" w:hAnsi="Times New Roman" w:eastAsia="宋体" w:cs="Times New Roman"/>
                <w:color w:val="000000" w:themeColor="text1"/>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color w:val="000000" w:themeColor="text1"/>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000000" w:themeColor="text1"/>
                <w:sz w:val="24"/>
                <w:szCs w:val="24"/>
              </w:rPr>
            </w:pPr>
            <w:r>
              <w:rPr>
                <w:rFonts w:ascii="Times New Roman" w:hAnsi="宋体" w:eastAsia="宋体" w:cs="Times New Roman"/>
                <w:color w:val="000000" w:themeColor="text1"/>
                <w:sz w:val="24"/>
                <w:szCs w:val="24"/>
              </w:rPr>
              <w:t>评标办法</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综合评分法</w:t>
            </w:r>
          </w:p>
          <w:p>
            <w:pPr>
              <w:rPr>
                <w:rFonts w:ascii="Times New Roman" w:hAnsi="Times New Roman" w:eastAsia="宋体" w:cs="Times New Roman"/>
                <w:color w:val="000000" w:themeColor="text1"/>
                <w:sz w:val="24"/>
                <w:szCs w:val="24"/>
                <w:lang w:val="zh-CN"/>
              </w:rPr>
            </w:pPr>
            <w:r>
              <w:rPr>
                <w:rFonts w:hint="eastAsia" w:ascii="Times New Roman" w:hAnsi="Times New Roman" w:eastAsia="宋体" w:cs="Times New Roman"/>
                <w:color w:val="000000" w:themeColor="text1"/>
                <w:sz w:val="24"/>
                <w:szCs w:val="24"/>
              </w:rPr>
              <w:t>详见第五章“评标方法、程序及标准”要求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color w:val="000000" w:themeColor="text1"/>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000000" w:themeColor="text1"/>
                <w:sz w:val="24"/>
                <w:szCs w:val="24"/>
              </w:rPr>
            </w:pPr>
            <w:r>
              <w:rPr>
                <w:rFonts w:hint="eastAsia" w:ascii="Times New Roman" w:hAnsi="宋体" w:eastAsia="宋体" w:cs="Times New Roman"/>
                <w:color w:val="000000" w:themeColor="text1"/>
                <w:sz w:val="24"/>
                <w:szCs w:val="24"/>
              </w:rPr>
              <w:t>中小企业</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00000" w:themeColor="text1"/>
                <w:sz w:val="24"/>
                <w:szCs w:val="24"/>
              </w:rPr>
            </w:pPr>
            <w:r>
              <w:rPr>
                <w:rFonts w:hint="eastAsia" w:ascii="Times New Roman" w:hAnsi="Times New Roman" w:eastAsia="宋体" w:cs="Times New Roman"/>
                <w:color w:val="000000" w:themeColor="text1"/>
                <w:sz w:val="24"/>
                <w:szCs w:val="24"/>
              </w:rPr>
              <w:t>非专门面向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color w:val="000000" w:themeColor="text1"/>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000000" w:themeColor="text1"/>
                <w:sz w:val="24"/>
                <w:szCs w:val="24"/>
              </w:rPr>
            </w:pPr>
            <w:r>
              <w:rPr>
                <w:rFonts w:hint="eastAsia" w:ascii="Times New Roman" w:hAnsi="宋体" w:eastAsia="宋体" w:cs="Times New Roman"/>
                <w:color w:val="000000" w:themeColor="text1"/>
                <w:sz w:val="24"/>
                <w:szCs w:val="24"/>
              </w:rPr>
              <w:t>监狱企业</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00000" w:themeColor="text1"/>
                <w:sz w:val="24"/>
                <w:szCs w:val="24"/>
              </w:rPr>
            </w:pPr>
            <w:r>
              <w:rPr>
                <w:rFonts w:hint="eastAsia" w:ascii="Times New Roman" w:hAnsi="Times New Roman" w:eastAsia="宋体" w:cs="Times New Roman"/>
                <w:color w:val="000000" w:themeColor="text1"/>
                <w:sz w:val="24"/>
                <w:szCs w:val="24"/>
              </w:rPr>
              <w:t>非专门面向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color w:val="000000" w:themeColor="text1"/>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000000" w:themeColor="text1"/>
                <w:sz w:val="24"/>
                <w:szCs w:val="24"/>
              </w:rPr>
            </w:pPr>
            <w:r>
              <w:rPr>
                <w:rFonts w:hint="eastAsia" w:ascii="Times New Roman" w:hAnsi="宋体" w:eastAsia="宋体" w:cs="Times New Roman"/>
                <w:color w:val="000000" w:themeColor="text1"/>
                <w:sz w:val="24"/>
                <w:szCs w:val="24"/>
              </w:rPr>
              <w:t>质疑及提交</w:t>
            </w:r>
          </w:p>
        </w:tc>
        <w:tc>
          <w:tcPr>
            <w:tcW w:w="6470" w:type="dxa"/>
            <w:tcBorders>
              <w:top w:val="single" w:color="auto" w:sz="4" w:space="0"/>
              <w:left w:val="single" w:color="auto" w:sz="4" w:space="0"/>
              <w:bottom w:val="single" w:color="auto" w:sz="4" w:space="0"/>
            </w:tcBorders>
            <w:vAlign w:val="center"/>
          </w:tcPr>
          <w:p>
            <w:pPr>
              <w:rPr>
                <w:rFonts w:cs="Times New Roman" w:asciiTheme="minorEastAsia" w:hAnsiTheme="minorEastAsia"/>
                <w:color w:val="000000" w:themeColor="text1"/>
                <w:sz w:val="24"/>
                <w:szCs w:val="24"/>
              </w:rPr>
            </w:pPr>
            <w:r>
              <w:rPr>
                <w:rFonts w:hint="eastAsia" w:cs="Times New Roman" w:asciiTheme="minorEastAsia" w:hAnsiTheme="minorEastAsia"/>
                <w:color w:val="000000" w:themeColor="text1"/>
                <w:sz w:val="24"/>
                <w:szCs w:val="24"/>
              </w:rPr>
              <w:t>详见本章“质疑及提交”要求</w:t>
            </w:r>
          </w:p>
        </w:tc>
      </w:tr>
    </w:tbl>
    <w:p>
      <w:pPr>
        <w:keepNext/>
        <w:keepLines/>
        <w:spacing w:before="100" w:beforeAutospacing="1" w:after="100" w:afterAutospacing="1" w:line="360" w:lineRule="auto"/>
        <w:outlineLvl w:val="1"/>
        <w:rPr>
          <w:rFonts w:ascii="黑体" w:hAnsi="黑体" w:eastAsia="黑体" w:cs="Times New Roman"/>
          <w:b/>
          <w:bCs/>
          <w:color w:val="000000" w:themeColor="text1"/>
          <w:sz w:val="32"/>
          <w:szCs w:val="32"/>
          <w:lang w:val="zh-CN"/>
        </w:rPr>
      </w:pPr>
      <w:bookmarkStart w:id="4" w:name="_Toc494561938"/>
      <w:r>
        <w:rPr>
          <w:rFonts w:ascii="黑体" w:hAnsi="黑体" w:eastAsia="黑体" w:cs="Times New Roman"/>
          <w:b/>
          <w:bCs/>
          <w:color w:val="000000" w:themeColor="text1"/>
          <w:sz w:val="32"/>
          <w:szCs w:val="32"/>
          <w:lang w:val="zh-CN"/>
        </w:rPr>
        <w:br w:type="page"/>
      </w:r>
    </w:p>
    <w:p>
      <w:pPr>
        <w:pStyle w:val="2"/>
        <w:numPr>
          <w:ilvl w:val="0"/>
          <w:numId w:val="4"/>
        </w:numPr>
        <w:spacing w:before="40" w:after="40" w:line="360" w:lineRule="auto"/>
        <w:ind w:left="658" w:hanging="658"/>
        <w:jc w:val="left"/>
        <w:rPr>
          <w:rFonts w:cs="Times New Roman" w:asciiTheme="majorEastAsia" w:hAnsiTheme="majorEastAsia"/>
          <w:bCs w:val="0"/>
          <w:color w:val="000000" w:themeColor="text1"/>
          <w:lang w:val="zh-CN"/>
        </w:rPr>
      </w:pPr>
      <w:bookmarkStart w:id="5" w:name="_Toc1612"/>
      <w:r>
        <w:rPr>
          <w:rFonts w:hint="eastAsia" w:cs="Times New Roman" w:asciiTheme="majorEastAsia" w:hAnsiTheme="majorEastAsia"/>
          <w:bCs w:val="0"/>
          <w:color w:val="000000" w:themeColor="text1"/>
          <w:lang w:val="zh-CN"/>
        </w:rPr>
        <w:t>说  明</w:t>
      </w:r>
      <w:bookmarkEnd w:id="4"/>
      <w:bookmarkEnd w:id="5"/>
    </w:p>
    <w:p>
      <w:pPr>
        <w:numPr>
          <w:ilvl w:val="0"/>
          <w:numId w:val="5"/>
        </w:numPr>
        <w:spacing w:line="360" w:lineRule="auto"/>
        <w:rPr>
          <w:rFonts w:cs="Times New Roman" w:asciiTheme="minorEastAsia" w:hAnsiTheme="minorEastAsia"/>
          <w:b/>
          <w:color w:val="000000" w:themeColor="text1"/>
          <w:sz w:val="24"/>
          <w:szCs w:val="24"/>
          <w:lang w:val="zh-CN"/>
        </w:rPr>
      </w:pPr>
      <w:r>
        <w:rPr>
          <w:rFonts w:hint="eastAsia" w:cs="Times New Roman" w:asciiTheme="minorEastAsia" w:hAnsiTheme="minorEastAsia"/>
          <w:b/>
          <w:color w:val="000000" w:themeColor="text1"/>
          <w:sz w:val="24"/>
          <w:szCs w:val="24"/>
          <w:lang w:val="zh-CN"/>
        </w:rPr>
        <w:t>适用范围</w:t>
      </w:r>
    </w:p>
    <w:p>
      <w:pPr>
        <w:spacing w:line="360" w:lineRule="auto"/>
        <w:ind w:firstLine="480" w:firstLineChars="200"/>
        <w:rPr>
          <w:rFonts w:cs="Times New Roman" w:asciiTheme="minorEastAsia" w:hAnsiTheme="minorEastAsia"/>
          <w:color w:val="000000" w:themeColor="text1"/>
          <w:sz w:val="24"/>
          <w:szCs w:val="24"/>
          <w:lang w:val="zh-CN"/>
        </w:rPr>
      </w:pPr>
      <w:r>
        <w:rPr>
          <w:rFonts w:hint="eastAsia" w:cs="Times New Roman" w:asciiTheme="minorEastAsia" w:hAnsiTheme="minorEastAsia"/>
          <w:color w:val="000000" w:themeColor="text1"/>
          <w:sz w:val="24"/>
          <w:szCs w:val="24"/>
          <w:lang w:val="zh-CN"/>
        </w:rPr>
        <w:t>招标文件仅适用于第一章“投标邀请书”中所述项目的货物、工程及服务的采购。</w:t>
      </w:r>
    </w:p>
    <w:p>
      <w:pPr>
        <w:numPr>
          <w:ilvl w:val="0"/>
          <w:numId w:val="5"/>
        </w:numPr>
        <w:spacing w:line="360" w:lineRule="auto"/>
        <w:rPr>
          <w:rFonts w:cs="Times New Roman" w:asciiTheme="minorEastAsia" w:hAnsiTheme="minorEastAsia"/>
          <w:b/>
          <w:color w:val="000000" w:themeColor="text1"/>
          <w:sz w:val="24"/>
          <w:szCs w:val="24"/>
          <w:lang w:val="zh-CN"/>
        </w:rPr>
      </w:pPr>
      <w:r>
        <w:rPr>
          <w:rFonts w:hint="eastAsia" w:cs="Times New Roman" w:asciiTheme="minorEastAsia" w:hAnsiTheme="minorEastAsia"/>
          <w:b/>
          <w:color w:val="000000" w:themeColor="text1"/>
          <w:sz w:val="24"/>
          <w:szCs w:val="24"/>
          <w:lang w:val="zh-CN"/>
        </w:rPr>
        <w:t>当事人定义</w:t>
      </w:r>
    </w:p>
    <w:p>
      <w:pPr>
        <w:numPr>
          <w:ilvl w:val="0"/>
          <w:numId w:val="6"/>
        </w:numPr>
        <w:spacing w:line="360" w:lineRule="auto"/>
        <w:ind w:left="476" w:hanging="476"/>
        <w:rPr>
          <w:rFonts w:cs="Times New Roman" w:asciiTheme="minorEastAsia" w:hAnsiTheme="minorEastAsia"/>
          <w:color w:val="000000" w:themeColor="text1"/>
          <w:sz w:val="24"/>
          <w:szCs w:val="24"/>
          <w:lang w:val="zh-CN"/>
        </w:rPr>
      </w:pPr>
      <w:r>
        <w:rPr>
          <w:rFonts w:hint="eastAsia" w:cs="Times New Roman" w:asciiTheme="minorEastAsia" w:hAnsiTheme="minorEastAsia"/>
          <w:b/>
          <w:color w:val="000000" w:themeColor="text1"/>
          <w:sz w:val="24"/>
          <w:szCs w:val="24"/>
          <w:lang w:val="zh-CN"/>
        </w:rPr>
        <w:t>“采购人”是指：</w:t>
      </w:r>
      <w:r>
        <w:rPr>
          <w:rFonts w:hint="eastAsia" w:cs="Times New Roman" w:asciiTheme="minorEastAsia" w:hAnsiTheme="minorEastAsia"/>
          <w:color w:val="000000" w:themeColor="text1"/>
          <w:sz w:val="24"/>
          <w:szCs w:val="24"/>
          <w:lang w:val="zh-CN"/>
        </w:rPr>
        <w:t>详见第一章“投标邀请书”。</w:t>
      </w:r>
    </w:p>
    <w:p>
      <w:pPr>
        <w:numPr>
          <w:ilvl w:val="0"/>
          <w:numId w:val="6"/>
        </w:numPr>
        <w:spacing w:line="360" w:lineRule="auto"/>
        <w:ind w:left="476" w:hanging="476"/>
        <w:rPr>
          <w:rFonts w:cs="Times New Roman" w:asciiTheme="minorEastAsia" w:hAnsiTheme="minorEastAsia"/>
          <w:color w:val="000000" w:themeColor="text1"/>
          <w:sz w:val="24"/>
          <w:szCs w:val="24"/>
          <w:lang w:val="zh-CN"/>
        </w:rPr>
      </w:pPr>
      <w:r>
        <w:rPr>
          <w:rFonts w:hint="eastAsia" w:cs="Times New Roman" w:asciiTheme="minorEastAsia" w:hAnsiTheme="minorEastAsia"/>
          <w:b/>
          <w:color w:val="000000" w:themeColor="text1"/>
          <w:sz w:val="24"/>
          <w:szCs w:val="24"/>
          <w:lang w:val="zh-CN"/>
        </w:rPr>
        <w:t>“监管部门”是指：</w:t>
      </w:r>
      <w:r>
        <w:rPr>
          <w:rFonts w:hint="eastAsia" w:cs="Times New Roman" w:asciiTheme="minorEastAsia" w:hAnsiTheme="minorEastAsia"/>
          <w:color w:val="000000" w:themeColor="text1"/>
          <w:sz w:val="24"/>
          <w:szCs w:val="24"/>
          <w:lang w:val="zh-CN"/>
        </w:rPr>
        <w:t>阳新县政府采购办公室、阳新县公共资源交易监督管理局。</w:t>
      </w:r>
    </w:p>
    <w:p>
      <w:pPr>
        <w:numPr>
          <w:ilvl w:val="0"/>
          <w:numId w:val="6"/>
        </w:numPr>
        <w:spacing w:line="360" w:lineRule="auto"/>
        <w:ind w:left="476" w:hanging="476"/>
        <w:rPr>
          <w:rFonts w:cs="Times New Roman" w:asciiTheme="minorEastAsia" w:hAnsiTheme="minorEastAsia"/>
          <w:color w:val="000000" w:themeColor="text1"/>
          <w:sz w:val="24"/>
          <w:szCs w:val="24"/>
          <w:lang w:val="zh-CN"/>
        </w:rPr>
      </w:pPr>
      <w:r>
        <w:rPr>
          <w:rFonts w:hint="eastAsia" w:cs="Times New Roman" w:asciiTheme="minorEastAsia" w:hAnsiTheme="minorEastAsia"/>
          <w:b/>
          <w:color w:val="000000" w:themeColor="text1"/>
          <w:sz w:val="24"/>
          <w:szCs w:val="24"/>
          <w:lang w:val="zh-CN"/>
        </w:rPr>
        <w:t>“采购机构”是指：</w:t>
      </w:r>
      <w:r>
        <w:rPr>
          <w:rFonts w:hint="eastAsia" w:ascii="宋体" w:hAnsi="宋体" w:cs="宋体"/>
          <w:color w:val="000000" w:themeColor="text1"/>
          <w:kern w:val="0"/>
          <w:sz w:val="24"/>
          <w:szCs w:val="24"/>
          <w:u w:val="single"/>
        </w:rPr>
        <w:t>衡正国际工程咨询有限公司</w:t>
      </w:r>
      <w:r>
        <w:rPr>
          <w:rFonts w:hint="eastAsia" w:cs="Times New Roman" w:asciiTheme="minorEastAsia" w:hAnsiTheme="minorEastAsia"/>
          <w:color w:val="000000" w:themeColor="text1"/>
          <w:sz w:val="24"/>
          <w:szCs w:val="24"/>
          <w:lang w:val="zh-CN"/>
        </w:rPr>
        <w:t>。</w:t>
      </w:r>
    </w:p>
    <w:p>
      <w:pPr>
        <w:numPr>
          <w:ilvl w:val="0"/>
          <w:numId w:val="6"/>
        </w:numPr>
        <w:spacing w:line="360" w:lineRule="auto"/>
        <w:ind w:left="476" w:hanging="476"/>
        <w:rPr>
          <w:rFonts w:cs="Times New Roman" w:asciiTheme="minorEastAsia" w:hAnsiTheme="minorEastAsia"/>
          <w:color w:val="000000" w:themeColor="text1"/>
          <w:sz w:val="24"/>
          <w:szCs w:val="24"/>
          <w:lang w:val="zh-CN"/>
        </w:rPr>
      </w:pPr>
      <w:r>
        <w:rPr>
          <w:rFonts w:hint="eastAsia" w:cs="Times New Roman" w:asciiTheme="minorEastAsia" w:hAnsiTheme="minorEastAsia"/>
          <w:b/>
          <w:color w:val="000000" w:themeColor="text1"/>
          <w:sz w:val="24"/>
          <w:szCs w:val="24"/>
          <w:lang w:val="zh-CN"/>
        </w:rPr>
        <w:t>“投标人”是指：</w:t>
      </w:r>
      <w:r>
        <w:rPr>
          <w:rFonts w:cs="Helvetica" w:asciiTheme="minorEastAsia" w:hAnsiTheme="minorEastAsia"/>
          <w:color w:val="000000" w:themeColor="text1"/>
          <w:kern w:val="0"/>
          <w:sz w:val="24"/>
          <w:szCs w:val="24"/>
          <w:lang w:val="zh-CN"/>
        </w:rPr>
        <w:t>响应招标、参加投标竞争的法人、其他组织或者自然人。</w:t>
      </w:r>
    </w:p>
    <w:p>
      <w:pPr>
        <w:numPr>
          <w:ilvl w:val="0"/>
          <w:numId w:val="6"/>
        </w:numPr>
        <w:spacing w:line="360" w:lineRule="auto"/>
        <w:ind w:left="476" w:hanging="476"/>
        <w:rPr>
          <w:rFonts w:cs="Helvetica" w:asciiTheme="minorEastAsia" w:hAnsiTheme="minorEastAsia"/>
          <w:color w:val="000000" w:themeColor="text1"/>
          <w:kern w:val="0"/>
          <w:sz w:val="24"/>
          <w:szCs w:val="24"/>
          <w:lang w:val="zh-CN"/>
        </w:rPr>
      </w:pPr>
      <w:r>
        <w:rPr>
          <w:rFonts w:hint="eastAsia" w:cs="Times New Roman" w:asciiTheme="minorEastAsia" w:hAnsiTheme="minorEastAsia"/>
          <w:b/>
          <w:color w:val="000000" w:themeColor="text1"/>
          <w:sz w:val="24"/>
          <w:szCs w:val="24"/>
          <w:lang w:val="zh-CN"/>
        </w:rPr>
        <w:t>“合格的投标人”是指：</w:t>
      </w:r>
      <w:r>
        <w:rPr>
          <w:rFonts w:hint="eastAsia" w:cs="Helvetica" w:asciiTheme="minorEastAsia" w:hAnsiTheme="minorEastAsia"/>
          <w:color w:val="000000" w:themeColor="text1"/>
          <w:kern w:val="0"/>
          <w:sz w:val="24"/>
          <w:szCs w:val="24"/>
          <w:lang w:val="zh-CN"/>
        </w:rPr>
        <w:t>资格审查和符合性审查合格的投标人。</w:t>
      </w:r>
    </w:p>
    <w:p>
      <w:pPr>
        <w:numPr>
          <w:ilvl w:val="0"/>
          <w:numId w:val="6"/>
        </w:numPr>
        <w:spacing w:line="360" w:lineRule="auto"/>
        <w:ind w:left="476" w:hanging="476"/>
        <w:rPr>
          <w:rFonts w:cs="Times New Roman" w:asciiTheme="minorEastAsia" w:hAnsiTheme="minorEastAsia"/>
          <w:color w:val="000000" w:themeColor="text1"/>
          <w:sz w:val="24"/>
          <w:szCs w:val="24"/>
          <w:lang w:val="zh-CN"/>
        </w:rPr>
      </w:pPr>
      <w:r>
        <w:rPr>
          <w:rFonts w:hint="eastAsia" w:cs="Times New Roman" w:asciiTheme="minorEastAsia" w:hAnsiTheme="minorEastAsia"/>
          <w:b/>
          <w:color w:val="000000" w:themeColor="text1"/>
          <w:sz w:val="24"/>
          <w:szCs w:val="24"/>
          <w:lang w:val="zh-CN"/>
        </w:rPr>
        <w:t>“中标人”是指：</w:t>
      </w:r>
      <w:r>
        <w:rPr>
          <w:rFonts w:hint="eastAsia" w:cs="Times New Roman" w:asciiTheme="minorEastAsia" w:hAnsiTheme="minorEastAsia"/>
          <w:color w:val="000000" w:themeColor="text1"/>
          <w:sz w:val="24"/>
          <w:szCs w:val="24"/>
          <w:lang w:val="zh-CN"/>
        </w:rPr>
        <w:t>经评标委员会评审，授予合同的投标人。</w:t>
      </w:r>
    </w:p>
    <w:p>
      <w:pPr>
        <w:numPr>
          <w:ilvl w:val="0"/>
          <w:numId w:val="5"/>
        </w:numPr>
        <w:spacing w:line="360" w:lineRule="auto"/>
        <w:rPr>
          <w:rFonts w:cs="Times New Roman" w:asciiTheme="minorEastAsia" w:hAnsiTheme="minorEastAsia"/>
          <w:b/>
          <w:color w:val="000000" w:themeColor="text1"/>
          <w:sz w:val="24"/>
          <w:szCs w:val="24"/>
          <w:lang w:val="zh-CN"/>
        </w:rPr>
      </w:pPr>
      <w:r>
        <w:rPr>
          <w:rFonts w:hint="eastAsia" w:cs="Times New Roman" w:asciiTheme="minorEastAsia" w:hAnsiTheme="minorEastAsia"/>
          <w:b/>
          <w:color w:val="000000" w:themeColor="text1"/>
          <w:sz w:val="24"/>
          <w:szCs w:val="24"/>
          <w:lang w:val="zh-CN"/>
        </w:rPr>
        <w:t>项目属性及定义</w:t>
      </w:r>
    </w:p>
    <w:p>
      <w:pPr>
        <w:numPr>
          <w:ilvl w:val="0"/>
          <w:numId w:val="7"/>
        </w:numPr>
        <w:spacing w:line="360" w:lineRule="auto"/>
        <w:ind w:left="476" w:hanging="476"/>
        <w:rPr>
          <w:rFonts w:cs="Times New Roman" w:asciiTheme="minorEastAsia" w:hAnsiTheme="minorEastAsia"/>
          <w:color w:val="000000" w:themeColor="text1"/>
          <w:sz w:val="24"/>
          <w:szCs w:val="24"/>
          <w:lang w:val="zh-CN"/>
        </w:rPr>
      </w:pPr>
      <w:r>
        <w:rPr>
          <w:rFonts w:hint="eastAsia" w:cs="Times New Roman" w:asciiTheme="minorEastAsia" w:hAnsiTheme="minorEastAsia"/>
          <w:b/>
          <w:color w:val="000000" w:themeColor="text1"/>
          <w:sz w:val="24"/>
          <w:szCs w:val="24"/>
          <w:lang w:val="zh-CN"/>
        </w:rPr>
        <w:t>“货物”是指</w:t>
      </w:r>
      <w:r>
        <w:rPr>
          <w:rFonts w:hint="eastAsia" w:cs="Times New Roman" w:asciiTheme="minorEastAsia" w:hAnsiTheme="minorEastAsia"/>
          <w:color w:val="000000" w:themeColor="text1"/>
          <w:sz w:val="24"/>
          <w:szCs w:val="24"/>
          <w:lang w:val="zh-CN"/>
        </w:rPr>
        <w:t>：各种形态和种类的物品，包括原材料、燃料、设备、产品等。</w:t>
      </w:r>
    </w:p>
    <w:p>
      <w:pPr>
        <w:numPr>
          <w:ilvl w:val="0"/>
          <w:numId w:val="8"/>
        </w:numPr>
        <w:spacing w:line="360" w:lineRule="auto"/>
        <w:ind w:left="854" w:hanging="728"/>
        <w:rPr>
          <w:rFonts w:cs="Times New Roman" w:asciiTheme="minorEastAsia" w:hAnsiTheme="minorEastAsia"/>
          <w:color w:val="000000" w:themeColor="text1"/>
          <w:sz w:val="24"/>
          <w:szCs w:val="24"/>
          <w:lang w:val="zh-CN"/>
        </w:rPr>
      </w:pPr>
      <w:r>
        <w:rPr>
          <w:rFonts w:hint="eastAsia" w:cs="Times New Roman" w:asciiTheme="minorEastAsia" w:hAnsiTheme="minorEastAsia"/>
          <w:color w:val="000000" w:themeColor="text1"/>
          <w:sz w:val="24"/>
          <w:szCs w:val="24"/>
          <w:lang w:val="zh-CN"/>
        </w:rPr>
        <w:t>招标文件中没有提及招标货物来源地的，根据《政府采购法》及相关规定均应是本国货物，另有规定的除外。</w:t>
      </w:r>
    </w:p>
    <w:p>
      <w:pPr>
        <w:numPr>
          <w:ilvl w:val="0"/>
          <w:numId w:val="8"/>
        </w:numPr>
        <w:spacing w:line="360" w:lineRule="auto"/>
        <w:ind w:left="854" w:hanging="728"/>
        <w:rPr>
          <w:rFonts w:cs="Times New Roman" w:asciiTheme="minorEastAsia" w:hAnsiTheme="minorEastAsia"/>
          <w:color w:val="000000" w:themeColor="text1"/>
          <w:sz w:val="24"/>
          <w:szCs w:val="24"/>
          <w:lang w:val="zh-CN"/>
        </w:rPr>
      </w:pPr>
      <w:r>
        <w:rPr>
          <w:rFonts w:hint="eastAsia" w:cs="Times New Roman" w:asciiTheme="minorEastAsia" w:hAnsiTheme="minorEastAsia"/>
          <w:color w:val="000000" w:themeColor="text1"/>
          <w:sz w:val="24"/>
          <w:szCs w:val="24"/>
          <w:lang w:val="zh-CN"/>
        </w:rPr>
        <w:t>投标的货物应是合法生产的符合国家有关标准要求的货物，并能够按照合同规定的品牌、产地、质量、价格和有效期等履约。</w:t>
      </w:r>
    </w:p>
    <w:p>
      <w:pPr>
        <w:numPr>
          <w:ilvl w:val="0"/>
          <w:numId w:val="7"/>
        </w:numPr>
        <w:spacing w:line="360" w:lineRule="auto"/>
        <w:ind w:left="476" w:hanging="476"/>
        <w:rPr>
          <w:rFonts w:cs="Times New Roman" w:asciiTheme="minorEastAsia" w:hAnsiTheme="minorEastAsia"/>
          <w:b/>
          <w:color w:val="000000" w:themeColor="text1"/>
          <w:sz w:val="24"/>
          <w:szCs w:val="24"/>
          <w:lang w:val="zh-CN"/>
        </w:rPr>
      </w:pPr>
      <w:r>
        <w:rPr>
          <w:rFonts w:hint="eastAsia" w:cs="Times New Roman" w:asciiTheme="minorEastAsia" w:hAnsiTheme="minorEastAsia"/>
          <w:b/>
          <w:color w:val="000000" w:themeColor="text1"/>
          <w:sz w:val="24"/>
          <w:szCs w:val="24"/>
          <w:lang w:val="zh-CN"/>
        </w:rPr>
        <w:t>“工程”是指</w:t>
      </w:r>
      <w:r>
        <w:rPr>
          <w:rFonts w:hint="eastAsia" w:cs="Times New Roman" w:asciiTheme="minorEastAsia" w:hAnsiTheme="minorEastAsia"/>
          <w:color w:val="000000" w:themeColor="text1"/>
          <w:sz w:val="24"/>
          <w:szCs w:val="24"/>
          <w:lang w:val="zh-CN"/>
        </w:rPr>
        <w:t>：与建筑物和构筑物的新建、改建、扩建及其相关的装修、拆除、修缮无关的工程。</w:t>
      </w:r>
    </w:p>
    <w:p>
      <w:pPr>
        <w:numPr>
          <w:ilvl w:val="0"/>
          <w:numId w:val="7"/>
        </w:numPr>
        <w:spacing w:line="360" w:lineRule="auto"/>
        <w:ind w:left="476" w:hanging="476"/>
        <w:rPr>
          <w:rFonts w:cs="Times New Roman" w:asciiTheme="minorEastAsia" w:hAnsiTheme="minorEastAsia"/>
          <w:color w:val="000000" w:themeColor="text1"/>
          <w:sz w:val="24"/>
          <w:szCs w:val="24"/>
          <w:lang w:val="zh-CN"/>
        </w:rPr>
      </w:pPr>
      <w:r>
        <w:rPr>
          <w:rFonts w:hint="eastAsia" w:cs="Times New Roman" w:asciiTheme="minorEastAsia" w:hAnsiTheme="minorEastAsia"/>
          <w:b/>
          <w:color w:val="000000" w:themeColor="text1"/>
          <w:sz w:val="24"/>
          <w:szCs w:val="24"/>
          <w:lang w:val="zh-CN"/>
        </w:rPr>
        <w:t>“服务”是指：</w:t>
      </w:r>
      <w:r>
        <w:rPr>
          <w:rFonts w:hint="eastAsia" w:cs="Times New Roman" w:asciiTheme="minorEastAsia" w:hAnsiTheme="minorEastAsia"/>
          <w:color w:val="000000" w:themeColor="text1"/>
          <w:sz w:val="24"/>
          <w:szCs w:val="24"/>
          <w:lang w:val="zh-CN"/>
        </w:rPr>
        <w:t>除货物和工程（含本章3.2条所述工程及《招标投标法》所定义工程）以外的其他政府采购对象,包括政府自身需要的服务和政府向社会公众提供的公共服务。</w:t>
      </w:r>
    </w:p>
    <w:p>
      <w:pPr>
        <w:numPr>
          <w:ilvl w:val="0"/>
          <w:numId w:val="7"/>
        </w:numPr>
        <w:spacing w:line="360" w:lineRule="auto"/>
        <w:ind w:left="476" w:hanging="476"/>
        <w:rPr>
          <w:rFonts w:cs="Times New Roman" w:asciiTheme="minorEastAsia" w:hAnsiTheme="minorEastAsia"/>
          <w:color w:val="000000" w:themeColor="text1"/>
          <w:sz w:val="24"/>
          <w:szCs w:val="24"/>
          <w:lang w:val="zh-CN"/>
        </w:rPr>
      </w:pPr>
      <w:r>
        <w:rPr>
          <w:rFonts w:cs="Times New Roman" w:asciiTheme="minorEastAsia" w:hAnsiTheme="minorEastAsia"/>
          <w:color w:val="000000" w:themeColor="text1"/>
          <w:sz w:val="24"/>
          <w:szCs w:val="24"/>
          <w:lang w:val="zh-CN"/>
        </w:rPr>
        <w:t>采购人应当按照财政部制定的《政府采购品目分类目录》确定采购项目属性</w:t>
      </w:r>
      <w:r>
        <w:rPr>
          <w:rFonts w:hint="eastAsia" w:cs="Times New Roman" w:asciiTheme="minorEastAsia" w:hAnsiTheme="minorEastAsia"/>
          <w:color w:val="000000" w:themeColor="text1"/>
          <w:sz w:val="24"/>
          <w:szCs w:val="24"/>
          <w:lang w:val="zh-CN"/>
        </w:rPr>
        <w:t>。</w:t>
      </w:r>
      <w:r>
        <w:rPr>
          <w:rFonts w:cs="Times New Roman" w:asciiTheme="minorEastAsia" w:hAnsiTheme="minorEastAsia"/>
          <w:color w:val="000000" w:themeColor="text1"/>
          <w:sz w:val="24"/>
          <w:szCs w:val="24"/>
          <w:lang w:val="zh-CN"/>
        </w:rPr>
        <w:t>按照《政府采购品目分类目录》无法确定的，按照有利于采购项目实施的原则确定。</w:t>
      </w:r>
    </w:p>
    <w:p>
      <w:pPr>
        <w:numPr>
          <w:ilvl w:val="0"/>
          <w:numId w:val="5"/>
        </w:numPr>
        <w:spacing w:line="360" w:lineRule="auto"/>
        <w:rPr>
          <w:rFonts w:cs="Times New Roman" w:asciiTheme="minorEastAsia" w:hAnsiTheme="minorEastAsia"/>
          <w:b/>
          <w:color w:val="000000" w:themeColor="text1"/>
          <w:sz w:val="24"/>
          <w:szCs w:val="24"/>
          <w:lang w:val="zh-CN"/>
        </w:rPr>
      </w:pPr>
      <w:r>
        <w:rPr>
          <w:rFonts w:hint="eastAsia" w:cs="Times New Roman" w:asciiTheme="minorEastAsia" w:hAnsiTheme="minorEastAsia"/>
          <w:b/>
          <w:color w:val="000000" w:themeColor="text1"/>
          <w:sz w:val="24"/>
          <w:szCs w:val="24"/>
          <w:lang w:val="zh-CN"/>
        </w:rPr>
        <w:t>投标费用</w:t>
      </w:r>
    </w:p>
    <w:p>
      <w:pPr>
        <w:numPr>
          <w:ilvl w:val="0"/>
          <w:numId w:val="9"/>
        </w:numPr>
        <w:spacing w:line="360" w:lineRule="auto"/>
        <w:ind w:left="476" w:hanging="476"/>
        <w:rPr>
          <w:rFonts w:cs="Times New Roman" w:asciiTheme="minorEastAsia" w:hAnsiTheme="minorEastAsia"/>
          <w:color w:val="000000" w:themeColor="text1"/>
          <w:sz w:val="24"/>
          <w:szCs w:val="24"/>
          <w:lang w:val="zh-CN"/>
        </w:rPr>
      </w:pPr>
      <w:r>
        <w:rPr>
          <w:rFonts w:hint="eastAsia" w:cs="Times New Roman" w:asciiTheme="minorEastAsia" w:hAnsiTheme="minorEastAsia"/>
          <w:color w:val="000000" w:themeColor="text1"/>
          <w:sz w:val="24"/>
          <w:szCs w:val="24"/>
          <w:lang w:val="zh-CN"/>
        </w:rPr>
        <w:t>投标人应承担所有与准备和参加投标有关的费用。不论投标的结果如何，采购代理机构和采购人均无义务和责任承担这些费用。</w:t>
      </w:r>
    </w:p>
    <w:p>
      <w:pPr>
        <w:pStyle w:val="25"/>
        <w:numPr>
          <w:ilvl w:val="0"/>
          <w:numId w:val="9"/>
        </w:numPr>
        <w:adjustRightInd w:val="0"/>
        <w:snapToGrid w:val="0"/>
        <w:spacing w:line="300" w:lineRule="auto"/>
        <w:ind w:firstLineChars="0"/>
        <w:rPr>
          <w:rFonts w:ascii="宋体" w:hAnsi="宋体"/>
          <w:bCs/>
          <w:color w:val="000000" w:themeColor="text1"/>
          <w:sz w:val="24"/>
          <w:szCs w:val="24"/>
        </w:rPr>
      </w:pPr>
      <w:r>
        <w:rPr>
          <w:rFonts w:hint="eastAsia" w:ascii="宋体" w:hAnsi="宋体"/>
          <w:color w:val="000000" w:themeColor="text1"/>
          <w:sz w:val="24"/>
          <w:szCs w:val="24"/>
        </w:rPr>
        <w:t>采购代理服务费：</w:t>
      </w:r>
    </w:p>
    <w:p>
      <w:pPr>
        <w:pStyle w:val="25"/>
        <w:ind w:left="420" w:firstLine="0" w:firstLineChars="0"/>
        <w:rPr>
          <w:rFonts w:ascii="宋体" w:hAnsi="宋体"/>
          <w:b/>
          <w:color w:val="000000" w:themeColor="text1"/>
          <w:sz w:val="24"/>
          <w:szCs w:val="24"/>
        </w:rPr>
      </w:pPr>
      <w:r>
        <w:rPr>
          <w:rFonts w:hint="eastAsia" w:ascii="宋体" w:hAnsi="宋体"/>
          <w:b/>
          <w:color w:val="000000" w:themeColor="text1"/>
          <w:sz w:val="24"/>
          <w:szCs w:val="24"/>
        </w:rPr>
        <w:t>经过采购代理机构与采购人协议，规定由中标单位支付。采购代理服务费收费标准如下：</w:t>
      </w:r>
    </w:p>
    <w:p>
      <w:pPr>
        <w:pStyle w:val="25"/>
        <w:ind w:left="420" w:firstLine="0" w:firstLineChars="0"/>
        <w:rPr>
          <w:rFonts w:ascii="宋体" w:hAnsi="宋体"/>
          <w:b/>
          <w:color w:val="000000" w:themeColor="text1"/>
          <w:sz w:val="24"/>
          <w:szCs w:val="24"/>
        </w:rPr>
      </w:pPr>
    </w:p>
    <w:p>
      <w:pPr>
        <w:pStyle w:val="25"/>
        <w:ind w:left="420" w:firstLine="0" w:firstLineChars="0"/>
        <w:rPr>
          <w:rFonts w:ascii="宋体" w:hAnsi="宋体"/>
          <w:b/>
          <w:color w:val="000000" w:themeColor="text1"/>
          <w:sz w:val="24"/>
          <w:szCs w:val="24"/>
        </w:rPr>
      </w:pPr>
    </w:p>
    <w:tbl>
      <w:tblPr>
        <w:tblStyle w:val="18"/>
        <w:tblW w:w="9241"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2470"/>
        <w:gridCol w:w="2148"/>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475" w:type="dxa"/>
          </w:tcPr>
          <w:p>
            <w:pPr>
              <w:spacing w:line="300" w:lineRule="auto"/>
              <w:ind w:firstLine="998" w:firstLineChars="416"/>
              <w:rPr>
                <w:rFonts w:ascii="宋体" w:hAnsi="宋体" w:cs="宋体"/>
                <w:color w:val="000000" w:themeColor="text1"/>
                <w:sz w:val="24"/>
                <w:szCs w:val="24"/>
              </w:rPr>
            </w:pPr>
            <w:r>
              <w:rPr>
                <w:rFonts w:ascii="宋体" w:hAnsi="宋体" w:cs="宋体"/>
                <w:color w:val="000000" w:themeColor="text1"/>
                <w:sz w:val="24"/>
                <w:szCs w:val="24"/>
              </w:rPr>
              <w:pict>
                <v:line id="_x0000_s1026" o:spid="_x0000_s1026" o:spt="20" style="position:absolute;left:0pt;flip:x y;margin-left:-1.05pt;margin-top:8pt;height:68.5pt;width:111.1pt;z-index:251661312;mso-width-relative:page;mso-height-relative:page;" coordsize="21600,21600" o:gfxdata="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BGc6zR&#10;AAAACQEAAA8AAAAAAAAAAQAgAAAAIgAAAGRycy9kb3ducmV2LnhtbFBLAQIUABQAAAAIAIdO4kCh&#10;R43h7gEAAK8DAAAOAAAAAAAAAAEAIAAAACABAABkcnMvZTJvRG9jLnhtbFBLBQYAAAAABgAGAFkB&#10;AACABQAAAAA=&#10;">
                  <v:path arrowok="t"/>
                  <v:fill focussize="0,0"/>
                  <v:stroke/>
                  <v:imagedata o:title=""/>
                  <o:lock v:ext="edit"/>
                </v:line>
              </w:pict>
            </w:r>
            <w:r>
              <w:rPr>
                <w:rFonts w:ascii="宋体" w:hAnsi="宋体" w:cs="宋体"/>
                <w:color w:val="000000" w:themeColor="text1"/>
                <w:sz w:val="24"/>
                <w:szCs w:val="24"/>
              </w:rPr>
              <w:pict>
                <v:line id="_x0000_s1028" o:spid="_x0000_s1028" o:spt="20" style="position:absolute;left:0pt;flip:x y;margin-left:-5.15pt;margin-top:4.3pt;height:33.15pt;width:125.75pt;z-index:251662336;mso-width-relative:page;mso-height-relative:page;" coordsize="21600,21600" o:gfxdata="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4uAobVAAAA&#10;CAEAAA8AAAAAAAAAAQAgAAAAIgAAAGRycy9kb3ducmV2LnhtbFBLAQIUABQAAAAIAIdO4kCICMfN&#10;5wEAAK8DAAAOAAAAAAAAAAEAIAAAACQBAABkcnMvZTJvRG9jLnhtbFBLBQYAAAAABgAGAFkBAAB9&#10;BQAAAAA=&#10;">
                  <v:path arrowok="t"/>
                  <v:fill focussize="0,0"/>
                  <v:stroke/>
                  <v:imagedata o:title=""/>
                  <o:lock v:ext="edit"/>
                </v:line>
              </w:pict>
            </w:r>
            <w:r>
              <w:rPr>
                <w:rFonts w:ascii="宋体" w:hAnsi="宋体" w:cs="宋体"/>
                <w:color w:val="000000" w:themeColor="text1"/>
                <w:sz w:val="24"/>
                <w:szCs w:val="24"/>
              </w:rPr>
              <w:pict>
                <v:line id="_x0000_s1027" o:spid="_x0000_s1027" o:spt="20" style="position:absolute;left:0pt;margin-left:-9pt;margin-top:-0.5pt;height:0pt;width:0.05pt;z-index:251660288;mso-width-relative:page;mso-height-relative:page;"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5HTftUAAAAJAQAADwAAAAAAAAABACAA&#10;AAAiAAAAZHJzL2Rvd25yZXYueG1sUEsBAhQAFAAAAAgAh07iQNQeqKXXAQAAkgMAAA4AAAAAAAAA&#10;AQAgAAAAJAEAAGRycy9lMm9Eb2MueG1sUEsFBgAAAAAGAAYAWQEAAG0FAAAAAA==&#10;">
                  <v:path arrowok="t"/>
                  <v:fill focussize="0,0"/>
                  <v:stroke/>
                  <v:imagedata o:title=""/>
                  <o:lock v:ext="edit"/>
                </v:line>
              </w:pict>
            </w:r>
            <w:r>
              <w:rPr>
                <w:rFonts w:hint="eastAsia" w:ascii="宋体" w:hAnsi="宋体" w:cs="宋体"/>
                <w:color w:val="000000" w:themeColor="text1"/>
                <w:sz w:val="24"/>
                <w:szCs w:val="24"/>
              </w:rPr>
              <w:t>招标类型　　　</w:t>
            </w:r>
          </w:p>
          <w:p>
            <w:pPr>
              <w:spacing w:line="300" w:lineRule="auto"/>
              <w:ind w:firstLine="998" w:firstLineChars="416"/>
              <w:rPr>
                <w:rFonts w:ascii="宋体" w:hAnsi="宋体" w:cs="宋体"/>
                <w:color w:val="000000" w:themeColor="text1"/>
                <w:sz w:val="24"/>
                <w:szCs w:val="24"/>
              </w:rPr>
            </w:pPr>
            <w:r>
              <w:rPr>
                <w:rFonts w:hint="eastAsia" w:ascii="宋体" w:hAnsi="宋体" w:cs="宋体"/>
                <w:bCs/>
                <w:color w:val="000000" w:themeColor="text1"/>
                <w:sz w:val="24"/>
                <w:szCs w:val="24"/>
              </w:rPr>
              <w:t>中标</w:t>
            </w:r>
            <w:r>
              <w:rPr>
                <w:rFonts w:hint="eastAsia" w:ascii="宋体" w:hAnsi="宋体" w:cs="宋体"/>
                <w:color w:val="000000" w:themeColor="text1"/>
                <w:sz w:val="24"/>
                <w:szCs w:val="24"/>
              </w:rPr>
              <w:t xml:space="preserve">　　　 </w:t>
            </w:r>
          </w:p>
          <w:p>
            <w:pPr>
              <w:spacing w:line="300" w:lineRule="auto"/>
              <w:ind w:firstLine="1504" w:firstLineChars="627"/>
              <w:rPr>
                <w:rFonts w:ascii="宋体" w:hAnsi="宋体" w:cs="宋体"/>
                <w:bCs/>
                <w:color w:val="000000" w:themeColor="text1"/>
                <w:sz w:val="24"/>
                <w:szCs w:val="24"/>
              </w:rPr>
            </w:pPr>
            <w:r>
              <w:rPr>
                <w:rFonts w:hint="eastAsia" w:ascii="宋体" w:hAnsi="宋体" w:cs="宋体"/>
                <w:bCs/>
                <w:color w:val="000000" w:themeColor="text1"/>
                <w:sz w:val="24"/>
                <w:szCs w:val="24"/>
              </w:rPr>
              <w:t>费率</w:t>
            </w:r>
          </w:p>
          <w:p>
            <w:pPr>
              <w:spacing w:line="300" w:lineRule="auto"/>
              <w:rPr>
                <w:rFonts w:ascii="宋体" w:hAnsi="宋体" w:cs="宋体"/>
                <w:color w:val="000000" w:themeColor="text1"/>
                <w:sz w:val="24"/>
                <w:szCs w:val="24"/>
              </w:rPr>
            </w:pPr>
            <w:r>
              <w:rPr>
                <w:rFonts w:hint="eastAsia" w:ascii="宋体" w:hAnsi="宋体" w:cs="宋体"/>
                <w:color w:val="000000" w:themeColor="text1"/>
                <w:sz w:val="24"/>
                <w:szCs w:val="24"/>
              </w:rPr>
              <w:t>金额（万元）</w:t>
            </w:r>
          </w:p>
        </w:tc>
        <w:tc>
          <w:tcPr>
            <w:tcW w:w="2470" w:type="dxa"/>
            <w:vAlign w:val="center"/>
          </w:tcPr>
          <w:p>
            <w:pPr>
              <w:spacing w:line="300" w:lineRule="auto"/>
              <w:jc w:val="center"/>
              <w:rPr>
                <w:rFonts w:ascii="宋体" w:hAnsi="宋体" w:cs="宋体"/>
                <w:color w:val="000000" w:themeColor="text1"/>
                <w:sz w:val="24"/>
                <w:szCs w:val="24"/>
              </w:rPr>
            </w:pPr>
            <w:r>
              <w:rPr>
                <w:rFonts w:hint="eastAsia" w:ascii="宋体" w:hAnsi="宋体" w:cs="宋体"/>
                <w:color w:val="000000" w:themeColor="text1"/>
                <w:sz w:val="24"/>
                <w:szCs w:val="24"/>
              </w:rPr>
              <w:t>货物招标</w:t>
            </w:r>
          </w:p>
        </w:tc>
        <w:tc>
          <w:tcPr>
            <w:tcW w:w="2148" w:type="dxa"/>
            <w:vAlign w:val="center"/>
          </w:tcPr>
          <w:p>
            <w:pPr>
              <w:spacing w:line="300" w:lineRule="auto"/>
              <w:jc w:val="center"/>
              <w:rPr>
                <w:rFonts w:ascii="宋体" w:hAnsi="宋体" w:cs="宋体"/>
                <w:color w:val="000000" w:themeColor="text1"/>
                <w:sz w:val="24"/>
                <w:szCs w:val="24"/>
              </w:rPr>
            </w:pPr>
            <w:r>
              <w:rPr>
                <w:rFonts w:hint="eastAsia" w:ascii="宋体" w:hAnsi="宋体" w:cs="宋体"/>
                <w:color w:val="000000" w:themeColor="text1"/>
                <w:sz w:val="24"/>
                <w:szCs w:val="24"/>
              </w:rPr>
              <w:t>服务招标</w:t>
            </w:r>
          </w:p>
        </w:tc>
        <w:tc>
          <w:tcPr>
            <w:tcW w:w="2148" w:type="dxa"/>
            <w:vAlign w:val="center"/>
          </w:tcPr>
          <w:p>
            <w:pPr>
              <w:spacing w:line="300" w:lineRule="auto"/>
              <w:jc w:val="center"/>
              <w:rPr>
                <w:rFonts w:ascii="宋体" w:hAnsi="宋体" w:cs="宋体"/>
                <w:color w:val="000000" w:themeColor="text1"/>
                <w:sz w:val="24"/>
                <w:szCs w:val="24"/>
              </w:rPr>
            </w:pPr>
            <w:r>
              <w:rPr>
                <w:rFonts w:hint="eastAsia" w:ascii="宋体" w:hAnsi="宋体" w:cs="宋体"/>
                <w:color w:val="000000" w:themeColor="text1"/>
                <w:sz w:val="24"/>
                <w:szCs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75" w:type="dxa"/>
          </w:tcPr>
          <w:p>
            <w:pPr>
              <w:spacing w:line="300" w:lineRule="auto"/>
              <w:jc w:val="center"/>
              <w:rPr>
                <w:rFonts w:ascii="宋体" w:hAnsi="宋体" w:cs="宋体"/>
                <w:color w:val="000000" w:themeColor="text1"/>
                <w:sz w:val="24"/>
                <w:szCs w:val="24"/>
              </w:rPr>
            </w:pPr>
            <w:r>
              <w:rPr>
                <w:rFonts w:hint="eastAsia" w:ascii="宋体" w:hAnsi="宋体" w:cs="宋体"/>
                <w:color w:val="000000" w:themeColor="text1"/>
                <w:sz w:val="24"/>
                <w:szCs w:val="24"/>
              </w:rPr>
              <w:t>100以下</w:t>
            </w:r>
          </w:p>
        </w:tc>
        <w:tc>
          <w:tcPr>
            <w:tcW w:w="2470" w:type="dxa"/>
          </w:tcPr>
          <w:p>
            <w:pPr>
              <w:spacing w:line="300" w:lineRule="auto"/>
              <w:jc w:val="center"/>
              <w:rPr>
                <w:rFonts w:ascii="宋体" w:hAnsi="宋体" w:cs="宋体"/>
                <w:color w:val="000000" w:themeColor="text1"/>
                <w:sz w:val="24"/>
                <w:szCs w:val="24"/>
              </w:rPr>
            </w:pPr>
            <w:r>
              <w:rPr>
                <w:rFonts w:hint="eastAsia" w:ascii="宋体" w:hAnsi="宋体" w:cs="宋体"/>
                <w:color w:val="000000" w:themeColor="text1"/>
                <w:sz w:val="24"/>
                <w:szCs w:val="24"/>
              </w:rPr>
              <w:t>1.5%</w:t>
            </w:r>
          </w:p>
        </w:tc>
        <w:tc>
          <w:tcPr>
            <w:tcW w:w="2148" w:type="dxa"/>
          </w:tcPr>
          <w:p>
            <w:pPr>
              <w:spacing w:line="300" w:lineRule="auto"/>
              <w:jc w:val="center"/>
              <w:rPr>
                <w:rFonts w:ascii="宋体" w:hAnsi="宋体" w:cs="宋体"/>
                <w:color w:val="000000" w:themeColor="text1"/>
                <w:sz w:val="24"/>
                <w:szCs w:val="24"/>
              </w:rPr>
            </w:pPr>
            <w:r>
              <w:rPr>
                <w:rFonts w:hint="eastAsia" w:ascii="宋体" w:hAnsi="宋体" w:cs="宋体"/>
                <w:color w:val="000000" w:themeColor="text1"/>
                <w:sz w:val="24"/>
                <w:szCs w:val="24"/>
              </w:rPr>
              <w:t>1.5%</w:t>
            </w:r>
          </w:p>
        </w:tc>
        <w:tc>
          <w:tcPr>
            <w:tcW w:w="2148" w:type="dxa"/>
          </w:tcPr>
          <w:p>
            <w:pPr>
              <w:spacing w:line="300" w:lineRule="auto"/>
              <w:jc w:val="center"/>
              <w:rPr>
                <w:rFonts w:ascii="宋体" w:hAnsi="宋体" w:cs="宋体"/>
                <w:color w:val="000000" w:themeColor="text1"/>
                <w:sz w:val="24"/>
                <w:szCs w:val="24"/>
              </w:rPr>
            </w:pPr>
            <w:r>
              <w:rPr>
                <w:rFonts w:hint="eastAsia" w:ascii="宋体" w:hAnsi="宋体" w:cs="宋体"/>
                <w:color w:val="000000" w:themeColor="text1"/>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Pr>
          <w:p>
            <w:pPr>
              <w:spacing w:line="300" w:lineRule="auto"/>
              <w:ind w:firstLine="720" w:firstLineChars="300"/>
              <w:rPr>
                <w:rFonts w:ascii="宋体" w:hAnsi="宋体" w:cs="宋体"/>
                <w:color w:val="000000" w:themeColor="text1"/>
                <w:sz w:val="24"/>
                <w:szCs w:val="24"/>
              </w:rPr>
            </w:pPr>
            <w:r>
              <w:rPr>
                <w:rFonts w:hint="eastAsia" w:ascii="宋体" w:hAnsi="宋体" w:cs="宋体"/>
                <w:color w:val="000000" w:themeColor="text1"/>
                <w:sz w:val="24"/>
                <w:szCs w:val="24"/>
              </w:rPr>
              <w:t>100-500</w:t>
            </w:r>
          </w:p>
        </w:tc>
        <w:tc>
          <w:tcPr>
            <w:tcW w:w="2470" w:type="dxa"/>
          </w:tcPr>
          <w:p>
            <w:pPr>
              <w:spacing w:line="300" w:lineRule="auto"/>
              <w:jc w:val="center"/>
              <w:rPr>
                <w:rFonts w:ascii="宋体" w:hAnsi="宋体" w:cs="宋体"/>
                <w:color w:val="000000" w:themeColor="text1"/>
                <w:sz w:val="24"/>
                <w:szCs w:val="24"/>
              </w:rPr>
            </w:pPr>
            <w:r>
              <w:rPr>
                <w:rFonts w:hint="eastAsia" w:ascii="宋体" w:hAnsi="宋体" w:cs="宋体"/>
                <w:color w:val="000000" w:themeColor="text1"/>
                <w:sz w:val="24"/>
                <w:szCs w:val="24"/>
              </w:rPr>
              <w:t>1.1%</w:t>
            </w:r>
          </w:p>
        </w:tc>
        <w:tc>
          <w:tcPr>
            <w:tcW w:w="2148" w:type="dxa"/>
          </w:tcPr>
          <w:p>
            <w:pPr>
              <w:spacing w:line="300" w:lineRule="auto"/>
              <w:jc w:val="center"/>
              <w:rPr>
                <w:rFonts w:ascii="宋体" w:hAnsi="宋体" w:cs="宋体"/>
                <w:color w:val="000000" w:themeColor="text1"/>
                <w:sz w:val="24"/>
                <w:szCs w:val="24"/>
              </w:rPr>
            </w:pPr>
            <w:r>
              <w:rPr>
                <w:rFonts w:hint="eastAsia" w:ascii="宋体" w:hAnsi="宋体" w:cs="宋体"/>
                <w:color w:val="000000" w:themeColor="text1"/>
                <w:sz w:val="24"/>
                <w:szCs w:val="24"/>
              </w:rPr>
              <w:t>0.8%</w:t>
            </w:r>
          </w:p>
        </w:tc>
        <w:tc>
          <w:tcPr>
            <w:tcW w:w="2148" w:type="dxa"/>
          </w:tcPr>
          <w:p>
            <w:pPr>
              <w:spacing w:line="300" w:lineRule="auto"/>
              <w:jc w:val="center"/>
              <w:rPr>
                <w:rFonts w:ascii="宋体" w:hAnsi="宋体" w:cs="宋体"/>
                <w:color w:val="000000" w:themeColor="text1"/>
                <w:sz w:val="24"/>
                <w:szCs w:val="24"/>
              </w:rPr>
            </w:pPr>
            <w:r>
              <w:rPr>
                <w:rFonts w:hint="eastAsia" w:ascii="宋体" w:hAnsi="宋体" w:cs="宋体"/>
                <w:color w:val="000000" w:themeColor="text1"/>
                <w:sz w:val="24"/>
                <w:szCs w:val="24"/>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Pr>
          <w:p>
            <w:pPr>
              <w:spacing w:line="300" w:lineRule="auto"/>
              <w:jc w:val="center"/>
              <w:rPr>
                <w:rFonts w:ascii="宋体" w:hAnsi="宋体" w:cs="宋体"/>
                <w:color w:val="000000" w:themeColor="text1"/>
                <w:sz w:val="24"/>
                <w:szCs w:val="24"/>
              </w:rPr>
            </w:pPr>
            <w:r>
              <w:rPr>
                <w:rFonts w:hint="eastAsia" w:ascii="宋体" w:hAnsi="宋体" w:cs="宋体"/>
                <w:color w:val="000000" w:themeColor="text1"/>
                <w:sz w:val="24"/>
                <w:szCs w:val="24"/>
              </w:rPr>
              <w:t>500-1000</w:t>
            </w:r>
          </w:p>
        </w:tc>
        <w:tc>
          <w:tcPr>
            <w:tcW w:w="2470" w:type="dxa"/>
          </w:tcPr>
          <w:p>
            <w:pPr>
              <w:spacing w:line="300" w:lineRule="auto"/>
              <w:jc w:val="center"/>
              <w:rPr>
                <w:rFonts w:ascii="宋体" w:hAnsi="宋体" w:cs="宋体"/>
                <w:color w:val="000000" w:themeColor="text1"/>
                <w:sz w:val="24"/>
                <w:szCs w:val="24"/>
              </w:rPr>
            </w:pPr>
            <w:r>
              <w:rPr>
                <w:rFonts w:hint="eastAsia" w:ascii="宋体" w:hAnsi="宋体" w:cs="宋体"/>
                <w:color w:val="000000" w:themeColor="text1"/>
                <w:sz w:val="24"/>
                <w:szCs w:val="24"/>
              </w:rPr>
              <w:t>0.8%</w:t>
            </w:r>
          </w:p>
        </w:tc>
        <w:tc>
          <w:tcPr>
            <w:tcW w:w="2148" w:type="dxa"/>
          </w:tcPr>
          <w:p>
            <w:pPr>
              <w:spacing w:line="300" w:lineRule="auto"/>
              <w:jc w:val="center"/>
              <w:rPr>
                <w:rFonts w:ascii="宋体" w:hAnsi="宋体" w:cs="宋体"/>
                <w:color w:val="000000" w:themeColor="text1"/>
                <w:sz w:val="24"/>
                <w:szCs w:val="24"/>
              </w:rPr>
            </w:pPr>
            <w:r>
              <w:rPr>
                <w:rFonts w:hint="eastAsia" w:ascii="宋体" w:hAnsi="宋体" w:cs="宋体"/>
                <w:color w:val="000000" w:themeColor="text1"/>
                <w:sz w:val="24"/>
                <w:szCs w:val="24"/>
              </w:rPr>
              <w:t>0.45%</w:t>
            </w:r>
          </w:p>
        </w:tc>
        <w:tc>
          <w:tcPr>
            <w:tcW w:w="2148" w:type="dxa"/>
          </w:tcPr>
          <w:p>
            <w:pPr>
              <w:spacing w:line="300" w:lineRule="auto"/>
              <w:jc w:val="center"/>
              <w:rPr>
                <w:rFonts w:ascii="宋体" w:hAnsi="宋体" w:cs="宋体"/>
                <w:color w:val="000000" w:themeColor="text1"/>
                <w:sz w:val="24"/>
                <w:szCs w:val="24"/>
              </w:rPr>
            </w:pPr>
            <w:r>
              <w:rPr>
                <w:rFonts w:hint="eastAsia" w:ascii="宋体" w:hAnsi="宋体" w:cs="宋体"/>
                <w:color w:val="000000" w:themeColor="text1"/>
                <w:sz w:val="24"/>
                <w:szCs w:val="24"/>
              </w:rPr>
              <w:t>0.55％</w:t>
            </w:r>
          </w:p>
        </w:tc>
      </w:tr>
    </w:tbl>
    <w:p>
      <w:pPr>
        <w:pStyle w:val="25"/>
        <w:adjustRightInd w:val="0"/>
        <w:snapToGrid w:val="0"/>
        <w:spacing w:line="300" w:lineRule="auto"/>
        <w:ind w:left="420" w:firstLine="0" w:firstLineChars="0"/>
        <w:rPr>
          <w:rFonts w:ascii="宋体" w:hAnsi="宋体"/>
          <w:color w:val="000000" w:themeColor="text1"/>
          <w:sz w:val="24"/>
          <w:szCs w:val="24"/>
        </w:rPr>
      </w:pPr>
    </w:p>
    <w:p>
      <w:pPr>
        <w:pStyle w:val="2"/>
        <w:numPr>
          <w:ilvl w:val="0"/>
          <w:numId w:val="4"/>
        </w:numPr>
        <w:spacing w:before="40" w:after="40" w:line="360" w:lineRule="auto"/>
        <w:ind w:left="658" w:hanging="658"/>
        <w:jc w:val="left"/>
        <w:rPr>
          <w:rFonts w:cs="Times New Roman" w:asciiTheme="majorEastAsia" w:hAnsiTheme="majorEastAsia"/>
          <w:bCs w:val="0"/>
          <w:color w:val="000000" w:themeColor="text1"/>
          <w:lang w:val="zh-CN"/>
        </w:rPr>
      </w:pPr>
      <w:bookmarkStart w:id="6" w:name="_Toc494561939"/>
      <w:bookmarkStart w:id="7" w:name="_Toc8194"/>
      <w:bookmarkStart w:id="8" w:name="_Toc278891592"/>
      <w:bookmarkStart w:id="9" w:name="_Toc272247695"/>
      <w:r>
        <w:rPr>
          <w:rFonts w:hint="eastAsia" w:cs="Times New Roman" w:asciiTheme="majorEastAsia" w:hAnsiTheme="majorEastAsia"/>
          <w:bCs w:val="0"/>
          <w:color w:val="000000" w:themeColor="text1"/>
          <w:lang w:val="zh-CN"/>
        </w:rPr>
        <w:t>招标文件</w:t>
      </w:r>
      <w:bookmarkEnd w:id="6"/>
      <w:bookmarkEnd w:id="7"/>
      <w:bookmarkEnd w:id="8"/>
      <w:bookmarkEnd w:id="9"/>
    </w:p>
    <w:p>
      <w:pPr>
        <w:numPr>
          <w:ilvl w:val="0"/>
          <w:numId w:val="5"/>
        </w:numPr>
        <w:spacing w:line="360" w:lineRule="auto"/>
        <w:rPr>
          <w:rFonts w:ascii="宋体" w:hAnsi="宋体" w:eastAsia="宋体" w:cs="Times New Roman"/>
          <w:b/>
          <w:color w:val="000000" w:themeColor="text1"/>
          <w:sz w:val="24"/>
          <w:szCs w:val="20"/>
          <w:lang w:val="zh-CN"/>
        </w:rPr>
      </w:pPr>
      <w:r>
        <w:rPr>
          <w:rFonts w:hint="eastAsia" w:ascii="宋体" w:hAnsi="宋体" w:eastAsia="宋体" w:cs="Times New Roman"/>
          <w:b/>
          <w:color w:val="000000" w:themeColor="text1"/>
          <w:sz w:val="24"/>
          <w:szCs w:val="20"/>
          <w:lang w:val="zh-CN"/>
        </w:rPr>
        <w:t>招标文件的构成</w:t>
      </w:r>
    </w:p>
    <w:p>
      <w:pPr>
        <w:tabs>
          <w:tab w:val="left" w:pos="476"/>
        </w:tabs>
        <w:spacing w:line="360" w:lineRule="auto"/>
        <w:ind w:left="476"/>
        <w:rPr>
          <w:rFonts w:ascii="宋体" w:hAnsi="宋体" w:eastAsia="宋体" w:cs="Times New Roman"/>
          <w:color w:val="000000" w:themeColor="text1"/>
          <w:sz w:val="24"/>
          <w:szCs w:val="20"/>
          <w:lang w:val="zh-CN"/>
        </w:rPr>
      </w:pPr>
      <w:r>
        <w:rPr>
          <w:rFonts w:hint="eastAsia" w:ascii="宋体" w:hAnsi="宋体" w:eastAsia="宋体" w:cs="Times New Roman"/>
          <w:color w:val="000000" w:themeColor="text1"/>
          <w:sz w:val="24"/>
          <w:szCs w:val="20"/>
          <w:lang w:val="zh-CN"/>
        </w:rPr>
        <w:t>第一章 投标邀请书</w:t>
      </w:r>
    </w:p>
    <w:p>
      <w:pPr>
        <w:tabs>
          <w:tab w:val="left" w:pos="476"/>
        </w:tabs>
        <w:spacing w:line="360" w:lineRule="auto"/>
        <w:ind w:left="476"/>
        <w:rPr>
          <w:rFonts w:ascii="宋体" w:hAnsi="宋体" w:eastAsia="宋体" w:cs="Times New Roman"/>
          <w:color w:val="000000" w:themeColor="text1"/>
          <w:sz w:val="24"/>
          <w:szCs w:val="20"/>
          <w:lang w:val="zh-CN"/>
        </w:rPr>
      </w:pPr>
      <w:r>
        <w:rPr>
          <w:rFonts w:hint="eastAsia" w:ascii="宋体" w:hAnsi="宋体" w:eastAsia="宋体" w:cs="Times New Roman"/>
          <w:color w:val="000000" w:themeColor="text1"/>
          <w:sz w:val="24"/>
          <w:szCs w:val="20"/>
          <w:lang w:val="zh-CN"/>
        </w:rPr>
        <w:t>第二章 投标人须知</w:t>
      </w:r>
    </w:p>
    <w:p>
      <w:pPr>
        <w:tabs>
          <w:tab w:val="left" w:pos="476"/>
        </w:tabs>
        <w:spacing w:line="360" w:lineRule="auto"/>
        <w:ind w:left="476"/>
        <w:rPr>
          <w:rFonts w:ascii="宋体" w:hAnsi="宋体" w:eastAsia="宋体" w:cs="Times New Roman"/>
          <w:color w:val="000000" w:themeColor="text1"/>
          <w:sz w:val="24"/>
          <w:szCs w:val="20"/>
          <w:lang w:val="zh-CN"/>
        </w:rPr>
      </w:pPr>
      <w:r>
        <w:rPr>
          <w:rFonts w:hint="eastAsia" w:ascii="宋体" w:hAnsi="宋体" w:eastAsia="宋体" w:cs="Times New Roman"/>
          <w:color w:val="000000" w:themeColor="text1"/>
          <w:sz w:val="24"/>
          <w:szCs w:val="20"/>
          <w:lang w:val="zh-CN"/>
        </w:rPr>
        <w:t>第三章 项目技术、服务及商务要求</w:t>
      </w:r>
    </w:p>
    <w:p>
      <w:pPr>
        <w:tabs>
          <w:tab w:val="left" w:pos="476"/>
        </w:tabs>
        <w:spacing w:line="360" w:lineRule="auto"/>
        <w:ind w:left="476"/>
        <w:rPr>
          <w:rFonts w:ascii="宋体" w:hAnsi="宋体" w:eastAsia="宋体" w:cs="Times New Roman"/>
          <w:color w:val="000000" w:themeColor="text1"/>
          <w:sz w:val="24"/>
          <w:szCs w:val="20"/>
          <w:lang w:val="zh-CN"/>
        </w:rPr>
      </w:pPr>
      <w:r>
        <w:rPr>
          <w:rFonts w:hint="eastAsia" w:ascii="宋体" w:hAnsi="宋体" w:eastAsia="宋体" w:cs="Times New Roman"/>
          <w:color w:val="000000" w:themeColor="text1"/>
          <w:sz w:val="24"/>
          <w:szCs w:val="20"/>
          <w:lang w:val="zh-CN"/>
        </w:rPr>
        <w:t>第四章 资格审查方法及标准</w:t>
      </w:r>
    </w:p>
    <w:p>
      <w:pPr>
        <w:tabs>
          <w:tab w:val="left" w:pos="476"/>
        </w:tabs>
        <w:spacing w:line="360" w:lineRule="auto"/>
        <w:ind w:left="476"/>
        <w:rPr>
          <w:rFonts w:ascii="宋体" w:hAnsi="宋体" w:eastAsia="宋体" w:cs="Times New Roman"/>
          <w:color w:val="000000" w:themeColor="text1"/>
          <w:sz w:val="24"/>
          <w:szCs w:val="20"/>
          <w:lang w:val="zh-CN"/>
        </w:rPr>
      </w:pPr>
      <w:r>
        <w:rPr>
          <w:rFonts w:hint="eastAsia" w:ascii="宋体" w:hAnsi="宋体" w:eastAsia="宋体" w:cs="Times New Roman"/>
          <w:color w:val="000000" w:themeColor="text1"/>
          <w:sz w:val="24"/>
          <w:szCs w:val="20"/>
          <w:lang w:val="zh-CN"/>
        </w:rPr>
        <w:t>第五章 评标方法、程序及标准</w:t>
      </w:r>
    </w:p>
    <w:p>
      <w:pPr>
        <w:tabs>
          <w:tab w:val="left" w:pos="476"/>
        </w:tabs>
        <w:spacing w:line="360" w:lineRule="auto"/>
        <w:ind w:left="476"/>
        <w:rPr>
          <w:rFonts w:ascii="宋体" w:hAnsi="宋体" w:eastAsia="宋体" w:cs="Times New Roman"/>
          <w:color w:val="000000" w:themeColor="text1"/>
          <w:sz w:val="24"/>
          <w:szCs w:val="20"/>
          <w:lang w:val="zh-CN"/>
        </w:rPr>
      </w:pPr>
      <w:r>
        <w:rPr>
          <w:rFonts w:hint="eastAsia" w:ascii="宋体" w:hAnsi="宋体" w:eastAsia="宋体" w:cs="Times New Roman"/>
          <w:color w:val="000000" w:themeColor="text1"/>
          <w:sz w:val="24"/>
          <w:szCs w:val="20"/>
          <w:lang w:val="zh-CN"/>
        </w:rPr>
        <w:t>第六章 合同书格式（参考）</w:t>
      </w:r>
    </w:p>
    <w:p>
      <w:pPr>
        <w:tabs>
          <w:tab w:val="left" w:pos="476"/>
        </w:tabs>
        <w:spacing w:line="360" w:lineRule="auto"/>
        <w:ind w:left="476"/>
        <w:rPr>
          <w:rFonts w:ascii="宋体" w:hAnsi="宋体" w:eastAsia="宋体" w:cs="Times New Roman"/>
          <w:color w:val="000000" w:themeColor="text1"/>
          <w:sz w:val="24"/>
          <w:szCs w:val="20"/>
          <w:lang w:val="zh-CN"/>
        </w:rPr>
      </w:pPr>
      <w:r>
        <w:rPr>
          <w:rFonts w:hint="eastAsia" w:ascii="宋体" w:hAnsi="宋体" w:eastAsia="宋体" w:cs="Times New Roman"/>
          <w:color w:val="000000" w:themeColor="text1"/>
          <w:sz w:val="24"/>
          <w:szCs w:val="20"/>
          <w:lang w:val="zh-CN"/>
        </w:rPr>
        <w:t>第七章 投标文件格式（参考）</w:t>
      </w:r>
    </w:p>
    <w:p>
      <w:pPr>
        <w:tabs>
          <w:tab w:val="left" w:pos="476"/>
        </w:tabs>
        <w:spacing w:line="360" w:lineRule="auto"/>
        <w:ind w:left="476"/>
        <w:rPr>
          <w:rFonts w:ascii="宋体" w:hAnsi="宋体" w:eastAsia="宋体" w:cs="Times New Roman"/>
          <w:color w:val="000000" w:themeColor="text1"/>
          <w:sz w:val="24"/>
          <w:szCs w:val="20"/>
          <w:lang w:val="zh-CN"/>
        </w:rPr>
      </w:pPr>
      <w:r>
        <w:rPr>
          <w:rFonts w:hint="eastAsia" w:ascii="宋体" w:hAnsi="宋体" w:eastAsia="宋体" w:cs="Times New Roman"/>
          <w:color w:val="000000" w:themeColor="text1"/>
          <w:sz w:val="24"/>
          <w:szCs w:val="20"/>
          <w:lang w:val="zh-CN"/>
        </w:rPr>
        <w:t>其 他  在招标过程中由集中采购机构发出的修正和补充文件等</w:t>
      </w:r>
    </w:p>
    <w:p>
      <w:pPr>
        <w:numPr>
          <w:ilvl w:val="0"/>
          <w:numId w:val="5"/>
        </w:numPr>
        <w:spacing w:line="360" w:lineRule="auto"/>
        <w:rPr>
          <w:rFonts w:ascii="宋体" w:hAnsi="宋体" w:eastAsia="宋体" w:cs="Times New Roman"/>
          <w:b/>
          <w:color w:val="000000" w:themeColor="text1"/>
          <w:sz w:val="24"/>
          <w:szCs w:val="20"/>
          <w:lang w:val="zh-CN"/>
        </w:rPr>
      </w:pPr>
      <w:r>
        <w:rPr>
          <w:rFonts w:hint="eastAsia" w:ascii="宋体" w:hAnsi="宋体" w:eastAsia="宋体" w:cs="Times New Roman"/>
          <w:b/>
          <w:color w:val="000000" w:themeColor="text1"/>
          <w:sz w:val="24"/>
          <w:szCs w:val="20"/>
          <w:lang w:val="zh-CN"/>
        </w:rPr>
        <w:t>招标文件疑问的提交</w:t>
      </w:r>
    </w:p>
    <w:p>
      <w:pPr>
        <w:numPr>
          <w:ilvl w:val="0"/>
          <w:numId w:val="10"/>
        </w:numPr>
        <w:spacing w:line="360" w:lineRule="auto"/>
        <w:ind w:left="476" w:hanging="476"/>
        <w:rPr>
          <w:rFonts w:ascii="宋体" w:hAnsi="宋体" w:eastAsia="宋体" w:cs="Times New Roman"/>
          <w:color w:val="000000" w:themeColor="text1"/>
          <w:sz w:val="24"/>
          <w:szCs w:val="20"/>
          <w:lang w:val="zh-CN"/>
        </w:rPr>
      </w:pPr>
      <w:r>
        <w:rPr>
          <w:rFonts w:hint="eastAsia" w:ascii="宋体" w:hAnsi="宋体" w:eastAsia="宋体" w:cs="Times New Roman"/>
          <w:color w:val="000000" w:themeColor="text1"/>
          <w:sz w:val="24"/>
          <w:szCs w:val="20"/>
          <w:lang w:val="zh-CN"/>
        </w:rPr>
        <w:t>潜在投标人对招标文件有疑问的，可以向集中采购机构提出询问，或在6.2规定的时间前以书面的形式向集中采购机构提交疑问函。</w:t>
      </w:r>
    </w:p>
    <w:p>
      <w:pPr>
        <w:numPr>
          <w:ilvl w:val="0"/>
          <w:numId w:val="10"/>
        </w:numPr>
        <w:spacing w:line="360" w:lineRule="auto"/>
        <w:ind w:left="476" w:hanging="476"/>
        <w:rPr>
          <w:rFonts w:ascii="宋体" w:hAnsi="宋体" w:eastAsia="宋体" w:cs="Times New Roman"/>
          <w:color w:val="000000" w:themeColor="text1"/>
          <w:sz w:val="24"/>
          <w:szCs w:val="20"/>
          <w:lang w:val="zh-CN"/>
        </w:rPr>
      </w:pPr>
      <w:r>
        <w:rPr>
          <w:rFonts w:hint="eastAsia" w:ascii="宋体" w:hAnsi="宋体" w:eastAsia="宋体" w:cs="Times New Roman"/>
          <w:color w:val="000000" w:themeColor="text1"/>
          <w:sz w:val="24"/>
          <w:szCs w:val="20"/>
          <w:lang w:val="zh-CN"/>
        </w:rPr>
        <w:t>潜在投标人在项目招标公告期限届满之日起7个工作日内未对招标文件提出疑问的，集中采购机构将视其认同招标文件，在规定的时间后就招标文件内容提出的疑问将不予受理。</w:t>
      </w:r>
    </w:p>
    <w:p>
      <w:pPr>
        <w:numPr>
          <w:ilvl w:val="0"/>
          <w:numId w:val="10"/>
        </w:numPr>
        <w:spacing w:line="360" w:lineRule="auto"/>
        <w:ind w:left="476" w:hanging="476"/>
        <w:rPr>
          <w:rFonts w:ascii="宋体" w:hAnsi="宋体" w:eastAsia="宋体" w:cs="Times New Roman"/>
          <w:color w:val="000000" w:themeColor="text1"/>
          <w:sz w:val="24"/>
          <w:szCs w:val="20"/>
          <w:lang w:val="zh-CN"/>
        </w:rPr>
      </w:pPr>
      <w:r>
        <w:rPr>
          <w:rFonts w:hint="eastAsia" w:ascii="宋体" w:hAnsi="宋体" w:eastAsia="宋体" w:cs="Times New Roman"/>
          <w:color w:val="000000" w:themeColor="text1"/>
          <w:sz w:val="24"/>
          <w:szCs w:val="20"/>
          <w:lang w:val="zh-CN"/>
        </w:rPr>
        <w:t>集中采购机构将组织采购人对潜在投标人所提交疑问以书面（或网上公告）的形式予以答复。必要时，集中采购机构将组织相关专家召开答疑会，并将会议内容以书面的形式发给每个领取招标文件的潜在投标人（答复中不包括问题的来源）。</w:t>
      </w:r>
    </w:p>
    <w:p>
      <w:pPr>
        <w:numPr>
          <w:ilvl w:val="0"/>
          <w:numId w:val="5"/>
        </w:numPr>
        <w:spacing w:line="360" w:lineRule="auto"/>
        <w:rPr>
          <w:rFonts w:ascii="宋体" w:hAnsi="宋体" w:eastAsia="宋体" w:cs="Times New Roman"/>
          <w:b/>
          <w:color w:val="000000" w:themeColor="text1"/>
          <w:sz w:val="24"/>
          <w:szCs w:val="20"/>
          <w:lang w:val="zh-CN"/>
        </w:rPr>
      </w:pPr>
      <w:r>
        <w:rPr>
          <w:rFonts w:hint="eastAsia" w:ascii="宋体" w:hAnsi="宋体" w:eastAsia="宋体" w:cs="Times New Roman"/>
          <w:b/>
          <w:color w:val="000000" w:themeColor="text1"/>
          <w:sz w:val="24"/>
          <w:szCs w:val="20"/>
          <w:lang w:val="zh-CN"/>
        </w:rPr>
        <w:t>招标文件的澄清、修改</w:t>
      </w:r>
    </w:p>
    <w:p>
      <w:pPr>
        <w:numPr>
          <w:ilvl w:val="0"/>
          <w:numId w:val="11"/>
        </w:numPr>
        <w:spacing w:line="360" w:lineRule="auto"/>
        <w:ind w:left="476" w:hanging="476"/>
        <w:rPr>
          <w:rFonts w:ascii="Helvetica" w:hAnsi="Helvetica" w:eastAsia="宋体" w:cs="Helvetica"/>
          <w:color w:val="000000" w:themeColor="text1"/>
          <w:kern w:val="0"/>
          <w:sz w:val="24"/>
          <w:szCs w:val="24"/>
          <w:lang w:val="zh-CN"/>
        </w:rPr>
      </w:pPr>
      <w:r>
        <w:rPr>
          <w:rFonts w:hint="eastAsia" w:ascii="宋体" w:hAnsi="宋体" w:eastAsia="宋体" w:cs="Times New Roman"/>
          <w:color w:val="000000" w:themeColor="text1"/>
          <w:sz w:val="24"/>
          <w:szCs w:val="20"/>
          <w:lang w:val="zh-CN"/>
        </w:rPr>
        <w:t>集中采购机构和采购人可以对已发出的招标文件进行必要的澄清或者修改。</w:t>
      </w:r>
      <w:r>
        <w:rPr>
          <w:rFonts w:hint="eastAsia" w:ascii="Helvetica" w:hAnsi="Helvetica" w:eastAsia="宋体" w:cs="Helvetica"/>
          <w:color w:val="000000" w:themeColor="text1"/>
          <w:kern w:val="0"/>
          <w:sz w:val="24"/>
          <w:szCs w:val="24"/>
          <w:lang w:val="zh-CN"/>
        </w:rPr>
        <w:t>澄清或者修改将在原公告发布媒体上发布澄清公告。澄清或者修改的内容可能影响投标文件编制的，集中采购机构和采购人将在投标截止时间至少</w:t>
      </w:r>
      <w:r>
        <w:rPr>
          <w:rFonts w:hint="eastAsia" w:ascii="宋体" w:hAnsi="宋体" w:eastAsia="宋体" w:cs="Times New Roman"/>
          <w:color w:val="000000" w:themeColor="text1"/>
          <w:sz w:val="24"/>
          <w:szCs w:val="20"/>
          <w:lang w:val="zh-CN"/>
        </w:rPr>
        <w:t>15</w:t>
      </w:r>
      <w:r>
        <w:rPr>
          <w:rFonts w:hint="eastAsia" w:ascii="Helvetica" w:hAnsi="Helvetica" w:eastAsia="宋体" w:cs="Helvetica"/>
          <w:color w:val="000000" w:themeColor="text1"/>
          <w:kern w:val="0"/>
          <w:sz w:val="24"/>
          <w:szCs w:val="24"/>
          <w:lang w:val="zh-CN"/>
        </w:rPr>
        <w:t>日前，以书面</w:t>
      </w:r>
      <w:r>
        <w:rPr>
          <w:rFonts w:hint="eastAsia" w:ascii="宋体" w:hAnsi="宋体" w:eastAsia="宋体" w:cs="Times New Roman"/>
          <w:color w:val="000000" w:themeColor="text1"/>
          <w:sz w:val="24"/>
          <w:szCs w:val="20"/>
          <w:lang w:val="zh-CN"/>
        </w:rPr>
        <w:t>（或网上公告）</w:t>
      </w:r>
      <w:r>
        <w:rPr>
          <w:rFonts w:hint="eastAsia" w:ascii="Helvetica" w:hAnsi="Helvetica" w:eastAsia="宋体" w:cs="Helvetica"/>
          <w:color w:val="000000" w:themeColor="text1"/>
          <w:kern w:val="0"/>
          <w:sz w:val="24"/>
          <w:szCs w:val="24"/>
          <w:lang w:val="zh-CN"/>
        </w:rPr>
        <w:t>形式通知所有获取招标文件的潜在投标人。</w:t>
      </w:r>
    </w:p>
    <w:p>
      <w:pPr>
        <w:numPr>
          <w:ilvl w:val="0"/>
          <w:numId w:val="11"/>
        </w:numPr>
        <w:spacing w:line="360" w:lineRule="auto"/>
        <w:ind w:left="476" w:hanging="476"/>
        <w:rPr>
          <w:rFonts w:ascii="宋体" w:hAnsi="宋体" w:eastAsia="宋体" w:cs="Times New Roman"/>
          <w:color w:val="000000" w:themeColor="text1"/>
          <w:sz w:val="24"/>
          <w:szCs w:val="20"/>
          <w:lang w:val="zh-CN"/>
        </w:rPr>
      </w:pPr>
      <w:r>
        <w:rPr>
          <w:rFonts w:hint="eastAsia" w:ascii="宋体" w:hAnsi="宋体" w:eastAsia="宋体" w:cs="Times New Roman"/>
          <w:color w:val="000000" w:themeColor="text1"/>
          <w:sz w:val="24"/>
          <w:szCs w:val="20"/>
          <w:lang w:val="zh-CN"/>
        </w:rPr>
        <w:t>为使潜在投标人有充足时间对招标文件的澄清或者修改的内容进行研究和响应，集中采购机构和采购人可适当顺延提交投标文件的截止时间，并以书面（或网上公告）的形式通知所有领取招标文件的潜在投标人。</w:t>
      </w:r>
    </w:p>
    <w:p>
      <w:pPr>
        <w:numPr>
          <w:ilvl w:val="0"/>
          <w:numId w:val="11"/>
        </w:numPr>
        <w:spacing w:line="360" w:lineRule="auto"/>
        <w:ind w:left="476" w:hanging="476"/>
        <w:rPr>
          <w:rFonts w:ascii="宋体" w:hAnsi="宋体" w:eastAsia="宋体" w:cs="Times New Roman"/>
          <w:color w:val="000000" w:themeColor="text1"/>
          <w:sz w:val="24"/>
          <w:szCs w:val="20"/>
          <w:lang w:val="zh-CN"/>
        </w:rPr>
      </w:pPr>
      <w:r>
        <w:rPr>
          <w:rFonts w:hint="eastAsia" w:ascii="宋体" w:hAnsi="宋体" w:eastAsia="宋体" w:cs="Times New Roman"/>
          <w:color w:val="000000" w:themeColor="text1"/>
          <w:sz w:val="24"/>
          <w:szCs w:val="20"/>
          <w:lang w:val="zh-CN"/>
        </w:rPr>
        <w:t>澄清或者修改的内容为招标文件的组成部分，并对潜在投标人具有约束力。</w:t>
      </w:r>
    </w:p>
    <w:p>
      <w:pPr>
        <w:numPr>
          <w:ilvl w:val="0"/>
          <w:numId w:val="5"/>
        </w:numPr>
        <w:spacing w:line="360" w:lineRule="auto"/>
        <w:rPr>
          <w:rFonts w:ascii="宋体" w:hAnsi="宋体" w:eastAsia="宋体" w:cs="Times New Roman"/>
          <w:b/>
          <w:color w:val="000000" w:themeColor="text1"/>
          <w:sz w:val="24"/>
          <w:szCs w:val="20"/>
          <w:lang w:val="zh-CN"/>
        </w:rPr>
      </w:pPr>
      <w:r>
        <w:rPr>
          <w:rFonts w:hint="eastAsia" w:ascii="宋体" w:hAnsi="宋体" w:eastAsia="宋体" w:cs="Times New Roman"/>
          <w:b/>
          <w:color w:val="000000" w:themeColor="text1"/>
          <w:sz w:val="24"/>
          <w:szCs w:val="20"/>
          <w:lang w:val="zh-CN"/>
        </w:rPr>
        <w:t>现场考察</w:t>
      </w:r>
    </w:p>
    <w:p>
      <w:pPr>
        <w:numPr>
          <w:ilvl w:val="0"/>
          <w:numId w:val="12"/>
        </w:numPr>
        <w:spacing w:line="360" w:lineRule="auto"/>
        <w:ind w:left="476" w:hanging="476"/>
        <w:rPr>
          <w:rFonts w:ascii="宋体" w:hAnsi="宋体" w:eastAsia="宋体" w:cs="Times New Roman"/>
          <w:color w:val="000000" w:themeColor="text1"/>
          <w:sz w:val="24"/>
          <w:szCs w:val="20"/>
          <w:lang w:val="zh-CN"/>
        </w:rPr>
      </w:pPr>
      <w:r>
        <w:rPr>
          <w:rFonts w:hint="eastAsia" w:ascii="宋体" w:hAnsi="宋体" w:eastAsia="宋体" w:cs="Times New Roman"/>
          <w:color w:val="000000" w:themeColor="text1"/>
          <w:sz w:val="24"/>
          <w:szCs w:val="20"/>
          <w:lang w:val="zh-CN"/>
        </w:rPr>
        <w:t>采购人可以在招标文件提供期限截止后，组织已获取招标文件的潜在投标人现场考察。采购人组织现场考察的，潜在投标人可对项目现场及周围环境进行踏勘，以便获取有关编制投标文件和签署合同所涉及现场的资料。</w:t>
      </w:r>
    </w:p>
    <w:p>
      <w:pPr>
        <w:numPr>
          <w:ilvl w:val="0"/>
          <w:numId w:val="12"/>
        </w:numPr>
        <w:spacing w:line="360" w:lineRule="auto"/>
        <w:ind w:left="476" w:hanging="476"/>
        <w:rPr>
          <w:rFonts w:ascii="宋体" w:hAnsi="宋体" w:eastAsia="宋体" w:cs="Times New Roman"/>
          <w:color w:val="000000" w:themeColor="text1"/>
          <w:sz w:val="24"/>
          <w:szCs w:val="20"/>
          <w:lang w:val="zh-CN"/>
        </w:rPr>
      </w:pPr>
      <w:r>
        <w:rPr>
          <w:rFonts w:hint="eastAsia" w:ascii="宋体" w:hAnsi="宋体" w:eastAsia="宋体" w:cs="Times New Roman"/>
          <w:color w:val="000000" w:themeColor="text1"/>
          <w:sz w:val="24"/>
          <w:szCs w:val="20"/>
          <w:lang w:val="zh-CN"/>
        </w:rPr>
        <w:t>采购人向潜在投标人提供有关现场的数据和资料。是采购人现有的能被潜在投标人利用的客观资料，采购人对潜在投标人依此作出的任何推论、理解和结论均不负责任。</w:t>
      </w:r>
    </w:p>
    <w:p>
      <w:pPr>
        <w:numPr>
          <w:ilvl w:val="0"/>
          <w:numId w:val="12"/>
        </w:numPr>
        <w:spacing w:line="360" w:lineRule="auto"/>
        <w:ind w:left="476" w:hanging="476"/>
        <w:rPr>
          <w:rFonts w:ascii="宋体" w:hAnsi="宋体" w:eastAsia="宋体" w:cs="Times New Roman"/>
          <w:color w:val="000000" w:themeColor="text1"/>
          <w:sz w:val="24"/>
          <w:szCs w:val="20"/>
          <w:lang w:val="zh-CN"/>
        </w:rPr>
      </w:pPr>
      <w:r>
        <w:rPr>
          <w:rFonts w:hint="eastAsia" w:ascii="宋体" w:hAnsi="宋体" w:eastAsia="宋体" w:cs="Times New Roman"/>
          <w:color w:val="000000" w:themeColor="text1"/>
          <w:sz w:val="24"/>
          <w:szCs w:val="20"/>
          <w:lang w:val="zh-CN"/>
        </w:rPr>
        <w:t>经采购人允许，潜在投标人可进入项目现场进行考察，但潜在投标人不得因此使采购人承担有关责任和蒙受损失。潜在投标人应自行承担现场考察的全部费用、责任和风险。</w:t>
      </w:r>
    </w:p>
    <w:p>
      <w:pPr>
        <w:pStyle w:val="2"/>
        <w:numPr>
          <w:ilvl w:val="0"/>
          <w:numId w:val="4"/>
        </w:numPr>
        <w:spacing w:before="40" w:after="40" w:line="360" w:lineRule="auto"/>
        <w:ind w:left="658" w:hanging="658"/>
        <w:jc w:val="left"/>
        <w:rPr>
          <w:rFonts w:cs="Times New Roman" w:asciiTheme="majorEastAsia" w:hAnsiTheme="majorEastAsia"/>
          <w:bCs w:val="0"/>
          <w:color w:val="000000" w:themeColor="text1"/>
          <w:lang w:val="zh-CN"/>
        </w:rPr>
      </w:pPr>
      <w:bookmarkStart w:id="10" w:name="_Toc278891593"/>
      <w:bookmarkStart w:id="11" w:name="_Toc27230"/>
      <w:bookmarkStart w:id="12" w:name="_Toc272247696"/>
      <w:bookmarkStart w:id="13" w:name="_Toc494561940"/>
      <w:r>
        <w:rPr>
          <w:rFonts w:hint="eastAsia" w:cs="Times New Roman" w:asciiTheme="majorEastAsia" w:hAnsiTheme="majorEastAsia"/>
          <w:bCs w:val="0"/>
          <w:color w:val="000000" w:themeColor="text1"/>
          <w:lang w:val="zh-CN"/>
        </w:rPr>
        <w:t>投标文件</w:t>
      </w:r>
      <w:bookmarkEnd w:id="10"/>
      <w:bookmarkEnd w:id="11"/>
      <w:bookmarkEnd w:id="12"/>
      <w:bookmarkEnd w:id="13"/>
    </w:p>
    <w:p>
      <w:pPr>
        <w:numPr>
          <w:ilvl w:val="0"/>
          <w:numId w:val="5"/>
        </w:numPr>
        <w:spacing w:line="360" w:lineRule="auto"/>
        <w:rPr>
          <w:rFonts w:cs="Times New Roman" w:asciiTheme="minorEastAsia" w:hAnsiTheme="minorEastAsia"/>
          <w:b/>
          <w:color w:val="000000" w:themeColor="text1"/>
          <w:sz w:val="24"/>
          <w:szCs w:val="24"/>
          <w:lang w:val="zh-CN"/>
        </w:rPr>
      </w:pPr>
      <w:r>
        <w:rPr>
          <w:rFonts w:hint="eastAsia" w:cs="Times New Roman" w:asciiTheme="minorEastAsia" w:hAnsiTheme="minorEastAsia"/>
          <w:b/>
          <w:color w:val="000000" w:themeColor="text1"/>
          <w:sz w:val="24"/>
          <w:szCs w:val="24"/>
          <w:lang w:val="zh-CN"/>
        </w:rPr>
        <w:t>投标的语言</w:t>
      </w:r>
    </w:p>
    <w:p>
      <w:pPr>
        <w:spacing w:line="360" w:lineRule="auto"/>
        <w:ind w:firstLine="480" w:firstLineChars="200"/>
        <w:rPr>
          <w:rFonts w:cs="Times New Roman" w:asciiTheme="minorEastAsia" w:hAnsiTheme="minorEastAsia"/>
          <w:color w:val="000000" w:themeColor="text1"/>
          <w:sz w:val="24"/>
          <w:szCs w:val="24"/>
          <w:lang w:val="zh-CN"/>
        </w:rPr>
      </w:pPr>
      <w:r>
        <w:rPr>
          <w:rFonts w:hint="eastAsia" w:cs="Times New Roman" w:asciiTheme="minorEastAsia" w:hAnsiTheme="minorEastAsia"/>
          <w:color w:val="000000" w:themeColor="text1"/>
          <w:sz w:val="24"/>
          <w:szCs w:val="24"/>
          <w:lang w:val="zh-CN"/>
        </w:rPr>
        <w:t>投标人提交的投标文件以及投标人与集中采购机构或采购人就有关投标的所有来往函电均应使用中文。投标人提交的相关证明文件、资料或文献可以用另一种语言，但相应内容应附有中文翻译本，在解释投标文件的相关内容时以中文翻译本为准。</w:t>
      </w:r>
    </w:p>
    <w:p>
      <w:pPr>
        <w:numPr>
          <w:ilvl w:val="0"/>
          <w:numId w:val="5"/>
        </w:numPr>
        <w:spacing w:line="360" w:lineRule="auto"/>
        <w:rPr>
          <w:rFonts w:cs="Times New Roman" w:asciiTheme="minorEastAsia" w:hAnsiTheme="minorEastAsia"/>
          <w:b/>
          <w:color w:val="000000" w:themeColor="text1"/>
          <w:sz w:val="24"/>
          <w:szCs w:val="24"/>
          <w:lang w:val="zh-CN"/>
        </w:rPr>
      </w:pPr>
      <w:r>
        <w:rPr>
          <w:rFonts w:hint="eastAsia" w:cs="Times New Roman" w:asciiTheme="minorEastAsia" w:hAnsiTheme="minorEastAsia"/>
          <w:b/>
          <w:color w:val="000000" w:themeColor="text1"/>
          <w:sz w:val="24"/>
          <w:szCs w:val="24"/>
          <w:lang w:val="zh-CN"/>
        </w:rPr>
        <w:t>投标文件的构成</w:t>
      </w:r>
    </w:p>
    <w:p>
      <w:pPr>
        <w:spacing w:line="360" w:lineRule="auto"/>
        <w:ind w:firstLine="480" w:firstLineChars="200"/>
        <w:rPr>
          <w:rFonts w:cs="Times New Roman" w:asciiTheme="minorEastAsia" w:hAnsiTheme="minorEastAsia"/>
          <w:color w:val="000000" w:themeColor="text1"/>
          <w:sz w:val="24"/>
          <w:szCs w:val="24"/>
          <w:lang w:val="zh-CN"/>
        </w:rPr>
      </w:pPr>
      <w:r>
        <w:rPr>
          <w:rFonts w:hint="eastAsia" w:cs="Times New Roman" w:asciiTheme="minorEastAsia" w:hAnsiTheme="minorEastAsia"/>
          <w:color w:val="000000" w:themeColor="text1"/>
          <w:sz w:val="24"/>
          <w:szCs w:val="24"/>
          <w:lang w:val="zh-CN"/>
        </w:rPr>
        <w:t>投标人编制的投标文件应包括但不限于下列内容：</w:t>
      </w:r>
    </w:p>
    <w:p>
      <w:pPr>
        <w:spacing w:line="360" w:lineRule="auto"/>
        <w:ind w:firstLine="480" w:firstLineChars="200"/>
        <w:rPr>
          <w:rFonts w:cs="Times New Roman" w:asciiTheme="minorEastAsia" w:hAnsiTheme="minorEastAsia"/>
          <w:color w:val="000000" w:themeColor="text1"/>
          <w:sz w:val="24"/>
          <w:szCs w:val="24"/>
          <w:lang w:val="zh-CN"/>
        </w:rPr>
      </w:pPr>
      <w:r>
        <w:rPr>
          <w:rFonts w:hint="eastAsia" w:cs="Times New Roman" w:asciiTheme="minorEastAsia" w:hAnsiTheme="minorEastAsia"/>
          <w:color w:val="000000" w:themeColor="text1"/>
          <w:sz w:val="24"/>
          <w:szCs w:val="24"/>
          <w:lang w:val="zh-CN"/>
        </w:rPr>
        <w:t>第一部分  资格证明文件（详见第七章“投标文件格式”中资格证明文件组成）</w:t>
      </w:r>
    </w:p>
    <w:p>
      <w:pPr>
        <w:spacing w:line="360" w:lineRule="auto"/>
        <w:ind w:firstLine="480" w:firstLineChars="200"/>
        <w:rPr>
          <w:rFonts w:cs="Times New Roman" w:asciiTheme="minorEastAsia" w:hAnsiTheme="minorEastAsia"/>
          <w:color w:val="000000" w:themeColor="text1"/>
          <w:sz w:val="24"/>
          <w:szCs w:val="24"/>
          <w:lang w:val="zh-CN"/>
        </w:rPr>
      </w:pPr>
      <w:r>
        <w:rPr>
          <w:rFonts w:hint="eastAsia" w:cs="Times New Roman" w:asciiTheme="minorEastAsia" w:hAnsiTheme="minorEastAsia"/>
          <w:color w:val="000000" w:themeColor="text1"/>
          <w:sz w:val="24"/>
          <w:szCs w:val="24"/>
          <w:lang w:val="zh-CN"/>
        </w:rPr>
        <w:t>第二部分  商务文件（详见第七章“投标文件格式”中商务文件组成）</w:t>
      </w:r>
    </w:p>
    <w:p>
      <w:pPr>
        <w:spacing w:line="360" w:lineRule="auto"/>
        <w:ind w:firstLine="480" w:firstLineChars="200"/>
        <w:rPr>
          <w:rFonts w:cs="Times New Roman" w:asciiTheme="minorEastAsia" w:hAnsiTheme="minorEastAsia"/>
          <w:color w:val="000000" w:themeColor="text1"/>
          <w:sz w:val="24"/>
          <w:szCs w:val="24"/>
          <w:lang w:val="zh-CN"/>
        </w:rPr>
      </w:pPr>
      <w:r>
        <w:rPr>
          <w:rFonts w:hint="eastAsia" w:cs="Times New Roman" w:asciiTheme="minorEastAsia" w:hAnsiTheme="minorEastAsia"/>
          <w:color w:val="000000" w:themeColor="text1"/>
          <w:sz w:val="24"/>
          <w:szCs w:val="24"/>
          <w:lang w:val="zh-CN"/>
        </w:rPr>
        <w:t>第三部分  技术、服务文件（详见第七章“投标文件格式”中技术、服务文件组成）</w:t>
      </w:r>
    </w:p>
    <w:p>
      <w:pPr>
        <w:numPr>
          <w:ilvl w:val="0"/>
          <w:numId w:val="5"/>
        </w:numPr>
        <w:spacing w:line="360" w:lineRule="auto"/>
        <w:ind w:left="560" w:hanging="560"/>
        <w:rPr>
          <w:rFonts w:cs="Times New Roman" w:asciiTheme="minorEastAsia" w:hAnsiTheme="minorEastAsia"/>
          <w:b/>
          <w:color w:val="000000" w:themeColor="text1"/>
          <w:sz w:val="24"/>
          <w:szCs w:val="24"/>
          <w:lang w:val="zh-CN"/>
        </w:rPr>
      </w:pPr>
      <w:r>
        <w:rPr>
          <w:rFonts w:hint="eastAsia" w:cs="Times New Roman" w:asciiTheme="minorEastAsia" w:hAnsiTheme="minorEastAsia"/>
          <w:b/>
          <w:color w:val="000000" w:themeColor="text1"/>
          <w:sz w:val="24"/>
          <w:szCs w:val="24"/>
          <w:lang w:val="zh-CN"/>
        </w:rPr>
        <w:t>投标文件编制</w:t>
      </w:r>
    </w:p>
    <w:p>
      <w:pPr>
        <w:numPr>
          <w:ilvl w:val="0"/>
          <w:numId w:val="13"/>
        </w:numPr>
        <w:spacing w:line="360" w:lineRule="auto"/>
        <w:ind w:left="616" w:hanging="616"/>
        <w:rPr>
          <w:rFonts w:cs="Times New Roman" w:asciiTheme="minorEastAsia" w:hAnsiTheme="minorEastAsia"/>
          <w:color w:val="000000" w:themeColor="text1"/>
          <w:sz w:val="24"/>
          <w:szCs w:val="24"/>
          <w:lang w:val="zh-CN"/>
        </w:rPr>
      </w:pPr>
      <w:r>
        <w:rPr>
          <w:rFonts w:hint="eastAsia" w:cs="Times New Roman" w:asciiTheme="minorEastAsia" w:hAnsiTheme="minorEastAsia"/>
          <w:color w:val="000000" w:themeColor="text1"/>
          <w:sz w:val="24"/>
          <w:szCs w:val="24"/>
          <w:lang w:val="zh-CN"/>
        </w:rPr>
        <w:t>如招标文件有分包要求，投标人对招标文件中多个包进行投标的，其投标文件的编制应按每包要求分别装订和封装，并注明对应包号。</w:t>
      </w:r>
    </w:p>
    <w:p>
      <w:pPr>
        <w:numPr>
          <w:ilvl w:val="0"/>
          <w:numId w:val="13"/>
        </w:numPr>
        <w:spacing w:line="360" w:lineRule="auto"/>
        <w:ind w:left="616" w:hanging="616"/>
        <w:rPr>
          <w:rFonts w:cs="Times New Roman" w:asciiTheme="minorEastAsia" w:hAnsiTheme="minorEastAsia"/>
          <w:color w:val="000000" w:themeColor="text1"/>
          <w:sz w:val="24"/>
          <w:szCs w:val="24"/>
          <w:lang w:val="zh-CN"/>
        </w:rPr>
      </w:pPr>
      <w:r>
        <w:rPr>
          <w:rFonts w:hint="eastAsia" w:cs="Times New Roman" w:asciiTheme="minorEastAsia" w:hAnsiTheme="minorEastAsia"/>
          <w:color w:val="000000" w:themeColor="text1"/>
          <w:sz w:val="24"/>
          <w:szCs w:val="24"/>
          <w:lang w:val="zh-CN"/>
        </w:rPr>
        <w:t>投标人应当对投标文件进行装订，对未经装订的投标书可能发生的文件散落或缺损，由此产生的后果及责任由投标人自行承担。</w:t>
      </w:r>
    </w:p>
    <w:p>
      <w:pPr>
        <w:numPr>
          <w:ilvl w:val="0"/>
          <w:numId w:val="13"/>
        </w:numPr>
        <w:spacing w:line="360" w:lineRule="auto"/>
        <w:ind w:left="616" w:hanging="616"/>
        <w:rPr>
          <w:rFonts w:cs="Times New Roman" w:asciiTheme="minorEastAsia" w:hAnsiTheme="minorEastAsia"/>
          <w:color w:val="000000" w:themeColor="text1"/>
          <w:sz w:val="24"/>
          <w:szCs w:val="24"/>
          <w:lang w:val="zh-CN"/>
        </w:rPr>
      </w:pPr>
      <w:r>
        <w:rPr>
          <w:rFonts w:hint="eastAsia" w:cs="Times New Roman" w:asciiTheme="minorEastAsia" w:hAnsiTheme="minorEastAsia"/>
          <w:color w:val="000000" w:themeColor="text1"/>
          <w:sz w:val="24"/>
          <w:szCs w:val="24"/>
          <w:lang w:val="zh-CN"/>
        </w:rPr>
        <w:t>投标人应按照招标文件第七章“投标文件格式”提供的《投标书》、《开标一览表》、《投标报价明细表》、《法定代表人授权书》等格式、要求、规定来编制投标文件。</w:t>
      </w:r>
    </w:p>
    <w:p>
      <w:pPr>
        <w:numPr>
          <w:ilvl w:val="0"/>
          <w:numId w:val="13"/>
        </w:numPr>
        <w:spacing w:line="360" w:lineRule="auto"/>
        <w:ind w:left="616" w:hanging="616"/>
        <w:rPr>
          <w:rFonts w:cs="Times New Roman" w:asciiTheme="minorEastAsia" w:hAnsiTheme="minorEastAsia"/>
          <w:color w:val="000000" w:themeColor="text1"/>
          <w:sz w:val="24"/>
          <w:szCs w:val="24"/>
          <w:lang w:val="zh-CN"/>
        </w:rPr>
      </w:pPr>
      <w:r>
        <w:rPr>
          <w:rFonts w:hint="eastAsia" w:cs="Times New Roman" w:asciiTheme="minorEastAsia" w:hAnsiTheme="minorEastAsia"/>
          <w:color w:val="000000" w:themeColor="text1"/>
          <w:sz w:val="24"/>
          <w:szCs w:val="24"/>
          <w:lang w:val="zh-CN"/>
        </w:rPr>
        <w:t>投标人应对投标文件中所提供资料的真实性负责，如有虚假，将依法承担相应责任。投标人应自觉接受集中采购机构对其中任何资料进一步核实的要求。</w:t>
      </w:r>
    </w:p>
    <w:p>
      <w:pPr>
        <w:numPr>
          <w:ilvl w:val="0"/>
          <w:numId w:val="13"/>
        </w:numPr>
        <w:spacing w:line="360" w:lineRule="auto"/>
        <w:ind w:left="616" w:hanging="616"/>
        <w:rPr>
          <w:rFonts w:cs="Times New Roman" w:asciiTheme="minorEastAsia" w:hAnsiTheme="minorEastAsia"/>
          <w:color w:val="000000" w:themeColor="text1"/>
          <w:sz w:val="24"/>
          <w:szCs w:val="24"/>
          <w:lang w:val="zh-CN"/>
        </w:rPr>
      </w:pPr>
      <w:r>
        <w:rPr>
          <w:rFonts w:hint="eastAsia" w:cs="Times New Roman" w:asciiTheme="minorEastAsia" w:hAnsiTheme="minorEastAsia"/>
          <w:color w:val="000000" w:themeColor="text1"/>
          <w:sz w:val="24"/>
          <w:szCs w:val="24"/>
          <w:lang w:val="zh-CN"/>
        </w:rPr>
        <w:t>因投标人投标文件填报的内容不详，或没有提供招标文件中所要求的全部资料及数据等，由此产生的后果及责任由投标人自行承担。</w:t>
      </w:r>
    </w:p>
    <w:p>
      <w:pPr>
        <w:numPr>
          <w:ilvl w:val="0"/>
          <w:numId w:val="13"/>
        </w:numPr>
        <w:spacing w:line="360" w:lineRule="auto"/>
        <w:ind w:left="616" w:hanging="616"/>
        <w:rPr>
          <w:rFonts w:cs="Times New Roman" w:asciiTheme="minorEastAsia" w:hAnsiTheme="minorEastAsia"/>
          <w:color w:val="000000" w:themeColor="text1"/>
          <w:sz w:val="24"/>
          <w:szCs w:val="24"/>
          <w:lang w:val="zh-CN"/>
        </w:rPr>
      </w:pPr>
      <w:r>
        <w:rPr>
          <w:rFonts w:hint="eastAsia" w:cs="Times New Roman" w:asciiTheme="minorEastAsia" w:hAnsiTheme="minorEastAsia"/>
          <w:color w:val="000000" w:themeColor="text1"/>
          <w:sz w:val="24"/>
          <w:szCs w:val="24"/>
          <w:lang w:val="zh-CN"/>
        </w:rPr>
        <w:t>投标文件用纸应统一为A4规格（图纸除外）。</w:t>
      </w:r>
    </w:p>
    <w:p>
      <w:pPr>
        <w:numPr>
          <w:ilvl w:val="0"/>
          <w:numId w:val="13"/>
        </w:numPr>
        <w:spacing w:line="360" w:lineRule="auto"/>
        <w:ind w:left="616" w:hanging="616"/>
        <w:rPr>
          <w:rFonts w:cs="Times New Roman" w:asciiTheme="minorEastAsia" w:hAnsiTheme="minorEastAsia"/>
          <w:b/>
          <w:color w:val="000000" w:themeColor="text1"/>
          <w:sz w:val="24"/>
          <w:szCs w:val="24"/>
          <w:lang w:val="zh-CN"/>
        </w:rPr>
      </w:pPr>
      <w:r>
        <w:rPr>
          <w:rFonts w:hint="eastAsia" w:cs="Times New Roman" w:asciiTheme="minorEastAsia" w:hAnsiTheme="minorEastAsia"/>
          <w:b/>
          <w:color w:val="000000" w:themeColor="text1"/>
          <w:sz w:val="24"/>
          <w:szCs w:val="24"/>
          <w:lang w:val="zh-CN"/>
        </w:rPr>
        <w:t>投标文件共分为：第一部分资格证明文件、第二部分商务文件和第三部分技术、服务文件。投标人应将投标文件第一部分资格证明文件、第二部分商务文件、第三部分技术、服务文件分别用显著文字说明，统一编制合订成一本投标文件，统一逐页连续标注页码，建立目录索引。各部分文件及内容详见第七章"投标文件格式"要求。</w:t>
      </w:r>
      <w:r>
        <w:rPr>
          <w:rFonts w:hint="eastAsia" w:ascii="宋体" w:hAnsi="宋体" w:eastAsia="宋体" w:cs="Times New Roman"/>
          <w:b/>
          <w:color w:val="000000" w:themeColor="text1"/>
          <w:sz w:val="24"/>
          <w:szCs w:val="20"/>
          <w:lang w:val="zh-CN"/>
        </w:rPr>
        <w:t>。</w:t>
      </w:r>
    </w:p>
    <w:p>
      <w:pPr>
        <w:numPr>
          <w:ilvl w:val="0"/>
          <w:numId w:val="13"/>
        </w:numPr>
        <w:spacing w:line="360" w:lineRule="auto"/>
        <w:ind w:left="616" w:hanging="616"/>
        <w:rPr>
          <w:rFonts w:cs="Times New Roman" w:asciiTheme="minorEastAsia" w:hAnsiTheme="minorEastAsia"/>
          <w:b/>
          <w:color w:val="000000" w:themeColor="text1"/>
          <w:sz w:val="24"/>
          <w:szCs w:val="24"/>
          <w:lang w:val="zh-CN"/>
        </w:rPr>
      </w:pPr>
      <w:r>
        <w:rPr>
          <w:rFonts w:hint="eastAsia" w:cs="Times New Roman" w:asciiTheme="minorEastAsia" w:hAnsiTheme="minorEastAsia"/>
          <w:b/>
          <w:color w:val="000000" w:themeColor="text1"/>
          <w:sz w:val="24"/>
          <w:szCs w:val="24"/>
          <w:lang w:val="zh-CN"/>
        </w:rPr>
        <w:t>为方便开标时唱标，投标人应将《开标一览表》一份单独密封提交，并在信封上标明"开标一览表"字样。投标人应将投标文件正本和所有的副本一起密封装在文件袋（或封装袋）中，并在封面上标明"正本"、"副本"字样。未单独提交或单独提交的上述资料未按照招标文件规定的要求填写完整并签字、盖章的其投标将有可能被拒绝。开标一览表必须按要求由投标人法定代表人或法定代表人授权代表签字，并加盖投标单位公章，单独密封提交，否则将被视为非响应性投标，将按照无效投标处理。</w:t>
      </w:r>
    </w:p>
    <w:p>
      <w:pPr>
        <w:numPr>
          <w:ilvl w:val="0"/>
          <w:numId w:val="5"/>
        </w:numPr>
        <w:spacing w:line="360" w:lineRule="auto"/>
        <w:ind w:left="560" w:hanging="560"/>
        <w:rPr>
          <w:rFonts w:cs="Times New Roman" w:asciiTheme="minorEastAsia" w:hAnsiTheme="minorEastAsia"/>
          <w:b/>
          <w:color w:val="000000" w:themeColor="text1"/>
          <w:sz w:val="24"/>
          <w:szCs w:val="24"/>
          <w:lang w:val="zh-CN"/>
        </w:rPr>
      </w:pPr>
      <w:r>
        <w:rPr>
          <w:rFonts w:hint="eastAsia" w:cs="Times New Roman" w:asciiTheme="minorEastAsia" w:hAnsiTheme="minorEastAsia"/>
          <w:b/>
          <w:color w:val="000000" w:themeColor="text1"/>
          <w:sz w:val="24"/>
          <w:szCs w:val="24"/>
          <w:lang w:val="zh-CN"/>
        </w:rPr>
        <w:t>投标报价</w:t>
      </w:r>
    </w:p>
    <w:p>
      <w:pPr>
        <w:numPr>
          <w:ilvl w:val="0"/>
          <w:numId w:val="14"/>
        </w:numPr>
        <w:spacing w:line="360" w:lineRule="auto"/>
        <w:ind w:left="616" w:hanging="616"/>
        <w:rPr>
          <w:rFonts w:cs="Times New Roman" w:asciiTheme="minorEastAsia" w:hAnsiTheme="minorEastAsia"/>
          <w:color w:val="000000" w:themeColor="text1"/>
          <w:sz w:val="24"/>
          <w:szCs w:val="24"/>
          <w:lang w:val="zh-CN"/>
        </w:rPr>
      </w:pPr>
      <w:r>
        <w:rPr>
          <w:rFonts w:hint="eastAsia" w:cs="Times New Roman" w:asciiTheme="minorEastAsia" w:hAnsiTheme="minorEastAsia"/>
          <w:color w:val="000000" w:themeColor="text1"/>
          <w:sz w:val="24"/>
          <w:szCs w:val="24"/>
          <w:lang w:val="zh-CN"/>
        </w:rPr>
        <w:t>投标人所提供的货物（工程或服务）均以人民币计价。</w:t>
      </w:r>
    </w:p>
    <w:p>
      <w:pPr>
        <w:numPr>
          <w:ilvl w:val="0"/>
          <w:numId w:val="14"/>
        </w:numPr>
        <w:spacing w:line="360" w:lineRule="auto"/>
        <w:ind w:left="616" w:hanging="616"/>
        <w:rPr>
          <w:rFonts w:cs="Times New Roman" w:asciiTheme="minorEastAsia" w:hAnsiTheme="minorEastAsia"/>
          <w:color w:val="000000" w:themeColor="text1"/>
          <w:sz w:val="24"/>
          <w:szCs w:val="24"/>
          <w:lang w:val="zh-CN"/>
        </w:rPr>
      </w:pPr>
      <w:r>
        <w:rPr>
          <w:rFonts w:hint="eastAsia" w:cs="Times New Roman" w:asciiTheme="minorEastAsia" w:hAnsiTheme="minorEastAsia"/>
          <w:color w:val="000000" w:themeColor="text1"/>
          <w:sz w:val="24"/>
          <w:szCs w:val="24"/>
          <w:lang w:val="zh-CN"/>
        </w:rPr>
        <w:t>投标人应按照“第三章 项目技术、服务及商务要求”规定的货物（工程或服务）内容、责任范围以及合同条款进行报价。并按照《开标一览表》和《投标报价明细表》的格式报出分项价格和投标总价。报价上的优惠应体现在各分项报价中，投标总价应为优惠后的最终报价。投标总价中不得包含招标文件要求以外的内容，否则，在评标时不予核减。</w:t>
      </w:r>
    </w:p>
    <w:p>
      <w:pPr>
        <w:numPr>
          <w:ilvl w:val="0"/>
          <w:numId w:val="14"/>
        </w:numPr>
        <w:spacing w:line="360" w:lineRule="auto"/>
        <w:ind w:left="616" w:hanging="616"/>
        <w:rPr>
          <w:rFonts w:cs="Times New Roman" w:asciiTheme="minorEastAsia" w:hAnsiTheme="minorEastAsia"/>
          <w:color w:val="000000" w:themeColor="text1"/>
          <w:sz w:val="24"/>
          <w:szCs w:val="24"/>
          <w:lang w:val="zh-CN"/>
        </w:rPr>
      </w:pPr>
      <w:r>
        <w:rPr>
          <w:rFonts w:hint="eastAsia" w:cs="Times New Roman" w:asciiTheme="minorEastAsia" w:hAnsiTheme="minorEastAsia"/>
          <w:color w:val="000000" w:themeColor="text1"/>
          <w:sz w:val="24"/>
          <w:szCs w:val="24"/>
          <w:lang w:val="zh-CN"/>
        </w:rPr>
        <w:t>《投标报价明细表》填写时应响应下列要求：</w:t>
      </w:r>
    </w:p>
    <w:p>
      <w:pPr>
        <w:numPr>
          <w:ilvl w:val="0"/>
          <w:numId w:val="15"/>
        </w:numPr>
        <w:spacing w:line="360" w:lineRule="auto"/>
        <w:ind w:left="980" w:hanging="854"/>
        <w:rPr>
          <w:rFonts w:cs="Times New Roman" w:asciiTheme="minorEastAsia" w:hAnsiTheme="minorEastAsia"/>
          <w:color w:val="000000" w:themeColor="text1"/>
          <w:sz w:val="24"/>
          <w:szCs w:val="24"/>
          <w:lang w:val="zh-CN"/>
        </w:rPr>
      </w:pPr>
      <w:r>
        <w:rPr>
          <w:rFonts w:hint="eastAsia" w:ascii="宋体" w:hAnsi="宋体"/>
          <w:color w:val="000000" w:themeColor="text1"/>
          <w:sz w:val="24"/>
        </w:rPr>
        <w:t>应包括所有根据合同或其他原因由投标人支付的款项、费用</w:t>
      </w:r>
      <w:r>
        <w:rPr>
          <w:rFonts w:hint="eastAsia" w:cs="Times New Roman" w:asciiTheme="minorEastAsia" w:hAnsiTheme="minorEastAsia"/>
          <w:color w:val="000000" w:themeColor="text1"/>
          <w:sz w:val="24"/>
          <w:szCs w:val="24"/>
          <w:lang w:val="zh-CN"/>
        </w:rPr>
        <w:t>；</w:t>
      </w:r>
    </w:p>
    <w:p>
      <w:pPr>
        <w:numPr>
          <w:ilvl w:val="0"/>
          <w:numId w:val="15"/>
        </w:numPr>
        <w:spacing w:line="360" w:lineRule="auto"/>
        <w:ind w:left="980" w:hanging="854"/>
        <w:rPr>
          <w:rFonts w:cs="Times New Roman" w:asciiTheme="minorEastAsia" w:hAnsiTheme="minorEastAsia"/>
          <w:color w:val="000000" w:themeColor="text1"/>
          <w:sz w:val="24"/>
          <w:szCs w:val="24"/>
          <w:lang w:val="zh-CN"/>
        </w:rPr>
      </w:pPr>
      <w:r>
        <w:rPr>
          <w:rFonts w:hint="eastAsia" w:cs="Times New Roman" w:asciiTheme="minorEastAsia" w:hAnsiTheme="minorEastAsia"/>
          <w:color w:val="000000" w:themeColor="text1"/>
          <w:sz w:val="24"/>
          <w:szCs w:val="24"/>
          <w:lang w:val="zh-CN"/>
        </w:rPr>
        <w:t>应包含货物运至最终目的地的运输、保险和伴随货物（工程或服务）的有关费用；</w:t>
      </w:r>
    </w:p>
    <w:p>
      <w:pPr>
        <w:numPr>
          <w:ilvl w:val="0"/>
          <w:numId w:val="15"/>
        </w:numPr>
        <w:spacing w:line="360" w:lineRule="auto"/>
        <w:ind w:left="980" w:hanging="854"/>
        <w:rPr>
          <w:rFonts w:cs="Courier New" w:asciiTheme="minorEastAsia" w:hAnsiTheme="minorEastAsia"/>
          <w:color w:val="000000" w:themeColor="text1"/>
          <w:sz w:val="24"/>
          <w:szCs w:val="24"/>
          <w:lang w:val="zh-CN"/>
        </w:rPr>
      </w:pPr>
      <w:r>
        <w:rPr>
          <w:rFonts w:hint="eastAsia" w:cs="Times New Roman" w:asciiTheme="minorEastAsia" w:hAnsiTheme="minorEastAsia"/>
          <w:color w:val="000000" w:themeColor="text1"/>
          <w:sz w:val="24"/>
          <w:szCs w:val="24"/>
          <w:lang w:val="zh-CN"/>
        </w:rPr>
        <w:t>应详细提供《投标报价明细表》和《投标货物、服务清单》等内容，否则按照</w:t>
      </w:r>
      <w:r>
        <w:rPr>
          <w:rFonts w:hint="eastAsia" w:cs="Times New Roman" w:asciiTheme="minorEastAsia" w:hAnsiTheme="minorEastAsia"/>
          <w:b/>
          <w:color w:val="000000" w:themeColor="text1"/>
          <w:sz w:val="24"/>
          <w:szCs w:val="24"/>
          <w:lang w:val="zh-CN"/>
        </w:rPr>
        <w:t>无效投标处理。</w:t>
      </w:r>
    </w:p>
    <w:p>
      <w:pPr>
        <w:numPr>
          <w:ilvl w:val="0"/>
          <w:numId w:val="14"/>
        </w:numPr>
        <w:spacing w:line="360" w:lineRule="auto"/>
        <w:ind w:left="616" w:hanging="616"/>
        <w:rPr>
          <w:rFonts w:cs="Times New Roman" w:asciiTheme="minorEastAsia" w:hAnsiTheme="minorEastAsia"/>
          <w:color w:val="000000" w:themeColor="text1"/>
          <w:sz w:val="24"/>
          <w:szCs w:val="24"/>
          <w:lang w:val="zh-CN"/>
        </w:rPr>
      </w:pPr>
      <w:r>
        <w:rPr>
          <w:rFonts w:hint="eastAsia" w:cs="Times New Roman" w:asciiTheme="minorEastAsia" w:hAnsiTheme="minorEastAsia"/>
          <w:color w:val="000000" w:themeColor="text1"/>
          <w:sz w:val="24"/>
          <w:szCs w:val="24"/>
          <w:lang w:val="zh-CN"/>
        </w:rPr>
        <w:t>每一种规格的货物（工程或服务）只允许有一个报价，否则按照</w:t>
      </w:r>
      <w:r>
        <w:rPr>
          <w:rFonts w:hint="eastAsia" w:cs="Times New Roman" w:asciiTheme="minorEastAsia" w:hAnsiTheme="minorEastAsia"/>
          <w:b/>
          <w:color w:val="000000" w:themeColor="text1"/>
          <w:sz w:val="24"/>
          <w:szCs w:val="24"/>
          <w:lang w:val="zh-CN"/>
        </w:rPr>
        <w:t>无效投标处理</w:t>
      </w:r>
      <w:r>
        <w:rPr>
          <w:rFonts w:hint="eastAsia" w:cs="Times New Roman" w:asciiTheme="minorEastAsia" w:hAnsiTheme="minorEastAsia"/>
          <w:color w:val="000000" w:themeColor="text1"/>
          <w:sz w:val="24"/>
          <w:szCs w:val="24"/>
          <w:lang w:val="zh-CN"/>
        </w:rPr>
        <w:t>。</w:t>
      </w:r>
    </w:p>
    <w:p>
      <w:pPr>
        <w:numPr>
          <w:ilvl w:val="0"/>
          <w:numId w:val="14"/>
        </w:numPr>
        <w:spacing w:line="360" w:lineRule="auto"/>
        <w:ind w:left="616" w:hanging="616"/>
        <w:rPr>
          <w:rFonts w:cs="Times New Roman" w:asciiTheme="minorEastAsia" w:hAnsiTheme="minorEastAsia"/>
          <w:color w:val="000000" w:themeColor="text1"/>
          <w:sz w:val="24"/>
          <w:szCs w:val="24"/>
          <w:lang w:val="zh-CN"/>
        </w:rPr>
      </w:pPr>
      <w:r>
        <w:rPr>
          <w:rFonts w:hint="eastAsia" w:cs="Times New Roman" w:asciiTheme="minorEastAsia" w:hAnsiTheme="minorEastAsia"/>
          <w:color w:val="000000" w:themeColor="text1"/>
          <w:sz w:val="24"/>
          <w:szCs w:val="24"/>
          <w:lang w:val="zh-CN"/>
        </w:rPr>
        <w:t>投标人的投标总报价在合同执行过程中是固定不变的，不得以任何理由予以变更。故投标人的投标总报价应包含本招标内容全部工作所需的一切费用，即投标总报价为“交钥匙”价。对在合同实施过程中可能发生的其它费用（如：增加耗材、材料涨价、人工、运输成本增加等因素），采购人不予支付。</w:t>
      </w:r>
    </w:p>
    <w:p>
      <w:pPr>
        <w:numPr>
          <w:ilvl w:val="0"/>
          <w:numId w:val="14"/>
        </w:numPr>
        <w:spacing w:line="360" w:lineRule="auto"/>
        <w:ind w:left="616" w:hanging="616"/>
        <w:rPr>
          <w:rFonts w:cs="Times New Roman" w:asciiTheme="minorEastAsia" w:hAnsiTheme="minorEastAsia"/>
          <w:color w:val="000000" w:themeColor="text1"/>
          <w:sz w:val="24"/>
          <w:szCs w:val="24"/>
          <w:lang w:val="zh-CN"/>
        </w:rPr>
      </w:pPr>
      <w:r>
        <w:rPr>
          <w:rFonts w:hint="eastAsia" w:cs="Times New Roman" w:asciiTheme="minorEastAsia" w:hAnsiTheme="minorEastAsia"/>
          <w:color w:val="000000" w:themeColor="text1"/>
          <w:sz w:val="24"/>
          <w:szCs w:val="24"/>
          <w:lang w:val="zh-CN"/>
        </w:rPr>
        <w:t>对于招标文件未列明，而投标人认为必需的费用也需列入其投标总价。在合同实施时，采购人将不予支付投标人没有列入的项目费用，并认为此项目的费用已包括在其投标总价中。</w:t>
      </w:r>
    </w:p>
    <w:p>
      <w:pPr>
        <w:numPr>
          <w:ilvl w:val="0"/>
          <w:numId w:val="14"/>
        </w:numPr>
        <w:spacing w:line="360" w:lineRule="auto"/>
        <w:ind w:left="616" w:hanging="616"/>
        <w:rPr>
          <w:rFonts w:cs="Times New Roman" w:asciiTheme="minorEastAsia" w:hAnsiTheme="minorEastAsia"/>
          <w:color w:val="000000" w:themeColor="text1"/>
          <w:sz w:val="24"/>
          <w:szCs w:val="24"/>
          <w:lang w:val="zh-CN"/>
        </w:rPr>
      </w:pPr>
      <w:r>
        <w:rPr>
          <w:rFonts w:hint="eastAsia" w:cs="Times New Roman" w:asciiTheme="minorEastAsia" w:hAnsiTheme="minorEastAsia"/>
          <w:color w:val="000000" w:themeColor="text1"/>
          <w:sz w:val="24"/>
          <w:szCs w:val="24"/>
          <w:lang w:val="zh-CN"/>
        </w:rPr>
        <w:t>投标人应对项目招标范围内的全部内容进行报价，不得缺、漏项或只投其中的部分内容的，否则按照</w:t>
      </w:r>
      <w:r>
        <w:rPr>
          <w:rFonts w:hint="eastAsia" w:cs="Times New Roman" w:asciiTheme="minorEastAsia" w:hAnsiTheme="minorEastAsia"/>
          <w:b/>
          <w:color w:val="000000" w:themeColor="text1"/>
          <w:sz w:val="24"/>
          <w:szCs w:val="24"/>
          <w:lang w:val="zh-CN"/>
        </w:rPr>
        <w:t>无效投标处理</w:t>
      </w:r>
      <w:r>
        <w:rPr>
          <w:rFonts w:hint="eastAsia" w:cs="Times New Roman" w:asciiTheme="minorEastAsia" w:hAnsiTheme="minorEastAsia"/>
          <w:color w:val="000000" w:themeColor="text1"/>
          <w:sz w:val="24"/>
          <w:szCs w:val="24"/>
          <w:lang w:val="zh-CN"/>
        </w:rPr>
        <w:t>。</w:t>
      </w:r>
    </w:p>
    <w:p>
      <w:pPr>
        <w:numPr>
          <w:ilvl w:val="0"/>
          <w:numId w:val="5"/>
        </w:numPr>
        <w:spacing w:line="360" w:lineRule="auto"/>
        <w:ind w:left="560" w:hanging="560"/>
        <w:rPr>
          <w:rFonts w:cs="Times New Roman" w:asciiTheme="minorEastAsia" w:hAnsiTheme="minorEastAsia"/>
          <w:b/>
          <w:color w:val="000000" w:themeColor="text1"/>
          <w:sz w:val="24"/>
          <w:szCs w:val="24"/>
          <w:lang w:val="zh-CN"/>
        </w:rPr>
      </w:pPr>
      <w:r>
        <w:rPr>
          <w:rFonts w:hint="eastAsia" w:cs="Times New Roman" w:asciiTheme="minorEastAsia" w:hAnsiTheme="minorEastAsia"/>
          <w:b/>
          <w:color w:val="000000" w:themeColor="text1"/>
          <w:sz w:val="24"/>
          <w:szCs w:val="24"/>
          <w:lang w:val="zh-CN"/>
        </w:rPr>
        <w:t>备选方案</w:t>
      </w:r>
    </w:p>
    <w:p>
      <w:pPr>
        <w:spacing w:line="360" w:lineRule="auto"/>
        <w:ind w:firstLine="480" w:firstLineChars="200"/>
        <w:rPr>
          <w:rFonts w:cs="Times New Roman" w:asciiTheme="minorEastAsia" w:hAnsiTheme="minorEastAsia"/>
          <w:color w:val="000000" w:themeColor="text1"/>
          <w:sz w:val="24"/>
          <w:szCs w:val="24"/>
          <w:lang w:val="zh-CN"/>
        </w:rPr>
      </w:pPr>
      <w:r>
        <w:rPr>
          <w:rFonts w:hint="eastAsia" w:cs="Times New Roman" w:asciiTheme="minorEastAsia" w:hAnsiTheme="minorEastAsia"/>
          <w:color w:val="000000" w:themeColor="text1"/>
          <w:sz w:val="24"/>
          <w:szCs w:val="24"/>
          <w:lang w:val="zh-CN"/>
        </w:rPr>
        <w:t>只允许投标人提供一个投标方案（招标文件中要求提供备选方案的除外），否则按照</w:t>
      </w:r>
      <w:r>
        <w:rPr>
          <w:rFonts w:hint="eastAsia" w:cs="Times New Roman" w:asciiTheme="minorEastAsia" w:hAnsiTheme="minorEastAsia"/>
          <w:b/>
          <w:color w:val="000000" w:themeColor="text1"/>
          <w:sz w:val="24"/>
          <w:szCs w:val="24"/>
          <w:lang w:val="zh-CN"/>
        </w:rPr>
        <w:t>无效投标处理</w:t>
      </w:r>
      <w:r>
        <w:rPr>
          <w:rFonts w:hint="eastAsia" w:cs="Times New Roman" w:asciiTheme="minorEastAsia" w:hAnsiTheme="minorEastAsia"/>
          <w:color w:val="000000" w:themeColor="text1"/>
          <w:sz w:val="24"/>
          <w:szCs w:val="24"/>
          <w:lang w:val="zh-CN"/>
        </w:rPr>
        <w:t>。</w:t>
      </w:r>
    </w:p>
    <w:p>
      <w:pPr>
        <w:numPr>
          <w:ilvl w:val="0"/>
          <w:numId w:val="5"/>
        </w:numPr>
        <w:spacing w:line="360" w:lineRule="auto"/>
        <w:ind w:left="560" w:hanging="560"/>
        <w:rPr>
          <w:rFonts w:cs="Times New Roman" w:asciiTheme="minorEastAsia" w:hAnsiTheme="minorEastAsia"/>
          <w:b/>
          <w:color w:val="000000" w:themeColor="text1"/>
          <w:sz w:val="24"/>
          <w:szCs w:val="24"/>
          <w:lang w:val="zh-CN"/>
        </w:rPr>
      </w:pPr>
      <w:r>
        <w:rPr>
          <w:rFonts w:hint="eastAsia" w:cs="Times New Roman" w:asciiTheme="minorEastAsia" w:hAnsiTheme="minorEastAsia"/>
          <w:b/>
          <w:color w:val="000000" w:themeColor="text1"/>
          <w:sz w:val="24"/>
          <w:szCs w:val="24"/>
          <w:lang w:val="zh-CN"/>
        </w:rPr>
        <w:t>中标后分包</w:t>
      </w:r>
    </w:p>
    <w:p>
      <w:pPr>
        <w:spacing w:line="360" w:lineRule="auto"/>
        <w:ind w:firstLine="480" w:firstLineChars="200"/>
        <w:rPr>
          <w:rFonts w:cs="Times New Roman" w:asciiTheme="minorEastAsia" w:hAnsiTheme="minorEastAsia"/>
          <w:color w:val="000000" w:themeColor="text1"/>
          <w:sz w:val="24"/>
          <w:szCs w:val="24"/>
          <w:lang w:val="zh-CN"/>
        </w:rPr>
      </w:pPr>
      <w:r>
        <w:rPr>
          <w:rFonts w:cs="Times New Roman" w:asciiTheme="minorEastAsia" w:hAnsiTheme="minorEastAsia"/>
          <w:color w:val="000000" w:themeColor="text1"/>
          <w:sz w:val="24"/>
          <w:szCs w:val="24"/>
          <w:lang w:val="zh-CN"/>
        </w:rPr>
        <w:t>招标文件规定</w:t>
      </w:r>
      <w:r>
        <w:rPr>
          <w:rFonts w:hint="eastAsia" w:cs="Times New Roman" w:asciiTheme="minorEastAsia" w:hAnsiTheme="minorEastAsia"/>
          <w:color w:val="000000" w:themeColor="text1"/>
          <w:sz w:val="24"/>
          <w:szCs w:val="24"/>
          <w:lang w:val="zh-CN"/>
        </w:rPr>
        <w:t>项目非主体、非关键性工作中标后可以分包</w:t>
      </w:r>
      <w:r>
        <w:rPr>
          <w:rFonts w:cs="Times New Roman" w:asciiTheme="minorEastAsia" w:hAnsiTheme="minorEastAsia"/>
          <w:color w:val="000000" w:themeColor="text1"/>
          <w:sz w:val="24"/>
          <w:szCs w:val="24"/>
          <w:lang w:val="zh-CN"/>
        </w:rPr>
        <w:t>的，投标人拟在中标后将项目的非主体、非关键性工作分包，应当在投标文件中载明</w:t>
      </w:r>
      <w:r>
        <w:rPr>
          <w:rFonts w:hint="eastAsia" w:cs="Times New Roman" w:asciiTheme="minorEastAsia" w:hAnsiTheme="minorEastAsia"/>
          <w:color w:val="000000" w:themeColor="text1"/>
          <w:sz w:val="24"/>
          <w:szCs w:val="24"/>
          <w:lang w:val="zh-CN"/>
        </w:rPr>
        <w:t>具备相应资质条件的</w:t>
      </w:r>
      <w:r>
        <w:rPr>
          <w:rFonts w:cs="Times New Roman" w:asciiTheme="minorEastAsia" w:hAnsiTheme="minorEastAsia"/>
          <w:color w:val="000000" w:themeColor="text1"/>
          <w:sz w:val="24"/>
          <w:szCs w:val="24"/>
          <w:lang w:val="zh-CN"/>
        </w:rPr>
        <w:t>分包承担主体，分包承担主体不得再次分包。</w:t>
      </w:r>
      <w:r>
        <w:rPr>
          <w:rFonts w:hint="eastAsia" w:cs="Times New Roman" w:asciiTheme="minorEastAsia" w:hAnsiTheme="minorEastAsia"/>
          <w:color w:val="000000" w:themeColor="text1"/>
          <w:sz w:val="24"/>
          <w:szCs w:val="24"/>
          <w:lang w:val="zh-CN"/>
        </w:rPr>
        <w:t>否则中标后不允许分包。</w:t>
      </w:r>
    </w:p>
    <w:p>
      <w:pPr>
        <w:numPr>
          <w:ilvl w:val="0"/>
          <w:numId w:val="5"/>
        </w:numPr>
        <w:spacing w:line="360" w:lineRule="auto"/>
        <w:ind w:left="560" w:hanging="560"/>
        <w:rPr>
          <w:rFonts w:cs="Times New Roman" w:asciiTheme="minorEastAsia" w:hAnsiTheme="minorEastAsia"/>
          <w:b/>
          <w:color w:val="000000" w:themeColor="text1"/>
          <w:sz w:val="24"/>
          <w:szCs w:val="24"/>
          <w:lang w:val="zh-CN"/>
        </w:rPr>
      </w:pPr>
      <w:r>
        <w:rPr>
          <w:rFonts w:hint="eastAsia" w:cs="Times New Roman" w:asciiTheme="minorEastAsia" w:hAnsiTheme="minorEastAsia"/>
          <w:b/>
          <w:color w:val="000000" w:themeColor="text1"/>
          <w:sz w:val="24"/>
          <w:szCs w:val="24"/>
          <w:lang w:val="zh-CN"/>
        </w:rPr>
        <w:t>联合体投标</w:t>
      </w:r>
    </w:p>
    <w:p>
      <w:pPr>
        <w:numPr>
          <w:ilvl w:val="0"/>
          <w:numId w:val="16"/>
        </w:numPr>
        <w:spacing w:line="360" w:lineRule="auto"/>
        <w:ind w:left="616" w:hanging="616"/>
        <w:rPr>
          <w:rFonts w:cs="Times New Roman" w:asciiTheme="minorEastAsia" w:hAnsiTheme="minorEastAsia"/>
          <w:color w:val="000000" w:themeColor="text1"/>
          <w:sz w:val="24"/>
          <w:szCs w:val="24"/>
          <w:lang w:val="zh-CN"/>
        </w:rPr>
      </w:pPr>
      <w:r>
        <w:rPr>
          <w:rFonts w:hint="eastAsia" w:cs="Times New Roman" w:asciiTheme="minorEastAsia" w:hAnsiTheme="minorEastAsia"/>
          <w:color w:val="000000" w:themeColor="text1"/>
          <w:sz w:val="24"/>
          <w:szCs w:val="24"/>
          <w:lang w:val="zh-CN"/>
        </w:rPr>
        <w:t>两个及以上供应商可以组成一个联合体，以一个投标人的身份共同参与投标。</w:t>
      </w:r>
    </w:p>
    <w:p>
      <w:pPr>
        <w:numPr>
          <w:ilvl w:val="0"/>
          <w:numId w:val="16"/>
        </w:numPr>
        <w:spacing w:line="360" w:lineRule="auto"/>
        <w:ind w:left="616" w:hanging="616"/>
        <w:rPr>
          <w:rFonts w:cs="Times New Roman" w:asciiTheme="minorEastAsia" w:hAnsiTheme="minorEastAsia"/>
          <w:color w:val="000000" w:themeColor="text1"/>
          <w:sz w:val="24"/>
          <w:szCs w:val="24"/>
          <w:lang w:val="zh-CN"/>
        </w:rPr>
      </w:pPr>
      <w:r>
        <w:rPr>
          <w:rFonts w:hint="eastAsia" w:cs="Times New Roman" w:asciiTheme="minorEastAsia" w:hAnsiTheme="minorEastAsia"/>
          <w:color w:val="000000" w:themeColor="text1"/>
          <w:sz w:val="24"/>
          <w:szCs w:val="24"/>
          <w:lang w:val="zh-CN"/>
        </w:rPr>
        <w:t>采取联合体形式投标的，联合体各方均应当符合政府采购法第二十二条第一款规定的条件。联合体的主体应完全满足项目投标人资格要求。</w:t>
      </w:r>
    </w:p>
    <w:p>
      <w:pPr>
        <w:numPr>
          <w:ilvl w:val="0"/>
          <w:numId w:val="16"/>
        </w:numPr>
        <w:spacing w:line="360" w:lineRule="auto"/>
        <w:ind w:left="616" w:hanging="616"/>
        <w:rPr>
          <w:rFonts w:cs="Times New Roman" w:asciiTheme="minorEastAsia" w:hAnsiTheme="minorEastAsia"/>
          <w:color w:val="000000" w:themeColor="text1"/>
          <w:sz w:val="24"/>
          <w:szCs w:val="24"/>
          <w:lang w:val="zh-CN"/>
        </w:rPr>
      </w:pPr>
      <w:r>
        <w:rPr>
          <w:rFonts w:hint="eastAsia" w:cs="Times New Roman" w:asciiTheme="minorEastAsia" w:hAnsiTheme="minorEastAsia"/>
          <w:color w:val="000000" w:themeColor="text1"/>
          <w:sz w:val="24"/>
          <w:szCs w:val="24"/>
          <w:lang w:val="zh-CN"/>
        </w:rPr>
        <w:t>联合体各方之间应签订联合投标协议，明确约定联合体主体及各方承担的工作和相应的责任，其投标文件中应提供联合投标协议。</w:t>
      </w:r>
    </w:p>
    <w:p>
      <w:pPr>
        <w:numPr>
          <w:ilvl w:val="0"/>
          <w:numId w:val="16"/>
        </w:numPr>
        <w:spacing w:line="360" w:lineRule="auto"/>
        <w:ind w:left="616" w:hanging="616"/>
        <w:rPr>
          <w:rFonts w:cs="Times New Roman" w:asciiTheme="minorEastAsia" w:hAnsiTheme="minorEastAsia"/>
          <w:color w:val="000000" w:themeColor="text1"/>
          <w:sz w:val="24"/>
          <w:szCs w:val="24"/>
          <w:lang w:val="zh-CN"/>
        </w:rPr>
      </w:pPr>
      <w:r>
        <w:rPr>
          <w:rFonts w:hint="eastAsia" w:cs="Times New Roman" w:asciiTheme="minorEastAsia" w:hAnsiTheme="minorEastAsia"/>
          <w:color w:val="000000" w:themeColor="text1"/>
          <w:sz w:val="24"/>
          <w:szCs w:val="24"/>
          <w:lang w:val="zh-CN"/>
        </w:rPr>
        <w:t>以联合体形式参加政府采购活动的，联合体各方不得再单独参加或者与其他供应商另外组成联合体参加同一合同项下的政府采购活动。</w:t>
      </w:r>
    </w:p>
    <w:p>
      <w:pPr>
        <w:numPr>
          <w:ilvl w:val="0"/>
          <w:numId w:val="16"/>
        </w:numPr>
        <w:spacing w:line="360" w:lineRule="auto"/>
        <w:ind w:left="616" w:hanging="616"/>
        <w:rPr>
          <w:rFonts w:cs="Times New Roman" w:asciiTheme="minorEastAsia" w:hAnsiTheme="minorEastAsia"/>
          <w:color w:val="000000" w:themeColor="text1"/>
          <w:sz w:val="24"/>
          <w:szCs w:val="24"/>
          <w:lang w:val="zh-CN"/>
        </w:rPr>
      </w:pPr>
      <w:r>
        <w:rPr>
          <w:rFonts w:hint="eastAsia" w:cs="Times New Roman" w:asciiTheme="minorEastAsia" w:hAnsiTheme="minorEastAsia"/>
          <w:color w:val="000000" w:themeColor="text1"/>
          <w:sz w:val="24"/>
          <w:szCs w:val="24"/>
          <w:lang w:val="zh-CN"/>
        </w:rPr>
        <w:t>采取联合体形式投标的，其投标文件应由联合体所有成员或其各自正式书面授权的代表签署（盖章），以便对所有成员作为整体及作为个体均具有法律约束力。</w:t>
      </w:r>
    </w:p>
    <w:p>
      <w:pPr>
        <w:numPr>
          <w:ilvl w:val="0"/>
          <w:numId w:val="16"/>
        </w:numPr>
        <w:spacing w:line="360" w:lineRule="auto"/>
        <w:ind w:left="616" w:hanging="616"/>
        <w:rPr>
          <w:rFonts w:cs="Times New Roman" w:asciiTheme="minorEastAsia" w:hAnsiTheme="minorEastAsia"/>
          <w:color w:val="000000" w:themeColor="text1"/>
          <w:sz w:val="24"/>
          <w:szCs w:val="24"/>
          <w:lang w:val="zh-CN"/>
        </w:rPr>
      </w:pPr>
      <w:r>
        <w:rPr>
          <w:rFonts w:hint="eastAsia" w:cs="Times New Roman" w:asciiTheme="minorEastAsia" w:hAnsiTheme="minorEastAsia"/>
          <w:color w:val="000000" w:themeColor="text1"/>
          <w:sz w:val="24"/>
          <w:szCs w:val="24"/>
          <w:lang w:val="zh-CN"/>
        </w:rPr>
        <w:t>采取联合体形式投标的，项目评审时只对联合体主体进行评议。</w:t>
      </w:r>
    </w:p>
    <w:p>
      <w:pPr>
        <w:numPr>
          <w:ilvl w:val="0"/>
          <w:numId w:val="16"/>
        </w:numPr>
        <w:spacing w:line="360" w:lineRule="auto"/>
        <w:ind w:left="616" w:hanging="616"/>
        <w:rPr>
          <w:rFonts w:cs="Times New Roman" w:asciiTheme="minorEastAsia" w:hAnsiTheme="minorEastAsia"/>
          <w:color w:val="000000" w:themeColor="text1"/>
          <w:sz w:val="24"/>
          <w:szCs w:val="24"/>
          <w:lang w:val="zh-CN"/>
        </w:rPr>
      </w:pPr>
      <w:r>
        <w:rPr>
          <w:rFonts w:hint="eastAsia" w:cs="Times New Roman" w:asciiTheme="minorEastAsia" w:hAnsiTheme="minorEastAsia"/>
          <w:color w:val="000000" w:themeColor="text1"/>
          <w:sz w:val="24"/>
          <w:szCs w:val="24"/>
          <w:lang w:val="zh-CN"/>
        </w:rPr>
        <w:t>联合体中标的，联合体各方应当共同与采购人签订采购合同，</w:t>
      </w:r>
      <w:r>
        <w:rPr>
          <w:rFonts w:hint="eastAsia" w:ascii="宋体" w:hAnsi="宋体"/>
          <w:color w:val="000000" w:themeColor="text1"/>
          <w:sz w:val="24"/>
        </w:rPr>
        <w:t>就采购合同约定的事项对采购人承担连带责任，</w:t>
      </w:r>
      <w:r>
        <w:rPr>
          <w:rFonts w:hint="eastAsia" w:cs="Times New Roman" w:asciiTheme="minorEastAsia" w:hAnsiTheme="minorEastAsia"/>
          <w:color w:val="000000" w:themeColor="text1"/>
          <w:sz w:val="24"/>
          <w:szCs w:val="24"/>
          <w:lang w:val="zh-CN"/>
        </w:rPr>
        <w:t>联合体主体单位负主要责任。</w:t>
      </w:r>
    </w:p>
    <w:p>
      <w:pPr>
        <w:numPr>
          <w:ilvl w:val="0"/>
          <w:numId w:val="16"/>
        </w:numPr>
        <w:spacing w:line="360" w:lineRule="auto"/>
        <w:ind w:left="616" w:hanging="616"/>
        <w:rPr>
          <w:rFonts w:cs="Times New Roman" w:asciiTheme="minorEastAsia" w:hAnsiTheme="minorEastAsia"/>
          <w:color w:val="000000" w:themeColor="text1"/>
          <w:sz w:val="24"/>
          <w:szCs w:val="24"/>
          <w:lang w:val="zh-CN"/>
        </w:rPr>
      </w:pPr>
      <w:r>
        <w:rPr>
          <w:rFonts w:hint="eastAsia" w:cs="Times New Roman" w:asciiTheme="minorEastAsia" w:hAnsiTheme="minorEastAsia"/>
          <w:color w:val="000000" w:themeColor="text1"/>
          <w:sz w:val="24"/>
          <w:szCs w:val="24"/>
          <w:lang w:val="zh-CN"/>
        </w:rPr>
        <w:t>联合体中有同类资质的供应商按照联合体分工承担相同工作的，应当按照资质等级较低的供应商确定资质等级。</w:t>
      </w:r>
    </w:p>
    <w:p>
      <w:pPr>
        <w:numPr>
          <w:ilvl w:val="0"/>
          <w:numId w:val="16"/>
        </w:numPr>
        <w:spacing w:line="360" w:lineRule="auto"/>
        <w:ind w:left="616" w:hanging="616"/>
        <w:rPr>
          <w:rFonts w:cs="Times New Roman" w:asciiTheme="minorEastAsia" w:hAnsiTheme="minorEastAsia"/>
          <w:color w:val="000000" w:themeColor="text1"/>
          <w:sz w:val="24"/>
          <w:szCs w:val="24"/>
          <w:lang w:val="zh-CN"/>
        </w:rPr>
      </w:pPr>
      <w:r>
        <w:rPr>
          <w:rFonts w:hint="eastAsia" w:cs="Times New Roman" w:asciiTheme="minorEastAsia" w:hAnsiTheme="minorEastAsia"/>
          <w:color w:val="000000" w:themeColor="text1"/>
          <w:sz w:val="24"/>
          <w:szCs w:val="24"/>
          <w:lang w:val="zh-CN"/>
        </w:rPr>
        <w:t>招标文件第一章“投标人资格要求”中</w:t>
      </w:r>
      <w:r>
        <w:rPr>
          <w:rFonts w:cs="Times New Roman" w:asciiTheme="minorEastAsia" w:hAnsiTheme="minorEastAsia"/>
          <w:color w:val="000000" w:themeColor="text1"/>
          <w:sz w:val="24"/>
          <w:szCs w:val="24"/>
          <w:lang w:val="zh-CN"/>
        </w:rPr>
        <w:t>未载明</w:t>
      </w:r>
      <w:r>
        <w:rPr>
          <w:rFonts w:hint="eastAsia" w:cs="Times New Roman" w:asciiTheme="minorEastAsia" w:hAnsiTheme="minorEastAsia"/>
          <w:color w:val="000000" w:themeColor="text1"/>
          <w:sz w:val="24"/>
          <w:szCs w:val="24"/>
          <w:lang w:val="zh-CN"/>
        </w:rPr>
        <w:t>是否接受联合体投标的</w:t>
      </w:r>
      <w:r>
        <w:rPr>
          <w:rFonts w:cs="Times New Roman" w:asciiTheme="minorEastAsia" w:hAnsiTheme="minorEastAsia"/>
          <w:color w:val="000000" w:themeColor="text1"/>
          <w:sz w:val="24"/>
          <w:szCs w:val="24"/>
          <w:lang w:val="zh-CN"/>
        </w:rPr>
        <w:t>，</w:t>
      </w:r>
      <w:r>
        <w:rPr>
          <w:rFonts w:hint="eastAsia" w:cs="Times New Roman" w:asciiTheme="minorEastAsia" w:hAnsiTheme="minorEastAsia"/>
          <w:color w:val="000000" w:themeColor="text1"/>
          <w:sz w:val="24"/>
          <w:szCs w:val="24"/>
          <w:lang w:val="zh-CN"/>
        </w:rPr>
        <w:t>视同接受</w:t>
      </w:r>
      <w:r>
        <w:rPr>
          <w:rFonts w:cs="Times New Roman" w:asciiTheme="minorEastAsia" w:hAnsiTheme="minorEastAsia"/>
          <w:color w:val="000000" w:themeColor="text1"/>
          <w:sz w:val="24"/>
          <w:szCs w:val="24"/>
          <w:lang w:val="zh-CN"/>
        </w:rPr>
        <w:t>。</w:t>
      </w:r>
    </w:p>
    <w:p>
      <w:pPr>
        <w:numPr>
          <w:ilvl w:val="0"/>
          <w:numId w:val="16"/>
        </w:numPr>
        <w:spacing w:line="360" w:lineRule="auto"/>
        <w:ind w:left="728" w:hanging="728"/>
        <w:rPr>
          <w:rFonts w:cs="Times New Roman" w:asciiTheme="minorEastAsia" w:hAnsiTheme="minorEastAsia"/>
          <w:color w:val="000000" w:themeColor="text1"/>
          <w:sz w:val="24"/>
          <w:szCs w:val="24"/>
          <w:lang w:val="zh-CN"/>
        </w:rPr>
      </w:pPr>
      <w:r>
        <w:rPr>
          <w:rFonts w:hint="eastAsia" w:cs="Times New Roman" w:asciiTheme="minorEastAsia" w:hAnsiTheme="minorEastAsia"/>
          <w:color w:val="000000" w:themeColor="text1"/>
          <w:sz w:val="24"/>
          <w:szCs w:val="24"/>
          <w:lang w:val="zh-CN"/>
        </w:rPr>
        <w:t>以联合体形式参与投标的，其价格扣除相关规定详见第五章“评标方法、程序及标准”。</w:t>
      </w:r>
    </w:p>
    <w:p>
      <w:pPr>
        <w:numPr>
          <w:ilvl w:val="0"/>
          <w:numId w:val="5"/>
        </w:numPr>
        <w:spacing w:line="360" w:lineRule="auto"/>
        <w:ind w:left="560" w:hanging="560"/>
        <w:rPr>
          <w:rFonts w:cs="Times New Roman" w:asciiTheme="minorEastAsia" w:hAnsiTheme="minorEastAsia"/>
          <w:b/>
          <w:color w:val="000000" w:themeColor="text1"/>
          <w:sz w:val="24"/>
          <w:szCs w:val="24"/>
          <w:lang w:val="zh-CN"/>
        </w:rPr>
      </w:pPr>
      <w:r>
        <w:rPr>
          <w:rFonts w:hint="eastAsia" w:cs="Times New Roman" w:asciiTheme="minorEastAsia" w:hAnsiTheme="minorEastAsia"/>
          <w:b/>
          <w:color w:val="000000" w:themeColor="text1"/>
          <w:sz w:val="24"/>
          <w:szCs w:val="24"/>
          <w:lang w:val="zh-CN"/>
        </w:rPr>
        <w:t>资格证明文件</w:t>
      </w:r>
    </w:p>
    <w:p>
      <w:pPr>
        <w:numPr>
          <w:ilvl w:val="0"/>
          <w:numId w:val="17"/>
        </w:numPr>
        <w:spacing w:line="360" w:lineRule="auto"/>
        <w:ind w:left="616" w:hanging="616"/>
        <w:rPr>
          <w:rFonts w:cs="Times New Roman" w:asciiTheme="minorEastAsia" w:hAnsiTheme="minorEastAsia"/>
          <w:color w:val="000000" w:themeColor="text1"/>
          <w:sz w:val="24"/>
          <w:szCs w:val="24"/>
          <w:lang w:val="zh-CN"/>
        </w:rPr>
      </w:pPr>
      <w:r>
        <w:rPr>
          <w:rFonts w:hint="eastAsia" w:cs="Times New Roman" w:asciiTheme="minorEastAsia" w:hAnsiTheme="minorEastAsia"/>
          <w:color w:val="000000" w:themeColor="text1"/>
          <w:sz w:val="24"/>
          <w:szCs w:val="24"/>
          <w:lang w:val="zh-CN"/>
        </w:rPr>
        <w:t>投标人应按本节及第四章“资格审查方法及标准”的要求，提供足以证明其符合项目“投标人资格要求”且中标后有能力履行合同的文件，并作为其投标文件的组成部分。</w:t>
      </w:r>
    </w:p>
    <w:p>
      <w:pPr>
        <w:numPr>
          <w:ilvl w:val="0"/>
          <w:numId w:val="17"/>
        </w:numPr>
        <w:spacing w:line="360" w:lineRule="auto"/>
        <w:ind w:left="616" w:hanging="616"/>
        <w:rPr>
          <w:rFonts w:cs="Times New Roman" w:asciiTheme="minorEastAsia" w:hAnsiTheme="minorEastAsia"/>
          <w:color w:val="000000" w:themeColor="text1"/>
          <w:sz w:val="24"/>
          <w:szCs w:val="24"/>
          <w:lang w:val="zh-CN"/>
        </w:rPr>
      </w:pPr>
      <w:r>
        <w:rPr>
          <w:rFonts w:hint="eastAsia" w:cs="Times New Roman" w:asciiTheme="minorEastAsia" w:hAnsiTheme="minorEastAsia"/>
          <w:color w:val="000000" w:themeColor="text1"/>
          <w:sz w:val="24"/>
          <w:szCs w:val="24"/>
          <w:lang w:val="zh-CN"/>
        </w:rPr>
        <w:t>资格证明文件应真实、合法，并就此承担相应法律责任。</w:t>
      </w:r>
    </w:p>
    <w:p>
      <w:pPr>
        <w:numPr>
          <w:ilvl w:val="0"/>
          <w:numId w:val="17"/>
        </w:numPr>
        <w:spacing w:line="360" w:lineRule="auto"/>
        <w:ind w:left="616" w:hanging="616"/>
        <w:rPr>
          <w:rFonts w:cs="Times New Roman" w:asciiTheme="minorEastAsia" w:hAnsiTheme="minorEastAsia"/>
          <w:color w:val="000000" w:themeColor="text1"/>
          <w:sz w:val="24"/>
          <w:szCs w:val="24"/>
          <w:lang w:val="zh-CN"/>
        </w:rPr>
      </w:pPr>
      <w:r>
        <w:rPr>
          <w:rFonts w:hint="eastAsia" w:cs="Times New Roman" w:asciiTheme="minorEastAsia" w:hAnsiTheme="minorEastAsia"/>
          <w:color w:val="000000" w:themeColor="text1"/>
          <w:sz w:val="24"/>
          <w:szCs w:val="24"/>
          <w:lang w:val="zh-CN"/>
        </w:rPr>
        <w:t>资格证明文件正本应为清晰彩色影印件且加盖单位公章，否则按照</w:t>
      </w:r>
      <w:r>
        <w:rPr>
          <w:rFonts w:hint="eastAsia" w:cs="Times New Roman" w:asciiTheme="minorEastAsia" w:hAnsiTheme="minorEastAsia"/>
          <w:b/>
          <w:color w:val="000000" w:themeColor="text1"/>
          <w:sz w:val="24"/>
          <w:szCs w:val="24"/>
          <w:lang w:val="zh-CN"/>
        </w:rPr>
        <w:t>无效投标处理</w:t>
      </w:r>
      <w:r>
        <w:rPr>
          <w:rFonts w:hint="eastAsia" w:cs="Times New Roman" w:asciiTheme="minorEastAsia" w:hAnsiTheme="minorEastAsia"/>
          <w:color w:val="000000" w:themeColor="text1"/>
          <w:sz w:val="24"/>
          <w:szCs w:val="24"/>
          <w:lang w:val="zh-CN"/>
        </w:rPr>
        <w:t>。副本可为正本的复印件,但应在副本封面加盖单位公章。</w:t>
      </w:r>
    </w:p>
    <w:p>
      <w:pPr>
        <w:numPr>
          <w:ilvl w:val="0"/>
          <w:numId w:val="17"/>
        </w:numPr>
        <w:spacing w:line="360" w:lineRule="auto"/>
        <w:ind w:left="616" w:hanging="616"/>
        <w:rPr>
          <w:rFonts w:cs="Times New Roman" w:asciiTheme="minorEastAsia" w:hAnsiTheme="minorEastAsia"/>
          <w:color w:val="000000" w:themeColor="text1"/>
          <w:sz w:val="24"/>
          <w:szCs w:val="24"/>
          <w:lang w:val="zh-CN"/>
        </w:rPr>
      </w:pPr>
      <w:r>
        <w:rPr>
          <w:rFonts w:hint="eastAsia" w:cs="Helvetica" w:asciiTheme="minorEastAsia" w:hAnsiTheme="minorEastAsia"/>
          <w:color w:val="000000" w:themeColor="text1"/>
          <w:kern w:val="0"/>
          <w:sz w:val="24"/>
          <w:szCs w:val="24"/>
          <w:lang w:val="zh-CN"/>
        </w:rPr>
        <w:t>资格证明文件内容详见</w:t>
      </w:r>
      <w:r>
        <w:rPr>
          <w:rFonts w:hint="eastAsia" w:cs="Times New Roman" w:asciiTheme="minorEastAsia" w:hAnsiTheme="minorEastAsia"/>
          <w:color w:val="000000" w:themeColor="text1"/>
          <w:sz w:val="24"/>
          <w:szCs w:val="24"/>
          <w:lang w:val="zh-CN"/>
        </w:rPr>
        <w:t>第四章“资格审查方法及标准”中资格审查内容</w:t>
      </w:r>
      <w:r>
        <w:rPr>
          <w:rFonts w:hint="eastAsia" w:cs="Helvetica" w:asciiTheme="minorEastAsia" w:hAnsiTheme="minorEastAsia"/>
          <w:color w:val="000000" w:themeColor="text1"/>
          <w:kern w:val="0"/>
          <w:sz w:val="24"/>
          <w:szCs w:val="24"/>
          <w:lang w:val="zh-CN"/>
        </w:rPr>
        <w:t>。</w:t>
      </w:r>
    </w:p>
    <w:p>
      <w:pPr>
        <w:numPr>
          <w:ilvl w:val="0"/>
          <w:numId w:val="5"/>
        </w:numPr>
        <w:spacing w:line="360" w:lineRule="auto"/>
        <w:ind w:left="560" w:hanging="560"/>
        <w:rPr>
          <w:rFonts w:cs="Times New Roman" w:asciiTheme="minorEastAsia" w:hAnsiTheme="minorEastAsia"/>
          <w:color w:val="000000" w:themeColor="text1"/>
          <w:sz w:val="24"/>
          <w:szCs w:val="24"/>
          <w:lang w:val="zh-CN"/>
        </w:rPr>
      </w:pPr>
      <w:r>
        <w:rPr>
          <w:rFonts w:hint="eastAsia" w:cs="Times New Roman" w:asciiTheme="minorEastAsia" w:hAnsiTheme="minorEastAsia"/>
          <w:b/>
          <w:color w:val="000000" w:themeColor="text1"/>
          <w:sz w:val="24"/>
          <w:szCs w:val="24"/>
          <w:lang w:val="zh-CN"/>
        </w:rPr>
        <w:t>投标保证金</w:t>
      </w:r>
      <w:r>
        <w:rPr>
          <w:rFonts w:hint="eastAsia" w:cs="Times New Roman" w:asciiTheme="minorEastAsia" w:hAnsiTheme="minorEastAsia"/>
          <w:color w:val="000000" w:themeColor="text1"/>
          <w:sz w:val="24"/>
          <w:szCs w:val="24"/>
          <w:lang w:val="zh-CN"/>
        </w:rPr>
        <w:t>：无。</w:t>
      </w:r>
    </w:p>
    <w:p>
      <w:pPr>
        <w:numPr>
          <w:ilvl w:val="0"/>
          <w:numId w:val="5"/>
        </w:numPr>
        <w:spacing w:line="360" w:lineRule="auto"/>
        <w:ind w:left="560" w:hanging="560"/>
        <w:rPr>
          <w:rFonts w:cs="Times New Roman" w:asciiTheme="minorEastAsia" w:hAnsiTheme="minorEastAsia"/>
          <w:b/>
          <w:color w:val="000000" w:themeColor="text1"/>
          <w:sz w:val="24"/>
          <w:szCs w:val="24"/>
          <w:lang w:val="zh-CN"/>
        </w:rPr>
      </w:pPr>
      <w:r>
        <w:rPr>
          <w:rFonts w:hint="eastAsia" w:cs="Times New Roman" w:asciiTheme="minorEastAsia" w:hAnsiTheme="minorEastAsia"/>
          <w:b/>
          <w:color w:val="000000" w:themeColor="text1"/>
          <w:sz w:val="24"/>
          <w:szCs w:val="24"/>
          <w:lang w:val="zh-CN"/>
        </w:rPr>
        <w:t>投标有效期</w:t>
      </w:r>
    </w:p>
    <w:p>
      <w:pPr>
        <w:numPr>
          <w:ilvl w:val="0"/>
          <w:numId w:val="18"/>
        </w:numPr>
        <w:spacing w:line="360" w:lineRule="auto"/>
        <w:ind w:left="616" w:hanging="616"/>
        <w:rPr>
          <w:rFonts w:cs="Times New Roman" w:asciiTheme="minorEastAsia" w:hAnsiTheme="minorEastAsia"/>
          <w:color w:val="000000" w:themeColor="text1"/>
          <w:sz w:val="24"/>
          <w:szCs w:val="24"/>
          <w:lang w:val="zh-CN"/>
        </w:rPr>
      </w:pPr>
      <w:r>
        <w:rPr>
          <w:rFonts w:hint="eastAsia" w:cs="Times New Roman" w:asciiTheme="minorEastAsia" w:hAnsiTheme="minorEastAsia"/>
          <w:color w:val="000000" w:themeColor="text1"/>
          <w:sz w:val="24"/>
          <w:szCs w:val="24"/>
          <w:lang w:val="zh-CN"/>
        </w:rPr>
        <w:t>投标有效期详见本章“投标须知前附表”中规定。</w:t>
      </w:r>
      <w:r>
        <w:rPr>
          <w:rFonts w:cs="Helvetica" w:asciiTheme="minorEastAsia" w:hAnsiTheme="minorEastAsia"/>
          <w:color w:val="000000" w:themeColor="text1"/>
          <w:kern w:val="0"/>
          <w:sz w:val="24"/>
          <w:szCs w:val="24"/>
          <w:lang w:val="zh-CN"/>
        </w:rPr>
        <w:t>投标文件中承诺的投标有效期应当不少于招标文件中载明的投标有效期</w:t>
      </w:r>
      <w:r>
        <w:rPr>
          <w:rFonts w:hint="eastAsia" w:cs="Helvetica" w:asciiTheme="minorEastAsia" w:hAnsiTheme="minorEastAsia"/>
          <w:color w:val="000000" w:themeColor="text1"/>
          <w:kern w:val="0"/>
          <w:sz w:val="24"/>
          <w:szCs w:val="24"/>
          <w:lang w:val="zh-CN"/>
        </w:rPr>
        <w:t>。投标有效期不足的，</w:t>
      </w:r>
      <w:r>
        <w:rPr>
          <w:rFonts w:hint="eastAsia" w:cs="Times New Roman" w:asciiTheme="minorEastAsia" w:hAnsiTheme="minorEastAsia"/>
          <w:color w:val="000000" w:themeColor="text1"/>
          <w:sz w:val="24"/>
          <w:szCs w:val="24"/>
          <w:lang w:val="zh-CN"/>
        </w:rPr>
        <w:t>按照</w:t>
      </w:r>
      <w:r>
        <w:rPr>
          <w:rFonts w:hint="eastAsia" w:cs="Times New Roman" w:asciiTheme="minorEastAsia" w:hAnsiTheme="minorEastAsia"/>
          <w:b/>
          <w:color w:val="000000" w:themeColor="text1"/>
          <w:sz w:val="24"/>
          <w:szCs w:val="24"/>
          <w:lang w:val="zh-CN"/>
        </w:rPr>
        <w:t>无效投标处理。</w:t>
      </w:r>
    </w:p>
    <w:p>
      <w:pPr>
        <w:numPr>
          <w:ilvl w:val="0"/>
          <w:numId w:val="18"/>
        </w:numPr>
        <w:spacing w:line="360" w:lineRule="auto"/>
        <w:ind w:left="616" w:hanging="616"/>
        <w:rPr>
          <w:rFonts w:cs="Times New Roman" w:asciiTheme="minorEastAsia" w:hAnsiTheme="minorEastAsia"/>
          <w:color w:val="000000" w:themeColor="text1"/>
          <w:sz w:val="24"/>
          <w:szCs w:val="24"/>
          <w:lang w:val="zh-CN"/>
        </w:rPr>
      </w:pPr>
      <w:r>
        <w:rPr>
          <w:rFonts w:hint="eastAsia" w:cs="Times New Roman" w:asciiTheme="minorEastAsia" w:hAnsiTheme="minorEastAsia"/>
          <w:color w:val="000000" w:themeColor="text1"/>
          <w:sz w:val="24"/>
          <w:szCs w:val="24"/>
          <w:lang w:val="zh-CN"/>
        </w:rPr>
        <w:t>特殊情况下，在原投标有效期截止之前，集中采购机构或采购人可要求投标人延长投标有效期。这种要求与答复均应以书面形式提交。投标人可拒绝集中采购机构或采购人的这种要求，但其投标在原投标有效期期满后将不再有效。同意延长投标有效期的投标人不会被要求和允许修正其投标内容，而只会被要求相应地延长其投标保证金的有效期。在这种情况下，本章“投标保证金”的退还和不予退还的规定将在延长了的有效期内继续有效。</w:t>
      </w:r>
    </w:p>
    <w:p>
      <w:pPr>
        <w:numPr>
          <w:ilvl w:val="0"/>
          <w:numId w:val="5"/>
        </w:numPr>
        <w:spacing w:line="360" w:lineRule="auto"/>
        <w:ind w:left="560" w:hanging="560"/>
        <w:rPr>
          <w:rFonts w:cs="Times New Roman" w:asciiTheme="minorEastAsia" w:hAnsiTheme="minorEastAsia"/>
          <w:b/>
          <w:color w:val="000000" w:themeColor="text1"/>
          <w:sz w:val="24"/>
          <w:szCs w:val="24"/>
          <w:lang w:val="zh-CN"/>
        </w:rPr>
      </w:pPr>
      <w:r>
        <w:rPr>
          <w:rFonts w:hint="eastAsia" w:cs="Times New Roman" w:asciiTheme="minorEastAsia" w:hAnsiTheme="minorEastAsia"/>
          <w:b/>
          <w:color w:val="000000" w:themeColor="text1"/>
          <w:sz w:val="24"/>
          <w:szCs w:val="24"/>
          <w:lang w:val="zh-CN"/>
        </w:rPr>
        <w:t>投标文件的数量和签署</w:t>
      </w:r>
    </w:p>
    <w:p>
      <w:pPr>
        <w:numPr>
          <w:ilvl w:val="0"/>
          <w:numId w:val="19"/>
        </w:numPr>
        <w:spacing w:line="360" w:lineRule="auto"/>
        <w:ind w:left="616" w:hanging="616"/>
        <w:rPr>
          <w:rFonts w:cs="Times New Roman" w:asciiTheme="minorEastAsia" w:hAnsiTheme="minorEastAsia"/>
          <w:color w:val="000000" w:themeColor="text1"/>
          <w:sz w:val="24"/>
          <w:szCs w:val="24"/>
          <w:lang w:val="zh-CN"/>
        </w:rPr>
      </w:pPr>
      <w:r>
        <w:rPr>
          <w:rFonts w:hint="eastAsia" w:cs="Times New Roman" w:asciiTheme="minorEastAsia" w:hAnsiTheme="minorEastAsia"/>
          <w:color w:val="000000" w:themeColor="text1"/>
          <w:sz w:val="24"/>
          <w:szCs w:val="24"/>
          <w:lang w:val="zh-CN"/>
        </w:rPr>
        <w:t>投标人应按本章“投标须知前附表”中规定的份数要求编制投标文件，投标文件的副本可为正本的复印件,但应在副本封面加盖单位公章。每套投标文件应清楚地标明“正本”、“副本”。副本与正本不一致的，以正本为准。</w:t>
      </w:r>
    </w:p>
    <w:p>
      <w:pPr>
        <w:numPr>
          <w:ilvl w:val="0"/>
          <w:numId w:val="19"/>
        </w:numPr>
        <w:spacing w:line="360" w:lineRule="auto"/>
        <w:ind w:left="616" w:hanging="616"/>
        <w:rPr>
          <w:rFonts w:cs="Times New Roman" w:asciiTheme="minorEastAsia" w:hAnsiTheme="minorEastAsia"/>
          <w:color w:val="000000" w:themeColor="text1"/>
          <w:sz w:val="24"/>
          <w:szCs w:val="24"/>
          <w:lang w:val="zh-CN"/>
        </w:rPr>
      </w:pPr>
      <w:r>
        <w:rPr>
          <w:rFonts w:hint="eastAsia" w:cs="Times New Roman" w:asciiTheme="minorEastAsia" w:hAnsiTheme="minorEastAsia"/>
          <w:color w:val="000000" w:themeColor="text1"/>
          <w:sz w:val="24"/>
          <w:szCs w:val="24"/>
          <w:lang w:val="zh-CN"/>
        </w:rPr>
        <w:t>投标文件的正本应打印或用不褪色墨水书写，应由法定代表人或经其正式授权的代表签字或盖章。由被授权代表签字或盖章的，应以书面形式出具授权证明，其《法定代表人授权书》应附在投标文件中。</w:t>
      </w:r>
    </w:p>
    <w:p>
      <w:pPr>
        <w:numPr>
          <w:ilvl w:val="0"/>
          <w:numId w:val="19"/>
        </w:numPr>
        <w:spacing w:line="360" w:lineRule="auto"/>
        <w:ind w:left="616" w:hanging="616"/>
        <w:rPr>
          <w:rFonts w:cs="Times New Roman" w:asciiTheme="minorEastAsia" w:hAnsiTheme="minorEastAsia"/>
          <w:color w:val="000000" w:themeColor="text1"/>
          <w:sz w:val="24"/>
          <w:szCs w:val="24"/>
          <w:lang w:val="zh-CN"/>
        </w:rPr>
      </w:pPr>
      <w:r>
        <w:rPr>
          <w:rFonts w:hint="eastAsia" w:cs="Times New Roman" w:asciiTheme="minorEastAsia" w:hAnsiTheme="minorEastAsia"/>
          <w:color w:val="000000" w:themeColor="text1"/>
          <w:sz w:val="24"/>
          <w:szCs w:val="24"/>
          <w:lang w:val="zh-CN"/>
        </w:rPr>
        <w:t>投标文件中任何涂改和增删，应由法定代表人或经其正式授权的代表在旁边签字后方为有效。</w:t>
      </w:r>
    </w:p>
    <w:p>
      <w:pPr>
        <w:numPr>
          <w:ilvl w:val="0"/>
          <w:numId w:val="19"/>
        </w:numPr>
        <w:spacing w:line="360" w:lineRule="auto"/>
        <w:ind w:left="616" w:hanging="616"/>
        <w:rPr>
          <w:rFonts w:cs="Times New Roman" w:asciiTheme="minorEastAsia" w:hAnsiTheme="minorEastAsia"/>
          <w:color w:val="000000" w:themeColor="text1"/>
          <w:sz w:val="24"/>
          <w:szCs w:val="24"/>
          <w:lang w:val="zh-CN"/>
        </w:rPr>
      </w:pPr>
      <w:r>
        <w:rPr>
          <w:rFonts w:hint="eastAsia" w:cs="Times New Roman" w:asciiTheme="minorEastAsia" w:hAnsiTheme="minorEastAsia"/>
          <w:color w:val="000000" w:themeColor="text1"/>
          <w:sz w:val="24"/>
          <w:szCs w:val="24"/>
          <w:lang w:val="zh-CN"/>
        </w:rPr>
        <w:t>招标文件中要求加盖公章及签字（签章）之处，投标文件正本中应按要求提供加盖公章及签字（签章）的原件，否则按照</w:t>
      </w:r>
      <w:r>
        <w:rPr>
          <w:rFonts w:hint="eastAsia" w:cs="Times New Roman" w:asciiTheme="minorEastAsia" w:hAnsiTheme="minorEastAsia"/>
          <w:b/>
          <w:color w:val="000000" w:themeColor="text1"/>
          <w:sz w:val="24"/>
          <w:szCs w:val="24"/>
          <w:lang w:val="zh-CN"/>
        </w:rPr>
        <w:t>无效投标处理。</w:t>
      </w:r>
    </w:p>
    <w:p>
      <w:pPr>
        <w:numPr>
          <w:ilvl w:val="0"/>
          <w:numId w:val="5"/>
        </w:numPr>
        <w:spacing w:line="360" w:lineRule="auto"/>
        <w:ind w:left="560" w:hanging="560"/>
        <w:rPr>
          <w:rFonts w:ascii="宋体" w:hAnsi="宋体" w:eastAsia="宋体" w:cs="Times New Roman"/>
          <w:b/>
          <w:color w:val="000000" w:themeColor="text1"/>
          <w:sz w:val="24"/>
          <w:szCs w:val="20"/>
          <w:lang w:val="zh-CN"/>
        </w:rPr>
      </w:pPr>
      <w:r>
        <w:rPr>
          <w:rFonts w:hint="eastAsia" w:ascii="宋体" w:hAnsi="宋体" w:eastAsia="宋体" w:cs="Times New Roman"/>
          <w:b/>
          <w:color w:val="000000" w:themeColor="text1"/>
          <w:sz w:val="24"/>
          <w:szCs w:val="20"/>
          <w:lang w:val="zh-CN"/>
        </w:rPr>
        <w:t>投标文件的密封和标记</w:t>
      </w:r>
    </w:p>
    <w:p>
      <w:pPr>
        <w:numPr>
          <w:ilvl w:val="0"/>
          <w:numId w:val="20"/>
        </w:numPr>
        <w:spacing w:line="360" w:lineRule="auto"/>
        <w:ind w:left="616" w:hanging="616"/>
        <w:rPr>
          <w:rFonts w:ascii="宋体" w:hAnsi="宋体" w:eastAsia="宋体" w:cs="Times New Roman"/>
          <w:b/>
          <w:color w:val="000000" w:themeColor="text1"/>
          <w:sz w:val="24"/>
          <w:szCs w:val="20"/>
          <w:lang w:val="zh-CN"/>
        </w:rPr>
      </w:pPr>
      <w:r>
        <w:rPr>
          <w:rFonts w:hint="eastAsia" w:ascii="宋体" w:hAnsi="宋体" w:eastAsia="宋体" w:cs="Times New Roman"/>
          <w:b/>
          <w:color w:val="000000" w:themeColor="text1"/>
          <w:sz w:val="24"/>
          <w:szCs w:val="20"/>
          <w:lang w:val="zh-CN"/>
        </w:rPr>
        <w:t>投标人应将投标文件第一部分资格证明文件、第二部分商务文件、第三部分技术、服务文件一起合并装订成一本投标文件，一起封装。</w:t>
      </w:r>
    </w:p>
    <w:p>
      <w:pPr>
        <w:numPr>
          <w:ilvl w:val="0"/>
          <w:numId w:val="20"/>
        </w:numPr>
        <w:spacing w:line="360" w:lineRule="auto"/>
        <w:ind w:left="616" w:hanging="616"/>
        <w:rPr>
          <w:rFonts w:ascii="宋体" w:hAnsi="宋体" w:eastAsia="宋体" w:cs="Times New Roman"/>
          <w:color w:val="000000" w:themeColor="text1"/>
          <w:sz w:val="24"/>
          <w:szCs w:val="20"/>
          <w:lang w:val="zh-CN"/>
        </w:rPr>
      </w:pPr>
      <w:r>
        <w:rPr>
          <w:rFonts w:hint="eastAsia" w:ascii="宋体" w:hAnsi="宋体"/>
          <w:color w:val="FF0000"/>
          <w:sz w:val="24"/>
          <w:szCs w:val="20"/>
          <w:lang w:val="zh-CN"/>
        </w:rPr>
        <w:t>投标人应将投标文件</w:t>
      </w:r>
      <w:r>
        <w:rPr>
          <w:rFonts w:hint="eastAsia" w:ascii="宋体" w:hAnsi="宋体"/>
          <w:b/>
          <w:color w:val="FF0000"/>
          <w:sz w:val="24"/>
          <w:szCs w:val="20"/>
          <w:lang w:val="zh-CN"/>
        </w:rPr>
        <w:t>正本和副本</w:t>
      </w:r>
      <w:r>
        <w:rPr>
          <w:rFonts w:hint="eastAsia" w:ascii="宋体" w:hAnsi="宋体"/>
          <w:color w:val="FF0000"/>
          <w:sz w:val="24"/>
          <w:szCs w:val="20"/>
          <w:lang w:val="zh-CN"/>
        </w:rPr>
        <w:t>密封装在单独的封包中</w:t>
      </w:r>
      <w:r>
        <w:rPr>
          <w:rFonts w:hint="eastAsia" w:ascii="宋体" w:hAnsi="宋体" w:eastAsia="宋体" w:cs="Times New Roman"/>
          <w:color w:val="000000" w:themeColor="text1"/>
          <w:sz w:val="24"/>
          <w:szCs w:val="20"/>
          <w:lang w:val="zh-CN"/>
        </w:rPr>
        <w:t>。</w:t>
      </w:r>
    </w:p>
    <w:p>
      <w:pPr>
        <w:numPr>
          <w:ilvl w:val="0"/>
          <w:numId w:val="20"/>
        </w:numPr>
        <w:spacing w:line="360" w:lineRule="auto"/>
        <w:ind w:left="616" w:hanging="616"/>
        <w:rPr>
          <w:rFonts w:ascii="宋体" w:hAnsi="宋体" w:eastAsia="宋体" w:cs="Times New Roman"/>
          <w:color w:val="000000" w:themeColor="text1"/>
          <w:sz w:val="24"/>
          <w:szCs w:val="20"/>
          <w:lang w:val="zh-CN"/>
        </w:rPr>
      </w:pPr>
      <w:r>
        <w:rPr>
          <w:rFonts w:hint="eastAsia" w:ascii="宋体" w:hAnsi="宋体" w:eastAsia="宋体" w:cs="Times New Roman"/>
          <w:color w:val="000000" w:themeColor="text1"/>
          <w:sz w:val="24"/>
          <w:szCs w:val="20"/>
          <w:lang w:val="zh-CN"/>
        </w:rPr>
        <w:t>如果未按要求加写密封、标记或存在错误，集中采购机构对其误投或提前启封概不负责。</w:t>
      </w:r>
    </w:p>
    <w:p>
      <w:pPr>
        <w:numPr>
          <w:ilvl w:val="0"/>
          <w:numId w:val="20"/>
        </w:numPr>
        <w:spacing w:line="360" w:lineRule="auto"/>
        <w:ind w:left="616" w:hanging="616"/>
        <w:rPr>
          <w:rFonts w:ascii="宋体" w:hAnsi="宋体" w:eastAsia="宋体" w:cs="Times New Roman"/>
          <w:b/>
          <w:color w:val="000000" w:themeColor="text1"/>
          <w:sz w:val="24"/>
          <w:szCs w:val="20"/>
          <w:lang w:val="zh-CN"/>
        </w:rPr>
      </w:pPr>
      <w:r>
        <w:rPr>
          <w:rFonts w:hint="eastAsia" w:ascii="宋体" w:hAnsi="宋体" w:eastAsia="宋体" w:cs="Times New Roman"/>
          <w:color w:val="000000" w:themeColor="text1"/>
          <w:sz w:val="24"/>
          <w:szCs w:val="20"/>
          <w:lang w:val="zh-CN"/>
        </w:rPr>
        <w:t>为方便开标时唱标，投标人应将《开标一览表》原件及《交纳投标保证金的银行凭证》（若有交纳保证金要求的）各一份一并</w:t>
      </w:r>
      <w:r>
        <w:rPr>
          <w:rFonts w:hint="eastAsia" w:ascii="宋体" w:hAnsi="宋体" w:eastAsia="宋体" w:cs="Times New Roman"/>
          <w:color w:val="000000" w:themeColor="text1"/>
          <w:spacing w:val="-6"/>
          <w:kern w:val="0"/>
          <w:sz w:val="24"/>
          <w:szCs w:val="20"/>
          <w:lang w:val="zh-CN"/>
        </w:rPr>
        <w:t>装入一个信封，单独密封提交</w:t>
      </w:r>
      <w:r>
        <w:rPr>
          <w:rFonts w:hint="eastAsia" w:ascii="宋体" w:hAnsi="宋体" w:eastAsia="宋体" w:cs="Times New Roman"/>
          <w:color w:val="000000" w:themeColor="text1"/>
          <w:sz w:val="24"/>
          <w:szCs w:val="20"/>
          <w:lang w:val="zh-CN"/>
        </w:rPr>
        <w:t>，并在信封上标明“开标一览表”字样。未单独提交或单独提交的上述资料未按照招标文件规定的格式填写完整并签字、盖章的采购人</w:t>
      </w:r>
      <w:r>
        <w:rPr>
          <w:rFonts w:hint="eastAsia" w:ascii="宋体" w:hAnsi="宋体" w:eastAsia="宋体" w:cs="Times New Roman"/>
          <w:b/>
          <w:color w:val="000000" w:themeColor="text1"/>
          <w:sz w:val="24"/>
          <w:szCs w:val="20"/>
          <w:lang w:val="zh-CN"/>
        </w:rPr>
        <w:t>拒绝</w:t>
      </w:r>
      <w:r>
        <w:rPr>
          <w:rFonts w:hint="eastAsia" w:ascii="宋体" w:hAnsi="宋体" w:eastAsia="宋体" w:cs="Times New Roman"/>
          <w:color w:val="000000" w:themeColor="text1"/>
          <w:sz w:val="24"/>
          <w:szCs w:val="20"/>
          <w:lang w:val="zh-CN"/>
        </w:rPr>
        <w:t>其投标。</w:t>
      </w:r>
    </w:p>
    <w:p>
      <w:pPr>
        <w:numPr>
          <w:ilvl w:val="0"/>
          <w:numId w:val="20"/>
        </w:numPr>
        <w:spacing w:line="360" w:lineRule="auto"/>
        <w:ind w:left="616" w:hanging="616"/>
        <w:rPr>
          <w:rFonts w:ascii="宋体" w:hAnsi="宋体" w:eastAsia="宋体" w:cs="Times New Roman"/>
          <w:color w:val="000000" w:themeColor="text1"/>
          <w:sz w:val="24"/>
          <w:szCs w:val="20"/>
          <w:lang w:val="zh-CN"/>
        </w:rPr>
      </w:pPr>
      <w:r>
        <w:rPr>
          <w:rFonts w:hint="eastAsia" w:ascii="宋体" w:hAnsi="宋体" w:eastAsia="宋体" w:cs="Times New Roman"/>
          <w:color w:val="000000" w:themeColor="text1"/>
          <w:sz w:val="24"/>
          <w:szCs w:val="20"/>
          <w:lang w:val="zh-CN"/>
        </w:rPr>
        <w:t>“开标一览表”信封和投标文件的封包上应注明采购项目编号、项目名称、投标内容和有“在（招标文件中规定的开标日期和时间）之前不得启封”的字样，封口处加盖投标人公章。</w:t>
      </w:r>
    </w:p>
    <w:p>
      <w:pPr>
        <w:numPr>
          <w:ilvl w:val="0"/>
          <w:numId w:val="5"/>
        </w:numPr>
        <w:spacing w:line="360" w:lineRule="auto"/>
        <w:ind w:left="560" w:hanging="560"/>
        <w:rPr>
          <w:rFonts w:ascii="宋体" w:hAnsi="宋体" w:eastAsia="宋体" w:cs="Times New Roman"/>
          <w:b/>
          <w:color w:val="000000" w:themeColor="text1"/>
          <w:sz w:val="24"/>
          <w:szCs w:val="20"/>
          <w:lang w:val="zh-CN"/>
        </w:rPr>
      </w:pPr>
      <w:r>
        <w:rPr>
          <w:rFonts w:hint="eastAsia" w:ascii="宋体" w:hAnsi="宋体" w:eastAsia="宋体" w:cs="Times New Roman"/>
          <w:b/>
          <w:color w:val="000000" w:themeColor="text1"/>
          <w:sz w:val="24"/>
          <w:szCs w:val="20"/>
          <w:lang w:val="zh-CN"/>
        </w:rPr>
        <w:t>投标文件递交</w:t>
      </w:r>
    </w:p>
    <w:p>
      <w:pPr>
        <w:numPr>
          <w:ilvl w:val="0"/>
          <w:numId w:val="21"/>
        </w:numPr>
        <w:spacing w:line="360" w:lineRule="auto"/>
        <w:ind w:left="616" w:hanging="616"/>
        <w:rPr>
          <w:rFonts w:ascii="Helvetica" w:hAnsi="Helvetica" w:eastAsia="宋体" w:cs="Helvetica"/>
          <w:color w:val="000000" w:themeColor="text1"/>
          <w:kern w:val="0"/>
          <w:sz w:val="24"/>
          <w:szCs w:val="24"/>
          <w:lang w:val="zh-CN"/>
        </w:rPr>
      </w:pPr>
      <w:r>
        <w:rPr>
          <w:rFonts w:hint="eastAsia" w:ascii="Helvetica" w:hAnsi="Helvetica" w:eastAsia="宋体" w:cs="Helvetica"/>
          <w:color w:val="000000" w:themeColor="text1"/>
          <w:kern w:val="0"/>
          <w:sz w:val="24"/>
          <w:szCs w:val="24"/>
          <w:lang w:val="zh-CN"/>
        </w:rPr>
        <w:t>投标人应在不迟于投标邀请书中规定的投标截止日期和时间将投标文件密封递交至采购人（或代理公司）规定的投标地点。</w:t>
      </w:r>
    </w:p>
    <w:p>
      <w:pPr>
        <w:numPr>
          <w:ilvl w:val="0"/>
          <w:numId w:val="21"/>
        </w:numPr>
        <w:spacing w:line="360" w:lineRule="auto"/>
        <w:ind w:left="616" w:hanging="616"/>
        <w:rPr>
          <w:rFonts w:ascii="Helvetica" w:hAnsi="Helvetica" w:eastAsia="宋体" w:cs="Helvetica"/>
          <w:b/>
          <w:color w:val="000000" w:themeColor="text1"/>
          <w:kern w:val="0"/>
          <w:sz w:val="24"/>
          <w:szCs w:val="24"/>
          <w:lang w:val="zh-CN"/>
        </w:rPr>
      </w:pPr>
      <w:r>
        <w:rPr>
          <w:rFonts w:hint="eastAsia" w:ascii="Helvetica" w:hAnsi="Helvetica" w:eastAsia="宋体" w:cs="Helvetica"/>
          <w:color w:val="000000" w:themeColor="text1"/>
          <w:kern w:val="0"/>
          <w:sz w:val="24"/>
          <w:szCs w:val="24"/>
          <w:lang w:val="zh-CN"/>
        </w:rPr>
        <w:t>采购人（或代理公司）</w:t>
      </w:r>
      <w:r>
        <w:rPr>
          <w:rFonts w:hint="eastAsia" w:ascii="Helvetica" w:hAnsi="Helvetica" w:eastAsia="宋体" w:cs="Helvetica"/>
          <w:b/>
          <w:color w:val="000000" w:themeColor="text1"/>
          <w:kern w:val="0"/>
          <w:sz w:val="24"/>
          <w:szCs w:val="24"/>
          <w:lang w:val="zh-CN"/>
        </w:rPr>
        <w:t>拒收逾期送达或者未按招标文件要求密封的投标文件。</w:t>
      </w:r>
    </w:p>
    <w:p>
      <w:pPr>
        <w:numPr>
          <w:ilvl w:val="0"/>
          <w:numId w:val="21"/>
        </w:numPr>
        <w:spacing w:line="360" w:lineRule="auto"/>
        <w:ind w:left="616" w:hanging="616"/>
        <w:rPr>
          <w:rFonts w:ascii="Helvetica" w:hAnsi="Helvetica" w:eastAsia="宋体" w:cs="Helvetica"/>
          <w:color w:val="000000" w:themeColor="text1"/>
          <w:kern w:val="0"/>
          <w:sz w:val="24"/>
          <w:szCs w:val="24"/>
          <w:lang w:val="zh-CN"/>
        </w:rPr>
      </w:pPr>
      <w:r>
        <w:rPr>
          <w:rFonts w:hint="eastAsia" w:ascii="Helvetica" w:hAnsi="Helvetica" w:eastAsia="宋体" w:cs="Helvetica"/>
          <w:color w:val="000000" w:themeColor="text1"/>
          <w:kern w:val="0"/>
          <w:sz w:val="24"/>
          <w:szCs w:val="24"/>
          <w:lang w:val="zh-CN"/>
        </w:rPr>
        <w:t>采购人（或代理公司）</w:t>
      </w:r>
      <w:r>
        <w:rPr>
          <w:rFonts w:ascii="Helvetica" w:hAnsi="Helvetica" w:eastAsia="宋体" w:cs="Helvetica"/>
          <w:color w:val="000000" w:themeColor="text1"/>
          <w:kern w:val="0"/>
          <w:sz w:val="24"/>
          <w:szCs w:val="24"/>
          <w:lang w:val="zh-CN"/>
        </w:rPr>
        <w:t>收到投标文件后，应当如实记载投标文件的送达时间和密封情况，签收保存，并向投标人出具签收回执。</w:t>
      </w:r>
    </w:p>
    <w:p>
      <w:pPr>
        <w:numPr>
          <w:ilvl w:val="0"/>
          <w:numId w:val="5"/>
        </w:numPr>
        <w:spacing w:line="360" w:lineRule="auto"/>
        <w:ind w:left="560" w:hanging="560"/>
        <w:rPr>
          <w:rFonts w:ascii="宋体" w:hAnsi="宋体" w:eastAsia="宋体" w:cs="Times New Roman"/>
          <w:b/>
          <w:color w:val="000000" w:themeColor="text1"/>
          <w:sz w:val="24"/>
          <w:szCs w:val="20"/>
          <w:lang w:val="zh-CN"/>
        </w:rPr>
      </w:pPr>
      <w:r>
        <w:rPr>
          <w:rFonts w:hint="eastAsia" w:ascii="宋体" w:hAnsi="宋体" w:eastAsia="宋体" w:cs="Times New Roman"/>
          <w:b/>
          <w:color w:val="000000" w:themeColor="text1"/>
          <w:sz w:val="24"/>
          <w:szCs w:val="20"/>
          <w:lang w:val="zh-CN"/>
        </w:rPr>
        <w:t>投标文件的修改和撤回</w:t>
      </w:r>
    </w:p>
    <w:p>
      <w:pPr>
        <w:numPr>
          <w:ilvl w:val="0"/>
          <w:numId w:val="22"/>
        </w:numPr>
        <w:spacing w:line="360" w:lineRule="auto"/>
        <w:ind w:left="616" w:hanging="616"/>
        <w:rPr>
          <w:rFonts w:ascii="宋体" w:hAnsi="宋体" w:eastAsia="宋体" w:cs="Times New Roman"/>
          <w:strike/>
          <w:color w:val="000000" w:themeColor="text1"/>
          <w:sz w:val="24"/>
          <w:szCs w:val="20"/>
          <w:lang w:val="zh-CN"/>
        </w:rPr>
      </w:pPr>
      <w:r>
        <w:rPr>
          <w:rFonts w:ascii="宋体" w:hAnsi="宋体" w:eastAsia="宋体" w:cs="Times New Roman"/>
          <w:color w:val="000000" w:themeColor="text1"/>
          <w:sz w:val="24"/>
          <w:szCs w:val="20"/>
          <w:lang w:val="zh-CN"/>
        </w:rPr>
        <w:t>投标人在投标截止时间前，可以对所递交的投标文件进行补充、修改或者撤回，并书面通知</w:t>
      </w:r>
      <w:r>
        <w:rPr>
          <w:rFonts w:hint="eastAsia" w:ascii="宋体" w:hAnsi="宋体" w:eastAsia="宋体" w:cs="Times New Roman"/>
          <w:color w:val="000000" w:themeColor="text1"/>
          <w:sz w:val="24"/>
          <w:szCs w:val="20"/>
          <w:lang w:val="zh-CN"/>
        </w:rPr>
        <w:t>集中采购机构</w:t>
      </w:r>
      <w:r>
        <w:rPr>
          <w:rFonts w:ascii="宋体" w:hAnsi="宋体" w:eastAsia="宋体" w:cs="Times New Roman"/>
          <w:color w:val="000000" w:themeColor="text1"/>
          <w:sz w:val="24"/>
          <w:szCs w:val="20"/>
          <w:lang w:val="zh-CN"/>
        </w:rPr>
        <w:t>。补充、修改的内容应当按照招标文件要求签署、盖章、密封后，作为投标文件的组成部分。</w:t>
      </w:r>
    </w:p>
    <w:p>
      <w:pPr>
        <w:numPr>
          <w:ilvl w:val="0"/>
          <w:numId w:val="22"/>
        </w:numPr>
        <w:spacing w:line="360" w:lineRule="auto"/>
        <w:ind w:left="616" w:hanging="616"/>
        <w:rPr>
          <w:rFonts w:ascii="宋体" w:hAnsi="宋体" w:eastAsia="宋体" w:cs="Times New Roman"/>
          <w:color w:val="000000" w:themeColor="text1"/>
          <w:sz w:val="24"/>
          <w:szCs w:val="20"/>
          <w:lang w:val="zh-CN"/>
        </w:rPr>
      </w:pPr>
      <w:r>
        <w:rPr>
          <w:rFonts w:hint="eastAsia" w:ascii="宋体" w:hAnsi="宋体" w:eastAsia="宋体" w:cs="Times New Roman"/>
          <w:color w:val="000000" w:themeColor="text1"/>
          <w:sz w:val="24"/>
          <w:szCs w:val="20"/>
          <w:lang w:val="zh-CN"/>
        </w:rPr>
        <w:t>投标有效期内投标人不得撤销其投标文件，否则按照本章“投标保证金”的规定其投标保证金不予退还。</w:t>
      </w:r>
    </w:p>
    <w:p>
      <w:pPr>
        <w:numPr>
          <w:ilvl w:val="0"/>
          <w:numId w:val="22"/>
        </w:numPr>
        <w:spacing w:line="360" w:lineRule="auto"/>
        <w:ind w:left="616" w:hanging="616"/>
        <w:rPr>
          <w:rFonts w:ascii="宋体" w:hAnsi="宋体" w:eastAsia="宋体" w:cs="Times New Roman"/>
          <w:color w:val="000000" w:themeColor="text1"/>
          <w:sz w:val="24"/>
          <w:szCs w:val="20"/>
          <w:lang w:val="zh-CN"/>
        </w:rPr>
      </w:pPr>
      <w:r>
        <w:rPr>
          <w:rFonts w:hint="eastAsia" w:ascii="宋体" w:hAnsi="宋体" w:eastAsia="宋体" w:cs="Times New Roman"/>
          <w:color w:val="000000" w:themeColor="text1"/>
          <w:sz w:val="24"/>
          <w:szCs w:val="20"/>
          <w:lang w:val="zh-CN"/>
        </w:rPr>
        <w:t>投标人所递交的投标文件无论中标与否不予退还。</w:t>
      </w:r>
    </w:p>
    <w:p>
      <w:pPr>
        <w:pStyle w:val="2"/>
        <w:numPr>
          <w:ilvl w:val="0"/>
          <w:numId w:val="4"/>
        </w:numPr>
        <w:spacing w:before="40" w:after="40" w:line="360" w:lineRule="auto"/>
        <w:ind w:left="658" w:hanging="658"/>
        <w:jc w:val="left"/>
        <w:rPr>
          <w:rFonts w:cs="Times New Roman" w:asciiTheme="majorEastAsia" w:hAnsiTheme="majorEastAsia"/>
          <w:bCs w:val="0"/>
          <w:color w:val="000000" w:themeColor="text1"/>
          <w:lang w:val="zh-CN"/>
        </w:rPr>
      </w:pPr>
      <w:bookmarkStart w:id="14" w:name="_Toc494561942"/>
      <w:bookmarkStart w:id="15" w:name="_Toc272247698"/>
      <w:bookmarkStart w:id="16" w:name="_Toc278891595"/>
      <w:bookmarkStart w:id="17" w:name="_Toc24257"/>
      <w:r>
        <w:rPr>
          <w:rFonts w:hint="eastAsia" w:cs="Times New Roman" w:asciiTheme="majorEastAsia" w:hAnsiTheme="majorEastAsia"/>
          <w:bCs w:val="0"/>
          <w:color w:val="000000" w:themeColor="text1"/>
          <w:lang w:val="zh-CN"/>
        </w:rPr>
        <w:t>开标与评标</w:t>
      </w:r>
      <w:bookmarkEnd w:id="14"/>
      <w:bookmarkEnd w:id="15"/>
      <w:bookmarkEnd w:id="16"/>
      <w:bookmarkEnd w:id="17"/>
    </w:p>
    <w:p>
      <w:pPr>
        <w:numPr>
          <w:ilvl w:val="0"/>
          <w:numId w:val="5"/>
        </w:numPr>
        <w:spacing w:line="360" w:lineRule="auto"/>
        <w:ind w:left="560" w:hanging="560"/>
        <w:rPr>
          <w:rFonts w:ascii="宋体" w:hAnsi="宋体" w:eastAsia="宋体" w:cs="Times New Roman"/>
          <w:b/>
          <w:color w:val="000000" w:themeColor="text1"/>
          <w:sz w:val="24"/>
          <w:szCs w:val="20"/>
          <w:lang w:val="zh-CN"/>
        </w:rPr>
      </w:pPr>
      <w:r>
        <w:rPr>
          <w:rFonts w:hint="eastAsia" w:ascii="宋体" w:hAnsi="宋体" w:eastAsia="宋体" w:cs="Times New Roman"/>
          <w:b/>
          <w:color w:val="000000" w:themeColor="text1"/>
          <w:sz w:val="24"/>
          <w:szCs w:val="20"/>
          <w:lang w:val="zh-CN"/>
        </w:rPr>
        <w:t>开标</w:t>
      </w:r>
    </w:p>
    <w:p>
      <w:pPr>
        <w:numPr>
          <w:ilvl w:val="0"/>
          <w:numId w:val="23"/>
        </w:numPr>
        <w:spacing w:line="360" w:lineRule="auto"/>
        <w:ind w:left="616" w:hanging="616"/>
        <w:rPr>
          <w:rFonts w:ascii="宋体" w:hAnsi="宋体" w:eastAsia="宋体" w:cs="Times New Roman"/>
          <w:b/>
          <w:color w:val="000000" w:themeColor="text1"/>
          <w:sz w:val="24"/>
          <w:szCs w:val="20"/>
          <w:lang w:val="zh-CN"/>
        </w:rPr>
      </w:pPr>
      <w:r>
        <w:rPr>
          <w:rFonts w:hint="eastAsia" w:ascii="Helvetica" w:hAnsi="Helvetica" w:eastAsia="宋体" w:cs="Helvetica"/>
          <w:color w:val="000000" w:themeColor="text1"/>
          <w:kern w:val="0"/>
          <w:sz w:val="24"/>
          <w:szCs w:val="24"/>
          <w:lang w:val="zh-CN"/>
        </w:rPr>
        <w:t>采购人（或代理公司）</w:t>
      </w:r>
      <w:r>
        <w:rPr>
          <w:rFonts w:hint="eastAsia" w:ascii="宋体" w:hAnsi="宋体" w:eastAsia="宋体" w:cs="Times New Roman"/>
          <w:color w:val="000000" w:themeColor="text1"/>
          <w:sz w:val="24"/>
          <w:szCs w:val="20"/>
          <w:lang w:val="zh-CN"/>
        </w:rPr>
        <w:t>在第一章“投标邀请书”中约定的日期、时间和地点组织公开开标。开标时采购人和投标人代表（投标人法定代表人或其授权代表）参加,参加开标的代表应签到以证明其出席</w:t>
      </w:r>
      <w:r>
        <w:rPr>
          <w:rFonts w:hint="eastAsia" w:ascii="宋体" w:hAnsi="宋体" w:eastAsia="宋体" w:cs="Times New Roman"/>
          <w:b/>
          <w:color w:val="000000" w:themeColor="text1"/>
          <w:sz w:val="24"/>
          <w:szCs w:val="20"/>
          <w:lang w:val="zh-CN"/>
        </w:rPr>
        <w:t>，否则视同认可开标结果。</w:t>
      </w:r>
    </w:p>
    <w:p>
      <w:pPr>
        <w:numPr>
          <w:ilvl w:val="0"/>
          <w:numId w:val="23"/>
        </w:numPr>
        <w:spacing w:line="360" w:lineRule="auto"/>
        <w:ind w:left="616" w:hanging="616"/>
        <w:rPr>
          <w:rFonts w:ascii="宋体" w:hAnsi="宋体" w:eastAsia="宋体" w:cs="Times New Roman"/>
          <w:color w:val="000000" w:themeColor="text1"/>
          <w:sz w:val="24"/>
          <w:szCs w:val="20"/>
          <w:lang w:val="zh-CN"/>
        </w:rPr>
      </w:pPr>
      <w:r>
        <w:rPr>
          <w:rFonts w:hint="eastAsia" w:ascii="宋体" w:hAnsi="宋体" w:eastAsia="宋体" w:cs="Times New Roman"/>
          <w:color w:val="000000" w:themeColor="text1"/>
          <w:sz w:val="24"/>
          <w:szCs w:val="20"/>
          <w:lang w:val="zh-CN"/>
        </w:rPr>
        <w:t>投标人法定代表人或其授权代表应携带有效身份证明参加项目开标会，</w:t>
      </w:r>
      <w:r>
        <w:rPr>
          <w:rFonts w:ascii="宋体" w:hAnsi="宋体" w:eastAsia="宋体" w:cs="Times New Roman"/>
          <w:color w:val="000000" w:themeColor="text1"/>
          <w:sz w:val="24"/>
          <w:szCs w:val="20"/>
          <w:lang w:val="zh-CN"/>
        </w:rPr>
        <w:t>投标人未参加开标的，视同认可开标结果。</w:t>
      </w:r>
      <w:r>
        <w:rPr>
          <w:rFonts w:hint="eastAsia" w:ascii="宋体" w:hAnsi="宋体" w:eastAsia="宋体" w:cs="Times New Roman"/>
          <w:color w:val="000000" w:themeColor="text1"/>
          <w:sz w:val="24"/>
          <w:szCs w:val="20"/>
          <w:lang w:val="zh-CN"/>
        </w:rPr>
        <w:t>截止</w:t>
      </w:r>
      <w:r>
        <w:rPr>
          <w:rFonts w:hint="eastAsia" w:ascii="宋体" w:hAnsi="宋体" w:eastAsia="宋体" w:cs="宋体"/>
          <w:color w:val="000000" w:themeColor="text1"/>
          <w:kern w:val="0"/>
          <w:sz w:val="24"/>
          <w:szCs w:val="24"/>
        </w:rPr>
        <w:t>投标文件</w:t>
      </w:r>
      <w:r>
        <w:rPr>
          <w:rFonts w:hint="eastAsia" w:ascii="宋体" w:hAnsi="宋体" w:eastAsia="宋体" w:cs="Times New Roman"/>
          <w:color w:val="000000" w:themeColor="text1"/>
          <w:sz w:val="24"/>
          <w:szCs w:val="20"/>
          <w:lang w:val="zh-CN"/>
        </w:rPr>
        <w:t>递交时间，投标人不足3家的，不进行开标</w:t>
      </w:r>
      <w:r>
        <w:rPr>
          <w:rFonts w:hint="eastAsia" w:ascii="Helvetica" w:hAnsi="Helvetica" w:eastAsia="宋体" w:cs="Helvetica"/>
          <w:color w:val="000000" w:themeColor="text1"/>
          <w:kern w:val="0"/>
          <w:sz w:val="24"/>
          <w:szCs w:val="24"/>
          <w:lang w:val="zh-CN"/>
        </w:rPr>
        <w:t>。</w:t>
      </w:r>
    </w:p>
    <w:p>
      <w:pPr>
        <w:numPr>
          <w:ilvl w:val="0"/>
          <w:numId w:val="23"/>
        </w:numPr>
        <w:spacing w:line="360" w:lineRule="auto"/>
        <w:ind w:left="616" w:hanging="616"/>
        <w:rPr>
          <w:rFonts w:ascii="宋体" w:hAnsi="宋体" w:eastAsia="宋体" w:cs="Times New Roman"/>
          <w:color w:val="000000" w:themeColor="text1"/>
          <w:sz w:val="24"/>
          <w:szCs w:val="20"/>
          <w:lang w:val="zh-CN"/>
        </w:rPr>
      </w:pPr>
      <w:r>
        <w:rPr>
          <w:rFonts w:hint="eastAsia" w:ascii="宋体" w:hAnsi="宋体" w:eastAsia="宋体" w:cs="Times New Roman"/>
          <w:color w:val="000000" w:themeColor="text1"/>
          <w:sz w:val="24"/>
          <w:szCs w:val="20"/>
          <w:lang w:val="zh-CN"/>
        </w:rPr>
        <w:t>开标时，由投标人或其推选的代表检查投标文件的密封情况，经确认无误后由</w:t>
      </w:r>
      <w:r>
        <w:rPr>
          <w:rFonts w:hint="eastAsia" w:ascii="Helvetica" w:hAnsi="Helvetica" w:eastAsia="宋体" w:cs="Helvetica"/>
          <w:color w:val="000000" w:themeColor="text1"/>
          <w:kern w:val="0"/>
          <w:sz w:val="24"/>
          <w:szCs w:val="24"/>
          <w:lang w:val="zh-CN"/>
        </w:rPr>
        <w:t>采购人（或代理公司）</w:t>
      </w:r>
      <w:r>
        <w:rPr>
          <w:rFonts w:hint="eastAsia" w:ascii="宋体" w:hAnsi="宋体" w:eastAsia="宋体" w:cs="Times New Roman"/>
          <w:color w:val="000000" w:themeColor="text1"/>
          <w:sz w:val="24"/>
          <w:szCs w:val="20"/>
          <w:lang w:val="zh-CN"/>
        </w:rPr>
        <w:t>工作人员当众拆封，</w:t>
      </w:r>
      <w:r>
        <w:rPr>
          <w:rFonts w:ascii="宋体" w:hAnsi="宋体" w:eastAsia="宋体" w:cs="Times New Roman"/>
          <w:color w:val="000000" w:themeColor="text1"/>
          <w:sz w:val="24"/>
          <w:szCs w:val="20"/>
          <w:lang w:val="zh-CN"/>
        </w:rPr>
        <w:t>宣布投标人名称、投标价格和招标文件规定的需要宣布的其他内容。</w:t>
      </w:r>
    </w:p>
    <w:p>
      <w:pPr>
        <w:numPr>
          <w:ilvl w:val="0"/>
          <w:numId w:val="23"/>
        </w:numPr>
        <w:spacing w:line="360" w:lineRule="auto"/>
        <w:ind w:left="616" w:hanging="616"/>
        <w:rPr>
          <w:rFonts w:ascii="宋体" w:hAnsi="宋体" w:eastAsia="宋体" w:cs="Times New Roman"/>
          <w:color w:val="000000" w:themeColor="text1"/>
          <w:sz w:val="24"/>
          <w:szCs w:val="20"/>
          <w:lang w:val="zh-CN"/>
        </w:rPr>
      </w:pPr>
      <w:r>
        <w:rPr>
          <w:rFonts w:hint="eastAsia" w:ascii="Helvetica" w:hAnsi="Helvetica" w:eastAsia="宋体" w:cs="Helvetica"/>
          <w:color w:val="000000" w:themeColor="text1"/>
          <w:kern w:val="0"/>
          <w:sz w:val="24"/>
          <w:szCs w:val="24"/>
          <w:lang w:val="zh-CN"/>
        </w:rPr>
        <w:t>采购人（或代理公司）</w:t>
      </w:r>
      <w:r>
        <w:rPr>
          <w:rFonts w:ascii="宋体" w:hAnsi="宋体" w:eastAsia="宋体" w:cs="Times New Roman"/>
          <w:color w:val="000000" w:themeColor="text1"/>
          <w:sz w:val="24"/>
          <w:szCs w:val="20"/>
          <w:lang w:val="zh-CN"/>
        </w:rPr>
        <w:t>负责</w:t>
      </w:r>
      <w:r>
        <w:rPr>
          <w:rFonts w:hint="eastAsia" w:ascii="宋体" w:hAnsi="宋体" w:eastAsia="宋体" w:cs="Times New Roman"/>
          <w:color w:val="000000" w:themeColor="text1"/>
          <w:sz w:val="24"/>
          <w:szCs w:val="20"/>
          <w:lang w:val="zh-CN"/>
        </w:rPr>
        <w:t>对</w:t>
      </w:r>
      <w:r>
        <w:rPr>
          <w:rFonts w:ascii="宋体" w:hAnsi="宋体" w:eastAsia="宋体" w:cs="Times New Roman"/>
          <w:color w:val="000000" w:themeColor="text1"/>
          <w:sz w:val="24"/>
          <w:szCs w:val="20"/>
          <w:lang w:val="zh-CN"/>
        </w:rPr>
        <w:t>开标过程</w:t>
      </w:r>
      <w:r>
        <w:rPr>
          <w:rFonts w:hint="eastAsia" w:ascii="宋体" w:hAnsi="宋体" w:eastAsia="宋体" w:cs="Times New Roman"/>
          <w:color w:val="000000" w:themeColor="text1"/>
          <w:sz w:val="24"/>
          <w:szCs w:val="20"/>
          <w:lang w:val="zh-CN"/>
        </w:rPr>
        <w:t>进行</w:t>
      </w:r>
      <w:r>
        <w:rPr>
          <w:rFonts w:ascii="宋体" w:hAnsi="宋体" w:eastAsia="宋体" w:cs="Times New Roman"/>
          <w:color w:val="000000" w:themeColor="text1"/>
          <w:sz w:val="24"/>
          <w:szCs w:val="20"/>
          <w:lang w:val="zh-CN"/>
        </w:rPr>
        <w:t>记录，由参加开标的各投标人代表和相关工作人员</w:t>
      </w:r>
      <w:r>
        <w:rPr>
          <w:rFonts w:hint="eastAsia" w:ascii="宋体" w:hAnsi="宋体" w:eastAsia="宋体" w:cs="Times New Roman"/>
          <w:color w:val="000000" w:themeColor="text1"/>
          <w:sz w:val="24"/>
          <w:szCs w:val="20"/>
          <w:lang w:val="zh-CN"/>
        </w:rPr>
        <w:t>对开标记录进行</w:t>
      </w:r>
      <w:r>
        <w:rPr>
          <w:rFonts w:ascii="宋体" w:hAnsi="宋体" w:eastAsia="宋体" w:cs="Times New Roman"/>
          <w:color w:val="000000" w:themeColor="text1"/>
          <w:sz w:val="24"/>
          <w:szCs w:val="20"/>
          <w:lang w:val="zh-CN"/>
        </w:rPr>
        <w:t>签字确认。</w:t>
      </w:r>
    </w:p>
    <w:p>
      <w:pPr>
        <w:numPr>
          <w:ilvl w:val="0"/>
          <w:numId w:val="23"/>
        </w:numPr>
        <w:spacing w:line="360" w:lineRule="auto"/>
        <w:ind w:left="616" w:hanging="616"/>
        <w:rPr>
          <w:rFonts w:ascii="宋体" w:hAnsi="宋体" w:eastAsia="宋体" w:cs="Times New Roman"/>
          <w:color w:val="000000" w:themeColor="text1"/>
          <w:sz w:val="24"/>
          <w:szCs w:val="20"/>
          <w:lang w:val="zh-CN"/>
        </w:rPr>
      </w:pPr>
      <w:r>
        <w:rPr>
          <w:rFonts w:ascii="宋体" w:hAnsi="宋体" w:eastAsia="宋体" w:cs="Times New Roman"/>
          <w:color w:val="000000" w:themeColor="text1"/>
          <w:sz w:val="24"/>
          <w:szCs w:val="20"/>
          <w:lang w:val="zh-CN"/>
        </w:rPr>
        <w:t>投标人代表对开标过程和开标记录有疑义，以及认为采购人、</w:t>
      </w:r>
      <w:r>
        <w:rPr>
          <w:rFonts w:hint="eastAsia" w:ascii="Helvetica" w:hAnsi="Helvetica" w:eastAsia="宋体" w:cs="Helvetica"/>
          <w:color w:val="000000" w:themeColor="text1"/>
          <w:kern w:val="0"/>
          <w:sz w:val="24"/>
          <w:szCs w:val="24"/>
          <w:lang w:val="zh-CN"/>
        </w:rPr>
        <w:t>代理公司</w:t>
      </w:r>
      <w:r>
        <w:rPr>
          <w:rFonts w:ascii="宋体" w:hAnsi="宋体" w:eastAsia="宋体" w:cs="Times New Roman"/>
          <w:color w:val="000000" w:themeColor="text1"/>
          <w:sz w:val="24"/>
          <w:szCs w:val="20"/>
          <w:lang w:val="zh-CN"/>
        </w:rPr>
        <w:t>相关工作人员有需要回避的情形的，应当场提出询问或者回避申请。采购人、</w:t>
      </w:r>
      <w:r>
        <w:rPr>
          <w:rFonts w:hint="eastAsia" w:ascii="Helvetica" w:hAnsi="Helvetica" w:eastAsia="宋体" w:cs="Helvetica"/>
          <w:color w:val="000000" w:themeColor="text1"/>
          <w:kern w:val="0"/>
          <w:sz w:val="24"/>
          <w:szCs w:val="24"/>
          <w:lang w:val="zh-CN"/>
        </w:rPr>
        <w:t>代理公司</w:t>
      </w:r>
      <w:r>
        <w:rPr>
          <w:rFonts w:hint="eastAsia" w:ascii="宋体" w:hAnsi="宋体" w:eastAsia="宋体" w:cs="Times New Roman"/>
          <w:color w:val="000000" w:themeColor="text1"/>
          <w:sz w:val="24"/>
          <w:szCs w:val="20"/>
          <w:lang w:val="zh-CN"/>
        </w:rPr>
        <w:t>将</w:t>
      </w:r>
      <w:r>
        <w:rPr>
          <w:rFonts w:ascii="宋体" w:hAnsi="宋体" w:eastAsia="宋体" w:cs="Times New Roman"/>
          <w:color w:val="000000" w:themeColor="text1"/>
          <w:sz w:val="24"/>
          <w:szCs w:val="20"/>
          <w:lang w:val="zh-CN"/>
        </w:rPr>
        <w:t>及时处理投标人代表提出的询问或者回避申请。</w:t>
      </w:r>
    </w:p>
    <w:p>
      <w:pPr>
        <w:numPr>
          <w:ilvl w:val="0"/>
          <w:numId w:val="5"/>
        </w:numPr>
        <w:spacing w:line="360" w:lineRule="auto"/>
        <w:ind w:left="560" w:hanging="560"/>
        <w:rPr>
          <w:rFonts w:ascii="宋体" w:hAnsi="宋体" w:eastAsia="宋体" w:cs="Times New Roman"/>
          <w:b/>
          <w:color w:val="000000" w:themeColor="text1"/>
          <w:sz w:val="24"/>
          <w:szCs w:val="20"/>
          <w:lang w:val="zh-CN"/>
        </w:rPr>
      </w:pPr>
      <w:r>
        <w:rPr>
          <w:rFonts w:hint="eastAsia" w:ascii="宋体" w:hAnsi="宋体" w:eastAsia="宋体" w:cs="Times New Roman"/>
          <w:b/>
          <w:color w:val="000000" w:themeColor="text1"/>
          <w:sz w:val="24"/>
          <w:szCs w:val="20"/>
          <w:lang w:val="zh-CN"/>
        </w:rPr>
        <w:t>资格审查</w:t>
      </w:r>
    </w:p>
    <w:p>
      <w:pPr>
        <w:numPr>
          <w:ilvl w:val="0"/>
          <w:numId w:val="24"/>
        </w:numPr>
        <w:spacing w:line="360" w:lineRule="auto"/>
        <w:ind w:left="616" w:hanging="616"/>
        <w:rPr>
          <w:rFonts w:ascii="Helvetica" w:hAnsi="Helvetica" w:eastAsia="宋体" w:cs="Helvetica"/>
          <w:color w:val="000000" w:themeColor="text1"/>
          <w:kern w:val="0"/>
          <w:sz w:val="24"/>
          <w:szCs w:val="24"/>
          <w:lang w:val="zh-CN"/>
        </w:rPr>
      </w:pPr>
      <w:r>
        <w:rPr>
          <w:rFonts w:hint="eastAsia" w:ascii="宋体" w:hAnsi="宋体" w:eastAsia="宋体" w:cs="Times New Roman"/>
          <w:bCs/>
          <w:color w:val="000000" w:themeColor="text1"/>
          <w:sz w:val="24"/>
          <w:szCs w:val="20"/>
          <w:lang w:val="zh-CN"/>
        </w:rPr>
        <w:t>公开招标采购项目开标结束后，采购人和采购代理公司依据法律、法规及招标文件的规定，对投标人的资格进行审查，以确定投标人资格是否合格。</w:t>
      </w:r>
      <w:r>
        <w:rPr>
          <w:rFonts w:ascii="Helvetica" w:hAnsi="Helvetica" w:eastAsia="宋体" w:cs="Helvetica"/>
          <w:color w:val="000000" w:themeColor="text1"/>
          <w:kern w:val="0"/>
          <w:sz w:val="24"/>
          <w:szCs w:val="24"/>
          <w:lang w:val="zh-CN"/>
        </w:rPr>
        <w:t>合格投标人不足</w:t>
      </w:r>
      <w:r>
        <w:rPr>
          <w:rFonts w:ascii="宋体" w:hAnsi="宋体" w:eastAsia="宋体" w:cs="Helvetica"/>
          <w:color w:val="000000" w:themeColor="text1"/>
          <w:kern w:val="0"/>
          <w:sz w:val="24"/>
          <w:szCs w:val="24"/>
          <w:lang w:val="zh-CN"/>
        </w:rPr>
        <w:t>3</w:t>
      </w:r>
      <w:r>
        <w:rPr>
          <w:rFonts w:ascii="Helvetica" w:hAnsi="Helvetica" w:eastAsia="宋体" w:cs="Helvetica"/>
          <w:color w:val="000000" w:themeColor="text1"/>
          <w:kern w:val="0"/>
          <w:sz w:val="24"/>
          <w:szCs w:val="24"/>
          <w:lang w:val="zh-CN"/>
        </w:rPr>
        <w:t>家的，不</w:t>
      </w:r>
      <w:r>
        <w:rPr>
          <w:rFonts w:hint="eastAsia" w:ascii="Helvetica" w:hAnsi="Helvetica" w:eastAsia="宋体" w:cs="Helvetica"/>
          <w:color w:val="000000" w:themeColor="text1"/>
          <w:kern w:val="0"/>
          <w:sz w:val="24"/>
          <w:szCs w:val="24"/>
          <w:lang w:val="zh-CN"/>
        </w:rPr>
        <w:t>进行</w:t>
      </w:r>
      <w:r>
        <w:rPr>
          <w:rFonts w:ascii="Helvetica" w:hAnsi="Helvetica" w:eastAsia="宋体" w:cs="Helvetica"/>
          <w:color w:val="000000" w:themeColor="text1"/>
          <w:kern w:val="0"/>
          <w:sz w:val="24"/>
          <w:szCs w:val="24"/>
          <w:lang w:val="zh-CN"/>
        </w:rPr>
        <w:t>评标</w:t>
      </w:r>
      <w:r>
        <w:rPr>
          <w:rFonts w:hint="eastAsia" w:ascii="Helvetica" w:hAnsi="Helvetica" w:eastAsia="宋体" w:cs="Helvetica"/>
          <w:color w:val="000000" w:themeColor="text1"/>
          <w:kern w:val="0"/>
          <w:sz w:val="24"/>
          <w:szCs w:val="24"/>
          <w:lang w:val="zh-CN"/>
        </w:rPr>
        <w:t>。</w:t>
      </w:r>
    </w:p>
    <w:p>
      <w:pPr>
        <w:numPr>
          <w:ilvl w:val="0"/>
          <w:numId w:val="24"/>
        </w:numPr>
        <w:spacing w:line="360" w:lineRule="auto"/>
        <w:ind w:left="616" w:hanging="616"/>
        <w:rPr>
          <w:rFonts w:ascii="宋体" w:hAnsi="宋体" w:eastAsia="宋体" w:cs="Times New Roman"/>
          <w:bCs/>
          <w:color w:val="000000" w:themeColor="text1"/>
          <w:sz w:val="24"/>
          <w:szCs w:val="20"/>
          <w:lang w:val="zh-CN"/>
        </w:rPr>
      </w:pPr>
      <w:r>
        <w:rPr>
          <w:rFonts w:hint="eastAsia" w:ascii="宋体" w:hAnsi="宋体" w:eastAsia="宋体" w:cs="Times New Roman"/>
          <w:bCs/>
          <w:color w:val="000000" w:themeColor="text1"/>
          <w:sz w:val="24"/>
          <w:szCs w:val="20"/>
          <w:lang w:val="zh-CN"/>
        </w:rPr>
        <w:t>资格审查详见第四章“资格审查方法及标准”。</w:t>
      </w:r>
    </w:p>
    <w:p>
      <w:pPr>
        <w:numPr>
          <w:ilvl w:val="0"/>
          <w:numId w:val="5"/>
        </w:numPr>
        <w:spacing w:line="360" w:lineRule="auto"/>
        <w:ind w:left="560" w:hanging="560"/>
        <w:rPr>
          <w:rFonts w:ascii="宋体" w:hAnsi="宋体" w:eastAsia="宋体" w:cs="Times New Roman"/>
          <w:b/>
          <w:color w:val="000000" w:themeColor="text1"/>
          <w:sz w:val="24"/>
          <w:szCs w:val="20"/>
          <w:lang w:val="zh-CN"/>
        </w:rPr>
      </w:pPr>
      <w:r>
        <w:rPr>
          <w:rFonts w:hint="eastAsia" w:ascii="宋体" w:hAnsi="宋体" w:eastAsia="宋体" w:cs="Times New Roman"/>
          <w:b/>
          <w:color w:val="000000" w:themeColor="text1"/>
          <w:sz w:val="24"/>
          <w:szCs w:val="20"/>
          <w:lang w:val="zh-CN"/>
        </w:rPr>
        <w:t>评标方法</w:t>
      </w:r>
    </w:p>
    <w:p>
      <w:pPr>
        <w:numPr>
          <w:ilvl w:val="0"/>
          <w:numId w:val="25"/>
        </w:numPr>
        <w:spacing w:line="360" w:lineRule="auto"/>
        <w:ind w:left="616" w:hanging="616"/>
        <w:rPr>
          <w:rFonts w:ascii="宋体" w:hAnsi="宋体" w:eastAsia="宋体" w:cs="Times New Roman"/>
          <w:bCs/>
          <w:color w:val="000000" w:themeColor="text1"/>
          <w:sz w:val="24"/>
          <w:szCs w:val="20"/>
          <w:lang w:val="zh-CN"/>
        </w:rPr>
      </w:pPr>
      <w:r>
        <w:rPr>
          <w:rFonts w:hint="eastAsia" w:ascii="宋体" w:hAnsi="宋体" w:eastAsia="宋体" w:cs="Times New Roman"/>
          <w:bCs/>
          <w:color w:val="000000" w:themeColor="text1"/>
          <w:sz w:val="24"/>
          <w:szCs w:val="20"/>
          <w:lang w:val="zh-CN"/>
        </w:rPr>
        <w:t>最低评标价法。最低评标价法是指投标文件满足招标文件全部实质性要求，且投标报价最低的投标人为中标候选人的评标方法。</w:t>
      </w:r>
    </w:p>
    <w:p>
      <w:pPr>
        <w:numPr>
          <w:ilvl w:val="0"/>
          <w:numId w:val="25"/>
        </w:numPr>
        <w:spacing w:line="360" w:lineRule="auto"/>
        <w:ind w:left="616" w:hanging="616"/>
        <w:rPr>
          <w:rFonts w:ascii="宋体" w:hAnsi="宋体" w:eastAsia="宋体" w:cs="Times New Roman"/>
          <w:bCs/>
          <w:color w:val="000000" w:themeColor="text1"/>
          <w:sz w:val="24"/>
          <w:szCs w:val="20"/>
          <w:lang w:val="zh-CN"/>
        </w:rPr>
      </w:pPr>
      <w:r>
        <w:rPr>
          <w:rFonts w:hint="eastAsia" w:ascii="宋体" w:hAnsi="宋体" w:eastAsia="宋体" w:cs="Times New Roman"/>
          <w:bCs/>
          <w:color w:val="000000" w:themeColor="text1"/>
          <w:sz w:val="24"/>
          <w:szCs w:val="20"/>
          <w:lang w:val="zh-CN"/>
        </w:rPr>
        <w:t>综合评分法。</w:t>
      </w:r>
      <w:r>
        <w:rPr>
          <w:rFonts w:ascii="宋体" w:hAnsi="宋体" w:eastAsia="宋体" w:cs="Times New Roman"/>
          <w:bCs/>
          <w:color w:val="000000" w:themeColor="text1"/>
          <w:sz w:val="24"/>
          <w:szCs w:val="20"/>
          <w:lang w:val="zh-CN"/>
        </w:rPr>
        <w:t>综合评分法是指投标文件满足招标文件全部实质性要求，且按照评审因素的量化指标评审得分最高的投标人为中标候选人的评标方法。</w:t>
      </w:r>
    </w:p>
    <w:p>
      <w:pPr>
        <w:numPr>
          <w:ilvl w:val="0"/>
          <w:numId w:val="25"/>
        </w:numPr>
        <w:spacing w:line="360" w:lineRule="auto"/>
        <w:ind w:left="616" w:hanging="616"/>
        <w:rPr>
          <w:rFonts w:ascii="宋体" w:hAnsi="宋体" w:eastAsia="宋体" w:cs="Times New Roman"/>
          <w:bCs/>
          <w:color w:val="000000" w:themeColor="text1"/>
          <w:sz w:val="24"/>
          <w:szCs w:val="20"/>
          <w:lang w:val="zh-CN"/>
        </w:rPr>
      </w:pPr>
      <w:r>
        <w:rPr>
          <w:rFonts w:hint="eastAsia" w:ascii="Helvetica" w:hAnsi="Helvetica" w:eastAsia="宋体" w:cs="Helvetica"/>
          <w:color w:val="000000" w:themeColor="text1"/>
          <w:kern w:val="0"/>
          <w:sz w:val="24"/>
          <w:szCs w:val="24"/>
          <w:lang w:val="zh-CN"/>
        </w:rPr>
        <w:t>评标方法详见第五章“评标方法、程序及标准”</w:t>
      </w:r>
      <w:r>
        <w:rPr>
          <w:rFonts w:hint="eastAsia" w:ascii="宋体" w:hAnsi="宋体" w:eastAsia="宋体" w:cs="Times New Roman"/>
          <w:bCs/>
          <w:color w:val="000000" w:themeColor="text1"/>
          <w:sz w:val="24"/>
          <w:szCs w:val="20"/>
          <w:lang w:val="zh-CN"/>
        </w:rPr>
        <w:t>。</w:t>
      </w:r>
    </w:p>
    <w:p>
      <w:pPr>
        <w:numPr>
          <w:ilvl w:val="0"/>
          <w:numId w:val="5"/>
        </w:numPr>
        <w:spacing w:line="360" w:lineRule="auto"/>
        <w:ind w:left="560" w:hanging="560"/>
        <w:rPr>
          <w:rFonts w:ascii="宋体" w:hAnsi="宋体" w:eastAsia="宋体" w:cs="Times New Roman"/>
          <w:b/>
          <w:color w:val="000000" w:themeColor="text1"/>
          <w:sz w:val="24"/>
          <w:szCs w:val="20"/>
          <w:lang w:val="zh-CN"/>
        </w:rPr>
      </w:pPr>
      <w:r>
        <w:rPr>
          <w:rFonts w:hint="eastAsia" w:ascii="宋体" w:hAnsi="宋体" w:eastAsia="宋体" w:cs="Times New Roman"/>
          <w:b/>
          <w:color w:val="000000" w:themeColor="text1"/>
          <w:sz w:val="24"/>
          <w:szCs w:val="20"/>
          <w:lang w:val="zh-CN"/>
        </w:rPr>
        <w:t>评标委员会的组成</w:t>
      </w:r>
    </w:p>
    <w:p>
      <w:pPr>
        <w:numPr>
          <w:ilvl w:val="0"/>
          <w:numId w:val="26"/>
        </w:numPr>
        <w:spacing w:line="360" w:lineRule="auto"/>
        <w:ind w:left="616" w:hanging="616"/>
        <w:rPr>
          <w:rFonts w:ascii="宋体" w:hAnsi="宋体" w:eastAsia="宋体" w:cs="Times New Roman"/>
          <w:color w:val="000000" w:themeColor="text1"/>
          <w:sz w:val="24"/>
          <w:szCs w:val="20"/>
          <w:lang w:val="zh-CN"/>
        </w:rPr>
      </w:pPr>
      <w:r>
        <w:rPr>
          <w:rFonts w:ascii="宋体" w:hAnsi="宋体" w:eastAsia="宋体" w:cs="Helvetica"/>
          <w:color w:val="000000" w:themeColor="text1"/>
          <w:kern w:val="0"/>
          <w:sz w:val="24"/>
          <w:szCs w:val="24"/>
          <w:lang w:val="zh-CN"/>
        </w:rPr>
        <w:t>评标委员会由采购人代表和评审专家组成，成员人数应当为5人</w:t>
      </w:r>
      <w:r>
        <w:rPr>
          <w:rFonts w:hint="eastAsia" w:ascii="宋体" w:hAnsi="宋体" w:eastAsia="宋体" w:cs="Helvetica"/>
          <w:color w:val="000000" w:themeColor="text1"/>
          <w:kern w:val="0"/>
          <w:sz w:val="24"/>
          <w:szCs w:val="24"/>
          <w:lang w:val="zh-CN"/>
        </w:rPr>
        <w:t>及</w:t>
      </w:r>
      <w:r>
        <w:rPr>
          <w:rFonts w:ascii="宋体" w:hAnsi="宋体" w:eastAsia="宋体" w:cs="Helvetica"/>
          <w:color w:val="000000" w:themeColor="text1"/>
          <w:kern w:val="0"/>
          <w:sz w:val="24"/>
          <w:szCs w:val="24"/>
          <w:lang w:val="zh-CN"/>
        </w:rPr>
        <w:t>以上单数，其中评审专家不得少于成员总数的三分之二</w:t>
      </w:r>
      <w:r>
        <w:rPr>
          <w:rFonts w:hint="eastAsia" w:ascii="宋体" w:hAnsi="宋体" w:eastAsia="宋体" w:cs="Helvetica"/>
          <w:color w:val="000000" w:themeColor="text1"/>
          <w:kern w:val="0"/>
          <w:sz w:val="24"/>
          <w:szCs w:val="24"/>
          <w:lang w:val="zh-CN"/>
        </w:rPr>
        <w:t>；</w:t>
      </w:r>
      <w:r>
        <w:rPr>
          <w:rFonts w:ascii="宋体" w:hAnsi="宋体" w:eastAsia="宋体" w:cs="Times New Roman"/>
          <w:color w:val="000000" w:themeColor="text1"/>
          <w:sz w:val="24"/>
          <w:szCs w:val="20"/>
          <w:lang w:val="zh-CN"/>
        </w:rPr>
        <w:t>采购预算金额在1000万元</w:t>
      </w:r>
      <w:r>
        <w:rPr>
          <w:rFonts w:hint="eastAsia" w:ascii="宋体" w:hAnsi="宋体" w:eastAsia="宋体" w:cs="Times New Roman"/>
          <w:color w:val="000000" w:themeColor="text1"/>
          <w:sz w:val="24"/>
          <w:szCs w:val="20"/>
          <w:lang w:val="zh-CN"/>
        </w:rPr>
        <w:t>及</w:t>
      </w:r>
      <w:r>
        <w:rPr>
          <w:rFonts w:ascii="宋体" w:hAnsi="宋体" w:eastAsia="宋体" w:cs="Times New Roman"/>
          <w:color w:val="000000" w:themeColor="text1"/>
          <w:sz w:val="24"/>
          <w:szCs w:val="20"/>
          <w:lang w:val="zh-CN"/>
        </w:rPr>
        <w:t>以上</w:t>
      </w:r>
      <w:r>
        <w:rPr>
          <w:rFonts w:hint="eastAsia" w:ascii="宋体" w:hAnsi="宋体" w:eastAsia="宋体" w:cs="Times New Roman"/>
          <w:color w:val="000000" w:themeColor="text1"/>
          <w:sz w:val="24"/>
          <w:szCs w:val="20"/>
          <w:lang w:val="zh-CN"/>
        </w:rPr>
        <w:t>、</w:t>
      </w:r>
      <w:r>
        <w:rPr>
          <w:rFonts w:ascii="宋体" w:hAnsi="宋体" w:eastAsia="宋体" w:cs="Times New Roman"/>
          <w:color w:val="000000" w:themeColor="text1"/>
          <w:sz w:val="24"/>
          <w:szCs w:val="20"/>
          <w:lang w:val="zh-CN"/>
        </w:rPr>
        <w:t>技术复杂</w:t>
      </w:r>
      <w:r>
        <w:rPr>
          <w:rFonts w:hint="eastAsia" w:ascii="宋体" w:hAnsi="宋体" w:eastAsia="宋体" w:cs="Times New Roman"/>
          <w:color w:val="000000" w:themeColor="text1"/>
          <w:sz w:val="24"/>
          <w:szCs w:val="20"/>
          <w:lang w:val="zh-CN"/>
        </w:rPr>
        <w:t>或</w:t>
      </w:r>
      <w:r>
        <w:rPr>
          <w:rFonts w:ascii="宋体" w:hAnsi="宋体" w:eastAsia="宋体" w:cs="Times New Roman"/>
          <w:color w:val="000000" w:themeColor="text1"/>
          <w:sz w:val="24"/>
          <w:szCs w:val="20"/>
          <w:lang w:val="zh-CN"/>
        </w:rPr>
        <w:t>社会影响较大</w:t>
      </w:r>
      <w:r>
        <w:rPr>
          <w:rFonts w:hint="eastAsia" w:ascii="宋体" w:hAnsi="宋体" w:eastAsia="宋体" w:cs="Times New Roman"/>
          <w:color w:val="000000" w:themeColor="text1"/>
          <w:sz w:val="24"/>
          <w:szCs w:val="20"/>
          <w:lang w:val="zh-CN"/>
        </w:rPr>
        <w:t>的项目，</w:t>
      </w:r>
      <w:r>
        <w:rPr>
          <w:rFonts w:ascii="宋体" w:hAnsi="宋体" w:eastAsia="宋体" w:cs="Times New Roman"/>
          <w:color w:val="000000" w:themeColor="text1"/>
          <w:sz w:val="24"/>
          <w:szCs w:val="20"/>
          <w:lang w:val="zh-CN"/>
        </w:rPr>
        <w:t>评标委员会成员人数应当为7人</w:t>
      </w:r>
      <w:r>
        <w:rPr>
          <w:rFonts w:hint="eastAsia" w:ascii="宋体" w:hAnsi="宋体" w:eastAsia="宋体" w:cs="Times New Roman"/>
          <w:color w:val="000000" w:themeColor="text1"/>
          <w:sz w:val="24"/>
          <w:szCs w:val="20"/>
          <w:lang w:val="zh-CN"/>
        </w:rPr>
        <w:t>及</w:t>
      </w:r>
      <w:r>
        <w:rPr>
          <w:rFonts w:ascii="宋体" w:hAnsi="宋体" w:eastAsia="宋体" w:cs="Times New Roman"/>
          <w:color w:val="000000" w:themeColor="text1"/>
          <w:sz w:val="24"/>
          <w:szCs w:val="20"/>
          <w:lang w:val="zh-CN"/>
        </w:rPr>
        <w:t>以上单数</w:t>
      </w:r>
      <w:r>
        <w:rPr>
          <w:rFonts w:hint="eastAsia" w:ascii="宋体" w:hAnsi="宋体" w:eastAsia="宋体" w:cs="Times New Roman"/>
          <w:color w:val="000000" w:themeColor="text1"/>
          <w:sz w:val="24"/>
          <w:szCs w:val="20"/>
          <w:lang w:val="zh-CN"/>
        </w:rPr>
        <w:t>。</w:t>
      </w:r>
    </w:p>
    <w:p>
      <w:pPr>
        <w:numPr>
          <w:ilvl w:val="0"/>
          <w:numId w:val="26"/>
        </w:numPr>
        <w:spacing w:line="360" w:lineRule="auto"/>
        <w:ind w:left="616" w:hanging="616"/>
        <w:rPr>
          <w:rFonts w:ascii="宋体" w:hAnsi="宋体" w:eastAsia="宋体" w:cs="Times New Roman"/>
          <w:b/>
          <w:color w:val="000000" w:themeColor="text1"/>
          <w:sz w:val="24"/>
          <w:szCs w:val="20"/>
          <w:lang w:val="zh-CN"/>
        </w:rPr>
      </w:pPr>
      <w:r>
        <w:rPr>
          <w:rFonts w:hint="eastAsia" w:ascii="宋体" w:hAnsi="宋体" w:eastAsia="宋体" w:cs="Times New Roman"/>
          <w:b/>
          <w:color w:val="000000" w:themeColor="text1"/>
          <w:sz w:val="24"/>
          <w:szCs w:val="20"/>
          <w:lang w:val="zh-CN"/>
        </w:rPr>
        <w:t>评标委员会成员依法从政府采购专家库中随机抽取。</w:t>
      </w:r>
      <w:r>
        <w:rPr>
          <w:rFonts w:ascii="宋体" w:hAnsi="宋体" w:eastAsia="宋体" w:cs="Times New Roman"/>
          <w:b/>
          <w:color w:val="000000" w:themeColor="text1"/>
          <w:sz w:val="24"/>
          <w:szCs w:val="20"/>
          <w:lang w:val="zh-CN"/>
        </w:rPr>
        <w:t>对技术复杂、专业性强的采购项目，通过随机方式难以确定合适评审专家的，经主管预算单位同意，采购人可以自行选定相应专业领域的评审专家。</w:t>
      </w:r>
    </w:p>
    <w:p>
      <w:pPr>
        <w:numPr>
          <w:ilvl w:val="0"/>
          <w:numId w:val="5"/>
        </w:numPr>
        <w:spacing w:line="360" w:lineRule="auto"/>
        <w:ind w:left="560" w:hanging="560"/>
        <w:rPr>
          <w:rFonts w:ascii="宋体" w:hAnsi="宋体" w:eastAsia="宋体" w:cs="Times New Roman"/>
          <w:b/>
          <w:color w:val="000000" w:themeColor="text1"/>
          <w:sz w:val="24"/>
          <w:szCs w:val="20"/>
          <w:lang w:val="zh-CN"/>
        </w:rPr>
      </w:pPr>
      <w:r>
        <w:rPr>
          <w:rFonts w:hint="eastAsia" w:ascii="宋体" w:hAnsi="宋体" w:eastAsia="宋体" w:cs="Times New Roman"/>
          <w:b/>
          <w:color w:val="000000" w:themeColor="text1"/>
          <w:sz w:val="24"/>
          <w:szCs w:val="20"/>
          <w:lang w:val="zh-CN"/>
        </w:rPr>
        <w:t>评标程序</w:t>
      </w:r>
    </w:p>
    <w:p>
      <w:pPr>
        <w:numPr>
          <w:ilvl w:val="0"/>
          <w:numId w:val="27"/>
        </w:numPr>
        <w:spacing w:line="360" w:lineRule="auto"/>
        <w:ind w:left="616" w:hanging="616"/>
        <w:rPr>
          <w:rFonts w:ascii="宋体" w:hAnsi="宋体" w:eastAsia="宋体" w:cs="Times New Roman"/>
          <w:color w:val="000000" w:themeColor="text1"/>
          <w:sz w:val="24"/>
          <w:szCs w:val="20"/>
          <w:lang w:val="zh-CN"/>
        </w:rPr>
      </w:pPr>
      <w:r>
        <w:rPr>
          <w:rFonts w:ascii="Helvetica" w:hAnsi="Helvetica" w:eastAsia="宋体" w:cs="Helvetica"/>
          <w:color w:val="000000" w:themeColor="text1"/>
          <w:kern w:val="0"/>
          <w:sz w:val="24"/>
          <w:szCs w:val="24"/>
          <w:lang w:val="zh-CN"/>
        </w:rPr>
        <w:t>评标委员会负责具体评标事务，并独立履行下列职责：</w:t>
      </w:r>
    </w:p>
    <w:p>
      <w:pPr>
        <w:numPr>
          <w:ilvl w:val="0"/>
          <w:numId w:val="28"/>
        </w:numPr>
        <w:spacing w:line="360" w:lineRule="auto"/>
        <w:ind w:left="980" w:hanging="854"/>
        <w:rPr>
          <w:rFonts w:ascii="宋体" w:hAnsi="宋体" w:eastAsia="宋体" w:cs="Times New Roman"/>
          <w:color w:val="000000" w:themeColor="text1"/>
          <w:sz w:val="24"/>
          <w:szCs w:val="20"/>
          <w:lang w:val="zh-CN"/>
        </w:rPr>
      </w:pPr>
      <w:r>
        <w:rPr>
          <w:rFonts w:ascii="宋体" w:hAnsi="宋体" w:eastAsia="宋体" w:cs="Times New Roman"/>
          <w:color w:val="000000" w:themeColor="text1"/>
          <w:sz w:val="24"/>
          <w:szCs w:val="20"/>
          <w:lang w:val="zh-CN"/>
        </w:rPr>
        <w:t>审查、评价投标文件是否符合招标文件的商务、技术等实质性要求；</w:t>
      </w:r>
    </w:p>
    <w:p>
      <w:pPr>
        <w:numPr>
          <w:ilvl w:val="0"/>
          <w:numId w:val="28"/>
        </w:numPr>
        <w:spacing w:line="360" w:lineRule="auto"/>
        <w:ind w:left="980" w:hanging="854"/>
        <w:rPr>
          <w:rFonts w:ascii="宋体" w:hAnsi="宋体" w:eastAsia="宋体" w:cs="Times New Roman"/>
          <w:color w:val="000000" w:themeColor="text1"/>
          <w:sz w:val="24"/>
          <w:szCs w:val="20"/>
          <w:lang w:val="zh-CN"/>
        </w:rPr>
      </w:pPr>
      <w:r>
        <w:rPr>
          <w:rFonts w:ascii="宋体" w:hAnsi="宋体" w:eastAsia="宋体" w:cs="Times New Roman"/>
          <w:color w:val="000000" w:themeColor="text1"/>
          <w:sz w:val="24"/>
          <w:szCs w:val="20"/>
          <w:lang w:val="zh-CN"/>
        </w:rPr>
        <w:t>要求投标人对投标文件有关事项作出澄清或者说明；</w:t>
      </w:r>
    </w:p>
    <w:p>
      <w:pPr>
        <w:numPr>
          <w:ilvl w:val="0"/>
          <w:numId w:val="28"/>
        </w:numPr>
        <w:spacing w:line="360" w:lineRule="auto"/>
        <w:ind w:left="980" w:hanging="854"/>
        <w:rPr>
          <w:rFonts w:ascii="宋体" w:hAnsi="宋体" w:eastAsia="宋体" w:cs="Times New Roman"/>
          <w:color w:val="000000" w:themeColor="text1"/>
          <w:sz w:val="24"/>
          <w:szCs w:val="20"/>
          <w:lang w:val="zh-CN"/>
        </w:rPr>
      </w:pPr>
      <w:r>
        <w:rPr>
          <w:rFonts w:ascii="宋体" w:hAnsi="宋体" w:eastAsia="宋体" w:cs="Times New Roman"/>
          <w:color w:val="000000" w:themeColor="text1"/>
          <w:sz w:val="24"/>
          <w:szCs w:val="20"/>
          <w:lang w:val="zh-CN"/>
        </w:rPr>
        <w:t>对投标文件进行</w:t>
      </w:r>
      <w:r>
        <w:rPr>
          <w:rFonts w:hint="eastAsia" w:ascii="宋体" w:hAnsi="宋体" w:eastAsia="宋体" w:cs="Times New Roman"/>
          <w:color w:val="000000" w:themeColor="text1"/>
          <w:sz w:val="24"/>
          <w:szCs w:val="20"/>
          <w:lang w:val="zh-CN"/>
        </w:rPr>
        <w:t>综合</w:t>
      </w:r>
      <w:r>
        <w:rPr>
          <w:rFonts w:ascii="宋体" w:hAnsi="宋体" w:eastAsia="宋体" w:cs="Times New Roman"/>
          <w:color w:val="000000" w:themeColor="text1"/>
          <w:sz w:val="24"/>
          <w:szCs w:val="20"/>
          <w:lang w:val="zh-CN"/>
        </w:rPr>
        <w:t>比较和评价；</w:t>
      </w:r>
    </w:p>
    <w:p>
      <w:pPr>
        <w:numPr>
          <w:ilvl w:val="0"/>
          <w:numId w:val="28"/>
        </w:numPr>
        <w:spacing w:line="360" w:lineRule="auto"/>
        <w:ind w:left="980" w:hanging="854"/>
        <w:rPr>
          <w:rFonts w:ascii="宋体" w:hAnsi="宋体" w:eastAsia="宋体" w:cs="Times New Roman"/>
          <w:color w:val="000000" w:themeColor="text1"/>
          <w:sz w:val="24"/>
          <w:szCs w:val="20"/>
          <w:lang w:val="zh-CN"/>
        </w:rPr>
      </w:pPr>
      <w:r>
        <w:rPr>
          <w:rFonts w:hint="eastAsia" w:ascii="宋体" w:hAnsi="宋体" w:eastAsia="宋体" w:cs="Times New Roman"/>
          <w:color w:val="000000" w:themeColor="text1"/>
          <w:sz w:val="24"/>
          <w:szCs w:val="20"/>
          <w:lang w:val="zh-CN"/>
        </w:rPr>
        <w:t>确定中标候选人名单或中标人；</w:t>
      </w:r>
    </w:p>
    <w:p>
      <w:pPr>
        <w:numPr>
          <w:ilvl w:val="0"/>
          <w:numId w:val="28"/>
        </w:numPr>
        <w:spacing w:line="360" w:lineRule="auto"/>
        <w:ind w:left="980" w:hanging="854"/>
        <w:rPr>
          <w:rFonts w:ascii="宋体" w:hAnsi="宋体" w:eastAsia="宋体" w:cs="Times New Roman"/>
          <w:color w:val="000000" w:themeColor="text1"/>
          <w:sz w:val="24"/>
          <w:szCs w:val="20"/>
          <w:lang w:val="zh-CN"/>
        </w:rPr>
      </w:pPr>
      <w:r>
        <w:rPr>
          <w:rFonts w:ascii="宋体" w:hAnsi="宋体" w:eastAsia="宋体" w:cs="Times New Roman"/>
          <w:color w:val="000000" w:themeColor="text1"/>
          <w:sz w:val="24"/>
          <w:szCs w:val="20"/>
          <w:lang w:val="zh-CN"/>
        </w:rPr>
        <w:t>向采购人、</w:t>
      </w:r>
      <w:r>
        <w:rPr>
          <w:rFonts w:hint="eastAsia" w:ascii="宋体" w:hAnsi="宋体" w:eastAsia="宋体" w:cs="Times New Roman"/>
          <w:color w:val="000000" w:themeColor="text1"/>
          <w:sz w:val="24"/>
          <w:szCs w:val="20"/>
          <w:lang w:val="zh-CN"/>
        </w:rPr>
        <w:t>集中采购</w:t>
      </w:r>
      <w:r>
        <w:rPr>
          <w:rFonts w:ascii="宋体" w:hAnsi="宋体" w:eastAsia="宋体" w:cs="Times New Roman"/>
          <w:color w:val="000000" w:themeColor="text1"/>
          <w:sz w:val="24"/>
          <w:szCs w:val="20"/>
          <w:lang w:val="zh-CN"/>
        </w:rPr>
        <w:t>机构或者有关部门报告评标中发现的违法行为。</w:t>
      </w:r>
    </w:p>
    <w:p>
      <w:pPr>
        <w:numPr>
          <w:ilvl w:val="0"/>
          <w:numId w:val="27"/>
        </w:numPr>
        <w:spacing w:line="360" w:lineRule="auto"/>
        <w:ind w:left="616" w:hanging="616"/>
        <w:rPr>
          <w:rFonts w:ascii="Helvetica" w:hAnsi="Helvetica" w:eastAsia="宋体" w:cs="Helvetica"/>
          <w:color w:val="000000" w:themeColor="text1"/>
          <w:kern w:val="0"/>
          <w:sz w:val="24"/>
          <w:szCs w:val="24"/>
          <w:lang w:val="zh-CN"/>
        </w:rPr>
      </w:pPr>
      <w:r>
        <w:rPr>
          <w:rFonts w:hint="eastAsia" w:ascii="Helvetica" w:hAnsi="Helvetica" w:eastAsia="宋体" w:cs="Helvetica"/>
          <w:color w:val="000000" w:themeColor="text1"/>
          <w:kern w:val="0"/>
          <w:sz w:val="24"/>
          <w:szCs w:val="24"/>
          <w:lang w:val="zh-CN"/>
        </w:rPr>
        <w:t>评标程序详见第五章“评标方法、程序及标准”。</w:t>
      </w:r>
    </w:p>
    <w:p>
      <w:pPr>
        <w:pStyle w:val="2"/>
        <w:numPr>
          <w:ilvl w:val="0"/>
          <w:numId w:val="4"/>
        </w:numPr>
        <w:spacing w:before="40" w:after="40" w:line="360" w:lineRule="auto"/>
        <w:ind w:left="658" w:hanging="658"/>
        <w:jc w:val="left"/>
        <w:rPr>
          <w:rFonts w:cs="Times New Roman" w:asciiTheme="majorEastAsia" w:hAnsiTheme="majorEastAsia"/>
          <w:bCs w:val="0"/>
          <w:color w:val="000000" w:themeColor="text1"/>
          <w:lang w:val="zh-CN"/>
        </w:rPr>
      </w:pPr>
      <w:bookmarkStart w:id="18" w:name="_Toc494561943"/>
      <w:bookmarkStart w:id="19" w:name="_Toc31076"/>
      <w:r>
        <w:rPr>
          <w:rFonts w:hint="eastAsia" w:cs="Times New Roman" w:asciiTheme="majorEastAsia" w:hAnsiTheme="majorEastAsia"/>
          <w:bCs w:val="0"/>
          <w:color w:val="000000" w:themeColor="text1"/>
          <w:lang w:val="zh-CN"/>
        </w:rPr>
        <w:t>投标人信用信息及查询</w:t>
      </w:r>
      <w:bookmarkEnd w:id="18"/>
      <w:bookmarkEnd w:id="19"/>
    </w:p>
    <w:p>
      <w:pPr>
        <w:numPr>
          <w:ilvl w:val="0"/>
          <w:numId w:val="5"/>
        </w:numPr>
        <w:spacing w:line="360" w:lineRule="auto"/>
        <w:ind w:left="560" w:hanging="560"/>
        <w:rPr>
          <w:rFonts w:ascii="宋体" w:hAnsi="宋体" w:eastAsia="宋体" w:cs="Times New Roman"/>
          <w:b/>
          <w:color w:val="000000" w:themeColor="text1"/>
          <w:sz w:val="24"/>
          <w:szCs w:val="20"/>
          <w:lang w:val="zh-CN"/>
        </w:rPr>
      </w:pPr>
      <w:r>
        <w:rPr>
          <w:rFonts w:hint="eastAsia" w:ascii="宋体" w:hAnsi="宋体" w:eastAsia="宋体" w:cs="Times New Roman"/>
          <w:b/>
          <w:color w:val="000000" w:themeColor="text1"/>
          <w:sz w:val="24"/>
          <w:szCs w:val="20"/>
          <w:lang w:val="zh-CN"/>
        </w:rPr>
        <w:t>信用信息查询渠道及使用规则</w:t>
      </w:r>
    </w:p>
    <w:p>
      <w:pPr>
        <w:numPr>
          <w:ilvl w:val="0"/>
          <w:numId w:val="29"/>
        </w:numPr>
        <w:spacing w:line="360" w:lineRule="auto"/>
        <w:ind w:left="616" w:hanging="616"/>
        <w:rPr>
          <w:rFonts w:cs="Helvetica" w:asciiTheme="minorEastAsia" w:hAnsiTheme="minorEastAsia"/>
          <w:color w:val="000000" w:themeColor="text1"/>
          <w:kern w:val="0"/>
          <w:sz w:val="24"/>
          <w:szCs w:val="24"/>
          <w:lang w:val="zh-CN"/>
        </w:rPr>
      </w:pPr>
      <w:r>
        <w:rPr>
          <w:rFonts w:hint="eastAsia" w:cs="Helvetica" w:asciiTheme="minorEastAsia" w:hAnsiTheme="minorEastAsia"/>
          <w:color w:val="000000" w:themeColor="text1"/>
          <w:kern w:val="0"/>
          <w:sz w:val="24"/>
          <w:szCs w:val="24"/>
          <w:lang w:val="zh-CN"/>
        </w:rPr>
        <w:t>按照《关于在政府采购活动中查询及使用信用记录有关问题的通知》的要求，参与政府采购的投标人，信用记录的查询渠道为“信用中国”网站(www.creditchina.gov.cn)、中国政府采购网(</w:t>
      </w:r>
      <w:r>
        <w:fldChar w:fldCharType="begin"/>
      </w:r>
      <w:r>
        <w:instrText xml:space="preserve"> HYPERLINK "http://www.ccgp.gov.cn" </w:instrText>
      </w:r>
      <w:r>
        <w:fldChar w:fldCharType="separate"/>
      </w:r>
      <w:r>
        <w:rPr>
          <w:rFonts w:hint="eastAsia" w:cs="Helvetica" w:asciiTheme="minorEastAsia" w:hAnsiTheme="minorEastAsia"/>
          <w:color w:val="000000" w:themeColor="text1"/>
          <w:kern w:val="0"/>
          <w:sz w:val="24"/>
          <w:szCs w:val="24"/>
          <w:lang w:val="zh-CN"/>
        </w:rPr>
        <w:t>www.ccgp.gov.cn</w:t>
      </w:r>
      <w:r>
        <w:rPr>
          <w:rFonts w:hint="eastAsia" w:cs="Helvetica" w:asciiTheme="minorEastAsia" w:hAnsiTheme="minorEastAsia"/>
          <w:color w:val="000000" w:themeColor="text1"/>
          <w:kern w:val="0"/>
          <w:sz w:val="24"/>
          <w:szCs w:val="24"/>
          <w:lang w:val="zh-CN"/>
        </w:rPr>
        <w:fldChar w:fldCharType="end"/>
      </w:r>
      <w:r>
        <w:rPr>
          <w:rFonts w:hint="eastAsia" w:cs="Helvetica" w:asciiTheme="minorEastAsia" w:hAnsiTheme="minorEastAsia"/>
          <w:color w:val="000000" w:themeColor="text1"/>
          <w:kern w:val="0"/>
          <w:sz w:val="24"/>
          <w:szCs w:val="24"/>
          <w:lang w:val="zh-CN"/>
        </w:rPr>
        <w:t>)。</w:t>
      </w:r>
    </w:p>
    <w:p>
      <w:pPr>
        <w:numPr>
          <w:ilvl w:val="0"/>
          <w:numId w:val="29"/>
        </w:numPr>
        <w:spacing w:line="360" w:lineRule="auto"/>
        <w:ind w:left="616" w:hanging="616"/>
        <w:rPr>
          <w:rFonts w:cs="Helvetica" w:asciiTheme="minorEastAsia" w:hAnsiTheme="minorEastAsia"/>
          <w:color w:val="000000" w:themeColor="text1"/>
          <w:kern w:val="0"/>
          <w:sz w:val="24"/>
          <w:szCs w:val="24"/>
          <w:lang w:val="zh-CN"/>
        </w:rPr>
      </w:pPr>
      <w:r>
        <w:rPr>
          <w:rFonts w:hint="eastAsia" w:cs="Helvetica" w:asciiTheme="minorEastAsia" w:hAnsiTheme="minorEastAsia"/>
          <w:color w:val="000000" w:themeColor="text1"/>
          <w:kern w:val="0"/>
          <w:sz w:val="24"/>
          <w:szCs w:val="24"/>
          <w:lang w:val="zh-CN"/>
        </w:rPr>
        <w:t>列入失信被执行人、重大税收违法案件当事人名单、政府采购严重违法失信行为记录名单的供应商，采购人、采购代理机构</w:t>
      </w:r>
      <w:r>
        <w:rPr>
          <w:rFonts w:hint="eastAsia" w:cs="Helvetica" w:asciiTheme="minorEastAsia" w:hAnsiTheme="minorEastAsia"/>
          <w:b/>
          <w:color w:val="000000" w:themeColor="text1"/>
          <w:kern w:val="0"/>
          <w:sz w:val="24"/>
          <w:szCs w:val="24"/>
          <w:lang w:val="zh-CN"/>
        </w:rPr>
        <w:t>拒绝</w:t>
      </w:r>
      <w:r>
        <w:rPr>
          <w:rFonts w:hint="eastAsia" w:cs="Helvetica" w:asciiTheme="minorEastAsia" w:hAnsiTheme="minorEastAsia"/>
          <w:color w:val="000000" w:themeColor="text1"/>
          <w:kern w:val="0"/>
          <w:sz w:val="24"/>
          <w:szCs w:val="24"/>
          <w:lang w:val="zh-CN"/>
        </w:rPr>
        <w:t>其参与政府采购活动。</w:t>
      </w:r>
    </w:p>
    <w:p>
      <w:pPr>
        <w:numPr>
          <w:ilvl w:val="0"/>
          <w:numId w:val="29"/>
        </w:numPr>
        <w:spacing w:line="360" w:lineRule="auto"/>
        <w:ind w:left="616" w:hanging="616"/>
        <w:rPr>
          <w:rFonts w:cs="Helvetica" w:asciiTheme="minorEastAsia" w:hAnsiTheme="minorEastAsia"/>
          <w:color w:val="000000" w:themeColor="text1"/>
          <w:kern w:val="0"/>
          <w:sz w:val="24"/>
          <w:szCs w:val="24"/>
          <w:lang w:val="zh-CN"/>
        </w:rPr>
      </w:pPr>
      <w:r>
        <w:rPr>
          <w:rFonts w:hint="eastAsia" w:cs="Helvetica" w:asciiTheme="minorEastAsia" w:hAnsiTheme="minorEastAsia"/>
          <w:color w:val="000000" w:themeColor="text1"/>
          <w:kern w:val="0"/>
          <w:sz w:val="24"/>
          <w:szCs w:val="24"/>
          <w:lang w:val="zh-CN"/>
        </w:rPr>
        <w:t>两个及以上自然人、法人或者其他组织组成联合体，以一个供应商的身份共同参加政府采购活动的，应当对所有联合体成员进行信用记录查询，联合体成员存在不良信用记录的，视同联合体存在不良信用信息。</w:t>
      </w:r>
    </w:p>
    <w:p>
      <w:pPr>
        <w:numPr>
          <w:ilvl w:val="0"/>
          <w:numId w:val="29"/>
        </w:numPr>
        <w:spacing w:line="360" w:lineRule="auto"/>
        <w:ind w:left="616" w:hanging="616"/>
        <w:rPr>
          <w:rFonts w:cs="Helvetica" w:asciiTheme="minorEastAsia" w:hAnsiTheme="minorEastAsia"/>
          <w:color w:val="000000" w:themeColor="text1"/>
          <w:kern w:val="0"/>
          <w:sz w:val="24"/>
          <w:szCs w:val="24"/>
          <w:lang w:val="zh-CN"/>
        </w:rPr>
      </w:pPr>
      <w:r>
        <w:rPr>
          <w:rFonts w:hint="eastAsia" w:cs="Helvetica" w:asciiTheme="minorEastAsia" w:hAnsiTheme="minorEastAsia"/>
          <w:color w:val="000000" w:themeColor="text1"/>
          <w:kern w:val="0"/>
          <w:sz w:val="24"/>
          <w:szCs w:val="24"/>
          <w:lang w:val="zh-CN"/>
        </w:rPr>
        <w:t>投标人的信用记录，最终以评标时的“信用中国”网站发布的信息为准。</w:t>
      </w:r>
    </w:p>
    <w:p>
      <w:pPr>
        <w:numPr>
          <w:ilvl w:val="0"/>
          <w:numId w:val="29"/>
        </w:numPr>
        <w:spacing w:line="360" w:lineRule="auto"/>
        <w:ind w:left="616" w:hanging="616"/>
        <w:rPr>
          <w:rFonts w:cs="Helvetica" w:asciiTheme="minorEastAsia" w:hAnsiTheme="minorEastAsia"/>
          <w:color w:val="000000" w:themeColor="text1"/>
          <w:kern w:val="0"/>
          <w:sz w:val="24"/>
          <w:szCs w:val="24"/>
          <w:lang w:val="zh-CN"/>
        </w:rPr>
      </w:pPr>
      <w:r>
        <w:rPr>
          <w:rFonts w:hint="eastAsia" w:cs="Helvetica" w:asciiTheme="minorEastAsia" w:hAnsiTheme="minorEastAsia"/>
          <w:color w:val="000000" w:themeColor="text1"/>
          <w:kern w:val="0"/>
          <w:sz w:val="24"/>
          <w:szCs w:val="24"/>
          <w:lang w:val="zh-CN"/>
        </w:rPr>
        <w:t>在资格审查与评标工作未同日进行的特殊情形下，</w:t>
      </w:r>
      <w:r>
        <w:rPr>
          <w:rFonts w:hint="eastAsia" w:ascii="Helvetica" w:hAnsi="Helvetica" w:eastAsia="宋体" w:cs="Helvetica"/>
          <w:color w:val="000000" w:themeColor="text1"/>
          <w:kern w:val="0"/>
          <w:sz w:val="24"/>
          <w:szCs w:val="24"/>
          <w:lang w:val="zh-CN"/>
        </w:rPr>
        <w:t>采购人（或代理公司）</w:t>
      </w:r>
      <w:r>
        <w:rPr>
          <w:rFonts w:hint="eastAsia" w:cs="Helvetica" w:asciiTheme="minorEastAsia" w:hAnsiTheme="minorEastAsia"/>
          <w:color w:val="000000" w:themeColor="text1"/>
          <w:kern w:val="0"/>
          <w:sz w:val="24"/>
          <w:szCs w:val="24"/>
          <w:lang w:val="zh-CN"/>
        </w:rPr>
        <w:t>工作人员在评标时对投标人的信用信息进行复核，发现评标当日存在不良信用信息的，由评标委员会按照符合性审查不合格作</w:t>
      </w:r>
      <w:r>
        <w:rPr>
          <w:rFonts w:hint="eastAsia" w:cs="Helvetica" w:asciiTheme="minorEastAsia" w:hAnsiTheme="minorEastAsia"/>
          <w:b/>
          <w:color w:val="000000" w:themeColor="text1"/>
          <w:kern w:val="0"/>
          <w:sz w:val="24"/>
          <w:szCs w:val="24"/>
          <w:lang w:val="zh-CN"/>
        </w:rPr>
        <w:t>无效投标处理</w:t>
      </w:r>
      <w:r>
        <w:rPr>
          <w:rFonts w:hint="eastAsia" w:cs="Helvetica" w:asciiTheme="minorEastAsia" w:hAnsiTheme="minorEastAsia"/>
          <w:color w:val="000000" w:themeColor="text1"/>
          <w:kern w:val="0"/>
          <w:sz w:val="24"/>
          <w:szCs w:val="24"/>
          <w:lang w:val="zh-CN"/>
        </w:rPr>
        <w:t>。</w:t>
      </w:r>
    </w:p>
    <w:p>
      <w:pPr>
        <w:pStyle w:val="2"/>
        <w:numPr>
          <w:ilvl w:val="0"/>
          <w:numId w:val="4"/>
        </w:numPr>
        <w:spacing w:before="40" w:after="40" w:line="360" w:lineRule="auto"/>
        <w:ind w:left="658" w:hanging="658"/>
        <w:jc w:val="left"/>
        <w:rPr>
          <w:rFonts w:cs="Times New Roman" w:asciiTheme="majorEastAsia" w:hAnsiTheme="majorEastAsia"/>
          <w:bCs w:val="0"/>
          <w:color w:val="000000" w:themeColor="text1"/>
          <w:lang w:val="zh-CN"/>
        </w:rPr>
      </w:pPr>
      <w:bookmarkStart w:id="20" w:name="_Toc11144"/>
      <w:bookmarkStart w:id="21" w:name="_Toc494561944"/>
      <w:r>
        <w:rPr>
          <w:rFonts w:cs="Times New Roman" w:asciiTheme="majorEastAsia" w:hAnsiTheme="majorEastAsia"/>
          <w:bCs w:val="0"/>
          <w:color w:val="000000" w:themeColor="text1"/>
          <w:lang w:val="zh-CN"/>
        </w:rPr>
        <w:t>中标</w:t>
      </w:r>
      <w:r>
        <w:rPr>
          <w:rFonts w:hint="eastAsia" w:cs="Times New Roman" w:asciiTheme="majorEastAsia" w:hAnsiTheme="majorEastAsia"/>
          <w:bCs w:val="0"/>
          <w:color w:val="000000" w:themeColor="text1"/>
          <w:lang w:val="zh-CN"/>
        </w:rPr>
        <w:t>与</w:t>
      </w:r>
      <w:r>
        <w:rPr>
          <w:rFonts w:cs="Times New Roman" w:asciiTheme="majorEastAsia" w:hAnsiTheme="majorEastAsia"/>
          <w:bCs w:val="0"/>
          <w:color w:val="000000" w:themeColor="text1"/>
          <w:lang w:val="zh-CN"/>
        </w:rPr>
        <w:t>合同</w:t>
      </w:r>
      <w:bookmarkEnd w:id="20"/>
      <w:bookmarkEnd w:id="21"/>
    </w:p>
    <w:p>
      <w:pPr>
        <w:numPr>
          <w:ilvl w:val="0"/>
          <w:numId w:val="5"/>
        </w:numPr>
        <w:spacing w:line="360" w:lineRule="auto"/>
        <w:ind w:left="560" w:hanging="560"/>
        <w:rPr>
          <w:rFonts w:ascii="宋体" w:hAnsi="宋体" w:eastAsia="宋体" w:cs="Times New Roman"/>
          <w:b/>
          <w:color w:val="000000" w:themeColor="text1"/>
          <w:sz w:val="24"/>
          <w:szCs w:val="20"/>
          <w:lang w:val="zh-CN"/>
        </w:rPr>
      </w:pPr>
      <w:r>
        <w:rPr>
          <w:rFonts w:hint="eastAsia" w:ascii="宋体" w:hAnsi="宋体" w:eastAsia="宋体" w:cs="Times New Roman"/>
          <w:b/>
          <w:color w:val="000000" w:themeColor="text1"/>
          <w:sz w:val="24"/>
          <w:szCs w:val="20"/>
          <w:lang w:val="zh-CN"/>
        </w:rPr>
        <w:t>确定中标人</w:t>
      </w:r>
    </w:p>
    <w:p>
      <w:pPr>
        <w:numPr>
          <w:ilvl w:val="0"/>
          <w:numId w:val="30"/>
        </w:numPr>
        <w:spacing w:line="360" w:lineRule="auto"/>
        <w:ind w:left="616" w:hanging="616"/>
        <w:rPr>
          <w:rFonts w:ascii="宋体" w:hAnsi="宋体" w:eastAsia="宋体" w:cs="Times New Roman"/>
          <w:color w:val="000000" w:themeColor="text1"/>
          <w:sz w:val="24"/>
          <w:szCs w:val="20"/>
          <w:lang w:val="zh-CN"/>
        </w:rPr>
      </w:pPr>
      <w:r>
        <w:rPr>
          <w:rFonts w:ascii="Helvetica" w:hAnsi="Helvetica" w:eastAsia="宋体" w:cs="Helvetica"/>
          <w:color w:val="000000" w:themeColor="text1"/>
          <w:kern w:val="0"/>
          <w:sz w:val="24"/>
          <w:szCs w:val="24"/>
          <w:lang w:val="zh-CN"/>
        </w:rPr>
        <w:t>采购人收到评标报告</w:t>
      </w:r>
      <w:r>
        <w:rPr>
          <w:rFonts w:ascii="宋体" w:hAnsi="宋体" w:eastAsia="宋体" w:cs="Helvetica"/>
          <w:color w:val="000000" w:themeColor="text1"/>
          <w:kern w:val="0"/>
          <w:sz w:val="24"/>
          <w:szCs w:val="24"/>
          <w:lang w:val="zh-CN"/>
        </w:rPr>
        <w:t>5个工作日内，</w:t>
      </w:r>
      <w:r>
        <w:rPr>
          <w:rFonts w:hint="eastAsia" w:ascii="宋体" w:hAnsi="宋体" w:eastAsia="宋体" w:cs="Helvetica"/>
          <w:color w:val="000000" w:themeColor="text1"/>
          <w:kern w:val="0"/>
          <w:sz w:val="24"/>
          <w:szCs w:val="24"/>
          <w:lang w:val="zh-CN"/>
        </w:rPr>
        <w:t>按</w:t>
      </w:r>
      <w:r>
        <w:rPr>
          <w:rFonts w:ascii="宋体" w:hAnsi="宋体" w:eastAsia="宋体" w:cs="Helvetica"/>
          <w:color w:val="000000" w:themeColor="text1"/>
          <w:kern w:val="0"/>
          <w:sz w:val="24"/>
          <w:szCs w:val="24"/>
          <w:lang w:val="zh-CN"/>
        </w:rPr>
        <w:t>评标报告推荐的中标候选人顺序确定中标人。</w:t>
      </w:r>
    </w:p>
    <w:p>
      <w:pPr>
        <w:numPr>
          <w:ilvl w:val="0"/>
          <w:numId w:val="30"/>
        </w:numPr>
        <w:spacing w:line="360" w:lineRule="auto"/>
        <w:ind w:left="616" w:hanging="616"/>
        <w:rPr>
          <w:rFonts w:ascii="宋体" w:hAnsi="宋体" w:eastAsia="宋体" w:cs="Times New Roman"/>
          <w:color w:val="000000" w:themeColor="text1"/>
          <w:sz w:val="24"/>
          <w:szCs w:val="20"/>
          <w:lang w:val="zh-CN"/>
        </w:rPr>
      </w:pPr>
      <w:r>
        <w:rPr>
          <w:rFonts w:ascii="Helvetica" w:hAnsi="Helvetica" w:eastAsia="宋体" w:cs="Helvetica"/>
          <w:color w:val="000000" w:themeColor="text1"/>
          <w:kern w:val="0"/>
          <w:sz w:val="24"/>
          <w:szCs w:val="24"/>
          <w:lang w:val="zh-CN"/>
        </w:rPr>
        <w:t>中标候选人并列的</w:t>
      </w:r>
      <w:r>
        <w:rPr>
          <w:rFonts w:hint="eastAsia" w:ascii="Helvetica" w:hAnsi="Helvetica" w:eastAsia="宋体" w:cs="Helvetica"/>
          <w:color w:val="000000" w:themeColor="text1"/>
          <w:kern w:val="0"/>
          <w:sz w:val="24"/>
          <w:szCs w:val="24"/>
          <w:lang w:val="zh-CN"/>
        </w:rPr>
        <w:t>：</w:t>
      </w:r>
    </w:p>
    <w:p>
      <w:pPr>
        <w:numPr>
          <w:ilvl w:val="0"/>
          <w:numId w:val="31"/>
        </w:numPr>
        <w:spacing w:line="360" w:lineRule="auto"/>
        <w:ind w:left="980" w:hanging="854"/>
        <w:rPr>
          <w:rFonts w:ascii="宋体" w:hAnsi="宋体" w:eastAsia="宋体" w:cs="Times New Roman"/>
          <w:color w:val="000000" w:themeColor="text1"/>
          <w:sz w:val="24"/>
          <w:szCs w:val="20"/>
          <w:lang w:val="zh-CN"/>
        </w:rPr>
      </w:pPr>
      <w:r>
        <w:rPr>
          <w:rFonts w:hint="eastAsia" w:ascii="宋体" w:hAnsi="宋体" w:eastAsia="宋体" w:cs="Times New Roman"/>
          <w:color w:val="000000" w:themeColor="text1"/>
          <w:sz w:val="24"/>
          <w:szCs w:val="20"/>
          <w:lang w:val="zh-CN"/>
        </w:rPr>
        <w:t>采用最低评标价法的，评标结果按投标报价由低到高顺序排列。投标报价相同的，按技术部分由高到低顺序排列。</w:t>
      </w:r>
    </w:p>
    <w:p>
      <w:pPr>
        <w:numPr>
          <w:ilvl w:val="0"/>
          <w:numId w:val="31"/>
        </w:numPr>
        <w:spacing w:line="360" w:lineRule="auto"/>
        <w:ind w:left="980" w:hanging="854"/>
        <w:rPr>
          <w:rFonts w:ascii="宋体" w:hAnsi="宋体" w:eastAsia="宋体" w:cs="Times New Roman"/>
          <w:color w:val="000000" w:themeColor="text1"/>
          <w:sz w:val="24"/>
          <w:szCs w:val="20"/>
          <w:lang w:val="zh-CN"/>
        </w:rPr>
      </w:pPr>
      <w:r>
        <w:rPr>
          <w:rFonts w:hint="eastAsia" w:ascii="宋体" w:hAnsi="宋体" w:eastAsia="宋体" w:cs="Times New Roman"/>
          <w:color w:val="000000" w:themeColor="text1"/>
          <w:sz w:val="24"/>
          <w:szCs w:val="20"/>
          <w:lang w:val="zh-CN"/>
        </w:rPr>
        <w:t>采用综合评分法的，评标结果按评审后得分由高到低顺序排列。得分相同的，按投标报价由低到高顺序排列。得分且投标报价相同的，按技术部分由高到低顺序排列。</w:t>
      </w:r>
    </w:p>
    <w:p>
      <w:pPr>
        <w:numPr>
          <w:ilvl w:val="0"/>
          <w:numId w:val="30"/>
        </w:numPr>
        <w:spacing w:line="360" w:lineRule="auto"/>
        <w:ind w:left="616" w:hanging="616"/>
        <w:rPr>
          <w:rFonts w:ascii="宋体" w:hAnsi="宋体" w:eastAsia="宋体" w:cs="Times New Roman"/>
          <w:color w:val="000000" w:themeColor="text1"/>
          <w:sz w:val="24"/>
          <w:szCs w:val="20"/>
          <w:lang w:val="zh-CN"/>
        </w:rPr>
      </w:pPr>
      <w:r>
        <w:rPr>
          <w:rFonts w:hint="eastAsia" w:ascii="宋体" w:hAnsi="宋体" w:eastAsia="宋体" w:cs="Times New Roman"/>
          <w:color w:val="000000" w:themeColor="text1"/>
          <w:sz w:val="24"/>
          <w:szCs w:val="20"/>
          <w:lang w:val="zh-CN"/>
        </w:rPr>
        <w:t>中标人的数量有其他规定的，按招标文件相关规定执行。</w:t>
      </w:r>
    </w:p>
    <w:p>
      <w:pPr>
        <w:numPr>
          <w:ilvl w:val="0"/>
          <w:numId w:val="30"/>
        </w:numPr>
        <w:spacing w:line="360" w:lineRule="auto"/>
        <w:ind w:left="616" w:hanging="616"/>
        <w:rPr>
          <w:rFonts w:ascii="宋体" w:hAnsi="宋体" w:eastAsia="宋体" w:cs="Times New Roman"/>
          <w:strike/>
          <w:color w:val="000000" w:themeColor="text1"/>
          <w:sz w:val="24"/>
          <w:szCs w:val="20"/>
          <w:lang w:val="zh-CN"/>
        </w:rPr>
      </w:pPr>
      <w:r>
        <w:rPr>
          <w:rFonts w:hint="eastAsia" w:ascii="宋体" w:hAnsi="宋体" w:eastAsia="宋体" w:cs="Times New Roman"/>
          <w:color w:val="000000" w:themeColor="text1"/>
          <w:sz w:val="24"/>
          <w:szCs w:val="20"/>
          <w:lang w:val="zh-CN"/>
        </w:rPr>
        <w:t>中标人确定后，采购人、采购代理机构在政府采购监管部门指定的媒体上发布中标公告，同时向中标人和采购人发出《中标通知书》。《中标通知书》是政府采购合同的组成部分,对中标人和采购人具有同等法律效力。</w:t>
      </w:r>
    </w:p>
    <w:p>
      <w:pPr>
        <w:numPr>
          <w:ilvl w:val="0"/>
          <w:numId w:val="30"/>
        </w:numPr>
        <w:spacing w:line="360" w:lineRule="auto"/>
        <w:ind w:left="616" w:hanging="616"/>
        <w:rPr>
          <w:rFonts w:ascii="宋体" w:hAnsi="宋体" w:eastAsia="宋体" w:cs="Times New Roman"/>
          <w:strike/>
          <w:color w:val="000000" w:themeColor="text1"/>
          <w:sz w:val="24"/>
          <w:szCs w:val="20"/>
          <w:lang w:val="zh-CN"/>
        </w:rPr>
      </w:pPr>
      <w:r>
        <w:rPr>
          <w:rFonts w:ascii="Helvetica" w:hAnsi="Helvetica" w:eastAsia="宋体" w:cs="Helvetica"/>
          <w:color w:val="000000" w:themeColor="text1"/>
          <w:kern w:val="0"/>
          <w:sz w:val="24"/>
          <w:szCs w:val="24"/>
          <w:lang w:val="zh-CN"/>
        </w:rPr>
        <w:t>中标通知书发出后，采购人不得违法改变中标结果，中标人无正当理由不得放弃中标。</w:t>
      </w:r>
    </w:p>
    <w:p>
      <w:pPr>
        <w:numPr>
          <w:ilvl w:val="0"/>
          <w:numId w:val="30"/>
        </w:numPr>
        <w:spacing w:line="360" w:lineRule="auto"/>
        <w:ind w:left="616" w:hanging="616"/>
        <w:rPr>
          <w:rFonts w:ascii="宋体" w:hAnsi="宋体" w:eastAsia="宋体" w:cs="Times New Roman"/>
          <w:color w:val="000000" w:themeColor="text1"/>
          <w:sz w:val="24"/>
          <w:szCs w:val="20"/>
          <w:lang w:val="zh-CN"/>
        </w:rPr>
      </w:pPr>
      <w:r>
        <w:rPr>
          <w:rFonts w:hint="eastAsia" w:ascii="宋体" w:hAnsi="宋体" w:eastAsia="宋体" w:cs="Times New Roman"/>
          <w:color w:val="000000" w:themeColor="text1"/>
          <w:sz w:val="24"/>
          <w:szCs w:val="20"/>
          <w:lang w:val="zh-CN"/>
        </w:rPr>
        <w:t>中标人拒绝与采购人签订合同的，采购人可以按照评标报告推荐的中标候选人名单排序，确定下一候选人为中标人，也可以重新开展政府采购活动。</w:t>
      </w:r>
    </w:p>
    <w:p>
      <w:pPr>
        <w:numPr>
          <w:ilvl w:val="0"/>
          <w:numId w:val="5"/>
        </w:numPr>
        <w:spacing w:line="360" w:lineRule="auto"/>
        <w:ind w:left="560" w:hanging="560"/>
        <w:rPr>
          <w:rFonts w:ascii="宋体" w:hAnsi="宋体" w:eastAsia="宋体" w:cs="Times New Roman"/>
          <w:b/>
          <w:color w:val="000000" w:themeColor="text1"/>
          <w:sz w:val="24"/>
          <w:szCs w:val="20"/>
          <w:lang w:val="zh-CN"/>
        </w:rPr>
      </w:pPr>
      <w:r>
        <w:rPr>
          <w:rFonts w:hint="eastAsia" w:ascii="宋体" w:hAnsi="宋体" w:eastAsia="宋体" w:cs="Times New Roman"/>
          <w:b/>
          <w:color w:val="000000" w:themeColor="text1"/>
          <w:sz w:val="24"/>
          <w:szCs w:val="20"/>
          <w:lang w:val="zh-CN"/>
        </w:rPr>
        <w:t>合同授予</w:t>
      </w:r>
    </w:p>
    <w:p>
      <w:pPr>
        <w:spacing w:line="360" w:lineRule="auto"/>
        <w:ind w:firstLine="480" w:firstLineChars="200"/>
        <w:rPr>
          <w:rFonts w:ascii="宋体" w:hAnsi="宋体" w:eastAsia="宋体" w:cs="Times New Roman"/>
          <w:color w:val="000000" w:themeColor="text1"/>
          <w:sz w:val="24"/>
          <w:szCs w:val="20"/>
          <w:lang w:val="zh-CN"/>
        </w:rPr>
      </w:pPr>
      <w:r>
        <w:rPr>
          <w:rFonts w:hint="eastAsia" w:ascii="宋体" w:hAnsi="宋体" w:eastAsia="宋体" w:cs="Times New Roman"/>
          <w:color w:val="000000" w:themeColor="text1"/>
          <w:sz w:val="24"/>
          <w:szCs w:val="20"/>
          <w:lang w:val="zh-CN"/>
        </w:rPr>
        <w:t>除本章“确定中标人”规定及其他法律规定的情形外，采购人把合同授予被确定为实质上响应招标文件要求且排名第一的中标人。</w:t>
      </w:r>
    </w:p>
    <w:p>
      <w:pPr>
        <w:numPr>
          <w:ilvl w:val="0"/>
          <w:numId w:val="5"/>
        </w:numPr>
        <w:spacing w:line="360" w:lineRule="auto"/>
        <w:ind w:left="560" w:hanging="560"/>
        <w:rPr>
          <w:rFonts w:ascii="宋体" w:hAnsi="宋体" w:eastAsia="宋体" w:cs="Times New Roman"/>
          <w:b/>
          <w:color w:val="000000" w:themeColor="text1"/>
          <w:sz w:val="24"/>
          <w:szCs w:val="20"/>
          <w:lang w:val="zh-CN"/>
        </w:rPr>
      </w:pPr>
      <w:r>
        <w:rPr>
          <w:rFonts w:hint="eastAsia" w:ascii="宋体" w:hAnsi="宋体" w:eastAsia="宋体" w:cs="Times New Roman"/>
          <w:b/>
          <w:color w:val="000000" w:themeColor="text1"/>
          <w:sz w:val="24"/>
          <w:szCs w:val="20"/>
          <w:lang w:val="zh-CN"/>
        </w:rPr>
        <w:t>合同签订</w:t>
      </w:r>
    </w:p>
    <w:p>
      <w:pPr>
        <w:numPr>
          <w:ilvl w:val="0"/>
          <w:numId w:val="32"/>
        </w:numPr>
        <w:spacing w:line="360" w:lineRule="auto"/>
        <w:ind w:left="616" w:hanging="616"/>
        <w:rPr>
          <w:rFonts w:ascii="宋体" w:hAnsi="宋体" w:eastAsia="宋体" w:cs="Times New Roman"/>
          <w:color w:val="000000" w:themeColor="text1"/>
          <w:sz w:val="24"/>
          <w:szCs w:val="20"/>
          <w:lang w:val="zh-CN"/>
        </w:rPr>
      </w:pPr>
      <w:bookmarkStart w:id="22" w:name="_Toc278891597"/>
      <w:bookmarkStart w:id="23" w:name="_Toc272247700"/>
      <w:r>
        <w:rPr>
          <w:rFonts w:ascii="宋体" w:hAnsi="宋体" w:eastAsia="宋体" w:cs="Times New Roman"/>
          <w:color w:val="000000" w:themeColor="text1"/>
          <w:sz w:val="24"/>
          <w:szCs w:val="20"/>
          <w:lang w:val="zh-CN"/>
        </w:rPr>
        <w:t>采购人应当自中标通知书发出之日起30日内，按照招标文件</w:t>
      </w:r>
      <w:r>
        <w:rPr>
          <w:rFonts w:hint="eastAsia" w:ascii="宋体" w:hAnsi="宋体" w:eastAsia="宋体" w:cs="Times New Roman"/>
          <w:color w:val="000000" w:themeColor="text1"/>
          <w:sz w:val="24"/>
          <w:szCs w:val="20"/>
          <w:lang w:val="zh-CN"/>
        </w:rPr>
        <w:t>规定</w:t>
      </w:r>
      <w:r>
        <w:rPr>
          <w:rFonts w:ascii="宋体" w:hAnsi="宋体" w:eastAsia="宋体" w:cs="Times New Roman"/>
          <w:color w:val="000000" w:themeColor="text1"/>
          <w:sz w:val="24"/>
          <w:szCs w:val="20"/>
          <w:lang w:val="zh-CN"/>
        </w:rPr>
        <w:t>和中标人投标文件的</w:t>
      </w:r>
      <w:r>
        <w:rPr>
          <w:rFonts w:hint="eastAsia" w:ascii="宋体" w:hAnsi="宋体" w:eastAsia="宋体" w:cs="Times New Roman"/>
          <w:color w:val="000000" w:themeColor="text1"/>
          <w:sz w:val="24"/>
          <w:szCs w:val="20"/>
          <w:lang w:val="zh-CN"/>
        </w:rPr>
        <w:t>承诺</w:t>
      </w:r>
      <w:r>
        <w:rPr>
          <w:rFonts w:ascii="宋体" w:hAnsi="宋体" w:eastAsia="宋体" w:cs="Times New Roman"/>
          <w:color w:val="000000" w:themeColor="text1"/>
          <w:sz w:val="24"/>
          <w:szCs w:val="20"/>
          <w:lang w:val="zh-CN"/>
        </w:rPr>
        <w:t>，与中标人签订书面合同。所签订的合同不得对招标文件确定的事项和中标人投标文件作实质性修改。</w:t>
      </w:r>
    </w:p>
    <w:p>
      <w:pPr>
        <w:numPr>
          <w:ilvl w:val="0"/>
          <w:numId w:val="32"/>
        </w:numPr>
        <w:tabs>
          <w:tab w:val="left" w:pos="616"/>
        </w:tabs>
        <w:spacing w:line="360" w:lineRule="auto"/>
        <w:ind w:left="616" w:hanging="616"/>
        <w:rPr>
          <w:rFonts w:ascii="宋体" w:hAnsi="宋体" w:eastAsia="宋体" w:cs="Times New Roman"/>
          <w:color w:val="000000" w:themeColor="text1"/>
          <w:sz w:val="24"/>
          <w:szCs w:val="20"/>
          <w:lang w:val="zh-CN"/>
        </w:rPr>
      </w:pPr>
      <w:r>
        <w:rPr>
          <w:rFonts w:ascii="Helvetica" w:hAnsi="Helvetica" w:eastAsia="宋体" w:cs="Helvetica"/>
          <w:color w:val="000000" w:themeColor="text1"/>
          <w:kern w:val="0"/>
          <w:sz w:val="24"/>
          <w:szCs w:val="24"/>
          <w:lang w:val="zh-CN"/>
        </w:rPr>
        <w:t>采购人不得向中标人提出任何不合理的要求作为签订合同的条件。</w:t>
      </w:r>
    </w:p>
    <w:p>
      <w:pPr>
        <w:numPr>
          <w:ilvl w:val="0"/>
          <w:numId w:val="32"/>
        </w:numPr>
        <w:tabs>
          <w:tab w:val="left" w:pos="616"/>
        </w:tabs>
        <w:spacing w:line="360" w:lineRule="auto"/>
        <w:ind w:left="616" w:hanging="616"/>
        <w:rPr>
          <w:rFonts w:ascii="宋体" w:hAnsi="宋体" w:eastAsia="宋体" w:cs="Times New Roman"/>
          <w:color w:val="000000" w:themeColor="text1"/>
          <w:sz w:val="24"/>
          <w:szCs w:val="20"/>
          <w:lang w:val="zh-CN"/>
        </w:rPr>
      </w:pPr>
      <w:r>
        <w:rPr>
          <w:rFonts w:ascii="宋体" w:hAnsi="宋体" w:eastAsia="宋体" w:cs="Times New Roman"/>
          <w:color w:val="000000" w:themeColor="text1"/>
          <w:sz w:val="24"/>
          <w:szCs w:val="20"/>
          <w:lang w:val="zh-CN"/>
        </w:rPr>
        <w:t>政府采购合同应当包括采购人与中标人的名称和住所、标的、数量、质量、价款或者报酬、履行期限及地点和方式、验收要求、违约责任、解决争议的方法等内容。</w:t>
      </w:r>
    </w:p>
    <w:p>
      <w:pPr>
        <w:numPr>
          <w:ilvl w:val="0"/>
          <w:numId w:val="32"/>
        </w:numPr>
        <w:tabs>
          <w:tab w:val="left" w:pos="616"/>
        </w:tabs>
        <w:spacing w:line="360" w:lineRule="auto"/>
        <w:ind w:left="616" w:hanging="616"/>
        <w:rPr>
          <w:rFonts w:ascii="宋体" w:hAnsi="宋体" w:eastAsia="宋体" w:cs="Times New Roman"/>
          <w:color w:val="000000" w:themeColor="text1"/>
          <w:sz w:val="24"/>
          <w:szCs w:val="20"/>
          <w:lang w:val="zh-CN"/>
        </w:rPr>
      </w:pPr>
      <w:r>
        <w:rPr>
          <w:rFonts w:ascii="Helvetica" w:hAnsi="Helvetica" w:eastAsia="宋体" w:cs="Helvetica"/>
          <w:color w:val="000000" w:themeColor="text1"/>
          <w:kern w:val="0"/>
          <w:sz w:val="24"/>
          <w:szCs w:val="24"/>
          <w:lang w:val="zh-CN"/>
        </w:rPr>
        <w:t>采购人与中标人应当根据合同的约定依法履行合同义务。政府采购合同的履行、违约责任和解决争议的方法等适用《中华人民共和国合同法》。</w:t>
      </w:r>
    </w:p>
    <w:p>
      <w:pPr>
        <w:numPr>
          <w:ilvl w:val="0"/>
          <w:numId w:val="32"/>
        </w:numPr>
        <w:tabs>
          <w:tab w:val="left" w:pos="616"/>
        </w:tabs>
        <w:spacing w:line="360" w:lineRule="auto"/>
        <w:ind w:left="616" w:hanging="616"/>
        <w:rPr>
          <w:rFonts w:ascii="宋体" w:hAnsi="宋体" w:eastAsia="宋体" w:cs="Times New Roman"/>
          <w:color w:val="000000" w:themeColor="text1"/>
          <w:sz w:val="24"/>
          <w:szCs w:val="20"/>
          <w:lang w:val="zh-CN"/>
        </w:rPr>
      </w:pPr>
      <w:r>
        <w:rPr>
          <w:rFonts w:hint="eastAsia" w:ascii="宋体" w:hAnsi="宋体" w:eastAsia="宋体" w:cs="Times New Roman"/>
          <w:color w:val="000000" w:themeColor="text1"/>
          <w:sz w:val="24"/>
          <w:szCs w:val="20"/>
        </w:rPr>
        <w:t>采购人应当自政府采购合同签订之日起2个工作日内，将政府采购合同在省级以上人民政府财政部门指定的媒体上公告，但政府采购合同中涉及国家秘密、商业秘密的内容除外。</w:t>
      </w:r>
    </w:p>
    <w:p>
      <w:pPr>
        <w:numPr>
          <w:ilvl w:val="0"/>
          <w:numId w:val="32"/>
        </w:numPr>
        <w:tabs>
          <w:tab w:val="left" w:pos="616"/>
        </w:tabs>
        <w:spacing w:line="360" w:lineRule="auto"/>
        <w:ind w:left="616" w:hanging="616"/>
        <w:rPr>
          <w:rFonts w:ascii="宋体" w:hAnsi="宋体" w:eastAsia="宋体" w:cs="Times New Roman"/>
          <w:color w:val="000000" w:themeColor="text1"/>
          <w:sz w:val="24"/>
          <w:szCs w:val="20"/>
          <w:lang w:val="zh-CN"/>
        </w:rPr>
      </w:pPr>
      <w:r>
        <w:rPr>
          <w:rFonts w:ascii="Helvetica" w:hAnsi="Helvetica" w:eastAsia="宋体" w:cs="Helvetica"/>
          <w:color w:val="000000" w:themeColor="text1"/>
          <w:kern w:val="0"/>
          <w:sz w:val="24"/>
          <w:szCs w:val="24"/>
          <w:lang w:val="zh-CN"/>
        </w:rPr>
        <w:t>采购人应当加强对中标人的履约管理，并按照采购合同约定，及时向中标人支付采购资金。对于中标人违反采购合同约定的行为，采购人应当及时处理，依法追究其违约责任。</w:t>
      </w:r>
    </w:p>
    <w:p>
      <w:pPr>
        <w:pStyle w:val="2"/>
        <w:numPr>
          <w:ilvl w:val="0"/>
          <w:numId w:val="4"/>
        </w:numPr>
        <w:spacing w:before="40" w:after="40" w:line="360" w:lineRule="auto"/>
        <w:ind w:left="658" w:hanging="658"/>
        <w:jc w:val="left"/>
        <w:rPr>
          <w:rFonts w:cs="Times New Roman" w:asciiTheme="majorEastAsia" w:hAnsiTheme="majorEastAsia"/>
          <w:bCs w:val="0"/>
          <w:color w:val="000000" w:themeColor="text1"/>
          <w:lang w:val="zh-CN"/>
        </w:rPr>
      </w:pPr>
      <w:bookmarkStart w:id="24" w:name="_Toc4771"/>
      <w:bookmarkStart w:id="25" w:name="_Toc494561945"/>
      <w:r>
        <w:rPr>
          <w:rFonts w:hint="eastAsia" w:cs="Times New Roman" w:asciiTheme="majorEastAsia" w:hAnsiTheme="majorEastAsia"/>
          <w:bCs w:val="0"/>
          <w:color w:val="000000" w:themeColor="text1"/>
          <w:lang w:val="zh-CN"/>
        </w:rPr>
        <w:t>采购信息公告</w:t>
      </w:r>
      <w:bookmarkEnd w:id="24"/>
      <w:bookmarkEnd w:id="25"/>
    </w:p>
    <w:p>
      <w:pPr>
        <w:numPr>
          <w:ilvl w:val="0"/>
          <w:numId w:val="5"/>
        </w:numPr>
        <w:spacing w:line="360" w:lineRule="auto"/>
        <w:ind w:left="560" w:hanging="560"/>
        <w:rPr>
          <w:rFonts w:ascii="宋体" w:hAnsi="宋体" w:eastAsia="宋体" w:cs="Helvetica"/>
          <w:b/>
          <w:color w:val="000000" w:themeColor="text1"/>
          <w:kern w:val="0"/>
          <w:sz w:val="24"/>
          <w:szCs w:val="24"/>
          <w:lang w:val="zh-CN"/>
        </w:rPr>
      </w:pPr>
      <w:r>
        <w:rPr>
          <w:rFonts w:hint="eastAsia" w:ascii="宋体" w:hAnsi="宋体" w:eastAsia="宋体" w:cs="Helvetica"/>
          <w:b/>
          <w:color w:val="000000" w:themeColor="text1"/>
          <w:kern w:val="0"/>
          <w:sz w:val="24"/>
          <w:szCs w:val="24"/>
          <w:lang w:val="zh-CN"/>
        </w:rPr>
        <w:t>公告的媒体及规定</w:t>
      </w:r>
    </w:p>
    <w:p>
      <w:pPr>
        <w:numPr>
          <w:ilvl w:val="0"/>
          <w:numId w:val="33"/>
        </w:numPr>
        <w:tabs>
          <w:tab w:val="left" w:pos="616"/>
        </w:tabs>
        <w:spacing w:line="360" w:lineRule="auto"/>
        <w:ind w:left="616" w:hanging="616"/>
        <w:rPr>
          <w:rFonts w:cs="Helvetica" w:asciiTheme="minorEastAsia" w:hAnsiTheme="minorEastAsia"/>
          <w:color w:val="000000" w:themeColor="text1"/>
          <w:kern w:val="0"/>
          <w:sz w:val="24"/>
          <w:szCs w:val="24"/>
          <w:lang w:val="zh-CN"/>
        </w:rPr>
      </w:pPr>
      <w:r>
        <w:rPr>
          <w:rFonts w:hint="eastAsia" w:cs="Helvetica" w:asciiTheme="minorEastAsia" w:hAnsiTheme="minorEastAsia"/>
          <w:color w:val="000000" w:themeColor="text1"/>
          <w:kern w:val="0"/>
          <w:sz w:val="24"/>
          <w:szCs w:val="24"/>
          <w:lang w:val="zh-CN"/>
        </w:rPr>
        <w:t>集中采购机构在招标活动中的公告、补充、更正、结果等采购信息均依法在政府采购监管部门指定媒体上（中国湖北政府采购网http://www.ccgp-hubei.gov.cn/）发布。</w:t>
      </w:r>
    </w:p>
    <w:p>
      <w:pPr>
        <w:numPr>
          <w:ilvl w:val="0"/>
          <w:numId w:val="33"/>
        </w:numPr>
        <w:tabs>
          <w:tab w:val="left" w:pos="616"/>
        </w:tabs>
        <w:spacing w:line="360" w:lineRule="auto"/>
        <w:ind w:left="616" w:hanging="616"/>
        <w:rPr>
          <w:rFonts w:cs="Helvetica" w:asciiTheme="minorEastAsia" w:hAnsiTheme="minorEastAsia"/>
          <w:b/>
          <w:color w:val="000000" w:themeColor="text1"/>
          <w:kern w:val="0"/>
          <w:sz w:val="24"/>
          <w:szCs w:val="24"/>
          <w:lang w:val="zh-CN"/>
        </w:rPr>
      </w:pPr>
      <w:r>
        <w:rPr>
          <w:rFonts w:hint="eastAsia" w:cs="Helvetica" w:asciiTheme="minorEastAsia" w:hAnsiTheme="minorEastAsia"/>
          <w:color w:val="000000" w:themeColor="text1"/>
          <w:kern w:val="0"/>
          <w:sz w:val="24"/>
          <w:szCs w:val="24"/>
          <w:lang w:val="zh-CN"/>
        </w:rPr>
        <w:t>集中采购机构在自</w:t>
      </w:r>
      <w:r>
        <w:rPr>
          <w:rFonts w:cs="Helvetica" w:asciiTheme="minorEastAsia" w:hAnsiTheme="minorEastAsia"/>
          <w:color w:val="000000" w:themeColor="text1"/>
          <w:kern w:val="0"/>
          <w:sz w:val="24"/>
          <w:szCs w:val="24"/>
          <w:lang w:val="zh-CN"/>
        </w:rPr>
        <w:t>中标人确定之日起2个工作日内，</w:t>
      </w:r>
      <w:r>
        <w:rPr>
          <w:rFonts w:hint="eastAsia" w:cs="Helvetica" w:asciiTheme="minorEastAsia" w:hAnsiTheme="minorEastAsia"/>
          <w:color w:val="000000" w:themeColor="text1"/>
          <w:kern w:val="0"/>
          <w:sz w:val="24"/>
          <w:szCs w:val="24"/>
          <w:lang w:val="zh-CN"/>
        </w:rPr>
        <w:t>在政府采购监管部门指定媒体上</w:t>
      </w:r>
      <w:r>
        <w:rPr>
          <w:rFonts w:cs="Helvetica" w:asciiTheme="minorEastAsia" w:hAnsiTheme="minorEastAsia"/>
          <w:color w:val="000000" w:themeColor="text1"/>
          <w:kern w:val="0"/>
          <w:sz w:val="24"/>
          <w:szCs w:val="24"/>
          <w:lang w:val="zh-CN"/>
        </w:rPr>
        <w:t>公告中标结果</w:t>
      </w:r>
      <w:r>
        <w:rPr>
          <w:rFonts w:hint="eastAsia" w:cs="Helvetica" w:asciiTheme="minorEastAsia" w:hAnsiTheme="minorEastAsia"/>
          <w:color w:val="000000" w:themeColor="text1"/>
          <w:kern w:val="0"/>
          <w:sz w:val="24"/>
          <w:szCs w:val="24"/>
          <w:lang w:val="zh-CN"/>
        </w:rPr>
        <w:t>，</w:t>
      </w:r>
      <w:r>
        <w:rPr>
          <w:rFonts w:hint="eastAsia" w:cs="Helvetica" w:asciiTheme="minorEastAsia" w:hAnsiTheme="minorEastAsia"/>
          <w:b/>
          <w:color w:val="000000" w:themeColor="text1"/>
          <w:kern w:val="0"/>
          <w:sz w:val="24"/>
          <w:szCs w:val="24"/>
          <w:lang w:val="zh-CN"/>
        </w:rPr>
        <w:t>中标公告的公示期为1个工作日。</w:t>
      </w:r>
    </w:p>
    <w:p>
      <w:pPr>
        <w:numPr>
          <w:ilvl w:val="0"/>
          <w:numId w:val="33"/>
        </w:numPr>
        <w:tabs>
          <w:tab w:val="left" w:pos="616"/>
        </w:tabs>
        <w:spacing w:line="360" w:lineRule="auto"/>
        <w:ind w:left="616" w:hanging="616"/>
        <w:rPr>
          <w:rFonts w:cs="Helvetica" w:asciiTheme="minorEastAsia" w:hAnsiTheme="minorEastAsia"/>
          <w:color w:val="000000" w:themeColor="text1"/>
          <w:kern w:val="0"/>
          <w:sz w:val="24"/>
          <w:szCs w:val="24"/>
          <w:lang w:val="zh-CN"/>
        </w:rPr>
      </w:pPr>
      <w:r>
        <w:rPr>
          <w:rFonts w:hint="eastAsia" w:cs="Helvetica" w:asciiTheme="minorEastAsia" w:hAnsiTheme="minorEastAsia"/>
          <w:color w:val="000000" w:themeColor="text1"/>
          <w:kern w:val="0"/>
          <w:sz w:val="24"/>
          <w:szCs w:val="24"/>
          <w:lang w:val="zh-CN"/>
        </w:rPr>
        <w:t>资格审查未通过的投标人可在结果公告质疑有效期内按公告中的联系方式获知</w:t>
      </w:r>
      <w:r>
        <w:rPr>
          <w:rFonts w:cs="Helvetica" w:asciiTheme="minorEastAsia" w:hAnsiTheme="minorEastAsia"/>
          <w:color w:val="000000" w:themeColor="text1"/>
          <w:kern w:val="0"/>
          <w:sz w:val="24"/>
          <w:szCs w:val="24"/>
          <w:lang w:val="zh-CN"/>
        </w:rPr>
        <w:t>本</w:t>
      </w:r>
      <w:r>
        <w:rPr>
          <w:rFonts w:hint="eastAsia" w:cs="Helvetica" w:asciiTheme="minorEastAsia" w:hAnsiTheme="minorEastAsia"/>
          <w:color w:val="000000" w:themeColor="text1"/>
          <w:kern w:val="0"/>
          <w:sz w:val="24"/>
          <w:szCs w:val="24"/>
          <w:lang w:val="zh-CN"/>
        </w:rPr>
        <w:t>单位</w:t>
      </w:r>
      <w:r>
        <w:rPr>
          <w:rFonts w:cs="Helvetica" w:asciiTheme="minorEastAsia" w:hAnsiTheme="minorEastAsia"/>
          <w:color w:val="000000" w:themeColor="text1"/>
          <w:kern w:val="0"/>
          <w:sz w:val="24"/>
          <w:szCs w:val="24"/>
          <w:lang w:val="zh-CN"/>
        </w:rPr>
        <w:t>的</w:t>
      </w:r>
      <w:r>
        <w:rPr>
          <w:rFonts w:hint="eastAsia" w:cs="Helvetica" w:asciiTheme="minorEastAsia" w:hAnsiTheme="minorEastAsia"/>
          <w:color w:val="000000" w:themeColor="text1"/>
          <w:kern w:val="0"/>
          <w:sz w:val="24"/>
          <w:szCs w:val="24"/>
          <w:lang w:val="zh-CN"/>
        </w:rPr>
        <w:t>资格审查情况</w:t>
      </w:r>
      <w:r>
        <w:rPr>
          <w:rFonts w:cs="Helvetica" w:asciiTheme="minorEastAsia" w:hAnsiTheme="minorEastAsia"/>
          <w:color w:val="000000" w:themeColor="text1"/>
          <w:kern w:val="0"/>
          <w:sz w:val="24"/>
          <w:szCs w:val="24"/>
          <w:lang w:val="zh-CN"/>
        </w:rPr>
        <w:t>。</w:t>
      </w:r>
    </w:p>
    <w:p>
      <w:pPr>
        <w:numPr>
          <w:ilvl w:val="0"/>
          <w:numId w:val="33"/>
        </w:numPr>
        <w:tabs>
          <w:tab w:val="left" w:pos="616"/>
        </w:tabs>
        <w:spacing w:line="360" w:lineRule="auto"/>
        <w:ind w:left="616" w:hanging="616"/>
        <w:rPr>
          <w:rFonts w:cs="Helvetica" w:asciiTheme="minorEastAsia" w:hAnsiTheme="minorEastAsia"/>
          <w:color w:val="000000" w:themeColor="text1"/>
          <w:kern w:val="0"/>
          <w:sz w:val="24"/>
          <w:szCs w:val="24"/>
          <w:lang w:val="zh-CN"/>
        </w:rPr>
      </w:pPr>
      <w:r>
        <w:rPr>
          <w:rFonts w:cs="Helvetica" w:asciiTheme="minorEastAsia" w:hAnsiTheme="minorEastAsia"/>
          <w:color w:val="000000" w:themeColor="text1"/>
          <w:kern w:val="0"/>
          <w:sz w:val="24"/>
          <w:szCs w:val="24"/>
          <w:lang w:val="zh-CN"/>
        </w:rPr>
        <w:t>采用综合评分法评审的</w:t>
      </w:r>
      <w:r>
        <w:rPr>
          <w:rFonts w:hint="eastAsia" w:cs="Helvetica" w:asciiTheme="minorEastAsia" w:hAnsiTheme="minorEastAsia"/>
          <w:color w:val="000000" w:themeColor="text1"/>
          <w:kern w:val="0"/>
          <w:sz w:val="24"/>
          <w:szCs w:val="24"/>
          <w:lang w:val="zh-CN"/>
        </w:rPr>
        <w:t>项目</w:t>
      </w:r>
      <w:r>
        <w:rPr>
          <w:rFonts w:cs="Helvetica" w:asciiTheme="minorEastAsia" w:hAnsiTheme="minorEastAsia"/>
          <w:color w:val="000000" w:themeColor="text1"/>
          <w:kern w:val="0"/>
          <w:sz w:val="24"/>
          <w:szCs w:val="24"/>
          <w:lang w:val="zh-CN"/>
        </w:rPr>
        <w:t>，</w:t>
      </w:r>
      <w:r>
        <w:rPr>
          <w:rFonts w:hint="eastAsia" w:cs="Helvetica" w:asciiTheme="minorEastAsia" w:hAnsiTheme="minorEastAsia"/>
          <w:color w:val="000000" w:themeColor="text1"/>
          <w:kern w:val="0"/>
          <w:sz w:val="24"/>
          <w:szCs w:val="24"/>
          <w:lang w:val="zh-CN"/>
        </w:rPr>
        <w:t>未中标人可在结果公告质疑有效期内按公告中的联系方式获知</w:t>
      </w:r>
      <w:r>
        <w:rPr>
          <w:rFonts w:cs="Helvetica" w:asciiTheme="minorEastAsia" w:hAnsiTheme="minorEastAsia"/>
          <w:color w:val="000000" w:themeColor="text1"/>
          <w:kern w:val="0"/>
          <w:sz w:val="24"/>
          <w:szCs w:val="24"/>
          <w:lang w:val="zh-CN"/>
        </w:rPr>
        <w:t>本</w:t>
      </w:r>
      <w:r>
        <w:rPr>
          <w:rFonts w:hint="eastAsia" w:cs="Helvetica" w:asciiTheme="minorEastAsia" w:hAnsiTheme="minorEastAsia"/>
          <w:color w:val="000000" w:themeColor="text1"/>
          <w:kern w:val="0"/>
          <w:sz w:val="24"/>
          <w:szCs w:val="24"/>
          <w:lang w:val="zh-CN"/>
        </w:rPr>
        <w:t>单位</w:t>
      </w:r>
      <w:r>
        <w:rPr>
          <w:rFonts w:cs="Helvetica" w:asciiTheme="minorEastAsia" w:hAnsiTheme="minorEastAsia"/>
          <w:color w:val="000000" w:themeColor="text1"/>
          <w:kern w:val="0"/>
          <w:sz w:val="24"/>
          <w:szCs w:val="24"/>
          <w:lang w:val="zh-CN"/>
        </w:rPr>
        <w:t>的评审得分与排序。</w:t>
      </w:r>
    </w:p>
    <w:p>
      <w:pPr>
        <w:pStyle w:val="2"/>
        <w:numPr>
          <w:ilvl w:val="0"/>
          <w:numId w:val="4"/>
        </w:numPr>
        <w:spacing w:before="40" w:after="40" w:line="360" w:lineRule="auto"/>
        <w:ind w:left="658" w:hanging="658"/>
        <w:jc w:val="left"/>
        <w:rPr>
          <w:rFonts w:cs="Times New Roman" w:asciiTheme="majorEastAsia" w:hAnsiTheme="majorEastAsia"/>
          <w:bCs w:val="0"/>
          <w:color w:val="000000" w:themeColor="text1"/>
          <w:lang w:val="zh-CN"/>
        </w:rPr>
      </w:pPr>
      <w:bookmarkStart w:id="26" w:name="_Toc494561946"/>
      <w:bookmarkStart w:id="27" w:name="_Toc6568"/>
      <w:r>
        <w:rPr>
          <w:rFonts w:hint="eastAsia" w:cs="Times New Roman" w:asciiTheme="majorEastAsia" w:hAnsiTheme="majorEastAsia"/>
          <w:bCs w:val="0"/>
          <w:color w:val="000000" w:themeColor="text1"/>
          <w:lang w:val="zh-CN"/>
        </w:rPr>
        <w:t>质疑</w:t>
      </w:r>
      <w:bookmarkEnd w:id="22"/>
      <w:bookmarkEnd w:id="23"/>
      <w:r>
        <w:rPr>
          <w:rFonts w:hint="eastAsia" w:cs="Times New Roman" w:asciiTheme="majorEastAsia" w:hAnsiTheme="majorEastAsia"/>
          <w:bCs w:val="0"/>
          <w:color w:val="000000" w:themeColor="text1"/>
          <w:lang w:val="zh-CN"/>
        </w:rPr>
        <w:t>及提交</w:t>
      </w:r>
      <w:bookmarkEnd w:id="26"/>
      <w:bookmarkEnd w:id="27"/>
    </w:p>
    <w:p>
      <w:pPr>
        <w:numPr>
          <w:ilvl w:val="0"/>
          <w:numId w:val="5"/>
        </w:numPr>
        <w:spacing w:line="360" w:lineRule="auto"/>
        <w:ind w:left="560" w:hanging="560"/>
        <w:rPr>
          <w:rFonts w:ascii="宋体" w:hAnsi="宋体" w:eastAsia="宋体" w:cs="Times New Roman"/>
          <w:b/>
          <w:color w:val="000000" w:themeColor="text1"/>
          <w:sz w:val="24"/>
          <w:szCs w:val="20"/>
          <w:lang w:val="zh-CN"/>
        </w:rPr>
      </w:pPr>
      <w:r>
        <w:rPr>
          <w:rFonts w:hint="eastAsia" w:ascii="宋体" w:hAnsi="宋体" w:eastAsia="宋体" w:cs="Times New Roman"/>
          <w:b/>
          <w:color w:val="000000" w:themeColor="text1"/>
          <w:sz w:val="24"/>
          <w:szCs w:val="20"/>
          <w:lang w:val="zh-CN"/>
        </w:rPr>
        <w:t>质疑提交</w:t>
      </w:r>
    </w:p>
    <w:p>
      <w:pPr>
        <w:autoSpaceDE w:val="0"/>
        <w:autoSpaceDN w:val="0"/>
        <w:adjustRightInd w:val="0"/>
        <w:snapToGrid w:val="0"/>
        <w:spacing w:line="300" w:lineRule="auto"/>
        <w:ind w:left="420" w:right="32" w:firstLine="6"/>
        <w:rPr>
          <w:rFonts w:ascii="宋体" w:hAnsi="宋体" w:eastAsia="宋体" w:cs="Times New Roman"/>
          <w:color w:val="000000" w:themeColor="text1"/>
          <w:sz w:val="24"/>
          <w:szCs w:val="20"/>
          <w:lang w:val="zh-CN"/>
        </w:rPr>
      </w:pPr>
      <w:r>
        <w:rPr>
          <w:rFonts w:hint="eastAsia" w:ascii="宋体" w:hAnsi="宋体" w:eastAsia="宋体" w:cs="Times New Roman"/>
          <w:color w:val="000000" w:themeColor="text1"/>
          <w:sz w:val="24"/>
          <w:szCs w:val="20"/>
          <w:lang w:val="zh-CN"/>
        </w:rPr>
        <w:t>投标人认为招标文件、招标过程和中标结果使自己的权益受到损害的，可以在知道或者应知其权益受到损害之日起7个工作日内，</w:t>
      </w:r>
      <w:r>
        <w:rPr>
          <w:rFonts w:ascii="宋体" w:hAnsi="宋体" w:eastAsia="宋体" w:cs="Times New Roman"/>
          <w:color w:val="000000" w:themeColor="text1"/>
          <w:sz w:val="24"/>
          <w:szCs w:val="20"/>
          <w:lang w:val="zh-CN"/>
        </w:rPr>
        <w:t>向</w:t>
      </w:r>
      <w:r>
        <w:rPr>
          <w:rFonts w:hint="eastAsia" w:ascii="宋体" w:hAnsi="宋体" w:eastAsia="宋体" w:cs="Times New Roman"/>
          <w:color w:val="000000" w:themeColor="text1"/>
          <w:sz w:val="24"/>
          <w:szCs w:val="20"/>
          <w:lang w:val="zh-CN"/>
        </w:rPr>
        <w:t>采购人（或代理公司）</w:t>
      </w:r>
      <w:r>
        <w:rPr>
          <w:rFonts w:ascii="宋体" w:hAnsi="宋体" w:eastAsia="宋体" w:cs="Times New Roman"/>
          <w:color w:val="000000" w:themeColor="text1"/>
          <w:sz w:val="24"/>
          <w:szCs w:val="20"/>
          <w:lang w:val="zh-CN"/>
        </w:rPr>
        <w:t>提出</w:t>
      </w:r>
      <w:r>
        <w:rPr>
          <w:rFonts w:hint="eastAsia" w:ascii="宋体" w:hAnsi="宋体" w:eastAsia="宋体" w:cs="Times New Roman"/>
          <w:color w:val="000000" w:themeColor="text1"/>
          <w:sz w:val="24"/>
          <w:szCs w:val="20"/>
          <w:lang w:val="zh-CN"/>
        </w:rPr>
        <w:t>书面</w:t>
      </w:r>
      <w:r>
        <w:rPr>
          <w:rFonts w:ascii="宋体" w:hAnsi="宋体" w:eastAsia="宋体" w:cs="Times New Roman"/>
          <w:color w:val="000000" w:themeColor="text1"/>
          <w:sz w:val="24"/>
          <w:szCs w:val="20"/>
          <w:lang w:val="zh-CN"/>
        </w:rPr>
        <w:t>质疑</w:t>
      </w:r>
      <w:r>
        <w:rPr>
          <w:rFonts w:hint="eastAsia" w:ascii="宋体" w:hAnsi="宋体" w:eastAsia="宋体" w:cs="Times New Roman"/>
          <w:color w:val="000000" w:themeColor="text1"/>
          <w:sz w:val="24"/>
          <w:szCs w:val="20"/>
          <w:lang w:val="zh-CN"/>
        </w:rPr>
        <w:t>，质疑提出时间以收到之日为准。</w:t>
      </w:r>
    </w:p>
    <w:p>
      <w:pPr>
        <w:numPr>
          <w:ilvl w:val="0"/>
          <w:numId w:val="5"/>
        </w:numPr>
        <w:spacing w:line="360" w:lineRule="auto"/>
        <w:ind w:left="560" w:hanging="560"/>
        <w:rPr>
          <w:rFonts w:ascii="宋体" w:hAnsi="宋体" w:eastAsia="宋体" w:cs="Times New Roman"/>
          <w:b/>
          <w:color w:val="000000" w:themeColor="text1"/>
          <w:sz w:val="24"/>
          <w:szCs w:val="20"/>
          <w:lang w:val="zh-CN"/>
        </w:rPr>
      </w:pPr>
      <w:r>
        <w:rPr>
          <w:rFonts w:hint="eastAsia" w:ascii="宋体" w:hAnsi="宋体" w:eastAsia="宋体" w:cs="Times New Roman"/>
          <w:b/>
          <w:color w:val="000000" w:themeColor="text1"/>
          <w:sz w:val="24"/>
          <w:szCs w:val="20"/>
          <w:lang w:val="zh-CN"/>
        </w:rPr>
        <w:t>投标人</w:t>
      </w:r>
      <w:r>
        <w:rPr>
          <w:rFonts w:ascii="宋体" w:hAnsi="宋体" w:eastAsia="宋体" w:cs="Times New Roman"/>
          <w:b/>
          <w:color w:val="000000" w:themeColor="text1"/>
          <w:sz w:val="24"/>
          <w:szCs w:val="20"/>
          <w:lang w:val="zh-CN"/>
        </w:rPr>
        <w:t>应知其权益受到损害之日是指：</w:t>
      </w:r>
    </w:p>
    <w:p>
      <w:pPr>
        <w:numPr>
          <w:ilvl w:val="0"/>
          <w:numId w:val="34"/>
        </w:numPr>
        <w:spacing w:line="360" w:lineRule="auto"/>
        <w:ind w:left="616" w:hanging="616"/>
        <w:rPr>
          <w:rFonts w:ascii="宋体" w:hAnsi="宋体" w:eastAsia="宋体" w:cs="Times New Roman"/>
          <w:color w:val="000000" w:themeColor="text1"/>
          <w:sz w:val="24"/>
          <w:szCs w:val="20"/>
          <w:lang w:val="zh-CN"/>
        </w:rPr>
      </w:pPr>
      <w:r>
        <w:rPr>
          <w:rFonts w:ascii="宋体" w:hAnsi="宋体" w:eastAsia="宋体" w:cs="Times New Roman"/>
          <w:color w:val="000000" w:themeColor="text1"/>
          <w:sz w:val="24"/>
          <w:szCs w:val="20"/>
          <w:lang w:val="zh-CN"/>
        </w:rPr>
        <w:t>对可以质疑的</w:t>
      </w:r>
      <w:r>
        <w:rPr>
          <w:rFonts w:hint="eastAsia" w:ascii="宋体" w:hAnsi="宋体" w:eastAsia="宋体" w:cs="Times New Roman"/>
          <w:color w:val="000000" w:themeColor="text1"/>
          <w:sz w:val="24"/>
          <w:szCs w:val="20"/>
          <w:lang w:val="zh-CN"/>
        </w:rPr>
        <w:t>招标</w:t>
      </w:r>
      <w:r>
        <w:rPr>
          <w:rFonts w:ascii="宋体" w:hAnsi="宋体" w:eastAsia="宋体" w:cs="Times New Roman"/>
          <w:color w:val="000000" w:themeColor="text1"/>
          <w:sz w:val="24"/>
          <w:szCs w:val="20"/>
          <w:lang w:val="zh-CN"/>
        </w:rPr>
        <w:t>文件提出质疑的，为收到</w:t>
      </w:r>
      <w:r>
        <w:rPr>
          <w:rFonts w:hint="eastAsia" w:ascii="宋体" w:hAnsi="宋体" w:eastAsia="宋体" w:cs="Times New Roman"/>
          <w:color w:val="000000" w:themeColor="text1"/>
          <w:sz w:val="24"/>
          <w:szCs w:val="20"/>
          <w:lang w:val="zh-CN"/>
        </w:rPr>
        <w:t>招标</w:t>
      </w:r>
      <w:r>
        <w:rPr>
          <w:rFonts w:ascii="宋体" w:hAnsi="宋体" w:eastAsia="宋体" w:cs="Times New Roman"/>
          <w:color w:val="000000" w:themeColor="text1"/>
          <w:sz w:val="24"/>
          <w:szCs w:val="20"/>
          <w:lang w:val="zh-CN"/>
        </w:rPr>
        <w:t>文件之日或者</w:t>
      </w:r>
      <w:r>
        <w:rPr>
          <w:rFonts w:hint="eastAsia" w:ascii="宋体" w:hAnsi="宋体" w:eastAsia="宋体" w:cs="Times New Roman"/>
          <w:color w:val="000000" w:themeColor="text1"/>
          <w:sz w:val="24"/>
          <w:szCs w:val="20"/>
          <w:lang w:val="zh-CN"/>
        </w:rPr>
        <w:t>招标</w:t>
      </w:r>
      <w:r>
        <w:rPr>
          <w:rFonts w:ascii="宋体" w:hAnsi="宋体" w:eastAsia="宋体" w:cs="Times New Roman"/>
          <w:color w:val="000000" w:themeColor="text1"/>
          <w:sz w:val="24"/>
          <w:szCs w:val="20"/>
          <w:lang w:val="zh-CN"/>
        </w:rPr>
        <w:t>文件公告期限届满之日</w:t>
      </w:r>
      <w:r>
        <w:rPr>
          <w:rFonts w:hint="eastAsia" w:ascii="宋体" w:hAnsi="宋体" w:eastAsia="宋体" w:cs="Times New Roman"/>
          <w:color w:val="000000" w:themeColor="text1"/>
          <w:sz w:val="24"/>
          <w:szCs w:val="20"/>
          <w:lang w:val="zh-CN"/>
        </w:rPr>
        <w:t>；</w:t>
      </w:r>
    </w:p>
    <w:p>
      <w:pPr>
        <w:numPr>
          <w:ilvl w:val="0"/>
          <w:numId w:val="34"/>
        </w:numPr>
        <w:spacing w:line="360" w:lineRule="auto"/>
        <w:ind w:left="616" w:hanging="616"/>
        <w:rPr>
          <w:rFonts w:ascii="宋体" w:hAnsi="宋体" w:eastAsia="宋体" w:cs="Times New Roman"/>
          <w:color w:val="000000" w:themeColor="text1"/>
          <w:sz w:val="24"/>
          <w:szCs w:val="20"/>
          <w:lang w:val="zh-CN"/>
        </w:rPr>
      </w:pPr>
      <w:r>
        <w:rPr>
          <w:rFonts w:ascii="宋体" w:hAnsi="宋体" w:eastAsia="宋体" w:cs="Times New Roman"/>
          <w:color w:val="000000" w:themeColor="text1"/>
          <w:sz w:val="24"/>
          <w:szCs w:val="20"/>
          <w:lang w:val="zh-CN"/>
        </w:rPr>
        <w:t>对</w:t>
      </w:r>
      <w:r>
        <w:rPr>
          <w:rFonts w:hint="eastAsia" w:ascii="宋体" w:hAnsi="宋体" w:eastAsia="宋体" w:cs="Times New Roman"/>
          <w:color w:val="000000" w:themeColor="text1"/>
          <w:sz w:val="24"/>
          <w:szCs w:val="20"/>
          <w:lang w:val="zh-CN"/>
        </w:rPr>
        <w:t>招标</w:t>
      </w:r>
      <w:r>
        <w:rPr>
          <w:rFonts w:ascii="宋体" w:hAnsi="宋体" w:eastAsia="宋体" w:cs="Times New Roman"/>
          <w:color w:val="000000" w:themeColor="text1"/>
          <w:sz w:val="24"/>
          <w:szCs w:val="20"/>
          <w:lang w:val="zh-CN"/>
        </w:rPr>
        <w:t>过程提出质疑的，为各</w:t>
      </w:r>
      <w:r>
        <w:rPr>
          <w:rFonts w:hint="eastAsia" w:ascii="宋体" w:hAnsi="宋体" w:eastAsia="宋体" w:cs="Times New Roman"/>
          <w:color w:val="000000" w:themeColor="text1"/>
          <w:sz w:val="24"/>
          <w:szCs w:val="20"/>
          <w:lang w:val="zh-CN"/>
        </w:rPr>
        <w:t>招标</w:t>
      </w:r>
      <w:r>
        <w:rPr>
          <w:rFonts w:ascii="宋体" w:hAnsi="宋体" w:eastAsia="宋体" w:cs="Times New Roman"/>
          <w:color w:val="000000" w:themeColor="text1"/>
          <w:sz w:val="24"/>
          <w:szCs w:val="20"/>
          <w:lang w:val="zh-CN"/>
        </w:rPr>
        <w:t>程序环节结束之日</w:t>
      </w:r>
      <w:r>
        <w:rPr>
          <w:rFonts w:hint="eastAsia" w:ascii="宋体" w:hAnsi="宋体" w:eastAsia="宋体" w:cs="Times New Roman"/>
          <w:color w:val="000000" w:themeColor="text1"/>
          <w:sz w:val="24"/>
          <w:szCs w:val="20"/>
          <w:lang w:val="zh-CN"/>
        </w:rPr>
        <w:t>；</w:t>
      </w:r>
    </w:p>
    <w:p>
      <w:pPr>
        <w:numPr>
          <w:ilvl w:val="0"/>
          <w:numId w:val="34"/>
        </w:numPr>
        <w:spacing w:line="360" w:lineRule="auto"/>
        <w:ind w:left="616" w:hanging="616"/>
        <w:rPr>
          <w:rFonts w:ascii="宋体" w:hAnsi="宋体" w:eastAsia="宋体" w:cs="Times New Roman"/>
          <w:color w:val="000000" w:themeColor="text1"/>
          <w:sz w:val="24"/>
          <w:szCs w:val="20"/>
          <w:lang w:val="zh-CN"/>
        </w:rPr>
      </w:pPr>
      <w:r>
        <w:rPr>
          <w:rFonts w:ascii="宋体" w:hAnsi="宋体" w:eastAsia="宋体" w:cs="Times New Roman"/>
          <w:color w:val="000000" w:themeColor="text1"/>
          <w:sz w:val="24"/>
          <w:szCs w:val="20"/>
          <w:lang w:val="zh-CN"/>
        </w:rPr>
        <w:t>对中标结果提出质疑的，为中标公告期限届满之日。</w:t>
      </w:r>
    </w:p>
    <w:p>
      <w:pPr>
        <w:numPr>
          <w:ilvl w:val="0"/>
          <w:numId w:val="5"/>
        </w:numPr>
        <w:spacing w:line="360" w:lineRule="auto"/>
        <w:ind w:left="560" w:hanging="560"/>
        <w:rPr>
          <w:rFonts w:ascii="宋体" w:hAnsi="宋体" w:eastAsia="宋体" w:cs="Times New Roman"/>
          <w:b/>
          <w:color w:val="000000" w:themeColor="text1"/>
          <w:sz w:val="24"/>
          <w:szCs w:val="20"/>
          <w:lang w:val="zh-CN"/>
        </w:rPr>
      </w:pPr>
      <w:r>
        <w:rPr>
          <w:rFonts w:hint="eastAsia" w:ascii="宋体" w:hAnsi="宋体" w:eastAsia="宋体" w:cs="Times New Roman"/>
          <w:b/>
          <w:color w:val="000000" w:themeColor="text1"/>
          <w:sz w:val="24"/>
          <w:szCs w:val="20"/>
          <w:lang w:val="zh-CN"/>
        </w:rPr>
        <w:t>质疑书应当包括下列主要内容：</w:t>
      </w:r>
    </w:p>
    <w:p>
      <w:pPr>
        <w:numPr>
          <w:ilvl w:val="0"/>
          <w:numId w:val="35"/>
        </w:numPr>
        <w:spacing w:line="360" w:lineRule="auto"/>
        <w:ind w:left="616" w:hanging="616"/>
        <w:rPr>
          <w:rFonts w:ascii="宋体" w:hAnsi="宋体" w:eastAsia="宋体" w:cs="Times New Roman"/>
          <w:color w:val="000000" w:themeColor="text1"/>
          <w:sz w:val="24"/>
          <w:szCs w:val="20"/>
          <w:lang w:val="zh-CN"/>
        </w:rPr>
      </w:pPr>
      <w:r>
        <w:rPr>
          <w:rFonts w:hint="eastAsia" w:ascii="宋体" w:hAnsi="宋体" w:eastAsia="宋体" w:cs="Times New Roman"/>
          <w:color w:val="000000" w:themeColor="text1"/>
          <w:sz w:val="24"/>
          <w:szCs w:val="20"/>
          <w:lang w:val="zh-CN"/>
        </w:rPr>
        <w:t>质疑人的名称、地址、联系人及联系电话等；</w:t>
      </w:r>
    </w:p>
    <w:p>
      <w:pPr>
        <w:numPr>
          <w:ilvl w:val="0"/>
          <w:numId w:val="35"/>
        </w:numPr>
        <w:spacing w:line="360" w:lineRule="auto"/>
        <w:ind w:left="616" w:hanging="616"/>
        <w:rPr>
          <w:rFonts w:ascii="宋体" w:hAnsi="宋体" w:eastAsia="宋体" w:cs="Times New Roman"/>
          <w:color w:val="000000" w:themeColor="text1"/>
          <w:sz w:val="24"/>
          <w:szCs w:val="20"/>
          <w:lang w:val="zh-CN"/>
        </w:rPr>
      </w:pPr>
      <w:r>
        <w:rPr>
          <w:rFonts w:hint="eastAsia" w:ascii="宋体" w:hAnsi="宋体" w:eastAsia="宋体" w:cs="Times New Roman"/>
          <w:color w:val="000000" w:themeColor="text1"/>
          <w:sz w:val="24"/>
          <w:szCs w:val="20"/>
          <w:lang w:val="zh-CN"/>
        </w:rPr>
        <w:t>被质疑人的名称、地址、联系人及联系电话等；</w:t>
      </w:r>
    </w:p>
    <w:p>
      <w:pPr>
        <w:numPr>
          <w:ilvl w:val="0"/>
          <w:numId w:val="35"/>
        </w:numPr>
        <w:spacing w:line="360" w:lineRule="auto"/>
        <w:ind w:left="616" w:hanging="616"/>
        <w:rPr>
          <w:rFonts w:ascii="宋体" w:hAnsi="宋体" w:eastAsia="宋体" w:cs="Times New Roman"/>
          <w:color w:val="000000" w:themeColor="text1"/>
          <w:sz w:val="24"/>
          <w:szCs w:val="20"/>
          <w:lang w:val="zh-CN"/>
        </w:rPr>
      </w:pPr>
      <w:r>
        <w:rPr>
          <w:rFonts w:hint="eastAsia" w:ascii="宋体" w:hAnsi="宋体" w:eastAsia="宋体" w:cs="Times New Roman"/>
          <w:color w:val="000000" w:themeColor="text1"/>
          <w:sz w:val="24"/>
          <w:szCs w:val="20"/>
          <w:lang w:val="zh-CN"/>
        </w:rPr>
        <w:t>质疑项目名称及编号、质疑事项和明确的请求；</w:t>
      </w:r>
    </w:p>
    <w:p>
      <w:pPr>
        <w:numPr>
          <w:ilvl w:val="0"/>
          <w:numId w:val="35"/>
        </w:numPr>
        <w:spacing w:line="360" w:lineRule="auto"/>
        <w:ind w:left="616" w:hanging="616"/>
        <w:rPr>
          <w:rFonts w:ascii="宋体" w:hAnsi="宋体" w:eastAsia="宋体" w:cs="Times New Roman"/>
          <w:color w:val="000000" w:themeColor="text1"/>
          <w:sz w:val="24"/>
          <w:szCs w:val="20"/>
          <w:lang w:val="zh-CN"/>
        </w:rPr>
      </w:pPr>
      <w:r>
        <w:rPr>
          <w:rFonts w:hint="eastAsia" w:ascii="宋体" w:hAnsi="宋体" w:eastAsia="宋体" w:cs="Times New Roman"/>
          <w:color w:val="000000" w:themeColor="text1"/>
          <w:sz w:val="24"/>
          <w:szCs w:val="20"/>
          <w:lang w:val="zh-CN"/>
        </w:rPr>
        <w:t>质疑事项的事实根据、法律依据及其他必要的证明材料；</w:t>
      </w:r>
    </w:p>
    <w:p>
      <w:pPr>
        <w:numPr>
          <w:ilvl w:val="0"/>
          <w:numId w:val="35"/>
        </w:numPr>
        <w:spacing w:line="360" w:lineRule="auto"/>
        <w:ind w:left="616" w:hanging="616"/>
        <w:rPr>
          <w:rFonts w:ascii="宋体" w:hAnsi="宋体" w:eastAsia="宋体" w:cs="Times New Roman"/>
          <w:color w:val="000000" w:themeColor="text1"/>
          <w:sz w:val="24"/>
          <w:szCs w:val="20"/>
          <w:lang w:val="zh-CN"/>
        </w:rPr>
      </w:pPr>
      <w:r>
        <w:rPr>
          <w:rFonts w:hint="eastAsia" w:ascii="宋体" w:hAnsi="宋体" w:eastAsia="宋体" w:cs="Times New Roman"/>
          <w:color w:val="000000" w:themeColor="text1"/>
          <w:sz w:val="24"/>
          <w:szCs w:val="20"/>
          <w:lang w:val="zh-CN"/>
        </w:rPr>
        <w:t>提出质疑的日期；</w:t>
      </w:r>
    </w:p>
    <w:p>
      <w:pPr>
        <w:numPr>
          <w:ilvl w:val="0"/>
          <w:numId w:val="35"/>
        </w:numPr>
        <w:spacing w:line="360" w:lineRule="auto"/>
        <w:ind w:left="616" w:hanging="616"/>
        <w:rPr>
          <w:rFonts w:ascii="宋体" w:hAnsi="宋体" w:eastAsia="宋体" w:cs="Times New Roman"/>
          <w:color w:val="000000" w:themeColor="text1"/>
          <w:sz w:val="24"/>
          <w:szCs w:val="20"/>
          <w:lang w:val="zh-CN"/>
        </w:rPr>
      </w:pPr>
      <w:r>
        <w:rPr>
          <w:rFonts w:hint="eastAsia" w:ascii="宋体" w:hAnsi="宋体" w:eastAsia="宋体" w:cs="Times New Roman"/>
          <w:color w:val="000000" w:themeColor="text1"/>
          <w:sz w:val="24"/>
          <w:szCs w:val="20"/>
          <w:lang w:val="zh-CN"/>
        </w:rPr>
        <w:t>质疑人的署名及签章（质疑人为自然人的，应当由本人签字；质疑人为法人或者其他组织的，应当由法定代表人或者主要负责人签字盖章并加盖公章）；</w:t>
      </w:r>
    </w:p>
    <w:p>
      <w:pPr>
        <w:numPr>
          <w:ilvl w:val="0"/>
          <w:numId w:val="35"/>
        </w:numPr>
        <w:spacing w:line="360" w:lineRule="auto"/>
        <w:ind w:left="616" w:hanging="616"/>
        <w:rPr>
          <w:rFonts w:ascii="宋体" w:hAnsi="宋体" w:eastAsia="宋体" w:cs="Times New Roman"/>
          <w:color w:val="000000" w:themeColor="text1"/>
          <w:sz w:val="24"/>
          <w:szCs w:val="20"/>
          <w:lang w:val="zh-CN"/>
        </w:rPr>
      </w:pPr>
      <w:r>
        <w:rPr>
          <w:rFonts w:hint="eastAsia" w:ascii="宋体" w:hAnsi="宋体" w:eastAsia="宋体" w:cs="Times New Roman"/>
          <w:color w:val="000000" w:themeColor="text1"/>
          <w:sz w:val="24"/>
          <w:szCs w:val="20"/>
          <w:lang w:val="zh-CN"/>
        </w:rPr>
        <w:t>法人授权委托书（质疑人或法人委托代理人办理质疑事务的，应当提供授权委托书，授权委托书应当载明委托代理的具体权限和事项）。</w:t>
      </w:r>
    </w:p>
    <w:p>
      <w:pPr>
        <w:numPr>
          <w:ilvl w:val="0"/>
          <w:numId w:val="5"/>
        </w:numPr>
        <w:spacing w:line="360" w:lineRule="auto"/>
        <w:ind w:left="560" w:hanging="560"/>
        <w:rPr>
          <w:rFonts w:ascii="宋体" w:hAnsi="宋体" w:eastAsia="宋体" w:cs="Times New Roman"/>
          <w:b/>
          <w:color w:val="000000" w:themeColor="text1"/>
          <w:sz w:val="24"/>
          <w:szCs w:val="20"/>
          <w:lang w:val="zh-CN"/>
        </w:rPr>
      </w:pPr>
      <w:r>
        <w:rPr>
          <w:rFonts w:hint="eastAsia" w:ascii="宋体" w:hAnsi="宋体" w:eastAsia="宋体" w:cs="Times New Roman"/>
          <w:b/>
          <w:color w:val="000000" w:themeColor="text1"/>
          <w:sz w:val="24"/>
          <w:szCs w:val="20"/>
          <w:lang w:val="zh-CN"/>
        </w:rPr>
        <w:t>不予受理的情形</w:t>
      </w:r>
    </w:p>
    <w:p>
      <w:pPr>
        <w:spacing w:line="360" w:lineRule="auto"/>
        <w:ind w:firstLine="480" w:firstLineChars="200"/>
        <w:rPr>
          <w:rFonts w:ascii="宋体" w:hAnsi="宋体" w:eastAsia="宋体" w:cs="Times New Roman"/>
          <w:color w:val="000000" w:themeColor="text1"/>
          <w:sz w:val="24"/>
          <w:szCs w:val="20"/>
          <w:lang w:val="zh-CN"/>
        </w:rPr>
      </w:pPr>
      <w:r>
        <w:rPr>
          <w:rFonts w:hint="eastAsia" w:ascii="宋体" w:hAnsi="宋体" w:eastAsia="宋体" w:cs="Times New Roman"/>
          <w:color w:val="000000" w:themeColor="text1"/>
          <w:sz w:val="24"/>
          <w:szCs w:val="20"/>
          <w:lang w:val="zh-CN"/>
        </w:rPr>
        <w:t>投标人未按本章“质疑及提交”规定的时限、内容及方式进行质疑的，采购人（或代理公司）不予受理。</w:t>
      </w:r>
    </w:p>
    <w:p>
      <w:pPr>
        <w:pStyle w:val="2"/>
        <w:numPr>
          <w:ilvl w:val="0"/>
          <w:numId w:val="4"/>
        </w:numPr>
        <w:spacing w:before="40" w:after="40" w:line="360" w:lineRule="auto"/>
        <w:ind w:left="658" w:hanging="658"/>
        <w:jc w:val="left"/>
        <w:rPr>
          <w:rFonts w:cs="Times New Roman" w:asciiTheme="majorEastAsia" w:hAnsiTheme="majorEastAsia"/>
          <w:bCs w:val="0"/>
          <w:color w:val="000000" w:themeColor="text1"/>
          <w:lang w:val="zh-CN"/>
        </w:rPr>
      </w:pPr>
      <w:bookmarkStart w:id="28" w:name="_Toc494561947"/>
      <w:bookmarkStart w:id="29" w:name="_Toc28870"/>
      <w:r>
        <w:rPr>
          <w:rFonts w:hint="eastAsia" w:cs="Times New Roman" w:asciiTheme="majorEastAsia" w:hAnsiTheme="majorEastAsia"/>
          <w:bCs w:val="0"/>
          <w:color w:val="000000" w:themeColor="text1"/>
          <w:lang w:val="zh-CN"/>
        </w:rPr>
        <w:t>相关条文解读</w:t>
      </w:r>
      <w:bookmarkEnd w:id="28"/>
      <w:bookmarkEnd w:id="29"/>
    </w:p>
    <w:p>
      <w:pPr>
        <w:numPr>
          <w:ilvl w:val="0"/>
          <w:numId w:val="5"/>
        </w:numPr>
        <w:spacing w:line="360" w:lineRule="auto"/>
        <w:ind w:left="560" w:hanging="560"/>
        <w:rPr>
          <w:rFonts w:ascii="宋体" w:hAnsi="宋体" w:eastAsia="宋体" w:cs="Times New Roman"/>
          <w:color w:val="000000" w:themeColor="text1"/>
          <w:sz w:val="24"/>
          <w:szCs w:val="20"/>
          <w:lang w:val="zh-CN"/>
        </w:rPr>
      </w:pPr>
      <w:r>
        <w:rPr>
          <w:rFonts w:hint="eastAsia" w:ascii="宋体" w:hAnsi="宋体" w:eastAsia="宋体" w:cs="Times New Roman"/>
          <w:color w:val="000000" w:themeColor="text1"/>
          <w:sz w:val="24"/>
          <w:szCs w:val="20"/>
          <w:lang w:val="zh-CN"/>
        </w:rPr>
        <w:t>政府采购法第二十二条第一款第五项所称重大违法记录，是指供应商因违法经营受到刑事处罚或者责令停产停业、吊销许可证或者执照、较大数额罚款等行政处罚。</w:t>
      </w:r>
    </w:p>
    <w:p>
      <w:pPr>
        <w:numPr>
          <w:ilvl w:val="0"/>
          <w:numId w:val="5"/>
        </w:numPr>
        <w:spacing w:line="360" w:lineRule="auto"/>
        <w:ind w:left="560" w:hanging="560"/>
        <w:rPr>
          <w:rFonts w:ascii="宋体" w:hAnsi="宋体" w:eastAsia="宋体" w:cs="Times New Roman"/>
          <w:color w:val="000000" w:themeColor="text1"/>
          <w:sz w:val="24"/>
          <w:szCs w:val="20"/>
          <w:lang w:val="zh-CN"/>
        </w:rPr>
      </w:pPr>
      <w:r>
        <w:rPr>
          <w:rFonts w:hint="eastAsia" w:ascii="宋体" w:hAnsi="宋体" w:eastAsia="宋体" w:cs="Times New Roman"/>
          <w:color w:val="000000" w:themeColor="text1"/>
          <w:sz w:val="24"/>
          <w:szCs w:val="20"/>
          <w:lang w:val="zh-CN"/>
        </w:rPr>
        <w:t>按照财政部《关于规范政府采购行政处罚有关问题的通知》的规定，</w:t>
      </w:r>
      <w:r>
        <w:rPr>
          <w:rFonts w:ascii="宋体" w:hAnsi="宋体" w:eastAsia="宋体" w:cs="Times New Roman"/>
          <w:color w:val="000000" w:themeColor="text1"/>
          <w:sz w:val="24"/>
          <w:szCs w:val="20"/>
          <w:lang w:val="zh-CN"/>
        </w:rPr>
        <w:t>各级人民政府财政部门依法对参加政府采购活动的供应商作出的禁止参加政府采购活动等行政处罚决定在全国范围内生效。</w:t>
      </w:r>
    </w:p>
    <w:p>
      <w:pPr>
        <w:numPr>
          <w:ilvl w:val="0"/>
          <w:numId w:val="5"/>
        </w:numPr>
        <w:spacing w:line="360" w:lineRule="auto"/>
        <w:ind w:left="560" w:hanging="560"/>
        <w:rPr>
          <w:rFonts w:ascii="宋体" w:hAnsi="宋体" w:eastAsia="宋体" w:cs="Times New Roman"/>
          <w:color w:val="000000" w:themeColor="text1"/>
          <w:sz w:val="24"/>
          <w:szCs w:val="20"/>
          <w:lang w:val="zh-CN"/>
        </w:rPr>
      </w:pPr>
      <w:r>
        <w:rPr>
          <w:rFonts w:hint="eastAsia" w:ascii="宋体" w:hAnsi="宋体" w:eastAsia="宋体" w:cs="Times New Roman"/>
          <w:color w:val="000000" w:themeColor="text1"/>
          <w:sz w:val="24"/>
          <w:szCs w:val="20"/>
          <w:lang w:val="zh-CN"/>
        </w:rPr>
        <w:t>供应商在参加政府采购活动前3年内因违法经营被禁止在一定期限内参加政府采购活动，期限届满的，可以参加政府采购活动。</w:t>
      </w:r>
    </w:p>
    <w:p>
      <w:pPr>
        <w:numPr>
          <w:ilvl w:val="0"/>
          <w:numId w:val="5"/>
        </w:numPr>
        <w:spacing w:line="360" w:lineRule="auto"/>
        <w:ind w:left="560" w:hanging="560"/>
        <w:rPr>
          <w:rFonts w:ascii="宋体" w:hAnsi="宋体" w:eastAsia="宋体" w:cs="Times New Roman"/>
          <w:color w:val="000000" w:themeColor="text1"/>
          <w:sz w:val="24"/>
          <w:szCs w:val="20"/>
          <w:lang w:val="zh-CN"/>
        </w:rPr>
      </w:pPr>
      <w:r>
        <w:rPr>
          <w:rFonts w:hint="eastAsia" w:ascii="宋体" w:hAnsi="宋体" w:eastAsia="宋体" w:cs="Times New Roman"/>
          <w:color w:val="000000" w:themeColor="text1"/>
          <w:sz w:val="24"/>
          <w:szCs w:val="20"/>
          <w:lang w:val="zh-CN"/>
        </w:rPr>
        <w:t>根据财政部《政府采购法实施条例》释义中关于供应商资格条件的解释，对于银行、保险、石油石化、电力、电信等有行业特殊情况的，采购人和集中采购机构允许其分支机构参与投标。</w:t>
      </w:r>
    </w:p>
    <w:p>
      <w:pPr>
        <w:pStyle w:val="2"/>
        <w:numPr>
          <w:ilvl w:val="0"/>
          <w:numId w:val="4"/>
        </w:numPr>
        <w:spacing w:before="40" w:after="40" w:line="360" w:lineRule="auto"/>
        <w:ind w:left="658" w:hanging="658"/>
        <w:jc w:val="left"/>
        <w:rPr>
          <w:rFonts w:cs="Times New Roman" w:asciiTheme="majorEastAsia" w:hAnsiTheme="majorEastAsia"/>
          <w:bCs w:val="0"/>
          <w:color w:val="000000" w:themeColor="text1"/>
          <w:lang w:val="zh-CN"/>
        </w:rPr>
      </w:pPr>
      <w:bookmarkStart w:id="30" w:name="_Toc494561948"/>
      <w:bookmarkStart w:id="31" w:name="_Toc857"/>
      <w:r>
        <w:rPr>
          <w:rFonts w:hint="eastAsia" w:cs="Times New Roman" w:asciiTheme="majorEastAsia" w:hAnsiTheme="majorEastAsia"/>
          <w:bCs w:val="0"/>
          <w:color w:val="000000" w:themeColor="text1"/>
          <w:lang w:val="zh-CN"/>
        </w:rPr>
        <w:t>其他注意事项</w:t>
      </w:r>
      <w:bookmarkEnd w:id="30"/>
      <w:bookmarkEnd w:id="31"/>
    </w:p>
    <w:p>
      <w:pPr>
        <w:numPr>
          <w:ilvl w:val="0"/>
          <w:numId w:val="5"/>
        </w:numPr>
        <w:spacing w:line="360" w:lineRule="auto"/>
        <w:ind w:left="560" w:hanging="560"/>
        <w:rPr>
          <w:rFonts w:ascii="宋体" w:hAnsi="宋体" w:eastAsia="宋体" w:cs="Times New Roman"/>
          <w:color w:val="000000" w:themeColor="text1"/>
          <w:sz w:val="24"/>
          <w:szCs w:val="20"/>
          <w:lang w:val="zh-CN"/>
        </w:rPr>
      </w:pPr>
      <w:r>
        <w:rPr>
          <w:rFonts w:hint="eastAsia" w:ascii="宋体" w:hAnsi="宋体" w:eastAsia="宋体" w:cs="Times New Roman"/>
          <w:color w:val="000000" w:themeColor="text1"/>
          <w:sz w:val="24"/>
          <w:szCs w:val="20"/>
          <w:lang w:val="zh-CN"/>
        </w:rPr>
        <w:t>单位负责人为同一人或者存在直接控股、管理关系的不同供应商，不得参加同一合同项下的政府采购活动。</w:t>
      </w:r>
    </w:p>
    <w:p>
      <w:pPr>
        <w:numPr>
          <w:ilvl w:val="0"/>
          <w:numId w:val="5"/>
        </w:numPr>
        <w:spacing w:line="360" w:lineRule="auto"/>
        <w:ind w:left="560" w:hanging="560"/>
        <w:rPr>
          <w:rFonts w:ascii="宋体" w:hAnsi="宋体" w:eastAsia="宋体" w:cs="Times New Roman"/>
          <w:color w:val="000000" w:themeColor="text1"/>
          <w:sz w:val="24"/>
          <w:szCs w:val="20"/>
          <w:lang w:val="zh-CN"/>
        </w:rPr>
      </w:pPr>
      <w:r>
        <w:rPr>
          <w:rFonts w:hint="eastAsia" w:ascii="宋体" w:hAnsi="宋体" w:eastAsia="宋体" w:cs="Times New Roman"/>
          <w:color w:val="000000" w:themeColor="text1"/>
          <w:sz w:val="24"/>
          <w:szCs w:val="20"/>
          <w:lang w:val="zh-CN"/>
        </w:rPr>
        <w:t>除单一来源采购项目外，为采购项目提供整体设计、规范编制或者项目管理、监理、检测等服务的供应商，不得再参加该采购项目的其他采购活动。</w:t>
      </w:r>
    </w:p>
    <w:p>
      <w:pPr>
        <w:pStyle w:val="2"/>
        <w:numPr>
          <w:ilvl w:val="0"/>
          <w:numId w:val="4"/>
        </w:numPr>
        <w:spacing w:before="40" w:after="40" w:line="360" w:lineRule="auto"/>
        <w:ind w:left="966" w:hanging="966"/>
        <w:jc w:val="left"/>
        <w:rPr>
          <w:rFonts w:cs="Times New Roman" w:asciiTheme="majorEastAsia" w:hAnsiTheme="majorEastAsia"/>
          <w:bCs w:val="0"/>
          <w:color w:val="000000" w:themeColor="text1"/>
          <w:lang w:val="zh-CN"/>
        </w:rPr>
      </w:pPr>
      <w:bookmarkStart w:id="32" w:name="_Toc278891598"/>
      <w:bookmarkStart w:id="33" w:name="_Toc11919"/>
      <w:bookmarkStart w:id="34" w:name="_Toc272247701"/>
      <w:bookmarkStart w:id="35" w:name="_Toc494561949"/>
      <w:r>
        <w:rPr>
          <w:rFonts w:hint="eastAsia" w:cs="Times New Roman" w:asciiTheme="majorEastAsia" w:hAnsiTheme="majorEastAsia"/>
          <w:bCs w:val="0"/>
          <w:color w:val="000000" w:themeColor="text1"/>
          <w:lang w:val="zh-CN"/>
        </w:rPr>
        <w:t>适用法律</w:t>
      </w:r>
      <w:bookmarkEnd w:id="32"/>
      <w:bookmarkEnd w:id="33"/>
      <w:bookmarkEnd w:id="34"/>
      <w:bookmarkEnd w:id="35"/>
    </w:p>
    <w:p>
      <w:pPr>
        <w:numPr>
          <w:ilvl w:val="0"/>
          <w:numId w:val="5"/>
        </w:numPr>
        <w:spacing w:line="360" w:lineRule="auto"/>
        <w:ind w:left="560" w:hanging="560"/>
        <w:rPr>
          <w:rFonts w:ascii="宋体" w:hAnsi="宋体" w:eastAsia="宋体" w:cs="Times New Roman"/>
          <w:color w:val="000000" w:themeColor="text1"/>
          <w:sz w:val="24"/>
          <w:szCs w:val="20"/>
          <w:lang w:val="zh-CN"/>
        </w:rPr>
      </w:pPr>
      <w:r>
        <w:rPr>
          <w:rFonts w:hint="eastAsia" w:ascii="宋体" w:hAnsi="宋体" w:eastAsia="宋体" w:cs="Times New Roman"/>
          <w:color w:val="000000" w:themeColor="text1"/>
          <w:sz w:val="24"/>
          <w:szCs w:val="20"/>
          <w:lang w:val="zh-CN"/>
        </w:rPr>
        <w:t>采购人、采购代理机构及投标人的一切招标投标活动均适用《政府采购法》、《政府采购法实施条例》、</w:t>
      </w:r>
      <w:r>
        <w:rPr>
          <w:rFonts w:ascii="宋体" w:hAnsi="宋体" w:eastAsia="宋体" w:cs="Times New Roman"/>
          <w:color w:val="000000" w:themeColor="text1"/>
          <w:sz w:val="24"/>
          <w:szCs w:val="20"/>
          <w:lang w:val="zh-CN"/>
        </w:rPr>
        <w:t>《政府采购货物和服务招标投标管理办法》</w:t>
      </w:r>
      <w:r>
        <w:rPr>
          <w:rFonts w:hint="eastAsia" w:ascii="宋体" w:hAnsi="宋体" w:eastAsia="宋体" w:cs="Times New Roman"/>
          <w:color w:val="000000" w:themeColor="text1"/>
          <w:sz w:val="24"/>
          <w:szCs w:val="20"/>
          <w:lang w:val="zh-CN"/>
        </w:rPr>
        <w:t>及相关法律法规。</w:t>
      </w:r>
    </w:p>
    <w:p>
      <w:pPr>
        <w:numPr>
          <w:ilvl w:val="0"/>
          <w:numId w:val="5"/>
        </w:numPr>
        <w:spacing w:line="360" w:lineRule="auto"/>
        <w:ind w:left="560" w:hanging="560"/>
        <w:rPr>
          <w:rFonts w:ascii="宋体" w:hAnsi="宋体" w:eastAsia="宋体" w:cs="Times New Roman"/>
          <w:color w:val="000000" w:themeColor="text1"/>
          <w:sz w:val="24"/>
          <w:szCs w:val="20"/>
          <w:lang w:val="zh-CN"/>
        </w:rPr>
      </w:pPr>
      <w:r>
        <w:rPr>
          <w:rFonts w:ascii="Helvetica" w:hAnsi="Helvetica" w:eastAsia="宋体" w:cs="Helvetica"/>
          <w:color w:val="000000" w:themeColor="text1"/>
          <w:kern w:val="0"/>
          <w:sz w:val="24"/>
          <w:szCs w:val="24"/>
          <w:lang w:val="zh-CN"/>
        </w:rPr>
        <w:t>政府采购合同的履行、违约责任和解决争议的方法等适用《合同法》。</w:t>
      </w:r>
    </w:p>
    <w:p>
      <w:pPr>
        <w:pStyle w:val="2"/>
        <w:numPr>
          <w:ilvl w:val="0"/>
          <w:numId w:val="4"/>
        </w:numPr>
        <w:spacing w:before="40" w:after="40" w:line="360" w:lineRule="auto"/>
        <w:ind w:left="966" w:hanging="966"/>
        <w:jc w:val="left"/>
        <w:rPr>
          <w:rFonts w:cs="Times New Roman" w:asciiTheme="majorEastAsia" w:hAnsiTheme="majorEastAsia"/>
          <w:bCs w:val="0"/>
          <w:color w:val="000000" w:themeColor="text1"/>
          <w:lang w:val="zh-CN"/>
        </w:rPr>
      </w:pPr>
      <w:bookmarkStart w:id="36" w:name="_Toc17423"/>
      <w:bookmarkStart w:id="37" w:name="_Toc278891599"/>
      <w:bookmarkStart w:id="38" w:name="_Toc272247702"/>
      <w:bookmarkStart w:id="39" w:name="_Toc494561950"/>
      <w:r>
        <w:rPr>
          <w:rFonts w:hint="eastAsia" w:cs="Times New Roman" w:asciiTheme="majorEastAsia" w:hAnsiTheme="majorEastAsia"/>
          <w:bCs w:val="0"/>
          <w:color w:val="000000" w:themeColor="text1"/>
          <w:lang w:val="zh-CN"/>
        </w:rPr>
        <w:t>招标文件的解释权</w:t>
      </w:r>
      <w:bookmarkEnd w:id="36"/>
      <w:bookmarkEnd w:id="37"/>
      <w:bookmarkEnd w:id="38"/>
      <w:bookmarkEnd w:id="39"/>
    </w:p>
    <w:p>
      <w:pPr>
        <w:numPr>
          <w:ilvl w:val="0"/>
          <w:numId w:val="5"/>
        </w:numPr>
        <w:spacing w:line="360" w:lineRule="auto"/>
        <w:ind w:left="560" w:hanging="560"/>
        <w:rPr>
          <w:color w:val="000000" w:themeColor="text1"/>
        </w:rPr>
      </w:pPr>
      <w:r>
        <w:rPr>
          <w:rFonts w:hint="eastAsia" w:ascii="宋体" w:hAnsi="宋体" w:eastAsia="宋体" w:cs="Times New Roman"/>
          <w:color w:val="000000" w:themeColor="text1"/>
          <w:sz w:val="24"/>
          <w:szCs w:val="20"/>
          <w:lang w:val="zh-CN"/>
        </w:rPr>
        <w:t>招标文件的最终解释权为采购人、采购代理机构所有。</w:t>
      </w:r>
      <w:r>
        <w:rPr>
          <w:color w:val="000000" w:themeColor="text1"/>
        </w:rPr>
        <w:br w:type="page"/>
      </w:r>
    </w:p>
    <w:p>
      <w:pPr>
        <w:pStyle w:val="3"/>
        <w:numPr>
          <w:ilvl w:val="0"/>
          <w:numId w:val="1"/>
        </w:numPr>
        <w:jc w:val="center"/>
        <w:rPr>
          <w:color w:val="FF0000"/>
        </w:rPr>
      </w:pPr>
      <w:bookmarkStart w:id="40" w:name="_Toc15959"/>
      <w:r>
        <w:rPr>
          <w:rFonts w:hint="eastAsia" w:ascii="黑体" w:hAnsi="黑体" w:eastAsia="黑体"/>
          <w:color w:val="000000" w:themeColor="text1"/>
        </w:rPr>
        <w:t>项目技术、服务及商务要求</w:t>
      </w:r>
      <w:bookmarkEnd w:id="40"/>
      <w:bookmarkStart w:id="41" w:name="_Toc494561956"/>
    </w:p>
    <w:p>
      <w:pPr>
        <w:pStyle w:val="33"/>
        <w:rPr>
          <w:b/>
          <w:bCs/>
          <w:color w:val="000000"/>
          <w:lang w:bidi="ar"/>
        </w:rPr>
      </w:pPr>
      <w:r>
        <w:rPr>
          <w:rFonts w:hint="eastAsia"/>
          <w:b/>
          <w:bCs/>
          <w:color w:val="000000"/>
          <w:lang w:bidi="ar"/>
        </w:rPr>
        <w:t>特别说明：本章标“</w:t>
      </w:r>
      <w:r>
        <w:rPr>
          <w:rFonts w:hint="eastAsia"/>
          <w:sz w:val="22"/>
          <w:szCs w:val="22"/>
        </w:rPr>
        <w:t>★</w:t>
      </w:r>
      <w:r>
        <w:rPr>
          <w:rFonts w:hint="eastAsia"/>
          <w:b/>
          <w:bCs/>
          <w:color w:val="000000"/>
          <w:lang w:bidi="ar"/>
        </w:rPr>
        <w:t>”号的条款为实质性条款要求，任意一项不响应的将作为无效投标处理；标“</w:t>
      </w:r>
      <w:r>
        <w:rPr>
          <w:rFonts w:hint="eastAsia"/>
          <w:b/>
          <w:snapToGrid w:val="0"/>
          <w:spacing w:val="8"/>
          <w:sz w:val="22"/>
          <w:szCs w:val="22"/>
        </w:rPr>
        <w:t>▲</w:t>
      </w:r>
      <w:r>
        <w:rPr>
          <w:rFonts w:hint="eastAsia"/>
          <w:b/>
          <w:bCs/>
          <w:color w:val="000000"/>
          <w:lang w:bidi="ar"/>
        </w:rPr>
        <w:t>”号的条款为“评分标准表”中的评分内容。</w:t>
      </w:r>
    </w:p>
    <w:p>
      <w:pPr>
        <w:pStyle w:val="33"/>
        <w:rPr>
          <w:b/>
          <w:bCs/>
        </w:rPr>
      </w:pPr>
      <w:r>
        <w:rPr>
          <w:rFonts w:hint="eastAsia"/>
          <w:b/>
          <w:bCs/>
          <w:color w:val="000000"/>
          <w:lang w:bidi="ar"/>
        </w:rPr>
        <w:t>采购清单：移动医疗卫生服务车、车载设备及车载智慧基卫服务信息系统；彩超；村卫生室智能服务包</w:t>
      </w:r>
    </w:p>
    <w:p>
      <w:pPr>
        <w:pStyle w:val="33"/>
        <w:rPr>
          <w:b/>
          <w:bCs/>
          <w:color w:val="FF0000"/>
        </w:rPr>
      </w:pPr>
      <w:r>
        <w:rPr>
          <w:rFonts w:hint="eastAsia"/>
          <w:b/>
          <w:bCs/>
          <w:color w:val="FF0000"/>
        </w:rPr>
        <w:t>本项目核心产品为下表中的“车载智慧基卫服务信息系统”。</w:t>
      </w:r>
    </w:p>
    <w:tbl>
      <w:tblPr>
        <w:tblStyle w:val="18"/>
        <w:tblW w:w="9062" w:type="dxa"/>
        <w:tblInd w:w="0" w:type="dxa"/>
        <w:tblLayout w:type="fixed"/>
        <w:tblCellMar>
          <w:top w:w="0" w:type="dxa"/>
          <w:left w:w="0" w:type="dxa"/>
          <w:bottom w:w="0" w:type="dxa"/>
          <w:right w:w="0" w:type="dxa"/>
        </w:tblCellMar>
      </w:tblPr>
      <w:tblGrid>
        <w:gridCol w:w="827"/>
        <w:gridCol w:w="1857"/>
        <w:gridCol w:w="3969"/>
        <w:gridCol w:w="1275"/>
        <w:gridCol w:w="1134"/>
      </w:tblGrid>
      <w:tr>
        <w:tblPrEx>
          <w:tblCellMar>
            <w:top w:w="0" w:type="dxa"/>
            <w:left w:w="0" w:type="dxa"/>
            <w:bottom w:w="0" w:type="dxa"/>
            <w:right w:w="0" w:type="dxa"/>
          </w:tblCellMar>
        </w:tblPrEx>
        <w:trPr>
          <w:trHeight w:val="435" w:hRule="atLeast"/>
        </w:trPr>
        <w:tc>
          <w:tcPr>
            <w:tcW w:w="827" w:type="dxa"/>
            <w:tcBorders>
              <w:top w:val="single" w:color="000000" w:sz="8" w:space="0"/>
              <w:left w:val="single" w:color="000000" w:sz="8"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bCs/>
                <w:sz w:val="24"/>
              </w:rPr>
            </w:pPr>
            <w:r>
              <w:rPr>
                <w:rFonts w:hint="eastAsia" w:ascii="宋体" w:hAnsi="宋体" w:cs="宋体"/>
                <w:b/>
                <w:bCs/>
                <w:sz w:val="24"/>
              </w:rPr>
              <w:t>序号</w:t>
            </w:r>
          </w:p>
        </w:tc>
        <w:tc>
          <w:tcPr>
            <w:tcW w:w="5826" w:type="dxa"/>
            <w:gridSpan w:val="2"/>
            <w:tcBorders>
              <w:top w:val="single" w:color="000000" w:sz="8"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bCs/>
                <w:sz w:val="24"/>
              </w:rPr>
            </w:pPr>
            <w:r>
              <w:rPr>
                <w:rFonts w:hint="eastAsia" w:ascii="宋体" w:hAnsi="宋体" w:cs="宋体"/>
                <w:b/>
                <w:bCs/>
                <w:sz w:val="24"/>
              </w:rPr>
              <w:t>项目</w:t>
            </w:r>
          </w:p>
        </w:tc>
        <w:tc>
          <w:tcPr>
            <w:tcW w:w="1275" w:type="dxa"/>
            <w:tcBorders>
              <w:top w:val="single" w:color="000000" w:sz="8"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bCs/>
                <w:sz w:val="24"/>
              </w:rPr>
            </w:pPr>
            <w:r>
              <w:rPr>
                <w:rFonts w:hint="eastAsia" w:ascii="宋体" w:hAnsi="宋体" w:cs="宋体"/>
                <w:b/>
                <w:bCs/>
                <w:sz w:val="24"/>
              </w:rPr>
              <w:t>单位</w:t>
            </w:r>
          </w:p>
        </w:tc>
        <w:tc>
          <w:tcPr>
            <w:tcW w:w="1134" w:type="dxa"/>
            <w:tcBorders>
              <w:top w:val="single" w:color="000000" w:sz="8"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bCs/>
                <w:sz w:val="24"/>
              </w:rPr>
            </w:pPr>
            <w:r>
              <w:rPr>
                <w:rFonts w:hint="eastAsia" w:ascii="宋体" w:hAnsi="宋体" w:cs="宋体"/>
                <w:b/>
                <w:bCs/>
                <w:sz w:val="24"/>
              </w:rPr>
              <w:t>数量</w:t>
            </w:r>
          </w:p>
        </w:tc>
      </w:tr>
      <w:tr>
        <w:tblPrEx>
          <w:tblCellMar>
            <w:top w:w="0" w:type="dxa"/>
            <w:left w:w="0" w:type="dxa"/>
            <w:bottom w:w="0" w:type="dxa"/>
            <w:right w:w="0" w:type="dxa"/>
          </w:tblCellMar>
        </w:tblPrEx>
        <w:trPr>
          <w:trHeight w:val="435" w:hRule="atLeast"/>
        </w:trPr>
        <w:tc>
          <w:tcPr>
            <w:tcW w:w="827" w:type="dxa"/>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bCs/>
                <w:color w:val="000000" w:themeColor="text1"/>
                <w:sz w:val="24"/>
              </w:rPr>
            </w:pPr>
            <w:r>
              <w:rPr>
                <w:rFonts w:hint="eastAsia" w:ascii="宋体" w:hAnsi="宋体" w:cs="宋体"/>
                <w:b/>
                <w:bCs/>
                <w:color w:val="000000" w:themeColor="text1"/>
                <w:sz w:val="24"/>
              </w:rPr>
              <w:t>一</w:t>
            </w:r>
          </w:p>
        </w:tc>
        <w:tc>
          <w:tcPr>
            <w:tcW w:w="823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color w:val="FF0000"/>
                <w:sz w:val="24"/>
              </w:rPr>
            </w:pPr>
            <w:r>
              <w:rPr>
                <w:rFonts w:hint="eastAsia" w:ascii="宋体" w:hAnsi="宋体" w:cs="宋体"/>
                <w:b/>
                <w:bCs/>
                <w:color w:val="000000" w:themeColor="text1"/>
                <w:sz w:val="24"/>
              </w:rPr>
              <w:t>移动医疗卫生服务车、车载设备及车载智慧基卫服务信息系统</w:t>
            </w:r>
          </w:p>
        </w:tc>
      </w:tr>
      <w:tr>
        <w:tblPrEx>
          <w:tblCellMar>
            <w:top w:w="0" w:type="dxa"/>
            <w:left w:w="0" w:type="dxa"/>
            <w:bottom w:w="0" w:type="dxa"/>
            <w:right w:w="0" w:type="dxa"/>
          </w:tblCellMar>
        </w:tblPrEx>
        <w:trPr>
          <w:trHeight w:val="435" w:hRule="atLeast"/>
        </w:trPr>
        <w:tc>
          <w:tcPr>
            <w:tcW w:w="827" w:type="dxa"/>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24"/>
              </w:rPr>
            </w:pPr>
            <w:r>
              <w:rPr>
                <w:rFonts w:hint="eastAsia" w:ascii="宋体" w:hAnsi="宋体" w:cs="宋体"/>
                <w:sz w:val="24"/>
              </w:rPr>
              <w:t>1</w:t>
            </w:r>
          </w:p>
        </w:tc>
        <w:tc>
          <w:tcPr>
            <w:tcW w:w="582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24"/>
              </w:rPr>
            </w:pPr>
            <w:r>
              <w:rPr>
                <w:rFonts w:hint="eastAsia" w:ascii="宋体" w:hAnsi="宋体" w:cs="宋体"/>
                <w:sz w:val="24"/>
              </w:rPr>
              <w:t>移动医疗卫生服务车</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24"/>
              </w:rPr>
            </w:pPr>
            <w:r>
              <w:rPr>
                <w:rFonts w:hint="eastAsia" w:ascii="宋体" w:hAnsi="宋体" w:cs="宋体"/>
                <w:sz w:val="24"/>
              </w:rPr>
              <w:t>辆</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24"/>
              </w:rPr>
            </w:pPr>
            <w:r>
              <w:rPr>
                <w:rFonts w:hint="eastAsia" w:ascii="宋体" w:hAnsi="宋体" w:cs="宋体"/>
                <w:sz w:val="24"/>
              </w:rPr>
              <w:t>8</w:t>
            </w:r>
          </w:p>
        </w:tc>
      </w:tr>
      <w:tr>
        <w:tblPrEx>
          <w:tblCellMar>
            <w:top w:w="0" w:type="dxa"/>
            <w:left w:w="0" w:type="dxa"/>
            <w:bottom w:w="0" w:type="dxa"/>
            <w:right w:w="0" w:type="dxa"/>
          </w:tblCellMar>
        </w:tblPrEx>
        <w:trPr>
          <w:trHeight w:val="435" w:hRule="atLeast"/>
        </w:trPr>
        <w:tc>
          <w:tcPr>
            <w:tcW w:w="827" w:type="dxa"/>
            <w:vMerge w:val="restart"/>
            <w:tcBorders>
              <w:top w:val="single" w:color="000000" w:sz="4" w:space="0"/>
              <w:left w:val="single" w:color="000000" w:sz="8" w:space="0"/>
              <w:right w:val="single" w:color="000000" w:sz="4" w:space="0"/>
            </w:tcBorders>
            <w:shd w:val="clear" w:color="auto" w:fill="auto"/>
            <w:tcMar>
              <w:top w:w="12" w:type="dxa"/>
              <w:left w:w="12" w:type="dxa"/>
              <w:right w:w="12" w:type="dxa"/>
            </w:tcMar>
            <w:vAlign w:val="center"/>
          </w:tcPr>
          <w:p>
            <w:pPr>
              <w:jc w:val="center"/>
              <w:rPr>
                <w:rFonts w:ascii="宋体" w:hAnsi="宋体" w:cs="宋体"/>
                <w:sz w:val="24"/>
              </w:rPr>
            </w:pPr>
            <w:r>
              <w:rPr>
                <w:rFonts w:hint="eastAsia" w:ascii="宋体" w:hAnsi="宋体" w:cs="宋体"/>
                <w:sz w:val="24"/>
              </w:rPr>
              <w:t>2</w:t>
            </w:r>
          </w:p>
        </w:tc>
        <w:tc>
          <w:tcPr>
            <w:tcW w:w="1857"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24"/>
              </w:rPr>
            </w:pPr>
            <w:r>
              <w:rPr>
                <w:rFonts w:hint="eastAsia" w:ascii="宋体" w:hAnsi="宋体" w:cs="宋体"/>
                <w:b/>
                <w:bCs/>
                <w:color w:val="000000" w:themeColor="text1"/>
                <w:sz w:val="24"/>
              </w:rPr>
              <w:t>车载设备</w:t>
            </w:r>
          </w:p>
        </w:tc>
        <w:tc>
          <w:tcPr>
            <w:tcW w:w="396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r>
              <w:rPr>
                <w:rFonts w:hint="eastAsia" w:ascii="宋体" w:hAnsi="宋体"/>
                <w:sz w:val="24"/>
              </w:rPr>
              <w:t>全数字彩色多普勒超声诊断仪</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24"/>
              </w:rPr>
            </w:pPr>
            <w:r>
              <w:rPr>
                <w:rFonts w:hint="eastAsia" w:ascii="宋体" w:hAnsi="宋体" w:cs="宋体"/>
                <w:sz w:val="24"/>
              </w:rPr>
              <w:t>套</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24"/>
              </w:rPr>
            </w:pPr>
            <w:r>
              <w:rPr>
                <w:rFonts w:hint="eastAsia" w:ascii="宋体" w:hAnsi="宋体" w:cs="宋体"/>
                <w:sz w:val="24"/>
              </w:rPr>
              <w:t>8</w:t>
            </w:r>
          </w:p>
        </w:tc>
      </w:tr>
      <w:tr>
        <w:tblPrEx>
          <w:tblCellMar>
            <w:top w:w="0" w:type="dxa"/>
            <w:left w:w="0" w:type="dxa"/>
            <w:bottom w:w="0" w:type="dxa"/>
            <w:right w:w="0" w:type="dxa"/>
          </w:tblCellMar>
        </w:tblPrEx>
        <w:trPr>
          <w:trHeight w:val="435" w:hRule="atLeast"/>
        </w:trPr>
        <w:tc>
          <w:tcPr>
            <w:tcW w:w="827" w:type="dxa"/>
            <w:vMerge w:val="continue"/>
            <w:tcBorders>
              <w:left w:val="single" w:color="000000" w:sz="8" w:space="0"/>
              <w:right w:val="single" w:color="000000" w:sz="4" w:space="0"/>
            </w:tcBorders>
            <w:shd w:val="clear" w:color="auto" w:fill="auto"/>
            <w:tcMar>
              <w:top w:w="12" w:type="dxa"/>
              <w:left w:w="12" w:type="dxa"/>
              <w:right w:w="12" w:type="dxa"/>
            </w:tcMar>
            <w:vAlign w:val="center"/>
          </w:tcPr>
          <w:p>
            <w:pPr>
              <w:jc w:val="center"/>
              <w:rPr>
                <w:rFonts w:ascii="宋体" w:hAnsi="宋体" w:cs="宋体"/>
                <w:sz w:val="24"/>
              </w:rPr>
            </w:pPr>
          </w:p>
        </w:tc>
        <w:tc>
          <w:tcPr>
            <w:tcW w:w="185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24"/>
              </w:rPr>
            </w:pPr>
          </w:p>
        </w:tc>
        <w:tc>
          <w:tcPr>
            <w:tcW w:w="396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r>
              <w:rPr>
                <w:rFonts w:hint="eastAsia" w:ascii="宋体" w:hAnsi="宋体"/>
                <w:sz w:val="24"/>
              </w:rPr>
              <w:t>医用电子血压计</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24"/>
              </w:rPr>
            </w:pPr>
            <w:r>
              <w:rPr>
                <w:rFonts w:hint="eastAsia" w:ascii="宋体" w:hAnsi="宋体" w:cs="宋体"/>
                <w:sz w:val="24"/>
              </w:rPr>
              <w:t>台</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24"/>
              </w:rPr>
            </w:pPr>
            <w:r>
              <w:rPr>
                <w:rFonts w:ascii="宋体" w:hAnsi="宋体" w:cs="宋体"/>
                <w:sz w:val="24"/>
              </w:rPr>
              <w:t>16</w:t>
            </w:r>
          </w:p>
        </w:tc>
      </w:tr>
      <w:tr>
        <w:tblPrEx>
          <w:tblCellMar>
            <w:top w:w="0" w:type="dxa"/>
            <w:left w:w="0" w:type="dxa"/>
            <w:bottom w:w="0" w:type="dxa"/>
            <w:right w:w="0" w:type="dxa"/>
          </w:tblCellMar>
        </w:tblPrEx>
        <w:trPr>
          <w:trHeight w:val="435" w:hRule="atLeast"/>
        </w:trPr>
        <w:tc>
          <w:tcPr>
            <w:tcW w:w="827" w:type="dxa"/>
            <w:vMerge w:val="continue"/>
            <w:tcBorders>
              <w:left w:val="single" w:color="000000" w:sz="8" w:space="0"/>
              <w:right w:val="single" w:color="000000" w:sz="4" w:space="0"/>
            </w:tcBorders>
            <w:shd w:val="clear" w:color="auto" w:fill="auto"/>
            <w:tcMar>
              <w:top w:w="12" w:type="dxa"/>
              <w:left w:w="12" w:type="dxa"/>
              <w:right w:w="12" w:type="dxa"/>
            </w:tcMar>
            <w:vAlign w:val="center"/>
          </w:tcPr>
          <w:p>
            <w:pPr>
              <w:jc w:val="center"/>
              <w:rPr>
                <w:rFonts w:ascii="宋体" w:hAnsi="宋体" w:cs="宋体"/>
                <w:sz w:val="24"/>
              </w:rPr>
            </w:pPr>
          </w:p>
        </w:tc>
        <w:tc>
          <w:tcPr>
            <w:tcW w:w="185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24"/>
              </w:rPr>
            </w:pPr>
          </w:p>
        </w:tc>
        <w:tc>
          <w:tcPr>
            <w:tcW w:w="396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r>
              <w:rPr>
                <w:rFonts w:hint="eastAsia" w:ascii="宋体" w:hAnsi="宋体"/>
                <w:sz w:val="24"/>
              </w:rPr>
              <w:t>体温检测仪</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24"/>
              </w:rPr>
            </w:pPr>
            <w:r>
              <w:rPr>
                <w:rFonts w:hint="eastAsia" w:ascii="宋体" w:hAnsi="宋体" w:cs="宋体"/>
                <w:sz w:val="24"/>
              </w:rPr>
              <w:t>台</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24"/>
              </w:rPr>
            </w:pPr>
            <w:r>
              <w:rPr>
                <w:rFonts w:hint="eastAsia" w:ascii="宋体" w:hAnsi="宋体" w:cs="宋体"/>
                <w:sz w:val="24"/>
              </w:rPr>
              <w:t>8</w:t>
            </w:r>
          </w:p>
        </w:tc>
      </w:tr>
      <w:tr>
        <w:tblPrEx>
          <w:tblCellMar>
            <w:top w:w="0" w:type="dxa"/>
            <w:left w:w="0" w:type="dxa"/>
            <w:bottom w:w="0" w:type="dxa"/>
            <w:right w:w="0" w:type="dxa"/>
          </w:tblCellMar>
        </w:tblPrEx>
        <w:trPr>
          <w:trHeight w:val="435" w:hRule="atLeast"/>
        </w:trPr>
        <w:tc>
          <w:tcPr>
            <w:tcW w:w="827" w:type="dxa"/>
            <w:vMerge w:val="continue"/>
            <w:tcBorders>
              <w:left w:val="single" w:color="000000" w:sz="8" w:space="0"/>
              <w:right w:val="single" w:color="000000" w:sz="4" w:space="0"/>
            </w:tcBorders>
            <w:shd w:val="clear" w:color="auto" w:fill="auto"/>
            <w:tcMar>
              <w:top w:w="12" w:type="dxa"/>
              <w:left w:w="12" w:type="dxa"/>
              <w:right w:w="12" w:type="dxa"/>
            </w:tcMar>
            <w:vAlign w:val="center"/>
          </w:tcPr>
          <w:p>
            <w:pPr>
              <w:jc w:val="center"/>
              <w:rPr>
                <w:rFonts w:ascii="宋体" w:hAnsi="宋体" w:cs="宋体"/>
                <w:sz w:val="24"/>
              </w:rPr>
            </w:pPr>
          </w:p>
        </w:tc>
        <w:tc>
          <w:tcPr>
            <w:tcW w:w="185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24"/>
              </w:rPr>
            </w:pPr>
          </w:p>
        </w:tc>
        <w:tc>
          <w:tcPr>
            <w:tcW w:w="396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r>
              <w:rPr>
                <w:rFonts w:hint="eastAsia" w:ascii="宋体" w:hAnsi="宋体"/>
                <w:sz w:val="24"/>
              </w:rPr>
              <w:t>血氧检测仪</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24"/>
              </w:rPr>
            </w:pPr>
            <w:r>
              <w:rPr>
                <w:rFonts w:hint="eastAsia" w:ascii="宋体" w:hAnsi="宋体" w:cs="宋体"/>
                <w:sz w:val="24"/>
              </w:rPr>
              <w:t>台</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24"/>
              </w:rPr>
            </w:pPr>
            <w:r>
              <w:rPr>
                <w:rFonts w:hint="eastAsia" w:ascii="宋体" w:hAnsi="宋体" w:cs="宋体"/>
                <w:sz w:val="24"/>
              </w:rPr>
              <w:t>8</w:t>
            </w:r>
          </w:p>
        </w:tc>
      </w:tr>
      <w:tr>
        <w:tblPrEx>
          <w:tblCellMar>
            <w:top w:w="0" w:type="dxa"/>
            <w:left w:w="0" w:type="dxa"/>
            <w:bottom w:w="0" w:type="dxa"/>
            <w:right w:w="0" w:type="dxa"/>
          </w:tblCellMar>
        </w:tblPrEx>
        <w:trPr>
          <w:trHeight w:val="435" w:hRule="atLeast"/>
        </w:trPr>
        <w:tc>
          <w:tcPr>
            <w:tcW w:w="827" w:type="dxa"/>
            <w:vMerge w:val="continue"/>
            <w:tcBorders>
              <w:left w:val="single" w:color="000000" w:sz="8" w:space="0"/>
              <w:right w:val="single" w:color="000000" w:sz="4" w:space="0"/>
            </w:tcBorders>
            <w:shd w:val="clear" w:color="auto" w:fill="auto"/>
            <w:tcMar>
              <w:top w:w="12" w:type="dxa"/>
              <w:left w:w="12" w:type="dxa"/>
              <w:right w:w="12" w:type="dxa"/>
            </w:tcMar>
            <w:vAlign w:val="center"/>
          </w:tcPr>
          <w:p>
            <w:pPr>
              <w:jc w:val="center"/>
              <w:rPr>
                <w:rFonts w:ascii="宋体" w:hAnsi="宋体" w:cs="宋体"/>
                <w:sz w:val="24"/>
              </w:rPr>
            </w:pPr>
          </w:p>
        </w:tc>
        <w:tc>
          <w:tcPr>
            <w:tcW w:w="185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24"/>
              </w:rPr>
            </w:pPr>
          </w:p>
        </w:tc>
        <w:tc>
          <w:tcPr>
            <w:tcW w:w="396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r>
              <w:rPr>
                <w:rFonts w:hint="eastAsia" w:ascii="宋体" w:hAnsi="宋体"/>
                <w:sz w:val="24"/>
              </w:rPr>
              <w:t>心电检测仪</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24"/>
              </w:rPr>
            </w:pPr>
            <w:r>
              <w:rPr>
                <w:rFonts w:hint="eastAsia" w:ascii="宋体" w:hAnsi="宋体" w:cs="宋体"/>
                <w:sz w:val="24"/>
              </w:rPr>
              <w:t>台</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24"/>
              </w:rPr>
            </w:pPr>
            <w:r>
              <w:rPr>
                <w:rFonts w:hint="eastAsia" w:ascii="宋体" w:hAnsi="宋体" w:cs="宋体"/>
                <w:sz w:val="24"/>
              </w:rPr>
              <w:t>8</w:t>
            </w:r>
          </w:p>
        </w:tc>
      </w:tr>
      <w:tr>
        <w:tblPrEx>
          <w:tblCellMar>
            <w:top w:w="0" w:type="dxa"/>
            <w:left w:w="0" w:type="dxa"/>
            <w:bottom w:w="0" w:type="dxa"/>
            <w:right w:w="0" w:type="dxa"/>
          </w:tblCellMar>
        </w:tblPrEx>
        <w:trPr>
          <w:trHeight w:val="435" w:hRule="atLeast"/>
        </w:trPr>
        <w:tc>
          <w:tcPr>
            <w:tcW w:w="827" w:type="dxa"/>
            <w:vMerge w:val="continue"/>
            <w:tcBorders>
              <w:left w:val="single" w:color="000000" w:sz="8" w:space="0"/>
              <w:right w:val="single" w:color="000000" w:sz="4" w:space="0"/>
            </w:tcBorders>
            <w:shd w:val="clear" w:color="auto" w:fill="auto"/>
            <w:tcMar>
              <w:top w:w="12" w:type="dxa"/>
              <w:left w:w="12" w:type="dxa"/>
              <w:right w:w="12" w:type="dxa"/>
            </w:tcMar>
            <w:vAlign w:val="center"/>
          </w:tcPr>
          <w:p>
            <w:pPr>
              <w:jc w:val="center"/>
              <w:rPr>
                <w:rFonts w:ascii="宋体" w:hAnsi="宋体" w:cs="宋体"/>
                <w:sz w:val="24"/>
              </w:rPr>
            </w:pPr>
          </w:p>
        </w:tc>
        <w:tc>
          <w:tcPr>
            <w:tcW w:w="185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24"/>
              </w:rPr>
            </w:pPr>
          </w:p>
        </w:tc>
        <w:tc>
          <w:tcPr>
            <w:tcW w:w="396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r>
              <w:rPr>
                <w:rFonts w:hint="eastAsia" w:ascii="宋体" w:hAnsi="宋体"/>
                <w:sz w:val="24"/>
              </w:rPr>
              <w:t>身高体重检测仪</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24"/>
              </w:rPr>
            </w:pPr>
            <w:r>
              <w:rPr>
                <w:rFonts w:hint="eastAsia" w:ascii="宋体" w:hAnsi="宋体" w:cs="宋体"/>
                <w:sz w:val="24"/>
              </w:rPr>
              <w:t>台</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24"/>
              </w:rPr>
            </w:pPr>
            <w:r>
              <w:rPr>
                <w:rFonts w:hint="eastAsia" w:ascii="宋体" w:hAnsi="宋体" w:cs="宋体"/>
                <w:sz w:val="24"/>
              </w:rPr>
              <w:t>8</w:t>
            </w:r>
          </w:p>
        </w:tc>
      </w:tr>
      <w:tr>
        <w:tblPrEx>
          <w:tblCellMar>
            <w:top w:w="0" w:type="dxa"/>
            <w:left w:w="0" w:type="dxa"/>
            <w:bottom w:w="0" w:type="dxa"/>
            <w:right w:w="0" w:type="dxa"/>
          </w:tblCellMar>
        </w:tblPrEx>
        <w:trPr>
          <w:trHeight w:val="435" w:hRule="atLeast"/>
        </w:trPr>
        <w:tc>
          <w:tcPr>
            <w:tcW w:w="827" w:type="dxa"/>
            <w:vMerge w:val="continue"/>
            <w:tcBorders>
              <w:left w:val="single" w:color="000000" w:sz="8" w:space="0"/>
              <w:right w:val="single" w:color="000000" w:sz="4" w:space="0"/>
            </w:tcBorders>
            <w:shd w:val="clear" w:color="auto" w:fill="auto"/>
            <w:tcMar>
              <w:top w:w="12" w:type="dxa"/>
              <w:left w:w="12" w:type="dxa"/>
              <w:right w:w="12" w:type="dxa"/>
            </w:tcMar>
            <w:vAlign w:val="center"/>
          </w:tcPr>
          <w:p>
            <w:pPr>
              <w:jc w:val="center"/>
              <w:rPr>
                <w:rFonts w:ascii="宋体" w:hAnsi="宋体" w:cs="宋体"/>
                <w:sz w:val="24"/>
              </w:rPr>
            </w:pPr>
          </w:p>
        </w:tc>
        <w:tc>
          <w:tcPr>
            <w:tcW w:w="185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24"/>
              </w:rPr>
            </w:pPr>
          </w:p>
        </w:tc>
        <w:tc>
          <w:tcPr>
            <w:tcW w:w="396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r>
              <w:rPr>
                <w:rFonts w:hint="eastAsia" w:ascii="宋体" w:hAnsi="宋体"/>
                <w:sz w:val="24"/>
              </w:rPr>
              <w:t>身份证阅读器</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24"/>
              </w:rPr>
            </w:pPr>
            <w:r>
              <w:rPr>
                <w:rFonts w:hint="eastAsia" w:ascii="宋体" w:hAnsi="宋体" w:cs="宋体"/>
                <w:sz w:val="24"/>
              </w:rPr>
              <w:t>台</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24"/>
              </w:rPr>
            </w:pPr>
            <w:r>
              <w:rPr>
                <w:rFonts w:hint="eastAsia" w:ascii="宋体" w:hAnsi="宋体" w:cs="宋体"/>
                <w:sz w:val="24"/>
              </w:rPr>
              <w:t>8</w:t>
            </w:r>
          </w:p>
        </w:tc>
      </w:tr>
      <w:tr>
        <w:tblPrEx>
          <w:tblCellMar>
            <w:top w:w="0" w:type="dxa"/>
            <w:left w:w="0" w:type="dxa"/>
            <w:bottom w:w="0" w:type="dxa"/>
            <w:right w:w="0" w:type="dxa"/>
          </w:tblCellMar>
        </w:tblPrEx>
        <w:trPr>
          <w:trHeight w:val="435" w:hRule="atLeast"/>
        </w:trPr>
        <w:tc>
          <w:tcPr>
            <w:tcW w:w="827" w:type="dxa"/>
            <w:vMerge w:val="continue"/>
            <w:tcBorders>
              <w:left w:val="single" w:color="000000" w:sz="8" w:space="0"/>
              <w:right w:val="single" w:color="000000" w:sz="4" w:space="0"/>
            </w:tcBorders>
            <w:shd w:val="clear" w:color="auto" w:fill="auto"/>
            <w:tcMar>
              <w:top w:w="12" w:type="dxa"/>
              <w:left w:w="12" w:type="dxa"/>
              <w:right w:w="12" w:type="dxa"/>
            </w:tcMar>
            <w:vAlign w:val="center"/>
          </w:tcPr>
          <w:p>
            <w:pPr>
              <w:jc w:val="center"/>
              <w:rPr>
                <w:rFonts w:ascii="宋体" w:hAnsi="宋体" w:cs="宋体"/>
                <w:sz w:val="24"/>
              </w:rPr>
            </w:pPr>
          </w:p>
        </w:tc>
        <w:tc>
          <w:tcPr>
            <w:tcW w:w="185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24"/>
              </w:rPr>
            </w:pPr>
          </w:p>
        </w:tc>
        <w:tc>
          <w:tcPr>
            <w:tcW w:w="396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r>
              <w:rPr>
                <w:rFonts w:hint="eastAsia" w:ascii="宋体" w:hAnsi="宋体"/>
                <w:sz w:val="24"/>
              </w:rPr>
              <w:t>条码识别器</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24"/>
              </w:rPr>
            </w:pPr>
            <w:r>
              <w:rPr>
                <w:rFonts w:hint="eastAsia" w:ascii="宋体" w:hAnsi="宋体" w:cs="宋体"/>
                <w:sz w:val="24"/>
              </w:rPr>
              <w:t>台</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24"/>
              </w:rPr>
            </w:pPr>
            <w:r>
              <w:rPr>
                <w:rFonts w:ascii="宋体" w:hAnsi="宋体" w:cs="宋体"/>
                <w:sz w:val="24"/>
              </w:rPr>
              <w:t>24</w:t>
            </w:r>
          </w:p>
        </w:tc>
      </w:tr>
      <w:tr>
        <w:tblPrEx>
          <w:tblCellMar>
            <w:top w:w="0" w:type="dxa"/>
            <w:left w:w="0" w:type="dxa"/>
            <w:bottom w:w="0" w:type="dxa"/>
            <w:right w:w="0" w:type="dxa"/>
          </w:tblCellMar>
        </w:tblPrEx>
        <w:trPr>
          <w:trHeight w:val="435" w:hRule="atLeast"/>
        </w:trPr>
        <w:tc>
          <w:tcPr>
            <w:tcW w:w="827" w:type="dxa"/>
            <w:vMerge w:val="continue"/>
            <w:tcBorders>
              <w:left w:val="single" w:color="000000" w:sz="8" w:space="0"/>
              <w:right w:val="single" w:color="000000" w:sz="4" w:space="0"/>
            </w:tcBorders>
            <w:shd w:val="clear" w:color="auto" w:fill="auto"/>
            <w:tcMar>
              <w:top w:w="12" w:type="dxa"/>
              <w:left w:w="12" w:type="dxa"/>
              <w:right w:w="12" w:type="dxa"/>
            </w:tcMar>
            <w:vAlign w:val="center"/>
          </w:tcPr>
          <w:p>
            <w:pPr>
              <w:jc w:val="center"/>
              <w:rPr>
                <w:rFonts w:ascii="宋体" w:hAnsi="宋体" w:cs="宋体"/>
                <w:sz w:val="24"/>
              </w:rPr>
            </w:pPr>
          </w:p>
        </w:tc>
        <w:tc>
          <w:tcPr>
            <w:tcW w:w="185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24"/>
              </w:rPr>
            </w:pPr>
          </w:p>
        </w:tc>
        <w:tc>
          <w:tcPr>
            <w:tcW w:w="396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r>
              <w:rPr>
                <w:rFonts w:hint="eastAsia" w:ascii="宋体" w:hAnsi="宋体"/>
                <w:sz w:val="24"/>
              </w:rPr>
              <w:t>采集工作台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24"/>
              </w:rPr>
            </w:pPr>
            <w:r>
              <w:rPr>
                <w:rFonts w:hint="eastAsia" w:ascii="宋体" w:hAnsi="宋体" w:cs="宋体"/>
                <w:sz w:val="24"/>
              </w:rPr>
              <w:t>台</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24"/>
              </w:rPr>
            </w:pPr>
            <w:r>
              <w:rPr>
                <w:rFonts w:ascii="宋体" w:hAnsi="宋体" w:cs="宋体"/>
                <w:sz w:val="24"/>
              </w:rPr>
              <w:t>32</w:t>
            </w:r>
          </w:p>
        </w:tc>
      </w:tr>
      <w:tr>
        <w:tblPrEx>
          <w:tblCellMar>
            <w:top w:w="0" w:type="dxa"/>
            <w:left w:w="0" w:type="dxa"/>
            <w:bottom w:w="0" w:type="dxa"/>
            <w:right w:w="0" w:type="dxa"/>
          </w:tblCellMar>
        </w:tblPrEx>
        <w:trPr>
          <w:trHeight w:val="435" w:hRule="atLeast"/>
        </w:trPr>
        <w:tc>
          <w:tcPr>
            <w:tcW w:w="827" w:type="dxa"/>
            <w:vMerge w:val="continue"/>
            <w:tcBorders>
              <w:left w:val="single" w:color="000000" w:sz="8" w:space="0"/>
              <w:right w:val="single" w:color="000000" w:sz="4" w:space="0"/>
            </w:tcBorders>
            <w:shd w:val="clear" w:color="auto" w:fill="auto"/>
            <w:tcMar>
              <w:top w:w="12" w:type="dxa"/>
              <w:left w:w="12" w:type="dxa"/>
              <w:right w:w="12" w:type="dxa"/>
            </w:tcMar>
            <w:vAlign w:val="center"/>
          </w:tcPr>
          <w:p>
            <w:pPr>
              <w:jc w:val="center"/>
              <w:rPr>
                <w:rFonts w:ascii="宋体" w:hAnsi="宋体" w:cs="宋体"/>
                <w:sz w:val="24"/>
              </w:rPr>
            </w:pPr>
          </w:p>
        </w:tc>
        <w:tc>
          <w:tcPr>
            <w:tcW w:w="185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sz w:val="24"/>
              </w:rPr>
            </w:pPr>
          </w:p>
        </w:tc>
        <w:tc>
          <w:tcPr>
            <w:tcW w:w="396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r>
              <w:rPr>
                <w:rFonts w:hint="eastAsia" w:ascii="宋体" w:hAnsi="宋体"/>
                <w:sz w:val="24"/>
              </w:rPr>
              <w:t>条码热敏打印机</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24"/>
              </w:rPr>
            </w:pPr>
            <w:r>
              <w:rPr>
                <w:rFonts w:hint="eastAsia" w:ascii="宋体" w:hAnsi="宋体" w:cs="宋体"/>
                <w:sz w:val="24"/>
              </w:rPr>
              <w:t>台</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24"/>
              </w:rPr>
            </w:pPr>
            <w:r>
              <w:rPr>
                <w:rFonts w:hint="eastAsia" w:ascii="宋体" w:hAnsi="宋体" w:cs="宋体"/>
                <w:sz w:val="24"/>
              </w:rPr>
              <w:t>8</w:t>
            </w:r>
          </w:p>
        </w:tc>
      </w:tr>
      <w:tr>
        <w:tblPrEx>
          <w:tblCellMar>
            <w:top w:w="0" w:type="dxa"/>
            <w:left w:w="0" w:type="dxa"/>
            <w:bottom w:w="0" w:type="dxa"/>
            <w:right w:w="0" w:type="dxa"/>
          </w:tblCellMar>
        </w:tblPrEx>
        <w:trPr>
          <w:trHeight w:val="435" w:hRule="atLeast"/>
        </w:trPr>
        <w:tc>
          <w:tcPr>
            <w:tcW w:w="827" w:type="dxa"/>
            <w:vMerge w:val="continue"/>
            <w:tcBorders>
              <w:left w:val="single" w:color="000000" w:sz="8" w:space="0"/>
              <w:right w:val="single" w:color="000000" w:sz="4" w:space="0"/>
            </w:tcBorders>
            <w:shd w:val="clear" w:color="auto" w:fill="auto"/>
            <w:tcMar>
              <w:top w:w="12" w:type="dxa"/>
              <w:left w:w="12" w:type="dxa"/>
              <w:right w:w="12" w:type="dxa"/>
            </w:tcMar>
            <w:vAlign w:val="center"/>
          </w:tcPr>
          <w:p>
            <w:pPr>
              <w:jc w:val="center"/>
              <w:rPr>
                <w:rFonts w:ascii="宋体" w:hAnsi="宋体" w:cs="宋体"/>
                <w:sz w:val="24"/>
              </w:rPr>
            </w:pPr>
          </w:p>
        </w:tc>
        <w:tc>
          <w:tcPr>
            <w:tcW w:w="185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24"/>
              </w:rPr>
            </w:pPr>
          </w:p>
        </w:tc>
        <w:tc>
          <w:tcPr>
            <w:tcW w:w="396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r>
              <w:rPr>
                <w:rFonts w:hint="eastAsia" w:ascii="宋体" w:hAnsi="宋体"/>
                <w:sz w:val="24"/>
              </w:rPr>
              <w:t>全自动血细胞分析仪</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24"/>
              </w:rPr>
            </w:pPr>
            <w:r>
              <w:rPr>
                <w:rFonts w:hint="eastAsia" w:ascii="宋体" w:hAnsi="宋体" w:cs="宋体"/>
                <w:sz w:val="24"/>
              </w:rPr>
              <w:t>台</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24"/>
              </w:rPr>
            </w:pPr>
            <w:r>
              <w:rPr>
                <w:rFonts w:hint="eastAsia" w:ascii="宋体" w:hAnsi="宋体" w:cs="宋体"/>
                <w:sz w:val="24"/>
              </w:rPr>
              <w:t>8</w:t>
            </w:r>
          </w:p>
        </w:tc>
      </w:tr>
      <w:tr>
        <w:tblPrEx>
          <w:tblCellMar>
            <w:top w:w="0" w:type="dxa"/>
            <w:left w:w="0" w:type="dxa"/>
            <w:bottom w:w="0" w:type="dxa"/>
            <w:right w:w="0" w:type="dxa"/>
          </w:tblCellMar>
        </w:tblPrEx>
        <w:trPr>
          <w:trHeight w:val="435" w:hRule="atLeast"/>
        </w:trPr>
        <w:tc>
          <w:tcPr>
            <w:tcW w:w="827" w:type="dxa"/>
            <w:vMerge w:val="continue"/>
            <w:tcBorders>
              <w:left w:val="single" w:color="000000" w:sz="8" w:space="0"/>
              <w:right w:val="single" w:color="000000" w:sz="4" w:space="0"/>
            </w:tcBorders>
            <w:shd w:val="clear" w:color="auto" w:fill="auto"/>
            <w:tcMar>
              <w:top w:w="12" w:type="dxa"/>
              <w:left w:w="12" w:type="dxa"/>
              <w:right w:w="12" w:type="dxa"/>
            </w:tcMar>
            <w:vAlign w:val="center"/>
          </w:tcPr>
          <w:p>
            <w:pPr>
              <w:jc w:val="center"/>
              <w:rPr>
                <w:rFonts w:ascii="宋体" w:hAnsi="宋体" w:cs="宋体"/>
                <w:sz w:val="24"/>
              </w:rPr>
            </w:pPr>
          </w:p>
        </w:tc>
        <w:tc>
          <w:tcPr>
            <w:tcW w:w="185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24"/>
              </w:rPr>
            </w:pPr>
          </w:p>
        </w:tc>
        <w:tc>
          <w:tcPr>
            <w:tcW w:w="396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r>
              <w:rPr>
                <w:rFonts w:hint="eastAsia" w:ascii="宋体" w:hAnsi="宋体" w:cs="宋体"/>
                <w:sz w:val="24"/>
              </w:rPr>
              <w:t>全自动尿液分析仪</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24"/>
              </w:rPr>
            </w:pPr>
            <w:r>
              <w:rPr>
                <w:rFonts w:hint="eastAsia" w:ascii="宋体" w:hAnsi="宋体" w:cs="宋体"/>
                <w:sz w:val="24"/>
              </w:rPr>
              <w:t>台</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24"/>
              </w:rPr>
            </w:pPr>
            <w:r>
              <w:rPr>
                <w:rFonts w:hint="eastAsia" w:ascii="宋体" w:hAnsi="宋体" w:cs="宋体"/>
                <w:sz w:val="24"/>
              </w:rPr>
              <w:t>8</w:t>
            </w:r>
          </w:p>
        </w:tc>
      </w:tr>
      <w:tr>
        <w:tblPrEx>
          <w:tblCellMar>
            <w:top w:w="0" w:type="dxa"/>
            <w:left w:w="0" w:type="dxa"/>
            <w:bottom w:w="0" w:type="dxa"/>
            <w:right w:w="0" w:type="dxa"/>
          </w:tblCellMar>
        </w:tblPrEx>
        <w:trPr>
          <w:trHeight w:val="435" w:hRule="atLeast"/>
        </w:trPr>
        <w:tc>
          <w:tcPr>
            <w:tcW w:w="827" w:type="dxa"/>
            <w:vMerge w:val="continue"/>
            <w:tcBorders>
              <w:left w:val="single" w:color="000000" w:sz="8" w:space="0"/>
              <w:right w:val="single" w:color="000000" w:sz="4" w:space="0"/>
            </w:tcBorders>
            <w:shd w:val="clear" w:color="auto" w:fill="auto"/>
            <w:tcMar>
              <w:top w:w="12" w:type="dxa"/>
              <w:left w:w="12" w:type="dxa"/>
              <w:right w:w="12" w:type="dxa"/>
            </w:tcMar>
            <w:vAlign w:val="center"/>
          </w:tcPr>
          <w:p>
            <w:pPr>
              <w:jc w:val="center"/>
              <w:rPr>
                <w:rFonts w:ascii="宋体" w:hAnsi="宋体" w:cs="宋体"/>
                <w:sz w:val="24"/>
              </w:rPr>
            </w:pPr>
          </w:p>
        </w:tc>
        <w:tc>
          <w:tcPr>
            <w:tcW w:w="185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24"/>
              </w:rPr>
            </w:pPr>
          </w:p>
        </w:tc>
        <w:tc>
          <w:tcPr>
            <w:tcW w:w="396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r>
              <w:rPr>
                <w:rFonts w:hint="eastAsia" w:ascii="宋体" w:hAnsi="宋体" w:cs="宋体"/>
                <w:sz w:val="24"/>
              </w:rPr>
              <w:t>多参数监护仪</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24"/>
              </w:rPr>
            </w:pPr>
            <w:r>
              <w:rPr>
                <w:rFonts w:hint="eastAsia" w:ascii="宋体" w:hAnsi="宋体" w:cs="宋体"/>
                <w:sz w:val="24"/>
              </w:rPr>
              <w:t>台</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24"/>
              </w:rPr>
            </w:pPr>
            <w:r>
              <w:rPr>
                <w:rFonts w:hint="eastAsia" w:ascii="宋体" w:hAnsi="宋体" w:cs="宋体"/>
                <w:sz w:val="24"/>
              </w:rPr>
              <w:t>8</w:t>
            </w:r>
          </w:p>
        </w:tc>
      </w:tr>
      <w:tr>
        <w:tblPrEx>
          <w:tblCellMar>
            <w:top w:w="0" w:type="dxa"/>
            <w:left w:w="0" w:type="dxa"/>
            <w:bottom w:w="0" w:type="dxa"/>
            <w:right w:w="0" w:type="dxa"/>
          </w:tblCellMar>
        </w:tblPrEx>
        <w:trPr>
          <w:trHeight w:val="435" w:hRule="atLeast"/>
        </w:trPr>
        <w:tc>
          <w:tcPr>
            <w:tcW w:w="827" w:type="dxa"/>
            <w:vMerge w:val="continue"/>
            <w:tcBorders>
              <w:left w:val="single" w:color="000000" w:sz="8" w:space="0"/>
              <w:right w:val="single" w:color="000000" w:sz="4" w:space="0"/>
            </w:tcBorders>
            <w:shd w:val="clear" w:color="auto" w:fill="auto"/>
            <w:tcMar>
              <w:top w:w="12" w:type="dxa"/>
              <w:left w:w="12" w:type="dxa"/>
              <w:right w:w="12" w:type="dxa"/>
            </w:tcMar>
            <w:vAlign w:val="center"/>
          </w:tcPr>
          <w:p>
            <w:pPr>
              <w:jc w:val="center"/>
              <w:rPr>
                <w:rFonts w:ascii="宋体" w:hAnsi="宋体" w:cs="宋体"/>
                <w:sz w:val="24"/>
              </w:rPr>
            </w:pPr>
          </w:p>
        </w:tc>
        <w:tc>
          <w:tcPr>
            <w:tcW w:w="185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24"/>
              </w:rPr>
            </w:pPr>
          </w:p>
        </w:tc>
        <w:tc>
          <w:tcPr>
            <w:tcW w:w="396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r>
              <w:rPr>
                <w:rFonts w:hint="eastAsia" w:ascii="宋体" w:hAnsi="宋体" w:cs="宋体"/>
                <w:sz w:val="24"/>
              </w:rPr>
              <w:t>离心机</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24"/>
              </w:rPr>
            </w:pPr>
            <w:r>
              <w:rPr>
                <w:rFonts w:hint="eastAsia" w:ascii="宋体" w:hAnsi="宋体" w:cs="宋体"/>
                <w:sz w:val="24"/>
              </w:rPr>
              <w:t>台</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24"/>
              </w:rPr>
            </w:pPr>
            <w:r>
              <w:rPr>
                <w:rFonts w:hint="eastAsia" w:ascii="宋体" w:hAnsi="宋体" w:cs="宋体"/>
                <w:sz w:val="24"/>
              </w:rPr>
              <w:t>8</w:t>
            </w:r>
          </w:p>
        </w:tc>
      </w:tr>
      <w:tr>
        <w:tblPrEx>
          <w:tblCellMar>
            <w:top w:w="0" w:type="dxa"/>
            <w:left w:w="0" w:type="dxa"/>
            <w:bottom w:w="0" w:type="dxa"/>
            <w:right w:w="0" w:type="dxa"/>
          </w:tblCellMar>
        </w:tblPrEx>
        <w:trPr>
          <w:trHeight w:val="435" w:hRule="atLeast"/>
        </w:trPr>
        <w:tc>
          <w:tcPr>
            <w:tcW w:w="827" w:type="dxa"/>
            <w:vMerge w:val="continue"/>
            <w:tcBorders>
              <w:left w:val="single" w:color="000000" w:sz="8" w:space="0"/>
              <w:right w:val="single" w:color="000000" w:sz="4" w:space="0"/>
            </w:tcBorders>
            <w:shd w:val="clear" w:color="auto" w:fill="auto"/>
            <w:tcMar>
              <w:top w:w="12" w:type="dxa"/>
              <w:left w:w="12" w:type="dxa"/>
              <w:right w:w="12" w:type="dxa"/>
            </w:tcMar>
            <w:vAlign w:val="center"/>
          </w:tcPr>
          <w:p>
            <w:pPr>
              <w:jc w:val="center"/>
              <w:rPr>
                <w:rFonts w:ascii="宋体" w:hAnsi="宋体" w:cs="宋体"/>
                <w:sz w:val="24"/>
              </w:rPr>
            </w:pPr>
          </w:p>
        </w:tc>
        <w:tc>
          <w:tcPr>
            <w:tcW w:w="185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24"/>
              </w:rPr>
            </w:pPr>
          </w:p>
        </w:tc>
        <w:tc>
          <w:tcPr>
            <w:tcW w:w="396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r>
              <w:rPr>
                <w:rFonts w:hint="eastAsia" w:ascii="宋体" w:hAnsi="宋体" w:cs="宋体"/>
                <w:sz w:val="24"/>
              </w:rPr>
              <w:t>塔式服务器</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24"/>
              </w:rPr>
            </w:pPr>
            <w:r>
              <w:rPr>
                <w:rFonts w:hint="eastAsia" w:ascii="宋体" w:hAnsi="宋体" w:cs="宋体"/>
                <w:sz w:val="24"/>
              </w:rPr>
              <w:t>个</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24"/>
              </w:rPr>
            </w:pPr>
            <w:r>
              <w:rPr>
                <w:rFonts w:hint="eastAsia" w:ascii="宋体" w:hAnsi="宋体" w:cs="宋体"/>
                <w:sz w:val="24"/>
              </w:rPr>
              <w:t>8</w:t>
            </w:r>
          </w:p>
        </w:tc>
      </w:tr>
      <w:tr>
        <w:tblPrEx>
          <w:tblCellMar>
            <w:top w:w="0" w:type="dxa"/>
            <w:left w:w="0" w:type="dxa"/>
            <w:bottom w:w="0" w:type="dxa"/>
            <w:right w:w="0" w:type="dxa"/>
          </w:tblCellMar>
        </w:tblPrEx>
        <w:trPr>
          <w:trHeight w:val="435" w:hRule="atLeast"/>
        </w:trPr>
        <w:tc>
          <w:tcPr>
            <w:tcW w:w="827" w:type="dxa"/>
            <w:vMerge w:val="continue"/>
            <w:tcBorders>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24"/>
              </w:rPr>
            </w:pPr>
          </w:p>
        </w:tc>
        <w:tc>
          <w:tcPr>
            <w:tcW w:w="1857"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24"/>
              </w:rPr>
            </w:pPr>
          </w:p>
        </w:tc>
        <w:tc>
          <w:tcPr>
            <w:tcW w:w="396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r>
              <w:rPr>
                <w:rFonts w:hint="eastAsia" w:ascii="宋体" w:hAnsi="宋体" w:cs="宋体"/>
                <w:sz w:val="24"/>
              </w:rPr>
              <w:t>A4打印机</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24"/>
              </w:rPr>
            </w:pPr>
            <w:r>
              <w:rPr>
                <w:rFonts w:hint="eastAsia" w:ascii="宋体" w:hAnsi="宋体" w:cs="宋体"/>
                <w:sz w:val="24"/>
              </w:rPr>
              <w:t>台</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24"/>
              </w:rPr>
            </w:pPr>
            <w:r>
              <w:rPr>
                <w:rFonts w:hint="eastAsia" w:ascii="宋体" w:hAnsi="宋体" w:cs="宋体"/>
                <w:sz w:val="24"/>
              </w:rPr>
              <w:t>8</w:t>
            </w:r>
          </w:p>
        </w:tc>
      </w:tr>
      <w:tr>
        <w:tblPrEx>
          <w:tblCellMar>
            <w:top w:w="0" w:type="dxa"/>
            <w:left w:w="0" w:type="dxa"/>
            <w:bottom w:w="0" w:type="dxa"/>
            <w:right w:w="0" w:type="dxa"/>
          </w:tblCellMar>
        </w:tblPrEx>
        <w:trPr>
          <w:trHeight w:val="435" w:hRule="atLeast"/>
        </w:trPr>
        <w:tc>
          <w:tcPr>
            <w:tcW w:w="827" w:type="dxa"/>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24"/>
              </w:rPr>
            </w:pPr>
            <w:r>
              <w:rPr>
                <w:rFonts w:ascii="宋体" w:hAnsi="宋体" w:cs="宋体"/>
                <w:sz w:val="24"/>
              </w:rPr>
              <w:t>3</w:t>
            </w:r>
          </w:p>
        </w:tc>
        <w:tc>
          <w:tcPr>
            <w:tcW w:w="5826" w:type="dxa"/>
            <w:gridSpan w:val="2"/>
            <w:tcBorders>
              <w:top w:val="single" w:color="000000" w:sz="4" w:space="0"/>
              <w:left w:val="single" w:color="000000" w:sz="4" w:space="0"/>
              <w:bottom w:val="single" w:color="000000" w:sz="4" w:space="0"/>
              <w:right w:val="single" w:color="000000" w:sz="4" w:space="0"/>
            </w:tcBorders>
            <w:shd w:val="clear" w:color="auto" w:fill="FF0000"/>
            <w:tcMar>
              <w:top w:w="12" w:type="dxa"/>
              <w:left w:w="12" w:type="dxa"/>
              <w:right w:w="12" w:type="dxa"/>
            </w:tcMar>
            <w:vAlign w:val="center"/>
          </w:tcPr>
          <w:p>
            <w:pPr>
              <w:jc w:val="center"/>
              <w:rPr>
                <w:rFonts w:ascii="宋体" w:hAnsi="宋体" w:cs="宋体"/>
                <w:sz w:val="24"/>
              </w:rPr>
            </w:pPr>
            <w:bookmarkStart w:id="42" w:name="_Hlk50392569"/>
            <w:r>
              <w:rPr>
                <w:rFonts w:hint="eastAsia" w:ascii="宋体" w:hAnsi="宋体" w:cs="宋体"/>
                <w:sz w:val="24"/>
              </w:rPr>
              <w:t>车载智慧基卫服务信息系统</w:t>
            </w:r>
            <w:bookmarkEnd w:id="42"/>
            <w:r>
              <w:rPr>
                <w:rFonts w:hint="eastAsia" w:ascii="宋体" w:hAnsi="宋体" w:cs="宋体"/>
                <w:sz w:val="24"/>
              </w:rPr>
              <w:t>（核心产品）</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24"/>
              </w:rPr>
            </w:pPr>
            <w:r>
              <w:rPr>
                <w:rFonts w:hint="eastAsia" w:ascii="宋体" w:hAnsi="宋体" w:cs="宋体"/>
                <w:sz w:val="24"/>
              </w:rPr>
              <w:t>套</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24"/>
              </w:rPr>
            </w:pPr>
            <w:r>
              <w:rPr>
                <w:rFonts w:ascii="宋体" w:hAnsi="宋体" w:cs="宋体"/>
                <w:sz w:val="24"/>
              </w:rPr>
              <w:t>8</w:t>
            </w:r>
          </w:p>
        </w:tc>
      </w:tr>
      <w:tr>
        <w:tblPrEx>
          <w:tblCellMar>
            <w:top w:w="0" w:type="dxa"/>
            <w:left w:w="0" w:type="dxa"/>
            <w:bottom w:w="0" w:type="dxa"/>
            <w:right w:w="0" w:type="dxa"/>
          </w:tblCellMar>
        </w:tblPrEx>
        <w:trPr>
          <w:trHeight w:val="435" w:hRule="atLeast"/>
        </w:trPr>
        <w:tc>
          <w:tcPr>
            <w:tcW w:w="827" w:type="dxa"/>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bCs/>
                <w:sz w:val="24"/>
              </w:rPr>
            </w:pPr>
            <w:r>
              <w:rPr>
                <w:rFonts w:hint="eastAsia" w:ascii="宋体" w:hAnsi="宋体" w:cs="宋体"/>
                <w:b/>
                <w:bCs/>
                <w:sz w:val="24"/>
              </w:rPr>
              <w:t>二</w:t>
            </w:r>
          </w:p>
        </w:tc>
        <w:tc>
          <w:tcPr>
            <w:tcW w:w="582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bCs/>
                <w:sz w:val="24"/>
              </w:rPr>
            </w:pPr>
            <w:r>
              <w:rPr>
                <w:rFonts w:hint="eastAsia" w:ascii="宋体" w:hAnsi="宋体"/>
                <w:b/>
                <w:bCs/>
                <w:sz w:val="24"/>
              </w:rPr>
              <w:t>彩色多普勒超声波诊断仪</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bCs/>
                <w:sz w:val="24"/>
              </w:rPr>
            </w:pPr>
            <w:r>
              <w:rPr>
                <w:rFonts w:hint="eastAsia" w:ascii="宋体" w:hAnsi="宋体" w:cs="宋体"/>
                <w:b/>
                <w:bCs/>
                <w:sz w:val="24"/>
              </w:rPr>
              <w:t>台</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bCs/>
                <w:sz w:val="24"/>
              </w:rPr>
            </w:pPr>
            <w:r>
              <w:rPr>
                <w:rFonts w:ascii="宋体" w:hAnsi="宋体" w:cs="宋体"/>
                <w:b/>
                <w:bCs/>
                <w:sz w:val="24"/>
              </w:rPr>
              <w:t>3</w:t>
            </w:r>
          </w:p>
        </w:tc>
      </w:tr>
      <w:tr>
        <w:tblPrEx>
          <w:tblCellMar>
            <w:top w:w="0" w:type="dxa"/>
            <w:left w:w="0" w:type="dxa"/>
            <w:bottom w:w="0" w:type="dxa"/>
            <w:right w:w="0" w:type="dxa"/>
          </w:tblCellMar>
        </w:tblPrEx>
        <w:trPr>
          <w:trHeight w:val="435" w:hRule="atLeast"/>
        </w:trPr>
        <w:tc>
          <w:tcPr>
            <w:tcW w:w="827" w:type="dxa"/>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bCs/>
                <w:sz w:val="24"/>
              </w:rPr>
            </w:pPr>
            <w:r>
              <w:rPr>
                <w:rFonts w:hint="eastAsia" w:ascii="宋体" w:hAnsi="宋体" w:cs="宋体"/>
                <w:b/>
                <w:bCs/>
                <w:sz w:val="24"/>
              </w:rPr>
              <w:t>三</w:t>
            </w:r>
          </w:p>
        </w:tc>
        <w:tc>
          <w:tcPr>
            <w:tcW w:w="582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b/>
                <w:bCs/>
                <w:sz w:val="24"/>
              </w:rPr>
            </w:pPr>
            <w:r>
              <w:rPr>
                <w:rFonts w:hint="eastAsia" w:ascii="宋体" w:hAnsi="宋体"/>
                <w:b/>
                <w:bCs/>
                <w:sz w:val="24"/>
              </w:rPr>
              <w:t>全身应用彩色多普勒超声波诊断仪</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bCs/>
                <w:sz w:val="24"/>
              </w:rPr>
            </w:pPr>
            <w:r>
              <w:rPr>
                <w:rFonts w:hint="eastAsia" w:ascii="宋体" w:hAnsi="宋体" w:cs="宋体"/>
                <w:b/>
                <w:bCs/>
                <w:sz w:val="24"/>
              </w:rPr>
              <w:t>台</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bCs/>
                <w:sz w:val="24"/>
              </w:rPr>
            </w:pPr>
            <w:r>
              <w:rPr>
                <w:rFonts w:ascii="宋体" w:hAnsi="宋体" w:cs="宋体"/>
                <w:b/>
                <w:bCs/>
                <w:sz w:val="24"/>
              </w:rPr>
              <w:t>3</w:t>
            </w:r>
          </w:p>
        </w:tc>
      </w:tr>
      <w:tr>
        <w:tblPrEx>
          <w:tblCellMar>
            <w:top w:w="0" w:type="dxa"/>
            <w:left w:w="0" w:type="dxa"/>
            <w:bottom w:w="0" w:type="dxa"/>
            <w:right w:w="0" w:type="dxa"/>
          </w:tblCellMar>
        </w:tblPrEx>
        <w:trPr>
          <w:trHeight w:val="435" w:hRule="atLeast"/>
        </w:trPr>
        <w:tc>
          <w:tcPr>
            <w:tcW w:w="827" w:type="dxa"/>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sz w:val="24"/>
              </w:rPr>
            </w:pPr>
            <w:r>
              <w:rPr>
                <w:rFonts w:hint="eastAsia" w:ascii="宋体" w:hAnsi="宋体" w:cs="宋体"/>
                <w:sz w:val="24"/>
              </w:rPr>
              <w:t>四</w:t>
            </w:r>
          </w:p>
        </w:tc>
        <w:tc>
          <w:tcPr>
            <w:tcW w:w="582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bCs/>
                <w:sz w:val="24"/>
              </w:rPr>
            </w:pPr>
            <w:r>
              <w:rPr>
                <w:rFonts w:hint="eastAsia" w:ascii="宋体" w:hAnsi="宋体" w:cs="宋体"/>
                <w:b/>
                <w:bCs/>
                <w:sz w:val="24"/>
              </w:rPr>
              <w:t>村卫生室智能服务包</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bCs/>
                <w:sz w:val="24"/>
              </w:rPr>
            </w:pPr>
            <w:r>
              <w:rPr>
                <w:rFonts w:hint="eastAsia" w:ascii="宋体" w:hAnsi="宋体" w:cs="宋体"/>
                <w:b/>
                <w:bCs/>
                <w:sz w:val="24"/>
              </w:rPr>
              <w:t>个</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bCs/>
                <w:sz w:val="24"/>
              </w:rPr>
            </w:pPr>
            <w:r>
              <w:rPr>
                <w:rFonts w:hint="eastAsia" w:ascii="宋体" w:hAnsi="宋体" w:cs="宋体"/>
                <w:b/>
                <w:bCs/>
                <w:sz w:val="24"/>
              </w:rPr>
              <w:t>3</w:t>
            </w:r>
            <w:r>
              <w:rPr>
                <w:rFonts w:ascii="宋体" w:hAnsi="宋体" w:cs="宋体"/>
                <w:b/>
                <w:bCs/>
                <w:sz w:val="24"/>
              </w:rPr>
              <w:t>70</w:t>
            </w:r>
          </w:p>
        </w:tc>
      </w:tr>
    </w:tbl>
    <w:p/>
    <w:p>
      <w:pPr>
        <w:widowControl/>
        <w:jc w:val="left"/>
        <w:rPr>
          <w:rFonts w:ascii="宋体"/>
          <w:kern w:val="0"/>
          <w:sz w:val="24"/>
          <w:szCs w:val="20"/>
        </w:rPr>
      </w:pPr>
      <w:r>
        <w:br w:type="page"/>
      </w:r>
    </w:p>
    <w:p>
      <w:pPr>
        <w:pStyle w:val="33"/>
      </w:pPr>
    </w:p>
    <w:p>
      <w:pPr>
        <w:pStyle w:val="4"/>
      </w:pPr>
      <w:r>
        <w:rPr>
          <w:rFonts w:hint="eastAsia"/>
        </w:rPr>
        <w:t>3</w:t>
      </w:r>
      <w:r>
        <w:t>.1</w:t>
      </w:r>
      <w:r>
        <w:rPr>
          <w:rFonts w:hint="eastAsia"/>
        </w:rPr>
        <w:t>、移动医疗卫生服务车、车载设备及车载智慧基卫服务信息系统</w:t>
      </w:r>
    </w:p>
    <w:p>
      <w:pPr>
        <w:pStyle w:val="6"/>
      </w:pPr>
      <w:r>
        <w:rPr>
          <w:rFonts w:hint="eastAsia"/>
        </w:rPr>
        <w:t>3</w:t>
      </w:r>
      <w:r>
        <w:t>.1.1</w:t>
      </w:r>
      <w:r>
        <w:rPr>
          <w:rFonts w:hint="eastAsia"/>
        </w:rPr>
        <w:t>、移动医疗卫生服务车</w:t>
      </w:r>
    </w:p>
    <w:tbl>
      <w:tblPr>
        <w:tblStyle w:val="18"/>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275"/>
        <w:gridCol w:w="7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2"/>
              </w:rPr>
            </w:pPr>
            <w:r>
              <w:rPr>
                <w:rFonts w:hint="eastAsia" w:ascii="宋体" w:hAnsi="宋体" w:eastAsia="宋体"/>
                <w:sz w:val="22"/>
              </w:rPr>
              <w:t>序号</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2"/>
              </w:rPr>
            </w:pPr>
            <w:r>
              <w:rPr>
                <w:rFonts w:hint="eastAsia" w:ascii="宋体" w:hAnsi="宋体" w:eastAsia="宋体"/>
                <w:sz w:val="22"/>
              </w:rPr>
              <w:t>分项名称</w:t>
            </w:r>
          </w:p>
        </w:tc>
        <w:tc>
          <w:tcPr>
            <w:tcW w:w="723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2"/>
              </w:rPr>
            </w:pPr>
            <w:r>
              <w:rPr>
                <w:rFonts w:hint="eastAsia" w:ascii="宋体" w:hAnsi="宋体" w:eastAsia="宋体"/>
                <w:sz w:val="22"/>
              </w:rPr>
              <w:t>设备参数要求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Borders>
              <w:top w:val="single" w:color="auto" w:sz="4" w:space="0"/>
              <w:left w:val="single" w:color="auto" w:sz="4" w:space="0"/>
              <w:right w:val="single" w:color="auto" w:sz="4" w:space="0"/>
            </w:tcBorders>
            <w:shd w:val="clear" w:color="auto" w:fill="auto"/>
            <w:vAlign w:val="center"/>
          </w:tcPr>
          <w:p>
            <w:pPr>
              <w:rPr>
                <w:rFonts w:ascii="宋体" w:hAnsi="宋体" w:eastAsia="宋体"/>
                <w:sz w:val="22"/>
              </w:rPr>
            </w:pPr>
            <w:r>
              <w:rPr>
                <w:rFonts w:hint="eastAsia" w:ascii="宋体" w:hAnsi="宋体" w:eastAsia="宋体"/>
                <w:sz w:val="22"/>
              </w:rPr>
              <w:t>1</w:t>
            </w:r>
          </w:p>
        </w:tc>
        <w:tc>
          <w:tcPr>
            <w:tcW w:w="1275" w:type="dxa"/>
            <w:tcBorders>
              <w:top w:val="single" w:color="auto" w:sz="4" w:space="0"/>
              <w:left w:val="single" w:color="auto" w:sz="4" w:space="0"/>
              <w:right w:val="single" w:color="auto" w:sz="4" w:space="0"/>
            </w:tcBorders>
            <w:shd w:val="clear" w:color="auto" w:fill="auto"/>
            <w:vAlign w:val="center"/>
          </w:tcPr>
          <w:p>
            <w:pPr>
              <w:rPr>
                <w:rFonts w:ascii="宋体" w:hAnsi="宋体" w:eastAsia="宋体"/>
                <w:sz w:val="22"/>
              </w:rPr>
            </w:pPr>
            <w:r>
              <w:rPr>
                <w:rFonts w:hint="eastAsia" w:ascii="宋体" w:hAnsi="宋体" w:eastAsia="宋体"/>
                <w:sz w:val="22"/>
              </w:rPr>
              <w:t>移动医疗卫生服务车</w:t>
            </w:r>
          </w:p>
        </w:tc>
        <w:tc>
          <w:tcPr>
            <w:tcW w:w="723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b/>
                <w:bCs/>
                <w:sz w:val="22"/>
              </w:rPr>
            </w:pPr>
            <w:r>
              <w:rPr>
                <w:rFonts w:hint="eastAsia" w:ascii="宋体" w:hAnsi="宋体" w:eastAsia="宋体"/>
                <w:b/>
                <w:bCs/>
                <w:sz w:val="22"/>
              </w:rPr>
              <w:t>车辆基础配置</w:t>
            </w:r>
          </w:p>
          <w:p>
            <w:pPr>
              <w:rPr>
                <w:rFonts w:ascii="宋体" w:hAnsi="宋体" w:eastAsia="宋体"/>
                <w:sz w:val="22"/>
              </w:rPr>
            </w:pPr>
            <w:r>
              <w:rPr>
                <w:rFonts w:hint="eastAsia" w:ascii="宋体" w:hAnsi="宋体" w:eastAsia="宋体"/>
                <w:sz w:val="22"/>
              </w:rPr>
              <w:t>1、车体尺寸（</w:t>
            </w:r>
            <w:r>
              <w:rPr>
                <w:rFonts w:ascii="宋体" w:hAnsi="宋体" w:eastAsia="宋体"/>
                <w:sz w:val="22"/>
              </w:rPr>
              <w:t>mm</w:t>
            </w:r>
            <w:r>
              <w:rPr>
                <w:rFonts w:hint="eastAsia" w:ascii="宋体" w:hAnsi="宋体" w:eastAsia="宋体"/>
                <w:sz w:val="22"/>
              </w:rPr>
              <w:t>）:</w:t>
            </w:r>
            <w:r>
              <w:rPr>
                <w:rFonts w:ascii="宋体" w:hAnsi="宋体" w:eastAsia="宋体"/>
                <w:sz w:val="22"/>
              </w:rPr>
              <w:t xml:space="preserve"> ≥</w:t>
            </w:r>
            <w:r>
              <w:rPr>
                <w:rFonts w:hint="eastAsia" w:ascii="宋体" w:hAnsi="宋体" w:eastAsia="宋体"/>
                <w:sz w:val="22"/>
              </w:rPr>
              <w:t>5300</w:t>
            </w:r>
            <w:r>
              <w:rPr>
                <w:rFonts w:ascii="宋体" w:hAnsi="宋体" w:eastAsia="宋体"/>
                <w:sz w:val="22"/>
              </w:rPr>
              <w:t>*≥</w:t>
            </w:r>
            <w:r>
              <w:rPr>
                <w:rFonts w:hint="eastAsia" w:ascii="宋体" w:hAnsi="宋体" w:eastAsia="宋体"/>
                <w:sz w:val="22"/>
              </w:rPr>
              <w:t>2000</w:t>
            </w:r>
            <w:r>
              <w:rPr>
                <w:rFonts w:ascii="宋体" w:hAnsi="宋体" w:eastAsia="宋体"/>
                <w:sz w:val="22"/>
              </w:rPr>
              <w:t>*≥</w:t>
            </w:r>
            <w:r>
              <w:rPr>
                <w:rFonts w:hint="eastAsia" w:ascii="宋体" w:hAnsi="宋体" w:eastAsia="宋体"/>
                <w:sz w:val="22"/>
              </w:rPr>
              <w:t>2400</w:t>
            </w:r>
          </w:p>
          <w:p>
            <w:pPr>
              <w:rPr>
                <w:rFonts w:ascii="宋体" w:hAnsi="宋体" w:eastAsia="宋体"/>
                <w:sz w:val="22"/>
              </w:rPr>
            </w:pPr>
            <w:r>
              <w:rPr>
                <w:rFonts w:ascii="宋体" w:hAnsi="宋体" w:eastAsia="宋体"/>
                <w:sz w:val="22"/>
              </w:rPr>
              <w:t>2</w:t>
            </w:r>
            <w:r>
              <w:rPr>
                <w:rFonts w:hint="eastAsia" w:ascii="宋体" w:hAnsi="宋体" w:eastAsia="宋体"/>
                <w:sz w:val="22"/>
              </w:rPr>
              <w:t>、★总质量(kg)：</w:t>
            </w:r>
            <w:r>
              <w:rPr>
                <w:rFonts w:ascii="宋体" w:hAnsi="宋体" w:eastAsia="宋体"/>
                <w:sz w:val="22"/>
              </w:rPr>
              <w:t>≥</w:t>
            </w:r>
            <w:r>
              <w:rPr>
                <w:rFonts w:hint="eastAsia" w:ascii="宋体" w:hAnsi="宋体" w:eastAsia="宋体"/>
                <w:sz w:val="22"/>
              </w:rPr>
              <w:t>3200</w:t>
            </w:r>
          </w:p>
          <w:p>
            <w:pPr>
              <w:rPr>
                <w:rFonts w:ascii="宋体" w:hAnsi="宋体" w:eastAsia="宋体"/>
                <w:sz w:val="22"/>
              </w:rPr>
            </w:pPr>
            <w:r>
              <w:rPr>
                <w:rFonts w:hint="eastAsia" w:ascii="宋体" w:hAnsi="宋体" w:eastAsia="宋体"/>
                <w:sz w:val="22"/>
              </w:rPr>
              <w:t>3、▲轴距(mm)：</w:t>
            </w:r>
            <w:r>
              <w:rPr>
                <w:rFonts w:ascii="宋体" w:hAnsi="宋体" w:eastAsia="宋体"/>
                <w:sz w:val="22"/>
              </w:rPr>
              <w:t>≥3200</w:t>
            </w:r>
          </w:p>
          <w:p>
            <w:pPr>
              <w:rPr>
                <w:rFonts w:ascii="宋体" w:hAnsi="宋体" w:eastAsia="宋体"/>
                <w:sz w:val="22"/>
              </w:rPr>
            </w:pPr>
            <w:r>
              <w:rPr>
                <w:rFonts w:ascii="宋体" w:hAnsi="宋体" w:eastAsia="宋体"/>
                <w:sz w:val="22"/>
              </w:rPr>
              <w:t>4</w:t>
            </w:r>
            <w:r>
              <w:rPr>
                <w:rFonts w:hint="eastAsia" w:ascii="宋体" w:hAnsi="宋体" w:eastAsia="宋体"/>
                <w:sz w:val="22"/>
              </w:rPr>
              <w:t>、★发动机燃料：汽油</w:t>
            </w:r>
          </w:p>
          <w:p>
            <w:pPr>
              <w:rPr>
                <w:rFonts w:ascii="宋体" w:hAnsi="宋体" w:eastAsia="宋体"/>
                <w:sz w:val="22"/>
              </w:rPr>
            </w:pPr>
            <w:r>
              <w:rPr>
                <w:rFonts w:hint="eastAsia" w:ascii="宋体" w:hAnsi="宋体" w:eastAsia="宋体"/>
                <w:sz w:val="22"/>
              </w:rPr>
              <w:t>5、▲总质量(kg)：</w:t>
            </w:r>
            <w:r>
              <w:rPr>
                <w:rFonts w:ascii="宋体" w:hAnsi="宋体" w:eastAsia="宋体"/>
                <w:sz w:val="22"/>
              </w:rPr>
              <w:t>≥</w:t>
            </w:r>
            <w:r>
              <w:rPr>
                <w:rFonts w:hint="eastAsia" w:ascii="宋体" w:hAnsi="宋体" w:eastAsia="宋体"/>
                <w:sz w:val="22"/>
              </w:rPr>
              <w:t>3200</w:t>
            </w:r>
          </w:p>
          <w:p>
            <w:pPr>
              <w:rPr>
                <w:rFonts w:ascii="宋体" w:hAnsi="宋体" w:eastAsia="宋体"/>
                <w:sz w:val="22"/>
              </w:rPr>
            </w:pPr>
            <w:r>
              <w:rPr>
                <w:rFonts w:hint="eastAsia" w:ascii="宋体" w:hAnsi="宋体" w:eastAsia="宋体"/>
                <w:sz w:val="22"/>
              </w:rPr>
              <w:t>6、▲发动机功率：</w:t>
            </w:r>
            <w:r>
              <w:rPr>
                <w:rFonts w:ascii="宋体" w:hAnsi="宋体" w:eastAsia="宋体"/>
                <w:sz w:val="22"/>
              </w:rPr>
              <w:t>≥</w:t>
            </w:r>
            <w:r>
              <w:rPr>
                <w:rFonts w:hint="eastAsia" w:ascii="宋体" w:hAnsi="宋体" w:eastAsia="宋体"/>
                <w:sz w:val="22"/>
              </w:rPr>
              <w:t>140(kw)</w:t>
            </w:r>
          </w:p>
          <w:p>
            <w:pPr>
              <w:rPr>
                <w:rFonts w:ascii="宋体" w:hAnsi="宋体" w:eastAsia="宋体"/>
                <w:sz w:val="22"/>
              </w:rPr>
            </w:pPr>
            <w:r>
              <w:rPr>
                <w:rFonts w:ascii="宋体" w:hAnsi="宋体" w:eastAsia="宋体"/>
                <w:sz w:val="22"/>
              </w:rPr>
              <w:t>7</w:t>
            </w:r>
            <w:r>
              <w:rPr>
                <w:rFonts w:hint="eastAsia" w:ascii="宋体" w:hAnsi="宋体" w:eastAsia="宋体"/>
                <w:sz w:val="22"/>
              </w:rPr>
              <w:t>、▲车辆</w:t>
            </w:r>
            <w:r>
              <w:rPr>
                <w:rFonts w:ascii="宋体" w:hAnsi="宋体" w:eastAsia="宋体"/>
                <w:sz w:val="22"/>
              </w:rPr>
              <w:t>最大扭矩</w:t>
            </w:r>
            <w:r>
              <w:rPr>
                <w:rFonts w:hint="eastAsia" w:ascii="宋体" w:hAnsi="宋体" w:eastAsia="宋体"/>
                <w:sz w:val="22"/>
              </w:rPr>
              <w:t>：</w:t>
            </w:r>
            <w:r>
              <w:rPr>
                <w:rFonts w:ascii="宋体" w:hAnsi="宋体" w:eastAsia="宋体"/>
                <w:sz w:val="22"/>
              </w:rPr>
              <w:t>≥</w:t>
            </w:r>
            <w:r>
              <w:rPr>
                <w:rFonts w:hint="eastAsia" w:ascii="宋体" w:hAnsi="宋体" w:eastAsia="宋体"/>
                <w:sz w:val="22"/>
              </w:rPr>
              <w:t>300</w:t>
            </w:r>
            <w:r>
              <w:rPr>
                <w:rFonts w:ascii="宋体" w:hAnsi="宋体" w:eastAsia="宋体"/>
                <w:sz w:val="22"/>
              </w:rPr>
              <w:t xml:space="preserve"> Nm</w:t>
            </w:r>
          </w:p>
          <w:p>
            <w:pPr>
              <w:rPr>
                <w:rFonts w:ascii="宋体" w:hAnsi="宋体" w:eastAsia="宋体"/>
                <w:sz w:val="22"/>
              </w:rPr>
            </w:pPr>
            <w:r>
              <w:rPr>
                <w:rFonts w:ascii="宋体" w:hAnsi="宋体" w:eastAsia="宋体"/>
                <w:sz w:val="22"/>
              </w:rPr>
              <w:t>8</w:t>
            </w:r>
            <w:r>
              <w:rPr>
                <w:rFonts w:hint="eastAsia" w:ascii="宋体" w:hAnsi="宋体" w:eastAsia="宋体"/>
                <w:sz w:val="22"/>
              </w:rPr>
              <w:t>、前悬：</w:t>
            </w:r>
            <w:r>
              <w:rPr>
                <w:rFonts w:ascii="宋体" w:hAnsi="宋体" w:eastAsia="宋体"/>
                <w:sz w:val="22"/>
              </w:rPr>
              <w:t>麦</w:t>
            </w:r>
            <w:r>
              <w:rPr>
                <w:rFonts w:hint="eastAsia" w:ascii="宋体" w:hAnsi="宋体" w:eastAsia="宋体"/>
                <w:sz w:val="22"/>
              </w:rPr>
              <w:t>弗</w:t>
            </w:r>
            <w:r>
              <w:rPr>
                <w:rFonts w:ascii="宋体" w:hAnsi="宋体" w:eastAsia="宋体"/>
                <w:sz w:val="22"/>
              </w:rPr>
              <w:t>逊式独立前悬</w:t>
            </w:r>
            <w:r>
              <w:rPr>
                <w:rFonts w:hint="eastAsia" w:ascii="宋体" w:hAnsi="宋体" w:eastAsia="宋体"/>
                <w:sz w:val="22"/>
              </w:rPr>
              <w:t>挂</w:t>
            </w:r>
          </w:p>
          <w:p>
            <w:pPr>
              <w:rPr>
                <w:rFonts w:ascii="宋体" w:hAnsi="宋体" w:eastAsia="宋体"/>
                <w:sz w:val="22"/>
              </w:rPr>
            </w:pPr>
            <w:r>
              <w:rPr>
                <w:rFonts w:ascii="宋体" w:hAnsi="宋体" w:eastAsia="宋体"/>
                <w:sz w:val="22"/>
              </w:rPr>
              <w:t>9</w:t>
            </w:r>
            <w:r>
              <w:rPr>
                <w:rFonts w:hint="eastAsia" w:ascii="宋体" w:hAnsi="宋体" w:eastAsia="宋体"/>
                <w:sz w:val="22"/>
              </w:rPr>
              <w:t>、</w:t>
            </w:r>
            <w:r>
              <w:rPr>
                <w:rFonts w:ascii="宋体" w:hAnsi="宋体" w:eastAsia="宋体"/>
                <w:sz w:val="22"/>
              </w:rPr>
              <w:t>后悬</w:t>
            </w:r>
            <w:r>
              <w:rPr>
                <w:rFonts w:hint="eastAsia" w:ascii="宋体" w:hAnsi="宋体" w:eastAsia="宋体"/>
                <w:sz w:val="22"/>
              </w:rPr>
              <w:t>：钢板弹簧非独立悬挂</w:t>
            </w:r>
          </w:p>
          <w:p>
            <w:pPr>
              <w:rPr>
                <w:rFonts w:ascii="宋体" w:hAnsi="宋体" w:eastAsia="宋体"/>
                <w:sz w:val="22"/>
              </w:rPr>
            </w:pPr>
            <w:r>
              <w:rPr>
                <w:rFonts w:ascii="宋体" w:hAnsi="宋体" w:eastAsia="宋体"/>
                <w:sz w:val="22"/>
              </w:rPr>
              <w:t>10</w:t>
            </w:r>
            <w:r>
              <w:rPr>
                <w:rFonts w:hint="eastAsia" w:ascii="宋体" w:hAnsi="宋体" w:eastAsia="宋体"/>
                <w:sz w:val="22"/>
              </w:rPr>
              <w:t>、轴荷(kg)：</w:t>
            </w:r>
            <w:r>
              <w:rPr>
                <w:rFonts w:ascii="宋体" w:hAnsi="宋体" w:eastAsia="宋体"/>
                <w:sz w:val="22"/>
              </w:rPr>
              <w:t>≥</w:t>
            </w:r>
            <w:r>
              <w:rPr>
                <w:rFonts w:hint="eastAsia" w:ascii="宋体" w:hAnsi="宋体" w:eastAsia="宋体"/>
                <w:sz w:val="22"/>
              </w:rPr>
              <w:t>1455/1845</w:t>
            </w:r>
            <w:r>
              <w:rPr>
                <w:rFonts w:ascii="宋体" w:hAnsi="宋体" w:eastAsia="宋体"/>
                <w:sz w:val="22"/>
              </w:rPr>
              <w:t xml:space="preserve">   </w:t>
            </w:r>
          </w:p>
          <w:p>
            <w:pPr>
              <w:rPr>
                <w:rFonts w:ascii="宋体" w:hAnsi="宋体" w:eastAsia="宋体"/>
                <w:sz w:val="22"/>
              </w:rPr>
            </w:pPr>
            <w:r>
              <w:rPr>
                <w:rFonts w:hint="eastAsia" w:ascii="宋体" w:hAnsi="宋体" w:eastAsia="宋体"/>
                <w:sz w:val="22"/>
              </w:rPr>
              <w:t>1</w:t>
            </w:r>
            <w:r>
              <w:rPr>
                <w:rFonts w:ascii="宋体" w:hAnsi="宋体" w:eastAsia="宋体"/>
                <w:sz w:val="22"/>
              </w:rPr>
              <w:t>1</w:t>
            </w:r>
            <w:r>
              <w:rPr>
                <w:rFonts w:hint="eastAsia" w:ascii="宋体" w:hAnsi="宋体" w:eastAsia="宋体"/>
                <w:sz w:val="22"/>
              </w:rPr>
              <w:t>、制动系统：</w:t>
            </w:r>
            <w:r>
              <w:rPr>
                <w:rFonts w:ascii="宋体" w:hAnsi="宋体" w:eastAsia="宋体"/>
                <w:sz w:val="22"/>
              </w:rPr>
              <w:t>前盘后盘</w:t>
            </w:r>
            <w:r>
              <w:rPr>
                <w:rFonts w:hint="eastAsia" w:ascii="宋体" w:hAnsi="宋体" w:eastAsia="宋体"/>
                <w:sz w:val="22"/>
              </w:rPr>
              <w:t>式制动</w:t>
            </w:r>
          </w:p>
          <w:p>
            <w:pPr>
              <w:rPr>
                <w:rFonts w:ascii="宋体" w:hAnsi="宋体" w:eastAsia="宋体"/>
                <w:sz w:val="22"/>
              </w:rPr>
            </w:pPr>
            <w:r>
              <w:rPr>
                <w:rFonts w:ascii="宋体" w:hAnsi="宋体" w:eastAsia="宋体"/>
                <w:sz w:val="22"/>
              </w:rPr>
              <w:t>12</w:t>
            </w:r>
            <w:r>
              <w:rPr>
                <w:rFonts w:hint="eastAsia" w:ascii="宋体" w:hAnsi="宋体" w:eastAsia="宋体"/>
                <w:sz w:val="22"/>
              </w:rPr>
              <w:t>、</w:t>
            </w:r>
            <w:r>
              <w:rPr>
                <w:rFonts w:ascii="宋体" w:hAnsi="宋体" w:eastAsia="宋体"/>
                <w:sz w:val="22"/>
              </w:rPr>
              <w:t>变速器: ≥</w:t>
            </w:r>
            <w:r>
              <w:rPr>
                <w:rFonts w:hint="eastAsia" w:ascii="宋体" w:hAnsi="宋体" w:eastAsia="宋体"/>
                <w:sz w:val="22"/>
              </w:rPr>
              <w:t>5速手动挡</w:t>
            </w:r>
          </w:p>
          <w:p>
            <w:pPr>
              <w:spacing w:before="156" w:beforeLines="50"/>
              <w:rPr>
                <w:rFonts w:ascii="宋体" w:hAnsi="宋体" w:eastAsia="宋体"/>
                <w:b/>
                <w:bCs/>
                <w:sz w:val="22"/>
              </w:rPr>
            </w:pPr>
            <w:r>
              <w:rPr>
                <w:rFonts w:hint="eastAsia" w:ascii="宋体" w:hAnsi="宋体" w:eastAsia="宋体"/>
                <w:b/>
                <w:bCs/>
                <w:sz w:val="22"/>
              </w:rPr>
              <w:t>中央电源分配系统</w:t>
            </w:r>
          </w:p>
          <w:p>
            <w:pPr>
              <w:rPr>
                <w:rFonts w:ascii="宋体" w:hAnsi="宋体" w:eastAsia="宋体"/>
                <w:sz w:val="22"/>
              </w:rPr>
            </w:pPr>
            <w:r>
              <w:rPr>
                <w:rFonts w:hint="eastAsia" w:ascii="宋体" w:hAnsi="宋体" w:eastAsia="宋体"/>
                <w:sz w:val="22"/>
              </w:rPr>
              <w:t>1、由主电瓶、辅助电瓶、智能充电控制装置、带充电功能正弦波逆变器、电控箱、线束、控制面板构成。</w:t>
            </w:r>
          </w:p>
          <w:p>
            <w:pPr>
              <w:rPr>
                <w:rFonts w:ascii="宋体" w:hAnsi="宋体" w:eastAsia="宋体"/>
                <w:sz w:val="22"/>
              </w:rPr>
            </w:pPr>
            <w:r>
              <w:rPr>
                <w:rFonts w:ascii="宋体" w:hAnsi="宋体" w:eastAsia="宋体"/>
                <w:sz w:val="22"/>
              </w:rPr>
              <w:t>2</w:t>
            </w:r>
            <w:r>
              <w:rPr>
                <w:rFonts w:hint="eastAsia" w:ascii="宋体" w:hAnsi="宋体" w:eastAsia="宋体"/>
                <w:sz w:val="22"/>
              </w:rPr>
              <w:t>、车用紧急启动控制装置：当主电瓶在低于12V无法正常启动时，按住紧急启动开关可以借助辅助电瓶令汽车迅速启动。</w:t>
            </w:r>
          </w:p>
          <w:p>
            <w:pPr>
              <w:rPr>
                <w:rFonts w:ascii="宋体" w:hAnsi="宋体" w:eastAsia="宋体"/>
                <w:sz w:val="22"/>
              </w:rPr>
            </w:pPr>
            <w:r>
              <w:rPr>
                <w:rFonts w:hint="eastAsia" w:ascii="宋体" w:hAnsi="宋体" w:eastAsia="宋体"/>
                <w:sz w:val="22"/>
              </w:rPr>
              <w:t>3、智能充电控制装置：1确保主电瓶的正常充电；2自动断开避免发电机过载，延长发电机寿命；3辅助电瓶独立工作，避免偷耗主电瓶电能。</w:t>
            </w:r>
          </w:p>
          <w:p>
            <w:pPr>
              <w:rPr>
                <w:rFonts w:ascii="宋体" w:hAnsi="宋体" w:eastAsia="宋体"/>
                <w:sz w:val="22"/>
              </w:rPr>
            </w:pPr>
            <w:r>
              <w:rPr>
                <w:rFonts w:ascii="宋体" w:hAnsi="宋体" w:eastAsia="宋体"/>
                <w:sz w:val="22"/>
              </w:rPr>
              <w:t>4</w:t>
            </w:r>
            <w:r>
              <w:rPr>
                <w:rFonts w:hint="eastAsia" w:ascii="宋体" w:hAnsi="宋体" w:eastAsia="宋体"/>
                <w:sz w:val="22"/>
              </w:rPr>
              <w:t>、备用电源1个</w:t>
            </w:r>
          </w:p>
          <w:p>
            <w:pPr>
              <w:spacing w:before="156" w:beforeLines="50"/>
              <w:rPr>
                <w:rFonts w:ascii="宋体" w:hAnsi="宋体" w:eastAsia="宋体"/>
                <w:b/>
                <w:bCs/>
                <w:sz w:val="22"/>
              </w:rPr>
            </w:pPr>
            <w:r>
              <w:rPr>
                <w:rFonts w:hint="eastAsia" w:ascii="宋体" w:hAnsi="宋体" w:eastAsia="宋体"/>
                <w:b/>
                <w:bCs/>
                <w:sz w:val="22"/>
              </w:rPr>
              <w:t>车内配置</w:t>
            </w:r>
          </w:p>
          <w:p>
            <w:pPr>
              <w:rPr>
                <w:rFonts w:ascii="宋体" w:hAnsi="宋体" w:eastAsia="宋体"/>
                <w:sz w:val="22"/>
              </w:rPr>
            </w:pPr>
            <w:r>
              <w:rPr>
                <w:rFonts w:ascii="宋体" w:hAnsi="宋体" w:eastAsia="宋体"/>
                <w:sz w:val="22"/>
              </w:rPr>
              <w:t>1</w:t>
            </w:r>
            <w:r>
              <w:rPr>
                <w:rFonts w:hint="eastAsia" w:ascii="宋体" w:hAnsi="宋体" w:eastAsia="宋体"/>
                <w:sz w:val="22"/>
              </w:rPr>
              <w:t>、</w:t>
            </w:r>
            <w:r>
              <w:rPr>
                <w:rFonts w:ascii="宋体" w:hAnsi="宋体" w:eastAsia="宋体"/>
                <w:sz w:val="22"/>
              </w:rPr>
              <w:t>车身左侧配置25英寸以上液晶电子宣教屏、车顶防水功放喇叭</w:t>
            </w:r>
          </w:p>
          <w:p>
            <w:pPr>
              <w:rPr>
                <w:rFonts w:ascii="宋体" w:hAnsi="宋体" w:eastAsia="宋体"/>
                <w:sz w:val="22"/>
              </w:rPr>
            </w:pPr>
            <w:r>
              <w:rPr>
                <w:rFonts w:ascii="宋体" w:hAnsi="宋体" w:eastAsia="宋体"/>
                <w:sz w:val="22"/>
              </w:rPr>
              <w:t>2</w:t>
            </w:r>
            <w:r>
              <w:rPr>
                <w:rFonts w:hint="eastAsia" w:ascii="宋体" w:hAnsi="宋体" w:eastAsia="宋体"/>
                <w:sz w:val="22"/>
              </w:rPr>
              <w:t>、</w:t>
            </w:r>
            <w:r>
              <w:rPr>
                <w:rFonts w:ascii="宋体" w:hAnsi="宋体" w:eastAsia="宋体"/>
                <w:sz w:val="22"/>
              </w:rPr>
              <w:t>紫外光灭菌灯</w:t>
            </w:r>
          </w:p>
          <w:p>
            <w:pPr>
              <w:rPr>
                <w:rFonts w:ascii="宋体" w:hAnsi="宋体" w:eastAsia="宋体"/>
                <w:sz w:val="22"/>
              </w:rPr>
            </w:pPr>
            <w:r>
              <w:rPr>
                <w:rFonts w:ascii="宋体" w:hAnsi="宋体" w:eastAsia="宋体"/>
                <w:sz w:val="22"/>
              </w:rPr>
              <w:t>3</w:t>
            </w:r>
            <w:r>
              <w:rPr>
                <w:rFonts w:hint="eastAsia" w:ascii="宋体" w:hAnsi="宋体" w:eastAsia="宋体"/>
                <w:sz w:val="22"/>
              </w:rPr>
              <w:t>、</w:t>
            </w:r>
            <w:r>
              <w:rPr>
                <w:rFonts w:ascii="宋体" w:hAnsi="宋体" w:eastAsia="宋体"/>
                <w:sz w:val="22"/>
              </w:rPr>
              <w:t>独立冷暖气系统</w:t>
            </w:r>
          </w:p>
          <w:p>
            <w:pPr>
              <w:rPr>
                <w:rFonts w:ascii="宋体" w:hAnsi="宋体" w:eastAsia="宋体"/>
                <w:sz w:val="22"/>
              </w:rPr>
            </w:pPr>
            <w:r>
              <w:rPr>
                <w:rFonts w:ascii="宋体" w:hAnsi="宋体" w:eastAsia="宋体"/>
                <w:sz w:val="22"/>
              </w:rPr>
              <w:t>4</w:t>
            </w:r>
            <w:r>
              <w:rPr>
                <w:rFonts w:hint="eastAsia" w:ascii="宋体" w:hAnsi="宋体" w:eastAsia="宋体"/>
                <w:sz w:val="22"/>
              </w:rPr>
              <w:t>、</w:t>
            </w:r>
            <w:r>
              <w:rPr>
                <w:rFonts w:ascii="宋体" w:hAnsi="宋体" w:eastAsia="宋体"/>
                <w:sz w:val="22"/>
              </w:rPr>
              <w:t>双向换气系统（进出风）</w:t>
            </w:r>
          </w:p>
          <w:p>
            <w:pPr>
              <w:rPr>
                <w:rFonts w:ascii="宋体" w:hAnsi="宋体" w:eastAsia="宋体"/>
                <w:sz w:val="22"/>
              </w:rPr>
            </w:pPr>
            <w:r>
              <w:rPr>
                <w:rFonts w:ascii="宋体" w:hAnsi="宋体" w:eastAsia="宋体"/>
                <w:sz w:val="22"/>
              </w:rPr>
              <w:t>5</w:t>
            </w:r>
            <w:r>
              <w:rPr>
                <w:rFonts w:hint="eastAsia" w:ascii="宋体" w:hAnsi="宋体" w:eastAsia="宋体"/>
                <w:sz w:val="22"/>
              </w:rPr>
              <w:t>、</w:t>
            </w:r>
            <w:r>
              <w:rPr>
                <w:rFonts w:ascii="宋体" w:hAnsi="宋体" w:eastAsia="宋体"/>
                <w:sz w:val="22"/>
              </w:rPr>
              <w:t>内壁加固防撞处理</w:t>
            </w:r>
          </w:p>
          <w:p>
            <w:pPr>
              <w:rPr>
                <w:rFonts w:ascii="宋体" w:hAnsi="宋体" w:eastAsia="宋体"/>
                <w:sz w:val="22"/>
              </w:rPr>
            </w:pPr>
            <w:r>
              <w:rPr>
                <w:rFonts w:ascii="宋体" w:hAnsi="宋体" w:eastAsia="宋体"/>
                <w:sz w:val="22"/>
              </w:rPr>
              <w:t>6</w:t>
            </w:r>
            <w:r>
              <w:rPr>
                <w:rFonts w:hint="eastAsia" w:ascii="宋体" w:hAnsi="宋体" w:eastAsia="宋体"/>
                <w:sz w:val="22"/>
              </w:rPr>
              <w:t>、</w:t>
            </w:r>
            <w:r>
              <w:rPr>
                <w:rFonts w:ascii="宋体" w:hAnsi="宋体" w:eastAsia="宋体"/>
                <w:sz w:val="22"/>
              </w:rPr>
              <w:t>侧门、后门上车头部防撞保护</w:t>
            </w:r>
          </w:p>
          <w:p>
            <w:pPr>
              <w:rPr>
                <w:rFonts w:ascii="宋体" w:hAnsi="宋体" w:eastAsia="宋体"/>
                <w:sz w:val="22"/>
              </w:rPr>
            </w:pPr>
            <w:r>
              <w:rPr>
                <w:rFonts w:ascii="宋体" w:hAnsi="宋体" w:eastAsia="宋体"/>
                <w:sz w:val="22"/>
              </w:rPr>
              <w:t>7</w:t>
            </w:r>
            <w:r>
              <w:rPr>
                <w:rFonts w:hint="eastAsia" w:ascii="宋体" w:hAnsi="宋体" w:eastAsia="宋体"/>
                <w:sz w:val="22"/>
              </w:rPr>
              <w:t>、</w:t>
            </w:r>
            <w:r>
              <w:rPr>
                <w:rFonts w:ascii="宋体" w:hAnsi="宋体" w:eastAsia="宋体"/>
                <w:sz w:val="22"/>
              </w:rPr>
              <w:t>顶部安装黄色尼龙抗菌扶手</w:t>
            </w:r>
          </w:p>
          <w:p>
            <w:pPr>
              <w:rPr>
                <w:rFonts w:ascii="宋体" w:hAnsi="宋体" w:eastAsia="宋体"/>
                <w:sz w:val="22"/>
              </w:rPr>
            </w:pPr>
            <w:r>
              <w:rPr>
                <w:rFonts w:ascii="宋体" w:hAnsi="宋体" w:eastAsia="宋体"/>
                <w:sz w:val="22"/>
              </w:rPr>
              <w:t>8</w:t>
            </w:r>
            <w:r>
              <w:rPr>
                <w:rFonts w:hint="eastAsia" w:ascii="宋体" w:hAnsi="宋体" w:eastAsia="宋体"/>
                <w:sz w:val="22"/>
              </w:rPr>
              <w:t>、</w:t>
            </w:r>
            <w:r>
              <w:rPr>
                <w:rFonts w:ascii="宋体" w:hAnsi="宋体" w:eastAsia="宋体"/>
                <w:sz w:val="22"/>
              </w:rPr>
              <w:t>保温隔热层</w:t>
            </w:r>
          </w:p>
          <w:p>
            <w:pPr>
              <w:rPr>
                <w:rFonts w:ascii="宋体" w:hAnsi="宋体" w:eastAsia="宋体"/>
                <w:sz w:val="22"/>
              </w:rPr>
            </w:pPr>
            <w:r>
              <w:rPr>
                <w:rFonts w:ascii="宋体" w:hAnsi="宋体" w:eastAsia="宋体"/>
                <w:sz w:val="22"/>
              </w:rPr>
              <w:t>9</w:t>
            </w:r>
            <w:r>
              <w:rPr>
                <w:rFonts w:hint="eastAsia" w:ascii="宋体" w:hAnsi="宋体" w:eastAsia="宋体"/>
                <w:sz w:val="22"/>
              </w:rPr>
              <w:t>、</w:t>
            </w:r>
            <w:r>
              <w:rPr>
                <w:rFonts w:ascii="宋体" w:hAnsi="宋体" w:eastAsia="宋体"/>
                <w:sz w:val="22"/>
              </w:rPr>
              <w:t>驾驶室与安装分隔墙：带可推拉窗户</w:t>
            </w:r>
          </w:p>
          <w:p>
            <w:pPr>
              <w:rPr>
                <w:rFonts w:ascii="宋体" w:hAnsi="宋体" w:eastAsia="宋体"/>
                <w:sz w:val="22"/>
              </w:rPr>
            </w:pPr>
            <w:r>
              <w:rPr>
                <w:rFonts w:ascii="宋体" w:hAnsi="宋体" w:eastAsia="宋体"/>
                <w:sz w:val="22"/>
              </w:rPr>
              <w:t>10</w:t>
            </w:r>
            <w:r>
              <w:rPr>
                <w:rFonts w:hint="eastAsia" w:ascii="宋体" w:hAnsi="宋体" w:eastAsia="宋体"/>
                <w:sz w:val="22"/>
              </w:rPr>
              <w:t>、</w:t>
            </w:r>
            <w:r>
              <w:rPr>
                <w:rFonts w:ascii="宋体" w:hAnsi="宋体" w:eastAsia="宋体"/>
                <w:sz w:val="22"/>
              </w:rPr>
              <w:t>地板：耐酸、碱、防火、防滑、防静电</w:t>
            </w:r>
          </w:p>
          <w:p>
            <w:pPr>
              <w:rPr>
                <w:rFonts w:ascii="宋体" w:hAnsi="宋体" w:eastAsia="宋体"/>
                <w:sz w:val="22"/>
              </w:rPr>
            </w:pPr>
            <w:r>
              <w:rPr>
                <w:rFonts w:ascii="宋体" w:hAnsi="宋体" w:eastAsia="宋体"/>
                <w:sz w:val="22"/>
              </w:rPr>
              <w:t>11</w:t>
            </w:r>
            <w:r>
              <w:rPr>
                <w:rFonts w:hint="eastAsia" w:ascii="宋体" w:hAnsi="宋体" w:eastAsia="宋体"/>
                <w:sz w:val="22"/>
              </w:rPr>
              <w:t>、</w:t>
            </w:r>
            <w:r>
              <w:rPr>
                <w:rFonts w:ascii="宋体" w:hAnsi="宋体" w:eastAsia="宋体"/>
                <w:sz w:val="22"/>
              </w:rPr>
              <w:t>安全锤1件</w:t>
            </w:r>
          </w:p>
          <w:p>
            <w:pPr>
              <w:rPr>
                <w:rFonts w:ascii="宋体" w:hAnsi="宋体" w:eastAsia="宋体"/>
                <w:sz w:val="22"/>
              </w:rPr>
            </w:pPr>
            <w:r>
              <w:rPr>
                <w:rFonts w:ascii="宋体" w:hAnsi="宋体" w:eastAsia="宋体"/>
                <w:sz w:val="22"/>
              </w:rPr>
              <w:t>12</w:t>
            </w:r>
            <w:r>
              <w:rPr>
                <w:rFonts w:hint="eastAsia" w:ascii="宋体" w:hAnsi="宋体" w:eastAsia="宋体"/>
                <w:sz w:val="22"/>
              </w:rPr>
              <w:t>、</w:t>
            </w:r>
            <w:r>
              <w:rPr>
                <w:rFonts w:ascii="宋体" w:hAnsi="宋体" w:eastAsia="宋体"/>
                <w:sz w:val="22"/>
              </w:rPr>
              <w:t>灭火器1个</w:t>
            </w:r>
          </w:p>
          <w:p>
            <w:pPr>
              <w:rPr>
                <w:rFonts w:ascii="宋体" w:hAnsi="宋体" w:eastAsia="宋体"/>
                <w:sz w:val="22"/>
              </w:rPr>
            </w:pPr>
            <w:r>
              <w:rPr>
                <w:rFonts w:ascii="宋体" w:hAnsi="宋体" w:eastAsia="宋体"/>
                <w:sz w:val="22"/>
              </w:rPr>
              <w:t>13</w:t>
            </w:r>
            <w:r>
              <w:rPr>
                <w:rFonts w:hint="eastAsia" w:ascii="宋体" w:hAnsi="宋体" w:eastAsia="宋体"/>
                <w:sz w:val="22"/>
              </w:rPr>
              <w:t>、</w:t>
            </w:r>
            <w:r>
              <w:rPr>
                <w:rFonts w:ascii="宋体" w:hAnsi="宋体" w:eastAsia="宋体"/>
                <w:sz w:val="22"/>
              </w:rPr>
              <w:t>带靠背圆凳2把</w:t>
            </w:r>
          </w:p>
          <w:p>
            <w:pPr>
              <w:rPr>
                <w:rFonts w:ascii="宋体" w:hAnsi="宋体" w:eastAsia="宋体"/>
                <w:sz w:val="22"/>
              </w:rPr>
            </w:pPr>
            <w:r>
              <w:rPr>
                <w:rFonts w:ascii="宋体" w:hAnsi="宋体" w:eastAsia="宋体"/>
                <w:sz w:val="22"/>
              </w:rPr>
              <w:t>14</w:t>
            </w:r>
            <w:r>
              <w:rPr>
                <w:rFonts w:hint="eastAsia" w:ascii="宋体" w:hAnsi="宋体" w:eastAsia="宋体"/>
                <w:sz w:val="22"/>
              </w:rPr>
              <w:t>、</w:t>
            </w:r>
            <w:r>
              <w:rPr>
                <w:rFonts w:ascii="宋体" w:hAnsi="宋体" w:eastAsia="宋体"/>
                <w:sz w:val="22"/>
              </w:rPr>
              <w:t>垃圾桶1个</w:t>
            </w:r>
          </w:p>
          <w:p>
            <w:pPr>
              <w:rPr>
                <w:rFonts w:ascii="宋体" w:hAnsi="宋体" w:eastAsia="宋体"/>
                <w:sz w:val="22"/>
              </w:rPr>
            </w:pPr>
            <w:r>
              <w:rPr>
                <w:rFonts w:ascii="宋体" w:hAnsi="宋体" w:eastAsia="宋体"/>
                <w:sz w:val="22"/>
              </w:rPr>
              <w:t>15</w:t>
            </w:r>
            <w:r>
              <w:rPr>
                <w:rFonts w:hint="eastAsia" w:ascii="宋体" w:hAnsi="宋体" w:eastAsia="宋体"/>
                <w:sz w:val="22"/>
              </w:rPr>
              <w:t>、</w:t>
            </w:r>
            <w:r>
              <w:rPr>
                <w:rFonts w:ascii="宋体" w:hAnsi="宋体" w:eastAsia="宋体"/>
                <w:sz w:val="22"/>
              </w:rPr>
              <w:t>医用折叠担架1套</w:t>
            </w:r>
          </w:p>
          <w:p>
            <w:pPr>
              <w:rPr>
                <w:rFonts w:ascii="宋体" w:hAnsi="宋体" w:eastAsia="宋体"/>
                <w:sz w:val="22"/>
              </w:rPr>
            </w:pPr>
            <w:r>
              <w:rPr>
                <w:rFonts w:ascii="宋体" w:hAnsi="宋体" w:eastAsia="宋体"/>
                <w:sz w:val="22"/>
              </w:rPr>
              <w:t>16</w:t>
            </w:r>
            <w:r>
              <w:rPr>
                <w:rFonts w:hint="eastAsia" w:ascii="宋体" w:hAnsi="宋体" w:eastAsia="宋体"/>
                <w:sz w:val="22"/>
              </w:rPr>
              <w:t>、</w:t>
            </w:r>
            <w:r>
              <w:rPr>
                <w:rFonts w:ascii="宋体" w:hAnsi="宋体" w:eastAsia="宋体"/>
                <w:sz w:val="22"/>
              </w:rPr>
              <w:t>医用急救箱1个</w:t>
            </w:r>
          </w:p>
          <w:p>
            <w:pPr>
              <w:rPr>
                <w:rFonts w:ascii="宋体" w:hAnsi="宋体" w:eastAsia="宋体"/>
                <w:sz w:val="22"/>
              </w:rPr>
            </w:pPr>
            <w:r>
              <w:rPr>
                <w:rFonts w:ascii="宋体" w:hAnsi="宋体" w:eastAsia="宋体"/>
                <w:sz w:val="22"/>
              </w:rPr>
              <w:t>17</w:t>
            </w:r>
            <w:r>
              <w:rPr>
                <w:rFonts w:hint="eastAsia" w:ascii="宋体" w:hAnsi="宋体" w:eastAsia="宋体"/>
                <w:sz w:val="22"/>
              </w:rPr>
              <w:t>、</w:t>
            </w:r>
            <w:r>
              <w:rPr>
                <w:rFonts w:ascii="宋体" w:hAnsi="宋体" w:eastAsia="宋体"/>
                <w:sz w:val="22"/>
              </w:rPr>
              <w:t>医疗舱内部LED照明灯4套</w:t>
            </w:r>
          </w:p>
          <w:p>
            <w:pPr>
              <w:rPr>
                <w:rFonts w:ascii="宋体" w:hAnsi="宋体" w:eastAsia="宋体"/>
                <w:sz w:val="22"/>
              </w:rPr>
            </w:pPr>
            <w:r>
              <w:rPr>
                <w:rFonts w:ascii="宋体" w:hAnsi="宋体" w:eastAsia="宋体"/>
                <w:sz w:val="22"/>
              </w:rPr>
              <w:t>18</w:t>
            </w:r>
            <w:r>
              <w:rPr>
                <w:rFonts w:hint="eastAsia" w:ascii="宋体" w:hAnsi="宋体" w:eastAsia="宋体"/>
                <w:sz w:val="22"/>
              </w:rPr>
              <w:t>、</w:t>
            </w:r>
            <w:r>
              <w:rPr>
                <w:rFonts w:ascii="宋体" w:hAnsi="宋体" w:eastAsia="宋体"/>
                <w:sz w:val="22"/>
              </w:rPr>
              <w:t>医疗舱顶部输液挂架1套</w:t>
            </w:r>
          </w:p>
          <w:p>
            <w:pPr>
              <w:rPr>
                <w:rFonts w:ascii="宋体" w:hAnsi="宋体" w:eastAsia="宋体"/>
                <w:sz w:val="22"/>
              </w:rPr>
            </w:pPr>
            <w:r>
              <w:rPr>
                <w:rFonts w:ascii="宋体" w:hAnsi="宋体" w:eastAsia="宋体"/>
                <w:sz w:val="22"/>
              </w:rPr>
              <w:t>19</w:t>
            </w:r>
            <w:r>
              <w:rPr>
                <w:rFonts w:hint="eastAsia" w:ascii="宋体" w:hAnsi="宋体" w:eastAsia="宋体"/>
                <w:sz w:val="22"/>
              </w:rPr>
              <w:t>、</w:t>
            </w:r>
            <w:r>
              <w:rPr>
                <w:rFonts w:ascii="宋体" w:hAnsi="宋体" w:eastAsia="宋体"/>
                <w:sz w:val="22"/>
              </w:rPr>
              <w:t>氧气柜安装2个10升医用氧气瓶及专用减震卡箍</w:t>
            </w:r>
          </w:p>
          <w:p>
            <w:pPr>
              <w:rPr>
                <w:rFonts w:ascii="宋体" w:hAnsi="宋体" w:eastAsia="宋体"/>
                <w:sz w:val="22"/>
              </w:rPr>
            </w:pPr>
            <w:r>
              <w:rPr>
                <w:rFonts w:ascii="宋体" w:hAnsi="宋体" w:eastAsia="宋体"/>
                <w:sz w:val="22"/>
              </w:rPr>
              <w:t>20</w:t>
            </w:r>
            <w:r>
              <w:rPr>
                <w:rFonts w:hint="eastAsia" w:ascii="宋体" w:hAnsi="宋体" w:eastAsia="宋体"/>
                <w:sz w:val="22"/>
              </w:rPr>
              <w:t>、</w:t>
            </w:r>
            <w:r>
              <w:rPr>
                <w:rFonts w:ascii="宋体" w:hAnsi="宋体" w:eastAsia="宋体"/>
                <w:sz w:val="22"/>
              </w:rPr>
              <w:t>医疗舱隐藏式氧气管路系统1套</w:t>
            </w:r>
          </w:p>
          <w:p>
            <w:pPr>
              <w:rPr>
                <w:rFonts w:ascii="宋体" w:hAnsi="宋体" w:eastAsia="宋体"/>
                <w:sz w:val="22"/>
              </w:rPr>
            </w:pPr>
            <w:r>
              <w:rPr>
                <w:rFonts w:ascii="宋体" w:hAnsi="宋体" w:eastAsia="宋体"/>
                <w:sz w:val="22"/>
              </w:rPr>
              <w:t>21</w:t>
            </w:r>
            <w:r>
              <w:rPr>
                <w:rFonts w:hint="eastAsia" w:ascii="宋体" w:hAnsi="宋体" w:eastAsia="宋体"/>
                <w:sz w:val="22"/>
              </w:rPr>
              <w:t>、</w:t>
            </w:r>
            <w:r>
              <w:rPr>
                <w:rFonts w:ascii="宋体" w:hAnsi="宋体" w:eastAsia="宋体"/>
                <w:sz w:val="22"/>
              </w:rPr>
              <w:t>医疗舱立柱安装国标氧气端口2个</w:t>
            </w:r>
          </w:p>
          <w:p>
            <w:pPr>
              <w:rPr>
                <w:rFonts w:ascii="宋体" w:hAnsi="宋体" w:eastAsia="宋体"/>
                <w:sz w:val="22"/>
              </w:rPr>
            </w:pPr>
            <w:r>
              <w:rPr>
                <w:rFonts w:ascii="宋体" w:hAnsi="宋体" w:eastAsia="宋体"/>
                <w:sz w:val="22"/>
              </w:rPr>
              <w:t>22</w:t>
            </w:r>
            <w:r>
              <w:rPr>
                <w:rFonts w:hint="eastAsia" w:ascii="宋体" w:hAnsi="宋体" w:eastAsia="宋体"/>
                <w:sz w:val="22"/>
              </w:rPr>
              <w:t>、</w:t>
            </w:r>
            <w:r>
              <w:rPr>
                <w:rFonts w:ascii="宋体" w:hAnsi="宋体" w:eastAsia="宋体"/>
                <w:sz w:val="22"/>
              </w:rPr>
              <w:t>湿化瓶1个</w:t>
            </w:r>
          </w:p>
          <w:p>
            <w:pPr>
              <w:rPr>
                <w:rFonts w:ascii="宋体" w:hAnsi="宋体" w:eastAsia="宋体"/>
                <w:sz w:val="22"/>
              </w:rPr>
            </w:pPr>
            <w:r>
              <w:rPr>
                <w:rFonts w:ascii="宋体" w:hAnsi="宋体" w:eastAsia="宋体"/>
                <w:sz w:val="22"/>
              </w:rPr>
              <w:t>23</w:t>
            </w:r>
            <w:r>
              <w:rPr>
                <w:rFonts w:hint="eastAsia" w:ascii="宋体" w:hAnsi="宋体" w:eastAsia="宋体"/>
                <w:sz w:val="22"/>
              </w:rPr>
              <w:t>、</w:t>
            </w:r>
            <w:r>
              <w:rPr>
                <w:rFonts w:ascii="宋体" w:hAnsi="宋体" w:eastAsia="宋体"/>
                <w:sz w:val="22"/>
              </w:rPr>
              <w:t>高分子硬顶内饰方便清洗消毒</w:t>
            </w:r>
          </w:p>
          <w:p>
            <w:pPr>
              <w:rPr>
                <w:rFonts w:ascii="宋体" w:hAnsi="宋体" w:eastAsia="宋体"/>
                <w:sz w:val="22"/>
              </w:rPr>
            </w:pPr>
            <w:r>
              <w:rPr>
                <w:rFonts w:ascii="宋体" w:hAnsi="宋体" w:eastAsia="宋体"/>
                <w:sz w:val="22"/>
              </w:rPr>
              <w:t>24</w:t>
            </w:r>
            <w:r>
              <w:rPr>
                <w:rFonts w:hint="eastAsia" w:ascii="宋体" w:hAnsi="宋体" w:eastAsia="宋体"/>
                <w:sz w:val="22"/>
              </w:rPr>
              <w:t>、</w:t>
            </w:r>
            <w:r>
              <w:rPr>
                <w:rFonts w:ascii="宋体" w:hAnsi="宋体" w:eastAsia="宋体"/>
                <w:sz w:val="22"/>
              </w:rPr>
              <w:t>全车安装隐藏式安全预埋件</w:t>
            </w:r>
          </w:p>
          <w:p>
            <w:pPr>
              <w:rPr>
                <w:rFonts w:ascii="宋体" w:hAnsi="宋体" w:eastAsia="宋体"/>
                <w:sz w:val="22"/>
              </w:rPr>
            </w:pPr>
            <w:r>
              <w:rPr>
                <w:rFonts w:ascii="宋体" w:hAnsi="宋体" w:eastAsia="宋体"/>
                <w:sz w:val="22"/>
              </w:rPr>
              <w:t>25</w:t>
            </w:r>
            <w:r>
              <w:rPr>
                <w:rFonts w:hint="eastAsia" w:ascii="宋体" w:hAnsi="宋体" w:eastAsia="宋体"/>
                <w:sz w:val="22"/>
              </w:rPr>
              <w:t>、</w:t>
            </w:r>
            <w:r>
              <w:rPr>
                <w:rFonts w:ascii="宋体" w:hAnsi="宋体" w:eastAsia="宋体"/>
                <w:sz w:val="22"/>
              </w:rPr>
              <w:t>视频监控系统1个</w:t>
            </w:r>
          </w:p>
          <w:p>
            <w:pPr>
              <w:rPr>
                <w:rFonts w:ascii="宋体" w:hAnsi="宋体" w:eastAsia="宋体"/>
                <w:sz w:val="22"/>
              </w:rPr>
            </w:pPr>
            <w:r>
              <w:rPr>
                <w:rFonts w:hint="eastAsia" w:ascii="宋体" w:hAnsi="宋体" w:eastAsia="宋体"/>
                <w:sz w:val="22"/>
              </w:rPr>
              <w:t>2</w:t>
            </w:r>
            <w:r>
              <w:rPr>
                <w:rFonts w:ascii="宋体" w:hAnsi="宋体" w:eastAsia="宋体"/>
                <w:sz w:val="22"/>
              </w:rPr>
              <w:t>6</w:t>
            </w:r>
            <w:r>
              <w:rPr>
                <w:rFonts w:hint="eastAsia" w:ascii="宋体" w:hAnsi="宋体" w:eastAsia="宋体"/>
                <w:sz w:val="22"/>
              </w:rPr>
              <w:t>、便携式折叠床1张</w:t>
            </w:r>
          </w:p>
          <w:p>
            <w:pPr>
              <w:rPr>
                <w:rFonts w:ascii="宋体" w:hAnsi="宋体" w:eastAsia="宋体"/>
                <w:sz w:val="22"/>
              </w:rPr>
            </w:pPr>
          </w:p>
          <w:p>
            <w:pPr>
              <w:rPr>
                <w:rFonts w:ascii="宋体" w:hAnsi="宋体" w:eastAsia="宋体"/>
                <w:b/>
                <w:bCs/>
                <w:sz w:val="22"/>
              </w:rPr>
            </w:pPr>
            <w:r>
              <w:rPr>
                <w:rFonts w:hint="eastAsia" w:ascii="宋体" w:hAnsi="宋体" w:eastAsia="宋体"/>
                <w:b/>
                <w:bCs/>
                <w:sz w:val="22"/>
              </w:rPr>
              <w:t>后仓内部</w:t>
            </w:r>
          </w:p>
          <w:p>
            <w:pPr>
              <w:rPr>
                <w:rFonts w:ascii="宋体" w:hAnsi="宋体" w:eastAsia="宋体"/>
                <w:sz w:val="22"/>
              </w:rPr>
            </w:pPr>
            <w:r>
              <w:rPr>
                <w:rFonts w:ascii="宋体" w:hAnsi="宋体" w:eastAsia="宋体"/>
                <w:sz w:val="22"/>
              </w:rPr>
              <w:t>1</w:t>
            </w:r>
            <w:r>
              <w:rPr>
                <w:rFonts w:hint="eastAsia" w:ascii="宋体" w:hAnsi="宋体" w:eastAsia="宋体"/>
                <w:sz w:val="22"/>
              </w:rPr>
              <w:t>、</w:t>
            </w:r>
            <w:r>
              <w:rPr>
                <w:rFonts w:ascii="宋体" w:hAnsi="宋体" w:eastAsia="宋体"/>
                <w:sz w:val="22"/>
              </w:rPr>
              <w:t>中隔墙推拉观察窗</w:t>
            </w:r>
          </w:p>
          <w:p>
            <w:pPr>
              <w:rPr>
                <w:rFonts w:ascii="宋体" w:hAnsi="宋体" w:eastAsia="宋体"/>
                <w:sz w:val="22"/>
              </w:rPr>
            </w:pPr>
            <w:r>
              <w:rPr>
                <w:rFonts w:ascii="宋体" w:hAnsi="宋体" w:eastAsia="宋体"/>
                <w:sz w:val="22"/>
              </w:rPr>
              <w:t>2</w:t>
            </w:r>
            <w:r>
              <w:rPr>
                <w:rFonts w:hint="eastAsia" w:ascii="宋体" w:hAnsi="宋体" w:eastAsia="宋体"/>
                <w:sz w:val="22"/>
              </w:rPr>
              <w:t>、</w:t>
            </w:r>
            <w:r>
              <w:rPr>
                <w:rFonts w:ascii="宋体" w:hAnsi="宋体" w:eastAsia="宋体"/>
                <w:sz w:val="22"/>
              </w:rPr>
              <w:t>左侧工作台柜</w:t>
            </w:r>
          </w:p>
          <w:p>
            <w:pPr>
              <w:rPr>
                <w:rFonts w:ascii="宋体" w:hAnsi="宋体" w:eastAsia="宋体"/>
                <w:sz w:val="22"/>
              </w:rPr>
            </w:pPr>
            <w:r>
              <w:rPr>
                <w:rFonts w:ascii="宋体" w:hAnsi="宋体" w:eastAsia="宋体"/>
                <w:sz w:val="22"/>
              </w:rPr>
              <w:t>3</w:t>
            </w:r>
            <w:r>
              <w:rPr>
                <w:rFonts w:hint="eastAsia" w:ascii="宋体" w:hAnsi="宋体" w:eastAsia="宋体"/>
                <w:sz w:val="22"/>
              </w:rPr>
              <w:t>、</w:t>
            </w:r>
            <w:r>
              <w:rPr>
                <w:rFonts w:ascii="宋体" w:hAnsi="宋体" w:eastAsia="宋体"/>
                <w:sz w:val="22"/>
              </w:rPr>
              <w:t>环保耐磨防滑灰色地板</w:t>
            </w:r>
          </w:p>
          <w:p>
            <w:pPr>
              <w:rPr>
                <w:rFonts w:ascii="宋体" w:hAnsi="宋体" w:eastAsia="宋体"/>
                <w:sz w:val="22"/>
              </w:rPr>
            </w:pPr>
            <w:r>
              <w:rPr>
                <w:rFonts w:ascii="宋体" w:hAnsi="宋体" w:eastAsia="宋体"/>
                <w:sz w:val="22"/>
              </w:rPr>
              <w:t>4</w:t>
            </w:r>
            <w:r>
              <w:rPr>
                <w:rFonts w:hint="eastAsia" w:ascii="宋体" w:hAnsi="宋体" w:eastAsia="宋体"/>
                <w:sz w:val="22"/>
              </w:rPr>
              <w:t>、</w:t>
            </w:r>
            <w:r>
              <w:rPr>
                <w:rFonts w:ascii="宋体" w:hAnsi="宋体" w:eastAsia="宋体"/>
                <w:sz w:val="22"/>
              </w:rPr>
              <w:t>车载冰柜(35L以上)</w:t>
            </w:r>
          </w:p>
          <w:p>
            <w:pPr>
              <w:rPr>
                <w:rFonts w:ascii="宋体" w:hAnsi="宋体" w:eastAsia="宋体"/>
                <w:sz w:val="22"/>
              </w:rPr>
            </w:pPr>
            <w:r>
              <w:rPr>
                <w:rFonts w:ascii="宋体" w:hAnsi="宋体" w:eastAsia="宋体"/>
                <w:sz w:val="22"/>
              </w:rPr>
              <w:t>5</w:t>
            </w:r>
            <w:r>
              <w:rPr>
                <w:rFonts w:hint="eastAsia" w:ascii="宋体" w:hAnsi="宋体" w:eastAsia="宋体"/>
                <w:sz w:val="22"/>
              </w:rPr>
              <w:t>、</w:t>
            </w:r>
            <w:r>
              <w:rPr>
                <w:rFonts w:ascii="宋体" w:hAnsi="宋体" w:eastAsia="宋体"/>
                <w:sz w:val="22"/>
              </w:rPr>
              <w:t>置物柜</w:t>
            </w:r>
          </w:p>
          <w:p>
            <w:pPr>
              <w:rPr>
                <w:rFonts w:ascii="宋体" w:hAnsi="宋体" w:eastAsia="宋体"/>
                <w:sz w:val="22"/>
              </w:rPr>
            </w:pPr>
            <w:r>
              <w:rPr>
                <w:rFonts w:ascii="宋体" w:hAnsi="宋体" w:eastAsia="宋体"/>
                <w:sz w:val="22"/>
              </w:rPr>
              <w:t>6</w:t>
            </w:r>
            <w:r>
              <w:rPr>
                <w:rFonts w:hint="eastAsia" w:ascii="宋体" w:hAnsi="宋体" w:eastAsia="宋体"/>
                <w:sz w:val="22"/>
              </w:rPr>
              <w:t>、</w:t>
            </w:r>
            <w:r>
              <w:rPr>
                <w:rFonts w:ascii="宋体" w:hAnsi="宋体" w:eastAsia="宋体"/>
                <w:sz w:val="22"/>
              </w:rPr>
              <w:t>左侧上部医疗吊柜</w:t>
            </w:r>
          </w:p>
          <w:p>
            <w:pPr>
              <w:rPr>
                <w:rFonts w:ascii="宋体" w:hAnsi="宋体" w:eastAsia="宋体"/>
                <w:sz w:val="22"/>
              </w:rPr>
            </w:pPr>
            <w:r>
              <w:rPr>
                <w:rFonts w:ascii="宋体" w:hAnsi="宋体" w:eastAsia="宋体"/>
                <w:sz w:val="22"/>
              </w:rPr>
              <w:t>7</w:t>
            </w:r>
            <w:r>
              <w:rPr>
                <w:rFonts w:hint="eastAsia" w:ascii="宋体" w:hAnsi="宋体" w:eastAsia="宋体"/>
                <w:sz w:val="22"/>
              </w:rPr>
              <w:t>、</w:t>
            </w:r>
            <w:r>
              <w:rPr>
                <w:rFonts w:ascii="宋体" w:hAnsi="宋体" w:eastAsia="宋体"/>
                <w:sz w:val="22"/>
              </w:rPr>
              <w:t>车外顶部一侧安装可伸缩遮阳棚</w:t>
            </w:r>
          </w:p>
          <w:p>
            <w:pPr>
              <w:rPr>
                <w:rFonts w:ascii="宋体" w:hAnsi="宋体" w:eastAsia="宋体"/>
                <w:sz w:val="22"/>
              </w:rPr>
            </w:pPr>
          </w:p>
          <w:p>
            <w:pPr>
              <w:rPr>
                <w:rFonts w:ascii="宋体" w:hAnsi="宋体" w:eastAsia="宋体"/>
                <w:b/>
                <w:bCs/>
                <w:sz w:val="22"/>
              </w:rPr>
            </w:pPr>
            <w:r>
              <w:rPr>
                <w:rFonts w:hint="eastAsia" w:ascii="宋体" w:hAnsi="宋体" w:eastAsia="宋体"/>
                <w:b/>
                <w:bCs/>
                <w:sz w:val="22"/>
              </w:rPr>
              <w:t>其他参数</w:t>
            </w:r>
          </w:p>
          <w:p>
            <w:pPr>
              <w:rPr>
                <w:rFonts w:ascii="宋体" w:hAnsi="宋体" w:eastAsia="宋体"/>
                <w:sz w:val="22"/>
              </w:rPr>
            </w:pPr>
            <w:r>
              <w:rPr>
                <w:rFonts w:ascii="宋体" w:hAnsi="宋体" w:eastAsia="宋体"/>
                <w:sz w:val="22"/>
              </w:rPr>
              <w:t>1</w:t>
            </w:r>
            <w:r>
              <w:rPr>
                <w:rFonts w:hint="eastAsia" w:ascii="宋体" w:hAnsi="宋体" w:eastAsia="宋体"/>
                <w:sz w:val="22"/>
              </w:rPr>
              <w:t>、</w:t>
            </w:r>
            <w:r>
              <w:rPr>
                <w:rFonts w:ascii="宋体" w:hAnsi="宋体" w:eastAsia="宋体"/>
                <w:sz w:val="22"/>
              </w:rPr>
              <w:t>知名品牌ABS+EBD</w:t>
            </w:r>
          </w:p>
          <w:p>
            <w:pPr>
              <w:rPr>
                <w:rFonts w:ascii="宋体" w:hAnsi="宋体" w:eastAsia="宋体"/>
                <w:sz w:val="22"/>
              </w:rPr>
            </w:pPr>
            <w:r>
              <w:rPr>
                <w:rFonts w:ascii="宋体" w:hAnsi="宋体" w:eastAsia="宋体"/>
                <w:sz w:val="22"/>
              </w:rPr>
              <w:t>2</w:t>
            </w:r>
            <w:r>
              <w:rPr>
                <w:rFonts w:hint="eastAsia" w:ascii="宋体" w:hAnsi="宋体" w:eastAsia="宋体"/>
                <w:sz w:val="22"/>
              </w:rPr>
              <w:t>、</w:t>
            </w:r>
            <w:r>
              <w:rPr>
                <w:rFonts w:ascii="宋体" w:hAnsi="宋体" w:eastAsia="宋体"/>
                <w:sz w:val="22"/>
              </w:rPr>
              <w:t>中控锁</w:t>
            </w:r>
          </w:p>
          <w:p>
            <w:pPr>
              <w:rPr>
                <w:rFonts w:ascii="宋体" w:hAnsi="宋体" w:eastAsia="宋体"/>
                <w:sz w:val="22"/>
              </w:rPr>
            </w:pPr>
            <w:r>
              <w:rPr>
                <w:rFonts w:ascii="宋体" w:hAnsi="宋体" w:eastAsia="宋体"/>
                <w:sz w:val="22"/>
              </w:rPr>
              <w:t>3</w:t>
            </w:r>
            <w:r>
              <w:rPr>
                <w:rFonts w:hint="eastAsia" w:ascii="宋体" w:hAnsi="宋体" w:eastAsia="宋体"/>
                <w:sz w:val="22"/>
              </w:rPr>
              <w:t>、</w:t>
            </w:r>
            <w:r>
              <w:rPr>
                <w:rFonts w:ascii="宋体" w:hAnsi="宋体" w:eastAsia="宋体"/>
                <w:sz w:val="22"/>
              </w:rPr>
              <w:t>前排电动门窗</w:t>
            </w:r>
          </w:p>
          <w:p>
            <w:pPr>
              <w:rPr>
                <w:rFonts w:ascii="宋体" w:hAnsi="宋体" w:eastAsia="宋体"/>
                <w:sz w:val="22"/>
              </w:rPr>
            </w:pPr>
            <w:r>
              <w:rPr>
                <w:rFonts w:ascii="宋体" w:hAnsi="宋体" w:eastAsia="宋体"/>
                <w:sz w:val="22"/>
              </w:rPr>
              <w:t>4</w:t>
            </w:r>
            <w:r>
              <w:rPr>
                <w:rFonts w:hint="eastAsia" w:ascii="宋体" w:hAnsi="宋体" w:eastAsia="宋体"/>
                <w:sz w:val="22"/>
              </w:rPr>
              <w:t>、</w:t>
            </w:r>
            <w:r>
              <w:rPr>
                <w:rFonts w:ascii="宋体" w:hAnsi="宋体" w:eastAsia="宋体"/>
                <w:sz w:val="22"/>
              </w:rPr>
              <w:t>驾驶座（主）安全气囊</w:t>
            </w:r>
          </w:p>
          <w:p>
            <w:pPr>
              <w:rPr>
                <w:rFonts w:ascii="宋体" w:hAnsi="宋体" w:eastAsia="宋体"/>
                <w:sz w:val="22"/>
              </w:rPr>
            </w:pPr>
            <w:r>
              <w:rPr>
                <w:rFonts w:ascii="宋体" w:hAnsi="宋体" w:eastAsia="宋体"/>
                <w:sz w:val="22"/>
              </w:rPr>
              <w:t>5</w:t>
            </w:r>
            <w:r>
              <w:rPr>
                <w:rFonts w:hint="eastAsia" w:ascii="宋体" w:hAnsi="宋体" w:eastAsia="宋体"/>
                <w:sz w:val="22"/>
              </w:rPr>
              <w:t>、</w:t>
            </w:r>
            <w:r>
              <w:rPr>
                <w:rFonts w:ascii="宋体" w:hAnsi="宋体" w:eastAsia="宋体"/>
                <w:sz w:val="22"/>
              </w:rPr>
              <w:t>遥控钥匙</w:t>
            </w:r>
          </w:p>
          <w:p>
            <w:pPr>
              <w:rPr>
                <w:rFonts w:ascii="宋体" w:hAnsi="宋体" w:eastAsia="宋体"/>
                <w:sz w:val="22"/>
              </w:rPr>
            </w:pPr>
            <w:r>
              <w:rPr>
                <w:rFonts w:ascii="宋体" w:hAnsi="宋体" w:eastAsia="宋体"/>
                <w:sz w:val="22"/>
              </w:rPr>
              <w:t>6</w:t>
            </w:r>
            <w:r>
              <w:rPr>
                <w:rFonts w:hint="eastAsia" w:ascii="宋体" w:hAnsi="宋体" w:eastAsia="宋体"/>
                <w:sz w:val="22"/>
              </w:rPr>
              <w:t>、</w:t>
            </w:r>
            <w:r>
              <w:rPr>
                <w:rFonts w:ascii="宋体" w:hAnsi="宋体" w:eastAsia="宋体"/>
                <w:sz w:val="22"/>
              </w:rPr>
              <w:t>驾驶室原厂冷暖系统</w:t>
            </w:r>
          </w:p>
          <w:p>
            <w:pPr>
              <w:rPr>
                <w:rFonts w:ascii="宋体" w:hAnsi="宋体" w:eastAsia="宋体"/>
                <w:sz w:val="22"/>
              </w:rPr>
            </w:pPr>
            <w:r>
              <w:rPr>
                <w:rFonts w:ascii="宋体" w:hAnsi="宋体" w:eastAsia="宋体"/>
                <w:sz w:val="22"/>
              </w:rPr>
              <w:t>7</w:t>
            </w:r>
            <w:r>
              <w:rPr>
                <w:rFonts w:hint="eastAsia" w:ascii="宋体" w:hAnsi="宋体" w:eastAsia="宋体"/>
                <w:sz w:val="22"/>
              </w:rPr>
              <w:t>、</w:t>
            </w:r>
            <w:r>
              <w:rPr>
                <w:rFonts w:ascii="宋体" w:hAnsi="宋体" w:eastAsia="宋体"/>
                <w:sz w:val="22"/>
              </w:rPr>
              <w:t>▲全金属封闭承载式车身</w:t>
            </w:r>
          </w:p>
          <w:p>
            <w:pPr>
              <w:rPr>
                <w:rFonts w:ascii="宋体" w:hAnsi="宋体" w:eastAsia="宋体"/>
                <w:sz w:val="22"/>
              </w:rPr>
            </w:pPr>
            <w:r>
              <w:rPr>
                <w:rFonts w:ascii="宋体" w:hAnsi="宋体" w:eastAsia="宋体"/>
                <w:sz w:val="22"/>
              </w:rPr>
              <w:t>8</w:t>
            </w:r>
            <w:r>
              <w:rPr>
                <w:rFonts w:hint="eastAsia" w:ascii="宋体" w:hAnsi="宋体" w:eastAsia="宋体"/>
                <w:sz w:val="22"/>
              </w:rPr>
              <w:t>、</w:t>
            </w:r>
            <w:r>
              <w:rPr>
                <w:rFonts w:ascii="宋体" w:hAnsi="宋体" w:eastAsia="宋体"/>
                <w:sz w:val="22"/>
              </w:rPr>
              <w:t>同色保险杆</w:t>
            </w:r>
          </w:p>
          <w:p>
            <w:pPr>
              <w:rPr>
                <w:rFonts w:ascii="宋体" w:hAnsi="宋体" w:eastAsia="宋体"/>
                <w:sz w:val="22"/>
              </w:rPr>
            </w:pPr>
            <w:r>
              <w:rPr>
                <w:rFonts w:ascii="宋体" w:hAnsi="宋体" w:eastAsia="宋体"/>
                <w:sz w:val="22"/>
              </w:rPr>
              <w:t>9</w:t>
            </w:r>
            <w:r>
              <w:rPr>
                <w:rFonts w:hint="eastAsia" w:ascii="宋体" w:hAnsi="宋体" w:eastAsia="宋体"/>
                <w:sz w:val="22"/>
              </w:rPr>
              <w:t>、</w:t>
            </w:r>
            <w:r>
              <w:rPr>
                <w:rFonts w:ascii="宋体" w:hAnsi="宋体" w:eastAsia="宋体"/>
                <w:sz w:val="22"/>
              </w:rPr>
              <w:t>PATS 电子防盗系统</w:t>
            </w:r>
          </w:p>
          <w:p>
            <w:pPr>
              <w:rPr>
                <w:rFonts w:ascii="宋体" w:hAnsi="宋体" w:eastAsia="宋体"/>
                <w:sz w:val="22"/>
              </w:rPr>
            </w:pPr>
            <w:r>
              <w:rPr>
                <w:rFonts w:ascii="宋体" w:hAnsi="宋体" w:eastAsia="宋体"/>
                <w:sz w:val="22"/>
              </w:rPr>
              <w:t>10</w:t>
            </w:r>
            <w:r>
              <w:rPr>
                <w:rFonts w:hint="eastAsia" w:ascii="宋体" w:hAnsi="宋体" w:eastAsia="宋体"/>
                <w:sz w:val="22"/>
              </w:rPr>
              <w:t>、</w:t>
            </w:r>
            <w:r>
              <w:rPr>
                <w:rFonts w:ascii="宋体" w:hAnsi="宋体" w:eastAsia="宋体"/>
                <w:sz w:val="22"/>
              </w:rPr>
              <w:t>★产品公告：车辆必须是工信部《道路机动车辆生产企业及产品公告》中的产品，提供目录复印件。</w:t>
            </w:r>
          </w:p>
        </w:tc>
      </w:tr>
    </w:tbl>
    <w:p/>
    <w:p/>
    <w:p>
      <w:pPr>
        <w:pStyle w:val="6"/>
      </w:pPr>
      <w:r>
        <w:rPr>
          <w:rFonts w:hint="eastAsia"/>
        </w:rPr>
        <w:t>3</w:t>
      </w:r>
      <w:r>
        <w:t>.1.2</w:t>
      </w:r>
      <w:r>
        <w:rPr>
          <w:rFonts w:hint="eastAsia"/>
        </w:rPr>
        <w:t>、车载设备</w:t>
      </w:r>
    </w:p>
    <w:tbl>
      <w:tblPr>
        <w:tblStyle w:val="18"/>
        <w:tblW w:w="9357"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275"/>
        <w:gridCol w:w="7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b/>
                <w:bCs/>
                <w:sz w:val="22"/>
              </w:rPr>
              <w:t>序号</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b/>
                <w:bCs/>
                <w:sz w:val="22"/>
              </w:rPr>
              <w:t>分项名称</w:t>
            </w:r>
          </w:p>
        </w:tc>
        <w:tc>
          <w:tcPr>
            <w:tcW w:w="723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 w:val="22"/>
              </w:rPr>
            </w:pPr>
            <w:r>
              <w:rPr>
                <w:rFonts w:hint="eastAsia"/>
                <w:b/>
                <w:bCs/>
                <w:sz w:val="22"/>
              </w:rPr>
              <w:t>设备参数要求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asciiTheme="minorEastAsia" w:hAnsiTheme="minorEastAsia"/>
                <w:sz w:val="22"/>
              </w:rPr>
              <w:t>1</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信息采集终端整体功能及要求描述</w:t>
            </w:r>
          </w:p>
        </w:tc>
        <w:tc>
          <w:tcPr>
            <w:tcW w:w="723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sz w:val="22"/>
              </w:rPr>
            </w:pPr>
            <w:r>
              <w:rPr>
                <w:rFonts w:hint="eastAsia" w:asciiTheme="minorEastAsia" w:hAnsiTheme="minorEastAsia"/>
                <w:sz w:val="22"/>
              </w:rPr>
              <w:t>1、基于国家基本公共卫生服务工作，内置《国家第三版基本公共卫生服务规范》要求的居民健康档案、健康年检表、高血压和糖尿病随访、中医体质辨识、老年人自理能力评估等基础服务，具备用户登记、指标检测、数据汇总、打印报告、数据上传等功能。</w:t>
            </w:r>
          </w:p>
          <w:p>
            <w:pPr>
              <w:rPr>
                <w:rFonts w:asciiTheme="minorEastAsia" w:hAnsiTheme="minorEastAsia"/>
                <w:sz w:val="22"/>
              </w:rPr>
            </w:pPr>
            <w:r>
              <w:rPr>
                <w:rFonts w:hint="eastAsia" w:asciiTheme="minorEastAsia" w:hAnsiTheme="minorEastAsia"/>
                <w:sz w:val="22"/>
              </w:rPr>
              <w:t>2、移动便携式设计，手提箱形态；1套内含不少于</w:t>
            </w:r>
            <w:r>
              <w:rPr>
                <w:rFonts w:asciiTheme="minorEastAsia" w:hAnsiTheme="minorEastAsia"/>
                <w:sz w:val="22"/>
              </w:rPr>
              <w:t>4</w:t>
            </w:r>
            <w:r>
              <w:rPr>
                <w:rFonts w:hint="eastAsia" w:asciiTheme="minorEastAsia" w:hAnsiTheme="minorEastAsia"/>
                <w:sz w:val="22"/>
              </w:rPr>
              <w:t xml:space="preserve">个≥17寸的ABS材质安全箱，防尘防水，易于携带。方便现场检测；流水线作业，高效执行登记、检测、数据汇总、打印报告等。 </w:t>
            </w:r>
          </w:p>
          <w:p>
            <w:pPr>
              <w:rPr>
                <w:rFonts w:asciiTheme="minorEastAsia" w:hAnsiTheme="minorEastAsia"/>
                <w:sz w:val="22"/>
              </w:rPr>
            </w:pPr>
            <w:r>
              <w:rPr>
                <w:rFonts w:hint="eastAsia" w:asciiTheme="minorEastAsia" w:hAnsiTheme="minorEastAsia"/>
                <w:sz w:val="22"/>
              </w:rPr>
              <w:t>3、信息采集系统通过内置指标检测设备采集数据，还可通过USB扩展检测项采集指标数据，数据自动汇总合并。并且可与卫生院现有全自动尿液分析仪、血液分析仪等设备集成，自动获取数据并汇总到终端设备，检查无误后批量上传或自动上传。</w:t>
            </w:r>
          </w:p>
          <w:p>
            <w:pPr>
              <w:rPr>
                <w:rFonts w:asciiTheme="minorEastAsia" w:hAnsiTheme="minorEastAsia"/>
                <w:sz w:val="22"/>
              </w:rPr>
            </w:pPr>
            <w:r>
              <w:rPr>
                <w:rFonts w:hint="eastAsia" w:asciiTheme="minorEastAsia" w:hAnsiTheme="minorEastAsia"/>
                <w:sz w:val="22"/>
              </w:rPr>
              <w:t xml:space="preserve">4、终端设备硬盘都采用的是SSD固态硬盘、运行速度是传统硬盘的10 倍。考虑录入便捷，还内置键盘和触控板以及备用无线鼠标和键盘。 </w:t>
            </w:r>
          </w:p>
          <w:p>
            <w:pPr>
              <w:rPr>
                <w:rFonts w:asciiTheme="minorEastAsia" w:hAnsiTheme="minorEastAsia"/>
                <w:sz w:val="22"/>
              </w:rPr>
            </w:pPr>
            <w:r>
              <w:rPr>
                <w:rFonts w:hint="eastAsia" w:asciiTheme="minorEastAsia" w:hAnsiTheme="minorEastAsia"/>
                <w:sz w:val="22"/>
              </w:rPr>
              <w:t>5、系统内置公安部认证的二代身份证阅读器，自动读取身份证信息，快速完成用户登记。还内置条码打印机和红外感应扫码器，可打印条码和扫描条码（体检编号）进行快速检测；</w:t>
            </w:r>
          </w:p>
          <w:p>
            <w:pPr>
              <w:rPr>
                <w:rFonts w:asciiTheme="minorEastAsia" w:hAnsiTheme="minorEastAsia"/>
                <w:sz w:val="22"/>
              </w:rPr>
            </w:pPr>
            <w:r>
              <w:rPr>
                <w:rFonts w:hint="eastAsia" w:asciiTheme="minorEastAsia" w:hAnsiTheme="minorEastAsia"/>
                <w:sz w:val="22"/>
              </w:rPr>
              <w:t>6、系统搭载全自动身高体重仪、二代身份证读卡器、条码打印机、扫码枪、医用电子血压计、体温检测仪、血氧仪、6导/12导心电图等。</w:t>
            </w:r>
          </w:p>
          <w:p>
            <w:pPr>
              <w:rPr>
                <w:rFonts w:asciiTheme="minorEastAsia" w:hAnsiTheme="minorEastAsia"/>
                <w:sz w:val="22"/>
              </w:rPr>
            </w:pPr>
            <w:r>
              <w:rPr>
                <w:rFonts w:hint="eastAsia" w:asciiTheme="minorEastAsia" w:hAnsiTheme="minorEastAsia"/>
                <w:sz w:val="22"/>
              </w:rPr>
              <w:t>7、支持与医院现有全自动尿液分析仪、血液分析仪等设备数据自动连接汇总。</w:t>
            </w:r>
          </w:p>
          <w:p>
            <w:pPr>
              <w:rPr>
                <w:rFonts w:asciiTheme="minorEastAsia" w:hAnsiTheme="minorEastAsia"/>
                <w:sz w:val="22"/>
              </w:rPr>
            </w:pPr>
            <w:r>
              <w:rPr>
                <w:rFonts w:hint="eastAsia" w:asciiTheme="minorEastAsia" w:hAnsiTheme="minorEastAsia"/>
                <w:sz w:val="22"/>
              </w:rPr>
              <w:t>8、★为保障高效作业，系统搭载双血压仪同时工作。</w:t>
            </w:r>
          </w:p>
          <w:p>
            <w:pPr>
              <w:rPr>
                <w:rFonts w:asciiTheme="minorEastAsia" w:hAnsiTheme="minorEastAsia"/>
                <w:sz w:val="22"/>
              </w:rPr>
            </w:pPr>
            <w:r>
              <w:rPr>
                <w:rFonts w:asciiTheme="minorEastAsia" w:hAnsiTheme="minorEastAsia"/>
                <w:sz w:val="22"/>
              </w:rPr>
              <w:t>9</w:t>
            </w:r>
            <w:r>
              <w:rPr>
                <w:rFonts w:hint="eastAsia" w:asciiTheme="minorEastAsia" w:hAnsiTheme="minorEastAsia"/>
                <w:sz w:val="22"/>
              </w:rPr>
              <w:t>、支持批量导入和新建用户，提供老、高、糖等标签化管理。</w:t>
            </w:r>
          </w:p>
          <w:p>
            <w:pPr>
              <w:rPr>
                <w:rFonts w:asciiTheme="minorEastAsia" w:hAnsiTheme="minorEastAsia"/>
                <w:color w:val="000000" w:themeColor="text1"/>
                <w:sz w:val="22"/>
              </w:rPr>
            </w:pPr>
            <w:r>
              <w:rPr>
                <w:rFonts w:hint="eastAsia" w:asciiTheme="minorEastAsia" w:hAnsiTheme="minorEastAsia"/>
                <w:sz w:val="22"/>
              </w:rPr>
              <w:t>1</w:t>
            </w:r>
            <w:r>
              <w:rPr>
                <w:rFonts w:asciiTheme="minorEastAsia" w:hAnsiTheme="minorEastAsia"/>
                <w:sz w:val="22"/>
              </w:rPr>
              <w:t>0</w:t>
            </w:r>
            <w:r>
              <w:rPr>
                <w:rFonts w:hint="eastAsia" w:asciiTheme="minorEastAsia" w:hAnsiTheme="minorEastAsia"/>
                <w:sz w:val="22"/>
              </w:rPr>
              <w:t>、支持体检用户、电子健康档案、体检数据、健康体检表、中医体质辨识、老年人自理能力评估、高血压和糖尿病随访等数据分类管理和维护，可清晰明了知晓当日工作完成情况，审核确认的数据可批</w:t>
            </w:r>
            <w:r>
              <w:rPr>
                <w:rFonts w:hint="eastAsia" w:asciiTheme="minorEastAsia" w:hAnsiTheme="minorEastAsia"/>
                <w:color w:val="000000" w:themeColor="text1"/>
                <w:sz w:val="22"/>
              </w:rPr>
              <w:t>量打印、上传。</w:t>
            </w:r>
          </w:p>
          <w:p>
            <w:pPr>
              <w:rPr>
                <w:rFonts w:asciiTheme="minorEastAsia" w:hAnsiTheme="minorEastAsia"/>
                <w:color w:val="000000" w:themeColor="text1"/>
                <w:sz w:val="22"/>
              </w:rPr>
            </w:pPr>
            <w:r>
              <w:rPr>
                <w:rFonts w:hint="eastAsia" w:asciiTheme="minorEastAsia" w:hAnsiTheme="minorEastAsia"/>
                <w:color w:val="000000" w:themeColor="text1"/>
                <w:sz w:val="22"/>
              </w:rPr>
              <w:t>1</w:t>
            </w:r>
            <w:r>
              <w:rPr>
                <w:rFonts w:asciiTheme="minorEastAsia" w:hAnsiTheme="minorEastAsia"/>
                <w:color w:val="000000" w:themeColor="text1"/>
                <w:sz w:val="22"/>
              </w:rPr>
              <w:t>1</w:t>
            </w:r>
            <w:r>
              <w:rPr>
                <w:rFonts w:hint="eastAsia" w:asciiTheme="minorEastAsia" w:hAnsiTheme="minorEastAsia"/>
                <w:color w:val="000000" w:themeColor="text1"/>
                <w:sz w:val="22"/>
              </w:rPr>
              <w:t>、支持打印批量体检报告单及服务规范中涉及到的表格。</w:t>
            </w:r>
          </w:p>
          <w:p>
            <w:pPr>
              <w:rPr>
                <w:rFonts w:asciiTheme="minorEastAsia" w:hAnsiTheme="minorEastAsia"/>
                <w:color w:val="000000" w:themeColor="text1"/>
                <w:sz w:val="22"/>
              </w:rPr>
            </w:pPr>
            <w:r>
              <w:rPr>
                <w:rFonts w:hint="eastAsia" w:asciiTheme="minorEastAsia" w:hAnsiTheme="minorEastAsia"/>
                <w:b/>
                <w:snapToGrid w:val="0"/>
                <w:color w:val="000000" w:themeColor="text1"/>
                <w:spacing w:val="8"/>
                <w:sz w:val="22"/>
              </w:rPr>
              <w:t>▲</w:t>
            </w:r>
            <w:r>
              <w:rPr>
                <w:rFonts w:hint="eastAsia" w:asciiTheme="minorEastAsia" w:hAnsiTheme="minorEastAsia"/>
                <w:color w:val="000000" w:themeColor="text1"/>
                <w:sz w:val="22"/>
              </w:rPr>
              <w:t>1</w:t>
            </w:r>
            <w:r>
              <w:rPr>
                <w:rFonts w:asciiTheme="minorEastAsia" w:hAnsiTheme="minorEastAsia"/>
                <w:color w:val="000000" w:themeColor="text1"/>
                <w:sz w:val="22"/>
              </w:rPr>
              <w:t>2</w:t>
            </w:r>
            <w:r>
              <w:rPr>
                <w:rFonts w:hint="eastAsia" w:asciiTheme="minorEastAsia" w:hAnsiTheme="minorEastAsia"/>
                <w:color w:val="000000" w:themeColor="text1"/>
                <w:sz w:val="22"/>
              </w:rPr>
              <w:t xml:space="preserve">、支持数据库备份和还原功能。数据存储是根据区域网格分级保存，各自管理维护辖区数据。 </w:t>
            </w:r>
          </w:p>
          <w:p>
            <w:pPr>
              <w:rPr>
                <w:rFonts w:asciiTheme="minorEastAsia" w:hAnsiTheme="minorEastAsia"/>
                <w:sz w:val="22"/>
              </w:rPr>
            </w:pPr>
            <w:r>
              <w:rPr>
                <w:rFonts w:hint="eastAsia" w:asciiTheme="minorEastAsia" w:hAnsiTheme="minorEastAsia"/>
                <w:b/>
                <w:snapToGrid w:val="0"/>
                <w:spacing w:val="8"/>
                <w:sz w:val="22"/>
              </w:rPr>
              <w:t>▲</w:t>
            </w:r>
            <w:r>
              <w:rPr>
                <w:rFonts w:hint="eastAsia" w:asciiTheme="minorEastAsia" w:hAnsiTheme="minorEastAsia"/>
                <w:sz w:val="22"/>
              </w:rPr>
              <w:t>1</w:t>
            </w:r>
            <w:r>
              <w:rPr>
                <w:rFonts w:asciiTheme="minorEastAsia" w:hAnsiTheme="minorEastAsia"/>
                <w:sz w:val="22"/>
              </w:rPr>
              <w:t>3</w:t>
            </w:r>
            <w:r>
              <w:rPr>
                <w:rFonts w:hint="eastAsia" w:asciiTheme="minorEastAsia" w:hAnsiTheme="minorEastAsia"/>
                <w:sz w:val="22"/>
              </w:rPr>
              <w:t>、内置一个10兆/100兆自适应网络适配端口（RJ45）、4个USB接口。</w:t>
            </w:r>
          </w:p>
          <w:p>
            <w:pPr>
              <w:rPr>
                <w:rFonts w:asciiTheme="minorEastAsia" w:hAnsiTheme="minorEastAsia"/>
                <w:sz w:val="22"/>
              </w:rPr>
            </w:pPr>
            <w:r>
              <w:rPr>
                <w:rFonts w:hint="eastAsia" w:asciiTheme="minorEastAsia" w:hAnsiTheme="minorEastAsia"/>
                <w:sz w:val="22"/>
              </w:rPr>
              <w:t>1</w:t>
            </w:r>
            <w:r>
              <w:rPr>
                <w:rFonts w:asciiTheme="minorEastAsia" w:hAnsiTheme="minorEastAsia"/>
                <w:sz w:val="22"/>
              </w:rPr>
              <w:t>4</w:t>
            </w:r>
            <w:r>
              <w:rPr>
                <w:rFonts w:hint="eastAsia" w:asciiTheme="minorEastAsia" w:hAnsiTheme="minorEastAsia"/>
                <w:sz w:val="22"/>
              </w:rPr>
              <w:t>、具有完善的对外接口，并提供完整的接口文档。提供系统间联调工作，确保数据互联互通；Windows 7及以上操作系统，支持office办公软件及通用打印机；</w:t>
            </w:r>
          </w:p>
          <w:p>
            <w:pPr>
              <w:rPr>
                <w:rFonts w:asciiTheme="minorEastAsia" w:hAnsiTheme="minorEastAsia"/>
                <w:sz w:val="22"/>
              </w:rPr>
            </w:pPr>
            <w:r>
              <w:rPr>
                <w:rFonts w:hint="eastAsia" w:asciiTheme="minorEastAsia" w:hAnsiTheme="minorEastAsia"/>
                <w:sz w:val="22"/>
              </w:rPr>
              <w:t>★1</w:t>
            </w:r>
            <w:r>
              <w:rPr>
                <w:rFonts w:asciiTheme="minorEastAsia" w:hAnsiTheme="minorEastAsia"/>
                <w:sz w:val="22"/>
              </w:rPr>
              <w:t>5</w:t>
            </w:r>
            <w:r>
              <w:rPr>
                <w:rFonts w:hint="eastAsia" w:asciiTheme="minorEastAsia" w:hAnsiTheme="minorEastAsia"/>
                <w:sz w:val="22"/>
              </w:rPr>
              <w:t>、投标产品信息采集终端制造商具有</w:t>
            </w:r>
            <w:r>
              <w:rPr>
                <w:rFonts w:hint="eastAsia" w:asciiTheme="minorEastAsia" w:hAnsiTheme="minorEastAsia"/>
                <w:kern w:val="0"/>
                <w:sz w:val="22"/>
              </w:rPr>
              <w:t>医疗器械生产许可证。（提供相关证书并加盖投标人公章）</w:t>
            </w:r>
          </w:p>
          <w:p>
            <w:pPr>
              <w:rPr>
                <w:rFonts w:asciiTheme="minorEastAsia" w:hAnsiTheme="minorEastAsia"/>
                <w:sz w:val="22"/>
              </w:rPr>
            </w:pPr>
            <w:r>
              <w:rPr>
                <w:rFonts w:hint="eastAsia" w:asciiTheme="minorEastAsia" w:hAnsiTheme="minorEastAsia"/>
                <w:sz w:val="22"/>
              </w:rPr>
              <w:t>★1</w:t>
            </w:r>
            <w:r>
              <w:rPr>
                <w:rFonts w:asciiTheme="minorEastAsia" w:hAnsiTheme="minorEastAsia"/>
                <w:sz w:val="22"/>
              </w:rPr>
              <w:t>6</w:t>
            </w:r>
            <w:r>
              <w:rPr>
                <w:rFonts w:hint="eastAsia" w:asciiTheme="minorEastAsia" w:hAnsiTheme="minorEastAsia"/>
                <w:sz w:val="22"/>
              </w:rPr>
              <w:t>、医疗器械质量管理体系认证：投标产品信息采集终端制造商具备医疗器械质量管理ISO13485体系认证。（提供相关证书并加盖响应供应商公章）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 w:val="22"/>
              </w:rPr>
            </w:pPr>
            <w:r>
              <w:rPr>
                <w:rFonts w:hint="eastAsia" w:asciiTheme="minorEastAsia" w:hAnsiTheme="minorEastAsia"/>
                <w:sz w:val="22"/>
              </w:rPr>
              <w:t>全数字彩色多普勒超声诊断仪</w:t>
            </w:r>
          </w:p>
        </w:tc>
        <w:tc>
          <w:tcPr>
            <w:tcW w:w="723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b/>
                <w:bCs/>
                <w:sz w:val="22"/>
              </w:rPr>
            </w:pPr>
            <w:r>
              <w:rPr>
                <w:rFonts w:asciiTheme="minorEastAsia" w:hAnsiTheme="minorEastAsia"/>
                <w:b/>
                <w:bCs/>
                <w:sz w:val="22"/>
              </w:rPr>
              <w:t>1</w:t>
            </w:r>
            <w:r>
              <w:rPr>
                <w:rFonts w:hint="eastAsia" w:asciiTheme="minorEastAsia" w:hAnsiTheme="minorEastAsia"/>
                <w:b/>
                <w:bCs/>
                <w:sz w:val="22"/>
              </w:rPr>
              <w:t>、临床应用范围</w:t>
            </w:r>
          </w:p>
          <w:p>
            <w:pPr>
              <w:jc w:val="left"/>
              <w:rPr>
                <w:rFonts w:asciiTheme="minorEastAsia" w:hAnsiTheme="minorEastAsia"/>
                <w:sz w:val="22"/>
              </w:rPr>
            </w:pPr>
            <w:r>
              <w:rPr>
                <w:rFonts w:hint="eastAsia" w:asciiTheme="minorEastAsia" w:hAnsiTheme="minorEastAsia"/>
                <w:sz w:val="22"/>
              </w:rPr>
              <w:t>用于临床超声诊断检查，主要用于对人体的腹部（肝、胆、胰、脾、肾）、妇产科、甲状腺、小器官、泌尿科、浅表、矫形外科诊断与分析，可对肝、胆、胰、脾、肾、颈动脉、肠道、乳腺等部位的血流进行超声诊断、检查。</w:t>
            </w:r>
          </w:p>
          <w:p>
            <w:pPr>
              <w:rPr>
                <w:rFonts w:asciiTheme="minorEastAsia" w:hAnsiTheme="minorEastAsia"/>
                <w:b/>
                <w:bCs/>
                <w:sz w:val="22"/>
              </w:rPr>
            </w:pPr>
            <w:r>
              <w:rPr>
                <w:rFonts w:asciiTheme="minorEastAsia" w:hAnsiTheme="minorEastAsia"/>
                <w:b/>
                <w:bCs/>
                <w:sz w:val="22"/>
              </w:rPr>
              <w:t>2</w:t>
            </w:r>
            <w:r>
              <w:rPr>
                <w:rFonts w:hint="eastAsia" w:asciiTheme="minorEastAsia" w:hAnsiTheme="minorEastAsia"/>
                <w:b/>
                <w:bCs/>
                <w:sz w:val="22"/>
              </w:rPr>
              <w:t>、</w:t>
            </w:r>
            <w:r>
              <w:rPr>
                <w:rFonts w:asciiTheme="minorEastAsia" w:hAnsiTheme="minorEastAsia"/>
                <w:b/>
                <w:bCs/>
                <w:sz w:val="22"/>
              </w:rPr>
              <w:t>系统通用功能基本描述</w:t>
            </w:r>
          </w:p>
          <w:p>
            <w:pPr>
              <w:jc w:val="left"/>
              <w:rPr>
                <w:rFonts w:asciiTheme="minorEastAsia" w:hAnsiTheme="minorEastAsia"/>
                <w:sz w:val="22"/>
              </w:rPr>
            </w:pPr>
            <w:r>
              <w:rPr>
                <w:rFonts w:asciiTheme="minorEastAsia" w:hAnsiTheme="minorEastAsia"/>
                <w:sz w:val="22"/>
              </w:rPr>
              <w:t>2.1</w:t>
            </w:r>
            <w:r>
              <w:rPr>
                <w:rFonts w:hint="eastAsia" w:asciiTheme="minorEastAsia" w:hAnsiTheme="minorEastAsia"/>
                <w:sz w:val="22"/>
              </w:rPr>
              <w:t>、</w:t>
            </w:r>
            <w:r>
              <w:rPr>
                <w:rFonts w:asciiTheme="minorEastAsia" w:hAnsiTheme="minorEastAsia"/>
                <w:sz w:val="22"/>
              </w:rPr>
              <w:t>高分辨率宽屏液晶监视器，图像分辨率≤0.5mm</w:t>
            </w:r>
            <w:r>
              <w:rPr>
                <w:rFonts w:hint="eastAsia" w:asciiTheme="minorEastAsia" w:hAnsiTheme="minorEastAsia"/>
                <w:sz w:val="22"/>
              </w:rPr>
              <w:t>，</w:t>
            </w:r>
            <w:r>
              <w:rPr>
                <w:rFonts w:asciiTheme="minorEastAsia" w:hAnsiTheme="minorEastAsia"/>
                <w:sz w:val="22"/>
              </w:rPr>
              <w:t>可显示头发丝；</w:t>
            </w:r>
          </w:p>
          <w:p>
            <w:pPr>
              <w:jc w:val="left"/>
              <w:rPr>
                <w:rFonts w:asciiTheme="minorEastAsia" w:hAnsiTheme="minorEastAsia"/>
                <w:sz w:val="22"/>
              </w:rPr>
            </w:pPr>
            <w:r>
              <w:rPr>
                <w:rFonts w:asciiTheme="minorEastAsia" w:hAnsiTheme="minorEastAsia"/>
                <w:sz w:val="22"/>
              </w:rPr>
              <w:t>2.2</w:t>
            </w:r>
            <w:r>
              <w:rPr>
                <w:rFonts w:hint="eastAsia" w:asciiTheme="minorEastAsia" w:hAnsiTheme="minorEastAsia"/>
                <w:sz w:val="22"/>
              </w:rPr>
              <w:t>、</w:t>
            </w:r>
            <w:r>
              <w:rPr>
                <w:rFonts w:asciiTheme="minorEastAsia" w:hAnsiTheme="minorEastAsia"/>
                <w:sz w:val="22"/>
              </w:rPr>
              <w:t>全数字彩色超声诊断系统主机，高分辨率血流显像技术；</w:t>
            </w:r>
          </w:p>
          <w:p>
            <w:pPr>
              <w:jc w:val="left"/>
              <w:rPr>
                <w:rFonts w:asciiTheme="minorEastAsia" w:hAnsiTheme="minorEastAsia"/>
                <w:sz w:val="22"/>
              </w:rPr>
            </w:pPr>
            <w:r>
              <w:rPr>
                <w:rFonts w:asciiTheme="minorEastAsia" w:hAnsiTheme="minorEastAsia"/>
                <w:sz w:val="22"/>
              </w:rPr>
              <w:t>2.3</w:t>
            </w:r>
            <w:r>
              <w:rPr>
                <w:rFonts w:hint="eastAsia" w:asciiTheme="minorEastAsia" w:hAnsiTheme="minorEastAsia"/>
                <w:sz w:val="22"/>
              </w:rPr>
              <w:t>、</w:t>
            </w:r>
            <w:r>
              <w:rPr>
                <w:rFonts w:asciiTheme="minorEastAsia" w:hAnsiTheme="minorEastAsia"/>
                <w:sz w:val="22"/>
              </w:rPr>
              <w:t>二维灰阶成像单元，斑点噪音抑制技术、高保真影像技术、全数字波束形成器；</w:t>
            </w:r>
          </w:p>
          <w:p>
            <w:pPr>
              <w:jc w:val="left"/>
              <w:rPr>
                <w:rFonts w:asciiTheme="minorEastAsia" w:hAnsiTheme="minorEastAsia"/>
                <w:sz w:val="22"/>
              </w:rPr>
            </w:pPr>
            <w:r>
              <w:rPr>
                <w:rFonts w:asciiTheme="minorEastAsia" w:hAnsiTheme="minorEastAsia"/>
                <w:sz w:val="22"/>
              </w:rPr>
              <w:t>2.4</w:t>
            </w:r>
            <w:r>
              <w:rPr>
                <w:rFonts w:hint="eastAsia" w:asciiTheme="minorEastAsia" w:hAnsiTheme="minorEastAsia"/>
                <w:sz w:val="22"/>
              </w:rPr>
              <w:t>、</w:t>
            </w:r>
            <w:r>
              <w:rPr>
                <w:rFonts w:asciiTheme="minorEastAsia" w:hAnsiTheme="minorEastAsia"/>
                <w:sz w:val="22"/>
              </w:rPr>
              <w:t>彩色多普勒血流成像单元、能量多普勒血流成像单元、PW多普勒血流成像单元、M型成像单元；</w:t>
            </w:r>
          </w:p>
          <w:p>
            <w:pPr>
              <w:jc w:val="left"/>
              <w:rPr>
                <w:rFonts w:asciiTheme="minorEastAsia" w:hAnsiTheme="minorEastAsia"/>
                <w:sz w:val="22"/>
              </w:rPr>
            </w:pPr>
            <w:r>
              <w:rPr>
                <w:rFonts w:asciiTheme="minorEastAsia" w:hAnsiTheme="minorEastAsia"/>
                <w:sz w:val="22"/>
              </w:rPr>
              <w:t>2.5</w:t>
            </w:r>
            <w:r>
              <w:rPr>
                <w:rFonts w:hint="eastAsia" w:asciiTheme="minorEastAsia" w:hAnsiTheme="minorEastAsia"/>
                <w:sz w:val="22"/>
              </w:rPr>
              <w:t>、</w:t>
            </w:r>
            <w:r>
              <w:rPr>
                <w:rFonts w:asciiTheme="minorEastAsia" w:hAnsiTheme="minorEastAsia"/>
                <w:sz w:val="22"/>
              </w:rPr>
              <w:t>组织优化成像技术、iclear 程序化扫描技术、自适应彩色伪差去除技术，自动频谱跟踪测量、3K-10K扩展脉冲成像技术、多倍信号并行处理技术；</w:t>
            </w:r>
          </w:p>
          <w:p>
            <w:pPr>
              <w:jc w:val="left"/>
              <w:rPr>
                <w:rFonts w:asciiTheme="minorEastAsia" w:hAnsiTheme="minorEastAsia"/>
                <w:sz w:val="22"/>
              </w:rPr>
            </w:pPr>
            <w:r>
              <w:rPr>
                <w:rFonts w:asciiTheme="minorEastAsia" w:hAnsiTheme="minorEastAsia"/>
                <w:sz w:val="22"/>
              </w:rPr>
              <w:t>2.6</w:t>
            </w:r>
            <w:r>
              <w:rPr>
                <w:rFonts w:hint="eastAsia" w:asciiTheme="minorEastAsia" w:hAnsiTheme="minorEastAsia"/>
                <w:sz w:val="22"/>
              </w:rPr>
              <w:t>、</w:t>
            </w:r>
            <w:r>
              <w:rPr>
                <w:rFonts w:asciiTheme="minorEastAsia" w:hAnsiTheme="minorEastAsia"/>
                <w:sz w:val="22"/>
              </w:rPr>
              <w:t>主机动态范围≥150dB ，0~150dB可视可调；</w:t>
            </w:r>
          </w:p>
          <w:p>
            <w:pPr>
              <w:jc w:val="left"/>
              <w:rPr>
                <w:rFonts w:asciiTheme="minorEastAsia" w:hAnsiTheme="minorEastAsia"/>
                <w:sz w:val="22"/>
              </w:rPr>
            </w:pPr>
            <w:r>
              <w:rPr>
                <w:rFonts w:asciiTheme="minorEastAsia" w:hAnsiTheme="minorEastAsia"/>
                <w:sz w:val="22"/>
              </w:rPr>
              <w:t>2.7</w:t>
            </w:r>
            <w:r>
              <w:rPr>
                <w:rFonts w:hint="eastAsia" w:asciiTheme="minorEastAsia" w:hAnsiTheme="minorEastAsia"/>
                <w:sz w:val="22"/>
              </w:rPr>
              <w:t>、</w:t>
            </w:r>
            <w:r>
              <w:rPr>
                <w:rFonts w:asciiTheme="minorEastAsia" w:hAnsiTheme="minorEastAsia"/>
                <w:sz w:val="22"/>
              </w:rPr>
              <w:t>便携式翻盖结构，整机净重</w:t>
            </w:r>
            <w:r>
              <w:rPr>
                <w:rFonts w:hint="eastAsia" w:asciiTheme="minorEastAsia" w:hAnsiTheme="minorEastAsia"/>
                <w:sz w:val="22"/>
              </w:rPr>
              <w:t>量约6</w:t>
            </w:r>
            <w:r>
              <w:rPr>
                <w:rFonts w:asciiTheme="minorEastAsia" w:hAnsiTheme="minorEastAsia"/>
                <w:sz w:val="22"/>
              </w:rPr>
              <w:t>公斤</w:t>
            </w:r>
          </w:p>
          <w:p>
            <w:pPr>
              <w:jc w:val="left"/>
              <w:rPr>
                <w:rFonts w:asciiTheme="minorEastAsia" w:hAnsiTheme="minorEastAsia"/>
                <w:sz w:val="22"/>
              </w:rPr>
            </w:pPr>
            <w:r>
              <w:rPr>
                <w:rFonts w:asciiTheme="minorEastAsia" w:hAnsiTheme="minorEastAsia"/>
                <w:sz w:val="22"/>
              </w:rPr>
              <w:t>2.8</w:t>
            </w:r>
            <w:r>
              <w:rPr>
                <w:rFonts w:hint="eastAsia" w:asciiTheme="minorEastAsia" w:hAnsiTheme="minorEastAsia"/>
                <w:sz w:val="22"/>
              </w:rPr>
              <w:t>、</w:t>
            </w:r>
            <w:r>
              <w:rPr>
                <w:rFonts w:asciiTheme="minorEastAsia" w:hAnsiTheme="minorEastAsia"/>
                <w:sz w:val="22"/>
              </w:rPr>
              <w:t>支持在手机上通过同品牌APP，实时观察彩超图像</w:t>
            </w:r>
          </w:p>
          <w:p>
            <w:pPr>
              <w:jc w:val="left"/>
              <w:rPr>
                <w:rFonts w:asciiTheme="minorEastAsia" w:hAnsiTheme="minorEastAsia"/>
                <w:sz w:val="22"/>
              </w:rPr>
            </w:pPr>
            <w:r>
              <w:rPr>
                <w:rFonts w:asciiTheme="minorEastAsia" w:hAnsiTheme="minorEastAsia"/>
                <w:sz w:val="22"/>
              </w:rPr>
              <w:t>2.9</w:t>
            </w:r>
            <w:r>
              <w:rPr>
                <w:rFonts w:hint="eastAsia" w:asciiTheme="minorEastAsia" w:hAnsiTheme="minorEastAsia"/>
                <w:sz w:val="22"/>
              </w:rPr>
              <w:t>、</w:t>
            </w:r>
            <w:r>
              <w:rPr>
                <w:rFonts w:asciiTheme="minorEastAsia" w:hAnsiTheme="minorEastAsia"/>
                <w:sz w:val="22"/>
              </w:rPr>
              <w:t>支持同品牌超声远程</w:t>
            </w:r>
            <w:r>
              <w:rPr>
                <w:rFonts w:hint="eastAsia" w:asciiTheme="minorEastAsia" w:hAnsiTheme="minorEastAsia"/>
                <w:sz w:val="22"/>
              </w:rPr>
              <w:t>传输</w:t>
            </w:r>
            <w:r>
              <w:rPr>
                <w:rFonts w:asciiTheme="minorEastAsia" w:hAnsiTheme="minorEastAsia"/>
                <w:sz w:val="22"/>
              </w:rPr>
              <w:t>系统，专家可收到被邀请的信息，点击进入</w:t>
            </w:r>
            <w:r>
              <w:rPr>
                <w:rFonts w:hint="eastAsia" w:asciiTheme="minorEastAsia" w:hAnsiTheme="minorEastAsia"/>
                <w:sz w:val="22"/>
              </w:rPr>
              <w:t>系统</w:t>
            </w:r>
            <w:r>
              <w:rPr>
                <w:rFonts w:asciiTheme="minorEastAsia" w:hAnsiTheme="minorEastAsia"/>
                <w:sz w:val="22"/>
              </w:rPr>
              <w:t>；实时查看无失真的视频，并进行实时语音</w:t>
            </w:r>
            <w:r>
              <w:rPr>
                <w:rFonts w:hint="eastAsia" w:asciiTheme="minorEastAsia" w:hAnsiTheme="minorEastAsia"/>
                <w:sz w:val="22"/>
              </w:rPr>
              <w:t>交流</w:t>
            </w:r>
            <w:r>
              <w:rPr>
                <w:rFonts w:asciiTheme="minorEastAsia" w:hAnsiTheme="minorEastAsia"/>
                <w:sz w:val="22"/>
              </w:rPr>
              <w:t xml:space="preserve">； </w:t>
            </w:r>
          </w:p>
          <w:p>
            <w:pPr>
              <w:jc w:val="left"/>
              <w:rPr>
                <w:rFonts w:asciiTheme="minorEastAsia" w:hAnsiTheme="minorEastAsia"/>
                <w:sz w:val="22"/>
              </w:rPr>
            </w:pPr>
            <w:r>
              <w:rPr>
                <w:rFonts w:hint="eastAsia" w:asciiTheme="minorEastAsia" w:hAnsiTheme="minorEastAsia"/>
                <w:sz w:val="22"/>
              </w:rPr>
              <w:t>2</w:t>
            </w:r>
            <w:r>
              <w:rPr>
                <w:rFonts w:asciiTheme="minorEastAsia" w:hAnsiTheme="minorEastAsia"/>
                <w:sz w:val="22"/>
              </w:rPr>
              <w:t>.10</w:t>
            </w:r>
            <w:r>
              <w:rPr>
                <w:rFonts w:hint="eastAsia" w:asciiTheme="minorEastAsia" w:hAnsiTheme="minorEastAsia"/>
                <w:sz w:val="22"/>
              </w:rPr>
              <w:t>、</w:t>
            </w:r>
            <w:r>
              <w:rPr>
                <w:rFonts w:asciiTheme="minorEastAsia" w:hAnsiTheme="minorEastAsia"/>
                <w:sz w:val="22"/>
              </w:rPr>
              <w:t>系统采用一键集束操控方式</w:t>
            </w:r>
            <w:r>
              <w:rPr>
                <w:rFonts w:hint="eastAsia" w:asciiTheme="minorEastAsia" w:hAnsiTheme="minorEastAsia"/>
                <w:sz w:val="22"/>
              </w:rPr>
              <w:t>，</w:t>
            </w:r>
            <w:r>
              <w:rPr>
                <w:rFonts w:asciiTheme="minorEastAsia" w:hAnsiTheme="minorEastAsia"/>
                <w:sz w:val="22"/>
              </w:rPr>
              <w:t>可一键控制10种以上功能</w:t>
            </w:r>
          </w:p>
          <w:p>
            <w:pPr>
              <w:rPr>
                <w:rFonts w:asciiTheme="minorEastAsia" w:hAnsiTheme="minorEastAsia"/>
                <w:b/>
                <w:bCs/>
                <w:sz w:val="22"/>
              </w:rPr>
            </w:pPr>
            <w:r>
              <w:rPr>
                <w:rFonts w:asciiTheme="minorEastAsia" w:hAnsiTheme="minorEastAsia"/>
                <w:b/>
                <w:bCs/>
                <w:sz w:val="22"/>
              </w:rPr>
              <w:t>3</w:t>
            </w:r>
            <w:r>
              <w:rPr>
                <w:rFonts w:hint="eastAsia" w:asciiTheme="minorEastAsia" w:hAnsiTheme="minorEastAsia"/>
                <w:b/>
                <w:bCs/>
                <w:sz w:val="22"/>
              </w:rPr>
              <w:t>、</w:t>
            </w:r>
            <w:r>
              <w:rPr>
                <w:rFonts w:asciiTheme="minorEastAsia" w:hAnsiTheme="minorEastAsia"/>
                <w:b/>
                <w:bCs/>
                <w:sz w:val="22"/>
              </w:rPr>
              <w:t>探头规格</w:t>
            </w:r>
          </w:p>
          <w:p>
            <w:pPr>
              <w:rPr>
                <w:rFonts w:asciiTheme="minorEastAsia" w:hAnsiTheme="minorEastAsia"/>
                <w:sz w:val="22"/>
              </w:rPr>
            </w:pPr>
            <w:r>
              <w:rPr>
                <w:rFonts w:asciiTheme="minorEastAsia" w:hAnsiTheme="minorEastAsia"/>
                <w:sz w:val="22"/>
              </w:rPr>
              <w:t>3.1</w:t>
            </w:r>
            <w:r>
              <w:rPr>
                <w:rFonts w:hint="eastAsia" w:asciiTheme="minorEastAsia" w:hAnsiTheme="minorEastAsia"/>
                <w:sz w:val="22"/>
              </w:rPr>
              <w:t>、纯净波宽频带变频探头，可视可调基波中心频率≥3种，频率组合≥6种</w:t>
            </w:r>
            <w:r>
              <w:rPr>
                <w:rFonts w:asciiTheme="minorEastAsia" w:hAnsiTheme="minorEastAsia"/>
                <w:sz w:val="22"/>
              </w:rPr>
              <w:t>；</w:t>
            </w:r>
          </w:p>
          <w:p>
            <w:pPr>
              <w:rPr>
                <w:rFonts w:asciiTheme="minorEastAsia" w:hAnsiTheme="minorEastAsia"/>
                <w:sz w:val="22"/>
              </w:rPr>
            </w:pPr>
            <w:r>
              <w:rPr>
                <w:rFonts w:asciiTheme="minorEastAsia" w:hAnsiTheme="minorEastAsia"/>
                <w:sz w:val="22"/>
              </w:rPr>
              <w:t>3.2</w:t>
            </w:r>
            <w:r>
              <w:rPr>
                <w:rFonts w:hint="eastAsia" w:asciiTheme="minorEastAsia" w:hAnsiTheme="minorEastAsia"/>
                <w:sz w:val="22"/>
              </w:rPr>
              <w:t>、电子凸阵探头：（2-5.5MHZ）具有组织谐波功能</w:t>
            </w:r>
            <w:r>
              <w:rPr>
                <w:rFonts w:asciiTheme="minorEastAsia" w:hAnsiTheme="minorEastAsia"/>
                <w:sz w:val="22"/>
              </w:rPr>
              <w:t>；</w:t>
            </w:r>
          </w:p>
          <w:p>
            <w:pPr>
              <w:rPr>
                <w:rFonts w:asciiTheme="minorEastAsia" w:hAnsiTheme="minorEastAsia"/>
                <w:sz w:val="22"/>
              </w:rPr>
            </w:pPr>
            <w:r>
              <w:rPr>
                <w:rFonts w:asciiTheme="minorEastAsia" w:hAnsiTheme="minorEastAsia"/>
                <w:sz w:val="22"/>
              </w:rPr>
              <w:t>3.3</w:t>
            </w:r>
            <w:r>
              <w:rPr>
                <w:rFonts w:hint="eastAsia" w:asciiTheme="minorEastAsia" w:hAnsiTheme="minorEastAsia"/>
                <w:sz w:val="22"/>
              </w:rPr>
              <w:t>、电子线阵探头：（</w:t>
            </w:r>
            <w:r>
              <w:rPr>
                <w:rFonts w:asciiTheme="minorEastAsia" w:hAnsiTheme="minorEastAsia"/>
                <w:sz w:val="22"/>
              </w:rPr>
              <w:t>7.5-12.0MHZ）具有组织谐波功能；</w:t>
            </w:r>
          </w:p>
          <w:p>
            <w:pPr>
              <w:rPr>
                <w:rFonts w:asciiTheme="minorEastAsia" w:hAnsiTheme="minorEastAsia"/>
                <w:sz w:val="22"/>
              </w:rPr>
            </w:pPr>
            <w:r>
              <w:rPr>
                <w:rFonts w:asciiTheme="minorEastAsia" w:hAnsiTheme="minorEastAsia"/>
                <w:sz w:val="22"/>
              </w:rPr>
              <w:t>3.4</w:t>
            </w:r>
            <w:r>
              <w:rPr>
                <w:rFonts w:hint="eastAsia" w:asciiTheme="minorEastAsia" w:hAnsiTheme="minorEastAsia"/>
                <w:sz w:val="22"/>
              </w:rPr>
              <w:t>、电子线阵探头：（6.0-12.0MHZ）具有组织谐波功能</w:t>
            </w:r>
            <w:r>
              <w:rPr>
                <w:rFonts w:asciiTheme="minorEastAsia" w:hAnsiTheme="minorEastAsia"/>
                <w:sz w:val="22"/>
              </w:rPr>
              <w:t>；</w:t>
            </w:r>
          </w:p>
          <w:p>
            <w:pPr>
              <w:rPr>
                <w:rFonts w:asciiTheme="minorEastAsia" w:hAnsiTheme="minorEastAsia"/>
                <w:sz w:val="22"/>
              </w:rPr>
            </w:pPr>
            <w:r>
              <w:rPr>
                <w:rFonts w:asciiTheme="minorEastAsia" w:hAnsiTheme="minorEastAsia"/>
                <w:sz w:val="22"/>
              </w:rPr>
              <w:t>3.5</w:t>
            </w:r>
            <w:r>
              <w:rPr>
                <w:rFonts w:hint="eastAsia" w:asciiTheme="minorEastAsia" w:hAnsiTheme="minorEastAsia"/>
                <w:sz w:val="22"/>
              </w:rPr>
              <w:t>、电子微凸探头：（5.0-9.0MHZ）具有组织谐波功能</w:t>
            </w:r>
            <w:r>
              <w:rPr>
                <w:rFonts w:asciiTheme="minorEastAsia" w:hAnsiTheme="minorEastAsia"/>
                <w:sz w:val="22"/>
              </w:rPr>
              <w:t>；</w:t>
            </w:r>
          </w:p>
          <w:p>
            <w:pPr>
              <w:rPr>
                <w:rFonts w:asciiTheme="minorEastAsia" w:hAnsiTheme="minorEastAsia"/>
                <w:b/>
                <w:bCs/>
                <w:sz w:val="22"/>
              </w:rPr>
            </w:pPr>
            <w:r>
              <w:rPr>
                <w:rFonts w:asciiTheme="minorEastAsia" w:hAnsiTheme="minorEastAsia"/>
                <w:b/>
                <w:bCs/>
                <w:sz w:val="22"/>
              </w:rPr>
              <w:t>4</w:t>
            </w:r>
            <w:r>
              <w:rPr>
                <w:rFonts w:hint="eastAsia" w:asciiTheme="minorEastAsia" w:hAnsiTheme="minorEastAsia"/>
                <w:b/>
                <w:bCs/>
                <w:sz w:val="22"/>
              </w:rPr>
              <w:t>、</w:t>
            </w:r>
            <w:r>
              <w:rPr>
                <w:rFonts w:asciiTheme="minorEastAsia" w:hAnsiTheme="minorEastAsia"/>
                <w:b/>
                <w:bCs/>
                <w:sz w:val="22"/>
              </w:rPr>
              <w:t>二维图像</w:t>
            </w:r>
          </w:p>
          <w:p>
            <w:pPr>
              <w:rPr>
                <w:rFonts w:asciiTheme="minorEastAsia" w:hAnsiTheme="minorEastAsia"/>
                <w:sz w:val="22"/>
              </w:rPr>
            </w:pPr>
            <w:r>
              <w:rPr>
                <w:rFonts w:asciiTheme="minorEastAsia" w:hAnsiTheme="minorEastAsia"/>
                <w:sz w:val="22"/>
              </w:rPr>
              <w:t>4.1</w:t>
            </w:r>
            <w:r>
              <w:rPr>
                <w:rFonts w:hint="eastAsia" w:asciiTheme="minorEastAsia" w:hAnsiTheme="minorEastAsia"/>
                <w:sz w:val="22"/>
              </w:rPr>
              <w:t>、</w:t>
            </w:r>
            <w:r>
              <w:rPr>
                <w:rFonts w:asciiTheme="minorEastAsia" w:hAnsiTheme="minorEastAsia"/>
                <w:sz w:val="22"/>
              </w:rPr>
              <w:t>聚焦：发射聚焦区域全屏全域，数字化动态全程接收聚焦；</w:t>
            </w:r>
          </w:p>
          <w:p>
            <w:pPr>
              <w:rPr>
                <w:rFonts w:asciiTheme="minorEastAsia" w:hAnsiTheme="minorEastAsia"/>
                <w:sz w:val="22"/>
              </w:rPr>
            </w:pPr>
            <w:r>
              <w:rPr>
                <w:rFonts w:asciiTheme="minorEastAsia" w:hAnsiTheme="minorEastAsia"/>
                <w:sz w:val="22"/>
              </w:rPr>
              <w:t>4.2</w:t>
            </w:r>
            <w:r>
              <w:rPr>
                <w:rFonts w:hint="eastAsia" w:asciiTheme="minorEastAsia" w:hAnsiTheme="minorEastAsia"/>
                <w:sz w:val="22"/>
              </w:rPr>
              <w:t>、总增益调节≥150dB、B/M/D/CFM可独立调节增益、STC分段≥8</w:t>
            </w:r>
            <w:r>
              <w:rPr>
                <w:rFonts w:asciiTheme="minorEastAsia" w:hAnsiTheme="minorEastAsia"/>
                <w:sz w:val="22"/>
              </w:rPr>
              <w:t>；</w:t>
            </w:r>
          </w:p>
          <w:p>
            <w:pPr>
              <w:rPr>
                <w:rFonts w:asciiTheme="minorEastAsia" w:hAnsiTheme="minorEastAsia"/>
                <w:sz w:val="22"/>
              </w:rPr>
            </w:pPr>
            <w:r>
              <w:rPr>
                <w:rFonts w:asciiTheme="minorEastAsia" w:hAnsiTheme="minorEastAsia"/>
                <w:sz w:val="22"/>
              </w:rPr>
              <w:t>4.3</w:t>
            </w:r>
            <w:r>
              <w:rPr>
                <w:rFonts w:hint="eastAsia" w:asciiTheme="minorEastAsia" w:hAnsiTheme="minorEastAsia"/>
                <w:sz w:val="22"/>
              </w:rPr>
              <w:t>、最大图像深度≥260mm、系统动态范围≥150dB、灰阶成像显示≥256级</w:t>
            </w:r>
            <w:r>
              <w:rPr>
                <w:rFonts w:asciiTheme="minorEastAsia" w:hAnsiTheme="minorEastAsia"/>
                <w:sz w:val="22"/>
              </w:rPr>
              <w:t>；</w:t>
            </w:r>
          </w:p>
          <w:p>
            <w:pPr>
              <w:rPr>
                <w:rFonts w:asciiTheme="minorEastAsia" w:hAnsiTheme="minorEastAsia"/>
                <w:sz w:val="22"/>
              </w:rPr>
            </w:pPr>
            <w:r>
              <w:rPr>
                <w:rFonts w:asciiTheme="minorEastAsia" w:hAnsiTheme="minorEastAsia"/>
                <w:sz w:val="22"/>
              </w:rPr>
              <w:t>4.4</w:t>
            </w:r>
            <w:r>
              <w:rPr>
                <w:rFonts w:hint="eastAsia" w:asciiTheme="minorEastAsia" w:hAnsiTheme="minorEastAsia"/>
                <w:sz w:val="22"/>
              </w:rPr>
              <w:t>、PSHI TM 宽带频移，优化组织谐波成像</w:t>
            </w:r>
            <w:r>
              <w:rPr>
                <w:rFonts w:asciiTheme="minorEastAsia" w:hAnsiTheme="minorEastAsia"/>
                <w:sz w:val="22"/>
              </w:rPr>
              <w:t>；</w:t>
            </w:r>
          </w:p>
          <w:p>
            <w:pPr>
              <w:rPr>
                <w:rFonts w:asciiTheme="minorEastAsia" w:hAnsiTheme="minorEastAsia"/>
                <w:sz w:val="22"/>
              </w:rPr>
            </w:pPr>
            <w:r>
              <w:rPr>
                <w:rFonts w:asciiTheme="minorEastAsia" w:hAnsiTheme="minorEastAsia"/>
                <w:sz w:val="22"/>
              </w:rPr>
              <w:t>4.5</w:t>
            </w:r>
            <w:r>
              <w:rPr>
                <w:rFonts w:hint="eastAsia" w:asciiTheme="minorEastAsia" w:hAnsiTheme="minorEastAsia"/>
                <w:sz w:val="22"/>
              </w:rPr>
              <w:t>、8级深度可调，8倍倍率放大</w:t>
            </w:r>
            <w:r>
              <w:rPr>
                <w:rFonts w:asciiTheme="minorEastAsia" w:hAnsiTheme="minorEastAsia"/>
                <w:sz w:val="22"/>
              </w:rPr>
              <w:t>；</w:t>
            </w:r>
          </w:p>
          <w:p>
            <w:pPr>
              <w:rPr>
                <w:rFonts w:asciiTheme="minorEastAsia" w:hAnsiTheme="minorEastAsia"/>
                <w:sz w:val="22"/>
              </w:rPr>
            </w:pPr>
            <w:r>
              <w:rPr>
                <w:rFonts w:asciiTheme="minorEastAsia" w:hAnsiTheme="minorEastAsia"/>
                <w:sz w:val="22"/>
              </w:rPr>
              <w:t>4.6</w:t>
            </w:r>
            <w:r>
              <w:rPr>
                <w:rFonts w:hint="eastAsia" w:asciiTheme="minorEastAsia" w:hAnsiTheme="minorEastAsia"/>
                <w:sz w:val="22"/>
              </w:rPr>
              <w:t>、预设模式：针对不同的检查脏器，可预置最佳化图像的检查，预设数量：≥6种，用户可以自定义条件</w:t>
            </w:r>
            <w:r>
              <w:rPr>
                <w:rFonts w:asciiTheme="minorEastAsia" w:hAnsiTheme="minorEastAsia"/>
                <w:sz w:val="22"/>
              </w:rPr>
              <w:t>；</w:t>
            </w:r>
          </w:p>
          <w:p>
            <w:pPr>
              <w:rPr>
                <w:rFonts w:asciiTheme="minorEastAsia" w:hAnsiTheme="minorEastAsia"/>
                <w:sz w:val="22"/>
              </w:rPr>
            </w:pPr>
            <w:r>
              <w:rPr>
                <w:rFonts w:asciiTheme="minorEastAsia" w:hAnsiTheme="minorEastAsia"/>
                <w:sz w:val="22"/>
              </w:rPr>
              <w:t>4.7</w:t>
            </w:r>
            <w:r>
              <w:rPr>
                <w:rFonts w:hint="eastAsia" w:asciiTheme="minorEastAsia" w:hAnsiTheme="minorEastAsia"/>
                <w:sz w:val="22"/>
              </w:rPr>
              <w:t>、</w:t>
            </w:r>
            <w:r>
              <w:rPr>
                <w:rFonts w:asciiTheme="minorEastAsia" w:hAnsiTheme="minorEastAsia"/>
                <w:sz w:val="22"/>
              </w:rPr>
              <w:t>扫描线密度可调。</w:t>
            </w:r>
          </w:p>
          <w:p>
            <w:pPr>
              <w:rPr>
                <w:rFonts w:asciiTheme="minorEastAsia" w:hAnsiTheme="minorEastAsia"/>
                <w:b/>
                <w:bCs/>
                <w:sz w:val="22"/>
              </w:rPr>
            </w:pPr>
            <w:r>
              <w:rPr>
                <w:rFonts w:asciiTheme="minorEastAsia" w:hAnsiTheme="minorEastAsia"/>
                <w:b/>
                <w:bCs/>
                <w:sz w:val="22"/>
              </w:rPr>
              <w:t>5</w:t>
            </w:r>
            <w:r>
              <w:rPr>
                <w:rFonts w:hint="eastAsia" w:asciiTheme="minorEastAsia" w:hAnsiTheme="minorEastAsia"/>
                <w:b/>
                <w:bCs/>
                <w:sz w:val="22"/>
              </w:rPr>
              <w:t>、</w:t>
            </w:r>
            <w:r>
              <w:rPr>
                <w:rFonts w:asciiTheme="minorEastAsia" w:hAnsiTheme="minorEastAsia"/>
                <w:b/>
                <w:bCs/>
                <w:sz w:val="22"/>
              </w:rPr>
              <w:t>频谱多普勒</w:t>
            </w:r>
          </w:p>
          <w:p>
            <w:pPr>
              <w:rPr>
                <w:rFonts w:asciiTheme="minorEastAsia" w:hAnsiTheme="minorEastAsia"/>
                <w:sz w:val="22"/>
              </w:rPr>
            </w:pPr>
            <w:r>
              <w:rPr>
                <w:rFonts w:asciiTheme="minorEastAsia" w:hAnsiTheme="minorEastAsia"/>
                <w:sz w:val="22"/>
              </w:rPr>
              <w:t>5.1</w:t>
            </w:r>
            <w:r>
              <w:rPr>
                <w:rFonts w:hint="eastAsia" w:asciiTheme="minorEastAsia" w:hAnsiTheme="minorEastAsia"/>
                <w:sz w:val="22"/>
              </w:rPr>
              <w:t>、方式：脉冲波多谱勒(PWD) ，多普勒手动描迹</w:t>
            </w:r>
            <w:r>
              <w:rPr>
                <w:rFonts w:asciiTheme="minorEastAsia" w:hAnsiTheme="minorEastAsia"/>
                <w:sz w:val="22"/>
              </w:rPr>
              <w:t>；</w:t>
            </w:r>
          </w:p>
          <w:p>
            <w:pPr>
              <w:rPr>
                <w:rFonts w:asciiTheme="minorEastAsia" w:hAnsiTheme="minorEastAsia"/>
                <w:sz w:val="22"/>
              </w:rPr>
            </w:pPr>
            <w:r>
              <w:rPr>
                <w:rFonts w:asciiTheme="minorEastAsia" w:hAnsiTheme="minorEastAsia"/>
                <w:sz w:val="22"/>
              </w:rPr>
              <w:t>5.2</w:t>
            </w:r>
            <w:r>
              <w:rPr>
                <w:rFonts w:hint="eastAsia" w:asciiTheme="minorEastAsia" w:hAnsiTheme="minorEastAsia"/>
                <w:sz w:val="22"/>
              </w:rPr>
              <w:t>、取样宽度及位置范围：宽度0.5mm至38mm分级调节</w:t>
            </w:r>
            <w:r>
              <w:rPr>
                <w:rFonts w:asciiTheme="minorEastAsia" w:hAnsiTheme="minorEastAsia"/>
                <w:sz w:val="22"/>
              </w:rPr>
              <w:t>；</w:t>
            </w:r>
          </w:p>
          <w:p>
            <w:pPr>
              <w:rPr>
                <w:rFonts w:asciiTheme="minorEastAsia" w:hAnsiTheme="minorEastAsia"/>
                <w:sz w:val="22"/>
              </w:rPr>
            </w:pPr>
            <w:r>
              <w:rPr>
                <w:rFonts w:asciiTheme="minorEastAsia" w:hAnsiTheme="minorEastAsia"/>
                <w:sz w:val="22"/>
              </w:rPr>
              <w:t>5.3</w:t>
            </w:r>
            <w:r>
              <w:rPr>
                <w:rFonts w:hint="eastAsia" w:asciiTheme="minorEastAsia" w:hAnsiTheme="minorEastAsia"/>
                <w:sz w:val="22"/>
              </w:rPr>
              <w:t>、角度校正： -60—+60度，入射角度在15—45度之间</w:t>
            </w:r>
            <w:r>
              <w:rPr>
                <w:rFonts w:asciiTheme="minorEastAsia" w:hAnsiTheme="minorEastAsia"/>
                <w:sz w:val="22"/>
              </w:rPr>
              <w:t>；</w:t>
            </w:r>
          </w:p>
          <w:p>
            <w:pPr>
              <w:rPr>
                <w:rFonts w:asciiTheme="minorEastAsia" w:hAnsiTheme="minorEastAsia"/>
                <w:sz w:val="22"/>
              </w:rPr>
            </w:pPr>
            <w:r>
              <w:rPr>
                <w:rFonts w:asciiTheme="minorEastAsia" w:hAnsiTheme="minorEastAsia"/>
                <w:sz w:val="22"/>
              </w:rPr>
              <w:t>5.4</w:t>
            </w:r>
            <w:r>
              <w:rPr>
                <w:rFonts w:hint="eastAsia" w:asciiTheme="minorEastAsia" w:hAnsiTheme="minorEastAsia"/>
                <w:sz w:val="22"/>
              </w:rPr>
              <w:t>、显示方式：速度分散显示、速度显示、能量显示</w:t>
            </w:r>
            <w:r>
              <w:rPr>
                <w:rFonts w:asciiTheme="minorEastAsia" w:hAnsiTheme="minorEastAsia"/>
                <w:sz w:val="22"/>
              </w:rPr>
              <w:t>；</w:t>
            </w:r>
          </w:p>
          <w:p>
            <w:pPr>
              <w:rPr>
                <w:rFonts w:asciiTheme="minorEastAsia" w:hAnsiTheme="minorEastAsia"/>
                <w:sz w:val="22"/>
              </w:rPr>
            </w:pPr>
            <w:r>
              <w:rPr>
                <w:rFonts w:asciiTheme="minorEastAsia" w:hAnsiTheme="minorEastAsia"/>
                <w:sz w:val="22"/>
              </w:rPr>
              <w:t>5.5</w:t>
            </w:r>
            <w:r>
              <w:rPr>
                <w:rFonts w:hint="eastAsia" w:asciiTheme="minorEastAsia" w:hAnsiTheme="minorEastAsia"/>
                <w:sz w:val="22"/>
              </w:rPr>
              <w:t>、超声功率输出调节：B/M、PWD、CF输出功率可调≥8级</w:t>
            </w:r>
            <w:r>
              <w:rPr>
                <w:rFonts w:asciiTheme="minorEastAsia" w:hAnsiTheme="minorEastAsia"/>
                <w:sz w:val="22"/>
              </w:rPr>
              <w:t>；</w:t>
            </w:r>
          </w:p>
          <w:p>
            <w:pPr>
              <w:rPr>
                <w:rFonts w:asciiTheme="minorEastAsia" w:hAnsiTheme="minorEastAsia"/>
                <w:sz w:val="22"/>
              </w:rPr>
            </w:pPr>
            <w:r>
              <w:rPr>
                <w:rFonts w:asciiTheme="minorEastAsia" w:hAnsiTheme="minorEastAsia"/>
                <w:sz w:val="22"/>
              </w:rPr>
              <w:t>5.6</w:t>
            </w:r>
            <w:r>
              <w:rPr>
                <w:rFonts w:hint="eastAsia" w:asciiTheme="minorEastAsia" w:hAnsiTheme="minorEastAsia"/>
                <w:sz w:val="22"/>
              </w:rPr>
              <w:t>、伪彩功能16种，频谱倒向功能</w:t>
            </w:r>
            <w:r>
              <w:rPr>
                <w:rFonts w:asciiTheme="minorEastAsia" w:hAnsiTheme="minorEastAsia"/>
                <w:sz w:val="22"/>
              </w:rPr>
              <w:t>；</w:t>
            </w:r>
          </w:p>
          <w:p>
            <w:pPr>
              <w:rPr>
                <w:rFonts w:asciiTheme="minorEastAsia" w:hAnsiTheme="minorEastAsia"/>
                <w:b/>
                <w:bCs/>
                <w:sz w:val="22"/>
              </w:rPr>
            </w:pPr>
            <w:r>
              <w:rPr>
                <w:rFonts w:asciiTheme="minorEastAsia" w:hAnsiTheme="minorEastAsia"/>
                <w:b/>
                <w:bCs/>
                <w:sz w:val="22"/>
              </w:rPr>
              <w:t>6</w:t>
            </w:r>
            <w:r>
              <w:rPr>
                <w:rFonts w:hint="eastAsia" w:asciiTheme="minorEastAsia" w:hAnsiTheme="minorEastAsia"/>
                <w:b/>
                <w:bCs/>
                <w:sz w:val="22"/>
              </w:rPr>
              <w:t>、</w:t>
            </w:r>
            <w:r>
              <w:rPr>
                <w:rFonts w:asciiTheme="minorEastAsia" w:hAnsiTheme="minorEastAsia"/>
                <w:b/>
                <w:bCs/>
                <w:sz w:val="22"/>
              </w:rPr>
              <w:t>彩色多普勒</w:t>
            </w:r>
          </w:p>
          <w:p>
            <w:pPr>
              <w:rPr>
                <w:rFonts w:asciiTheme="minorEastAsia" w:hAnsiTheme="minorEastAsia"/>
                <w:sz w:val="22"/>
              </w:rPr>
            </w:pPr>
            <w:r>
              <w:rPr>
                <w:rFonts w:asciiTheme="minorEastAsia" w:hAnsiTheme="minorEastAsia"/>
                <w:sz w:val="22"/>
              </w:rPr>
              <w:t>6.1</w:t>
            </w:r>
            <w:r>
              <w:rPr>
                <w:rFonts w:hint="eastAsia" w:asciiTheme="minorEastAsia" w:hAnsiTheme="minorEastAsia"/>
                <w:sz w:val="22"/>
              </w:rPr>
              <w:t>、成像方式：彩色多普勒速度图、彩色多普勒能量图、方向性能量图</w:t>
            </w:r>
            <w:r>
              <w:rPr>
                <w:rFonts w:asciiTheme="minorEastAsia" w:hAnsiTheme="minorEastAsia"/>
                <w:sz w:val="22"/>
              </w:rPr>
              <w:t>；</w:t>
            </w:r>
          </w:p>
          <w:p>
            <w:pPr>
              <w:rPr>
                <w:rFonts w:asciiTheme="minorEastAsia" w:hAnsiTheme="minorEastAsia"/>
                <w:sz w:val="22"/>
              </w:rPr>
            </w:pPr>
            <w:r>
              <w:rPr>
                <w:rFonts w:asciiTheme="minorEastAsia" w:hAnsiTheme="minorEastAsia"/>
                <w:sz w:val="22"/>
              </w:rPr>
              <w:t>6.2</w:t>
            </w:r>
            <w:r>
              <w:rPr>
                <w:rFonts w:hint="eastAsia" w:asciiTheme="minorEastAsia" w:hAnsiTheme="minorEastAsia"/>
                <w:sz w:val="22"/>
              </w:rPr>
              <w:t>、自动彩色技术：单步操作，一键优化彩色多普勒血流</w:t>
            </w:r>
            <w:r>
              <w:rPr>
                <w:rFonts w:asciiTheme="minorEastAsia" w:hAnsiTheme="minorEastAsia"/>
                <w:sz w:val="22"/>
              </w:rPr>
              <w:t>；</w:t>
            </w:r>
          </w:p>
          <w:p>
            <w:pPr>
              <w:rPr>
                <w:rFonts w:asciiTheme="minorEastAsia" w:hAnsiTheme="minorEastAsia"/>
                <w:sz w:val="22"/>
              </w:rPr>
            </w:pPr>
            <w:r>
              <w:rPr>
                <w:rFonts w:asciiTheme="minorEastAsia" w:hAnsiTheme="minorEastAsia"/>
                <w:sz w:val="22"/>
              </w:rPr>
              <w:t>6.3</w:t>
            </w:r>
            <w:r>
              <w:rPr>
                <w:rFonts w:hint="eastAsia" w:asciiTheme="minorEastAsia" w:hAnsiTheme="minorEastAsia"/>
                <w:sz w:val="22"/>
              </w:rPr>
              <w:t>、扫描速率：全视野，18cm深度时，帧速率≥45帧/秒</w:t>
            </w:r>
            <w:r>
              <w:rPr>
                <w:rFonts w:asciiTheme="minorEastAsia" w:hAnsiTheme="minorEastAsia"/>
                <w:sz w:val="22"/>
              </w:rPr>
              <w:t>；</w:t>
            </w:r>
          </w:p>
          <w:p>
            <w:pPr>
              <w:rPr>
                <w:sz w:val="22"/>
              </w:rPr>
            </w:pPr>
            <w:r>
              <w:rPr>
                <w:rFonts w:asciiTheme="minorEastAsia" w:hAnsiTheme="minorEastAsia"/>
                <w:sz w:val="22"/>
              </w:rPr>
              <w:t>6.4</w:t>
            </w:r>
            <w:r>
              <w:rPr>
                <w:rFonts w:hint="eastAsia" w:asciiTheme="minorEastAsia" w:hAnsiTheme="minorEastAsia"/>
                <w:sz w:val="22"/>
              </w:rPr>
              <w:t>、</w:t>
            </w:r>
            <w:r>
              <w:rPr>
                <w:rFonts w:asciiTheme="minorEastAsia" w:hAnsiTheme="minorEastAsia"/>
                <w:sz w:val="22"/>
              </w:rPr>
              <w:t>显示格式：双幅实时显示B＋B/C模式, 双幅显示, B/C模式，</w:t>
            </w:r>
            <w:r>
              <w:rPr>
                <w:rFonts w:hint="eastAsia" w:asciiTheme="minorEastAsia" w:hAnsiTheme="minorEastAsia"/>
                <w:sz w:val="22"/>
              </w:rPr>
              <w:t>B/C/Doppler三同步或动态刷新模式</w:t>
            </w:r>
            <w:r>
              <w:rPr>
                <w:rFonts w:asciiTheme="minorEastAsia" w:hAnsiTheme="minorEastAsia"/>
                <w:sz w:val="22"/>
              </w:rPr>
              <w:t>；</w:t>
            </w:r>
          </w:p>
          <w:p>
            <w:pPr>
              <w:rPr>
                <w:rFonts w:asciiTheme="minorEastAsia" w:hAnsiTheme="minorEastAsia"/>
                <w:sz w:val="22"/>
              </w:rPr>
            </w:pPr>
            <w:r>
              <w:rPr>
                <w:rFonts w:asciiTheme="minorEastAsia" w:hAnsiTheme="minorEastAsia"/>
                <w:sz w:val="22"/>
              </w:rPr>
              <w:t>6.5</w:t>
            </w:r>
            <w:r>
              <w:rPr>
                <w:rFonts w:hint="eastAsia" w:asciiTheme="minorEastAsia" w:hAnsiTheme="minorEastAsia"/>
                <w:sz w:val="22"/>
              </w:rPr>
              <w:t>、线阵探头扫描成像的角度变化范围≥15度</w:t>
            </w:r>
            <w:r>
              <w:rPr>
                <w:rFonts w:asciiTheme="minorEastAsia" w:hAnsiTheme="minorEastAsia"/>
                <w:sz w:val="22"/>
              </w:rPr>
              <w:t>；</w:t>
            </w:r>
          </w:p>
          <w:p>
            <w:pPr>
              <w:rPr>
                <w:rFonts w:asciiTheme="minorEastAsia" w:hAnsiTheme="minorEastAsia"/>
                <w:sz w:val="22"/>
              </w:rPr>
            </w:pPr>
            <w:r>
              <w:rPr>
                <w:rFonts w:asciiTheme="minorEastAsia" w:hAnsiTheme="minorEastAsia"/>
                <w:sz w:val="22"/>
              </w:rPr>
              <w:t>6.6</w:t>
            </w:r>
            <w:r>
              <w:rPr>
                <w:rFonts w:hint="eastAsia" w:asciiTheme="minorEastAsia" w:hAnsiTheme="minorEastAsia"/>
                <w:sz w:val="22"/>
              </w:rPr>
              <w:t>、血流框可以倒置</w:t>
            </w:r>
            <w:r>
              <w:rPr>
                <w:rFonts w:asciiTheme="minorEastAsia" w:hAnsiTheme="minorEastAsia"/>
                <w:sz w:val="22"/>
              </w:rPr>
              <w:t>。</w:t>
            </w:r>
          </w:p>
          <w:p>
            <w:pPr>
              <w:rPr>
                <w:rFonts w:asciiTheme="minorEastAsia" w:hAnsiTheme="minorEastAsia"/>
                <w:b/>
                <w:bCs/>
                <w:sz w:val="22"/>
              </w:rPr>
            </w:pPr>
            <w:r>
              <w:rPr>
                <w:rFonts w:asciiTheme="minorEastAsia" w:hAnsiTheme="minorEastAsia"/>
                <w:b/>
                <w:bCs/>
                <w:sz w:val="22"/>
              </w:rPr>
              <w:t>7</w:t>
            </w:r>
            <w:r>
              <w:rPr>
                <w:rFonts w:hint="eastAsia" w:asciiTheme="minorEastAsia" w:hAnsiTheme="minorEastAsia"/>
                <w:b/>
                <w:bCs/>
                <w:sz w:val="22"/>
              </w:rPr>
              <w:t>、</w:t>
            </w:r>
            <w:r>
              <w:rPr>
                <w:rFonts w:asciiTheme="minorEastAsia" w:hAnsiTheme="minorEastAsia"/>
                <w:b/>
                <w:bCs/>
                <w:sz w:val="22"/>
              </w:rPr>
              <w:t>系统测量及分析</w:t>
            </w:r>
          </w:p>
          <w:p>
            <w:pPr>
              <w:rPr>
                <w:rFonts w:asciiTheme="minorEastAsia" w:hAnsiTheme="minorEastAsia"/>
                <w:sz w:val="22"/>
              </w:rPr>
            </w:pPr>
            <w:r>
              <w:rPr>
                <w:rFonts w:asciiTheme="minorEastAsia" w:hAnsiTheme="minorEastAsia"/>
                <w:sz w:val="22"/>
              </w:rPr>
              <w:t>7.1</w:t>
            </w:r>
            <w:r>
              <w:rPr>
                <w:rFonts w:hint="eastAsia" w:asciiTheme="minorEastAsia" w:hAnsiTheme="minorEastAsia"/>
                <w:sz w:val="22"/>
              </w:rPr>
              <w:t>、一般测量：距离、面积、周长、容积、角度、时间、斜率、流速、流速比等</w:t>
            </w:r>
            <w:r>
              <w:rPr>
                <w:rFonts w:asciiTheme="minorEastAsia" w:hAnsiTheme="minorEastAsia"/>
                <w:sz w:val="22"/>
              </w:rPr>
              <w:t>;</w:t>
            </w:r>
          </w:p>
          <w:p>
            <w:pPr>
              <w:rPr>
                <w:rFonts w:asciiTheme="minorEastAsia" w:hAnsiTheme="minorEastAsia"/>
                <w:sz w:val="22"/>
              </w:rPr>
            </w:pPr>
            <w:r>
              <w:rPr>
                <w:rFonts w:asciiTheme="minorEastAsia" w:hAnsiTheme="minorEastAsia"/>
                <w:sz w:val="22"/>
              </w:rPr>
              <w:t>7.2</w:t>
            </w:r>
            <w:r>
              <w:rPr>
                <w:rFonts w:hint="eastAsia" w:asciiTheme="minorEastAsia" w:hAnsiTheme="minorEastAsia"/>
                <w:sz w:val="22"/>
              </w:rPr>
              <w:t>、</w:t>
            </w:r>
            <w:r>
              <w:rPr>
                <w:rFonts w:asciiTheme="minorEastAsia" w:hAnsiTheme="minorEastAsia"/>
                <w:sz w:val="22"/>
              </w:rPr>
              <w:t>妇科测量包、产科测量包、心脏功能测量包、小器官测量包、泌尿科测量包矫形外科测量包等专科测量包</w:t>
            </w:r>
          </w:p>
          <w:p>
            <w:pPr>
              <w:rPr>
                <w:rFonts w:asciiTheme="minorEastAsia" w:hAnsiTheme="minorEastAsia"/>
                <w:sz w:val="22"/>
              </w:rPr>
            </w:pPr>
            <w:r>
              <w:rPr>
                <w:rFonts w:asciiTheme="minorEastAsia" w:hAnsiTheme="minorEastAsia"/>
                <w:sz w:val="22"/>
              </w:rPr>
              <w:t>7.3</w:t>
            </w:r>
            <w:r>
              <w:rPr>
                <w:rFonts w:hint="eastAsia" w:asciiTheme="minorEastAsia" w:hAnsiTheme="minorEastAsia"/>
                <w:sz w:val="22"/>
              </w:rPr>
              <w:t>、妇科IUD专用测量包,根据测量子宫数据自动推荐合适的节育器</w:t>
            </w:r>
            <w:r>
              <w:rPr>
                <w:rFonts w:asciiTheme="minorEastAsia" w:hAnsiTheme="minorEastAsia"/>
                <w:sz w:val="22"/>
              </w:rPr>
              <w:t>；</w:t>
            </w:r>
          </w:p>
          <w:p>
            <w:pPr>
              <w:rPr>
                <w:rFonts w:asciiTheme="minorEastAsia" w:hAnsiTheme="minorEastAsia"/>
                <w:sz w:val="22"/>
              </w:rPr>
            </w:pPr>
            <w:r>
              <w:rPr>
                <w:rFonts w:asciiTheme="minorEastAsia" w:hAnsiTheme="minorEastAsia"/>
                <w:sz w:val="22"/>
              </w:rPr>
              <w:t>7.4</w:t>
            </w:r>
            <w:r>
              <w:rPr>
                <w:rFonts w:hint="eastAsia" w:asciiTheme="minorEastAsia" w:hAnsiTheme="minorEastAsia"/>
                <w:sz w:val="22"/>
              </w:rPr>
              <w:t>、多普勒血流测量与分析，多普勒手动，自动描迹测量，外周血管测量与分析</w:t>
            </w:r>
            <w:r>
              <w:rPr>
                <w:rFonts w:asciiTheme="minorEastAsia" w:hAnsiTheme="minorEastAsia"/>
                <w:sz w:val="22"/>
              </w:rPr>
              <w:t>。</w:t>
            </w:r>
          </w:p>
          <w:p>
            <w:pPr>
              <w:rPr>
                <w:rFonts w:asciiTheme="minorEastAsia" w:hAnsiTheme="minorEastAsia"/>
                <w:b/>
                <w:bCs/>
                <w:sz w:val="22"/>
              </w:rPr>
            </w:pPr>
            <w:r>
              <w:rPr>
                <w:rFonts w:asciiTheme="minorEastAsia" w:hAnsiTheme="minorEastAsia"/>
                <w:b/>
                <w:bCs/>
                <w:sz w:val="22"/>
              </w:rPr>
              <w:t>8</w:t>
            </w:r>
            <w:r>
              <w:rPr>
                <w:rFonts w:hint="eastAsia" w:asciiTheme="minorEastAsia" w:hAnsiTheme="minorEastAsia"/>
                <w:b/>
                <w:bCs/>
                <w:sz w:val="22"/>
              </w:rPr>
              <w:t>、</w:t>
            </w:r>
            <w:r>
              <w:rPr>
                <w:rFonts w:asciiTheme="minorEastAsia" w:hAnsiTheme="minorEastAsia"/>
                <w:b/>
                <w:bCs/>
                <w:sz w:val="22"/>
              </w:rPr>
              <w:t>图像存储、管理、记录与电影回放重现单元</w:t>
            </w:r>
          </w:p>
          <w:p>
            <w:pPr>
              <w:rPr>
                <w:rFonts w:asciiTheme="minorEastAsia" w:hAnsiTheme="minorEastAsia"/>
                <w:sz w:val="22"/>
              </w:rPr>
            </w:pPr>
            <w:r>
              <w:rPr>
                <w:rFonts w:asciiTheme="minorEastAsia" w:hAnsiTheme="minorEastAsia"/>
                <w:sz w:val="22"/>
              </w:rPr>
              <w:t>8.1</w:t>
            </w:r>
            <w:r>
              <w:rPr>
                <w:rFonts w:hint="eastAsia" w:asciiTheme="minorEastAsia" w:hAnsiTheme="minorEastAsia"/>
                <w:sz w:val="22"/>
              </w:rPr>
              <w:t>、存储及管理功能：探头参数存储、图像存储、电影回放存储、测量结果存储、报告存储，查询调出图文病人信息档案，可按诊断模式自动生成相应格式，图文病案打印报告，可一键导出典型病案到当前诊断病案供医生编辑，也可将当前病案图文内容导入典型病案，病案库可扩充，实现自动快捷诊断</w:t>
            </w:r>
            <w:r>
              <w:rPr>
                <w:rFonts w:asciiTheme="minorEastAsia" w:hAnsiTheme="minorEastAsia"/>
                <w:sz w:val="22"/>
              </w:rPr>
              <w:t>；</w:t>
            </w:r>
          </w:p>
          <w:p>
            <w:pPr>
              <w:rPr>
                <w:rFonts w:asciiTheme="minorEastAsia" w:hAnsiTheme="minorEastAsia"/>
                <w:sz w:val="22"/>
              </w:rPr>
            </w:pPr>
            <w:r>
              <w:rPr>
                <w:rFonts w:asciiTheme="minorEastAsia" w:hAnsiTheme="minorEastAsia"/>
                <w:sz w:val="22"/>
              </w:rPr>
              <w:t>8.2</w:t>
            </w:r>
            <w:r>
              <w:rPr>
                <w:rFonts w:hint="eastAsia" w:asciiTheme="minorEastAsia" w:hAnsiTheme="minorEastAsia"/>
                <w:sz w:val="22"/>
              </w:rPr>
              <w:t>、具有先进的双向电影回放和逐帧回放功能，≥300帧，可手动/自动回放，可保存/加载电影，机内可达500幅图像永久存储功能</w:t>
            </w:r>
            <w:r>
              <w:rPr>
                <w:rFonts w:asciiTheme="minorEastAsia" w:hAnsiTheme="minorEastAsia"/>
                <w:sz w:val="22"/>
              </w:rPr>
              <w:t>；</w:t>
            </w:r>
          </w:p>
          <w:p>
            <w:pPr>
              <w:rPr>
                <w:rFonts w:asciiTheme="minorEastAsia" w:hAnsiTheme="minorEastAsia"/>
                <w:sz w:val="22"/>
              </w:rPr>
            </w:pPr>
            <w:r>
              <w:rPr>
                <w:rFonts w:asciiTheme="minorEastAsia" w:hAnsiTheme="minorEastAsia"/>
                <w:sz w:val="22"/>
              </w:rPr>
              <w:t>8.3</w:t>
            </w:r>
            <w:r>
              <w:rPr>
                <w:rFonts w:hint="eastAsia" w:asciiTheme="minorEastAsia" w:hAnsiTheme="minorEastAsia"/>
                <w:sz w:val="22"/>
              </w:rPr>
              <w:t>、一体化剪贴板：在屏幕下方显示保存的图像，可直接调出或删除；</w:t>
            </w:r>
          </w:p>
          <w:p>
            <w:pPr>
              <w:rPr>
                <w:rFonts w:asciiTheme="minorEastAsia" w:hAnsiTheme="minorEastAsia"/>
                <w:sz w:val="22"/>
              </w:rPr>
            </w:pPr>
            <w:r>
              <w:rPr>
                <w:rFonts w:asciiTheme="minorEastAsia" w:hAnsiTheme="minorEastAsia"/>
                <w:sz w:val="22"/>
              </w:rPr>
              <w:t>8.4</w:t>
            </w:r>
            <w:r>
              <w:rPr>
                <w:rFonts w:hint="eastAsia" w:asciiTheme="minorEastAsia" w:hAnsiTheme="minorEastAsia"/>
                <w:sz w:val="22"/>
              </w:rPr>
              <w:t>、用户信息自动化录入；</w:t>
            </w:r>
          </w:p>
          <w:p>
            <w:pPr>
              <w:rPr>
                <w:rFonts w:asciiTheme="minorEastAsia" w:hAnsiTheme="minorEastAsia"/>
                <w:sz w:val="22"/>
              </w:rPr>
            </w:pPr>
            <w:r>
              <w:rPr>
                <w:rFonts w:hint="eastAsia" w:asciiTheme="minorEastAsia" w:hAnsiTheme="minorEastAsia"/>
                <w:sz w:val="22"/>
              </w:rPr>
              <w:t>8</w:t>
            </w:r>
            <w:r>
              <w:rPr>
                <w:rFonts w:asciiTheme="minorEastAsia" w:hAnsiTheme="minorEastAsia"/>
                <w:sz w:val="22"/>
              </w:rPr>
              <w:t>.5</w:t>
            </w:r>
            <w:r>
              <w:rPr>
                <w:rFonts w:hint="eastAsia" w:asciiTheme="minorEastAsia" w:hAnsiTheme="minorEastAsia"/>
                <w:sz w:val="22"/>
              </w:rPr>
              <w:t>、动态图像，静态图像，直接存储，能在普通PC 机上直接观看图像,</w:t>
            </w:r>
            <w:r>
              <w:rPr>
                <w:rFonts w:asciiTheme="minorEastAsia" w:hAnsiTheme="minorEastAsia"/>
                <w:sz w:val="22"/>
              </w:rPr>
              <w:t xml:space="preserve"> 图像即时打印技术；</w:t>
            </w:r>
          </w:p>
          <w:p>
            <w:pPr>
              <w:rPr>
                <w:rFonts w:asciiTheme="minorEastAsia" w:hAnsiTheme="minorEastAsia"/>
                <w:sz w:val="22"/>
              </w:rPr>
            </w:pPr>
            <w:r>
              <w:rPr>
                <w:rFonts w:hint="eastAsia" w:asciiTheme="minorEastAsia" w:hAnsiTheme="minorEastAsia"/>
                <w:sz w:val="22"/>
              </w:rPr>
              <w:t>8</w:t>
            </w:r>
            <w:r>
              <w:rPr>
                <w:rFonts w:asciiTheme="minorEastAsia" w:hAnsiTheme="minorEastAsia"/>
                <w:sz w:val="22"/>
              </w:rPr>
              <w:t>.6</w:t>
            </w:r>
            <w:r>
              <w:rPr>
                <w:rFonts w:hint="eastAsia" w:asciiTheme="minorEastAsia" w:hAnsiTheme="minorEastAsia"/>
                <w:sz w:val="22"/>
              </w:rPr>
              <w:t>、</w:t>
            </w:r>
            <w:r>
              <w:rPr>
                <w:rFonts w:asciiTheme="minorEastAsia" w:hAnsiTheme="minorEastAsia"/>
                <w:sz w:val="22"/>
              </w:rPr>
              <w:t>视频及报告存储拷贝功能</w:t>
            </w:r>
          </w:p>
          <w:p>
            <w:pPr>
              <w:rPr>
                <w:rFonts w:asciiTheme="minorEastAsia" w:hAnsiTheme="minorEastAsia"/>
                <w:b/>
                <w:bCs/>
                <w:sz w:val="22"/>
              </w:rPr>
            </w:pPr>
            <w:r>
              <w:rPr>
                <w:rFonts w:asciiTheme="minorEastAsia" w:hAnsiTheme="minorEastAsia"/>
                <w:b/>
                <w:bCs/>
                <w:sz w:val="22"/>
              </w:rPr>
              <w:t>9</w:t>
            </w:r>
            <w:r>
              <w:rPr>
                <w:rFonts w:hint="eastAsia" w:asciiTheme="minorEastAsia" w:hAnsiTheme="minorEastAsia"/>
                <w:b/>
                <w:bCs/>
                <w:sz w:val="22"/>
              </w:rPr>
              <w:t>、</w:t>
            </w:r>
            <w:r>
              <w:rPr>
                <w:rFonts w:asciiTheme="minorEastAsia" w:hAnsiTheme="minorEastAsia"/>
                <w:b/>
                <w:bCs/>
                <w:sz w:val="22"/>
              </w:rPr>
              <w:t>输入/输出信号</w:t>
            </w:r>
          </w:p>
          <w:p>
            <w:pPr>
              <w:rPr>
                <w:rFonts w:asciiTheme="minorEastAsia" w:hAnsiTheme="minorEastAsia"/>
                <w:sz w:val="22"/>
              </w:rPr>
            </w:pPr>
            <w:r>
              <w:rPr>
                <w:rFonts w:asciiTheme="minorEastAsia" w:hAnsiTheme="minorEastAsia"/>
                <w:sz w:val="22"/>
              </w:rPr>
              <w:t>9.1</w:t>
            </w:r>
            <w:r>
              <w:rPr>
                <w:rFonts w:hint="eastAsia" w:asciiTheme="minorEastAsia" w:hAnsiTheme="minorEastAsia"/>
                <w:sz w:val="22"/>
              </w:rPr>
              <w:t>、输入：COM、USB、DICOM</w:t>
            </w:r>
            <w:r>
              <w:rPr>
                <w:rFonts w:asciiTheme="minorEastAsia" w:hAnsiTheme="minorEastAsia"/>
                <w:sz w:val="22"/>
              </w:rPr>
              <w:t>；</w:t>
            </w:r>
          </w:p>
          <w:p>
            <w:pPr>
              <w:rPr>
                <w:rFonts w:asciiTheme="minorEastAsia" w:hAnsiTheme="minorEastAsia"/>
                <w:sz w:val="22"/>
              </w:rPr>
            </w:pPr>
            <w:r>
              <w:rPr>
                <w:rFonts w:asciiTheme="minorEastAsia" w:hAnsiTheme="minorEastAsia"/>
                <w:sz w:val="22"/>
              </w:rPr>
              <w:t>9.2</w:t>
            </w:r>
            <w:r>
              <w:rPr>
                <w:rFonts w:hint="eastAsia" w:asciiTheme="minorEastAsia" w:hAnsiTheme="minorEastAsia"/>
                <w:sz w:val="22"/>
              </w:rPr>
              <w:t>、输出：VGA、DVI、USB、COM、DICOM</w:t>
            </w:r>
            <w:r>
              <w:rPr>
                <w:rFonts w:asciiTheme="minorEastAsia" w:hAnsiTheme="minorEastAsia"/>
                <w:sz w:val="22"/>
              </w:rPr>
              <w:t>；</w:t>
            </w:r>
          </w:p>
          <w:p>
            <w:pPr>
              <w:rPr>
                <w:rFonts w:asciiTheme="minorEastAsia" w:hAnsiTheme="minorEastAsia"/>
                <w:sz w:val="22"/>
              </w:rPr>
            </w:pPr>
            <w:r>
              <w:rPr>
                <w:rFonts w:asciiTheme="minorEastAsia" w:hAnsiTheme="minorEastAsia"/>
                <w:sz w:val="22"/>
              </w:rPr>
              <w:t>9.3</w:t>
            </w:r>
            <w:r>
              <w:rPr>
                <w:rFonts w:hint="eastAsia" w:asciiTheme="minorEastAsia" w:hAnsiTheme="minorEastAsia"/>
                <w:sz w:val="22"/>
              </w:rPr>
              <w:t>、连通性：具备医学数字图像和通信DICOM3.0接口软件包</w:t>
            </w:r>
            <w:r>
              <w:rPr>
                <w:rFonts w:asciiTheme="minorEastAsia" w:hAnsiTheme="minorEastAsia"/>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asciiTheme="minorEastAsia" w:hAnsiTheme="minorEastAsia"/>
                <w:sz w:val="22"/>
              </w:rPr>
              <w:t>3</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医用电子</w:t>
            </w:r>
          </w:p>
          <w:p>
            <w:pPr>
              <w:jc w:val="center"/>
              <w:rPr>
                <w:rFonts w:asciiTheme="minorEastAsia" w:hAnsiTheme="minorEastAsia"/>
                <w:sz w:val="22"/>
              </w:rPr>
            </w:pPr>
            <w:r>
              <w:rPr>
                <w:rFonts w:hint="eastAsia" w:asciiTheme="minorEastAsia" w:hAnsiTheme="minorEastAsia"/>
                <w:sz w:val="22"/>
              </w:rPr>
              <w:t>血压计</w:t>
            </w:r>
          </w:p>
        </w:tc>
        <w:tc>
          <w:tcPr>
            <w:tcW w:w="723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1、测量范围： 压力（0～270）mmHg［(0～36)kPa］脉率数40次/分～180次/分</w:t>
            </w:r>
          </w:p>
          <w:p>
            <w:pPr>
              <w:rPr>
                <w:rFonts w:asciiTheme="minorEastAsia" w:hAnsiTheme="minorEastAsia"/>
                <w:sz w:val="22"/>
              </w:rPr>
            </w:pPr>
            <w:r>
              <w:rPr>
                <w:rFonts w:hint="eastAsia" w:asciiTheme="minorEastAsia" w:hAnsiTheme="minorEastAsia"/>
                <w:sz w:val="22"/>
              </w:rPr>
              <w:t>2、测量准确度： 压力±3mmHg(±0.4kPa)以内脉率数±5%以内</w:t>
            </w:r>
          </w:p>
          <w:p>
            <w:pPr>
              <w:rPr>
                <w:rFonts w:asciiTheme="minorEastAsia" w:hAnsiTheme="minorEastAsia"/>
                <w:sz w:val="22"/>
              </w:rPr>
            </w:pPr>
            <w:r>
              <w:rPr>
                <w:rFonts w:hint="eastAsia" w:asciiTheme="minorEastAsia" w:hAnsiTheme="minorEastAsia"/>
                <w:sz w:val="22"/>
              </w:rPr>
              <w:t>3、袖带适用周长范围 ：15cm～42cm</w:t>
            </w:r>
          </w:p>
          <w:p>
            <w:pPr>
              <w:rPr>
                <w:rFonts w:asciiTheme="minorEastAsia" w:hAnsiTheme="minorEastAsia"/>
                <w:sz w:val="22"/>
              </w:rPr>
            </w:pPr>
            <w:r>
              <w:rPr>
                <w:rFonts w:hint="eastAsia" w:asciiTheme="minorEastAsia" w:hAnsiTheme="minorEastAsia"/>
                <w:sz w:val="22"/>
              </w:rPr>
              <w:t>4、使用温湿度： 5℃～40℃，15%RH～80%RH</w:t>
            </w:r>
          </w:p>
          <w:p>
            <w:pPr>
              <w:rPr>
                <w:rFonts w:asciiTheme="minorEastAsia" w:hAnsiTheme="minorEastAsia"/>
                <w:sz w:val="22"/>
              </w:rPr>
            </w:pPr>
            <w:r>
              <w:rPr>
                <w:rFonts w:hint="eastAsia" w:asciiTheme="minorEastAsia" w:hAnsiTheme="minorEastAsia"/>
                <w:sz w:val="22"/>
              </w:rPr>
              <w:t>5、运输和贮存温湿度： -20℃～+55℃，≤93%RH</w:t>
            </w:r>
          </w:p>
          <w:p>
            <w:pPr>
              <w:rPr>
                <w:rFonts w:asciiTheme="minorEastAsia" w:hAnsiTheme="minorEastAsia"/>
                <w:sz w:val="22"/>
              </w:rPr>
            </w:pPr>
            <w:r>
              <w:rPr>
                <w:rFonts w:hint="eastAsia" w:asciiTheme="minorEastAsia" w:hAnsiTheme="minorEastAsia"/>
                <w:sz w:val="22"/>
              </w:rPr>
              <w:t>6、运行大气压力： 80kPa～106kPa</w:t>
            </w:r>
          </w:p>
          <w:p>
            <w:pPr>
              <w:rPr>
                <w:rFonts w:asciiTheme="minorEastAsia" w:hAnsiTheme="minorEastAsia"/>
                <w:sz w:val="22"/>
              </w:rPr>
            </w:pPr>
            <w:r>
              <w:rPr>
                <w:rFonts w:hint="eastAsia" w:asciiTheme="minorEastAsia" w:hAnsiTheme="minorEastAsia"/>
                <w:sz w:val="22"/>
              </w:rPr>
              <w:t>7、运输和贮存大气压力： 50kPa～106kPa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asciiTheme="minorEastAsia" w:hAnsiTheme="minorEastAsia"/>
                <w:sz w:val="22"/>
              </w:rPr>
              <w:t>4</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体温检测仪</w:t>
            </w:r>
          </w:p>
        </w:tc>
        <w:tc>
          <w:tcPr>
            <w:tcW w:w="723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1、测量方法：非接触式红外传感</w:t>
            </w:r>
          </w:p>
          <w:p>
            <w:pPr>
              <w:rPr>
                <w:rFonts w:asciiTheme="minorEastAsia" w:hAnsiTheme="minorEastAsia"/>
                <w:sz w:val="22"/>
              </w:rPr>
            </w:pPr>
            <w:r>
              <w:rPr>
                <w:rFonts w:hint="eastAsia" w:asciiTheme="minorEastAsia" w:hAnsiTheme="minorEastAsia"/>
                <w:sz w:val="22"/>
              </w:rPr>
              <w:t>2、测量部位：额头</w:t>
            </w:r>
          </w:p>
          <w:p>
            <w:pPr>
              <w:rPr>
                <w:rFonts w:asciiTheme="minorEastAsia" w:hAnsiTheme="minorEastAsia"/>
                <w:sz w:val="22"/>
              </w:rPr>
            </w:pPr>
            <w:r>
              <w:rPr>
                <w:rFonts w:hint="eastAsia" w:asciiTheme="minorEastAsia" w:hAnsiTheme="minorEastAsia"/>
                <w:sz w:val="22"/>
              </w:rPr>
              <w:t>3、测量范围：体温模式30~45℃</w:t>
            </w:r>
          </w:p>
          <w:p>
            <w:pPr>
              <w:rPr>
                <w:rFonts w:asciiTheme="minorEastAsia" w:hAnsiTheme="minorEastAsia"/>
                <w:sz w:val="22"/>
              </w:rPr>
            </w:pPr>
            <w:r>
              <w:rPr>
                <w:rFonts w:hint="eastAsia" w:asciiTheme="minorEastAsia" w:hAnsiTheme="minorEastAsia"/>
                <w:sz w:val="22"/>
              </w:rPr>
              <w:t>4、测量精度：30.0℃~45.0℃  ±0.2℃</w:t>
            </w:r>
          </w:p>
          <w:p>
            <w:pPr>
              <w:rPr>
                <w:rFonts w:asciiTheme="minorEastAsia" w:hAnsiTheme="minorEastAsia"/>
                <w:sz w:val="22"/>
              </w:rPr>
            </w:pPr>
            <w:r>
              <w:rPr>
                <w:rFonts w:hint="eastAsia" w:asciiTheme="minorEastAsia" w:hAnsiTheme="minorEastAsia"/>
                <w:sz w:val="22"/>
              </w:rPr>
              <w:t>5、测量时间：＜2秒</w:t>
            </w:r>
          </w:p>
          <w:p>
            <w:pPr>
              <w:rPr>
                <w:rFonts w:cs="宋体" w:asciiTheme="minorEastAsia" w:hAnsiTheme="minorEastAsia"/>
                <w:sz w:val="22"/>
              </w:rPr>
            </w:pPr>
            <w:r>
              <w:rPr>
                <w:rFonts w:hint="eastAsia" w:asciiTheme="minorEastAsia" w:hAnsiTheme="minorEastAsia"/>
                <w:sz w:val="22"/>
              </w:rPr>
              <w:t>6、分辨率：0.1℃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asciiTheme="minorEastAsia" w:hAnsiTheme="minorEastAsia"/>
                <w:sz w:val="22"/>
              </w:rPr>
              <w:t>5</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血氧检测仪</w:t>
            </w:r>
          </w:p>
        </w:tc>
        <w:tc>
          <w:tcPr>
            <w:tcW w:w="723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1、</w:t>
            </w:r>
            <w:r>
              <w:rPr>
                <w:rFonts w:asciiTheme="minorEastAsia" w:hAnsiTheme="minorEastAsia"/>
                <w:sz w:val="22"/>
              </w:rPr>
              <w:t>测量范围：血氧饱和度35%-100%</w:t>
            </w:r>
          </w:p>
          <w:p>
            <w:pPr>
              <w:rPr>
                <w:rFonts w:asciiTheme="minorEastAsia" w:hAnsiTheme="minorEastAsia"/>
                <w:sz w:val="22"/>
              </w:rPr>
            </w:pPr>
            <w:r>
              <w:rPr>
                <w:rFonts w:hint="eastAsia" w:asciiTheme="minorEastAsia" w:hAnsiTheme="minorEastAsia"/>
                <w:sz w:val="22"/>
              </w:rPr>
              <w:t>2、</w:t>
            </w:r>
            <w:r>
              <w:rPr>
                <w:rFonts w:asciiTheme="minorEastAsia" w:hAnsiTheme="minorEastAsia"/>
                <w:sz w:val="22"/>
              </w:rPr>
              <w:t>脉搏率：30次/分~250次/分</w:t>
            </w:r>
          </w:p>
          <w:p>
            <w:pPr>
              <w:rPr>
                <w:rFonts w:asciiTheme="minorEastAsia" w:hAnsiTheme="minorEastAsia"/>
                <w:sz w:val="22"/>
              </w:rPr>
            </w:pPr>
            <w:r>
              <w:rPr>
                <w:rFonts w:hint="eastAsia" w:asciiTheme="minorEastAsia" w:hAnsiTheme="minorEastAsia"/>
                <w:sz w:val="22"/>
              </w:rPr>
              <w:t>3、</w:t>
            </w:r>
            <w:r>
              <w:rPr>
                <w:rFonts w:asciiTheme="minorEastAsia" w:hAnsiTheme="minorEastAsia"/>
                <w:sz w:val="22"/>
              </w:rPr>
              <w:t>在70%～100%范围内，测量误差为±2%；其中测量误差中的“%”为脉搏氧饱和度百分比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asciiTheme="minorEastAsia" w:hAnsiTheme="minorEastAsia"/>
                <w:sz w:val="22"/>
              </w:rPr>
              <w:t>6</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心电检测仪</w:t>
            </w:r>
          </w:p>
        </w:tc>
        <w:tc>
          <w:tcPr>
            <w:tcW w:w="723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cs="宋体" w:asciiTheme="minorEastAsia" w:hAnsiTheme="minorEastAsia"/>
                <w:sz w:val="22"/>
              </w:rPr>
              <w:t>1、</w:t>
            </w:r>
            <w:r>
              <w:rPr>
                <w:rFonts w:hint="eastAsia" w:asciiTheme="minorEastAsia" w:hAnsiTheme="minorEastAsia"/>
                <w:sz w:val="22"/>
              </w:rPr>
              <w:t>导联：标准12导联</w:t>
            </w:r>
          </w:p>
          <w:p>
            <w:pPr>
              <w:rPr>
                <w:rFonts w:asciiTheme="minorEastAsia" w:hAnsiTheme="minorEastAsia"/>
                <w:sz w:val="22"/>
              </w:rPr>
            </w:pPr>
            <w:r>
              <w:rPr>
                <w:rFonts w:hint="eastAsia" w:asciiTheme="minorEastAsia" w:hAnsiTheme="minorEastAsia"/>
                <w:sz w:val="22"/>
              </w:rPr>
              <w:t>2、输入方式：防除颤保护输入</w:t>
            </w:r>
          </w:p>
          <w:p>
            <w:pPr>
              <w:rPr>
                <w:rFonts w:asciiTheme="minorEastAsia" w:hAnsiTheme="minorEastAsia"/>
                <w:sz w:val="22"/>
              </w:rPr>
            </w:pPr>
            <w:r>
              <w:rPr>
                <w:rFonts w:hint="eastAsia" w:asciiTheme="minorEastAsia" w:hAnsiTheme="minorEastAsia"/>
                <w:sz w:val="22"/>
              </w:rPr>
              <w:t>3、心率测量范围：30-300bpm</w:t>
            </w:r>
          </w:p>
          <w:p>
            <w:pPr>
              <w:rPr>
                <w:rFonts w:asciiTheme="minorEastAsia" w:hAnsiTheme="minorEastAsia"/>
                <w:sz w:val="22"/>
              </w:rPr>
            </w:pPr>
            <w:r>
              <w:rPr>
                <w:rFonts w:hint="eastAsia" w:asciiTheme="minorEastAsia" w:hAnsiTheme="minorEastAsia"/>
                <w:sz w:val="22"/>
              </w:rPr>
              <w:t>4、定标电压：1mV，误差≤±5%</w:t>
            </w:r>
          </w:p>
          <w:p>
            <w:pPr>
              <w:rPr>
                <w:rFonts w:asciiTheme="minorEastAsia" w:hAnsiTheme="minorEastAsia"/>
                <w:sz w:val="22"/>
              </w:rPr>
            </w:pPr>
            <w:r>
              <w:rPr>
                <w:rFonts w:hint="eastAsia" w:asciiTheme="minorEastAsia" w:hAnsiTheme="minorEastAsia"/>
                <w:sz w:val="22"/>
              </w:rPr>
              <w:t>5、灵敏度：5mm/mV，10mm/mV，20mm/mV</w:t>
            </w:r>
          </w:p>
          <w:p>
            <w:pPr>
              <w:rPr>
                <w:rFonts w:asciiTheme="minorEastAsia" w:hAnsiTheme="minorEastAsia"/>
                <w:sz w:val="22"/>
              </w:rPr>
            </w:pPr>
            <w:r>
              <w:rPr>
                <w:rFonts w:hint="eastAsia" w:asciiTheme="minorEastAsia" w:hAnsiTheme="minorEastAsia"/>
                <w:sz w:val="22"/>
              </w:rPr>
              <w:t>6、频 响：0.05-150Hz(-3dB)</w:t>
            </w:r>
          </w:p>
          <w:p>
            <w:pPr>
              <w:rPr>
                <w:rFonts w:asciiTheme="minorEastAsia" w:hAnsiTheme="minorEastAsia"/>
                <w:sz w:val="22"/>
              </w:rPr>
            </w:pPr>
            <w:r>
              <w:rPr>
                <w:rFonts w:hint="eastAsia" w:asciiTheme="minorEastAsia" w:hAnsiTheme="minorEastAsia"/>
                <w:sz w:val="22"/>
              </w:rPr>
              <w:t>7、纸 速：12.5 mm/s、25 mm/s、50 mm/s</w:t>
            </w:r>
          </w:p>
          <w:p>
            <w:pPr>
              <w:rPr>
                <w:rFonts w:asciiTheme="minorEastAsia" w:hAnsiTheme="minorEastAsia"/>
                <w:sz w:val="22"/>
              </w:rPr>
            </w:pPr>
            <w:r>
              <w:rPr>
                <w:rFonts w:hint="eastAsia" w:asciiTheme="minorEastAsia" w:hAnsiTheme="minorEastAsia"/>
                <w:sz w:val="22"/>
              </w:rPr>
              <w:t>8、时间常数：≥3.2s</w:t>
            </w:r>
          </w:p>
          <w:p>
            <w:pPr>
              <w:rPr>
                <w:rFonts w:asciiTheme="minorEastAsia" w:hAnsiTheme="minorEastAsia"/>
                <w:sz w:val="22"/>
              </w:rPr>
            </w:pPr>
            <w:r>
              <w:rPr>
                <w:rFonts w:hint="eastAsia" w:asciiTheme="minorEastAsia" w:hAnsiTheme="minorEastAsia"/>
                <w:sz w:val="22"/>
              </w:rPr>
              <w:t>9、采样频率: 500Hz/通道</w:t>
            </w:r>
          </w:p>
          <w:p>
            <w:pPr>
              <w:rPr>
                <w:rFonts w:asciiTheme="minorEastAsia" w:hAnsiTheme="minorEastAsia"/>
                <w:sz w:val="22"/>
              </w:rPr>
            </w:pPr>
            <w:r>
              <w:rPr>
                <w:rFonts w:hint="eastAsia" w:asciiTheme="minorEastAsia" w:hAnsiTheme="minorEastAsia"/>
                <w:sz w:val="22"/>
              </w:rPr>
              <w:t>1</w:t>
            </w:r>
            <w:r>
              <w:rPr>
                <w:rFonts w:asciiTheme="minorEastAsia" w:hAnsiTheme="minorEastAsia"/>
                <w:sz w:val="22"/>
              </w:rPr>
              <w:t>0</w:t>
            </w:r>
            <w:r>
              <w:rPr>
                <w:rFonts w:hint="eastAsia" w:asciiTheme="minorEastAsia" w:hAnsiTheme="minorEastAsia"/>
                <w:sz w:val="22"/>
              </w:rPr>
              <w:t>、噪声电平：＜15µVp-p</w:t>
            </w:r>
          </w:p>
          <w:p>
            <w:pPr>
              <w:rPr>
                <w:rFonts w:asciiTheme="minorEastAsia" w:hAnsiTheme="minorEastAsia"/>
                <w:sz w:val="22"/>
              </w:rPr>
            </w:pPr>
            <w:r>
              <w:rPr>
                <w:rFonts w:hint="eastAsia" w:asciiTheme="minorEastAsia" w:hAnsiTheme="minorEastAsia"/>
                <w:sz w:val="22"/>
              </w:rPr>
              <w:t>1</w:t>
            </w:r>
            <w:r>
              <w:rPr>
                <w:rFonts w:asciiTheme="minorEastAsia" w:hAnsiTheme="minorEastAsia"/>
                <w:sz w:val="22"/>
              </w:rPr>
              <w:t>1</w:t>
            </w:r>
            <w:r>
              <w:rPr>
                <w:rFonts w:hint="eastAsia" w:asciiTheme="minorEastAsia" w:hAnsiTheme="minorEastAsia"/>
                <w:sz w:val="22"/>
              </w:rPr>
              <w:t>、其他：可通过软件切换十二导联或六导联检测方式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asciiTheme="minorEastAsia" w:hAnsiTheme="minorEastAsia"/>
                <w:sz w:val="22"/>
              </w:rPr>
              <w:t>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 w:val="22"/>
              </w:rPr>
            </w:pPr>
            <w:r>
              <w:rPr>
                <w:rFonts w:hint="eastAsia" w:asciiTheme="minorEastAsia" w:hAnsiTheme="minorEastAsia"/>
                <w:sz w:val="22"/>
              </w:rPr>
              <w:t>身高体重检测仪</w:t>
            </w:r>
          </w:p>
        </w:tc>
        <w:tc>
          <w:tcPr>
            <w:tcW w:w="723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sz w:val="22"/>
              </w:rPr>
            </w:pPr>
            <w:r>
              <w:rPr>
                <w:rFonts w:hint="eastAsia" w:cs="宋体" w:asciiTheme="minorEastAsia" w:hAnsiTheme="minorEastAsia"/>
                <w:sz w:val="22"/>
              </w:rPr>
              <w:t xml:space="preserve">1、身高测量方式: 超声波测距(美国原装探头并实现温差补偿) </w:t>
            </w:r>
          </w:p>
          <w:p>
            <w:pPr>
              <w:rPr>
                <w:rFonts w:cs="宋体" w:asciiTheme="minorEastAsia" w:hAnsiTheme="minorEastAsia"/>
                <w:sz w:val="22"/>
              </w:rPr>
            </w:pPr>
            <w:r>
              <w:rPr>
                <w:rFonts w:hint="eastAsia" w:cs="宋体" w:asciiTheme="minorEastAsia" w:hAnsiTheme="minorEastAsia"/>
                <w:sz w:val="22"/>
              </w:rPr>
              <w:t>2、体重测量方式:精密平衡梁式压力传感器称重，秤盘采用冷板冲压成型（非铸铁）。</w:t>
            </w:r>
          </w:p>
          <w:p>
            <w:pPr>
              <w:rPr>
                <w:rFonts w:cs="宋体" w:asciiTheme="minorEastAsia" w:hAnsiTheme="minorEastAsia"/>
                <w:sz w:val="22"/>
              </w:rPr>
            </w:pPr>
            <w:r>
              <w:rPr>
                <w:rFonts w:hint="eastAsia" w:cs="宋体" w:asciiTheme="minorEastAsia" w:hAnsiTheme="minorEastAsia"/>
                <w:sz w:val="22"/>
              </w:rPr>
              <w:t>3、显示方式：数字式LED大屏幕</w:t>
            </w:r>
          </w:p>
          <w:p>
            <w:pPr>
              <w:rPr>
                <w:rFonts w:cs="宋体" w:asciiTheme="minorEastAsia" w:hAnsiTheme="minorEastAsia"/>
                <w:sz w:val="22"/>
              </w:rPr>
            </w:pPr>
            <w:r>
              <w:rPr>
                <w:rFonts w:cs="宋体" w:asciiTheme="minorEastAsia" w:hAnsiTheme="minorEastAsia"/>
                <w:sz w:val="22"/>
              </w:rPr>
              <w:t>4</w:t>
            </w:r>
            <w:r>
              <w:rPr>
                <w:rFonts w:hint="eastAsia" w:cs="宋体" w:asciiTheme="minorEastAsia" w:hAnsiTheme="minorEastAsia"/>
                <w:sz w:val="22"/>
              </w:rPr>
              <w:t>、测量范围: 身高测量</w:t>
            </w:r>
            <w:r>
              <w:rPr>
                <w:rFonts w:cs="宋体" w:asciiTheme="minorEastAsia" w:hAnsiTheme="minorEastAsia"/>
                <w:sz w:val="22"/>
              </w:rPr>
              <w:t>1</w:t>
            </w:r>
            <w:r>
              <w:rPr>
                <w:rFonts w:hint="eastAsia" w:cs="宋体" w:asciiTheme="minorEastAsia" w:hAnsiTheme="minorEastAsia"/>
                <w:sz w:val="22"/>
              </w:rPr>
              <w:t>0-200cm 分度值0.1cm；体重测量</w:t>
            </w:r>
            <w:r>
              <w:rPr>
                <w:rFonts w:cs="宋体" w:asciiTheme="minorEastAsia" w:hAnsiTheme="minorEastAsia"/>
                <w:sz w:val="22"/>
              </w:rPr>
              <w:t>1</w:t>
            </w:r>
            <w:r>
              <w:rPr>
                <w:rFonts w:hint="eastAsia" w:cs="宋体" w:asciiTheme="minorEastAsia" w:hAnsiTheme="minorEastAsia"/>
                <w:sz w:val="22"/>
              </w:rPr>
              <w:t>-200kg 分度值0.1kg</w:t>
            </w:r>
          </w:p>
          <w:p>
            <w:pPr>
              <w:rPr>
                <w:rFonts w:cs="宋体" w:asciiTheme="minorEastAsia" w:hAnsiTheme="minorEastAsia"/>
                <w:sz w:val="22"/>
              </w:rPr>
            </w:pPr>
            <w:r>
              <w:rPr>
                <w:rFonts w:cs="宋体" w:asciiTheme="minorEastAsia" w:hAnsiTheme="minorEastAsia"/>
                <w:sz w:val="22"/>
              </w:rPr>
              <w:t>5</w:t>
            </w:r>
            <w:r>
              <w:rPr>
                <w:rFonts w:hint="eastAsia" w:cs="宋体" w:asciiTheme="minorEastAsia" w:hAnsiTheme="minorEastAsia"/>
                <w:sz w:val="22"/>
              </w:rPr>
              <w:t>、体型：国际通用体格指数（BMI)并数码显示</w:t>
            </w:r>
          </w:p>
          <w:p>
            <w:pPr>
              <w:rPr>
                <w:rFonts w:cs="宋体" w:asciiTheme="minorEastAsia" w:hAnsiTheme="minorEastAsia"/>
                <w:sz w:val="22"/>
              </w:rPr>
            </w:pPr>
            <w:r>
              <w:rPr>
                <w:rFonts w:cs="宋体" w:asciiTheme="minorEastAsia" w:hAnsiTheme="minorEastAsia"/>
                <w:sz w:val="22"/>
              </w:rPr>
              <w:t>6</w:t>
            </w:r>
            <w:r>
              <w:rPr>
                <w:rFonts w:hint="eastAsia" w:cs="宋体" w:asciiTheme="minorEastAsia" w:hAnsiTheme="minorEastAsia"/>
                <w:sz w:val="22"/>
              </w:rPr>
              <w:t>、数据输出格式：RS-232有线传输或无线传输电脑</w:t>
            </w:r>
          </w:p>
          <w:p>
            <w:pPr>
              <w:rPr>
                <w:rFonts w:cs="宋体" w:asciiTheme="minorEastAsia" w:hAnsiTheme="minorEastAsia"/>
                <w:sz w:val="22"/>
              </w:rPr>
            </w:pPr>
            <w:r>
              <w:rPr>
                <w:rFonts w:cs="宋体" w:asciiTheme="minorEastAsia" w:hAnsiTheme="minorEastAsia"/>
                <w:sz w:val="22"/>
              </w:rPr>
              <w:t>7</w:t>
            </w:r>
            <w:r>
              <w:rPr>
                <w:rFonts w:hint="eastAsia" w:cs="宋体" w:asciiTheme="minorEastAsia" w:hAnsiTheme="minorEastAsia"/>
                <w:sz w:val="22"/>
              </w:rPr>
              <w:t>、测量速度：≥4</w:t>
            </w:r>
            <w:r>
              <w:rPr>
                <w:rFonts w:cs="宋体" w:asciiTheme="minorEastAsia" w:hAnsiTheme="minorEastAsia"/>
                <w:sz w:val="22"/>
              </w:rPr>
              <w:t>5</w:t>
            </w:r>
            <w:r>
              <w:rPr>
                <w:rFonts w:hint="eastAsia" w:cs="宋体" w:asciiTheme="minorEastAsia" w:hAnsiTheme="minorEastAsia"/>
                <w:sz w:val="22"/>
              </w:rPr>
              <w:t>0次/小时</w:t>
            </w:r>
          </w:p>
          <w:p>
            <w:pPr>
              <w:rPr>
                <w:rFonts w:cs="宋体" w:asciiTheme="minorEastAsia" w:hAnsiTheme="minorEastAsia"/>
                <w:sz w:val="22"/>
              </w:rPr>
            </w:pPr>
            <w:r>
              <w:rPr>
                <w:rFonts w:cs="宋体" w:asciiTheme="minorEastAsia" w:hAnsiTheme="minorEastAsia"/>
                <w:sz w:val="22"/>
              </w:rPr>
              <w:t>8</w:t>
            </w:r>
            <w:r>
              <w:rPr>
                <w:rFonts w:hint="eastAsia" w:cs="宋体" w:asciiTheme="minorEastAsia" w:hAnsiTheme="minorEastAsia"/>
                <w:sz w:val="22"/>
              </w:rPr>
              <w:t>、语音提示:有语音自动播报测量结果</w:t>
            </w:r>
          </w:p>
          <w:p>
            <w:pPr>
              <w:rPr>
                <w:rFonts w:cs="宋体" w:asciiTheme="minorEastAsia" w:hAnsiTheme="minorEastAsia"/>
                <w:sz w:val="22"/>
              </w:rPr>
            </w:pPr>
            <w:r>
              <w:rPr>
                <w:rFonts w:cs="宋体" w:asciiTheme="minorEastAsia" w:hAnsiTheme="minorEastAsia"/>
                <w:sz w:val="22"/>
              </w:rPr>
              <w:t>9</w:t>
            </w:r>
            <w:r>
              <w:rPr>
                <w:rFonts w:hint="eastAsia" w:cs="宋体" w:asciiTheme="minorEastAsia" w:hAnsiTheme="minorEastAsia"/>
                <w:sz w:val="22"/>
              </w:rPr>
              <w:t>、数据输出格式:RS-232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asciiTheme="minorEastAsia" w:hAnsiTheme="minorEastAsia"/>
                <w:sz w:val="22"/>
              </w:rPr>
              <w:t>8</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身份证阅读器</w:t>
            </w:r>
          </w:p>
        </w:tc>
        <w:tc>
          <w:tcPr>
            <w:tcW w:w="723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1、射频技术：符合</w:t>
            </w:r>
            <w:r>
              <w:rPr>
                <w:rFonts w:asciiTheme="minorEastAsia" w:hAnsiTheme="minorEastAsia"/>
                <w:sz w:val="22"/>
              </w:rPr>
              <w:t>ISO/IEC 14443 Type B</w:t>
            </w:r>
            <w:r>
              <w:rPr>
                <w:rFonts w:hint="eastAsia" w:asciiTheme="minorEastAsia" w:hAnsiTheme="minorEastAsia"/>
                <w:sz w:val="22"/>
              </w:rPr>
              <w:t>标准</w:t>
            </w:r>
          </w:p>
          <w:p>
            <w:pPr>
              <w:rPr>
                <w:rFonts w:asciiTheme="minorEastAsia" w:hAnsiTheme="minorEastAsia"/>
                <w:sz w:val="22"/>
              </w:rPr>
            </w:pPr>
            <w:r>
              <w:rPr>
                <w:rFonts w:hint="eastAsia" w:asciiTheme="minorEastAsia" w:hAnsiTheme="minorEastAsia"/>
                <w:sz w:val="22"/>
              </w:rPr>
              <w:t>2、保密模块：居民身份证验证安全控制模块</w:t>
            </w:r>
          </w:p>
          <w:p>
            <w:pPr>
              <w:rPr>
                <w:rFonts w:asciiTheme="minorEastAsia" w:hAnsiTheme="minorEastAsia"/>
                <w:sz w:val="22"/>
              </w:rPr>
            </w:pPr>
            <w:r>
              <w:rPr>
                <w:rFonts w:hint="eastAsia" w:asciiTheme="minorEastAsia" w:hAnsiTheme="minorEastAsia"/>
                <w:sz w:val="22"/>
              </w:rPr>
              <w:t>3、读卡方式：非接触式</w:t>
            </w:r>
          </w:p>
          <w:p>
            <w:pPr>
              <w:rPr>
                <w:rFonts w:asciiTheme="minorEastAsia" w:hAnsiTheme="minorEastAsia"/>
                <w:sz w:val="22"/>
              </w:rPr>
            </w:pPr>
            <w:r>
              <w:rPr>
                <w:rFonts w:hint="eastAsia" w:asciiTheme="minorEastAsia" w:hAnsiTheme="minorEastAsia"/>
                <w:sz w:val="22"/>
              </w:rPr>
              <w:t>4、读卡距离：0-5CM</w:t>
            </w:r>
          </w:p>
          <w:p>
            <w:pPr>
              <w:rPr>
                <w:rFonts w:asciiTheme="minorEastAsia" w:hAnsiTheme="minorEastAsia"/>
                <w:sz w:val="22"/>
              </w:rPr>
            </w:pPr>
            <w:r>
              <w:rPr>
                <w:rFonts w:hint="eastAsia" w:asciiTheme="minorEastAsia" w:hAnsiTheme="minorEastAsia"/>
                <w:sz w:val="22"/>
              </w:rPr>
              <w:t>5、阅读时间：≤1秒</w:t>
            </w:r>
          </w:p>
          <w:p>
            <w:pPr>
              <w:rPr>
                <w:rFonts w:asciiTheme="minorEastAsia" w:hAnsiTheme="minorEastAsia"/>
                <w:sz w:val="22"/>
              </w:rPr>
            </w:pPr>
            <w:r>
              <w:rPr>
                <w:rFonts w:hint="eastAsia" w:asciiTheme="minorEastAsia" w:hAnsiTheme="minorEastAsia"/>
                <w:sz w:val="22"/>
              </w:rPr>
              <w:t>7、电源规格：3.7V 3000mAh锂聚合物电池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asciiTheme="minorEastAsia" w:hAnsiTheme="minorEastAsia"/>
                <w:sz w:val="22"/>
              </w:rPr>
              <w:t>9</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条码识别器</w:t>
            </w:r>
          </w:p>
        </w:tc>
        <w:tc>
          <w:tcPr>
            <w:tcW w:w="723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1、数据接口 RS-232，USB，TTL-232 接口</w:t>
            </w:r>
          </w:p>
          <w:p>
            <w:pPr>
              <w:rPr>
                <w:rFonts w:asciiTheme="minorEastAsia" w:hAnsiTheme="minorEastAsia"/>
                <w:sz w:val="22"/>
              </w:rPr>
            </w:pPr>
            <w:r>
              <w:rPr>
                <w:rFonts w:hint="eastAsia" w:asciiTheme="minorEastAsia" w:hAnsiTheme="minorEastAsia"/>
                <w:sz w:val="22"/>
              </w:rPr>
              <w:t>2、条码灵敏度</w:t>
            </w:r>
          </w:p>
          <w:p>
            <w:pPr>
              <w:rPr>
                <w:rFonts w:asciiTheme="minorEastAsia" w:hAnsiTheme="minorEastAsia"/>
                <w:sz w:val="22"/>
              </w:rPr>
            </w:pPr>
            <w:r>
              <w:rPr>
                <w:rFonts w:hint="eastAsia" w:asciiTheme="minorEastAsia" w:hAnsiTheme="minorEastAsia"/>
                <w:sz w:val="22"/>
              </w:rPr>
              <w:t xml:space="preserve">  </w:t>
            </w:r>
            <w:r>
              <w:rPr>
                <w:rFonts w:asciiTheme="minorEastAsia" w:hAnsiTheme="minorEastAsia"/>
                <w:sz w:val="22"/>
              </w:rPr>
              <w:t xml:space="preserve"> </w:t>
            </w:r>
            <w:r>
              <w:rPr>
                <w:rFonts w:hint="eastAsia" w:asciiTheme="minorEastAsia" w:hAnsiTheme="minorEastAsia"/>
                <w:sz w:val="22"/>
              </w:rPr>
              <w:t xml:space="preserve">倾斜 ±60°@ 0°Roll and 0° Skew </w:t>
            </w:r>
          </w:p>
          <w:p>
            <w:pPr>
              <w:ind w:firstLine="330" w:firstLineChars="150"/>
              <w:rPr>
                <w:rFonts w:asciiTheme="minorEastAsia" w:hAnsiTheme="minorEastAsia"/>
                <w:sz w:val="22"/>
              </w:rPr>
            </w:pPr>
            <w:r>
              <w:rPr>
                <w:rFonts w:hint="eastAsia" w:asciiTheme="minorEastAsia" w:hAnsiTheme="minorEastAsia"/>
                <w:sz w:val="22"/>
              </w:rPr>
              <w:t>旋转 360°@ 0°Pitch and 0° Skew</w:t>
            </w:r>
          </w:p>
          <w:p>
            <w:pPr>
              <w:ind w:firstLine="330" w:firstLineChars="150"/>
              <w:rPr>
                <w:rFonts w:asciiTheme="minorEastAsia" w:hAnsiTheme="minorEastAsia"/>
                <w:sz w:val="22"/>
              </w:rPr>
            </w:pPr>
            <w:r>
              <w:rPr>
                <w:rFonts w:hint="eastAsia" w:asciiTheme="minorEastAsia" w:hAnsiTheme="minorEastAsia"/>
                <w:sz w:val="22"/>
              </w:rPr>
              <w:t>偏转 ±55°@ 0°Roll and 0° Pitch</w:t>
            </w:r>
          </w:p>
          <w:p>
            <w:pPr>
              <w:rPr>
                <w:rFonts w:asciiTheme="minorEastAsia" w:hAnsiTheme="minorEastAsia"/>
                <w:sz w:val="22"/>
              </w:rPr>
            </w:pPr>
            <w:r>
              <w:rPr>
                <w:rFonts w:hint="eastAsia" w:asciiTheme="minorEastAsia" w:hAnsiTheme="minorEastAsia"/>
                <w:sz w:val="22"/>
              </w:rPr>
              <w:t>3、环境光照强度 0~100000 Lux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5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asciiTheme="minorEastAsia" w:hAnsiTheme="minorEastAsia"/>
                <w:sz w:val="22"/>
              </w:rPr>
              <w:t>10</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sz w:val="22"/>
              </w:rPr>
            </w:pPr>
            <w:r>
              <w:rPr>
                <w:rFonts w:hint="eastAsia" w:asciiTheme="minorEastAsia" w:hAnsiTheme="minorEastAsia"/>
                <w:sz w:val="22"/>
              </w:rPr>
              <w:t>采集工作台</w:t>
            </w:r>
          </w:p>
        </w:tc>
        <w:tc>
          <w:tcPr>
            <w:tcW w:w="723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≥14 寸触屏液晶显示屏。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5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1</w:t>
            </w:r>
            <w:r>
              <w:rPr>
                <w:rFonts w:asciiTheme="minorEastAsia" w:hAnsiTheme="minorEastAsia"/>
                <w:sz w:val="22"/>
              </w:rPr>
              <w:t>1</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条码热敏打印机</w:t>
            </w:r>
          </w:p>
        </w:tc>
        <w:tc>
          <w:tcPr>
            <w:tcW w:w="723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1、方式：行式热敏打印</w:t>
            </w:r>
          </w:p>
          <w:p>
            <w:pPr>
              <w:rPr>
                <w:rFonts w:asciiTheme="minorEastAsia" w:hAnsiTheme="minorEastAsia"/>
                <w:sz w:val="22"/>
              </w:rPr>
            </w:pPr>
            <w:r>
              <w:rPr>
                <w:rFonts w:hint="eastAsia" w:asciiTheme="minorEastAsia" w:hAnsiTheme="minorEastAsia"/>
                <w:sz w:val="22"/>
              </w:rPr>
              <w:t>2、打印纸宽：</w:t>
            </w:r>
            <w:r>
              <w:rPr>
                <w:rFonts w:asciiTheme="minorEastAsia" w:hAnsiTheme="minorEastAsia"/>
                <w:sz w:val="22"/>
              </w:rPr>
              <w:t>58mm</w:t>
            </w:r>
          </w:p>
          <w:p>
            <w:pPr>
              <w:rPr>
                <w:rFonts w:asciiTheme="minorEastAsia" w:hAnsiTheme="minorEastAsia"/>
                <w:sz w:val="22"/>
              </w:rPr>
            </w:pPr>
            <w:r>
              <w:rPr>
                <w:rFonts w:asciiTheme="minorEastAsia" w:hAnsiTheme="minorEastAsia"/>
                <w:sz w:val="22"/>
              </w:rPr>
              <w:t>3</w:t>
            </w:r>
            <w:r>
              <w:rPr>
                <w:rFonts w:hint="eastAsia" w:asciiTheme="minorEastAsia" w:hAnsiTheme="minorEastAsia"/>
                <w:sz w:val="22"/>
              </w:rPr>
              <w:t>、打印宽度：</w:t>
            </w:r>
            <w:r>
              <w:rPr>
                <w:rFonts w:asciiTheme="minorEastAsia" w:hAnsiTheme="minorEastAsia"/>
                <w:sz w:val="22"/>
              </w:rPr>
              <w:t>48mm</w:t>
            </w:r>
          </w:p>
          <w:p>
            <w:pPr>
              <w:rPr>
                <w:rFonts w:asciiTheme="minorEastAsia" w:hAnsiTheme="minorEastAsia"/>
                <w:sz w:val="22"/>
              </w:rPr>
            </w:pPr>
            <w:r>
              <w:rPr>
                <w:rFonts w:hint="eastAsia" w:asciiTheme="minorEastAsia" w:hAnsiTheme="minorEastAsia"/>
                <w:sz w:val="22"/>
              </w:rPr>
              <w:t>4、分辨率：</w:t>
            </w:r>
            <w:r>
              <w:rPr>
                <w:rFonts w:asciiTheme="minorEastAsia" w:hAnsiTheme="minorEastAsia"/>
                <w:sz w:val="22"/>
              </w:rPr>
              <w:t>203DPI</w:t>
            </w:r>
          </w:p>
          <w:p>
            <w:pPr>
              <w:rPr>
                <w:rFonts w:asciiTheme="minorEastAsia" w:hAnsiTheme="minorEastAsia"/>
                <w:sz w:val="22"/>
              </w:rPr>
            </w:pPr>
            <w:r>
              <w:rPr>
                <w:rFonts w:asciiTheme="minorEastAsia" w:hAnsiTheme="minorEastAsia"/>
                <w:sz w:val="22"/>
              </w:rPr>
              <w:t>5</w:t>
            </w:r>
            <w:r>
              <w:rPr>
                <w:rFonts w:hint="eastAsia" w:asciiTheme="minorEastAsia" w:hAnsiTheme="minorEastAsia"/>
                <w:sz w:val="22"/>
              </w:rPr>
              <w:t>、每行点数：</w:t>
            </w:r>
            <w:r>
              <w:rPr>
                <w:rFonts w:asciiTheme="minorEastAsia" w:hAnsiTheme="minorEastAsia"/>
                <w:sz w:val="22"/>
              </w:rPr>
              <w:t xml:space="preserve">384 </w:t>
            </w:r>
            <w:r>
              <w:rPr>
                <w:rFonts w:hint="eastAsia" w:asciiTheme="minorEastAsia" w:hAnsiTheme="minorEastAsia"/>
                <w:sz w:val="22"/>
              </w:rPr>
              <w:t>点</w:t>
            </w:r>
          </w:p>
          <w:p>
            <w:pPr>
              <w:rPr>
                <w:rFonts w:asciiTheme="minorEastAsia" w:hAnsiTheme="minorEastAsia"/>
                <w:sz w:val="22"/>
              </w:rPr>
            </w:pPr>
            <w:r>
              <w:rPr>
                <w:rFonts w:hint="eastAsia" w:asciiTheme="minorEastAsia" w:hAnsiTheme="minorEastAsia"/>
                <w:sz w:val="22"/>
              </w:rPr>
              <w:t>6、打印速度：</w:t>
            </w:r>
            <w:r>
              <w:rPr>
                <w:rFonts w:asciiTheme="minorEastAsia" w:hAnsiTheme="minorEastAsia"/>
                <w:sz w:val="22"/>
              </w:rPr>
              <w:t>50mm/s</w:t>
            </w:r>
          </w:p>
          <w:p>
            <w:pPr>
              <w:rPr>
                <w:rFonts w:asciiTheme="minorEastAsia" w:hAnsiTheme="minorEastAsia"/>
                <w:sz w:val="22"/>
              </w:rPr>
            </w:pPr>
            <w:r>
              <w:rPr>
                <w:rFonts w:hint="eastAsia" w:asciiTheme="minorEastAsia" w:hAnsiTheme="minorEastAsia"/>
                <w:sz w:val="22"/>
              </w:rPr>
              <w:t>7、可打印内容：</w:t>
            </w:r>
            <w:r>
              <w:rPr>
                <w:rFonts w:asciiTheme="minorEastAsia" w:hAnsiTheme="minorEastAsia"/>
                <w:sz w:val="22"/>
              </w:rPr>
              <w:t xml:space="preserve">GBK </w:t>
            </w:r>
            <w:r>
              <w:rPr>
                <w:rFonts w:hint="eastAsia" w:asciiTheme="minorEastAsia" w:hAnsiTheme="minorEastAsia"/>
                <w:sz w:val="22"/>
              </w:rPr>
              <w:t>汉字库，</w:t>
            </w:r>
            <w:r>
              <w:rPr>
                <w:rFonts w:asciiTheme="minorEastAsia" w:hAnsiTheme="minorEastAsia"/>
                <w:sz w:val="22"/>
              </w:rPr>
              <w:t xml:space="preserve">ASCII </w:t>
            </w:r>
            <w:r>
              <w:rPr>
                <w:rFonts w:hint="eastAsia" w:asciiTheme="minorEastAsia" w:hAnsiTheme="minorEastAsia"/>
                <w:sz w:val="22"/>
              </w:rPr>
              <w:t>字符，一维条码，支持不同密度点图及下载位图打印；可扩展二维条码。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852" w:type="dxa"/>
            <w:tcBorders>
              <w:top w:val="single" w:color="auto" w:sz="4" w:space="0"/>
              <w:left w:val="single" w:color="auto" w:sz="4" w:space="0"/>
              <w:right w:val="single" w:color="auto" w:sz="4" w:space="0"/>
            </w:tcBorders>
            <w:vAlign w:val="center"/>
          </w:tcPr>
          <w:p>
            <w:pPr>
              <w:jc w:val="center"/>
              <w:rPr>
                <w:rFonts w:asciiTheme="minorEastAsia" w:hAnsiTheme="minorEastAsia"/>
                <w:sz w:val="22"/>
              </w:rPr>
            </w:pPr>
            <w:r>
              <w:rPr>
                <w:rFonts w:asciiTheme="minorEastAsia" w:hAnsiTheme="minorEastAsia"/>
                <w:sz w:val="22"/>
              </w:rPr>
              <w:t>12</w:t>
            </w:r>
          </w:p>
        </w:tc>
        <w:tc>
          <w:tcPr>
            <w:tcW w:w="1275" w:type="dxa"/>
            <w:tcBorders>
              <w:top w:val="single" w:color="auto" w:sz="4" w:space="0"/>
              <w:left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b/>
                <w:bCs/>
                <w:sz w:val="22"/>
              </w:rPr>
              <w:t>全自动血细胞分析仪</w:t>
            </w:r>
          </w:p>
        </w:tc>
        <w:tc>
          <w:tcPr>
            <w:tcW w:w="723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1、工作原理：电阻抗法计数。</w:t>
            </w:r>
          </w:p>
          <w:p>
            <w:pPr>
              <w:rPr>
                <w:rFonts w:asciiTheme="minorEastAsia" w:hAnsiTheme="minorEastAsia"/>
                <w:sz w:val="22"/>
              </w:rPr>
            </w:pPr>
            <w:r>
              <w:rPr>
                <w:rFonts w:hint="eastAsia" w:asciiTheme="minorEastAsia" w:hAnsiTheme="minorEastAsia"/>
                <w:sz w:val="22"/>
              </w:rPr>
              <w:t>2、检测参数：全自动三分类≥23项参数（含三个彩色直方图）。</w:t>
            </w:r>
          </w:p>
          <w:p>
            <w:pPr>
              <w:rPr>
                <w:rFonts w:asciiTheme="minorEastAsia" w:hAnsiTheme="minorEastAsia"/>
                <w:sz w:val="22"/>
              </w:rPr>
            </w:pPr>
            <w:r>
              <w:rPr>
                <w:rFonts w:hint="eastAsia" w:asciiTheme="minorEastAsia" w:hAnsiTheme="minorEastAsia"/>
                <w:sz w:val="22"/>
              </w:rPr>
              <w:t>3、标本用量：抗凝全血≤9.6ul，抗凝未稍血≤9.6ul。</w:t>
            </w:r>
          </w:p>
          <w:p>
            <w:pPr>
              <w:rPr>
                <w:rFonts w:asciiTheme="minorEastAsia" w:hAnsiTheme="minorEastAsia"/>
                <w:sz w:val="22"/>
              </w:rPr>
            </w:pPr>
            <w:r>
              <w:rPr>
                <w:rFonts w:hint="eastAsia" w:asciiTheme="minorEastAsia" w:hAnsiTheme="minorEastAsia"/>
                <w:sz w:val="22"/>
              </w:rPr>
              <w:t>4、检测速度：每小时≥60样本。</w:t>
            </w:r>
          </w:p>
          <w:p>
            <w:pPr>
              <w:rPr>
                <w:rFonts w:asciiTheme="minorEastAsia" w:hAnsiTheme="minorEastAsia"/>
                <w:sz w:val="22"/>
              </w:rPr>
            </w:pPr>
            <w:r>
              <w:rPr>
                <w:rFonts w:hint="eastAsia" w:asciiTheme="minorEastAsia" w:hAnsiTheme="minorEastAsia"/>
                <w:sz w:val="22"/>
              </w:rPr>
              <w:t>5、测量精度：WBC≤2.0%，RBC≤1.5%，HGB≤1.5%，MCV≤0.4%，PLT≤4.0%。</w:t>
            </w:r>
          </w:p>
          <w:p>
            <w:pPr>
              <w:rPr>
                <w:rFonts w:asciiTheme="minorEastAsia" w:hAnsiTheme="minorEastAsia"/>
                <w:sz w:val="22"/>
              </w:rPr>
            </w:pPr>
            <w:r>
              <w:rPr>
                <w:rFonts w:hint="eastAsia" w:asciiTheme="minorEastAsia" w:hAnsiTheme="minorEastAsia"/>
                <w:sz w:val="22"/>
              </w:rPr>
              <w:t>6、质控方式：L-J图</w:t>
            </w:r>
          </w:p>
          <w:p>
            <w:pPr>
              <w:rPr>
                <w:rFonts w:asciiTheme="minorEastAsia" w:hAnsiTheme="minorEastAsia"/>
                <w:sz w:val="22"/>
              </w:rPr>
            </w:pPr>
            <w:r>
              <w:rPr>
                <w:rFonts w:hint="eastAsia" w:asciiTheme="minorEastAsia" w:hAnsiTheme="minorEastAsia"/>
                <w:sz w:val="22"/>
              </w:rPr>
              <w:t>7、交叉污染率：WBC、RBC、HGB＜0.5%，PLT＜1%</w:t>
            </w:r>
          </w:p>
          <w:p>
            <w:pPr>
              <w:rPr>
                <w:rFonts w:asciiTheme="minorEastAsia" w:hAnsiTheme="minorEastAsia"/>
                <w:sz w:val="22"/>
              </w:rPr>
            </w:pPr>
            <w:r>
              <w:rPr>
                <w:rFonts w:hint="eastAsia" w:asciiTheme="minorEastAsia" w:hAnsiTheme="minorEastAsia"/>
                <w:sz w:val="22"/>
              </w:rPr>
              <w:t>8、工作模式：独立血红蛋白测量系统，可连续24小时开机，有自动休眠功能。</w:t>
            </w:r>
          </w:p>
          <w:p>
            <w:pPr>
              <w:rPr>
                <w:rFonts w:asciiTheme="minorEastAsia" w:hAnsiTheme="minorEastAsia"/>
                <w:sz w:val="22"/>
              </w:rPr>
            </w:pPr>
            <w:r>
              <w:rPr>
                <w:rFonts w:hint="eastAsia" w:asciiTheme="minorEastAsia" w:hAnsiTheme="minorEastAsia"/>
                <w:sz w:val="22"/>
              </w:rPr>
              <w:t>9、操作方式：中文彩色操作系统，支持鼠标和键盘操作，能直接出综合报告单。</w:t>
            </w:r>
          </w:p>
          <w:p>
            <w:pPr>
              <w:rPr>
                <w:rFonts w:asciiTheme="minorEastAsia" w:hAnsiTheme="minorEastAsia"/>
                <w:sz w:val="22"/>
              </w:rPr>
            </w:pPr>
            <w:r>
              <w:rPr>
                <w:rFonts w:hint="eastAsia" w:asciiTheme="minorEastAsia" w:hAnsiTheme="minorEastAsia"/>
                <w:sz w:val="22"/>
              </w:rPr>
              <w:t>10、可选取择三种以上计数界面方式，可同屏显示参数结果，参考值，直方图及报警信息。</w:t>
            </w:r>
          </w:p>
          <w:p>
            <w:pPr>
              <w:rPr>
                <w:rFonts w:asciiTheme="minorEastAsia" w:hAnsiTheme="minorEastAsia"/>
                <w:sz w:val="22"/>
              </w:rPr>
            </w:pPr>
            <w:r>
              <w:rPr>
                <w:rFonts w:hint="eastAsia" w:asciiTheme="minorEastAsia" w:hAnsiTheme="minorEastAsia"/>
                <w:sz w:val="22"/>
              </w:rPr>
              <w:t>11、结果存储：仪器自动存储≥50000份含三个直方图的全部结果。</w:t>
            </w:r>
          </w:p>
          <w:p>
            <w:pPr>
              <w:rPr>
                <w:rFonts w:asciiTheme="minorEastAsia" w:hAnsiTheme="minorEastAsia"/>
                <w:sz w:val="22"/>
              </w:rPr>
            </w:pPr>
            <w:r>
              <w:rPr>
                <w:rFonts w:hint="eastAsia" w:asciiTheme="minorEastAsia" w:hAnsiTheme="minorEastAsia"/>
                <w:sz w:val="22"/>
              </w:rPr>
              <w:t>12、静脉血、未梢血、预稀释三种测定模式。</w:t>
            </w:r>
          </w:p>
          <w:p>
            <w:pPr>
              <w:rPr>
                <w:rFonts w:asciiTheme="minorEastAsia" w:hAnsiTheme="minorEastAsia"/>
                <w:sz w:val="22"/>
              </w:rPr>
            </w:pPr>
            <w:r>
              <w:rPr>
                <w:rFonts w:hint="eastAsia" w:asciiTheme="minorEastAsia" w:hAnsiTheme="minorEastAsia"/>
                <w:sz w:val="22"/>
              </w:rPr>
              <w:t>13、实时监控的高压灼烧和正反冲排堵功能。</w:t>
            </w:r>
          </w:p>
          <w:p>
            <w:pPr>
              <w:rPr>
                <w:rFonts w:asciiTheme="minorEastAsia" w:hAnsiTheme="minorEastAsia"/>
                <w:sz w:val="22"/>
              </w:rPr>
            </w:pPr>
            <w:r>
              <w:rPr>
                <w:rFonts w:hint="eastAsia" w:asciiTheme="minorEastAsia" w:hAnsiTheme="minorEastAsia"/>
                <w:sz w:val="22"/>
              </w:rPr>
              <w:t>14、多种检测模式，四种用户自定义模式。</w:t>
            </w:r>
          </w:p>
          <w:p>
            <w:pPr>
              <w:rPr>
                <w:rFonts w:asciiTheme="minorEastAsia" w:hAnsiTheme="minorEastAsia"/>
                <w:sz w:val="22"/>
              </w:rPr>
            </w:pPr>
            <w:r>
              <w:rPr>
                <w:rFonts w:hint="eastAsia" w:asciiTheme="minorEastAsia" w:hAnsiTheme="minorEastAsia"/>
                <w:sz w:val="22"/>
              </w:rPr>
              <w:t>15、报告打印：内置高效热敏打印机，八种中英文报告格式可选，并可选配多种外置打印机。</w:t>
            </w:r>
          </w:p>
          <w:p>
            <w:pPr>
              <w:rPr>
                <w:rFonts w:asciiTheme="minorEastAsia" w:hAnsiTheme="minorEastAsia"/>
                <w:sz w:val="22"/>
              </w:rPr>
            </w:pPr>
            <w:r>
              <w:rPr>
                <w:rFonts w:hint="eastAsia" w:asciiTheme="minorEastAsia" w:hAnsiTheme="minorEastAsia"/>
                <w:sz w:val="22"/>
              </w:rPr>
              <w:t>16、显示屏：8.4英寸彩色液晶显示屏, 分辨率800</w:t>
            </w:r>
            <w:r>
              <w:rPr>
                <w:rFonts w:asciiTheme="minorEastAsia" w:hAnsiTheme="minorEastAsia"/>
                <w:sz w:val="22"/>
              </w:rPr>
              <w:t>×</w:t>
            </w:r>
            <w:r>
              <w:rPr>
                <w:rFonts w:hint="eastAsia" w:asciiTheme="minorEastAsia" w:hAnsiTheme="minorEastAsia"/>
                <w:sz w:val="22"/>
              </w:rPr>
              <w:t>600分辨率同屏显示测试参数、参考值及直方图。</w:t>
            </w:r>
          </w:p>
          <w:p>
            <w:pPr>
              <w:rPr>
                <w:rFonts w:asciiTheme="minorEastAsia" w:hAnsiTheme="minorEastAsia"/>
                <w:b/>
                <w:bCs/>
                <w:sz w:val="22"/>
              </w:rPr>
            </w:pPr>
            <w:r>
              <w:rPr>
                <w:rFonts w:hint="eastAsia" w:asciiTheme="minorEastAsia" w:hAnsiTheme="minorEastAsia"/>
                <w:sz w:val="22"/>
              </w:rPr>
              <w:t>17．接口：4个USB接口，1个RS232接口，1个网口（支持联网）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2" w:type="dxa"/>
            <w:tcBorders>
              <w:left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1</w:t>
            </w:r>
            <w:r>
              <w:rPr>
                <w:rFonts w:asciiTheme="minorEastAsia" w:hAnsiTheme="minorEastAsia"/>
                <w:sz w:val="22"/>
              </w:rPr>
              <w:t>3</w:t>
            </w:r>
          </w:p>
        </w:tc>
        <w:tc>
          <w:tcPr>
            <w:tcW w:w="1275" w:type="dxa"/>
            <w:tcBorders>
              <w:left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b/>
                <w:bCs/>
                <w:sz w:val="22"/>
              </w:rPr>
              <w:t>全自动尿液分析仪</w:t>
            </w:r>
          </w:p>
        </w:tc>
        <w:tc>
          <w:tcPr>
            <w:tcW w:w="723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1、测定原理：冷光源反射测定原理</w:t>
            </w:r>
          </w:p>
          <w:p>
            <w:pPr>
              <w:rPr>
                <w:rFonts w:asciiTheme="minorEastAsia" w:hAnsiTheme="minorEastAsia"/>
                <w:sz w:val="22"/>
              </w:rPr>
            </w:pPr>
            <w:r>
              <w:rPr>
                <w:rFonts w:asciiTheme="minorEastAsia" w:hAnsiTheme="minorEastAsia"/>
                <w:sz w:val="22"/>
              </w:rPr>
              <w:t>2</w:t>
            </w:r>
            <w:r>
              <w:rPr>
                <w:rFonts w:hint="eastAsia" w:asciiTheme="minorEastAsia" w:hAnsiTheme="minorEastAsia"/>
                <w:sz w:val="22"/>
              </w:rPr>
              <w:t>、测试波长：525，635nm</w:t>
            </w:r>
          </w:p>
          <w:p>
            <w:pPr>
              <w:rPr>
                <w:rFonts w:asciiTheme="minorEastAsia" w:hAnsiTheme="minorEastAsia"/>
                <w:sz w:val="22"/>
              </w:rPr>
            </w:pPr>
            <w:r>
              <w:rPr>
                <w:rFonts w:hint="eastAsia" w:asciiTheme="minorEastAsia" w:hAnsiTheme="minorEastAsia"/>
                <w:sz w:val="22"/>
              </w:rPr>
              <w:t>3、测试速度：连续测试500个标本/小时</w:t>
            </w:r>
          </w:p>
          <w:p>
            <w:pPr>
              <w:rPr>
                <w:rFonts w:asciiTheme="minorEastAsia" w:hAnsiTheme="minorEastAsia"/>
                <w:sz w:val="22"/>
              </w:rPr>
            </w:pPr>
            <w:r>
              <w:rPr>
                <w:rFonts w:asciiTheme="minorEastAsia" w:hAnsiTheme="minorEastAsia"/>
                <w:sz w:val="22"/>
              </w:rPr>
              <w:t>4</w:t>
            </w:r>
            <w:r>
              <w:rPr>
                <w:rFonts w:hint="eastAsia" w:asciiTheme="minorEastAsia" w:hAnsiTheme="minorEastAsia"/>
                <w:sz w:val="22"/>
              </w:rPr>
              <w:t>、存储功能：2000个检测结果，有断电数据保护功能</w:t>
            </w:r>
          </w:p>
          <w:p>
            <w:pPr>
              <w:rPr>
                <w:rFonts w:asciiTheme="minorEastAsia" w:hAnsiTheme="minorEastAsia"/>
                <w:sz w:val="22"/>
              </w:rPr>
            </w:pPr>
            <w:r>
              <w:rPr>
                <w:rFonts w:asciiTheme="minorEastAsia" w:hAnsiTheme="minorEastAsia"/>
                <w:sz w:val="22"/>
              </w:rPr>
              <w:t>5</w:t>
            </w:r>
            <w:r>
              <w:rPr>
                <w:rFonts w:hint="eastAsia" w:asciiTheme="minorEastAsia" w:hAnsiTheme="minorEastAsia"/>
                <w:sz w:val="22"/>
              </w:rPr>
              <w:t>、试纸条选择：8、10、11、14项试纸条</w:t>
            </w:r>
          </w:p>
          <w:p>
            <w:pPr>
              <w:rPr>
                <w:rFonts w:asciiTheme="minorEastAsia" w:hAnsiTheme="minorEastAsia"/>
                <w:sz w:val="22"/>
              </w:rPr>
            </w:pPr>
            <w:r>
              <w:rPr>
                <w:rFonts w:asciiTheme="minorEastAsia" w:hAnsiTheme="minorEastAsia"/>
                <w:sz w:val="22"/>
              </w:rPr>
              <w:t>6</w:t>
            </w:r>
            <w:r>
              <w:rPr>
                <w:rFonts w:hint="eastAsia" w:asciiTheme="minorEastAsia" w:hAnsiTheme="minorEastAsia"/>
                <w:sz w:val="22"/>
              </w:rPr>
              <w:t>、使用语言：中文、英文、葡萄牙文</w:t>
            </w:r>
          </w:p>
          <w:p>
            <w:pPr>
              <w:rPr>
                <w:rFonts w:asciiTheme="minorEastAsia" w:hAnsiTheme="minorEastAsia"/>
                <w:sz w:val="22"/>
              </w:rPr>
            </w:pPr>
            <w:r>
              <w:rPr>
                <w:rFonts w:asciiTheme="minorEastAsia" w:hAnsiTheme="minorEastAsia"/>
                <w:sz w:val="22"/>
              </w:rPr>
              <w:t>7</w:t>
            </w:r>
            <w:r>
              <w:rPr>
                <w:rFonts w:hint="eastAsia" w:asciiTheme="minorEastAsia" w:hAnsiTheme="minorEastAsia"/>
                <w:sz w:val="22"/>
              </w:rPr>
              <w:t>、联机操作：标准RS232C输出端口可与电脑联网，进行数据管理</w:t>
            </w:r>
          </w:p>
          <w:p>
            <w:pPr>
              <w:rPr>
                <w:rFonts w:asciiTheme="minorEastAsia" w:hAnsiTheme="minorEastAsia"/>
                <w:sz w:val="22"/>
              </w:rPr>
            </w:pPr>
            <w:r>
              <w:rPr>
                <w:rFonts w:asciiTheme="minorEastAsia" w:hAnsiTheme="minorEastAsia"/>
                <w:sz w:val="22"/>
              </w:rPr>
              <w:t>8</w:t>
            </w:r>
            <w:r>
              <w:rPr>
                <w:rFonts w:hint="eastAsia" w:asciiTheme="minorEastAsia" w:hAnsiTheme="minorEastAsia"/>
                <w:sz w:val="22"/>
              </w:rPr>
              <w:t>、条码扫描仪：标准RS232C输出端口可与条码扫描仪配套使用</w:t>
            </w:r>
          </w:p>
          <w:p>
            <w:pPr>
              <w:rPr>
                <w:rFonts w:asciiTheme="minorEastAsia" w:hAnsiTheme="minorEastAsia"/>
                <w:sz w:val="22"/>
              </w:rPr>
            </w:pPr>
            <w:r>
              <w:rPr>
                <w:rFonts w:asciiTheme="minorEastAsia" w:hAnsiTheme="minorEastAsia"/>
                <w:sz w:val="22"/>
              </w:rPr>
              <w:t>9</w:t>
            </w:r>
            <w:r>
              <w:rPr>
                <w:rFonts w:hint="eastAsia" w:asciiTheme="minorEastAsia" w:hAnsiTheme="minorEastAsia"/>
                <w:sz w:val="22"/>
              </w:rPr>
              <w:t>、打印：内置热敏打印机，配有外置打印机接口</w:t>
            </w:r>
          </w:p>
          <w:p>
            <w:pPr>
              <w:rPr>
                <w:rFonts w:asciiTheme="minorEastAsia" w:hAnsiTheme="minorEastAsia"/>
                <w:sz w:val="22"/>
              </w:rPr>
            </w:pPr>
            <w:r>
              <w:rPr>
                <w:rFonts w:asciiTheme="minorEastAsia" w:hAnsiTheme="minorEastAsia"/>
                <w:sz w:val="22"/>
              </w:rPr>
              <w:t>10</w:t>
            </w:r>
            <w:r>
              <w:rPr>
                <w:rFonts w:hint="eastAsia" w:asciiTheme="minorEastAsia" w:hAnsiTheme="minorEastAsia"/>
                <w:sz w:val="22"/>
              </w:rPr>
              <w:t>、屏幕：115mm×90mm触摸式液晶显示器</w:t>
            </w:r>
          </w:p>
          <w:p>
            <w:pPr>
              <w:rPr>
                <w:rFonts w:asciiTheme="minorEastAsia" w:hAnsiTheme="minorEastAsia"/>
                <w:sz w:val="22"/>
              </w:rPr>
            </w:pPr>
            <w:r>
              <w:rPr>
                <w:rFonts w:asciiTheme="minorEastAsia" w:hAnsiTheme="minorEastAsia"/>
                <w:sz w:val="22"/>
              </w:rPr>
              <w:t>11</w:t>
            </w:r>
            <w:r>
              <w:rPr>
                <w:rFonts w:hint="eastAsia" w:asciiTheme="minorEastAsia" w:hAnsiTheme="minorEastAsia"/>
                <w:sz w:val="22"/>
              </w:rPr>
              <w:t>、其它：完善的系统调节菜单，可实现参数调节</w:t>
            </w:r>
          </w:p>
          <w:p>
            <w:pPr>
              <w:rPr>
                <w:rFonts w:asciiTheme="minorEastAsia" w:hAnsiTheme="minorEastAsia"/>
                <w:sz w:val="22"/>
              </w:rPr>
            </w:pPr>
            <w:r>
              <w:rPr>
                <w:rFonts w:asciiTheme="minorEastAsia" w:hAnsiTheme="minorEastAsia"/>
                <w:sz w:val="22"/>
              </w:rPr>
              <w:t>12</w:t>
            </w:r>
            <w:r>
              <w:rPr>
                <w:rFonts w:hint="eastAsia" w:asciiTheme="minorEastAsia" w:hAnsiTheme="minorEastAsia"/>
                <w:sz w:val="22"/>
              </w:rPr>
              <w:t>、电源电压：100V-240V</w:t>
            </w:r>
          </w:p>
          <w:p>
            <w:pPr>
              <w:rPr>
                <w:rFonts w:asciiTheme="minorEastAsia" w:hAnsiTheme="minorEastAsia"/>
                <w:sz w:val="22"/>
              </w:rPr>
            </w:pPr>
            <w:r>
              <w:rPr>
                <w:rFonts w:hint="eastAsia" w:asciiTheme="minorEastAsia" w:hAnsiTheme="minorEastAsia"/>
                <w:sz w:val="22"/>
              </w:rPr>
              <w:t>1</w:t>
            </w:r>
            <w:r>
              <w:rPr>
                <w:rFonts w:asciiTheme="minorEastAsia" w:hAnsiTheme="minorEastAsia"/>
                <w:sz w:val="22"/>
              </w:rPr>
              <w:t>3</w:t>
            </w:r>
            <w:r>
              <w:rPr>
                <w:rFonts w:hint="eastAsia" w:asciiTheme="minorEastAsia" w:hAnsiTheme="minorEastAsia"/>
                <w:sz w:val="22"/>
              </w:rPr>
              <w:t>、电源频率：50Hz-60 Hz</w:t>
            </w:r>
          </w:p>
          <w:p>
            <w:pPr>
              <w:rPr>
                <w:rFonts w:asciiTheme="minorEastAsia" w:hAnsiTheme="minorEastAsia"/>
                <w:sz w:val="22"/>
              </w:rPr>
            </w:pPr>
            <w:r>
              <w:rPr>
                <w:rFonts w:hint="eastAsia" w:asciiTheme="minorEastAsia" w:hAnsiTheme="minorEastAsia"/>
                <w:sz w:val="22"/>
              </w:rPr>
              <w:t>1</w:t>
            </w:r>
            <w:r>
              <w:rPr>
                <w:rFonts w:asciiTheme="minorEastAsia" w:hAnsiTheme="minorEastAsia"/>
                <w:sz w:val="22"/>
              </w:rPr>
              <w:t>4</w:t>
            </w:r>
            <w:r>
              <w:rPr>
                <w:rFonts w:hint="eastAsia" w:asciiTheme="minorEastAsia" w:hAnsiTheme="minorEastAsia"/>
                <w:sz w:val="22"/>
              </w:rPr>
              <w:t>、工作环境：温度0-40℃，湿度30%~85%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2" w:type="dxa"/>
            <w:tcBorders>
              <w:top w:val="single" w:color="auto" w:sz="4" w:space="0"/>
              <w:left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1</w:t>
            </w:r>
            <w:r>
              <w:rPr>
                <w:rFonts w:asciiTheme="minorEastAsia" w:hAnsiTheme="minorEastAsia"/>
                <w:sz w:val="22"/>
              </w:rPr>
              <w:t>4</w:t>
            </w:r>
          </w:p>
        </w:tc>
        <w:tc>
          <w:tcPr>
            <w:tcW w:w="1275" w:type="dxa"/>
            <w:tcBorders>
              <w:top w:val="single" w:color="auto" w:sz="4" w:space="0"/>
              <w:left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b/>
                <w:bCs/>
                <w:sz w:val="22"/>
              </w:rPr>
              <w:t>多参数监护仪</w:t>
            </w:r>
          </w:p>
        </w:tc>
        <w:tc>
          <w:tcPr>
            <w:tcW w:w="723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1、适用范围：适用于监护成人、儿童、新生儿患者；广泛用于内科、外科、手术室、妇产科及儿科，具有手术室模式</w:t>
            </w:r>
          </w:p>
          <w:p>
            <w:pPr>
              <w:rPr>
                <w:rFonts w:asciiTheme="minorEastAsia" w:hAnsiTheme="minorEastAsia"/>
                <w:sz w:val="22"/>
              </w:rPr>
            </w:pPr>
            <w:r>
              <w:rPr>
                <w:rFonts w:hint="eastAsia" w:asciiTheme="minorEastAsia" w:hAnsiTheme="minorEastAsia"/>
                <w:sz w:val="22"/>
              </w:rPr>
              <w:t>2、测量功能：心电（ECG）、呼吸(RESP)、无创血压(NIBP)、血氧饱和度(SpO2)、P</w:t>
            </w:r>
            <w:r>
              <w:rPr>
                <w:rFonts w:asciiTheme="minorEastAsia" w:hAnsiTheme="minorEastAsia"/>
                <w:sz w:val="22"/>
              </w:rPr>
              <w:t>I</w:t>
            </w:r>
            <w:r>
              <w:rPr>
                <w:rFonts w:hint="eastAsia" w:asciiTheme="minorEastAsia" w:hAnsiTheme="minorEastAsia"/>
                <w:sz w:val="22"/>
              </w:rPr>
              <w:t>指数、脉搏(PR)、双通道体温(TEMP)</w:t>
            </w:r>
          </w:p>
          <w:p>
            <w:pPr>
              <w:rPr>
                <w:rFonts w:asciiTheme="minorEastAsia" w:hAnsiTheme="minorEastAsia"/>
                <w:sz w:val="22"/>
              </w:rPr>
            </w:pPr>
            <w:r>
              <w:rPr>
                <w:rFonts w:hint="eastAsia" w:asciiTheme="minorEastAsia" w:hAnsiTheme="minorEastAsia"/>
                <w:sz w:val="22"/>
              </w:rPr>
              <w:t>3、心率范围：</w:t>
            </w:r>
            <w:r>
              <w:rPr>
                <w:rFonts w:asciiTheme="minorEastAsia" w:hAnsiTheme="minorEastAsia"/>
                <w:sz w:val="22"/>
              </w:rPr>
              <w:t>30bpm</w:t>
            </w:r>
            <w:r>
              <w:rPr>
                <w:rFonts w:hint="eastAsia" w:asciiTheme="minorEastAsia" w:hAnsiTheme="minorEastAsia"/>
                <w:sz w:val="22"/>
              </w:rPr>
              <w:t>-</w:t>
            </w:r>
            <w:r>
              <w:rPr>
                <w:rFonts w:asciiTheme="minorEastAsia" w:hAnsiTheme="minorEastAsia"/>
                <w:sz w:val="22"/>
              </w:rPr>
              <w:t>300</w:t>
            </w:r>
            <w:r>
              <w:rPr>
                <w:rFonts w:hint="eastAsia" w:asciiTheme="minorEastAsia" w:hAnsiTheme="minorEastAsia"/>
                <w:sz w:val="22"/>
              </w:rPr>
              <w:t>bmp</w:t>
            </w:r>
          </w:p>
          <w:p>
            <w:pPr>
              <w:rPr>
                <w:rFonts w:asciiTheme="minorEastAsia" w:hAnsiTheme="minorEastAsia"/>
                <w:sz w:val="22"/>
              </w:rPr>
            </w:pPr>
            <w:r>
              <w:rPr>
                <w:rFonts w:hint="eastAsia" w:asciiTheme="minorEastAsia" w:hAnsiTheme="minorEastAsia"/>
                <w:sz w:val="22"/>
              </w:rPr>
              <w:t>4、心率测量精度：不大于1bpm或±</w:t>
            </w:r>
            <w:r>
              <w:rPr>
                <w:rFonts w:asciiTheme="minorEastAsia" w:hAnsiTheme="minorEastAsia"/>
                <w:sz w:val="22"/>
              </w:rPr>
              <w:t>1</w:t>
            </w:r>
            <w:r>
              <w:rPr>
                <w:rFonts w:hint="eastAsia" w:asciiTheme="minorEastAsia" w:hAnsiTheme="minorEastAsia"/>
                <w:sz w:val="22"/>
              </w:rPr>
              <w:t>%，取大者</w:t>
            </w:r>
          </w:p>
          <w:p>
            <w:pPr>
              <w:rPr>
                <w:rFonts w:asciiTheme="minorEastAsia" w:hAnsiTheme="minorEastAsia"/>
                <w:sz w:val="22"/>
              </w:rPr>
            </w:pPr>
            <w:r>
              <w:rPr>
                <w:rFonts w:hint="eastAsia" w:asciiTheme="minorEastAsia" w:hAnsiTheme="minorEastAsia"/>
                <w:sz w:val="22"/>
              </w:rPr>
              <w:t>5、监护/手术模式共模抑制比不小于1</w:t>
            </w:r>
            <w:r>
              <w:rPr>
                <w:rFonts w:asciiTheme="minorEastAsia" w:hAnsiTheme="minorEastAsia"/>
                <w:sz w:val="22"/>
              </w:rPr>
              <w:t>10</w:t>
            </w:r>
            <w:r>
              <w:rPr>
                <w:rFonts w:hint="eastAsia" w:asciiTheme="minorEastAsia" w:hAnsiTheme="minorEastAsia"/>
                <w:sz w:val="22"/>
              </w:rPr>
              <w:t>db</w:t>
            </w:r>
          </w:p>
          <w:p>
            <w:pPr>
              <w:rPr>
                <w:rFonts w:asciiTheme="minorEastAsia" w:hAnsiTheme="minorEastAsia"/>
                <w:sz w:val="22"/>
              </w:rPr>
            </w:pPr>
            <w:r>
              <w:rPr>
                <w:rFonts w:hint="eastAsia" w:asciiTheme="minorEastAsia" w:hAnsiTheme="minorEastAsia"/>
                <w:sz w:val="22"/>
              </w:rPr>
              <w:t xml:space="preserve">6、心电具备五种波形增益：2.5mm/mV，5.0mm/mV，10mm/mV，20mm/mV </w:t>
            </w:r>
          </w:p>
          <w:p>
            <w:pPr>
              <w:rPr>
                <w:rFonts w:asciiTheme="minorEastAsia" w:hAnsiTheme="minorEastAsia"/>
                <w:sz w:val="22"/>
              </w:rPr>
            </w:pPr>
            <w:r>
              <w:rPr>
                <w:rFonts w:hint="eastAsia" w:asciiTheme="minorEastAsia" w:hAnsiTheme="minorEastAsia"/>
                <w:sz w:val="22"/>
              </w:rPr>
              <w:t>7、呼吸测量范围：1</w:t>
            </w:r>
            <w:r>
              <w:rPr>
                <w:rFonts w:asciiTheme="minorEastAsia" w:hAnsiTheme="minorEastAsia"/>
                <w:sz w:val="22"/>
              </w:rPr>
              <w:t>0</w:t>
            </w:r>
            <w:r>
              <w:rPr>
                <w:rFonts w:hint="eastAsia" w:asciiTheme="minorEastAsia" w:hAnsiTheme="minorEastAsia"/>
                <w:sz w:val="22"/>
              </w:rPr>
              <w:t>-</w:t>
            </w:r>
            <w:r>
              <w:rPr>
                <w:rFonts w:asciiTheme="minorEastAsia" w:hAnsiTheme="minorEastAsia"/>
                <w:sz w:val="22"/>
              </w:rPr>
              <w:t>120brpm</w:t>
            </w:r>
            <w:r>
              <w:rPr>
                <w:rFonts w:hint="eastAsia" w:asciiTheme="minorEastAsia" w:hAnsiTheme="minorEastAsia"/>
                <w:sz w:val="22"/>
              </w:rPr>
              <w:t>，测量误差为±2bpm或±</w:t>
            </w:r>
            <w:r>
              <w:rPr>
                <w:rFonts w:asciiTheme="minorEastAsia" w:hAnsiTheme="minorEastAsia"/>
                <w:sz w:val="22"/>
              </w:rPr>
              <w:t>2</w:t>
            </w:r>
            <w:r>
              <w:rPr>
                <w:rFonts w:hint="eastAsia" w:asciiTheme="minorEastAsia" w:hAnsiTheme="minorEastAsia"/>
                <w:sz w:val="22"/>
              </w:rPr>
              <w:t>%，取大者</w:t>
            </w:r>
          </w:p>
          <w:p>
            <w:pPr>
              <w:rPr>
                <w:rFonts w:asciiTheme="minorEastAsia" w:hAnsiTheme="minorEastAsia"/>
                <w:sz w:val="22"/>
              </w:rPr>
            </w:pPr>
            <w:r>
              <w:rPr>
                <w:rFonts w:hint="eastAsia" w:asciiTheme="minorEastAsia" w:hAnsiTheme="minorEastAsia"/>
                <w:sz w:val="22"/>
              </w:rPr>
              <w:t>8、血压测量范围：收缩压：40-2</w:t>
            </w:r>
            <w:r>
              <w:rPr>
                <w:rFonts w:asciiTheme="minorEastAsia" w:hAnsiTheme="minorEastAsia"/>
                <w:sz w:val="22"/>
              </w:rPr>
              <w:t>7</w:t>
            </w:r>
            <w:r>
              <w:rPr>
                <w:rFonts w:hint="eastAsia" w:asciiTheme="minorEastAsia" w:hAnsiTheme="minorEastAsia"/>
                <w:sz w:val="22"/>
              </w:rPr>
              <w:t>0 mmHg；舒张压：10-220 mmHg；具有手动/自动/连续测量模式</w:t>
            </w:r>
          </w:p>
          <w:p>
            <w:pPr>
              <w:rPr>
                <w:rFonts w:asciiTheme="minorEastAsia" w:hAnsiTheme="minorEastAsia"/>
                <w:sz w:val="22"/>
              </w:rPr>
            </w:pPr>
            <w:r>
              <w:rPr>
                <w:rFonts w:hint="eastAsia" w:asciiTheme="minorEastAsia" w:hAnsiTheme="minorEastAsia"/>
                <w:sz w:val="22"/>
              </w:rPr>
              <w:t>9、血氧测量范围：40%-</w:t>
            </w:r>
            <w:r>
              <w:rPr>
                <w:rFonts w:asciiTheme="minorEastAsia" w:hAnsiTheme="minorEastAsia"/>
                <w:sz w:val="22"/>
              </w:rPr>
              <w:t>100</w:t>
            </w:r>
            <w:r>
              <w:rPr>
                <w:rFonts w:hint="eastAsia" w:asciiTheme="minorEastAsia" w:hAnsiTheme="minorEastAsia"/>
                <w:sz w:val="22"/>
              </w:rPr>
              <w:t>%，7</w:t>
            </w:r>
            <w:r>
              <w:rPr>
                <w:rFonts w:asciiTheme="minorEastAsia" w:hAnsiTheme="minorEastAsia"/>
                <w:sz w:val="22"/>
              </w:rPr>
              <w:t>0</w:t>
            </w:r>
            <w:r>
              <w:rPr>
                <w:rFonts w:hint="eastAsia" w:asciiTheme="minorEastAsia" w:hAnsiTheme="minorEastAsia"/>
                <w:sz w:val="22"/>
              </w:rPr>
              <w:t>%-</w:t>
            </w:r>
            <w:r>
              <w:rPr>
                <w:rFonts w:asciiTheme="minorEastAsia" w:hAnsiTheme="minorEastAsia"/>
                <w:sz w:val="22"/>
              </w:rPr>
              <w:t>100</w:t>
            </w:r>
            <w:r>
              <w:rPr>
                <w:rFonts w:hint="eastAsia" w:asciiTheme="minorEastAsia" w:hAnsiTheme="minorEastAsia"/>
                <w:sz w:val="22"/>
              </w:rPr>
              <w:t>%范围内精度为2%</w:t>
            </w:r>
          </w:p>
          <w:p>
            <w:pPr>
              <w:rPr>
                <w:rFonts w:asciiTheme="minorEastAsia" w:hAnsiTheme="minorEastAsia"/>
                <w:sz w:val="22"/>
              </w:rPr>
            </w:pPr>
            <w:r>
              <w:rPr>
                <w:rFonts w:hint="eastAsia" w:asciiTheme="minorEastAsia" w:hAnsiTheme="minorEastAsia"/>
                <w:sz w:val="22"/>
              </w:rPr>
              <w:t>1</w:t>
            </w:r>
            <w:r>
              <w:rPr>
                <w:rFonts w:asciiTheme="minorEastAsia" w:hAnsiTheme="minorEastAsia"/>
                <w:sz w:val="22"/>
              </w:rPr>
              <w:t>0</w:t>
            </w:r>
            <w:r>
              <w:rPr>
                <w:rFonts w:hint="eastAsia" w:asciiTheme="minorEastAsia" w:hAnsiTheme="minorEastAsia"/>
                <w:sz w:val="22"/>
              </w:rPr>
              <w:t>、屏幕尺寸：</w:t>
            </w:r>
            <w:r>
              <w:rPr>
                <w:rFonts w:asciiTheme="minorEastAsia" w:hAnsiTheme="minorEastAsia"/>
                <w:sz w:val="22"/>
              </w:rPr>
              <w:t>12</w:t>
            </w:r>
            <w:r>
              <w:rPr>
                <w:rFonts w:hint="eastAsia" w:asciiTheme="minorEastAsia" w:hAnsiTheme="minorEastAsia"/>
                <w:sz w:val="22"/>
              </w:rPr>
              <w:t>寸彩色</w:t>
            </w:r>
            <w:r>
              <w:rPr>
                <w:rFonts w:asciiTheme="minorEastAsia" w:hAnsiTheme="minorEastAsia"/>
                <w:sz w:val="22"/>
              </w:rPr>
              <w:t>LED</w:t>
            </w:r>
            <w:r>
              <w:rPr>
                <w:rFonts w:hint="eastAsia" w:asciiTheme="minorEastAsia" w:hAnsiTheme="minorEastAsia"/>
                <w:sz w:val="22"/>
              </w:rPr>
              <w:t>屏，彩色高分辨率达</w:t>
            </w:r>
            <w:r>
              <w:rPr>
                <w:rFonts w:asciiTheme="minorEastAsia" w:hAnsiTheme="minorEastAsia"/>
                <w:sz w:val="22"/>
              </w:rPr>
              <w:t>800*600</w:t>
            </w:r>
            <w:r>
              <w:rPr>
                <w:rFonts w:hint="eastAsia" w:asciiTheme="minorEastAsia" w:hAnsiTheme="minorEastAsia"/>
                <w:sz w:val="22"/>
              </w:rPr>
              <w:t>，9通道波形显示</w:t>
            </w:r>
          </w:p>
          <w:p>
            <w:pPr>
              <w:rPr>
                <w:rFonts w:asciiTheme="minorEastAsia" w:hAnsiTheme="minorEastAsia"/>
                <w:sz w:val="22"/>
              </w:rPr>
            </w:pPr>
            <w:r>
              <w:rPr>
                <w:rFonts w:hint="eastAsia" w:asciiTheme="minorEastAsia" w:hAnsiTheme="minorEastAsia"/>
                <w:sz w:val="22"/>
              </w:rPr>
              <w:t>1</w:t>
            </w:r>
            <w:r>
              <w:rPr>
                <w:rFonts w:asciiTheme="minorEastAsia" w:hAnsiTheme="minorEastAsia"/>
                <w:sz w:val="22"/>
              </w:rPr>
              <w:t>1</w:t>
            </w:r>
            <w:r>
              <w:rPr>
                <w:rFonts w:hint="eastAsia" w:asciiTheme="minorEastAsia" w:hAnsiTheme="minorEastAsia"/>
                <w:sz w:val="22"/>
              </w:rPr>
              <w:t>、界面选择：具备至少</w:t>
            </w:r>
            <w:r>
              <w:rPr>
                <w:rFonts w:asciiTheme="minorEastAsia" w:hAnsiTheme="minorEastAsia"/>
                <w:sz w:val="22"/>
              </w:rPr>
              <w:t>7</w:t>
            </w:r>
            <w:r>
              <w:rPr>
                <w:rFonts w:hint="eastAsia" w:asciiTheme="minorEastAsia" w:hAnsiTheme="minorEastAsia"/>
                <w:sz w:val="22"/>
              </w:rPr>
              <w:t>种显示界面，包括标准界面、大字体界面、呼吸氧合界面、N</w:t>
            </w:r>
            <w:r>
              <w:rPr>
                <w:rFonts w:asciiTheme="minorEastAsia" w:hAnsiTheme="minorEastAsia"/>
                <w:sz w:val="22"/>
              </w:rPr>
              <w:t>IBP</w:t>
            </w:r>
            <w:r>
              <w:rPr>
                <w:rFonts w:hint="eastAsia" w:asciiTheme="minorEastAsia" w:hAnsiTheme="minorEastAsia"/>
                <w:sz w:val="22"/>
              </w:rPr>
              <w:t>回顾界面、全屏7导界面、半屏7导界面、动态短趋势界面等。</w:t>
            </w:r>
          </w:p>
          <w:p>
            <w:pPr>
              <w:rPr>
                <w:rFonts w:asciiTheme="minorEastAsia" w:hAnsiTheme="minorEastAsia"/>
                <w:sz w:val="22"/>
              </w:rPr>
            </w:pPr>
            <w:r>
              <w:rPr>
                <w:rFonts w:hint="eastAsia" w:asciiTheme="minorEastAsia" w:hAnsiTheme="minorEastAsia"/>
                <w:sz w:val="22"/>
              </w:rPr>
              <w:t>1</w:t>
            </w:r>
            <w:r>
              <w:rPr>
                <w:rFonts w:asciiTheme="minorEastAsia" w:hAnsiTheme="minorEastAsia"/>
                <w:sz w:val="22"/>
              </w:rPr>
              <w:t>2</w:t>
            </w:r>
            <w:r>
              <w:rPr>
                <w:rFonts w:hint="eastAsia" w:asciiTheme="minorEastAsia" w:hAnsiTheme="minorEastAsia"/>
                <w:sz w:val="22"/>
              </w:rPr>
              <w:t>、具有待机功能，暂时停止所有监护操作，节省功耗．退出该状态，就可立即进行监护。具有演示模式、隐私模式和夜间模式</w:t>
            </w:r>
          </w:p>
          <w:p>
            <w:pPr>
              <w:rPr>
                <w:rFonts w:asciiTheme="minorEastAsia" w:hAnsiTheme="minorEastAsia"/>
                <w:sz w:val="22"/>
              </w:rPr>
            </w:pPr>
            <w:r>
              <w:rPr>
                <w:rFonts w:hint="eastAsia" w:asciiTheme="minorEastAsia" w:hAnsiTheme="minorEastAsia"/>
                <w:sz w:val="22"/>
              </w:rPr>
              <w:t>1</w:t>
            </w:r>
            <w:r>
              <w:rPr>
                <w:rFonts w:asciiTheme="minorEastAsia" w:hAnsiTheme="minorEastAsia"/>
                <w:sz w:val="22"/>
              </w:rPr>
              <w:t>3</w:t>
            </w:r>
            <w:r>
              <w:rPr>
                <w:rFonts w:hint="eastAsia" w:asciiTheme="minorEastAsia" w:hAnsiTheme="minorEastAsia"/>
                <w:sz w:val="22"/>
              </w:rPr>
              <w:t>、数据存储：具备</w:t>
            </w:r>
            <w:r>
              <w:rPr>
                <w:rFonts w:asciiTheme="minorEastAsia" w:hAnsiTheme="minorEastAsia"/>
                <w:sz w:val="22"/>
              </w:rPr>
              <w:t>1</w:t>
            </w:r>
            <w:r>
              <w:rPr>
                <w:rFonts w:hint="eastAsia" w:asciiTheme="minorEastAsia" w:hAnsiTheme="minorEastAsia"/>
                <w:sz w:val="22"/>
              </w:rPr>
              <w:t>00</w:t>
            </w:r>
            <w:r>
              <w:rPr>
                <w:rFonts w:asciiTheme="minorEastAsia" w:hAnsiTheme="minorEastAsia"/>
                <w:sz w:val="22"/>
              </w:rPr>
              <w:t>0</w:t>
            </w:r>
            <w:r>
              <w:rPr>
                <w:rFonts w:hint="eastAsia" w:asciiTheme="minorEastAsia" w:hAnsiTheme="minorEastAsia"/>
                <w:sz w:val="22"/>
              </w:rPr>
              <w:t>小时趋势图表、2</w:t>
            </w:r>
            <w:r>
              <w:rPr>
                <w:rFonts w:asciiTheme="minorEastAsia" w:hAnsiTheme="minorEastAsia"/>
                <w:sz w:val="22"/>
              </w:rPr>
              <w:t>00</w:t>
            </w:r>
            <w:r>
              <w:rPr>
                <w:rFonts w:hint="eastAsia" w:asciiTheme="minorEastAsia" w:hAnsiTheme="minorEastAsia"/>
                <w:sz w:val="22"/>
              </w:rPr>
              <w:t>个报警事件、2</w:t>
            </w:r>
            <w:r>
              <w:rPr>
                <w:rFonts w:asciiTheme="minorEastAsia" w:hAnsiTheme="minorEastAsia"/>
                <w:sz w:val="22"/>
              </w:rPr>
              <w:t>000</w:t>
            </w:r>
            <w:r>
              <w:rPr>
                <w:rFonts w:hint="eastAsia" w:asciiTheme="minorEastAsia" w:hAnsiTheme="minorEastAsia"/>
                <w:sz w:val="22"/>
              </w:rPr>
              <w:t>组</w:t>
            </w:r>
            <w:r>
              <w:rPr>
                <w:rFonts w:asciiTheme="minorEastAsia" w:hAnsiTheme="minorEastAsia"/>
                <w:sz w:val="22"/>
              </w:rPr>
              <w:t>NIBP</w:t>
            </w:r>
            <w:r>
              <w:rPr>
                <w:rFonts w:hint="eastAsia" w:asciiTheme="minorEastAsia" w:hAnsiTheme="minorEastAsia"/>
                <w:sz w:val="22"/>
              </w:rPr>
              <w:t>测量的数据存储和回顾功能、120分钟动态短趋势、</w:t>
            </w:r>
            <w:r>
              <w:rPr>
                <w:rFonts w:asciiTheme="minorEastAsia" w:hAnsiTheme="minorEastAsia"/>
                <w:sz w:val="22"/>
              </w:rPr>
              <w:t>48</w:t>
            </w:r>
            <w:r>
              <w:rPr>
                <w:rFonts w:hint="eastAsia" w:asciiTheme="minorEastAsia" w:hAnsiTheme="minorEastAsia"/>
                <w:sz w:val="22"/>
              </w:rPr>
              <w:t>小时全息波形回顾。</w:t>
            </w:r>
          </w:p>
          <w:p>
            <w:pPr>
              <w:rPr>
                <w:rFonts w:asciiTheme="minorEastAsia" w:hAnsiTheme="minorEastAsia"/>
                <w:sz w:val="22"/>
              </w:rPr>
            </w:pPr>
            <w:r>
              <w:rPr>
                <w:rFonts w:hint="eastAsia" w:asciiTheme="minorEastAsia" w:hAnsiTheme="minorEastAsia"/>
                <w:sz w:val="22"/>
              </w:rPr>
              <w:t>1</w:t>
            </w:r>
            <w:r>
              <w:rPr>
                <w:rFonts w:asciiTheme="minorEastAsia" w:hAnsiTheme="minorEastAsia"/>
                <w:sz w:val="22"/>
              </w:rPr>
              <w:t>4</w:t>
            </w:r>
            <w:r>
              <w:rPr>
                <w:rFonts w:hint="eastAsia" w:asciiTheme="minorEastAsia" w:hAnsiTheme="minorEastAsia"/>
                <w:sz w:val="22"/>
              </w:rPr>
              <w:t>、具有高/中/低三种不同级别的生理报警及技术报警，并提供提示信息</w:t>
            </w:r>
          </w:p>
          <w:p>
            <w:pPr>
              <w:rPr>
                <w:rFonts w:asciiTheme="minorEastAsia" w:hAnsiTheme="minorEastAsia"/>
                <w:sz w:val="22"/>
              </w:rPr>
            </w:pPr>
            <w:r>
              <w:rPr>
                <w:rFonts w:hint="eastAsia" w:asciiTheme="minorEastAsia" w:hAnsiTheme="minorEastAsia"/>
                <w:sz w:val="22"/>
              </w:rPr>
              <w:t>1</w:t>
            </w:r>
            <w:r>
              <w:rPr>
                <w:rFonts w:asciiTheme="minorEastAsia" w:hAnsiTheme="minorEastAsia"/>
                <w:sz w:val="22"/>
              </w:rPr>
              <w:t>5</w:t>
            </w:r>
            <w:r>
              <w:rPr>
                <w:rFonts w:hint="eastAsia" w:asciiTheme="minorEastAsia" w:hAnsiTheme="minorEastAsia"/>
                <w:sz w:val="22"/>
              </w:rPr>
              <w:t>、具备报警集中设置功能，参数报警级别可调</w:t>
            </w:r>
          </w:p>
          <w:p>
            <w:pPr>
              <w:rPr>
                <w:rFonts w:asciiTheme="minorEastAsia" w:hAnsiTheme="minorEastAsia"/>
                <w:sz w:val="22"/>
              </w:rPr>
            </w:pPr>
            <w:r>
              <w:rPr>
                <w:rFonts w:hint="eastAsia" w:asciiTheme="minorEastAsia" w:hAnsiTheme="minorEastAsia"/>
                <w:sz w:val="22"/>
              </w:rPr>
              <w:t>1</w:t>
            </w:r>
            <w:r>
              <w:rPr>
                <w:rFonts w:asciiTheme="minorEastAsia" w:hAnsiTheme="minorEastAsia"/>
                <w:sz w:val="22"/>
              </w:rPr>
              <w:t>6</w:t>
            </w:r>
            <w:r>
              <w:rPr>
                <w:rFonts w:hint="eastAsia" w:asciiTheme="minorEastAsia" w:hAnsiTheme="minorEastAsia"/>
                <w:sz w:val="22"/>
              </w:rPr>
              <w:t>、支持</w:t>
            </w:r>
            <w:r>
              <w:rPr>
                <w:rFonts w:asciiTheme="minorEastAsia" w:hAnsiTheme="minorEastAsia"/>
                <w:sz w:val="22"/>
              </w:rPr>
              <w:t>3</w:t>
            </w:r>
            <w:r>
              <w:rPr>
                <w:rFonts w:hint="eastAsia" w:asciiTheme="minorEastAsia" w:hAnsiTheme="minorEastAsia"/>
                <w:sz w:val="22"/>
              </w:rPr>
              <w:t>通道记录仪</w:t>
            </w:r>
          </w:p>
          <w:p>
            <w:pPr>
              <w:rPr>
                <w:rFonts w:asciiTheme="minorEastAsia" w:hAnsiTheme="minorEastAsia"/>
                <w:sz w:val="22"/>
              </w:rPr>
            </w:pPr>
            <w:r>
              <w:rPr>
                <w:rFonts w:hint="eastAsia" w:asciiTheme="minorEastAsia" w:hAnsiTheme="minorEastAsia"/>
                <w:sz w:val="22"/>
              </w:rPr>
              <w:t>1</w:t>
            </w:r>
            <w:r>
              <w:rPr>
                <w:rFonts w:asciiTheme="minorEastAsia" w:hAnsiTheme="minorEastAsia"/>
                <w:sz w:val="22"/>
              </w:rPr>
              <w:t>7</w:t>
            </w:r>
            <w:r>
              <w:rPr>
                <w:rFonts w:hint="eastAsia" w:asciiTheme="minorEastAsia" w:hAnsiTheme="minorEastAsia"/>
                <w:sz w:val="22"/>
              </w:rPr>
              <w:t>、具有有线联网、无线联网和无需布线的电力联网功能，可实现同科室所有床位联网，信号稳定可靠</w:t>
            </w:r>
          </w:p>
          <w:p>
            <w:pPr>
              <w:rPr>
                <w:rFonts w:asciiTheme="minorEastAsia" w:hAnsiTheme="minorEastAsia"/>
                <w:sz w:val="22"/>
              </w:rPr>
            </w:pPr>
            <w:r>
              <w:rPr>
                <w:rFonts w:hint="eastAsia" w:asciiTheme="minorEastAsia" w:hAnsiTheme="minorEastAsia"/>
                <w:sz w:val="22"/>
              </w:rPr>
              <w:t>1</w:t>
            </w:r>
            <w:r>
              <w:rPr>
                <w:rFonts w:asciiTheme="minorEastAsia" w:hAnsiTheme="minorEastAsia"/>
                <w:sz w:val="22"/>
              </w:rPr>
              <w:t>8</w:t>
            </w:r>
            <w:r>
              <w:rPr>
                <w:rFonts w:hint="eastAsia" w:asciiTheme="minorEastAsia" w:hAnsiTheme="minorEastAsia"/>
                <w:sz w:val="22"/>
              </w:rPr>
              <w:t>、整机无风扇设计，降低环境噪音干扰</w:t>
            </w:r>
          </w:p>
          <w:p>
            <w:pPr>
              <w:rPr>
                <w:rFonts w:asciiTheme="minorEastAsia" w:hAnsiTheme="minorEastAsia"/>
                <w:b/>
                <w:bCs/>
                <w:sz w:val="22"/>
              </w:rPr>
            </w:pPr>
            <w:r>
              <w:rPr>
                <w:rFonts w:hint="eastAsia" w:asciiTheme="minorEastAsia" w:hAnsiTheme="minorEastAsia"/>
                <w:sz w:val="22"/>
              </w:rPr>
              <w:t>1</w:t>
            </w:r>
            <w:r>
              <w:rPr>
                <w:rFonts w:asciiTheme="minorEastAsia" w:hAnsiTheme="minorEastAsia"/>
                <w:sz w:val="22"/>
              </w:rPr>
              <w:t>9</w:t>
            </w:r>
            <w:r>
              <w:rPr>
                <w:rFonts w:hint="eastAsia" w:asciiTheme="minorEastAsia" w:hAnsiTheme="minorEastAsia"/>
                <w:sz w:val="22"/>
              </w:rPr>
              <w:t>、具有护士呼叫功能、日志导出功能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1</w:t>
            </w:r>
            <w:r>
              <w:rPr>
                <w:rFonts w:asciiTheme="minorEastAsia" w:hAnsiTheme="minorEastAsia"/>
                <w:sz w:val="22"/>
              </w:rPr>
              <w:t>5</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b/>
                <w:bCs/>
                <w:sz w:val="22"/>
              </w:rPr>
            </w:pPr>
            <w:r>
              <w:rPr>
                <w:rFonts w:hint="eastAsia"/>
                <w:b/>
                <w:bCs/>
                <w:sz w:val="22"/>
              </w:rPr>
              <w:t>离心机</w:t>
            </w:r>
          </w:p>
        </w:tc>
        <w:tc>
          <w:tcPr>
            <w:tcW w:w="723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2"/>
              </w:rPr>
            </w:pPr>
            <w:r>
              <w:rPr>
                <w:rFonts w:hint="eastAsia" w:asciiTheme="minorEastAsia" w:hAnsiTheme="minorEastAsia"/>
                <w:sz w:val="22"/>
              </w:rPr>
              <w:t>1、最高转速：4</w:t>
            </w:r>
            <w:r>
              <w:rPr>
                <w:rFonts w:asciiTheme="minorEastAsia" w:hAnsiTheme="minorEastAsia"/>
                <w:sz w:val="22"/>
              </w:rPr>
              <w:t>500</w:t>
            </w:r>
            <w:r>
              <w:rPr>
                <w:rFonts w:hint="eastAsia" w:asciiTheme="minorEastAsia" w:hAnsiTheme="minorEastAsia"/>
                <w:sz w:val="22"/>
              </w:rPr>
              <w:t>（r</w:t>
            </w:r>
            <w:r>
              <w:rPr>
                <w:rFonts w:asciiTheme="minorEastAsia" w:hAnsiTheme="minorEastAsia"/>
                <w:sz w:val="22"/>
              </w:rPr>
              <w:t>/min</w:t>
            </w:r>
            <w:r>
              <w:rPr>
                <w:rFonts w:hint="eastAsia" w:asciiTheme="minorEastAsia" w:hAnsiTheme="minorEastAsia"/>
                <w:sz w:val="22"/>
              </w:rPr>
              <w:t>）</w:t>
            </w:r>
          </w:p>
          <w:p>
            <w:pPr>
              <w:rPr>
                <w:rFonts w:asciiTheme="minorEastAsia" w:hAnsiTheme="minorEastAsia"/>
                <w:sz w:val="22"/>
              </w:rPr>
            </w:pPr>
            <w:r>
              <w:rPr>
                <w:rFonts w:hint="eastAsia" w:asciiTheme="minorEastAsia" w:hAnsiTheme="minorEastAsia"/>
                <w:sz w:val="22"/>
              </w:rPr>
              <w:t>2、最大相对离心力：2</w:t>
            </w:r>
            <w:r>
              <w:rPr>
                <w:rFonts w:asciiTheme="minorEastAsia" w:hAnsiTheme="minorEastAsia"/>
                <w:sz w:val="22"/>
              </w:rPr>
              <w:t>155</w:t>
            </w:r>
            <w:r>
              <w:rPr>
                <w:rFonts w:hint="eastAsia" w:asciiTheme="minorEastAsia" w:hAnsiTheme="minorEastAsia"/>
                <w:sz w:val="22"/>
              </w:rPr>
              <w:t>（</w:t>
            </w:r>
            <w:r>
              <w:rPr>
                <w:rFonts w:asciiTheme="minorEastAsia" w:hAnsiTheme="minorEastAsia"/>
                <w:sz w:val="22"/>
              </w:rPr>
              <w:t>Xg</w:t>
            </w:r>
            <w:r>
              <w:rPr>
                <w:rFonts w:hint="eastAsia" w:asciiTheme="minorEastAsia" w:hAnsiTheme="minorEastAsia"/>
                <w:sz w:val="22"/>
              </w:rPr>
              <w:t>）</w:t>
            </w:r>
          </w:p>
          <w:p>
            <w:pPr>
              <w:rPr>
                <w:rFonts w:asciiTheme="minorEastAsia" w:hAnsiTheme="minorEastAsia"/>
                <w:sz w:val="22"/>
              </w:rPr>
            </w:pPr>
            <w:r>
              <w:rPr>
                <w:rFonts w:hint="eastAsia" w:asciiTheme="minorEastAsia" w:hAnsiTheme="minorEastAsia"/>
                <w:sz w:val="22"/>
              </w:rPr>
              <w:t>3、最大容量：1</w:t>
            </w:r>
            <w:r>
              <w:rPr>
                <w:rFonts w:asciiTheme="minorEastAsia" w:hAnsiTheme="minorEastAsia"/>
                <w:sz w:val="22"/>
              </w:rPr>
              <w:t>0ml*12</w:t>
            </w:r>
            <w:r>
              <w:rPr>
                <w:rFonts w:hint="eastAsia" w:asciiTheme="minorEastAsia" w:hAnsiTheme="minorEastAsia"/>
                <w:sz w:val="22"/>
              </w:rPr>
              <w:t>支</w:t>
            </w:r>
          </w:p>
          <w:p>
            <w:pPr>
              <w:rPr>
                <w:rFonts w:asciiTheme="minorEastAsia" w:hAnsiTheme="minorEastAsia"/>
                <w:sz w:val="22"/>
              </w:rPr>
            </w:pPr>
            <w:r>
              <w:rPr>
                <w:rFonts w:hint="eastAsia" w:asciiTheme="minorEastAsia" w:hAnsiTheme="minorEastAsia"/>
                <w:sz w:val="22"/>
              </w:rPr>
              <w:t>4、定时时间：1</w:t>
            </w:r>
            <w:r>
              <w:rPr>
                <w:rFonts w:asciiTheme="minorEastAsia" w:hAnsiTheme="minorEastAsia"/>
                <w:sz w:val="22"/>
              </w:rPr>
              <w:t>-99min</w:t>
            </w:r>
          </w:p>
          <w:p>
            <w:pPr>
              <w:rPr>
                <w:b/>
                <w:bCs/>
                <w:sz w:val="22"/>
              </w:rPr>
            </w:pPr>
            <w:r>
              <w:rPr>
                <w:rFonts w:hint="eastAsia" w:asciiTheme="minorEastAsia" w:hAnsiTheme="minorEastAsia"/>
                <w:sz w:val="22"/>
              </w:rPr>
              <w:t>5、噪声：≤6</w:t>
            </w:r>
            <w:r>
              <w:rPr>
                <w:rFonts w:asciiTheme="minorEastAsia" w:hAnsiTheme="minorEastAsia"/>
                <w:sz w:val="22"/>
              </w:rPr>
              <w:t>0dB</w:t>
            </w:r>
            <w:r>
              <w:rPr>
                <w:rFonts w:hint="eastAsia" w:asciiTheme="minorEastAsia" w:hAnsiTheme="minorEastAsia"/>
                <w:sz w:val="22"/>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1</w:t>
            </w:r>
            <w:r>
              <w:rPr>
                <w:rFonts w:asciiTheme="minorEastAsia" w:hAnsiTheme="minorEastAsia"/>
                <w:sz w:val="22"/>
              </w:rPr>
              <w:t>6</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b/>
                <w:bCs/>
                <w:sz w:val="22"/>
              </w:rPr>
            </w:pPr>
            <w:r>
              <w:rPr>
                <w:rFonts w:hint="eastAsia" w:ascii="宋体" w:hAnsi="宋体" w:cs="宋体"/>
                <w:b/>
                <w:bCs/>
                <w:sz w:val="22"/>
              </w:rPr>
              <w:t>塔式服务器</w:t>
            </w:r>
          </w:p>
        </w:tc>
        <w:tc>
          <w:tcPr>
            <w:tcW w:w="723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sz w:val="22"/>
              </w:rPr>
            </w:pPr>
            <w:r>
              <w:rPr>
                <w:rFonts w:hint="eastAsia" w:ascii="宋体" w:hAnsi="宋体"/>
                <w:sz w:val="22"/>
              </w:rPr>
              <w:t>1、处理器：i</w:t>
            </w:r>
            <w:r>
              <w:rPr>
                <w:rFonts w:ascii="宋体" w:hAnsi="宋体"/>
                <w:sz w:val="22"/>
              </w:rPr>
              <w:t>ntel Xeon</w:t>
            </w:r>
            <w:r>
              <w:rPr>
                <w:rFonts w:hint="eastAsia" w:ascii="宋体" w:hAnsi="宋体"/>
                <w:sz w:val="22"/>
              </w:rPr>
              <w:t>和C</w:t>
            </w:r>
            <w:r>
              <w:rPr>
                <w:rFonts w:ascii="宋体" w:hAnsi="宋体"/>
                <w:sz w:val="22"/>
              </w:rPr>
              <w:t>ore</w:t>
            </w:r>
            <w:r>
              <w:rPr>
                <w:rFonts w:hint="eastAsia" w:ascii="宋体" w:hAnsi="宋体"/>
                <w:sz w:val="22"/>
              </w:rPr>
              <w:t>处理器</w:t>
            </w:r>
          </w:p>
          <w:p>
            <w:pPr>
              <w:rPr>
                <w:rFonts w:ascii="宋体" w:hAnsi="宋体"/>
                <w:sz w:val="22"/>
              </w:rPr>
            </w:pPr>
            <w:r>
              <w:rPr>
                <w:rFonts w:hint="eastAsia" w:ascii="宋体" w:hAnsi="宋体"/>
                <w:sz w:val="22"/>
              </w:rPr>
              <w:t>2、内存：16G DDR4 2666</w:t>
            </w:r>
            <w:r>
              <w:rPr>
                <w:rFonts w:ascii="宋体" w:hAnsi="宋体"/>
                <w:sz w:val="22"/>
              </w:rPr>
              <w:t>MHz</w:t>
            </w:r>
            <w:r>
              <w:rPr>
                <w:rFonts w:hint="eastAsia" w:ascii="宋体" w:hAnsi="宋体"/>
                <w:sz w:val="22"/>
              </w:rPr>
              <w:t>内存</w:t>
            </w:r>
          </w:p>
          <w:p>
            <w:pPr>
              <w:rPr>
                <w:rFonts w:ascii="宋体" w:hAnsi="宋体"/>
                <w:sz w:val="22"/>
              </w:rPr>
            </w:pPr>
            <w:r>
              <w:rPr>
                <w:rFonts w:ascii="宋体" w:hAnsi="宋体"/>
                <w:sz w:val="22"/>
              </w:rPr>
              <w:t>3</w:t>
            </w:r>
            <w:r>
              <w:rPr>
                <w:rFonts w:hint="eastAsia" w:ascii="宋体" w:hAnsi="宋体"/>
                <w:sz w:val="22"/>
              </w:rPr>
              <w:t>、单口千兆网卡：1个</w:t>
            </w:r>
          </w:p>
          <w:p>
            <w:pPr>
              <w:rPr>
                <w:rFonts w:ascii="宋体" w:hAnsi="宋体"/>
                <w:color w:val="000000" w:themeColor="text1"/>
                <w:sz w:val="22"/>
              </w:rPr>
            </w:pPr>
            <w:r>
              <w:rPr>
                <w:rFonts w:hint="eastAsia" w:ascii="宋体" w:hAnsi="宋体"/>
                <w:color w:val="000000" w:themeColor="text1"/>
                <w:sz w:val="22"/>
              </w:rPr>
              <w:t>4、DVD 光驱</w:t>
            </w:r>
          </w:p>
          <w:p>
            <w:pPr>
              <w:rPr>
                <w:rFonts w:ascii="宋体" w:hAnsi="宋体"/>
                <w:color w:val="000000" w:themeColor="text1"/>
                <w:sz w:val="22"/>
              </w:rPr>
            </w:pPr>
            <w:r>
              <w:rPr>
                <w:rFonts w:hint="eastAsia" w:ascii="宋体" w:hAnsi="宋体"/>
                <w:color w:val="000000" w:themeColor="text1"/>
                <w:sz w:val="22"/>
              </w:rPr>
              <w:t>5、配备键盘鼠标</w:t>
            </w:r>
          </w:p>
          <w:p>
            <w:pPr>
              <w:rPr>
                <w:rFonts w:ascii="宋体" w:hAnsi="宋体"/>
                <w:sz w:val="22"/>
              </w:rPr>
            </w:pPr>
            <w:r>
              <w:rPr>
                <w:rFonts w:ascii="宋体" w:hAnsi="宋体"/>
                <w:sz w:val="22"/>
              </w:rPr>
              <w:t>6</w:t>
            </w:r>
            <w:r>
              <w:rPr>
                <w:rFonts w:hint="eastAsia" w:ascii="宋体" w:hAnsi="宋体"/>
                <w:sz w:val="22"/>
              </w:rPr>
              <w:t>、接口：6个USB 3.0接口、1个VGA接口、1个DP接口、1个音频接口、1个串口、1个RJ45网口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2" w:type="dxa"/>
            <w:tcBorders>
              <w:top w:val="single" w:color="auto" w:sz="4" w:space="0"/>
              <w:left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1</w:t>
            </w:r>
            <w:r>
              <w:rPr>
                <w:rFonts w:asciiTheme="minorEastAsia" w:hAnsiTheme="minorEastAsia"/>
                <w:sz w:val="22"/>
              </w:rPr>
              <w:t>7</w:t>
            </w:r>
          </w:p>
        </w:tc>
        <w:tc>
          <w:tcPr>
            <w:tcW w:w="1275" w:type="dxa"/>
            <w:tcBorders>
              <w:top w:val="single" w:color="auto" w:sz="4" w:space="0"/>
              <w:left w:val="single" w:color="auto" w:sz="4" w:space="0"/>
              <w:right w:val="single" w:color="auto" w:sz="4" w:space="0"/>
            </w:tcBorders>
            <w:vAlign w:val="center"/>
          </w:tcPr>
          <w:p>
            <w:pPr>
              <w:jc w:val="center"/>
              <w:rPr>
                <w:rFonts w:ascii="宋体" w:hAnsi="宋体" w:cs="宋体"/>
                <w:b/>
                <w:bCs/>
                <w:sz w:val="22"/>
              </w:rPr>
            </w:pPr>
            <w:r>
              <w:rPr>
                <w:rFonts w:hint="eastAsia" w:ascii="宋体" w:hAnsi="宋体" w:cs="宋体"/>
                <w:b/>
                <w:bCs/>
                <w:sz w:val="22"/>
              </w:rPr>
              <w:t>A</w:t>
            </w:r>
            <w:r>
              <w:rPr>
                <w:rFonts w:ascii="宋体" w:hAnsi="宋体" w:cs="宋体"/>
                <w:b/>
                <w:bCs/>
                <w:sz w:val="22"/>
              </w:rPr>
              <w:t>4</w:t>
            </w:r>
            <w:r>
              <w:rPr>
                <w:rFonts w:hint="eastAsia" w:ascii="宋体" w:hAnsi="宋体" w:cs="宋体"/>
                <w:b/>
                <w:bCs/>
                <w:sz w:val="22"/>
              </w:rPr>
              <w:t>打印机</w:t>
            </w:r>
          </w:p>
        </w:tc>
        <w:tc>
          <w:tcPr>
            <w:tcW w:w="723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kern w:val="0"/>
                <w:szCs w:val="21"/>
              </w:rPr>
            </w:pPr>
            <w:r>
              <w:rPr>
                <w:rFonts w:hint="eastAsia" w:ascii="宋体" w:hAnsi="宋体" w:eastAsia="宋体"/>
                <w:kern w:val="0"/>
                <w:szCs w:val="21"/>
              </w:rPr>
              <w:t>1、打印方式：黑白激光打印机</w:t>
            </w:r>
          </w:p>
          <w:p>
            <w:pPr>
              <w:rPr>
                <w:rFonts w:ascii="宋体" w:hAnsi="宋体" w:eastAsia="宋体"/>
                <w:kern w:val="0"/>
                <w:szCs w:val="21"/>
              </w:rPr>
            </w:pPr>
            <w:r>
              <w:rPr>
                <w:rFonts w:ascii="宋体" w:hAnsi="宋体" w:eastAsia="宋体"/>
                <w:kern w:val="0"/>
                <w:szCs w:val="21"/>
              </w:rPr>
              <w:t>2</w:t>
            </w:r>
            <w:r>
              <w:rPr>
                <w:rFonts w:hint="eastAsia" w:ascii="宋体" w:hAnsi="宋体" w:eastAsia="宋体"/>
                <w:kern w:val="0"/>
                <w:szCs w:val="21"/>
              </w:rPr>
              <w:t>、最大打印幅面：A4</w:t>
            </w:r>
          </w:p>
          <w:p>
            <w:pPr>
              <w:rPr>
                <w:rFonts w:ascii="宋体" w:hAnsi="宋体" w:eastAsia="宋体"/>
                <w:kern w:val="0"/>
                <w:szCs w:val="21"/>
              </w:rPr>
            </w:pPr>
            <w:r>
              <w:rPr>
                <w:rFonts w:hint="eastAsia" w:ascii="宋体" w:hAnsi="宋体" w:eastAsia="宋体"/>
                <w:kern w:val="0"/>
                <w:szCs w:val="21"/>
              </w:rPr>
              <w:t>3、A4纸张打印速度：22ppm</w:t>
            </w:r>
          </w:p>
          <w:p>
            <w:pPr>
              <w:rPr>
                <w:rFonts w:ascii="宋体" w:hAnsi="宋体"/>
                <w:sz w:val="22"/>
              </w:rPr>
            </w:pPr>
            <w:r>
              <w:rPr>
                <w:rFonts w:hint="eastAsia" w:ascii="宋体" w:hAnsi="宋体" w:eastAsia="宋体"/>
                <w:kern w:val="0"/>
                <w:szCs w:val="21"/>
              </w:rPr>
              <w:t>4、打印机芯寿命：硒鼓容量≥1500页</w:t>
            </w:r>
          </w:p>
        </w:tc>
      </w:tr>
    </w:tbl>
    <w:p/>
    <w:p/>
    <w:p>
      <w:pPr>
        <w:pStyle w:val="6"/>
      </w:pPr>
      <w:r>
        <w:rPr>
          <w:rFonts w:hint="eastAsia"/>
        </w:rPr>
        <w:t>3</w:t>
      </w:r>
      <w:r>
        <w:t>.1.3</w:t>
      </w:r>
      <w:r>
        <w:rPr>
          <w:rFonts w:hint="eastAsia"/>
        </w:rPr>
        <w:t>、车载智慧基卫服务信息系统</w:t>
      </w:r>
    </w:p>
    <w:tbl>
      <w:tblPr>
        <w:tblStyle w:val="18"/>
        <w:tblW w:w="9214"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8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 w:type="dxa"/>
            <w:tcBorders>
              <w:left w:val="single" w:color="auto" w:sz="4" w:space="0"/>
              <w:right w:val="single" w:color="auto" w:sz="4" w:space="0"/>
            </w:tcBorders>
            <w:shd w:val="clear" w:color="auto" w:fill="auto"/>
            <w:vAlign w:val="center"/>
          </w:tcPr>
          <w:p>
            <w:pPr>
              <w:jc w:val="center"/>
              <w:rPr>
                <w:rFonts w:ascii="宋体" w:hAnsi="宋体"/>
                <w:b/>
                <w:bCs/>
                <w:sz w:val="22"/>
              </w:rPr>
            </w:pPr>
            <w:bookmarkStart w:id="43" w:name="_Hlk50400640"/>
            <w:r>
              <w:rPr>
                <w:rFonts w:hint="eastAsia" w:ascii="宋体" w:hAnsi="宋体"/>
                <w:b/>
                <w:bCs/>
                <w:sz w:val="22"/>
              </w:rPr>
              <w:t>序号</w:t>
            </w:r>
          </w:p>
        </w:tc>
        <w:tc>
          <w:tcPr>
            <w:tcW w:w="83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b/>
                <w:bCs/>
                <w:sz w:val="22"/>
              </w:rPr>
            </w:pPr>
            <w:r>
              <w:rPr>
                <w:rFonts w:hint="eastAsia" w:ascii="宋体" w:hAnsi="宋体"/>
                <w:b/>
                <w:bCs/>
                <w:sz w:val="22"/>
              </w:rPr>
              <w:t>设备参数要求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 w:type="dxa"/>
            <w:tcBorders>
              <w:left w:val="single" w:color="auto" w:sz="4" w:space="0"/>
              <w:right w:val="single" w:color="auto" w:sz="4" w:space="0"/>
            </w:tcBorders>
            <w:shd w:val="clear" w:color="auto" w:fill="auto"/>
            <w:vAlign w:val="center"/>
          </w:tcPr>
          <w:p>
            <w:pPr>
              <w:jc w:val="center"/>
              <w:rPr>
                <w:rFonts w:ascii="宋体" w:hAnsi="宋体"/>
                <w:b/>
                <w:bCs/>
                <w:sz w:val="22"/>
              </w:rPr>
            </w:pPr>
            <w:r>
              <w:rPr>
                <w:rFonts w:hint="eastAsia" w:ascii="宋体" w:hAnsi="宋体"/>
                <w:b/>
                <w:bCs/>
                <w:sz w:val="22"/>
              </w:rPr>
              <w:t>一</w:t>
            </w:r>
          </w:p>
        </w:tc>
        <w:tc>
          <w:tcPr>
            <w:tcW w:w="836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b/>
                <w:bCs/>
                <w:sz w:val="22"/>
              </w:rPr>
            </w:pPr>
            <w:r>
              <w:rPr>
                <w:rFonts w:hint="eastAsia" w:ascii="宋体" w:hAnsi="宋体"/>
                <w:b/>
                <w:bCs/>
                <w:sz w:val="22"/>
              </w:rPr>
              <w:t>软件总体要求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52" w:type="dxa"/>
            <w:tcBorders>
              <w:left w:val="single" w:color="auto" w:sz="4" w:space="0"/>
              <w:right w:val="single" w:color="auto" w:sz="4" w:space="0"/>
            </w:tcBorders>
            <w:shd w:val="clear" w:color="auto" w:fill="auto"/>
            <w:vAlign w:val="center"/>
          </w:tcPr>
          <w:p>
            <w:pPr>
              <w:jc w:val="center"/>
              <w:rPr>
                <w:rFonts w:ascii="宋体" w:hAnsi="宋体"/>
                <w:sz w:val="22"/>
              </w:rPr>
            </w:pPr>
            <w:r>
              <w:rPr>
                <w:rFonts w:hint="eastAsia" w:ascii="宋体" w:hAnsi="宋体"/>
                <w:sz w:val="22"/>
              </w:rPr>
              <w:t>1</w:t>
            </w:r>
          </w:p>
        </w:tc>
        <w:tc>
          <w:tcPr>
            <w:tcW w:w="836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sz w:val="22"/>
              </w:rPr>
            </w:pPr>
            <w:r>
              <w:rPr>
                <w:rFonts w:hint="eastAsia" w:ascii="宋体" w:hAnsi="宋体"/>
                <w:sz w:val="22"/>
              </w:rPr>
              <w:t>1、车载智慧基卫服务信息系统能协助基层医疗单位服务人员对所在辖区居民进行《居民健康档案》的体检数据自动采集、问诊及中医体质辨识记录，可同步形成电子健康档案、随访档案及对老年人、高血压、糖尿病等慢性病的随访记录，还应具有基层医生对于公共卫生健康档案的“真实性”、“规范性”、“完整性”等进行核对的功能，方便公共卫生服务人员对居民开展健康管理工作。</w:t>
            </w:r>
          </w:p>
          <w:p>
            <w:pPr>
              <w:rPr>
                <w:rFonts w:ascii="宋体" w:hAnsi="宋体"/>
                <w:sz w:val="22"/>
              </w:rPr>
            </w:pPr>
            <w:r>
              <w:rPr>
                <w:rFonts w:hint="eastAsia" w:ascii="宋体" w:hAnsi="宋体"/>
                <w:sz w:val="22"/>
              </w:rPr>
              <w:t>2、车载智慧基卫服务信息系统能实现将心电、血压检测、身高体重测量、基本信息录入、B超、心电图检测、血常规、尿常规等检测数据和图像自动采集、存储、处理、传输功能，并能现场打印居民健康档案及体检反馈报告单。方便基层医生快速为居民建立电子健康档案，可快速有效完成当日老年人体检检验项目，使检测结果更加快速、准确。实现公共卫生老年人体检流程的信息化及无纸化，避免实际操作过程中错项、缺项等问题。</w:t>
            </w:r>
          </w:p>
          <w:p>
            <w:pPr>
              <w:rPr>
                <w:rFonts w:ascii="宋体" w:hAnsi="宋体"/>
                <w:sz w:val="22"/>
              </w:rPr>
            </w:pPr>
            <w:r>
              <w:rPr>
                <w:rFonts w:ascii="宋体" w:hAnsi="宋体"/>
                <w:sz w:val="22"/>
              </w:rPr>
              <w:t>3</w:t>
            </w:r>
            <w:r>
              <w:rPr>
                <w:rFonts w:hint="eastAsia" w:ascii="宋体" w:hAnsi="宋体"/>
                <w:sz w:val="22"/>
              </w:rPr>
              <w:t>、能对接集成各相关体检设备数据，实现现场检查、现场出结果、现场自动生成符合国家基本公共卫生服务工作要求的居民体检报告与居民健康档案，并实现数据自动生成、汇总、保存；并可上传至国家基本公共卫生管理平台。</w:t>
            </w:r>
          </w:p>
          <w:p>
            <w:pPr>
              <w:rPr>
                <w:rFonts w:ascii="宋体" w:hAnsi="宋体"/>
                <w:sz w:val="22"/>
              </w:rPr>
            </w:pPr>
            <w:r>
              <w:rPr>
                <w:rFonts w:hint="eastAsia" w:ascii="宋体" w:hAnsi="宋体"/>
                <w:color w:val="000000" w:themeColor="text1"/>
                <w:sz w:val="22"/>
              </w:rPr>
              <w:t>▲4、此项目所提供的设备及系统平台需与阳新县所用基本公卫平台进行数据接口对接，并能实现数据实时上传功能。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 w:type="dxa"/>
            <w:tcBorders>
              <w:left w:val="single" w:color="auto" w:sz="4" w:space="0"/>
              <w:right w:val="single" w:color="auto" w:sz="4" w:space="0"/>
            </w:tcBorders>
            <w:shd w:val="clear" w:color="auto" w:fill="auto"/>
            <w:vAlign w:val="center"/>
          </w:tcPr>
          <w:p>
            <w:pPr>
              <w:jc w:val="center"/>
              <w:rPr>
                <w:rFonts w:ascii="宋体" w:hAnsi="宋体"/>
                <w:b/>
                <w:bCs/>
                <w:sz w:val="22"/>
              </w:rPr>
            </w:pPr>
            <w:r>
              <w:rPr>
                <w:rFonts w:hint="eastAsia" w:ascii="宋体" w:hAnsi="宋体"/>
                <w:b/>
                <w:bCs/>
                <w:sz w:val="22"/>
              </w:rPr>
              <w:t>二</w:t>
            </w:r>
          </w:p>
        </w:tc>
        <w:tc>
          <w:tcPr>
            <w:tcW w:w="836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b/>
                <w:bCs/>
                <w:sz w:val="22"/>
              </w:rPr>
            </w:pPr>
            <w:r>
              <w:rPr>
                <w:rFonts w:hint="eastAsia" w:ascii="宋体" w:hAnsi="宋体"/>
                <w:b/>
                <w:bCs/>
                <w:sz w:val="22"/>
              </w:rPr>
              <w:t>车载智慧基卫服务信息系统参数要求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 w:type="dxa"/>
            <w:vMerge w:val="restart"/>
            <w:tcBorders>
              <w:left w:val="single" w:color="auto" w:sz="4" w:space="0"/>
              <w:right w:val="single" w:color="auto" w:sz="4" w:space="0"/>
            </w:tcBorders>
            <w:shd w:val="clear" w:color="auto" w:fill="auto"/>
            <w:vAlign w:val="center"/>
          </w:tcPr>
          <w:p>
            <w:pPr>
              <w:jc w:val="center"/>
              <w:rPr>
                <w:rFonts w:ascii="宋体" w:hAnsi="宋体"/>
                <w:sz w:val="22"/>
              </w:rPr>
            </w:pPr>
            <w:r>
              <w:rPr>
                <w:rFonts w:hint="eastAsia" w:ascii="宋体" w:hAnsi="宋体"/>
                <w:sz w:val="22"/>
              </w:rPr>
              <w:t>1</w:t>
            </w:r>
          </w:p>
        </w:tc>
        <w:tc>
          <w:tcPr>
            <w:tcW w:w="836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sz w:val="22"/>
              </w:rPr>
            </w:pPr>
            <w:r>
              <w:rPr>
                <w:rFonts w:hint="eastAsia" w:ascii="宋体" w:hAnsi="宋体"/>
                <w:sz w:val="22"/>
              </w:rPr>
              <w:t>车载智慧基卫服务信息系统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52" w:type="dxa"/>
            <w:vMerge w:val="continue"/>
            <w:tcBorders>
              <w:left w:val="single" w:color="auto" w:sz="4" w:space="0"/>
              <w:right w:val="single" w:color="auto" w:sz="4" w:space="0"/>
            </w:tcBorders>
            <w:shd w:val="clear" w:color="auto" w:fill="auto"/>
            <w:vAlign w:val="center"/>
          </w:tcPr>
          <w:p>
            <w:pPr>
              <w:jc w:val="center"/>
              <w:rPr>
                <w:rFonts w:ascii="宋体" w:hAnsi="宋体"/>
                <w:sz w:val="22"/>
              </w:rPr>
            </w:pPr>
          </w:p>
        </w:tc>
        <w:tc>
          <w:tcPr>
            <w:tcW w:w="836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sz w:val="22"/>
              </w:rPr>
            </w:pPr>
            <w:r>
              <w:rPr>
                <w:rFonts w:hint="eastAsia" w:ascii="宋体" w:hAnsi="宋体"/>
                <w:sz w:val="22"/>
              </w:rPr>
              <w:t>1、车</w:t>
            </w:r>
            <w:r>
              <w:rPr>
                <w:rFonts w:ascii="宋体" w:hAnsi="宋体"/>
                <w:sz w:val="22"/>
              </w:rPr>
              <w:t>载智慧基卫</w:t>
            </w:r>
            <w:r>
              <w:rPr>
                <w:rFonts w:hint="eastAsia" w:ascii="宋体" w:hAnsi="宋体"/>
                <w:sz w:val="22"/>
              </w:rPr>
              <w:t>服务信息</w:t>
            </w:r>
            <w:r>
              <w:rPr>
                <w:rFonts w:ascii="宋体" w:hAnsi="宋体"/>
                <w:sz w:val="22"/>
              </w:rPr>
              <w:t>系统</w:t>
            </w:r>
            <w:r>
              <w:rPr>
                <w:rFonts w:hint="eastAsia" w:ascii="宋体" w:hAnsi="宋体"/>
                <w:sz w:val="22"/>
              </w:rPr>
              <w:t>本</w:t>
            </w:r>
            <w:r>
              <w:rPr>
                <w:rFonts w:ascii="宋体" w:hAnsi="宋体"/>
                <w:sz w:val="22"/>
              </w:rPr>
              <w:t>地化部署在车</w:t>
            </w:r>
            <w:r>
              <w:rPr>
                <w:rFonts w:hint="eastAsia" w:ascii="宋体" w:hAnsi="宋体"/>
                <w:sz w:val="22"/>
              </w:rPr>
              <w:t>载</w:t>
            </w:r>
            <w:r>
              <w:rPr>
                <w:rFonts w:ascii="宋体" w:hAnsi="宋体"/>
                <w:sz w:val="22"/>
              </w:rPr>
              <w:t>服务</w:t>
            </w:r>
            <w:r>
              <w:rPr>
                <w:rFonts w:hint="eastAsia" w:ascii="宋体" w:hAnsi="宋体"/>
                <w:sz w:val="22"/>
              </w:rPr>
              <w:t>器</w:t>
            </w:r>
            <w:r>
              <w:rPr>
                <w:rFonts w:ascii="宋体" w:hAnsi="宋体"/>
                <w:sz w:val="22"/>
              </w:rPr>
              <w:t>上</w:t>
            </w:r>
            <w:r>
              <w:rPr>
                <w:rFonts w:hint="eastAsia" w:ascii="宋体" w:hAnsi="宋体"/>
                <w:sz w:val="22"/>
              </w:rPr>
              <w:t>，一站式高效完成基层全科管理服务。</w:t>
            </w:r>
          </w:p>
          <w:p>
            <w:pPr>
              <w:rPr>
                <w:rFonts w:ascii="宋体" w:hAnsi="宋体"/>
                <w:sz w:val="22"/>
              </w:rPr>
            </w:pPr>
            <w:r>
              <w:rPr>
                <w:rFonts w:hint="eastAsia" w:ascii="宋体" w:hAnsi="宋体"/>
                <w:sz w:val="22"/>
              </w:rPr>
              <w:t>2、车</w:t>
            </w:r>
            <w:r>
              <w:rPr>
                <w:rFonts w:ascii="宋体" w:hAnsi="宋体"/>
                <w:sz w:val="22"/>
              </w:rPr>
              <w:t>载智慧基卫</w:t>
            </w:r>
            <w:r>
              <w:rPr>
                <w:rFonts w:hint="eastAsia" w:ascii="宋体" w:hAnsi="宋体"/>
                <w:sz w:val="22"/>
              </w:rPr>
              <w:t>服务信息</w:t>
            </w:r>
            <w:r>
              <w:rPr>
                <w:rFonts w:ascii="宋体" w:hAnsi="宋体"/>
                <w:sz w:val="22"/>
              </w:rPr>
              <w:t>系统</w:t>
            </w:r>
            <w:r>
              <w:rPr>
                <w:rFonts w:hint="eastAsia" w:ascii="宋体" w:hAnsi="宋体"/>
                <w:sz w:val="22"/>
              </w:rPr>
              <w:t>包</w:t>
            </w:r>
            <w:r>
              <w:rPr>
                <w:rFonts w:ascii="宋体" w:hAnsi="宋体"/>
                <w:sz w:val="22"/>
              </w:rPr>
              <w:t>含</w:t>
            </w:r>
            <w:r>
              <w:rPr>
                <w:rFonts w:hint="eastAsia" w:ascii="宋体" w:hAnsi="宋体"/>
                <w:sz w:val="22"/>
              </w:rPr>
              <w:t>全</w:t>
            </w:r>
            <w:r>
              <w:rPr>
                <w:rFonts w:ascii="宋体" w:hAnsi="宋体"/>
                <w:sz w:val="22"/>
              </w:rPr>
              <w:t>科服务模块、</w:t>
            </w:r>
            <w:r>
              <w:rPr>
                <w:rFonts w:hint="eastAsia" w:ascii="宋体" w:hAnsi="宋体"/>
                <w:sz w:val="22"/>
              </w:rPr>
              <w:t>检验</w:t>
            </w:r>
            <w:r>
              <w:rPr>
                <w:rFonts w:ascii="宋体" w:hAnsi="宋体"/>
                <w:sz w:val="22"/>
              </w:rPr>
              <w:t>管理</w:t>
            </w:r>
            <w:r>
              <w:rPr>
                <w:rFonts w:hint="eastAsia" w:ascii="宋体" w:hAnsi="宋体"/>
                <w:sz w:val="22"/>
              </w:rPr>
              <w:t>模</w:t>
            </w:r>
            <w:r>
              <w:rPr>
                <w:rFonts w:ascii="宋体" w:hAnsi="宋体"/>
                <w:sz w:val="22"/>
              </w:rPr>
              <w:t>块、</w:t>
            </w:r>
            <w:r>
              <w:rPr>
                <w:rFonts w:hint="eastAsia" w:ascii="宋体" w:hAnsi="宋体"/>
                <w:sz w:val="22"/>
              </w:rPr>
              <w:t>统计</w:t>
            </w:r>
            <w:r>
              <w:rPr>
                <w:rFonts w:ascii="宋体" w:hAnsi="宋体"/>
                <w:sz w:val="22"/>
              </w:rPr>
              <w:t>查询模块、</w:t>
            </w:r>
            <w:r>
              <w:rPr>
                <w:rFonts w:hint="eastAsia" w:ascii="宋体" w:hAnsi="宋体"/>
                <w:sz w:val="22"/>
              </w:rPr>
              <w:t>系统</w:t>
            </w:r>
            <w:r>
              <w:rPr>
                <w:rFonts w:ascii="宋体" w:hAnsi="宋体"/>
                <w:sz w:val="22"/>
              </w:rPr>
              <w:t>管理模块、</w:t>
            </w:r>
            <w:r>
              <w:rPr>
                <w:rFonts w:hint="eastAsia" w:ascii="宋体" w:hAnsi="宋体"/>
                <w:sz w:val="22"/>
              </w:rPr>
              <w:t>基础</w:t>
            </w:r>
            <w:r>
              <w:rPr>
                <w:rFonts w:ascii="宋体" w:hAnsi="宋体"/>
                <w:sz w:val="22"/>
              </w:rPr>
              <w:t>配置模块、</w:t>
            </w:r>
            <w:r>
              <w:rPr>
                <w:rFonts w:hint="eastAsia" w:ascii="宋体" w:hAnsi="宋体"/>
                <w:sz w:val="22"/>
              </w:rPr>
              <w:t>日志</w:t>
            </w:r>
            <w:r>
              <w:rPr>
                <w:rFonts w:ascii="宋体" w:hAnsi="宋体"/>
                <w:sz w:val="22"/>
              </w:rPr>
              <w:t>管理模块</w:t>
            </w:r>
            <w:r>
              <w:rPr>
                <w:rFonts w:hint="eastAsia" w:ascii="宋体" w:hAnsi="宋体"/>
                <w:sz w:val="22"/>
              </w:rPr>
              <w:t>。</w:t>
            </w:r>
          </w:p>
          <w:p>
            <w:pPr>
              <w:rPr>
                <w:rFonts w:ascii="宋体" w:hAnsi="宋体"/>
                <w:sz w:val="22"/>
              </w:rPr>
            </w:pPr>
            <w:r>
              <w:rPr>
                <w:rFonts w:ascii="宋体" w:hAnsi="宋体"/>
                <w:sz w:val="22"/>
              </w:rPr>
              <w:t>3</w:t>
            </w:r>
            <w:r>
              <w:rPr>
                <w:rFonts w:hint="eastAsia" w:ascii="宋体" w:hAnsi="宋体"/>
                <w:sz w:val="22"/>
              </w:rPr>
              <w:t>、全</w:t>
            </w:r>
            <w:r>
              <w:rPr>
                <w:rFonts w:ascii="宋体" w:hAnsi="宋体"/>
                <w:sz w:val="22"/>
              </w:rPr>
              <w:t>科服务</w:t>
            </w:r>
            <w:r>
              <w:rPr>
                <w:rFonts w:hint="eastAsia" w:ascii="宋体" w:hAnsi="宋体"/>
                <w:sz w:val="22"/>
              </w:rPr>
              <w:t>模块可</w:t>
            </w:r>
            <w:r>
              <w:rPr>
                <w:rFonts w:ascii="宋体" w:hAnsi="宋体"/>
                <w:sz w:val="22"/>
              </w:rPr>
              <w:t>查看</w:t>
            </w:r>
            <w:r>
              <w:rPr>
                <w:rFonts w:hint="eastAsia" w:ascii="宋体" w:hAnsi="宋体"/>
                <w:sz w:val="22"/>
              </w:rPr>
              <w:t>居民</w:t>
            </w:r>
            <w:r>
              <w:rPr>
                <w:rFonts w:ascii="宋体" w:hAnsi="宋体"/>
                <w:sz w:val="22"/>
              </w:rPr>
              <w:t>信息、</w:t>
            </w:r>
            <w:r>
              <w:rPr>
                <w:rFonts w:hint="eastAsia" w:ascii="宋体" w:hAnsi="宋体"/>
                <w:sz w:val="22"/>
              </w:rPr>
              <w:t>体</w:t>
            </w:r>
            <w:r>
              <w:rPr>
                <w:rFonts w:ascii="宋体" w:hAnsi="宋体"/>
                <w:sz w:val="22"/>
              </w:rPr>
              <w:t>检报告、</w:t>
            </w:r>
            <w:r>
              <w:rPr>
                <w:rFonts w:hint="eastAsia" w:ascii="宋体" w:hAnsi="宋体"/>
                <w:sz w:val="22"/>
              </w:rPr>
              <w:t>健康</w:t>
            </w:r>
            <w:r>
              <w:rPr>
                <w:rFonts w:ascii="宋体" w:hAnsi="宋体"/>
                <w:sz w:val="22"/>
              </w:rPr>
              <w:t>档案、</w:t>
            </w:r>
            <w:r>
              <w:rPr>
                <w:rFonts w:hint="eastAsia" w:ascii="宋体" w:hAnsi="宋体"/>
                <w:sz w:val="22"/>
              </w:rPr>
              <w:t>健康</w:t>
            </w:r>
            <w:r>
              <w:rPr>
                <w:rFonts w:ascii="宋体" w:hAnsi="宋体"/>
                <w:sz w:val="22"/>
              </w:rPr>
              <w:t>年检</w:t>
            </w:r>
            <w:r>
              <w:rPr>
                <w:rFonts w:hint="eastAsia" w:ascii="宋体" w:hAnsi="宋体"/>
                <w:sz w:val="22"/>
              </w:rPr>
              <w:t>表</w:t>
            </w:r>
            <w:r>
              <w:rPr>
                <w:rFonts w:ascii="宋体" w:hAnsi="宋体"/>
                <w:sz w:val="22"/>
              </w:rPr>
              <w:t>、</w:t>
            </w:r>
            <w:r>
              <w:rPr>
                <w:rFonts w:hint="eastAsia" w:ascii="宋体" w:hAnsi="宋体"/>
                <w:sz w:val="22"/>
              </w:rPr>
              <w:t>高</w:t>
            </w:r>
            <w:r>
              <w:rPr>
                <w:rFonts w:ascii="宋体" w:hAnsi="宋体"/>
                <w:sz w:val="22"/>
              </w:rPr>
              <w:t>血压随访</w:t>
            </w:r>
            <w:r>
              <w:rPr>
                <w:rFonts w:hint="eastAsia" w:ascii="宋体" w:hAnsi="宋体"/>
                <w:sz w:val="22"/>
              </w:rPr>
              <w:t>记录</w:t>
            </w:r>
            <w:r>
              <w:rPr>
                <w:rFonts w:ascii="宋体" w:hAnsi="宋体"/>
                <w:sz w:val="22"/>
              </w:rPr>
              <w:t>、糖尿病随访</w:t>
            </w:r>
            <w:r>
              <w:rPr>
                <w:rFonts w:hint="eastAsia" w:ascii="宋体" w:hAnsi="宋体"/>
                <w:sz w:val="22"/>
              </w:rPr>
              <w:t>记录</w:t>
            </w:r>
            <w:r>
              <w:rPr>
                <w:rFonts w:ascii="宋体" w:hAnsi="宋体"/>
                <w:sz w:val="22"/>
              </w:rPr>
              <w:t>、</w:t>
            </w:r>
            <w:r>
              <w:rPr>
                <w:rFonts w:hint="eastAsia" w:ascii="宋体" w:hAnsi="宋体"/>
                <w:sz w:val="22"/>
              </w:rPr>
              <w:t>中</w:t>
            </w:r>
            <w:r>
              <w:rPr>
                <w:rFonts w:ascii="宋体" w:hAnsi="宋体"/>
                <w:sz w:val="22"/>
              </w:rPr>
              <w:t>医体质辨识</w:t>
            </w:r>
            <w:r>
              <w:rPr>
                <w:rFonts w:hint="eastAsia" w:ascii="宋体" w:hAnsi="宋体"/>
                <w:sz w:val="22"/>
              </w:rPr>
              <w:t>报告、自</w:t>
            </w:r>
            <w:r>
              <w:rPr>
                <w:rFonts w:ascii="宋体" w:hAnsi="宋体"/>
                <w:sz w:val="22"/>
              </w:rPr>
              <w:t>理能力评</w:t>
            </w:r>
            <w:r>
              <w:rPr>
                <w:rFonts w:hint="eastAsia" w:ascii="宋体" w:hAnsi="宋体"/>
                <w:sz w:val="22"/>
              </w:rPr>
              <w:t>估量表</w:t>
            </w:r>
            <w:r>
              <w:rPr>
                <w:rFonts w:ascii="宋体" w:hAnsi="宋体"/>
                <w:sz w:val="22"/>
              </w:rPr>
              <w:t>。</w:t>
            </w:r>
          </w:p>
          <w:p>
            <w:pPr>
              <w:rPr>
                <w:rFonts w:ascii="宋体" w:hAnsi="宋体"/>
                <w:sz w:val="22"/>
              </w:rPr>
            </w:pPr>
            <w:r>
              <w:rPr>
                <w:rFonts w:hint="eastAsia" w:ascii="宋体" w:hAnsi="宋体"/>
                <w:sz w:val="22"/>
              </w:rPr>
              <w:t>▲</w:t>
            </w:r>
            <w:r>
              <w:rPr>
                <w:rFonts w:ascii="宋体" w:hAnsi="宋体"/>
                <w:sz w:val="22"/>
              </w:rPr>
              <w:t>4</w:t>
            </w:r>
            <w:r>
              <w:rPr>
                <w:rFonts w:hint="eastAsia" w:ascii="宋体" w:hAnsi="宋体"/>
                <w:sz w:val="22"/>
              </w:rPr>
              <w:t>、检</w:t>
            </w:r>
            <w:r>
              <w:rPr>
                <w:rFonts w:ascii="宋体" w:hAnsi="宋体"/>
                <w:sz w:val="22"/>
              </w:rPr>
              <w:t>验管理</w:t>
            </w:r>
            <w:r>
              <w:rPr>
                <w:rFonts w:hint="eastAsia" w:ascii="宋体" w:hAnsi="宋体"/>
                <w:sz w:val="22"/>
              </w:rPr>
              <w:t>模块可从</w:t>
            </w:r>
            <w:r>
              <w:rPr>
                <w:rFonts w:ascii="宋体" w:hAnsi="宋体"/>
                <w:sz w:val="22"/>
              </w:rPr>
              <w:t>以下维度</w:t>
            </w:r>
            <w:r>
              <w:rPr>
                <w:rFonts w:hint="eastAsia" w:ascii="宋体" w:hAnsi="宋体"/>
                <w:sz w:val="22"/>
              </w:rPr>
              <w:t>搜索并</w:t>
            </w:r>
            <w:r>
              <w:rPr>
                <w:rFonts w:ascii="宋体" w:hAnsi="宋体"/>
                <w:sz w:val="22"/>
              </w:rPr>
              <w:t>查看检</w:t>
            </w:r>
            <w:r>
              <w:rPr>
                <w:rFonts w:hint="eastAsia" w:ascii="宋体" w:hAnsi="宋体"/>
                <w:sz w:val="22"/>
              </w:rPr>
              <w:t>验</w:t>
            </w:r>
            <w:r>
              <w:rPr>
                <w:rFonts w:ascii="宋体" w:hAnsi="宋体"/>
                <w:sz w:val="22"/>
              </w:rPr>
              <w:t>报告</w:t>
            </w:r>
            <w:r>
              <w:rPr>
                <w:rFonts w:hint="eastAsia" w:ascii="宋体" w:hAnsi="宋体"/>
                <w:sz w:val="22"/>
              </w:rPr>
              <w:t>：所属</w:t>
            </w:r>
            <w:r>
              <w:rPr>
                <w:rFonts w:ascii="宋体" w:hAnsi="宋体"/>
                <w:sz w:val="22"/>
              </w:rPr>
              <w:t>机构、</w:t>
            </w:r>
            <w:r>
              <w:rPr>
                <w:rFonts w:hint="eastAsia" w:ascii="宋体" w:hAnsi="宋体"/>
                <w:sz w:val="22"/>
              </w:rPr>
              <w:t>检验</w:t>
            </w:r>
            <w:r>
              <w:rPr>
                <w:rFonts w:ascii="宋体" w:hAnsi="宋体"/>
                <w:sz w:val="22"/>
              </w:rPr>
              <w:t>仪器、</w:t>
            </w:r>
            <w:r>
              <w:rPr>
                <w:rFonts w:hint="eastAsia" w:ascii="宋体" w:hAnsi="宋体"/>
                <w:sz w:val="22"/>
              </w:rPr>
              <w:t>检验</w:t>
            </w:r>
            <w:r>
              <w:rPr>
                <w:rFonts w:ascii="宋体" w:hAnsi="宋体"/>
                <w:sz w:val="22"/>
              </w:rPr>
              <w:t>日期、</w:t>
            </w:r>
            <w:r>
              <w:rPr>
                <w:rFonts w:hint="eastAsia" w:ascii="宋体" w:hAnsi="宋体"/>
                <w:sz w:val="22"/>
              </w:rPr>
              <w:t>样</w:t>
            </w:r>
            <w:r>
              <w:rPr>
                <w:rFonts w:ascii="宋体" w:hAnsi="宋体"/>
                <w:sz w:val="22"/>
              </w:rPr>
              <w:t>本号范围、</w:t>
            </w:r>
            <w:r>
              <w:rPr>
                <w:rFonts w:hint="eastAsia" w:ascii="宋体" w:hAnsi="宋体"/>
                <w:sz w:val="22"/>
              </w:rPr>
              <w:t>申</w:t>
            </w:r>
            <w:r>
              <w:rPr>
                <w:rFonts w:ascii="宋体" w:hAnsi="宋体"/>
                <w:sz w:val="22"/>
              </w:rPr>
              <w:t>请项目、申请科室、</w:t>
            </w:r>
            <w:r>
              <w:rPr>
                <w:rFonts w:hint="eastAsia" w:ascii="宋体" w:hAnsi="宋体"/>
                <w:sz w:val="22"/>
              </w:rPr>
              <w:t>条</w:t>
            </w:r>
            <w:r>
              <w:rPr>
                <w:rFonts w:ascii="宋体" w:hAnsi="宋体"/>
                <w:sz w:val="22"/>
              </w:rPr>
              <w:t>码、</w:t>
            </w:r>
            <w:r>
              <w:rPr>
                <w:rFonts w:hint="eastAsia" w:ascii="宋体" w:hAnsi="宋体"/>
                <w:sz w:val="22"/>
              </w:rPr>
              <w:t>姓</w:t>
            </w:r>
            <w:r>
              <w:rPr>
                <w:rFonts w:ascii="宋体" w:hAnsi="宋体"/>
                <w:sz w:val="22"/>
              </w:rPr>
              <w:t>名、性别、</w:t>
            </w:r>
            <w:r>
              <w:rPr>
                <w:rFonts w:hint="eastAsia" w:ascii="宋体" w:hAnsi="宋体"/>
                <w:sz w:val="22"/>
              </w:rPr>
              <w:t>身</w:t>
            </w:r>
            <w:r>
              <w:rPr>
                <w:rFonts w:ascii="宋体" w:hAnsi="宋体"/>
                <w:sz w:val="22"/>
              </w:rPr>
              <w:t>份证号、</w:t>
            </w:r>
            <w:r>
              <w:rPr>
                <w:rFonts w:hint="eastAsia" w:ascii="宋体" w:hAnsi="宋体"/>
                <w:sz w:val="22"/>
              </w:rPr>
              <w:t>受</w:t>
            </w:r>
            <w:r>
              <w:rPr>
                <w:rFonts w:ascii="宋体" w:hAnsi="宋体"/>
                <w:sz w:val="22"/>
              </w:rPr>
              <w:t>检者</w:t>
            </w:r>
            <w:r>
              <w:rPr>
                <w:rFonts w:hint="eastAsia" w:ascii="宋体" w:hAnsi="宋体"/>
                <w:sz w:val="22"/>
              </w:rPr>
              <w:t>ID、</w:t>
            </w:r>
            <w:r>
              <w:rPr>
                <w:rFonts w:ascii="宋体" w:hAnsi="宋体"/>
                <w:sz w:val="22"/>
              </w:rPr>
              <w:t>就诊类型、</w:t>
            </w:r>
            <w:r>
              <w:rPr>
                <w:rFonts w:hint="eastAsia" w:ascii="宋体" w:hAnsi="宋体"/>
                <w:sz w:val="22"/>
              </w:rPr>
              <w:t>状态</w:t>
            </w:r>
            <w:r>
              <w:rPr>
                <w:rFonts w:ascii="宋体" w:hAnsi="宋体"/>
                <w:sz w:val="22"/>
              </w:rPr>
              <w:t>、申请医生。</w:t>
            </w:r>
            <w:r>
              <w:rPr>
                <w:rFonts w:hint="eastAsia" w:ascii="宋体" w:hAnsi="宋体"/>
                <w:b/>
                <w:bCs/>
                <w:sz w:val="22"/>
              </w:rPr>
              <w:t>（须提供软件截图证明）</w:t>
            </w:r>
          </w:p>
          <w:p>
            <w:pPr>
              <w:rPr>
                <w:rFonts w:ascii="宋体" w:hAnsi="宋体"/>
                <w:sz w:val="22"/>
              </w:rPr>
            </w:pPr>
            <w:r>
              <w:rPr>
                <w:rFonts w:ascii="宋体" w:hAnsi="宋体"/>
                <w:sz w:val="22"/>
              </w:rPr>
              <w:t>5</w:t>
            </w:r>
            <w:r>
              <w:rPr>
                <w:rFonts w:hint="eastAsia" w:ascii="宋体" w:hAnsi="宋体"/>
                <w:sz w:val="22"/>
              </w:rPr>
              <w:t>、统计</w:t>
            </w:r>
            <w:r>
              <w:rPr>
                <w:rFonts w:ascii="宋体" w:hAnsi="宋体"/>
                <w:sz w:val="22"/>
              </w:rPr>
              <w:t>查询模块</w:t>
            </w:r>
            <w:r>
              <w:rPr>
                <w:rFonts w:hint="eastAsia" w:ascii="宋体" w:hAnsi="宋体"/>
                <w:sz w:val="22"/>
              </w:rPr>
              <w:t>中的</w:t>
            </w:r>
            <w:r>
              <w:rPr>
                <w:rFonts w:ascii="宋体" w:hAnsi="宋体"/>
                <w:sz w:val="22"/>
              </w:rPr>
              <w:t>工作量</w:t>
            </w:r>
            <w:r>
              <w:rPr>
                <w:rFonts w:hint="eastAsia" w:ascii="宋体" w:hAnsi="宋体"/>
                <w:sz w:val="22"/>
              </w:rPr>
              <w:t>统计</w:t>
            </w:r>
            <w:r>
              <w:rPr>
                <w:rFonts w:ascii="宋体" w:hAnsi="宋体"/>
                <w:sz w:val="22"/>
              </w:rPr>
              <w:t>可以从</w:t>
            </w:r>
            <w:r>
              <w:rPr>
                <w:rFonts w:hint="eastAsia" w:ascii="宋体" w:hAnsi="宋体"/>
                <w:sz w:val="22"/>
              </w:rPr>
              <w:t>项</w:t>
            </w:r>
            <w:r>
              <w:rPr>
                <w:rFonts w:ascii="宋体" w:hAnsi="宋体"/>
                <w:sz w:val="22"/>
              </w:rPr>
              <w:t>目工作量、</w:t>
            </w:r>
            <w:r>
              <w:rPr>
                <w:rFonts w:hint="eastAsia" w:ascii="宋体" w:hAnsi="宋体"/>
                <w:sz w:val="22"/>
              </w:rPr>
              <w:t>仪</w:t>
            </w:r>
            <w:r>
              <w:rPr>
                <w:rFonts w:ascii="宋体" w:hAnsi="宋体"/>
                <w:sz w:val="22"/>
              </w:rPr>
              <w:t>器工作量、</w:t>
            </w:r>
            <w:r>
              <w:rPr>
                <w:rFonts w:hint="eastAsia" w:ascii="宋体" w:hAnsi="宋体"/>
                <w:sz w:val="22"/>
              </w:rPr>
              <w:t>科室</w:t>
            </w:r>
            <w:r>
              <w:rPr>
                <w:rFonts w:ascii="宋体" w:hAnsi="宋体"/>
                <w:sz w:val="22"/>
              </w:rPr>
              <w:t>工作量</w:t>
            </w:r>
            <w:r>
              <w:rPr>
                <w:rFonts w:hint="eastAsia" w:ascii="宋体" w:hAnsi="宋体"/>
                <w:sz w:val="22"/>
              </w:rPr>
              <w:t>三</w:t>
            </w:r>
            <w:r>
              <w:rPr>
                <w:rFonts w:ascii="宋体" w:hAnsi="宋体"/>
                <w:sz w:val="22"/>
              </w:rPr>
              <w:t>个维</w:t>
            </w:r>
            <w:r>
              <w:rPr>
                <w:rFonts w:hint="eastAsia" w:ascii="宋体" w:hAnsi="宋体"/>
                <w:sz w:val="22"/>
              </w:rPr>
              <w:t>度进行</w:t>
            </w:r>
            <w:r>
              <w:rPr>
                <w:rFonts w:ascii="宋体" w:hAnsi="宋体"/>
                <w:sz w:val="22"/>
              </w:rPr>
              <w:t>统计。</w:t>
            </w:r>
            <w:r>
              <w:rPr>
                <w:rFonts w:hint="eastAsia" w:ascii="宋体" w:hAnsi="宋体"/>
                <w:sz w:val="22"/>
              </w:rPr>
              <w:t>常规</w:t>
            </w:r>
            <w:r>
              <w:rPr>
                <w:rFonts w:ascii="宋体" w:hAnsi="宋体"/>
                <w:sz w:val="22"/>
              </w:rPr>
              <w:t>数据的统计</w:t>
            </w:r>
            <w:r>
              <w:rPr>
                <w:rFonts w:hint="eastAsia" w:ascii="宋体" w:hAnsi="宋体"/>
                <w:sz w:val="22"/>
              </w:rPr>
              <w:t>要</w:t>
            </w:r>
            <w:r>
              <w:rPr>
                <w:rFonts w:ascii="宋体" w:hAnsi="宋体"/>
                <w:sz w:val="22"/>
              </w:rPr>
              <w:t>求有</w:t>
            </w:r>
            <w:r>
              <w:rPr>
                <w:rFonts w:hint="eastAsia" w:ascii="宋体" w:hAnsi="宋体"/>
                <w:sz w:val="22"/>
              </w:rPr>
              <w:t>阳</w:t>
            </w:r>
            <w:r>
              <w:rPr>
                <w:rFonts w:ascii="宋体" w:hAnsi="宋体"/>
                <w:sz w:val="22"/>
              </w:rPr>
              <w:t>性标本统计</w:t>
            </w:r>
            <w:r>
              <w:rPr>
                <w:rFonts w:hint="eastAsia" w:ascii="宋体" w:hAnsi="宋体"/>
                <w:sz w:val="22"/>
              </w:rPr>
              <w:t>、患者</w:t>
            </w:r>
            <w:r>
              <w:rPr>
                <w:rFonts w:ascii="宋体" w:hAnsi="宋体"/>
                <w:sz w:val="22"/>
              </w:rPr>
              <w:t>检测结果统计、</w:t>
            </w:r>
            <w:r>
              <w:rPr>
                <w:rFonts w:hint="eastAsia" w:ascii="宋体" w:hAnsi="宋体"/>
                <w:sz w:val="22"/>
              </w:rPr>
              <w:t>患者</w:t>
            </w:r>
            <w:r>
              <w:rPr>
                <w:rFonts w:ascii="宋体" w:hAnsi="宋体"/>
                <w:sz w:val="22"/>
              </w:rPr>
              <w:t>开单</w:t>
            </w:r>
            <w:r>
              <w:rPr>
                <w:rFonts w:hint="eastAsia" w:ascii="宋体" w:hAnsi="宋体"/>
                <w:sz w:val="22"/>
              </w:rPr>
              <w:t>项</w:t>
            </w:r>
            <w:r>
              <w:rPr>
                <w:rFonts w:ascii="宋体" w:hAnsi="宋体"/>
                <w:sz w:val="22"/>
              </w:rPr>
              <w:t>目统计。</w:t>
            </w:r>
          </w:p>
          <w:p>
            <w:pPr>
              <w:rPr>
                <w:rFonts w:ascii="宋体" w:hAnsi="宋体"/>
                <w:sz w:val="22"/>
              </w:rPr>
            </w:pPr>
            <w:r>
              <w:rPr>
                <w:rFonts w:hint="eastAsia" w:ascii="宋体" w:hAnsi="宋体"/>
                <w:sz w:val="24"/>
                <w:szCs w:val="32"/>
              </w:rPr>
              <w:t>★</w:t>
            </w:r>
            <w:r>
              <w:rPr>
                <w:rFonts w:hint="eastAsia" w:ascii="宋体" w:hAnsi="宋体"/>
                <w:sz w:val="22"/>
              </w:rPr>
              <w:t>6、为保障</w:t>
            </w:r>
            <w:r>
              <w:rPr>
                <w:rFonts w:ascii="宋体" w:hAnsi="宋体"/>
                <w:sz w:val="22"/>
              </w:rPr>
              <w:t>系统</w:t>
            </w:r>
            <w:r>
              <w:rPr>
                <w:rFonts w:hint="eastAsia" w:ascii="宋体" w:hAnsi="宋体"/>
                <w:sz w:val="22"/>
              </w:rPr>
              <w:t>和</w:t>
            </w:r>
            <w:r>
              <w:rPr>
                <w:rFonts w:ascii="宋体" w:hAnsi="宋体"/>
                <w:sz w:val="22"/>
              </w:rPr>
              <w:t>数据</w:t>
            </w:r>
            <w:r>
              <w:rPr>
                <w:rFonts w:hint="eastAsia" w:ascii="宋体" w:hAnsi="宋体"/>
                <w:sz w:val="22"/>
              </w:rPr>
              <w:t>的</w:t>
            </w:r>
            <w:r>
              <w:rPr>
                <w:rFonts w:ascii="宋体" w:hAnsi="宋体"/>
                <w:sz w:val="22"/>
              </w:rPr>
              <w:t>安全性，需要对</w:t>
            </w:r>
            <w:r>
              <w:rPr>
                <w:rFonts w:hint="eastAsia" w:ascii="宋体" w:hAnsi="宋体"/>
                <w:sz w:val="22"/>
              </w:rPr>
              <w:t>各类</w:t>
            </w:r>
            <w:r>
              <w:rPr>
                <w:rFonts w:ascii="宋体" w:hAnsi="宋体"/>
                <w:sz w:val="22"/>
              </w:rPr>
              <w:t>操作进行</w:t>
            </w:r>
            <w:r>
              <w:rPr>
                <w:rFonts w:hint="eastAsia" w:ascii="宋体" w:hAnsi="宋体"/>
                <w:sz w:val="22"/>
              </w:rPr>
              <w:t>操作</w:t>
            </w:r>
            <w:r>
              <w:rPr>
                <w:rFonts w:ascii="宋体" w:hAnsi="宋体"/>
                <w:sz w:val="22"/>
              </w:rPr>
              <w:t>日志保留，日志</w:t>
            </w:r>
            <w:r>
              <w:rPr>
                <w:rFonts w:hint="eastAsia" w:ascii="宋体" w:hAnsi="宋体"/>
                <w:sz w:val="22"/>
              </w:rPr>
              <w:t>包含</w:t>
            </w:r>
            <w:r>
              <w:rPr>
                <w:rFonts w:ascii="宋体" w:hAnsi="宋体"/>
                <w:sz w:val="22"/>
              </w:rPr>
              <w:t>：</w:t>
            </w:r>
            <w:r>
              <w:rPr>
                <w:rFonts w:hint="eastAsia" w:ascii="宋体" w:hAnsi="宋体"/>
                <w:sz w:val="22"/>
              </w:rPr>
              <w:t>升级</w:t>
            </w:r>
            <w:r>
              <w:rPr>
                <w:rFonts w:ascii="宋体" w:hAnsi="宋体"/>
                <w:sz w:val="22"/>
              </w:rPr>
              <w:t>日志</w:t>
            </w:r>
            <w:r>
              <w:rPr>
                <w:rFonts w:hint="eastAsia" w:ascii="宋体" w:hAnsi="宋体"/>
                <w:sz w:val="22"/>
              </w:rPr>
              <w:t>、系统</w:t>
            </w:r>
            <w:r>
              <w:rPr>
                <w:rFonts w:ascii="宋体" w:hAnsi="宋体"/>
                <w:sz w:val="22"/>
              </w:rPr>
              <w:t>日志、</w:t>
            </w:r>
            <w:r>
              <w:rPr>
                <w:rFonts w:hint="eastAsia" w:ascii="宋体" w:hAnsi="宋体"/>
                <w:sz w:val="22"/>
              </w:rPr>
              <w:t>操作</w:t>
            </w:r>
            <w:r>
              <w:rPr>
                <w:rFonts w:ascii="宋体" w:hAnsi="宋体"/>
                <w:sz w:val="22"/>
              </w:rPr>
              <w:t>日志、登</w:t>
            </w:r>
            <w:r>
              <w:rPr>
                <w:rFonts w:hint="eastAsia" w:ascii="宋体" w:hAnsi="宋体"/>
                <w:sz w:val="22"/>
              </w:rPr>
              <w:t>录</w:t>
            </w:r>
            <w:r>
              <w:rPr>
                <w:rFonts w:ascii="宋体" w:hAnsi="宋体"/>
                <w:sz w:val="22"/>
              </w:rPr>
              <w:t>日志、</w:t>
            </w:r>
            <w:r>
              <w:rPr>
                <w:rFonts w:hint="eastAsia" w:ascii="宋体" w:hAnsi="宋体"/>
                <w:sz w:val="22"/>
              </w:rPr>
              <w:t>检验</w:t>
            </w:r>
            <w:r>
              <w:rPr>
                <w:rFonts w:ascii="宋体" w:hAnsi="宋体"/>
                <w:sz w:val="22"/>
              </w:rPr>
              <w:t>日志</w:t>
            </w:r>
            <w:r>
              <w:rPr>
                <w:rFonts w:hint="eastAsia" w:ascii="宋体" w:hAnsi="宋体"/>
                <w:sz w:val="22"/>
              </w:rPr>
              <w:t>。</w:t>
            </w:r>
            <w:r>
              <w:rPr>
                <w:rFonts w:hint="eastAsia" w:ascii="宋体" w:hAnsi="宋体"/>
                <w:b/>
                <w:bCs/>
                <w:sz w:val="22"/>
              </w:rPr>
              <w:t>（须提供软件截图证明）</w:t>
            </w:r>
          </w:p>
          <w:p>
            <w:pPr>
              <w:rPr>
                <w:rFonts w:ascii="宋体" w:hAnsi="宋体"/>
                <w:sz w:val="22"/>
              </w:rPr>
            </w:pPr>
            <w:r>
              <w:rPr>
                <w:rFonts w:ascii="宋体" w:hAnsi="宋体"/>
                <w:sz w:val="22"/>
              </w:rPr>
              <w:t>7</w:t>
            </w:r>
            <w:r>
              <w:rPr>
                <w:rFonts w:hint="eastAsia" w:ascii="宋体" w:hAnsi="宋体"/>
                <w:sz w:val="22"/>
              </w:rPr>
              <w:t>、车内</w:t>
            </w:r>
            <w:r>
              <w:rPr>
                <w:rFonts w:ascii="宋体" w:hAnsi="宋体"/>
                <w:sz w:val="22"/>
              </w:rPr>
              <w:t>检测设备</w:t>
            </w:r>
            <w:r>
              <w:rPr>
                <w:rFonts w:hint="eastAsia" w:ascii="宋体" w:hAnsi="宋体"/>
                <w:sz w:val="22"/>
              </w:rPr>
              <w:t>可</w:t>
            </w:r>
            <w:r>
              <w:rPr>
                <w:rFonts w:ascii="宋体" w:hAnsi="宋体"/>
                <w:sz w:val="22"/>
              </w:rPr>
              <w:t>与</w:t>
            </w:r>
            <w:r>
              <w:rPr>
                <w:rFonts w:hint="eastAsia" w:ascii="宋体" w:hAnsi="宋体"/>
                <w:sz w:val="22"/>
              </w:rPr>
              <w:t>车</w:t>
            </w:r>
            <w:r>
              <w:rPr>
                <w:rFonts w:ascii="宋体" w:hAnsi="宋体"/>
                <w:sz w:val="22"/>
              </w:rPr>
              <w:t>载智慧基卫</w:t>
            </w:r>
            <w:r>
              <w:rPr>
                <w:rFonts w:hint="eastAsia" w:ascii="宋体" w:hAnsi="宋体"/>
                <w:sz w:val="22"/>
              </w:rPr>
              <w:t>服务信息</w:t>
            </w:r>
            <w:r>
              <w:rPr>
                <w:rFonts w:ascii="宋体" w:hAnsi="宋体"/>
                <w:sz w:val="22"/>
              </w:rPr>
              <w:t>系统</w:t>
            </w:r>
            <w:r>
              <w:rPr>
                <w:rFonts w:hint="eastAsia" w:ascii="宋体" w:hAnsi="宋体"/>
                <w:sz w:val="22"/>
              </w:rPr>
              <w:t>以</w:t>
            </w:r>
            <w:r>
              <w:rPr>
                <w:rFonts w:ascii="宋体" w:hAnsi="宋体"/>
                <w:sz w:val="22"/>
              </w:rPr>
              <w:t>局域网方式连接，检测结果</w:t>
            </w:r>
            <w:r>
              <w:rPr>
                <w:rFonts w:hint="eastAsia" w:ascii="宋体" w:hAnsi="宋体"/>
                <w:sz w:val="22"/>
              </w:rPr>
              <w:t>可</w:t>
            </w:r>
            <w:r>
              <w:rPr>
                <w:rFonts w:ascii="宋体" w:hAnsi="宋体"/>
                <w:sz w:val="22"/>
              </w:rPr>
              <w:t>直接上传</w:t>
            </w:r>
            <w:r>
              <w:rPr>
                <w:rFonts w:hint="eastAsia" w:ascii="宋体" w:hAnsi="宋体"/>
                <w:sz w:val="22"/>
              </w:rPr>
              <w:t>至车</w:t>
            </w:r>
            <w:r>
              <w:rPr>
                <w:rFonts w:ascii="宋体" w:hAnsi="宋体"/>
                <w:sz w:val="22"/>
              </w:rPr>
              <w:t>载智慧基卫</w:t>
            </w:r>
            <w:r>
              <w:rPr>
                <w:rFonts w:hint="eastAsia" w:ascii="宋体" w:hAnsi="宋体"/>
                <w:sz w:val="22"/>
              </w:rPr>
              <w:t>服务信息</w:t>
            </w:r>
            <w:r>
              <w:rPr>
                <w:rFonts w:ascii="宋体" w:hAnsi="宋体"/>
                <w:sz w:val="22"/>
              </w:rPr>
              <w:t>系统</w:t>
            </w:r>
            <w:r>
              <w:rPr>
                <w:rFonts w:hint="eastAsia" w:ascii="宋体" w:hAnsi="宋体"/>
                <w:sz w:val="22"/>
              </w:rPr>
              <w:t>，</w:t>
            </w:r>
            <w:r>
              <w:rPr>
                <w:rFonts w:ascii="宋体" w:hAnsi="宋体"/>
                <w:sz w:val="22"/>
              </w:rPr>
              <w:t>数据在局域网内传输，</w:t>
            </w:r>
            <w:r>
              <w:rPr>
                <w:rFonts w:hint="eastAsia" w:ascii="宋体" w:hAnsi="宋体"/>
                <w:sz w:val="22"/>
              </w:rPr>
              <w:t>安全</w:t>
            </w:r>
            <w:r>
              <w:rPr>
                <w:rFonts w:ascii="宋体" w:hAnsi="宋体"/>
                <w:sz w:val="22"/>
              </w:rPr>
              <w:t>性更高</w:t>
            </w:r>
            <w:r>
              <w:rPr>
                <w:rFonts w:hint="eastAsia" w:ascii="宋体" w:hAnsi="宋体"/>
                <w:sz w:val="22"/>
              </w:rPr>
              <w:t>。</w:t>
            </w:r>
          </w:p>
          <w:p>
            <w:pPr>
              <w:rPr>
                <w:rFonts w:ascii="宋体" w:hAnsi="宋体"/>
                <w:sz w:val="22"/>
              </w:rPr>
            </w:pPr>
            <w:r>
              <w:rPr>
                <w:rFonts w:hint="eastAsia" w:ascii="宋体" w:hAnsi="宋体"/>
                <w:sz w:val="22"/>
              </w:rPr>
              <w:t>8、</w:t>
            </w:r>
            <w:r>
              <w:rPr>
                <w:rFonts w:ascii="宋体" w:hAnsi="宋体"/>
                <w:sz w:val="22"/>
              </w:rPr>
              <w:t>可以</w:t>
            </w:r>
            <w:r>
              <w:rPr>
                <w:rFonts w:hint="eastAsia" w:ascii="宋体" w:hAnsi="宋体"/>
                <w:sz w:val="22"/>
              </w:rPr>
              <w:t>与智能</w:t>
            </w:r>
            <w:r>
              <w:rPr>
                <w:rFonts w:ascii="宋体" w:hAnsi="宋体"/>
                <w:sz w:val="22"/>
              </w:rPr>
              <w:t>健康包通过局域网方式</w:t>
            </w:r>
            <w:r>
              <w:rPr>
                <w:rFonts w:hint="eastAsia" w:ascii="宋体" w:hAnsi="宋体"/>
                <w:sz w:val="22"/>
              </w:rPr>
              <w:t>通</w:t>
            </w:r>
            <w:r>
              <w:rPr>
                <w:rFonts w:ascii="宋体" w:hAnsi="宋体"/>
                <w:sz w:val="22"/>
              </w:rPr>
              <w:t>讯，将签约和随</w:t>
            </w:r>
            <w:r>
              <w:rPr>
                <w:rFonts w:hint="eastAsia" w:ascii="宋体" w:hAnsi="宋体"/>
                <w:sz w:val="22"/>
              </w:rPr>
              <w:t>访</w:t>
            </w:r>
            <w:r>
              <w:rPr>
                <w:rFonts w:ascii="宋体" w:hAnsi="宋体"/>
                <w:sz w:val="22"/>
              </w:rPr>
              <w:t>数据</w:t>
            </w:r>
            <w:r>
              <w:rPr>
                <w:rFonts w:hint="eastAsia" w:ascii="宋体" w:hAnsi="宋体"/>
                <w:sz w:val="22"/>
              </w:rPr>
              <w:t>进</w:t>
            </w:r>
            <w:r>
              <w:rPr>
                <w:rFonts w:ascii="宋体" w:hAnsi="宋体"/>
                <w:sz w:val="22"/>
              </w:rPr>
              <w:t>行上传，数据在局域网内传输，</w:t>
            </w:r>
            <w:r>
              <w:rPr>
                <w:rFonts w:hint="eastAsia" w:ascii="宋体" w:hAnsi="宋体"/>
                <w:sz w:val="22"/>
              </w:rPr>
              <w:t>安全</w:t>
            </w:r>
            <w:r>
              <w:rPr>
                <w:rFonts w:ascii="宋体" w:hAnsi="宋体"/>
                <w:sz w:val="22"/>
              </w:rPr>
              <w:t>性更高</w:t>
            </w:r>
            <w:r>
              <w:rPr>
                <w:rFonts w:hint="eastAsia" w:ascii="宋体" w:hAnsi="宋体"/>
                <w:sz w:val="22"/>
              </w:rPr>
              <w:t>。</w:t>
            </w:r>
          </w:p>
          <w:p>
            <w:pPr>
              <w:rPr>
                <w:rFonts w:ascii="宋体" w:hAnsi="宋体"/>
                <w:sz w:val="22"/>
              </w:rPr>
            </w:pPr>
            <w:r>
              <w:rPr>
                <w:rFonts w:ascii="宋体" w:hAnsi="宋体"/>
                <w:sz w:val="22"/>
              </w:rPr>
              <w:t>9</w:t>
            </w:r>
            <w:r>
              <w:rPr>
                <w:rFonts w:hint="eastAsia" w:ascii="宋体" w:hAnsi="宋体"/>
                <w:sz w:val="22"/>
              </w:rPr>
              <w:t>、车</w:t>
            </w:r>
            <w:r>
              <w:rPr>
                <w:rFonts w:ascii="宋体" w:hAnsi="宋体"/>
                <w:sz w:val="22"/>
              </w:rPr>
              <w:t>载智慧基卫</w:t>
            </w:r>
            <w:r>
              <w:rPr>
                <w:rFonts w:hint="eastAsia" w:ascii="宋体" w:hAnsi="宋体"/>
                <w:sz w:val="22"/>
              </w:rPr>
              <w:t>服务信息</w:t>
            </w:r>
            <w:r>
              <w:rPr>
                <w:rFonts w:ascii="宋体" w:hAnsi="宋体"/>
                <w:sz w:val="22"/>
              </w:rPr>
              <w:t>系统</w:t>
            </w:r>
            <w:r>
              <w:rPr>
                <w:rFonts w:hint="eastAsia" w:ascii="宋体" w:hAnsi="宋体"/>
                <w:sz w:val="22"/>
              </w:rPr>
              <w:t>在</w:t>
            </w:r>
            <w:r>
              <w:rPr>
                <w:rFonts w:ascii="宋体" w:hAnsi="宋体"/>
                <w:sz w:val="22"/>
              </w:rPr>
              <w:t>专网环境</w:t>
            </w:r>
            <w:r>
              <w:rPr>
                <w:rFonts w:hint="eastAsia" w:ascii="宋体" w:hAnsi="宋体"/>
                <w:sz w:val="22"/>
              </w:rPr>
              <w:t>下</w:t>
            </w:r>
            <w:r>
              <w:rPr>
                <w:rFonts w:ascii="宋体" w:hAnsi="宋体"/>
                <w:sz w:val="22"/>
              </w:rPr>
              <w:t>可将数据上传至第三方信息平台。</w:t>
            </w:r>
          </w:p>
          <w:p>
            <w:pPr>
              <w:rPr>
                <w:rFonts w:ascii="宋体" w:hAnsi="宋体"/>
                <w:sz w:val="22"/>
              </w:rPr>
            </w:pPr>
            <w:r>
              <w:rPr>
                <w:rFonts w:hint="eastAsia" w:ascii="宋体" w:hAnsi="宋体"/>
                <w:sz w:val="24"/>
                <w:szCs w:val="32"/>
              </w:rPr>
              <w:t>★</w:t>
            </w:r>
            <w:r>
              <w:rPr>
                <w:rFonts w:hint="eastAsia" w:ascii="宋体" w:hAnsi="宋体"/>
                <w:sz w:val="22"/>
              </w:rPr>
              <w:t>1</w:t>
            </w:r>
            <w:r>
              <w:rPr>
                <w:rFonts w:ascii="宋体" w:hAnsi="宋体"/>
                <w:sz w:val="22"/>
              </w:rPr>
              <w:t>0</w:t>
            </w:r>
            <w:r>
              <w:rPr>
                <w:rFonts w:hint="eastAsia" w:ascii="宋体" w:hAnsi="宋体"/>
                <w:sz w:val="22"/>
              </w:rPr>
              <w:t>、支持数据库备份和还原功能。数据存储是根据区域网格分级保存，各自管理维护辖区数据。</w:t>
            </w:r>
            <w:r>
              <w:rPr>
                <w:rFonts w:hint="eastAsia" w:ascii="宋体" w:hAnsi="宋体"/>
                <w:b/>
                <w:bCs/>
                <w:sz w:val="22"/>
              </w:rPr>
              <w:t>（须提供软件截图证明）</w:t>
            </w:r>
          </w:p>
          <w:p>
            <w:pPr>
              <w:rPr>
                <w:rFonts w:ascii="宋体" w:hAnsi="宋体"/>
                <w:sz w:val="22"/>
              </w:rPr>
            </w:pPr>
            <w:r>
              <w:rPr>
                <w:rFonts w:hint="eastAsia" w:ascii="宋体" w:hAnsi="宋体"/>
                <w:sz w:val="22"/>
              </w:rPr>
              <w:t>1</w:t>
            </w:r>
            <w:r>
              <w:rPr>
                <w:rFonts w:ascii="宋体" w:hAnsi="宋体"/>
                <w:sz w:val="22"/>
              </w:rPr>
              <w:t>1</w:t>
            </w:r>
            <w:r>
              <w:rPr>
                <w:rFonts w:hint="eastAsia" w:ascii="宋体" w:hAnsi="宋体"/>
                <w:sz w:val="22"/>
              </w:rPr>
              <w:t>、支持软</w:t>
            </w:r>
            <w:r>
              <w:rPr>
                <w:rFonts w:ascii="宋体" w:hAnsi="宋体"/>
                <w:sz w:val="22"/>
              </w:rPr>
              <w:t>件系统</w:t>
            </w:r>
            <w:r>
              <w:rPr>
                <w:rFonts w:hint="eastAsia" w:ascii="宋体" w:hAnsi="宋体"/>
                <w:sz w:val="22"/>
              </w:rPr>
              <w:t>远</w:t>
            </w:r>
            <w:r>
              <w:rPr>
                <w:rFonts w:ascii="宋体" w:hAnsi="宋体"/>
                <w:sz w:val="22"/>
              </w:rPr>
              <w:t>程维护</w:t>
            </w:r>
            <w:r>
              <w:rPr>
                <w:rFonts w:hint="eastAsia" w:ascii="宋体" w:hAnsi="宋体"/>
                <w:sz w:val="22"/>
              </w:rPr>
              <w:t>。</w:t>
            </w:r>
          </w:p>
          <w:p>
            <w:pPr>
              <w:rPr>
                <w:rFonts w:ascii="宋体" w:hAnsi="宋体"/>
                <w:sz w:val="22"/>
              </w:rPr>
            </w:pPr>
            <w:r>
              <w:rPr>
                <w:rFonts w:hint="eastAsia" w:ascii="宋体" w:hAnsi="宋体"/>
                <w:sz w:val="22"/>
              </w:rPr>
              <w:t>1</w:t>
            </w:r>
            <w:r>
              <w:rPr>
                <w:rFonts w:ascii="宋体" w:hAnsi="宋体"/>
                <w:sz w:val="22"/>
              </w:rPr>
              <w:t>2</w:t>
            </w:r>
            <w:r>
              <w:rPr>
                <w:rFonts w:hint="eastAsia" w:ascii="宋体" w:hAnsi="宋体"/>
                <w:sz w:val="22"/>
              </w:rPr>
              <w:t>、支持与县人民医院预约挂号、远程视频会诊、急救系统进行对接。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 w:type="dxa"/>
            <w:vMerge w:val="restart"/>
            <w:tcBorders>
              <w:left w:val="single" w:color="auto" w:sz="4" w:space="0"/>
              <w:right w:val="single" w:color="auto" w:sz="4" w:space="0"/>
            </w:tcBorders>
            <w:shd w:val="clear" w:color="auto" w:fill="auto"/>
            <w:vAlign w:val="center"/>
          </w:tcPr>
          <w:p>
            <w:pPr>
              <w:jc w:val="center"/>
              <w:rPr>
                <w:rFonts w:ascii="宋体" w:hAnsi="宋体"/>
                <w:sz w:val="22"/>
              </w:rPr>
            </w:pPr>
            <w:r>
              <w:rPr>
                <w:rFonts w:hint="eastAsia" w:ascii="宋体" w:hAnsi="宋体"/>
                <w:sz w:val="22"/>
              </w:rPr>
              <w:t>2</w:t>
            </w:r>
          </w:p>
        </w:tc>
        <w:tc>
          <w:tcPr>
            <w:tcW w:w="836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sz w:val="22"/>
              </w:rPr>
            </w:pPr>
            <w:r>
              <w:rPr>
                <w:rFonts w:hint="eastAsia" w:ascii="宋体" w:hAnsi="宋体"/>
                <w:sz w:val="22"/>
              </w:rPr>
              <w:t>公卫体检子系统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52" w:type="dxa"/>
            <w:vMerge w:val="continue"/>
            <w:tcBorders>
              <w:left w:val="single" w:color="auto" w:sz="4" w:space="0"/>
              <w:right w:val="single" w:color="auto" w:sz="4" w:space="0"/>
            </w:tcBorders>
            <w:shd w:val="clear" w:color="auto" w:fill="auto"/>
            <w:vAlign w:val="center"/>
          </w:tcPr>
          <w:p>
            <w:pPr>
              <w:jc w:val="center"/>
              <w:rPr>
                <w:rFonts w:ascii="宋体" w:hAnsi="宋体"/>
                <w:sz w:val="22"/>
              </w:rPr>
            </w:pPr>
          </w:p>
        </w:tc>
        <w:tc>
          <w:tcPr>
            <w:tcW w:w="8362"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sz w:val="22"/>
              </w:rPr>
            </w:pPr>
            <w:r>
              <w:rPr>
                <w:rFonts w:hint="eastAsia" w:ascii="宋体" w:hAnsi="宋体"/>
                <w:sz w:val="22"/>
              </w:rPr>
              <w:t>1、基于国家基本公共卫生服务工作要求，内置《国家第三版基本公共卫生服务规范》要求的居民健康档案、健康年检表、高血压和糖尿病随访、中医体质辨识、老年人自理能力评估等基础服务，具备用户登记、指标检测、数据汇总、打印报告、数据上传等功能。</w:t>
            </w:r>
          </w:p>
          <w:p>
            <w:pPr>
              <w:rPr>
                <w:rFonts w:ascii="宋体" w:hAnsi="宋体"/>
                <w:sz w:val="22"/>
              </w:rPr>
            </w:pPr>
            <w:r>
              <w:rPr>
                <w:rFonts w:hint="eastAsia" w:ascii="宋体" w:hAnsi="宋体"/>
                <w:sz w:val="22"/>
              </w:rPr>
              <w:t>2、信息采集系统通过内置检测设备采集的数据进行数据的自动合并及汇总。并且可与车载尿液分析仪、血液分析仪等设备集成，自动获取数据并汇总到终端设备，检查无误后可自动上传或批量上传。</w:t>
            </w:r>
          </w:p>
          <w:p>
            <w:pPr>
              <w:rPr>
                <w:rFonts w:ascii="宋体" w:hAnsi="宋体"/>
                <w:sz w:val="22"/>
              </w:rPr>
            </w:pPr>
            <w:r>
              <w:rPr>
                <w:rFonts w:hint="eastAsia" w:ascii="宋体" w:hAnsi="宋体"/>
                <w:sz w:val="22"/>
              </w:rPr>
              <w:t>★</w:t>
            </w:r>
            <w:r>
              <w:rPr>
                <w:rFonts w:ascii="宋体" w:hAnsi="宋体"/>
                <w:sz w:val="22"/>
              </w:rPr>
              <w:t>3</w:t>
            </w:r>
            <w:r>
              <w:rPr>
                <w:rFonts w:hint="eastAsia" w:ascii="宋体" w:hAnsi="宋体"/>
                <w:sz w:val="22"/>
              </w:rPr>
              <w:t>、为保障高效作业，系统支持双血压仪同时工作。</w:t>
            </w:r>
            <w:r>
              <w:rPr>
                <w:rFonts w:hint="eastAsia" w:ascii="宋体" w:hAnsi="宋体"/>
                <w:b/>
                <w:bCs/>
                <w:sz w:val="22"/>
              </w:rPr>
              <w:t>（须提供软件截图证明）</w:t>
            </w:r>
          </w:p>
          <w:p>
            <w:pPr>
              <w:rPr>
                <w:rFonts w:ascii="宋体" w:hAnsi="宋体"/>
                <w:sz w:val="22"/>
              </w:rPr>
            </w:pPr>
            <w:r>
              <w:rPr>
                <w:rFonts w:hint="eastAsia" w:ascii="宋体" w:hAnsi="宋体"/>
                <w:sz w:val="22"/>
              </w:rPr>
              <w:t>4、支持流水线式公卫体检，一上午（</w:t>
            </w:r>
            <w:r>
              <w:rPr>
                <w:rFonts w:ascii="宋体" w:hAnsi="宋体"/>
                <w:sz w:val="22"/>
              </w:rPr>
              <w:t>8</w:t>
            </w:r>
            <w:r>
              <w:rPr>
                <w:rFonts w:hint="eastAsia" w:ascii="宋体" w:hAnsi="宋体"/>
                <w:sz w:val="22"/>
              </w:rPr>
              <w:t>：0</w:t>
            </w:r>
            <w:r>
              <w:rPr>
                <w:rFonts w:ascii="宋体" w:hAnsi="宋体"/>
                <w:sz w:val="22"/>
              </w:rPr>
              <w:t>0-12</w:t>
            </w:r>
            <w:r>
              <w:rPr>
                <w:rFonts w:hint="eastAsia" w:ascii="宋体" w:hAnsi="宋体"/>
                <w:sz w:val="22"/>
              </w:rPr>
              <w:t>:</w:t>
            </w:r>
            <w:r>
              <w:rPr>
                <w:rFonts w:ascii="宋体" w:hAnsi="宋体"/>
                <w:sz w:val="22"/>
              </w:rPr>
              <w:t>00</w:t>
            </w:r>
            <w:r>
              <w:rPr>
                <w:rFonts w:hint="eastAsia" w:ascii="宋体" w:hAnsi="宋体"/>
                <w:sz w:val="22"/>
              </w:rPr>
              <w:t>）可检测人数1</w:t>
            </w:r>
            <w:r>
              <w:rPr>
                <w:rFonts w:ascii="宋体" w:hAnsi="宋体"/>
                <w:sz w:val="22"/>
              </w:rPr>
              <w:t>00</w:t>
            </w:r>
            <w:r>
              <w:rPr>
                <w:rFonts w:hint="eastAsia" w:ascii="宋体" w:hAnsi="宋体"/>
                <w:sz w:val="22"/>
              </w:rPr>
              <w:t>人以上。</w:t>
            </w:r>
          </w:p>
          <w:p>
            <w:pPr>
              <w:rPr>
                <w:rFonts w:ascii="宋体" w:hAnsi="宋体"/>
                <w:sz w:val="22"/>
              </w:rPr>
            </w:pPr>
            <w:r>
              <w:rPr>
                <w:rFonts w:hint="eastAsia" w:ascii="宋体" w:hAnsi="宋体"/>
                <w:sz w:val="22"/>
              </w:rPr>
              <w:t>▲5、支持外出进行医疗卫生服务时，可一站式实现家医签约、年度体检、慢病随访、中医体质辨识等功能，避免重复工作。</w:t>
            </w:r>
          </w:p>
          <w:p>
            <w:pPr>
              <w:rPr>
                <w:rFonts w:ascii="宋体" w:hAnsi="宋体"/>
                <w:sz w:val="22"/>
              </w:rPr>
            </w:pPr>
            <w:r>
              <w:rPr>
                <w:rFonts w:hint="eastAsia" w:ascii="宋体" w:hAnsi="宋体"/>
                <w:sz w:val="22"/>
              </w:rPr>
              <w:t>▲</w:t>
            </w:r>
            <w:r>
              <w:rPr>
                <w:rFonts w:ascii="宋体" w:hAnsi="宋体"/>
                <w:sz w:val="22"/>
              </w:rPr>
              <w:t>6</w:t>
            </w:r>
            <w:r>
              <w:rPr>
                <w:rFonts w:hint="eastAsia" w:ascii="宋体" w:hAnsi="宋体"/>
                <w:sz w:val="22"/>
              </w:rPr>
              <w:t>、支持批量导入和新建用户信息，提供老、高、糖等标签化管理。</w:t>
            </w:r>
            <w:r>
              <w:rPr>
                <w:rFonts w:hint="eastAsia" w:ascii="宋体" w:hAnsi="宋体"/>
                <w:b/>
                <w:bCs/>
                <w:sz w:val="22"/>
              </w:rPr>
              <w:t>（须提供软件截图证明）</w:t>
            </w:r>
          </w:p>
          <w:p>
            <w:pPr>
              <w:rPr>
                <w:rFonts w:ascii="宋体" w:hAnsi="宋体"/>
                <w:sz w:val="22"/>
              </w:rPr>
            </w:pPr>
            <w:r>
              <w:rPr>
                <w:rFonts w:hint="eastAsia" w:ascii="宋体" w:hAnsi="宋体"/>
                <w:sz w:val="22"/>
              </w:rPr>
              <w:t>7、可根据医生角色灵活配置一个或多个项目。</w:t>
            </w:r>
          </w:p>
          <w:p>
            <w:pPr>
              <w:rPr>
                <w:rFonts w:ascii="宋体" w:hAnsi="宋体"/>
                <w:sz w:val="22"/>
              </w:rPr>
            </w:pPr>
            <w:r>
              <w:rPr>
                <w:rFonts w:ascii="宋体" w:hAnsi="宋体"/>
                <w:sz w:val="22"/>
              </w:rPr>
              <w:t>8</w:t>
            </w:r>
            <w:r>
              <w:rPr>
                <w:rFonts w:hint="eastAsia" w:ascii="宋体" w:hAnsi="宋体"/>
                <w:sz w:val="22"/>
              </w:rPr>
              <w:t>、提供报告查询功能，可以从几个维度进行查询：检测仪器、检验日期、样本号范围、申请项目、受检者ID、条码、姓名、性别、身份证号、就诊类型、状态。</w:t>
            </w:r>
          </w:p>
          <w:p>
            <w:pPr>
              <w:rPr>
                <w:rFonts w:ascii="宋体" w:hAnsi="宋体"/>
                <w:sz w:val="22"/>
              </w:rPr>
            </w:pPr>
            <w:r>
              <w:rPr>
                <w:rFonts w:ascii="宋体" w:hAnsi="宋体"/>
                <w:sz w:val="22"/>
              </w:rPr>
              <w:t>9</w:t>
            </w:r>
            <w:r>
              <w:rPr>
                <w:rFonts w:hint="eastAsia" w:ascii="宋体" w:hAnsi="宋体"/>
                <w:sz w:val="22"/>
              </w:rPr>
              <w:t>、支持体检用户、电子健康档案、体检数据、健康体检表、中医体质辨识、老年人自理能力评估、高血压和糖尿病随访等数据分类管理和维护，可清晰明了知晓当日工作完成情况，审核确认的数据可批量打印、上传。</w:t>
            </w:r>
          </w:p>
          <w:p>
            <w:pPr>
              <w:rPr>
                <w:rFonts w:ascii="宋体" w:hAnsi="宋体"/>
                <w:sz w:val="22"/>
              </w:rPr>
            </w:pPr>
            <w:r>
              <w:rPr>
                <w:rFonts w:ascii="宋体" w:hAnsi="宋体"/>
                <w:sz w:val="22"/>
              </w:rPr>
              <w:t>10</w:t>
            </w:r>
            <w:r>
              <w:rPr>
                <w:rFonts w:hint="eastAsia" w:ascii="宋体" w:hAnsi="宋体"/>
                <w:sz w:val="22"/>
              </w:rPr>
              <w:t>、支持打印批量体检报告单及基本公卫服务规范中涉及到的表格。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 w:type="dxa"/>
            <w:vMerge w:val="restart"/>
            <w:tcBorders>
              <w:left w:val="single" w:color="auto" w:sz="4" w:space="0"/>
              <w:right w:val="single" w:color="auto" w:sz="4" w:space="0"/>
            </w:tcBorders>
            <w:shd w:val="clear" w:color="auto" w:fill="auto"/>
            <w:vAlign w:val="center"/>
          </w:tcPr>
          <w:p>
            <w:pPr>
              <w:jc w:val="center"/>
              <w:rPr>
                <w:rFonts w:ascii="宋体" w:hAnsi="宋体"/>
                <w:sz w:val="22"/>
              </w:rPr>
            </w:pPr>
            <w:r>
              <w:rPr>
                <w:rFonts w:hint="eastAsia" w:ascii="宋体" w:hAnsi="宋体"/>
                <w:sz w:val="22"/>
              </w:rPr>
              <w:t>3</w:t>
            </w:r>
          </w:p>
        </w:tc>
        <w:tc>
          <w:tcPr>
            <w:tcW w:w="836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sz w:val="22"/>
              </w:rPr>
            </w:pPr>
            <w:r>
              <w:rPr>
                <w:rFonts w:hint="eastAsia" w:ascii="宋体" w:hAnsi="宋体"/>
                <w:sz w:val="22"/>
              </w:rPr>
              <w:t>随访管理子系统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52" w:type="dxa"/>
            <w:vMerge w:val="continue"/>
            <w:tcBorders>
              <w:left w:val="single" w:color="auto" w:sz="4" w:space="0"/>
              <w:right w:val="single" w:color="auto" w:sz="4" w:space="0"/>
            </w:tcBorders>
            <w:shd w:val="clear" w:color="auto" w:fill="auto"/>
            <w:vAlign w:val="center"/>
          </w:tcPr>
          <w:p>
            <w:pPr>
              <w:jc w:val="center"/>
              <w:rPr>
                <w:rFonts w:ascii="宋体" w:hAnsi="宋体"/>
                <w:sz w:val="22"/>
              </w:rPr>
            </w:pPr>
          </w:p>
        </w:tc>
        <w:tc>
          <w:tcPr>
            <w:tcW w:w="8362"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sz w:val="22"/>
              </w:rPr>
            </w:pPr>
            <w:r>
              <w:rPr>
                <w:rFonts w:hint="eastAsia" w:ascii="宋体" w:hAnsi="宋体"/>
                <w:sz w:val="22"/>
              </w:rPr>
              <w:t>1、可进行高血压患者随访，形成公卫3.0规范随访记录表，并可对接至上级公卫系统。</w:t>
            </w:r>
          </w:p>
          <w:p>
            <w:pPr>
              <w:rPr>
                <w:rFonts w:ascii="宋体" w:hAnsi="宋体"/>
                <w:sz w:val="22"/>
              </w:rPr>
            </w:pPr>
            <w:r>
              <w:rPr>
                <w:rFonts w:hint="eastAsia" w:ascii="宋体" w:hAnsi="宋体"/>
                <w:sz w:val="22"/>
              </w:rPr>
              <w:t>2、可进行II型糖尿病随访，形成公卫3.0规范随访记录表，并可对接至上级公卫系统。</w:t>
            </w:r>
          </w:p>
          <w:p>
            <w:pPr>
              <w:rPr>
                <w:rFonts w:ascii="宋体" w:hAnsi="宋体"/>
                <w:sz w:val="22"/>
              </w:rPr>
            </w:pPr>
            <w:r>
              <w:rPr>
                <w:rFonts w:hint="eastAsia" w:ascii="宋体" w:hAnsi="宋体"/>
                <w:sz w:val="22"/>
              </w:rPr>
              <w:t>3、可进行公卫要求的其他重点人群随访（孕产妇、0-6岁儿童、重度精神病患者、肺结核患者、贫困户、五保户、残疾人群等）</w:t>
            </w:r>
          </w:p>
          <w:p>
            <w:pPr>
              <w:rPr>
                <w:rFonts w:ascii="宋体" w:hAnsi="宋体"/>
                <w:sz w:val="22"/>
              </w:rPr>
            </w:pPr>
            <w:r>
              <w:rPr>
                <w:rFonts w:ascii="宋体" w:hAnsi="宋体"/>
                <w:sz w:val="22"/>
              </w:rPr>
              <w:t>4</w:t>
            </w:r>
            <w:r>
              <w:rPr>
                <w:rFonts w:hint="eastAsia" w:ascii="宋体" w:hAnsi="宋体"/>
                <w:sz w:val="22"/>
              </w:rPr>
              <w:t>、具有随访提醒功能：医生登录系统后，可便利得知待随访人员清单、待随访事项类型。</w:t>
            </w:r>
          </w:p>
          <w:p>
            <w:pPr>
              <w:rPr>
                <w:rFonts w:ascii="宋体" w:hAnsi="宋体"/>
                <w:sz w:val="22"/>
              </w:rPr>
            </w:pPr>
            <w:r>
              <w:rPr>
                <w:rFonts w:ascii="宋体" w:hAnsi="宋体"/>
                <w:sz w:val="22"/>
              </w:rPr>
              <w:t>5</w:t>
            </w:r>
            <w:r>
              <w:rPr>
                <w:rFonts w:hint="eastAsia" w:ascii="宋体" w:hAnsi="宋体"/>
                <w:sz w:val="22"/>
              </w:rPr>
              <w:t>、具有随访统计功能：可查看各医生团队随访总工作量，已完成、未完成工作量。</w:t>
            </w:r>
          </w:p>
          <w:p>
            <w:pPr>
              <w:rPr>
                <w:rFonts w:ascii="宋体" w:hAnsi="宋体"/>
                <w:sz w:val="22"/>
              </w:rPr>
            </w:pPr>
            <w:r>
              <w:rPr>
                <w:rFonts w:hint="eastAsia" w:ascii="宋体" w:hAnsi="宋体"/>
                <w:sz w:val="22"/>
              </w:rPr>
              <w:t>▲6、支持没有网络的情况下也可利用移动端进行随访处理。</w:t>
            </w:r>
          </w:p>
          <w:p>
            <w:pPr>
              <w:rPr>
                <w:rFonts w:ascii="宋体" w:hAnsi="宋体"/>
                <w:sz w:val="22"/>
              </w:rPr>
            </w:pPr>
            <w:r>
              <w:rPr>
                <w:rFonts w:hint="eastAsia" w:ascii="宋体" w:hAnsi="宋体"/>
                <w:sz w:val="22"/>
              </w:rPr>
              <w:t>▲7、可与家医签约系统及</w:t>
            </w:r>
            <w:r>
              <w:rPr>
                <w:rFonts w:ascii="宋体" w:hAnsi="宋体"/>
                <w:sz w:val="22"/>
              </w:rPr>
              <w:t>智慧基卫</w:t>
            </w:r>
            <w:r>
              <w:rPr>
                <w:rFonts w:hint="eastAsia" w:ascii="宋体" w:hAnsi="宋体"/>
                <w:sz w:val="22"/>
              </w:rPr>
              <w:t>服务信息</w:t>
            </w:r>
            <w:r>
              <w:rPr>
                <w:rFonts w:ascii="宋体" w:hAnsi="宋体"/>
                <w:sz w:val="22"/>
              </w:rPr>
              <w:t>系统</w:t>
            </w:r>
            <w:r>
              <w:rPr>
                <w:rFonts w:hint="eastAsia" w:ascii="宋体" w:hAnsi="宋体"/>
                <w:sz w:val="22"/>
              </w:rPr>
              <w:t>连通，一次随访即可满足公卫服务要求，也可满足家医签约服务包的内容要求，并可纳入相关工作统计。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 w:type="dxa"/>
            <w:vMerge w:val="restart"/>
            <w:tcBorders>
              <w:left w:val="single" w:color="auto" w:sz="4" w:space="0"/>
              <w:right w:val="single" w:color="auto" w:sz="4" w:space="0"/>
            </w:tcBorders>
            <w:shd w:val="clear" w:color="auto" w:fill="auto"/>
            <w:vAlign w:val="center"/>
          </w:tcPr>
          <w:p>
            <w:pPr>
              <w:jc w:val="center"/>
              <w:rPr>
                <w:rFonts w:ascii="宋体" w:hAnsi="宋体"/>
                <w:sz w:val="22"/>
              </w:rPr>
            </w:pPr>
            <w:r>
              <w:rPr>
                <w:rFonts w:hint="eastAsia" w:ascii="宋体" w:hAnsi="宋体"/>
                <w:sz w:val="22"/>
              </w:rPr>
              <w:t>4</w:t>
            </w:r>
          </w:p>
        </w:tc>
        <w:tc>
          <w:tcPr>
            <w:tcW w:w="836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sz w:val="22"/>
              </w:rPr>
            </w:pPr>
            <w:r>
              <w:rPr>
                <w:rFonts w:hint="eastAsia" w:ascii="宋体" w:hAnsi="宋体"/>
                <w:sz w:val="22"/>
              </w:rPr>
              <w:t>数据采集子系统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52" w:type="dxa"/>
            <w:vMerge w:val="continue"/>
            <w:tcBorders>
              <w:left w:val="single" w:color="auto" w:sz="4" w:space="0"/>
              <w:right w:val="single" w:color="auto" w:sz="4" w:space="0"/>
            </w:tcBorders>
            <w:shd w:val="clear" w:color="auto" w:fill="auto"/>
            <w:vAlign w:val="center"/>
          </w:tcPr>
          <w:p>
            <w:pPr>
              <w:jc w:val="center"/>
              <w:rPr>
                <w:rFonts w:ascii="宋体" w:hAnsi="宋体"/>
                <w:sz w:val="22"/>
              </w:rPr>
            </w:pPr>
          </w:p>
        </w:tc>
        <w:tc>
          <w:tcPr>
            <w:tcW w:w="8362"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sz w:val="22"/>
              </w:rPr>
            </w:pPr>
            <w:r>
              <w:rPr>
                <w:rFonts w:hint="eastAsia" w:ascii="宋体" w:hAnsi="宋体"/>
                <w:sz w:val="22"/>
              </w:rPr>
              <w:t>1、可对接车载各项设备数据，包括心电、台式彩超、身高体重秤、血压计、智能健康包等。</w:t>
            </w:r>
          </w:p>
          <w:p>
            <w:pPr>
              <w:rPr>
                <w:rFonts w:ascii="宋体" w:hAnsi="宋体"/>
                <w:sz w:val="22"/>
              </w:rPr>
            </w:pPr>
            <w:r>
              <w:rPr>
                <w:rFonts w:hint="eastAsia" w:ascii="宋体" w:hAnsi="宋体"/>
                <w:sz w:val="22"/>
              </w:rPr>
              <w:t>▲2、可对接院内检验设备各项数据，与车载设备所采集的医疗卫生服务信息进行合并，形成满足公卫规范的相应表单（包括健康年检、慢病随访、重点人群访视等）。</w:t>
            </w:r>
          </w:p>
          <w:p>
            <w:pPr>
              <w:rPr>
                <w:rFonts w:ascii="宋体" w:hAnsi="宋体"/>
                <w:sz w:val="22"/>
              </w:rPr>
            </w:pPr>
            <w:r>
              <w:rPr>
                <w:rFonts w:hint="eastAsia" w:ascii="宋体" w:hAnsi="宋体"/>
                <w:sz w:val="22"/>
              </w:rPr>
              <w:t>3、可对接上级公卫系统。</w:t>
            </w:r>
          </w:p>
          <w:p>
            <w:pPr>
              <w:rPr>
                <w:rFonts w:ascii="宋体" w:hAnsi="宋体"/>
                <w:sz w:val="22"/>
              </w:rPr>
            </w:pPr>
            <w:r>
              <w:rPr>
                <w:rFonts w:hint="eastAsia" w:ascii="宋体" w:hAnsi="宋体"/>
                <w:sz w:val="22"/>
              </w:rPr>
              <w:t>▲4、数据合并不依赖于车载设备实时联网的情况。即外出进行机动医疗卫生服务时，即便没有外部网络连接，也可完成车载设备的数据收集合并，再通过可移动服务器回到院内与院内服务信息进行整合，形成满足公卫3</w:t>
            </w:r>
            <w:r>
              <w:rPr>
                <w:rFonts w:ascii="宋体" w:hAnsi="宋体"/>
                <w:sz w:val="22"/>
              </w:rPr>
              <w:t>.0</w:t>
            </w:r>
            <w:r>
              <w:rPr>
                <w:rFonts w:hint="eastAsia" w:ascii="宋体" w:hAnsi="宋体"/>
                <w:sz w:val="22"/>
              </w:rPr>
              <w:t>规范的相关表格。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 w:type="dxa"/>
            <w:vMerge w:val="restart"/>
            <w:tcBorders>
              <w:left w:val="single" w:color="auto" w:sz="4" w:space="0"/>
              <w:right w:val="single" w:color="auto" w:sz="4" w:space="0"/>
            </w:tcBorders>
            <w:shd w:val="clear" w:color="auto" w:fill="auto"/>
            <w:vAlign w:val="center"/>
          </w:tcPr>
          <w:p>
            <w:pPr>
              <w:jc w:val="center"/>
              <w:rPr>
                <w:rFonts w:ascii="宋体" w:hAnsi="宋体"/>
                <w:sz w:val="22"/>
              </w:rPr>
            </w:pPr>
            <w:r>
              <w:rPr>
                <w:rFonts w:ascii="宋体" w:hAnsi="宋体"/>
                <w:sz w:val="22"/>
              </w:rPr>
              <w:t>5</w:t>
            </w:r>
          </w:p>
        </w:tc>
        <w:tc>
          <w:tcPr>
            <w:tcW w:w="836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sz w:val="22"/>
              </w:rPr>
            </w:pPr>
            <w:r>
              <w:rPr>
                <w:rFonts w:hint="eastAsia" w:ascii="宋体" w:hAnsi="宋体"/>
                <w:sz w:val="22"/>
              </w:rPr>
              <w:t>车载智慧基卫系统-分级诊疗子系统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52" w:type="dxa"/>
            <w:vMerge w:val="continue"/>
            <w:tcBorders>
              <w:left w:val="single" w:color="auto" w:sz="4" w:space="0"/>
              <w:right w:val="single" w:color="auto" w:sz="4" w:space="0"/>
            </w:tcBorders>
            <w:shd w:val="clear" w:color="auto" w:fill="auto"/>
            <w:vAlign w:val="center"/>
          </w:tcPr>
          <w:p>
            <w:pPr>
              <w:jc w:val="center"/>
              <w:rPr>
                <w:rFonts w:ascii="宋体" w:hAnsi="宋体"/>
                <w:sz w:val="22"/>
              </w:rPr>
            </w:pPr>
          </w:p>
        </w:tc>
        <w:tc>
          <w:tcPr>
            <w:tcW w:w="8362"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sz w:val="22"/>
              </w:rPr>
            </w:pPr>
            <w:r>
              <w:rPr>
                <w:rFonts w:hint="eastAsia" w:ascii="宋体" w:hAnsi="宋体"/>
                <w:sz w:val="22"/>
              </w:rPr>
              <w:t>1、可实现乡镇卫生院与上级医院对接，实现双向转诊功能。</w:t>
            </w:r>
          </w:p>
          <w:p>
            <w:pPr>
              <w:rPr>
                <w:rFonts w:ascii="宋体" w:hAnsi="宋体"/>
                <w:sz w:val="22"/>
              </w:rPr>
            </w:pPr>
            <w:r>
              <w:rPr>
                <w:rFonts w:ascii="宋体" w:hAnsi="宋体"/>
                <w:sz w:val="22"/>
              </w:rPr>
              <w:t>2</w:t>
            </w:r>
            <w:r>
              <w:rPr>
                <w:rFonts w:hint="eastAsia" w:ascii="宋体" w:hAnsi="宋体"/>
                <w:sz w:val="22"/>
              </w:rPr>
              <w:t>、可实现乡镇卫生院对接上级医院，实现远程视频问诊功能。</w:t>
            </w:r>
          </w:p>
          <w:p>
            <w:pPr>
              <w:rPr>
                <w:rFonts w:ascii="宋体" w:hAnsi="宋体"/>
                <w:sz w:val="22"/>
              </w:rPr>
            </w:pPr>
            <w:r>
              <w:rPr>
                <w:rFonts w:ascii="宋体" w:hAnsi="宋体"/>
                <w:sz w:val="22"/>
              </w:rPr>
              <w:t>3</w:t>
            </w:r>
            <w:r>
              <w:rPr>
                <w:rFonts w:hint="eastAsia" w:ascii="宋体" w:hAnsi="宋体"/>
                <w:sz w:val="22"/>
              </w:rPr>
              <w:t>、可实现乡镇卫生院对接上级医院，实现预约挂号功能。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 w:type="dxa"/>
            <w:vMerge w:val="restart"/>
            <w:tcBorders>
              <w:left w:val="single" w:color="auto" w:sz="4" w:space="0"/>
              <w:right w:val="single" w:color="auto" w:sz="4" w:space="0"/>
            </w:tcBorders>
            <w:shd w:val="clear" w:color="auto" w:fill="auto"/>
            <w:vAlign w:val="center"/>
          </w:tcPr>
          <w:p>
            <w:pPr>
              <w:jc w:val="center"/>
              <w:rPr>
                <w:rFonts w:ascii="宋体" w:hAnsi="宋体"/>
                <w:sz w:val="22"/>
              </w:rPr>
            </w:pPr>
            <w:r>
              <w:rPr>
                <w:rFonts w:ascii="宋体" w:hAnsi="宋体"/>
                <w:sz w:val="22"/>
              </w:rPr>
              <w:t>6</w:t>
            </w:r>
          </w:p>
        </w:tc>
        <w:tc>
          <w:tcPr>
            <w:tcW w:w="836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sz w:val="22"/>
              </w:rPr>
            </w:pPr>
            <w:r>
              <w:rPr>
                <w:rFonts w:hint="eastAsia" w:ascii="宋体" w:hAnsi="宋体"/>
                <w:sz w:val="22"/>
              </w:rPr>
              <w:t>数据对接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52" w:type="dxa"/>
            <w:vMerge w:val="continue"/>
            <w:tcBorders>
              <w:left w:val="single" w:color="auto" w:sz="4" w:space="0"/>
              <w:right w:val="single" w:color="auto" w:sz="4" w:space="0"/>
            </w:tcBorders>
            <w:shd w:val="clear" w:color="auto" w:fill="auto"/>
            <w:vAlign w:val="center"/>
          </w:tcPr>
          <w:p>
            <w:pPr>
              <w:jc w:val="center"/>
              <w:rPr>
                <w:rFonts w:ascii="宋体" w:hAnsi="宋体"/>
                <w:sz w:val="22"/>
              </w:rPr>
            </w:pPr>
          </w:p>
        </w:tc>
        <w:tc>
          <w:tcPr>
            <w:tcW w:w="836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sz w:val="22"/>
              </w:rPr>
            </w:pPr>
            <w:r>
              <w:rPr>
                <w:rFonts w:hint="eastAsia" w:ascii="宋体" w:hAnsi="宋体"/>
                <w:sz w:val="22"/>
              </w:rPr>
              <w:t>1、公卫数据可对接到第三方信息平台</w:t>
            </w:r>
          </w:p>
          <w:p>
            <w:pPr>
              <w:rPr>
                <w:rFonts w:ascii="宋体" w:hAnsi="宋体"/>
                <w:sz w:val="22"/>
              </w:rPr>
            </w:pPr>
            <w:r>
              <w:rPr>
                <w:rFonts w:ascii="宋体" w:hAnsi="宋体"/>
                <w:sz w:val="22"/>
              </w:rPr>
              <w:t>2</w:t>
            </w:r>
            <w:r>
              <w:rPr>
                <w:rFonts w:hint="eastAsia" w:ascii="宋体" w:hAnsi="宋体"/>
                <w:sz w:val="22"/>
              </w:rPr>
              <w:t>、疫情筛查数据可对接到疾控部门及医院信息系统。</w:t>
            </w:r>
          </w:p>
        </w:tc>
      </w:tr>
      <w:bookmarkEnd w:id="43"/>
    </w:tbl>
    <w:p>
      <w:pPr>
        <w:rPr>
          <w:rFonts w:ascii="宋体" w:hAnsi="宋体"/>
          <w:sz w:val="24"/>
          <w:szCs w:val="32"/>
        </w:rPr>
      </w:pPr>
    </w:p>
    <w:p>
      <w:pPr>
        <w:rPr>
          <w:rFonts w:ascii="宋体" w:hAnsi="宋体"/>
          <w:sz w:val="24"/>
          <w:szCs w:val="32"/>
        </w:rPr>
      </w:pPr>
    </w:p>
    <w:p>
      <w:pPr>
        <w:pStyle w:val="4"/>
        <w:ind w:left="425" w:hanging="425"/>
      </w:pPr>
      <w:r>
        <w:rPr>
          <w:rFonts w:hint="eastAsia"/>
        </w:rPr>
        <w:t>3</w:t>
      </w:r>
      <w:r>
        <w:t>.2</w:t>
      </w:r>
      <w:r>
        <w:rPr>
          <w:rFonts w:hint="eastAsia"/>
        </w:rPr>
        <w:t>、彩色多普勒超声波诊断仪</w:t>
      </w:r>
    </w:p>
    <w:p>
      <w:pPr>
        <w:pStyle w:val="33"/>
        <w:spacing w:before="0" w:after="0" w:line="360" w:lineRule="auto"/>
        <w:rPr>
          <w:rFonts w:hAnsi="宋体"/>
          <w:b/>
          <w:bCs/>
          <w:szCs w:val="24"/>
        </w:rPr>
      </w:pPr>
      <w:bookmarkStart w:id="44" w:name="_Hlk50299095"/>
      <w:r>
        <w:rPr>
          <w:rFonts w:hint="eastAsia" w:hAnsi="宋体"/>
          <w:b/>
          <w:bCs/>
          <w:szCs w:val="24"/>
        </w:rPr>
        <w:t>一、主要规格及系统概述：</w:t>
      </w:r>
    </w:p>
    <w:p>
      <w:pPr>
        <w:pStyle w:val="33"/>
        <w:spacing w:before="0" w:after="0" w:line="360" w:lineRule="auto"/>
        <w:rPr>
          <w:rFonts w:hAnsi="宋体"/>
          <w:szCs w:val="24"/>
        </w:rPr>
      </w:pPr>
      <w:r>
        <w:rPr>
          <w:rFonts w:hint="eastAsia" w:hAnsi="宋体"/>
          <w:szCs w:val="24"/>
        </w:rPr>
        <w:t>1.彩色多普勒超声波诊断仪包括：</w:t>
      </w:r>
    </w:p>
    <w:p>
      <w:pPr>
        <w:spacing w:line="360" w:lineRule="auto"/>
        <w:rPr>
          <w:rFonts w:ascii="宋体" w:hAnsi="宋体" w:cs="宋体"/>
          <w:sz w:val="24"/>
        </w:rPr>
      </w:pPr>
      <w:r>
        <w:rPr>
          <w:rFonts w:hint="eastAsia" w:ascii="宋体" w:hAnsi="宋体" w:cs="宋体"/>
          <w:sz w:val="24"/>
        </w:rPr>
        <w:t>1.1、≥18.5英寸液晶彩色显视器</w:t>
      </w:r>
    </w:p>
    <w:p>
      <w:pPr>
        <w:spacing w:line="360" w:lineRule="auto"/>
        <w:rPr>
          <w:rFonts w:ascii="宋体" w:hAnsi="宋体" w:cs="宋体"/>
          <w:sz w:val="24"/>
        </w:rPr>
      </w:pPr>
      <w:r>
        <w:rPr>
          <w:rFonts w:hint="eastAsia" w:ascii="宋体" w:hAnsi="宋体" w:cs="宋体"/>
          <w:sz w:val="24"/>
        </w:rPr>
        <w:t>1.2、≥8.4英寸触摸屏操作</w:t>
      </w:r>
    </w:p>
    <w:p>
      <w:pPr>
        <w:spacing w:line="360" w:lineRule="auto"/>
        <w:rPr>
          <w:rFonts w:ascii="宋体" w:hAnsi="宋体" w:cs="宋体"/>
          <w:sz w:val="24"/>
        </w:rPr>
      </w:pPr>
      <w:r>
        <w:rPr>
          <w:rFonts w:hint="eastAsia" w:ascii="宋体" w:hAnsi="宋体" w:cs="宋体"/>
          <w:sz w:val="24"/>
        </w:rPr>
        <w:t>1.3、主机内置四个全激活探头接口</w:t>
      </w:r>
    </w:p>
    <w:p>
      <w:pPr>
        <w:spacing w:line="360" w:lineRule="auto"/>
        <w:rPr>
          <w:rFonts w:ascii="宋体" w:hAnsi="宋体" w:cs="宋体"/>
          <w:sz w:val="24"/>
        </w:rPr>
      </w:pPr>
      <w:r>
        <w:rPr>
          <w:rFonts w:hint="eastAsia" w:ascii="宋体" w:hAnsi="宋体" w:cs="宋体"/>
          <w:sz w:val="24"/>
        </w:rPr>
        <w:t>1.4、全数字化彩色超声诊断系统主机</w:t>
      </w:r>
    </w:p>
    <w:p>
      <w:pPr>
        <w:spacing w:line="360" w:lineRule="auto"/>
        <w:rPr>
          <w:rFonts w:ascii="宋体" w:hAnsi="宋体" w:cs="宋体"/>
          <w:sz w:val="24"/>
        </w:rPr>
      </w:pPr>
      <w:r>
        <w:rPr>
          <w:rFonts w:hint="eastAsia" w:ascii="宋体" w:hAnsi="宋体" w:cs="宋体"/>
          <w:sz w:val="24"/>
        </w:rPr>
        <w:t>1.5、主机系统：基于Windows平台，方便升级与维护</w:t>
      </w:r>
    </w:p>
    <w:p>
      <w:pPr>
        <w:spacing w:line="360" w:lineRule="auto"/>
        <w:rPr>
          <w:rFonts w:ascii="宋体" w:hAnsi="宋体" w:cs="宋体"/>
          <w:sz w:val="24"/>
        </w:rPr>
      </w:pPr>
      <w:r>
        <w:rPr>
          <w:rFonts w:hint="eastAsia" w:ascii="宋体" w:hAnsi="宋体" w:cs="宋体"/>
          <w:sz w:val="24"/>
        </w:rPr>
        <w:t>1.6、二维灰阶成像单元</w:t>
      </w:r>
    </w:p>
    <w:p>
      <w:pPr>
        <w:spacing w:line="360" w:lineRule="auto"/>
        <w:rPr>
          <w:rFonts w:ascii="宋体" w:hAnsi="宋体" w:cs="宋体"/>
          <w:sz w:val="24"/>
        </w:rPr>
      </w:pPr>
      <w:r>
        <w:rPr>
          <w:rFonts w:hint="eastAsia" w:ascii="宋体" w:hAnsi="宋体" w:cs="宋体"/>
          <w:sz w:val="24"/>
        </w:rPr>
        <w:t>1.7、频谱多普勒显示和分析单元</w:t>
      </w:r>
    </w:p>
    <w:p>
      <w:pPr>
        <w:spacing w:line="360" w:lineRule="auto"/>
        <w:rPr>
          <w:rFonts w:ascii="宋体" w:hAnsi="宋体" w:cs="宋体"/>
          <w:sz w:val="24"/>
        </w:rPr>
      </w:pPr>
      <w:r>
        <w:rPr>
          <w:rFonts w:hint="eastAsia" w:ascii="宋体" w:hAnsi="宋体" w:cs="宋体"/>
          <w:sz w:val="24"/>
        </w:rPr>
        <w:t>1.8、彩色多普勒单元</w:t>
      </w:r>
    </w:p>
    <w:p>
      <w:pPr>
        <w:spacing w:line="360" w:lineRule="auto"/>
        <w:rPr>
          <w:rFonts w:ascii="宋体" w:hAnsi="宋体" w:cs="宋体"/>
          <w:sz w:val="24"/>
        </w:rPr>
      </w:pPr>
      <w:r>
        <w:rPr>
          <w:rFonts w:hint="eastAsia" w:ascii="宋体" w:hAnsi="宋体" w:cs="宋体"/>
          <w:sz w:val="24"/>
        </w:rPr>
        <w:t>1.9、方向能量血流成像单元</w:t>
      </w:r>
    </w:p>
    <w:p>
      <w:pPr>
        <w:tabs>
          <w:tab w:val="left" w:pos="993"/>
        </w:tabs>
        <w:spacing w:line="360" w:lineRule="auto"/>
        <w:rPr>
          <w:rFonts w:ascii="宋体" w:hAnsi="宋体" w:cs="宋体"/>
          <w:sz w:val="24"/>
        </w:rPr>
      </w:pPr>
      <w:r>
        <w:rPr>
          <w:rFonts w:hint="eastAsia" w:ascii="宋体" w:hAnsi="宋体" w:cs="宋体"/>
          <w:sz w:val="24"/>
        </w:rPr>
        <w:t>1.10、智能化斑点噪音消除技术</w:t>
      </w:r>
    </w:p>
    <w:p>
      <w:pPr>
        <w:spacing w:line="360" w:lineRule="auto"/>
        <w:rPr>
          <w:rFonts w:ascii="宋体" w:hAnsi="宋体" w:cs="宋体"/>
          <w:sz w:val="24"/>
        </w:rPr>
      </w:pPr>
      <w:r>
        <w:rPr>
          <w:rFonts w:hint="eastAsia" w:ascii="宋体" w:hAnsi="宋体" w:cs="宋体"/>
          <w:sz w:val="24"/>
        </w:rPr>
        <w:t xml:space="preserve">1.11、反向脉冲谐波成像 </w:t>
      </w:r>
    </w:p>
    <w:p>
      <w:pPr>
        <w:spacing w:line="360" w:lineRule="auto"/>
        <w:rPr>
          <w:rFonts w:ascii="宋体" w:hAnsi="宋体" w:cs="宋体"/>
          <w:sz w:val="24"/>
        </w:rPr>
      </w:pPr>
      <w:r>
        <w:rPr>
          <w:rFonts w:hint="eastAsia" w:ascii="宋体" w:hAnsi="宋体" w:cs="宋体"/>
          <w:sz w:val="24"/>
        </w:rPr>
        <w:t>1.12、拓展脉冲成像技术</w:t>
      </w:r>
    </w:p>
    <w:p>
      <w:pPr>
        <w:spacing w:line="360" w:lineRule="auto"/>
        <w:rPr>
          <w:rFonts w:ascii="宋体" w:hAnsi="宋体" w:cs="宋体"/>
          <w:sz w:val="24"/>
        </w:rPr>
      </w:pPr>
      <w:r>
        <w:rPr>
          <w:rFonts w:hint="eastAsia" w:ascii="宋体" w:hAnsi="宋体" w:cs="宋体"/>
          <w:sz w:val="24"/>
        </w:rPr>
        <w:t>1.13、实时全域动态聚焦</w:t>
      </w:r>
      <w:r>
        <w:rPr>
          <w:rFonts w:hint="eastAsia" w:ascii="宋体" w:hAnsi="宋体" w:cs="宋体"/>
          <w:color w:val="FF0000"/>
          <w:sz w:val="24"/>
        </w:rPr>
        <w:t xml:space="preserve"> </w:t>
      </w:r>
    </w:p>
    <w:p>
      <w:pPr>
        <w:spacing w:line="360" w:lineRule="auto"/>
        <w:rPr>
          <w:rFonts w:ascii="宋体" w:hAnsi="宋体" w:cs="宋体"/>
          <w:sz w:val="24"/>
        </w:rPr>
      </w:pPr>
      <w:r>
        <w:rPr>
          <w:rFonts w:hint="eastAsia" w:ascii="宋体" w:hAnsi="宋体" w:cs="宋体"/>
          <w:sz w:val="24"/>
        </w:rPr>
        <w:t>1.14、一键优化功能</w:t>
      </w:r>
    </w:p>
    <w:p>
      <w:pPr>
        <w:spacing w:line="360" w:lineRule="auto"/>
        <w:rPr>
          <w:rFonts w:ascii="宋体" w:hAnsi="宋体" w:cs="宋体"/>
          <w:sz w:val="24"/>
        </w:rPr>
      </w:pPr>
      <w:r>
        <w:rPr>
          <w:rFonts w:hint="eastAsia" w:ascii="宋体" w:hAnsi="宋体" w:cs="宋体"/>
          <w:sz w:val="24"/>
        </w:rPr>
        <w:t>1.15、线阵探头梯形成像技术</w:t>
      </w:r>
    </w:p>
    <w:p>
      <w:pPr>
        <w:spacing w:line="360" w:lineRule="auto"/>
        <w:rPr>
          <w:rFonts w:ascii="宋体" w:hAnsi="宋体" w:cs="宋体"/>
          <w:sz w:val="24"/>
        </w:rPr>
      </w:pPr>
      <w:r>
        <w:rPr>
          <w:rFonts w:hint="eastAsia" w:ascii="宋体" w:hAnsi="宋体" w:cs="宋体"/>
          <w:sz w:val="24"/>
        </w:rPr>
        <w:t>1.16、支持实时三维成像技术（4D）</w:t>
      </w:r>
    </w:p>
    <w:p>
      <w:pPr>
        <w:spacing w:line="360" w:lineRule="auto"/>
        <w:rPr>
          <w:rFonts w:ascii="宋体" w:hAnsi="宋体" w:cs="宋体"/>
          <w:sz w:val="24"/>
        </w:rPr>
      </w:pPr>
      <w:r>
        <w:rPr>
          <w:rFonts w:hint="eastAsia" w:ascii="宋体" w:hAnsi="宋体" w:cs="宋体"/>
          <w:sz w:val="24"/>
        </w:rPr>
        <w:t>1.17、</w:t>
      </w:r>
      <w:r>
        <w:rPr>
          <w:rFonts w:hint="eastAsia" w:asciiTheme="minorEastAsia" w:hAnsiTheme="minorEastAsia"/>
          <w:b/>
          <w:snapToGrid w:val="0"/>
          <w:color w:val="000000" w:themeColor="text1"/>
          <w:spacing w:val="8"/>
          <w:sz w:val="22"/>
        </w:rPr>
        <w:t>▲</w:t>
      </w:r>
      <w:r>
        <w:rPr>
          <w:rFonts w:hint="eastAsia" w:ascii="宋体" w:hAnsi="宋体" w:cs="宋体"/>
          <w:sz w:val="24"/>
        </w:rPr>
        <w:t>可选配弹性成像技术</w:t>
      </w:r>
      <w:r>
        <w:rPr>
          <w:rFonts w:hint="eastAsia" w:ascii="宋体" w:hAnsi="宋体" w:cs="宋体"/>
          <w:color w:val="FF0000"/>
          <w:sz w:val="24"/>
        </w:rPr>
        <w:t xml:space="preserve"> （须提供注册检验报告证明）</w:t>
      </w:r>
    </w:p>
    <w:p>
      <w:pPr>
        <w:spacing w:line="360" w:lineRule="auto"/>
        <w:rPr>
          <w:rFonts w:ascii="宋体" w:hAnsi="宋体" w:cs="宋体"/>
          <w:sz w:val="24"/>
        </w:rPr>
      </w:pPr>
      <w:r>
        <w:rPr>
          <w:rFonts w:hint="eastAsia" w:ascii="宋体" w:hAnsi="宋体" w:cs="宋体"/>
          <w:sz w:val="24"/>
        </w:rPr>
        <w:t>1.18、一体化剪贴板：在屏幕处实时显示当前保存的图像及电影文件，可随时调用或删除</w:t>
      </w:r>
    </w:p>
    <w:bookmarkEnd w:id="44"/>
    <w:p>
      <w:pPr>
        <w:spacing w:line="360" w:lineRule="auto"/>
        <w:rPr>
          <w:rFonts w:ascii="宋体" w:hAnsi="宋体" w:cs="宋体"/>
          <w:sz w:val="24"/>
        </w:rPr>
      </w:pPr>
      <w:bookmarkStart w:id="45" w:name="_Hlk50299227"/>
      <w:r>
        <w:rPr>
          <w:rFonts w:hint="eastAsia" w:ascii="宋体" w:hAnsi="宋体" w:cs="宋体"/>
          <w:sz w:val="24"/>
        </w:rPr>
        <w:t>1.19、一键全屏放大（只需一键使成像区域整体放大，只显示成像区，不显示成像参数）</w:t>
      </w:r>
    </w:p>
    <w:p>
      <w:pPr>
        <w:spacing w:line="360" w:lineRule="auto"/>
        <w:rPr>
          <w:rFonts w:ascii="宋体" w:hAnsi="宋体" w:cs="宋体"/>
          <w:sz w:val="24"/>
        </w:rPr>
      </w:pPr>
      <w:r>
        <w:rPr>
          <w:rFonts w:hint="eastAsia" w:ascii="宋体" w:hAnsi="宋体" w:cs="宋体"/>
          <w:sz w:val="24"/>
        </w:rPr>
        <w:t>1.20、自定义按键：≥10个，用户可指定特定操作功能：测量和分析：(B型、M型、频谱多普勒、彩色模式)</w:t>
      </w:r>
    </w:p>
    <w:p>
      <w:pPr>
        <w:spacing w:line="360" w:lineRule="auto"/>
        <w:rPr>
          <w:rFonts w:ascii="宋体" w:hAnsi="宋体" w:cs="宋体"/>
          <w:sz w:val="24"/>
        </w:rPr>
      </w:pPr>
      <w:r>
        <w:rPr>
          <w:rFonts w:hint="eastAsia" w:ascii="宋体" w:hAnsi="宋体" w:cs="宋体"/>
          <w:sz w:val="24"/>
        </w:rPr>
        <w:t>1.21、一般测量：距离、面积、周长、容积、角度、时间、斜率、心率、流速、流速比等</w:t>
      </w:r>
    </w:p>
    <w:p>
      <w:pPr>
        <w:numPr>
          <w:ilvl w:val="1"/>
          <w:numId w:val="36"/>
        </w:numPr>
        <w:adjustRightInd w:val="0"/>
        <w:spacing w:line="360" w:lineRule="auto"/>
        <w:textAlignment w:val="baseline"/>
        <w:rPr>
          <w:rFonts w:ascii="宋体" w:hAnsi="宋体" w:cs="宋体"/>
          <w:sz w:val="24"/>
        </w:rPr>
      </w:pPr>
      <w:r>
        <w:rPr>
          <w:rFonts w:hint="eastAsia" w:ascii="宋体" w:hAnsi="宋体" w:cs="宋体"/>
          <w:sz w:val="24"/>
        </w:rPr>
        <w:t>妇、产科测量：生长曲线及中文报告功能，测量的数值自动写入报告</w:t>
      </w:r>
    </w:p>
    <w:p>
      <w:pPr>
        <w:numPr>
          <w:ilvl w:val="1"/>
          <w:numId w:val="36"/>
        </w:numPr>
        <w:adjustRightInd w:val="0"/>
        <w:spacing w:line="360" w:lineRule="auto"/>
        <w:textAlignment w:val="baseline"/>
        <w:rPr>
          <w:rFonts w:ascii="宋体" w:hAnsi="宋体" w:cs="宋体"/>
          <w:sz w:val="24"/>
        </w:rPr>
      </w:pPr>
      <w:r>
        <w:rPr>
          <w:rFonts w:hint="eastAsia" w:asciiTheme="minorEastAsia" w:hAnsiTheme="minorEastAsia"/>
          <w:b/>
          <w:snapToGrid w:val="0"/>
          <w:color w:val="000000" w:themeColor="text1"/>
          <w:spacing w:val="8"/>
          <w:sz w:val="22"/>
        </w:rPr>
        <w:t>▲</w:t>
      </w:r>
      <w:r>
        <w:rPr>
          <w:rFonts w:hint="eastAsia" w:ascii="宋体" w:hAnsi="宋体" w:cs="宋体"/>
          <w:sz w:val="24"/>
        </w:rPr>
        <w:t>特殊测量：IMT血管自动测量、自动容积测量</w:t>
      </w:r>
    </w:p>
    <w:p>
      <w:pPr>
        <w:numPr>
          <w:ilvl w:val="1"/>
          <w:numId w:val="36"/>
        </w:numPr>
        <w:adjustRightInd w:val="0"/>
        <w:spacing w:line="360" w:lineRule="auto"/>
        <w:textAlignment w:val="baseline"/>
        <w:rPr>
          <w:rFonts w:ascii="宋体" w:hAnsi="宋体" w:cs="宋体"/>
          <w:sz w:val="24"/>
        </w:rPr>
      </w:pPr>
      <w:r>
        <w:rPr>
          <w:rFonts w:hint="eastAsia" w:ascii="宋体" w:hAnsi="宋体" w:cs="宋体"/>
          <w:sz w:val="24"/>
        </w:rPr>
        <w:t>测量软件包：腹部、妇产科、心脏、小器官、矫形外科、颅脑、急诊等，测量结果自动导入专业报告系统。</w:t>
      </w:r>
    </w:p>
    <w:p>
      <w:pPr>
        <w:numPr>
          <w:ilvl w:val="1"/>
          <w:numId w:val="36"/>
        </w:numPr>
        <w:adjustRightInd w:val="0"/>
        <w:spacing w:line="360" w:lineRule="auto"/>
        <w:textAlignment w:val="baseline"/>
        <w:rPr>
          <w:rFonts w:ascii="宋体" w:hAnsi="宋体" w:cs="宋体"/>
          <w:sz w:val="24"/>
        </w:rPr>
      </w:pPr>
      <w:r>
        <w:rPr>
          <w:rFonts w:hint="eastAsia" w:ascii="宋体" w:hAnsi="宋体" w:cs="宋体"/>
          <w:sz w:val="24"/>
        </w:rPr>
        <w:t>心脏测量与分析（包含PISA法、泰氏法、立方体法、吉普森法、辛普森法、子弹法、左房容积测量等）</w:t>
      </w:r>
    </w:p>
    <w:p>
      <w:pPr>
        <w:numPr>
          <w:ilvl w:val="1"/>
          <w:numId w:val="36"/>
        </w:numPr>
        <w:adjustRightInd w:val="0"/>
        <w:spacing w:line="360" w:lineRule="auto"/>
        <w:textAlignment w:val="baseline"/>
        <w:rPr>
          <w:rFonts w:ascii="宋体" w:hAnsi="宋体" w:cs="宋体"/>
          <w:bCs/>
          <w:color w:val="000000"/>
          <w:sz w:val="24"/>
        </w:rPr>
      </w:pPr>
      <w:r>
        <w:rPr>
          <w:rFonts w:hint="eastAsia" w:ascii="宋体" w:hAnsi="宋体" w:cs="宋体"/>
          <w:sz w:val="24"/>
        </w:rPr>
        <w:t>实时频谱自动跟踪包络</w:t>
      </w:r>
      <w:r>
        <w:rPr>
          <w:rFonts w:hint="eastAsia" w:ascii="宋体" w:hAnsi="宋体" w:cs="宋体"/>
          <w:bCs/>
          <w:color w:val="000000"/>
          <w:sz w:val="24"/>
        </w:rPr>
        <w:t>功能：实时自动频谱包络、手动频谱包络等多种模式可选，系统自动分析显示：PSV、EDV、RI、PI、S/D、ACC、HR等各种数据。</w:t>
      </w:r>
    </w:p>
    <w:p>
      <w:pPr>
        <w:numPr>
          <w:ilvl w:val="1"/>
          <w:numId w:val="36"/>
        </w:numPr>
        <w:adjustRightInd w:val="0"/>
        <w:spacing w:line="360" w:lineRule="auto"/>
        <w:textAlignment w:val="baseline"/>
        <w:rPr>
          <w:rFonts w:ascii="宋体" w:hAnsi="宋体" w:cs="宋体"/>
          <w:bCs/>
          <w:color w:val="000000"/>
          <w:sz w:val="24"/>
        </w:rPr>
      </w:pPr>
      <w:r>
        <w:rPr>
          <w:rFonts w:hint="eastAsia" w:ascii="宋体" w:hAnsi="宋体" w:cs="宋体"/>
          <w:bCs/>
          <w:color w:val="000000"/>
          <w:sz w:val="24"/>
        </w:rPr>
        <w:t>图像存储与(电影)回放重现单元</w:t>
      </w:r>
    </w:p>
    <w:p>
      <w:pPr>
        <w:numPr>
          <w:ilvl w:val="1"/>
          <w:numId w:val="36"/>
        </w:numPr>
        <w:adjustRightInd w:val="0"/>
        <w:spacing w:line="360" w:lineRule="auto"/>
        <w:textAlignment w:val="baseline"/>
        <w:rPr>
          <w:rFonts w:ascii="宋体" w:hAnsi="宋体" w:cs="宋体"/>
          <w:bCs/>
          <w:color w:val="000000"/>
          <w:sz w:val="24"/>
        </w:rPr>
      </w:pPr>
      <w:r>
        <w:rPr>
          <w:rFonts w:hint="eastAsia" w:ascii="宋体" w:hAnsi="宋体" w:cs="宋体"/>
          <w:bCs/>
          <w:color w:val="000000"/>
          <w:sz w:val="24"/>
        </w:rPr>
        <w:t>回放重现：灰阶图像自动连续回放≥2000幅、M型回放时间≥600S</w:t>
      </w:r>
    </w:p>
    <w:p>
      <w:pPr>
        <w:numPr>
          <w:ilvl w:val="1"/>
          <w:numId w:val="36"/>
        </w:numPr>
        <w:adjustRightInd w:val="0"/>
        <w:spacing w:line="360" w:lineRule="auto"/>
        <w:textAlignment w:val="baseline"/>
        <w:rPr>
          <w:rFonts w:ascii="宋体" w:hAnsi="宋体" w:cs="宋体"/>
          <w:bCs/>
          <w:color w:val="000000"/>
          <w:sz w:val="24"/>
        </w:rPr>
      </w:pPr>
      <w:r>
        <w:rPr>
          <w:rFonts w:hint="eastAsia" w:ascii="宋体" w:hAnsi="宋体" w:cs="宋体"/>
          <w:bCs/>
          <w:color w:val="000000"/>
          <w:sz w:val="24"/>
        </w:rPr>
        <w:t>接口信号：音频输入接口、MIC接口、VGA接口、HDMI、网络接口、视频接口、打印机控制接口、USB接口等</w:t>
      </w:r>
    </w:p>
    <w:p>
      <w:pPr>
        <w:numPr>
          <w:ilvl w:val="1"/>
          <w:numId w:val="36"/>
        </w:numPr>
        <w:adjustRightInd w:val="0"/>
        <w:spacing w:line="360" w:lineRule="auto"/>
        <w:textAlignment w:val="baseline"/>
        <w:rPr>
          <w:rFonts w:ascii="宋体" w:hAnsi="宋体" w:cs="宋体"/>
          <w:bCs/>
          <w:color w:val="000000"/>
          <w:sz w:val="24"/>
        </w:rPr>
      </w:pPr>
      <w:r>
        <w:rPr>
          <w:rFonts w:hint="eastAsia" w:ascii="宋体" w:hAnsi="宋体" w:cs="宋体"/>
          <w:sz w:val="24"/>
        </w:rPr>
        <w:t>连通性：VGA视频输出具有主显示、VGA视频同时输出显示功能，无需另配分频器</w:t>
      </w:r>
    </w:p>
    <w:p>
      <w:pPr>
        <w:tabs>
          <w:tab w:val="left" w:pos="851"/>
        </w:tabs>
        <w:spacing w:line="360" w:lineRule="auto"/>
        <w:rPr>
          <w:rFonts w:ascii="宋体" w:hAnsi="宋体" w:cs="宋体"/>
          <w:sz w:val="24"/>
        </w:rPr>
      </w:pPr>
      <w:r>
        <w:rPr>
          <w:rFonts w:hint="eastAsia" w:ascii="宋体" w:hAnsi="宋体" w:cs="宋体"/>
          <w:sz w:val="24"/>
        </w:rPr>
        <w:t>1.22、超声主机影像WIFI实时无线传输（选购件）：可与IPhone手机、IPad平板电脑进行超声影像实时无线传输。在平板电脑或手机移动终端上实时地显示超声主机上的诊断图像，移动终端可独立冻结、存储图像及回放电影，不影响操作医生进行下一个病人的检</w:t>
      </w:r>
    </w:p>
    <w:p>
      <w:pPr>
        <w:tabs>
          <w:tab w:val="left" w:pos="851"/>
        </w:tabs>
        <w:spacing w:line="360" w:lineRule="auto"/>
        <w:rPr>
          <w:rFonts w:ascii="宋体" w:hAnsi="宋体" w:cs="宋体"/>
          <w:sz w:val="24"/>
        </w:rPr>
      </w:pPr>
      <w:r>
        <w:rPr>
          <w:rFonts w:hint="eastAsia" w:ascii="宋体" w:hAnsi="宋体" w:cs="宋体"/>
          <w:sz w:val="24"/>
        </w:rPr>
        <w:t>1.23、</w:t>
      </w:r>
      <w:r>
        <w:rPr>
          <w:rFonts w:hint="eastAsia" w:asciiTheme="minorEastAsia" w:hAnsiTheme="minorEastAsia"/>
          <w:b/>
          <w:snapToGrid w:val="0"/>
          <w:color w:val="000000" w:themeColor="text1"/>
          <w:spacing w:val="8"/>
          <w:sz w:val="22"/>
        </w:rPr>
        <w:t>▲</w:t>
      </w:r>
      <w:r>
        <w:rPr>
          <w:rFonts w:hint="eastAsia" w:ascii="宋体" w:hAnsi="宋体" w:cs="宋体"/>
          <w:sz w:val="24"/>
        </w:rPr>
        <w:t>具备激活系统操作界面：在此界面中可对各功能进行激活选择操作，并实时显示各功能激活状态、激活日期及使用天数。</w:t>
      </w:r>
      <w:r>
        <w:rPr>
          <w:rFonts w:hint="eastAsia" w:ascii="宋体" w:hAnsi="宋体" w:cs="宋体"/>
          <w:color w:val="FF0000"/>
          <w:sz w:val="24"/>
        </w:rPr>
        <w:t>（提供图片证明）</w:t>
      </w:r>
    </w:p>
    <w:bookmarkEnd w:id="45"/>
    <w:p>
      <w:pPr>
        <w:pStyle w:val="33"/>
        <w:spacing w:before="0" w:after="0" w:line="360" w:lineRule="auto"/>
        <w:rPr>
          <w:rFonts w:hAnsi="宋体"/>
          <w:szCs w:val="24"/>
        </w:rPr>
      </w:pPr>
      <w:bookmarkStart w:id="46" w:name="_Hlk50299400"/>
      <w:r>
        <w:rPr>
          <w:rFonts w:hint="eastAsia" w:hAnsi="宋体"/>
          <w:szCs w:val="24"/>
        </w:rPr>
        <w:t>二、技术参数及要求：</w:t>
      </w:r>
    </w:p>
    <w:p>
      <w:pPr>
        <w:spacing w:line="360" w:lineRule="auto"/>
        <w:rPr>
          <w:rFonts w:ascii="宋体" w:hAnsi="宋体" w:cs="宋体"/>
          <w:b/>
          <w:bCs/>
          <w:sz w:val="24"/>
        </w:rPr>
      </w:pPr>
      <w:r>
        <w:rPr>
          <w:rFonts w:hint="eastAsia" w:ascii="宋体" w:hAnsi="宋体" w:cs="宋体"/>
          <w:b/>
          <w:bCs/>
          <w:sz w:val="24"/>
        </w:rPr>
        <w:t>2．1、系统通用功能：</w:t>
      </w:r>
    </w:p>
    <w:p>
      <w:pPr>
        <w:spacing w:line="360" w:lineRule="auto"/>
        <w:ind w:left="142" w:firstLine="240" w:firstLineChars="100"/>
        <w:rPr>
          <w:rFonts w:ascii="宋体" w:hAnsi="宋体" w:cs="宋体"/>
          <w:sz w:val="24"/>
        </w:rPr>
      </w:pPr>
      <w:r>
        <w:rPr>
          <w:rFonts w:hint="eastAsia" w:ascii="宋体" w:hAnsi="宋体" w:cs="宋体"/>
          <w:sz w:val="24"/>
        </w:rPr>
        <w:t>2.1.1、超声主机操作系统：基于Windows  操作系统，以便支持与常规PC机兼容的各种即插即用外部设备，如市面上常见的USB打印机、U盘、移动硬盘等（提供Windows系统图片证明）。</w:t>
      </w:r>
    </w:p>
    <w:p>
      <w:pPr>
        <w:spacing w:line="360" w:lineRule="auto"/>
        <w:ind w:left="142" w:firstLine="240" w:firstLineChars="100"/>
        <w:rPr>
          <w:rFonts w:ascii="宋体" w:hAnsi="宋体" w:cs="宋体"/>
          <w:sz w:val="24"/>
        </w:rPr>
      </w:pPr>
      <w:r>
        <w:rPr>
          <w:rFonts w:hint="eastAsia" w:ascii="宋体" w:hAnsi="宋体" w:cs="宋体"/>
          <w:sz w:val="24"/>
        </w:rPr>
        <w:t>2.1.2、监 视 器：≥18.5″液晶彩色显示器，监视器可以上下升降、仰俯、左右旋转,</w:t>
      </w:r>
    </w:p>
    <w:p>
      <w:pPr>
        <w:spacing w:line="360" w:lineRule="auto"/>
        <w:ind w:left="142" w:firstLine="240" w:firstLineChars="100"/>
        <w:rPr>
          <w:rFonts w:ascii="宋体" w:hAnsi="宋体" w:cs="宋体"/>
          <w:sz w:val="24"/>
        </w:rPr>
      </w:pPr>
      <w:r>
        <w:rPr>
          <w:rFonts w:hint="eastAsia" w:ascii="宋体" w:hAnsi="宋体" w:cs="宋体"/>
          <w:sz w:val="24"/>
        </w:rPr>
        <w:t>2.1.3、操作面板具备拉式可隐藏键盘</w:t>
      </w:r>
    </w:p>
    <w:p>
      <w:pPr>
        <w:spacing w:line="360" w:lineRule="auto"/>
        <w:ind w:left="142" w:firstLine="240" w:firstLineChars="100"/>
        <w:rPr>
          <w:rFonts w:ascii="宋体" w:hAnsi="宋体" w:cs="宋体"/>
          <w:sz w:val="24"/>
        </w:rPr>
      </w:pPr>
      <w:r>
        <w:rPr>
          <w:rFonts w:hint="eastAsia" w:ascii="宋体" w:hAnsi="宋体" w:cs="宋体"/>
          <w:sz w:val="24"/>
        </w:rPr>
        <w:t>2.1.4、操作面板可以独立左右旋转</w:t>
      </w:r>
    </w:p>
    <w:p>
      <w:pPr>
        <w:spacing w:line="360" w:lineRule="auto"/>
        <w:ind w:left="142" w:firstLine="240" w:firstLineChars="100"/>
        <w:rPr>
          <w:rFonts w:ascii="宋体" w:hAnsi="宋体" w:cs="宋体"/>
          <w:sz w:val="24"/>
        </w:rPr>
      </w:pPr>
      <w:r>
        <w:rPr>
          <w:rFonts w:hint="eastAsia" w:ascii="宋体" w:hAnsi="宋体" w:cs="宋体"/>
          <w:sz w:val="24"/>
        </w:rPr>
        <w:t>2.1.5、</w:t>
      </w:r>
      <w:r>
        <w:rPr>
          <w:rFonts w:hint="eastAsia" w:asciiTheme="minorEastAsia" w:hAnsiTheme="minorEastAsia"/>
          <w:b/>
          <w:snapToGrid w:val="0"/>
          <w:color w:val="000000" w:themeColor="text1"/>
          <w:spacing w:val="8"/>
          <w:sz w:val="22"/>
        </w:rPr>
        <w:t>▲</w:t>
      </w:r>
      <w:r>
        <w:rPr>
          <w:rFonts w:hint="eastAsia" w:ascii="宋体" w:hAnsi="宋体" w:cs="宋体"/>
          <w:sz w:val="24"/>
        </w:rPr>
        <w:t>主机一体化≥8.4 ″彩色触摸屏，可用于调节控制仪器参数、探头选择以及检查类型选择等并以中文形式显示参数</w:t>
      </w:r>
      <w:r>
        <w:rPr>
          <w:rFonts w:hint="eastAsia" w:ascii="宋体" w:hAnsi="宋体" w:cs="宋体"/>
          <w:color w:val="FF0000"/>
          <w:sz w:val="24"/>
        </w:rPr>
        <w:t>（提供彩页图片证明）</w:t>
      </w:r>
    </w:p>
    <w:p>
      <w:pPr>
        <w:spacing w:line="360" w:lineRule="auto"/>
        <w:ind w:left="142" w:firstLine="240" w:firstLineChars="100"/>
        <w:rPr>
          <w:rFonts w:ascii="宋体" w:hAnsi="宋体" w:cs="宋体"/>
          <w:sz w:val="24"/>
        </w:rPr>
      </w:pPr>
      <w:r>
        <w:rPr>
          <w:rFonts w:hint="eastAsia" w:ascii="宋体" w:hAnsi="宋体" w:cs="宋体"/>
          <w:sz w:val="24"/>
        </w:rPr>
        <w:t>2.1.6、</w:t>
      </w:r>
      <w:r>
        <w:rPr>
          <w:rFonts w:hint="eastAsia" w:asciiTheme="minorEastAsia" w:hAnsiTheme="minorEastAsia"/>
          <w:b/>
          <w:snapToGrid w:val="0"/>
          <w:color w:val="000000" w:themeColor="text1"/>
          <w:spacing w:val="8"/>
          <w:sz w:val="22"/>
        </w:rPr>
        <w:t>▲</w:t>
      </w:r>
      <w:r>
        <w:rPr>
          <w:rFonts w:hint="eastAsia" w:ascii="宋体" w:hAnsi="宋体" w:cs="宋体"/>
          <w:sz w:val="24"/>
        </w:rPr>
        <w:t>探头接口：≥4个，排列整齐，全部激活，非专用接口，各探头可通用、容积探头可任意接口即插即用</w:t>
      </w:r>
    </w:p>
    <w:p>
      <w:pPr>
        <w:spacing w:line="360" w:lineRule="auto"/>
        <w:ind w:left="142" w:firstLine="240" w:firstLineChars="100"/>
        <w:rPr>
          <w:rFonts w:ascii="宋体" w:hAnsi="宋体" w:cs="宋体"/>
          <w:sz w:val="24"/>
        </w:rPr>
      </w:pPr>
      <w:r>
        <w:rPr>
          <w:rFonts w:hint="eastAsia" w:ascii="宋体" w:hAnsi="宋体" w:cs="宋体"/>
          <w:sz w:val="24"/>
        </w:rPr>
        <w:t>2.1.7、主机面板具有6个探头搁置槽</w:t>
      </w:r>
    </w:p>
    <w:p>
      <w:pPr>
        <w:spacing w:line="360" w:lineRule="auto"/>
        <w:ind w:left="142" w:firstLine="240" w:firstLineChars="100"/>
        <w:rPr>
          <w:rFonts w:ascii="宋体" w:hAnsi="宋体" w:cs="宋体"/>
          <w:sz w:val="24"/>
        </w:rPr>
      </w:pPr>
      <w:r>
        <w:rPr>
          <w:rFonts w:hint="eastAsia" w:ascii="宋体" w:hAnsi="宋体" w:cs="宋体"/>
          <w:sz w:val="24"/>
        </w:rPr>
        <w:t>2.1.8、TGC分段≥8</w:t>
      </w:r>
    </w:p>
    <w:bookmarkEnd w:id="46"/>
    <w:p>
      <w:pPr>
        <w:spacing w:line="360" w:lineRule="auto"/>
        <w:rPr>
          <w:rFonts w:ascii="宋体" w:hAnsi="宋体" w:cs="宋体"/>
          <w:b/>
          <w:bCs/>
          <w:sz w:val="24"/>
        </w:rPr>
      </w:pPr>
      <w:r>
        <w:rPr>
          <w:rFonts w:hint="eastAsia" w:ascii="宋体" w:hAnsi="宋体" w:cs="宋体"/>
          <w:b/>
          <w:bCs/>
          <w:sz w:val="24"/>
        </w:rPr>
        <w:t>2.2、探头规格</w:t>
      </w:r>
    </w:p>
    <w:p>
      <w:pPr>
        <w:spacing w:line="360" w:lineRule="auto"/>
        <w:ind w:left="-886" w:leftChars="-422" w:firstLine="1200" w:firstLineChars="500"/>
        <w:rPr>
          <w:rFonts w:ascii="宋体" w:hAnsi="宋体" w:cs="宋体"/>
          <w:sz w:val="24"/>
        </w:rPr>
      </w:pPr>
      <w:r>
        <w:rPr>
          <w:rFonts w:hint="eastAsia" w:ascii="宋体" w:hAnsi="宋体" w:cs="宋体"/>
          <w:sz w:val="24"/>
        </w:rPr>
        <w:t>2.2.1、可选探头：凸阵探头、线阵探头、相控阵探头、容积探头等</w:t>
      </w:r>
    </w:p>
    <w:p>
      <w:pPr>
        <w:spacing w:line="360" w:lineRule="auto"/>
        <w:ind w:left="-886" w:leftChars="-422" w:firstLine="1200" w:firstLineChars="500"/>
        <w:rPr>
          <w:rFonts w:ascii="宋体" w:hAnsi="宋体" w:cs="宋体"/>
          <w:sz w:val="24"/>
        </w:rPr>
      </w:pPr>
      <w:r>
        <w:rPr>
          <w:rFonts w:hint="eastAsia" w:ascii="宋体" w:hAnsi="宋体" w:cs="宋体"/>
          <w:sz w:val="24"/>
        </w:rPr>
        <w:t>2.2.2、每各探头变频基波5种，谐波3，彩色4种，PW 3种可选</w:t>
      </w:r>
    </w:p>
    <w:p>
      <w:pPr>
        <w:spacing w:line="360" w:lineRule="auto"/>
        <w:ind w:left="-886" w:leftChars="-422" w:firstLine="1200" w:firstLineChars="500"/>
        <w:rPr>
          <w:rFonts w:ascii="宋体" w:hAnsi="宋体" w:cs="宋体"/>
          <w:sz w:val="24"/>
        </w:rPr>
      </w:pPr>
      <w:r>
        <w:rPr>
          <w:rFonts w:hint="eastAsia" w:ascii="宋体" w:hAnsi="宋体" w:cs="宋体"/>
          <w:sz w:val="24"/>
        </w:rPr>
        <w:t>2.2.3、具有探头自动冻结功能：≥3种时间选择，有效保护探头，延长使用寿命</w:t>
      </w:r>
    </w:p>
    <w:p>
      <w:pPr>
        <w:spacing w:line="360" w:lineRule="auto"/>
        <w:rPr>
          <w:rFonts w:ascii="宋体" w:hAnsi="宋体" w:cs="宋体"/>
          <w:b/>
          <w:bCs/>
          <w:sz w:val="24"/>
        </w:rPr>
      </w:pPr>
      <w:r>
        <w:rPr>
          <w:rFonts w:hint="eastAsia" w:ascii="宋体" w:hAnsi="宋体" w:cs="宋体"/>
          <w:b/>
          <w:bCs/>
          <w:sz w:val="24"/>
        </w:rPr>
        <w:t xml:space="preserve">2.3、二维灰阶显像主要参数： </w:t>
      </w:r>
    </w:p>
    <w:p>
      <w:pPr>
        <w:spacing w:line="360" w:lineRule="auto"/>
        <w:ind w:left="142"/>
        <w:rPr>
          <w:rFonts w:ascii="宋体" w:hAnsi="宋体" w:cs="宋体"/>
          <w:sz w:val="24"/>
        </w:rPr>
      </w:pPr>
      <w:r>
        <w:rPr>
          <w:rFonts w:hint="eastAsia" w:ascii="宋体" w:hAnsi="宋体" w:cs="宋体"/>
          <w:sz w:val="24"/>
        </w:rPr>
        <w:t xml:space="preserve">2.3.1、增益调节：B/M可独立可视可调 </w:t>
      </w:r>
    </w:p>
    <w:p>
      <w:pPr>
        <w:spacing w:line="360" w:lineRule="auto"/>
        <w:ind w:left="142"/>
        <w:rPr>
          <w:rFonts w:ascii="宋体" w:hAnsi="宋体" w:cs="宋体"/>
          <w:sz w:val="24"/>
        </w:rPr>
      </w:pPr>
      <w:r>
        <w:rPr>
          <w:rFonts w:hint="eastAsia" w:ascii="宋体" w:hAnsi="宋体" w:cs="宋体"/>
          <w:sz w:val="24"/>
        </w:rPr>
        <w:t>2.3.2、最大扫描深度≥30cm，步进0.8cm可调</w:t>
      </w:r>
    </w:p>
    <w:p>
      <w:pPr>
        <w:spacing w:line="360" w:lineRule="auto"/>
        <w:ind w:left="142"/>
        <w:rPr>
          <w:rFonts w:ascii="宋体" w:hAnsi="宋体" w:cs="宋体"/>
          <w:sz w:val="24"/>
        </w:rPr>
      </w:pPr>
      <w:r>
        <w:rPr>
          <w:rFonts w:hint="eastAsia" w:ascii="宋体" w:hAnsi="宋体" w:cs="宋体"/>
          <w:sz w:val="24"/>
        </w:rPr>
        <w:t>2.3.3、扫 描 线：每帧线密度≥230超声线</w:t>
      </w:r>
    </w:p>
    <w:p>
      <w:pPr>
        <w:spacing w:line="360" w:lineRule="auto"/>
        <w:ind w:left="142"/>
        <w:rPr>
          <w:rFonts w:ascii="宋体" w:hAnsi="宋体" w:cs="宋体"/>
          <w:sz w:val="24"/>
        </w:rPr>
      </w:pPr>
      <w:r>
        <w:rPr>
          <w:rFonts w:hint="eastAsia" w:ascii="宋体" w:hAnsi="宋体" w:cs="宋体"/>
          <w:sz w:val="24"/>
        </w:rPr>
        <w:t>2.3.4、发射声束聚焦：发射≥8段，在实时检查的过程中，可通过滚动轨迹球来调节焦点的位置，可调的焦点位置的数量≥28个。</w:t>
      </w:r>
    </w:p>
    <w:p>
      <w:pPr>
        <w:spacing w:line="360" w:lineRule="auto"/>
        <w:ind w:left="142"/>
        <w:rPr>
          <w:rFonts w:ascii="宋体" w:hAnsi="宋体" w:cs="宋体"/>
          <w:color w:val="FF0000"/>
          <w:sz w:val="24"/>
        </w:rPr>
      </w:pPr>
      <w:r>
        <w:rPr>
          <w:rFonts w:hint="eastAsia" w:ascii="宋体" w:hAnsi="宋体" w:cs="宋体"/>
          <w:sz w:val="24"/>
        </w:rPr>
        <w:t>2.3.5、</w:t>
      </w:r>
      <w:r>
        <w:rPr>
          <w:rFonts w:hint="eastAsia" w:asciiTheme="minorEastAsia" w:hAnsiTheme="minorEastAsia"/>
          <w:b/>
          <w:snapToGrid w:val="0"/>
          <w:color w:val="000000" w:themeColor="text1"/>
          <w:spacing w:val="8"/>
          <w:sz w:val="22"/>
        </w:rPr>
        <w:t>▲</w:t>
      </w:r>
      <w:r>
        <w:rPr>
          <w:rFonts w:hint="eastAsia" w:ascii="宋体" w:hAnsi="宋体" w:cs="宋体"/>
          <w:sz w:val="24"/>
        </w:rPr>
        <w:t>系统动态范围：≥180 dB，步进≤4 dB可视可调</w:t>
      </w:r>
      <w:r>
        <w:rPr>
          <w:rFonts w:hint="eastAsia" w:ascii="宋体" w:hAnsi="宋体" w:cs="宋体"/>
          <w:color w:val="FF0000"/>
          <w:sz w:val="24"/>
        </w:rPr>
        <w:t>（提供最大值及相邻步进图片证明）</w:t>
      </w:r>
    </w:p>
    <w:p>
      <w:pPr>
        <w:spacing w:line="360" w:lineRule="auto"/>
        <w:ind w:left="142"/>
        <w:rPr>
          <w:rFonts w:ascii="宋体" w:hAnsi="宋体" w:cs="宋体"/>
          <w:sz w:val="24"/>
        </w:rPr>
      </w:pPr>
      <w:r>
        <w:rPr>
          <w:rFonts w:hint="eastAsia" w:ascii="宋体" w:hAnsi="宋体" w:cs="宋体"/>
          <w:sz w:val="24"/>
        </w:rPr>
        <w:t>2.3.6、预设条件：预设条件：针对不同的检查脏器，预置最佳化图像的检查条件，减少操作时的调节，及常用所需的外部调节及组合调节，预置条件以中文文字描述的方式直观、准确的表达出来，如泌尿科、妇科、早期妊娠等。</w:t>
      </w:r>
    </w:p>
    <w:p>
      <w:pPr>
        <w:spacing w:line="360" w:lineRule="auto"/>
        <w:ind w:left="142"/>
        <w:rPr>
          <w:rFonts w:ascii="宋体" w:hAnsi="宋体" w:cs="宋体"/>
          <w:sz w:val="24"/>
        </w:rPr>
      </w:pPr>
      <w:r>
        <w:rPr>
          <w:rFonts w:hint="eastAsia" w:ascii="宋体" w:hAnsi="宋体" w:cs="宋体"/>
          <w:sz w:val="24"/>
        </w:rPr>
        <w:t xml:space="preserve">2.3.7、声功率： 0～100%，连续可调 </w:t>
      </w:r>
    </w:p>
    <w:p>
      <w:pPr>
        <w:spacing w:line="360" w:lineRule="auto"/>
        <w:rPr>
          <w:rFonts w:ascii="宋体" w:hAnsi="宋体" w:cs="宋体"/>
          <w:b/>
          <w:bCs/>
          <w:sz w:val="24"/>
        </w:rPr>
      </w:pPr>
      <w:r>
        <w:rPr>
          <w:rFonts w:hint="eastAsia" w:ascii="宋体" w:hAnsi="宋体" w:cs="宋体"/>
          <w:b/>
          <w:bCs/>
          <w:sz w:val="24"/>
        </w:rPr>
        <w:t>2.4、频谱多普勒：</w:t>
      </w:r>
    </w:p>
    <w:p>
      <w:pPr>
        <w:spacing w:line="360" w:lineRule="auto"/>
        <w:ind w:left="142"/>
        <w:rPr>
          <w:rFonts w:ascii="宋体" w:hAnsi="宋体" w:cs="宋体"/>
          <w:sz w:val="24"/>
        </w:rPr>
      </w:pPr>
      <w:r>
        <w:rPr>
          <w:rFonts w:hint="eastAsia" w:ascii="宋体" w:hAnsi="宋体" w:cs="宋体"/>
          <w:sz w:val="24"/>
        </w:rPr>
        <w:t>2.4.1、频率：每个探头≥3段变频</w:t>
      </w:r>
    </w:p>
    <w:p>
      <w:pPr>
        <w:spacing w:line="360" w:lineRule="auto"/>
        <w:ind w:left="142"/>
        <w:rPr>
          <w:rFonts w:ascii="宋体" w:hAnsi="宋体" w:cs="宋体"/>
          <w:color w:val="FF0000"/>
          <w:sz w:val="24"/>
        </w:rPr>
      </w:pPr>
      <w:r>
        <w:rPr>
          <w:rFonts w:hint="eastAsia" w:ascii="宋体" w:hAnsi="宋体" w:cs="宋体"/>
          <w:sz w:val="24"/>
        </w:rPr>
        <w:t>2.4.2、</w:t>
      </w:r>
      <w:r>
        <w:rPr>
          <w:rFonts w:hint="eastAsia" w:asciiTheme="minorEastAsia" w:hAnsiTheme="minorEastAsia"/>
          <w:b/>
          <w:snapToGrid w:val="0"/>
          <w:color w:val="000000" w:themeColor="text1"/>
          <w:spacing w:val="8"/>
          <w:sz w:val="22"/>
        </w:rPr>
        <w:t>▲</w:t>
      </w:r>
      <w:r>
        <w:rPr>
          <w:rFonts w:hint="eastAsia" w:ascii="宋体" w:hAnsi="宋体" w:cs="宋体"/>
          <w:sz w:val="24"/>
        </w:rPr>
        <w:t>多普勒取样宽度及位置范围：宽度0.5mm至35mm，分级可调</w:t>
      </w:r>
      <w:r>
        <w:rPr>
          <w:rFonts w:hint="eastAsia" w:ascii="宋体" w:hAnsi="宋体" w:cs="宋体"/>
          <w:color w:val="FF0000"/>
          <w:sz w:val="24"/>
        </w:rPr>
        <w:t>（提供最大值图片证明）</w:t>
      </w:r>
    </w:p>
    <w:p>
      <w:pPr>
        <w:spacing w:line="360" w:lineRule="auto"/>
        <w:ind w:left="142"/>
        <w:rPr>
          <w:rFonts w:ascii="宋体" w:hAnsi="宋体" w:cs="宋体"/>
          <w:sz w:val="24"/>
        </w:rPr>
      </w:pPr>
      <w:r>
        <w:rPr>
          <w:rFonts w:hint="eastAsia" w:ascii="宋体" w:hAnsi="宋体" w:cs="宋体"/>
          <w:sz w:val="24"/>
        </w:rPr>
        <w:t>2.4.3、最大测量速度：PWD：血流速度最大7.6m/s</w:t>
      </w:r>
    </w:p>
    <w:p>
      <w:pPr>
        <w:spacing w:line="360" w:lineRule="auto"/>
        <w:ind w:left="142"/>
        <w:rPr>
          <w:rFonts w:ascii="宋体" w:hAnsi="宋体" w:cs="宋体"/>
          <w:sz w:val="24"/>
        </w:rPr>
      </w:pPr>
      <w:r>
        <w:rPr>
          <w:rFonts w:hint="eastAsia" w:ascii="宋体" w:hAnsi="宋体" w:cs="宋体"/>
          <w:sz w:val="24"/>
        </w:rPr>
        <w:t>2.4.4、最低测量速度：≤1mm/s</w:t>
      </w:r>
    </w:p>
    <w:p>
      <w:pPr>
        <w:spacing w:line="360" w:lineRule="auto"/>
        <w:ind w:left="142"/>
        <w:rPr>
          <w:rFonts w:ascii="宋体" w:hAnsi="宋体" w:cs="宋体"/>
          <w:sz w:val="24"/>
        </w:rPr>
      </w:pPr>
      <w:r>
        <w:rPr>
          <w:rFonts w:hint="eastAsia" w:ascii="宋体" w:hAnsi="宋体" w:cs="宋体"/>
          <w:sz w:val="24"/>
        </w:rPr>
        <w:t>2.4.5、电影回放：≥80秒</w:t>
      </w:r>
    </w:p>
    <w:p>
      <w:pPr>
        <w:spacing w:line="360" w:lineRule="auto"/>
        <w:ind w:left="142"/>
        <w:rPr>
          <w:rFonts w:ascii="宋体" w:hAnsi="宋体" w:cs="宋体"/>
          <w:sz w:val="24"/>
        </w:rPr>
      </w:pPr>
      <w:r>
        <w:rPr>
          <w:rFonts w:hint="eastAsia" w:ascii="宋体" w:hAnsi="宋体" w:cs="宋体"/>
          <w:sz w:val="24"/>
        </w:rPr>
        <w:t>2.4.6、基线控制：≥30级可调</w:t>
      </w:r>
    </w:p>
    <w:p>
      <w:pPr>
        <w:spacing w:line="360" w:lineRule="auto"/>
        <w:ind w:left="142"/>
        <w:rPr>
          <w:rFonts w:ascii="宋体" w:hAnsi="宋体" w:cs="宋体"/>
          <w:sz w:val="24"/>
        </w:rPr>
      </w:pPr>
      <w:r>
        <w:rPr>
          <w:rFonts w:hint="eastAsia" w:ascii="宋体" w:hAnsi="宋体" w:cs="宋体"/>
          <w:sz w:val="24"/>
        </w:rPr>
        <w:t>2.4.7、平滑：:≥3级可调</w:t>
      </w:r>
    </w:p>
    <w:p>
      <w:pPr>
        <w:spacing w:line="360" w:lineRule="auto"/>
        <w:ind w:left="142"/>
        <w:rPr>
          <w:rFonts w:ascii="宋体" w:hAnsi="宋体" w:cs="宋体"/>
          <w:sz w:val="24"/>
        </w:rPr>
      </w:pPr>
      <w:r>
        <w:rPr>
          <w:rFonts w:hint="eastAsia" w:ascii="宋体" w:hAnsi="宋体" w:cs="宋体"/>
          <w:sz w:val="24"/>
        </w:rPr>
        <w:t xml:space="preserve">2.4.8、声功率： 0～100%连续可调 </w:t>
      </w:r>
    </w:p>
    <w:p>
      <w:pPr>
        <w:spacing w:line="360" w:lineRule="auto"/>
        <w:rPr>
          <w:rFonts w:ascii="宋体" w:hAnsi="宋体" w:cs="宋体"/>
          <w:b/>
          <w:bCs/>
          <w:sz w:val="24"/>
        </w:rPr>
      </w:pPr>
      <w:r>
        <w:rPr>
          <w:rFonts w:hint="eastAsia" w:ascii="宋体" w:hAnsi="宋体" w:cs="宋体"/>
          <w:b/>
          <w:bCs/>
          <w:sz w:val="24"/>
        </w:rPr>
        <w:t>2.5、彩色多普勒：</w:t>
      </w:r>
    </w:p>
    <w:p>
      <w:pPr>
        <w:spacing w:line="360" w:lineRule="auto"/>
        <w:ind w:firstLine="240" w:firstLineChars="100"/>
        <w:rPr>
          <w:rFonts w:ascii="宋体" w:hAnsi="宋体" w:cs="宋体"/>
          <w:sz w:val="24"/>
        </w:rPr>
      </w:pPr>
      <w:r>
        <w:rPr>
          <w:rFonts w:hint="eastAsia" w:ascii="宋体" w:hAnsi="宋体" w:cs="宋体"/>
          <w:sz w:val="24"/>
        </w:rPr>
        <w:t>2.5.1、具有双同步 / 三同步显示(B/D/CFM)</w:t>
      </w:r>
    </w:p>
    <w:p>
      <w:pPr>
        <w:spacing w:line="360" w:lineRule="auto"/>
        <w:ind w:firstLine="240" w:firstLineChars="100"/>
        <w:rPr>
          <w:rFonts w:ascii="宋体" w:hAnsi="宋体" w:cs="宋体"/>
          <w:sz w:val="24"/>
        </w:rPr>
      </w:pPr>
      <w:r>
        <w:rPr>
          <w:rFonts w:hint="eastAsia" w:ascii="宋体" w:hAnsi="宋体" w:cs="宋体"/>
          <w:sz w:val="24"/>
        </w:rPr>
        <w:t>2.5.2、频率：每个探头≥4段变频</w:t>
      </w:r>
    </w:p>
    <w:p>
      <w:pPr>
        <w:spacing w:line="360" w:lineRule="auto"/>
        <w:ind w:firstLine="240" w:firstLineChars="100"/>
        <w:rPr>
          <w:rFonts w:ascii="宋体" w:hAnsi="宋体" w:cs="宋体"/>
          <w:sz w:val="24"/>
        </w:rPr>
      </w:pPr>
      <w:r>
        <w:rPr>
          <w:rFonts w:hint="eastAsia" w:ascii="宋体" w:hAnsi="宋体" w:cs="宋体"/>
          <w:sz w:val="24"/>
        </w:rPr>
        <w:t>2.5.3、显示控制：黑白与彩色对比</w:t>
      </w:r>
    </w:p>
    <w:p>
      <w:pPr>
        <w:spacing w:line="360" w:lineRule="auto"/>
        <w:ind w:firstLine="240" w:firstLineChars="100"/>
        <w:rPr>
          <w:rFonts w:ascii="宋体" w:hAnsi="宋体" w:cs="宋体"/>
          <w:sz w:val="24"/>
        </w:rPr>
      </w:pPr>
      <w:r>
        <w:rPr>
          <w:rFonts w:hint="eastAsia" w:ascii="宋体" w:hAnsi="宋体" w:cs="宋体"/>
          <w:sz w:val="24"/>
        </w:rPr>
        <w:t>2.5.4、彩色基线：≥17级可调</w:t>
      </w:r>
    </w:p>
    <w:p>
      <w:pPr>
        <w:spacing w:line="360" w:lineRule="auto"/>
        <w:ind w:firstLine="240" w:firstLineChars="100"/>
        <w:rPr>
          <w:rFonts w:ascii="宋体" w:hAnsi="宋体" w:cs="宋体"/>
          <w:sz w:val="24"/>
        </w:rPr>
      </w:pPr>
      <w:r>
        <w:rPr>
          <w:rFonts w:hint="eastAsia" w:ascii="宋体" w:hAnsi="宋体" w:cs="宋体"/>
          <w:sz w:val="24"/>
        </w:rPr>
        <w:t>2.5.5、多普勒能量及方向能量图</w:t>
      </w:r>
    </w:p>
    <w:p>
      <w:pPr>
        <w:spacing w:line="360" w:lineRule="auto"/>
        <w:ind w:firstLine="240" w:firstLineChars="100"/>
        <w:rPr>
          <w:rFonts w:ascii="宋体" w:hAnsi="宋体" w:cs="宋体"/>
          <w:sz w:val="24"/>
        </w:rPr>
      </w:pPr>
      <w:r>
        <w:rPr>
          <w:rFonts w:hint="eastAsia" w:ascii="宋体" w:hAnsi="宋体" w:cs="宋体"/>
          <w:sz w:val="24"/>
        </w:rPr>
        <w:t>2.5.6、彩色增强≥5级可视可调</w:t>
      </w:r>
    </w:p>
    <w:p>
      <w:pPr>
        <w:spacing w:line="360" w:lineRule="auto"/>
        <w:ind w:firstLine="240" w:firstLineChars="100"/>
        <w:rPr>
          <w:rFonts w:ascii="宋体" w:hAnsi="宋体" w:cs="宋体"/>
          <w:sz w:val="24"/>
        </w:rPr>
      </w:pPr>
      <w:r>
        <w:rPr>
          <w:rFonts w:hint="eastAsia" w:ascii="宋体" w:hAnsi="宋体" w:cs="宋体"/>
          <w:sz w:val="24"/>
        </w:rPr>
        <w:t>2.5.7、C采样容积1～128可视可调</w:t>
      </w:r>
    </w:p>
    <w:p>
      <w:pPr>
        <w:spacing w:line="360" w:lineRule="auto"/>
        <w:ind w:firstLine="240" w:firstLineChars="100"/>
        <w:rPr>
          <w:rFonts w:ascii="宋体" w:hAnsi="宋体" w:cs="宋体"/>
          <w:sz w:val="24"/>
        </w:rPr>
      </w:pPr>
      <w:r>
        <w:rPr>
          <w:rFonts w:hint="eastAsia" w:ascii="宋体" w:hAnsi="宋体" w:cs="宋体"/>
          <w:sz w:val="24"/>
        </w:rPr>
        <w:t>2.5.8、壁滤波：≥50级，可视可调</w:t>
      </w:r>
    </w:p>
    <w:p>
      <w:pPr>
        <w:spacing w:line="360" w:lineRule="auto"/>
        <w:ind w:firstLine="240" w:firstLineChars="100"/>
        <w:rPr>
          <w:rFonts w:ascii="宋体" w:hAnsi="宋体" w:cs="宋体"/>
          <w:sz w:val="24"/>
        </w:rPr>
      </w:pPr>
      <w:r>
        <w:rPr>
          <w:rFonts w:hint="eastAsia" w:ascii="宋体" w:hAnsi="宋体" w:cs="宋体"/>
          <w:sz w:val="24"/>
        </w:rPr>
        <w:t xml:space="preserve">2.5.9、声功率： 0～100%连续可调 </w:t>
      </w:r>
    </w:p>
    <w:p>
      <w:pPr>
        <w:spacing w:line="360" w:lineRule="auto"/>
        <w:rPr>
          <w:rFonts w:ascii="宋体" w:hAnsi="宋体" w:cs="宋体"/>
          <w:sz w:val="24"/>
        </w:rPr>
      </w:pPr>
      <w:r>
        <w:rPr>
          <w:rFonts w:hint="eastAsia" w:ascii="宋体" w:hAnsi="宋体" w:cs="宋体"/>
          <w:sz w:val="24"/>
        </w:rPr>
        <w:t xml:space="preserve">  2.5.10、彩色图谱： 9级，可视可调</w:t>
      </w:r>
    </w:p>
    <w:p>
      <w:pPr>
        <w:spacing w:line="360" w:lineRule="auto"/>
        <w:ind w:firstLine="240" w:firstLineChars="100"/>
        <w:rPr>
          <w:rFonts w:ascii="宋体" w:hAnsi="宋体" w:cs="宋体"/>
          <w:sz w:val="24"/>
        </w:rPr>
      </w:pPr>
      <w:r>
        <w:rPr>
          <w:rFonts w:hint="eastAsia" w:ascii="宋体" w:hAnsi="宋体" w:cs="宋体"/>
          <w:sz w:val="24"/>
        </w:rPr>
        <w:t>2.5.11、</w:t>
      </w:r>
      <w:r>
        <w:rPr>
          <w:rFonts w:hint="eastAsia" w:asciiTheme="minorEastAsia" w:hAnsiTheme="minorEastAsia"/>
          <w:b/>
          <w:snapToGrid w:val="0"/>
          <w:color w:val="000000" w:themeColor="text1"/>
          <w:spacing w:val="8"/>
          <w:sz w:val="22"/>
        </w:rPr>
        <w:t>▲</w:t>
      </w:r>
      <w:r>
        <w:rPr>
          <w:rFonts w:hint="eastAsia" w:ascii="宋体" w:hAnsi="宋体" w:cs="宋体"/>
          <w:sz w:val="24"/>
        </w:rPr>
        <w:t>彩色隐藏功能：图像在实时及冻结状态下，可一键将彩色血流隐藏，便于二维与彩色的进行快速对比。</w:t>
      </w:r>
    </w:p>
    <w:p>
      <w:pPr>
        <w:spacing w:line="360" w:lineRule="auto"/>
        <w:ind w:firstLine="240" w:firstLineChars="100"/>
        <w:rPr>
          <w:rFonts w:ascii="宋体" w:hAnsi="宋体" w:cs="宋体"/>
          <w:sz w:val="24"/>
        </w:rPr>
      </w:pPr>
      <w:r>
        <w:rPr>
          <w:rFonts w:hint="eastAsia" w:ascii="宋体" w:hAnsi="宋体" w:cs="宋体"/>
          <w:sz w:val="24"/>
        </w:rPr>
        <w:t>2.5.12、声功率：0%-100%连续可调</w:t>
      </w:r>
    </w:p>
    <w:p>
      <w:pPr>
        <w:spacing w:line="360" w:lineRule="auto"/>
        <w:rPr>
          <w:rFonts w:ascii="宋体" w:hAnsi="宋体" w:cs="宋体"/>
          <w:b/>
          <w:bCs/>
          <w:sz w:val="24"/>
        </w:rPr>
      </w:pPr>
      <w:r>
        <w:rPr>
          <w:rFonts w:hint="eastAsia" w:ascii="宋体" w:hAnsi="宋体" w:cs="宋体"/>
          <w:b/>
          <w:bCs/>
          <w:sz w:val="24"/>
        </w:rPr>
        <w:t>2.6、实时三维成像（4D）：</w:t>
      </w:r>
    </w:p>
    <w:p>
      <w:pPr>
        <w:spacing w:line="360" w:lineRule="auto"/>
        <w:ind w:firstLine="240" w:firstLineChars="100"/>
        <w:rPr>
          <w:rFonts w:ascii="宋体" w:hAnsi="宋体" w:cs="宋体"/>
          <w:sz w:val="24"/>
        </w:rPr>
      </w:pPr>
      <w:r>
        <w:rPr>
          <w:rFonts w:hint="eastAsia" w:ascii="宋体" w:hAnsi="宋体" w:cs="宋体"/>
          <w:sz w:val="24"/>
        </w:rPr>
        <w:t>2.6.1、可X、Y、Z三个方向任意旋转和切割（包括回放模式下）</w:t>
      </w:r>
    </w:p>
    <w:p>
      <w:pPr>
        <w:spacing w:line="360" w:lineRule="auto"/>
        <w:ind w:firstLine="240" w:firstLineChars="100"/>
        <w:rPr>
          <w:rFonts w:ascii="宋体" w:hAnsi="宋体" w:cs="宋体"/>
          <w:sz w:val="24"/>
        </w:rPr>
      </w:pPr>
      <w:r>
        <w:rPr>
          <w:rFonts w:hint="eastAsia" w:ascii="宋体" w:hAnsi="宋体" w:cs="宋体"/>
          <w:sz w:val="24"/>
        </w:rPr>
        <w:t>2.6.2、电影回放：≥50个三维体</w:t>
      </w:r>
    </w:p>
    <w:p>
      <w:pPr>
        <w:spacing w:line="360" w:lineRule="auto"/>
        <w:ind w:firstLine="240" w:firstLineChars="100"/>
        <w:rPr>
          <w:rFonts w:ascii="宋体" w:hAnsi="宋体" w:cs="宋体"/>
          <w:sz w:val="24"/>
        </w:rPr>
      </w:pPr>
      <w:r>
        <w:rPr>
          <w:rFonts w:hint="eastAsia" w:ascii="宋体" w:hAnsi="宋体" w:cs="宋体"/>
          <w:sz w:val="24"/>
        </w:rPr>
        <w:t>2.6.3、原始数据储存：可将保存的四维图像和电影进行进行切割、对平滑、亮度、阈值及图谱等可重新调节</w:t>
      </w:r>
    </w:p>
    <w:p>
      <w:pPr>
        <w:spacing w:line="360" w:lineRule="auto"/>
        <w:ind w:firstLine="240" w:firstLineChars="100"/>
        <w:rPr>
          <w:rFonts w:ascii="宋体" w:hAnsi="宋体" w:cs="宋体"/>
          <w:sz w:val="24"/>
        </w:rPr>
      </w:pPr>
      <w:r>
        <w:rPr>
          <w:rFonts w:hint="eastAsia" w:ascii="宋体" w:hAnsi="宋体" w:cs="宋体"/>
          <w:sz w:val="24"/>
        </w:rPr>
        <w:t>2.6.4文件存储格式：JPG、AVI、Vol、Vols</w:t>
      </w:r>
    </w:p>
    <w:p>
      <w:pPr>
        <w:spacing w:line="360" w:lineRule="auto"/>
        <w:ind w:firstLine="240" w:firstLineChars="100"/>
        <w:rPr>
          <w:rFonts w:ascii="宋体" w:hAnsi="宋体" w:cs="宋体"/>
          <w:sz w:val="24"/>
        </w:rPr>
      </w:pPr>
      <w:r>
        <w:rPr>
          <w:rFonts w:hint="eastAsia" w:ascii="宋体" w:hAnsi="宋体" w:cs="宋体"/>
          <w:sz w:val="24"/>
        </w:rPr>
        <w:t>2.6.5、窗口布局：≥7种</w:t>
      </w:r>
    </w:p>
    <w:p>
      <w:pPr>
        <w:spacing w:line="360" w:lineRule="auto"/>
        <w:ind w:firstLine="240" w:firstLineChars="100"/>
        <w:rPr>
          <w:rFonts w:ascii="宋体" w:hAnsi="宋体" w:cs="宋体"/>
          <w:sz w:val="24"/>
        </w:rPr>
      </w:pPr>
      <w:r>
        <w:rPr>
          <w:rFonts w:hint="eastAsia" w:ascii="宋体" w:hAnsi="宋体" w:cs="宋体"/>
          <w:sz w:val="24"/>
        </w:rPr>
        <w:t>2.6.6、具备4D全屏放大</w:t>
      </w:r>
    </w:p>
    <w:p>
      <w:pPr>
        <w:spacing w:line="360" w:lineRule="auto"/>
        <w:rPr>
          <w:rFonts w:ascii="宋体" w:hAnsi="宋体" w:cs="宋体"/>
          <w:b/>
          <w:bCs/>
          <w:sz w:val="24"/>
        </w:rPr>
      </w:pPr>
      <w:r>
        <w:rPr>
          <w:rFonts w:hint="eastAsia" w:ascii="宋体" w:hAnsi="宋体" w:cs="宋体"/>
          <w:b/>
          <w:bCs/>
          <w:sz w:val="24"/>
        </w:rPr>
        <w:t>2.7、超声功率输出调节：B、CFM、PWD模式输出功率独立可调</w:t>
      </w:r>
    </w:p>
    <w:p>
      <w:pPr>
        <w:spacing w:line="360" w:lineRule="auto"/>
        <w:rPr>
          <w:rFonts w:ascii="宋体" w:hAnsi="宋体" w:cs="宋体"/>
          <w:b/>
          <w:bCs/>
          <w:sz w:val="24"/>
        </w:rPr>
      </w:pPr>
      <w:r>
        <w:rPr>
          <w:rFonts w:hint="eastAsia" w:ascii="宋体" w:hAnsi="宋体" w:cs="宋体"/>
          <w:b/>
          <w:bCs/>
          <w:sz w:val="24"/>
        </w:rPr>
        <w:t>2.8、</w:t>
      </w:r>
      <w:r>
        <w:rPr>
          <w:rFonts w:hint="eastAsia" w:asciiTheme="minorEastAsia" w:hAnsiTheme="minorEastAsia"/>
          <w:b/>
          <w:snapToGrid w:val="0"/>
          <w:color w:val="000000" w:themeColor="text1"/>
          <w:spacing w:val="8"/>
          <w:sz w:val="22"/>
        </w:rPr>
        <w:t>▲</w:t>
      </w:r>
      <w:r>
        <w:rPr>
          <w:rFonts w:hint="eastAsia" w:ascii="宋体" w:hAnsi="宋体" w:cs="宋体"/>
          <w:b/>
          <w:bCs/>
          <w:sz w:val="24"/>
        </w:rPr>
        <w:t>可选配同品牌超声工作站</w:t>
      </w:r>
      <w:r>
        <w:rPr>
          <w:rFonts w:hint="eastAsia" w:ascii="宋体" w:hAnsi="宋体" w:cs="宋体"/>
          <w:b/>
          <w:bCs/>
          <w:color w:val="FF0000"/>
          <w:sz w:val="24"/>
        </w:rPr>
        <w:t>（提供工作站注册证明文件）</w:t>
      </w:r>
    </w:p>
    <w:p>
      <w:pPr>
        <w:pStyle w:val="33"/>
        <w:spacing w:before="0" w:after="0" w:line="360" w:lineRule="auto"/>
        <w:rPr>
          <w:rFonts w:hAnsi="宋体"/>
          <w:b/>
          <w:bCs/>
          <w:szCs w:val="24"/>
        </w:rPr>
      </w:pPr>
      <w:r>
        <w:rPr>
          <w:rFonts w:hint="eastAsia" w:hAnsi="宋体"/>
          <w:b/>
          <w:bCs/>
          <w:szCs w:val="24"/>
        </w:rPr>
        <w:t>三、配置要求</w:t>
      </w:r>
    </w:p>
    <w:p>
      <w:pPr>
        <w:spacing w:line="360" w:lineRule="auto"/>
        <w:rPr>
          <w:rFonts w:ascii="宋体" w:hAnsi="宋体" w:cs="宋体"/>
          <w:sz w:val="24"/>
        </w:rPr>
      </w:pPr>
      <w:r>
        <w:rPr>
          <w:rFonts w:hint="eastAsia" w:ascii="宋体" w:hAnsi="宋体" w:cs="宋体"/>
          <w:sz w:val="24"/>
        </w:rPr>
        <w:t>3.1、18.5英寸高清专业医用液晶显示器1台</w:t>
      </w:r>
    </w:p>
    <w:p>
      <w:pPr>
        <w:spacing w:line="360" w:lineRule="auto"/>
        <w:rPr>
          <w:rFonts w:ascii="宋体" w:hAnsi="宋体" w:cs="宋体"/>
          <w:sz w:val="24"/>
        </w:rPr>
      </w:pPr>
      <w:r>
        <w:rPr>
          <w:rFonts w:hint="eastAsia" w:ascii="宋体" w:hAnsi="宋体" w:cs="宋体"/>
          <w:sz w:val="24"/>
        </w:rPr>
        <w:t>3.2、探头3只：凸阵探头、线阵探头、相控阵探头。</w:t>
      </w:r>
    </w:p>
    <w:p>
      <w:pPr>
        <w:spacing w:line="360" w:lineRule="auto"/>
        <w:rPr>
          <w:rFonts w:ascii="宋体" w:hAnsi="宋体" w:cs="宋体"/>
          <w:sz w:val="24"/>
        </w:rPr>
      </w:pPr>
      <w:r>
        <w:rPr>
          <w:rFonts w:hint="eastAsia" w:ascii="宋体" w:hAnsi="宋体" w:cs="宋体"/>
          <w:sz w:val="24"/>
        </w:rPr>
        <w:t>3.3、附件：1套</w:t>
      </w:r>
    </w:p>
    <w:p>
      <w:pPr>
        <w:spacing w:line="360" w:lineRule="auto"/>
        <w:rPr>
          <w:rFonts w:ascii="宋体" w:hAnsi="宋体" w:cs="宋体"/>
          <w:sz w:val="24"/>
        </w:rPr>
      </w:pPr>
      <w:r>
        <w:rPr>
          <w:rFonts w:hint="eastAsia" w:ascii="宋体" w:hAnsi="宋体" w:cs="宋体"/>
          <w:sz w:val="24"/>
        </w:rPr>
        <w:t>3.4、技术文件：仪器操作说明书、安装指南等。</w:t>
      </w:r>
    </w:p>
    <w:p>
      <w:pPr>
        <w:pStyle w:val="33"/>
      </w:pPr>
    </w:p>
    <w:p>
      <w:pPr>
        <w:pStyle w:val="4"/>
      </w:pPr>
      <w:r>
        <w:rPr>
          <w:rFonts w:hint="eastAsia"/>
        </w:rPr>
        <w:t>3</w:t>
      </w:r>
      <w:r>
        <w:t>.3</w:t>
      </w:r>
      <w:r>
        <w:rPr>
          <w:rFonts w:hint="eastAsia"/>
        </w:rPr>
        <w:t>、全身应用彩色多普勒超声波诊断仪</w:t>
      </w:r>
    </w:p>
    <w:p>
      <w:pPr>
        <w:pStyle w:val="33"/>
        <w:spacing w:before="0" w:after="0" w:line="360" w:lineRule="auto"/>
        <w:rPr>
          <w:rFonts w:hAnsi="宋体" w:cs="Arial"/>
          <w:sz w:val="22"/>
          <w:szCs w:val="22"/>
        </w:rPr>
      </w:pPr>
      <w:r>
        <w:rPr>
          <w:rFonts w:hint="eastAsia" w:hAnsi="宋体"/>
          <w:b/>
          <w:sz w:val="22"/>
          <w:szCs w:val="22"/>
        </w:rPr>
        <w:t>一、设备主要用途：</w:t>
      </w:r>
      <w:r>
        <w:rPr>
          <w:rFonts w:hint="eastAsia" w:hAnsi="宋体"/>
          <w:sz w:val="22"/>
          <w:szCs w:val="22"/>
        </w:rPr>
        <w:t>主要用于</w:t>
      </w:r>
      <w:r>
        <w:rPr>
          <w:rFonts w:hint="eastAsia" w:hAnsi="宋体" w:cs="Arial"/>
          <w:sz w:val="22"/>
          <w:szCs w:val="22"/>
        </w:rPr>
        <w:t>腹部、产科、妇科、心脏、小器官、泌尿、血管、儿科、经颅、急诊等全身应用。</w:t>
      </w:r>
    </w:p>
    <w:p>
      <w:pPr>
        <w:adjustRightInd w:val="0"/>
        <w:spacing w:line="360" w:lineRule="auto"/>
        <w:jc w:val="left"/>
        <w:rPr>
          <w:rFonts w:ascii="宋体" w:hAnsi="宋体"/>
          <w:b/>
          <w:sz w:val="22"/>
        </w:rPr>
      </w:pPr>
      <w:r>
        <w:rPr>
          <w:rFonts w:hint="eastAsia" w:ascii="宋体" w:hAnsi="宋体"/>
          <w:b/>
          <w:sz w:val="22"/>
        </w:rPr>
        <w:t>二、主机及技术参数要求：</w:t>
      </w:r>
    </w:p>
    <w:p>
      <w:pPr>
        <w:adjustRightInd w:val="0"/>
        <w:spacing w:line="360" w:lineRule="auto"/>
        <w:jc w:val="left"/>
        <w:rPr>
          <w:rFonts w:ascii="宋体" w:hAnsi="宋体"/>
          <w:sz w:val="22"/>
        </w:rPr>
      </w:pPr>
      <w:r>
        <w:rPr>
          <w:rFonts w:hint="eastAsia" w:ascii="宋体" w:hAnsi="宋体"/>
          <w:sz w:val="22"/>
        </w:rPr>
        <w:t>1、通用功能</w:t>
      </w:r>
    </w:p>
    <w:p>
      <w:pPr>
        <w:adjustRightInd w:val="0"/>
        <w:spacing w:line="360" w:lineRule="auto"/>
        <w:jc w:val="left"/>
        <w:rPr>
          <w:rFonts w:ascii="宋体" w:hAnsi="宋体"/>
          <w:sz w:val="22"/>
          <w:lang w:val="zh-CN"/>
        </w:rPr>
      </w:pPr>
      <w:r>
        <w:rPr>
          <w:rFonts w:hint="eastAsia" w:ascii="宋体" w:hAnsi="宋体"/>
          <w:sz w:val="22"/>
        </w:rPr>
        <w:t>▲1.1、彩色显示器≥19寸，可上下折叠、左右旋转。</w:t>
      </w:r>
    </w:p>
    <w:p>
      <w:pPr>
        <w:adjustRightInd w:val="0"/>
        <w:spacing w:line="360" w:lineRule="auto"/>
        <w:jc w:val="left"/>
        <w:rPr>
          <w:rFonts w:ascii="宋体" w:hAnsi="宋体"/>
          <w:sz w:val="22"/>
        </w:rPr>
      </w:pPr>
      <w:r>
        <w:rPr>
          <w:rFonts w:hint="eastAsia" w:ascii="宋体" w:hAnsi="宋体"/>
          <w:sz w:val="22"/>
        </w:rPr>
        <w:t>1.2、主机一体化触摸屏≥10.4寸。</w:t>
      </w:r>
    </w:p>
    <w:p>
      <w:pPr>
        <w:adjustRightInd w:val="0"/>
        <w:spacing w:line="360" w:lineRule="auto"/>
        <w:jc w:val="left"/>
        <w:rPr>
          <w:rFonts w:ascii="宋体" w:hAnsi="宋体"/>
          <w:sz w:val="22"/>
        </w:rPr>
      </w:pPr>
      <w:r>
        <w:rPr>
          <w:rFonts w:hint="eastAsia" w:ascii="宋体" w:hAnsi="宋体"/>
          <w:sz w:val="22"/>
        </w:rPr>
        <w:t>1.3、主机标配探头接口：≥4个，全部击活，互通互用。</w:t>
      </w:r>
    </w:p>
    <w:p>
      <w:pPr>
        <w:adjustRightInd w:val="0"/>
        <w:spacing w:line="360" w:lineRule="auto"/>
        <w:jc w:val="left"/>
        <w:rPr>
          <w:rFonts w:ascii="宋体" w:hAnsi="宋体"/>
          <w:sz w:val="22"/>
        </w:rPr>
      </w:pPr>
      <w:r>
        <w:rPr>
          <w:rFonts w:hint="eastAsia" w:ascii="宋体" w:hAnsi="宋体"/>
          <w:sz w:val="22"/>
        </w:rPr>
        <w:t>1.4、操作面板可独立旋转</w:t>
      </w:r>
    </w:p>
    <w:p>
      <w:pPr>
        <w:adjustRightInd w:val="0"/>
        <w:spacing w:line="360" w:lineRule="auto"/>
        <w:jc w:val="left"/>
        <w:rPr>
          <w:rFonts w:ascii="宋体" w:hAnsi="宋体"/>
          <w:sz w:val="22"/>
        </w:rPr>
      </w:pPr>
      <w:r>
        <w:rPr>
          <w:rFonts w:hint="eastAsia" w:ascii="宋体" w:hAnsi="宋体"/>
          <w:sz w:val="22"/>
        </w:rPr>
        <w:t>1.5、控制面板设置有多个专用自定义健,以便快捷的个性化操作和机器升级备用</w:t>
      </w:r>
    </w:p>
    <w:p>
      <w:pPr>
        <w:adjustRightInd w:val="0"/>
        <w:spacing w:line="360" w:lineRule="auto"/>
        <w:jc w:val="left"/>
        <w:rPr>
          <w:rFonts w:ascii="宋体" w:hAnsi="宋体"/>
          <w:sz w:val="22"/>
        </w:rPr>
      </w:pPr>
      <w:r>
        <w:rPr>
          <w:rFonts w:hint="eastAsia" w:ascii="宋体" w:hAnsi="宋体"/>
          <w:sz w:val="22"/>
        </w:rPr>
        <w:t>▲1.6、具有抽拉式文本键盘，且键盘上有3光源LED照明灯方便医生操作</w:t>
      </w:r>
    </w:p>
    <w:p>
      <w:pPr>
        <w:adjustRightInd w:val="0"/>
        <w:spacing w:line="360" w:lineRule="auto"/>
        <w:jc w:val="left"/>
        <w:rPr>
          <w:rFonts w:ascii="宋体" w:hAnsi="宋体"/>
          <w:sz w:val="22"/>
        </w:rPr>
      </w:pPr>
      <w:r>
        <w:rPr>
          <w:rFonts w:hint="eastAsia" w:ascii="宋体" w:hAnsi="宋体"/>
          <w:sz w:val="22"/>
        </w:rPr>
        <w:t>1.7、主机一体化耦合剂加热杯</w:t>
      </w:r>
    </w:p>
    <w:p>
      <w:pPr>
        <w:adjustRightInd w:val="0"/>
        <w:spacing w:line="360" w:lineRule="auto"/>
        <w:jc w:val="left"/>
        <w:rPr>
          <w:rFonts w:ascii="宋体" w:hAnsi="宋体"/>
          <w:sz w:val="22"/>
        </w:rPr>
      </w:pPr>
      <w:r>
        <w:rPr>
          <w:rFonts w:hint="eastAsia" w:ascii="宋体" w:hAnsi="宋体"/>
          <w:sz w:val="22"/>
        </w:rPr>
        <w:t>1.8、二维灰阶模式</w:t>
      </w:r>
    </w:p>
    <w:p>
      <w:pPr>
        <w:adjustRightInd w:val="0"/>
        <w:spacing w:line="360" w:lineRule="auto"/>
        <w:jc w:val="left"/>
        <w:rPr>
          <w:rFonts w:ascii="宋体" w:hAnsi="宋体"/>
          <w:sz w:val="22"/>
        </w:rPr>
      </w:pPr>
      <w:r>
        <w:rPr>
          <w:rFonts w:hint="eastAsia" w:ascii="宋体" w:hAnsi="宋体"/>
          <w:sz w:val="22"/>
        </w:rPr>
        <w:t>1.9、多倍波束合成</w:t>
      </w:r>
    </w:p>
    <w:p>
      <w:pPr>
        <w:adjustRightInd w:val="0"/>
        <w:spacing w:line="360" w:lineRule="auto"/>
        <w:jc w:val="left"/>
        <w:rPr>
          <w:rFonts w:ascii="宋体" w:hAnsi="宋体"/>
          <w:sz w:val="22"/>
        </w:rPr>
      </w:pPr>
      <w:r>
        <w:rPr>
          <w:rFonts w:hint="eastAsia" w:ascii="宋体" w:hAnsi="宋体"/>
          <w:sz w:val="22"/>
        </w:rPr>
        <w:t>1.10、相位谐波</w:t>
      </w:r>
      <w:r>
        <w:rPr>
          <w:rFonts w:ascii="宋体" w:hAnsi="宋体"/>
          <w:sz w:val="22"/>
        </w:rPr>
        <w:t>(Phase -THI)</w:t>
      </w:r>
      <w:r>
        <w:rPr>
          <w:rFonts w:hint="eastAsia" w:ascii="宋体" w:hAnsi="宋体"/>
          <w:sz w:val="22"/>
        </w:rPr>
        <w:t>成像模式</w:t>
      </w:r>
    </w:p>
    <w:p>
      <w:pPr>
        <w:adjustRightInd w:val="0"/>
        <w:spacing w:line="360" w:lineRule="auto"/>
        <w:jc w:val="left"/>
        <w:rPr>
          <w:rFonts w:ascii="宋体" w:hAnsi="宋体"/>
          <w:sz w:val="22"/>
        </w:rPr>
      </w:pPr>
      <w:r>
        <w:rPr>
          <w:rFonts w:hint="eastAsia" w:ascii="宋体" w:hAnsi="宋体"/>
          <w:sz w:val="22"/>
        </w:rPr>
        <w:t>▲1.11、融合谐波</w:t>
      </w:r>
      <w:r>
        <w:rPr>
          <w:rFonts w:ascii="宋体" w:hAnsi="宋体"/>
          <w:sz w:val="22"/>
        </w:rPr>
        <w:t>(Fusion -FHI)</w:t>
      </w:r>
      <w:r>
        <w:rPr>
          <w:rFonts w:hint="eastAsia" w:ascii="宋体" w:hAnsi="宋体"/>
          <w:sz w:val="22"/>
        </w:rPr>
        <w:t>模式，有专属的功能键</w:t>
      </w:r>
    </w:p>
    <w:p>
      <w:pPr>
        <w:adjustRightInd w:val="0"/>
        <w:spacing w:line="360" w:lineRule="auto"/>
        <w:jc w:val="left"/>
        <w:rPr>
          <w:rFonts w:ascii="宋体" w:hAnsi="宋体"/>
          <w:sz w:val="22"/>
        </w:rPr>
      </w:pPr>
      <w:r>
        <w:rPr>
          <w:rFonts w:hint="eastAsia" w:ascii="宋体" w:hAnsi="宋体"/>
          <w:sz w:val="22"/>
        </w:rPr>
        <w:t>1.1</w:t>
      </w:r>
      <w:r>
        <w:rPr>
          <w:rFonts w:ascii="宋体" w:hAnsi="宋体"/>
          <w:sz w:val="22"/>
        </w:rPr>
        <w:t>2</w:t>
      </w:r>
      <w:r>
        <w:rPr>
          <w:rFonts w:hint="eastAsia" w:ascii="宋体" w:hAnsi="宋体"/>
          <w:sz w:val="22"/>
        </w:rPr>
        <w:t>、M型模式</w:t>
      </w:r>
    </w:p>
    <w:p>
      <w:pPr>
        <w:adjustRightInd w:val="0"/>
        <w:spacing w:line="360" w:lineRule="auto"/>
        <w:jc w:val="left"/>
        <w:rPr>
          <w:rFonts w:ascii="宋体" w:hAnsi="宋体"/>
          <w:sz w:val="22"/>
        </w:rPr>
      </w:pPr>
      <w:r>
        <w:rPr>
          <w:rFonts w:hint="eastAsia" w:ascii="宋体" w:hAnsi="宋体"/>
          <w:sz w:val="22"/>
        </w:rPr>
        <w:t>1.1</w:t>
      </w:r>
      <w:r>
        <w:rPr>
          <w:rFonts w:ascii="宋体" w:hAnsi="宋体"/>
          <w:sz w:val="22"/>
        </w:rPr>
        <w:t>3</w:t>
      </w:r>
      <w:r>
        <w:rPr>
          <w:rFonts w:hint="eastAsia" w:ascii="宋体" w:hAnsi="宋体"/>
          <w:sz w:val="22"/>
        </w:rPr>
        <w:t>、彩色M型模式</w:t>
      </w:r>
    </w:p>
    <w:p>
      <w:pPr>
        <w:adjustRightInd w:val="0"/>
        <w:spacing w:line="360" w:lineRule="auto"/>
        <w:jc w:val="left"/>
        <w:rPr>
          <w:rFonts w:ascii="宋体" w:hAnsi="宋体"/>
          <w:sz w:val="22"/>
        </w:rPr>
      </w:pPr>
      <w:r>
        <w:rPr>
          <w:rFonts w:hint="eastAsia" w:ascii="宋体" w:hAnsi="宋体"/>
          <w:sz w:val="22"/>
        </w:rPr>
        <w:t>1.14、解剖M型模式 (≥3条取样线，360度旋转)</w:t>
      </w:r>
    </w:p>
    <w:p>
      <w:pPr>
        <w:adjustRightInd w:val="0"/>
        <w:spacing w:line="360" w:lineRule="auto"/>
        <w:jc w:val="left"/>
        <w:rPr>
          <w:rFonts w:ascii="宋体" w:hAnsi="宋体"/>
          <w:sz w:val="22"/>
        </w:rPr>
      </w:pPr>
      <w:r>
        <w:rPr>
          <w:rFonts w:hint="eastAsia" w:ascii="宋体" w:hAnsi="宋体"/>
          <w:sz w:val="22"/>
        </w:rPr>
        <w:t>1.1</w:t>
      </w:r>
      <w:r>
        <w:rPr>
          <w:rFonts w:ascii="宋体" w:hAnsi="宋体"/>
          <w:sz w:val="22"/>
        </w:rPr>
        <w:t>5</w:t>
      </w:r>
      <w:r>
        <w:rPr>
          <w:rFonts w:hint="eastAsia" w:ascii="宋体" w:hAnsi="宋体"/>
          <w:sz w:val="22"/>
        </w:rPr>
        <w:t>、彩色多普勒成像（包括彩色、能量、方向能量多普勒模式）</w:t>
      </w:r>
    </w:p>
    <w:p>
      <w:pPr>
        <w:adjustRightInd w:val="0"/>
        <w:spacing w:line="360" w:lineRule="auto"/>
        <w:jc w:val="left"/>
        <w:rPr>
          <w:rFonts w:ascii="宋体" w:hAnsi="宋体"/>
          <w:sz w:val="22"/>
        </w:rPr>
      </w:pPr>
      <w:r>
        <w:rPr>
          <w:rFonts w:hint="eastAsia" w:ascii="宋体" w:hAnsi="宋体"/>
          <w:sz w:val="22"/>
        </w:rPr>
        <w:t>1.16、支持B/C双实时显示</w:t>
      </w:r>
    </w:p>
    <w:p>
      <w:pPr>
        <w:adjustRightInd w:val="0"/>
        <w:spacing w:line="360" w:lineRule="auto"/>
        <w:jc w:val="left"/>
        <w:rPr>
          <w:rFonts w:ascii="宋体" w:hAnsi="宋体"/>
          <w:sz w:val="22"/>
        </w:rPr>
      </w:pPr>
      <w:r>
        <w:rPr>
          <w:rFonts w:hint="eastAsia" w:ascii="宋体" w:hAnsi="宋体"/>
          <w:sz w:val="22"/>
        </w:rPr>
        <w:t>1.17、频谱多普勒成像（包括脉冲多普勒、高脉冲重复频率、连续波多普勒）</w:t>
      </w:r>
    </w:p>
    <w:p>
      <w:pPr>
        <w:adjustRightInd w:val="0"/>
        <w:spacing w:line="360" w:lineRule="auto"/>
        <w:jc w:val="left"/>
        <w:rPr>
          <w:rFonts w:ascii="宋体" w:hAnsi="宋体"/>
          <w:sz w:val="22"/>
        </w:rPr>
      </w:pPr>
      <w:r>
        <w:rPr>
          <w:rFonts w:hint="eastAsia" w:ascii="宋体" w:hAnsi="宋体"/>
          <w:sz w:val="22"/>
        </w:rPr>
        <w:t>1.18、组织多普勒成像</w:t>
      </w:r>
    </w:p>
    <w:p>
      <w:pPr>
        <w:adjustRightInd w:val="0"/>
        <w:spacing w:line="360" w:lineRule="auto"/>
        <w:jc w:val="left"/>
        <w:rPr>
          <w:rFonts w:ascii="宋体" w:hAnsi="宋体"/>
          <w:sz w:val="22"/>
        </w:rPr>
      </w:pPr>
      <w:r>
        <w:rPr>
          <w:rFonts w:hint="eastAsia" w:ascii="宋体" w:hAnsi="宋体"/>
          <w:sz w:val="22"/>
        </w:rPr>
        <w:t>1.19、自由臂三维成像</w:t>
      </w:r>
    </w:p>
    <w:p>
      <w:pPr>
        <w:adjustRightInd w:val="0"/>
        <w:spacing w:line="360" w:lineRule="auto"/>
        <w:jc w:val="left"/>
        <w:rPr>
          <w:rFonts w:ascii="宋体" w:hAnsi="宋体"/>
          <w:sz w:val="22"/>
        </w:rPr>
      </w:pPr>
      <w:r>
        <w:rPr>
          <w:rFonts w:hint="eastAsia" w:ascii="宋体" w:hAnsi="宋体"/>
          <w:sz w:val="22"/>
        </w:rPr>
        <w:t>1.20、宽景成像单元</w:t>
      </w:r>
    </w:p>
    <w:p>
      <w:pPr>
        <w:adjustRightInd w:val="0"/>
        <w:spacing w:line="360" w:lineRule="auto"/>
        <w:jc w:val="left"/>
        <w:rPr>
          <w:rFonts w:ascii="宋体" w:hAnsi="宋体"/>
          <w:sz w:val="22"/>
        </w:rPr>
      </w:pPr>
      <w:r>
        <w:rPr>
          <w:rFonts w:hint="eastAsia" w:ascii="宋体" w:hAnsi="宋体"/>
          <w:sz w:val="22"/>
        </w:rPr>
        <w:t>1.21、空间复合成像，要求曲别针试验可显示≥3条线</w:t>
      </w:r>
    </w:p>
    <w:p>
      <w:pPr>
        <w:adjustRightInd w:val="0"/>
        <w:spacing w:line="360" w:lineRule="auto"/>
        <w:jc w:val="left"/>
        <w:rPr>
          <w:rFonts w:ascii="宋体" w:hAnsi="宋体"/>
          <w:sz w:val="22"/>
        </w:rPr>
      </w:pPr>
      <w:r>
        <w:rPr>
          <w:rFonts w:hint="eastAsia" w:ascii="宋体" w:hAnsi="宋体"/>
          <w:sz w:val="22"/>
        </w:rPr>
        <w:t>1.22、斑点柔和技术，可调级别≥5</w:t>
      </w:r>
    </w:p>
    <w:p>
      <w:pPr>
        <w:adjustRightInd w:val="0"/>
        <w:spacing w:line="360" w:lineRule="auto"/>
        <w:jc w:val="left"/>
        <w:rPr>
          <w:rFonts w:ascii="宋体" w:hAnsi="宋体"/>
          <w:sz w:val="22"/>
        </w:rPr>
      </w:pPr>
      <w:r>
        <w:rPr>
          <w:rFonts w:hint="eastAsia" w:ascii="宋体" w:hAnsi="宋体"/>
          <w:sz w:val="22"/>
        </w:rPr>
        <w:t>▲1.23、噪声抑制技术，有专属功能键</w:t>
      </w:r>
    </w:p>
    <w:p>
      <w:pPr>
        <w:adjustRightInd w:val="0"/>
        <w:spacing w:line="360" w:lineRule="auto"/>
        <w:jc w:val="left"/>
        <w:rPr>
          <w:rFonts w:ascii="宋体" w:hAnsi="宋体"/>
          <w:sz w:val="22"/>
        </w:rPr>
      </w:pPr>
      <w:r>
        <w:rPr>
          <w:rFonts w:hint="eastAsia" w:ascii="宋体" w:hAnsi="宋体"/>
          <w:sz w:val="22"/>
        </w:rPr>
        <w:t>1.24、扩展成像要求支持凸阵、线阵、腔内、容积探头</w:t>
      </w:r>
    </w:p>
    <w:p>
      <w:pPr>
        <w:adjustRightInd w:val="0"/>
        <w:spacing w:line="360" w:lineRule="auto"/>
        <w:jc w:val="left"/>
        <w:rPr>
          <w:rFonts w:ascii="宋体" w:hAnsi="宋体"/>
          <w:sz w:val="22"/>
        </w:rPr>
      </w:pPr>
      <w:r>
        <w:rPr>
          <w:rFonts w:hint="eastAsia" w:ascii="宋体" w:hAnsi="宋体"/>
          <w:sz w:val="22"/>
        </w:rPr>
        <w:t>1.25、组织特异性成像</w:t>
      </w:r>
    </w:p>
    <w:p>
      <w:pPr>
        <w:adjustRightInd w:val="0"/>
        <w:spacing w:line="360" w:lineRule="auto"/>
        <w:jc w:val="left"/>
        <w:rPr>
          <w:rFonts w:ascii="宋体" w:hAnsi="宋体"/>
          <w:sz w:val="22"/>
        </w:rPr>
      </w:pPr>
      <w:r>
        <w:rPr>
          <w:rFonts w:hint="eastAsia" w:ascii="宋体" w:hAnsi="宋体"/>
          <w:sz w:val="22"/>
        </w:rPr>
        <w:t>1.26、全屏放大，要求支持3种不同图像区域的显示模式（提供图片证明）</w:t>
      </w:r>
    </w:p>
    <w:p>
      <w:pPr>
        <w:adjustRightInd w:val="0"/>
        <w:spacing w:line="360" w:lineRule="auto"/>
        <w:jc w:val="left"/>
        <w:rPr>
          <w:rFonts w:ascii="宋体" w:hAnsi="宋体"/>
          <w:sz w:val="22"/>
        </w:rPr>
      </w:pPr>
      <w:r>
        <w:rPr>
          <w:rFonts w:hint="eastAsia" w:ascii="宋体" w:hAnsi="宋体"/>
          <w:sz w:val="22"/>
        </w:rPr>
        <w:t>1.27一键优化，要求一键快速优化二维图像、彩色图像、频谱</w:t>
      </w:r>
      <w:r>
        <w:rPr>
          <w:rFonts w:ascii="宋体" w:hAnsi="宋体"/>
          <w:sz w:val="22"/>
        </w:rPr>
        <w:t>图像</w:t>
      </w:r>
      <w:r>
        <w:rPr>
          <w:rFonts w:hint="eastAsia" w:ascii="宋体" w:hAnsi="宋体"/>
          <w:sz w:val="22"/>
        </w:rPr>
        <w:t>。</w:t>
      </w:r>
    </w:p>
    <w:p>
      <w:pPr>
        <w:adjustRightInd w:val="0"/>
        <w:spacing w:line="360" w:lineRule="auto"/>
        <w:jc w:val="left"/>
        <w:rPr>
          <w:rFonts w:ascii="宋体" w:hAnsi="宋体"/>
          <w:sz w:val="22"/>
        </w:rPr>
      </w:pPr>
      <w:r>
        <w:rPr>
          <w:rFonts w:hint="eastAsia" w:ascii="宋体" w:hAnsi="宋体"/>
          <w:sz w:val="22"/>
        </w:rPr>
        <w:t>1.28、支持移动终端系统：超声设备与智能设备无线连接，通过无线连接将超声机器的临床图像传输到手机或平板电脑。</w:t>
      </w:r>
    </w:p>
    <w:p>
      <w:pPr>
        <w:adjustRightInd w:val="0"/>
        <w:spacing w:line="360" w:lineRule="auto"/>
        <w:jc w:val="left"/>
        <w:rPr>
          <w:rFonts w:ascii="宋体" w:hAnsi="宋体"/>
          <w:sz w:val="22"/>
        </w:rPr>
      </w:pPr>
      <w:r>
        <w:rPr>
          <w:rFonts w:hint="eastAsia" w:ascii="宋体" w:hAnsi="宋体"/>
          <w:sz w:val="22"/>
        </w:rPr>
        <w:t>▲1.29、B/SRI图像对比模式，有专属功能键</w:t>
      </w:r>
    </w:p>
    <w:p>
      <w:pPr>
        <w:adjustRightInd w:val="0"/>
        <w:spacing w:line="360" w:lineRule="auto"/>
        <w:jc w:val="left"/>
        <w:rPr>
          <w:rFonts w:ascii="宋体" w:hAnsi="宋体"/>
          <w:sz w:val="22"/>
        </w:rPr>
      </w:pPr>
      <w:r>
        <w:rPr>
          <w:rFonts w:hint="eastAsia" w:ascii="宋体" w:hAnsi="宋体"/>
          <w:sz w:val="22"/>
        </w:rPr>
        <w:t>1.30、全中文操作系统界面、操作菜单并可选多种语言。</w:t>
      </w:r>
    </w:p>
    <w:p>
      <w:pPr>
        <w:adjustRightInd w:val="0"/>
        <w:spacing w:line="360" w:lineRule="auto"/>
        <w:jc w:val="left"/>
        <w:rPr>
          <w:rFonts w:ascii="宋体" w:hAnsi="宋体"/>
          <w:sz w:val="22"/>
        </w:rPr>
      </w:pPr>
      <w:r>
        <w:rPr>
          <w:rFonts w:hint="eastAsia" w:ascii="宋体" w:hAnsi="宋体"/>
          <w:sz w:val="22"/>
        </w:rPr>
        <w:t>1.31、</w:t>
      </w:r>
      <w:r>
        <w:rPr>
          <w:rFonts w:ascii="宋体" w:hAnsi="宋体"/>
          <w:sz w:val="22"/>
        </w:rPr>
        <w:t>可配</w:t>
      </w:r>
      <w:r>
        <w:rPr>
          <w:rFonts w:hint="eastAsia" w:ascii="宋体" w:hAnsi="宋体"/>
          <w:sz w:val="22"/>
        </w:rPr>
        <w:t>备</w:t>
      </w:r>
      <w:r>
        <w:rPr>
          <w:rFonts w:ascii="宋体" w:hAnsi="宋体"/>
          <w:sz w:val="22"/>
        </w:rPr>
        <w:t>弹性成像</w:t>
      </w:r>
      <w:r>
        <w:rPr>
          <w:rFonts w:hint="eastAsia" w:ascii="宋体" w:hAnsi="宋体"/>
          <w:sz w:val="22"/>
        </w:rPr>
        <w:t>，具备压力</w:t>
      </w:r>
      <w:r>
        <w:rPr>
          <w:rFonts w:ascii="宋体" w:hAnsi="宋体"/>
          <w:sz w:val="22"/>
        </w:rPr>
        <w:t>曲线</w:t>
      </w:r>
      <w:r>
        <w:rPr>
          <w:rFonts w:hint="eastAsia" w:ascii="宋体" w:hAnsi="宋体"/>
          <w:sz w:val="22"/>
        </w:rPr>
        <w:t>提示</w:t>
      </w:r>
      <w:r>
        <w:rPr>
          <w:rFonts w:ascii="宋体" w:hAnsi="宋体"/>
          <w:sz w:val="22"/>
        </w:rPr>
        <w:t>图</w:t>
      </w:r>
      <w:r>
        <w:rPr>
          <w:rFonts w:hint="eastAsia" w:ascii="宋体" w:hAnsi="宋体"/>
          <w:sz w:val="22"/>
        </w:rPr>
        <w:t>标</w:t>
      </w:r>
      <w:r>
        <w:rPr>
          <w:rFonts w:ascii="宋体" w:hAnsi="宋体"/>
          <w:sz w:val="22"/>
        </w:rPr>
        <w:t>，提高图像易获性</w:t>
      </w:r>
    </w:p>
    <w:p>
      <w:pPr>
        <w:adjustRightInd w:val="0"/>
        <w:spacing w:line="360" w:lineRule="auto"/>
        <w:jc w:val="left"/>
        <w:rPr>
          <w:rFonts w:ascii="宋体" w:hAnsi="宋体"/>
          <w:sz w:val="22"/>
        </w:rPr>
      </w:pPr>
      <w:r>
        <w:rPr>
          <w:rFonts w:ascii="宋体" w:hAnsi="宋体"/>
          <w:sz w:val="22"/>
        </w:rPr>
        <w:t>1.32</w:t>
      </w:r>
      <w:r>
        <w:rPr>
          <w:rFonts w:hint="eastAsia" w:ascii="宋体" w:hAnsi="宋体"/>
          <w:sz w:val="22"/>
        </w:rPr>
        <w:t>、</w:t>
      </w:r>
      <w:r>
        <w:rPr>
          <w:rFonts w:ascii="宋体" w:hAnsi="宋体"/>
          <w:sz w:val="22"/>
        </w:rPr>
        <w:t>可配</w:t>
      </w:r>
      <w:r>
        <w:rPr>
          <w:rFonts w:hint="eastAsia" w:ascii="宋体" w:hAnsi="宋体"/>
          <w:sz w:val="22"/>
        </w:rPr>
        <w:t>备造影成像</w:t>
      </w:r>
    </w:p>
    <w:p>
      <w:pPr>
        <w:adjustRightInd w:val="0"/>
        <w:spacing w:line="360" w:lineRule="auto"/>
        <w:jc w:val="left"/>
        <w:rPr>
          <w:rFonts w:ascii="宋体" w:hAnsi="宋体"/>
          <w:sz w:val="22"/>
        </w:rPr>
      </w:pPr>
      <w:r>
        <w:rPr>
          <w:rFonts w:hint="eastAsia" w:ascii="宋体" w:hAnsi="宋体"/>
          <w:sz w:val="22"/>
        </w:rPr>
        <w:t>1.33、</w:t>
      </w:r>
      <w:r>
        <w:rPr>
          <w:rFonts w:ascii="宋体" w:hAnsi="宋体"/>
          <w:sz w:val="22"/>
        </w:rPr>
        <w:t>可配备</w:t>
      </w:r>
      <w:r>
        <w:rPr>
          <w:rFonts w:hint="eastAsia" w:ascii="宋体" w:hAnsi="宋体"/>
          <w:sz w:val="22"/>
        </w:rPr>
        <w:t>4D</w:t>
      </w:r>
      <w:r>
        <w:rPr>
          <w:rFonts w:ascii="宋体" w:hAnsi="宋体"/>
          <w:sz w:val="22"/>
        </w:rPr>
        <w:t>成像</w:t>
      </w:r>
    </w:p>
    <w:p>
      <w:pPr>
        <w:adjustRightInd w:val="0"/>
        <w:spacing w:line="360" w:lineRule="auto"/>
        <w:jc w:val="left"/>
        <w:rPr>
          <w:rFonts w:ascii="宋体" w:hAnsi="宋体"/>
          <w:sz w:val="22"/>
        </w:rPr>
      </w:pPr>
      <w:r>
        <w:rPr>
          <w:rFonts w:hint="eastAsia" w:ascii="宋体" w:hAnsi="宋体"/>
          <w:sz w:val="22"/>
        </w:rPr>
        <w:t>2.探头规格</w:t>
      </w:r>
    </w:p>
    <w:p>
      <w:pPr>
        <w:adjustRightInd w:val="0"/>
        <w:spacing w:line="360" w:lineRule="auto"/>
        <w:jc w:val="left"/>
        <w:rPr>
          <w:rFonts w:ascii="宋体" w:hAnsi="宋体"/>
          <w:sz w:val="22"/>
        </w:rPr>
      </w:pPr>
      <w:r>
        <w:rPr>
          <w:rFonts w:hint="eastAsia" w:ascii="宋体" w:hAnsi="宋体"/>
          <w:sz w:val="22"/>
        </w:rPr>
        <w:t>2.1、宽频变频技术，系统频率范围2.0-12.0MHz</w:t>
      </w:r>
    </w:p>
    <w:p>
      <w:pPr>
        <w:adjustRightInd w:val="0"/>
        <w:spacing w:line="360" w:lineRule="auto"/>
        <w:jc w:val="left"/>
        <w:rPr>
          <w:rFonts w:ascii="宋体" w:hAnsi="宋体"/>
          <w:sz w:val="22"/>
        </w:rPr>
      </w:pPr>
      <w:r>
        <w:rPr>
          <w:rFonts w:hint="eastAsia" w:ascii="宋体" w:hAnsi="宋体"/>
          <w:sz w:val="22"/>
        </w:rPr>
        <w:t>2.2、超宽频变频探头，基波、谐波、彩色、多普勒模式下可选频率式均≥3种</w:t>
      </w:r>
    </w:p>
    <w:p>
      <w:pPr>
        <w:adjustRightInd w:val="0"/>
        <w:spacing w:line="360" w:lineRule="auto"/>
        <w:ind w:left="440" w:hanging="440" w:hangingChars="200"/>
        <w:jc w:val="left"/>
        <w:rPr>
          <w:rFonts w:ascii="宋体" w:hAnsi="宋体"/>
          <w:sz w:val="22"/>
        </w:rPr>
      </w:pPr>
      <w:r>
        <w:rPr>
          <w:rFonts w:hint="eastAsia" w:ascii="宋体" w:hAnsi="宋体"/>
          <w:sz w:val="22"/>
        </w:rPr>
        <w:t>2.3、腹部标配探头：频率范围2.0-6.0MHz，最大扫描角度≥70度，最大显示深度≥35cm</w:t>
      </w:r>
    </w:p>
    <w:p>
      <w:pPr>
        <w:adjustRightInd w:val="0"/>
        <w:spacing w:line="360" w:lineRule="auto"/>
        <w:jc w:val="left"/>
        <w:rPr>
          <w:rFonts w:ascii="宋体" w:hAnsi="宋体"/>
          <w:sz w:val="22"/>
        </w:rPr>
      </w:pPr>
      <w:r>
        <w:rPr>
          <w:rFonts w:hint="eastAsia" w:ascii="宋体" w:hAnsi="宋体"/>
          <w:sz w:val="22"/>
        </w:rPr>
        <w:t>2.4、浅表探头：频率范围5.0-12.0MHz</w:t>
      </w:r>
    </w:p>
    <w:p>
      <w:pPr>
        <w:adjustRightInd w:val="0"/>
        <w:spacing w:line="360" w:lineRule="auto"/>
        <w:jc w:val="left"/>
        <w:rPr>
          <w:rFonts w:ascii="宋体" w:hAnsi="宋体"/>
          <w:sz w:val="22"/>
        </w:rPr>
      </w:pPr>
      <w:r>
        <w:rPr>
          <w:rFonts w:hint="eastAsia" w:ascii="宋体" w:hAnsi="宋体"/>
          <w:sz w:val="22"/>
        </w:rPr>
        <w:t>2.5、阴式探头：频率范围5.0-10.0MHz，最大扫描角度≥1</w:t>
      </w:r>
      <w:r>
        <w:rPr>
          <w:rFonts w:ascii="宋体" w:hAnsi="宋体"/>
          <w:sz w:val="22"/>
        </w:rPr>
        <w:t>50</w:t>
      </w:r>
      <w:r>
        <w:rPr>
          <w:rFonts w:hint="eastAsia" w:ascii="宋体" w:hAnsi="宋体"/>
          <w:sz w:val="22"/>
        </w:rPr>
        <w:t>°</w:t>
      </w:r>
    </w:p>
    <w:p>
      <w:pPr>
        <w:adjustRightInd w:val="0"/>
        <w:spacing w:line="360" w:lineRule="auto"/>
        <w:jc w:val="left"/>
        <w:rPr>
          <w:rFonts w:ascii="宋体" w:hAnsi="宋体"/>
          <w:sz w:val="22"/>
        </w:rPr>
      </w:pPr>
      <w:r>
        <w:rPr>
          <w:rFonts w:hint="eastAsia" w:ascii="宋体" w:hAnsi="宋体"/>
          <w:sz w:val="22"/>
        </w:rPr>
        <w:t>2.6、心脏探头：频率范围2.0-5.</w:t>
      </w:r>
      <w:r>
        <w:rPr>
          <w:rFonts w:ascii="宋体" w:hAnsi="宋体"/>
          <w:sz w:val="22"/>
        </w:rPr>
        <w:t>0</w:t>
      </w:r>
      <w:r>
        <w:rPr>
          <w:rFonts w:hint="eastAsia" w:ascii="宋体" w:hAnsi="宋体"/>
          <w:sz w:val="22"/>
        </w:rPr>
        <w:t>MHz</w:t>
      </w:r>
    </w:p>
    <w:p>
      <w:pPr>
        <w:adjustRightInd w:val="0"/>
        <w:spacing w:line="360" w:lineRule="auto"/>
        <w:jc w:val="left"/>
        <w:rPr>
          <w:rFonts w:ascii="宋体" w:hAnsi="宋体"/>
          <w:sz w:val="22"/>
        </w:rPr>
      </w:pPr>
      <w:r>
        <w:rPr>
          <w:rFonts w:hint="eastAsia" w:ascii="宋体" w:hAnsi="宋体"/>
          <w:sz w:val="22"/>
        </w:rPr>
        <w:t>▲2.7、以上探头具备自动冻结功能，冻结时间可选</w:t>
      </w:r>
    </w:p>
    <w:p>
      <w:pPr>
        <w:adjustRightInd w:val="0"/>
        <w:spacing w:line="360" w:lineRule="auto"/>
        <w:jc w:val="left"/>
        <w:rPr>
          <w:rFonts w:ascii="宋体" w:hAnsi="宋体"/>
          <w:sz w:val="22"/>
        </w:rPr>
      </w:pPr>
      <w:r>
        <w:rPr>
          <w:rFonts w:hint="eastAsia" w:ascii="宋体" w:hAnsi="宋体"/>
          <w:sz w:val="22"/>
        </w:rPr>
        <w:t>3、系统技术参数及要求</w:t>
      </w:r>
    </w:p>
    <w:p>
      <w:pPr>
        <w:adjustRightInd w:val="0"/>
        <w:spacing w:line="360" w:lineRule="auto"/>
        <w:jc w:val="left"/>
        <w:rPr>
          <w:rFonts w:ascii="宋体" w:hAnsi="宋体"/>
          <w:sz w:val="22"/>
        </w:rPr>
      </w:pPr>
      <w:r>
        <w:rPr>
          <w:rFonts w:hint="eastAsia" w:ascii="宋体" w:hAnsi="宋体"/>
          <w:sz w:val="22"/>
        </w:rPr>
        <w:t>3.1、二维灰阶成像单元</w:t>
      </w:r>
    </w:p>
    <w:p>
      <w:pPr>
        <w:adjustRightInd w:val="0"/>
        <w:spacing w:line="360" w:lineRule="auto"/>
        <w:jc w:val="left"/>
        <w:rPr>
          <w:rFonts w:ascii="宋体" w:hAnsi="宋体"/>
          <w:sz w:val="22"/>
        </w:rPr>
      </w:pPr>
      <w:r>
        <w:rPr>
          <w:rFonts w:hint="eastAsia" w:ascii="宋体" w:hAnsi="宋体"/>
          <w:sz w:val="22"/>
        </w:rPr>
        <w:t>3.1.1、数字化声束形成器</w:t>
      </w:r>
    </w:p>
    <w:p>
      <w:pPr>
        <w:adjustRightInd w:val="0"/>
        <w:spacing w:line="360" w:lineRule="auto"/>
        <w:jc w:val="left"/>
        <w:rPr>
          <w:rFonts w:ascii="宋体" w:hAnsi="宋体"/>
          <w:sz w:val="22"/>
        </w:rPr>
      </w:pPr>
      <w:r>
        <w:rPr>
          <w:rFonts w:hint="eastAsia" w:ascii="宋体" w:hAnsi="宋体"/>
          <w:sz w:val="22"/>
        </w:rPr>
        <w:t>3.1.2、数字化全程动态聚焦，数字化可变孔径及动态变迹，</w:t>
      </w:r>
      <w:r>
        <w:rPr>
          <w:rFonts w:ascii="宋体" w:hAnsi="宋体"/>
          <w:sz w:val="22"/>
        </w:rPr>
        <w:t>A/D</w:t>
      </w:r>
      <w:r>
        <w:rPr>
          <w:rFonts w:hint="eastAsia" w:ascii="宋体" w:hAnsi="宋体"/>
          <w:sz w:val="22"/>
        </w:rPr>
        <w:t>≥</w:t>
      </w:r>
      <w:r>
        <w:rPr>
          <w:rFonts w:ascii="宋体" w:hAnsi="宋体"/>
          <w:sz w:val="22"/>
        </w:rPr>
        <w:t>1</w:t>
      </w:r>
      <w:r>
        <w:rPr>
          <w:rFonts w:hint="eastAsia" w:ascii="宋体" w:hAnsi="宋体"/>
          <w:sz w:val="22"/>
        </w:rPr>
        <w:t>4</w:t>
      </w:r>
      <w:r>
        <w:rPr>
          <w:rFonts w:ascii="宋体" w:hAnsi="宋体"/>
          <w:sz w:val="22"/>
        </w:rPr>
        <w:t xml:space="preserve"> bit</w:t>
      </w:r>
    </w:p>
    <w:p>
      <w:pPr>
        <w:adjustRightInd w:val="0"/>
        <w:spacing w:line="360" w:lineRule="auto"/>
        <w:jc w:val="left"/>
        <w:rPr>
          <w:rFonts w:ascii="宋体" w:hAnsi="宋体"/>
          <w:sz w:val="22"/>
        </w:rPr>
      </w:pPr>
      <w:r>
        <w:rPr>
          <w:rFonts w:hint="eastAsia" w:ascii="宋体" w:hAnsi="宋体"/>
          <w:sz w:val="22"/>
        </w:rPr>
        <w:t>3.1.3、接收方式：发射、接收通道≥1024，多倍信号并行处理</w:t>
      </w:r>
    </w:p>
    <w:p>
      <w:pPr>
        <w:adjustRightInd w:val="0"/>
        <w:spacing w:line="360" w:lineRule="auto"/>
        <w:jc w:val="left"/>
        <w:rPr>
          <w:rFonts w:ascii="宋体" w:hAnsi="宋体"/>
          <w:sz w:val="22"/>
        </w:rPr>
      </w:pPr>
      <w:r>
        <w:rPr>
          <w:rFonts w:hint="eastAsia" w:ascii="宋体" w:hAnsi="宋体"/>
          <w:sz w:val="22"/>
        </w:rPr>
        <w:t>3.1.4、扫描线：每帧线密度≥512超声线</w:t>
      </w:r>
    </w:p>
    <w:p>
      <w:pPr>
        <w:adjustRightInd w:val="0"/>
        <w:spacing w:line="360" w:lineRule="auto"/>
        <w:jc w:val="left"/>
        <w:rPr>
          <w:rFonts w:ascii="宋体" w:hAnsi="宋体"/>
          <w:sz w:val="22"/>
        </w:rPr>
      </w:pPr>
      <w:r>
        <w:rPr>
          <w:rFonts w:hint="eastAsia" w:ascii="宋体" w:hAnsi="宋体"/>
          <w:sz w:val="22"/>
        </w:rPr>
        <w:t>3.1.</w:t>
      </w:r>
      <w:r>
        <w:rPr>
          <w:rFonts w:ascii="宋体" w:hAnsi="宋体"/>
          <w:sz w:val="22"/>
        </w:rPr>
        <w:t>5</w:t>
      </w:r>
      <w:r>
        <w:rPr>
          <w:rFonts w:hint="eastAsia" w:ascii="宋体" w:hAnsi="宋体"/>
          <w:sz w:val="22"/>
        </w:rPr>
        <w:t>、预设条件：针对不同的检查脏器，预置最佳图像检查条件</w:t>
      </w:r>
    </w:p>
    <w:p>
      <w:pPr>
        <w:adjustRightInd w:val="0"/>
        <w:spacing w:line="360" w:lineRule="auto"/>
        <w:jc w:val="left"/>
        <w:rPr>
          <w:rFonts w:ascii="宋体" w:hAnsi="宋体"/>
          <w:sz w:val="22"/>
        </w:rPr>
      </w:pPr>
      <w:r>
        <w:rPr>
          <w:rFonts w:hint="eastAsia" w:ascii="宋体" w:hAnsi="宋体"/>
          <w:sz w:val="22"/>
        </w:rPr>
        <w:t>3.1.</w:t>
      </w:r>
      <w:r>
        <w:rPr>
          <w:rFonts w:ascii="宋体" w:hAnsi="宋体"/>
          <w:sz w:val="22"/>
        </w:rPr>
        <w:t>6</w:t>
      </w:r>
      <w:r>
        <w:rPr>
          <w:rFonts w:hint="eastAsia" w:ascii="宋体" w:hAnsi="宋体"/>
          <w:sz w:val="22"/>
        </w:rPr>
        <w:t>、最大显示深度:≥35cm</w:t>
      </w:r>
    </w:p>
    <w:p>
      <w:pPr>
        <w:adjustRightInd w:val="0"/>
        <w:spacing w:line="360" w:lineRule="auto"/>
        <w:jc w:val="left"/>
        <w:rPr>
          <w:rFonts w:ascii="宋体" w:hAnsi="宋体"/>
          <w:sz w:val="22"/>
        </w:rPr>
      </w:pPr>
      <w:r>
        <w:rPr>
          <w:rFonts w:hint="eastAsia" w:ascii="宋体" w:hAnsi="宋体"/>
          <w:sz w:val="22"/>
        </w:rPr>
        <w:t>3.1.</w:t>
      </w:r>
      <w:r>
        <w:rPr>
          <w:rFonts w:ascii="宋体" w:hAnsi="宋体"/>
          <w:sz w:val="22"/>
        </w:rPr>
        <w:t>7</w:t>
      </w:r>
      <w:r>
        <w:rPr>
          <w:rFonts w:hint="eastAsia" w:ascii="宋体" w:hAnsi="宋体"/>
          <w:sz w:val="22"/>
        </w:rPr>
        <w:t>、TGC: ≥8段</w:t>
      </w:r>
    </w:p>
    <w:p>
      <w:pPr>
        <w:adjustRightInd w:val="0"/>
        <w:spacing w:line="360" w:lineRule="auto"/>
        <w:jc w:val="left"/>
        <w:rPr>
          <w:rFonts w:ascii="宋体" w:hAnsi="宋体"/>
          <w:sz w:val="22"/>
        </w:rPr>
      </w:pPr>
      <w:r>
        <w:rPr>
          <w:rFonts w:hint="eastAsia" w:ascii="宋体" w:hAnsi="宋体"/>
          <w:sz w:val="22"/>
        </w:rPr>
        <w:t>▲3.1.</w:t>
      </w:r>
      <w:r>
        <w:rPr>
          <w:rFonts w:ascii="宋体" w:hAnsi="宋体"/>
          <w:sz w:val="22"/>
        </w:rPr>
        <w:t>8</w:t>
      </w:r>
      <w:r>
        <w:rPr>
          <w:rFonts w:hint="eastAsia" w:ascii="宋体" w:hAnsi="宋体"/>
          <w:sz w:val="22"/>
        </w:rPr>
        <w:t>、LGC: ≥7段</w:t>
      </w:r>
    </w:p>
    <w:p>
      <w:pPr>
        <w:adjustRightInd w:val="0"/>
        <w:spacing w:line="360" w:lineRule="auto"/>
        <w:jc w:val="left"/>
        <w:rPr>
          <w:rFonts w:ascii="宋体" w:hAnsi="宋体"/>
          <w:sz w:val="22"/>
        </w:rPr>
      </w:pPr>
      <w:r>
        <w:rPr>
          <w:rFonts w:hint="eastAsia" w:ascii="宋体" w:hAnsi="宋体"/>
          <w:sz w:val="22"/>
        </w:rPr>
        <w:t>3.1.</w:t>
      </w:r>
      <w:r>
        <w:rPr>
          <w:rFonts w:ascii="宋体" w:hAnsi="宋体"/>
          <w:sz w:val="22"/>
        </w:rPr>
        <w:t>9</w:t>
      </w:r>
      <w:r>
        <w:rPr>
          <w:rFonts w:hint="eastAsia" w:ascii="宋体" w:hAnsi="宋体"/>
          <w:sz w:val="22"/>
        </w:rPr>
        <w:t>、二维灰阶：≥</w:t>
      </w:r>
      <w:r>
        <w:rPr>
          <w:rFonts w:ascii="宋体" w:hAnsi="宋体"/>
          <w:sz w:val="22"/>
        </w:rPr>
        <w:t>256</w:t>
      </w:r>
    </w:p>
    <w:p>
      <w:pPr>
        <w:adjustRightInd w:val="0"/>
        <w:spacing w:line="360" w:lineRule="auto"/>
        <w:jc w:val="left"/>
        <w:rPr>
          <w:rFonts w:ascii="宋体" w:hAnsi="宋体"/>
          <w:sz w:val="22"/>
        </w:rPr>
      </w:pPr>
      <w:r>
        <w:rPr>
          <w:rFonts w:hint="eastAsia" w:ascii="宋体" w:hAnsi="宋体"/>
          <w:sz w:val="22"/>
        </w:rPr>
        <w:t>3.1.1</w:t>
      </w:r>
      <w:r>
        <w:rPr>
          <w:rFonts w:ascii="宋体" w:hAnsi="宋体"/>
          <w:sz w:val="22"/>
        </w:rPr>
        <w:t>0</w:t>
      </w:r>
      <w:r>
        <w:rPr>
          <w:rFonts w:hint="eastAsia" w:ascii="宋体" w:hAnsi="宋体"/>
          <w:sz w:val="22"/>
        </w:rPr>
        <w:t>、动态范围: 180</w:t>
      </w:r>
    </w:p>
    <w:p>
      <w:pPr>
        <w:adjustRightInd w:val="0"/>
        <w:spacing w:line="360" w:lineRule="auto"/>
        <w:jc w:val="left"/>
        <w:rPr>
          <w:rFonts w:ascii="宋体" w:hAnsi="宋体"/>
          <w:sz w:val="22"/>
        </w:rPr>
      </w:pPr>
      <w:r>
        <w:rPr>
          <w:rFonts w:hint="eastAsia" w:ascii="宋体" w:hAnsi="宋体"/>
          <w:sz w:val="22"/>
        </w:rPr>
        <w:t>3.1.1</w:t>
      </w:r>
      <w:r>
        <w:rPr>
          <w:rFonts w:ascii="宋体" w:hAnsi="宋体"/>
          <w:sz w:val="22"/>
        </w:rPr>
        <w:t>1</w:t>
      </w:r>
      <w:r>
        <w:rPr>
          <w:rFonts w:hint="eastAsia" w:ascii="宋体" w:hAnsi="宋体"/>
          <w:sz w:val="22"/>
        </w:rPr>
        <w:t>、增益调节: B/M/D分别独立可调，≥100</w:t>
      </w:r>
    </w:p>
    <w:p>
      <w:pPr>
        <w:adjustRightInd w:val="0"/>
        <w:spacing w:line="360" w:lineRule="auto"/>
        <w:jc w:val="left"/>
        <w:rPr>
          <w:rFonts w:ascii="宋体" w:hAnsi="宋体"/>
          <w:sz w:val="22"/>
        </w:rPr>
      </w:pPr>
      <w:r>
        <w:rPr>
          <w:rFonts w:hint="eastAsia" w:ascii="宋体" w:hAnsi="宋体"/>
          <w:sz w:val="22"/>
        </w:rPr>
        <w:t>3.1.1</w:t>
      </w:r>
      <w:r>
        <w:rPr>
          <w:rFonts w:ascii="宋体" w:hAnsi="宋体"/>
          <w:sz w:val="22"/>
        </w:rPr>
        <w:t>2</w:t>
      </w:r>
      <w:r>
        <w:rPr>
          <w:rFonts w:hint="eastAsia" w:ascii="宋体" w:hAnsi="宋体"/>
          <w:sz w:val="22"/>
        </w:rPr>
        <w:t>、伪彩图谱: ≥30种</w:t>
      </w:r>
    </w:p>
    <w:p>
      <w:pPr>
        <w:adjustRightInd w:val="0"/>
        <w:spacing w:line="360" w:lineRule="auto"/>
        <w:jc w:val="left"/>
        <w:rPr>
          <w:rFonts w:ascii="宋体" w:hAnsi="宋体"/>
          <w:sz w:val="22"/>
        </w:rPr>
      </w:pPr>
      <w:r>
        <w:rPr>
          <w:rFonts w:hint="eastAsia" w:ascii="宋体" w:hAnsi="宋体"/>
          <w:sz w:val="22"/>
        </w:rPr>
        <w:t>3.2、彩色多普勒参数</w:t>
      </w:r>
    </w:p>
    <w:p>
      <w:pPr>
        <w:adjustRightInd w:val="0"/>
        <w:spacing w:line="360" w:lineRule="auto"/>
        <w:jc w:val="left"/>
        <w:rPr>
          <w:rFonts w:ascii="宋体" w:hAnsi="宋体"/>
          <w:sz w:val="22"/>
        </w:rPr>
      </w:pPr>
      <w:r>
        <w:rPr>
          <w:rFonts w:hint="eastAsia" w:ascii="宋体" w:hAnsi="宋体"/>
          <w:sz w:val="22"/>
        </w:rPr>
        <w:t>3.2.1、包括速度、速度方差、能量、方向能量显示等</w:t>
      </w:r>
    </w:p>
    <w:p>
      <w:pPr>
        <w:adjustRightInd w:val="0"/>
        <w:spacing w:line="360" w:lineRule="auto"/>
        <w:jc w:val="left"/>
        <w:rPr>
          <w:rFonts w:ascii="宋体" w:hAnsi="宋体"/>
          <w:sz w:val="22"/>
        </w:rPr>
      </w:pPr>
      <w:r>
        <w:rPr>
          <w:rFonts w:hint="eastAsia" w:ascii="宋体" w:hAnsi="宋体"/>
          <w:sz w:val="22"/>
        </w:rPr>
        <w:t>3.2.2、显示方式：</w:t>
      </w:r>
      <w:r>
        <w:rPr>
          <w:rFonts w:ascii="宋体" w:hAnsi="宋体"/>
          <w:sz w:val="22"/>
        </w:rPr>
        <w:t>B/</w:t>
      </w:r>
      <w:r>
        <w:rPr>
          <w:rFonts w:hint="eastAsia" w:ascii="宋体" w:hAnsi="宋体"/>
          <w:sz w:val="22"/>
        </w:rPr>
        <w:t>C、B/C/M、B/POWER、B/C/PW</w:t>
      </w:r>
    </w:p>
    <w:p>
      <w:pPr>
        <w:adjustRightInd w:val="0"/>
        <w:spacing w:line="360" w:lineRule="auto"/>
        <w:jc w:val="left"/>
        <w:rPr>
          <w:rFonts w:ascii="宋体" w:hAnsi="宋体"/>
          <w:sz w:val="22"/>
        </w:rPr>
      </w:pPr>
      <w:r>
        <w:rPr>
          <w:rFonts w:hint="eastAsia" w:ascii="宋体" w:hAnsi="宋体"/>
          <w:sz w:val="22"/>
        </w:rPr>
        <w:t>3.2.3、取样框偏转: ≥±</w:t>
      </w:r>
      <w:r>
        <w:rPr>
          <w:rFonts w:ascii="宋体" w:hAnsi="宋体"/>
          <w:sz w:val="22"/>
        </w:rPr>
        <w:t>20</w:t>
      </w:r>
      <w:r>
        <w:rPr>
          <w:rFonts w:hint="eastAsia" w:ascii="宋体" w:hAnsi="宋体"/>
          <w:sz w:val="22"/>
        </w:rPr>
        <w:t>度 (线阵探头)</w:t>
      </w:r>
      <w:r>
        <w:rPr>
          <w:rFonts w:ascii="宋体" w:hAnsi="宋体"/>
          <w:sz w:val="22"/>
        </w:rPr>
        <w:t xml:space="preserve"> </w:t>
      </w:r>
    </w:p>
    <w:p>
      <w:pPr>
        <w:adjustRightInd w:val="0"/>
        <w:spacing w:line="360" w:lineRule="auto"/>
        <w:jc w:val="left"/>
        <w:rPr>
          <w:rFonts w:ascii="宋体" w:hAnsi="宋体"/>
          <w:sz w:val="22"/>
        </w:rPr>
      </w:pPr>
      <w:r>
        <w:rPr>
          <w:rFonts w:hint="eastAsia" w:ascii="宋体" w:hAnsi="宋体"/>
          <w:sz w:val="22"/>
        </w:rPr>
        <w:t>3.3、频谱多普勒参数</w:t>
      </w:r>
    </w:p>
    <w:p>
      <w:pPr>
        <w:adjustRightInd w:val="0"/>
        <w:spacing w:line="360" w:lineRule="auto"/>
        <w:jc w:val="left"/>
        <w:rPr>
          <w:rFonts w:ascii="宋体" w:hAnsi="宋体"/>
          <w:sz w:val="22"/>
        </w:rPr>
      </w:pPr>
      <w:r>
        <w:rPr>
          <w:rFonts w:hint="eastAsia" w:ascii="宋体" w:hAnsi="宋体"/>
          <w:sz w:val="22"/>
        </w:rPr>
        <w:t>3.3.1、频谱多普勒模式：包括脉冲多普勒、高脉冲重复频率、连续多普勒</w:t>
      </w:r>
    </w:p>
    <w:p>
      <w:pPr>
        <w:adjustRightInd w:val="0"/>
        <w:spacing w:line="360" w:lineRule="auto"/>
        <w:jc w:val="left"/>
        <w:rPr>
          <w:rFonts w:ascii="宋体" w:hAnsi="宋体"/>
          <w:sz w:val="22"/>
        </w:rPr>
      </w:pPr>
      <w:r>
        <w:rPr>
          <w:rFonts w:hint="eastAsia" w:ascii="宋体" w:hAnsi="宋体"/>
          <w:sz w:val="22"/>
        </w:rPr>
        <w:t>3.3.2、显示方式：</w:t>
      </w:r>
      <w:r>
        <w:rPr>
          <w:rFonts w:ascii="宋体" w:hAnsi="宋体"/>
          <w:sz w:val="22"/>
        </w:rPr>
        <w:t>B,</w:t>
      </w:r>
      <w:r>
        <w:rPr>
          <w:rFonts w:hint="eastAsia" w:ascii="宋体" w:hAnsi="宋体"/>
          <w:sz w:val="22"/>
        </w:rPr>
        <w:t xml:space="preserve"> PW，</w:t>
      </w:r>
      <w:r>
        <w:rPr>
          <w:rFonts w:ascii="宋体" w:hAnsi="宋体"/>
          <w:sz w:val="22"/>
        </w:rPr>
        <w:t>B/</w:t>
      </w:r>
      <w:r>
        <w:rPr>
          <w:rFonts w:hint="eastAsia" w:ascii="宋体" w:hAnsi="宋体"/>
          <w:sz w:val="22"/>
        </w:rPr>
        <w:t>PW</w:t>
      </w:r>
      <w:r>
        <w:rPr>
          <w:rFonts w:ascii="宋体" w:hAnsi="宋体"/>
          <w:sz w:val="22"/>
        </w:rPr>
        <w:t>,</w:t>
      </w:r>
      <w:r>
        <w:rPr>
          <w:rFonts w:hint="eastAsia" w:ascii="宋体" w:hAnsi="宋体"/>
          <w:sz w:val="22"/>
        </w:rPr>
        <w:t xml:space="preserve"> B/C/PW, B/CW, B/C/CW等等</w:t>
      </w:r>
    </w:p>
    <w:p>
      <w:pPr>
        <w:adjustRightInd w:val="0"/>
        <w:spacing w:line="360" w:lineRule="auto"/>
        <w:jc w:val="left"/>
        <w:rPr>
          <w:rFonts w:ascii="宋体" w:hAnsi="宋体"/>
          <w:sz w:val="22"/>
        </w:rPr>
      </w:pPr>
      <w:r>
        <w:rPr>
          <w:rFonts w:hint="eastAsia" w:ascii="宋体" w:hAnsi="宋体"/>
          <w:sz w:val="22"/>
        </w:rPr>
        <w:t>3.3.3、显示控制：反转、零移位、</w:t>
      </w:r>
      <w:r>
        <w:rPr>
          <w:rFonts w:ascii="宋体" w:hAnsi="宋体"/>
          <w:sz w:val="22"/>
        </w:rPr>
        <w:t>B</w:t>
      </w:r>
      <w:r>
        <w:rPr>
          <w:rFonts w:hint="eastAsia" w:ascii="宋体" w:hAnsi="宋体"/>
          <w:sz w:val="22"/>
        </w:rPr>
        <w:t>刷新、</w:t>
      </w:r>
      <w:r>
        <w:rPr>
          <w:rFonts w:ascii="宋体" w:hAnsi="宋体"/>
          <w:sz w:val="22"/>
        </w:rPr>
        <w:t>D</w:t>
      </w:r>
      <w:r>
        <w:rPr>
          <w:rFonts w:hint="eastAsia" w:ascii="宋体" w:hAnsi="宋体"/>
          <w:sz w:val="22"/>
        </w:rPr>
        <w:t>扩展、</w:t>
      </w:r>
      <w:r>
        <w:rPr>
          <w:rFonts w:ascii="宋体" w:hAnsi="宋体"/>
          <w:sz w:val="22"/>
        </w:rPr>
        <w:t>B/D</w:t>
      </w:r>
      <w:r>
        <w:rPr>
          <w:rFonts w:hint="eastAsia" w:ascii="宋体" w:hAnsi="宋体"/>
          <w:sz w:val="22"/>
        </w:rPr>
        <w:t>扩展等</w:t>
      </w:r>
    </w:p>
    <w:p>
      <w:pPr>
        <w:adjustRightInd w:val="0"/>
        <w:spacing w:line="360" w:lineRule="auto"/>
        <w:jc w:val="left"/>
        <w:rPr>
          <w:rFonts w:ascii="宋体" w:hAnsi="宋体"/>
          <w:sz w:val="22"/>
        </w:rPr>
      </w:pPr>
      <w:r>
        <w:rPr>
          <w:rFonts w:hint="eastAsia" w:ascii="宋体" w:hAnsi="宋体"/>
          <w:sz w:val="22"/>
        </w:rPr>
        <w:t>3.3.4、PW最大速度: ≥8.6m/s（连续多普勒速度: ≥</w:t>
      </w:r>
      <w:r>
        <w:rPr>
          <w:rFonts w:ascii="宋体" w:hAnsi="宋体"/>
          <w:sz w:val="22"/>
        </w:rPr>
        <w:t>15</w:t>
      </w:r>
      <w:r>
        <w:rPr>
          <w:rFonts w:hint="eastAsia" w:ascii="宋体" w:hAnsi="宋体"/>
          <w:sz w:val="22"/>
        </w:rPr>
        <w:t>m/s）</w:t>
      </w:r>
    </w:p>
    <w:p>
      <w:pPr>
        <w:adjustRightInd w:val="0"/>
        <w:spacing w:line="360" w:lineRule="auto"/>
        <w:jc w:val="left"/>
        <w:rPr>
          <w:rFonts w:ascii="宋体" w:hAnsi="宋体"/>
          <w:sz w:val="22"/>
        </w:rPr>
      </w:pPr>
      <w:r>
        <w:rPr>
          <w:rFonts w:hint="eastAsia" w:ascii="宋体" w:hAnsi="宋体"/>
          <w:sz w:val="22"/>
        </w:rPr>
        <w:t>3.3.5、最小速度: ≤1 mm /s（非噪声信号）</w:t>
      </w:r>
    </w:p>
    <w:p>
      <w:pPr>
        <w:adjustRightInd w:val="0"/>
        <w:spacing w:line="360" w:lineRule="auto"/>
        <w:jc w:val="left"/>
        <w:rPr>
          <w:rFonts w:ascii="宋体" w:hAnsi="宋体"/>
          <w:sz w:val="22"/>
        </w:rPr>
      </w:pPr>
      <w:r>
        <w:rPr>
          <w:rFonts w:hint="eastAsia" w:ascii="宋体" w:hAnsi="宋体"/>
          <w:sz w:val="22"/>
        </w:rPr>
        <w:t>3.3.6、取样容积: 0.5-30mm</w:t>
      </w:r>
    </w:p>
    <w:p>
      <w:pPr>
        <w:adjustRightInd w:val="0"/>
        <w:spacing w:line="360" w:lineRule="auto"/>
        <w:jc w:val="left"/>
        <w:rPr>
          <w:rFonts w:ascii="宋体" w:hAnsi="宋体"/>
          <w:sz w:val="22"/>
        </w:rPr>
      </w:pPr>
      <w:r>
        <w:rPr>
          <w:rFonts w:hint="eastAsia" w:ascii="宋体" w:hAnsi="宋体"/>
          <w:sz w:val="22"/>
        </w:rPr>
        <w:t xml:space="preserve">3.3.7、偏转角度: ≥±20度 (线阵探头) </w:t>
      </w:r>
    </w:p>
    <w:p>
      <w:pPr>
        <w:adjustRightInd w:val="0"/>
        <w:spacing w:line="360" w:lineRule="auto"/>
        <w:jc w:val="left"/>
        <w:rPr>
          <w:rFonts w:ascii="宋体" w:hAnsi="宋体"/>
          <w:sz w:val="22"/>
        </w:rPr>
      </w:pPr>
      <w:r>
        <w:rPr>
          <w:rFonts w:hint="eastAsia" w:ascii="宋体" w:hAnsi="宋体"/>
          <w:sz w:val="22"/>
        </w:rPr>
        <w:t>3.3.8、零位移动：≥</w:t>
      </w:r>
      <w:r>
        <w:rPr>
          <w:rFonts w:ascii="宋体" w:hAnsi="宋体"/>
          <w:sz w:val="22"/>
        </w:rPr>
        <w:t>8</w:t>
      </w:r>
      <w:r>
        <w:rPr>
          <w:rFonts w:hint="eastAsia" w:ascii="宋体" w:hAnsi="宋体"/>
          <w:sz w:val="22"/>
        </w:rPr>
        <w:t xml:space="preserve"> 级</w:t>
      </w:r>
    </w:p>
    <w:p>
      <w:pPr>
        <w:adjustRightInd w:val="0"/>
        <w:spacing w:line="360" w:lineRule="auto"/>
        <w:jc w:val="left"/>
        <w:rPr>
          <w:rFonts w:ascii="宋体" w:hAnsi="宋体"/>
          <w:sz w:val="22"/>
        </w:rPr>
      </w:pPr>
      <w:r>
        <w:rPr>
          <w:rFonts w:hint="eastAsia" w:ascii="宋体" w:hAnsi="宋体"/>
          <w:sz w:val="22"/>
        </w:rPr>
        <w:t>3.3.9、快速角度校正</w:t>
      </w:r>
    </w:p>
    <w:p>
      <w:pPr>
        <w:adjustRightInd w:val="0"/>
        <w:spacing w:line="360" w:lineRule="auto"/>
        <w:jc w:val="left"/>
        <w:rPr>
          <w:rFonts w:ascii="宋体" w:hAnsi="宋体"/>
          <w:sz w:val="22"/>
        </w:rPr>
      </w:pPr>
      <w:r>
        <w:rPr>
          <w:rFonts w:hint="eastAsia" w:ascii="宋体" w:hAnsi="宋体"/>
          <w:sz w:val="22"/>
        </w:rPr>
        <w:t>3.3.10、支持频谱自动测量</w:t>
      </w:r>
    </w:p>
    <w:p>
      <w:pPr>
        <w:adjustRightInd w:val="0"/>
        <w:spacing w:line="360" w:lineRule="auto"/>
        <w:jc w:val="left"/>
        <w:rPr>
          <w:rFonts w:ascii="宋体" w:hAnsi="宋体"/>
          <w:sz w:val="22"/>
        </w:rPr>
      </w:pPr>
      <w:r>
        <w:rPr>
          <w:rFonts w:hint="eastAsia" w:ascii="宋体" w:hAnsi="宋体"/>
          <w:sz w:val="22"/>
        </w:rPr>
        <w:t>3.4四维</w:t>
      </w:r>
      <w:r>
        <w:rPr>
          <w:rFonts w:ascii="宋体" w:hAnsi="宋体"/>
          <w:sz w:val="22"/>
        </w:rPr>
        <w:t>成像（选配</w:t>
      </w:r>
      <w:r>
        <w:rPr>
          <w:rFonts w:hint="eastAsia" w:ascii="宋体" w:hAnsi="宋体"/>
          <w:sz w:val="22"/>
        </w:rPr>
        <w:t>）</w:t>
      </w:r>
    </w:p>
    <w:p>
      <w:pPr>
        <w:adjustRightInd w:val="0"/>
        <w:spacing w:line="360" w:lineRule="auto"/>
        <w:jc w:val="left"/>
        <w:rPr>
          <w:rFonts w:ascii="宋体" w:hAnsi="宋体"/>
          <w:sz w:val="22"/>
        </w:rPr>
      </w:pPr>
      <w:r>
        <w:rPr>
          <w:rFonts w:hint="eastAsia" w:ascii="宋体" w:hAnsi="宋体"/>
          <w:sz w:val="22"/>
        </w:rPr>
        <w:t>3.4.1、可选配实时四维模式</w:t>
      </w:r>
    </w:p>
    <w:p>
      <w:pPr>
        <w:adjustRightInd w:val="0"/>
        <w:spacing w:line="360" w:lineRule="auto"/>
        <w:jc w:val="left"/>
        <w:rPr>
          <w:rFonts w:ascii="宋体" w:hAnsi="宋体"/>
          <w:sz w:val="22"/>
        </w:rPr>
      </w:pPr>
      <w:r>
        <w:rPr>
          <w:rFonts w:hint="eastAsia" w:ascii="宋体" w:hAnsi="宋体"/>
          <w:sz w:val="22"/>
        </w:rPr>
        <w:t>3.4.2、支持斑点噪声抑制</w:t>
      </w:r>
    </w:p>
    <w:p>
      <w:pPr>
        <w:adjustRightInd w:val="0"/>
        <w:spacing w:line="360" w:lineRule="auto"/>
        <w:jc w:val="left"/>
        <w:rPr>
          <w:rFonts w:ascii="宋体" w:hAnsi="宋体"/>
          <w:sz w:val="22"/>
        </w:rPr>
      </w:pPr>
      <w:r>
        <w:rPr>
          <w:rFonts w:hint="eastAsia" w:ascii="宋体" w:hAnsi="宋体"/>
          <w:sz w:val="22"/>
        </w:rPr>
        <w:t>3.4.3、多种渲染模式</w:t>
      </w:r>
    </w:p>
    <w:p>
      <w:pPr>
        <w:adjustRightInd w:val="0"/>
        <w:spacing w:line="360" w:lineRule="auto"/>
        <w:jc w:val="left"/>
        <w:rPr>
          <w:rFonts w:ascii="宋体" w:hAnsi="宋体"/>
          <w:sz w:val="22"/>
        </w:rPr>
      </w:pPr>
      <w:r>
        <w:rPr>
          <w:rFonts w:hint="eastAsia" w:ascii="宋体" w:hAnsi="宋体"/>
          <w:sz w:val="22"/>
        </w:rPr>
        <w:t>3.4.4、裁剪功能</w:t>
      </w:r>
    </w:p>
    <w:p>
      <w:pPr>
        <w:adjustRightInd w:val="0"/>
        <w:spacing w:line="360" w:lineRule="auto"/>
        <w:jc w:val="left"/>
        <w:rPr>
          <w:rFonts w:ascii="宋体" w:hAnsi="宋体"/>
          <w:sz w:val="22"/>
        </w:rPr>
      </w:pPr>
      <w:r>
        <w:rPr>
          <w:rFonts w:hint="eastAsia" w:ascii="宋体" w:hAnsi="宋体"/>
          <w:sz w:val="22"/>
        </w:rPr>
        <w:t>4、测量功能</w:t>
      </w:r>
    </w:p>
    <w:p>
      <w:pPr>
        <w:adjustRightInd w:val="0"/>
        <w:spacing w:line="360" w:lineRule="auto"/>
        <w:jc w:val="left"/>
        <w:rPr>
          <w:rFonts w:ascii="宋体" w:hAnsi="宋体"/>
          <w:sz w:val="22"/>
        </w:rPr>
      </w:pPr>
      <w:r>
        <w:rPr>
          <w:rFonts w:hint="eastAsia" w:ascii="宋体" w:hAnsi="宋体"/>
          <w:sz w:val="22"/>
        </w:rPr>
        <w:t>4.1、具备常规测量软件包：包括距离、周长、面积、体积、比率、狭窄率、角度、时间、心率等。</w:t>
      </w:r>
    </w:p>
    <w:p>
      <w:pPr>
        <w:adjustRightInd w:val="0"/>
        <w:spacing w:line="360" w:lineRule="auto"/>
        <w:jc w:val="left"/>
        <w:rPr>
          <w:rFonts w:ascii="宋体" w:hAnsi="宋体"/>
          <w:sz w:val="22"/>
        </w:rPr>
      </w:pPr>
      <w:r>
        <w:rPr>
          <w:rFonts w:hint="eastAsia" w:ascii="宋体" w:hAnsi="宋体"/>
          <w:sz w:val="22"/>
        </w:rPr>
        <w:t>4.3、妇科测量软件包：支持子宫、子宫内膜、子宫颈、卵巢、卵泡的测量和记录；具备全面的可编辑的报告功能</w:t>
      </w:r>
    </w:p>
    <w:p>
      <w:pPr>
        <w:adjustRightInd w:val="0"/>
        <w:spacing w:line="360" w:lineRule="auto"/>
        <w:jc w:val="left"/>
        <w:rPr>
          <w:rFonts w:ascii="宋体" w:hAnsi="宋体"/>
          <w:sz w:val="22"/>
        </w:rPr>
      </w:pPr>
      <w:r>
        <w:rPr>
          <w:rFonts w:hint="eastAsia" w:ascii="宋体" w:hAnsi="宋体"/>
          <w:sz w:val="22"/>
        </w:rPr>
        <w:t>4.4、产科测量软件包：支持胎儿各项指标的测量、NT测量、孕期、预产期、胎重、羊水深度指数、胎儿生长曲线等的分析及显示</w:t>
      </w:r>
    </w:p>
    <w:p>
      <w:pPr>
        <w:adjustRightInd w:val="0"/>
        <w:spacing w:line="360" w:lineRule="auto"/>
        <w:jc w:val="left"/>
        <w:rPr>
          <w:rFonts w:ascii="宋体" w:hAnsi="宋体"/>
          <w:sz w:val="22"/>
        </w:rPr>
      </w:pPr>
      <w:r>
        <w:rPr>
          <w:rFonts w:hint="eastAsia" w:ascii="宋体" w:hAnsi="宋体"/>
          <w:sz w:val="22"/>
        </w:rPr>
        <w:t>4.5、泌尿科测量软件包：支持膀胱残余尿量测量、膀胱体积、前列腺体积的测量及报告的生成</w:t>
      </w:r>
    </w:p>
    <w:p>
      <w:pPr>
        <w:adjustRightInd w:val="0"/>
        <w:spacing w:line="360" w:lineRule="auto"/>
        <w:jc w:val="left"/>
        <w:rPr>
          <w:rFonts w:ascii="宋体" w:hAnsi="宋体"/>
          <w:sz w:val="22"/>
        </w:rPr>
      </w:pPr>
      <w:r>
        <w:rPr>
          <w:rFonts w:hint="eastAsia" w:ascii="宋体" w:hAnsi="宋体"/>
          <w:sz w:val="22"/>
        </w:rPr>
        <w:t>4.6、小器官测量软件包：甲状腺测量包、乳腺测量包</w:t>
      </w:r>
    </w:p>
    <w:p>
      <w:pPr>
        <w:adjustRightInd w:val="0"/>
        <w:spacing w:line="360" w:lineRule="auto"/>
        <w:jc w:val="left"/>
        <w:rPr>
          <w:rFonts w:ascii="宋体" w:hAnsi="宋体"/>
          <w:sz w:val="22"/>
        </w:rPr>
      </w:pPr>
      <w:r>
        <w:rPr>
          <w:rFonts w:hint="eastAsia" w:ascii="宋体" w:hAnsi="宋体"/>
          <w:sz w:val="22"/>
        </w:rPr>
        <w:t>▲4.7、血管内中膜自动测量，可进行血管前、后壁的内中膜一段距离的自动描记、自动生成测量数据结果（</w:t>
      </w:r>
      <w:r>
        <w:rPr>
          <w:rFonts w:ascii="宋体" w:hAnsi="宋体"/>
          <w:sz w:val="22"/>
        </w:rPr>
        <w:t>提供证明图片）</w:t>
      </w:r>
    </w:p>
    <w:p>
      <w:pPr>
        <w:adjustRightInd w:val="0"/>
        <w:spacing w:line="360" w:lineRule="auto"/>
        <w:jc w:val="left"/>
        <w:rPr>
          <w:rFonts w:ascii="宋体" w:hAnsi="宋体"/>
          <w:sz w:val="22"/>
        </w:rPr>
      </w:pPr>
      <w:r>
        <w:rPr>
          <w:rFonts w:hint="eastAsia" w:ascii="宋体" w:hAnsi="宋体"/>
          <w:sz w:val="22"/>
        </w:rPr>
        <w:t>4.8、心脏测量软件包</w:t>
      </w:r>
    </w:p>
    <w:p>
      <w:pPr>
        <w:adjustRightInd w:val="0"/>
        <w:spacing w:line="360" w:lineRule="auto"/>
        <w:jc w:val="left"/>
        <w:rPr>
          <w:rFonts w:ascii="宋体" w:hAnsi="宋体"/>
          <w:sz w:val="22"/>
        </w:rPr>
      </w:pPr>
      <w:r>
        <w:rPr>
          <w:rFonts w:hint="eastAsia" w:ascii="宋体" w:hAnsi="宋体"/>
          <w:sz w:val="22"/>
        </w:rPr>
        <w:t>5、检查存储和管理</w:t>
      </w:r>
    </w:p>
    <w:p>
      <w:pPr>
        <w:adjustRightInd w:val="0"/>
        <w:spacing w:line="360" w:lineRule="auto"/>
        <w:jc w:val="left"/>
        <w:rPr>
          <w:rFonts w:ascii="宋体" w:hAnsi="宋体"/>
          <w:sz w:val="22"/>
        </w:rPr>
      </w:pPr>
      <w:r>
        <w:rPr>
          <w:rFonts w:hint="eastAsia" w:ascii="宋体" w:hAnsi="宋体"/>
          <w:sz w:val="22"/>
        </w:rPr>
        <w:t>5.1、检查存储</w:t>
      </w:r>
    </w:p>
    <w:p>
      <w:pPr>
        <w:adjustRightInd w:val="0"/>
        <w:spacing w:line="360" w:lineRule="auto"/>
        <w:jc w:val="left"/>
        <w:rPr>
          <w:rFonts w:ascii="宋体" w:hAnsi="宋体"/>
          <w:sz w:val="22"/>
        </w:rPr>
      </w:pPr>
      <w:r>
        <w:rPr>
          <w:rFonts w:hint="eastAsia" w:ascii="宋体" w:hAnsi="宋体"/>
          <w:sz w:val="22"/>
        </w:rPr>
        <w:t>5.2、≥1T硬盘</w:t>
      </w:r>
      <w:r>
        <w:rPr>
          <w:rFonts w:ascii="宋体" w:hAnsi="宋体"/>
          <w:sz w:val="22"/>
        </w:rPr>
        <w:t xml:space="preserve"> </w:t>
      </w:r>
    </w:p>
    <w:p>
      <w:pPr>
        <w:adjustRightInd w:val="0"/>
        <w:spacing w:line="360" w:lineRule="auto"/>
        <w:jc w:val="left"/>
        <w:rPr>
          <w:rFonts w:ascii="宋体" w:hAnsi="宋体"/>
          <w:sz w:val="22"/>
        </w:rPr>
      </w:pPr>
      <w:r>
        <w:rPr>
          <w:rFonts w:hint="eastAsia" w:ascii="宋体" w:hAnsi="宋体"/>
          <w:sz w:val="22"/>
        </w:rPr>
        <w:t>5.3、内置超声工作站</w:t>
      </w:r>
    </w:p>
    <w:p>
      <w:pPr>
        <w:adjustRightInd w:val="0"/>
        <w:spacing w:line="360" w:lineRule="auto"/>
        <w:jc w:val="left"/>
        <w:rPr>
          <w:rFonts w:ascii="宋体" w:hAnsi="宋体"/>
          <w:sz w:val="22"/>
        </w:rPr>
      </w:pPr>
      <w:r>
        <w:rPr>
          <w:rFonts w:hint="eastAsia" w:ascii="宋体" w:hAnsi="宋体"/>
          <w:sz w:val="22"/>
        </w:rPr>
        <w:t>5.4、多种导出图像格式：动态图像、静态图像以PC格式直接导出，无需特殊软件即能在普通PC 机上直接观看图像。导出、备份图像数据资料同时，可进行实时检查，不影响检查操作</w:t>
      </w:r>
    </w:p>
    <w:p>
      <w:pPr>
        <w:adjustRightInd w:val="0"/>
        <w:spacing w:line="360" w:lineRule="auto"/>
        <w:jc w:val="left"/>
        <w:rPr>
          <w:rFonts w:ascii="宋体" w:hAnsi="宋体"/>
          <w:sz w:val="22"/>
        </w:rPr>
      </w:pPr>
      <w:r>
        <w:rPr>
          <w:rFonts w:hint="eastAsia" w:ascii="宋体" w:hAnsi="宋体"/>
          <w:sz w:val="22"/>
        </w:rPr>
        <w:t>5.5图像一键存储，能同时存入U盘及机器内</w:t>
      </w:r>
    </w:p>
    <w:p>
      <w:pPr>
        <w:adjustRightInd w:val="0"/>
        <w:spacing w:line="360" w:lineRule="auto"/>
        <w:jc w:val="left"/>
        <w:rPr>
          <w:rFonts w:ascii="宋体" w:hAnsi="宋体"/>
          <w:sz w:val="22"/>
        </w:rPr>
      </w:pPr>
      <w:r>
        <w:rPr>
          <w:rFonts w:hint="eastAsia" w:ascii="宋体" w:hAnsi="宋体"/>
          <w:sz w:val="22"/>
        </w:rPr>
        <w:t>6、连通性要求：</w:t>
      </w:r>
    </w:p>
    <w:p>
      <w:pPr>
        <w:adjustRightInd w:val="0"/>
        <w:spacing w:line="360" w:lineRule="auto"/>
        <w:jc w:val="left"/>
        <w:rPr>
          <w:rFonts w:ascii="宋体" w:hAnsi="宋体"/>
          <w:sz w:val="22"/>
        </w:rPr>
      </w:pPr>
      <w:r>
        <w:rPr>
          <w:rFonts w:hint="eastAsia" w:ascii="宋体" w:hAnsi="宋体"/>
          <w:sz w:val="22"/>
        </w:rPr>
        <w:t>6.1、支持网络连接</w:t>
      </w:r>
    </w:p>
    <w:p>
      <w:pPr>
        <w:adjustRightInd w:val="0"/>
        <w:spacing w:line="360" w:lineRule="auto"/>
        <w:jc w:val="left"/>
        <w:rPr>
          <w:rFonts w:ascii="宋体" w:hAnsi="宋体"/>
          <w:sz w:val="22"/>
        </w:rPr>
      </w:pPr>
      <w:r>
        <w:rPr>
          <w:rFonts w:hint="eastAsia" w:ascii="宋体" w:hAnsi="宋体"/>
          <w:sz w:val="22"/>
        </w:rPr>
        <w:t>6.2、DICOM 3.0基本</w:t>
      </w:r>
      <w:r>
        <w:rPr>
          <w:rFonts w:ascii="宋体" w:hAnsi="宋体"/>
          <w:sz w:val="22"/>
        </w:rPr>
        <w:t>组件</w:t>
      </w:r>
    </w:p>
    <w:p>
      <w:pPr>
        <w:adjustRightInd w:val="0"/>
        <w:spacing w:line="360" w:lineRule="auto"/>
        <w:jc w:val="left"/>
        <w:rPr>
          <w:rFonts w:ascii="宋体" w:hAnsi="宋体"/>
          <w:sz w:val="22"/>
        </w:rPr>
      </w:pPr>
      <w:r>
        <w:rPr>
          <w:rFonts w:hint="eastAsia" w:ascii="宋体" w:hAnsi="宋体"/>
          <w:sz w:val="22"/>
        </w:rPr>
        <w:t>6.3、视频/音频输入、输出</w:t>
      </w:r>
    </w:p>
    <w:p>
      <w:pPr>
        <w:adjustRightInd w:val="0"/>
        <w:spacing w:line="360" w:lineRule="auto"/>
        <w:jc w:val="left"/>
        <w:rPr>
          <w:rFonts w:ascii="宋体" w:hAnsi="宋体"/>
          <w:sz w:val="22"/>
        </w:rPr>
      </w:pPr>
      <w:r>
        <w:rPr>
          <w:rFonts w:ascii="宋体" w:hAnsi="宋体"/>
          <w:sz w:val="22"/>
        </w:rPr>
        <w:t>6.4</w:t>
      </w:r>
      <w:r>
        <w:rPr>
          <w:rFonts w:hint="eastAsia" w:ascii="宋体" w:hAnsi="宋体"/>
          <w:sz w:val="22"/>
        </w:rPr>
        <w:t>、主机</w:t>
      </w:r>
      <w:r>
        <w:rPr>
          <w:rFonts w:ascii="宋体" w:hAnsi="宋体"/>
          <w:sz w:val="22"/>
        </w:rPr>
        <w:t>内置</w:t>
      </w:r>
      <w:r>
        <w:rPr>
          <w:rFonts w:hint="eastAsia" w:ascii="宋体" w:hAnsi="宋体"/>
          <w:sz w:val="22"/>
        </w:rPr>
        <w:t>USB接口≥6个。</w:t>
      </w:r>
    </w:p>
    <w:p>
      <w:pPr>
        <w:adjustRightInd w:val="0"/>
        <w:spacing w:line="360" w:lineRule="auto"/>
        <w:jc w:val="left"/>
        <w:rPr>
          <w:rFonts w:ascii="宋体" w:hAnsi="宋体"/>
          <w:sz w:val="22"/>
        </w:rPr>
      </w:pPr>
      <w:r>
        <w:rPr>
          <w:rFonts w:hint="eastAsia" w:ascii="宋体" w:hAnsi="宋体"/>
          <w:sz w:val="22"/>
        </w:rPr>
        <w:t>▲</w:t>
      </w:r>
      <w:r>
        <w:rPr>
          <w:rFonts w:ascii="宋体" w:hAnsi="宋体"/>
          <w:sz w:val="22"/>
        </w:rPr>
        <w:t>6.5</w:t>
      </w:r>
      <w:r>
        <w:rPr>
          <w:rFonts w:hint="eastAsia" w:ascii="宋体" w:hAnsi="宋体"/>
          <w:sz w:val="22"/>
        </w:rPr>
        <w:t>、具有电源输出接口≥3个</w:t>
      </w:r>
    </w:p>
    <w:p>
      <w:pPr>
        <w:adjustRightInd w:val="0"/>
        <w:spacing w:line="360" w:lineRule="auto"/>
        <w:jc w:val="left"/>
        <w:rPr>
          <w:rFonts w:ascii="宋体" w:hAnsi="宋体"/>
          <w:sz w:val="22"/>
        </w:rPr>
      </w:pPr>
      <w:r>
        <w:rPr>
          <w:rFonts w:hint="eastAsia" w:ascii="宋体" w:hAnsi="宋体"/>
          <w:sz w:val="22"/>
        </w:rPr>
        <w:t>▲6.6、支持内置锂电池≥3h</w:t>
      </w:r>
    </w:p>
    <w:p>
      <w:pPr>
        <w:adjustRightInd w:val="0"/>
        <w:spacing w:line="360" w:lineRule="auto"/>
        <w:jc w:val="left"/>
        <w:rPr>
          <w:rFonts w:ascii="宋体" w:hAnsi="宋体"/>
          <w:sz w:val="22"/>
        </w:rPr>
      </w:pPr>
      <w:r>
        <w:rPr>
          <w:rFonts w:hint="eastAsia" w:ascii="宋体" w:hAnsi="宋体"/>
          <w:sz w:val="22"/>
        </w:rPr>
        <w:t>四、配置要求：</w:t>
      </w:r>
    </w:p>
    <w:p>
      <w:pPr>
        <w:adjustRightInd w:val="0"/>
        <w:spacing w:line="360" w:lineRule="auto"/>
        <w:jc w:val="left"/>
        <w:rPr>
          <w:rFonts w:ascii="宋体" w:hAnsi="宋体"/>
          <w:sz w:val="22"/>
        </w:rPr>
      </w:pPr>
      <w:r>
        <w:rPr>
          <w:rFonts w:hint="eastAsia" w:ascii="宋体" w:hAnsi="宋体"/>
          <w:sz w:val="22"/>
        </w:rPr>
        <w:t>1、全身应用彩色多普勒超声诊断仪主机1台</w:t>
      </w:r>
    </w:p>
    <w:p>
      <w:pPr>
        <w:adjustRightInd w:val="0"/>
        <w:spacing w:line="360" w:lineRule="auto"/>
        <w:jc w:val="left"/>
        <w:rPr>
          <w:rFonts w:ascii="宋体" w:hAnsi="宋体"/>
          <w:sz w:val="22"/>
        </w:rPr>
      </w:pPr>
      <w:r>
        <w:rPr>
          <w:rFonts w:hint="eastAsia" w:ascii="宋体" w:hAnsi="宋体"/>
          <w:sz w:val="22"/>
        </w:rPr>
        <w:t>2、配置探头：腹部探头1把、浅表探头1把、心脏探头1把、腔内探头1把。</w:t>
      </w:r>
    </w:p>
    <w:p>
      <w:pPr>
        <w:pStyle w:val="33"/>
      </w:pPr>
    </w:p>
    <w:p>
      <w:pPr>
        <w:pStyle w:val="4"/>
      </w:pPr>
      <w:r>
        <w:rPr>
          <w:rFonts w:hint="eastAsia"/>
        </w:rPr>
        <w:t>3</w:t>
      </w:r>
      <w:r>
        <w:t>.4</w:t>
      </w:r>
      <w:r>
        <w:rPr>
          <w:rFonts w:hint="eastAsia"/>
        </w:rPr>
        <w:t>、</w:t>
      </w:r>
      <w:bookmarkStart w:id="47" w:name="_Hlk50398583"/>
      <w:r>
        <w:rPr>
          <w:rFonts w:hint="eastAsia"/>
        </w:rPr>
        <w:t>村卫生室智能服务包</w:t>
      </w:r>
      <w:bookmarkEnd w:id="47"/>
    </w:p>
    <w:tbl>
      <w:tblPr>
        <w:tblStyle w:val="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46"/>
        <w:gridCol w:w="1843"/>
        <w:gridCol w:w="63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tcPr>
          <w:p>
            <w:pPr>
              <w:pStyle w:val="33"/>
              <w:jc w:val="center"/>
              <w:rPr>
                <w:rFonts w:hAnsi="宋体"/>
                <w:sz w:val="22"/>
                <w:szCs w:val="22"/>
              </w:rPr>
            </w:pPr>
            <w:r>
              <w:rPr>
                <w:rFonts w:hint="eastAsia" w:hAnsi="宋体"/>
                <w:sz w:val="22"/>
                <w:szCs w:val="22"/>
              </w:rPr>
              <w:t>序号</w:t>
            </w:r>
          </w:p>
        </w:tc>
        <w:tc>
          <w:tcPr>
            <w:tcW w:w="1843" w:type="dxa"/>
          </w:tcPr>
          <w:p>
            <w:pPr>
              <w:pStyle w:val="33"/>
              <w:jc w:val="center"/>
              <w:rPr>
                <w:rFonts w:hAnsi="宋体"/>
                <w:sz w:val="22"/>
                <w:szCs w:val="22"/>
              </w:rPr>
            </w:pPr>
            <w:r>
              <w:rPr>
                <w:rFonts w:hint="eastAsia" w:hAnsi="宋体"/>
                <w:sz w:val="22"/>
                <w:szCs w:val="22"/>
              </w:rPr>
              <w:t>设备名称</w:t>
            </w:r>
          </w:p>
        </w:tc>
        <w:tc>
          <w:tcPr>
            <w:tcW w:w="6372" w:type="dxa"/>
          </w:tcPr>
          <w:p>
            <w:pPr>
              <w:pStyle w:val="33"/>
              <w:jc w:val="center"/>
              <w:rPr>
                <w:rFonts w:hAnsi="宋体"/>
                <w:sz w:val="22"/>
                <w:szCs w:val="22"/>
              </w:rPr>
            </w:pPr>
            <w:r>
              <w:rPr>
                <w:rFonts w:hint="eastAsia" w:hAnsi="宋体"/>
                <w:sz w:val="22"/>
                <w:szCs w:val="22"/>
              </w:rPr>
              <w:t>技术参数要求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tcPr>
          <w:p>
            <w:pPr>
              <w:pStyle w:val="33"/>
              <w:jc w:val="center"/>
              <w:rPr>
                <w:rFonts w:hAnsi="宋体"/>
                <w:sz w:val="22"/>
                <w:szCs w:val="22"/>
              </w:rPr>
            </w:pPr>
            <w:r>
              <w:rPr>
                <w:rFonts w:hint="eastAsia" w:hAnsi="宋体"/>
                <w:sz w:val="22"/>
                <w:szCs w:val="22"/>
              </w:rPr>
              <w:t>1</w:t>
            </w:r>
          </w:p>
        </w:tc>
        <w:tc>
          <w:tcPr>
            <w:tcW w:w="1843" w:type="dxa"/>
          </w:tcPr>
          <w:p>
            <w:pPr>
              <w:pStyle w:val="33"/>
              <w:jc w:val="center"/>
              <w:rPr>
                <w:rFonts w:hAnsi="宋体"/>
                <w:sz w:val="22"/>
                <w:szCs w:val="22"/>
              </w:rPr>
            </w:pPr>
            <w:r>
              <w:rPr>
                <w:rFonts w:hint="eastAsia" w:hAnsi="宋体"/>
                <w:sz w:val="22"/>
                <w:szCs w:val="22"/>
              </w:rPr>
              <w:t>体重秤</w:t>
            </w:r>
          </w:p>
        </w:tc>
        <w:tc>
          <w:tcPr>
            <w:tcW w:w="6372" w:type="dxa"/>
          </w:tcPr>
          <w:p>
            <w:pPr>
              <w:rPr>
                <w:rFonts w:ascii="宋体" w:hAnsi="宋体"/>
                <w:kern w:val="0"/>
                <w:sz w:val="22"/>
              </w:rPr>
            </w:pPr>
            <w:r>
              <w:rPr>
                <w:rFonts w:hint="eastAsia" w:ascii="宋体" w:hAnsi="宋体"/>
                <w:kern w:val="0"/>
                <w:sz w:val="22"/>
              </w:rPr>
              <w:t>1、显示屏：L</w:t>
            </w:r>
            <w:r>
              <w:rPr>
                <w:rFonts w:ascii="宋体" w:hAnsi="宋体"/>
                <w:kern w:val="0"/>
                <w:sz w:val="22"/>
              </w:rPr>
              <w:t>ED</w:t>
            </w:r>
            <w:r>
              <w:rPr>
                <w:rFonts w:hint="eastAsia" w:ascii="宋体" w:hAnsi="宋体"/>
                <w:kern w:val="0"/>
                <w:sz w:val="22"/>
              </w:rPr>
              <w:t>显示屏</w:t>
            </w:r>
          </w:p>
          <w:p>
            <w:pPr>
              <w:rPr>
                <w:rFonts w:ascii="宋体" w:hAnsi="宋体"/>
                <w:kern w:val="0"/>
                <w:sz w:val="22"/>
              </w:rPr>
            </w:pPr>
            <w:r>
              <w:rPr>
                <w:rFonts w:hint="eastAsia" w:ascii="宋体" w:hAnsi="宋体"/>
                <w:kern w:val="0"/>
                <w:sz w:val="22"/>
              </w:rPr>
              <w:t>2、测量范围：0</w:t>
            </w:r>
            <w:r>
              <w:rPr>
                <w:rFonts w:ascii="宋体" w:hAnsi="宋体"/>
                <w:kern w:val="0"/>
                <w:sz w:val="22"/>
              </w:rPr>
              <w:t>.2kg-150kg</w:t>
            </w:r>
          </w:p>
          <w:p>
            <w:pPr>
              <w:rPr>
                <w:rFonts w:ascii="宋体" w:hAnsi="宋体"/>
                <w:kern w:val="0"/>
                <w:sz w:val="22"/>
              </w:rPr>
            </w:pPr>
            <w:r>
              <w:rPr>
                <w:rFonts w:hint="eastAsia" w:ascii="宋体" w:hAnsi="宋体"/>
                <w:kern w:val="0"/>
                <w:sz w:val="22"/>
              </w:rPr>
              <w:t>3、分度值：1</w:t>
            </w:r>
            <w:r>
              <w:rPr>
                <w:rFonts w:ascii="宋体" w:hAnsi="宋体"/>
                <w:kern w:val="0"/>
                <w:sz w:val="22"/>
              </w:rPr>
              <w:t>00kg</w:t>
            </w:r>
            <w:r>
              <w:rPr>
                <w:rFonts w:hint="eastAsia" w:ascii="宋体" w:hAnsi="宋体"/>
                <w:kern w:val="0"/>
                <w:sz w:val="22"/>
              </w:rPr>
              <w:t>以上0</w:t>
            </w:r>
            <w:r>
              <w:rPr>
                <w:rFonts w:ascii="宋体" w:hAnsi="宋体"/>
                <w:kern w:val="0"/>
                <w:sz w:val="22"/>
              </w:rPr>
              <w:t>.1kg</w:t>
            </w:r>
            <w:r>
              <w:rPr>
                <w:rFonts w:hint="eastAsia" w:ascii="宋体" w:hAnsi="宋体"/>
                <w:kern w:val="0"/>
                <w:sz w:val="22"/>
              </w:rPr>
              <w:t>，1</w:t>
            </w:r>
            <w:r>
              <w:rPr>
                <w:rFonts w:ascii="宋体" w:hAnsi="宋体"/>
                <w:kern w:val="0"/>
                <w:sz w:val="22"/>
              </w:rPr>
              <w:t>00kg</w:t>
            </w:r>
            <w:r>
              <w:rPr>
                <w:rFonts w:hint="eastAsia" w:ascii="宋体" w:hAnsi="宋体"/>
                <w:kern w:val="0"/>
                <w:sz w:val="22"/>
              </w:rPr>
              <w:t>以上0</w:t>
            </w:r>
            <w:r>
              <w:rPr>
                <w:rFonts w:ascii="宋体" w:hAnsi="宋体"/>
                <w:kern w:val="0"/>
                <w:sz w:val="22"/>
              </w:rPr>
              <w:t>.05kg</w:t>
            </w:r>
          </w:p>
          <w:p>
            <w:pPr>
              <w:rPr>
                <w:rFonts w:ascii="宋体" w:hAnsi="宋体"/>
                <w:kern w:val="0"/>
                <w:sz w:val="22"/>
              </w:rPr>
            </w:pPr>
            <w:r>
              <w:rPr>
                <w:rFonts w:hint="eastAsia" w:ascii="宋体" w:hAnsi="宋体"/>
                <w:kern w:val="0"/>
                <w:sz w:val="22"/>
              </w:rPr>
              <w:t>4、数据传输：蓝牙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tcPr>
          <w:p>
            <w:pPr>
              <w:pStyle w:val="33"/>
              <w:jc w:val="center"/>
              <w:rPr>
                <w:rFonts w:hAnsi="宋体"/>
                <w:sz w:val="22"/>
                <w:szCs w:val="22"/>
              </w:rPr>
            </w:pPr>
            <w:r>
              <w:rPr>
                <w:rFonts w:hAnsi="宋体"/>
                <w:sz w:val="22"/>
                <w:szCs w:val="22"/>
              </w:rPr>
              <w:t>2</w:t>
            </w:r>
          </w:p>
        </w:tc>
        <w:tc>
          <w:tcPr>
            <w:tcW w:w="1843" w:type="dxa"/>
          </w:tcPr>
          <w:p>
            <w:pPr>
              <w:pStyle w:val="33"/>
              <w:jc w:val="center"/>
              <w:rPr>
                <w:rFonts w:hAnsi="宋体"/>
                <w:sz w:val="22"/>
                <w:szCs w:val="22"/>
              </w:rPr>
            </w:pPr>
            <w:r>
              <w:rPr>
                <w:rFonts w:hint="eastAsia" w:hAnsi="宋体"/>
                <w:sz w:val="22"/>
                <w:szCs w:val="22"/>
              </w:rPr>
              <w:t>血糖仪</w:t>
            </w:r>
          </w:p>
        </w:tc>
        <w:tc>
          <w:tcPr>
            <w:tcW w:w="6372" w:type="dxa"/>
          </w:tcPr>
          <w:p>
            <w:pPr>
              <w:rPr>
                <w:rFonts w:ascii="宋体" w:hAnsi="宋体"/>
                <w:kern w:val="0"/>
                <w:sz w:val="22"/>
              </w:rPr>
            </w:pPr>
            <w:r>
              <w:rPr>
                <w:rFonts w:hint="eastAsia" w:ascii="宋体" w:hAnsi="宋体"/>
                <w:kern w:val="0"/>
                <w:sz w:val="22"/>
              </w:rPr>
              <w:t>1、血糖浓度单位：mmol/L</w:t>
            </w:r>
          </w:p>
          <w:p>
            <w:pPr>
              <w:rPr>
                <w:rFonts w:ascii="宋体" w:hAnsi="宋体"/>
                <w:kern w:val="0"/>
                <w:sz w:val="22"/>
              </w:rPr>
            </w:pPr>
            <w:r>
              <w:rPr>
                <w:rFonts w:hint="eastAsia" w:ascii="宋体" w:hAnsi="宋体"/>
                <w:kern w:val="0"/>
                <w:sz w:val="22"/>
              </w:rPr>
              <w:t>2、测量范围：0,6~33.3mmol/L(20~600mg/dL)</w:t>
            </w:r>
          </w:p>
          <w:p>
            <w:pPr>
              <w:rPr>
                <w:rFonts w:ascii="宋体" w:hAnsi="宋体"/>
                <w:kern w:val="0"/>
                <w:sz w:val="22"/>
              </w:rPr>
            </w:pPr>
            <w:r>
              <w:rPr>
                <w:rFonts w:hint="eastAsia" w:ascii="宋体" w:hAnsi="宋体"/>
                <w:kern w:val="0"/>
                <w:sz w:val="22"/>
              </w:rPr>
              <w:t>3、最小加样量：0.4μL</w:t>
            </w:r>
          </w:p>
          <w:p>
            <w:pPr>
              <w:rPr>
                <w:rFonts w:ascii="宋体" w:hAnsi="宋体"/>
                <w:kern w:val="0"/>
                <w:sz w:val="22"/>
              </w:rPr>
            </w:pPr>
            <w:r>
              <w:rPr>
                <w:rFonts w:hint="eastAsia" w:ascii="宋体" w:hAnsi="宋体"/>
                <w:kern w:val="0"/>
                <w:sz w:val="22"/>
              </w:rPr>
              <w:t>4、检测样本：成人和儿童新鲜毛细血管血</w:t>
            </w:r>
          </w:p>
          <w:p>
            <w:pPr>
              <w:rPr>
                <w:rFonts w:ascii="宋体" w:hAnsi="宋体"/>
                <w:kern w:val="0"/>
                <w:sz w:val="22"/>
              </w:rPr>
            </w:pPr>
            <w:r>
              <w:rPr>
                <w:rFonts w:hint="eastAsia" w:ascii="宋体" w:hAnsi="宋体"/>
                <w:kern w:val="0"/>
                <w:sz w:val="22"/>
              </w:rPr>
              <w:t>5、血球容积比范围：30%-60%</w:t>
            </w:r>
          </w:p>
          <w:p>
            <w:pPr>
              <w:rPr>
                <w:rFonts w:ascii="宋体" w:hAnsi="宋体"/>
                <w:kern w:val="0"/>
                <w:sz w:val="22"/>
              </w:rPr>
            </w:pPr>
            <w:r>
              <w:rPr>
                <w:rFonts w:hint="eastAsia" w:ascii="宋体" w:hAnsi="宋体"/>
                <w:kern w:val="0"/>
                <w:sz w:val="22"/>
              </w:rPr>
              <w:t>6、测试时间：&lt;=4秒</w:t>
            </w:r>
          </w:p>
          <w:p>
            <w:pPr>
              <w:rPr>
                <w:rFonts w:ascii="宋体" w:hAnsi="宋体"/>
                <w:kern w:val="0"/>
                <w:sz w:val="22"/>
              </w:rPr>
            </w:pPr>
            <w:r>
              <w:rPr>
                <w:rFonts w:hint="eastAsia" w:ascii="宋体" w:hAnsi="宋体"/>
                <w:kern w:val="0"/>
                <w:sz w:val="22"/>
              </w:rPr>
              <w:t>7、操作温度：5℃-45℃（44℉-113℉）</w:t>
            </w:r>
          </w:p>
          <w:p>
            <w:pPr>
              <w:rPr>
                <w:rFonts w:ascii="宋体" w:hAnsi="宋体"/>
                <w:kern w:val="0"/>
                <w:sz w:val="22"/>
              </w:rPr>
            </w:pPr>
            <w:r>
              <w:rPr>
                <w:rFonts w:hint="eastAsia" w:ascii="宋体" w:hAnsi="宋体"/>
                <w:kern w:val="0"/>
                <w:sz w:val="22"/>
              </w:rPr>
              <w:t>8、操作相对湿度：10~90%（不冷凝）</w:t>
            </w:r>
          </w:p>
          <w:p>
            <w:pPr>
              <w:rPr>
                <w:rFonts w:ascii="宋体" w:hAnsi="宋体"/>
                <w:kern w:val="0"/>
                <w:sz w:val="22"/>
              </w:rPr>
            </w:pPr>
            <w:r>
              <w:rPr>
                <w:rFonts w:hint="eastAsia" w:ascii="宋体" w:hAnsi="宋体"/>
                <w:kern w:val="0"/>
                <w:sz w:val="22"/>
              </w:rPr>
              <w:t>9、电池种类：2节7号AAA碱性电池</w:t>
            </w:r>
          </w:p>
          <w:p>
            <w:pPr>
              <w:rPr>
                <w:rFonts w:ascii="宋体" w:hAnsi="宋体"/>
                <w:kern w:val="0"/>
                <w:sz w:val="22"/>
              </w:rPr>
            </w:pPr>
            <w:r>
              <w:rPr>
                <w:rFonts w:hint="eastAsia" w:ascii="宋体" w:hAnsi="宋体"/>
                <w:kern w:val="0"/>
                <w:sz w:val="22"/>
              </w:rPr>
              <w:t>10、检测仪大小：92.8mm*54.0mm*23.7mm（长、宽、高）</w:t>
            </w:r>
          </w:p>
          <w:p>
            <w:pPr>
              <w:rPr>
                <w:rFonts w:ascii="宋体" w:hAnsi="宋体"/>
                <w:kern w:val="0"/>
                <w:sz w:val="22"/>
              </w:rPr>
            </w:pPr>
            <w:r>
              <w:rPr>
                <w:rFonts w:hint="eastAsia" w:ascii="宋体" w:hAnsi="宋体"/>
                <w:kern w:val="0"/>
                <w:sz w:val="22"/>
              </w:rPr>
              <w:t>11、记忆值：500个测试结果及其日期和时间</w:t>
            </w:r>
          </w:p>
          <w:p>
            <w:pPr>
              <w:rPr>
                <w:rFonts w:ascii="宋体" w:hAnsi="宋体"/>
                <w:kern w:val="0"/>
                <w:sz w:val="22"/>
              </w:rPr>
            </w:pPr>
            <w:r>
              <w:rPr>
                <w:rFonts w:hint="eastAsia" w:ascii="宋体" w:hAnsi="宋体"/>
                <w:kern w:val="0"/>
                <w:sz w:val="22"/>
              </w:rPr>
              <w:t>12、自动关机：2分钟没有任何操作</w:t>
            </w:r>
          </w:p>
          <w:p>
            <w:pPr>
              <w:rPr>
                <w:rFonts w:ascii="宋体" w:hAnsi="宋体"/>
                <w:kern w:val="0"/>
                <w:sz w:val="22"/>
              </w:rPr>
            </w:pPr>
            <w:r>
              <w:rPr>
                <w:rFonts w:ascii="宋体" w:hAnsi="宋体"/>
                <w:kern w:val="0"/>
                <w:sz w:val="22"/>
              </w:rPr>
              <w:t>13</w:t>
            </w:r>
            <w:r>
              <w:rPr>
                <w:rFonts w:hint="eastAsia" w:ascii="宋体" w:hAnsi="宋体"/>
                <w:kern w:val="0"/>
                <w:sz w:val="22"/>
              </w:rPr>
              <w:t>、</w:t>
            </w:r>
            <w:r>
              <w:rPr>
                <w:rFonts w:hint="eastAsia" w:ascii="宋体" w:hAnsi="宋体" w:cs="宋体"/>
                <w:kern w:val="0"/>
                <w:sz w:val="22"/>
              </w:rPr>
              <w:t>数据传输：蓝牙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tcPr>
          <w:p>
            <w:pPr>
              <w:pStyle w:val="33"/>
              <w:jc w:val="center"/>
              <w:rPr>
                <w:rFonts w:hAnsi="宋体"/>
                <w:sz w:val="22"/>
                <w:szCs w:val="22"/>
              </w:rPr>
            </w:pPr>
            <w:r>
              <w:rPr>
                <w:rFonts w:hAnsi="宋体"/>
                <w:sz w:val="22"/>
                <w:szCs w:val="22"/>
              </w:rPr>
              <w:t>3</w:t>
            </w:r>
          </w:p>
        </w:tc>
        <w:tc>
          <w:tcPr>
            <w:tcW w:w="1843" w:type="dxa"/>
          </w:tcPr>
          <w:p>
            <w:pPr>
              <w:pStyle w:val="33"/>
              <w:rPr>
                <w:rFonts w:hAnsi="宋体"/>
                <w:sz w:val="22"/>
                <w:szCs w:val="22"/>
              </w:rPr>
            </w:pPr>
            <w:r>
              <w:rPr>
                <w:rFonts w:hint="eastAsia" w:hAnsi="宋体"/>
                <w:sz w:val="22"/>
                <w:szCs w:val="22"/>
              </w:rPr>
              <w:t>血氧仪</w:t>
            </w:r>
          </w:p>
        </w:tc>
        <w:tc>
          <w:tcPr>
            <w:tcW w:w="6372" w:type="dxa"/>
          </w:tcPr>
          <w:p>
            <w:pPr>
              <w:rPr>
                <w:rFonts w:ascii="宋体" w:hAnsi="宋体" w:cs="宋体"/>
                <w:kern w:val="0"/>
                <w:sz w:val="22"/>
              </w:rPr>
            </w:pPr>
            <w:r>
              <w:rPr>
                <w:rFonts w:hint="eastAsia" w:ascii="宋体" w:hAnsi="宋体" w:cs="宋体"/>
                <w:kern w:val="0"/>
                <w:sz w:val="22"/>
              </w:rPr>
              <w:t>1、测量范围：血氧饱和度35%-100%；脉率30bpm-240bpm</w:t>
            </w:r>
          </w:p>
          <w:p>
            <w:pPr>
              <w:rPr>
                <w:rFonts w:ascii="宋体" w:hAnsi="宋体" w:cs="宋体"/>
                <w:kern w:val="0"/>
                <w:sz w:val="22"/>
              </w:rPr>
            </w:pPr>
            <w:r>
              <w:rPr>
                <w:rFonts w:hint="eastAsia" w:ascii="宋体" w:hAnsi="宋体" w:cs="宋体"/>
                <w:kern w:val="0"/>
                <w:sz w:val="22"/>
              </w:rPr>
              <w:t>2、测量精度：血氧饱和度70%-100%为±2%；脉率±2%或±2bpm，两者取最大</w:t>
            </w:r>
          </w:p>
          <w:p>
            <w:pPr>
              <w:rPr>
                <w:rFonts w:ascii="宋体" w:hAnsi="宋体" w:cs="宋体"/>
                <w:kern w:val="0"/>
                <w:sz w:val="22"/>
              </w:rPr>
            </w:pPr>
            <w:r>
              <w:rPr>
                <w:rFonts w:hint="eastAsia" w:ascii="宋体" w:hAnsi="宋体" w:cs="宋体"/>
                <w:kern w:val="0"/>
                <w:sz w:val="22"/>
              </w:rPr>
              <w:t>3、血流灌注指数（PI）显示范围：0.2%-20%</w:t>
            </w:r>
          </w:p>
          <w:p>
            <w:pPr>
              <w:rPr>
                <w:rFonts w:ascii="宋体" w:hAnsi="宋体" w:cs="宋体"/>
                <w:kern w:val="0"/>
                <w:sz w:val="22"/>
              </w:rPr>
            </w:pPr>
            <w:r>
              <w:rPr>
                <w:rFonts w:hint="eastAsia" w:ascii="宋体" w:hAnsi="宋体" w:cs="宋体"/>
                <w:kern w:val="0"/>
                <w:sz w:val="22"/>
              </w:rPr>
              <w:t>4、自动关机：血氧仪无信号时在8s内可自动关机</w:t>
            </w:r>
          </w:p>
          <w:p>
            <w:pPr>
              <w:rPr>
                <w:rFonts w:ascii="宋体" w:hAnsi="宋体" w:cs="宋体"/>
                <w:kern w:val="0"/>
                <w:sz w:val="22"/>
              </w:rPr>
            </w:pPr>
            <w:r>
              <w:rPr>
                <w:rFonts w:hint="eastAsia" w:ascii="宋体" w:hAnsi="宋体" w:cs="宋体"/>
                <w:kern w:val="0"/>
                <w:sz w:val="22"/>
              </w:rPr>
              <w:t>5、电池低压指示功能：有</w:t>
            </w:r>
          </w:p>
          <w:p>
            <w:pPr>
              <w:rPr>
                <w:rFonts w:ascii="宋体" w:hAnsi="宋体" w:cs="宋体"/>
                <w:kern w:val="0"/>
                <w:sz w:val="22"/>
              </w:rPr>
            </w:pPr>
            <w:r>
              <w:rPr>
                <w:rFonts w:hint="eastAsia" w:ascii="宋体" w:hAnsi="宋体" w:cs="宋体"/>
                <w:kern w:val="0"/>
                <w:sz w:val="22"/>
              </w:rPr>
              <w:t>6、声光报警功能：脉率、脉搏血氧饱和度超限时，自动声光报警</w:t>
            </w:r>
          </w:p>
          <w:p>
            <w:pPr>
              <w:rPr>
                <w:rFonts w:ascii="宋体" w:hAnsi="宋体" w:cs="宋体"/>
                <w:kern w:val="0"/>
                <w:sz w:val="22"/>
              </w:rPr>
            </w:pPr>
            <w:r>
              <w:rPr>
                <w:rFonts w:hint="eastAsia" w:ascii="宋体" w:hAnsi="宋体" w:cs="宋体"/>
                <w:kern w:val="0"/>
                <w:sz w:val="22"/>
              </w:rPr>
              <w:t>7、数据传输：蓝牙</w:t>
            </w:r>
          </w:p>
          <w:p>
            <w:pPr>
              <w:rPr>
                <w:rFonts w:ascii="宋体" w:hAnsi="宋体" w:cs="宋体"/>
                <w:kern w:val="0"/>
                <w:sz w:val="22"/>
              </w:rPr>
            </w:pPr>
            <w:r>
              <w:rPr>
                <w:rFonts w:hint="eastAsia" w:ascii="宋体" w:hAnsi="宋体" w:cs="宋体"/>
                <w:kern w:val="0"/>
                <w:sz w:val="22"/>
              </w:rPr>
              <w:t>8、投标产品具有血氧相关软件著作权证书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tcPr>
          <w:p>
            <w:pPr>
              <w:pStyle w:val="33"/>
              <w:jc w:val="center"/>
              <w:rPr>
                <w:rFonts w:hAnsi="宋体"/>
                <w:sz w:val="22"/>
                <w:szCs w:val="22"/>
              </w:rPr>
            </w:pPr>
            <w:r>
              <w:rPr>
                <w:rFonts w:hAnsi="宋体"/>
                <w:sz w:val="22"/>
                <w:szCs w:val="22"/>
              </w:rPr>
              <w:t>4</w:t>
            </w:r>
          </w:p>
        </w:tc>
        <w:tc>
          <w:tcPr>
            <w:tcW w:w="1843" w:type="dxa"/>
          </w:tcPr>
          <w:p>
            <w:pPr>
              <w:pStyle w:val="33"/>
              <w:rPr>
                <w:rFonts w:hAnsi="宋体"/>
                <w:sz w:val="22"/>
                <w:szCs w:val="22"/>
              </w:rPr>
            </w:pPr>
            <w:r>
              <w:rPr>
                <w:rFonts w:hint="eastAsia" w:hAnsi="宋体"/>
                <w:sz w:val="22"/>
                <w:szCs w:val="22"/>
              </w:rPr>
              <w:t>电子血压计</w:t>
            </w:r>
          </w:p>
        </w:tc>
        <w:tc>
          <w:tcPr>
            <w:tcW w:w="6372" w:type="dxa"/>
          </w:tcPr>
          <w:p>
            <w:pPr>
              <w:rPr>
                <w:rFonts w:ascii="宋体" w:hAnsi="宋体"/>
                <w:kern w:val="0"/>
                <w:sz w:val="22"/>
              </w:rPr>
            </w:pPr>
            <w:r>
              <w:rPr>
                <w:rFonts w:hint="eastAsia" w:ascii="宋体" w:hAnsi="宋体"/>
                <w:kern w:val="0"/>
                <w:sz w:val="22"/>
              </w:rPr>
              <w:t>1、测量方法：脉搏波法/示波法</w:t>
            </w:r>
          </w:p>
          <w:p>
            <w:pPr>
              <w:rPr>
                <w:rFonts w:ascii="宋体" w:hAnsi="宋体"/>
                <w:kern w:val="0"/>
                <w:sz w:val="22"/>
              </w:rPr>
            </w:pPr>
            <w:r>
              <w:rPr>
                <w:rFonts w:hint="eastAsia" w:ascii="宋体" w:hAnsi="宋体"/>
                <w:kern w:val="0"/>
                <w:sz w:val="22"/>
              </w:rPr>
              <w:t>2、测量范围：血压30</w:t>
            </w:r>
            <w:r>
              <w:rPr>
                <w:rFonts w:ascii="宋体" w:hAnsi="宋体"/>
                <w:kern w:val="0"/>
                <w:sz w:val="22"/>
              </w:rPr>
              <w:t>~</w:t>
            </w:r>
            <w:r>
              <w:rPr>
                <w:rFonts w:hint="eastAsia" w:ascii="宋体" w:hAnsi="宋体"/>
                <w:kern w:val="0"/>
                <w:sz w:val="22"/>
              </w:rPr>
              <w:t>280mmHg（4~37.3KPa），脉搏 40</w:t>
            </w:r>
            <w:r>
              <w:rPr>
                <w:rFonts w:ascii="宋体" w:hAnsi="宋体"/>
                <w:kern w:val="0"/>
                <w:sz w:val="22"/>
              </w:rPr>
              <w:t>~</w:t>
            </w:r>
            <w:r>
              <w:rPr>
                <w:rFonts w:hint="eastAsia" w:ascii="宋体" w:hAnsi="宋体"/>
                <w:kern w:val="0"/>
                <w:sz w:val="22"/>
              </w:rPr>
              <w:t>195次/分</w:t>
            </w:r>
          </w:p>
          <w:p>
            <w:pPr>
              <w:rPr>
                <w:rFonts w:ascii="宋体" w:hAnsi="宋体"/>
                <w:kern w:val="0"/>
                <w:sz w:val="22"/>
              </w:rPr>
            </w:pPr>
            <w:r>
              <w:rPr>
                <w:rFonts w:hint="eastAsia" w:ascii="宋体" w:hAnsi="宋体"/>
                <w:kern w:val="0"/>
                <w:sz w:val="22"/>
              </w:rPr>
              <w:t>3、精准度：压力±3mmHg  脉搏数±5%</w:t>
            </w:r>
          </w:p>
          <w:p>
            <w:pPr>
              <w:rPr>
                <w:rFonts w:ascii="宋体" w:hAnsi="宋体"/>
                <w:kern w:val="0"/>
                <w:sz w:val="22"/>
              </w:rPr>
            </w:pPr>
            <w:r>
              <w:rPr>
                <w:rFonts w:hint="eastAsia" w:ascii="宋体" w:hAnsi="宋体"/>
                <w:kern w:val="0"/>
                <w:sz w:val="22"/>
              </w:rPr>
              <w:t>4、血压单位：mmHg/KPa</w:t>
            </w:r>
          </w:p>
          <w:p>
            <w:pPr>
              <w:rPr>
                <w:rFonts w:ascii="宋体" w:hAnsi="宋体"/>
                <w:kern w:val="0"/>
                <w:sz w:val="22"/>
              </w:rPr>
            </w:pPr>
            <w:r>
              <w:rPr>
                <w:rFonts w:hint="eastAsia" w:ascii="宋体" w:hAnsi="宋体"/>
                <w:kern w:val="0"/>
                <w:sz w:val="22"/>
              </w:rPr>
              <w:t>5、通讯方式：蓝牙4.0版本，语音播报功能</w:t>
            </w:r>
          </w:p>
          <w:p>
            <w:pPr>
              <w:rPr>
                <w:rFonts w:ascii="宋体" w:hAnsi="宋体"/>
                <w:kern w:val="0"/>
                <w:sz w:val="22"/>
              </w:rPr>
            </w:pPr>
            <w:r>
              <w:rPr>
                <w:rFonts w:hint="eastAsia" w:ascii="宋体" w:hAnsi="宋体"/>
                <w:kern w:val="0"/>
                <w:sz w:val="22"/>
              </w:rPr>
              <w:t>6、其他功能：心率不齐提醒、二次加压、自动泄压、断电数据保存</w:t>
            </w:r>
          </w:p>
          <w:p>
            <w:pPr>
              <w:rPr>
                <w:rFonts w:ascii="宋体" w:hAnsi="宋体"/>
                <w:kern w:val="0"/>
                <w:sz w:val="22"/>
              </w:rPr>
            </w:pPr>
            <w:r>
              <w:rPr>
                <w:rFonts w:hint="eastAsia" w:ascii="宋体" w:hAnsi="宋体"/>
                <w:kern w:val="0"/>
                <w:sz w:val="22"/>
              </w:rPr>
              <w:t>7、数据传输：蓝牙</w:t>
            </w:r>
          </w:p>
          <w:p>
            <w:pPr>
              <w:rPr>
                <w:rFonts w:ascii="宋体" w:hAnsi="宋体"/>
                <w:kern w:val="0"/>
                <w:sz w:val="22"/>
              </w:rPr>
            </w:pPr>
            <w:r>
              <w:rPr>
                <w:rFonts w:ascii="宋体" w:hAnsi="宋体"/>
                <w:kern w:val="0"/>
                <w:sz w:val="22"/>
              </w:rPr>
              <w:t>8</w:t>
            </w:r>
            <w:r>
              <w:rPr>
                <w:rFonts w:hint="eastAsia" w:ascii="宋体" w:hAnsi="宋体"/>
                <w:kern w:val="0"/>
                <w:sz w:val="22"/>
              </w:rPr>
              <w:t>、投标产品具有血压相关软件著作权证书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tcPr>
          <w:p>
            <w:pPr>
              <w:pStyle w:val="33"/>
              <w:jc w:val="center"/>
              <w:rPr>
                <w:rFonts w:hAnsi="宋体"/>
                <w:sz w:val="22"/>
                <w:szCs w:val="22"/>
              </w:rPr>
            </w:pPr>
            <w:r>
              <w:rPr>
                <w:rFonts w:hAnsi="宋体"/>
                <w:sz w:val="22"/>
                <w:szCs w:val="22"/>
              </w:rPr>
              <w:t>5</w:t>
            </w:r>
          </w:p>
        </w:tc>
        <w:tc>
          <w:tcPr>
            <w:tcW w:w="1843" w:type="dxa"/>
          </w:tcPr>
          <w:p>
            <w:pPr>
              <w:pStyle w:val="33"/>
              <w:rPr>
                <w:rFonts w:hAnsi="宋体"/>
                <w:sz w:val="22"/>
                <w:szCs w:val="22"/>
              </w:rPr>
            </w:pPr>
            <w:r>
              <w:rPr>
                <w:rFonts w:hint="eastAsia" w:hAnsi="宋体"/>
                <w:sz w:val="22"/>
                <w:szCs w:val="22"/>
              </w:rPr>
              <w:t>红外体温计</w:t>
            </w:r>
          </w:p>
        </w:tc>
        <w:tc>
          <w:tcPr>
            <w:tcW w:w="6372" w:type="dxa"/>
          </w:tcPr>
          <w:p>
            <w:pPr>
              <w:rPr>
                <w:rFonts w:ascii="宋体" w:hAnsi="宋体" w:cs="宋体"/>
                <w:kern w:val="0"/>
                <w:sz w:val="22"/>
              </w:rPr>
            </w:pPr>
            <w:r>
              <w:rPr>
                <w:rFonts w:hint="eastAsia" w:ascii="宋体" w:hAnsi="宋体" w:cs="宋体"/>
                <w:kern w:val="0"/>
                <w:sz w:val="22"/>
              </w:rPr>
              <w:t>1、测量方法：非接触式红外传感</w:t>
            </w:r>
          </w:p>
          <w:p>
            <w:pPr>
              <w:rPr>
                <w:rFonts w:ascii="宋体" w:hAnsi="宋体" w:cs="宋体"/>
                <w:kern w:val="0"/>
                <w:sz w:val="22"/>
              </w:rPr>
            </w:pPr>
            <w:r>
              <w:rPr>
                <w:rFonts w:hint="eastAsia" w:ascii="宋体" w:hAnsi="宋体" w:cs="宋体"/>
                <w:kern w:val="0"/>
                <w:sz w:val="22"/>
              </w:rPr>
              <w:t>2、测量部位：额头</w:t>
            </w:r>
          </w:p>
          <w:p>
            <w:pPr>
              <w:rPr>
                <w:rFonts w:ascii="宋体" w:hAnsi="宋体" w:cs="宋体"/>
                <w:kern w:val="0"/>
                <w:sz w:val="22"/>
              </w:rPr>
            </w:pPr>
            <w:r>
              <w:rPr>
                <w:rFonts w:hint="eastAsia" w:ascii="宋体" w:hAnsi="宋体" w:cs="宋体"/>
                <w:kern w:val="0"/>
                <w:sz w:val="22"/>
              </w:rPr>
              <w:t>3、测量范围：人体模式32~42.9℃；表面模式0~100℃；室温模式5~40℃</w:t>
            </w:r>
          </w:p>
          <w:p>
            <w:pPr>
              <w:rPr>
                <w:rFonts w:ascii="宋体" w:hAnsi="宋体" w:cs="宋体"/>
                <w:kern w:val="0"/>
                <w:sz w:val="22"/>
              </w:rPr>
            </w:pPr>
            <w:r>
              <w:rPr>
                <w:rFonts w:hint="eastAsia" w:ascii="宋体" w:hAnsi="宋体" w:cs="宋体"/>
                <w:kern w:val="0"/>
                <w:sz w:val="22"/>
              </w:rPr>
              <w:t>4、测量误差（包括人体、表面、室温等）：人体模式：±0.2℃、表面模式：±0.2℃（33~41.0℃），±1℃（0~32℃，41~100℃）、室温模式：±0.1℃</w:t>
            </w:r>
          </w:p>
          <w:p>
            <w:pPr>
              <w:rPr>
                <w:rFonts w:ascii="宋体" w:hAnsi="宋体" w:cs="宋体"/>
                <w:kern w:val="0"/>
                <w:sz w:val="22"/>
              </w:rPr>
            </w:pPr>
            <w:r>
              <w:rPr>
                <w:rFonts w:hint="eastAsia" w:ascii="宋体" w:hAnsi="宋体" w:cs="宋体"/>
                <w:kern w:val="0"/>
                <w:sz w:val="22"/>
              </w:rPr>
              <w:t>5、测量距离：0-3cm</w:t>
            </w:r>
          </w:p>
          <w:p>
            <w:pPr>
              <w:rPr>
                <w:rFonts w:ascii="宋体" w:hAnsi="宋体" w:cs="宋体"/>
                <w:kern w:val="0"/>
                <w:sz w:val="22"/>
              </w:rPr>
            </w:pPr>
            <w:r>
              <w:rPr>
                <w:rFonts w:hint="eastAsia" w:ascii="宋体" w:hAnsi="宋体" w:cs="宋体"/>
                <w:kern w:val="0"/>
                <w:sz w:val="22"/>
              </w:rPr>
              <w:t>6、测量时间：＜2秒</w:t>
            </w:r>
          </w:p>
          <w:p>
            <w:pPr>
              <w:rPr>
                <w:rFonts w:ascii="宋体" w:hAnsi="宋体" w:cs="宋体"/>
                <w:kern w:val="0"/>
                <w:sz w:val="22"/>
              </w:rPr>
            </w:pPr>
            <w:r>
              <w:rPr>
                <w:rFonts w:hint="eastAsia" w:ascii="宋体" w:hAnsi="宋体" w:cs="宋体"/>
                <w:kern w:val="0"/>
                <w:sz w:val="22"/>
              </w:rPr>
              <w:t>7、分辨率：0.1℃</w:t>
            </w:r>
          </w:p>
          <w:p>
            <w:pPr>
              <w:rPr>
                <w:rFonts w:ascii="宋体" w:hAnsi="宋体" w:cs="宋体"/>
                <w:kern w:val="0"/>
                <w:sz w:val="22"/>
              </w:rPr>
            </w:pPr>
            <w:r>
              <w:rPr>
                <w:rFonts w:hint="eastAsia" w:ascii="宋体" w:hAnsi="宋体" w:cs="宋体"/>
                <w:kern w:val="0"/>
                <w:sz w:val="22"/>
              </w:rPr>
              <w:t>8、数据存储：至少可存储99组数据</w:t>
            </w:r>
          </w:p>
          <w:p>
            <w:pPr>
              <w:rPr>
                <w:rFonts w:ascii="宋体" w:hAnsi="宋体" w:cs="宋体"/>
                <w:kern w:val="0"/>
                <w:sz w:val="22"/>
              </w:rPr>
            </w:pPr>
            <w:r>
              <w:rPr>
                <w:rFonts w:hint="eastAsia" w:ascii="宋体" w:hAnsi="宋体" w:cs="宋体"/>
                <w:kern w:val="0"/>
                <w:sz w:val="22"/>
              </w:rPr>
              <w:t>9、数据传输：蓝牙</w:t>
            </w:r>
          </w:p>
          <w:p>
            <w:pPr>
              <w:rPr>
                <w:rFonts w:ascii="宋体" w:hAnsi="宋体" w:cs="宋体"/>
                <w:kern w:val="0"/>
                <w:sz w:val="22"/>
              </w:rPr>
            </w:pPr>
            <w:r>
              <w:rPr>
                <w:rFonts w:hint="eastAsia" w:ascii="宋体" w:hAnsi="宋体" w:cs="宋体"/>
                <w:kern w:val="0"/>
                <w:sz w:val="22"/>
              </w:rPr>
              <w:t>10、投标产品具有体温相关软件著作权证书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tcPr>
          <w:p>
            <w:pPr>
              <w:pStyle w:val="33"/>
              <w:jc w:val="center"/>
              <w:rPr>
                <w:rFonts w:hAnsi="宋体"/>
                <w:sz w:val="22"/>
                <w:szCs w:val="22"/>
              </w:rPr>
            </w:pPr>
            <w:r>
              <w:rPr>
                <w:rFonts w:hint="eastAsia" w:hAnsi="宋体"/>
                <w:sz w:val="22"/>
                <w:szCs w:val="22"/>
              </w:rPr>
              <w:t>6</w:t>
            </w:r>
          </w:p>
        </w:tc>
        <w:tc>
          <w:tcPr>
            <w:tcW w:w="1843" w:type="dxa"/>
          </w:tcPr>
          <w:p>
            <w:pPr>
              <w:pStyle w:val="33"/>
              <w:rPr>
                <w:rFonts w:hAnsi="宋体"/>
                <w:sz w:val="22"/>
                <w:szCs w:val="22"/>
              </w:rPr>
            </w:pPr>
            <w:r>
              <w:rPr>
                <w:rFonts w:hint="eastAsia" w:hAnsi="宋体"/>
                <w:sz w:val="22"/>
                <w:szCs w:val="22"/>
              </w:rPr>
              <w:t>心电仪</w:t>
            </w:r>
          </w:p>
        </w:tc>
        <w:tc>
          <w:tcPr>
            <w:tcW w:w="6372" w:type="dxa"/>
          </w:tcPr>
          <w:p>
            <w:pPr>
              <w:rPr>
                <w:rFonts w:ascii="宋体" w:hAnsi="宋体"/>
                <w:kern w:val="0"/>
                <w:sz w:val="22"/>
              </w:rPr>
            </w:pPr>
            <w:r>
              <w:rPr>
                <w:rFonts w:hint="eastAsia" w:ascii="宋体" w:hAnsi="宋体"/>
                <w:kern w:val="0"/>
                <w:sz w:val="22"/>
              </w:rPr>
              <w:t>1、导联：12导联</w:t>
            </w:r>
          </w:p>
          <w:p>
            <w:pPr>
              <w:rPr>
                <w:rFonts w:ascii="宋体" w:hAnsi="宋体"/>
                <w:kern w:val="0"/>
                <w:sz w:val="22"/>
              </w:rPr>
            </w:pPr>
            <w:r>
              <w:rPr>
                <w:rFonts w:hint="eastAsia" w:ascii="宋体" w:hAnsi="宋体"/>
                <w:kern w:val="0"/>
                <w:sz w:val="22"/>
              </w:rPr>
              <w:t>2、采样频率：最高1000 Hz</w:t>
            </w:r>
          </w:p>
          <w:p>
            <w:pPr>
              <w:rPr>
                <w:rFonts w:ascii="宋体" w:hAnsi="宋体"/>
                <w:kern w:val="0"/>
                <w:sz w:val="22"/>
              </w:rPr>
            </w:pPr>
            <w:r>
              <w:rPr>
                <w:rFonts w:ascii="宋体" w:hAnsi="宋体"/>
                <w:kern w:val="0"/>
                <w:sz w:val="22"/>
              </w:rPr>
              <w:t>3</w:t>
            </w:r>
            <w:r>
              <w:rPr>
                <w:rFonts w:hint="eastAsia" w:ascii="宋体" w:hAnsi="宋体"/>
                <w:kern w:val="0"/>
                <w:sz w:val="22"/>
              </w:rPr>
              <w:t>、采样精度：最高24位</w:t>
            </w:r>
          </w:p>
          <w:p>
            <w:pPr>
              <w:rPr>
                <w:rFonts w:ascii="宋体" w:hAnsi="宋体"/>
                <w:kern w:val="0"/>
                <w:sz w:val="22"/>
              </w:rPr>
            </w:pPr>
            <w:r>
              <w:rPr>
                <w:rFonts w:hint="eastAsia" w:ascii="宋体" w:hAnsi="宋体"/>
                <w:kern w:val="0"/>
                <w:sz w:val="22"/>
              </w:rPr>
              <w:t>4、定标电压：1 mV,其偏差在±2 %以内</w:t>
            </w:r>
          </w:p>
          <w:p>
            <w:pPr>
              <w:rPr>
                <w:rFonts w:ascii="宋体" w:hAnsi="宋体"/>
                <w:kern w:val="0"/>
                <w:sz w:val="22"/>
              </w:rPr>
            </w:pPr>
            <w:r>
              <w:rPr>
                <w:rFonts w:hint="eastAsia" w:ascii="宋体" w:hAnsi="宋体"/>
                <w:kern w:val="0"/>
                <w:sz w:val="22"/>
              </w:rPr>
              <w:t>5、患者电极直流电流：＜1 μA</w:t>
            </w:r>
          </w:p>
          <w:p>
            <w:pPr>
              <w:rPr>
                <w:rFonts w:ascii="宋体" w:hAnsi="宋体"/>
                <w:kern w:val="0"/>
                <w:sz w:val="22"/>
              </w:rPr>
            </w:pPr>
            <w:r>
              <w:rPr>
                <w:rFonts w:ascii="宋体" w:hAnsi="宋体"/>
                <w:kern w:val="0"/>
                <w:sz w:val="22"/>
              </w:rPr>
              <w:t>6</w:t>
            </w:r>
            <w:r>
              <w:rPr>
                <w:rFonts w:hint="eastAsia" w:ascii="宋体" w:hAnsi="宋体"/>
                <w:kern w:val="0"/>
                <w:sz w:val="22"/>
              </w:rPr>
              <w:t>、系统噪声：≤12 μVp-p</w:t>
            </w:r>
          </w:p>
          <w:p>
            <w:pPr>
              <w:rPr>
                <w:rFonts w:ascii="宋体" w:hAnsi="宋体"/>
                <w:kern w:val="0"/>
                <w:sz w:val="22"/>
              </w:rPr>
            </w:pPr>
            <w:r>
              <w:rPr>
                <w:rFonts w:ascii="宋体" w:hAnsi="宋体"/>
                <w:kern w:val="0"/>
                <w:sz w:val="22"/>
              </w:rPr>
              <w:t>7</w:t>
            </w:r>
            <w:r>
              <w:rPr>
                <w:rFonts w:hint="eastAsia" w:ascii="宋体" w:hAnsi="宋体"/>
                <w:kern w:val="0"/>
                <w:sz w:val="22"/>
              </w:rPr>
              <w:t>、共模抑制比：&gt;105dB</w:t>
            </w:r>
          </w:p>
          <w:p>
            <w:pPr>
              <w:rPr>
                <w:rFonts w:ascii="宋体" w:hAnsi="宋体"/>
                <w:kern w:val="0"/>
                <w:sz w:val="22"/>
              </w:rPr>
            </w:pPr>
            <w:r>
              <w:rPr>
                <w:rFonts w:hint="eastAsia" w:ascii="宋体" w:hAnsi="宋体"/>
                <w:kern w:val="0"/>
                <w:sz w:val="22"/>
              </w:rPr>
              <w:t>8、输入回路电流：≤0.1μA</w:t>
            </w:r>
          </w:p>
          <w:p>
            <w:pPr>
              <w:rPr>
                <w:rFonts w:ascii="宋体" w:hAnsi="宋体"/>
                <w:kern w:val="0"/>
                <w:sz w:val="22"/>
              </w:rPr>
            </w:pPr>
            <w:r>
              <w:rPr>
                <w:rFonts w:hint="eastAsia" w:ascii="宋体" w:hAnsi="宋体"/>
                <w:kern w:val="0"/>
                <w:sz w:val="22"/>
              </w:rPr>
              <w:t>9、时间常数：≥3.2s</w:t>
            </w:r>
          </w:p>
          <w:p>
            <w:pPr>
              <w:rPr>
                <w:rFonts w:ascii="宋体" w:hAnsi="宋体"/>
                <w:kern w:val="0"/>
                <w:sz w:val="22"/>
              </w:rPr>
            </w:pPr>
            <w:r>
              <w:rPr>
                <w:rFonts w:ascii="宋体" w:hAnsi="宋体"/>
                <w:kern w:val="0"/>
                <w:sz w:val="22"/>
              </w:rPr>
              <w:t>10</w:t>
            </w:r>
            <w:r>
              <w:rPr>
                <w:rFonts w:hint="eastAsia" w:ascii="宋体" w:hAnsi="宋体"/>
                <w:kern w:val="0"/>
                <w:sz w:val="22"/>
              </w:rPr>
              <w:t>、具有起搏检测功能</w:t>
            </w:r>
          </w:p>
          <w:p>
            <w:pPr>
              <w:rPr>
                <w:rFonts w:ascii="宋体" w:hAnsi="宋体"/>
                <w:kern w:val="0"/>
                <w:sz w:val="22"/>
              </w:rPr>
            </w:pPr>
            <w:r>
              <w:rPr>
                <w:rFonts w:ascii="宋体" w:hAnsi="宋体"/>
                <w:kern w:val="0"/>
                <w:sz w:val="22"/>
              </w:rPr>
              <w:t>11</w:t>
            </w:r>
            <w:r>
              <w:rPr>
                <w:rFonts w:hint="eastAsia" w:ascii="宋体" w:hAnsi="宋体"/>
                <w:kern w:val="0"/>
                <w:sz w:val="22"/>
              </w:rPr>
              <w:t>、安全类型：II类CF型应用部分</w:t>
            </w:r>
          </w:p>
          <w:p>
            <w:pPr>
              <w:rPr>
                <w:rFonts w:ascii="宋体" w:hAnsi="宋体"/>
                <w:kern w:val="0"/>
                <w:sz w:val="22"/>
              </w:rPr>
            </w:pPr>
            <w:r>
              <w:rPr>
                <w:rFonts w:hint="eastAsia" w:ascii="宋体" w:hAnsi="宋体"/>
                <w:kern w:val="0"/>
                <w:sz w:val="22"/>
              </w:rPr>
              <w:t>1</w:t>
            </w:r>
            <w:r>
              <w:rPr>
                <w:rFonts w:ascii="宋体" w:hAnsi="宋体"/>
                <w:kern w:val="0"/>
                <w:sz w:val="22"/>
              </w:rPr>
              <w:t>2</w:t>
            </w:r>
            <w:r>
              <w:rPr>
                <w:rFonts w:hint="eastAsia" w:ascii="宋体" w:hAnsi="宋体"/>
                <w:kern w:val="0"/>
                <w:sz w:val="22"/>
              </w:rPr>
              <w:t>、增益设置：5 mm/mV、10 mm/mV、20 mm/mV</w:t>
            </w:r>
            <w:r>
              <w:rPr>
                <w:rFonts w:ascii="宋体" w:hAnsi="宋体"/>
                <w:kern w:val="0"/>
                <w:sz w:val="22"/>
              </w:rPr>
              <w:t xml:space="preserve"> </w:t>
            </w:r>
          </w:p>
          <w:p>
            <w:pPr>
              <w:rPr>
                <w:rFonts w:ascii="宋体" w:hAnsi="宋体"/>
                <w:kern w:val="0"/>
                <w:sz w:val="22"/>
              </w:rPr>
            </w:pPr>
            <w:r>
              <w:rPr>
                <w:rFonts w:hint="eastAsia" w:ascii="宋体" w:hAnsi="宋体"/>
                <w:kern w:val="0"/>
                <w:sz w:val="22"/>
              </w:rPr>
              <w:t>1</w:t>
            </w:r>
            <w:r>
              <w:rPr>
                <w:rFonts w:ascii="宋体" w:hAnsi="宋体"/>
                <w:kern w:val="0"/>
                <w:sz w:val="22"/>
              </w:rPr>
              <w:t>3</w:t>
            </w:r>
            <w:r>
              <w:rPr>
                <w:rFonts w:hint="eastAsia" w:ascii="宋体" w:hAnsi="宋体"/>
                <w:kern w:val="0"/>
                <w:sz w:val="22"/>
              </w:rPr>
              <w:t>、增益准确度：±2%</w:t>
            </w:r>
          </w:p>
          <w:p>
            <w:pPr>
              <w:rPr>
                <w:rFonts w:ascii="宋体" w:hAnsi="宋体"/>
                <w:kern w:val="0"/>
                <w:sz w:val="22"/>
              </w:rPr>
            </w:pPr>
            <w:r>
              <w:rPr>
                <w:rFonts w:hint="eastAsia" w:ascii="宋体" w:hAnsi="宋体"/>
                <w:kern w:val="0"/>
                <w:sz w:val="22"/>
              </w:rPr>
              <w:t>1</w:t>
            </w:r>
            <w:r>
              <w:rPr>
                <w:rFonts w:ascii="宋体" w:hAnsi="宋体"/>
                <w:kern w:val="0"/>
                <w:sz w:val="22"/>
              </w:rPr>
              <w:t>4</w:t>
            </w:r>
            <w:r>
              <w:rPr>
                <w:rFonts w:hint="eastAsia" w:ascii="宋体" w:hAnsi="宋体"/>
                <w:kern w:val="0"/>
                <w:sz w:val="22"/>
              </w:rPr>
              <w:t>、时间基准选择：12.5 mm/s、25 mm/s、50 mm/s</w:t>
            </w:r>
            <w:r>
              <w:rPr>
                <w:rFonts w:ascii="宋体" w:hAnsi="宋体"/>
                <w:kern w:val="0"/>
                <w:sz w:val="22"/>
              </w:rPr>
              <w:t xml:space="preserve"> </w:t>
            </w:r>
          </w:p>
          <w:p>
            <w:pPr>
              <w:rPr>
                <w:rFonts w:ascii="宋体" w:hAnsi="宋体"/>
                <w:kern w:val="0"/>
                <w:sz w:val="22"/>
              </w:rPr>
            </w:pPr>
            <w:r>
              <w:rPr>
                <w:rFonts w:hint="eastAsia" w:ascii="宋体" w:hAnsi="宋体"/>
                <w:kern w:val="0"/>
                <w:sz w:val="22"/>
              </w:rPr>
              <w:t>1</w:t>
            </w:r>
            <w:r>
              <w:rPr>
                <w:rFonts w:ascii="宋体" w:hAnsi="宋体"/>
                <w:kern w:val="0"/>
                <w:sz w:val="22"/>
              </w:rPr>
              <w:t>5</w:t>
            </w:r>
            <w:r>
              <w:rPr>
                <w:rFonts w:hint="eastAsia" w:ascii="宋体" w:hAnsi="宋体"/>
                <w:kern w:val="0"/>
                <w:sz w:val="22"/>
              </w:rPr>
              <w:t>、时间基准准确度：在0.2 s～2.0 s范围内允许的时间测量误差应不超过±5 %</w:t>
            </w:r>
          </w:p>
          <w:p>
            <w:pPr>
              <w:rPr>
                <w:rFonts w:ascii="宋体" w:hAnsi="宋体"/>
                <w:kern w:val="0"/>
                <w:sz w:val="22"/>
              </w:rPr>
            </w:pPr>
            <w:r>
              <w:rPr>
                <w:rFonts w:ascii="宋体" w:hAnsi="宋体"/>
                <w:kern w:val="0"/>
                <w:sz w:val="22"/>
              </w:rPr>
              <w:t>16</w:t>
            </w:r>
            <w:r>
              <w:rPr>
                <w:rFonts w:hint="eastAsia" w:ascii="宋体" w:hAnsi="宋体"/>
                <w:kern w:val="0"/>
                <w:sz w:val="22"/>
              </w:rPr>
              <w:t>、</w:t>
            </w:r>
            <w:r>
              <w:rPr>
                <w:rFonts w:hint="eastAsia" w:ascii="宋体" w:hAnsi="宋体" w:cs="宋体"/>
                <w:kern w:val="0"/>
                <w:sz w:val="22"/>
              </w:rPr>
              <w:t>数据传输：蓝牙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tcPr>
          <w:p>
            <w:pPr>
              <w:pStyle w:val="33"/>
              <w:jc w:val="center"/>
              <w:rPr>
                <w:rFonts w:hAnsi="宋体"/>
                <w:sz w:val="22"/>
                <w:szCs w:val="22"/>
              </w:rPr>
            </w:pPr>
            <w:r>
              <w:rPr>
                <w:rFonts w:hint="eastAsia" w:hAnsi="宋体"/>
                <w:sz w:val="22"/>
                <w:szCs w:val="22"/>
              </w:rPr>
              <w:t>7</w:t>
            </w:r>
          </w:p>
        </w:tc>
        <w:tc>
          <w:tcPr>
            <w:tcW w:w="1843" w:type="dxa"/>
          </w:tcPr>
          <w:p>
            <w:pPr>
              <w:pStyle w:val="34"/>
              <w:tabs>
                <w:tab w:val="left" w:pos="2053"/>
              </w:tabs>
              <w:rPr>
                <w:rFonts w:ascii="宋体" w:hAnsi="宋体" w:cs="宋体"/>
                <w:bCs/>
                <w:sz w:val="21"/>
                <w:szCs w:val="21"/>
              </w:rPr>
            </w:pPr>
            <w:r>
              <w:rPr>
                <w:rFonts w:hint="eastAsia" w:ascii="宋体" w:hAnsi="宋体" w:cs="宋体"/>
                <w:bCs/>
                <w:sz w:val="21"/>
                <w:szCs w:val="21"/>
              </w:rPr>
              <w:t>尿常规检测</w:t>
            </w:r>
          </w:p>
        </w:tc>
        <w:tc>
          <w:tcPr>
            <w:tcW w:w="6372" w:type="dxa"/>
          </w:tcPr>
          <w:p>
            <w:pPr>
              <w:rPr>
                <w:rFonts w:ascii="宋体" w:hAnsi="宋体"/>
                <w:kern w:val="0"/>
                <w:sz w:val="22"/>
              </w:rPr>
            </w:pPr>
            <w:r>
              <w:rPr>
                <w:rFonts w:hint="eastAsia" w:ascii="宋体" w:hAnsi="宋体"/>
                <w:kern w:val="0"/>
                <w:sz w:val="22"/>
              </w:rPr>
              <w:t>1、检测项目：白细胞（LEU）、亚硝酸盐（NIT）、尿胆原（UBG）、蛋白质（PRO）、pH值（pH）、潜血（BLD）、比重（SG）、酮体（KET）、胆红素（BIL）、葡萄糖（GLU）、维生素C(VC)</w:t>
            </w:r>
          </w:p>
          <w:p>
            <w:pPr>
              <w:rPr>
                <w:rFonts w:ascii="宋体" w:hAnsi="宋体"/>
                <w:kern w:val="0"/>
                <w:sz w:val="22"/>
              </w:rPr>
            </w:pPr>
            <w:r>
              <w:rPr>
                <w:rFonts w:hint="eastAsia" w:ascii="宋体" w:hAnsi="宋体"/>
                <w:kern w:val="0"/>
                <w:sz w:val="22"/>
              </w:rPr>
              <w:t>2、检测原理：光反射比色法</w:t>
            </w:r>
          </w:p>
          <w:p>
            <w:pPr>
              <w:rPr>
                <w:rFonts w:ascii="宋体" w:hAnsi="宋体"/>
                <w:kern w:val="0"/>
                <w:sz w:val="22"/>
              </w:rPr>
            </w:pPr>
            <w:r>
              <w:rPr>
                <w:rFonts w:hint="eastAsia" w:ascii="宋体" w:hAnsi="宋体"/>
                <w:kern w:val="0"/>
                <w:sz w:val="22"/>
              </w:rPr>
              <w:t>3、连续测试速度：≥6</w:t>
            </w:r>
            <w:r>
              <w:rPr>
                <w:rFonts w:ascii="宋体" w:hAnsi="宋体"/>
                <w:kern w:val="0"/>
                <w:sz w:val="22"/>
              </w:rPr>
              <w:t>0</w:t>
            </w:r>
            <w:r>
              <w:rPr>
                <w:rFonts w:hint="eastAsia" w:ascii="宋体" w:hAnsi="宋体"/>
                <w:kern w:val="0"/>
                <w:sz w:val="22"/>
              </w:rPr>
              <w:t>份/小时</w:t>
            </w:r>
          </w:p>
          <w:p>
            <w:pPr>
              <w:rPr>
                <w:rFonts w:ascii="宋体" w:hAnsi="宋体"/>
                <w:kern w:val="0"/>
                <w:sz w:val="22"/>
              </w:rPr>
            </w:pPr>
            <w:r>
              <w:rPr>
                <w:rFonts w:hint="eastAsia" w:ascii="宋体" w:hAnsi="宋体"/>
                <w:kern w:val="0"/>
                <w:sz w:val="22"/>
              </w:rPr>
              <w:t>4、显示屏：数码液晶显示屏</w:t>
            </w:r>
          </w:p>
          <w:p>
            <w:pPr>
              <w:rPr>
                <w:rFonts w:ascii="宋体" w:hAnsi="宋体"/>
                <w:kern w:val="0"/>
                <w:sz w:val="22"/>
              </w:rPr>
            </w:pPr>
            <w:r>
              <w:rPr>
                <w:rFonts w:hint="eastAsia" w:ascii="宋体" w:hAnsi="宋体"/>
                <w:kern w:val="0"/>
                <w:sz w:val="22"/>
              </w:rPr>
              <w:t>5、存储容量：可存储≥</w:t>
            </w:r>
            <w:r>
              <w:rPr>
                <w:rFonts w:ascii="宋体" w:hAnsi="宋体"/>
                <w:kern w:val="0"/>
                <w:sz w:val="22"/>
              </w:rPr>
              <w:t>5</w:t>
            </w:r>
            <w:r>
              <w:rPr>
                <w:rFonts w:hint="eastAsia" w:ascii="宋体" w:hAnsi="宋体"/>
                <w:kern w:val="0"/>
                <w:sz w:val="22"/>
              </w:rPr>
              <w:t>00个样本结果</w:t>
            </w:r>
          </w:p>
          <w:p>
            <w:pPr>
              <w:rPr>
                <w:rFonts w:ascii="宋体" w:hAnsi="宋体"/>
                <w:kern w:val="0"/>
                <w:sz w:val="22"/>
              </w:rPr>
            </w:pPr>
            <w:r>
              <w:rPr>
                <w:rFonts w:hint="eastAsia" w:ascii="宋体" w:hAnsi="宋体"/>
                <w:kern w:val="0"/>
                <w:sz w:val="22"/>
              </w:rPr>
              <w:t>6、</w:t>
            </w:r>
            <w:r>
              <w:rPr>
                <w:rFonts w:hint="eastAsia" w:ascii="宋体" w:hAnsi="宋体" w:cs="宋体"/>
                <w:kern w:val="0"/>
                <w:sz w:val="22"/>
              </w:rPr>
              <w:t>数据传输：蓝牙</w:t>
            </w:r>
          </w:p>
          <w:p>
            <w:pPr>
              <w:rPr>
                <w:rFonts w:ascii="宋体" w:hAnsi="宋体" w:cs="Helvetica"/>
                <w:kern w:val="0"/>
                <w:sz w:val="22"/>
              </w:rPr>
            </w:pPr>
            <w:r>
              <w:rPr>
                <w:rFonts w:hint="eastAsia" w:ascii="宋体" w:hAnsi="宋体"/>
                <w:kern w:val="0"/>
                <w:sz w:val="22"/>
              </w:rPr>
              <w:t>7、</w:t>
            </w:r>
            <w:r>
              <w:rPr>
                <w:rFonts w:ascii="宋体" w:hAnsi="宋体" w:cs="Helvetica"/>
                <w:kern w:val="0"/>
                <w:sz w:val="22"/>
              </w:rPr>
              <w:t>重 复 性：CV≤1%；</w:t>
            </w:r>
          </w:p>
          <w:p>
            <w:pPr>
              <w:rPr>
                <w:rFonts w:ascii="宋体" w:hAnsi="宋体"/>
                <w:kern w:val="0"/>
                <w:sz w:val="22"/>
              </w:rPr>
            </w:pPr>
            <w:r>
              <w:rPr>
                <w:rFonts w:hint="eastAsia" w:ascii="宋体" w:hAnsi="宋体"/>
                <w:kern w:val="0"/>
                <w:sz w:val="22"/>
              </w:rPr>
              <w:t>8、</w:t>
            </w:r>
            <w:r>
              <w:rPr>
                <w:rFonts w:ascii="宋体" w:hAnsi="宋体" w:cs="Helvetica"/>
                <w:kern w:val="0"/>
                <w:sz w:val="22"/>
              </w:rPr>
              <w:t>稳 定 性：CV≤1%；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tcPr>
          <w:p>
            <w:pPr>
              <w:pStyle w:val="33"/>
              <w:jc w:val="center"/>
              <w:rPr>
                <w:rFonts w:hAnsi="宋体"/>
                <w:sz w:val="22"/>
                <w:szCs w:val="22"/>
              </w:rPr>
            </w:pPr>
            <w:r>
              <w:rPr>
                <w:rFonts w:hint="eastAsia" w:hAnsi="宋体"/>
                <w:sz w:val="22"/>
                <w:szCs w:val="22"/>
              </w:rPr>
              <w:t>8</w:t>
            </w:r>
          </w:p>
        </w:tc>
        <w:tc>
          <w:tcPr>
            <w:tcW w:w="1843" w:type="dxa"/>
          </w:tcPr>
          <w:p>
            <w:pPr>
              <w:pStyle w:val="33"/>
              <w:rPr>
                <w:rFonts w:hAnsi="宋体"/>
                <w:sz w:val="22"/>
                <w:szCs w:val="22"/>
              </w:rPr>
            </w:pPr>
            <w:r>
              <w:rPr>
                <w:rFonts w:hint="eastAsia" w:hAnsi="宋体"/>
                <w:sz w:val="22"/>
                <w:szCs w:val="22"/>
              </w:rPr>
              <w:t>二代身份证阅读器</w:t>
            </w:r>
          </w:p>
        </w:tc>
        <w:tc>
          <w:tcPr>
            <w:tcW w:w="6372" w:type="dxa"/>
            <w:vAlign w:val="center"/>
          </w:tcPr>
          <w:p>
            <w:pPr>
              <w:rPr>
                <w:rFonts w:ascii="宋体" w:hAnsi="宋体" w:cs="宋体"/>
                <w:kern w:val="0"/>
                <w:sz w:val="22"/>
              </w:rPr>
            </w:pPr>
            <w:r>
              <w:rPr>
                <w:rFonts w:hint="eastAsia" w:ascii="宋体" w:hAnsi="宋体" w:cs="宋体"/>
                <w:kern w:val="0"/>
                <w:sz w:val="22"/>
              </w:rPr>
              <w:t>1、符合居民身份证阅读器通用技术要求，兼容ISO-14443（TYPE-B）标准；</w:t>
            </w:r>
          </w:p>
          <w:p>
            <w:pPr>
              <w:rPr>
                <w:rFonts w:ascii="宋体" w:hAnsi="宋体" w:cs="宋体"/>
                <w:kern w:val="0"/>
                <w:sz w:val="22"/>
              </w:rPr>
            </w:pPr>
            <w:r>
              <w:rPr>
                <w:rFonts w:hint="eastAsia" w:ascii="宋体" w:hAnsi="宋体" w:cs="宋体"/>
                <w:kern w:val="0"/>
                <w:sz w:val="22"/>
              </w:rPr>
              <w:t>2、支持符合TypeA和TypeB规范的非接触卡；天线谐振频率13.56MHz；</w:t>
            </w:r>
          </w:p>
          <w:p>
            <w:pPr>
              <w:rPr>
                <w:rFonts w:ascii="宋体" w:hAnsi="宋体" w:cs="宋体"/>
                <w:kern w:val="0"/>
                <w:sz w:val="22"/>
              </w:rPr>
            </w:pPr>
            <w:r>
              <w:rPr>
                <w:rFonts w:hint="eastAsia" w:ascii="宋体" w:hAnsi="宋体" w:cs="宋体"/>
                <w:kern w:val="0"/>
                <w:sz w:val="22"/>
              </w:rPr>
              <w:t>3、读卡距离0-5cm,阅读时间≤1s；</w:t>
            </w:r>
          </w:p>
          <w:p>
            <w:pPr>
              <w:rPr>
                <w:rFonts w:ascii="宋体" w:hAnsi="宋体" w:cs="宋体"/>
                <w:kern w:val="0"/>
                <w:sz w:val="22"/>
              </w:rPr>
            </w:pPr>
            <w:r>
              <w:rPr>
                <w:rFonts w:hint="eastAsia" w:ascii="宋体" w:hAnsi="宋体" w:cs="宋体"/>
                <w:kern w:val="0"/>
                <w:sz w:val="22"/>
              </w:rPr>
              <w:t>4、内置大容量高能锂电池，可连续读卡不小于18个小时；</w:t>
            </w:r>
          </w:p>
          <w:p>
            <w:pPr>
              <w:rPr>
                <w:rFonts w:ascii="宋体" w:hAnsi="宋体" w:cs="宋体"/>
                <w:kern w:val="0"/>
                <w:sz w:val="22"/>
              </w:rPr>
            </w:pPr>
            <w:r>
              <w:rPr>
                <w:rFonts w:hint="eastAsia" w:ascii="宋体" w:hAnsi="宋体" w:cs="宋体"/>
                <w:kern w:val="0"/>
                <w:sz w:val="22"/>
              </w:rPr>
              <w:t>5、传输方式：蓝牙。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tcPr>
          <w:p>
            <w:pPr>
              <w:pStyle w:val="33"/>
              <w:jc w:val="center"/>
              <w:rPr>
                <w:rFonts w:hAnsi="宋体"/>
                <w:sz w:val="22"/>
                <w:szCs w:val="22"/>
              </w:rPr>
            </w:pPr>
            <w:r>
              <w:rPr>
                <w:rFonts w:hint="eastAsia" w:hAnsi="宋体"/>
                <w:sz w:val="22"/>
                <w:szCs w:val="22"/>
              </w:rPr>
              <w:t>9</w:t>
            </w:r>
          </w:p>
        </w:tc>
        <w:tc>
          <w:tcPr>
            <w:tcW w:w="1843" w:type="dxa"/>
          </w:tcPr>
          <w:p>
            <w:pPr>
              <w:pStyle w:val="33"/>
              <w:rPr>
                <w:rFonts w:hAnsi="宋体"/>
                <w:sz w:val="22"/>
                <w:szCs w:val="22"/>
              </w:rPr>
            </w:pPr>
            <w:r>
              <w:rPr>
                <w:rFonts w:hint="eastAsia" w:hAnsi="宋体"/>
                <w:sz w:val="22"/>
                <w:szCs w:val="22"/>
              </w:rPr>
              <w:t>平板电脑</w:t>
            </w:r>
          </w:p>
        </w:tc>
        <w:tc>
          <w:tcPr>
            <w:tcW w:w="6372" w:type="dxa"/>
            <w:shd w:val="clear" w:color="auto" w:fill="auto"/>
          </w:tcPr>
          <w:p>
            <w:pPr>
              <w:pStyle w:val="25"/>
              <w:numPr>
                <w:ilvl w:val="0"/>
                <w:numId w:val="37"/>
              </w:numPr>
              <w:ind w:firstLineChars="0"/>
              <w:rPr>
                <w:rFonts w:ascii="宋体" w:hAnsi="宋体" w:cs="宋体"/>
                <w:kern w:val="0"/>
                <w:sz w:val="22"/>
              </w:rPr>
            </w:pPr>
            <w:r>
              <w:rPr>
                <w:rFonts w:hint="eastAsia" w:ascii="宋体" w:hAnsi="宋体" w:cs="宋体"/>
                <w:kern w:val="0"/>
                <w:sz w:val="22"/>
              </w:rPr>
              <w:t>操作系统：Android</w:t>
            </w:r>
            <w:r>
              <w:rPr>
                <w:rFonts w:ascii="宋体" w:hAnsi="宋体" w:cs="宋体"/>
                <w:kern w:val="0"/>
                <w:sz w:val="22"/>
              </w:rPr>
              <w:t>9</w:t>
            </w:r>
            <w:r>
              <w:rPr>
                <w:rFonts w:hint="eastAsia" w:ascii="宋体" w:hAnsi="宋体" w:cs="宋体"/>
                <w:kern w:val="0"/>
                <w:sz w:val="22"/>
              </w:rPr>
              <w:t>.0，屏幕尺寸≥10寸。</w:t>
            </w:r>
          </w:p>
          <w:p>
            <w:pPr>
              <w:pStyle w:val="25"/>
              <w:numPr>
                <w:ilvl w:val="0"/>
                <w:numId w:val="37"/>
              </w:numPr>
              <w:ind w:firstLineChars="0"/>
              <w:rPr>
                <w:rFonts w:ascii="宋体" w:hAnsi="宋体" w:cs="宋体"/>
                <w:kern w:val="0"/>
                <w:sz w:val="22"/>
              </w:rPr>
            </w:pPr>
            <w:r>
              <w:rPr>
                <w:rFonts w:hint="eastAsia" w:ascii="宋体" w:hAnsi="宋体" w:cs="宋体"/>
                <w:kern w:val="0"/>
                <w:sz w:val="22"/>
              </w:rPr>
              <w:t>分辨率 1200*1920 FHD</w:t>
            </w:r>
          </w:p>
          <w:p>
            <w:pPr>
              <w:pStyle w:val="25"/>
              <w:numPr>
                <w:ilvl w:val="0"/>
                <w:numId w:val="37"/>
              </w:numPr>
              <w:ind w:firstLineChars="0"/>
              <w:rPr>
                <w:rFonts w:ascii="宋体" w:hAnsi="宋体" w:cs="宋体"/>
                <w:kern w:val="0"/>
                <w:sz w:val="22"/>
              </w:rPr>
            </w:pPr>
            <w:r>
              <w:rPr>
                <w:rFonts w:hint="eastAsia" w:ascii="宋体" w:hAnsi="宋体" w:cs="宋体"/>
                <w:kern w:val="0"/>
                <w:sz w:val="22"/>
              </w:rPr>
              <w:t>存储容量不小于</w:t>
            </w:r>
            <w:r>
              <w:rPr>
                <w:rFonts w:ascii="宋体" w:hAnsi="宋体" w:cs="宋体"/>
                <w:kern w:val="0"/>
                <w:sz w:val="22"/>
              </w:rPr>
              <w:t>64</w:t>
            </w:r>
            <w:r>
              <w:rPr>
                <w:rFonts w:hint="eastAsia" w:ascii="宋体" w:hAnsi="宋体" w:cs="宋体"/>
                <w:kern w:val="0"/>
                <w:sz w:val="22"/>
              </w:rPr>
              <w:t>GB，运行内存不小于</w:t>
            </w:r>
            <w:r>
              <w:rPr>
                <w:rFonts w:ascii="宋体" w:hAnsi="宋体" w:cs="宋体"/>
                <w:kern w:val="0"/>
                <w:sz w:val="22"/>
              </w:rPr>
              <w:t>4</w:t>
            </w:r>
            <w:r>
              <w:rPr>
                <w:rFonts w:hint="eastAsia" w:ascii="宋体" w:hAnsi="宋体" w:cs="宋体"/>
                <w:kern w:val="0"/>
                <w:sz w:val="22"/>
              </w:rPr>
              <w:t>GB，内置高清摄像头；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tcPr>
          <w:p>
            <w:pPr>
              <w:pStyle w:val="33"/>
              <w:ind w:firstLine="220" w:firstLineChars="100"/>
              <w:rPr>
                <w:rFonts w:hAnsi="宋体"/>
                <w:sz w:val="22"/>
                <w:szCs w:val="22"/>
              </w:rPr>
            </w:pPr>
            <w:bookmarkStart w:id="48" w:name="_Hlk50398572"/>
            <w:r>
              <w:rPr>
                <w:rFonts w:hAnsi="宋体"/>
                <w:sz w:val="22"/>
                <w:szCs w:val="22"/>
              </w:rPr>
              <w:t>10</w:t>
            </w:r>
          </w:p>
        </w:tc>
        <w:tc>
          <w:tcPr>
            <w:tcW w:w="1843" w:type="dxa"/>
          </w:tcPr>
          <w:p>
            <w:pPr>
              <w:jc w:val="left"/>
              <w:rPr>
                <w:rFonts w:ascii="宋体" w:hAnsi="宋体"/>
                <w:kern w:val="0"/>
                <w:sz w:val="22"/>
              </w:rPr>
            </w:pPr>
            <w:r>
              <w:rPr>
                <w:rFonts w:hint="eastAsia" w:ascii="宋体" w:hAnsi="宋体"/>
                <w:kern w:val="0"/>
                <w:sz w:val="22"/>
              </w:rPr>
              <w:t>家医签约系统</w:t>
            </w:r>
          </w:p>
        </w:tc>
        <w:tc>
          <w:tcPr>
            <w:tcW w:w="6372" w:type="dxa"/>
          </w:tcPr>
          <w:p>
            <w:pPr>
              <w:rPr>
                <w:rFonts w:ascii="宋体" w:hAnsi="宋体"/>
                <w:kern w:val="0"/>
                <w:sz w:val="22"/>
              </w:rPr>
            </w:pPr>
            <w:r>
              <w:rPr>
                <w:rFonts w:hint="eastAsia" w:ascii="宋体" w:hAnsi="宋体"/>
                <w:kern w:val="0"/>
                <w:sz w:val="22"/>
              </w:rPr>
              <w:t>1、可测量体温、血压、血氧饱和度、脉率、心电、血糖等功能，设备终端通过蓝牙传输的方式自动将测量结果上传到用户数据管理终端，并对相关检测项进行日常疾病的筛查、</w:t>
            </w:r>
            <w:r>
              <w:rPr>
                <w:rFonts w:ascii="宋体" w:hAnsi="宋体"/>
                <w:kern w:val="0"/>
                <w:sz w:val="22"/>
              </w:rPr>
              <w:t>健康评估、干预、追踪、随访及异常项监测</w:t>
            </w:r>
            <w:r>
              <w:rPr>
                <w:rFonts w:hint="eastAsia" w:ascii="宋体" w:hAnsi="宋体"/>
                <w:kern w:val="0"/>
                <w:sz w:val="22"/>
              </w:rPr>
              <w:t>。</w:t>
            </w:r>
          </w:p>
          <w:p>
            <w:pPr>
              <w:rPr>
                <w:rFonts w:ascii="宋体" w:hAnsi="宋体"/>
                <w:kern w:val="0"/>
                <w:sz w:val="22"/>
              </w:rPr>
            </w:pPr>
            <w:r>
              <w:rPr>
                <w:rFonts w:hint="eastAsia" w:ascii="宋体" w:hAnsi="宋体"/>
                <w:kern w:val="0"/>
                <w:sz w:val="22"/>
              </w:rPr>
              <w:t>2、易于操作、便于携带。</w:t>
            </w:r>
          </w:p>
          <w:p>
            <w:pPr>
              <w:rPr>
                <w:rFonts w:ascii="宋体" w:hAnsi="宋体"/>
                <w:kern w:val="0"/>
                <w:sz w:val="22"/>
              </w:rPr>
            </w:pPr>
            <w:r>
              <w:rPr>
                <w:rFonts w:hint="eastAsia" w:ascii="宋体" w:hAnsi="宋体"/>
                <w:kern w:val="0"/>
                <w:sz w:val="22"/>
              </w:rPr>
              <w:t>3、内置二代身份证阅读器，通过居民身份证或人脸识别的登录方式识别居民身份信息，系统自动获取居民姓名、性别、出生日期、民族、户籍地址，快速建立符合《国家基本公共卫生服务规范（第三版）》要求的电子健康档案。</w:t>
            </w:r>
          </w:p>
          <w:p>
            <w:pPr>
              <w:rPr>
                <w:rFonts w:ascii="宋体" w:hAnsi="宋体"/>
                <w:kern w:val="0"/>
                <w:sz w:val="22"/>
              </w:rPr>
            </w:pPr>
            <w:r>
              <w:rPr>
                <w:rFonts w:hint="eastAsia" w:ascii="宋体" w:hAnsi="宋体"/>
                <w:kern w:val="0"/>
                <w:sz w:val="22"/>
              </w:rPr>
              <w:t>★3、居民可选择签约服务包、服务年限进行签约，并可现场拍照留档，支持居民电子签名。</w:t>
            </w:r>
          </w:p>
          <w:p>
            <w:pPr>
              <w:rPr>
                <w:rFonts w:ascii="宋体" w:hAnsi="宋体"/>
                <w:kern w:val="0"/>
                <w:sz w:val="22"/>
              </w:rPr>
            </w:pPr>
            <w:r>
              <w:rPr>
                <w:rFonts w:hint="eastAsia" w:ascii="宋体" w:hAnsi="宋体"/>
                <w:kern w:val="0"/>
                <w:sz w:val="22"/>
              </w:rPr>
              <w:t>4、通过数据采集终端设备与其配套的软件开展老年人、高血压患者、Ⅱ型糖尿病患者、重性精神疾病患者等随访工作，以提升家庭医生签约服务规范化管理水平，促进家庭医生签约服务提质增效。</w:t>
            </w:r>
          </w:p>
          <w:p>
            <w:pPr>
              <w:rPr>
                <w:rFonts w:ascii="宋体" w:hAnsi="宋体"/>
                <w:kern w:val="0"/>
                <w:sz w:val="22"/>
              </w:rPr>
            </w:pPr>
            <w:r>
              <w:rPr>
                <w:rFonts w:hint="eastAsia" w:ascii="宋体" w:hAnsi="宋体"/>
                <w:kern w:val="0"/>
                <w:sz w:val="22"/>
              </w:rPr>
              <w:t>5、医生通过软件可完成居民的中医体质分类与判定，分析出居民中医体质类型，以及体质特征及调理方法。另可进行老年人自理能力评估。</w:t>
            </w:r>
          </w:p>
          <w:p>
            <w:pPr>
              <w:rPr>
                <w:rFonts w:ascii="宋体" w:hAnsi="宋体" w:cs="宋体"/>
                <w:kern w:val="0"/>
                <w:sz w:val="22"/>
              </w:rPr>
            </w:pPr>
            <w:r>
              <w:rPr>
                <w:rFonts w:hint="eastAsia" w:ascii="宋体" w:hAnsi="宋体"/>
                <w:kern w:val="0"/>
                <w:sz w:val="22"/>
              </w:rPr>
              <w:t>6、▲支持离线数据操作：离线状态下可存储健康档案信息，并能自动保存至少2000人次的检查数据。支持对居民健康档案、体检表、随访表历史数据的离线下载，在没有网络情况下能查询、编辑、新增档案、体检表、随访记录等，并可在离线状态下记录随访信息，在系统连接到网络后可将离线采集的数据上传至平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tcPr>
          <w:p>
            <w:pPr>
              <w:pStyle w:val="33"/>
              <w:ind w:firstLine="220" w:firstLineChars="100"/>
              <w:rPr>
                <w:rFonts w:hAnsi="宋体"/>
                <w:sz w:val="22"/>
                <w:szCs w:val="22"/>
              </w:rPr>
            </w:pPr>
            <w:r>
              <w:rPr>
                <w:rFonts w:hint="eastAsia" w:hAnsi="宋体"/>
                <w:sz w:val="22"/>
                <w:szCs w:val="22"/>
              </w:rPr>
              <w:t>1</w:t>
            </w:r>
            <w:r>
              <w:rPr>
                <w:rFonts w:hAnsi="宋体"/>
                <w:sz w:val="22"/>
                <w:szCs w:val="22"/>
              </w:rPr>
              <w:t>1</w:t>
            </w:r>
          </w:p>
        </w:tc>
        <w:tc>
          <w:tcPr>
            <w:tcW w:w="1843" w:type="dxa"/>
            <w:vAlign w:val="center"/>
          </w:tcPr>
          <w:p>
            <w:pPr>
              <w:rPr>
                <w:rFonts w:ascii="宋体" w:hAnsi="宋体"/>
                <w:kern w:val="0"/>
                <w:sz w:val="22"/>
              </w:rPr>
            </w:pPr>
            <w:r>
              <w:rPr>
                <w:rFonts w:hint="eastAsia" w:ascii="宋体" w:hAnsi="宋体"/>
                <w:kern w:val="0"/>
                <w:sz w:val="22"/>
              </w:rPr>
              <w:t>其他要求</w:t>
            </w:r>
          </w:p>
        </w:tc>
        <w:tc>
          <w:tcPr>
            <w:tcW w:w="6372" w:type="dxa"/>
            <w:vAlign w:val="center"/>
          </w:tcPr>
          <w:p>
            <w:pPr>
              <w:rPr>
                <w:rFonts w:ascii="宋体" w:hAnsi="宋体"/>
                <w:kern w:val="0"/>
                <w:sz w:val="22"/>
              </w:rPr>
            </w:pPr>
            <w:r>
              <w:rPr>
                <w:rFonts w:hint="eastAsia" w:ascii="宋体" w:hAnsi="宋体"/>
                <w:kern w:val="0"/>
                <w:sz w:val="22"/>
              </w:rPr>
              <w:t>每套设备需配置智慧健康包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tcPr>
          <w:p>
            <w:pPr>
              <w:pStyle w:val="33"/>
              <w:ind w:firstLine="220" w:firstLineChars="100"/>
              <w:rPr>
                <w:rFonts w:hAnsi="宋体"/>
                <w:sz w:val="22"/>
                <w:szCs w:val="22"/>
              </w:rPr>
            </w:pPr>
            <w:r>
              <w:rPr>
                <w:rFonts w:hint="eastAsia" w:hAnsi="宋体"/>
                <w:sz w:val="22"/>
                <w:szCs w:val="22"/>
              </w:rPr>
              <w:t>1</w:t>
            </w:r>
            <w:r>
              <w:rPr>
                <w:rFonts w:hAnsi="宋体"/>
                <w:sz w:val="22"/>
                <w:szCs w:val="22"/>
              </w:rPr>
              <w:t>2</w:t>
            </w:r>
          </w:p>
        </w:tc>
        <w:tc>
          <w:tcPr>
            <w:tcW w:w="1843" w:type="dxa"/>
            <w:vAlign w:val="center"/>
          </w:tcPr>
          <w:p>
            <w:pPr>
              <w:rPr>
                <w:rFonts w:ascii="宋体" w:hAnsi="宋体"/>
                <w:kern w:val="0"/>
                <w:sz w:val="22"/>
              </w:rPr>
            </w:pPr>
            <w:r>
              <w:rPr>
                <w:rFonts w:hint="eastAsia" w:ascii="宋体" w:hAnsi="宋体"/>
                <w:kern w:val="0"/>
                <w:sz w:val="22"/>
              </w:rPr>
              <w:t>数据对接</w:t>
            </w:r>
          </w:p>
        </w:tc>
        <w:tc>
          <w:tcPr>
            <w:tcW w:w="6372" w:type="dxa"/>
            <w:vAlign w:val="center"/>
          </w:tcPr>
          <w:p>
            <w:pPr>
              <w:rPr>
                <w:rFonts w:ascii="宋体" w:hAnsi="宋体"/>
                <w:kern w:val="0"/>
                <w:sz w:val="22"/>
              </w:rPr>
            </w:pPr>
            <w:r>
              <w:rPr>
                <w:rFonts w:hint="eastAsia" w:ascii="宋体" w:hAnsi="宋体"/>
                <w:kern w:val="0"/>
                <w:sz w:val="22"/>
              </w:rPr>
              <w:t>接入阳新县居民健康档案系统及区域全民健康信息平台接口改造。</w:t>
            </w:r>
          </w:p>
        </w:tc>
      </w:tr>
      <w:bookmarkEnd w:id="48"/>
    </w:tbl>
    <w:p>
      <w:pPr>
        <w:pStyle w:val="5"/>
      </w:pPr>
    </w:p>
    <w:p>
      <w:pPr>
        <w:pStyle w:val="5"/>
      </w:pPr>
    </w:p>
    <w:p/>
    <w:p>
      <w:pPr>
        <w:pStyle w:val="5"/>
      </w:pPr>
    </w:p>
    <w:p>
      <w:r>
        <w:br w:type="page"/>
      </w:r>
    </w:p>
    <w:p>
      <w:pPr>
        <w:pStyle w:val="4"/>
      </w:pPr>
      <w:r>
        <w:t>3.5</w:t>
      </w:r>
      <w:r>
        <w:rPr>
          <w:rFonts w:hint="eastAsia"/>
        </w:rPr>
        <w:t>、商务要求</w:t>
      </w:r>
    </w:p>
    <w:p>
      <w:pPr>
        <w:spacing w:line="360" w:lineRule="auto"/>
        <w:jc w:val="left"/>
        <w:rPr>
          <w:rFonts w:ascii="宋体" w:hAnsi="宋体" w:cs="宋体"/>
          <w:b/>
          <w:color w:val="000000"/>
          <w:sz w:val="24"/>
        </w:rPr>
      </w:pPr>
      <w:r>
        <w:rPr>
          <w:rFonts w:hint="eastAsia" w:ascii="宋体" w:hAnsi="宋体" w:cs="宋体"/>
          <w:b/>
          <w:color w:val="000000"/>
          <w:sz w:val="24"/>
        </w:rPr>
        <w:t>1、包装及运输</w:t>
      </w:r>
    </w:p>
    <w:p>
      <w:pPr>
        <w:spacing w:line="360" w:lineRule="auto"/>
        <w:jc w:val="left"/>
        <w:rPr>
          <w:rFonts w:ascii="宋体" w:hAnsi="宋体" w:cs="宋体"/>
          <w:color w:val="000000"/>
          <w:sz w:val="24"/>
        </w:rPr>
      </w:pPr>
      <w:r>
        <w:rPr>
          <w:rFonts w:hint="eastAsia" w:ascii="宋体" w:hAnsi="宋体" w:cs="宋体"/>
          <w:color w:val="000000"/>
          <w:sz w:val="24"/>
        </w:rPr>
        <w:t>（1）供应商应为商品提供适宜商品运输的包装方式，防潮，防湿，防震，防锈，耐粗暴搬运，对于由于包装不良所发生的损失及由于采用不充分或不妥善的防护措施而造成的任何锈损，供应商应承担由此而产生的一切费用和损失。包装物供应商不予回收。</w:t>
      </w:r>
    </w:p>
    <w:p>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宋体"/>
          <w:color w:val="000000"/>
          <w:sz w:val="24"/>
          <w:szCs w:val="24"/>
        </w:rPr>
      </w:pPr>
      <w:r>
        <w:rPr>
          <w:rFonts w:hint="eastAsia" w:ascii="宋体" w:hAnsi="宋体" w:cs="宋体"/>
          <w:color w:val="000000"/>
          <w:sz w:val="24"/>
          <w:szCs w:val="24"/>
        </w:rPr>
        <w:t>（2）供应商负责无偿将商品运送至采购人指定地点。运输过程中，商品毁损、灭失的风险由供应商承担。</w:t>
      </w:r>
    </w:p>
    <w:p>
      <w:pPr>
        <w:tabs>
          <w:tab w:val="left" w:pos="600"/>
        </w:tabs>
        <w:spacing w:line="360" w:lineRule="auto"/>
        <w:jc w:val="left"/>
        <w:rPr>
          <w:rFonts w:ascii="宋体" w:hAnsi="宋体" w:cs="宋体"/>
          <w:color w:val="000000"/>
          <w:sz w:val="24"/>
        </w:rPr>
      </w:pPr>
      <w:r>
        <w:rPr>
          <w:rFonts w:hint="eastAsia" w:ascii="宋体" w:hAnsi="宋体" w:cs="宋体"/>
          <w:color w:val="000000"/>
          <w:sz w:val="24"/>
        </w:rPr>
        <w:t>（3）商品运送至采购人指定地点后，由供应商负责安装调试，由采购人和供应商双方共同对商品进行检验并办理相关商品移交手续。商品通过采购人验收合格且移交至采购人后，商品毁损、灭失的风险由采购人承担。</w:t>
      </w:r>
    </w:p>
    <w:p>
      <w:pPr>
        <w:widowControl/>
        <w:spacing w:line="360" w:lineRule="auto"/>
        <w:ind w:right="420"/>
        <w:jc w:val="left"/>
        <w:rPr>
          <w:rFonts w:ascii="宋体" w:hAnsi="宋体" w:cs="宋体"/>
          <w:color w:val="000000"/>
          <w:sz w:val="24"/>
        </w:rPr>
      </w:pPr>
      <w:r>
        <w:rPr>
          <w:rFonts w:hint="eastAsia" w:ascii="宋体" w:hAnsi="宋体" w:cs="宋体"/>
          <w:color w:val="000000"/>
          <w:sz w:val="24"/>
        </w:rPr>
        <w:t>（4）供应商自带用以安装、调试过程中所需的专用工具。在安装、调试过程中，供应商自负其工作人员的食宿、交通等费用。供应商在设备安装过程中或供应商提供设施设备在运作过程中因非采购人原因给施工人员、采购人及其它第三人造成财产或人身损失的，由供应商承担全部责任、进行全额赔偿；采购人由此产生的一切经济损失（包括但不限于赔偿款、违约金、诉讼费、律师费和合理的差旅费）均有权要求供应商赔偿。</w:t>
      </w:r>
    </w:p>
    <w:p>
      <w:pPr>
        <w:widowControl/>
        <w:spacing w:line="360" w:lineRule="auto"/>
        <w:ind w:right="420"/>
        <w:jc w:val="left"/>
        <w:rPr>
          <w:rFonts w:ascii="宋体" w:hAnsi="宋体" w:cs="宋体"/>
          <w:color w:val="000000"/>
          <w:sz w:val="24"/>
        </w:rPr>
      </w:pPr>
      <w:r>
        <w:rPr>
          <w:rFonts w:hint="eastAsia" w:ascii="宋体" w:hAnsi="宋体" w:cs="宋体"/>
          <w:color w:val="000000"/>
          <w:sz w:val="24"/>
        </w:rPr>
        <w:t>（5）运输费用由供应商承担。</w:t>
      </w:r>
    </w:p>
    <w:p>
      <w:pPr>
        <w:tabs>
          <w:tab w:val="left" w:pos="600"/>
        </w:tabs>
        <w:spacing w:line="360" w:lineRule="auto"/>
        <w:jc w:val="left"/>
        <w:rPr>
          <w:rFonts w:ascii="宋体" w:hAnsi="宋体" w:cs="宋体"/>
          <w:b/>
          <w:color w:val="000000"/>
          <w:sz w:val="24"/>
        </w:rPr>
      </w:pPr>
      <w:r>
        <w:rPr>
          <w:rFonts w:hint="eastAsia" w:ascii="宋体" w:hAnsi="宋体" w:cs="宋体"/>
          <w:b/>
          <w:color w:val="000000"/>
          <w:sz w:val="24"/>
        </w:rPr>
        <w:t>2、交货地点、交货期限</w:t>
      </w:r>
    </w:p>
    <w:p>
      <w:pPr>
        <w:spacing w:line="360" w:lineRule="auto"/>
        <w:jc w:val="left"/>
        <w:rPr>
          <w:rFonts w:ascii="宋体" w:hAnsi="宋体" w:cs="宋体"/>
          <w:color w:val="000000"/>
          <w:sz w:val="24"/>
        </w:rPr>
      </w:pPr>
      <w:r>
        <w:rPr>
          <w:rFonts w:hint="eastAsia" w:ascii="宋体" w:hAnsi="宋体" w:cs="宋体"/>
          <w:color w:val="000000"/>
          <w:sz w:val="24"/>
        </w:rPr>
        <w:t>（1）交货地点：采购人指定地点</w:t>
      </w:r>
    </w:p>
    <w:p>
      <w:pPr>
        <w:widowControl/>
        <w:spacing w:line="360" w:lineRule="auto"/>
        <w:ind w:right="420"/>
        <w:jc w:val="left"/>
        <w:rPr>
          <w:rFonts w:ascii="宋体" w:hAnsi="宋体" w:cs="宋体"/>
          <w:color w:val="000000"/>
          <w:sz w:val="24"/>
        </w:rPr>
      </w:pPr>
      <w:r>
        <w:rPr>
          <w:rFonts w:hint="eastAsia" w:ascii="宋体" w:hAnsi="宋体" w:cs="宋体"/>
          <w:color w:val="000000"/>
          <w:sz w:val="24"/>
        </w:rPr>
        <w:t>（2）交货时间：自合同签订之日起50个日历日内完成安装并通过采购人的验收合格。</w:t>
      </w:r>
    </w:p>
    <w:p>
      <w:pPr>
        <w:tabs>
          <w:tab w:val="left" w:pos="600"/>
        </w:tabs>
        <w:spacing w:line="360" w:lineRule="auto"/>
        <w:jc w:val="left"/>
        <w:rPr>
          <w:rFonts w:ascii="宋体" w:hAnsi="宋体" w:cs="宋体"/>
          <w:b/>
          <w:color w:val="000000"/>
          <w:sz w:val="24"/>
        </w:rPr>
      </w:pPr>
      <w:r>
        <w:rPr>
          <w:rFonts w:hint="eastAsia" w:ascii="宋体" w:hAnsi="宋体" w:cs="宋体"/>
          <w:b/>
          <w:color w:val="000000"/>
          <w:sz w:val="24"/>
        </w:rPr>
        <w:t>3、付款方式：</w:t>
      </w:r>
    </w:p>
    <w:p>
      <w:pPr>
        <w:widowControl/>
        <w:spacing w:line="360" w:lineRule="auto"/>
        <w:ind w:right="420"/>
        <w:jc w:val="left"/>
        <w:rPr>
          <w:rFonts w:ascii="宋体" w:hAnsi="宋体" w:cs="宋体"/>
          <w:color w:val="000000"/>
          <w:sz w:val="24"/>
        </w:rPr>
      </w:pPr>
      <w:r>
        <w:rPr>
          <w:rFonts w:hint="eastAsia" w:ascii="宋体" w:hAnsi="宋体" w:cs="宋体"/>
          <w:color w:val="000000"/>
          <w:sz w:val="24"/>
        </w:rPr>
        <w:t>合同签订，货物全部送达指定地点后支付至合同总价的70%，验收合格后支付至合同总价的90%，剩余货款第二年付清。</w:t>
      </w:r>
    </w:p>
    <w:p>
      <w:pPr>
        <w:spacing w:line="360" w:lineRule="auto"/>
        <w:jc w:val="left"/>
        <w:rPr>
          <w:rFonts w:ascii="宋体" w:hAnsi="宋体" w:cs="宋体"/>
          <w:b/>
          <w:color w:val="000000"/>
          <w:sz w:val="24"/>
        </w:rPr>
      </w:pPr>
      <w:r>
        <w:rPr>
          <w:rFonts w:hint="eastAsia" w:ascii="宋体" w:hAnsi="宋体" w:cs="宋体"/>
          <w:b/>
          <w:color w:val="000000"/>
          <w:sz w:val="24"/>
        </w:rPr>
        <w:t>4、质量保证</w:t>
      </w:r>
    </w:p>
    <w:p>
      <w:pPr>
        <w:tabs>
          <w:tab w:val="left" w:pos="600"/>
        </w:tabs>
        <w:spacing w:line="360" w:lineRule="auto"/>
        <w:jc w:val="left"/>
        <w:rPr>
          <w:rFonts w:ascii="宋体" w:hAnsi="宋体" w:cs="宋体"/>
          <w:color w:val="000000"/>
          <w:sz w:val="24"/>
        </w:rPr>
      </w:pPr>
      <w:r>
        <w:rPr>
          <w:rFonts w:hint="eastAsia" w:ascii="宋体" w:hAnsi="宋体" w:cs="宋体"/>
          <w:color w:val="000000"/>
          <w:sz w:val="24"/>
        </w:rPr>
        <w:t>（1）供应商须提供全新的、符合国家有关质量标准和规范、环保要求的货物，其质量、规格及技术特征符合合同附件的要求。</w:t>
      </w:r>
    </w:p>
    <w:p>
      <w:pPr>
        <w:tabs>
          <w:tab w:val="left" w:pos="600"/>
        </w:tabs>
        <w:spacing w:line="360" w:lineRule="auto"/>
        <w:jc w:val="left"/>
        <w:rPr>
          <w:rFonts w:ascii="宋体" w:hAnsi="宋体" w:cs="宋体"/>
          <w:color w:val="000000"/>
          <w:sz w:val="24"/>
        </w:rPr>
      </w:pPr>
      <w:r>
        <w:rPr>
          <w:rFonts w:hint="eastAsia" w:ascii="宋体" w:hAnsi="宋体" w:cs="宋体"/>
          <w:color w:val="000000"/>
          <w:sz w:val="24"/>
        </w:rPr>
        <w:t>（2）每台货物上均应钉有名牌（内容包括：制造商、货物名称、型号规格、出厂日期等）并附有产品质量检验合格标志。</w:t>
      </w:r>
    </w:p>
    <w:p>
      <w:pPr>
        <w:tabs>
          <w:tab w:val="left" w:pos="600"/>
        </w:tabs>
        <w:spacing w:line="360" w:lineRule="auto"/>
        <w:jc w:val="left"/>
        <w:rPr>
          <w:rFonts w:ascii="宋体" w:hAnsi="宋体" w:cs="宋体"/>
          <w:bCs/>
          <w:color w:val="000000"/>
          <w:sz w:val="24"/>
        </w:rPr>
      </w:pPr>
      <w:r>
        <w:rPr>
          <w:rFonts w:hint="eastAsia" w:ascii="宋体" w:hAnsi="宋体" w:cs="宋体"/>
          <w:bCs/>
          <w:color w:val="000000"/>
          <w:sz w:val="24"/>
        </w:rPr>
        <w:t>（</w:t>
      </w:r>
      <w:r>
        <w:rPr>
          <w:rFonts w:ascii="宋体" w:hAnsi="宋体" w:cs="宋体"/>
          <w:bCs/>
          <w:color w:val="000000"/>
          <w:sz w:val="24"/>
        </w:rPr>
        <w:t>3</w:t>
      </w:r>
      <w:r>
        <w:rPr>
          <w:rFonts w:hint="eastAsia" w:ascii="宋体" w:hAnsi="宋体" w:cs="宋体"/>
          <w:bCs/>
          <w:color w:val="000000"/>
          <w:sz w:val="24"/>
        </w:rPr>
        <w:t>）供应商须提供自本项目验收合格之日起12个日历月的免费质保期。</w:t>
      </w:r>
    </w:p>
    <w:p>
      <w:pPr>
        <w:tabs>
          <w:tab w:val="left" w:pos="600"/>
        </w:tabs>
        <w:spacing w:line="360" w:lineRule="auto"/>
        <w:jc w:val="left"/>
        <w:rPr>
          <w:rFonts w:ascii="宋体" w:hAnsi="宋体" w:cs="宋体"/>
          <w:b/>
          <w:color w:val="000000"/>
          <w:sz w:val="24"/>
        </w:rPr>
      </w:pPr>
      <w:r>
        <w:rPr>
          <w:rFonts w:hint="eastAsia" w:ascii="宋体" w:hAnsi="宋体" w:cs="宋体"/>
          <w:b/>
          <w:color w:val="000000"/>
          <w:sz w:val="24"/>
        </w:rPr>
        <w:t>5、验收</w:t>
      </w:r>
    </w:p>
    <w:p>
      <w:pPr>
        <w:tabs>
          <w:tab w:val="left" w:pos="600"/>
        </w:tabs>
        <w:spacing w:line="360" w:lineRule="auto"/>
        <w:jc w:val="left"/>
        <w:rPr>
          <w:rFonts w:ascii="宋体" w:hAnsi="宋体" w:cs="宋体"/>
          <w:color w:val="000000"/>
          <w:sz w:val="24"/>
        </w:rPr>
      </w:pPr>
      <w:r>
        <w:rPr>
          <w:rFonts w:hint="eastAsia" w:ascii="宋体" w:hAnsi="宋体" w:cs="宋体"/>
          <w:color w:val="000000"/>
          <w:sz w:val="24"/>
        </w:rPr>
        <w:t>（1）货到现场后由于采购人保管不当造成的质量问题，供应商亦应负责修理，但费用由采购人负担。</w:t>
      </w:r>
    </w:p>
    <w:p>
      <w:pPr>
        <w:tabs>
          <w:tab w:val="left" w:pos="600"/>
        </w:tabs>
        <w:spacing w:line="360" w:lineRule="auto"/>
        <w:jc w:val="left"/>
        <w:rPr>
          <w:rFonts w:ascii="宋体" w:hAnsi="宋体" w:cs="宋体"/>
          <w:color w:val="000000"/>
          <w:sz w:val="24"/>
        </w:rPr>
      </w:pPr>
      <w:r>
        <w:rPr>
          <w:rFonts w:hint="eastAsia" w:ascii="宋体" w:hAnsi="宋体" w:cs="宋体"/>
          <w:color w:val="000000"/>
          <w:sz w:val="24"/>
        </w:rPr>
        <w:t>（2）在合同签订后5</w:t>
      </w:r>
      <w:r>
        <w:rPr>
          <w:rFonts w:ascii="宋体" w:hAnsi="宋体" w:cs="宋体"/>
          <w:color w:val="000000"/>
          <w:sz w:val="24"/>
        </w:rPr>
        <w:t>0</w:t>
      </w:r>
      <w:r>
        <w:rPr>
          <w:rFonts w:hint="eastAsia" w:ascii="宋体" w:hAnsi="宋体" w:cs="宋体"/>
          <w:color w:val="000000"/>
          <w:sz w:val="24"/>
        </w:rPr>
        <w:t>日内，供应商免费送货至采购人地点。供应商免费完成货物和系统的安装调试工作。采购人有权邀请国家认可的第三方检测机构对相关产品进行检测（检测费用由供应商承担），如检测指标满足公开招标文件的要求，双方签署质量验收表；否则，采购人将不支付合同款项，所发生的所有费用（含检测费）和相关后果由供应商承担。</w:t>
      </w:r>
    </w:p>
    <w:p>
      <w:pPr>
        <w:tabs>
          <w:tab w:val="left" w:pos="600"/>
        </w:tabs>
        <w:spacing w:line="360" w:lineRule="auto"/>
        <w:jc w:val="left"/>
        <w:rPr>
          <w:rFonts w:ascii="宋体" w:hAnsi="宋体" w:cs="宋体"/>
          <w:color w:val="000000"/>
          <w:sz w:val="24"/>
        </w:rPr>
      </w:pPr>
      <w:r>
        <w:rPr>
          <w:rFonts w:hint="eastAsia" w:ascii="宋体" w:hAnsi="宋体" w:cs="宋体"/>
          <w:color w:val="000000"/>
          <w:sz w:val="24"/>
        </w:rPr>
        <w:t>（3）货物的到货验收包括：型号、规格、数量、外观质量及货物包装完整无损。</w:t>
      </w:r>
    </w:p>
    <w:p>
      <w:pPr>
        <w:tabs>
          <w:tab w:val="left" w:pos="600"/>
        </w:tabs>
        <w:spacing w:line="360" w:lineRule="auto"/>
        <w:jc w:val="left"/>
        <w:rPr>
          <w:rFonts w:ascii="宋体" w:hAnsi="宋体" w:cs="宋体"/>
          <w:color w:val="000000"/>
          <w:sz w:val="24"/>
        </w:rPr>
      </w:pPr>
      <w:r>
        <w:rPr>
          <w:rFonts w:hint="eastAsia" w:ascii="宋体" w:hAnsi="宋体" w:cs="宋体"/>
          <w:color w:val="000000"/>
          <w:sz w:val="24"/>
        </w:rPr>
        <w:t>（4）货物和系统安装调试完成后10天之内，采购人无故不进行验收工作而使用货物的，视同已安装调试完成并验收合格。</w:t>
      </w:r>
    </w:p>
    <w:p>
      <w:pPr>
        <w:tabs>
          <w:tab w:val="left" w:pos="600"/>
        </w:tabs>
        <w:spacing w:line="360" w:lineRule="auto"/>
        <w:jc w:val="left"/>
        <w:rPr>
          <w:rFonts w:ascii="宋体" w:hAnsi="宋体" w:cs="宋体"/>
          <w:color w:val="000000"/>
          <w:sz w:val="24"/>
        </w:rPr>
      </w:pPr>
      <w:r>
        <w:rPr>
          <w:rFonts w:hint="eastAsia" w:ascii="宋体" w:hAnsi="宋体" w:cs="宋体"/>
          <w:color w:val="000000"/>
          <w:sz w:val="24"/>
        </w:rPr>
        <w:t>（5）货物和系统调试验收的标准：按行业通行标准、厂方出厂标准和供应商公开招标响应文件的承诺（详见合同附件载明的标准，并不低于国家相关标准）。</w:t>
      </w:r>
    </w:p>
    <w:p>
      <w:pPr>
        <w:tabs>
          <w:tab w:val="left" w:pos="600"/>
        </w:tabs>
        <w:spacing w:line="360" w:lineRule="auto"/>
        <w:jc w:val="left"/>
        <w:rPr>
          <w:rFonts w:ascii="宋体" w:hAnsi="宋体" w:cs="宋体"/>
          <w:color w:val="000000"/>
          <w:sz w:val="24"/>
        </w:rPr>
      </w:pPr>
      <w:r>
        <w:rPr>
          <w:rFonts w:hint="eastAsia" w:ascii="宋体" w:hAnsi="宋体" w:cs="宋体"/>
          <w:color w:val="000000"/>
          <w:sz w:val="24"/>
        </w:rPr>
        <w:t>（6）国内产品或合资厂的产品必须具备出厂合格证和原厂保修卡。</w:t>
      </w:r>
    </w:p>
    <w:p>
      <w:pPr>
        <w:tabs>
          <w:tab w:val="left" w:pos="600"/>
        </w:tabs>
        <w:spacing w:line="360" w:lineRule="auto"/>
        <w:jc w:val="left"/>
        <w:rPr>
          <w:rFonts w:ascii="宋体" w:hAnsi="宋体" w:cs="宋体"/>
          <w:color w:val="000000"/>
          <w:sz w:val="24"/>
        </w:rPr>
      </w:pPr>
      <w:r>
        <w:rPr>
          <w:rFonts w:hint="eastAsia" w:ascii="宋体" w:hAnsi="宋体" w:cs="宋体"/>
          <w:color w:val="000000"/>
          <w:sz w:val="24"/>
        </w:rPr>
        <w:t>（7）供应商应将所提供货物的装箱清单、用户手册、原厂保修卡、随机资料及配件、随机工具等交付给采购人；供应商不能完整交付货物及本款规定的单证和工具的，视为未按合同约定付货，供应商必须负责补齐，因此导致逾期交付的，由供应商承担相关的违约责任。</w:t>
      </w:r>
    </w:p>
    <w:p>
      <w:pPr>
        <w:pStyle w:val="15"/>
        <w:spacing w:line="360" w:lineRule="auto"/>
        <w:rPr>
          <w:rFonts w:ascii="宋体" w:hAnsi="宋体" w:cs="宋体"/>
          <w:color w:val="000000"/>
        </w:rPr>
      </w:pPr>
      <w:r>
        <w:rPr>
          <w:rFonts w:hint="eastAsia"/>
        </w:rPr>
        <w:t>（</w:t>
      </w:r>
      <w:r>
        <w:rPr>
          <w:rFonts w:hint="eastAsia" w:ascii="宋体" w:hAnsi="宋体" w:cs="宋体"/>
          <w:color w:val="000000"/>
        </w:rPr>
        <w:t>8）为保证所投产品的质量品质及资料的真实性，成交供应商须承诺如若中标，在中标公示期内将评审依据中的所有资料的原件提交至采购人指定地点进行复核，如提供不了或提供不全，采购人有权报同级政府采购监督管理部门进行处理，并依据政府采购法追究其法律责任，由此导致整批货物被拒收和索赔以及其它相关损失一律由成交供应商负责。</w:t>
      </w:r>
    </w:p>
    <w:p>
      <w:pPr>
        <w:tabs>
          <w:tab w:val="left" w:pos="600"/>
        </w:tabs>
        <w:spacing w:line="360" w:lineRule="auto"/>
        <w:jc w:val="left"/>
        <w:rPr>
          <w:rFonts w:ascii="宋体" w:hAnsi="宋体" w:cs="宋体"/>
          <w:color w:val="000000"/>
          <w:sz w:val="24"/>
        </w:rPr>
      </w:pPr>
      <w:r>
        <w:rPr>
          <w:rFonts w:hint="eastAsia" w:ascii="宋体" w:hAnsi="宋体" w:cs="宋体"/>
          <w:color w:val="000000"/>
          <w:sz w:val="24"/>
        </w:rPr>
        <w:t>6、</w:t>
      </w:r>
      <w:r>
        <w:rPr>
          <w:rFonts w:hint="eastAsia" w:ascii="宋体" w:hAnsi="宋体" w:cs="宋体"/>
          <w:b/>
          <w:bCs/>
          <w:color w:val="000000"/>
          <w:sz w:val="24"/>
        </w:rPr>
        <w:t>售后服务</w:t>
      </w:r>
    </w:p>
    <w:p>
      <w:pPr>
        <w:spacing w:line="360" w:lineRule="auto"/>
        <w:jc w:val="left"/>
        <w:rPr>
          <w:rFonts w:ascii="宋体" w:hAnsi="宋体" w:cs="宋体"/>
          <w:color w:val="000000"/>
          <w:sz w:val="24"/>
        </w:rPr>
      </w:pPr>
      <w:r>
        <w:rPr>
          <w:rFonts w:hint="eastAsia" w:ascii="宋体" w:hAnsi="宋体" w:cs="宋体"/>
          <w:color w:val="000000"/>
          <w:sz w:val="24"/>
        </w:rPr>
        <w:t>（1）供应商应为采购人提供免费培训服务，并指派专人负责与采购人联系售后服务事宜。主要培训内容为货物的基本结构、性能、主要部件的构造及处理，日常使用操作、保养与管理、常见故障的排除、紧急情况的处理等，如采购人未使用过同类型货物，供应商还需就货物的功能对供应商进行相应的技术培训，培训地点主要在货物安装现场或由采购人安排。</w:t>
      </w:r>
    </w:p>
    <w:p>
      <w:pPr>
        <w:spacing w:line="360" w:lineRule="auto"/>
        <w:jc w:val="left"/>
        <w:rPr>
          <w:rFonts w:ascii="宋体" w:hAnsi="宋体" w:cs="宋体"/>
          <w:color w:val="000000"/>
          <w:sz w:val="24"/>
        </w:rPr>
      </w:pPr>
      <w:r>
        <w:rPr>
          <w:rFonts w:hint="eastAsia" w:ascii="宋体" w:hAnsi="宋体" w:cs="宋体"/>
          <w:color w:val="000000"/>
          <w:sz w:val="24"/>
        </w:rPr>
        <w:t>（2）质量保证期为：质保期自采购人在货物质量验收单上签字之日起一年，软件提供五年免费升级。</w:t>
      </w:r>
    </w:p>
    <w:p>
      <w:pPr>
        <w:spacing w:line="360" w:lineRule="auto"/>
        <w:jc w:val="left"/>
        <w:rPr>
          <w:rFonts w:ascii="宋体" w:hAnsi="宋体" w:cs="宋体"/>
          <w:color w:val="000000"/>
          <w:sz w:val="24"/>
        </w:rPr>
      </w:pPr>
      <w:r>
        <w:rPr>
          <w:rFonts w:hint="eastAsia" w:ascii="宋体" w:hAnsi="宋体" w:cs="宋体"/>
          <w:color w:val="000000"/>
          <w:sz w:val="24"/>
        </w:rPr>
        <w:t>（3）质量保证期内，供应商负责对其提供的货物整机进行维修和系统维护，不再收取任何费用，但不可抗力（如火灾、雷击等）造成的故障除外。</w:t>
      </w:r>
    </w:p>
    <w:p>
      <w:pPr>
        <w:spacing w:line="360" w:lineRule="auto"/>
        <w:jc w:val="left"/>
        <w:rPr>
          <w:rFonts w:ascii="宋体" w:hAnsi="宋体" w:cs="宋体"/>
          <w:color w:val="000000"/>
          <w:sz w:val="24"/>
        </w:rPr>
      </w:pPr>
      <w:r>
        <w:rPr>
          <w:rFonts w:hint="eastAsia" w:ascii="宋体" w:hAnsi="宋体" w:cs="宋体"/>
          <w:color w:val="000000"/>
          <w:sz w:val="24"/>
        </w:rPr>
        <w:t>（4）货物故障报修的响应时间为：工作期间（星期一至星期五8： 00-18： 00）为10小时；非工作期间为24小时；</w:t>
      </w:r>
      <w:r>
        <w:rPr>
          <w:rFonts w:hint="eastAsia" w:ascii="宋体" w:hAnsi="宋体" w:cs="宋体"/>
          <w:sz w:val="24"/>
        </w:rPr>
        <w:t>接到报修10小时内到达现场进行售后维修服务。</w:t>
      </w:r>
    </w:p>
    <w:p>
      <w:pPr>
        <w:spacing w:line="360" w:lineRule="auto"/>
        <w:jc w:val="left"/>
        <w:rPr>
          <w:rFonts w:ascii="宋体" w:hAnsi="宋体" w:cs="宋体"/>
          <w:color w:val="000000"/>
          <w:sz w:val="24"/>
        </w:rPr>
      </w:pPr>
      <w:r>
        <w:rPr>
          <w:rFonts w:hint="eastAsia" w:ascii="宋体" w:hAnsi="宋体" w:cs="宋体"/>
          <w:color w:val="000000"/>
          <w:sz w:val="24"/>
        </w:rPr>
        <w:t>（5）若货物故障在检修10工作小时后仍无法排除，供应商应在48小时内免费提供不低于故障货物规格型号档次的备用货物供采购人使用，直至故障货物修复。</w:t>
      </w:r>
    </w:p>
    <w:p>
      <w:pPr>
        <w:spacing w:line="360" w:lineRule="auto"/>
        <w:jc w:val="left"/>
        <w:rPr>
          <w:rFonts w:ascii="宋体" w:hAnsi="宋体" w:cs="宋体"/>
          <w:color w:val="000000"/>
          <w:sz w:val="24"/>
        </w:rPr>
      </w:pPr>
      <w:r>
        <w:rPr>
          <w:rFonts w:hint="eastAsia" w:ascii="宋体" w:hAnsi="宋体" w:cs="宋体"/>
          <w:color w:val="000000"/>
          <w:sz w:val="24"/>
        </w:rPr>
        <w:t>（6）所有货物保修服务方式均为供应商上门保修，即由供应商派员到货物使用现场维修，由此产生的一切费用均由供应商承担。</w:t>
      </w:r>
    </w:p>
    <w:p>
      <w:pPr>
        <w:spacing w:line="360" w:lineRule="auto"/>
        <w:jc w:val="left"/>
        <w:rPr>
          <w:rFonts w:ascii="宋体" w:hAnsi="宋体" w:cs="宋体"/>
          <w:color w:val="000000"/>
          <w:sz w:val="24"/>
        </w:rPr>
      </w:pPr>
      <w:r>
        <w:rPr>
          <w:rFonts w:hint="eastAsia" w:ascii="宋体" w:hAnsi="宋体" w:cs="宋体"/>
          <w:color w:val="000000"/>
          <w:sz w:val="24"/>
        </w:rPr>
        <w:t>（7）供应商须每隔半年上门对采购人进行回访。</w:t>
      </w:r>
    </w:p>
    <w:p>
      <w:pPr>
        <w:spacing w:line="360" w:lineRule="auto"/>
        <w:jc w:val="left"/>
        <w:rPr>
          <w:rFonts w:ascii="宋体" w:hAnsi="宋体" w:cs="宋体"/>
          <w:color w:val="000000"/>
          <w:sz w:val="24"/>
        </w:rPr>
      </w:pPr>
      <w:r>
        <w:rPr>
          <w:rFonts w:hint="eastAsia" w:ascii="宋体" w:hAnsi="宋体" w:cs="宋体"/>
          <w:color w:val="000000"/>
          <w:sz w:val="24"/>
        </w:rPr>
        <w:t>（8）保修期后的货物维护由双方协商再定。</w:t>
      </w:r>
    </w:p>
    <w:bookmarkEnd w:id="41"/>
    <w:p>
      <w:pPr>
        <w:pStyle w:val="8"/>
        <w:rPr>
          <w:b/>
          <w:bCs/>
          <w:color w:val="000000" w:themeColor="text1"/>
          <w:lang w:val="zh-CN"/>
        </w:rPr>
      </w:pPr>
    </w:p>
    <w:p>
      <w:pPr>
        <w:spacing w:line="360" w:lineRule="auto"/>
        <w:ind w:left="713" w:hanging="712" w:hangingChars="297"/>
        <w:rPr>
          <w:rFonts w:ascii="宋体" w:hAnsi="宋体" w:eastAsia="宋体" w:cs="宋体"/>
          <w:b/>
          <w:color w:val="000000" w:themeColor="text1"/>
          <w:sz w:val="24"/>
          <w:szCs w:val="24"/>
        </w:rPr>
      </w:pPr>
      <w:r>
        <w:rPr>
          <w:rFonts w:hint="eastAsia" w:ascii="宋体" w:hAnsi="宋体" w:eastAsia="宋体" w:cs="宋体"/>
          <w:color w:val="000000" w:themeColor="text1"/>
          <w:sz w:val="24"/>
          <w:szCs w:val="24"/>
        </w:rPr>
        <w:t>说明：</w:t>
      </w:r>
      <w:r>
        <w:rPr>
          <w:rFonts w:hint="eastAsia" w:ascii="宋体" w:hAnsi="宋体" w:eastAsia="宋体" w:cs="仿宋_GB2312"/>
          <w:color w:val="000000" w:themeColor="text1"/>
          <w:sz w:val="24"/>
          <w:szCs w:val="24"/>
        </w:rPr>
        <w:t>投标人在投标文件《商务要求响应、偏离说明表》中应对商务要求进行响应描述或偏离说明。</w:t>
      </w:r>
      <w:r>
        <w:rPr>
          <w:rFonts w:hint="eastAsia" w:ascii="宋体" w:hAnsi="宋体" w:eastAsia="宋体" w:cs="宋体"/>
          <w:color w:val="000000" w:themeColor="text1"/>
          <w:sz w:val="24"/>
          <w:szCs w:val="24"/>
        </w:rPr>
        <w:t>不满足以上要求的，其投标按照</w:t>
      </w:r>
      <w:r>
        <w:rPr>
          <w:rFonts w:hint="eastAsia" w:ascii="宋体" w:hAnsi="宋体" w:eastAsia="宋体" w:cs="宋体"/>
          <w:b/>
          <w:color w:val="000000" w:themeColor="text1"/>
          <w:sz w:val="24"/>
          <w:szCs w:val="24"/>
        </w:rPr>
        <w:t>无效投标处理。</w:t>
      </w:r>
    </w:p>
    <w:p>
      <w:pPr>
        <w:rPr>
          <w:color w:val="000000" w:themeColor="text1"/>
        </w:rPr>
      </w:pPr>
      <w:r>
        <w:rPr>
          <w:color w:val="000000" w:themeColor="text1"/>
        </w:rPr>
        <w:br w:type="page"/>
      </w:r>
    </w:p>
    <w:p>
      <w:pPr>
        <w:pStyle w:val="3"/>
        <w:numPr>
          <w:ilvl w:val="0"/>
          <w:numId w:val="1"/>
        </w:numPr>
        <w:jc w:val="center"/>
        <w:rPr>
          <w:rFonts w:ascii="黑体" w:hAnsi="黑体" w:eastAsia="黑体"/>
          <w:color w:val="000000" w:themeColor="text1"/>
        </w:rPr>
      </w:pPr>
      <w:bookmarkStart w:id="49" w:name="_Toc24213"/>
      <w:r>
        <w:rPr>
          <w:rFonts w:hint="eastAsia" w:ascii="黑体" w:hAnsi="黑体" w:eastAsia="黑体"/>
          <w:color w:val="000000" w:themeColor="text1"/>
        </w:rPr>
        <w:t>资格审查方法及标准</w:t>
      </w:r>
      <w:bookmarkEnd w:id="49"/>
    </w:p>
    <w:p>
      <w:pPr>
        <w:spacing w:line="360" w:lineRule="auto"/>
        <w:ind w:firstLine="420"/>
        <w:rPr>
          <w:rFonts w:ascii="宋体" w:hAnsi="宋体" w:eastAsia="宋体" w:cs="Times New Roman"/>
          <w:bCs/>
          <w:color w:val="000000" w:themeColor="text1"/>
          <w:sz w:val="24"/>
          <w:szCs w:val="20"/>
          <w:lang w:val="zh-CN"/>
        </w:rPr>
      </w:pPr>
      <w:r>
        <w:rPr>
          <w:rFonts w:hint="eastAsia" w:ascii="宋体" w:hAnsi="宋体" w:eastAsia="宋体" w:cs="Times New Roman"/>
          <w:bCs/>
          <w:color w:val="000000" w:themeColor="text1"/>
          <w:sz w:val="24"/>
          <w:szCs w:val="20"/>
          <w:lang w:val="zh-CN"/>
        </w:rPr>
        <w:t>根据《政府采购法》、《政府采购法实施条例》、《政府采购货物和服务招标投标管理办法》等相关法律法规确定以下资格审查方法及标准。</w:t>
      </w:r>
    </w:p>
    <w:p>
      <w:pPr>
        <w:pStyle w:val="2"/>
        <w:numPr>
          <w:ilvl w:val="0"/>
          <w:numId w:val="38"/>
        </w:numPr>
        <w:spacing w:before="0" w:after="0" w:line="360" w:lineRule="auto"/>
        <w:ind w:left="616" w:hanging="616"/>
        <w:jc w:val="left"/>
        <w:rPr>
          <w:rFonts w:cs="Times New Roman" w:asciiTheme="majorEastAsia" w:hAnsiTheme="majorEastAsia"/>
          <w:bCs w:val="0"/>
          <w:color w:val="000000" w:themeColor="text1"/>
          <w:sz w:val="30"/>
          <w:szCs w:val="30"/>
          <w:lang w:val="zh-CN"/>
        </w:rPr>
      </w:pPr>
      <w:bookmarkStart w:id="50" w:name="_Toc494561958"/>
      <w:bookmarkStart w:id="51" w:name="_Toc21069"/>
      <w:r>
        <w:rPr>
          <w:rFonts w:hint="eastAsia" w:cs="Times New Roman" w:asciiTheme="majorEastAsia" w:hAnsiTheme="majorEastAsia"/>
          <w:bCs w:val="0"/>
          <w:color w:val="000000" w:themeColor="text1"/>
          <w:sz w:val="30"/>
          <w:szCs w:val="30"/>
          <w:lang w:val="zh-CN"/>
        </w:rPr>
        <w:t>资格审查方法</w:t>
      </w:r>
      <w:bookmarkEnd w:id="50"/>
      <w:bookmarkEnd w:id="51"/>
    </w:p>
    <w:p>
      <w:pPr>
        <w:spacing w:line="360" w:lineRule="auto"/>
        <w:ind w:firstLine="420"/>
        <w:rPr>
          <w:rFonts w:ascii="宋体" w:hAnsi="宋体" w:eastAsia="宋体" w:cs="Times New Roman"/>
          <w:bCs/>
          <w:color w:val="000000" w:themeColor="text1"/>
          <w:sz w:val="24"/>
          <w:szCs w:val="20"/>
          <w:lang w:val="zh-CN"/>
        </w:rPr>
      </w:pPr>
      <w:r>
        <w:rPr>
          <w:rFonts w:hint="eastAsia" w:ascii="宋体" w:hAnsi="宋体" w:eastAsia="宋体" w:cs="Times New Roman"/>
          <w:bCs/>
          <w:color w:val="000000" w:themeColor="text1"/>
          <w:sz w:val="24"/>
          <w:szCs w:val="20"/>
          <w:lang w:val="zh-CN"/>
        </w:rPr>
        <w:t>公开招标采购项目开标结束后，采购人、采购代理机构成立资格审查小组，依据法律、法规及招标文件的规定，对投标人的资格进行审查，以确定投标人资格是否合格。</w:t>
      </w:r>
    </w:p>
    <w:p>
      <w:pPr>
        <w:pStyle w:val="2"/>
        <w:numPr>
          <w:ilvl w:val="0"/>
          <w:numId w:val="38"/>
        </w:numPr>
        <w:spacing w:before="0" w:after="0" w:line="360" w:lineRule="auto"/>
        <w:ind w:left="616" w:hanging="616"/>
        <w:jc w:val="left"/>
        <w:rPr>
          <w:rFonts w:cs="Times New Roman" w:asciiTheme="majorEastAsia" w:hAnsiTheme="majorEastAsia"/>
          <w:bCs w:val="0"/>
          <w:color w:val="000000" w:themeColor="text1"/>
          <w:sz w:val="30"/>
          <w:szCs w:val="30"/>
          <w:lang w:val="zh-CN"/>
        </w:rPr>
      </w:pPr>
      <w:bookmarkStart w:id="52" w:name="_Toc13504"/>
      <w:bookmarkStart w:id="53" w:name="_Toc494561959"/>
      <w:r>
        <w:rPr>
          <w:rFonts w:hint="eastAsia" w:cs="Times New Roman" w:asciiTheme="majorEastAsia" w:hAnsiTheme="majorEastAsia"/>
          <w:bCs w:val="0"/>
          <w:color w:val="000000" w:themeColor="text1"/>
          <w:sz w:val="30"/>
          <w:szCs w:val="30"/>
          <w:lang w:val="zh-CN"/>
        </w:rPr>
        <w:t>资格审查标准</w:t>
      </w:r>
      <w:bookmarkEnd w:id="52"/>
      <w:bookmarkEnd w:id="53"/>
    </w:p>
    <w:p>
      <w:pPr>
        <w:numPr>
          <w:ilvl w:val="0"/>
          <w:numId w:val="39"/>
        </w:numPr>
        <w:tabs>
          <w:tab w:val="left" w:pos="616"/>
        </w:tabs>
        <w:spacing w:line="360" w:lineRule="auto"/>
        <w:ind w:left="14" w:firstLine="238"/>
        <w:rPr>
          <w:rFonts w:ascii="宋体" w:hAnsi="宋体" w:eastAsia="宋体" w:cs="Times New Roman"/>
          <w:b/>
          <w:color w:val="000000" w:themeColor="text1"/>
          <w:sz w:val="24"/>
          <w:szCs w:val="24"/>
          <w:lang w:val="zh-CN"/>
        </w:rPr>
      </w:pPr>
      <w:r>
        <w:rPr>
          <w:rFonts w:hint="eastAsia" w:ascii="宋体" w:hAnsi="宋体" w:eastAsia="宋体" w:cs="Times New Roman"/>
          <w:b/>
          <w:color w:val="000000" w:themeColor="text1"/>
          <w:sz w:val="24"/>
          <w:szCs w:val="24"/>
          <w:lang w:val="zh-CN"/>
        </w:rPr>
        <w:t>资格证明文件审查</w:t>
      </w:r>
    </w:p>
    <w:p>
      <w:pPr>
        <w:tabs>
          <w:tab w:val="left" w:pos="616"/>
        </w:tabs>
        <w:spacing w:line="360" w:lineRule="auto"/>
        <w:ind w:firstLine="420"/>
        <w:rPr>
          <w:rFonts w:ascii="Helvetica" w:hAnsi="Helvetica" w:eastAsia="宋体" w:cs="Helvetica"/>
          <w:b/>
          <w:color w:val="000000" w:themeColor="text1"/>
          <w:kern w:val="0"/>
          <w:sz w:val="24"/>
          <w:szCs w:val="24"/>
          <w:lang w:val="zh-CN"/>
        </w:rPr>
      </w:pPr>
      <w:r>
        <w:rPr>
          <w:rFonts w:hint="eastAsia" w:ascii="Helvetica" w:hAnsi="Helvetica" w:eastAsia="宋体" w:cs="Helvetica"/>
          <w:color w:val="000000" w:themeColor="text1"/>
          <w:kern w:val="0"/>
          <w:sz w:val="24"/>
          <w:szCs w:val="24"/>
          <w:lang w:val="zh-CN"/>
        </w:rPr>
        <w:t>所递交的资格证明文件出现不符合下列情形之一或不足以证明其符合下列情形之一的，应视为资格审查不合格，并按照</w:t>
      </w:r>
      <w:r>
        <w:rPr>
          <w:rFonts w:hint="eastAsia" w:ascii="Helvetica" w:hAnsi="Helvetica" w:eastAsia="宋体" w:cs="Helvetica"/>
          <w:b/>
          <w:color w:val="000000" w:themeColor="text1"/>
          <w:kern w:val="0"/>
          <w:sz w:val="24"/>
          <w:szCs w:val="24"/>
          <w:lang w:val="zh-CN"/>
        </w:rPr>
        <w:t>无效投标处理：</w:t>
      </w:r>
    </w:p>
    <w:p>
      <w:pPr>
        <w:pStyle w:val="26"/>
        <w:numPr>
          <w:ilvl w:val="0"/>
          <w:numId w:val="40"/>
        </w:numPr>
        <w:tabs>
          <w:tab w:val="left" w:pos="840"/>
        </w:tabs>
        <w:spacing w:line="360" w:lineRule="auto"/>
        <w:ind w:hanging="602" w:firstLineChars="0"/>
        <w:rPr>
          <w:rFonts w:ascii="宋体" w:hAnsi="宋体" w:eastAsia="宋体" w:cs="Times New Roman"/>
          <w:color w:val="FF0000"/>
          <w:sz w:val="24"/>
          <w:szCs w:val="24"/>
          <w:lang w:val="zh-CN"/>
        </w:rPr>
      </w:pPr>
      <w:r>
        <w:rPr>
          <w:rFonts w:hint="eastAsia" w:ascii="宋体" w:hAnsi="宋体" w:eastAsia="宋体" w:cs="Times New Roman"/>
          <w:color w:val="FF0000"/>
          <w:sz w:val="24"/>
          <w:szCs w:val="24"/>
          <w:lang w:val="zh-CN"/>
        </w:rPr>
        <w:t>应具备《政府采购法》第二十二条第一款规定的条件，</w:t>
      </w:r>
      <w:r>
        <w:rPr>
          <w:rFonts w:hint="eastAsia" w:hAnsi="宋体"/>
          <w:color w:val="FF0000"/>
          <w:sz w:val="24"/>
          <w:szCs w:val="24"/>
        </w:rPr>
        <w:t>提供下列材料</w:t>
      </w:r>
      <w:r>
        <w:rPr>
          <w:rFonts w:hint="eastAsia" w:ascii="宋体" w:hAnsi="宋体" w:eastAsia="宋体" w:cs="Times New Roman"/>
          <w:color w:val="FF0000"/>
          <w:sz w:val="24"/>
          <w:szCs w:val="24"/>
          <w:lang w:val="zh-CN"/>
        </w:rPr>
        <w:t>：</w:t>
      </w:r>
    </w:p>
    <w:p>
      <w:pPr>
        <w:pStyle w:val="26"/>
        <w:numPr>
          <w:ilvl w:val="0"/>
          <w:numId w:val="41"/>
        </w:numPr>
        <w:tabs>
          <w:tab w:val="left" w:pos="1036"/>
        </w:tabs>
        <w:spacing w:line="360" w:lineRule="auto"/>
        <w:ind w:left="1036" w:hanging="616" w:firstLineChars="0"/>
        <w:rPr>
          <w:rFonts w:ascii="宋体" w:hAnsi="宋体" w:eastAsia="宋体" w:cs="Times New Roman"/>
          <w:color w:val="FF0000"/>
          <w:sz w:val="24"/>
          <w:szCs w:val="24"/>
          <w:lang w:val="zh-CN"/>
        </w:rPr>
      </w:pPr>
      <w:r>
        <w:rPr>
          <w:rFonts w:hint="eastAsia" w:ascii="宋体" w:hAnsi="宋体" w:eastAsia="宋体" w:cs="Times New Roman"/>
          <w:color w:val="FF0000"/>
          <w:sz w:val="24"/>
          <w:szCs w:val="24"/>
          <w:lang w:val="zh-CN"/>
        </w:rPr>
        <w:t>法人或者其他组织的营业执照等证明文件，自然人的身份证明；</w:t>
      </w:r>
    </w:p>
    <w:p>
      <w:pPr>
        <w:pStyle w:val="26"/>
        <w:numPr>
          <w:ilvl w:val="0"/>
          <w:numId w:val="41"/>
        </w:numPr>
        <w:tabs>
          <w:tab w:val="left" w:pos="1036"/>
        </w:tabs>
        <w:spacing w:line="360" w:lineRule="auto"/>
        <w:ind w:left="1036" w:hanging="616" w:firstLineChars="0"/>
        <w:rPr>
          <w:rFonts w:ascii="宋体" w:hAnsi="宋体" w:eastAsia="宋体" w:cs="Times New Roman"/>
          <w:color w:val="FF0000"/>
          <w:sz w:val="24"/>
          <w:szCs w:val="24"/>
          <w:lang w:val="zh-CN"/>
        </w:rPr>
      </w:pPr>
      <w:r>
        <w:rPr>
          <w:rFonts w:hint="eastAsia" w:ascii="宋体" w:hAnsi="宋体" w:eastAsia="宋体" w:cs="Times New Roman"/>
          <w:color w:val="FF0000"/>
          <w:sz w:val="24"/>
          <w:szCs w:val="24"/>
          <w:lang w:val="zh-CN"/>
        </w:rPr>
        <w:t>财务状况报告，依法缴纳税收和社会保障资金的相关材料；</w:t>
      </w:r>
    </w:p>
    <w:p>
      <w:pPr>
        <w:pStyle w:val="26"/>
        <w:numPr>
          <w:ilvl w:val="0"/>
          <w:numId w:val="41"/>
        </w:numPr>
        <w:tabs>
          <w:tab w:val="left" w:pos="1036"/>
        </w:tabs>
        <w:spacing w:line="360" w:lineRule="auto"/>
        <w:ind w:left="1036" w:hanging="616" w:firstLineChars="0"/>
        <w:rPr>
          <w:rFonts w:ascii="宋体" w:hAnsi="宋体" w:eastAsia="宋体" w:cs="Times New Roman"/>
          <w:color w:val="FF0000"/>
          <w:sz w:val="24"/>
          <w:szCs w:val="24"/>
          <w:lang w:val="zh-CN"/>
        </w:rPr>
      </w:pPr>
      <w:r>
        <w:rPr>
          <w:rFonts w:hint="eastAsia" w:ascii="宋体" w:hAnsi="宋体" w:eastAsia="宋体" w:cs="Times New Roman"/>
          <w:color w:val="FF0000"/>
          <w:sz w:val="24"/>
          <w:szCs w:val="24"/>
          <w:lang w:val="zh-CN"/>
        </w:rPr>
        <w:t>具备履行合同所必需的设备和专业技术能力的证明材料；</w:t>
      </w:r>
    </w:p>
    <w:p>
      <w:pPr>
        <w:pStyle w:val="26"/>
        <w:numPr>
          <w:ilvl w:val="0"/>
          <w:numId w:val="41"/>
        </w:numPr>
        <w:tabs>
          <w:tab w:val="left" w:pos="1036"/>
        </w:tabs>
        <w:spacing w:line="360" w:lineRule="auto"/>
        <w:ind w:left="1036" w:hanging="616" w:firstLineChars="0"/>
        <w:rPr>
          <w:rFonts w:ascii="宋体" w:hAnsi="宋体" w:eastAsia="宋体" w:cs="Times New Roman"/>
          <w:color w:val="FF0000"/>
          <w:sz w:val="24"/>
          <w:szCs w:val="24"/>
          <w:lang w:val="zh-CN"/>
        </w:rPr>
      </w:pPr>
      <w:r>
        <w:rPr>
          <w:rFonts w:hint="eastAsia" w:ascii="宋体" w:hAnsi="宋体" w:eastAsia="宋体" w:cs="Times New Roman"/>
          <w:color w:val="FF0000"/>
          <w:sz w:val="24"/>
          <w:szCs w:val="24"/>
          <w:lang w:val="zh-CN"/>
        </w:rPr>
        <w:t>参加政府采购活动前3年内在经营活动中没有重大违法记录的书面声明；</w:t>
      </w:r>
    </w:p>
    <w:p>
      <w:pPr>
        <w:pStyle w:val="26"/>
        <w:numPr>
          <w:ilvl w:val="0"/>
          <w:numId w:val="41"/>
        </w:numPr>
        <w:tabs>
          <w:tab w:val="left" w:pos="1036"/>
        </w:tabs>
        <w:spacing w:line="360" w:lineRule="auto"/>
        <w:ind w:left="1036" w:hanging="616" w:firstLineChars="0"/>
        <w:rPr>
          <w:rFonts w:ascii="宋体" w:hAnsi="宋体" w:eastAsia="宋体" w:cs="Times New Roman"/>
          <w:color w:val="FF0000"/>
          <w:sz w:val="24"/>
          <w:szCs w:val="24"/>
          <w:lang w:val="zh-CN"/>
        </w:rPr>
      </w:pPr>
      <w:r>
        <w:rPr>
          <w:rFonts w:hint="eastAsia" w:ascii="宋体" w:hAnsi="宋体" w:eastAsia="宋体" w:cs="Times New Roman"/>
          <w:color w:val="FF0000"/>
          <w:sz w:val="24"/>
          <w:szCs w:val="24"/>
          <w:lang w:val="zh-CN"/>
        </w:rPr>
        <w:t>具备法律、行政法规规定的其他条件的证明材料。</w:t>
      </w:r>
    </w:p>
    <w:p>
      <w:pPr>
        <w:pStyle w:val="26"/>
        <w:numPr>
          <w:ilvl w:val="0"/>
          <w:numId w:val="40"/>
        </w:numPr>
        <w:tabs>
          <w:tab w:val="left" w:pos="840"/>
        </w:tabs>
        <w:spacing w:line="360" w:lineRule="auto"/>
        <w:ind w:hanging="602" w:firstLineChars="0"/>
        <w:rPr>
          <w:rFonts w:ascii="宋体" w:hAnsi="宋体" w:eastAsia="宋体" w:cs="Times New Roman"/>
          <w:color w:val="FF0000"/>
          <w:sz w:val="24"/>
          <w:szCs w:val="24"/>
          <w:lang w:val="zh-CN"/>
        </w:rPr>
      </w:pPr>
      <w:r>
        <w:rPr>
          <w:rFonts w:hint="eastAsia" w:ascii="宋体" w:hAnsi="宋体" w:eastAsia="宋体" w:cs="Times New Roman"/>
          <w:color w:val="FF0000"/>
          <w:sz w:val="24"/>
          <w:szCs w:val="24"/>
          <w:lang w:val="zh-CN"/>
        </w:rPr>
        <w:t>未被“信用中国”网站(www.creditchina.gov.cn)列入失信被执行人、重大税收违法案件当事人名单、政府采购严重违法失信行为记录名单的书面申明及该网站查询结果页面截图；</w:t>
      </w:r>
    </w:p>
    <w:p>
      <w:pPr>
        <w:pStyle w:val="26"/>
        <w:numPr>
          <w:ilvl w:val="0"/>
          <w:numId w:val="40"/>
        </w:numPr>
        <w:tabs>
          <w:tab w:val="left" w:pos="840"/>
        </w:tabs>
        <w:spacing w:line="360" w:lineRule="auto"/>
        <w:ind w:hanging="602" w:firstLineChars="0"/>
        <w:rPr>
          <w:rFonts w:ascii="宋体" w:hAnsi="宋体" w:eastAsia="宋体" w:cs="Times New Roman"/>
          <w:color w:val="000000" w:themeColor="text1"/>
          <w:sz w:val="24"/>
          <w:szCs w:val="24"/>
          <w:lang w:val="zh-CN"/>
        </w:rPr>
      </w:pPr>
      <w:r>
        <w:rPr>
          <w:rFonts w:hint="eastAsia" w:ascii="宋体" w:hAnsi="宋体" w:eastAsia="宋体" w:cs="Times New Roman"/>
          <w:color w:val="000000" w:themeColor="text1"/>
          <w:sz w:val="24"/>
          <w:szCs w:val="24"/>
          <w:lang w:val="zh-CN"/>
        </w:rPr>
        <w:t>招标文件第一章“投标人资格要求”中有特殊要求的，投标人应提供其符合特殊要求的证明材料或者情况说明；</w:t>
      </w:r>
    </w:p>
    <w:p>
      <w:pPr>
        <w:pStyle w:val="26"/>
        <w:numPr>
          <w:ilvl w:val="0"/>
          <w:numId w:val="40"/>
        </w:numPr>
        <w:tabs>
          <w:tab w:val="left" w:pos="840"/>
        </w:tabs>
        <w:spacing w:line="360" w:lineRule="auto"/>
        <w:ind w:hanging="602" w:firstLineChars="0"/>
        <w:rPr>
          <w:rFonts w:ascii="宋体" w:hAnsi="宋体" w:eastAsia="宋体" w:cs="Times New Roman"/>
          <w:color w:val="000000" w:themeColor="text1"/>
          <w:sz w:val="24"/>
          <w:szCs w:val="24"/>
          <w:lang w:val="zh-CN"/>
        </w:rPr>
      </w:pPr>
      <w:r>
        <w:rPr>
          <w:rFonts w:hint="eastAsia" w:ascii="宋体" w:hAnsi="宋体" w:eastAsia="宋体" w:cs="Times New Roman"/>
          <w:color w:val="000000" w:themeColor="text1"/>
          <w:sz w:val="24"/>
          <w:szCs w:val="24"/>
          <w:lang w:val="zh-CN"/>
        </w:rPr>
        <w:t>不符合联合体投标相关规定和要求的；</w:t>
      </w:r>
    </w:p>
    <w:p>
      <w:pPr>
        <w:pStyle w:val="26"/>
        <w:numPr>
          <w:ilvl w:val="0"/>
          <w:numId w:val="40"/>
        </w:numPr>
        <w:tabs>
          <w:tab w:val="left" w:pos="840"/>
        </w:tabs>
        <w:spacing w:line="360" w:lineRule="auto"/>
        <w:ind w:hanging="602" w:firstLineChars="0"/>
        <w:rPr>
          <w:rFonts w:ascii="宋体" w:hAnsi="宋体" w:eastAsia="宋体" w:cs="Times New Roman"/>
          <w:color w:val="000000" w:themeColor="text1"/>
          <w:sz w:val="24"/>
          <w:szCs w:val="24"/>
          <w:lang w:val="zh-CN"/>
        </w:rPr>
      </w:pPr>
      <w:r>
        <w:rPr>
          <w:rFonts w:hint="eastAsia" w:ascii="宋体" w:hAnsi="宋体" w:eastAsia="宋体" w:cs="Times New Roman"/>
          <w:color w:val="000000" w:themeColor="text1"/>
          <w:sz w:val="24"/>
          <w:szCs w:val="24"/>
          <w:lang w:val="zh-CN"/>
        </w:rPr>
        <w:t>投标人认为需提供的其它相关资格证明材料；</w:t>
      </w:r>
    </w:p>
    <w:p>
      <w:pPr>
        <w:pStyle w:val="26"/>
        <w:numPr>
          <w:ilvl w:val="0"/>
          <w:numId w:val="40"/>
        </w:numPr>
        <w:tabs>
          <w:tab w:val="left" w:pos="840"/>
        </w:tabs>
        <w:spacing w:line="360" w:lineRule="auto"/>
        <w:ind w:hanging="602" w:firstLineChars="0"/>
        <w:rPr>
          <w:rFonts w:ascii="宋体" w:hAnsi="宋体" w:eastAsia="宋体" w:cs="Times New Roman"/>
          <w:color w:val="000000" w:themeColor="text1"/>
          <w:sz w:val="24"/>
          <w:szCs w:val="24"/>
          <w:lang w:val="zh-CN"/>
        </w:rPr>
      </w:pPr>
      <w:r>
        <w:rPr>
          <w:rFonts w:hint="eastAsia" w:ascii="宋体" w:hAnsi="宋体" w:eastAsia="宋体" w:cs="Times New Roman"/>
          <w:color w:val="000000" w:themeColor="text1"/>
          <w:sz w:val="24"/>
          <w:szCs w:val="24"/>
          <w:lang w:val="zh-CN"/>
        </w:rPr>
        <w:t>资格证明文件正本应为清晰彩色影印件且加盖单位公章。</w:t>
      </w:r>
    </w:p>
    <w:p>
      <w:pPr>
        <w:numPr>
          <w:ilvl w:val="0"/>
          <w:numId w:val="39"/>
        </w:numPr>
        <w:tabs>
          <w:tab w:val="left" w:pos="616"/>
        </w:tabs>
        <w:spacing w:line="360" w:lineRule="auto"/>
        <w:ind w:left="14" w:firstLine="238"/>
        <w:rPr>
          <w:rFonts w:ascii="宋体" w:hAnsi="宋体" w:eastAsia="宋体" w:cs="Times New Roman"/>
          <w:b/>
          <w:color w:val="000000" w:themeColor="text1"/>
          <w:sz w:val="24"/>
          <w:szCs w:val="24"/>
          <w:lang w:val="zh-CN"/>
        </w:rPr>
      </w:pPr>
      <w:r>
        <w:rPr>
          <w:rFonts w:hint="eastAsia" w:ascii="宋体" w:hAnsi="宋体" w:eastAsia="宋体" w:cs="Times New Roman"/>
          <w:b/>
          <w:color w:val="000000" w:themeColor="text1"/>
          <w:sz w:val="24"/>
          <w:szCs w:val="24"/>
          <w:lang w:val="zh-CN"/>
        </w:rPr>
        <w:t>确定资格审查合格投标人</w:t>
      </w:r>
    </w:p>
    <w:p>
      <w:pPr>
        <w:pStyle w:val="26"/>
        <w:numPr>
          <w:ilvl w:val="0"/>
          <w:numId w:val="42"/>
        </w:numPr>
        <w:tabs>
          <w:tab w:val="left" w:pos="840"/>
        </w:tabs>
        <w:spacing w:line="360" w:lineRule="auto"/>
        <w:ind w:hanging="602" w:firstLineChars="0"/>
        <w:rPr>
          <w:rFonts w:ascii="宋体" w:hAnsi="宋体" w:eastAsia="宋体" w:cs="Times New Roman"/>
          <w:color w:val="000000" w:themeColor="text1"/>
          <w:sz w:val="24"/>
          <w:szCs w:val="24"/>
          <w:lang w:val="zh-CN"/>
        </w:rPr>
      </w:pPr>
      <w:r>
        <w:rPr>
          <w:rFonts w:hint="eastAsia" w:ascii="宋体" w:hAnsi="宋体" w:eastAsia="宋体" w:cs="Times New Roman"/>
          <w:color w:val="000000" w:themeColor="text1"/>
          <w:sz w:val="24"/>
          <w:szCs w:val="24"/>
          <w:lang w:val="zh-CN"/>
        </w:rPr>
        <w:t>资格审查小组按照本章“资格审查方法及标准”，对各投标人资格证明文件进行审查。资格审查小组依据对各投标人资格证明文件的审查结果，确定资格审查合格的投标人，并</w:t>
      </w:r>
      <w:r>
        <w:rPr>
          <w:rFonts w:hint="eastAsia" w:ascii="宋体" w:hAnsi="宋体" w:eastAsia="宋体" w:cs="Times New Roman"/>
          <w:b/>
          <w:color w:val="000000" w:themeColor="text1"/>
          <w:sz w:val="24"/>
          <w:szCs w:val="24"/>
          <w:lang w:val="zh-CN"/>
        </w:rPr>
        <w:t>形成书面的资格审查报告。</w:t>
      </w:r>
    </w:p>
    <w:p>
      <w:pPr>
        <w:pStyle w:val="26"/>
        <w:numPr>
          <w:ilvl w:val="0"/>
          <w:numId w:val="42"/>
        </w:numPr>
        <w:tabs>
          <w:tab w:val="left" w:pos="840"/>
        </w:tabs>
        <w:spacing w:line="360" w:lineRule="auto"/>
        <w:ind w:hanging="602" w:firstLineChars="0"/>
        <w:rPr>
          <w:rFonts w:ascii="宋体" w:hAnsi="宋体" w:eastAsia="宋体" w:cs="Times New Roman"/>
          <w:color w:val="000000" w:themeColor="text1"/>
          <w:sz w:val="24"/>
          <w:szCs w:val="24"/>
          <w:lang w:val="zh-CN"/>
        </w:rPr>
      </w:pPr>
      <w:r>
        <w:rPr>
          <w:rFonts w:hint="eastAsia" w:ascii="宋体" w:hAnsi="宋体" w:eastAsia="宋体" w:cs="Times New Roman"/>
          <w:color w:val="000000" w:themeColor="text1"/>
          <w:sz w:val="24"/>
          <w:szCs w:val="24"/>
          <w:lang w:val="zh-CN"/>
        </w:rPr>
        <w:t>资格审查合格投标人不足3家的，不进行评标。</w:t>
      </w:r>
    </w:p>
    <w:p>
      <w:pPr>
        <w:pStyle w:val="26"/>
        <w:numPr>
          <w:ilvl w:val="0"/>
          <w:numId w:val="42"/>
        </w:numPr>
        <w:tabs>
          <w:tab w:val="left" w:pos="840"/>
        </w:tabs>
        <w:spacing w:line="360" w:lineRule="auto"/>
        <w:ind w:hanging="602" w:firstLineChars="0"/>
        <w:rPr>
          <w:rFonts w:ascii="宋体" w:hAnsi="宋体" w:eastAsia="宋体" w:cs="Times New Roman"/>
          <w:color w:val="000000" w:themeColor="text1"/>
          <w:sz w:val="24"/>
          <w:szCs w:val="24"/>
          <w:lang w:val="zh-CN"/>
        </w:rPr>
      </w:pPr>
      <w:r>
        <w:rPr>
          <w:rFonts w:hint="eastAsia" w:ascii="宋体" w:hAnsi="宋体" w:eastAsia="宋体" w:cs="Times New Roman"/>
          <w:color w:val="000000" w:themeColor="text1"/>
          <w:sz w:val="24"/>
          <w:szCs w:val="24"/>
          <w:lang w:val="zh-CN"/>
        </w:rPr>
        <w:t>资格审查未通过的投标人可在结果公告质疑有效期内按公告中的联系方式获知</w:t>
      </w:r>
      <w:r>
        <w:rPr>
          <w:rFonts w:ascii="宋体" w:hAnsi="宋体" w:eastAsia="宋体" w:cs="Times New Roman"/>
          <w:color w:val="000000" w:themeColor="text1"/>
          <w:sz w:val="24"/>
          <w:szCs w:val="24"/>
          <w:lang w:val="zh-CN"/>
        </w:rPr>
        <w:t>本</w:t>
      </w:r>
      <w:r>
        <w:rPr>
          <w:rFonts w:hint="eastAsia" w:ascii="宋体" w:hAnsi="宋体" w:eastAsia="宋体" w:cs="Times New Roman"/>
          <w:color w:val="000000" w:themeColor="text1"/>
          <w:sz w:val="24"/>
          <w:szCs w:val="24"/>
          <w:lang w:val="zh-CN"/>
        </w:rPr>
        <w:t>单位</w:t>
      </w:r>
      <w:r>
        <w:rPr>
          <w:rFonts w:ascii="宋体" w:hAnsi="宋体" w:eastAsia="宋体" w:cs="Times New Roman"/>
          <w:color w:val="000000" w:themeColor="text1"/>
          <w:sz w:val="24"/>
          <w:szCs w:val="24"/>
          <w:lang w:val="zh-CN"/>
        </w:rPr>
        <w:t>的</w:t>
      </w:r>
      <w:r>
        <w:rPr>
          <w:rFonts w:hint="eastAsia" w:ascii="宋体" w:hAnsi="宋体" w:eastAsia="宋体" w:cs="Times New Roman"/>
          <w:color w:val="000000" w:themeColor="text1"/>
          <w:sz w:val="24"/>
          <w:szCs w:val="24"/>
          <w:lang w:val="zh-CN"/>
        </w:rPr>
        <w:t>资格审查情况。</w:t>
      </w:r>
    </w:p>
    <w:p>
      <w:pPr>
        <w:pStyle w:val="26"/>
        <w:numPr>
          <w:ilvl w:val="0"/>
          <w:numId w:val="42"/>
        </w:numPr>
        <w:tabs>
          <w:tab w:val="left" w:pos="840"/>
        </w:tabs>
        <w:spacing w:line="360" w:lineRule="auto"/>
        <w:ind w:hanging="602" w:firstLineChars="0"/>
        <w:rPr>
          <w:rFonts w:ascii="宋体" w:hAnsi="宋体" w:eastAsia="宋体" w:cs="Times New Roman"/>
          <w:color w:val="000000" w:themeColor="text1"/>
          <w:sz w:val="24"/>
          <w:szCs w:val="24"/>
          <w:lang w:val="zh-CN"/>
        </w:rPr>
      </w:pPr>
      <w:r>
        <w:rPr>
          <w:rFonts w:hint="eastAsia" w:ascii="宋体" w:hAnsi="宋体" w:eastAsia="宋体" w:cs="Times New Roman"/>
          <w:color w:val="000000" w:themeColor="text1"/>
          <w:sz w:val="24"/>
          <w:szCs w:val="24"/>
          <w:lang w:val="zh-CN"/>
        </w:rPr>
        <w:t>采购人已进行资格预审的，不再进行资格审查。未通过资格预审的投标人，采购人、采购代理机构</w:t>
      </w:r>
      <w:r>
        <w:rPr>
          <w:rFonts w:hint="eastAsia" w:ascii="宋体" w:hAnsi="宋体" w:eastAsia="宋体" w:cs="Times New Roman"/>
          <w:b/>
          <w:color w:val="000000" w:themeColor="text1"/>
          <w:sz w:val="24"/>
          <w:szCs w:val="24"/>
          <w:lang w:val="zh-CN"/>
        </w:rPr>
        <w:t>拒绝</w:t>
      </w:r>
      <w:r>
        <w:rPr>
          <w:rFonts w:hint="eastAsia" w:ascii="宋体" w:hAnsi="宋体" w:eastAsia="宋体" w:cs="Times New Roman"/>
          <w:color w:val="000000" w:themeColor="text1"/>
          <w:sz w:val="24"/>
          <w:szCs w:val="24"/>
          <w:lang w:val="zh-CN"/>
        </w:rPr>
        <w:t>其投标。</w:t>
      </w:r>
    </w:p>
    <w:p>
      <w:pPr>
        <w:rPr>
          <w:color w:val="000000" w:themeColor="text1"/>
        </w:rPr>
      </w:pPr>
      <w:r>
        <w:rPr>
          <w:color w:val="000000" w:themeColor="text1"/>
        </w:rPr>
        <w:br w:type="page"/>
      </w:r>
    </w:p>
    <w:p>
      <w:pPr>
        <w:pStyle w:val="3"/>
        <w:numPr>
          <w:ilvl w:val="0"/>
          <w:numId w:val="1"/>
        </w:numPr>
        <w:jc w:val="center"/>
        <w:rPr>
          <w:rFonts w:ascii="黑体" w:hAnsi="黑体" w:eastAsia="黑体"/>
          <w:color w:val="000000" w:themeColor="text1"/>
        </w:rPr>
      </w:pPr>
      <w:bookmarkStart w:id="54" w:name="_Toc25544"/>
      <w:r>
        <w:rPr>
          <w:rFonts w:hint="eastAsia" w:ascii="黑体" w:hAnsi="黑体" w:eastAsia="黑体"/>
          <w:color w:val="000000" w:themeColor="text1"/>
        </w:rPr>
        <w:t>评标方法、程序及标准</w:t>
      </w:r>
      <w:bookmarkEnd w:id="54"/>
    </w:p>
    <w:p>
      <w:pPr>
        <w:spacing w:line="360" w:lineRule="auto"/>
        <w:ind w:firstLine="480" w:firstLineChars="200"/>
        <w:rPr>
          <w:rFonts w:ascii="宋体" w:hAnsi="宋体" w:eastAsia="宋体" w:cs="Times New Roman"/>
          <w:bCs/>
          <w:color w:val="000000" w:themeColor="text1"/>
          <w:sz w:val="24"/>
          <w:szCs w:val="20"/>
          <w:lang w:val="zh-CN"/>
        </w:rPr>
      </w:pPr>
      <w:r>
        <w:rPr>
          <w:rFonts w:hint="eastAsia" w:ascii="宋体" w:hAnsi="宋体" w:eastAsia="宋体" w:cs="Times New Roman"/>
          <w:bCs/>
          <w:color w:val="000000" w:themeColor="text1"/>
          <w:sz w:val="24"/>
          <w:szCs w:val="20"/>
          <w:lang w:val="zh-CN"/>
        </w:rPr>
        <w:t>根据《政府采购法》、《政府采购法实施条例》、《政府采购货物和服务招标投标管理办法》等相关法律法规确定以下评标办法、程序及标准。</w:t>
      </w:r>
    </w:p>
    <w:p>
      <w:pPr>
        <w:pStyle w:val="2"/>
        <w:numPr>
          <w:ilvl w:val="0"/>
          <w:numId w:val="43"/>
        </w:numPr>
        <w:spacing w:before="0" w:after="0" w:line="360" w:lineRule="auto"/>
        <w:ind w:left="616" w:hanging="616"/>
        <w:jc w:val="left"/>
        <w:rPr>
          <w:rFonts w:cs="Times New Roman" w:asciiTheme="majorEastAsia" w:hAnsiTheme="majorEastAsia"/>
          <w:bCs w:val="0"/>
          <w:color w:val="000000" w:themeColor="text1"/>
          <w:sz w:val="30"/>
          <w:szCs w:val="30"/>
          <w:lang w:val="zh-CN"/>
        </w:rPr>
      </w:pPr>
      <w:bookmarkStart w:id="55" w:name="_Toc272247708"/>
      <w:bookmarkStart w:id="56" w:name="_Toc278891605"/>
      <w:bookmarkStart w:id="57" w:name="_Toc26105"/>
      <w:bookmarkStart w:id="58" w:name="_Toc494561961"/>
      <w:r>
        <w:rPr>
          <w:rFonts w:hint="eastAsia" w:cs="Times New Roman" w:asciiTheme="majorEastAsia" w:hAnsiTheme="majorEastAsia"/>
          <w:bCs w:val="0"/>
          <w:color w:val="000000" w:themeColor="text1"/>
          <w:sz w:val="30"/>
          <w:szCs w:val="30"/>
          <w:lang w:val="zh-CN"/>
        </w:rPr>
        <w:t>评标</w:t>
      </w:r>
      <w:bookmarkEnd w:id="55"/>
      <w:bookmarkEnd w:id="56"/>
      <w:r>
        <w:rPr>
          <w:rFonts w:hint="eastAsia" w:cs="Times New Roman" w:asciiTheme="majorEastAsia" w:hAnsiTheme="majorEastAsia"/>
          <w:bCs w:val="0"/>
          <w:color w:val="000000" w:themeColor="text1"/>
          <w:sz w:val="30"/>
          <w:szCs w:val="30"/>
          <w:lang w:val="zh-CN"/>
        </w:rPr>
        <w:t>方法</w:t>
      </w:r>
      <w:bookmarkEnd w:id="57"/>
      <w:bookmarkEnd w:id="58"/>
    </w:p>
    <w:p>
      <w:pPr>
        <w:spacing w:line="360" w:lineRule="auto"/>
        <w:ind w:firstLine="480" w:firstLineChars="200"/>
        <w:rPr>
          <w:rFonts w:ascii="宋体" w:hAnsi="宋体" w:eastAsia="宋体" w:cs="Times New Roman"/>
          <w:bCs/>
          <w:color w:val="000000" w:themeColor="text1"/>
          <w:sz w:val="24"/>
          <w:szCs w:val="20"/>
          <w:lang w:val="zh-CN"/>
        </w:rPr>
      </w:pPr>
      <w:r>
        <w:rPr>
          <w:rFonts w:hint="eastAsia" w:ascii="宋体" w:hAnsi="宋体" w:eastAsia="宋体" w:cs="Times New Roman"/>
          <w:bCs/>
          <w:color w:val="000000" w:themeColor="text1"/>
          <w:sz w:val="24"/>
          <w:szCs w:val="20"/>
          <w:lang w:val="zh-CN"/>
        </w:rPr>
        <w:t>本项目评标采用综合评分法，</w:t>
      </w:r>
      <w:r>
        <w:rPr>
          <w:rFonts w:ascii="宋体" w:hAnsi="宋体" w:eastAsia="宋体" w:cs="Times New Roman"/>
          <w:bCs/>
          <w:color w:val="000000" w:themeColor="text1"/>
          <w:sz w:val="24"/>
          <w:szCs w:val="20"/>
          <w:lang w:val="zh-CN"/>
        </w:rPr>
        <w:t>是指投标文件满足招标文件全部实质性要求，且按照评审因素的量化指标评审得分最高的投标人为中标候选人的评标方法。</w:t>
      </w:r>
    </w:p>
    <w:p>
      <w:pPr>
        <w:pStyle w:val="2"/>
        <w:numPr>
          <w:ilvl w:val="0"/>
          <w:numId w:val="43"/>
        </w:numPr>
        <w:spacing w:before="0" w:after="0" w:line="360" w:lineRule="auto"/>
        <w:ind w:left="616" w:hanging="616"/>
        <w:jc w:val="left"/>
        <w:rPr>
          <w:rFonts w:cs="Times New Roman" w:asciiTheme="majorEastAsia" w:hAnsiTheme="majorEastAsia"/>
          <w:bCs w:val="0"/>
          <w:color w:val="000000" w:themeColor="text1"/>
          <w:sz w:val="30"/>
          <w:szCs w:val="30"/>
          <w:lang w:val="zh-CN"/>
        </w:rPr>
      </w:pPr>
      <w:bookmarkStart w:id="59" w:name="_Toc272247709"/>
      <w:bookmarkStart w:id="60" w:name="_Toc278891606"/>
      <w:bookmarkStart w:id="61" w:name="_Toc14904"/>
      <w:bookmarkStart w:id="62" w:name="_Toc494561962"/>
      <w:r>
        <w:rPr>
          <w:rFonts w:hint="eastAsia" w:cs="Times New Roman" w:asciiTheme="majorEastAsia" w:hAnsiTheme="majorEastAsia"/>
          <w:bCs w:val="0"/>
          <w:color w:val="000000" w:themeColor="text1"/>
          <w:sz w:val="30"/>
          <w:szCs w:val="30"/>
          <w:lang w:val="zh-CN"/>
        </w:rPr>
        <w:t>评标程序</w:t>
      </w:r>
      <w:bookmarkEnd w:id="59"/>
      <w:bookmarkEnd w:id="60"/>
      <w:r>
        <w:rPr>
          <w:rFonts w:hint="eastAsia" w:cs="Times New Roman" w:asciiTheme="majorEastAsia" w:hAnsiTheme="majorEastAsia"/>
          <w:bCs w:val="0"/>
          <w:color w:val="000000" w:themeColor="text1"/>
          <w:sz w:val="30"/>
          <w:szCs w:val="30"/>
          <w:lang w:val="zh-CN"/>
        </w:rPr>
        <w:t>及标准</w:t>
      </w:r>
      <w:bookmarkEnd w:id="61"/>
      <w:bookmarkEnd w:id="62"/>
    </w:p>
    <w:p>
      <w:pPr>
        <w:spacing w:line="360" w:lineRule="auto"/>
        <w:ind w:firstLine="480" w:firstLineChars="200"/>
        <w:rPr>
          <w:rFonts w:ascii="宋体" w:hAnsi="宋体" w:eastAsia="宋体" w:cs="Times New Roman"/>
          <w:bCs/>
          <w:color w:val="000000" w:themeColor="text1"/>
          <w:sz w:val="24"/>
          <w:szCs w:val="20"/>
          <w:lang w:val="zh-CN"/>
        </w:rPr>
      </w:pPr>
      <w:r>
        <w:rPr>
          <w:rFonts w:hint="eastAsia" w:ascii="宋体" w:hAnsi="宋体" w:eastAsia="宋体" w:cs="Times New Roman"/>
          <w:bCs/>
          <w:color w:val="000000" w:themeColor="text1"/>
          <w:sz w:val="24"/>
          <w:szCs w:val="20"/>
          <w:lang w:val="zh-CN"/>
        </w:rPr>
        <w:t>评标委员会按以下工作程序进行评标：</w:t>
      </w:r>
      <w:r>
        <w:rPr>
          <w:rFonts w:hint="eastAsia" w:ascii="宋体" w:hAnsi="宋体" w:eastAsia="宋体" w:cs="Times New Roman"/>
          <w:color w:val="000000" w:themeColor="text1"/>
          <w:sz w:val="24"/>
          <w:szCs w:val="20"/>
          <w:lang w:val="zh-CN"/>
        </w:rPr>
        <w:t>符合性审查、澄清有关问题、综合比较和评价、确定中标候选人名单。</w:t>
      </w:r>
    </w:p>
    <w:p>
      <w:pPr>
        <w:numPr>
          <w:ilvl w:val="0"/>
          <w:numId w:val="44"/>
        </w:numPr>
        <w:ind w:left="1311" w:leftChars="154" w:hanging="988" w:hangingChars="353"/>
        <w:rPr>
          <w:rFonts w:ascii="宋体" w:hAnsi="宋体" w:eastAsia="宋体" w:cs="Times New Roman"/>
          <w:strike/>
          <w:color w:val="000000" w:themeColor="text1"/>
          <w:sz w:val="28"/>
          <w:szCs w:val="28"/>
          <w:lang w:val="zh-CN"/>
        </w:rPr>
      </w:pPr>
      <w:r>
        <w:rPr>
          <w:rFonts w:hint="eastAsia" w:ascii="宋体" w:hAnsi="宋体" w:eastAsia="宋体" w:cs="Times New Roman"/>
          <w:b/>
          <w:color w:val="000000" w:themeColor="text1"/>
          <w:sz w:val="28"/>
          <w:szCs w:val="28"/>
          <w:lang w:val="zh-CN"/>
        </w:rPr>
        <w:t>符合性审查</w:t>
      </w:r>
    </w:p>
    <w:p>
      <w:pPr>
        <w:spacing w:line="360" w:lineRule="auto"/>
        <w:ind w:firstLine="470" w:firstLineChars="196"/>
        <w:rPr>
          <w:rFonts w:ascii="宋体" w:hAnsi="宋体" w:eastAsia="宋体" w:cs="Times New Roman"/>
          <w:bCs/>
          <w:color w:val="000000" w:themeColor="text1"/>
          <w:sz w:val="24"/>
          <w:szCs w:val="20"/>
          <w:lang w:val="zh-CN"/>
        </w:rPr>
      </w:pPr>
      <w:r>
        <w:rPr>
          <w:rFonts w:ascii="Helvetica" w:hAnsi="Helvetica" w:eastAsia="宋体" w:cs="Helvetica"/>
          <w:color w:val="000000" w:themeColor="text1"/>
          <w:kern w:val="0"/>
          <w:sz w:val="24"/>
          <w:szCs w:val="24"/>
          <w:lang w:val="zh-CN"/>
        </w:rPr>
        <w:t>评标委员会应当对符合资格的投标人的投标文件进行符合性审查，以确定其是否满足招标文件的实质性要求。</w:t>
      </w:r>
      <w:r>
        <w:rPr>
          <w:rFonts w:hint="eastAsia" w:ascii="宋体" w:hAnsi="宋体" w:eastAsia="宋体" w:cs="Times New Roman"/>
          <w:bCs/>
          <w:color w:val="000000" w:themeColor="text1"/>
          <w:sz w:val="24"/>
          <w:szCs w:val="20"/>
          <w:lang w:val="zh-CN"/>
        </w:rPr>
        <w:t>符合性审查出现下列情形之一的投标按照</w:t>
      </w:r>
      <w:r>
        <w:rPr>
          <w:rFonts w:hint="eastAsia" w:ascii="宋体" w:hAnsi="宋体" w:eastAsia="宋体" w:cs="Times New Roman"/>
          <w:b/>
          <w:bCs/>
          <w:color w:val="000000" w:themeColor="text1"/>
          <w:sz w:val="24"/>
          <w:szCs w:val="20"/>
          <w:lang w:val="zh-CN"/>
        </w:rPr>
        <w:t>无效投标处理</w:t>
      </w:r>
      <w:r>
        <w:rPr>
          <w:rFonts w:hint="eastAsia" w:ascii="宋体" w:hAnsi="宋体" w:eastAsia="宋体" w:cs="Times New Roman"/>
          <w:bCs/>
          <w:color w:val="000000" w:themeColor="text1"/>
          <w:sz w:val="24"/>
          <w:szCs w:val="20"/>
          <w:lang w:val="zh-CN"/>
        </w:rPr>
        <w:t>：</w:t>
      </w:r>
    </w:p>
    <w:p>
      <w:pPr>
        <w:numPr>
          <w:ilvl w:val="0"/>
          <w:numId w:val="45"/>
        </w:numPr>
        <w:tabs>
          <w:tab w:val="left" w:pos="616"/>
        </w:tabs>
        <w:spacing w:line="360" w:lineRule="auto"/>
        <w:ind w:left="10" w:leftChars="5" w:firstLine="237" w:firstLineChars="99"/>
        <w:rPr>
          <w:rFonts w:ascii="Times New Roman" w:hAnsi="宋体" w:eastAsia="宋体" w:cs="Times New Roman"/>
          <w:color w:val="000000" w:themeColor="text1"/>
          <w:sz w:val="24"/>
          <w:szCs w:val="24"/>
          <w:lang w:val="zh-CN"/>
        </w:rPr>
      </w:pPr>
      <w:r>
        <w:rPr>
          <w:rFonts w:hint="eastAsia" w:ascii="Times New Roman" w:hAnsi="宋体" w:eastAsia="宋体" w:cs="Times New Roman"/>
          <w:color w:val="000000" w:themeColor="text1"/>
          <w:sz w:val="24"/>
          <w:szCs w:val="24"/>
          <w:lang w:val="zh-CN"/>
        </w:rPr>
        <w:t>投标总报价超过项目（分包）预算金额或最高限价的；</w:t>
      </w:r>
    </w:p>
    <w:p>
      <w:pPr>
        <w:numPr>
          <w:ilvl w:val="0"/>
          <w:numId w:val="45"/>
        </w:numPr>
        <w:tabs>
          <w:tab w:val="left" w:pos="616"/>
        </w:tabs>
        <w:spacing w:line="360" w:lineRule="auto"/>
        <w:ind w:left="10" w:leftChars="5" w:firstLine="237" w:firstLineChars="99"/>
        <w:rPr>
          <w:rFonts w:ascii="Times New Roman" w:hAnsi="宋体" w:eastAsia="宋体" w:cs="Times New Roman"/>
          <w:color w:val="000000" w:themeColor="text1"/>
          <w:sz w:val="24"/>
          <w:szCs w:val="24"/>
          <w:lang w:val="zh-CN"/>
        </w:rPr>
      </w:pPr>
      <w:r>
        <w:rPr>
          <w:rFonts w:hint="eastAsia" w:ascii="Times New Roman" w:hAnsi="宋体" w:eastAsia="宋体" w:cs="Times New Roman"/>
          <w:color w:val="000000" w:themeColor="text1"/>
          <w:sz w:val="24"/>
          <w:szCs w:val="24"/>
          <w:lang w:val="zh-CN"/>
        </w:rPr>
        <w:t>《投标书》、《法定代表人授权书》、《开标一览表》、《投标报价明细表》未提供或不符合招标文件要求的；</w:t>
      </w:r>
    </w:p>
    <w:p>
      <w:pPr>
        <w:numPr>
          <w:ilvl w:val="0"/>
          <w:numId w:val="45"/>
        </w:numPr>
        <w:tabs>
          <w:tab w:val="left" w:pos="616"/>
        </w:tabs>
        <w:spacing w:line="360" w:lineRule="auto"/>
        <w:ind w:left="10" w:leftChars="5" w:firstLine="237" w:firstLineChars="99"/>
        <w:rPr>
          <w:rFonts w:ascii="Times New Roman" w:hAnsi="宋体" w:eastAsia="宋体" w:cs="Times New Roman"/>
          <w:color w:val="000000" w:themeColor="text1"/>
          <w:sz w:val="24"/>
          <w:szCs w:val="24"/>
          <w:lang w:val="zh-CN"/>
        </w:rPr>
      </w:pPr>
      <w:r>
        <w:rPr>
          <w:rFonts w:hint="eastAsia" w:ascii="Times New Roman" w:hAnsi="宋体" w:eastAsia="宋体" w:cs="Times New Roman"/>
          <w:color w:val="000000" w:themeColor="text1"/>
          <w:sz w:val="24"/>
          <w:szCs w:val="24"/>
          <w:lang w:val="zh-CN"/>
        </w:rPr>
        <w:t>工期（服务期限）、质保期不符合招标文件要求的；</w:t>
      </w:r>
    </w:p>
    <w:p>
      <w:pPr>
        <w:numPr>
          <w:ilvl w:val="0"/>
          <w:numId w:val="45"/>
        </w:numPr>
        <w:tabs>
          <w:tab w:val="left" w:pos="616"/>
        </w:tabs>
        <w:spacing w:line="360" w:lineRule="auto"/>
        <w:ind w:left="10" w:leftChars="5" w:firstLine="237" w:firstLineChars="99"/>
        <w:rPr>
          <w:rFonts w:ascii="Times New Roman" w:hAnsi="宋体" w:eastAsia="宋体" w:cs="Times New Roman"/>
          <w:color w:val="000000" w:themeColor="text1"/>
          <w:sz w:val="24"/>
          <w:szCs w:val="24"/>
          <w:lang w:val="zh-CN"/>
        </w:rPr>
      </w:pPr>
      <w:r>
        <w:rPr>
          <w:rFonts w:hint="eastAsia" w:ascii="Times New Roman" w:hAnsi="宋体" w:eastAsia="宋体" w:cs="Times New Roman"/>
          <w:color w:val="000000" w:themeColor="text1"/>
          <w:sz w:val="24"/>
          <w:szCs w:val="24"/>
          <w:lang w:val="zh-CN"/>
        </w:rPr>
        <w:t>投标保证金的交纳不符合招标文件要求的；</w:t>
      </w:r>
    </w:p>
    <w:p>
      <w:pPr>
        <w:numPr>
          <w:ilvl w:val="0"/>
          <w:numId w:val="45"/>
        </w:numPr>
        <w:tabs>
          <w:tab w:val="left" w:pos="616"/>
        </w:tabs>
        <w:spacing w:line="360" w:lineRule="auto"/>
        <w:ind w:left="10" w:leftChars="5" w:firstLine="237" w:firstLineChars="99"/>
        <w:rPr>
          <w:rFonts w:ascii="Times New Roman" w:hAnsi="宋体" w:eastAsia="宋体" w:cs="Times New Roman"/>
          <w:color w:val="000000" w:themeColor="text1"/>
          <w:sz w:val="24"/>
          <w:szCs w:val="24"/>
          <w:lang w:val="zh-CN"/>
        </w:rPr>
      </w:pPr>
      <w:r>
        <w:rPr>
          <w:rFonts w:hint="eastAsia" w:ascii="Times New Roman" w:hAnsi="宋体" w:eastAsia="宋体" w:cs="Times New Roman"/>
          <w:color w:val="000000" w:themeColor="text1"/>
          <w:sz w:val="24"/>
          <w:szCs w:val="24"/>
          <w:lang w:val="zh-CN"/>
        </w:rPr>
        <w:t>出现两个或两个以上不同报价的；</w:t>
      </w:r>
    </w:p>
    <w:p>
      <w:pPr>
        <w:numPr>
          <w:ilvl w:val="0"/>
          <w:numId w:val="45"/>
        </w:numPr>
        <w:tabs>
          <w:tab w:val="left" w:pos="616"/>
        </w:tabs>
        <w:spacing w:line="360" w:lineRule="auto"/>
        <w:ind w:left="10" w:leftChars="5" w:firstLine="237" w:firstLineChars="99"/>
        <w:rPr>
          <w:rFonts w:ascii="Times New Roman" w:hAnsi="宋体" w:eastAsia="宋体" w:cs="Times New Roman"/>
          <w:color w:val="000000" w:themeColor="text1"/>
          <w:sz w:val="24"/>
          <w:szCs w:val="24"/>
          <w:lang w:val="zh-CN"/>
        </w:rPr>
      </w:pPr>
      <w:r>
        <w:rPr>
          <w:rFonts w:hint="eastAsia" w:ascii="Times New Roman" w:hAnsi="宋体" w:eastAsia="宋体" w:cs="Times New Roman"/>
          <w:color w:val="000000" w:themeColor="text1"/>
          <w:sz w:val="24"/>
          <w:szCs w:val="24"/>
          <w:lang w:val="zh-CN"/>
        </w:rPr>
        <w:t>出现两个或两个以上投标方案的（招标文件中要求提供备选方案的除外）；</w:t>
      </w:r>
    </w:p>
    <w:p>
      <w:pPr>
        <w:numPr>
          <w:ilvl w:val="0"/>
          <w:numId w:val="45"/>
        </w:numPr>
        <w:tabs>
          <w:tab w:val="left" w:pos="616"/>
        </w:tabs>
        <w:spacing w:line="360" w:lineRule="auto"/>
        <w:ind w:left="10" w:leftChars="5" w:firstLine="237" w:firstLineChars="99"/>
        <w:rPr>
          <w:rFonts w:ascii="Times New Roman" w:hAnsi="宋体" w:eastAsia="宋体" w:cs="Times New Roman"/>
          <w:color w:val="000000" w:themeColor="text1"/>
          <w:sz w:val="24"/>
          <w:szCs w:val="24"/>
          <w:lang w:val="zh-CN"/>
        </w:rPr>
      </w:pPr>
      <w:r>
        <w:rPr>
          <w:rFonts w:hint="eastAsia" w:ascii="Times New Roman" w:hAnsi="宋体" w:eastAsia="宋体" w:cs="Times New Roman"/>
          <w:color w:val="000000" w:themeColor="text1"/>
          <w:sz w:val="24"/>
          <w:szCs w:val="24"/>
          <w:lang w:val="zh-CN"/>
        </w:rPr>
        <w:t>投标报价存在缺项、漏项的；</w:t>
      </w:r>
    </w:p>
    <w:p>
      <w:pPr>
        <w:numPr>
          <w:ilvl w:val="0"/>
          <w:numId w:val="45"/>
        </w:numPr>
        <w:tabs>
          <w:tab w:val="left" w:pos="616"/>
        </w:tabs>
        <w:spacing w:line="360" w:lineRule="auto"/>
        <w:ind w:left="10" w:leftChars="5" w:firstLine="237" w:firstLineChars="99"/>
        <w:rPr>
          <w:rFonts w:ascii="Times New Roman" w:hAnsi="宋体" w:eastAsia="宋体" w:cs="Times New Roman"/>
          <w:color w:val="000000" w:themeColor="text1"/>
          <w:sz w:val="24"/>
          <w:szCs w:val="24"/>
          <w:lang w:val="zh-CN"/>
        </w:rPr>
      </w:pPr>
      <w:r>
        <w:rPr>
          <w:rFonts w:hint="eastAsia" w:ascii="Times New Roman" w:hAnsi="宋体" w:eastAsia="宋体" w:cs="Times New Roman"/>
          <w:color w:val="000000" w:themeColor="text1"/>
          <w:sz w:val="24"/>
          <w:szCs w:val="24"/>
          <w:lang w:val="zh-CN"/>
        </w:rPr>
        <w:t>投标有效期不足的；</w:t>
      </w:r>
    </w:p>
    <w:p>
      <w:pPr>
        <w:numPr>
          <w:ilvl w:val="0"/>
          <w:numId w:val="45"/>
        </w:numPr>
        <w:tabs>
          <w:tab w:val="left" w:pos="616"/>
        </w:tabs>
        <w:spacing w:line="360" w:lineRule="auto"/>
        <w:ind w:left="10" w:leftChars="5" w:firstLine="237" w:firstLineChars="99"/>
        <w:rPr>
          <w:rFonts w:ascii="Times New Roman" w:hAnsi="宋体" w:eastAsia="宋体" w:cs="Times New Roman"/>
          <w:color w:val="000000" w:themeColor="text1"/>
          <w:sz w:val="24"/>
          <w:szCs w:val="24"/>
          <w:lang w:val="zh-CN"/>
        </w:rPr>
      </w:pPr>
      <w:r>
        <w:rPr>
          <w:rFonts w:hint="eastAsia" w:ascii="Times New Roman" w:hAnsi="宋体" w:eastAsia="宋体" w:cs="Times New Roman"/>
          <w:color w:val="000000" w:themeColor="text1"/>
          <w:sz w:val="24"/>
          <w:szCs w:val="24"/>
          <w:lang w:val="zh-CN"/>
        </w:rPr>
        <w:t>无法定代表人签字（签章）或签字（签章）人无法定代表人有效授权的；</w:t>
      </w:r>
    </w:p>
    <w:p>
      <w:pPr>
        <w:numPr>
          <w:ilvl w:val="0"/>
          <w:numId w:val="45"/>
        </w:numPr>
        <w:tabs>
          <w:tab w:val="left" w:pos="756"/>
        </w:tabs>
        <w:spacing w:line="360" w:lineRule="auto"/>
        <w:ind w:left="10" w:leftChars="5" w:firstLine="237" w:firstLineChars="99"/>
        <w:rPr>
          <w:rFonts w:ascii="Times New Roman" w:hAnsi="宋体" w:eastAsia="宋体" w:cs="Times New Roman"/>
          <w:color w:val="000000" w:themeColor="text1"/>
          <w:sz w:val="24"/>
          <w:szCs w:val="24"/>
          <w:lang w:val="zh-CN"/>
        </w:rPr>
      </w:pPr>
      <w:r>
        <w:rPr>
          <w:rFonts w:hint="eastAsia" w:ascii="Times New Roman" w:hAnsi="宋体" w:eastAsia="宋体" w:cs="Times New Roman"/>
          <w:color w:val="000000" w:themeColor="text1"/>
          <w:sz w:val="24"/>
          <w:szCs w:val="24"/>
          <w:lang w:val="zh-CN"/>
        </w:rPr>
        <w:t>正本未按要求提供加盖公章及签字（签章）原件的；</w:t>
      </w:r>
    </w:p>
    <w:p>
      <w:pPr>
        <w:numPr>
          <w:ilvl w:val="0"/>
          <w:numId w:val="45"/>
        </w:numPr>
        <w:tabs>
          <w:tab w:val="left" w:pos="742"/>
        </w:tabs>
        <w:spacing w:line="360" w:lineRule="auto"/>
        <w:ind w:left="10" w:leftChars="5" w:firstLine="237" w:firstLineChars="99"/>
        <w:rPr>
          <w:rFonts w:ascii="Times New Roman" w:hAnsi="宋体" w:eastAsia="宋体" w:cs="Times New Roman"/>
          <w:color w:val="000000" w:themeColor="text1"/>
          <w:sz w:val="24"/>
          <w:szCs w:val="24"/>
          <w:lang w:val="zh-CN"/>
        </w:rPr>
      </w:pPr>
      <w:r>
        <w:rPr>
          <w:rFonts w:hint="eastAsia" w:ascii="Times New Roman" w:hAnsi="宋体" w:eastAsia="宋体" w:cs="Times New Roman"/>
          <w:color w:val="000000" w:themeColor="text1"/>
          <w:sz w:val="24"/>
          <w:szCs w:val="24"/>
          <w:lang w:val="zh-CN"/>
        </w:rPr>
        <w:t>符合招标文件第二章“投标人须知”中40条中规定情形，以分公司形式参与投标的，法定代表人授权书未由总公司法定代表人签字（盖章）并加盖公章的；</w:t>
      </w:r>
    </w:p>
    <w:p>
      <w:pPr>
        <w:numPr>
          <w:ilvl w:val="0"/>
          <w:numId w:val="45"/>
        </w:numPr>
        <w:tabs>
          <w:tab w:val="left" w:pos="742"/>
        </w:tabs>
        <w:spacing w:line="360" w:lineRule="auto"/>
        <w:ind w:left="10" w:leftChars="5" w:firstLine="237" w:firstLineChars="99"/>
        <w:rPr>
          <w:rFonts w:ascii="Times New Roman" w:hAnsi="宋体" w:eastAsia="宋体" w:cs="Times New Roman"/>
          <w:color w:val="000000" w:themeColor="text1"/>
          <w:sz w:val="24"/>
          <w:szCs w:val="24"/>
          <w:lang w:val="zh-CN"/>
        </w:rPr>
      </w:pPr>
      <w:r>
        <w:rPr>
          <w:rFonts w:hint="eastAsia" w:ascii="Times New Roman" w:hAnsi="宋体" w:eastAsia="宋体" w:cs="Times New Roman"/>
          <w:color w:val="000000" w:themeColor="text1"/>
          <w:sz w:val="24"/>
          <w:szCs w:val="24"/>
          <w:lang w:val="zh-CN"/>
        </w:rPr>
        <w:t>未按要求提供招标文件第二章“十一 其他注意事项”中规定的书面声明的；</w:t>
      </w:r>
    </w:p>
    <w:p>
      <w:pPr>
        <w:numPr>
          <w:ilvl w:val="0"/>
          <w:numId w:val="45"/>
        </w:numPr>
        <w:tabs>
          <w:tab w:val="left" w:pos="742"/>
        </w:tabs>
        <w:spacing w:line="360" w:lineRule="auto"/>
        <w:ind w:left="10" w:leftChars="5" w:firstLine="237" w:firstLineChars="99"/>
        <w:rPr>
          <w:rFonts w:ascii="Times New Roman" w:hAnsi="宋体" w:eastAsia="宋体" w:cs="Times New Roman"/>
          <w:color w:val="000000" w:themeColor="text1"/>
          <w:sz w:val="24"/>
          <w:szCs w:val="24"/>
          <w:lang w:val="zh-CN"/>
        </w:rPr>
      </w:pPr>
      <w:r>
        <w:rPr>
          <w:rFonts w:hint="eastAsia" w:ascii="Times New Roman" w:hAnsi="宋体" w:eastAsia="宋体" w:cs="Times New Roman"/>
          <w:color w:val="000000" w:themeColor="text1"/>
          <w:sz w:val="24"/>
          <w:szCs w:val="24"/>
          <w:lang w:val="zh-CN"/>
        </w:rPr>
        <w:t>招标文件中有节能产品强制要求的，投标人未按要求提供最新一期《节能产品政府采购清单》（正式稿）中的产品型号且未附该产品清单所在完整页面；若节能产品中有台式计算机的，未按要求提供最新一期《节能产品政府采购清单台式计算机性能参数》中产品性能参数的所在完整页面且所投型号和所列性能参数不一致的；</w:t>
      </w:r>
    </w:p>
    <w:p>
      <w:pPr>
        <w:numPr>
          <w:ilvl w:val="0"/>
          <w:numId w:val="45"/>
        </w:numPr>
        <w:tabs>
          <w:tab w:val="left" w:pos="742"/>
        </w:tabs>
        <w:spacing w:line="360" w:lineRule="auto"/>
        <w:ind w:left="10" w:leftChars="5" w:firstLine="237" w:firstLineChars="99"/>
        <w:rPr>
          <w:rFonts w:ascii="Times New Roman" w:hAnsi="宋体" w:eastAsia="宋体" w:cs="Times New Roman"/>
          <w:color w:val="000000" w:themeColor="text1"/>
          <w:sz w:val="24"/>
          <w:szCs w:val="24"/>
          <w:lang w:val="zh-CN"/>
        </w:rPr>
      </w:pPr>
      <w:r>
        <w:rPr>
          <w:rFonts w:hint="eastAsia" w:ascii="Times New Roman" w:hAnsi="宋体" w:eastAsia="宋体" w:cs="Times New Roman"/>
          <w:color w:val="000000" w:themeColor="text1"/>
          <w:sz w:val="24"/>
          <w:szCs w:val="24"/>
          <w:lang w:val="zh-CN"/>
        </w:rPr>
        <w:t>所投货物是通过中国海关报关验放进入中国境内且产自关境外的（招标文件中注明已办理进口产品核准的除外）；</w:t>
      </w:r>
    </w:p>
    <w:p>
      <w:pPr>
        <w:numPr>
          <w:ilvl w:val="0"/>
          <w:numId w:val="45"/>
        </w:numPr>
        <w:tabs>
          <w:tab w:val="left" w:pos="742"/>
        </w:tabs>
        <w:spacing w:line="360" w:lineRule="auto"/>
        <w:ind w:left="10" w:leftChars="5" w:firstLine="237" w:firstLineChars="99"/>
        <w:rPr>
          <w:rFonts w:ascii="Times New Roman" w:hAnsi="宋体" w:eastAsia="宋体" w:cs="Times New Roman"/>
          <w:color w:val="000000" w:themeColor="text1"/>
          <w:sz w:val="24"/>
          <w:szCs w:val="24"/>
          <w:lang w:val="zh-CN"/>
        </w:rPr>
      </w:pPr>
      <w:r>
        <w:rPr>
          <w:rFonts w:hint="eastAsia" w:ascii="Times New Roman" w:hAnsi="宋体" w:eastAsia="宋体" w:cs="Times New Roman"/>
          <w:color w:val="000000" w:themeColor="text1"/>
          <w:sz w:val="24"/>
          <w:szCs w:val="24"/>
          <w:lang w:val="zh-CN"/>
        </w:rPr>
        <w:t>未提供所投货物（工程或服务）的具体参数值或功能表述，或原文复制招标文件的技术规格相关部分内容作为其投标文件的一部分的；</w:t>
      </w:r>
    </w:p>
    <w:p>
      <w:pPr>
        <w:numPr>
          <w:ilvl w:val="0"/>
          <w:numId w:val="45"/>
        </w:numPr>
        <w:tabs>
          <w:tab w:val="left" w:pos="742"/>
        </w:tabs>
        <w:spacing w:line="360" w:lineRule="auto"/>
        <w:ind w:left="10" w:leftChars="5" w:firstLine="237" w:firstLineChars="99"/>
        <w:rPr>
          <w:rFonts w:ascii="Times New Roman" w:hAnsi="宋体" w:eastAsia="宋体" w:cs="Times New Roman"/>
          <w:color w:val="000000" w:themeColor="text1"/>
          <w:sz w:val="24"/>
          <w:szCs w:val="24"/>
          <w:lang w:val="zh-CN"/>
        </w:rPr>
      </w:pPr>
      <w:r>
        <w:rPr>
          <w:rFonts w:hint="eastAsia" w:ascii="Times New Roman" w:hAnsi="宋体" w:eastAsia="宋体" w:cs="Times New Roman"/>
          <w:color w:val="000000" w:themeColor="text1"/>
          <w:sz w:val="24"/>
          <w:szCs w:val="24"/>
          <w:lang w:val="zh-CN"/>
        </w:rPr>
        <w:t>不满足招标文件第三章“项目技术、服务和商务要求”中“★”号条款要求的；</w:t>
      </w:r>
    </w:p>
    <w:p>
      <w:pPr>
        <w:numPr>
          <w:ilvl w:val="0"/>
          <w:numId w:val="45"/>
        </w:numPr>
        <w:tabs>
          <w:tab w:val="left" w:pos="742"/>
        </w:tabs>
        <w:spacing w:line="360" w:lineRule="auto"/>
        <w:ind w:left="10" w:leftChars="5" w:firstLine="237" w:firstLineChars="99"/>
        <w:rPr>
          <w:rFonts w:ascii="Times New Roman" w:hAnsi="宋体" w:eastAsia="宋体" w:cs="Times New Roman"/>
          <w:color w:val="000000" w:themeColor="text1"/>
          <w:sz w:val="24"/>
          <w:szCs w:val="24"/>
          <w:lang w:val="zh-CN"/>
        </w:rPr>
      </w:pPr>
      <w:r>
        <w:rPr>
          <w:rFonts w:ascii="Times New Roman" w:hAnsi="宋体" w:eastAsia="宋体" w:cs="Times New Roman"/>
          <w:color w:val="000000" w:themeColor="text1"/>
          <w:sz w:val="24"/>
          <w:szCs w:val="24"/>
          <w:lang w:val="zh-CN"/>
        </w:rPr>
        <w:t>含有采购人不能接受的附加条件的</w:t>
      </w:r>
      <w:r>
        <w:rPr>
          <w:rFonts w:hint="eastAsia" w:ascii="Times New Roman" w:hAnsi="宋体" w:eastAsia="宋体" w:cs="Times New Roman"/>
          <w:color w:val="000000" w:themeColor="text1"/>
          <w:sz w:val="24"/>
          <w:szCs w:val="24"/>
          <w:lang w:val="zh-CN"/>
        </w:rPr>
        <w:t>；</w:t>
      </w:r>
    </w:p>
    <w:p>
      <w:pPr>
        <w:numPr>
          <w:ilvl w:val="0"/>
          <w:numId w:val="45"/>
        </w:numPr>
        <w:tabs>
          <w:tab w:val="left" w:pos="742"/>
        </w:tabs>
        <w:spacing w:line="360" w:lineRule="auto"/>
        <w:ind w:left="10" w:leftChars="5" w:firstLine="237" w:firstLineChars="99"/>
        <w:rPr>
          <w:rFonts w:ascii="Times New Roman" w:hAnsi="宋体" w:eastAsia="宋体" w:cs="Times New Roman"/>
          <w:color w:val="000000" w:themeColor="text1"/>
          <w:sz w:val="24"/>
          <w:szCs w:val="24"/>
          <w:lang w:val="zh-CN"/>
        </w:rPr>
      </w:pPr>
      <w:r>
        <w:rPr>
          <w:rFonts w:hint="eastAsia" w:ascii="Times New Roman" w:hAnsi="宋体" w:eastAsia="宋体" w:cs="Times New Roman"/>
          <w:color w:val="000000" w:themeColor="text1"/>
          <w:sz w:val="24"/>
          <w:szCs w:val="24"/>
          <w:lang w:val="zh-CN"/>
        </w:rPr>
        <w:t>未按要求提供《符合性审查对照表》、《商务要求响应、偏离说明表》、《商务要求“★”号条款响应、偏离说明表》、《商务评议对照表》和《技术、服务要求响应、偏离说明表》、《技术、服务要求“★”号条款响应、偏离说明表》、《技术、服务评议对照表》的；</w:t>
      </w:r>
    </w:p>
    <w:p>
      <w:pPr>
        <w:numPr>
          <w:ilvl w:val="0"/>
          <w:numId w:val="45"/>
        </w:numPr>
        <w:tabs>
          <w:tab w:val="left" w:pos="742"/>
        </w:tabs>
        <w:spacing w:line="360" w:lineRule="auto"/>
        <w:ind w:left="10" w:leftChars="5" w:firstLine="237" w:firstLineChars="99"/>
        <w:rPr>
          <w:rFonts w:ascii="Times New Roman" w:hAnsi="宋体" w:eastAsia="宋体" w:cs="Times New Roman"/>
          <w:color w:val="000000" w:themeColor="text1"/>
          <w:sz w:val="24"/>
          <w:szCs w:val="24"/>
          <w:lang w:val="zh-CN"/>
        </w:rPr>
      </w:pPr>
      <w:r>
        <w:rPr>
          <w:rFonts w:ascii="Times New Roman" w:hAnsi="宋体" w:eastAsia="宋体" w:cs="Times New Roman"/>
          <w:color w:val="000000" w:themeColor="text1"/>
          <w:sz w:val="24"/>
          <w:szCs w:val="24"/>
          <w:lang w:val="zh-CN"/>
        </w:rPr>
        <w:t>法律、法规</w:t>
      </w:r>
      <w:r>
        <w:rPr>
          <w:rFonts w:hint="eastAsia" w:ascii="Times New Roman" w:hAnsi="宋体" w:eastAsia="宋体" w:cs="Times New Roman"/>
          <w:color w:val="000000" w:themeColor="text1"/>
          <w:sz w:val="24"/>
          <w:szCs w:val="24"/>
          <w:lang w:val="zh-CN"/>
        </w:rPr>
        <w:t>和招标文件</w:t>
      </w:r>
      <w:r>
        <w:rPr>
          <w:rFonts w:ascii="Times New Roman" w:hAnsi="宋体" w:eastAsia="宋体" w:cs="Times New Roman"/>
          <w:color w:val="000000" w:themeColor="text1"/>
          <w:sz w:val="24"/>
          <w:szCs w:val="24"/>
          <w:lang w:val="zh-CN"/>
        </w:rPr>
        <w:t>规定的其他</w:t>
      </w:r>
      <w:r>
        <w:rPr>
          <w:rFonts w:hint="eastAsia" w:ascii="Times New Roman" w:hAnsi="宋体" w:eastAsia="宋体" w:cs="Times New Roman"/>
          <w:color w:val="000000" w:themeColor="text1"/>
          <w:sz w:val="24"/>
          <w:szCs w:val="24"/>
          <w:lang w:val="zh-CN"/>
        </w:rPr>
        <w:t>无效投标</w:t>
      </w:r>
      <w:r>
        <w:rPr>
          <w:rFonts w:ascii="Times New Roman" w:hAnsi="宋体" w:eastAsia="宋体" w:cs="Times New Roman"/>
          <w:color w:val="000000" w:themeColor="text1"/>
          <w:sz w:val="24"/>
          <w:szCs w:val="24"/>
          <w:lang w:val="zh-CN"/>
        </w:rPr>
        <w:t>情形。</w:t>
      </w:r>
    </w:p>
    <w:p>
      <w:pPr>
        <w:numPr>
          <w:ilvl w:val="0"/>
          <w:numId w:val="44"/>
        </w:numPr>
        <w:ind w:left="1311" w:leftChars="154" w:hanging="988" w:hangingChars="353"/>
        <w:rPr>
          <w:rFonts w:ascii="宋体" w:hAnsi="宋体" w:eastAsia="宋体" w:cs="Times New Roman"/>
          <w:b/>
          <w:color w:val="000000" w:themeColor="text1"/>
          <w:sz w:val="28"/>
          <w:szCs w:val="28"/>
          <w:lang w:val="zh-CN"/>
        </w:rPr>
      </w:pPr>
      <w:r>
        <w:rPr>
          <w:rFonts w:hint="eastAsia" w:ascii="宋体" w:hAnsi="宋体" w:eastAsia="宋体" w:cs="Times New Roman"/>
          <w:b/>
          <w:color w:val="000000" w:themeColor="text1"/>
          <w:sz w:val="28"/>
          <w:szCs w:val="28"/>
          <w:lang w:val="zh-CN"/>
        </w:rPr>
        <w:t>澄清有关问题</w:t>
      </w:r>
    </w:p>
    <w:p>
      <w:pPr>
        <w:numPr>
          <w:ilvl w:val="0"/>
          <w:numId w:val="46"/>
        </w:numPr>
        <w:tabs>
          <w:tab w:val="left" w:pos="616"/>
        </w:tabs>
        <w:spacing w:line="360" w:lineRule="auto"/>
        <w:ind w:left="10" w:leftChars="5" w:firstLine="237" w:firstLineChars="99"/>
        <w:rPr>
          <w:rFonts w:ascii="Helvetica" w:hAnsi="Helvetica" w:eastAsia="宋体" w:cs="Helvetica"/>
          <w:color w:val="000000" w:themeColor="text1"/>
          <w:kern w:val="0"/>
          <w:sz w:val="24"/>
          <w:szCs w:val="24"/>
          <w:lang w:val="zh-CN"/>
        </w:rPr>
      </w:pPr>
      <w:r>
        <w:rPr>
          <w:rFonts w:hint="eastAsia" w:ascii="Helvetica" w:hAnsi="Helvetica" w:eastAsia="宋体" w:cs="Helvetica"/>
          <w:color w:val="000000" w:themeColor="text1"/>
          <w:kern w:val="0"/>
          <w:sz w:val="24"/>
          <w:szCs w:val="24"/>
          <w:lang w:val="zh-CN"/>
        </w:rPr>
        <w:t>评标期间，</w:t>
      </w:r>
      <w:r>
        <w:rPr>
          <w:rFonts w:ascii="Helvetica" w:hAnsi="Helvetica" w:eastAsia="宋体" w:cs="Helvetica"/>
          <w:color w:val="000000" w:themeColor="text1"/>
          <w:kern w:val="0"/>
          <w:sz w:val="24"/>
          <w:szCs w:val="24"/>
          <w:lang w:val="zh-CN"/>
        </w:rPr>
        <w:t>对于投标文件中含义不明确、同类问题表述不一致或者有明显文字和计算错误的内容，评标委员会应当以书面形式要求投标人作出必要的澄清、说明或者补正。</w:t>
      </w:r>
    </w:p>
    <w:p>
      <w:pPr>
        <w:numPr>
          <w:ilvl w:val="0"/>
          <w:numId w:val="46"/>
        </w:numPr>
        <w:tabs>
          <w:tab w:val="left" w:pos="616"/>
        </w:tabs>
        <w:spacing w:line="360" w:lineRule="auto"/>
        <w:ind w:left="10" w:leftChars="5" w:firstLine="237" w:firstLineChars="99"/>
        <w:rPr>
          <w:rFonts w:ascii="宋体" w:hAnsi="宋体" w:eastAsia="宋体" w:cs="Times New Roman"/>
          <w:bCs/>
          <w:strike/>
          <w:color w:val="000000" w:themeColor="text1"/>
          <w:sz w:val="24"/>
          <w:szCs w:val="20"/>
          <w:lang w:val="zh-CN"/>
        </w:rPr>
      </w:pPr>
      <w:r>
        <w:rPr>
          <w:rFonts w:hint="eastAsia" w:ascii="宋体" w:hAnsi="宋体" w:eastAsia="宋体" w:cs="Times New Roman"/>
          <w:bCs/>
          <w:color w:val="000000" w:themeColor="text1"/>
          <w:sz w:val="24"/>
          <w:szCs w:val="20"/>
          <w:lang w:val="zh-CN"/>
        </w:rPr>
        <w:t>投标人应按照评标委员会要求的澄清内容在规定时间内做出澄清。</w:t>
      </w:r>
      <w:r>
        <w:rPr>
          <w:rFonts w:ascii="宋体" w:hAnsi="宋体" w:eastAsia="宋体" w:cs="Times New Roman"/>
          <w:color w:val="000000" w:themeColor="text1"/>
          <w:sz w:val="24"/>
          <w:szCs w:val="20"/>
          <w:lang w:val="zh-CN"/>
        </w:rPr>
        <w:t>投标文件报价出现前后不一致的</w:t>
      </w:r>
      <w:r>
        <w:rPr>
          <w:rFonts w:hint="eastAsia" w:ascii="宋体" w:hAnsi="宋体" w:eastAsia="宋体" w:cs="Times New Roman"/>
          <w:color w:val="000000" w:themeColor="text1"/>
          <w:sz w:val="24"/>
          <w:szCs w:val="20"/>
          <w:lang w:val="zh-CN"/>
        </w:rPr>
        <w:t>，按照本节第3</w:t>
      </w:r>
      <w:r>
        <w:rPr>
          <w:rFonts w:hint="eastAsia" w:ascii="宋体" w:hAnsi="宋体" w:eastAsia="宋体" w:cs="Times New Roman"/>
          <w:bCs/>
          <w:color w:val="000000" w:themeColor="text1"/>
          <w:sz w:val="24"/>
          <w:szCs w:val="20"/>
          <w:lang w:val="zh-CN"/>
        </w:rPr>
        <w:t>条规定进行修正，</w:t>
      </w:r>
      <w:r>
        <w:rPr>
          <w:rFonts w:ascii="Helvetica" w:hAnsi="Helvetica" w:eastAsia="宋体" w:cs="Helvetica"/>
          <w:color w:val="000000" w:themeColor="text1"/>
          <w:kern w:val="0"/>
          <w:sz w:val="24"/>
          <w:szCs w:val="24"/>
          <w:lang w:val="zh-CN"/>
        </w:rPr>
        <w:t>投标人的澄清、说明或者补正不得超出投标文件的范围或者改变投标文件的实质性内容。</w:t>
      </w:r>
    </w:p>
    <w:p>
      <w:pPr>
        <w:numPr>
          <w:ilvl w:val="0"/>
          <w:numId w:val="46"/>
        </w:numPr>
        <w:tabs>
          <w:tab w:val="left" w:pos="616"/>
        </w:tabs>
        <w:spacing w:line="360" w:lineRule="auto"/>
        <w:ind w:left="10" w:leftChars="5" w:firstLine="237" w:firstLineChars="99"/>
        <w:rPr>
          <w:rFonts w:ascii="宋体" w:hAnsi="宋体" w:eastAsia="宋体" w:cs="Times New Roman"/>
          <w:bCs/>
          <w:color w:val="000000" w:themeColor="text1"/>
          <w:sz w:val="24"/>
          <w:szCs w:val="20"/>
          <w:lang w:val="zh-CN"/>
        </w:rPr>
      </w:pPr>
      <w:r>
        <w:rPr>
          <w:rFonts w:ascii="宋体" w:hAnsi="宋体" w:eastAsia="宋体" w:cs="Times New Roman"/>
          <w:bCs/>
          <w:color w:val="000000" w:themeColor="text1"/>
          <w:sz w:val="24"/>
          <w:szCs w:val="20"/>
          <w:lang w:val="zh-CN"/>
        </w:rPr>
        <w:t>投标文件报价出现前后不一致的，按照下列规定修正：</w:t>
      </w:r>
    </w:p>
    <w:p>
      <w:pPr>
        <w:numPr>
          <w:ilvl w:val="0"/>
          <w:numId w:val="47"/>
        </w:numPr>
        <w:adjustRightInd w:val="0"/>
        <w:spacing w:line="360" w:lineRule="auto"/>
        <w:ind w:left="742" w:hanging="493"/>
        <w:rPr>
          <w:rFonts w:ascii="宋体" w:hAnsi="宋体" w:eastAsia="宋体" w:cs="Times New Roman"/>
          <w:color w:val="000000" w:themeColor="text1"/>
          <w:sz w:val="24"/>
          <w:szCs w:val="24"/>
          <w:lang w:val="zh-CN"/>
        </w:rPr>
      </w:pPr>
      <w:r>
        <w:rPr>
          <w:rFonts w:ascii="宋体" w:hAnsi="宋体" w:eastAsia="宋体" w:cs="Times New Roman"/>
          <w:color w:val="000000" w:themeColor="text1"/>
          <w:sz w:val="24"/>
          <w:szCs w:val="24"/>
          <w:lang w:val="zh-CN"/>
        </w:rPr>
        <w:t>投标文件中开标一览表内容与投标文件中相应内容不一致的，以开标一览表为准</w:t>
      </w:r>
      <w:r>
        <w:rPr>
          <w:rFonts w:hint="eastAsia" w:ascii="宋体" w:hAnsi="宋体" w:eastAsia="宋体" w:cs="Times New Roman"/>
          <w:color w:val="000000" w:themeColor="text1"/>
          <w:sz w:val="24"/>
          <w:szCs w:val="24"/>
          <w:lang w:val="zh-CN"/>
        </w:rPr>
        <w:t>。</w:t>
      </w:r>
    </w:p>
    <w:p>
      <w:pPr>
        <w:numPr>
          <w:ilvl w:val="0"/>
          <w:numId w:val="47"/>
        </w:numPr>
        <w:adjustRightInd w:val="0"/>
        <w:spacing w:line="360" w:lineRule="auto"/>
        <w:ind w:left="742" w:hanging="493"/>
        <w:rPr>
          <w:rFonts w:ascii="宋体" w:hAnsi="宋体" w:eastAsia="宋体" w:cs="Times New Roman"/>
          <w:color w:val="000000" w:themeColor="text1"/>
          <w:sz w:val="24"/>
          <w:szCs w:val="24"/>
          <w:lang w:val="zh-CN"/>
        </w:rPr>
      </w:pPr>
      <w:r>
        <w:rPr>
          <w:rFonts w:ascii="宋体" w:hAnsi="宋体" w:eastAsia="宋体" w:cs="Times New Roman"/>
          <w:color w:val="000000" w:themeColor="text1"/>
          <w:sz w:val="24"/>
          <w:szCs w:val="24"/>
          <w:lang w:val="zh-CN"/>
        </w:rPr>
        <w:t>大写金额和小写金额不一致的，以大写金额为准</w:t>
      </w:r>
      <w:r>
        <w:rPr>
          <w:rFonts w:hint="eastAsia" w:ascii="宋体" w:hAnsi="宋体" w:eastAsia="宋体" w:cs="Times New Roman"/>
          <w:color w:val="000000" w:themeColor="text1"/>
          <w:sz w:val="24"/>
          <w:szCs w:val="24"/>
          <w:lang w:val="zh-CN"/>
        </w:rPr>
        <w:t>。</w:t>
      </w:r>
    </w:p>
    <w:p>
      <w:pPr>
        <w:numPr>
          <w:ilvl w:val="0"/>
          <w:numId w:val="47"/>
        </w:numPr>
        <w:adjustRightInd w:val="0"/>
        <w:spacing w:line="360" w:lineRule="auto"/>
        <w:ind w:left="742" w:hanging="493"/>
        <w:rPr>
          <w:rFonts w:ascii="宋体" w:hAnsi="宋体" w:eastAsia="宋体" w:cs="Times New Roman"/>
          <w:color w:val="000000" w:themeColor="text1"/>
          <w:sz w:val="24"/>
          <w:szCs w:val="24"/>
          <w:lang w:val="zh-CN"/>
        </w:rPr>
      </w:pPr>
      <w:r>
        <w:rPr>
          <w:rFonts w:ascii="宋体" w:hAnsi="宋体" w:eastAsia="宋体" w:cs="Times New Roman"/>
          <w:color w:val="000000" w:themeColor="text1"/>
          <w:sz w:val="24"/>
          <w:szCs w:val="24"/>
          <w:lang w:val="zh-CN"/>
        </w:rPr>
        <w:t>单价金额小数点或者百分比有明显错位的，以开标一览表的总价为准，并修改单价</w:t>
      </w:r>
      <w:r>
        <w:rPr>
          <w:rFonts w:hint="eastAsia" w:ascii="宋体" w:hAnsi="宋体" w:eastAsia="宋体" w:cs="Times New Roman"/>
          <w:color w:val="000000" w:themeColor="text1"/>
          <w:sz w:val="24"/>
          <w:szCs w:val="24"/>
          <w:lang w:val="zh-CN"/>
        </w:rPr>
        <w:t>。</w:t>
      </w:r>
    </w:p>
    <w:p>
      <w:pPr>
        <w:numPr>
          <w:ilvl w:val="0"/>
          <w:numId w:val="47"/>
        </w:numPr>
        <w:adjustRightInd w:val="0"/>
        <w:spacing w:line="360" w:lineRule="auto"/>
        <w:ind w:left="742" w:hanging="493"/>
        <w:rPr>
          <w:rFonts w:ascii="宋体" w:hAnsi="宋体" w:eastAsia="宋体" w:cs="Times New Roman"/>
          <w:color w:val="000000" w:themeColor="text1"/>
          <w:sz w:val="24"/>
          <w:szCs w:val="24"/>
          <w:lang w:val="zh-CN"/>
        </w:rPr>
      </w:pPr>
      <w:r>
        <w:rPr>
          <w:rFonts w:ascii="宋体" w:hAnsi="宋体" w:eastAsia="宋体" w:cs="Times New Roman"/>
          <w:color w:val="000000" w:themeColor="text1"/>
          <w:sz w:val="24"/>
          <w:szCs w:val="24"/>
          <w:lang w:val="zh-CN"/>
        </w:rPr>
        <w:t>总价金额与按单价汇总金额不一致的，以单价金额计算结果为准</w:t>
      </w:r>
      <w:r>
        <w:rPr>
          <w:rFonts w:hint="eastAsia" w:ascii="宋体" w:hAnsi="宋体" w:eastAsia="宋体" w:cs="Times New Roman"/>
          <w:color w:val="000000" w:themeColor="text1"/>
          <w:sz w:val="24"/>
          <w:szCs w:val="24"/>
          <w:lang w:val="zh-CN"/>
        </w:rPr>
        <w:t>。</w:t>
      </w:r>
    </w:p>
    <w:p>
      <w:pPr>
        <w:numPr>
          <w:ilvl w:val="0"/>
          <w:numId w:val="47"/>
        </w:numPr>
        <w:adjustRightInd w:val="0"/>
        <w:spacing w:line="360" w:lineRule="auto"/>
        <w:ind w:left="742" w:hanging="493"/>
        <w:rPr>
          <w:rFonts w:ascii="宋体" w:hAnsi="宋体" w:eastAsia="宋体" w:cs="Times New Roman"/>
          <w:color w:val="000000" w:themeColor="text1"/>
          <w:sz w:val="24"/>
          <w:szCs w:val="24"/>
          <w:lang w:val="zh-CN"/>
        </w:rPr>
      </w:pPr>
      <w:r>
        <w:rPr>
          <w:rFonts w:ascii="宋体" w:hAnsi="宋体" w:eastAsia="宋体" w:cs="Times New Roman"/>
          <w:color w:val="000000" w:themeColor="text1"/>
          <w:sz w:val="24"/>
          <w:szCs w:val="24"/>
          <w:lang w:val="zh-CN"/>
        </w:rPr>
        <w:t>同时出现两种以上不一致的，按照前款规定的顺序修正</w:t>
      </w:r>
      <w:r>
        <w:rPr>
          <w:rFonts w:hint="eastAsia" w:ascii="宋体" w:hAnsi="宋体" w:eastAsia="宋体" w:cs="Times New Roman"/>
          <w:color w:val="000000" w:themeColor="text1"/>
          <w:sz w:val="24"/>
          <w:szCs w:val="24"/>
          <w:lang w:val="zh-CN"/>
        </w:rPr>
        <w:t>。</w:t>
      </w:r>
    </w:p>
    <w:p>
      <w:pPr>
        <w:numPr>
          <w:ilvl w:val="0"/>
          <w:numId w:val="47"/>
        </w:numPr>
        <w:adjustRightInd w:val="0"/>
        <w:spacing w:line="360" w:lineRule="auto"/>
        <w:ind w:left="742" w:hanging="493"/>
        <w:rPr>
          <w:rFonts w:ascii="宋体" w:hAnsi="宋体" w:eastAsia="宋体" w:cs="Times New Roman"/>
          <w:color w:val="000000" w:themeColor="text1"/>
          <w:sz w:val="24"/>
          <w:szCs w:val="24"/>
          <w:lang w:val="zh-CN"/>
        </w:rPr>
      </w:pPr>
      <w:r>
        <w:rPr>
          <w:rFonts w:ascii="宋体" w:hAnsi="宋体" w:eastAsia="宋体" w:cs="Times New Roman"/>
          <w:color w:val="000000" w:themeColor="text1"/>
          <w:sz w:val="24"/>
          <w:szCs w:val="24"/>
          <w:lang w:val="zh-CN"/>
        </w:rPr>
        <w:t>修正后的报价按照</w:t>
      </w:r>
      <w:r>
        <w:rPr>
          <w:rFonts w:hint="eastAsia" w:ascii="宋体" w:hAnsi="宋体" w:eastAsia="宋体" w:cs="Times New Roman"/>
          <w:color w:val="000000" w:themeColor="text1"/>
          <w:sz w:val="24"/>
          <w:szCs w:val="24"/>
          <w:lang w:val="zh-CN"/>
        </w:rPr>
        <w:t>本节第4条规定</w:t>
      </w:r>
      <w:r>
        <w:rPr>
          <w:rFonts w:ascii="宋体" w:hAnsi="宋体" w:eastAsia="宋体" w:cs="Times New Roman"/>
          <w:color w:val="000000" w:themeColor="text1"/>
          <w:sz w:val="24"/>
          <w:szCs w:val="24"/>
          <w:lang w:val="zh-CN"/>
        </w:rPr>
        <w:t>经投标人确认后产生约束力，投标人不确认的，</w:t>
      </w:r>
      <w:r>
        <w:rPr>
          <w:rFonts w:hint="eastAsia" w:ascii="宋体" w:hAnsi="宋体" w:eastAsia="宋体" w:cs="Times New Roman"/>
          <w:color w:val="000000" w:themeColor="text1"/>
          <w:sz w:val="24"/>
          <w:szCs w:val="24"/>
          <w:lang w:val="zh-CN"/>
        </w:rPr>
        <w:t>按照</w:t>
      </w:r>
      <w:r>
        <w:rPr>
          <w:rFonts w:ascii="宋体" w:hAnsi="宋体" w:eastAsia="宋体" w:cs="Times New Roman"/>
          <w:b/>
          <w:color w:val="000000" w:themeColor="text1"/>
          <w:sz w:val="24"/>
          <w:szCs w:val="24"/>
          <w:lang w:val="zh-CN"/>
        </w:rPr>
        <w:t>无效</w:t>
      </w:r>
      <w:r>
        <w:rPr>
          <w:rFonts w:hint="eastAsia" w:ascii="宋体" w:hAnsi="宋体" w:eastAsia="宋体" w:cs="Times New Roman"/>
          <w:b/>
          <w:color w:val="000000" w:themeColor="text1"/>
          <w:sz w:val="24"/>
          <w:szCs w:val="24"/>
          <w:lang w:val="zh-CN"/>
        </w:rPr>
        <w:t>投标处理</w:t>
      </w:r>
      <w:r>
        <w:rPr>
          <w:rFonts w:ascii="宋体" w:hAnsi="宋体" w:eastAsia="宋体" w:cs="Times New Roman"/>
          <w:color w:val="000000" w:themeColor="text1"/>
          <w:sz w:val="24"/>
          <w:szCs w:val="24"/>
          <w:lang w:val="zh-CN"/>
        </w:rPr>
        <w:t>。</w:t>
      </w:r>
    </w:p>
    <w:p>
      <w:pPr>
        <w:numPr>
          <w:ilvl w:val="0"/>
          <w:numId w:val="46"/>
        </w:numPr>
        <w:tabs>
          <w:tab w:val="left" w:pos="616"/>
        </w:tabs>
        <w:spacing w:line="360" w:lineRule="auto"/>
        <w:ind w:left="10" w:leftChars="5" w:firstLine="237" w:firstLineChars="99"/>
        <w:rPr>
          <w:rFonts w:ascii="宋体" w:hAnsi="宋体" w:eastAsia="宋体" w:cs="Times New Roman"/>
          <w:color w:val="000000" w:themeColor="text1"/>
          <w:sz w:val="24"/>
          <w:szCs w:val="20"/>
          <w:lang w:val="zh-CN"/>
        </w:rPr>
      </w:pPr>
      <w:r>
        <w:rPr>
          <w:rFonts w:hint="eastAsia" w:ascii="宋体" w:hAnsi="宋体" w:eastAsia="宋体" w:cs="Times New Roman"/>
          <w:color w:val="000000" w:themeColor="text1"/>
          <w:sz w:val="24"/>
          <w:szCs w:val="20"/>
          <w:lang w:val="zh-CN"/>
        </w:rPr>
        <w:t>投标人的</w:t>
      </w:r>
      <w:r>
        <w:rPr>
          <w:rFonts w:ascii="Helvetica" w:hAnsi="Helvetica" w:eastAsia="宋体" w:cs="Helvetica"/>
          <w:color w:val="000000" w:themeColor="text1"/>
          <w:kern w:val="0"/>
          <w:sz w:val="24"/>
          <w:szCs w:val="24"/>
          <w:lang w:val="zh-CN"/>
        </w:rPr>
        <w:t>澄清、说明或者补正</w:t>
      </w:r>
      <w:r>
        <w:rPr>
          <w:rFonts w:hint="eastAsia" w:ascii="宋体" w:hAnsi="宋体" w:eastAsia="宋体" w:cs="Times New Roman"/>
          <w:color w:val="000000" w:themeColor="text1"/>
          <w:sz w:val="24"/>
          <w:szCs w:val="20"/>
          <w:lang w:val="zh-CN"/>
        </w:rPr>
        <w:t>是其投标文件的有效组成部分。</w:t>
      </w:r>
      <w:r>
        <w:rPr>
          <w:rFonts w:ascii="Helvetica" w:hAnsi="Helvetica" w:eastAsia="宋体" w:cs="Helvetica"/>
          <w:color w:val="000000" w:themeColor="text1"/>
          <w:kern w:val="0"/>
          <w:sz w:val="24"/>
          <w:szCs w:val="24"/>
          <w:lang w:val="zh-CN"/>
        </w:rPr>
        <w:t>投标人的澄清、说明或者补正应当采用书面形式，并加盖公章，或者由法定代表人或其授权的代表签字。</w:t>
      </w:r>
    </w:p>
    <w:p>
      <w:pPr>
        <w:numPr>
          <w:ilvl w:val="0"/>
          <w:numId w:val="44"/>
        </w:numPr>
        <w:ind w:left="1311" w:leftChars="154" w:hanging="988" w:hangingChars="353"/>
        <w:rPr>
          <w:rFonts w:ascii="宋体" w:hAnsi="宋体" w:eastAsia="宋体" w:cs="Times New Roman"/>
          <w:b/>
          <w:color w:val="000000" w:themeColor="text1"/>
          <w:sz w:val="28"/>
          <w:szCs w:val="28"/>
          <w:lang w:val="zh-CN"/>
        </w:rPr>
      </w:pPr>
      <w:r>
        <w:rPr>
          <w:rFonts w:hint="eastAsia" w:ascii="宋体" w:hAnsi="宋体" w:eastAsia="宋体" w:cs="Times New Roman"/>
          <w:b/>
          <w:color w:val="000000" w:themeColor="text1"/>
          <w:sz w:val="28"/>
          <w:szCs w:val="28"/>
          <w:lang w:val="zh-CN"/>
        </w:rPr>
        <w:t>综合比较与评价</w:t>
      </w:r>
    </w:p>
    <w:p>
      <w:pPr>
        <w:spacing w:line="360" w:lineRule="auto"/>
        <w:ind w:firstLine="480" w:firstLineChars="200"/>
        <w:rPr>
          <w:rFonts w:ascii="宋体" w:hAnsi="宋体" w:eastAsia="宋体" w:cs="Times New Roman"/>
          <w:bCs/>
          <w:color w:val="000000" w:themeColor="text1"/>
          <w:sz w:val="24"/>
          <w:szCs w:val="20"/>
          <w:lang w:val="zh-CN"/>
        </w:rPr>
      </w:pPr>
      <w:r>
        <w:rPr>
          <w:rFonts w:ascii="宋体" w:hAnsi="宋体" w:eastAsia="宋体" w:cs="Times New Roman"/>
          <w:bCs/>
          <w:color w:val="000000" w:themeColor="text1"/>
          <w:sz w:val="24"/>
          <w:szCs w:val="20"/>
          <w:lang w:val="zh-CN"/>
        </w:rPr>
        <w:t>评标委员会应当按照</w:t>
      </w:r>
      <w:r>
        <w:rPr>
          <w:rFonts w:hint="eastAsia" w:ascii="宋体" w:hAnsi="宋体" w:eastAsia="宋体" w:cs="Times New Roman"/>
          <w:bCs/>
          <w:color w:val="000000" w:themeColor="text1"/>
          <w:sz w:val="24"/>
          <w:szCs w:val="20"/>
          <w:lang w:val="zh-CN"/>
        </w:rPr>
        <w:t>本章</w:t>
      </w:r>
      <w:r>
        <w:rPr>
          <w:rFonts w:ascii="宋体" w:hAnsi="宋体" w:eastAsia="宋体" w:cs="Times New Roman"/>
          <w:bCs/>
          <w:color w:val="000000" w:themeColor="text1"/>
          <w:sz w:val="24"/>
          <w:szCs w:val="20"/>
          <w:lang w:val="zh-CN"/>
        </w:rPr>
        <w:t>中规定的</w:t>
      </w:r>
      <w:r>
        <w:rPr>
          <w:rFonts w:hint="eastAsia" w:ascii="宋体" w:hAnsi="宋体" w:eastAsia="宋体" w:cs="Times New Roman"/>
          <w:bCs/>
          <w:color w:val="000000" w:themeColor="text1"/>
          <w:sz w:val="24"/>
          <w:szCs w:val="20"/>
          <w:lang w:val="zh-CN"/>
        </w:rPr>
        <w:t>评标方法和标准</w:t>
      </w:r>
      <w:r>
        <w:rPr>
          <w:rFonts w:ascii="宋体" w:hAnsi="宋体" w:eastAsia="宋体" w:cs="Times New Roman"/>
          <w:bCs/>
          <w:color w:val="000000" w:themeColor="text1"/>
          <w:sz w:val="24"/>
          <w:szCs w:val="20"/>
          <w:lang w:val="zh-CN"/>
        </w:rPr>
        <w:t>，对符合性审查合格的投标文件进行商务和技术</w:t>
      </w:r>
      <w:r>
        <w:rPr>
          <w:rFonts w:hint="eastAsia" w:ascii="宋体" w:hAnsi="宋体" w:eastAsia="宋体" w:cs="Times New Roman"/>
          <w:bCs/>
          <w:color w:val="000000" w:themeColor="text1"/>
          <w:sz w:val="24"/>
          <w:szCs w:val="20"/>
          <w:lang w:val="zh-CN"/>
        </w:rPr>
        <w:t>、服务</w:t>
      </w:r>
      <w:r>
        <w:rPr>
          <w:rFonts w:ascii="宋体" w:hAnsi="宋体" w:eastAsia="宋体" w:cs="Times New Roman"/>
          <w:bCs/>
          <w:color w:val="000000" w:themeColor="text1"/>
          <w:sz w:val="24"/>
          <w:szCs w:val="20"/>
          <w:lang w:val="zh-CN"/>
        </w:rPr>
        <w:t>评估，综合比较与评价。</w:t>
      </w:r>
    </w:p>
    <w:p>
      <w:pPr>
        <w:numPr>
          <w:ilvl w:val="0"/>
          <w:numId w:val="48"/>
        </w:numPr>
        <w:tabs>
          <w:tab w:val="left" w:pos="616"/>
        </w:tabs>
        <w:spacing w:line="360" w:lineRule="auto"/>
        <w:ind w:left="10" w:leftChars="5" w:firstLine="237" w:firstLineChars="99"/>
        <w:rPr>
          <w:rFonts w:ascii="宋体" w:hAnsi="宋体" w:eastAsia="宋体" w:cs="Times New Roman"/>
          <w:b/>
          <w:bCs/>
          <w:color w:val="000000" w:themeColor="text1"/>
          <w:sz w:val="24"/>
          <w:szCs w:val="20"/>
          <w:lang w:val="zh-CN"/>
        </w:rPr>
      </w:pPr>
      <w:r>
        <w:rPr>
          <w:rFonts w:hint="eastAsia" w:ascii="宋体" w:hAnsi="宋体" w:eastAsia="宋体" w:cs="Times New Roman"/>
          <w:b/>
          <w:bCs/>
          <w:color w:val="000000" w:themeColor="text1"/>
          <w:sz w:val="24"/>
          <w:szCs w:val="20"/>
          <w:lang w:val="zh-CN"/>
        </w:rPr>
        <w:t>商务评议：</w:t>
      </w:r>
      <w:r>
        <w:rPr>
          <w:rFonts w:hint="eastAsia" w:ascii="宋体" w:hAnsi="宋体" w:eastAsia="宋体" w:cs="Times New Roman"/>
          <w:bCs/>
          <w:color w:val="000000" w:themeColor="text1"/>
          <w:sz w:val="24"/>
          <w:szCs w:val="20"/>
          <w:lang w:val="zh-CN"/>
        </w:rPr>
        <w:t>评标委员会对符合性审查合格的投标文件进行评议，并依据本章“评审因素及评分标准”中的商务评议进行综合比较和评分。</w:t>
      </w:r>
    </w:p>
    <w:p>
      <w:pPr>
        <w:numPr>
          <w:ilvl w:val="0"/>
          <w:numId w:val="48"/>
        </w:numPr>
        <w:tabs>
          <w:tab w:val="left" w:pos="616"/>
        </w:tabs>
        <w:spacing w:line="360" w:lineRule="auto"/>
        <w:ind w:left="10" w:leftChars="5" w:firstLine="237" w:firstLineChars="99"/>
        <w:rPr>
          <w:rFonts w:ascii="宋体" w:hAnsi="宋体" w:eastAsia="宋体" w:cs="Times New Roman"/>
          <w:b/>
          <w:bCs/>
          <w:color w:val="000000" w:themeColor="text1"/>
          <w:sz w:val="24"/>
          <w:szCs w:val="20"/>
          <w:lang w:val="zh-CN"/>
        </w:rPr>
      </w:pPr>
      <w:r>
        <w:rPr>
          <w:rFonts w:hint="eastAsia" w:ascii="宋体" w:hAnsi="宋体" w:eastAsia="宋体" w:cs="Times New Roman"/>
          <w:b/>
          <w:bCs/>
          <w:color w:val="000000" w:themeColor="text1"/>
          <w:sz w:val="24"/>
          <w:szCs w:val="20"/>
          <w:lang w:val="zh-CN"/>
        </w:rPr>
        <w:t>技术、服务评议：</w:t>
      </w:r>
      <w:r>
        <w:rPr>
          <w:rFonts w:hint="eastAsia" w:ascii="宋体" w:hAnsi="宋体" w:eastAsia="宋体" w:cs="Times New Roman"/>
          <w:bCs/>
          <w:color w:val="000000" w:themeColor="text1"/>
          <w:sz w:val="24"/>
          <w:szCs w:val="20"/>
          <w:lang w:val="zh-CN"/>
        </w:rPr>
        <w:t>评标委员会对符合性审查合格的投标文件进行评议，并依据本章“评审因素及评分标准”中的技术、服务评议进行综合比较和评分。</w:t>
      </w:r>
    </w:p>
    <w:p>
      <w:pPr>
        <w:numPr>
          <w:ilvl w:val="0"/>
          <w:numId w:val="48"/>
        </w:numPr>
        <w:tabs>
          <w:tab w:val="left" w:pos="616"/>
        </w:tabs>
        <w:spacing w:line="360" w:lineRule="auto"/>
        <w:ind w:left="10" w:leftChars="5" w:firstLine="237" w:firstLineChars="99"/>
        <w:rPr>
          <w:rFonts w:ascii="宋体" w:hAnsi="宋体" w:eastAsia="宋体" w:cs="Times New Roman"/>
          <w:b/>
          <w:bCs/>
          <w:color w:val="000000" w:themeColor="text1"/>
          <w:sz w:val="24"/>
          <w:szCs w:val="20"/>
          <w:lang w:val="zh-CN"/>
        </w:rPr>
      </w:pPr>
      <w:r>
        <w:rPr>
          <w:rFonts w:hint="eastAsia" w:ascii="宋体" w:hAnsi="宋体" w:eastAsia="宋体" w:cs="Times New Roman"/>
          <w:b/>
          <w:bCs/>
          <w:color w:val="000000" w:themeColor="text1"/>
          <w:sz w:val="24"/>
          <w:szCs w:val="20"/>
          <w:lang w:val="zh-CN"/>
        </w:rPr>
        <w:t>价格评议：</w:t>
      </w:r>
      <w:r>
        <w:rPr>
          <w:rFonts w:hint="eastAsia" w:ascii="宋体" w:hAnsi="宋体" w:eastAsia="宋体" w:cs="Times New Roman"/>
          <w:bCs/>
          <w:color w:val="000000" w:themeColor="text1"/>
          <w:sz w:val="24"/>
          <w:szCs w:val="24"/>
        </w:rPr>
        <w:t>评标委员会对符合性审查合格的投标文件进行价格评议（</w:t>
      </w:r>
      <w:r>
        <w:rPr>
          <w:rFonts w:hint="eastAsia" w:ascii="宋体" w:hAnsi="宋体" w:eastAsia="宋体" w:cs="Times New Roman"/>
          <w:bCs/>
          <w:color w:val="000000" w:themeColor="text1"/>
          <w:sz w:val="24"/>
          <w:szCs w:val="21"/>
          <w:lang w:val="zh-CN"/>
        </w:rPr>
        <w:t>执行国家统一定价标准和采用固定价格采购的项目，其价格不列为评审因素</w:t>
      </w:r>
      <w:r>
        <w:rPr>
          <w:rFonts w:hint="eastAsia" w:ascii="宋体" w:hAnsi="宋体" w:eastAsia="宋体" w:cs="Times New Roman"/>
          <w:bCs/>
          <w:color w:val="000000" w:themeColor="text1"/>
          <w:sz w:val="24"/>
          <w:szCs w:val="24"/>
        </w:rPr>
        <w:t>），价格分采用低价优先法计算，即满足招标文件要求且投标价格（落实政府采购政策进行价格调整的，以调整后的价格计算）最低的投标报价为评标基准价，其价格分为满分。其他投标人的价格分计算详见本章“评审因素及评分标准”中的具体计算公式。</w:t>
      </w:r>
    </w:p>
    <w:p>
      <w:pPr>
        <w:numPr>
          <w:ilvl w:val="0"/>
          <w:numId w:val="49"/>
        </w:numPr>
        <w:adjustRightInd w:val="0"/>
        <w:spacing w:line="360" w:lineRule="auto"/>
        <w:ind w:left="742" w:hanging="493"/>
        <w:rPr>
          <w:rFonts w:ascii="宋体" w:hAnsi="宋体" w:eastAsia="宋体" w:cs="Times New Roman"/>
          <w:bCs/>
          <w:color w:val="000000" w:themeColor="text1"/>
          <w:sz w:val="24"/>
          <w:szCs w:val="21"/>
          <w:lang w:val="zh-CN"/>
        </w:rPr>
      </w:pPr>
      <w:r>
        <w:rPr>
          <w:rFonts w:hint="eastAsia" w:ascii="宋体" w:hAnsi="宋体" w:eastAsia="宋体" w:cs="Times New Roman"/>
          <w:b/>
          <w:color w:val="000000" w:themeColor="text1"/>
          <w:sz w:val="24"/>
          <w:szCs w:val="24"/>
          <w:lang w:val="zh-CN"/>
        </w:rPr>
        <w:t>报价合理性说明：</w:t>
      </w:r>
      <w:r>
        <w:rPr>
          <w:rFonts w:ascii="宋体" w:hAnsi="宋体" w:eastAsia="宋体" w:cs="Helvetica"/>
          <w:color w:val="000000" w:themeColor="text1"/>
          <w:kern w:val="0"/>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w:t>
      </w:r>
      <w:r>
        <w:rPr>
          <w:rFonts w:hint="eastAsia" w:ascii="宋体" w:hAnsi="宋体" w:eastAsia="宋体" w:cs="Helvetica"/>
          <w:color w:val="000000" w:themeColor="text1"/>
          <w:kern w:val="0"/>
          <w:sz w:val="24"/>
          <w:szCs w:val="24"/>
          <w:lang w:val="zh-CN"/>
        </w:rPr>
        <w:t>应当将其作为</w:t>
      </w:r>
      <w:r>
        <w:rPr>
          <w:rFonts w:ascii="宋体" w:hAnsi="宋体" w:eastAsia="宋体" w:cs="Helvetica"/>
          <w:b/>
          <w:color w:val="000000" w:themeColor="text1"/>
          <w:kern w:val="0"/>
          <w:sz w:val="24"/>
          <w:szCs w:val="24"/>
          <w:lang w:val="zh-CN"/>
        </w:rPr>
        <w:t>无效投标处理</w:t>
      </w:r>
      <w:r>
        <w:rPr>
          <w:rFonts w:ascii="宋体" w:hAnsi="宋体" w:eastAsia="宋体" w:cs="Helvetica"/>
          <w:color w:val="000000" w:themeColor="text1"/>
          <w:kern w:val="0"/>
          <w:sz w:val="24"/>
          <w:szCs w:val="24"/>
          <w:lang w:val="zh-CN"/>
        </w:rPr>
        <w:t>。</w:t>
      </w:r>
    </w:p>
    <w:p>
      <w:pPr>
        <w:numPr>
          <w:ilvl w:val="0"/>
          <w:numId w:val="49"/>
        </w:numPr>
        <w:adjustRightInd w:val="0"/>
        <w:spacing w:line="360" w:lineRule="auto"/>
        <w:ind w:left="742" w:hanging="493"/>
        <w:rPr>
          <w:rFonts w:ascii="宋体" w:hAnsi="宋体" w:eastAsia="宋体" w:cs="Times New Roman"/>
          <w:b/>
          <w:color w:val="000000" w:themeColor="text1"/>
          <w:sz w:val="24"/>
          <w:szCs w:val="24"/>
          <w:lang w:val="zh-CN"/>
        </w:rPr>
      </w:pPr>
      <w:r>
        <w:rPr>
          <w:rFonts w:hint="eastAsia" w:ascii="宋体" w:hAnsi="宋体" w:eastAsia="宋体" w:cs="Times New Roman"/>
          <w:b/>
          <w:color w:val="000000" w:themeColor="text1"/>
          <w:sz w:val="24"/>
          <w:szCs w:val="24"/>
          <w:lang w:val="zh-CN"/>
        </w:rPr>
        <w:t>小型和微型企业、监狱企业、残疾人福利性单位价格扣除：</w:t>
      </w:r>
    </w:p>
    <w:p>
      <w:pPr>
        <w:numPr>
          <w:ilvl w:val="0"/>
          <w:numId w:val="50"/>
        </w:numPr>
        <w:spacing w:line="360" w:lineRule="auto"/>
        <w:ind w:left="1134" w:hanging="756"/>
        <w:rPr>
          <w:rFonts w:ascii="宋体" w:hAnsi="宋体" w:eastAsia="宋体" w:cs="Times New Roman"/>
          <w:bCs/>
          <w:color w:val="000000" w:themeColor="text1"/>
          <w:sz w:val="24"/>
          <w:szCs w:val="20"/>
          <w:lang w:val="zh-CN"/>
        </w:rPr>
      </w:pPr>
      <w:r>
        <w:rPr>
          <w:rFonts w:hint="eastAsia" w:ascii="宋体" w:hAnsi="宋体" w:eastAsia="宋体" w:cs="Times New Roman"/>
          <w:bCs/>
          <w:color w:val="000000" w:themeColor="text1"/>
          <w:sz w:val="24"/>
          <w:szCs w:val="20"/>
          <w:lang w:val="zh-CN"/>
        </w:rPr>
        <w:t>非专门面向中小企业的货物类采购项目，按招标文件中采购清单确定的货物，对小型和微型企业制造的货物价格给予</w:t>
      </w:r>
      <w:r>
        <w:rPr>
          <w:rFonts w:hint="eastAsia" w:ascii="宋体" w:hAnsi="宋体" w:eastAsia="宋体" w:cs="Times New Roman"/>
          <w:b/>
          <w:bCs/>
          <w:color w:val="000000" w:themeColor="text1"/>
          <w:sz w:val="24"/>
          <w:szCs w:val="20"/>
          <w:lang w:val="zh-CN"/>
        </w:rPr>
        <w:t>6%</w:t>
      </w:r>
      <w:r>
        <w:rPr>
          <w:rFonts w:hint="eastAsia" w:ascii="宋体" w:hAnsi="宋体" w:eastAsia="宋体" w:cs="Times New Roman"/>
          <w:bCs/>
          <w:color w:val="000000" w:themeColor="text1"/>
          <w:sz w:val="24"/>
          <w:szCs w:val="20"/>
          <w:lang w:val="zh-CN"/>
        </w:rPr>
        <w:t>的扣除，用扣除后的价格参与评审。</w:t>
      </w:r>
    </w:p>
    <w:p>
      <w:pPr>
        <w:numPr>
          <w:ilvl w:val="0"/>
          <w:numId w:val="50"/>
        </w:numPr>
        <w:spacing w:line="360" w:lineRule="auto"/>
        <w:ind w:left="1134" w:hanging="756"/>
        <w:rPr>
          <w:rFonts w:ascii="宋体" w:hAnsi="宋体" w:eastAsia="宋体" w:cs="Times New Roman"/>
          <w:bCs/>
          <w:color w:val="000000" w:themeColor="text1"/>
          <w:sz w:val="24"/>
          <w:szCs w:val="20"/>
          <w:lang w:val="zh-CN"/>
        </w:rPr>
      </w:pPr>
      <w:r>
        <w:rPr>
          <w:rFonts w:hint="eastAsia" w:ascii="宋体" w:hAnsi="宋体" w:eastAsia="宋体" w:cs="Times New Roman"/>
          <w:bCs/>
          <w:color w:val="000000" w:themeColor="text1"/>
          <w:sz w:val="24"/>
          <w:szCs w:val="20"/>
          <w:lang w:val="zh-CN"/>
        </w:rPr>
        <w:t>非专门面向中小企业的工程、服务类采购项目，投标人是小型和微型企业的价格给予</w:t>
      </w:r>
      <w:r>
        <w:rPr>
          <w:rFonts w:hint="eastAsia" w:ascii="宋体" w:hAnsi="宋体" w:eastAsia="宋体" w:cs="Times New Roman"/>
          <w:b/>
          <w:bCs/>
          <w:color w:val="000000" w:themeColor="text1"/>
          <w:sz w:val="24"/>
          <w:szCs w:val="20"/>
          <w:lang w:val="zh-CN"/>
        </w:rPr>
        <w:t>6%</w:t>
      </w:r>
      <w:r>
        <w:rPr>
          <w:rFonts w:hint="eastAsia" w:ascii="宋体" w:hAnsi="宋体" w:eastAsia="宋体" w:cs="Times New Roman"/>
          <w:bCs/>
          <w:color w:val="000000" w:themeColor="text1"/>
          <w:sz w:val="24"/>
          <w:szCs w:val="20"/>
          <w:lang w:val="zh-CN"/>
        </w:rPr>
        <w:t>的扣除，用扣除后的价格参与评审。</w:t>
      </w:r>
    </w:p>
    <w:p>
      <w:pPr>
        <w:numPr>
          <w:ilvl w:val="0"/>
          <w:numId w:val="50"/>
        </w:numPr>
        <w:spacing w:line="360" w:lineRule="auto"/>
        <w:ind w:left="1134" w:hanging="756"/>
        <w:rPr>
          <w:rFonts w:ascii="宋体" w:hAnsi="宋体" w:eastAsia="宋体" w:cs="Times New Roman"/>
          <w:bCs/>
          <w:color w:val="000000" w:themeColor="text1"/>
          <w:sz w:val="24"/>
          <w:szCs w:val="20"/>
          <w:lang w:val="zh-CN"/>
        </w:rPr>
      </w:pPr>
      <w:r>
        <w:rPr>
          <w:rFonts w:ascii="宋体" w:hAnsi="宋体" w:eastAsia="宋体" w:cs="Times New Roman"/>
          <w:bCs/>
          <w:color w:val="000000" w:themeColor="text1"/>
          <w:sz w:val="24"/>
          <w:szCs w:val="20"/>
          <w:lang w:val="zh-CN"/>
        </w:rPr>
        <w:t>鼓励大中型企业和其他自然人</w:t>
      </w:r>
      <w:r>
        <w:rPr>
          <w:rFonts w:ascii="宋体" w:hAnsi="宋体" w:eastAsia="宋体" w:cs="Times New Roman"/>
          <w:bCs/>
          <w:color w:val="000000" w:themeColor="text1"/>
          <w:sz w:val="24"/>
          <w:szCs w:val="20"/>
        </w:rPr>
        <w:t>、法人或者其他组织与小型、微型企业组成联合体共同参加非专门面向中小企业的政府采购活动。联合协议中约定，小型、微型企业的协议合同金额占到联合体协议合同总金额</w:t>
      </w:r>
      <w:r>
        <w:rPr>
          <w:rFonts w:ascii="宋体" w:hAnsi="宋体" w:eastAsia="宋体" w:cs="Times New Roman"/>
          <w:b/>
          <w:bCs/>
          <w:color w:val="000000" w:themeColor="text1"/>
          <w:sz w:val="24"/>
          <w:szCs w:val="20"/>
        </w:rPr>
        <w:t>30%</w:t>
      </w:r>
      <w:r>
        <w:rPr>
          <w:rFonts w:ascii="宋体" w:hAnsi="宋体" w:eastAsia="宋体" w:cs="Times New Roman"/>
          <w:bCs/>
          <w:color w:val="000000" w:themeColor="text1"/>
          <w:sz w:val="24"/>
          <w:szCs w:val="20"/>
        </w:rPr>
        <w:t>以上的，可给予联合体</w:t>
      </w:r>
      <w:r>
        <w:rPr>
          <w:rFonts w:ascii="宋体" w:hAnsi="宋体" w:eastAsia="宋体" w:cs="Times New Roman"/>
          <w:b/>
          <w:bCs/>
          <w:color w:val="000000" w:themeColor="text1"/>
          <w:sz w:val="24"/>
          <w:szCs w:val="20"/>
          <w:lang w:val="zh-CN"/>
        </w:rPr>
        <w:t>3%</w:t>
      </w:r>
      <w:r>
        <w:rPr>
          <w:rFonts w:ascii="宋体" w:hAnsi="宋体" w:eastAsia="宋体" w:cs="Times New Roman"/>
          <w:bCs/>
          <w:color w:val="000000" w:themeColor="text1"/>
          <w:sz w:val="24"/>
          <w:szCs w:val="20"/>
        </w:rPr>
        <w:t>的价格扣除</w:t>
      </w:r>
      <w:r>
        <w:rPr>
          <w:rFonts w:hint="eastAsia" w:ascii="宋体" w:hAnsi="宋体" w:eastAsia="宋体" w:cs="Times New Roman"/>
          <w:bCs/>
          <w:color w:val="000000" w:themeColor="text1"/>
          <w:sz w:val="24"/>
          <w:szCs w:val="20"/>
        </w:rPr>
        <w:t>，</w:t>
      </w:r>
      <w:r>
        <w:rPr>
          <w:rFonts w:hint="eastAsia" w:ascii="宋体" w:hAnsi="宋体" w:eastAsia="宋体" w:cs="Times New Roman"/>
          <w:bCs/>
          <w:color w:val="000000" w:themeColor="text1"/>
          <w:sz w:val="24"/>
          <w:szCs w:val="20"/>
          <w:lang w:val="zh-CN"/>
        </w:rPr>
        <w:t>不重复享受政策。</w:t>
      </w:r>
    </w:p>
    <w:p>
      <w:pPr>
        <w:numPr>
          <w:ilvl w:val="0"/>
          <w:numId w:val="50"/>
        </w:numPr>
        <w:spacing w:line="360" w:lineRule="auto"/>
        <w:ind w:left="1134" w:hanging="756"/>
        <w:rPr>
          <w:rFonts w:ascii="宋体" w:hAnsi="宋体" w:eastAsia="宋体" w:cs="Times New Roman"/>
          <w:bCs/>
          <w:color w:val="000000" w:themeColor="text1"/>
          <w:sz w:val="24"/>
          <w:szCs w:val="20"/>
          <w:lang w:val="zh-CN"/>
        </w:rPr>
      </w:pPr>
      <w:r>
        <w:rPr>
          <w:rFonts w:ascii="宋体" w:hAnsi="宋体" w:eastAsia="宋体" w:cs="Times New Roman"/>
          <w:bCs/>
          <w:color w:val="000000" w:themeColor="text1"/>
          <w:sz w:val="24"/>
          <w:szCs w:val="20"/>
          <w:lang w:val="zh-CN"/>
        </w:rPr>
        <w:t>监狱企业</w:t>
      </w:r>
      <w:r>
        <w:rPr>
          <w:rFonts w:hint="eastAsia" w:ascii="宋体" w:hAnsi="宋体" w:eastAsia="宋体" w:cs="Times New Roman"/>
          <w:bCs/>
          <w:color w:val="000000" w:themeColor="text1"/>
          <w:sz w:val="24"/>
          <w:szCs w:val="20"/>
          <w:lang w:val="zh-CN"/>
        </w:rPr>
        <w:t>、残疾人福利性单位</w:t>
      </w:r>
      <w:r>
        <w:rPr>
          <w:rFonts w:ascii="宋体" w:hAnsi="宋体" w:eastAsia="宋体" w:cs="Times New Roman"/>
          <w:bCs/>
          <w:color w:val="000000" w:themeColor="text1"/>
          <w:sz w:val="24"/>
          <w:szCs w:val="20"/>
          <w:lang w:val="zh-CN"/>
        </w:rPr>
        <w:t>视同小型、微型企业，享受预留份额、评审中价格扣除等政府采购促进中小企业发展的政府采购政策</w:t>
      </w:r>
      <w:r>
        <w:rPr>
          <w:rFonts w:hint="eastAsia" w:ascii="宋体" w:hAnsi="宋体" w:eastAsia="宋体" w:cs="Times New Roman"/>
          <w:bCs/>
          <w:color w:val="000000" w:themeColor="text1"/>
          <w:sz w:val="24"/>
          <w:szCs w:val="20"/>
          <w:lang w:val="zh-CN"/>
        </w:rPr>
        <w:t>，残疾人福利性单位属于小型、微型企业的，不重复享受政策。</w:t>
      </w:r>
    </w:p>
    <w:p>
      <w:pPr>
        <w:numPr>
          <w:ilvl w:val="0"/>
          <w:numId w:val="50"/>
        </w:numPr>
        <w:spacing w:line="360" w:lineRule="auto"/>
        <w:ind w:left="1134" w:hanging="756"/>
        <w:rPr>
          <w:rFonts w:ascii="宋体" w:hAnsi="宋体" w:eastAsia="宋体" w:cs="Times New Roman"/>
          <w:bCs/>
          <w:color w:val="000000" w:themeColor="text1"/>
          <w:sz w:val="24"/>
          <w:szCs w:val="20"/>
          <w:lang w:val="zh-CN"/>
        </w:rPr>
      </w:pPr>
      <w:r>
        <w:rPr>
          <w:rFonts w:hint="eastAsia" w:ascii="宋体" w:hAnsi="宋体" w:eastAsia="宋体" w:cs="Times New Roman"/>
          <w:bCs/>
          <w:color w:val="000000" w:themeColor="text1"/>
          <w:sz w:val="24"/>
          <w:szCs w:val="20"/>
          <w:lang w:val="zh-CN"/>
        </w:rPr>
        <w:t>小型和微型企业应出具《声明函》（附件二、三）；监狱企业应提供由省级监狱局、戒毒局（含新疆生产建设兵团）出具的监狱企业的证明文件；残疾人福利性单位提供《声明函》（附件四）。</w:t>
      </w:r>
    </w:p>
    <w:p>
      <w:pPr>
        <w:numPr>
          <w:ilvl w:val="0"/>
          <w:numId w:val="48"/>
        </w:numPr>
        <w:tabs>
          <w:tab w:val="left" w:pos="616"/>
        </w:tabs>
        <w:spacing w:line="360" w:lineRule="auto"/>
        <w:ind w:left="10" w:leftChars="5" w:firstLine="237" w:firstLineChars="99"/>
        <w:rPr>
          <w:rFonts w:ascii="宋体" w:hAnsi="宋体" w:eastAsia="宋体" w:cs="Times New Roman"/>
          <w:b/>
          <w:bCs/>
          <w:color w:val="000000" w:themeColor="text1"/>
          <w:sz w:val="24"/>
          <w:szCs w:val="20"/>
          <w:lang w:val="zh-CN"/>
        </w:rPr>
      </w:pPr>
      <w:r>
        <w:rPr>
          <w:rFonts w:hint="eastAsia" w:ascii="宋体" w:hAnsi="宋体" w:eastAsia="宋体" w:cs="Times New Roman"/>
          <w:b/>
          <w:bCs/>
          <w:color w:val="000000" w:themeColor="text1"/>
          <w:sz w:val="24"/>
          <w:szCs w:val="20"/>
          <w:lang w:val="zh-CN"/>
        </w:rPr>
        <w:t>相同品牌处理原则</w:t>
      </w:r>
    </w:p>
    <w:p>
      <w:pPr>
        <w:numPr>
          <w:ilvl w:val="0"/>
          <w:numId w:val="51"/>
        </w:numPr>
        <w:adjustRightInd w:val="0"/>
        <w:spacing w:line="360" w:lineRule="auto"/>
        <w:ind w:left="756" w:hanging="507"/>
        <w:rPr>
          <w:rFonts w:ascii="Helvetica" w:hAnsi="Helvetica" w:eastAsia="宋体" w:cs="Helvetica"/>
          <w:color w:val="000000" w:themeColor="text1"/>
          <w:kern w:val="0"/>
          <w:sz w:val="24"/>
          <w:szCs w:val="24"/>
          <w:lang w:val="zh-CN"/>
        </w:rPr>
      </w:pPr>
      <w:r>
        <w:rPr>
          <w:rFonts w:ascii="Helvetica" w:hAnsi="Helvetica" w:eastAsia="宋体" w:cs="Helvetica"/>
          <w:color w:val="000000" w:themeColor="text1"/>
          <w:kern w:val="0"/>
          <w:sz w:val="24"/>
          <w:szCs w:val="24"/>
          <w:lang w:val="zh-CN"/>
        </w:rPr>
        <w:t>提供相同品牌产品且通过资格审查、符合性审查的不同投标人参加同一合同项下投标的，按一家投标人计算，评审后得分最高的同品牌投标人获得中标人推荐资格；评审得分相同的，由采购人</w:t>
      </w:r>
      <w:r>
        <w:rPr>
          <w:rFonts w:hint="eastAsia" w:ascii="Helvetica" w:hAnsi="Helvetica" w:eastAsia="宋体" w:cs="Helvetica"/>
          <w:color w:val="000000" w:themeColor="text1"/>
          <w:kern w:val="0"/>
          <w:sz w:val="24"/>
          <w:szCs w:val="24"/>
          <w:lang w:val="zh-CN"/>
        </w:rPr>
        <w:t>确定</w:t>
      </w:r>
      <w:r>
        <w:rPr>
          <w:rFonts w:ascii="Helvetica" w:hAnsi="Helvetica" w:eastAsia="宋体" w:cs="Helvetica"/>
          <w:color w:val="000000" w:themeColor="text1"/>
          <w:kern w:val="0"/>
          <w:sz w:val="24"/>
          <w:szCs w:val="24"/>
          <w:lang w:val="zh-CN"/>
        </w:rPr>
        <w:t>或者采购人委托评标委员会</w:t>
      </w:r>
      <w:r>
        <w:rPr>
          <w:rFonts w:hint="eastAsia" w:ascii="Helvetica" w:hAnsi="Helvetica" w:eastAsia="宋体" w:cs="Helvetica"/>
          <w:color w:val="000000" w:themeColor="text1"/>
          <w:kern w:val="0"/>
          <w:sz w:val="24"/>
          <w:szCs w:val="24"/>
          <w:lang w:val="zh-CN"/>
        </w:rPr>
        <w:t>以投票方式</w:t>
      </w:r>
      <w:r>
        <w:rPr>
          <w:rFonts w:ascii="Helvetica" w:hAnsi="Helvetica" w:eastAsia="宋体" w:cs="Helvetica"/>
          <w:color w:val="000000" w:themeColor="text1"/>
          <w:kern w:val="0"/>
          <w:sz w:val="24"/>
          <w:szCs w:val="24"/>
          <w:lang w:val="zh-CN"/>
        </w:rPr>
        <w:t>确定一个投标人获得中标人推荐资格，其他同品牌投标人不作为中标候选人。</w:t>
      </w:r>
    </w:p>
    <w:p>
      <w:pPr>
        <w:numPr>
          <w:ilvl w:val="0"/>
          <w:numId w:val="51"/>
        </w:numPr>
        <w:adjustRightInd w:val="0"/>
        <w:spacing w:line="360" w:lineRule="auto"/>
        <w:ind w:left="756" w:hanging="507"/>
        <w:rPr>
          <w:rFonts w:ascii="Helvetica" w:hAnsi="Helvetica" w:eastAsia="宋体" w:cs="Helvetica"/>
          <w:color w:val="000000" w:themeColor="text1"/>
          <w:kern w:val="0"/>
          <w:sz w:val="24"/>
          <w:szCs w:val="24"/>
          <w:lang w:val="zh-CN"/>
        </w:rPr>
      </w:pPr>
      <w:r>
        <w:rPr>
          <w:rFonts w:ascii="Helvetica" w:hAnsi="Helvetica" w:eastAsia="宋体" w:cs="Helvetica"/>
          <w:color w:val="000000" w:themeColor="text1"/>
          <w:kern w:val="0"/>
          <w:sz w:val="24"/>
          <w:szCs w:val="24"/>
          <w:lang w:val="zh-CN"/>
        </w:rPr>
        <w:t>非单一产品采购项目，采购人应当根据采购项目技术构成、产品价格比重等合理确定</w:t>
      </w:r>
      <w:r>
        <w:rPr>
          <w:rFonts w:hint="eastAsia" w:ascii="Helvetica" w:hAnsi="Helvetica" w:eastAsia="宋体" w:cs="Helvetica"/>
          <w:b/>
          <w:color w:val="000000" w:themeColor="text1"/>
          <w:kern w:val="0"/>
          <w:sz w:val="24"/>
          <w:szCs w:val="24"/>
          <w:lang w:val="zh-CN"/>
        </w:rPr>
        <w:t>一个</w:t>
      </w:r>
      <w:r>
        <w:rPr>
          <w:rFonts w:ascii="Helvetica" w:hAnsi="Helvetica" w:eastAsia="宋体" w:cs="Helvetica"/>
          <w:b/>
          <w:color w:val="000000" w:themeColor="text1"/>
          <w:kern w:val="0"/>
          <w:sz w:val="24"/>
          <w:szCs w:val="24"/>
          <w:lang w:val="zh-CN"/>
        </w:rPr>
        <w:t>核心产品</w:t>
      </w:r>
      <w:r>
        <w:rPr>
          <w:rFonts w:hint="eastAsia" w:ascii="Helvetica" w:hAnsi="Helvetica" w:eastAsia="宋体" w:cs="Helvetica"/>
          <w:color w:val="000000" w:themeColor="text1"/>
          <w:kern w:val="0"/>
          <w:sz w:val="24"/>
          <w:szCs w:val="24"/>
          <w:lang w:val="zh-CN"/>
        </w:rPr>
        <w:t>（采购清单中作“相同〈或同一〉品牌”实质性要求的产品，视为一个核心产品），</w:t>
      </w:r>
      <w:r>
        <w:rPr>
          <w:rFonts w:ascii="Helvetica" w:hAnsi="Helvetica" w:eastAsia="宋体" w:cs="Helvetica"/>
          <w:color w:val="000000" w:themeColor="text1"/>
          <w:kern w:val="0"/>
          <w:sz w:val="24"/>
          <w:szCs w:val="24"/>
          <w:lang w:val="zh-CN"/>
        </w:rPr>
        <w:t>并</w:t>
      </w:r>
      <w:r>
        <w:rPr>
          <w:rFonts w:hint="eastAsia" w:ascii="Helvetica" w:hAnsi="Helvetica" w:eastAsia="宋体" w:cs="Helvetica"/>
          <w:color w:val="000000" w:themeColor="text1"/>
          <w:kern w:val="0"/>
          <w:sz w:val="24"/>
          <w:szCs w:val="24"/>
          <w:lang w:val="zh-CN"/>
        </w:rPr>
        <w:t>以</w:t>
      </w:r>
      <w:r>
        <w:rPr>
          <w:rFonts w:hint="eastAsia" w:ascii="Helvetica" w:hAnsi="Helvetica" w:eastAsia="宋体" w:cs="Helvetica"/>
          <w:b/>
          <w:color w:val="000000" w:themeColor="text1"/>
          <w:kern w:val="0"/>
          <w:sz w:val="24"/>
          <w:szCs w:val="24"/>
          <w:lang w:val="zh-CN"/>
        </w:rPr>
        <w:t>“</w:t>
      </w:r>
      <w:r>
        <w:rPr>
          <w:rFonts w:hint="eastAsia" w:ascii="MS Gothic" w:hAnsi="MS Gothic" w:eastAsia="宋体" w:cs="MS Gothic"/>
          <w:b/>
          <w:color w:val="000000" w:themeColor="text1"/>
          <w:kern w:val="0"/>
          <w:sz w:val="24"/>
          <w:szCs w:val="24"/>
          <w:lang w:val="zh-CN"/>
        </w:rPr>
        <w:t>核心产品</w:t>
      </w:r>
      <w:r>
        <w:rPr>
          <w:rFonts w:hint="eastAsia" w:ascii="Helvetica" w:hAnsi="Helvetica" w:eastAsia="宋体" w:cs="Helvetica"/>
          <w:b/>
          <w:color w:val="000000" w:themeColor="text1"/>
          <w:kern w:val="0"/>
          <w:sz w:val="24"/>
          <w:szCs w:val="24"/>
          <w:lang w:val="zh-CN"/>
        </w:rPr>
        <w:t>”</w:t>
      </w:r>
      <w:r>
        <w:rPr>
          <w:rFonts w:ascii="Helvetica" w:hAnsi="Helvetica" w:eastAsia="宋体" w:cs="Helvetica"/>
          <w:color w:val="000000" w:themeColor="text1"/>
          <w:kern w:val="0"/>
          <w:sz w:val="24"/>
          <w:szCs w:val="24"/>
          <w:lang w:val="zh-CN"/>
        </w:rPr>
        <w:t>在招标文件中</w:t>
      </w:r>
      <w:r>
        <w:rPr>
          <w:rFonts w:hint="eastAsia" w:ascii="Helvetica" w:hAnsi="Helvetica" w:eastAsia="宋体" w:cs="Helvetica"/>
          <w:color w:val="000000" w:themeColor="text1"/>
          <w:kern w:val="0"/>
          <w:sz w:val="24"/>
          <w:szCs w:val="24"/>
          <w:lang w:val="zh-CN"/>
        </w:rPr>
        <w:t>标注</w:t>
      </w:r>
      <w:r>
        <w:rPr>
          <w:rFonts w:ascii="Helvetica" w:hAnsi="Helvetica" w:eastAsia="宋体" w:cs="Helvetica"/>
          <w:color w:val="000000" w:themeColor="text1"/>
          <w:kern w:val="0"/>
          <w:sz w:val="24"/>
          <w:szCs w:val="24"/>
          <w:lang w:val="zh-CN"/>
        </w:rPr>
        <w:t>。</w:t>
      </w:r>
    </w:p>
    <w:p>
      <w:pPr>
        <w:numPr>
          <w:ilvl w:val="0"/>
          <w:numId w:val="48"/>
        </w:numPr>
        <w:tabs>
          <w:tab w:val="left" w:pos="616"/>
        </w:tabs>
        <w:spacing w:line="360" w:lineRule="auto"/>
        <w:ind w:left="10" w:leftChars="5" w:firstLine="237" w:firstLineChars="99"/>
        <w:rPr>
          <w:rFonts w:ascii="宋体" w:hAnsi="宋体" w:eastAsia="宋体" w:cs="Times New Roman"/>
          <w:b/>
          <w:bCs/>
          <w:color w:val="000000" w:themeColor="text1"/>
          <w:sz w:val="24"/>
          <w:szCs w:val="20"/>
          <w:lang w:val="zh-CN"/>
        </w:rPr>
      </w:pPr>
      <w:r>
        <w:rPr>
          <w:rFonts w:hint="eastAsia" w:ascii="宋体" w:hAnsi="宋体" w:eastAsia="宋体" w:cs="Times New Roman"/>
          <w:b/>
          <w:bCs/>
          <w:color w:val="000000" w:themeColor="text1"/>
          <w:sz w:val="24"/>
          <w:szCs w:val="20"/>
          <w:lang w:val="zh-CN"/>
        </w:rPr>
        <w:t>计分办法</w:t>
      </w:r>
    </w:p>
    <w:p>
      <w:pPr>
        <w:numPr>
          <w:ilvl w:val="0"/>
          <w:numId w:val="52"/>
        </w:numPr>
        <w:adjustRightInd w:val="0"/>
        <w:spacing w:line="360" w:lineRule="auto"/>
        <w:ind w:left="756" w:hanging="507"/>
        <w:rPr>
          <w:rFonts w:ascii="Helvetica" w:hAnsi="Helvetica" w:eastAsia="宋体" w:cs="Helvetica"/>
          <w:color w:val="000000" w:themeColor="text1"/>
          <w:kern w:val="0"/>
          <w:sz w:val="24"/>
          <w:szCs w:val="24"/>
          <w:lang w:val="zh-CN"/>
        </w:rPr>
      </w:pPr>
      <w:r>
        <w:rPr>
          <w:rFonts w:hint="eastAsia" w:ascii="Helvetica" w:hAnsi="Helvetica" w:eastAsia="宋体" w:cs="Helvetica"/>
          <w:color w:val="000000" w:themeColor="text1"/>
          <w:kern w:val="0"/>
          <w:sz w:val="24"/>
          <w:szCs w:val="24"/>
          <w:lang w:val="zh-CN"/>
        </w:rPr>
        <w:t>集中采购机构对各评委的总分进行复核。各项统计结果均精确到小数点后两位。</w:t>
      </w:r>
    </w:p>
    <w:p>
      <w:pPr>
        <w:numPr>
          <w:ilvl w:val="0"/>
          <w:numId w:val="52"/>
        </w:numPr>
        <w:adjustRightInd w:val="0"/>
        <w:spacing w:line="360" w:lineRule="auto"/>
        <w:ind w:left="756" w:hanging="507"/>
        <w:rPr>
          <w:rFonts w:ascii="Helvetica" w:hAnsi="Helvetica" w:eastAsia="宋体" w:cs="Helvetica"/>
          <w:color w:val="000000" w:themeColor="text1"/>
          <w:kern w:val="0"/>
          <w:sz w:val="24"/>
          <w:szCs w:val="24"/>
          <w:lang w:val="zh-CN"/>
        </w:rPr>
      </w:pPr>
      <w:r>
        <w:rPr>
          <w:rFonts w:hint="eastAsia" w:ascii="Helvetica" w:hAnsi="Helvetica" w:eastAsia="宋体" w:cs="Helvetica"/>
          <w:color w:val="000000" w:themeColor="text1"/>
          <w:kern w:val="0"/>
          <w:sz w:val="24"/>
          <w:szCs w:val="24"/>
          <w:lang w:val="zh-CN"/>
        </w:rPr>
        <w:t>各投标人的最终得分为评委所评定分数的算术平均值。</w:t>
      </w:r>
    </w:p>
    <w:p>
      <w:pPr>
        <w:numPr>
          <w:ilvl w:val="0"/>
          <w:numId w:val="44"/>
        </w:numPr>
        <w:ind w:left="1311" w:leftChars="154" w:hanging="988" w:hangingChars="353"/>
        <w:rPr>
          <w:rFonts w:ascii="宋体" w:hAnsi="宋体" w:eastAsia="宋体" w:cs="Times New Roman"/>
          <w:b/>
          <w:color w:val="000000" w:themeColor="text1"/>
          <w:sz w:val="28"/>
          <w:szCs w:val="28"/>
          <w:lang w:val="zh-CN"/>
        </w:rPr>
      </w:pPr>
      <w:r>
        <w:rPr>
          <w:rFonts w:hint="eastAsia" w:ascii="宋体" w:hAnsi="宋体" w:eastAsia="宋体" w:cs="Times New Roman"/>
          <w:b/>
          <w:color w:val="000000" w:themeColor="text1"/>
          <w:sz w:val="28"/>
          <w:szCs w:val="28"/>
          <w:lang w:val="zh-CN"/>
        </w:rPr>
        <w:t>推荐中标候选人名单或确定中标人</w:t>
      </w:r>
    </w:p>
    <w:p>
      <w:pPr>
        <w:numPr>
          <w:ilvl w:val="0"/>
          <w:numId w:val="53"/>
        </w:numPr>
        <w:tabs>
          <w:tab w:val="left" w:pos="616"/>
        </w:tabs>
        <w:spacing w:line="360" w:lineRule="auto"/>
        <w:ind w:left="10" w:leftChars="5" w:firstLine="237" w:firstLineChars="99"/>
        <w:rPr>
          <w:rFonts w:ascii="Helvetica" w:hAnsi="Helvetica" w:eastAsia="宋体" w:cs="Helvetica"/>
          <w:color w:val="000000" w:themeColor="text1"/>
          <w:kern w:val="0"/>
          <w:sz w:val="24"/>
          <w:szCs w:val="24"/>
          <w:lang w:val="zh-CN"/>
        </w:rPr>
      </w:pPr>
      <w:r>
        <w:rPr>
          <w:rFonts w:hint="eastAsia" w:ascii="Helvetica" w:hAnsi="Helvetica" w:eastAsia="宋体" w:cs="Helvetica"/>
          <w:color w:val="000000" w:themeColor="text1"/>
          <w:kern w:val="0"/>
          <w:sz w:val="24"/>
          <w:szCs w:val="24"/>
          <w:lang w:val="zh-CN"/>
        </w:rPr>
        <w:t>评标委员会按照招标文件确定的评标方法、程序及标准，对投标文件进行评审。</w:t>
      </w:r>
      <w:r>
        <w:rPr>
          <w:rFonts w:ascii="Helvetica" w:hAnsi="Helvetica" w:eastAsia="宋体" w:cs="Helvetica"/>
          <w:color w:val="000000" w:themeColor="text1"/>
          <w:kern w:val="0"/>
          <w:sz w:val="24"/>
          <w:szCs w:val="24"/>
          <w:lang w:val="zh-CN"/>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numPr>
          <w:ilvl w:val="0"/>
          <w:numId w:val="53"/>
        </w:numPr>
        <w:tabs>
          <w:tab w:val="left" w:pos="616"/>
        </w:tabs>
        <w:spacing w:line="360" w:lineRule="auto"/>
        <w:ind w:left="10" w:leftChars="5" w:firstLine="237" w:firstLineChars="99"/>
        <w:rPr>
          <w:rFonts w:ascii="Helvetica" w:hAnsi="Helvetica" w:eastAsia="宋体" w:cs="Helvetica"/>
          <w:color w:val="000000" w:themeColor="text1"/>
          <w:kern w:val="0"/>
          <w:sz w:val="24"/>
          <w:szCs w:val="24"/>
          <w:lang w:val="zh-CN"/>
        </w:rPr>
      </w:pPr>
      <w:r>
        <w:rPr>
          <w:rFonts w:hint="eastAsia" w:ascii="Helvetica" w:hAnsi="Helvetica" w:eastAsia="宋体" w:cs="Helvetica"/>
          <w:color w:val="000000" w:themeColor="text1"/>
          <w:kern w:val="0"/>
          <w:sz w:val="24"/>
          <w:szCs w:val="24"/>
          <w:lang w:val="zh-CN"/>
        </w:rPr>
        <w:t>评标委员会依据评标结果，按各投标人的评审后得分由高到低的顺序向采购人推荐得分前三名的进入中标候选人名单，并形成书面的评标报告。</w:t>
      </w:r>
    </w:p>
    <w:p>
      <w:pPr>
        <w:numPr>
          <w:ilvl w:val="0"/>
          <w:numId w:val="53"/>
        </w:numPr>
        <w:tabs>
          <w:tab w:val="left" w:pos="616"/>
        </w:tabs>
        <w:spacing w:line="360" w:lineRule="auto"/>
        <w:ind w:left="10" w:leftChars="5" w:firstLine="237" w:firstLineChars="99"/>
        <w:rPr>
          <w:rFonts w:ascii="Helvetica" w:hAnsi="Helvetica" w:eastAsia="宋体" w:cs="Helvetica"/>
          <w:color w:val="000000" w:themeColor="text1"/>
          <w:kern w:val="0"/>
          <w:sz w:val="24"/>
          <w:szCs w:val="24"/>
          <w:lang w:val="zh-CN"/>
        </w:rPr>
      </w:pPr>
      <w:r>
        <w:rPr>
          <w:rFonts w:hint="eastAsia" w:ascii="Helvetica" w:hAnsi="Helvetica" w:eastAsia="宋体" w:cs="Helvetica"/>
          <w:color w:val="000000" w:themeColor="text1"/>
          <w:kern w:val="0"/>
          <w:sz w:val="24"/>
          <w:szCs w:val="24"/>
          <w:lang w:val="zh-CN"/>
        </w:rPr>
        <w:t>中标候选人并列的，</w:t>
      </w:r>
      <w:r>
        <w:rPr>
          <w:rFonts w:ascii="Helvetica" w:hAnsi="Helvetica" w:eastAsia="宋体" w:cs="Helvetica"/>
          <w:color w:val="000000" w:themeColor="text1"/>
          <w:kern w:val="0"/>
          <w:sz w:val="24"/>
          <w:szCs w:val="24"/>
          <w:lang w:val="zh-CN"/>
        </w:rPr>
        <w:t>由采购人</w:t>
      </w:r>
      <w:r>
        <w:rPr>
          <w:rFonts w:hint="eastAsia" w:ascii="Helvetica" w:hAnsi="Helvetica" w:eastAsia="宋体" w:cs="Helvetica"/>
          <w:color w:val="000000" w:themeColor="text1"/>
          <w:kern w:val="0"/>
          <w:sz w:val="24"/>
          <w:szCs w:val="24"/>
          <w:lang w:val="zh-CN"/>
        </w:rPr>
        <w:t>确定</w:t>
      </w:r>
      <w:r>
        <w:rPr>
          <w:rFonts w:ascii="Helvetica" w:hAnsi="Helvetica" w:eastAsia="宋体" w:cs="Helvetica"/>
          <w:color w:val="000000" w:themeColor="text1"/>
          <w:kern w:val="0"/>
          <w:sz w:val="24"/>
          <w:szCs w:val="24"/>
          <w:lang w:val="zh-CN"/>
        </w:rPr>
        <w:t>或者采购人委托评标委员会</w:t>
      </w:r>
      <w:r>
        <w:rPr>
          <w:rFonts w:hint="eastAsia" w:ascii="Helvetica" w:hAnsi="Helvetica" w:eastAsia="宋体" w:cs="Helvetica"/>
          <w:color w:val="000000" w:themeColor="text1"/>
          <w:kern w:val="0"/>
          <w:sz w:val="24"/>
          <w:szCs w:val="24"/>
          <w:lang w:val="zh-CN"/>
        </w:rPr>
        <w:t>以投票方式</w:t>
      </w:r>
      <w:r>
        <w:rPr>
          <w:rFonts w:ascii="Helvetica" w:hAnsi="Helvetica" w:eastAsia="宋体" w:cs="Helvetica"/>
          <w:color w:val="000000" w:themeColor="text1"/>
          <w:kern w:val="0"/>
          <w:sz w:val="24"/>
          <w:szCs w:val="24"/>
          <w:lang w:val="zh-CN"/>
        </w:rPr>
        <w:t>确定中标人。</w:t>
      </w:r>
    </w:p>
    <w:p>
      <w:pPr>
        <w:numPr>
          <w:ilvl w:val="0"/>
          <w:numId w:val="53"/>
        </w:numPr>
        <w:tabs>
          <w:tab w:val="left" w:pos="616"/>
        </w:tabs>
        <w:spacing w:line="360" w:lineRule="auto"/>
        <w:ind w:left="10" w:leftChars="5" w:firstLine="237" w:firstLineChars="99"/>
        <w:rPr>
          <w:rFonts w:ascii="Helvetica" w:hAnsi="Helvetica" w:eastAsia="宋体" w:cs="Helvetica"/>
          <w:color w:val="000000" w:themeColor="text1"/>
          <w:kern w:val="0"/>
          <w:sz w:val="24"/>
          <w:szCs w:val="24"/>
          <w:lang w:val="zh-CN"/>
        </w:rPr>
      </w:pPr>
      <w:r>
        <w:rPr>
          <w:rFonts w:hint="eastAsia" w:ascii="Helvetica" w:hAnsi="Helvetica" w:eastAsia="宋体" w:cs="Helvetica"/>
          <w:color w:val="000000" w:themeColor="text1"/>
          <w:kern w:val="0"/>
          <w:sz w:val="24"/>
          <w:szCs w:val="24"/>
          <w:lang w:val="zh-CN"/>
        </w:rPr>
        <w:t>评标委员会应当在评标报告上签字，对自己的评审意见承担法律责任。对评标报告有异议的，应当在评标报告上签署不同意见，并说明理由，否则视为同意评标报告。</w:t>
      </w:r>
    </w:p>
    <w:p>
      <w:pPr>
        <w:numPr>
          <w:ilvl w:val="0"/>
          <w:numId w:val="53"/>
        </w:numPr>
        <w:tabs>
          <w:tab w:val="left" w:pos="616"/>
        </w:tabs>
        <w:spacing w:line="360" w:lineRule="auto"/>
        <w:ind w:left="10" w:leftChars="5" w:firstLine="237" w:firstLineChars="99"/>
        <w:rPr>
          <w:rFonts w:ascii="Helvetica" w:hAnsi="Helvetica" w:eastAsia="宋体" w:cs="Helvetica"/>
          <w:color w:val="000000" w:themeColor="text1"/>
          <w:kern w:val="0"/>
          <w:sz w:val="24"/>
          <w:szCs w:val="24"/>
          <w:lang w:val="zh-CN"/>
        </w:rPr>
      </w:pPr>
      <w:r>
        <w:rPr>
          <w:rFonts w:hint="eastAsia" w:ascii="Helvetica" w:hAnsi="Helvetica" w:eastAsia="宋体" w:cs="Helvetica"/>
          <w:color w:val="000000" w:themeColor="text1"/>
          <w:kern w:val="0"/>
          <w:sz w:val="24"/>
          <w:szCs w:val="24"/>
          <w:lang w:val="zh-CN"/>
        </w:rPr>
        <w:t>中标人的数量有其他规定的，应在此处明确方法、中标比例等。</w:t>
      </w:r>
    </w:p>
    <w:p>
      <w:pPr>
        <w:pStyle w:val="24"/>
        <w:rPr>
          <w:lang w:val="zh-CN"/>
        </w:rPr>
      </w:pPr>
    </w:p>
    <w:p>
      <w:pPr>
        <w:rPr>
          <w:lang w:val="zh-CN"/>
        </w:rPr>
      </w:pPr>
    </w:p>
    <w:p>
      <w:pPr>
        <w:pStyle w:val="24"/>
        <w:rPr>
          <w:lang w:val="zh-CN"/>
        </w:rPr>
      </w:pPr>
    </w:p>
    <w:p>
      <w:pPr>
        <w:rPr>
          <w:lang w:val="zh-CN"/>
        </w:rPr>
      </w:pPr>
    </w:p>
    <w:p>
      <w:pPr>
        <w:pStyle w:val="2"/>
        <w:spacing w:before="0" w:after="0" w:line="360" w:lineRule="auto"/>
        <w:jc w:val="left"/>
        <w:rPr>
          <w:rFonts w:cs="Times New Roman" w:asciiTheme="majorEastAsia" w:hAnsiTheme="majorEastAsia"/>
          <w:bCs w:val="0"/>
          <w:color w:val="FF0000"/>
          <w:sz w:val="30"/>
          <w:szCs w:val="30"/>
          <w:lang w:val="zh-CN"/>
        </w:rPr>
      </w:pPr>
      <w:bookmarkStart w:id="63" w:name="_Toc21241"/>
      <w:bookmarkStart w:id="64" w:name="_Toc494561963"/>
      <w:r>
        <w:rPr>
          <w:rFonts w:hint="eastAsia" w:cs="Times New Roman" w:asciiTheme="majorEastAsia" w:hAnsiTheme="majorEastAsia"/>
          <w:bCs w:val="0"/>
          <w:color w:val="FF0000"/>
          <w:sz w:val="30"/>
          <w:szCs w:val="30"/>
          <w:lang w:val="zh-CN"/>
        </w:rPr>
        <w:t>三、评审因素及评分标准</w:t>
      </w:r>
      <w:bookmarkEnd w:id="63"/>
      <w:bookmarkEnd w:id="64"/>
    </w:p>
    <w:tbl>
      <w:tblPr>
        <w:tblStyle w:val="18"/>
        <w:tblW w:w="51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3"/>
        <w:gridCol w:w="7538"/>
        <w:gridCol w:w="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exact"/>
          <w:jc w:val="center"/>
        </w:trPr>
        <w:tc>
          <w:tcPr>
            <w:tcW w:w="774" w:type="pct"/>
            <w:vAlign w:val="center"/>
          </w:tcPr>
          <w:p>
            <w:pPr>
              <w:rPr>
                <w:sz w:val="24"/>
                <w:szCs w:val="24"/>
              </w:rPr>
            </w:pPr>
            <w:r>
              <w:rPr>
                <w:rFonts w:hint="eastAsia"/>
                <w:sz w:val="24"/>
                <w:szCs w:val="24"/>
              </w:rPr>
              <w:t>评议指标</w:t>
            </w:r>
          </w:p>
        </w:tc>
        <w:tc>
          <w:tcPr>
            <w:tcW w:w="3757" w:type="pct"/>
            <w:vAlign w:val="center"/>
          </w:tcPr>
          <w:p>
            <w:pPr>
              <w:rPr>
                <w:sz w:val="24"/>
                <w:szCs w:val="24"/>
              </w:rPr>
            </w:pPr>
            <w:r>
              <w:rPr>
                <w:rFonts w:hint="eastAsia"/>
                <w:sz w:val="24"/>
                <w:szCs w:val="24"/>
              </w:rPr>
              <w:t>评分标准/内容</w:t>
            </w:r>
          </w:p>
        </w:tc>
        <w:tc>
          <w:tcPr>
            <w:tcW w:w="468" w:type="pct"/>
            <w:vAlign w:val="center"/>
          </w:tcPr>
          <w:p>
            <w:pPr>
              <w:rPr>
                <w:sz w:val="24"/>
                <w:szCs w:val="24"/>
              </w:rPr>
            </w:pPr>
            <w:r>
              <w:rPr>
                <w:rFonts w:hint="eastAsia"/>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000" w:type="pct"/>
            <w:gridSpan w:val="3"/>
            <w:vAlign w:val="center"/>
          </w:tcPr>
          <w:p>
            <w:pPr>
              <w:rPr>
                <w:sz w:val="24"/>
                <w:szCs w:val="24"/>
              </w:rPr>
            </w:pPr>
            <w:r>
              <w:rPr>
                <w:rFonts w:hint="eastAsia"/>
                <w:sz w:val="24"/>
                <w:szCs w:val="24"/>
              </w:rPr>
              <w:t>一、价格部分（30分）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9" w:hRule="atLeast"/>
          <w:jc w:val="center"/>
        </w:trPr>
        <w:tc>
          <w:tcPr>
            <w:tcW w:w="774" w:type="pct"/>
            <w:shd w:val="clear" w:color="auto" w:fill="auto"/>
            <w:vAlign w:val="center"/>
          </w:tcPr>
          <w:p>
            <w:pPr>
              <w:rPr>
                <w:sz w:val="24"/>
                <w:szCs w:val="24"/>
              </w:rPr>
            </w:pPr>
            <w:r>
              <w:rPr>
                <w:rFonts w:hint="eastAsia"/>
                <w:sz w:val="24"/>
                <w:szCs w:val="24"/>
              </w:rPr>
              <w:t>价格评分</w:t>
            </w:r>
          </w:p>
        </w:tc>
        <w:tc>
          <w:tcPr>
            <w:tcW w:w="3757" w:type="pct"/>
            <w:shd w:val="clear" w:color="auto" w:fill="auto"/>
            <w:vAlign w:val="center"/>
          </w:tcPr>
          <w:p>
            <w:pPr>
              <w:rPr>
                <w:sz w:val="24"/>
                <w:szCs w:val="24"/>
              </w:rPr>
            </w:pPr>
            <w:r>
              <w:rPr>
                <w:rFonts w:hint="eastAsia"/>
                <w:sz w:val="24"/>
                <w:szCs w:val="24"/>
                <w:lang w:val="zh-CN"/>
              </w:rPr>
              <w:t>评标委员会只对符合性审查合格的投标文件进行价格评议，报价分采用低价优先法计算，即满足招标文件要求且投标价格（落实政府采购政策进行价格调整的，以调整后的价格计算）最低的投标报价为评标基准价，其价格分为满分。其他投标人的价格分按照下列公式计算：报价得分=(评标基准价／投标报价)×价格分。为保证产品质量，投标报价低于采购预算</w:t>
            </w:r>
            <w:r>
              <w:rPr>
                <w:rFonts w:hint="eastAsia"/>
                <w:sz w:val="24"/>
                <w:szCs w:val="24"/>
              </w:rPr>
              <w:t>9</w:t>
            </w:r>
            <w:r>
              <w:rPr>
                <w:rFonts w:hint="eastAsia"/>
                <w:sz w:val="24"/>
                <w:szCs w:val="24"/>
                <w:lang w:val="zh-CN"/>
              </w:rPr>
              <w:t>0%时，评标委员会将对其进行成本分析，评标委员会认为报价低于成本价时将否决其投标。计算时保留两位小数。</w:t>
            </w:r>
          </w:p>
        </w:tc>
        <w:tc>
          <w:tcPr>
            <w:tcW w:w="468" w:type="pct"/>
            <w:vAlign w:val="center"/>
          </w:tcPr>
          <w:p>
            <w:pPr>
              <w:rPr>
                <w:sz w:val="24"/>
                <w:szCs w:val="24"/>
              </w:rPr>
            </w:pPr>
            <w:r>
              <w:rPr>
                <w:rFonts w:hint="eastAsia"/>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000" w:type="pct"/>
            <w:gridSpan w:val="3"/>
            <w:shd w:val="clear" w:color="auto" w:fill="auto"/>
            <w:vAlign w:val="center"/>
          </w:tcPr>
          <w:p>
            <w:pPr>
              <w:rPr>
                <w:sz w:val="24"/>
                <w:szCs w:val="24"/>
              </w:rPr>
            </w:pPr>
            <w:r>
              <w:rPr>
                <w:rFonts w:hint="eastAsia"/>
                <w:sz w:val="24"/>
                <w:szCs w:val="24"/>
              </w:rPr>
              <w:t>二、技术部分（3</w:t>
            </w:r>
            <w:r>
              <w:rPr>
                <w:sz w:val="24"/>
                <w:szCs w:val="24"/>
              </w:rPr>
              <w:t>0</w:t>
            </w:r>
            <w:r>
              <w:rPr>
                <w:rFonts w:hint="eastAsia"/>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jc w:val="center"/>
        </w:trPr>
        <w:tc>
          <w:tcPr>
            <w:tcW w:w="774" w:type="pct"/>
            <w:shd w:val="clear" w:color="auto" w:fill="auto"/>
            <w:vAlign w:val="center"/>
          </w:tcPr>
          <w:p>
            <w:pPr>
              <w:rPr>
                <w:sz w:val="24"/>
                <w:szCs w:val="24"/>
              </w:rPr>
            </w:pPr>
            <w:r>
              <w:rPr>
                <w:rFonts w:hint="eastAsia"/>
                <w:sz w:val="24"/>
                <w:szCs w:val="24"/>
              </w:rPr>
              <w:t>技术指标基础要求</w:t>
            </w:r>
          </w:p>
        </w:tc>
        <w:tc>
          <w:tcPr>
            <w:tcW w:w="3757" w:type="pct"/>
            <w:shd w:val="clear" w:color="auto" w:fill="auto"/>
            <w:vAlign w:val="center"/>
          </w:tcPr>
          <w:p>
            <w:pPr>
              <w:rPr>
                <w:sz w:val="24"/>
                <w:szCs w:val="24"/>
              </w:rPr>
            </w:pPr>
            <w:r>
              <w:rPr>
                <w:rFonts w:hint="eastAsia"/>
                <w:sz w:val="24"/>
                <w:szCs w:val="24"/>
              </w:rPr>
              <w:t>第三章技术要求</w:t>
            </w:r>
            <w:r>
              <w:rPr>
                <w:rFonts w:hint="eastAsia"/>
                <w:sz w:val="24"/>
                <w:szCs w:val="24"/>
                <w:lang w:val="zh-CN"/>
              </w:rPr>
              <w:t>中标注“★”的技术参数须提供满足要求，任何一条不满足的做废标处理；其他参数和性能，符合招标文件要求得</w:t>
            </w:r>
            <w:r>
              <w:rPr>
                <w:rFonts w:hint="eastAsia"/>
                <w:sz w:val="24"/>
                <w:szCs w:val="24"/>
              </w:rPr>
              <w:t>30</w:t>
            </w:r>
            <w:r>
              <w:rPr>
                <w:rFonts w:hint="eastAsia"/>
                <w:sz w:val="24"/>
                <w:szCs w:val="24"/>
                <w:lang w:val="zh-CN"/>
              </w:rPr>
              <w:t>分，</w:t>
            </w:r>
            <w:r>
              <w:rPr>
                <w:rFonts w:hint="eastAsia"/>
                <w:sz w:val="24"/>
                <w:szCs w:val="24"/>
              </w:rPr>
              <w:t>“▲”</w:t>
            </w:r>
            <w:r>
              <w:rPr>
                <w:rFonts w:hint="eastAsia"/>
                <w:sz w:val="24"/>
                <w:szCs w:val="24"/>
                <w:lang w:val="zh-CN"/>
              </w:rPr>
              <w:t>不满足招标文件要求的每项扣</w:t>
            </w:r>
            <w:r>
              <w:rPr>
                <w:rFonts w:hint="eastAsia"/>
                <w:sz w:val="24"/>
                <w:szCs w:val="24"/>
              </w:rPr>
              <w:t>1</w:t>
            </w:r>
            <w:r>
              <w:rPr>
                <w:rFonts w:hint="eastAsia"/>
                <w:sz w:val="24"/>
                <w:szCs w:val="24"/>
                <w:lang w:val="zh-CN"/>
              </w:rPr>
              <w:t>分,其他参数不满足招标文件要求的每项扣</w:t>
            </w:r>
            <w:r>
              <w:rPr>
                <w:rFonts w:hint="eastAsia"/>
                <w:sz w:val="24"/>
                <w:szCs w:val="24"/>
              </w:rPr>
              <w:t>0.5</w:t>
            </w:r>
            <w:r>
              <w:rPr>
                <w:rFonts w:hint="eastAsia"/>
                <w:sz w:val="24"/>
                <w:szCs w:val="24"/>
                <w:lang w:val="zh-CN"/>
              </w:rPr>
              <w:t>分，扣完为止。</w:t>
            </w:r>
          </w:p>
        </w:tc>
        <w:tc>
          <w:tcPr>
            <w:tcW w:w="468" w:type="pct"/>
            <w:vAlign w:val="center"/>
          </w:tcPr>
          <w:p>
            <w:pPr>
              <w:rPr>
                <w:sz w:val="24"/>
                <w:szCs w:val="24"/>
              </w:rPr>
            </w:pPr>
            <w:r>
              <w:rPr>
                <w:rFonts w:hint="eastAsia"/>
                <w:sz w:val="24"/>
                <w:szCs w:val="24"/>
              </w:rPr>
              <w:t>3</w:t>
            </w:r>
            <w:r>
              <w:rPr>
                <w:sz w:val="24"/>
                <w:szCs w:val="24"/>
              </w:rPr>
              <w:t>0</w:t>
            </w:r>
            <w:r>
              <w:rPr>
                <w:rFonts w:hint="eastAsia"/>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000" w:type="pct"/>
            <w:gridSpan w:val="3"/>
            <w:shd w:val="clear" w:color="auto" w:fill="auto"/>
            <w:vAlign w:val="center"/>
          </w:tcPr>
          <w:p>
            <w:pPr>
              <w:rPr>
                <w:sz w:val="24"/>
                <w:szCs w:val="24"/>
              </w:rPr>
            </w:pPr>
            <w:r>
              <w:rPr>
                <w:rFonts w:hint="eastAsia"/>
                <w:sz w:val="24"/>
                <w:szCs w:val="24"/>
              </w:rPr>
              <w:t>三、商务部分（4</w:t>
            </w:r>
            <w:r>
              <w:rPr>
                <w:sz w:val="24"/>
                <w:szCs w:val="24"/>
              </w:rPr>
              <w:t>0</w:t>
            </w:r>
            <w:r>
              <w:rPr>
                <w:rFonts w:hint="eastAsia"/>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jc w:val="center"/>
        </w:trPr>
        <w:tc>
          <w:tcPr>
            <w:tcW w:w="774" w:type="pct"/>
            <w:vMerge w:val="restart"/>
            <w:shd w:val="clear" w:color="auto" w:fill="auto"/>
            <w:vAlign w:val="center"/>
          </w:tcPr>
          <w:p>
            <w:pPr>
              <w:rPr>
                <w:sz w:val="24"/>
                <w:szCs w:val="24"/>
              </w:rPr>
            </w:pPr>
            <w:r>
              <w:rPr>
                <w:rFonts w:hint="eastAsia"/>
                <w:sz w:val="24"/>
                <w:szCs w:val="24"/>
              </w:rPr>
              <w:t>技术先进性</w:t>
            </w:r>
          </w:p>
        </w:tc>
        <w:tc>
          <w:tcPr>
            <w:tcW w:w="3757" w:type="pct"/>
            <w:shd w:val="clear" w:color="auto" w:fill="auto"/>
            <w:vAlign w:val="center"/>
          </w:tcPr>
          <w:p>
            <w:pPr>
              <w:rPr>
                <w:sz w:val="24"/>
                <w:szCs w:val="24"/>
              </w:rPr>
            </w:pPr>
            <w:r>
              <w:rPr>
                <w:rFonts w:hint="eastAsia"/>
                <w:sz w:val="24"/>
                <w:szCs w:val="24"/>
              </w:rPr>
              <w:t>信息采集终端慢病管理系统：</w:t>
            </w:r>
          </w:p>
          <w:p>
            <w:pPr>
              <w:rPr>
                <w:sz w:val="24"/>
                <w:szCs w:val="24"/>
              </w:rPr>
            </w:pPr>
            <w:r>
              <w:rPr>
                <w:rFonts w:hint="eastAsia"/>
                <w:sz w:val="24"/>
                <w:szCs w:val="24"/>
              </w:rPr>
              <w:t>具有健康大数据管理分析系统软件著作权证书；</w:t>
            </w:r>
          </w:p>
          <w:p>
            <w:pPr>
              <w:rPr>
                <w:sz w:val="24"/>
                <w:szCs w:val="24"/>
              </w:rPr>
            </w:pPr>
            <w:r>
              <w:rPr>
                <w:rFonts w:hint="eastAsia"/>
                <w:sz w:val="24"/>
                <w:szCs w:val="24"/>
              </w:rPr>
              <w:t>具有老年健康评估系统软件著作权证书。</w:t>
            </w:r>
          </w:p>
          <w:p>
            <w:pPr>
              <w:rPr>
                <w:sz w:val="24"/>
                <w:szCs w:val="24"/>
              </w:rPr>
            </w:pPr>
            <w:r>
              <w:rPr>
                <w:rFonts w:hint="eastAsia"/>
                <w:sz w:val="24"/>
                <w:szCs w:val="24"/>
              </w:rPr>
              <w:t>以上每项加1分，此项最高加2分。</w:t>
            </w:r>
          </w:p>
        </w:tc>
        <w:tc>
          <w:tcPr>
            <w:tcW w:w="468" w:type="pct"/>
            <w:vAlign w:val="center"/>
          </w:tcPr>
          <w:p>
            <w:pPr>
              <w:rPr>
                <w:sz w:val="24"/>
                <w:szCs w:val="24"/>
              </w:rPr>
            </w:pPr>
            <w:r>
              <w:rPr>
                <w:rFonts w:hint="eastAsia"/>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jc w:val="center"/>
        </w:trPr>
        <w:tc>
          <w:tcPr>
            <w:tcW w:w="774" w:type="pct"/>
            <w:vMerge w:val="continue"/>
            <w:shd w:val="clear" w:color="auto" w:fill="auto"/>
            <w:vAlign w:val="center"/>
          </w:tcPr>
          <w:p>
            <w:pPr>
              <w:rPr>
                <w:sz w:val="24"/>
                <w:szCs w:val="24"/>
              </w:rPr>
            </w:pPr>
          </w:p>
        </w:tc>
        <w:tc>
          <w:tcPr>
            <w:tcW w:w="3757" w:type="pct"/>
            <w:shd w:val="clear" w:color="auto" w:fill="auto"/>
            <w:vAlign w:val="center"/>
          </w:tcPr>
          <w:p>
            <w:pPr>
              <w:rPr>
                <w:sz w:val="24"/>
                <w:szCs w:val="24"/>
              </w:rPr>
            </w:pPr>
            <w:r>
              <w:rPr>
                <w:rFonts w:hint="eastAsia"/>
                <w:sz w:val="24"/>
                <w:szCs w:val="24"/>
                <w:highlight w:val="yellow"/>
              </w:rPr>
              <w:t>信息采集终端</w:t>
            </w:r>
            <w:r>
              <w:rPr>
                <w:rFonts w:hint="eastAsia"/>
                <w:sz w:val="24"/>
                <w:szCs w:val="24"/>
              </w:rPr>
              <w:t>硬件检测功能：</w:t>
            </w:r>
          </w:p>
          <w:p>
            <w:pPr>
              <w:rPr>
                <w:sz w:val="24"/>
                <w:szCs w:val="24"/>
              </w:rPr>
            </w:pPr>
            <w:r>
              <w:rPr>
                <w:rFonts w:hint="eastAsia"/>
                <w:sz w:val="24"/>
                <w:szCs w:val="24"/>
              </w:rPr>
              <w:t>1、具有血压检测类软件著作权证书；</w:t>
            </w:r>
          </w:p>
          <w:p>
            <w:pPr>
              <w:rPr>
                <w:sz w:val="24"/>
                <w:szCs w:val="24"/>
              </w:rPr>
            </w:pPr>
            <w:r>
              <w:rPr>
                <w:rFonts w:hint="eastAsia"/>
                <w:sz w:val="24"/>
                <w:szCs w:val="24"/>
              </w:rPr>
              <w:t>2、具有体温检测类软件著作权证书；</w:t>
            </w:r>
          </w:p>
          <w:p>
            <w:pPr>
              <w:rPr>
                <w:sz w:val="24"/>
                <w:szCs w:val="24"/>
              </w:rPr>
            </w:pPr>
            <w:r>
              <w:rPr>
                <w:rFonts w:hint="eastAsia"/>
                <w:sz w:val="24"/>
                <w:szCs w:val="24"/>
                <w:highlight w:val="yellow"/>
              </w:rPr>
              <w:t>3、具有尿液分析检测类软件著作权证书；</w:t>
            </w:r>
          </w:p>
          <w:p>
            <w:pPr>
              <w:rPr>
                <w:sz w:val="24"/>
                <w:szCs w:val="24"/>
              </w:rPr>
            </w:pPr>
            <w:r>
              <w:rPr>
                <w:rFonts w:hint="eastAsia"/>
                <w:sz w:val="24"/>
                <w:szCs w:val="24"/>
              </w:rPr>
              <w:t>4、具有身高体重检测类软件著作权证书</w:t>
            </w:r>
          </w:p>
          <w:p>
            <w:pPr>
              <w:rPr>
                <w:sz w:val="24"/>
                <w:szCs w:val="24"/>
              </w:rPr>
            </w:pPr>
            <w:r>
              <w:rPr>
                <w:rFonts w:hint="eastAsia"/>
                <w:sz w:val="24"/>
                <w:szCs w:val="24"/>
              </w:rPr>
              <w:t>以上每项加0</w:t>
            </w:r>
            <w:r>
              <w:rPr>
                <w:sz w:val="24"/>
                <w:szCs w:val="24"/>
              </w:rPr>
              <w:t>.5</w:t>
            </w:r>
            <w:r>
              <w:rPr>
                <w:rFonts w:hint="eastAsia"/>
                <w:sz w:val="24"/>
                <w:szCs w:val="24"/>
              </w:rPr>
              <w:t>分，此项最高加2分。</w:t>
            </w:r>
          </w:p>
        </w:tc>
        <w:tc>
          <w:tcPr>
            <w:tcW w:w="468" w:type="pct"/>
            <w:vAlign w:val="center"/>
          </w:tcPr>
          <w:p>
            <w:pPr>
              <w:rPr>
                <w:sz w:val="24"/>
                <w:szCs w:val="24"/>
              </w:rPr>
            </w:pPr>
            <w:r>
              <w:rPr>
                <w:rFonts w:hint="eastAsia"/>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774" w:type="pct"/>
            <w:vMerge w:val="continue"/>
            <w:shd w:val="clear" w:color="auto" w:fill="auto"/>
            <w:vAlign w:val="center"/>
          </w:tcPr>
          <w:p>
            <w:pPr>
              <w:rPr>
                <w:sz w:val="24"/>
                <w:szCs w:val="24"/>
              </w:rPr>
            </w:pPr>
          </w:p>
        </w:tc>
        <w:tc>
          <w:tcPr>
            <w:tcW w:w="3757" w:type="pct"/>
            <w:shd w:val="clear" w:color="auto" w:fill="auto"/>
            <w:vAlign w:val="center"/>
          </w:tcPr>
          <w:p>
            <w:pPr>
              <w:rPr>
                <w:sz w:val="24"/>
                <w:szCs w:val="24"/>
              </w:rPr>
            </w:pPr>
            <w:r>
              <w:rPr>
                <w:rFonts w:hint="eastAsia"/>
                <w:sz w:val="24"/>
                <w:szCs w:val="24"/>
              </w:rPr>
              <w:t>信息采集终端操作台制造商具备人体体征参数管理软件医疗器械注册证，并提供完整的检验报告。</w:t>
            </w:r>
          </w:p>
        </w:tc>
        <w:tc>
          <w:tcPr>
            <w:tcW w:w="468" w:type="pct"/>
            <w:vAlign w:val="center"/>
          </w:tcPr>
          <w:p>
            <w:pPr>
              <w:rPr>
                <w:sz w:val="24"/>
                <w:szCs w:val="24"/>
              </w:rPr>
            </w:pPr>
            <w:r>
              <w:rPr>
                <w:rFonts w:hint="eastAsia"/>
                <w:sz w:val="24"/>
                <w:szCs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jc w:val="center"/>
        </w:trPr>
        <w:tc>
          <w:tcPr>
            <w:tcW w:w="774" w:type="pct"/>
            <w:shd w:val="clear" w:color="auto" w:fill="auto"/>
            <w:vAlign w:val="center"/>
          </w:tcPr>
          <w:p>
            <w:pPr>
              <w:rPr>
                <w:sz w:val="24"/>
                <w:szCs w:val="24"/>
              </w:rPr>
            </w:pPr>
            <w:r>
              <w:rPr>
                <w:rFonts w:hint="eastAsia"/>
                <w:sz w:val="24"/>
                <w:szCs w:val="24"/>
              </w:rPr>
              <w:t>设备制造商实力</w:t>
            </w:r>
          </w:p>
        </w:tc>
        <w:tc>
          <w:tcPr>
            <w:tcW w:w="3757" w:type="pct"/>
            <w:shd w:val="clear" w:color="auto" w:fill="auto"/>
            <w:vAlign w:val="center"/>
          </w:tcPr>
          <w:p>
            <w:pPr>
              <w:rPr>
                <w:sz w:val="24"/>
                <w:szCs w:val="24"/>
              </w:rPr>
            </w:pPr>
            <w:r>
              <w:rPr>
                <w:rFonts w:hint="eastAsia"/>
                <w:sz w:val="24"/>
                <w:szCs w:val="24"/>
              </w:rPr>
              <w:t>1、信息采集终端操作台制造商具有质量管理体系、环境管理体系、职业健康安全管理体系、信息安全管理体系；以上均满足的加2分,少提供或未提供的不加分。</w:t>
            </w:r>
          </w:p>
          <w:p>
            <w:pPr>
              <w:rPr>
                <w:sz w:val="24"/>
                <w:szCs w:val="24"/>
              </w:rPr>
            </w:pPr>
            <w:r>
              <w:rPr>
                <w:rFonts w:hint="eastAsia"/>
                <w:sz w:val="24"/>
                <w:szCs w:val="24"/>
              </w:rPr>
              <w:t>评审依据：供应商须提供ISO9001质量管理体系认证证书、ISO14001环境管理体系认证证书、I</w:t>
            </w:r>
            <w:r>
              <w:rPr>
                <w:sz w:val="24"/>
                <w:szCs w:val="24"/>
              </w:rPr>
              <w:t>SO45001</w:t>
            </w:r>
            <w:r>
              <w:rPr>
                <w:rFonts w:hint="eastAsia"/>
                <w:sz w:val="24"/>
                <w:szCs w:val="24"/>
              </w:rPr>
              <w:t>职业健康安全管理体系、ISO27001信息安全管理体系认证。</w:t>
            </w:r>
          </w:p>
          <w:p>
            <w:pPr>
              <w:rPr>
                <w:sz w:val="24"/>
                <w:szCs w:val="24"/>
              </w:rPr>
            </w:pPr>
            <w:r>
              <w:rPr>
                <w:rFonts w:hint="eastAsia"/>
                <w:sz w:val="24"/>
                <w:szCs w:val="24"/>
              </w:rPr>
              <w:t>2、信息采集终端操作台制造商具有I</w:t>
            </w:r>
            <w:r>
              <w:rPr>
                <w:sz w:val="24"/>
                <w:szCs w:val="24"/>
              </w:rPr>
              <w:t>SO</w:t>
            </w:r>
            <w:r>
              <w:rPr>
                <w:rFonts w:hint="eastAsia"/>
                <w:sz w:val="24"/>
                <w:szCs w:val="24"/>
              </w:rPr>
              <w:t>20000信息技术服务体系认证的加3分，未提供不得分。</w:t>
            </w:r>
          </w:p>
          <w:p>
            <w:pPr>
              <w:rPr>
                <w:sz w:val="24"/>
                <w:szCs w:val="24"/>
              </w:rPr>
            </w:pPr>
            <w:r>
              <w:rPr>
                <w:rFonts w:hint="eastAsia"/>
                <w:sz w:val="24"/>
                <w:szCs w:val="24"/>
              </w:rPr>
              <w:t>3、信息采集终端操作台制造商具有知识产权管理体系的加2分，此项最高加2分，未提供不得分。</w:t>
            </w:r>
          </w:p>
        </w:tc>
        <w:tc>
          <w:tcPr>
            <w:tcW w:w="468" w:type="pct"/>
            <w:vAlign w:val="center"/>
          </w:tcPr>
          <w:p>
            <w:pPr>
              <w:rPr>
                <w:sz w:val="24"/>
                <w:szCs w:val="24"/>
              </w:rPr>
            </w:pPr>
            <w:r>
              <w:rPr>
                <w:rFonts w:hint="eastAsia"/>
                <w:sz w:val="24"/>
                <w:szCs w:val="24"/>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pct"/>
            <w:shd w:val="clear" w:color="auto" w:fill="auto"/>
            <w:vAlign w:val="center"/>
          </w:tcPr>
          <w:p>
            <w:pPr>
              <w:rPr>
                <w:sz w:val="24"/>
                <w:szCs w:val="24"/>
              </w:rPr>
            </w:pPr>
            <w:r>
              <w:rPr>
                <w:rFonts w:hint="eastAsia"/>
                <w:sz w:val="24"/>
                <w:szCs w:val="24"/>
              </w:rPr>
              <w:t>信息安全保障能力</w:t>
            </w:r>
          </w:p>
        </w:tc>
        <w:tc>
          <w:tcPr>
            <w:tcW w:w="3757" w:type="pct"/>
            <w:shd w:val="clear" w:color="auto" w:fill="auto"/>
            <w:vAlign w:val="center"/>
          </w:tcPr>
          <w:p>
            <w:pPr>
              <w:rPr>
                <w:sz w:val="24"/>
                <w:szCs w:val="24"/>
              </w:rPr>
            </w:pPr>
            <w:r>
              <w:rPr>
                <w:rFonts w:hint="eastAsia"/>
                <w:sz w:val="24"/>
                <w:szCs w:val="24"/>
              </w:rPr>
              <w:t>信息采集终端操作台制造商（或其关联母公司）具有安全信息保障能力，获得信息安全等级保护三级及以上级别、III级信息系统安全集成服务资质，以上均满足的加</w:t>
            </w:r>
            <w:r>
              <w:rPr>
                <w:sz w:val="24"/>
                <w:szCs w:val="24"/>
              </w:rPr>
              <w:t>5</w:t>
            </w:r>
            <w:r>
              <w:rPr>
                <w:rFonts w:hint="eastAsia"/>
                <w:sz w:val="24"/>
                <w:szCs w:val="24"/>
              </w:rPr>
              <w:t>分,少提供或未提供的不加分。</w:t>
            </w:r>
          </w:p>
          <w:p>
            <w:pPr>
              <w:rPr>
                <w:sz w:val="24"/>
                <w:szCs w:val="24"/>
              </w:rPr>
            </w:pPr>
            <w:r>
              <w:rPr>
                <w:rFonts w:hint="eastAsia"/>
                <w:sz w:val="24"/>
                <w:szCs w:val="24"/>
              </w:rPr>
              <w:t>评审依据：供应商须提供信息安全等级保护三级及以上级别认证证书、III级信息系统安全集成服务资质证书原件复印件并加盖公章予以佐证；否则不加分。</w:t>
            </w:r>
          </w:p>
        </w:tc>
        <w:tc>
          <w:tcPr>
            <w:tcW w:w="468" w:type="pct"/>
            <w:vAlign w:val="center"/>
          </w:tcPr>
          <w:p>
            <w:pPr>
              <w:rPr>
                <w:sz w:val="24"/>
                <w:szCs w:val="24"/>
              </w:rPr>
            </w:pPr>
            <w:r>
              <w:rPr>
                <w:rFonts w:hint="eastAsia"/>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pct"/>
            <w:shd w:val="clear" w:color="auto" w:fill="auto"/>
            <w:vAlign w:val="center"/>
          </w:tcPr>
          <w:p>
            <w:pPr>
              <w:rPr>
                <w:sz w:val="24"/>
                <w:szCs w:val="24"/>
              </w:rPr>
            </w:pPr>
            <w:r>
              <w:rPr>
                <w:rFonts w:hint="eastAsia"/>
                <w:sz w:val="24"/>
                <w:szCs w:val="24"/>
              </w:rPr>
              <w:t>项目建设方案</w:t>
            </w:r>
          </w:p>
        </w:tc>
        <w:tc>
          <w:tcPr>
            <w:tcW w:w="3757" w:type="pct"/>
            <w:shd w:val="clear" w:color="auto" w:fill="auto"/>
            <w:vAlign w:val="center"/>
          </w:tcPr>
          <w:p>
            <w:pPr>
              <w:rPr>
                <w:sz w:val="24"/>
                <w:szCs w:val="24"/>
              </w:rPr>
            </w:pPr>
            <w:r>
              <w:rPr>
                <w:rFonts w:hint="eastAsia"/>
                <w:sz w:val="24"/>
                <w:szCs w:val="24"/>
              </w:rPr>
              <w:t>投标人提供本项目的建设方案，方案结构完善，技术先进，科学合理。相关软件功能描述具体并提供截图证明，符合招标要求，描述清晰合理、流程简单易懂、符合国家基本公卫体检需求的得4分，方案结构完善、内容松散，欠缺科学性得2分，相关软件有描述，整体结构完整性欠缺得1分，未提供不得分。</w:t>
            </w:r>
          </w:p>
        </w:tc>
        <w:tc>
          <w:tcPr>
            <w:tcW w:w="468" w:type="pct"/>
            <w:vAlign w:val="center"/>
          </w:tcPr>
          <w:p>
            <w:pPr>
              <w:rPr>
                <w:sz w:val="24"/>
                <w:szCs w:val="24"/>
              </w:rPr>
            </w:pPr>
            <w:r>
              <w:rPr>
                <w:rFonts w:hint="eastAsia"/>
                <w:sz w:val="24"/>
                <w:szCs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774" w:type="pct"/>
            <w:shd w:val="clear" w:color="auto" w:fill="auto"/>
            <w:vAlign w:val="center"/>
          </w:tcPr>
          <w:p>
            <w:pPr>
              <w:rPr>
                <w:sz w:val="24"/>
                <w:szCs w:val="24"/>
              </w:rPr>
            </w:pPr>
            <w:r>
              <w:rPr>
                <w:rFonts w:hint="eastAsia"/>
                <w:sz w:val="24"/>
                <w:szCs w:val="24"/>
              </w:rPr>
              <w:t>交货期保障计划措施</w:t>
            </w:r>
          </w:p>
        </w:tc>
        <w:tc>
          <w:tcPr>
            <w:tcW w:w="3757" w:type="pct"/>
            <w:shd w:val="clear" w:color="auto" w:fill="auto"/>
            <w:vAlign w:val="center"/>
          </w:tcPr>
          <w:p>
            <w:pPr>
              <w:rPr>
                <w:sz w:val="24"/>
                <w:szCs w:val="24"/>
              </w:rPr>
            </w:pPr>
            <w:r>
              <w:rPr>
                <w:rFonts w:hint="eastAsia"/>
                <w:sz w:val="24"/>
                <w:szCs w:val="24"/>
              </w:rPr>
              <w:t>为确保交货期而采取的保障措施。</w:t>
            </w:r>
          </w:p>
          <w:p>
            <w:pPr>
              <w:rPr>
                <w:sz w:val="24"/>
                <w:szCs w:val="24"/>
              </w:rPr>
            </w:pPr>
            <w:r>
              <w:rPr>
                <w:rFonts w:hint="eastAsia"/>
                <w:sz w:val="24"/>
                <w:szCs w:val="24"/>
              </w:rPr>
              <w:t>内容完备、科学、合理、针对性强的得3分，内容基本完备、基本合理、可行的得2分，欠合理、基本可行的得1，不可行、不能满足项目需要的不得分。</w:t>
            </w:r>
          </w:p>
        </w:tc>
        <w:tc>
          <w:tcPr>
            <w:tcW w:w="468" w:type="pct"/>
            <w:vAlign w:val="center"/>
          </w:tcPr>
          <w:p>
            <w:pPr>
              <w:rPr>
                <w:sz w:val="24"/>
                <w:szCs w:val="24"/>
              </w:rPr>
            </w:pPr>
            <w:r>
              <w:rPr>
                <w:rFonts w:hint="eastAsia"/>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pct"/>
            <w:shd w:val="clear" w:color="auto" w:fill="auto"/>
            <w:vAlign w:val="center"/>
          </w:tcPr>
          <w:p>
            <w:pPr>
              <w:rPr>
                <w:sz w:val="24"/>
                <w:szCs w:val="24"/>
              </w:rPr>
            </w:pPr>
            <w:r>
              <w:rPr>
                <w:rFonts w:hint="eastAsia"/>
                <w:sz w:val="24"/>
                <w:szCs w:val="24"/>
              </w:rPr>
              <w:t>安装调试验收方案</w:t>
            </w:r>
          </w:p>
        </w:tc>
        <w:tc>
          <w:tcPr>
            <w:tcW w:w="3757" w:type="pct"/>
            <w:shd w:val="clear" w:color="auto" w:fill="auto"/>
            <w:vAlign w:val="center"/>
          </w:tcPr>
          <w:p>
            <w:pPr>
              <w:rPr>
                <w:sz w:val="24"/>
                <w:szCs w:val="24"/>
              </w:rPr>
            </w:pPr>
            <w:r>
              <w:rPr>
                <w:rFonts w:hint="eastAsia"/>
                <w:sz w:val="24"/>
                <w:szCs w:val="24"/>
              </w:rPr>
              <w:t>投标人提供的安装调试验收方案。</w:t>
            </w:r>
          </w:p>
          <w:p>
            <w:pPr>
              <w:rPr>
                <w:sz w:val="24"/>
                <w:szCs w:val="24"/>
              </w:rPr>
            </w:pPr>
            <w:r>
              <w:rPr>
                <w:rFonts w:hint="eastAsia"/>
                <w:sz w:val="24"/>
                <w:szCs w:val="24"/>
              </w:rPr>
              <w:t>内容完备、科学、合理、针对性强的得3分，内容基本完备、基本合理、可行的得2分，欠合理、基本可行的得1，不可行、不能满足项目需要的不得分。</w:t>
            </w:r>
          </w:p>
        </w:tc>
        <w:tc>
          <w:tcPr>
            <w:tcW w:w="468" w:type="pct"/>
            <w:vAlign w:val="center"/>
          </w:tcPr>
          <w:p>
            <w:pPr>
              <w:rPr>
                <w:sz w:val="24"/>
                <w:szCs w:val="24"/>
              </w:rPr>
            </w:pPr>
            <w:r>
              <w:rPr>
                <w:rFonts w:hint="eastAsia"/>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pct"/>
            <w:shd w:val="clear" w:color="auto" w:fill="auto"/>
            <w:vAlign w:val="center"/>
          </w:tcPr>
          <w:p>
            <w:pPr>
              <w:rPr>
                <w:sz w:val="24"/>
                <w:szCs w:val="24"/>
              </w:rPr>
            </w:pPr>
            <w:r>
              <w:rPr>
                <w:rFonts w:hint="eastAsia"/>
                <w:sz w:val="24"/>
                <w:szCs w:val="24"/>
              </w:rPr>
              <w:t>售后服务方案</w:t>
            </w:r>
          </w:p>
        </w:tc>
        <w:tc>
          <w:tcPr>
            <w:tcW w:w="3757" w:type="pct"/>
            <w:shd w:val="clear" w:color="auto" w:fill="auto"/>
            <w:vAlign w:val="center"/>
          </w:tcPr>
          <w:p>
            <w:pPr>
              <w:rPr>
                <w:sz w:val="24"/>
                <w:szCs w:val="24"/>
              </w:rPr>
            </w:pPr>
            <w:r>
              <w:rPr>
                <w:rFonts w:hint="eastAsia"/>
                <w:sz w:val="24"/>
                <w:szCs w:val="24"/>
              </w:rPr>
              <w:t>供应商提供完善、合理的售后服务方案，包含不仅限于售后服务响应时间、售后服务计划、售后服务流程、质量保证期限及范围、软件升级及零配件供应保障措施。</w:t>
            </w:r>
          </w:p>
          <w:p>
            <w:pPr>
              <w:rPr>
                <w:sz w:val="24"/>
                <w:szCs w:val="24"/>
              </w:rPr>
            </w:pPr>
            <w:r>
              <w:rPr>
                <w:rFonts w:hint="eastAsia"/>
                <w:sz w:val="24"/>
                <w:szCs w:val="24"/>
              </w:rPr>
              <w:t>内容完备、科学、合理、针对性强的得5分，内容基本完备、基本合理、可行的得3分，欠合理、基本可行的得1，不可行、不能满足项目需要的不得分。</w:t>
            </w:r>
          </w:p>
        </w:tc>
        <w:tc>
          <w:tcPr>
            <w:tcW w:w="468" w:type="pct"/>
            <w:vAlign w:val="center"/>
          </w:tcPr>
          <w:p>
            <w:pPr>
              <w:rPr>
                <w:sz w:val="24"/>
                <w:szCs w:val="24"/>
              </w:rPr>
            </w:pPr>
            <w:r>
              <w:rPr>
                <w:rFonts w:hint="eastAsia"/>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774" w:type="pct"/>
            <w:shd w:val="clear" w:color="auto" w:fill="auto"/>
            <w:vAlign w:val="center"/>
          </w:tcPr>
          <w:p>
            <w:pPr>
              <w:rPr>
                <w:sz w:val="24"/>
                <w:szCs w:val="24"/>
              </w:rPr>
            </w:pPr>
            <w:r>
              <w:rPr>
                <w:rFonts w:hint="eastAsia"/>
                <w:sz w:val="24"/>
                <w:szCs w:val="24"/>
              </w:rPr>
              <w:t>培训方案</w:t>
            </w:r>
          </w:p>
        </w:tc>
        <w:tc>
          <w:tcPr>
            <w:tcW w:w="3757" w:type="pct"/>
            <w:shd w:val="clear" w:color="auto" w:fill="auto"/>
            <w:vAlign w:val="center"/>
          </w:tcPr>
          <w:p>
            <w:pPr>
              <w:rPr>
                <w:sz w:val="24"/>
                <w:szCs w:val="24"/>
              </w:rPr>
            </w:pPr>
            <w:r>
              <w:rPr>
                <w:rFonts w:hint="eastAsia"/>
                <w:sz w:val="24"/>
                <w:szCs w:val="24"/>
              </w:rPr>
              <w:t>投标人提供的培训方案（包括专业技术情况、培训计划等方面）.</w:t>
            </w:r>
          </w:p>
          <w:p>
            <w:pPr>
              <w:rPr>
                <w:sz w:val="24"/>
                <w:szCs w:val="24"/>
              </w:rPr>
            </w:pPr>
            <w:r>
              <w:rPr>
                <w:rFonts w:hint="eastAsia"/>
                <w:sz w:val="24"/>
                <w:szCs w:val="24"/>
              </w:rPr>
              <w:t>内容完备、科学、合理、针对性强的得3分，内容基本完备、基本合理、可行的得2分，欠合理、基本可行的得1，不可行、不能满足项目需要的不得分。</w:t>
            </w:r>
          </w:p>
        </w:tc>
        <w:tc>
          <w:tcPr>
            <w:tcW w:w="468" w:type="pct"/>
            <w:vAlign w:val="center"/>
          </w:tcPr>
          <w:p>
            <w:pPr>
              <w:rPr>
                <w:sz w:val="24"/>
                <w:szCs w:val="24"/>
              </w:rPr>
            </w:pPr>
            <w:r>
              <w:rPr>
                <w:rFonts w:hint="eastAsia"/>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pct"/>
            <w:shd w:val="clear" w:color="auto" w:fill="auto"/>
            <w:vAlign w:val="center"/>
          </w:tcPr>
          <w:p>
            <w:pPr>
              <w:rPr>
                <w:sz w:val="24"/>
                <w:szCs w:val="24"/>
              </w:rPr>
            </w:pPr>
            <w:r>
              <w:rPr>
                <w:rFonts w:hint="eastAsia"/>
                <w:sz w:val="24"/>
                <w:szCs w:val="24"/>
              </w:rPr>
              <w:t>投标文件编制规范</w:t>
            </w:r>
          </w:p>
        </w:tc>
        <w:tc>
          <w:tcPr>
            <w:tcW w:w="3757" w:type="pct"/>
            <w:shd w:val="clear" w:color="auto" w:fill="auto"/>
            <w:vAlign w:val="center"/>
          </w:tcPr>
          <w:p>
            <w:pPr>
              <w:rPr>
                <w:sz w:val="24"/>
                <w:szCs w:val="24"/>
              </w:rPr>
            </w:pPr>
            <w:r>
              <w:rPr>
                <w:rFonts w:hint="eastAsia"/>
                <w:sz w:val="24"/>
                <w:szCs w:val="24"/>
              </w:rPr>
              <w:t>投标文件全面响应招标文件要求，编制完整、非活页装订，且有详细目录、连续页码、目录与有关材料装订顺序对应清晰、查阅方便得2分。编排杂乱无章、叙述答非所问、资料残缺不全、资料模糊不清、前后不一致等，每处扣1分，扣完为止，活页装订不得分。</w:t>
            </w:r>
          </w:p>
        </w:tc>
        <w:tc>
          <w:tcPr>
            <w:tcW w:w="468" w:type="pct"/>
            <w:vAlign w:val="center"/>
          </w:tcPr>
          <w:p>
            <w:pPr>
              <w:rPr>
                <w:sz w:val="24"/>
                <w:szCs w:val="24"/>
              </w:rPr>
            </w:pPr>
            <w:r>
              <w:rPr>
                <w:rFonts w:hint="eastAsia"/>
                <w:sz w:val="24"/>
                <w:szCs w:val="24"/>
              </w:rPr>
              <w:t>2分</w:t>
            </w:r>
          </w:p>
        </w:tc>
      </w:tr>
    </w:tbl>
    <w:p>
      <w:pPr>
        <w:pStyle w:val="8"/>
        <w:ind w:firstLine="560" w:firstLineChars="200"/>
        <w:rPr>
          <w:rFonts w:hAnsi="宋体" w:eastAsia="宋体" w:cs="宋体"/>
          <w:bCs/>
          <w:color w:val="FF0000"/>
          <w:sz w:val="28"/>
          <w:szCs w:val="28"/>
        </w:rPr>
      </w:pPr>
    </w:p>
    <w:p>
      <w:pPr>
        <w:pStyle w:val="8"/>
        <w:spacing w:line="360" w:lineRule="auto"/>
        <w:ind w:firstLine="480" w:firstLineChars="200"/>
        <w:rPr>
          <w:rFonts w:hAnsi="宋体" w:eastAsia="宋体" w:cs="宋体"/>
          <w:bCs/>
          <w:color w:val="FF0000"/>
          <w:szCs w:val="24"/>
        </w:rPr>
      </w:pPr>
      <w:r>
        <w:rPr>
          <w:rFonts w:hint="eastAsia" w:hAnsi="宋体" w:eastAsia="宋体" w:cs="宋体"/>
          <w:bCs/>
          <w:color w:val="FF0000"/>
          <w:szCs w:val="24"/>
        </w:rPr>
        <w:t>备注：以上所有须提供的证件、证书、有关资料等投标人都须提供原始资料的真彩扫描打印件供专家评委评审，否则不得分。投标人投标时须认真对待、如实应标。凡提供虚假材料谋取中标的，一经查实，根据《政府采购法》第七十七条之规定，将对供应商处以罚款、列入不良行为记录名单、依法追究刑事责任等。</w:t>
      </w:r>
    </w:p>
    <w:p>
      <w:pPr>
        <w:pStyle w:val="24"/>
        <w:rPr>
          <w:rFonts w:asciiTheme="minorHAnsi" w:hAnsiTheme="minorHAnsi" w:eastAsiaTheme="minorEastAsia" w:cstheme="minorBidi"/>
          <w:b w:val="0"/>
          <w:bCs w:val="0"/>
          <w:color w:val="auto"/>
          <w:kern w:val="2"/>
          <w:sz w:val="21"/>
          <w:szCs w:val="22"/>
        </w:rPr>
      </w:pPr>
    </w:p>
    <w:p/>
    <w:p/>
    <w:p>
      <w:r>
        <w:br w:type="page"/>
      </w:r>
    </w:p>
    <w:p/>
    <w:p>
      <w:pPr>
        <w:pStyle w:val="3"/>
        <w:numPr>
          <w:ilvl w:val="0"/>
          <w:numId w:val="1"/>
        </w:numPr>
        <w:jc w:val="center"/>
        <w:rPr>
          <w:rFonts w:ascii="黑体" w:hAnsi="黑体" w:eastAsia="黑体"/>
          <w:color w:val="000000" w:themeColor="text1"/>
        </w:rPr>
      </w:pPr>
      <w:bookmarkStart w:id="65" w:name="_Toc494721093"/>
      <w:bookmarkStart w:id="66" w:name="_Toc494745310"/>
      <w:bookmarkStart w:id="67" w:name="_Toc5740"/>
      <w:bookmarkStart w:id="68" w:name="_Toc494702263"/>
      <w:bookmarkStart w:id="69" w:name="_Toc494665943"/>
      <w:bookmarkStart w:id="70" w:name="_Toc494665546"/>
      <w:bookmarkStart w:id="71" w:name="_Toc494664993"/>
      <w:r>
        <w:rPr>
          <w:rFonts w:hint="eastAsia" w:ascii="黑体" w:hAnsi="黑体" w:eastAsia="黑体"/>
          <w:color w:val="000000" w:themeColor="text1"/>
        </w:rPr>
        <w:t>合同书格式（参考）</w:t>
      </w:r>
      <w:bookmarkEnd w:id="65"/>
      <w:bookmarkEnd w:id="66"/>
      <w:bookmarkEnd w:id="67"/>
      <w:bookmarkEnd w:id="68"/>
      <w:bookmarkEnd w:id="69"/>
      <w:bookmarkEnd w:id="70"/>
      <w:bookmarkEnd w:id="71"/>
    </w:p>
    <w:p>
      <w:pPr>
        <w:spacing w:line="360" w:lineRule="auto"/>
        <w:ind w:firstLine="480" w:firstLineChars="200"/>
        <w:rPr>
          <w:color w:val="000000" w:themeColor="text1"/>
          <w:sz w:val="24"/>
          <w:szCs w:val="24"/>
        </w:rPr>
      </w:pPr>
      <w:r>
        <w:rPr>
          <w:rFonts w:hint="eastAsia"/>
          <w:color w:val="000000" w:themeColor="text1"/>
          <w:sz w:val="24"/>
          <w:szCs w:val="24"/>
        </w:rPr>
        <w:t>（根据《政府采购法》和《合同法》相关规定，采购人和中标人之间的权利和义务，应当按照平等、自愿的原则以合同方式约定。此合同书仅作为签订正式合同时的参考，正式合同书应包括本参考格式之内容。）</w:t>
      </w:r>
    </w:p>
    <w:p>
      <w:pPr>
        <w:tabs>
          <w:tab w:val="left" w:pos="6663"/>
          <w:tab w:val="left" w:pos="6804"/>
        </w:tabs>
        <w:spacing w:before="120" w:line="360" w:lineRule="auto"/>
        <w:jc w:val="center"/>
        <w:rPr>
          <w:rFonts w:ascii="宋体" w:hAnsi="宋体" w:cs="宋体"/>
          <w:bCs/>
          <w:color w:val="000000"/>
          <w:sz w:val="32"/>
          <w:szCs w:val="21"/>
        </w:rPr>
      </w:pPr>
      <w:r>
        <w:rPr>
          <w:rFonts w:hint="eastAsia" w:ascii="宋体" w:hAnsi="宋体" w:cs="宋体"/>
          <w:bCs/>
          <w:color w:val="000000"/>
          <w:sz w:val="32"/>
          <w:szCs w:val="21"/>
        </w:rPr>
        <w:t>合　同　书（参考格式）</w:t>
      </w:r>
    </w:p>
    <w:p>
      <w:pPr>
        <w:spacing w:before="120" w:line="360" w:lineRule="auto"/>
        <w:ind w:firstLine="480" w:firstLineChars="200"/>
        <w:rPr>
          <w:rFonts w:ascii="宋体" w:hAnsi="宋体" w:cs="宋体"/>
          <w:bCs/>
          <w:color w:val="000000"/>
          <w:sz w:val="24"/>
          <w:szCs w:val="21"/>
        </w:rPr>
      </w:pPr>
      <w:r>
        <w:rPr>
          <w:rFonts w:hint="eastAsia" w:ascii="宋体" w:hAnsi="宋体" w:cs="宋体"/>
          <w:bCs/>
          <w:color w:val="000000"/>
          <w:sz w:val="24"/>
          <w:szCs w:val="21"/>
        </w:rPr>
        <w:t>合同编号：</w:t>
      </w:r>
      <w:r>
        <w:rPr>
          <w:rFonts w:hint="eastAsia" w:ascii="宋体" w:hAnsi="宋体" w:cs="宋体"/>
          <w:bCs/>
          <w:color w:val="000000"/>
          <w:sz w:val="24"/>
          <w:szCs w:val="21"/>
          <w:u w:val="single"/>
        </w:rPr>
        <w:t xml:space="preserve">                                   </w:t>
      </w:r>
    </w:p>
    <w:p>
      <w:pPr>
        <w:tabs>
          <w:tab w:val="left" w:pos="6663"/>
          <w:tab w:val="left" w:pos="6804"/>
        </w:tabs>
        <w:spacing w:before="120" w:line="360" w:lineRule="auto"/>
        <w:ind w:firstLine="480" w:firstLineChars="200"/>
        <w:rPr>
          <w:rFonts w:ascii="宋体" w:hAnsi="宋体" w:cs="宋体"/>
          <w:bCs/>
          <w:color w:val="000000"/>
          <w:sz w:val="24"/>
          <w:szCs w:val="21"/>
        </w:rPr>
      </w:pPr>
      <w:r>
        <w:rPr>
          <w:rFonts w:hint="eastAsia" w:ascii="宋体" w:hAnsi="宋体" w:cs="宋体"/>
          <w:bCs/>
          <w:color w:val="000000"/>
          <w:sz w:val="24"/>
          <w:szCs w:val="21"/>
        </w:rPr>
        <w:t>项目名称：</w:t>
      </w:r>
      <w:r>
        <w:rPr>
          <w:rFonts w:hint="eastAsia" w:ascii="宋体" w:hAnsi="宋体" w:cs="宋体"/>
          <w:bCs/>
          <w:color w:val="000000"/>
          <w:sz w:val="24"/>
          <w:szCs w:val="21"/>
          <w:u w:val="single"/>
        </w:rPr>
        <w:t xml:space="preserve">                                   </w:t>
      </w:r>
    </w:p>
    <w:p>
      <w:pPr>
        <w:spacing w:before="120" w:line="360" w:lineRule="auto"/>
        <w:ind w:firstLine="480" w:firstLineChars="200"/>
        <w:rPr>
          <w:rFonts w:ascii="宋体" w:hAnsi="宋体" w:cs="宋体"/>
          <w:bCs/>
          <w:color w:val="000000"/>
          <w:sz w:val="24"/>
          <w:szCs w:val="21"/>
        </w:rPr>
      </w:pPr>
      <w:r>
        <w:rPr>
          <w:rFonts w:hint="eastAsia" w:ascii="宋体" w:hAnsi="宋体" w:cs="宋体"/>
          <w:bCs/>
          <w:color w:val="000000"/>
          <w:sz w:val="24"/>
          <w:szCs w:val="21"/>
        </w:rPr>
        <w:t>甲　　方：</w:t>
      </w:r>
      <w:r>
        <w:rPr>
          <w:rFonts w:hint="eastAsia" w:ascii="宋体" w:hAnsi="宋体" w:cs="宋体"/>
          <w:bCs/>
          <w:color w:val="000000"/>
          <w:sz w:val="24"/>
          <w:szCs w:val="21"/>
          <w:u w:val="single"/>
        </w:rPr>
        <w:t xml:space="preserve">                                   </w:t>
      </w:r>
    </w:p>
    <w:p>
      <w:pPr>
        <w:spacing w:before="120" w:line="360" w:lineRule="auto"/>
        <w:ind w:firstLine="480" w:firstLineChars="200"/>
        <w:rPr>
          <w:rFonts w:ascii="宋体" w:hAnsi="宋体" w:cs="宋体"/>
          <w:bCs/>
          <w:color w:val="000000"/>
          <w:sz w:val="24"/>
          <w:szCs w:val="21"/>
          <w:u w:val="single"/>
        </w:rPr>
      </w:pPr>
      <w:r>
        <w:rPr>
          <w:rFonts w:hint="eastAsia" w:ascii="宋体" w:hAnsi="宋体" w:cs="宋体"/>
          <w:bCs/>
          <w:color w:val="000000"/>
          <w:sz w:val="24"/>
          <w:szCs w:val="21"/>
        </w:rPr>
        <w:t>乙　　方：</w:t>
      </w:r>
      <w:r>
        <w:rPr>
          <w:rFonts w:hint="eastAsia" w:ascii="宋体" w:hAnsi="宋体" w:cs="宋体"/>
          <w:bCs/>
          <w:color w:val="000000"/>
          <w:sz w:val="24"/>
          <w:szCs w:val="21"/>
          <w:u w:val="single"/>
        </w:rPr>
        <w:t xml:space="preserve">                                   </w:t>
      </w:r>
    </w:p>
    <w:p>
      <w:pPr>
        <w:spacing w:before="120" w:line="360" w:lineRule="auto"/>
        <w:ind w:firstLine="480" w:firstLineChars="200"/>
        <w:rPr>
          <w:rFonts w:ascii="宋体" w:hAnsi="宋体" w:cs="宋体"/>
          <w:bCs/>
          <w:color w:val="000000"/>
          <w:sz w:val="24"/>
          <w:szCs w:val="21"/>
        </w:rPr>
      </w:pPr>
      <w:r>
        <w:rPr>
          <w:rFonts w:hint="eastAsia" w:ascii="宋体" w:hAnsi="宋体" w:cs="宋体"/>
          <w:bCs/>
          <w:color w:val="000000"/>
          <w:sz w:val="24"/>
          <w:szCs w:val="21"/>
        </w:rPr>
        <w:t>甲、乙双方同意按照下面的条款和条件，签署本合同。</w:t>
      </w:r>
    </w:p>
    <w:p>
      <w:pPr>
        <w:spacing w:before="240" w:line="360" w:lineRule="auto"/>
        <w:rPr>
          <w:rFonts w:ascii="宋体" w:hAnsi="宋体" w:cs="宋体"/>
          <w:bCs/>
          <w:color w:val="000000"/>
          <w:sz w:val="24"/>
          <w:szCs w:val="21"/>
        </w:rPr>
      </w:pPr>
      <w:r>
        <w:rPr>
          <w:rFonts w:hint="eastAsia" w:ascii="宋体" w:hAnsi="宋体" w:cs="宋体"/>
          <w:bCs/>
          <w:color w:val="000000"/>
          <w:sz w:val="24"/>
          <w:szCs w:val="21"/>
        </w:rPr>
        <w:t>1.合同文件</w:t>
      </w:r>
    </w:p>
    <w:p>
      <w:pPr>
        <w:spacing w:before="120" w:line="360" w:lineRule="auto"/>
        <w:ind w:firstLine="480" w:firstLineChars="200"/>
        <w:rPr>
          <w:rFonts w:ascii="宋体" w:hAnsi="宋体" w:cs="宋体"/>
          <w:bCs/>
          <w:color w:val="000000"/>
          <w:sz w:val="24"/>
          <w:szCs w:val="21"/>
        </w:rPr>
      </w:pPr>
      <w:r>
        <w:rPr>
          <w:rFonts w:hint="eastAsia" w:ascii="宋体" w:hAnsi="宋体" w:cs="宋体"/>
          <w:bCs/>
          <w:color w:val="000000"/>
          <w:sz w:val="24"/>
          <w:szCs w:val="21"/>
        </w:rPr>
        <w:t>下列文件构成本合同的组成部分，应该认为是一个整体，彼此相互解释，相互补充。为便于解释，组成合同的多个文件的优先支配地位的次序如下：</w:t>
      </w:r>
    </w:p>
    <w:p>
      <w:pPr>
        <w:spacing w:before="120" w:line="360" w:lineRule="auto"/>
        <w:ind w:firstLine="360"/>
        <w:rPr>
          <w:rFonts w:ascii="宋体" w:hAnsi="宋体" w:cs="宋体"/>
          <w:bCs/>
          <w:color w:val="000000"/>
          <w:sz w:val="24"/>
          <w:szCs w:val="21"/>
        </w:rPr>
      </w:pPr>
      <w:r>
        <w:rPr>
          <w:rFonts w:hint="eastAsia" w:ascii="宋体" w:hAnsi="宋体" w:cs="宋体"/>
          <w:bCs/>
          <w:color w:val="000000"/>
          <w:sz w:val="24"/>
          <w:szCs w:val="21"/>
        </w:rPr>
        <w:t>a.本合同书　</w:t>
      </w:r>
    </w:p>
    <w:p>
      <w:pPr>
        <w:spacing w:before="120" w:line="360" w:lineRule="auto"/>
        <w:ind w:firstLine="360"/>
        <w:rPr>
          <w:rFonts w:ascii="宋体" w:hAnsi="宋体" w:cs="宋体"/>
          <w:bCs/>
          <w:color w:val="000000"/>
          <w:sz w:val="24"/>
          <w:szCs w:val="21"/>
        </w:rPr>
      </w:pPr>
      <w:r>
        <w:rPr>
          <w:rFonts w:hint="eastAsia" w:ascii="宋体" w:hAnsi="宋体" w:cs="宋体"/>
          <w:bCs/>
          <w:color w:val="000000"/>
          <w:sz w:val="24"/>
          <w:szCs w:val="21"/>
        </w:rPr>
        <w:t>b.合同一般条款</w:t>
      </w:r>
    </w:p>
    <w:p>
      <w:pPr>
        <w:spacing w:before="120" w:line="360" w:lineRule="auto"/>
        <w:ind w:firstLine="360"/>
        <w:rPr>
          <w:rFonts w:ascii="宋体" w:hAnsi="宋体" w:cs="宋体"/>
          <w:bCs/>
          <w:color w:val="000000"/>
          <w:sz w:val="24"/>
          <w:szCs w:val="21"/>
        </w:rPr>
      </w:pPr>
      <w:r>
        <w:rPr>
          <w:rFonts w:hint="eastAsia" w:ascii="宋体" w:hAnsi="宋体" w:cs="宋体"/>
          <w:bCs/>
          <w:color w:val="000000"/>
          <w:sz w:val="24"/>
          <w:szCs w:val="21"/>
        </w:rPr>
        <w:t>c.成交通知书</w:t>
      </w:r>
    </w:p>
    <w:p>
      <w:pPr>
        <w:spacing w:before="120" w:line="360" w:lineRule="auto"/>
        <w:ind w:firstLine="360"/>
        <w:rPr>
          <w:rFonts w:ascii="宋体" w:hAnsi="宋体" w:cs="宋体"/>
          <w:bCs/>
          <w:color w:val="000000"/>
          <w:sz w:val="24"/>
          <w:szCs w:val="21"/>
        </w:rPr>
      </w:pPr>
      <w:r>
        <w:rPr>
          <w:rFonts w:hint="eastAsia" w:ascii="宋体" w:hAnsi="宋体" w:cs="宋体"/>
          <w:bCs/>
          <w:color w:val="000000"/>
          <w:sz w:val="24"/>
          <w:szCs w:val="21"/>
        </w:rPr>
        <w:t>d.协议</w:t>
      </w:r>
      <w:r>
        <w:rPr>
          <w:rFonts w:hint="eastAsia" w:ascii="宋体" w:hAnsi="宋体" w:cs="宋体"/>
          <w:bCs/>
          <w:color w:val="000000"/>
          <w:sz w:val="24"/>
          <w:szCs w:val="21"/>
        </w:rPr>
        <w:tab/>
      </w:r>
      <w:r>
        <w:rPr>
          <w:rFonts w:hint="eastAsia" w:ascii="宋体" w:hAnsi="宋体" w:cs="宋体"/>
          <w:bCs/>
          <w:color w:val="000000"/>
          <w:sz w:val="24"/>
          <w:szCs w:val="21"/>
        </w:rPr>
        <w:tab/>
      </w:r>
      <w:r>
        <w:rPr>
          <w:rFonts w:hint="eastAsia" w:ascii="宋体" w:hAnsi="宋体" w:cs="宋体"/>
          <w:bCs/>
          <w:color w:val="000000"/>
          <w:sz w:val="24"/>
          <w:szCs w:val="21"/>
        </w:rPr>
        <w:tab/>
      </w:r>
      <w:r>
        <w:rPr>
          <w:rFonts w:hint="eastAsia" w:ascii="宋体" w:hAnsi="宋体" w:cs="宋体"/>
          <w:bCs/>
          <w:color w:val="000000"/>
          <w:sz w:val="24"/>
          <w:szCs w:val="21"/>
        </w:rPr>
        <w:tab/>
      </w:r>
      <w:r>
        <w:rPr>
          <w:rFonts w:hint="eastAsia" w:ascii="宋体" w:hAnsi="宋体" w:cs="宋体"/>
          <w:bCs/>
          <w:color w:val="000000"/>
          <w:sz w:val="24"/>
          <w:szCs w:val="21"/>
        </w:rPr>
        <w:tab/>
      </w:r>
    </w:p>
    <w:p>
      <w:pPr>
        <w:spacing w:before="120" w:line="360" w:lineRule="auto"/>
        <w:ind w:firstLine="360"/>
        <w:rPr>
          <w:rFonts w:ascii="宋体" w:hAnsi="宋体" w:cs="宋体"/>
          <w:bCs/>
          <w:color w:val="000000"/>
          <w:sz w:val="24"/>
          <w:szCs w:val="21"/>
        </w:rPr>
      </w:pPr>
      <w:r>
        <w:rPr>
          <w:rFonts w:hint="eastAsia" w:ascii="宋体" w:hAnsi="宋体" w:cs="宋体"/>
          <w:bCs/>
          <w:color w:val="000000"/>
          <w:sz w:val="24"/>
          <w:szCs w:val="21"/>
        </w:rPr>
        <w:t>e.公开招标响应文件</w:t>
      </w:r>
      <w:r>
        <w:rPr>
          <w:rFonts w:hint="eastAsia" w:ascii="宋体" w:hAnsi="宋体" w:cs="宋体"/>
          <w:bCs/>
          <w:color w:val="000000"/>
          <w:sz w:val="24"/>
          <w:szCs w:val="21"/>
        </w:rPr>
        <w:tab/>
      </w:r>
      <w:r>
        <w:rPr>
          <w:rFonts w:hint="eastAsia" w:ascii="宋体" w:hAnsi="宋体" w:cs="宋体"/>
          <w:bCs/>
          <w:color w:val="000000"/>
          <w:sz w:val="24"/>
          <w:szCs w:val="21"/>
        </w:rPr>
        <w:tab/>
      </w:r>
      <w:r>
        <w:rPr>
          <w:rFonts w:hint="eastAsia" w:ascii="宋体" w:hAnsi="宋体" w:cs="宋体"/>
          <w:bCs/>
          <w:color w:val="000000"/>
          <w:sz w:val="24"/>
          <w:szCs w:val="21"/>
        </w:rPr>
        <w:tab/>
      </w:r>
      <w:r>
        <w:rPr>
          <w:rFonts w:hint="eastAsia" w:ascii="宋体" w:hAnsi="宋体" w:cs="宋体"/>
          <w:bCs/>
          <w:color w:val="000000"/>
          <w:sz w:val="24"/>
          <w:szCs w:val="21"/>
        </w:rPr>
        <w:tab/>
      </w:r>
      <w:r>
        <w:rPr>
          <w:rFonts w:hint="eastAsia" w:ascii="宋体" w:hAnsi="宋体" w:cs="宋体"/>
          <w:bCs/>
          <w:color w:val="000000"/>
          <w:sz w:val="24"/>
          <w:szCs w:val="21"/>
        </w:rPr>
        <w:t>(含澄清文件)</w:t>
      </w:r>
    </w:p>
    <w:p>
      <w:pPr>
        <w:spacing w:before="120" w:line="360" w:lineRule="auto"/>
        <w:ind w:firstLine="360"/>
        <w:rPr>
          <w:rFonts w:ascii="宋体" w:hAnsi="宋体" w:cs="宋体"/>
          <w:bCs/>
          <w:color w:val="000000"/>
          <w:sz w:val="24"/>
          <w:szCs w:val="21"/>
        </w:rPr>
      </w:pPr>
      <w:r>
        <w:rPr>
          <w:rFonts w:hint="eastAsia" w:ascii="宋体" w:hAnsi="宋体" w:cs="宋体"/>
          <w:bCs/>
          <w:color w:val="000000"/>
          <w:sz w:val="24"/>
          <w:szCs w:val="21"/>
        </w:rPr>
        <w:t>f.公开招标文件</w:t>
      </w:r>
      <w:r>
        <w:rPr>
          <w:rFonts w:hint="eastAsia" w:ascii="宋体" w:hAnsi="宋体" w:cs="宋体"/>
          <w:bCs/>
          <w:color w:val="000000"/>
          <w:sz w:val="24"/>
          <w:szCs w:val="21"/>
        </w:rPr>
        <w:tab/>
      </w:r>
      <w:r>
        <w:rPr>
          <w:rFonts w:hint="eastAsia" w:ascii="宋体" w:hAnsi="宋体" w:cs="宋体"/>
          <w:bCs/>
          <w:color w:val="000000"/>
          <w:sz w:val="24"/>
          <w:szCs w:val="21"/>
        </w:rPr>
        <w:tab/>
      </w:r>
      <w:r>
        <w:rPr>
          <w:rFonts w:hint="eastAsia" w:ascii="宋体" w:hAnsi="宋体" w:cs="宋体"/>
          <w:bCs/>
          <w:color w:val="000000"/>
          <w:sz w:val="24"/>
          <w:szCs w:val="21"/>
        </w:rPr>
        <w:tab/>
      </w:r>
      <w:r>
        <w:rPr>
          <w:rFonts w:hint="eastAsia" w:ascii="宋体" w:hAnsi="宋体" w:cs="宋体"/>
          <w:bCs/>
          <w:color w:val="000000"/>
          <w:sz w:val="24"/>
          <w:szCs w:val="21"/>
        </w:rPr>
        <w:tab/>
      </w:r>
      <w:r>
        <w:rPr>
          <w:rFonts w:hint="eastAsia" w:ascii="宋体" w:hAnsi="宋体" w:cs="宋体"/>
          <w:bCs/>
          <w:color w:val="000000"/>
          <w:sz w:val="24"/>
          <w:szCs w:val="21"/>
        </w:rPr>
        <w:t>(含公开招标文件补充通知)</w:t>
      </w:r>
    </w:p>
    <w:p>
      <w:pPr>
        <w:spacing w:before="120" w:line="360" w:lineRule="auto"/>
        <w:rPr>
          <w:rFonts w:ascii="宋体" w:hAnsi="宋体" w:cs="宋体"/>
          <w:bCs/>
          <w:color w:val="000000"/>
          <w:sz w:val="24"/>
          <w:szCs w:val="21"/>
        </w:rPr>
      </w:pPr>
      <w:r>
        <w:rPr>
          <w:rFonts w:hint="eastAsia" w:ascii="宋体" w:hAnsi="宋体" w:cs="宋体"/>
          <w:bCs/>
          <w:color w:val="000000"/>
          <w:sz w:val="24"/>
          <w:szCs w:val="21"/>
        </w:rPr>
        <w:t>2.货物和数量</w:t>
      </w:r>
    </w:p>
    <w:p>
      <w:pPr>
        <w:spacing w:before="120" w:line="360" w:lineRule="auto"/>
        <w:ind w:firstLine="454"/>
        <w:rPr>
          <w:rFonts w:ascii="宋体" w:hAnsi="宋体" w:cs="宋体"/>
          <w:bCs/>
          <w:color w:val="000000"/>
          <w:sz w:val="24"/>
          <w:szCs w:val="21"/>
        </w:rPr>
      </w:pPr>
      <w:r>
        <w:rPr>
          <w:rFonts w:hint="eastAsia" w:ascii="宋体" w:hAnsi="宋体" w:cs="宋体"/>
          <w:bCs/>
          <w:color w:val="000000"/>
          <w:sz w:val="24"/>
          <w:szCs w:val="21"/>
        </w:rPr>
        <w:t>本合同货物：</w:t>
      </w:r>
      <w:r>
        <w:rPr>
          <w:rFonts w:hint="eastAsia" w:ascii="宋体" w:hAnsi="宋体" w:cs="宋体"/>
          <w:bCs/>
          <w:color w:val="000000"/>
          <w:sz w:val="24"/>
          <w:szCs w:val="21"/>
          <w:u w:val="single"/>
        </w:rPr>
        <w:t>　　　　　　　　　　　　</w:t>
      </w:r>
    </w:p>
    <w:p>
      <w:pPr>
        <w:spacing w:before="120" w:line="360" w:lineRule="auto"/>
        <w:ind w:firstLine="454"/>
        <w:rPr>
          <w:rFonts w:ascii="宋体" w:hAnsi="宋体" w:cs="宋体"/>
          <w:bCs/>
          <w:color w:val="000000"/>
          <w:sz w:val="24"/>
          <w:szCs w:val="21"/>
        </w:rPr>
      </w:pPr>
      <w:r>
        <w:rPr>
          <w:rFonts w:hint="eastAsia" w:ascii="宋体" w:hAnsi="宋体" w:cs="宋体"/>
          <w:bCs/>
          <w:color w:val="000000"/>
          <w:sz w:val="24"/>
          <w:szCs w:val="21"/>
        </w:rPr>
        <w:t>数量：</w:t>
      </w:r>
      <w:r>
        <w:rPr>
          <w:rFonts w:hint="eastAsia" w:ascii="宋体" w:hAnsi="宋体" w:cs="宋体"/>
          <w:bCs/>
          <w:color w:val="000000"/>
          <w:sz w:val="24"/>
          <w:szCs w:val="21"/>
          <w:u w:val="single"/>
        </w:rPr>
        <w:t>　　　　　　　　　　　　　　　</w:t>
      </w:r>
    </w:p>
    <w:p>
      <w:pPr>
        <w:spacing w:before="240" w:line="360" w:lineRule="auto"/>
        <w:rPr>
          <w:rFonts w:ascii="宋体" w:hAnsi="宋体" w:cs="宋体"/>
          <w:bCs/>
          <w:color w:val="000000"/>
          <w:sz w:val="24"/>
          <w:szCs w:val="21"/>
        </w:rPr>
      </w:pPr>
      <w:r>
        <w:rPr>
          <w:rFonts w:hint="eastAsia" w:ascii="宋体" w:hAnsi="宋体" w:cs="宋体"/>
          <w:bCs/>
          <w:color w:val="000000"/>
          <w:sz w:val="24"/>
          <w:szCs w:val="21"/>
        </w:rPr>
        <w:t>3.合同总价</w:t>
      </w:r>
    </w:p>
    <w:p>
      <w:pPr>
        <w:spacing w:before="120" w:line="360" w:lineRule="auto"/>
        <w:ind w:firstLine="454"/>
        <w:rPr>
          <w:rFonts w:ascii="宋体" w:hAnsi="宋体" w:cs="宋体"/>
          <w:bCs/>
          <w:color w:val="000000"/>
          <w:sz w:val="24"/>
          <w:szCs w:val="21"/>
        </w:rPr>
      </w:pPr>
      <w:r>
        <w:rPr>
          <w:rFonts w:hint="eastAsia" w:ascii="宋体" w:hAnsi="宋体" w:cs="宋体"/>
          <w:bCs/>
          <w:color w:val="000000"/>
          <w:sz w:val="24"/>
          <w:szCs w:val="21"/>
        </w:rPr>
        <w:t>本合同总价为</w:t>
      </w:r>
      <w:r>
        <w:rPr>
          <w:rFonts w:hint="eastAsia" w:ascii="宋体" w:hAnsi="宋体" w:cs="宋体"/>
          <w:bCs/>
          <w:color w:val="000000"/>
          <w:sz w:val="24"/>
          <w:szCs w:val="21"/>
          <w:u w:val="single"/>
        </w:rPr>
        <w:t xml:space="preserve">    　　   </w:t>
      </w:r>
      <w:r>
        <w:rPr>
          <w:rFonts w:hint="eastAsia" w:ascii="宋体" w:hAnsi="宋体" w:cs="宋体"/>
          <w:bCs/>
          <w:color w:val="000000"/>
          <w:sz w:val="24"/>
          <w:szCs w:val="21"/>
        </w:rPr>
        <w:t>元人民币。</w:t>
      </w:r>
    </w:p>
    <w:p>
      <w:pPr>
        <w:spacing w:before="120" w:line="360" w:lineRule="auto"/>
        <w:ind w:firstLine="454"/>
        <w:rPr>
          <w:rFonts w:ascii="宋体" w:hAnsi="宋体" w:cs="宋体"/>
          <w:bCs/>
          <w:color w:val="000000"/>
          <w:sz w:val="24"/>
          <w:szCs w:val="21"/>
          <w:u w:val="single"/>
        </w:rPr>
      </w:pPr>
      <w:r>
        <w:rPr>
          <w:rFonts w:hint="eastAsia" w:ascii="宋体" w:hAnsi="宋体" w:cs="宋体"/>
          <w:bCs/>
          <w:color w:val="000000"/>
          <w:sz w:val="24"/>
          <w:szCs w:val="21"/>
        </w:rPr>
        <w:t>分项价格：</w:t>
      </w:r>
      <w:r>
        <w:rPr>
          <w:rFonts w:hint="eastAsia" w:ascii="宋体" w:hAnsi="宋体" w:cs="宋体"/>
          <w:bCs/>
          <w:color w:val="000000"/>
          <w:sz w:val="24"/>
          <w:szCs w:val="21"/>
          <w:u w:val="single"/>
        </w:rPr>
        <w:t>　　　　　　　　　　　　</w:t>
      </w:r>
    </w:p>
    <w:p>
      <w:pPr>
        <w:spacing w:before="240" w:line="360" w:lineRule="auto"/>
        <w:rPr>
          <w:rFonts w:ascii="宋体" w:hAnsi="宋体" w:cs="宋体"/>
          <w:bCs/>
          <w:color w:val="000000"/>
          <w:sz w:val="24"/>
          <w:szCs w:val="21"/>
        </w:rPr>
      </w:pPr>
      <w:r>
        <w:rPr>
          <w:rFonts w:hint="eastAsia" w:ascii="宋体" w:hAnsi="宋体" w:cs="宋体"/>
          <w:bCs/>
          <w:color w:val="000000"/>
          <w:sz w:val="24"/>
          <w:szCs w:val="21"/>
        </w:rPr>
        <w:t>4.付款方式</w:t>
      </w:r>
    </w:p>
    <w:p>
      <w:pPr>
        <w:spacing w:before="120" w:line="360" w:lineRule="auto"/>
        <w:ind w:firstLine="480"/>
        <w:rPr>
          <w:rFonts w:ascii="宋体" w:hAnsi="宋体" w:cs="宋体"/>
          <w:bCs/>
          <w:color w:val="000000"/>
          <w:sz w:val="24"/>
          <w:szCs w:val="21"/>
        </w:rPr>
      </w:pPr>
      <w:r>
        <w:rPr>
          <w:rFonts w:hint="eastAsia" w:ascii="宋体" w:hAnsi="宋体" w:cs="宋体"/>
          <w:bCs/>
          <w:color w:val="000000"/>
          <w:sz w:val="24"/>
          <w:szCs w:val="21"/>
        </w:rPr>
        <w:t>本合同的付款方式为：</w:t>
      </w:r>
      <w:r>
        <w:rPr>
          <w:rFonts w:hint="eastAsia" w:ascii="宋体" w:hAnsi="宋体" w:cs="宋体"/>
          <w:bCs/>
          <w:color w:val="000000"/>
          <w:sz w:val="24"/>
          <w:szCs w:val="21"/>
          <w:u w:val="single"/>
        </w:rPr>
        <w:t>　　　　　　　　　　　　　　　</w:t>
      </w:r>
    </w:p>
    <w:p>
      <w:pPr>
        <w:spacing w:before="240" w:line="360" w:lineRule="auto"/>
        <w:rPr>
          <w:rFonts w:ascii="宋体" w:hAnsi="宋体" w:cs="宋体"/>
          <w:bCs/>
          <w:color w:val="000000"/>
          <w:sz w:val="24"/>
          <w:szCs w:val="21"/>
        </w:rPr>
      </w:pPr>
      <w:r>
        <w:rPr>
          <w:rFonts w:hint="eastAsia" w:ascii="宋体" w:hAnsi="宋体" w:cs="宋体"/>
          <w:bCs/>
          <w:color w:val="000000"/>
          <w:sz w:val="24"/>
          <w:szCs w:val="21"/>
        </w:rPr>
        <w:t>5.本合同的服务时间及服务地点</w:t>
      </w:r>
    </w:p>
    <w:p>
      <w:pPr>
        <w:spacing w:before="120" w:line="360" w:lineRule="auto"/>
        <w:ind w:firstLine="480"/>
        <w:rPr>
          <w:rFonts w:ascii="宋体" w:hAnsi="宋体" w:cs="宋体"/>
          <w:bCs/>
          <w:color w:val="000000"/>
          <w:sz w:val="24"/>
          <w:szCs w:val="21"/>
        </w:rPr>
      </w:pPr>
      <w:r>
        <w:rPr>
          <w:rFonts w:hint="eastAsia" w:ascii="宋体" w:hAnsi="宋体" w:cs="宋体"/>
          <w:bCs/>
          <w:color w:val="000000"/>
          <w:sz w:val="24"/>
          <w:szCs w:val="21"/>
        </w:rPr>
        <w:t>服务时间：</w:t>
      </w:r>
      <w:r>
        <w:rPr>
          <w:rFonts w:hint="eastAsia" w:ascii="宋体" w:hAnsi="宋体" w:cs="宋体"/>
          <w:bCs/>
          <w:color w:val="000000"/>
          <w:sz w:val="24"/>
          <w:szCs w:val="21"/>
          <w:u w:val="single"/>
        </w:rPr>
        <w:t>　　　　　　　　　　　　　　　　</w:t>
      </w:r>
    </w:p>
    <w:p>
      <w:pPr>
        <w:spacing w:before="120" w:line="360" w:lineRule="auto"/>
        <w:ind w:firstLine="480"/>
        <w:rPr>
          <w:rFonts w:ascii="宋体" w:hAnsi="宋体" w:cs="宋体"/>
          <w:bCs/>
          <w:color w:val="000000"/>
          <w:sz w:val="24"/>
          <w:szCs w:val="21"/>
        </w:rPr>
      </w:pPr>
      <w:r>
        <w:rPr>
          <w:rFonts w:hint="eastAsia" w:ascii="宋体" w:hAnsi="宋体" w:cs="宋体"/>
          <w:bCs/>
          <w:color w:val="000000"/>
          <w:sz w:val="24"/>
          <w:szCs w:val="21"/>
        </w:rPr>
        <w:t>服务地点：</w:t>
      </w:r>
      <w:r>
        <w:rPr>
          <w:rFonts w:hint="eastAsia" w:ascii="宋体" w:hAnsi="宋体" w:cs="宋体"/>
          <w:bCs/>
          <w:color w:val="000000"/>
          <w:sz w:val="24"/>
          <w:szCs w:val="21"/>
          <w:u w:val="single"/>
        </w:rPr>
        <w:t>　　　　　　　　　　　　　　　　</w:t>
      </w:r>
    </w:p>
    <w:p>
      <w:pPr>
        <w:spacing w:before="240" w:line="360" w:lineRule="auto"/>
        <w:rPr>
          <w:rFonts w:ascii="宋体" w:hAnsi="宋体" w:cs="宋体"/>
          <w:bCs/>
          <w:color w:val="000000"/>
          <w:sz w:val="24"/>
          <w:szCs w:val="21"/>
        </w:rPr>
      </w:pPr>
      <w:r>
        <w:rPr>
          <w:rFonts w:hint="eastAsia" w:ascii="宋体" w:hAnsi="宋体" w:cs="宋体"/>
          <w:bCs/>
          <w:color w:val="000000"/>
          <w:sz w:val="24"/>
          <w:szCs w:val="21"/>
        </w:rPr>
        <w:t>6.合同的生效</w:t>
      </w:r>
    </w:p>
    <w:p>
      <w:pPr>
        <w:spacing w:before="120" w:line="360" w:lineRule="auto"/>
        <w:ind w:firstLine="454"/>
        <w:rPr>
          <w:rFonts w:ascii="宋体" w:hAnsi="宋体" w:cs="宋体"/>
          <w:bCs/>
          <w:color w:val="000000"/>
          <w:sz w:val="24"/>
          <w:szCs w:val="21"/>
        </w:rPr>
      </w:pPr>
      <w:r>
        <w:rPr>
          <w:rFonts w:hint="eastAsia" w:ascii="宋体" w:hAnsi="宋体" w:cs="宋体"/>
          <w:bCs/>
          <w:color w:val="000000"/>
          <w:sz w:val="24"/>
          <w:szCs w:val="21"/>
        </w:rPr>
        <w:t>本合同经双方全权代表签署、加盖单位印章后生效。</w:t>
      </w:r>
    </w:p>
    <w:p>
      <w:pPr>
        <w:spacing w:line="360" w:lineRule="auto"/>
        <w:rPr>
          <w:rFonts w:ascii="宋体" w:hAnsi="宋体" w:cs="宋体"/>
          <w:bCs/>
          <w:color w:val="000000"/>
          <w:sz w:val="24"/>
          <w:szCs w:val="21"/>
          <w:u w:val="single"/>
        </w:rPr>
      </w:pPr>
      <w:r>
        <w:rPr>
          <w:rFonts w:hint="eastAsia" w:ascii="宋体" w:hAnsi="宋体" w:cs="宋体"/>
          <w:bCs/>
          <w:color w:val="000000"/>
          <w:sz w:val="24"/>
          <w:szCs w:val="21"/>
        </w:rPr>
        <w:t>　　甲　方：</w:t>
      </w:r>
      <w:r>
        <w:rPr>
          <w:rFonts w:hint="eastAsia" w:ascii="宋体" w:hAnsi="宋体" w:cs="宋体"/>
          <w:bCs/>
          <w:color w:val="000000"/>
          <w:sz w:val="24"/>
          <w:szCs w:val="21"/>
          <w:u w:val="single"/>
        </w:rPr>
        <w:t xml:space="preserve">              </w:t>
      </w:r>
      <w:r>
        <w:rPr>
          <w:rFonts w:hint="eastAsia" w:ascii="宋体" w:hAnsi="宋体" w:cs="宋体"/>
          <w:bCs/>
          <w:color w:val="000000"/>
          <w:sz w:val="24"/>
          <w:szCs w:val="21"/>
        </w:rPr>
        <w:t xml:space="preserve"> </w:t>
      </w:r>
      <w:r>
        <w:rPr>
          <w:rFonts w:hint="eastAsia" w:ascii="宋体" w:hAnsi="宋体" w:cs="宋体"/>
          <w:bCs/>
          <w:color w:val="000000"/>
          <w:sz w:val="24"/>
          <w:szCs w:val="21"/>
        </w:rPr>
        <w:tab/>
      </w:r>
      <w:r>
        <w:rPr>
          <w:rFonts w:hint="eastAsia" w:ascii="宋体" w:hAnsi="宋体" w:cs="宋体"/>
          <w:bCs/>
          <w:color w:val="000000"/>
          <w:sz w:val="24"/>
          <w:szCs w:val="21"/>
        </w:rPr>
        <w:tab/>
      </w:r>
      <w:r>
        <w:rPr>
          <w:rFonts w:hint="eastAsia" w:ascii="宋体" w:hAnsi="宋体" w:cs="宋体"/>
          <w:bCs/>
          <w:color w:val="000000"/>
          <w:sz w:val="24"/>
          <w:szCs w:val="21"/>
        </w:rPr>
        <w:t xml:space="preserve">        </w:t>
      </w:r>
      <w:r>
        <w:rPr>
          <w:rFonts w:hint="eastAsia" w:ascii="宋体" w:hAnsi="宋体" w:cs="宋体"/>
          <w:bCs/>
          <w:color w:val="000000"/>
          <w:sz w:val="24"/>
          <w:szCs w:val="21"/>
        </w:rPr>
        <w:tab/>
      </w:r>
      <w:r>
        <w:rPr>
          <w:rFonts w:hint="eastAsia" w:ascii="宋体" w:hAnsi="宋体" w:cs="宋体"/>
          <w:bCs/>
          <w:color w:val="000000"/>
          <w:sz w:val="24"/>
          <w:szCs w:val="21"/>
        </w:rPr>
        <w:t>乙　方：</w:t>
      </w:r>
      <w:r>
        <w:rPr>
          <w:rFonts w:hint="eastAsia" w:ascii="宋体" w:hAnsi="宋体" w:cs="宋体"/>
          <w:bCs/>
          <w:color w:val="000000"/>
          <w:sz w:val="24"/>
          <w:szCs w:val="21"/>
          <w:u w:val="single"/>
        </w:rPr>
        <w:t xml:space="preserve">               </w:t>
      </w:r>
    </w:p>
    <w:p>
      <w:pPr>
        <w:spacing w:line="360" w:lineRule="auto"/>
        <w:rPr>
          <w:rFonts w:ascii="宋体" w:hAnsi="宋体" w:cs="宋体"/>
          <w:bCs/>
          <w:color w:val="000000"/>
          <w:sz w:val="24"/>
          <w:szCs w:val="21"/>
        </w:rPr>
      </w:pPr>
      <w:r>
        <w:rPr>
          <w:rFonts w:hint="eastAsia" w:ascii="宋体" w:hAnsi="宋体" w:cs="宋体"/>
          <w:bCs/>
          <w:color w:val="000000"/>
          <w:sz w:val="24"/>
          <w:szCs w:val="21"/>
        </w:rPr>
        <w:t>　　名　称：(印章)　　　　　　　　        名　称：(印章)</w:t>
      </w:r>
    </w:p>
    <w:p>
      <w:pPr>
        <w:spacing w:line="360" w:lineRule="auto"/>
        <w:ind w:firstLine="480" w:firstLineChars="200"/>
        <w:rPr>
          <w:rFonts w:ascii="宋体" w:hAnsi="宋体" w:cs="宋体"/>
          <w:bCs/>
          <w:color w:val="000000"/>
          <w:sz w:val="24"/>
          <w:szCs w:val="21"/>
        </w:rPr>
      </w:pPr>
      <w:r>
        <w:rPr>
          <w:rFonts w:hint="eastAsia" w:ascii="宋体" w:hAnsi="宋体" w:cs="宋体"/>
          <w:bCs/>
          <w:color w:val="000000"/>
          <w:sz w:val="24"/>
          <w:szCs w:val="21"/>
        </w:rPr>
        <w:t>年　月　日　　　　　　　　　          年　月　日</w:t>
      </w:r>
    </w:p>
    <w:p>
      <w:pPr>
        <w:spacing w:line="360" w:lineRule="auto"/>
        <w:rPr>
          <w:rFonts w:ascii="宋体" w:hAnsi="宋体" w:cs="宋体"/>
          <w:bCs/>
          <w:color w:val="000000"/>
          <w:sz w:val="24"/>
          <w:szCs w:val="21"/>
          <w:u w:val="single"/>
        </w:rPr>
      </w:pPr>
      <w:r>
        <w:rPr>
          <w:rFonts w:hint="eastAsia" w:ascii="宋体" w:hAnsi="宋体" w:cs="宋体"/>
          <w:bCs/>
          <w:color w:val="000000"/>
          <w:sz w:val="24"/>
          <w:szCs w:val="21"/>
        </w:rPr>
        <w:t>　　授权代表(签字)：</w:t>
      </w:r>
      <w:r>
        <w:rPr>
          <w:rFonts w:hint="eastAsia" w:ascii="宋体" w:hAnsi="宋体" w:cs="宋体"/>
          <w:bCs/>
          <w:color w:val="000000"/>
          <w:sz w:val="24"/>
          <w:szCs w:val="21"/>
          <w:u w:val="single"/>
        </w:rPr>
        <w:t xml:space="preserve">      </w:t>
      </w:r>
      <w:r>
        <w:rPr>
          <w:rFonts w:hint="eastAsia" w:ascii="宋体" w:hAnsi="宋体" w:cs="宋体"/>
          <w:bCs/>
          <w:color w:val="000000"/>
          <w:sz w:val="24"/>
          <w:szCs w:val="21"/>
        </w:rPr>
        <w:tab/>
      </w:r>
      <w:r>
        <w:rPr>
          <w:rFonts w:hint="eastAsia" w:ascii="宋体" w:hAnsi="宋体" w:cs="宋体"/>
          <w:bCs/>
          <w:color w:val="000000"/>
          <w:sz w:val="24"/>
          <w:szCs w:val="21"/>
        </w:rPr>
        <w:tab/>
      </w:r>
      <w:r>
        <w:rPr>
          <w:rFonts w:hint="eastAsia" w:ascii="宋体" w:hAnsi="宋体" w:cs="宋体"/>
          <w:bCs/>
          <w:color w:val="000000"/>
          <w:sz w:val="24"/>
          <w:szCs w:val="21"/>
        </w:rPr>
        <w:tab/>
      </w:r>
      <w:r>
        <w:rPr>
          <w:rFonts w:hint="eastAsia" w:ascii="宋体" w:hAnsi="宋体" w:cs="宋体"/>
          <w:bCs/>
          <w:color w:val="000000"/>
          <w:sz w:val="24"/>
          <w:szCs w:val="21"/>
        </w:rPr>
        <w:tab/>
      </w:r>
      <w:r>
        <w:rPr>
          <w:rFonts w:hint="eastAsia" w:ascii="宋体" w:hAnsi="宋体" w:cs="宋体"/>
          <w:bCs/>
          <w:color w:val="000000"/>
          <w:sz w:val="24"/>
          <w:szCs w:val="21"/>
        </w:rPr>
        <w:t xml:space="preserve">    授权代表(签字)：</w:t>
      </w:r>
      <w:r>
        <w:rPr>
          <w:rFonts w:hint="eastAsia" w:ascii="宋体" w:hAnsi="宋体" w:cs="宋体"/>
          <w:bCs/>
          <w:color w:val="000000"/>
          <w:sz w:val="24"/>
          <w:szCs w:val="21"/>
          <w:u w:val="single"/>
        </w:rPr>
        <w:t xml:space="preserve">       </w:t>
      </w:r>
    </w:p>
    <w:p>
      <w:pPr>
        <w:spacing w:line="360" w:lineRule="auto"/>
        <w:rPr>
          <w:rFonts w:ascii="宋体" w:hAnsi="宋体" w:cs="宋体"/>
          <w:bCs/>
          <w:color w:val="000000"/>
          <w:sz w:val="24"/>
          <w:szCs w:val="21"/>
          <w:u w:val="single"/>
        </w:rPr>
      </w:pPr>
      <w:r>
        <w:rPr>
          <w:rFonts w:hint="eastAsia" w:ascii="宋体" w:hAnsi="宋体" w:cs="宋体"/>
          <w:bCs/>
          <w:color w:val="000000"/>
          <w:sz w:val="24"/>
          <w:szCs w:val="21"/>
        </w:rPr>
        <w:t>　　地　　址：</w:t>
      </w:r>
      <w:r>
        <w:rPr>
          <w:rFonts w:hint="eastAsia" w:ascii="宋体" w:hAnsi="宋体" w:cs="宋体"/>
          <w:bCs/>
          <w:color w:val="000000"/>
          <w:sz w:val="24"/>
          <w:szCs w:val="21"/>
          <w:u w:val="single"/>
        </w:rPr>
        <w:tab/>
      </w:r>
      <w:r>
        <w:rPr>
          <w:rFonts w:hint="eastAsia" w:ascii="宋体" w:hAnsi="宋体" w:cs="宋体"/>
          <w:bCs/>
          <w:color w:val="000000"/>
          <w:sz w:val="24"/>
          <w:szCs w:val="21"/>
          <w:u w:val="single"/>
        </w:rPr>
        <w:tab/>
      </w:r>
      <w:r>
        <w:rPr>
          <w:rFonts w:hint="eastAsia" w:ascii="宋体" w:hAnsi="宋体" w:cs="宋体"/>
          <w:bCs/>
          <w:color w:val="000000"/>
          <w:sz w:val="24"/>
          <w:szCs w:val="21"/>
          <w:u w:val="single"/>
        </w:rPr>
        <w:tab/>
      </w:r>
      <w:r>
        <w:rPr>
          <w:rFonts w:hint="eastAsia" w:ascii="宋体" w:hAnsi="宋体" w:cs="宋体"/>
          <w:bCs/>
          <w:color w:val="000000"/>
          <w:sz w:val="24"/>
          <w:szCs w:val="21"/>
          <w:u w:val="single"/>
        </w:rPr>
        <w:tab/>
      </w:r>
      <w:r>
        <w:rPr>
          <w:rFonts w:hint="eastAsia" w:ascii="宋体" w:hAnsi="宋体" w:cs="宋体"/>
          <w:bCs/>
          <w:color w:val="000000"/>
          <w:sz w:val="24"/>
          <w:szCs w:val="21"/>
        </w:rPr>
        <w:tab/>
      </w:r>
      <w:r>
        <w:rPr>
          <w:rFonts w:hint="eastAsia" w:ascii="宋体" w:hAnsi="宋体" w:cs="宋体"/>
          <w:bCs/>
          <w:color w:val="000000"/>
          <w:sz w:val="24"/>
          <w:szCs w:val="21"/>
        </w:rPr>
        <w:tab/>
      </w:r>
      <w:r>
        <w:rPr>
          <w:rFonts w:hint="eastAsia" w:ascii="宋体" w:hAnsi="宋体" w:cs="宋体"/>
          <w:bCs/>
          <w:color w:val="000000"/>
          <w:sz w:val="24"/>
          <w:szCs w:val="21"/>
        </w:rPr>
        <w:tab/>
      </w:r>
      <w:r>
        <w:rPr>
          <w:rFonts w:hint="eastAsia" w:ascii="宋体" w:hAnsi="宋体" w:cs="宋体"/>
          <w:bCs/>
          <w:color w:val="000000"/>
          <w:sz w:val="24"/>
          <w:szCs w:val="21"/>
        </w:rPr>
        <w:t xml:space="preserve">    地　　址：</w:t>
      </w:r>
      <w:r>
        <w:rPr>
          <w:rFonts w:hint="eastAsia" w:ascii="宋体" w:hAnsi="宋体" w:cs="宋体"/>
          <w:bCs/>
          <w:color w:val="000000"/>
          <w:sz w:val="24"/>
          <w:szCs w:val="21"/>
          <w:u w:val="single"/>
        </w:rPr>
        <w:tab/>
      </w:r>
      <w:r>
        <w:rPr>
          <w:rFonts w:hint="eastAsia" w:ascii="宋体" w:hAnsi="宋体" w:cs="宋体"/>
          <w:bCs/>
          <w:color w:val="000000"/>
          <w:sz w:val="24"/>
          <w:szCs w:val="21"/>
          <w:u w:val="single"/>
        </w:rPr>
        <w:tab/>
      </w:r>
      <w:r>
        <w:rPr>
          <w:rFonts w:hint="eastAsia" w:ascii="宋体" w:hAnsi="宋体" w:cs="宋体"/>
          <w:bCs/>
          <w:color w:val="000000"/>
          <w:sz w:val="24"/>
          <w:szCs w:val="21"/>
          <w:u w:val="single"/>
        </w:rPr>
        <w:t xml:space="preserve"> </w:t>
      </w:r>
      <w:r>
        <w:rPr>
          <w:rFonts w:hint="eastAsia" w:ascii="宋体" w:hAnsi="宋体" w:cs="宋体"/>
          <w:bCs/>
          <w:color w:val="000000"/>
          <w:sz w:val="24"/>
          <w:szCs w:val="21"/>
          <w:u w:val="single"/>
        </w:rPr>
        <w:tab/>
      </w:r>
      <w:r>
        <w:rPr>
          <w:rFonts w:hint="eastAsia" w:ascii="宋体" w:hAnsi="宋体" w:cs="宋体"/>
          <w:bCs/>
          <w:color w:val="000000"/>
          <w:sz w:val="24"/>
          <w:szCs w:val="21"/>
          <w:u w:val="single"/>
        </w:rPr>
        <w:tab/>
      </w:r>
    </w:p>
    <w:p>
      <w:pPr>
        <w:spacing w:line="360" w:lineRule="auto"/>
        <w:rPr>
          <w:rFonts w:ascii="宋体" w:hAnsi="宋体" w:cs="宋体"/>
          <w:bCs/>
          <w:color w:val="000000"/>
          <w:sz w:val="24"/>
          <w:szCs w:val="21"/>
          <w:u w:val="single"/>
        </w:rPr>
      </w:pPr>
      <w:r>
        <w:rPr>
          <w:rFonts w:hint="eastAsia" w:ascii="宋体" w:hAnsi="宋体" w:cs="宋体"/>
          <w:bCs/>
          <w:color w:val="000000"/>
          <w:sz w:val="24"/>
          <w:szCs w:val="21"/>
        </w:rPr>
        <w:t>　　电　　话：</w:t>
      </w:r>
      <w:r>
        <w:rPr>
          <w:rFonts w:hint="eastAsia" w:ascii="宋体" w:hAnsi="宋体" w:cs="宋体"/>
          <w:bCs/>
          <w:color w:val="000000"/>
          <w:sz w:val="24"/>
          <w:szCs w:val="21"/>
          <w:u w:val="single"/>
        </w:rPr>
        <w:tab/>
      </w:r>
      <w:r>
        <w:rPr>
          <w:rFonts w:hint="eastAsia" w:ascii="宋体" w:hAnsi="宋体" w:cs="宋体"/>
          <w:bCs/>
          <w:color w:val="000000"/>
          <w:sz w:val="24"/>
          <w:szCs w:val="21"/>
          <w:u w:val="single"/>
        </w:rPr>
        <w:tab/>
      </w:r>
      <w:r>
        <w:rPr>
          <w:rFonts w:hint="eastAsia" w:ascii="宋体" w:hAnsi="宋体" w:cs="宋体"/>
          <w:bCs/>
          <w:color w:val="000000"/>
          <w:sz w:val="24"/>
          <w:szCs w:val="21"/>
          <w:u w:val="single"/>
        </w:rPr>
        <w:tab/>
      </w:r>
      <w:r>
        <w:rPr>
          <w:rFonts w:hint="eastAsia" w:ascii="宋体" w:hAnsi="宋体" w:cs="宋体"/>
          <w:bCs/>
          <w:color w:val="000000"/>
          <w:sz w:val="24"/>
          <w:szCs w:val="21"/>
          <w:u w:val="single"/>
        </w:rPr>
        <w:tab/>
      </w:r>
      <w:r>
        <w:rPr>
          <w:rFonts w:hint="eastAsia" w:ascii="宋体" w:hAnsi="宋体" w:cs="宋体"/>
          <w:bCs/>
          <w:color w:val="000000"/>
          <w:sz w:val="24"/>
          <w:szCs w:val="21"/>
        </w:rPr>
        <w:tab/>
      </w:r>
      <w:r>
        <w:rPr>
          <w:rFonts w:hint="eastAsia" w:ascii="宋体" w:hAnsi="宋体" w:cs="宋体"/>
          <w:bCs/>
          <w:color w:val="000000"/>
          <w:sz w:val="24"/>
          <w:szCs w:val="21"/>
        </w:rPr>
        <w:tab/>
      </w:r>
      <w:r>
        <w:rPr>
          <w:rFonts w:hint="eastAsia" w:ascii="宋体" w:hAnsi="宋体" w:cs="宋体"/>
          <w:bCs/>
          <w:color w:val="000000"/>
          <w:sz w:val="24"/>
          <w:szCs w:val="21"/>
        </w:rPr>
        <w:tab/>
      </w:r>
      <w:r>
        <w:rPr>
          <w:rFonts w:hint="eastAsia" w:ascii="宋体" w:hAnsi="宋体" w:cs="宋体"/>
          <w:bCs/>
          <w:color w:val="000000"/>
          <w:sz w:val="24"/>
          <w:szCs w:val="21"/>
        </w:rPr>
        <w:t xml:space="preserve">    电　　话：</w:t>
      </w:r>
      <w:r>
        <w:rPr>
          <w:rFonts w:hint="eastAsia" w:ascii="宋体" w:hAnsi="宋体" w:cs="宋体"/>
          <w:bCs/>
          <w:color w:val="000000"/>
          <w:sz w:val="24"/>
          <w:szCs w:val="21"/>
          <w:u w:val="single"/>
        </w:rPr>
        <w:tab/>
      </w:r>
      <w:r>
        <w:rPr>
          <w:rFonts w:hint="eastAsia" w:ascii="宋体" w:hAnsi="宋体" w:cs="宋体"/>
          <w:bCs/>
          <w:color w:val="000000"/>
          <w:sz w:val="24"/>
          <w:szCs w:val="21"/>
          <w:u w:val="single"/>
        </w:rPr>
        <w:tab/>
      </w:r>
      <w:r>
        <w:rPr>
          <w:rFonts w:hint="eastAsia" w:ascii="宋体" w:hAnsi="宋体" w:cs="宋体"/>
          <w:bCs/>
          <w:color w:val="000000"/>
          <w:sz w:val="24"/>
          <w:szCs w:val="21"/>
          <w:u w:val="single"/>
        </w:rPr>
        <w:tab/>
      </w:r>
      <w:r>
        <w:rPr>
          <w:rFonts w:hint="eastAsia" w:ascii="宋体" w:hAnsi="宋体" w:cs="宋体"/>
          <w:bCs/>
          <w:color w:val="000000"/>
          <w:sz w:val="24"/>
          <w:szCs w:val="21"/>
          <w:u w:val="single"/>
        </w:rPr>
        <w:tab/>
      </w:r>
    </w:p>
    <w:p>
      <w:pPr>
        <w:spacing w:line="360" w:lineRule="auto"/>
        <w:ind w:firstLine="480" w:firstLineChars="200"/>
        <w:rPr>
          <w:rFonts w:ascii="宋体" w:hAnsi="宋体" w:cs="宋体"/>
          <w:bCs/>
          <w:color w:val="000000"/>
          <w:sz w:val="24"/>
          <w:szCs w:val="21"/>
          <w:u w:val="single"/>
        </w:rPr>
      </w:pPr>
      <w:r>
        <w:rPr>
          <w:rFonts w:hint="eastAsia" w:ascii="宋体" w:hAnsi="宋体" w:cs="宋体"/>
          <w:bCs/>
          <w:color w:val="000000"/>
          <w:sz w:val="24"/>
          <w:szCs w:val="21"/>
        </w:rPr>
        <w:t>开户银行：</w:t>
      </w:r>
      <w:r>
        <w:rPr>
          <w:rFonts w:hint="eastAsia" w:ascii="宋体" w:hAnsi="宋体" w:cs="宋体"/>
          <w:bCs/>
          <w:color w:val="000000"/>
          <w:sz w:val="24"/>
          <w:szCs w:val="21"/>
          <w:u w:val="single"/>
        </w:rPr>
        <w:tab/>
      </w:r>
      <w:r>
        <w:rPr>
          <w:rFonts w:hint="eastAsia" w:ascii="宋体" w:hAnsi="宋体" w:cs="宋体"/>
          <w:bCs/>
          <w:color w:val="000000"/>
          <w:sz w:val="24"/>
          <w:szCs w:val="21"/>
          <w:u w:val="single"/>
        </w:rPr>
        <w:tab/>
      </w:r>
      <w:r>
        <w:rPr>
          <w:rFonts w:hint="eastAsia" w:ascii="宋体" w:hAnsi="宋体" w:cs="宋体"/>
          <w:bCs/>
          <w:color w:val="000000"/>
          <w:sz w:val="24"/>
          <w:szCs w:val="21"/>
          <w:u w:val="single"/>
        </w:rPr>
        <w:tab/>
      </w:r>
      <w:r>
        <w:rPr>
          <w:rFonts w:hint="eastAsia" w:ascii="宋体" w:hAnsi="宋体" w:cs="宋体"/>
          <w:bCs/>
          <w:color w:val="000000"/>
          <w:sz w:val="24"/>
          <w:szCs w:val="21"/>
          <w:u w:val="single"/>
        </w:rPr>
        <w:tab/>
      </w:r>
      <w:r>
        <w:rPr>
          <w:rFonts w:hint="eastAsia" w:ascii="宋体" w:hAnsi="宋体" w:cs="宋体"/>
          <w:bCs/>
          <w:i/>
          <w:color w:val="000000"/>
          <w:sz w:val="24"/>
          <w:szCs w:val="21"/>
        </w:rPr>
        <w:t xml:space="preserve">               </w:t>
      </w:r>
      <w:r>
        <w:rPr>
          <w:rFonts w:hint="eastAsia" w:ascii="宋体" w:hAnsi="宋体" w:cs="宋体"/>
          <w:bCs/>
          <w:color w:val="000000"/>
          <w:sz w:val="24"/>
          <w:szCs w:val="21"/>
        </w:rPr>
        <w:t>帐　　号：</w:t>
      </w:r>
      <w:r>
        <w:rPr>
          <w:rFonts w:hint="eastAsia" w:ascii="宋体" w:hAnsi="宋体" w:cs="宋体"/>
          <w:bCs/>
          <w:color w:val="000000"/>
          <w:sz w:val="24"/>
          <w:szCs w:val="21"/>
          <w:u w:val="single"/>
        </w:rPr>
        <w:tab/>
      </w:r>
      <w:r>
        <w:rPr>
          <w:rFonts w:hint="eastAsia" w:ascii="宋体" w:hAnsi="宋体" w:cs="宋体"/>
          <w:bCs/>
          <w:color w:val="000000"/>
          <w:sz w:val="24"/>
          <w:szCs w:val="21"/>
          <w:u w:val="single"/>
        </w:rPr>
        <w:tab/>
      </w:r>
      <w:r>
        <w:rPr>
          <w:rFonts w:hint="eastAsia" w:ascii="宋体" w:hAnsi="宋体" w:cs="宋体"/>
          <w:bCs/>
          <w:color w:val="000000"/>
          <w:sz w:val="24"/>
          <w:szCs w:val="21"/>
          <w:u w:val="single"/>
        </w:rPr>
        <w:tab/>
      </w:r>
      <w:r>
        <w:rPr>
          <w:rFonts w:hint="eastAsia" w:ascii="宋体" w:hAnsi="宋体" w:cs="宋体"/>
          <w:bCs/>
          <w:color w:val="000000"/>
          <w:sz w:val="24"/>
          <w:szCs w:val="21"/>
          <w:u w:val="single"/>
        </w:rPr>
        <w:tab/>
      </w:r>
    </w:p>
    <w:p>
      <w:pPr>
        <w:spacing w:line="360" w:lineRule="auto"/>
        <w:rPr>
          <w:rFonts w:ascii="宋体" w:hAnsi="宋体" w:cs="宋体"/>
          <w:bCs/>
          <w:color w:val="000000"/>
          <w:sz w:val="32"/>
        </w:rPr>
      </w:pPr>
    </w:p>
    <w:p>
      <w:pPr>
        <w:spacing w:line="360" w:lineRule="auto"/>
        <w:rPr>
          <w:rFonts w:ascii="宋体" w:hAnsi="宋体" w:cs="宋体"/>
          <w:bCs/>
          <w:color w:val="000000"/>
          <w:sz w:val="32"/>
        </w:rPr>
      </w:pPr>
    </w:p>
    <w:p>
      <w:pPr>
        <w:rPr>
          <w:rFonts w:ascii="宋体" w:hAnsi="宋体" w:cs="宋体"/>
          <w:b/>
          <w:color w:val="000000"/>
          <w:sz w:val="32"/>
        </w:rPr>
      </w:pPr>
      <w:r>
        <w:rPr>
          <w:rFonts w:hint="eastAsia" w:ascii="宋体" w:hAnsi="宋体" w:cs="宋体"/>
          <w:b/>
          <w:color w:val="000000"/>
          <w:sz w:val="32"/>
        </w:rPr>
        <w:br w:type="page"/>
      </w:r>
    </w:p>
    <w:p>
      <w:pPr>
        <w:spacing w:line="360" w:lineRule="auto"/>
        <w:jc w:val="center"/>
        <w:rPr>
          <w:rFonts w:ascii="宋体" w:hAnsi="宋体" w:cs="宋体"/>
          <w:b/>
          <w:color w:val="000000"/>
          <w:sz w:val="32"/>
        </w:rPr>
      </w:pPr>
      <w:r>
        <w:rPr>
          <w:rFonts w:hint="eastAsia" w:ascii="宋体" w:hAnsi="宋体" w:cs="宋体"/>
          <w:b/>
          <w:color w:val="000000"/>
          <w:sz w:val="32"/>
        </w:rPr>
        <w:t>合同主要条款</w:t>
      </w:r>
    </w:p>
    <w:p>
      <w:pPr>
        <w:snapToGrid w:val="0"/>
        <w:spacing w:line="360" w:lineRule="auto"/>
        <w:rPr>
          <w:rFonts w:ascii="宋体" w:hAnsi="宋体" w:cs="宋体"/>
          <w:b/>
          <w:color w:val="000000"/>
          <w:sz w:val="24"/>
        </w:rPr>
      </w:pPr>
      <w:r>
        <w:rPr>
          <w:rFonts w:hint="eastAsia" w:ascii="宋体" w:hAnsi="宋体" w:cs="宋体"/>
          <w:b/>
          <w:color w:val="000000"/>
          <w:sz w:val="24"/>
        </w:rPr>
        <w:t>甲方：</w:t>
      </w:r>
      <w:r>
        <w:rPr>
          <w:rFonts w:hint="eastAsia" w:ascii="宋体" w:hAnsi="宋体" w:cs="宋体"/>
          <w:b/>
          <w:color w:val="000000"/>
          <w:sz w:val="24"/>
          <w:u w:val="single"/>
        </w:rPr>
        <w:t xml:space="preserve">               </w:t>
      </w:r>
    </w:p>
    <w:p>
      <w:pPr>
        <w:snapToGrid w:val="0"/>
        <w:spacing w:line="360" w:lineRule="auto"/>
        <w:rPr>
          <w:rFonts w:ascii="宋体" w:hAnsi="宋体" w:cs="宋体"/>
          <w:b/>
          <w:color w:val="000000"/>
          <w:sz w:val="24"/>
        </w:rPr>
      </w:pPr>
      <w:r>
        <w:rPr>
          <w:rFonts w:hint="eastAsia" w:ascii="宋体" w:hAnsi="宋体" w:cs="宋体"/>
          <w:b/>
          <w:color w:val="000000"/>
          <w:sz w:val="24"/>
        </w:rPr>
        <w:t>乙方：</w:t>
      </w:r>
      <w:r>
        <w:rPr>
          <w:rFonts w:hint="eastAsia" w:ascii="宋体" w:hAnsi="宋体" w:cs="宋体"/>
          <w:b/>
          <w:color w:val="000000"/>
          <w:sz w:val="24"/>
          <w:u w:val="single"/>
        </w:rPr>
        <w:t xml:space="preserve">               </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根据</w:t>
      </w:r>
      <w:r>
        <w:rPr>
          <w:rFonts w:hint="eastAsia" w:ascii="宋体" w:hAnsi="宋体" w:cs="宋体"/>
          <w:color w:val="000000"/>
          <w:sz w:val="24"/>
          <w:u w:val="single"/>
          <w:shd w:val="clear" w:color="auto" w:fill="FFFF00"/>
        </w:rPr>
        <w:t>/项目</w:t>
      </w:r>
      <w:r>
        <w:rPr>
          <w:rFonts w:hint="eastAsia" w:ascii="宋体" w:hAnsi="宋体" w:cs="宋体"/>
          <w:color w:val="000000"/>
          <w:sz w:val="24"/>
        </w:rPr>
        <w:t>的采购结果，按照《中华人民共和国合同法》、采购文件的要求，经双方协商，本着平等互利和诚实信用的原则，一致同意签订本合同如下。</w:t>
      </w:r>
    </w:p>
    <w:p>
      <w:pPr>
        <w:spacing w:line="360" w:lineRule="auto"/>
        <w:jc w:val="left"/>
        <w:rPr>
          <w:rFonts w:ascii="宋体" w:hAnsi="宋体" w:cs="宋体"/>
          <w:b/>
          <w:color w:val="000000"/>
          <w:sz w:val="24"/>
        </w:rPr>
      </w:pPr>
      <w:bookmarkStart w:id="72" w:name="_Toc509082690"/>
      <w:bookmarkStart w:id="73" w:name="_Toc504674072"/>
      <w:bookmarkStart w:id="74" w:name="_Toc344953156"/>
      <w:bookmarkStart w:id="75" w:name="_Toc495585064"/>
      <w:r>
        <w:rPr>
          <w:rFonts w:hint="eastAsia" w:ascii="宋体" w:hAnsi="宋体" w:cs="宋体"/>
          <w:b/>
          <w:color w:val="000000"/>
          <w:sz w:val="24"/>
        </w:rPr>
        <w:t>1、包装及运输</w:t>
      </w:r>
    </w:p>
    <w:p>
      <w:pPr>
        <w:spacing w:line="360" w:lineRule="auto"/>
        <w:jc w:val="left"/>
        <w:rPr>
          <w:rFonts w:ascii="宋体" w:hAnsi="宋体" w:cs="宋体"/>
          <w:color w:val="000000"/>
          <w:sz w:val="24"/>
        </w:rPr>
      </w:pPr>
      <w:r>
        <w:rPr>
          <w:rFonts w:hint="eastAsia" w:ascii="宋体" w:hAnsi="宋体" w:cs="宋体"/>
          <w:color w:val="000000"/>
          <w:sz w:val="24"/>
        </w:rPr>
        <w:t>（1）乙方应为商品提供适宜商品运输的包装方式，防潮，防湿，防震，防锈，耐粗暴搬运，对于由于包装不良所发生的损失及由于采用不充分或不妥善的防护措施而造成的任何锈损，乙方应承担由此而产生的一切费用和损失。包装物乙方不予回收。</w:t>
      </w:r>
    </w:p>
    <w:p>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宋体"/>
          <w:color w:val="000000"/>
          <w:sz w:val="24"/>
          <w:szCs w:val="24"/>
        </w:rPr>
      </w:pPr>
      <w:r>
        <w:rPr>
          <w:rFonts w:hint="eastAsia" w:ascii="宋体" w:hAnsi="宋体" w:cs="宋体"/>
          <w:color w:val="000000"/>
          <w:sz w:val="24"/>
          <w:szCs w:val="24"/>
        </w:rPr>
        <w:t>（2）乙方负责无偿将商品运送至甲方指定地点。运输过程中，商品毁损、灭失的风险由乙方承担。</w:t>
      </w:r>
    </w:p>
    <w:p>
      <w:pPr>
        <w:tabs>
          <w:tab w:val="left" w:pos="600"/>
        </w:tabs>
        <w:spacing w:line="360" w:lineRule="auto"/>
        <w:jc w:val="left"/>
        <w:rPr>
          <w:rFonts w:ascii="宋体" w:hAnsi="宋体" w:cs="宋体"/>
          <w:color w:val="000000"/>
          <w:sz w:val="24"/>
        </w:rPr>
      </w:pPr>
      <w:r>
        <w:rPr>
          <w:rFonts w:hint="eastAsia" w:ascii="宋体" w:hAnsi="宋体" w:cs="宋体"/>
          <w:color w:val="000000"/>
          <w:sz w:val="24"/>
        </w:rPr>
        <w:t>（3）商品运送至甲方指定地点后，由乙方负责安装调试，由甲方和乙方双方共同对商品进行检验并办理相关商品移交手续。商品通过甲方验收合格且移交至甲方后，商品毁损、灭失的风险由甲方承担。</w:t>
      </w:r>
    </w:p>
    <w:p>
      <w:pPr>
        <w:widowControl/>
        <w:spacing w:line="360" w:lineRule="auto"/>
        <w:ind w:right="420"/>
        <w:jc w:val="left"/>
        <w:rPr>
          <w:rFonts w:ascii="宋体" w:hAnsi="宋体" w:cs="宋体"/>
          <w:color w:val="000000"/>
          <w:sz w:val="24"/>
        </w:rPr>
      </w:pPr>
      <w:r>
        <w:rPr>
          <w:rFonts w:hint="eastAsia" w:ascii="宋体" w:hAnsi="宋体" w:cs="宋体"/>
          <w:color w:val="000000"/>
          <w:sz w:val="24"/>
        </w:rPr>
        <w:t>（4）乙方自带用以安装、调试过程中所需的专用工具。在安装、调试过程中，乙方自负其工作人员的食宿、交通等费用。乙方在设备安装过程中或乙方提供设施设备在运作过程中因非甲方原因给施工人员、甲方及其它第三人造成财产或人身损失的，由乙方承担全部责任、进行全额赔偿；甲方由此产生的一切经济损失（包括但不限于赔偿款、违约金、诉讼费、律师费和合理的差旅费）均有权要求乙方赔偿。</w:t>
      </w:r>
    </w:p>
    <w:p>
      <w:pPr>
        <w:widowControl/>
        <w:spacing w:line="360" w:lineRule="auto"/>
        <w:ind w:right="420"/>
        <w:jc w:val="left"/>
        <w:rPr>
          <w:rFonts w:ascii="宋体" w:hAnsi="宋体" w:cs="宋体"/>
          <w:color w:val="000000"/>
          <w:sz w:val="24"/>
        </w:rPr>
      </w:pPr>
      <w:r>
        <w:rPr>
          <w:rFonts w:hint="eastAsia" w:ascii="宋体" w:hAnsi="宋体" w:cs="宋体"/>
          <w:color w:val="000000"/>
          <w:sz w:val="24"/>
        </w:rPr>
        <w:t>（5）运输费用由乙方承担。</w:t>
      </w:r>
    </w:p>
    <w:p>
      <w:pPr>
        <w:tabs>
          <w:tab w:val="left" w:pos="600"/>
        </w:tabs>
        <w:spacing w:line="360" w:lineRule="auto"/>
        <w:jc w:val="left"/>
        <w:rPr>
          <w:rFonts w:ascii="宋体" w:hAnsi="宋体" w:cs="宋体"/>
          <w:b/>
          <w:color w:val="000000"/>
          <w:sz w:val="24"/>
        </w:rPr>
      </w:pPr>
      <w:r>
        <w:rPr>
          <w:rFonts w:hint="eastAsia" w:ascii="宋体" w:hAnsi="宋体" w:cs="宋体"/>
          <w:b/>
          <w:color w:val="000000"/>
          <w:sz w:val="24"/>
        </w:rPr>
        <w:t>2、交货地点、交货期限</w:t>
      </w:r>
    </w:p>
    <w:p>
      <w:pPr>
        <w:spacing w:line="360" w:lineRule="auto"/>
        <w:jc w:val="left"/>
        <w:rPr>
          <w:rFonts w:ascii="宋体" w:hAnsi="宋体" w:cs="宋体"/>
          <w:color w:val="000000"/>
          <w:sz w:val="24"/>
        </w:rPr>
      </w:pPr>
      <w:r>
        <w:rPr>
          <w:rFonts w:hint="eastAsia" w:ascii="宋体" w:hAnsi="宋体" w:cs="宋体"/>
          <w:color w:val="000000"/>
          <w:sz w:val="24"/>
        </w:rPr>
        <w:t>（1）交货地点：甲方指定地点</w:t>
      </w:r>
    </w:p>
    <w:p>
      <w:pPr>
        <w:spacing w:line="360" w:lineRule="auto"/>
        <w:jc w:val="left"/>
        <w:rPr>
          <w:rFonts w:ascii="宋体" w:hAnsi="宋体" w:cs="宋体"/>
          <w:color w:val="000000"/>
          <w:sz w:val="24"/>
        </w:rPr>
      </w:pPr>
      <w:r>
        <w:rPr>
          <w:rFonts w:hint="eastAsia" w:ascii="宋体" w:hAnsi="宋体" w:cs="宋体"/>
          <w:color w:val="000000"/>
          <w:sz w:val="24"/>
        </w:rPr>
        <w:t>（2）交货时间：自合同签订之日起30个日历日内完成安装并通过甲方的验收合格。</w:t>
      </w:r>
    </w:p>
    <w:p>
      <w:pPr>
        <w:widowControl/>
        <w:spacing w:line="360" w:lineRule="auto"/>
        <w:ind w:right="420"/>
        <w:jc w:val="left"/>
        <w:rPr>
          <w:rFonts w:ascii="宋体" w:hAnsi="宋体" w:cs="宋体"/>
          <w:b/>
          <w:color w:val="000000"/>
          <w:sz w:val="24"/>
        </w:rPr>
      </w:pPr>
      <w:r>
        <w:rPr>
          <w:rFonts w:hint="eastAsia" w:ascii="宋体" w:hAnsi="宋体" w:cs="宋体"/>
          <w:b/>
          <w:color w:val="000000"/>
          <w:sz w:val="24"/>
        </w:rPr>
        <w:t>3、付款方式：</w:t>
      </w:r>
    </w:p>
    <w:p>
      <w:pPr>
        <w:widowControl/>
        <w:shd w:val="clear" w:color="auto" w:fill="FFFFFF"/>
        <w:spacing w:line="360" w:lineRule="auto"/>
        <w:ind w:right="420"/>
        <w:jc w:val="left"/>
        <w:rPr>
          <w:rFonts w:ascii="宋体" w:hAnsi="宋体" w:cs="宋体"/>
          <w:color w:val="000000"/>
          <w:sz w:val="24"/>
        </w:rPr>
      </w:pPr>
      <w:r>
        <w:rPr>
          <w:rFonts w:hint="eastAsia" w:ascii="宋体" w:hAnsi="宋体" w:cs="宋体"/>
          <w:color w:val="000000"/>
          <w:sz w:val="24"/>
        </w:rPr>
        <w:t>合同签订，货物全部送达指定地点后支付至合同总价的70%，验收合格后支付至合同总价的90%，剩余货款第二年付清。</w:t>
      </w:r>
    </w:p>
    <w:p>
      <w:pPr>
        <w:spacing w:line="360" w:lineRule="auto"/>
        <w:jc w:val="left"/>
        <w:rPr>
          <w:rFonts w:ascii="宋体" w:hAnsi="宋体" w:cs="宋体"/>
          <w:b/>
          <w:color w:val="000000"/>
          <w:sz w:val="24"/>
        </w:rPr>
      </w:pPr>
      <w:r>
        <w:rPr>
          <w:rFonts w:hint="eastAsia" w:ascii="宋体" w:hAnsi="宋体" w:cs="宋体"/>
          <w:b/>
          <w:color w:val="000000"/>
          <w:sz w:val="24"/>
        </w:rPr>
        <w:t>4、质量保证</w:t>
      </w:r>
    </w:p>
    <w:p>
      <w:pPr>
        <w:tabs>
          <w:tab w:val="left" w:pos="600"/>
        </w:tabs>
        <w:spacing w:line="360" w:lineRule="auto"/>
        <w:jc w:val="left"/>
        <w:rPr>
          <w:rFonts w:ascii="宋体" w:hAnsi="宋体" w:cs="宋体"/>
          <w:color w:val="000000"/>
          <w:sz w:val="24"/>
        </w:rPr>
      </w:pPr>
      <w:r>
        <w:rPr>
          <w:rFonts w:hint="eastAsia" w:ascii="宋体" w:hAnsi="宋体" w:cs="宋体"/>
          <w:color w:val="000000"/>
          <w:sz w:val="24"/>
        </w:rPr>
        <w:t>（1）乙方须提供全新的、符合国家有关质量标准和规范、环保要求的货物，其质量、规格及技术特征符合合同附件的要求。</w:t>
      </w:r>
    </w:p>
    <w:p>
      <w:pPr>
        <w:tabs>
          <w:tab w:val="left" w:pos="600"/>
        </w:tabs>
        <w:spacing w:line="360" w:lineRule="auto"/>
        <w:jc w:val="left"/>
        <w:rPr>
          <w:rFonts w:ascii="宋体" w:hAnsi="宋体" w:cs="宋体"/>
          <w:color w:val="000000"/>
          <w:sz w:val="24"/>
        </w:rPr>
      </w:pPr>
      <w:r>
        <w:rPr>
          <w:rFonts w:hint="eastAsia" w:ascii="宋体" w:hAnsi="宋体" w:cs="宋体"/>
          <w:color w:val="000000"/>
          <w:sz w:val="24"/>
        </w:rPr>
        <w:t>（2）每台货物上均应钉有名牌（内容包括：制造商、货物名称、型号规格、出厂日期等）并附有产品质量检验合格标志。</w:t>
      </w:r>
    </w:p>
    <w:p>
      <w:pPr>
        <w:tabs>
          <w:tab w:val="left" w:pos="600"/>
        </w:tabs>
        <w:spacing w:line="360" w:lineRule="auto"/>
        <w:jc w:val="left"/>
        <w:rPr>
          <w:rFonts w:ascii="宋体" w:hAnsi="宋体" w:cs="宋体"/>
          <w:color w:val="000000"/>
          <w:sz w:val="24"/>
        </w:rPr>
      </w:pPr>
      <w:r>
        <w:rPr>
          <w:rFonts w:hint="eastAsia" w:ascii="宋体" w:hAnsi="宋体" w:cs="宋体"/>
          <w:color w:val="000000"/>
          <w:sz w:val="24"/>
        </w:rPr>
        <w:t>（3）货物制造质量出现问题，乙方应负责三包（包修、包换、包退），费用由乙方负责。</w:t>
      </w:r>
    </w:p>
    <w:p>
      <w:pPr>
        <w:tabs>
          <w:tab w:val="left" w:pos="600"/>
        </w:tabs>
        <w:spacing w:line="360" w:lineRule="auto"/>
        <w:jc w:val="left"/>
        <w:rPr>
          <w:rFonts w:ascii="宋体" w:hAnsi="宋体" w:cs="宋体"/>
          <w:bCs/>
          <w:color w:val="000000"/>
          <w:sz w:val="24"/>
        </w:rPr>
      </w:pPr>
      <w:r>
        <w:rPr>
          <w:rFonts w:hint="eastAsia" w:ascii="宋体" w:hAnsi="宋体" w:cs="宋体"/>
          <w:bCs/>
          <w:color w:val="000000"/>
          <w:sz w:val="24"/>
        </w:rPr>
        <w:t>（4）乙方须提供自本项目验收合格之日起12个日历月的免费质保期。</w:t>
      </w:r>
    </w:p>
    <w:p>
      <w:pPr>
        <w:tabs>
          <w:tab w:val="left" w:pos="600"/>
        </w:tabs>
        <w:spacing w:line="360" w:lineRule="auto"/>
        <w:jc w:val="left"/>
        <w:rPr>
          <w:rFonts w:ascii="宋体" w:hAnsi="宋体" w:cs="宋体"/>
          <w:b/>
          <w:color w:val="000000"/>
          <w:sz w:val="24"/>
        </w:rPr>
      </w:pPr>
      <w:r>
        <w:rPr>
          <w:rFonts w:hint="eastAsia" w:ascii="宋体" w:hAnsi="宋体" w:cs="宋体"/>
          <w:b/>
          <w:color w:val="000000"/>
          <w:sz w:val="24"/>
        </w:rPr>
        <w:t>5、验收</w:t>
      </w:r>
    </w:p>
    <w:p>
      <w:pPr>
        <w:tabs>
          <w:tab w:val="left" w:pos="600"/>
        </w:tabs>
        <w:spacing w:line="360" w:lineRule="auto"/>
        <w:jc w:val="left"/>
        <w:rPr>
          <w:rFonts w:ascii="宋体" w:hAnsi="宋体" w:cs="宋体"/>
          <w:color w:val="000000"/>
          <w:sz w:val="24"/>
        </w:rPr>
      </w:pPr>
      <w:r>
        <w:rPr>
          <w:rFonts w:hint="eastAsia" w:ascii="宋体" w:hAnsi="宋体" w:cs="宋体"/>
          <w:color w:val="000000"/>
          <w:sz w:val="24"/>
        </w:rPr>
        <w:t>（1）货到现场后由于甲方保管不当造成的质量问题，乙方亦应负责修理，但费用由甲方负担。</w:t>
      </w:r>
    </w:p>
    <w:p>
      <w:pPr>
        <w:tabs>
          <w:tab w:val="left" w:pos="600"/>
        </w:tabs>
        <w:spacing w:line="360" w:lineRule="auto"/>
        <w:jc w:val="left"/>
        <w:rPr>
          <w:rFonts w:ascii="宋体" w:hAnsi="宋体" w:cs="宋体"/>
          <w:color w:val="000000"/>
          <w:sz w:val="24"/>
        </w:rPr>
      </w:pPr>
      <w:r>
        <w:rPr>
          <w:rFonts w:hint="eastAsia" w:ascii="宋体" w:hAnsi="宋体" w:cs="宋体"/>
          <w:color w:val="000000"/>
          <w:sz w:val="24"/>
        </w:rPr>
        <w:t>（2）在合同签订后30日内，乙方免费送货至甲方地点。乙方免费完成货物和系统的安装调试工作。甲方有权邀请国家认可的第三方检测机构对相关产品进行检测（检测费用由乙方承担），如检测指标满足公开招标文件的要求，双方签署质量验收表；否则，甲方将不支付合同款项，所发生的所有费用（含检测费）和相关后果由乙方承担。</w:t>
      </w:r>
    </w:p>
    <w:p>
      <w:pPr>
        <w:tabs>
          <w:tab w:val="left" w:pos="600"/>
        </w:tabs>
        <w:spacing w:line="360" w:lineRule="auto"/>
        <w:jc w:val="left"/>
        <w:rPr>
          <w:rFonts w:ascii="宋体" w:hAnsi="宋体" w:cs="宋体"/>
          <w:color w:val="000000"/>
          <w:sz w:val="24"/>
        </w:rPr>
      </w:pPr>
      <w:r>
        <w:rPr>
          <w:rFonts w:hint="eastAsia" w:ascii="宋体" w:hAnsi="宋体" w:cs="宋体"/>
          <w:color w:val="000000"/>
          <w:sz w:val="24"/>
        </w:rPr>
        <w:t>（3）货物的到货验收包括：型号、规格、数量、外观质量及货物包装完整无损。</w:t>
      </w:r>
    </w:p>
    <w:p>
      <w:pPr>
        <w:tabs>
          <w:tab w:val="left" w:pos="600"/>
        </w:tabs>
        <w:spacing w:line="360" w:lineRule="auto"/>
        <w:jc w:val="left"/>
        <w:rPr>
          <w:rFonts w:ascii="宋体" w:hAnsi="宋体" w:cs="宋体"/>
          <w:color w:val="000000"/>
          <w:sz w:val="24"/>
        </w:rPr>
      </w:pPr>
      <w:r>
        <w:rPr>
          <w:rFonts w:hint="eastAsia" w:ascii="宋体" w:hAnsi="宋体" w:cs="宋体"/>
          <w:color w:val="000000"/>
          <w:sz w:val="24"/>
        </w:rPr>
        <w:t>（4）货物和系统安装调试完成后10天之内，甲方无故不进行验收工作而使用货物的，视同已安装调试完成并验收合格。</w:t>
      </w:r>
    </w:p>
    <w:p>
      <w:pPr>
        <w:tabs>
          <w:tab w:val="left" w:pos="600"/>
        </w:tabs>
        <w:spacing w:line="360" w:lineRule="auto"/>
        <w:jc w:val="left"/>
        <w:rPr>
          <w:rFonts w:ascii="宋体" w:hAnsi="宋体" w:cs="宋体"/>
          <w:color w:val="000000"/>
          <w:sz w:val="24"/>
        </w:rPr>
      </w:pPr>
      <w:r>
        <w:rPr>
          <w:rFonts w:hint="eastAsia" w:ascii="宋体" w:hAnsi="宋体" w:cs="宋体"/>
          <w:color w:val="000000"/>
          <w:sz w:val="24"/>
        </w:rPr>
        <w:t>（5）货物和系统调试验收的标准：按行业通行标准、厂方出厂标准和乙方公开招标响应文件的承诺（详见合同附件载明的标准，并不低于国家相关标准）。</w:t>
      </w:r>
    </w:p>
    <w:p>
      <w:pPr>
        <w:tabs>
          <w:tab w:val="left" w:pos="600"/>
        </w:tabs>
        <w:spacing w:line="360" w:lineRule="auto"/>
        <w:jc w:val="left"/>
        <w:rPr>
          <w:rFonts w:ascii="宋体" w:hAnsi="宋体" w:cs="宋体"/>
          <w:color w:val="000000"/>
          <w:sz w:val="24"/>
        </w:rPr>
      </w:pPr>
      <w:r>
        <w:rPr>
          <w:rFonts w:hint="eastAsia" w:ascii="宋体" w:hAnsi="宋体" w:cs="宋体"/>
          <w:color w:val="000000"/>
          <w:sz w:val="24"/>
        </w:rPr>
        <w:t>（6）国内产品或合资厂的产品必须具备出厂合格证和原厂保修卡。</w:t>
      </w:r>
    </w:p>
    <w:p>
      <w:pPr>
        <w:tabs>
          <w:tab w:val="left" w:pos="600"/>
        </w:tabs>
        <w:spacing w:line="360" w:lineRule="auto"/>
        <w:jc w:val="left"/>
        <w:rPr>
          <w:rFonts w:ascii="宋体" w:hAnsi="宋体" w:cs="宋体"/>
          <w:color w:val="000000"/>
          <w:sz w:val="24"/>
        </w:rPr>
      </w:pPr>
      <w:r>
        <w:rPr>
          <w:rFonts w:hint="eastAsia" w:ascii="宋体" w:hAnsi="宋体" w:cs="宋体"/>
          <w:color w:val="000000"/>
          <w:sz w:val="24"/>
        </w:rPr>
        <w:t>（7）乙方应将所提供货物的装箱清单、用户手册、原厂保修卡、随机资料及配件、随机工具等交付给甲方；乙方不能完整交付货物及本款规定的单证和工具的，视为未按合同约定付货，乙方必须负责补齐，因此导致逾期交付的，由乙方承担相关的违约责任。</w:t>
      </w:r>
    </w:p>
    <w:p>
      <w:pPr>
        <w:pStyle w:val="14"/>
        <w:spacing w:line="360" w:lineRule="auto"/>
        <w:ind w:left="0"/>
        <w:rPr>
          <w:rFonts w:cs="宋体"/>
          <w:color w:val="000000"/>
        </w:rPr>
      </w:pPr>
      <w:r>
        <w:rPr>
          <w:rFonts w:hint="eastAsia" w:cs="宋体"/>
          <w:color w:val="000000"/>
        </w:rPr>
        <w:t>（8）为保证所投产品的质量品质及资料的真实性，乙方须承诺如若中标，在中标公示期内将评审依据中的所有资料的原件提交至甲方指定地点进行复核，如提供不了或提供不全，甲方有权报同级政府采购监督管理部门进行处理，并依据政府采购法追究其法律责任，由此导致整批货物被拒收和索赔以及其它相关损失一律由乙方负责。</w:t>
      </w:r>
    </w:p>
    <w:p>
      <w:pPr>
        <w:tabs>
          <w:tab w:val="left" w:pos="600"/>
        </w:tabs>
        <w:spacing w:line="360" w:lineRule="auto"/>
        <w:jc w:val="left"/>
        <w:rPr>
          <w:rFonts w:ascii="宋体" w:hAnsi="宋体" w:cs="宋体"/>
          <w:b/>
          <w:color w:val="000000"/>
          <w:sz w:val="24"/>
        </w:rPr>
      </w:pPr>
      <w:r>
        <w:rPr>
          <w:rFonts w:hint="eastAsia" w:ascii="宋体" w:hAnsi="宋体" w:cs="宋体"/>
          <w:b/>
          <w:color w:val="000000"/>
          <w:sz w:val="24"/>
        </w:rPr>
        <w:t>6、售后服务</w:t>
      </w:r>
    </w:p>
    <w:p>
      <w:pPr>
        <w:spacing w:line="360" w:lineRule="auto"/>
        <w:jc w:val="left"/>
        <w:rPr>
          <w:rFonts w:ascii="宋体" w:hAnsi="宋体" w:cs="宋体"/>
          <w:color w:val="000000"/>
          <w:sz w:val="24"/>
        </w:rPr>
      </w:pPr>
      <w:r>
        <w:rPr>
          <w:rFonts w:hint="eastAsia" w:ascii="宋体" w:hAnsi="宋体" w:cs="宋体"/>
          <w:color w:val="000000"/>
          <w:sz w:val="24"/>
        </w:rPr>
        <w:t>（1）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乙方进行相应的技术培训，培训地点主要在货物安装现场或由甲方安排。</w:t>
      </w:r>
    </w:p>
    <w:p>
      <w:pPr>
        <w:spacing w:line="360" w:lineRule="auto"/>
        <w:jc w:val="left"/>
        <w:rPr>
          <w:rFonts w:ascii="宋体" w:hAnsi="宋体" w:cs="宋体"/>
          <w:color w:val="000000"/>
          <w:sz w:val="24"/>
        </w:rPr>
      </w:pPr>
      <w:r>
        <w:rPr>
          <w:rFonts w:hint="eastAsia" w:ascii="宋体" w:hAnsi="宋体" w:cs="宋体"/>
          <w:color w:val="000000"/>
          <w:sz w:val="24"/>
        </w:rPr>
        <w:t>（2）质量保证期为：质保期自甲方在货物质量验收单上签字之日起一年，软件提供五年免费升级。</w:t>
      </w:r>
    </w:p>
    <w:p>
      <w:pPr>
        <w:spacing w:line="360" w:lineRule="auto"/>
        <w:jc w:val="left"/>
        <w:rPr>
          <w:rFonts w:ascii="宋体" w:hAnsi="宋体" w:cs="宋体"/>
          <w:color w:val="000000"/>
          <w:sz w:val="24"/>
        </w:rPr>
      </w:pPr>
      <w:r>
        <w:rPr>
          <w:rFonts w:hint="eastAsia" w:ascii="宋体" w:hAnsi="宋体" w:cs="宋体"/>
          <w:color w:val="000000"/>
          <w:sz w:val="24"/>
        </w:rPr>
        <w:t>（3）质量保证期内，乙方负责对其提供的货物整机进行维修和系统维护，不再收取任何费用，但不可抗力（如火灾、雷击等）造成的故障除外。</w:t>
      </w:r>
    </w:p>
    <w:p>
      <w:pPr>
        <w:spacing w:line="360" w:lineRule="auto"/>
        <w:jc w:val="left"/>
        <w:rPr>
          <w:rFonts w:ascii="宋体" w:hAnsi="宋体" w:cs="宋体"/>
          <w:color w:val="000000"/>
          <w:sz w:val="24"/>
        </w:rPr>
      </w:pPr>
      <w:r>
        <w:rPr>
          <w:rFonts w:hint="eastAsia" w:ascii="宋体" w:hAnsi="宋体" w:cs="宋体"/>
          <w:color w:val="000000"/>
          <w:sz w:val="24"/>
        </w:rPr>
        <w:t>（4）货物故障报修的响应时间为：工作期间（星期一至星期五8： 00-18： 00）为10小时；非工作期间为24小时；</w:t>
      </w:r>
      <w:r>
        <w:rPr>
          <w:rFonts w:hint="eastAsia" w:ascii="宋体" w:hAnsi="宋体" w:cs="宋体"/>
          <w:sz w:val="24"/>
        </w:rPr>
        <w:t>接到报修10小时内到达现场进行售后维修服务。</w:t>
      </w:r>
    </w:p>
    <w:p>
      <w:pPr>
        <w:spacing w:line="360" w:lineRule="auto"/>
        <w:jc w:val="left"/>
        <w:rPr>
          <w:rFonts w:ascii="宋体" w:hAnsi="宋体" w:cs="宋体"/>
          <w:color w:val="000000"/>
          <w:sz w:val="24"/>
        </w:rPr>
      </w:pPr>
      <w:r>
        <w:rPr>
          <w:rFonts w:hint="eastAsia" w:ascii="宋体" w:hAnsi="宋体" w:cs="宋体"/>
          <w:color w:val="000000"/>
          <w:sz w:val="24"/>
        </w:rPr>
        <w:t>（5）若货物故障在检修10工作小时后仍无法排除，乙方应在48小时内免费提供不低于故障货物规格型号档次的备用货物供甲方使用，直至故障货物修复。</w:t>
      </w:r>
    </w:p>
    <w:p>
      <w:pPr>
        <w:spacing w:line="360" w:lineRule="auto"/>
        <w:jc w:val="left"/>
        <w:rPr>
          <w:rFonts w:ascii="宋体" w:hAnsi="宋体" w:cs="宋体"/>
          <w:color w:val="000000"/>
          <w:sz w:val="24"/>
        </w:rPr>
      </w:pPr>
      <w:r>
        <w:rPr>
          <w:rFonts w:hint="eastAsia" w:ascii="宋体" w:hAnsi="宋体" w:cs="宋体"/>
          <w:color w:val="000000"/>
          <w:sz w:val="24"/>
        </w:rPr>
        <w:t>（6）所有货物保修服务方式均为乙方上门保修，即由乙方派员到货物使用现场维修，由此产生的一切费用均由乙方承担。</w:t>
      </w:r>
    </w:p>
    <w:p>
      <w:pPr>
        <w:spacing w:line="360" w:lineRule="auto"/>
        <w:jc w:val="left"/>
        <w:rPr>
          <w:rFonts w:ascii="宋体" w:hAnsi="宋体" w:cs="宋体"/>
          <w:color w:val="000000"/>
          <w:sz w:val="24"/>
        </w:rPr>
      </w:pPr>
      <w:r>
        <w:rPr>
          <w:rFonts w:hint="eastAsia" w:ascii="宋体" w:hAnsi="宋体" w:cs="宋体"/>
          <w:color w:val="000000"/>
          <w:sz w:val="24"/>
        </w:rPr>
        <w:t>（7）乙方须每隔半年上门对甲方进行回访。</w:t>
      </w:r>
    </w:p>
    <w:p>
      <w:pPr>
        <w:spacing w:line="360" w:lineRule="auto"/>
        <w:jc w:val="left"/>
        <w:rPr>
          <w:rFonts w:ascii="宋体" w:hAnsi="宋体" w:cs="宋体"/>
          <w:color w:val="000000"/>
          <w:sz w:val="24"/>
        </w:rPr>
      </w:pPr>
      <w:r>
        <w:rPr>
          <w:rFonts w:hint="eastAsia" w:ascii="宋体" w:hAnsi="宋体" w:cs="宋体"/>
          <w:color w:val="000000"/>
          <w:sz w:val="24"/>
        </w:rPr>
        <w:t>（8）保修期后的货物维护由双方协商再定。</w:t>
      </w:r>
    </w:p>
    <w:p>
      <w:pPr>
        <w:spacing w:line="360" w:lineRule="auto"/>
        <w:jc w:val="left"/>
        <w:rPr>
          <w:rFonts w:ascii="宋体" w:hAnsi="宋体" w:cs="宋体"/>
          <w:b/>
          <w:color w:val="000000"/>
          <w:sz w:val="24"/>
        </w:rPr>
      </w:pPr>
      <w:r>
        <w:rPr>
          <w:rFonts w:hint="eastAsia" w:ascii="宋体" w:hAnsi="宋体" w:cs="宋体"/>
          <w:b/>
          <w:color w:val="000000"/>
          <w:sz w:val="24"/>
        </w:rPr>
        <w:t>7、违约责任</w:t>
      </w:r>
    </w:p>
    <w:p>
      <w:pPr>
        <w:spacing w:line="360" w:lineRule="auto"/>
        <w:jc w:val="left"/>
        <w:rPr>
          <w:rFonts w:ascii="宋体" w:hAnsi="宋体" w:cs="宋体"/>
          <w:color w:val="000000"/>
          <w:sz w:val="24"/>
        </w:rPr>
      </w:pPr>
      <w:r>
        <w:rPr>
          <w:rFonts w:hint="eastAsia" w:ascii="宋体" w:hAnsi="宋体" w:cs="宋体"/>
          <w:color w:val="000000"/>
          <w:sz w:val="24"/>
        </w:rPr>
        <w:t>（1）乙方应按照合同规定的时间交货。若乙方未按照本合同约定的期限交货、完成安装调试工作或通过甲方验收合格的，每逾期壹天，乙方应当按照合同总金额的0.</w:t>
      </w:r>
      <w:r>
        <w:rPr>
          <w:rFonts w:ascii="宋体" w:hAnsi="宋体" w:cs="宋体"/>
          <w:color w:val="000000"/>
          <w:sz w:val="24"/>
        </w:rPr>
        <w:t>1</w:t>
      </w:r>
      <w:r>
        <w:rPr>
          <w:rFonts w:hint="eastAsia" w:ascii="宋体" w:hAnsi="宋体" w:cs="宋体"/>
          <w:color w:val="000000"/>
          <w:sz w:val="24"/>
        </w:rPr>
        <w:t xml:space="preserve"> %向甲方支付违约金，直至交货为止。延期达到10天，甲方有权解除合同，乙方需将甲方已支付的货款（如有）一周内退还甲方，并另行承担合同总额5%的违约金。</w:t>
      </w:r>
    </w:p>
    <w:p>
      <w:pPr>
        <w:spacing w:line="360" w:lineRule="auto"/>
        <w:jc w:val="left"/>
        <w:rPr>
          <w:rFonts w:ascii="宋体" w:hAnsi="宋体" w:cs="宋体"/>
          <w:color w:val="000000"/>
          <w:sz w:val="24"/>
        </w:rPr>
      </w:pPr>
      <w:r>
        <w:rPr>
          <w:rFonts w:hint="eastAsia" w:ascii="宋体" w:hAnsi="宋体" w:cs="宋体"/>
          <w:color w:val="000000"/>
          <w:sz w:val="24"/>
        </w:rPr>
        <w:t>（2）合同生效后，在合同履行期间，甲方逾期付款每天应按照逾期未付款项的0.</w:t>
      </w:r>
      <w:r>
        <w:rPr>
          <w:rFonts w:ascii="宋体" w:hAnsi="宋体" w:cs="宋体"/>
          <w:color w:val="000000"/>
          <w:sz w:val="24"/>
        </w:rPr>
        <w:t>1</w:t>
      </w:r>
      <w:r>
        <w:rPr>
          <w:rFonts w:hint="eastAsia" w:ascii="宋体" w:hAnsi="宋体" w:cs="宋体"/>
          <w:color w:val="000000"/>
          <w:sz w:val="24"/>
        </w:rPr>
        <w:t xml:space="preserve"> %作为违约金支付给乙方，最高不超过合同价的20%，并对对方造成的实际损失的进行赔偿。</w:t>
      </w:r>
    </w:p>
    <w:p>
      <w:pPr>
        <w:pStyle w:val="9"/>
        <w:spacing w:line="360" w:lineRule="auto"/>
        <w:jc w:val="left"/>
        <w:rPr>
          <w:rFonts w:hAnsi="宋体" w:cs="宋体"/>
          <w:color w:val="000000"/>
          <w:sz w:val="24"/>
          <w:szCs w:val="24"/>
        </w:rPr>
      </w:pPr>
      <w:r>
        <w:rPr>
          <w:rFonts w:hAnsi="宋体" w:cs="宋体"/>
          <w:color w:val="000000"/>
          <w:sz w:val="24"/>
          <w:szCs w:val="24"/>
        </w:rPr>
        <w:t>（3）乙方所交的产品品种、型号、规格、不符合合同规定标准或乙方不能交付货物的，甲方有权解除本合同，并要求乙方支付【1000】元违约金；若甲方同意接受部分货物，甲方有权依据本合同确定的单价与乙方据实结算，同时要求乙方支付【1000】元的违约金。</w:t>
      </w:r>
    </w:p>
    <w:p>
      <w:pPr>
        <w:spacing w:line="360" w:lineRule="auto"/>
        <w:jc w:val="left"/>
        <w:rPr>
          <w:rFonts w:ascii="宋体" w:hAnsi="宋体" w:cs="宋体"/>
          <w:color w:val="000000"/>
          <w:sz w:val="24"/>
        </w:rPr>
      </w:pPr>
      <w:r>
        <w:rPr>
          <w:rFonts w:hint="eastAsia" w:ascii="宋体" w:hAnsi="宋体" w:cs="宋体"/>
          <w:color w:val="000000"/>
          <w:sz w:val="24"/>
        </w:rPr>
        <w:t xml:space="preserve">（4）甲方到货验收仅是对货物的外观检查，无法确认乙方货物的内在质量，也不免除乙方应该承担的质量保证责任。若甲方在使用或销售本合同货物或含有本合同货物的产品时发现因本合同货物在设计、安装、制造、材料、工艺等方面的货物缺陷、安装的缺陷或货物质量问题等导致的任何问题（包括但不限于任何事故、故障、潜在危险等），乙方仍应承担由此产生的全部责任。 </w:t>
      </w:r>
    </w:p>
    <w:p>
      <w:pPr>
        <w:spacing w:line="360" w:lineRule="auto"/>
        <w:rPr>
          <w:rFonts w:ascii="宋体" w:hAnsi="宋体" w:cs="宋体"/>
          <w:b/>
          <w:color w:val="000000"/>
          <w:sz w:val="24"/>
        </w:rPr>
      </w:pPr>
      <w:r>
        <w:rPr>
          <w:rFonts w:hint="eastAsia" w:ascii="宋体" w:hAnsi="宋体" w:cs="宋体"/>
          <w:b/>
          <w:color w:val="000000"/>
          <w:sz w:val="24"/>
        </w:rPr>
        <w:t>8、不可抗力</w:t>
      </w:r>
    </w:p>
    <w:p>
      <w:pPr>
        <w:spacing w:line="360" w:lineRule="auto"/>
        <w:rPr>
          <w:rFonts w:ascii="宋体" w:hAnsi="宋体" w:cs="宋体"/>
          <w:color w:val="000000"/>
          <w:sz w:val="24"/>
        </w:rPr>
      </w:pPr>
      <w:r>
        <w:rPr>
          <w:rFonts w:hint="eastAsia" w:ascii="宋体" w:hAnsi="宋体" w:cs="宋体"/>
          <w:color w:val="000000"/>
          <w:sz w:val="24"/>
        </w:rPr>
        <w:t>（1）不可抗力的确认</w:t>
      </w:r>
    </w:p>
    <w:p>
      <w:pPr>
        <w:spacing w:line="360" w:lineRule="auto"/>
        <w:rPr>
          <w:rFonts w:ascii="宋体" w:hAnsi="宋体" w:cs="宋体"/>
          <w:color w:val="000000"/>
          <w:sz w:val="24"/>
        </w:rPr>
      </w:pPr>
      <w:r>
        <w:rPr>
          <w:rFonts w:hint="eastAsia" w:ascii="宋体" w:hAnsi="宋体" w:cs="宋体"/>
          <w:color w:val="000000"/>
          <w:sz w:val="24"/>
        </w:rPr>
        <w:t>不可抗力是指乙方和甲方在订立合同时不可预见，在履行合同过程中不可避免发生并不能克服的自然灾害和社会性突发事件，如地震、海啸、瘟疫、水灾、骚乱、暴动、战争等。</w:t>
      </w:r>
    </w:p>
    <w:p>
      <w:pPr>
        <w:spacing w:line="360" w:lineRule="auto"/>
        <w:rPr>
          <w:rFonts w:ascii="宋体" w:hAnsi="宋体" w:cs="宋体"/>
          <w:color w:val="000000"/>
          <w:sz w:val="24"/>
        </w:rPr>
      </w:pPr>
      <w:r>
        <w:rPr>
          <w:rFonts w:hint="eastAsia" w:ascii="宋体" w:hAnsi="宋体" w:cs="宋体"/>
          <w:color w:val="000000"/>
          <w:sz w:val="24"/>
        </w:rPr>
        <w:t>（2）不可抗力发生后，甲方和乙方应及时认真统计所造成的损失，收集不可抗力造成损失的证据。</w:t>
      </w:r>
    </w:p>
    <w:p>
      <w:pPr>
        <w:spacing w:line="360" w:lineRule="auto"/>
        <w:rPr>
          <w:rFonts w:ascii="宋体" w:hAnsi="宋体" w:cs="宋体"/>
          <w:color w:val="000000"/>
          <w:sz w:val="24"/>
        </w:rPr>
      </w:pPr>
      <w:r>
        <w:rPr>
          <w:rFonts w:hint="eastAsia" w:ascii="宋体" w:hAnsi="宋体" w:cs="宋体"/>
          <w:color w:val="000000"/>
          <w:sz w:val="24"/>
        </w:rPr>
        <w:t>（3）不可抗力的通知</w:t>
      </w:r>
    </w:p>
    <w:p>
      <w:pPr>
        <w:spacing w:line="360" w:lineRule="auto"/>
        <w:rPr>
          <w:rFonts w:ascii="宋体" w:hAnsi="宋体" w:cs="宋体"/>
          <w:color w:val="000000"/>
          <w:sz w:val="24"/>
        </w:rPr>
      </w:pPr>
      <w:r>
        <w:rPr>
          <w:rFonts w:hint="eastAsia" w:ascii="宋体" w:hAnsi="宋体" w:cs="宋体"/>
          <w:color w:val="000000"/>
          <w:sz w:val="24"/>
        </w:rPr>
        <w:t>乙方遇到不可抗力事件，使其履行合同义务受到阻碍时，应立即通知甲方并书面说明不可抗力和受阻碍的详细情况，并提供必要的证明。</w:t>
      </w:r>
    </w:p>
    <w:p>
      <w:pPr>
        <w:spacing w:line="360" w:lineRule="auto"/>
        <w:rPr>
          <w:rFonts w:ascii="宋体" w:hAnsi="宋体" w:cs="宋体"/>
          <w:color w:val="000000"/>
          <w:sz w:val="24"/>
        </w:rPr>
      </w:pPr>
      <w:r>
        <w:rPr>
          <w:rFonts w:hint="eastAsia" w:ascii="宋体" w:hAnsi="宋体" w:cs="宋体"/>
          <w:color w:val="000000"/>
          <w:sz w:val="24"/>
        </w:rPr>
        <w:t>（4）不可抗力后果及其处理</w:t>
      </w:r>
    </w:p>
    <w:p>
      <w:pPr>
        <w:spacing w:line="360" w:lineRule="auto"/>
        <w:rPr>
          <w:rFonts w:ascii="宋体" w:hAnsi="宋体" w:cs="宋体"/>
          <w:color w:val="000000"/>
          <w:sz w:val="24"/>
        </w:rPr>
      </w:pPr>
      <w:r>
        <w:rPr>
          <w:rFonts w:hint="eastAsia" w:ascii="宋体" w:hAnsi="宋体" w:cs="宋体"/>
          <w:color w:val="000000"/>
          <w:sz w:val="24"/>
        </w:rPr>
        <w:t>不可抗力导致的人员伤亡、财产损失、费用增加和（或）工期延误等后果均由乙方承担。</w:t>
      </w:r>
    </w:p>
    <w:p>
      <w:pPr>
        <w:spacing w:line="360" w:lineRule="auto"/>
        <w:rPr>
          <w:rFonts w:ascii="宋体" w:hAnsi="宋体" w:cs="宋体"/>
          <w:b/>
          <w:bCs/>
          <w:color w:val="000000"/>
          <w:sz w:val="24"/>
        </w:rPr>
      </w:pPr>
      <w:bookmarkStart w:id="76" w:name="_Toc523826015"/>
      <w:r>
        <w:rPr>
          <w:rFonts w:hint="eastAsia" w:ascii="宋体" w:hAnsi="宋体" w:cs="宋体"/>
          <w:b/>
          <w:bCs/>
          <w:color w:val="000000"/>
          <w:sz w:val="24"/>
        </w:rPr>
        <w:t>9、争议解决</w:t>
      </w:r>
      <w:bookmarkEnd w:id="72"/>
      <w:bookmarkEnd w:id="73"/>
      <w:bookmarkEnd w:id="74"/>
      <w:bookmarkEnd w:id="75"/>
      <w:bookmarkEnd w:id="76"/>
    </w:p>
    <w:p>
      <w:pPr>
        <w:spacing w:line="360" w:lineRule="auto"/>
        <w:rPr>
          <w:rFonts w:ascii="宋体" w:hAnsi="宋体" w:cs="宋体"/>
          <w:color w:val="000000"/>
          <w:sz w:val="24"/>
        </w:rPr>
      </w:pPr>
      <w:r>
        <w:rPr>
          <w:rFonts w:hint="eastAsia" w:ascii="宋体" w:hAnsi="宋体" w:cs="宋体"/>
          <w:color w:val="000000"/>
          <w:sz w:val="24"/>
        </w:rPr>
        <w:t>凡因履行本合同而引起的一切争议或与本合同有关的争议，应由当事各方通过友好协商解决。协商不成时，当事各方同意提交甲方所在地人民法院进行诉讼。</w:t>
      </w:r>
      <w:bookmarkStart w:id="77" w:name="_Toc78604618"/>
      <w:bookmarkStart w:id="78" w:name="_Toc504674073"/>
      <w:bookmarkStart w:id="79" w:name="_Toc509082691"/>
      <w:bookmarkStart w:id="80" w:name="_Toc495585065"/>
    </w:p>
    <w:bookmarkEnd w:id="77"/>
    <w:p>
      <w:pPr>
        <w:spacing w:line="360" w:lineRule="auto"/>
        <w:rPr>
          <w:rFonts w:ascii="宋体" w:hAnsi="宋体" w:cs="宋体"/>
          <w:b/>
          <w:bCs/>
          <w:color w:val="000000"/>
          <w:sz w:val="24"/>
        </w:rPr>
      </w:pPr>
      <w:bookmarkStart w:id="81" w:name="_Toc523826016"/>
      <w:r>
        <w:rPr>
          <w:rFonts w:hint="eastAsia" w:ascii="宋体" w:hAnsi="宋体" w:cs="宋体"/>
          <w:b/>
          <w:bCs/>
          <w:color w:val="000000"/>
          <w:sz w:val="24"/>
        </w:rPr>
        <w:t>10、其他</w:t>
      </w:r>
      <w:bookmarkEnd w:id="78"/>
      <w:bookmarkEnd w:id="79"/>
      <w:bookmarkEnd w:id="80"/>
      <w:bookmarkEnd w:id="81"/>
    </w:p>
    <w:p>
      <w:pPr>
        <w:spacing w:line="360" w:lineRule="auto"/>
        <w:rPr>
          <w:rFonts w:ascii="宋体" w:hAnsi="宋体" w:cs="宋体"/>
          <w:color w:val="000000"/>
          <w:sz w:val="24"/>
        </w:rPr>
      </w:pPr>
      <w:r>
        <w:rPr>
          <w:rFonts w:hint="eastAsia" w:ascii="宋体" w:hAnsi="宋体" w:cs="宋体"/>
          <w:color w:val="000000"/>
          <w:sz w:val="24"/>
        </w:rPr>
        <w:t>1.本项目合同由下列文件组成，均为本合同不可分割的部分：</w:t>
      </w:r>
    </w:p>
    <w:p>
      <w:pPr>
        <w:spacing w:line="360" w:lineRule="auto"/>
        <w:rPr>
          <w:rFonts w:ascii="宋体" w:hAnsi="宋体" w:cs="宋体"/>
          <w:color w:val="000000"/>
          <w:sz w:val="24"/>
        </w:rPr>
      </w:pPr>
      <w:r>
        <w:rPr>
          <w:rFonts w:hint="eastAsia" w:ascii="宋体" w:hAnsi="宋体" w:cs="宋体"/>
          <w:color w:val="000000"/>
          <w:sz w:val="24"/>
        </w:rPr>
        <w:t>（1）本合同执行期间甲、乙双方签署确认的文件（包括会议纪要、补充协议、往来信函及修正文件）；</w:t>
      </w:r>
    </w:p>
    <w:p>
      <w:pPr>
        <w:spacing w:line="360" w:lineRule="auto"/>
        <w:rPr>
          <w:rFonts w:ascii="宋体" w:hAnsi="宋体" w:cs="宋体"/>
          <w:color w:val="000000"/>
          <w:sz w:val="24"/>
        </w:rPr>
      </w:pPr>
      <w:r>
        <w:rPr>
          <w:rFonts w:hint="eastAsia" w:ascii="宋体" w:hAnsi="宋体" w:cs="宋体"/>
          <w:color w:val="000000"/>
          <w:sz w:val="24"/>
        </w:rPr>
        <w:t>（2）本采购合同</w:t>
      </w:r>
    </w:p>
    <w:p>
      <w:pPr>
        <w:spacing w:line="360" w:lineRule="auto"/>
        <w:rPr>
          <w:rFonts w:ascii="宋体" w:hAnsi="宋体" w:cs="宋体"/>
          <w:color w:val="000000"/>
          <w:sz w:val="24"/>
        </w:rPr>
      </w:pPr>
      <w:r>
        <w:rPr>
          <w:rFonts w:hint="eastAsia" w:ascii="宋体" w:hAnsi="宋体" w:cs="宋体"/>
          <w:color w:val="000000"/>
          <w:sz w:val="24"/>
        </w:rPr>
        <w:t>（3）乙方针对本项目的各项制度和规定（包括在本合同签订后的各类新出台的制度和规定）；</w:t>
      </w:r>
    </w:p>
    <w:p>
      <w:pPr>
        <w:spacing w:line="360" w:lineRule="auto"/>
        <w:rPr>
          <w:rFonts w:ascii="宋体" w:hAnsi="宋体" w:cs="宋体"/>
          <w:color w:val="000000"/>
          <w:sz w:val="24"/>
        </w:rPr>
      </w:pPr>
      <w:r>
        <w:rPr>
          <w:rFonts w:hint="eastAsia" w:ascii="宋体" w:hAnsi="宋体" w:cs="宋体"/>
          <w:color w:val="000000"/>
          <w:sz w:val="24"/>
        </w:rPr>
        <w:t>（4）成交通知书；</w:t>
      </w:r>
    </w:p>
    <w:p>
      <w:pPr>
        <w:spacing w:line="360" w:lineRule="auto"/>
        <w:rPr>
          <w:rFonts w:ascii="宋体" w:hAnsi="宋体" w:cs="宋体"/>
          <w:color w:val="000000"/>
          <w:sz w:val="24"/>
        </w:rPr>
      </w:pPr>
      <w:r>
        <w:rPr>
          <w:rFonts w:hint="eastAsia" w:ascii="宋体" w:hAnsi="宋体" w:cs="宋体"/>
          <w:color w:val="000000"/>
          <w:sz w:val="24"/>
        </w:rPr>
        <w:t>（5）采购文件及答疑补遗文件（含采购文件澄清或修正内容、答疑会议纪要等）；</w:t>
      </w:r>
    </w:p>
    <w:p>
      <w:pPr>
        <w:spacing w:line="360" w:lineRule="auto"/>
        <w:rPr>
          <w:rFonts w:ascii="宋体" w:hAnsi="宋体" w:cs="宋体"/>
          <w:color w:val="000000"/>
          <w:sz w:val="24"/>
        </w:rPr>
      </w:pPr>
      <w:r>
        <w:rPr>
          <w:rFonts w:hint="eastAsia" w:ascii="宋体" w:hAnsi="宋体" w:cs="宋体"/>
          <w:color w:val="000000"/>
          <w:sz w:val="24"/>
        </w:rPr>
        <w:t>（6）响应文件及其相关承诺附件（含响应文件澄清）；</w:t>
      </w:r>
    </w:p>
    <w:p>
      <w:pPr>
        <w:spacing w:line="360" w:lineRule="auto"/>
        <w:rPr>
          <w:rFonts w:ascii="宋体" w:hAnsi="宋体" w:cs="宋体"/>
          <w:color w:val="000000"/>
          <w:sz w:val="24"/>
        </w:rPr>
      </w:pPr>
      <w:r>
        <w:rPr>
          <w:rFonts w:hint="eastAsia" w:ascii="宋体" w:hAnsi="宋体" w:cs="宋体"/>
          <w:color w:val="000000"/>
          <w:sz w:val="24"/>
        </w:rPr>
        <w:t>（7）标准、规范及有关技术文件；</w:t>
      </w:r>
    </w:p>
    <w:p>
      <w:pPr>
        <w:spacing w:line="360" w:lineRule="auto"/>
        <w:rPr>
          <w:rFonts w:ascii="宋体" w:hAnsi="宋体" w:cs="宋体"/>
          <w:color w:val="000000"/>
          <w:sz w:val="24"/>
        </w:rPr>
      </w:pPr>
      <w:r>
        <w:rPr>
          <w:rFonts w:hint="eastAsia" w:ascii="宋体" w:hAnsi="宋体" w:cs="宋体"/>
          <w:color w:val="000000"/>
          <w:sz w:val="24"/>
        </w:rPr>
        <w:t>（8）组成合同的其他文件。</w:t>
      </w:r>
    </w:p>
    <w:p>
      <w:pPr>
        <w:spacing w:line="360" w:lineRule="auto"/>
        <w:rPr>
          <w:rFonts w:ascii="宋体" w:hAnsi="宋体" w:cs="宋体"/>
          <w:color w:val="000000"/>
          <w:sz w:val="24"/>
        </w:rPr>
      </w:pPr>
      <w:r>
        <w:rPr>
          <w:rFonts w:hint="eastAsia" w:ascii="宋体" w:hAnsi="宋体" w:cs="宋体"/>
          <w:color w:val="000000"/>
          <w:sz w:val="24"/>
        </w:rPr>
        <w:t>2.所有经双方签署确认的文件（包括会议纪要、补充协议、变更协议等）、采购文件、响应文件和响应承诺文件、合同附件及《成交通知书》均为本合同不可分割的有效组成部分，与本合同具有同等的法律效力和履约义务，其缔约生效日期为有效签署或盖章确认之日。</w:t>
      </w:r>
    </w:p>
    <w:p>
      <w:pPr>
        <w:spacing w:line="360" w:lineRule="auto"/>
        <w:rPr>
          <w:rFonts w:ascii="宋体" w:hAnsi="宋体" w:cs="宋体"/>
          <w:color w:val="000000"/>
          <w:sz w:val="24"/>
        </w:rPr>
      </w:pPr>
      <w:r>
        <w:rPr>
          <w:rFonts w:hint="eastAsia" w:ascii="宋体" w:hAnsi="宋体" w:cs="宋体"/>
          <w:color w:val="000000"/>
          <w:sz w:val="24"/>
        </w:rPr>
        <w:t>3.未经对方的书面同意，无论甲方或乙方均不得转让本合同约定的权利和义务。</w:t>
      </w:r>
    </w:p>
    <w:p>
      <w:pPr>
        <w:spacing w:line="360" w:lineRule="auto"/>
        <w:rPr>
          <w:rFonts w:ascii="宋体" w:hAnsi="宋体" w:cs="宋体"/>
          <w:color w:val="000000"/>
          <w:sz w:val="24"/>
        </w:rPr>
      </w:pPr>
      <w:r>
        <w:rPr>
          <w:rFonts w:hint="eastAsia" w:ascii="宋体" w:hAnsi="宋体" w:cs="宋体"/>
          <w:color w:val="000000"/>
          <w:sz w:val="24"/>
        </w:rPr>
        <w:t>4.各方都应保护对签署和履行本合同而取得的所有任何有关对方的非公开资料。</w:t>
      </w:r>
    </w:p>
    <w:p>
      <w:pPr>
        <w:spacing w:line="360" w:lineRule="auto"/>
        <w:rPr>
          <w:rFonts w:ascii="宋体" w:hAnsi="宋体" w:cs="宋体"/>
          <w:color w:val="000000"/>
          <w:sz w:val="24"/>
        </w:rPr>
      </w:pPr>
      <w:r>
        <w:rPr>
          <w:rFonts w:hint="eastAsia" w:ascii="宋体" w:hAnsi="宋体" w:cs="宋体"/>
          <w:color w:val="000000"/>
          <w:sz w:val="24"/>
        </w:rPr>
        <w:t>5.各方应保证向对方提供的资料和数据不侵犯第三方的知识产权或其他合法权利，因一方提供的资料虚假、错误、或侵犯第三方权利而造成误工、赔偿等损失（包括律师费）的，应当给予充分有效的赔偿。</w:t>
      </w:r>
    </w:p>
    <w:p>
      <w:pPr>
        <w:spacing w:line="360" w:lineRule="auto"/>
        <w:rPr>
          <w:rFonts w:ascii="宋体" w:hAnsi="宋体" w:cs="宋体"/>
          <w:color w:val="000000"/>
          <w:sz w:val="24"/>
        </w:rPr>
      </w:pPr>
      <w:r>
        <w:rPr>
          <w:rFonts w:hint="eastAsia" w:ascii="宋体" w:hAnsi="宋体" w:cs="宋体"/>
          <w:color w:val="000000"/>
          <w:sz w:val="24"/>
        </w:rPr>
        <w:t>6.本合同未尽事宜，合同各方另行商定，必要时签订书面补充协议。</w:t>
      </w:r>
    </w:p>
    <w:p>
      <w:pPr>
        <w:spacing w:line="360" w:lineRule="auto"/>
        <w:rPr>
          <w:rFonts w:ascii="宋体" w:hAnsi="宋体" w:cs="宋体"/>
          <w:color w:val="000000"/>
          <w:sz w:val="24"/>
        </w:rPr>
      </w:pPr>
      <w:r>
        <w:rPr>
          <w:rFonts w:hint="eastAsia" w:ascii="宋体" w:hAnsi="宋体" w:cs="宋体"/>
          <w:color w:val="000000"/>
          <w:sz w:val="24"/>
        </w:rPr>
        <w:t>7.本合同一式</w:t>
      </w:r>
      <w:r>
        <w:rPr>
          <w:rFonts w:hint="eastAsia" w:ascii="宋体" w:hAnsi="宋体" w:cs="宋体"/>
          <w:color w:val="000000"/>
          <w:sz w:val="24"/>
          <w:u w:val="single"/>
        </w:rPr>
        <w:t>叁</w:t>
      </w:r>
      <w:r>
        <w:rPr>
          <w:rFonts w:hint="eastAsia" w:ascii="宋体" w:hAnsi="宋体" w:cs="宋体"/>
          <w:color w:val="000000"/>
          <w:sz w:val="24"/>
        </w:rPr>
        <w:t>份，甲方执</w:t>
      </w:r>
      <w:r>
        <w:rPr>
          <w:rFonts w:hint="eastAsia" w:ascii="宋体" w:hAnsi="宋体" w:cs="宋体"/>
          <w:color w:val="000000"/>
          <w:sz w:val="24"/>
          <w:u w:val="single"/>
        </w:rPr>
        <w:t>壹</w:t>
      </w:r>
      <w:r>
        <w:rPr>
          <w:rFonts w:hint="eastAsia" w:ascii="宋体" w:hAnsi="宋体" w:cs="宋体"/>
          <w:color w:val="000000"/>
          <w:sz w:val="24"/>
        </w:rPr>
        <w:t>份，乙方执</w:t>
      </w:r>
      <w:r>
        <w:rPr>
          <w:rFonts w:hint="eastAsia" w:ascii="宋体" w:hAnsi="宋体" w:cs="宋体"/>
          <w:color w:val="000000"/>
          <w:sz w:val="24"/>
          <w:u w:val="single"/>
        </w:rPr>
        <w:t>壹</w:t>
      </w:r>
      <w:r>
        <w:rPr>
          <w:rFonts w:hint="eastAsia" w:ascii="宋体" w:hAnsi="宋体" w:cs="宋体"/>
          <w:color w:val="000000"/>
          <w:sz w:val="24"/>
        </w:rPr>
        <w:t>份，政府采购代理机构执</w:t>
      </w:r>
      <w:r>
        <w:rPr>
          <w:rFonts w:hint="eastAsia" w:ascii="宋体" w:hAnsi="宋体" w:cs="宋体"/>
          <w:color w:val="000000"/>
          <w:sz w:val="24"/>
          <w:u w:val="single"/>
        </w:rPr>
        <w:t>壹</w:t>
      </w:r>
      <w:r>
        <w:rPr>
          <w:rFonts w:hint="eastAsia" w:ascii="宋体" w:hAnsi="宋体" w:cs="宋体"/>
          <w:color w:val="000000"/>
          <w:sz w:val="24"/>
        </w:rPr>
        <w:t>份。</w:t>
      </w:r>
    </w:p>
    <w:p>
      <w:pPr>
        <w:spacing w:line="360" w:lineRule="auto"/>
        <w:rPr>
          <w:rFonts w:ascii="宋体" w:hAnsi="宋体" w:cs="宋体"/>
          <w:color w:val="000000"/>
          <w:sz w:val="24"/>
          <w:u w:val="single"/>
        </w:rPr>
      </w:pPr>
      <w:r>
        <w:rPr>
          <w:rFonts w:hint="eastAsia" w:ascii="宋体" w:hAnsi="宋体" w:cs="宋体"/>
          <w:color w:val="000000"/>
          <w:sz w:val="24"/>
        </w:rPr>
        <w:t>　　甲　方：</w:t>
      </w:r>
      <w:r>
        <w:rPr>
          <w:rFonts w:hint="eastAsia" w:ascii="宋体" w:hAnsi="宋体" w:cs="宋体"/>
          <w:color w:val="000000"/>
          <w:sz w:val="24"/>
          <w:u w:val="single"/>
        </w:rPr>
        <w:t xml:space="preserve">              </w:t>
      </w:r>
      <w:r>
        <w:rPr>
          <w:rFonts w:hint="eastAsia" w:ascii="宋体" w:hAnsi="宋体" w:cs="宋体"/>
          <w:color w:val="000000"/>
          <w:sz w:val="24"/>
        </w:rPr>
        <w:t xml:space="preserve"> </w:t>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 xml:space="preserve">        </w:t>
      </w:r>
      <w:r>
        <w:rPr>
          <w:rFonts w:hint="eastAsia" w:ascii="宋体" w:hAnsi="宋体" w:cs="宋体"/>
          <w:color w:val="000000"/>
          <w:sz w:val="24"/>
        </w:rPr>
        <w:tab/>
      </w:r>
      <w:r>
        <w:rPr>
          <w:rFonts w:hint="eastAsia" w:ascii="宋体" w:hAnsi="宋体" w:cs="宋体"/>
          <w:color w:val="000000"/>
          <w:sz w:val="24"/>
        </w:rPr>
        <w:t>乙　方：</w:t>
      </w:r>
      <w:r>
        <w:rPr>
          <w:rFonts w:hint="eastAsia" w:ascii="宋体" w:hAnsi="宋体" w:cs="宋体"/>
          <w:color w:val="000000"/>
          <w:sz w:val="24"/>
          <w:u w:val="single"/>
        </w:rPr>
        <w:t xml:space="preserve">               </w:t>
      </w:r>
    </w:p>
    <w:p>
      <w:pPr>
        <w:spacing w:line="360" w:lineRule="auto"/>
        <w:rPr>
          <w:rFonts w:ascii="宋体" w:hAnsi="宋体" w:cs="宋体"/>
          <w:color w:val="000000"/>
          <w:sz w:val="24"/>
        </w:rPr>
      </w:pPr>
      <w:r>
        <w:rPr>
          <w:rFonts w:hint="eastAsia" w:ascii="宋体" w:hAnsi="宋体" w:cs="宋体"/>
          <w:color w:val="000000"/>
          <w:sz w:val="24"/>
        </w:rPr>
        <w:t>　　名　称：(印章）　　　　　　　　       名　称：(印章）</w:t>
      </w:r>
    </w:p>
    <w:p>
      <w:pPr>
        <w:spacing w:line="360" w:lineRule="auto"/>
        <w:ind w:firstLine="480" w:firstLineChars="200"/>
        <w:rPr>
          <w:rFonts w:ascii="宋体" w:hAnsi="宋体" w:cs="宋体"/>
          <w:color w:val="000000"/>
          <w:sz w:val="24"/>
        </w:rPr>
      </w:pPr>
      <w:r>
        <w:rPr>
          <w:rFonts w:hint="eastAsia" w:ascii="宋体" w:hAnsi="宋体" w:cs="宋体"/>
          <w:color w:val="000000"/>
          <w:sz w:val="24"/>
        </w:rPr>
        <w:t>年　月　日　　　　　　　　　          年　月　日</w:t>
      </w:r>
    </w:p>
    <w:p>
      <w:pPr>
        <w:spacing w:line="360" w:lineRule="auto"/>
        <w:rPr>
          <w:rFonts w:ascii="宋体" w:hAnsi="宋体" w:cs="宋体"/>
          <w:color w:val="000000"/>
          <w:sz w:val="24"/>
          <w:u w:val="single"/>
        </w:rPr>
      </w:pPr>
      <w:r>
        <w:rPr>
          <w:rFonts w:hint="eastAsia" w:ascii="宋体" w:hAnsi="宋体" w:cs="宋体"/>
          <w:color w:val="000000"/>
          <w:sz w:val="24"/>
        </w:rPr>
        <w:t>　　授权代表(签字）：</w:t>
      </w:r>
      <w:r>
        <w:rPr>
          <w:rFonts w:hint="eastAsia" w:ascii="宋体" w:hAnsi="宋体" w:cs="宋体"/>
          <w:color w:val="000000"/>
          <w:sz w:val="24"/>
          <w:u w:val="single"/>
        </w:rPr>
        <w:t xml:space="preserve">      </w:t>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 xml:space="preserve">    授权代表(签字）：</w:t>
      </w:r>
      <w:r>
        <w:rPr>
          <w:rFonts w:hint="eastAsia" w:ascii="宋体" w:hAnsi="宋体" w:cs="宋体"/>
          <w:color w:val="000000"/>
          <w:sz w:val="24"/>
          <w:u w:val="single"/>
        </w:rPr>
        <w:t xml:space="preserve">       </w:t>
      </w:r>
    </w:p>
    <w:p>
      <w:pPr>
        <w:spacing w:line="360" w:lineRule="auto"/>
        <w:rPr>
          <w:rFonts w:ascii="宋体" w:hAnsi="宋体" w:cs="宋体"/>
          <w:color w:val="000000"/>
          <w:sz w:val="24"/>
          <w:u w:val="single"/>
        </w:rPr>
      </w:pPr>
      <w:r>
        <w:rPr>
          <w:rFonts w:hint="eastAsia" w:ascii="宋体" w:hAnsi="宋体" w:cs="宋体"/>
          <w:color w:val="000000"/>
          <w:sz w:val="24"/>
        </w:rPr>
        <w:t>　　地　　址：</w:t>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 xml:space="preserve">    地　　址：</w:t>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 xml:space="preserve"> </w:t>
      </w:r>
      <w:r>
        <w:rPr>
          <w:rFonts w:hint="eastAsia" w:ascii="宋体" w:hAnsi="宋体" w:cs="宋体"/>
          <w:color w:val="000000"/>
          <w:sz w:val="24"/>
          <w:u w:val="single"/>
        </w:rPr>
        <w:tab/>
      </w:r>
      <w:r>
        <w:rPr>
          <w:rFonts w:hint="eastAsia" w:ascii="宋体" w:hAnsi="宋体" w:cs="宋体"/>
          <w:color w:val="000000"/>
          <w:sz w:val="24"/>
          <w:u w:val="single"/>
        </w:rPr>
        <w:tab/>
      </w:r>
    </w:p>
    <w:p>
      <w:pPr>
        <w:spacing w:line="360" w:lineRule="auto"/>
        <w:rPr>
          <w:rFonts w:ascii="宋体" w:hAnsi="宋体" w:cs="宋体"/>
          <w:color w:val="000000"/>
          <w:sz w:val="24"/>
          <w:u w:val="single"/>
        </w:rPr>
      </w:pPr>
      <w:r>
        <w:rPr>
          <w:rFonts w:hint="eastAsia" w:ascii="宋体" w:hAnsi="宋体" w:cs="宋体"/>
          <w:color w:val="000000"/>
          <w:sz w:val="24"/>
        </w:rPr>
        <w:t>　　电　　话：</w:t>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 xml:space="preserve">    电　  话：</w:t>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p>
    <w:p>
      <w:pPr>
        <w:rPr>
          <w:color w:val="000000" w:themeColor="text1"/>
        </w:rPr>
      </w:pPr>
      <w:r>
        <w:rPr>
          <w:rFonts w:hint="eastAsia" w:ascii="宋体" w:hAnsi="宋体" w:cs="宋体"/>
          <w:color w:val="000000"/>
          <w:sz w:val="24"/>
        </w:rPr>
        <w:t>开户银行：</w:t>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 xml:space="preserve">    </w:t>
      </w:r>
      <w:r>
        <w:rPr>
          <w:rFonts w:hint="eastAsia" w:ascii="宋体" w:hAnsi="宋体" w:cs="宋体"/>
          <w:i/>
          <w:color w:val="000000"/>
          <w:sz w:val="24"/>
        </w:rPr>
        <w:t xml:space="preserve">           </w:t>
      </w:r>
      <w:r>
        <w:rPr>
          <w:rFonts w:hint="eastAsia" w:ascii="宋体" w:hAnsi="宋体" w:cs="宋体"/>
          <w:color w:val="000000"/>
          <w:sz w:val="24"/>
        </w:rPr>
        <w:t>帐　  号：</w:t>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r>
        <w:rPr>
          <w:color w:val="000000" w:themeColor="text1"/>
        </w:rPr>
        <w:br w:type="page"/>
      </w:r>
    </w:p>
    <w:p>
      <w:pPr>
        <w:pStyle w:val="3"/>
        <w:numPr>
          <w:ilvl w:val="0"/>
          <w:numId w:val="1"/>
        </w:numPr>
        <w:jc w:val="center"/>
        <w:rPr>
          <w:rFonts w:ascii="黑体" w:hAnsi="黑体" w:eastAsia="黑体"/>
          <w:color w:val="000000" w:themeColor="text1"/>
        </w:rPr>
      </w:pPr>
      <w:bookmarkStart w:id="82" w:name="_Toc494664994"/>
      <w:bookmarkStart w:id="83" w:name="_Toc494665547"/>
      <w:bookmarkStart w:id="84" w:name="_Toc494721094"/>
      <w:bookmarkStart w:id="85" w:name="_Toc494665944"/>
      <w:bookmarkStart w:id="86" w:name="_Toc494702264"/>
      <w:bookmarkStart w:id="87" w:name="_Toc30816"/>
      <w:bookmarkStart w:id="88" w:name="_Toc494745311"/>
      <w:r>
        <w:rPr>
          <w:rFonts w:hint="eastAsia" w:ascii="黑体" w:hAnsi="黑体" w:eastAsia="黑体"/>
          <w:color w:val="000000" w:themeColor="text1"/>
        </w:rPr>
        <w:t>投标文件格式（参考）</w:t>
      </w:r>
      <w:bookmarkEnd w:id="82"/>
      <w:bookmarkEnd w:id="83"/>
      <w:bookmarkEnd w:id="84"/>
      <w:bookmarkEnd w:id="85"/>
      <w:bookmarkEnd w:id="86"/>
      <w:bookmarkEnd w:id="87"/>
      <w:bookmarkEnd w:id="88"/>
    </w:p>
    <w:p>
      <w:pPr>
        <w:spacing w:after="780" w:afterLines="250"/>
        <w:jc w:val="center"/>
        <w:rPr>
          <w:rFonts w:ascii="黑体" w:hAnsi="黑体" w:eastAsia="黑体"/>
          <w:b/>
          <w:color w:val="000000" w:themeColor="text1"/>
          <w:sz w:val="56"/>
          <w:szCs w:val="56"/>
        </w:rPr>
      </w:pPr>
      <w:r>
        <w:rPr>
          <w:rFonts w:hint="eastAsia" w:ascii="黑体" w:hAnsi="黑体" w:eastAsia="黑体"/>
          <w:b/>
          <w:color w:val="000000" w:themeColor="text1"/>
          <w:sz w:val="56"/>
          <w:szCs w:val="56"/>
        </w:rPr>
        <w:t>阳新县县级政府采购</w:t>
      </w:r>
    </w:p>
    <w:p>
      <w:pPr>
        <w:spacing w:after="624" w:afterLines="200"/>
        <w:jc w:val="center"/>
        <w:rPr>
          <w:rFonts w:ascii="黑体" w:hAnsi="黑体" w:eastAsia="黑体"/>
          <w:b/>
          <w:color w:val="000000" w:themeColor="text1"/>
          <w:sz w:val="144"/>
          <w:szCs w:val="144"/>
        </w:rPr>
      </w:pPr>
      <w:r>
        <w:rPr>
          <w:rFonts w:hint="eastAsia" w:ascii="黑体" w:hAnsi="黑体" w:eastAsia="黑体"/>
          <w:b/>
          <w:color w:val="000000" w:themeColor="text1"/>
          <w:sz w:val="144"/>
          <w:szCs w:val="144"/>
        </w:rPr>
        <w:t>投 标 文 件</w:t>
      </w:r>
    </w:p>
    <w:p>
      <w:pPr>
        <w:spacing w:after="624" w:afterLines="200"/>
        <w:jc w:val="center"/>
        <w:rPr>
          <w:rFonts w:ascii="黑体" w:hAnsi="黑体" w:eastAsia="黑体"/>
          <w:b/>
          <w:color w:val="000000" w:themeColor="text1"/>
          <w:sz w:val="144"/>
          <w:szCs w:val="144"/>
        </w:rPr>
      </w:pPr>
    </w:p>
    <w:p>
      <w:pPr>
        <w:pStyle w:val="2"/>
        <w:spacing w:before="340" w:after="480" w:line="360" w:lineRule="auto"/>
        <w:jc w:val="center"/>
        <w:rPr>
          <w:rFonts w:cs="Times New Roman" w:asciiTheme="majorEastAsia" w:hAnsiTheme="majorEastAsia"/>
          <w:bCs w:val="0"/>
          <w:color w:val="000000" w:themeColor="text1"/>
          <w:sz w:val="44"/>
          <w:szCs w:val="44"/>
          <w:lang w:val="zh-CN"/>
        </w:rPr>
      </w:pPr>
      <w:bookmarkStart w:id="89" w:name="_Toc3405"/>
      <w:bookmarkStart w:id="90" w:name="_Toc494664995"/>
      <w:bookmarkStart w:id="91" w:name="_Toc494665548"/>
      <w:bookmarkStart w:id="92" w:name="_Toc494702265"/>
      <w:bookmarkStart w:id="93" w:name="_Toc494665945"/>
      <w:bookmarkStart w:id="94" w:name="_Toc494745312"/>
      <w:bookmarkStart w:id="95" w:name="_Toc494721095"/>
      <w:r>
        <w:rPr>
          <w:rFonts w:hint="eastAsia" w:cs="Times New Roman" w:asciiTheme="majorEastAsia" w:hAnsiTheme="majorEastAsia"/>
          <w:bCs w:val="0"/>
          <w:color w:val="000000" w:themeColor="text1"/>
          <w:sz w:val="44"/>
          <w:szCs w:val="44"/>
          <w:lang w:val="zh-CN"/>
        </w:rPr>
        <w:t>第一部分 资格证明文件</w:t>
      </w:r>
      <w:bookmarkEnd w:id="89"/>
      <w:bookmarkEnd w:id="90"/>
      <w:bookmarkEnd w:id="91"/>
      <w:bookmarkEnd w:id="92"/>
      <w:bookmarkEnd w:id="93"/>
      <w:bookmarkEnd w:id="94"/>
      <w:bookmarkEnd w:id="95"/>
    </w:p>
    <w:p>
      <w:pPr>
        <w:spacing w:line="360" w:lineRule="auto"/>
        <w:ind w:left="2051" w:leftChars="619" w:right="1299" w:rightChars="619" w:hanging="752" w:hangingChars="209"/>
        <w:rPr>
          <w:rFonts w:cs="Times New Roman" w:asciiTheme="minorEastAsia" w:hAnsiTheme="minorEastAsia"/>
          <w:bCs/>
          <w:color w:val="000000" w:themeColor="text1"/>
          <w:sz w:val="36"/>
          <w:szCs w:val="24"/>
        </w:rPr>
      </w:pPr>
      <w:r>
        <w:rPr>
          <w:rFonts w:hint="eastAsia" w:cs="Times New Roman" w:asciiTheme="minorEastAsia" w:hAnsiTheme="minorEastAsia"/>
          <w:b/>
          <w:bCs/>
          <w:color w:val="000000" w:themeColor="text1"/>
          <w:sz w:val="36"/>
          <w:szCs w:val="24"/>
        </w:rPr>
        <w:t>项目编号：</w:t>
      </w:r>
    </w:p>
    <w:p>
      <w:pPr>
        <w:spacing w:line="360" w:lineRule="auto"/>
        <w:ind w:left="2051" w:leftChars="619" w:right="1299" w:rightChars="619" w:hanging="752" w:hangingChars="209"/>
        <w:rPr>
          <w:rFonts w:cs="Times New Roman" w:asciiTheme="minorEastAsia" w:hAnsiTheme="minorEastAsia"/>
          <w:b/>
          <w:bCs/>
          <w:color w:val="000000" w:themeColor="text1"/>
          <w:sz w:val="36"/>
          <w:szCs w:val="24"/>
        </w:rPr>
      </w:pPr>
      <w:r>
        <w:rPr>
          <w:rFonts w:hint="eastAsia" w:cs="Times New Roman" w:asciiTheme="minorEastAsia" w:hAnsiTheme="minorEastAsia"/>
          <w:b/>
          <w:bCs/>
          <w:color w:val="000000" w:themeColor="text1"/>
          <w:sz w:val="36"/>
          <w:szCs w:val="24"/>
        </w:rPr>
        <w:t>项目名称：</w:t>
      </w:r>
    </w:p>
    <w:p>
      <w:pPr>
        <w:spacing w:line="360" w:lineRule="auto"/>
        <w:ind w:left="2051" w:leftChars="619" w:right="1299" w:rightChars="619" w:hanging="752" w:hangingChars="209"/>
        <w:rPr>
          <w:rFonts w:cs="Times New Roman" w:asciiTheme="minorEastAsia" w:hAnsiTheme="minorEastAsia"/>
          <w:bCs/>
          <w:color w:val="000000" w:themeColor="text1"/>
          <w:sz w:val="36"/>
          <w:szCs w:val="24"/>
          <w:lang w:val="zh-CN"/>
        </w:rPr>
      </w:pPr>
      <w:r>
        <w:rPr>
          <w:rFonts w:hint="eastAsia" w:cs="Times New Roman" w:asciiTheme="minorEastAsia" w:hAnsiTheme="minorEastAsia"/>
          <w:b/>
          <w:bCs/>
          <w:color w:val="000000" w:themeColor="text1"/>
          <w:sz w:val="36"/>
          <w:szCs w:val="24"/>
        </w:rPr>
        <w:t>采购人：</w:t>
      </w:r>
    </w:p>
    <w:p>
      <w:pPr>
        <w:spacing w:line="360" w:lineRule="auto"/>
        <w:ind w:left="2051" w:leftChars="619" w:right="1299" w:rightChars="619" w:hanging="752" w:hangingChars="209"/>
        <w:rPr>
          <w:rFonts w:cs="Times New Roman" w:asciiTheme="minorEastAsia" w:hAnsiTheme="minorEastAsia"/>
          <w:color w:val="000000" w:themeColor="text1"/>
          <w:sz w:val="36"/>
          <w:szCs w:val="36"/>
        </w:rPr>
      </w:pPr>
      <w:r>
        <w:rPr>
          <w:rFonts w:hint="eastAsia" w:cs="Times New Roman" w:asciiTheme="minorEastAsia" w:hAnsiTheme="minorEastAsia"/>
          <w:b/>
          <w:bCs/>
          <w:color w:val="000000" w:themeColor="text1"/>
          <w:sz w:val="36"/>
          <w:szCs w:val="24"/>
        </w:rPr>
        <w:t>采购内容：</w:t>
      </w:r>
    </w:p>
    <w:p>
      <w:pPr>
        <w:spacing w:line="360" w:lineRule="auto"/>
        <w:ind w:right="1287" w:rightChars="613"/>
        <w:jc w:val="center"/>
        <w:rPr>
          <w:rFonts w:cs="Times New Roman" w:asciiTheme="minorEastAsia" w:hAnsiTheme="minorEastAsia"/>
          <w:b/>
          <w:bCs/>
          <w:color w:val="000000" w:themeColor="text1"/>
          <w:sz w:val="96"/>
          <w:szCs w:val="96"/>
        </w:rPr>
      </w:pPr>
      <w:r>
        <w:rPr>
          <w:rFonts w:hint="eastAsia" w:cs="Times New Roman" w:asciiTheme="minorEastAsia" w:hAnsiTheme="minorEastAsia"/>
          <w:b/>
          <w:bCs/>
          <w:color w:val="000000" w:themeColor="text1"/>
          <w:sz w:val="96"/>
          <w:szCs w:val="96"/>
        </w:rPr>
        <w:t xml:space="preserve">   投标人（盖章）</w:t>
      </w:r>
    </w:p>
    <w:p>
      <w:pPr>
        <w:spacing w:line="360" w:lineRule="auto"/>
        <w:ind w:left="1971" w:leftChars="939" w:right="1287" w:rightChars="613" w:firstLine="1104" w:firstLineChars="345"/>
        <w:rPr>
          <w:rFonts w:cs="Times New Roman" w:asciiTheme="minorEastAsia" w:hAnsiTheme="minorEastAsia"/>
          <w:b/>
          <w:bCs/>
          <w:color w:val="000000" w:themeColor="text1"/>
          <w:sz w:val="32"/>
          <w:szCs w:val="32"/>
        </w:rPr>
      </w:pPr>
      <w:r>
        <w:rPr>
          <w:rFonts w:hint="eastAsia" w:cs="Times New Roman" w:asciiTheme="minorEastAsia" w:hAnsiTheme="minorEastAsia"/>
          <w:b/>
          <w:bCs/>
          <w:color w:val="000000" w:themeColor="text1"/>
          <w:sz w:val="32"/>
          <w:szCs w:val="32"/>
        </w:rPr>
        <w:t>投标人授权代表（签字）：</w:t>
      </w:r>
    </w:p>
    <w:p>
      <w:pPr>
        <w:spacing w:before="312" w:beforeLines="100" w:after="312" w:afterLines="100" w:line="360" w:lineRule="auto"/>
        <w:ind w:left="2256" w:leftChars="466" w:right="466" w:hanging="1278" w:hangingChars="355"/>
        <w:jc w:val="center"/>
        <w:rPr>
          <w:rFonts w:ascii="宋体" w:hAnsi="宋体"/>
          <w:b/>
          <w:color w:val="000000" w:themeColor="text1"/>
          <w:sz w:val="36"/>
          <w:szCs w:val="36"/>
        </w:rPr>
      </w:pPr>
      <w:r>
        <w:rPr>
          <w:rFonts w:hint="eastAsia" w:ascii="宋体" w:hAnsi="宋体" w:eastAsia="宋体" w:cs="Times New Roman"/>
          <w:b/>
          <w:bCs/>
          <w:color w:val="000000" w:themeColor="text1"/>
          <w:sz w:val="36"/>
          <w:szCs w:val="36"/>
        </w:rPr>
        <w:t>二0二0</w:t>
      </w:r>
      <w:r>
        <w:rPr>
          <w:rFonts w:hint="eastAsia" w:ascii="宋体" w:hAnsi="宋体"/>
          <w:b/>
          <w:color w:val="000000" w:themeColor="text1"/>
          <w:sz w:val="36"/>
          <w:szCs w:val="36"/>
        </w:rPr>
        <w:t>年 月</w:t>
      </w:r>
    </w:p>
    <w:p>
      <w:pPr>
        <w:rPr>
          <w:color w:val="000000" w:themeColor="text1"/>
        </w:rPr>
      </w:pPr>
      <w:r>
        <w:rPr>
          <w:color w:val="000000" w:themeColor="text1"/>
        </w:rPr>
        <w:br w:type="page"/>
      </w:r>
    </w:p>
    <w:p>
      <w:pPr>
        <w:spacing w:before="312" w:beforeLines="100" w:line="360" w:lineRule="auto"/>
        <w:jc w:val="left"/>
        <w:rPr>
          <w:rFonts w:ascii="宋体" w:hAnsi="宋体" w:eastAsia="宋体" w:cs="Times New Roman"/>
          <w:b/>
          <w:bCs/>
          <w:color w:val="000000" w:themeColor="text1"/>
          <w:sz w:val="30"/>
          <w:szCs w:val="30"/>
          <w:lang w:val="zh-CN"/>
        </w:rPr>
      </w:pPr>
      <w:r>
        <w:rPr>
          <w:rFonts w:hint="eastAsia" w:ascii="宋体" w:hAnsi="宋体" w:eastAsia="宋体" w:cs="Times New Roman"/>
          <w:b/>
          <w:bCs/>
          <w:color w:val="000000" w:themeColor="text1"/>
          <w:sz w:val="30"/>
          <w:szCs w:val="30"/>
          <w:lang w:val="zh-CN"/>
        </w:rPr>
        <w:t>格式（参考）说明：</w:t>
      </w:r>
    </w:p>
    <w:p>
      <w:pPr>
        <w:spacing w:before="120" w:after="120" w:line="578" w:lineRule="auto"/>
        <w:jc w:val="center"/>
        <w:rPr>
          <w:rFonts w:ascii="黑体" w:hAnsi="黑体" w:eastAsia="黑体" w:cs="Times New Roman"/>
          <w:b/>
          <w:color w:val="000000" w:themeColor="text1"/>
          <w:sz w:val="36"/>
          <w:szCs w:val="36"/>
        </w:rPr>
      </w:pPr>
      <w:bookmarkStart w:id="96" w:name="_Toc494665946"/>
      <w:bookmarkStart w:id="97" w:name="_Toc494702266"/>
      <w:bookmarkStart w:id="98" w:name="_Toc494664996"/>
      <w:bookmarkStart w:id="99" w:name="_Toc494745313"/>
      <w:bookmarkStart w:id="100" w:name="_Toc494721096"/>
      <w:bookmarkStart w:id="101" w:name="_Toc494665549"/>
      <w:r>
        <w:rPr>
          <w:rFonts w:hint="eastAsia" w:ascii="黑体" w:hAnsi="黑体" w:eastAsia="黑体" w:cs="Times New Roman"/>
          <w:b/>
          <w:color w:val="000000" w:themeColor="text1"/>
          <w:sz w:val="36"/>
          <w:szCs w:val="36"/>
        </w:rPr>
        <w:t>资格证明文件组成</w:t>
      </w:r>
      <w:bookmarkEnd w:id="96"/>
      <w:bookmarkEnd w:id="97"/>
      <w:bookmarkEnd w:id="98"/>
      <w:bookmarkEnd w:id="99"/>
      <w:bookmarkEnd w:id="100"/>
      <w:bookmarkEnd w:id="101"/>
    </w:p>
    <w:p>
      <w:pPr>
        <w:autoSpaceDE w:val="0"/>
        <w:autoSpaceDN w:val="0"/>
        <w:adjustRightInd w:val="0"/>
        <w:spacing w:before="156" w:beforeLines="50" w:after="156" w:afterLines="50" w:line="360" w:lineRule="auto"/>
        <w:ind w:firstLine="480" w:firstLineChars="200"/>
        <w:rPr>
          <w:rFonts w:ascii="宋体" w:hAnsi="宋体" w:eastAsia="宋体" w:cs="Times New Roman"/>
          <w:color w:val="000000" w:themeColor="text1"/>
          <w:kern w:val="0"/>
          <w:sz w:val="24"/>
          <w:szCs w:val="32"/>
        </w:rPr>
      </w:pPr>
      <w:r>
        <w:rPr>
          <w:rFonts w:hint="eastAsia" w:ascii="宋体" w:hAnsi="宋体" w:eastAsia="宋体" w:cs="Times New Roman"/>
          <w:color w:val="000000" w:themeColor="text1"/>
          <w:kern w:val="0"/>
          <w:sz w:val="24"/>
          <w:szCs w:val="32"/>
        </w:rPr>
        <w:t>由各投标人根据参考格式要求自行编写。目录清晰、内容详尽、易于理解和审查。具体内容应包括但不限于以下内容：</w:t>
      </w:r>
    </w:p>
    <w:p>
      <w:pPr>
        <w:numPr>
          <w:ilvl w:val="0"/>
          <w:numId w:val="54"/>
        </w:numPr>
        <w:autoSpaceDE w:val="0"/>
        <w:autoSpaceDN w:val="0"/>
        <w:adjustRightInd w:val="0"/>
        <w:spacing w:line="360" w:lineRule="auto"/>
        <w:ind w:left="490" w:hanging="370"/>
        <w:rPr>
          <w:rFonts w:ascii="宋体" w:hAnsi="宋体" w:eastAsia="宋体" w:cs="Times New Roman"/>
          <w:color w:val="000000" w:themeColor="text1"/>
          <w:kern w:val="0"/>
          <w:sz w:val="24"/>
          <w:szCs w:val="32"/>
        </w:rPr>
      </w:pPr>
      <w:r>
        <w:rPr>
          <w:rFonts w:hint="eastAsia" w:ascii="宋体" w:hAnsi="宋体" w:eastAsia="宋体" w:cs="Times New Roman"/>
          <w:color w:val="000000" w:themeColor="text1"/>
          <w:kern w:val="0"/>
          <w:sz w:val="24"/>
          <w:szCs w:val="32"/>
        </w:rPr>
        <w:t>资格证明文件目录</w:t>
      </w:r>
      <w:r>
        <w:rPr>
          <w:rFonts w:hint="eastAsia" w:ascii="宋体" w:hAnsi="宋体" w:eastAsia="宋体" w:cs="Times New Roman"/>
          <w:b/>
          <w:color w:val="000000" w:themeColor="text1"/>
          <w:kern w:val="0"/>
          <w:sz w:val="24"/>
          <w:szCs w:val="32"/>
        </w:rPr>
        <w:t>（目录应涵盖下述所有资料，页码清晰以便查阅）</w:t>
      </w:r>
      <w:r>
        <w:rPr>
          <w:rFonts w:hint="eastAsia" w:ascii="宋体" w:hAnsi="宋体" w:eastAsia="宋体" w:cs="Times New Roman"/>
          <w:color w:val="000000" w:themeColor="text1"/>
          <w:kern w:val="0"/>
          <w:sz w:val="24"/>
          <w:szCs w:val="32"/>
        </w:rPr>
        <w:t>；</w:t>
      </w:r>
    </w:p>
    <w:p>
      <w:pPr>
        <w:numPr>
          <w:ilvl w:val="0"/>
          <w:numId w:val="54"/>
        </w:numPr>
        <w:autoSpaceDE w:val="0"/>
        <w:autoSpaceDN w:val="0"/>
        <w:adjustRightInd w:val="0"/>
        <w:spacing w:line="360" w:lineRule="auto"/>
        <w:ind w:left="490" w:hanging="370"/>
        <w:rPr>
          <w:rFonts w:ascii="宋体" w:hAnsi="宋体" w:eastAsia="宋体" w:cs="Times New Roman"/>
          <w:b/>
          <w:color w:val="000000" w:themeColor="text1"/>
          <w:kern w:val="0"/>
          <w:sz w:val="24"/>
          <w:szCs w:val="32"/>
        </w:rPr>
      </w:pPr>
      <w:r>
        <w:rPr>
          <w:rFonts w:hint="eastAsia" w:ascii="宋体" w:hAnsi="宋体"/>
          <w:color w:val="000000" w:themeColor="text1"/>
          <w:kern w:val="0"/>
          <w:sz w:val="24"/>
          <w:szCs w:val="32"/>
        </w:rPr>
        <w:t>应具备《政府采购法》第二十二条第一款规定的条件，提供下列材料：</w:t>
      </w:r>
    </w:p>
    <w:p>
      <w:pPr>
        <w:pStyle w:val="26"/>
        <w:numPr>
          <w:ilvl w:val="0"/>
          <w:numId w:val="55"/>
        </w:numPr>
        <w:autoSpaceDE w:val="0"/>
        <w:autoSpaceDN w:val="0"/>
        <w:adjustRightInd w:val="0"/>
        <w:spacing w:line="360" w:lineRule="auto"/>
        <w:ind w:hanging="260" w:firstLineChars="0"/>
        <w:rPr>
          <w:rFonts w:ascii="宋体" w:hAnsi="宋体" w:eastAsia="宋体" w:cs="Times New Roman"/>
          <w:color w:val="000000" w:themeColor="text1"/>
          <w:kern w:val="0"/>
          <w:sz w:val="24"/>
          <w:szCs w:val="32"/>
        </w:rPr>
      </w:pPr>
      <w:r>
        <w:rPr>
          <w:rFonts w:hint="eastAsia" w:ascii="宋体" w:hAnsi="宋体" w:eastAsia="宋体" w:cs="Times New Roman"/>
          <w:color w:val="000000" w:themeColor="text1"/>
          <w:kern w:val="0"/>
          <w:sz w:val="24"/>
          <w:szCs w:val="32"/>
        </w:rPr>
        <w:t>法人或者其他组织的营业执照等证明文件，自然人的身份证明；</w:t>
      </w:r>
    </w:p>
    <w:p>
      <w:pPr>
        <w:pStyle w:val="26"/>
        <w:numPr>
          <w:ilvl w:val="0"/>
          <w:numId w:val="55"/>
        </w:numPr>
        <w:autoSpaceDE w:val="0"/>
        <w:autoSpaceDN w:val="0"/>
        <w:adjustRightInd w:val="0"/>
        <w:spacing w:line="360" w:lineRule="auto"/>
        <w:ind w:hanging="260" w:firstLineChars="0"/>
        <w:rPr>
          <w:rFonts w:ascii="宋体" w:hAnsi="宋体" w:eastAsia="宋体" w:cs="Times New Roman"/>
          <w:color w:val="000000" w:themeColor="text1"/>
          <w:kern w:val="0"/>
          <w:sz w:val="24"/>
          <w:szCs w:val="32"/>
        </w:rPr>
      </w:pPr>
      <w:r>
        <w:rPr>
          <w:rFonts w:hint="eastAsia" w:ascii="宋体" w:hAnsi="宋体" w:eastAsia="宋体" w:cs="Times New Roman"/>
          <w:color w:val="000000" w:themeColor="text1"/>
          <w:kern w:val="0"/>
          <w:sz w:val="24"/>
          <w:szCs w:val="32"/>
        </w:rPr>
        <w:t>财务状况报告，依法缴纳税收和社会保障资金的相关材料；</w:t>
      </w:r>
    </w:p>
    <w:p>
      <w:pPr>
        <w:pStyle w:val="26"/>
        <w:numPr>
          <w:ilvl w:val="0"/>
          <w:numId w:val="55"/>
        </w:numPr>
        <w:autoSpaceDE w:val="0"/>
        <w:autoSpaceDN w:val="0"/>
        <w:adjustRightInd w:val="0"/>
        <w:spacing w:line="360" w:lineRule="auto"/>
        <w:ind w:hanging="260" w:firstLineChars="0"/>
        <w:rPr>
          <w:rFonts w:ascii="宋体" w:hAnsi="宋体" w:eastAsia="宋体" w:cs="Times New Roman"/>
          <w:color w:val="000000" w:themeColor="text1"/>
          <w:kern w:val="0"/>
          <w:sz w:val="24"/>
          <w:szCs w:val="32"/>
        </w:rPr>
      </w:pPr>
      <w:r>
        <w:rPr>
          <w:rFonts w:hint="eastAsia" w:ascii="宋体" w:hAnsi="宋体" w:eastAsia="宋体" w:cs="Times New Roman"/>
          <w:color w:val="000000" w:themeColor="text1"/>
          <w:kern w:val="0"/>
          <w:sz w:val="24"/>
          <w:szCs w:val="32"/>
        </w:rPr>
        <w:t>具备履行合同所必需的设备和专业技术能力的证明材料；</w:t>
      </w:r>
    </w:p>
    <w:p>
      <w:pPr>
        <w:pStyle w:val="26"/>
        <w:numPr>
          <w:ilvl w:val="0"/>
          <w:numId w:val="55"/>
        </w:numPr>
        <w:autoSpaceDE w:val="0"/>
        <w:autoSpaceDN w:val="0"/>
        <w:adjustRightInd w:val="0"/>
        <w:spacing w:line="360" w:lineRule="auto"/>
        <w:ind w:hanging="260" w:firstLineChars="0"/>
        <w:rPr>
          <w:rFonts w:ascii="宋体" w:hAnsi="宋体" w:eastAsia="宋体" w:cs="Times New Roman"/>
          <w:color w:val="000000" w:themeColor="text1"/>
          <w:kern w:val="0"/>
          <w:sz w:val="24"/>
          <w:szCs w:val="32"/>
        </w:rPr>
      </w:pPr>
      <w:r>
        <w:rPr>
          <w:rFonts w:hint="eastAsia" w:ascii="宋体" w:hAnsi="宋体" w:eastAsia="宋体" w:cs="Times New Roman"/>
          <w:color w:val="000000" w:themeColor="text1"/>
          <w:kern w:val="0"/>
          <w:sz w:val="24"/>
          <w:szCs w:val="32"/>
        </w:rPr>
        <w:t>参加政府采购活动前3年内在经营活动中没有重大违法记录的书面声明；</w:t>
      </w:r>
    </w:p>
    <w:p>
      <w:pPr>
        <w:pStyle w:val="26"/>
        <w:numPr>
          <w:ilvl w:val="0"/>
          <w:numId w:val="55"/>
        </w:numPr>
        <w:autoSpaceDE w:val="0"/>
        <w:autoSpaceDN w:val="0"/>
        <w:adjustRightInd w:val="0"/>
        <w:spacing w:line="360" w:lineRule="auto"/>
        <w:ind w:hanging="260" w:firstLineChars="0"/>
        <w:rPr>
          <w:rFonts w:ascii="宋体" w:hAnsi="宋体" w:eastAsia="宋体" w:cs="Times New Roman"/>
          <w:color w:val="000000" w:themeColor="text1"/>
          <w:kern w:val="0"/>
          <w:sz w:val="24"/>
          <w:szCs w:val="32"/>
        </w:rPr>
      </w:pPr>
      <w:r>
        <w:rPr>
          <w:rFonts w:hint="eastAsia" w:ascii="宋体" w:hAnsi="宋体" w:eastAsia="宋体" w:cs="Times New Roman"/>
          <w:color w:val="000000" w:themeColor="text1"/>
          <w:kern w:val="0"/>
          <w:sz w:val="24"/>
          <w:szCs w:val="32"/>
        </w:rPr>
        <w:t>具备法律、行政法规规定的其他条件的证明材料；</w:t>
      </w:r>
    </w:p>
    <w:p>
      <w:pPr>
        <w:numPr>
          <w:ilvl w:val="0"/>
          <w:numId w:val="54"/>
        </w:numPr>
        <w:autoSpaceDE w:val="0"/>
        <w:autoSpaceDN w:val="0"/>
        <w:adjustRightInd w:val="0"/>
        <w:spacing w:line="360" w:lineRule="auto"/>
        <w:ind w:left="490" w:hanging="370"/>
        <w:rPr>
          <w:rFonts w:ascii="宋体" w:hAnsi="宋体" w:eastAsia="宋体" w:cs="Courier New"/>
          <w:color w:val="000000" w:themeColor="text1"/>
          <w:sz w:val="24"/>
          <w:szCs w:val="24"/>
        </w:rPr>
      </w:pPr>
      <w:r>
        <w:rPr>
          <w:rFonts w:hint="eastAsia" w:ascii="宋体" w:hAnsi="宋体" w:eastAsia="宋体" w:cs="Courier New"/>
          <w:color w:val="000000" w:themeColor="text1"/>
          <w:sz w:val="24"/>
          <w:szCs w:val="24"/>
        </w:rPr>
        <w:t>未被“信用中国”网站(www.creditchina.gov.cn)列入失信被执行人、重大税收违法案件当事人名单、政府采购严重违法失信行为记录名单的书面申明及该网站查询结果页面截图；</w:t>
      </w:r>
    </w:p>
    <w:p>
      <w:pPr>
        <w:numPr>
          <w:ilvl w:val="0"/>
          <w:numId w:val="54"/>
        </w:numPr>
        <w:autoSpaceDE w:val="0"/>
        <w:autoSpaceDN w:val="0"/>
        <w:adjustRightInd w:val="0"/>
        <w:spacing w:line="360" w:lineRule="auto"/>
        <w:ind w:left="490" w:hanging="370"/>
        <w:rPr>
          <w:rFonts w:ascii="宋体" w:hAnsi="宋体" w:eastAsia="宋体" w:cs="Courier New"/>
          <w:color w:val="000000" w:themeColor="text1"/>
          <w:sz w:val="24"/>
          <w:szCs w:val="24"/>
        </w:rPr>
      </w:pPr>
      <w:r>
        <w:rPr>
          <w:rFonts w:hint="eastAsia" w:ascii="宋体" w:hAnsi="宋体" w:eastAsia="宋体" w:cs="Courier New"/>
          <w:color w:val="000000" w:themeColor="text1"/>
          <w:sz w:val="24"/>
          <w:szCs w:val="24"/>
        </w:rPr>
        <w:t>招标文件第一章“投标人资格要求”中有特殊要求的，投标人应提供其符合特殊要求的证明材料或者情况说明；</w:t>
      </w:r>
    </w:p>
    <w:p>
      <w:pPr>
        <w:numPr>
          <w:ilvl w:val="0"/>
          <w:numId w:val="54"/>
        </w:numPr>
        <w:autoSpaceDE w:val="0"/>
        <w:autoSpaceDN w:val="0"/>
        <w:adjustRightInd w:val="0"/>
        <w:spacing w:line="360" w:lineRule="auto"/>
        <w:ind w:left="490" w:hanging="370"/>
        <w:rPr>
          <w:rFonts w:ascii="宋体" w:hAnsi="宋体" w:eastAsia="宋体" w:cs="Courier New"/>
          <w:color w:val="000000" w:themeColor="text1"/>
          <w:sz w:val="24"/>
          <w:szCs w:val="24"/>
        </w:rPr>
      </w:pPr>
      <w:r>
        <w:rPr>
          <w:rFonts w:hint="eastAsia" w:ascii="宋体" w:hAnsi="宋体" w:eastAsia="宋体" w:cs="Courier New"/>
          <w:color w:val="000000" w:themeColor="text1"/>
          <w:sz w:val="24"/>
          <w:szCs w:val="24"/>
        </w:rPr>
        <w:t>不符合联合体投标相关规定和要求的（适用于接受联合体投标的项目）；</w:t>
      </w:r>
    </w:p>
    <w:p>
      <w:pPr>
        <w:numPr>
          <w:ilvl w:val="0"/>
          <w:numId w:val="54"/>
        </w:numPr>
        <w:autoSpaceDE w:val="0"/>
        <w:autoSpaceDN w:val="0"/>
        <w:adjustRightInd w:val="0"/>
        <w:spacing w:line="360" w:lineRule="auto"/>
        <w:ind w:left="490" w:hanging="370"/>
        <w:rPr>
          <w:rFonts w:ascii="宋体" w:hAnsi="宋体" w:eastAsia="宋体" w:cs="Courier New"/>
          <w:color w:val="000000" w:themeColor="text1"/>
          <w:sz w:val="24"/>
          <w:szCs w:val="24"/>
        </w:rPr>
      </w:pPr>
      <w:r>
        <w:rPr>
          <w:rFonts w:hint="eastAsia" w:ascii="宋体" w:hAnsi="宋体" w:eastAsia="宋体" w:cs="Courier New"/>
          <w:color w:val="000000" w:themeColor="text1"/>
          <w:sz w:val="24"/>
          <w:szCs w:val="24"/>
        </w:rPr>
        <w:t>投标人认为需提供的其它相关资格证明材料。</w:t>
      </w:r>
    </w:p>
    <w:p>
      <w:pPr>
        <w:autoSpaceDE w:val="0"/>
        <w:autoSpaceDN w:val="0"/>
        <w:adjustRightInd w:val="0"/>
        <w:spacing w:line="400" w:lineRule="exact"/>
        <w:ind w:left="490"/>
        <w:rPr>
          <w:rFonts w:ascii="Calibri" w:hAnsi="宋体" w:eastAsia="宋体" w:cs="Times New Roman"/>
          <w:color w:val="000000" w:themeColor="text1"/>
          <w:sz w:val="24"/>
          <w:szCs w:val="24"/>
        </w:rPr>
      </w:pPr>
    </w:p>
    <w:p>
      <w:pPr>
        <w:autoSpaceDE w:val="0"/>
        <w:autoSpaceDN w:val="0"/>
        <w:adjustRightInd w:val="0"/>
        <w:spacing w:line="400" w:lineRule="exact"/>
        <w:ind w:left="490"/>
        <w:rPr>
          <w:rFonts w:ascii="Calibri" w:hAnsi="宋体" w:eastAsia="宋体" w:cs="Times New Roman"/>
          <w:color w:val="000000" w:themeColor="text1"/>
          <w:sz w:val="24"/>
          <w:szCs w:val="24"/>
        </w:rPr>
      </w:pPr>
    </w:p>
    <w:p>
      <w:pPr>
        <w:rPr>
          <w:color w:val="000000" w:themeColor="text1"/>
        </w:rPr>
      </w:pPr>
      <w:r>
        <w:rPr>
          <w:rFonts w:hint="eastAsia" w:ascii="宋体" w:hAnsi="宋体" w:eastAsia="宋体" w:cs="Times New Roman"/>
          <w:color w:val="000000" w:themeColor="text1"/>
          <w:sz w:val="24"/>
          <w:szCs w:val="24"/>
        </w:rPr>
        <w:t>说明：资格证明文件正本应为清晰彩色影印件且加盖单位公章，否则</w:t>
      </w:r>
      <w:r>
        <w:rPr>
          <w:rFonts w:hint="eastAsia" w:ascii="Helvetica" w:hAnsi="Helvetica" w:eastAsia="宋体" w:cs="Helvetica"/>
          <w:color w:val="000000" w:themeColor="text1"/>
          <w:kern w:val="0"/>
          <w:sz w:val="24"/>
          <w:szCs w:val="24"/>
        </w:rPr>
        <w:t>按照</w:t>
      </w:r>
      <w:r>
        <w:rPr>
          <w:rFonts w:hint="eastAsia" w:ascii="Helvetica" w:hAnsi="Helvetica" w:eastAsia="宋体" w:cs="Helvetica"/>
          <w:b/>
          <w:color w:val="000000" w:themeColor="text1"/>
          <w:kern w:val="0"/>
          <w:sz w:val="24"/>
          <w:szCs w:val="24"/>
        </w:rPr>
        <w:t>无效投标处理</w:t>
      </w:r>
      <w:r>
        <w:rPr>
          <w:rFonts w:hint="eastAsia" w:ascii="宋体" w:hAnsi="宋体" w:eastAsia="宋体" w:cs="Times New Roman"/>
          <w:b/>
          <w:color w:val="000000" w:themeColor="text1"/>
          <w:sz w:val="24"/>
          <w:szCs w:val="24"/>
        </w:rPr>
        <w:t>。</w:t>
      </w:r>
    </w:p>
    <w:p>
      <w:pPr>
        <w:rPr>
          <w:color w:val="000000" w:themeColor="text1"/>
        </w:rPr>
      </w:pPr>
      <w:r>
        <w:rPr>
          <w:color w:val="000000" w:themeColor="text1"/>
        </w:rPr>
        <w:br w:type="page"/>
      </w:r>
    </w:p>
    <w:p>
      <w:pPr>
        <w:spacing w:before="312" w:beforeLines="100" w:after="780" w:afterLines="250"/>
        <w:jc w:val="center"/>
        <w:rPr>
          <w:rFonts w:ascii="黑体" w:hAnsi="黑体" w:eastAsia="黑体"/>
          <w:b/>
          <w:color w:val="000000" w:themeColor="text1"/>
          <w:sz w:val="72"/>
          <w:szCs w:val="72"/>
        </w:rPr>
      </w:pPr>
      <w:r>
        <w:rPr>
          <w:rFonts w:hint="eastAsia" w:ascii="黑体" w:hAnsi="黑体" w:eastAsia="黑体"/>
          <w:b/>
          <w:color w:val="000000" w:themeColor="text1"/>
          <w:sz w:val="72"/>
          <w:szCs w:val="72"/>
        </w:rPr>
        <w:t>阳新县县级政府采购</w:t>
      </w:r>
    </w:p>
    <w:p>
      <w:pPr>
        <w:spacing w:after="624" w:afterLines="200"/>
        <w:jc w:val="center"/>
        <w:rPr>
          <w:rFonts w:ascii="黑体" w:hAnsi="黑体" w:eastAsia="黑体"/>
          <w:b/>
          <w:color w:val="000000" w:themeColor="text1"/>
          <w:sz w:val="144"/>
          <w:szCs w:val="144"/>
        </w:rPr>
      </w:pPr>
      <w:r>
        <w:rPr>
          <w:rFonts w:hint="eastAsia" w:ascii="黑体" w:hAnsi="黑体" w:eastAsia="黑体"/>
          <w:b/>
          <w:color w:val="000000" w:themeColor="text1"/>
          <w:sz w:val="144"/>
          <w:szCs w:val="144"/>
        </w:rPr>
        <w:t>投 标 文 件</w:t>
      </w:r>
    </w:p>
    <w:p>
      <w:pPr>
        <w:pStyle w:val="2"/>
        <w:spacing w:before="340" w:after="480" w:line="360" w:lineRule="auto"/>
        <w:jc w:val="center"/>
        <w:rPr>
          <w:rFonts w:cs="Times New Roman" w:asciiTheme="majorEastAsia" w:hAnsiTheme="majorEastAsia"/>
          <w:bCs w:val="0"/>
          <w:color w:val="000000" w:themeColor="text1"/>
          <w:sz w:val="44"/>
          <w:szCs w:val="44"/>
          <w:lang w:val="zh-CN"/>
        </w:rPr>
      </w:pPr>
      <w:bookmarkStart w:id="102" w:name="_Toc494665550"/>
      <w:bookmarkStart w:id="103" w:name="_Toc494721097"/>
      <w:bookmarkStart w:id="104" w:name="_Toc494745314"/>
      <w:bookmarkStart w:id="105" w:name="_Toc494664997"/>
      <w:bookmarkStart w:id="106" w:name="_Toc494665947"/>
      <w:bookmarkStart w:id="107" w:name="_Toc494702267"/>
    </w:p>
    <w:p>
      <w:pPr>
        <w:pStyle w:val="2"/>
        <w:spacing w:before="340" w:after="480" w:line="360" w:lineRule="auto"/>
        <w:jc w:val="center"/>
        <w:rPr>
          <w:rFonts w:cs="Times New Roman" w:asciiTheme="majorEastAsia" w:hAnsiTheme="majorEastAsia"/>
          <w:bCs w:val="0"/>
          <w:color w:val="000000" w:themeColor="text1"/>
          <w:sz w:val="44"/>
          <w:szCs w:val="44"/>
          <w:lang w:val="zh-CN"/>
        </w:rPr>
      </w:pPr>
    </w:p>
    <w:p>
      <w:pPr>
        <w:pStyle w:val="2"/>
        <w:spacing w:before="340" w:after="480" w:line="360" w:lineRule="auto"/>
        <w:jc w:val="center"/>
        <w:rPr>
          <w:rFonts w:cs="Times New Roman" w:asciiTheme="majorEastAsia" w:hAnsiTheme="majorEastAsia"/>
          <w:bCs w:val="0"/>
          <w:color w:val="000000" w:themeColor="text1"/>
          <w:sz w:val="44"/>
          <w:szCs w:val="44"/>
          <w:lang w:val="zh-CN"/>
        </w:rPr>
      </w:pPr>
    </w:p>
    <w:p>
      <w:pPr>
        <w:pStyle w:val="2"/>
        <w:spacing w:before="340" w:after="480" w:line="360" w:lineRule="auto"/>
        <w:jc w:val="center"/>
        <w:rPr>
          <w:rFonts w:cs="Times New Roman" w:asciiTheme="majorEastAsia" w:hAnsiTheme="majorEastAsia"/>
          <w:bCs w:val="0"/>
          <w:color w:val="000000" w:themeColor="text1"/>
          <w:sz w:val="44"/>
          <w:szCs w:val="44"/>
          <w:lang w:val="zh-CN"/>
        </w:rPr>
      </w:pPr>
      <w:bookmarkStart w:id="108" w:name="_Toc7956"/>
      <w:r>
        <w:rPr>
          <w:rFonts w:hint="eastAsia" w:cs="Times New Roman" w:asciiTheme="majorEastAsia" w:hAnsiTheme="majorEastAsia"/>
          <w:bCs w:val="0"/>
          <w:color w:val="000000" w:themeColor="text1"/>
          <w:sz w:val="44"/>
          <w:szCs w:val="44"/>
          <w:lang w:val="zh-CN"/>
        </w:rPr>
        <w:t>第二部分 商务文件</w:t>
      </w:r>
      <w:bookmarkEnd w:id="102"/>
      <w:bookmarkEnd w:id="103"/>
      <w:bookmarkEnd w:id="104"/>
      <w:bookmarkEnd w:id="105"/>
      <w:bookmarkEnd w:id="106"/>
      <w:bookmarkEnd w:id="107"/>
      <w:bookmarkEnd w:id="108"/>
    </w:p>
    <w:p>
      <w:pPr>
        <w:spacing w:line="360" w:lineRule="auto"/>
        <w:ind w:left="2051" w:leftChars="619" w:right="1299" w:rightChars="619" w:hanging="752" w:hangingChars="209"/>
        <w:rPr>
          <w:rFonts w:cs="Times New Roman" w:asciiTheme="minorEastAsia" w:hAnsiTheme="minorEastAsia"/>
          <w:bCs/>
          <w:color w:val="000000" w:themeColor="text1"/>
          <w:sz w:val="36"/>
          <w:szCs w:val="24"/>
        </w:rPr>
      </w:pPr>
      <w:r>
        <w:rPr>
          <w:rFonts w:hint="eastAsia" w:cs="Times New Roman" w:asciiTheme="minorEastAsia" w:hAnsiTheme="minorEastAsia"/>
          <w:b/>
          <w:bCs/>
          <w:color w:val="000000" w:themeColor="text1"/>
          <w:sz w:val="36"/>
          <w:szCs w:val="24"/>
        </w:rPr>
        <w:t>项目编号：</w:t>
      </w:r>
    </w:p>
    <w:p>
      <w:pPr>
        <w:spacing w:line="360" w:lineRule="auto"/>
        <w:ind w:left="2051" w:leftChars="619" w:right="1299" w:rightChars="619" w:hanging="752" w:hangingChars="209"/>
        <w:rPr>
          <w:rFonts w:cs="Times New Roman" w:asciiTheme="minorEastAsia" w:hAnsiTheme="minorEastAsia"/>
          <w:b/>
          <w:bCs/>
          <w:color w:val="000000" w:themeColor="text1"/>
          <w:sz w:val="36"/>
          <w:szCs w:val="24"/>
        </w:rPr>
      </w:pPr>
      <w:r>
        <w:rPr>
          <w:rFonts w:hint="eastAsia" w:cs="Times New Roman" w:asciiTheme="minorEastAsia" w:hAnsiTheme="minorEastAsia"/>
          <w:b/>
          <w:bCs/>
          <w:color w:val="000000" w:themeColor="text1"/>
          <w:sz w:val="36"/>
          <w:szCs w:val="24"/>
        </w:rPr>
        <w:t>项目名称：</w:t>
      </w:r>
    </w:p>
    <w:p>
      <w:pPr>
        <w:spacing w:line="360" w:lineRule="auto"/>
        <w:ind w:left="2051" w:leftChars="619" w:right="1299" w:rightChars="619" w:hanging="752" w:hangingChars="209"/>
        <w:rPr>
          <w:rFonts w:cs="Times New Roman" w:asciiTheme="minorEastAsia" w:hAnsiTheme="minorEastAsia"/>
          <w:bCs/>
          <w:color w:val="000000" w:themeColor="text1"/>
          <w:sz w:val="36"/>
          <w:szCs w:val="24"/>
          <w:lang w:val="zh-CN"/>
        </w:rPr>
      </w:pPr>
      <w:r>
        <w:rPr>
          <w:rFonts w:hint="eastAsia" w:cs="Times New Roman" w:asciiTheme="minorEastAsia" w:hAnsiTheme="minorEastAsia"/>
          <w:b/>
          <w:bCs/>
          <w:color w:val="000000" w:themeColor="text1"/>
          <w:sz w:val="36"/>
          <w:szCs w:val="24"/>
        </w:rPr>
        <w:t>采购人：</w:t>
      </w:r>
    </w:p>
    <w:p>
      <w:pPr>
        <w:spacing w:line="360" w:lineRule="auto"/>
        <w:ind w:left="2051" w:leftChars="619" w:right="1299" w:rightChars="619" w:hanging="752" w:hangingChars="209"/>
        <w:rPr>
          <w:rFonts w:cs="Times New Roman" w:asciiTheme="minorEastAsia" w:hAnsiTheme="minorEastAsia"/>
          <w:color w:val="000000" w:themeColor="text1"/>
          <w:sz w:val="36"/>
          <w:szCs w:val="36"/>
        </w:rPr>
      </w:pPr>
      <w:r>
        <w:rPr>
          <w:rFonts w:hint="eastAsia" w:cs="Times New Roman" w:asciiTheme="minorEastAsia" w:hAnsiTheme="minorEastAsia"/>
          <w:b/>
          <w:bCs/>
          <w:color w:val="000000" w:themeColor="text1"/>
          <w:sz w:val="36"/>
          <w:szCs w:val="24"/>
        </w:rPr>
        <w:t>采购内容：</w:t>
      </w:r>
    </w:p>
    <w:p>
      <w:pPr>
        <w:spacing w:line="360" w:lineRule="auto"/>
        <w:ind w:left="2057" w:leftChars="613" w:right="1287" w:rightChars="613" w:hanging="770" w:hangingChars="214"/>
        <w:rPr>
          <w:rFonts w:ascii="宋体" w:hAnsi="宋体" w:eastAsia="宋体" w:cs="Times New Roman"/>
          <w:color w:val="000000" w:themeColor="text1"/>
          <w:sz w:val="36"/>
          <w:szCs w:val="36"/>
        </w:rPr>
      </w:pPr>
    </w:p>
    <w:p>
      <w:pPr>
        <w:spacing w:line="360" w:lineRule="auto"/>
        <w:ind w:left="3341" w:leftChars="613" w:right="1287" w:rightChars="613" w:hanging="2054" w:hangingChars="214"/>
        <w:rPr>
          <w:rFonts w:cs="Times New Roman" w:asciiTheme="minorEastAsia" w:hAnsiTheme="minorEastAsia"/>
          <w:b/>
          <w:bCs/>
          <w:color w:val="000000" w:themeColor="text1"/>
          <w:sz w:val="96"/>
          <w:szCs w:val="96"/>
        </w:rPr>
      </w:pPr>
      <w:r>
        <w:rPr>
          <w:rFonts w:hint="eastAsia" w:cs="Times New Roman" w:asciiTheme="minorEastAsia" w:hAnsiTheme="minorEastAsia"/>
          <w:b/>
          <w:bCs/>
          <w:color w:val="000000" w:themeColor="text1"/>
          <w:sz w:val="96"/>
          <w:szCs w:val="96"/>
        </w:rPr>
        <w:t>投标人（盖章）</w:t>
      </w:r>
    </w:p>
    <w:p>
      <w:pPr>
        <w:spacing w:line="360" w:lineRule="auto"/>
        <w:ind w:left="1971" w:leftChars="613" w:right="1287" w:rightChars="613" w:hanging="684" w:hangingChars="214"/>
        <w:rPr>
          <w:rFonts w:cs="Times New Roman" w:asciiTheme="minorEastAsia" w:hAnsiTheme="minorEastAsia"/>
          <w:b/>
          <w:bCs/>
          <w:color w:val="000000" w:themeColor="text1"/>
          <w:sz w:val="32"/>
          <w:szCs w:val="32"/>
        </w:rPr>
      </w:pPr>
      <w:r>
        <w:rPr>
          <w:rFonts w:hint="eastAsia" w:cs="Times New Roman" w:asciiTheme="minorEastAsia" w:hAnsiTheme="minorEastAsia"/>
          <w:b/>
          <w:bCs/>
          <w:color w:val="000000" w:themeColor="text1"/>
          <w:sz w:val="32"/>
          <w:szCs w:val="32"/>
        </w:rPr>
        <w:t>投标人授权代表（签字）：</w:t>
      </w:r>
    </w:p>
    <w:p>
      <w:pPr>
        <w:spacing w:before="312" w:beforeLines="100" w:after="312" w:afterLines="100" w:line="360" w:lineRule="auto"/>
        <w:ind w:left="2256" w:leftChars="466" w:right="466" w:hanging="1278" w:hangingChars="355"/>
        <w:jc w:val="center"/>
        <w:rPr>
          <w:rFonts w:ascii="宋体" w:hAnsi="宋体"/>
          <w:b/>
          <w:color w:val="000000" w:themeColor="text1"/>
          <w:sz w:val="36"/>
          <w:szCs w:val="36"/>
        </w:rPr>
      </w:pPr>
      <w:r>
        <w:rPr>
          <w:rFonts w:hint="eastAsia" w:ascii="宋体" w:hAnsi="宋体" w:eastAsia="宋体" w:cs="Times New Roman"/>
          <w:b/>
          <w:bCs/>
          <w:color w:val="000000" w:themeColor="text1"/>
          <w:sz w:val="36"/>
          <w:szCs w:val="36"/>
        </w:rPr>
        <w:t>二0二0</w:t>
      </w:r>
      <w:r>
        <w:rPr>
          <w:rFonts w:hint="eastAsia" w:ascii="宋体" w:hAnsi="宋体"/>
          <w:b/>
          <w:color w:val="000000" w:themeColor="text1"/>
          <w:sz w:val="36"/>
          <w:szCs w:val="36"/>
        </w:rPr>
        <w:t>年 月</w:t>
      </w:r>
    </w:p>
    <w:p>
      <w:pPr>
        <w:rPr>
          <w:rFonts w:ascii="宋体" w:hAnsi="宋体" w:eastAsia="宋体" w:cs="Times New Roman"/>
          <w:b/>
          <w:bCs/>
          <w:color w:val="000000" w:themeColor="text1"/>
          <w:sz w:val="30"/>
          <w:szCs w:val="30"/>
          <w:lang w:val="zh-CN"/>
        </w:rPr>
      </w:pPr>
      <w:r>
        <w:rPr>
          <w:rFonts w:hint="eastAsia" w:ascii="宋体" w:hAnsi="宋体" w:eastAsia="宋体" w:cs="Times New Roman"/>
          <w:b/>
          <w:bCs/>
          <w:color w:val="000000" w:themeColor="text1"/>
          <w:sz w:val="30"/>
          <w:szCs w:val="30"/>
          <w:lang w:val="zh-CN"/>
        </w:rPr>
        <w:t>格式（参考）说明：</w:t>
      </w:r>
    </w:p>
    <w:p>
      <w:pPr>
        <w:spacing w:before="120" w:after="120" w:line="578" w:lineRule="auto"/>
        <w:jc w:val="center"/>
        <w:rPr>
          <w:rFonts w:ascii="黑体" w:hAnsi="黑体" w:eastAsia="黑体" w:cs="Times New Roman"/>
          <w:b/>
          <w:color w:val="000000" w:themeColor="text1"/>
          <w:sz w:val="36"/>
          <w:szCs w:val="36"/>
        </w:rPr>
      </w:pPr>
      <w:bookmarkStart w:id="109" w:name="_Toc494745315"/>
      <w:bookmarkStart w:id="110" w:name="_Toc494702268"/>
      <w:bookmarkStart w:id="111" w:name="_Toc494665551"/>
      <w:bookmarkStart w:id="112" w:name="_Toc494664998"/>
      <w:bookmarkStart w:id="113" w:name="_Toc494665948"/>
      <w:bookmarkStart w:id="114" w:name="_Toc494721098"/>
      <w:r>
        <w:rPr>
          <w:rFonts w:hint="eastAsia" w:ascii="黑体" w:hAnsi="黑体" w:eastAsia="黑体" w:cs="Times New Roman"/>
          <w:b/>
          <w:color w:val="000000" w:themeColor="text1"/>
          <w:sz w:val="36"/>
          <w:szCs w:val="36"/>
        </w:rPr>
        <w:t>商务文件组成</w:t>
      </w:r>
      <w:bookmarkEnd w:id="109"/>
      <w:bookmarkEnd w:id="110"/>
      <w:bookmarkEnd w:id="111"/>
      <w:bookmarkEnd w:id="112"/>
      <w:bookmarkEnd w:id="113"/>
      <w:bookmarkEnd w:id="114"/>
    </w:p>
    <w:p>
      <w:pPr>
        <w:autoSpaceDE w:val="0"/>
        <w:autoSpaceDN w:val="0"/>
        <w:adjustRightInd w:val="0"/>
        <w:spacing w:before="156" w:beforeLines="50" w:after="156" w:afterLines="50" w:line="360" w:lineRule="auto"/>
        <w:ind w:firstLine="480" w:firstLineChars="200"/>
        <w:rPr>
          <w:rFonts w:ascii="宋体" w:hAnsi="宋体" w:eastAsia="宋体" w:cs="Times New Roman"/>
          <w:color w:val="000000" w:themeColor="text1"/>
          <w:kern w:val="0"/>
          <w:sz w:val="24"/>
          <w:szCs w:val="32"/>
        </w:rPr>
      </w:pPr>
      <w:r>
        <w:rPr>
          <w:rFonts w:hint="eastAsia" w:ascii="宋体" w:hAnsi="宋体" w:eastAsia="宋体" w:cs="Times New Roman"/>
          <w:color w:val="000000" w:themeColor="text1"/>
          <w:kern w:val="0"/>
          <w:sz w:val="24"/>
          <w:szCs w:val="32"/>
        </w:rPr>
        <w:t>由各投标人根据参考格式要求自行编写。目录清晰、内容详尽、易于理解和评审并富有建设性的商务方案在评标时具有优势。具体内容应包括但不限于以下内容：</w:t>
      </w:r>
    </w:p>
    <w:p>
      <w:pPr>
        <w:numPr>
          <w:ilvl w:val="0"/>
          <w:numId w:val="56"/>
        </w:numPr>
        <w:autoSpaceDE w:val="0"/>
        <w:autoSpaceDN w:val="0"/>
        <w:adjustRightInd w:val="0"/>
        <w:spacing w:line="360" w:lineRule="auto"/>
        <w:ind w:left="490" w:hanging="370"/>
        <w:rPr>
          <w:rFonts w:ascii="宋体" w:hAnsi="宋体" w:eastAsia="宋体" w:cs="Times New Roman"/>
          <w:color w:val="000000" w:themeColor="text1"/>
          <w:kern w:val="0"/>
          <w:sz w:val="24"/>
          <w:szCs w:val="32"/>
        </w:rPr>
      </w:pPr>
      <w:r>
        <w:rPr>
          <w:rFonts w:hint="eastAsia" w:ascii="宋体" w:hAnsi="宋体" w:eastAsia="宋体" w:cs="Times New Roman"/>
          <w:color w:val="000000" w:themeColor="text1"/>
          <w:kern w:val="0"/>
          <w:sz w:val="24"/>
          <w:szCs w:val="32"/>
        </w:rPr>
        <w:t>商务文件目录</w:t>
      </w:r>
      <w:r>
        <w:rPr>
          <w:rFonts w:hint="eastAsia" w:ascii="宋体" w:hAnsi="宋体" w:eastAsia="宋体" w:cs="Times New Roman"/>
          <w:b/>
          <w:color w:val="000000" w:themeColor="text1"/>
          <w:kern w:val="0"/>
          <w:sz w:val="24"/>
          <w:szCs w:val="32"/>
        </w:rPr>
        <w:t>（目录应涵盖下述所有资料，页码清晰以便查阅）</w:t>
      </w:r>
      <w:r>
        <w:rPr>
          <w:rFonts w:hint="eastAsia" w:ascii="宋体" w:hAnsi="宋体" w:eastAsia="宋体" w:cs="Times New Roman"/>
          <w:color w:val="000000" w:themeColor="text1"/>
          <w:kern w:val="0"/>
          <w:sz w:val="24"/>
          <w:szCs w:val="32"/>
        </w:rPr>
        <w:t>；</w:t>
      </w:r>
    </w:p>
    <w:p>
      <w:pPr>
        <w:numPr>
          <w:ilvl w:val="0"/>
          <w:numId w:val="56"/>
        </w:numPr>
        <w:autoSpaceDE w:val="0"/>
        <w:autoSpaceDN w:val="0"/>
        <w:adjustRightInd w:val="0"/>
        <w:spacing w:line="360" w:lineRule="auto"/>
        <w:ind w:left="490" w:hanging="370"/>
        <w:rPr>
          <w:rFonts w:ascii="宋体" w:hAnsi="宋体" w:eastAsia="宋体" w:cs="Times New Roman"/>
          <w:color w:val="000000" w:themeColor="text1"/>
          <w:kern w:val="0"/>
          <w:sz w:val="24"/>
          <w:szCs w:val="32"/>
        </w:rPr>
      </w:pPr>
      <w:r>
        <w:rPr>
          <w:rFonts w:hint="eastAsia" w:ascii="宋体" w:hAnsi="宋体" w:eastAsia="宋体" w:cs="Times New Roman"/>
          <w:color w:val="000000" w:themeColor="text1"/>
          <w:kern w:val="0"/>
          <w:sz w:val="24"/>
          <w:szCs w:val="32"/>
        </w:rPr>
        <w:t>投标书（附件一）；</w:t>
      </w:r>
    </w:p>
    <w:p>
      <w:pPr>
        <w:numPr>
          <w:ilvl w:val="0"/>
          <w:numId w:val="56"/>
        </w:numPr>
        <w:autoSpaceDE w:val="0"/>
        <w:autoSpaceDN w:val="0"/>
        <w:adjustRightInd w:val="0"/>
        <w:spacing w:line="360" w:lineRule="auto"/>
        <w:ind w:left="490" w:hanging="370"/>
        <w:rPr>
          <w:rFonts w:ascii="宋体" w:hAnsi="宋体" w:eastAsia="宋体" w:cs="Times New Roman"/>
          <w:color w:val="000000" w:themeColor="text1"/>
          <w:kern w:val="0"/>
          <w:sz w:val="24"/>
          <w:szCs w:val="32"/>
        </w:rPr>
      </w:pPr>
      <w:r>
        <w:rPr>
          <w:rFonts w:hint="eastAsia" w:ascii="宋体" w:hAnsi="宋体" w:eastAsia="宋体" w:cs="Times New Roman"/>
          <w:color w:val="000000" w:themeColor="text1"/>
          <w:kern w:val="0"/>
          <w:sz w:val="24"/>
          <w:szCs w:val="32"/>
        </w:rPr>
        <w:t>制造商中小企业声明函（附件二）；</w:t>
      </w:r>
    </w:p>
    <w:p>
      <w:pPr>
        <w:numPr>
          <w:ilvl w:val="0"/>
          <w:numId w:val="56"/>
        </w:numPr>
        <w:autoSpaceDE w:val="0"/>
        <w:autoSpaceDN w:val="0"/>
        <w:adjustRightInd w:val="0"/>
        <w:spacing w:line="360" w:lineRule="auto"/>
        <w:ind w:left="490" w:hanging="370"/>
        <w:rPr>
          <w:rFonts w:ascii="宋体" w:hAnsi="宋体" w:eastAsia="宋体" w:cs="Times New Roman"/>
          <w:color w:val="000000" w:themeColor="text1"/>
          <w:kern w:val="0"/>
          <w:sz w:val="24"/>
          <w:szCs w:val="32"/>
        </w:rPr>
      </w:pPr>
      <w:r>
        <w:rPr>
          <w:rFonts w:hint="eastAsia" w:ascii="宋体" w:hAnsi="宋体" w:eastAsia="宋体" w:cs="Times New Roman"/>
          <w:color w:val="000000" w:themeColor="text1"/>
          <w:kern w:val="0"/>
          <w:sz w:val="24"/>
          <w:szCs w:val="32"/>
        </w:rPr>
        <w:t>中小企业声明函（附件三）；</w:t>
      </w:r>
    </w:p>
    <w:p>
      <w:pPr>
        <w:numPr>
          <w:ilvl w:val="0"/>
          <w:numId w:val="56"/>
        </w:numPr>
        <w:autoSpaceDE w:val="0"/>
        <w:autoSpaceDN w:val="0"/>
        <w:adjustRightInd w:val="0"/>
        <w:spacing w:line="360" w:lineRule="auto"/>
        <w:ind w:left="490" w:hanging="370"/>
        <w:rPr>
          <w:rFonts w:ascii="宋体" w:hAnsi="宋体" w:eastAsia="宋体" w:cs="Times New Roman"/>
          <w:color w:val="000000" w:themeColor="text1"/>
          <w:kern w:val="0"/>
          <w:sz w:val="24"/>
          <w:szCs w:val="32"/>
        </w:rPr>
      </w:pPr>
      <w:r>
        <w:rPr>
          <w:rFonts w:hint="eastAsia" w:ascii="宋体" w:hAnsi="宋体" w:eastAsia="宋体" w:cs="Times New Roman"/>
          <w:color w:val="000000" w:themeColor="text1"/>
          <w:kern w:val="0"/>
          <w:sz w:val="24"/>
          <w:szCs w:val="32"/>
        </w:rPr>
        <w:t>残疾人福利性单位声明函（附件四）</w:t>
      </w:r>
    </w:p>
    <w:p>
      <w:pPr>
        <w:numPr>
          <w:ilvl w:val="0"/>
          <w:numId w:val="56"/>
        </w:numPr>
        <w:autoSpaceDE w:val="0"/>
        <w:autoSpaceDN w:val="0"/>
        <w:adjustRightInd w:val="0"/>
        <w:spacing w:line="360" w:lineRule="auto"/>
        <w:ind w:left="490" w:hanging="370"/>
        <w:rPr>
          <w:rFonts w:ascii="宋体" w:hAnsi="宋体" w:eastAsia="宋体" w:cs="Courier New"/>
          <w:color w:val="000000" w:themeColor="text1"/>
          <w:sz w:val="24"/>
          <w:szCs w:val="24"/>
        </w:rPr>
      </w:pPr>
      <w:r>
        <w:rPr>
          <w:rFonts w:hint="eastAsia" w:ascii="宋体" w:hAnsi="宋体" w:eastAsia="宋体" w:cs="Courier New"/>
          <w:color w:val="000000" w:themeColor="text1"/>
          <w:sz w:val="24"/>
          <w:szCs w:val="24"/>
        </w:rPr>
        <w:t>开标一览表（附件五）；</w:t>
      </w:r>
    </w:p>
    <w:p>
      <w:pPr>
        <w:numPr>
          <w:ilvl w:val="0"/>
          <w:numId w:val="56"/>
        </w:numPr>
        <w:autoSpaceDE w:val="0"/>
        <w:autoSpaceDN w:val="0"/>
        <w:adjustRightInd w:val="0"/>
        <w:spacing w:line="360" w:lineRule="auto"/>
        <w:ind w:left="490" w:hanging="370"/>
        <w:rPr>
          <w:rFonts w:ascii="宋体" w:hAnsi="宋体" w:eastAsia="宋体" w:cs="Courier New"/>
          <w:color w:val="000000" w:themeColor="text1"/>
          <w:sz w:val="24"/>
          <w:szCs w:val="24"/>
        </w:rPr>
      </w:pPr>
      <w:r>
        <w:rPr>
          <w:rFonts w:hint="eastAsia" w:ascii="宋体" w:hAnsi="宋体" w:eastAsia="宋体" w:cs="Courier New"/>
          <w:color w:val="000000" w:themeColor="text1"/>
          <w:sz w:val="24"/>
          <w:szCs w:val="24"/>
        </w:rPr>
        <w:t>投标报价明细表（附件六）；</w:t>
      </w:r>
    </w:p>
    <w:p>
      <w:pPr>
        <w:numPr>
          <w:ilvl w:val="0"/>
          <w:numId w:val="56"/>
        </w:numPr>
        <w:autoSpaceDE w:val="0"/>
        <w:autoSpaceDN w:val="0"/>
        <w:adjustRightInd w:val="0"/>
        <w:spacing w:line="360" w:lineRule="auto"/>
        <w:ind w:left="490" w:hanging="370"/>
        <w:rPr>
          <w:rFonts w:ascii="宋体" w:hAnsi="宋体" w:eastAsia="宋体" w:cs="Courier New"/>
          <w:color w:val="000000" w:themeColor="text1"/>
          <w:sz w:val="24"/>
          <w:szCs w:val="24"/>
        </w:rPr>
      </w:pPr>
      <w:r>
        <w:rPr>
          <w:rFonts w:hint="eastAsia" w:ascii="宋体" w:hAnsi="宋体" w:eastAsia="宋体" w:cs="Courier New"/>
          <w:color w:val="000000" w:themeColor="text1"/>
          <w:sz w:val="24"/>
          <w:szCs w:val="24"/>
        </w:rPr>
        <w:t>小型和微型企业、监狱企业、残疾人福利性单位货物汇总表（附件七）；</w:t>
      </w:r>
    </w:p>
    <w:p>
      <w:pPr>
        <w:numPr>
          <w:ilvl w:val="0"/>
          <w:numId w:val="56"/>
        </w:numPr>
        <w:autoSpaceDE w:val="0"/>
        <w:autoSpaceDN w:val="0"/>
        <w:adjustRightInd w:val="0"/>
        <w:spacing w:line="360" w:lineRule="auto"/>
        <w:ind w:left="490" w:hanging="370"/>
        <w:rPr>
          <w:rFonts w:ascii="宋体" w:hAnsi="宋体" w:eastAsia="宋体" w:cs="Courier New"/>
          <w:color w:val="000000" w:themeColor="text1"/>
          <w:sz w:val="24"/>
          <w:szCs w:val="24"/>
        </w:rPr>
      </w:pPr>
      <w:r>
        <w:rPr>
          <w:rFonts w:hint="eastAsia" w:ascii="宋体" w:hAnsi="宋体" w:eastAsia="宋体" w:cs="Courier New"/>
          <w:color w:val="000000" w:themeColor="text1"/>
          <w:sz w:val="24"/>
          <w:szCs w:val="24"/>
        </w:rPr>
        <w:t>投标货物、服务清单（附件八）；</w:t>
      </w:r>
    </w:p>
    <w:p>
      <w:pPr>
        <w:numPr>
          <w:ilvl w:val="0"/>
          <w:numId w:val="56"/>
        </w:numPr>
        <w:autoSpaceDE w:val="0"/>
        <w:autoSpaceDN w:val="0"/>
        <w:adjustRightInd w:val="0"/>
        <w:spacing w:line="360" w:lineRule="auto"/>
        <w:ind w:left="616" w:hanging="496"/>
        <w:rPr>
          <w:rFonts w:ascii="宋体" w:hAnsi="宋体" w:eastAsia="宋体" w:cs="Courier New"/>
          <w:color w:val="000000" w:themeColor="text1"/>
          <w:sz w:val="24"/>
          <w:szCs w:val="24"/>
        </w:rPr>
      </w:pPr>
      <w:r>
        <w:rPr>
          <w:rFonts w:hint="eastAsia" w:ascii="宋体" w:hAnsi="宋体" w:eastAsia="宋体" w:cs="Courier New"/>
          <w:color w:val="000000" w:themeColor="text1"/>
          <w:sz w:val="24"/>
          <w:szCs w:val="24"/>
        </w:rPr>
        <w:t>交纳投标保证金的银行凭证（附件九，适用招标文件有交纳要求的应当提供）；</w:t>
      </w:r>
    </w:p>
    <w:p>
      <w:pPr>
        <w:numPr>
          <w:ilvl w:val="0"/>
          <w:numId w:val="56"/>
        </w:numPr>
        <w:autoSpaceDE w:val="0"/>
        <w:autoSpaceDN w:val="0"/>
        <w:adjustRightInd w:val="0"/>
        <w:spacing w:line="360" w:lineRule="auto"/>
        <w:ind w:left="616" w:hanging="496"/>
        <w:rPr>
          <w:rFonts w:ascii="宋体" w:hAnsi="宋体" w:eastAsia="宋体" w:cs="Courier New"/>
          <w:color w:val="000000" w:themeColor="text1"/>
          <w:sz w:val="24"/>
          <w:szCs w:val="24"/>
        </w:rPr>
      </w:pPr>
      <w:r>
        <w:rPr>
          <w:rFonts w:hint="eastAsia" w:ascii="宋体" w:hAnsi="宋体" w:eastAsia="宋体" w:cs="Courier New"/>
          <w:color w:val="000000" w:themeColor="text1"/>
          <w:sz w:val="24"/>
          <w:szCs w:val="24"/>
        </w:rPr>
        <w:t>法定代表人授权书（附件十）；</w:t>
      </w:r>
    </w:p>
    <w:p>
      <w:pPr>
        <w:numPr>
          <w:ilvl w:val="0"/>
          <w:numId w:val="56"/>
        </w:numPr>
        <w:autoSpaceDE w:val="0"/>
        <w:autoSpaceDN w:val="0"/>
        <w:adjustRightInd w:val="0"/>
        <w:spacing w:line="360" w:lineRule="auto"/>
        <w:ind w:left="616" w:hanging="496"/>
        <w:rPr>
          <w:rFonts w:ascii="宋体" w:hAnsi="宋体" w:eastAsia="宋体" w:cs="Courier New"/>
          <w:color w:val="000000" w:themeColor="text1"/>
          <w:sz w:val="24"/>
          <w:szCs w:val="24"/>
        </w:rPr>
      </w:pPr>
      <w:r>
        <w:rPr>
          <w:rFonts w:hint="eastAsia" w:ascii="宋体" w:hAnsi="宋体" w:eastAsia="宋体" w:cs="Courier New"/>
          <w:color w:val="000000" w:themeColor="text1"/>
          <w:sz w:val="24"/>
          <w:szCs w:val="24"/>
        </w:rPr>
        <w:t>关于不存在招标文件第二章“十一 其他注意事项”中规定禁止情形的书面声明；</w:t>
      </w:r>
    </w:p>
    <w:p>
      <w:pPr>
        <w:numPr>
          <w:ilvl w:val="0"/>
          <w:numId w:val="56"/>
        </w:numPr>
        <w:autoSpaceDE w:val="0"/>
        <w:autoSpaceDN w:val="0"/>
        <w:adjustRightInd w:val="0"/>
        <w:spacing w:line="360" w:lineRule="auto"/>
        <w:ind w:left="616" w:hanging="496"/>
        <w:rPr>
          <w:rFonts w:ascii="宋体" w:hAnsi="宋体" w:eastAsia="宋体" w:cs="Courier New"/>
          <w:color w:val="000000" w:themeColor="text1"/>
          <w:sz w:val="24"/>
          <w:szCs w:val="24"/>
        </w:rPr>
      </w:pPr>
      <w:r>
        <w:rPr>
          <w:rFonts w:hint="eastAsia" w:ascii="宋体" w:hAnsi="宋体" w:eastAsia="宋体" w:cs="Courier New"/>
          <w:color w:val="000000" w:themeColor="text1"/>
          <w:sz w:val="24"/>
          <w:szCs w:val="24"/>
        </w:rPr>
        <w:t>投标人的资格声明（附件十一）；</w:t>
      </w:r>
    </w:p>
    <w:p>
      <w:pPr>
        <w:numPr>
          <w:ilvl w:val="0"/>
          <w:numId w:val="56"/>
        </w:numPr>
        <w:autoSpaceDE w:val="0"/>
        <w:autoSpaceDN w:val="0"/>
        <w:adjustRightInd w:val="0"/>
        <w:spacing w:line="360" w:lineRule="auto"/>
        <w:ind w:left="616" w:hanging="496"/>
        <w:rPr>
          <w:rFonts w:ascii="宋体" w:hAnsi="宋体" w:eastAsia="宋体" w:cs="Courier New"/>
          <w:color w:val="000000" w:themeColor="text1"/>
          <w:sz w:val="24"/>
          <w:szCs w:val="24"/>
        </w:rPr>
      </w:pPr>
      <w:r>
        <w:rPr>
          <w:rFonts w:hint="eastAsia" w:ascii="宋体" w:hAnsi="宋体" w:eastAsia="宋体" w:cs="Courier New"/>
          <w:color w:val="000000" w:themeColor="text1"/>
          <w:sz w:val="24"/>
          <w:szCs w:val="24"/>
        </w:rPr>
        <w:t>项目负责人、技术负责人简历表（附件十二）；</w:t>
      </w:r>
    </w:p>
    <w:p>
      <w:pPr>
        <w:numPr>
          <w:ilvl w:val="0"/>
          <w:numId w:val="56"/>
        </w:numPr>
        <w:autoSpaceDE w:val="0"/>
        <w:autoSpaceDN w:val="0"/>
        <w:adjustRightInd w:val="0"/>
        <w:spacing w:line="360" w:lineRule="auto"/>
        <w:ind w:left="616" w:hanging="496"/>
        <w:rPr>
          <w:rFonts w:ascii="宋体" w:hAnsi="宋体" w:eastAsia="宋体" w:cs="Courier New"/>
          <w:color w:val="000000" w:themeColor="text1"/>
          <w:sz w:val="24"/>
          <w:szCs w:val="24"/>
        </w:rPr>
      </w:pPr>
      <w:r>
        <w:rPr>
          <w:rFonts w:hint="eastAsia" w:ascii="宋体" w:hAnsi="宋体" w:eastAsia="宋体" w:cs="Courier New"/>
          <w:color w:val="000000" w:themeColor="text1"/>
          <w:sz w:val="24"/>
          <w:szCs w:val="24"/>
        </w:rPr>
        <w:t>项目班子成员情况表（附件十三）；</w:t>
      </w:r>
    </w:p>
    <w:p>
      <w:pPr>
        <w:numPr>
          <w:ilvl w:val="0"/>
          <w:numId w:val="56"/>
        </w:numPr>
        <w:autoSpaceDE w:val="0"/>
        <w:autoSpaceDN w:val="0"/>
        <w:adjustRightInd w:val="0"/>
        <w:spacing w:line="360" w:lineRule="auto"/>
        <w:ind w:left="616" w:hanging="496"/>
        <w:rPr>
          <w:rFonts w:ascii="宋体" w:hAnsi="宋体" w:eastAsia="宋体" w:cs="Courier New"/>
          <w:color w:val="000000" w:themeColor="text1"/>
          <w:sz w:val="24"/>
          <w:szCs w:val="24"/>
        </w:rPr>
      </w:pPr>
      <w:r>
        <w:rPr>
          <w:rFonts w:hint="eastAsia" w:ascii="宋体" w:hAnsi="宋体" w:eastAsia="宋体" w:cs="Courier New"/>
          <w:color w:val="000000" w:themeColor="text1"/>
          <w:sz w:val="24"/>
          <w:szCs w:val="24"/>
        </w:rPr>
        <w:t>投标人类似项目业绩表（附件十四）；</w:t>
      </w:r>
    </w:p>
    <w:p>
      <w:pPr>
        <w:numPr>
          <w:ilvl w:val="0"/>
          <w:numId w:val="56"/>
        </w:numPr>
        <w:autoSpaceDE w:val="0"/>
        <w:autoSpaceDN w:val="0"/>
        <w:adjustRightInd w:val="0"/>
        <w:spacing w:line="360" w:lineRule="auto"/>
        <w:ind w:left="616" w:hanging="496"/>
        <w:rPr>
          <w:rFonts w:ascii="宋体" w:hAnsi="宋体" w:eastAsia="宋体" w:cs="Courier New"/>
          <w:color w:val="000000" w:themeColor="text1"/>
          <w:sz w:val="24"/>
          <w:szCs w:val="24"/>
        </w:rPr>
      </w:pPr>
      <w:r>
        <w:rPr>
          <w:rFonts w:hint="eastAsia" w:ascii="宋体" w:hAnsi="宋体" w:eastAsia="宋体" w:cs="Courier New"/>
          <w:color w:val="000000" w:themeColor="text1"/>
          <w:sz w:val="24"/>
          <w:szCs w:val="24"/>
        </w:rPr>
        <w:t>招标文件要求提供或投标人认为需提供的其它资料；</w:t>
      </w:r>
    </w:p>
    <w:p>
      <w:pPr>
        <w:numPr>
          <w:ilvl w:val="0"/>
          <w:numId w:val="56"/>
        </w:numPr>
        <w:autoSpaceDE w:val="0"/>
        <w:autoSpaceDN w:val="0"/>
        <w:adjustRightInd w:val="0"/>
        <w:spacing w:line="360" w:lineRule="auto"/>
        <w:ind w:left="616" w:hanging="496"/>
        <w:rPr>
          <w:rFonts w:ascii="宋体" w:hAnsi="宋体" w:eastAsia="宋体" w:cs="Courier New"/>
          <w:color w:val="000000" w:themeColor="text1"/>
          <w:sz w:val="24"/>
          <w:szCs w:val="24"/>
        </w:rPr>
      </w:pPr>
      <w:r>
        <w:rPr>
          <w:rFonts w:hint="eastAsia" w:ascii="宋体" w:hAnsi="宋体" w:eastAsia="宋体" w:cs="Courier New"/>
          <w:color w:val="000000" w:themeColor="text1"/>
          <w:sz w:val="24"/>
          <w:szCs w:val="24"/>
        </w:rPr>
        <w:t>符合性审查对照表（附件十五）；</w:t>
      </w:r>
    </w:p>
    <w:p>
      <w:pPr>
        <w:numPr>
          <w:ilvl w:val="0"/>
          <w:numId w:val="56"/>
        </w:numPr>
        <w:autoSpaceDE w:val="0"/>
        <w:autoSpaceDN w:val="0"/>
        <w:adjustRightInd w:val="0"/>
        <w:spacing w:line="360" w:lineRule="auto"/>
        <w:ind w:left="616" w:hanging="496"/>
        <w:rPr>
          <w:rFonts w:ascii="宋体" w:hAnsi="宋体" w:eastAsia="宋体" w:cs="Courier New"/>
          <w:color w:val="000000" w:themeColor="text1"/>
          <w:sz w:val="24"/>
          <w:szCs w:val="24"/>
        </w:rPr>
      </w:pPr>
      <w:r>
        <w:rPr>
          <w:rFonts w:hint="eastAsia" w:ascii="宋体" w:hAnsi="宋体" w:eastAsia="宋体" w:cs="Courier New"/>
          <w:color w:val="000000" w:themeColor="text1"/>
          <w:sz w:val="24"/>
          <w:szCs w:val="24"/>
        </w:rPr>
        <w:t>商务要求响应、偏离说明表（附件十六）；</w:t>
      </w:r>
    </w:p>
    <w:p>
      <w:pPr>
        <w:numPr>
          <w:ilvl w:val="0"/>
          <w:numId w:val="56"/>
        </w:numPr>
        <w:autoSpaceDE w:val="0"/>
        <w:autoSpaceDN w:val="0"/>
        <w:adjustRightInd w:val="0"/>
        <w:spacing w:line="360" w:lineRule="auto"/>
        <w:ind w:left="616" w:hanging="496"/>
        <w:rPr>
          <w:rFonts w:ascii="宋体" w:hAnsi="宋体" w:eastAsia="宋体" w:cs="Courier New"/>
          <w:color w:val="000000" w:themeColor="text1"/>
          <w:sz w:val="24"/>
          <w:szCs w:val="24"/>
        </w:rPr>
      </w:pPr>
      <w:r>
        <w:rPr>
          <w:rFonts w:hint="eastAsia" w:ascii="宋体" w:hAnsi="宋体" w:eastAsia="宋体" w:cs="Courier New"/>
          <w:color w:val="000000" w:themeColor="text1"/>
          <w:sz w:val="24"/>
          <w:szCs w:val="24"/>
        </w:rPr>
        <w:t>商务要求“★”号条款响应、偏离说明表（附件十七）</w:t>
      </w:r>
    </w:p>
    <w:p>
      <w:pPr>
        <w:numPr>
          <w:ilvl w:val="0"/>
          <w:numId w:val="56"/>
        </w:numPr>
        <w:autoSpaceDE w:val="0"/>
        <w:autoSpaceDN w:val="0"/>
        <w:adjustRightInd w:val="0"/>
        <w:spacing w:line="360" w:lineRule="auto"/>
        <w:ind w:left="616" w:hanging="496"/>
        <w:rPr>
          <w:rFonts w:ascii="宋体" w:hAnsi="宋体" w:eastAsia="宋体" w:cs="Courier New"/>
          <w:color w:val="000000" w:themeColor="text1"/>
          <w:sz w:val="24"/>
          <w:szCs w:val="24"/>
        </w:rPr>
      </w:pPr>
      <w:r>
        <w:rPr>
          <w:rFonts w:hint="eastAsia" w:ascii="宋体" w:hAnsi="宋体" w:eastAsia="宋体" w:cs="Courier New"/>
          <w:color w:val="000000" w:themeColor="text1"/>
          <w:sz w:val="24"/>
          <w:szCs w:val="24"/>
        </w:rPr>
        <w:t>商务评议对照表（附件十八）。</w:t>
      </w:r>
    </w:p>
    <w:p>
      <w:pPr>
        <w:rPr>
          <w:color w:val="000000" w:themeColor="text1"/>
        </w:rPr>
      </w:pPr>
      <w:r>
        <w:rPr>
          <w:color w:val="000000" w:themeColor="text1"/>
        </w:rPr>
        <w:br w:type="page"/>
      </w:r>
    </w:p>
    <w:p>
      <w:pPr>
        <w:spacing w:before="312" w:beforeLines="100" w:after="780" w:afterLines="250"/>
        <w:jc w:val="center"/>
        <w:rPr>
          <w:rFonts w:ascii="黑体" w:hAnsi="黑体" w:eastAsia="黑体"/>
          <w:b/>
          <w:color w:val="000000" w:themeColor="text1"/>
          <w:sz w:val="72"/>
          <w:szCs w:val="72"/>
        </w:rPr>
      </w:pPr>
      <w:r>
        <w:rPr>
          <w:rFonts w:hint="eastAsia" w:ascii="黑体" w:hAnsi="黑体" w:eastAsia="黑体"/>
          <w:b/>
          <w:color w:val="000000" w:themeColor="text1"/>
          <w:sz w:val="72"/>
          <w:szCs w:val="72"/>
        </w:rPr>
        <w:t>阳新县县级政府采购</w:t>
      </w:r>
    </w:p>
    <w:p>
      <w:pPr>
        <w:spacing w:after="624" w:afterLines="200"/>
        <w:jc w:val="center"/>
        <w:rPr>
          <w:rFonts w:ascii="黑体" w:hAnsi="黑体" w:eastAsia="黑体"/>
          <w:b/>
          <w:color w:val="000000" w:themeColor="text1"/>
          <w:sz w:val="144"/>
          <w:szCs w:val="144"/>
        </w:rPr>
      </w:pPr>
      <w:r>
        <w:rPr>
          <w:rFonts w:hint="eastAsia" w:ascii="黑体" w:hAnsi="黑体" w:eastAsia="黑体"/>
          <w:b/>
          <w:color w:val="000000" w:themeColor="text1"/>
          <w:sz w:val="144"/>
          <w:szCs w:val="144"/>
        </w:rPr>
        <w:t>投 标 文 件</w:t>
      </w:r>
    </w:p>
    <w:p>
      <w:pPr>
        <w:pStyle w:val="2"/>
        <w:spacing w:before="340" w:after="480" w:line="360" w:lineRule="auto"/>
        <w:jc w:val="center"/>
        <w:rPr>
          <w:rFonts w:cs="Times New Roman" w:asciiTheme="majorEastAsia" w:hAnsiTheme="majorEastAsia"/>
          <w:bCs w:val="0"/>
          <w:color w:val="000000" w:themeColor="text1"/>
          <w:sz w:val="44"/>
          <w:szCs w:val="44"/>
          <w:lang w:val="zh-CN"/>
        </w:rPr>
      </w:pPr>
      <w:bookmarkStart w:id="115" w:name="_Toc494721099"/>
      <w:bookmarkStart w:id="116" w:name="_Toc494664999"/>
      <w:bookmarkStart w:id="117" w:name="_Toc494745316"/>
      <w:bookmarkStart w:id="118" w:name="_Toc494665552"/>
      <w:bookmarkStart w:id="119" w:name="_Toc494665949"/>
      <w:bookmarkStart w:id="120" w:name="_Toc494702269"/>
    </w:p>
    <w:p>
      <w:pPr>
        <w:pStyle w:val="2"/>
        <w:spacing w:before="340" w:after="480" w:line="360" w:lineRule="auto"/>
        <w:jc w:val="center"/>
        <w:rPr>
          <w:rFonts w:cs="Times New Roman" w:asciiTheme="majorEastAsia" w:hAnsiTheme="majorEastAsia"/>
          <w:bCs w:val="0"/>
          <w:color w:val="000000" w:themeColor="text1"/>
          <w:sz w:val="44"/>
          <w:szCs w:val="44"/>
          <w:lang w:val="zh-CN"/>
        </w:rPr>
      </w:pPr>
    </w:p>
    <w:p>
      <w:pPr>
        <w:pStyle w:val="2"/>
        <w:spacing w:before="340" w:after="480" w:line="360" w:lineRule="auto"/>
        <w:jc w:val="center"/>
        <w:rPr>
          <w:rFonts w:cs="Times New Roman" w:asciiTheme="majorEastAsia" w:hAnsiTheme="majorEastAsia"/>
          <w:bCs w:val="0"/>
          <w:color w:val="000000" w:themeColor="text1"/>
          <w:sz w:val="44"/>
          <w:szCs w:val="44"/>
          <w:lang w:val="zh-CN"/>
        </w:rPr>
      </w:pPr>
      <w:bookmarkStart w:id="121" w:name="_Toc13638"/>
      <w:r>
        <w:rPr>
          <w:rFonts w:hint="eastAsia" w:cs="Times New Roman" w:asciiTheme="majorEastAsia" w:hAnsiTheme="majorEastAsia"/>
          <w:bCs w:val="0"/>
          <w:color w:val="000000" w:themeColor="text1"/>
          <w:sz w:val="44"/>
          <w:szCs w:val="44"/>
          <w:lang w:val="zh-CN"/>
        </w:rPr>
        <w:t>第三部分 技术、服务文件</w:t>
      </w:r>
      <w:bookmarkEnd w:id="115"/>
      <w:bookmarkEnd w:id="116"/>
      <w:bookmarkEnd w:id="117"/>
      <w:bookmarkEnd w:id="118"/>
      <w:bookmarkEnd w:id="119"/>
      <w:bookmarkEnd w:id="120"/>
      <w:bookmarkEnd w:id="121"/>
    </w:p>
    <w:p>
      <w:pPr>
        <w:spacing w:line="360" w:lineRule="auto"/>
        <w:ind w:left="2051" w:leftChars="619" w:right="1299" w:rightChars="619" w:hanging="752" w:hangingChars="209"/>
        <w:rPr>
          <w:rFonts w:cs="Times New Roman" w:asciiTheme="minorEastAsia" w:hAnsiTheme="minorEastAsia"/>
          <w:bCs/>
          <w:color w:val="000000" w:themeColor="text1"/>
          <w:sz w:val="36"/>
          <w:szCs w:val="24"/>
        </w:rPr>
      </w:pPr>
      <w:r>
        <w:rPr>
          <w:rFonts w:hint="eastAsia" w:cs="Times New Roman" w:asciiTheme="minorEastAsia" w:hAnsiTheme="minorEastAsia"/>
          <w:b/>
          <w:bCs/>
          <w:color w:val="000000" w:themeColor="text1"/>
          <w:sz w:val="36"/>
          <w:szCs w:val="24"/>
        </w:rPr>
        <w:t>项目编号：</w:t>
      </w:r>
    </w:p>
    <w:p>
      <w:pPr>
        <w:spacing w:line="360" w:lineRule="auto"/>
        <w:ind w:left="2051" w:leftChars="619" w:right="1299" w:rightChars="619" w:hanging="752" w:hangingChars="209"/>
        <w:rPr>
          <w:rFonts w:cs="Times New Roman" w:asciiTheme="minorEastAsia" w:hAnsiTheme="minorEastAsia"/>
          <w:b/>
          <w:bCs/>
          <w:color w:val="000000" w:themeColor="text1"/>
          <w:sz w:val="36"/>
          <w:szCs w:val="24"/>
        </w:rPr>
      </w:pPr>
      <w:r>
        <w:rPr>
          <w:rFonts w:hint="eastAsia" w:cs="Times New Roman" w:asciiTheme="minorEastAsia" w:hAnsiTheme="minorEastAsia"/>
          <w:b/>
          <w:bCs/>
          <w:color w:val="000000" w:themeColor="text1"/>
          <w:sz w:val="36"/>
          <w:szCs w:val="24"/>
        </w:rPr>
        <w:t>项目名称：</w:t>
      </w:r>
    </w:p>
    <w:p>
      <w:pPr>
        <w:spacing w:line="360" w:lineRule="auto"/>
        <w:ind w:left="2051" w:leftChars="619" w:right="1299" w:rightChars="619" w:hanging="752" w:hangingChars="209"/>
        <w:rPr>
          <w:rFonts w:cs="Times New Roman" w:asciiTheme="minorEastAsia" w:hAnsiTheme="minorEastAsia"/>
          <w:bCs/>
          <w:color w:val="000000" w:themeColor="text1"/>
          <w:sz w:val="36"/>
          <w:szCs w:val="24"/>
          <w:lang w:val="zh-CN"/>
        </w:rPr>
      </w:pPr>
      <w:r>
        <w:rPr>
          <w:rFonts w:hint="eastAsia" w:cs="Times New Roman" w:asciiTheme="minorEastAsia" w:hAnsiTheme="minorEastAsia"/>
          <w:b/>
          <w:bCs/>
          <w:color w:val="000000" w:themeColor="text1"/>
          <w:sz w:val="36"/>
          <w:szCs w:val="24"/>
        </w:rPr>
        <w:t>采购人：</w:t>
      </w:r>
    </w:p>
    <w:p>
      <w:pPr>
        <w:spacing w:line="360" w:lineRule="auto"/>
        <w:ind w:left="2051" w:leftChars="619" w:right="1299" w:rightChars="619" w:hanging="752" w:hangingChars="209"/>
        <w:rPr>
          <w:rFonts w:cs="Times New Roman" w:asciiTheme="minorEastAsia" w:hAnsiTheme="minorEastAsia"/>
          <w:color w:val="000000" w:themeColor="text1"/>
          <w:sz w:val="36"/>
          <w:szCs w:val="36"/>
        </w:rPr>
      </w:pPr>
      <w:r>
        <w:rPr>
          <w:rFonts w:hint="eastAsia" w:cs="Times New Roman" w:asciiTheme="minorEastAsia" w:hAnsiTheme="minorEastAsia"/>
          <w:b/>
          <w:bCs/>
          <w:color w:val="000000" w:themeColor="text1"/>
          <w:sz w:val="36"/>
          <w:szCs w:val="24"/>
        </w:rPr>
        <w:t>采购内容：</w:t>
      </w:r>
    </w:p>
    <w:p>
      <w:pPr>
        <w:spacing w:line="360" w:lineRule="auto"/>
        <w:ind w:left="2057" w:leftChars="613" w:right="1287" w:rightChars="613" w:hanging="770" w:hangingChars="214"/>
        <w:rPr>
          <w:rFonts w:ascii="宋体" w:hAnsi="宋体" w:eastAsia="宋体" w:cs="Times New Roman"/>
          <w:color w:val="000000" w:themeColor="text1"/>
          <w:sz w:val="36"/>
          <w:szCs w:val="36"/>
        </w:rPr>
      </w:pPr>
    </w:p>
    <w:p>
      <w:pPr>
        <w:spacing w:line="360" w:lineRule="auto"/>
        <w:ind w:left="3341" w:leftChars="613" w:right="1287" w:rightChars="613" w:hanging="2054" w:hangingChars="214"/>
        <w:rPr>
          <w:rFonts w:cs="Times New Roman" w:asciiTheme="minorEastAsia" w:hAnsiTheme="minorEastAsia"/>
          <w:b/>
          <w:bCs/>
          <w:color w:val="000000" w:themeColor="text1"/>
          <w:sz w:val="96"/>
          <w:szCs w:val="96"/>
        </w:rPr>
      </w:pPr>
      <w:r>
        <w:rPr>
          <w:rFonts w:hint="eastAsia" w:cs="Times New Roman" w:asciiTheme="minorEastAsia" w:hAnsiTheme="minorEastAsia"/>
          <w:b/>
          <w:bCs/>
          <w:color w:val="000000" w:themeColor="text1"/>
          <w:sz w:val="96"/>
          <w:szCs w:val="96"/>
        </w:rPr>
        <w:t>投标人（盖章）</w:t>
      </w:r>
    </w:p>
    <w:p>
      <w:pPr>
        <w:spacing w:line="360" w:lineRule="auto"/>
        <w:ind w:left="1971" w:leftChars="613" w:right="1287" w:rightChars="613" w:hanging="684" w:hangingChars="214"/>
        <w:rPr>
          <w:rFonts w:cs="Times New Roman" w:asciiTheme="minorEastAsia" w:hAnsiTheme="minorEastAsia"/>
          <w:b/>
          <w:bCs/>
          <w:color w:val="000000" w:themeColor="text1"/>
          <w:sz w:val="32"/>
          <w:szCs w:val="32"/>
        </w:rPr>
      </w:pPr>
      <w:r>
        <w:rPr>
          <w:rFonts w:hint="eastAsia" w:cs="Times New Roman" w:asciiTheme="minorEastAsia" w:hAnsiTheme="minorEastAsia"/>
          <w:b/>
          <w:bCs/>
          <w:color w:val="000000" w:themeColor="text1"/>
          <w:sz w:val="32"/>
          <w:szCs w:val="32"/>
        </w:rPr>
        <w:t>投标人授权代表（签字）：</w:t>
      </w:r>
    </w:p>
    <w:p>
      <w:pPr>
        <w:spacing w:before="312" w:beforeLines="100" w:after="312" w:afterLines="100" w:line="360" w:lineRule="auto"/>
        <w:ind w:left="2256" w:leftChars="466" w:right="466" w:hanging="1278" w:hangingChars="355"/>
        <w:jc w:val="center"/>
        <w:rPr>
          <w:rFonts w:ascii="宋体" w:hAnsi="宋体"/>
          <w:b/>
          <w:color w:val="000000" w:themeColor="text1"/>
          <w:sz w:val="36"/>
          <w:szCs w:val="36"/>
        </w:rPr>
      </w:pPr>
      <w:r>
        <w:rPr>
          <w:rFonts w:hint="eastAsia" w:ascii="宋体" w:hAnsi="宋体" w:eastAsia="宋体" w:cs="Times New Roman"/>
          <w:b/>
          <w:bCs/>
          <w:color w:val="000000" w:themeColor="text1"/>
          <w:sz w:val="36"/>
          <w:szCs w:val="36"/>
        </w:rPr>
        <w:t>二0二0</w:t>
      </w:r>
      <w:r>
        <w:rPr>
          <w:rFonts w:hint="eastAsia" w:ascii="宋体" w:hAnsi="宋体"/>
          <w:b/>
          <w:color w:val="000000" w:themeColor="text1"/>
          <w:sz w:val="36"/>
          <w:szCs w:val="36"/>
        </w:rPr>
        <w:t>年 月</w:t>
      </w:r>
    </w:p>
    <w:p>
      <w:pPr>
        <w:rPr>
          <w:color w:val="000000" w:themeColor="text1"/>
        </w:rPr>
      </w:pPr>
      <w:r>
        <w:rPr>
          <w:color w:val="000000" w:themeColor="text1"/>
        </w:rPr>
        <w:br w:type="page"/>
      </w:r>
    </w:p>
    <w:p>
      <w:pPr>
        <w:spacing w:before="312" w:beforeLines="100" w:line="360" w:lineRule="auto"/>
        <w:jc w:val="left"/>
        <w:rPr>
          <w:rFonts w:ascii="宋体" w:hAnsi="宋体" w:eastAsia="宋体" w:cs="Times New Roman"/>
          <w:b/>
          <w:bCs/>
          <w:color w:val="000000" w:themeColor="text1"/>
          <w:sz w:val="30"/>
          <w:szCs w:val="30"/>
          <w:lang w:val="zh-CN"/>
        </w:rPr>
      </w:pPr>
      <w:r>
        <w:rPr>
          <w:rFonts w:hint="eastAsia" w:ascii="宋体" w:hAnsi="宋体" w:eastAsia="宋体" w:cs="Times New Roman"/>
          <w:b/>
          <w:bCs/>
          <w:color w:val="000000" w:themeColor="text1"/>
          <w:sz w:val="30"/>
          <w:szCs w:val="30"/>
          <w:lang w:val="zh-CN"/>
        </w:rPr>
        <w:t>格式（参考）说明：</w:t>
      </w:r>
    </w:p>
    <w:p>
      <w:pPr>
        <w:spacing w:before="120" w:after="120" w:line="578" w:lineRule="auto"/>
        <w:jc w:val="center"/>
        <w:rPr>
          <w:rFonts w:ascii="黑体" w:hAnsi="黑体" w:eastAsia="黑体" w:cs="Times New Roman"/>
          <w:b/>
          <w:color w:val="000000" w:themeColor="text1"/>
          <w:sz w:val="36"/>
          <w:szCs w:val="36"/>
        </w:rPr>
      </w:pPr>
      <w:bookmarkStart w:id="122" w:name="_Toc494665553"/>
      <w:bookmarkStart w:id="123" w:name="_Toc494745317"/>
      <w:bookmarkStart w:id="124" w:name="_Toc494665000"/>
      <w:bookmarkStart w:id="125" w:name="_Toc494702270"/>
      <w:bookmarkStart w:id="126" w:name="_Toc494721100"/>
      <w:bookmarkStart w:id="127" w:name="_Toc494665950"/>
      <w:r>
        <w:rPr>
          <w:rFonts w:hint="eastAsia" w:ascii="黑体" w:hAnsi="黑体" w:eastAsia="黑体" w:cs="Times New Roman"/>
          <w:b/>
          <w:bCs/>
          <w:color w:val="000000" w:themeColor="text1"/>
          <w:sz w:val="36"/>
          <w:szCs w:val="36"/>
          <w:lang w:val="zh-CN"/>
        </w:rPr>
        <w:t>技术</w:t>
      </w:r>
      <w:r>
        <w:rPr>
          <w:rFonts w:hint="eastAsia" w:ascii="黑体" w:hAnsi="黑体" w:eastAsia="黑体" w:cs="Times New Roman"/>
          <w:b/>
          <w:color w:val="000000" w:themeColor="text1"/>
          <w:sz w:val="36"/>
          <w:szCs w:val="36"/>
        </w:rPr>
        <w:t>、服务文件组成</w:t>
      </w:r>
      <w:bookmarkEnd w:id="122"/>
      <w:bookmarkEnd w:id="123"/>
      <w:bookmarkEnd w:id="124"/>
      <w:bookmarkEnd w:id="125"/>
      <w:bookmarkEnd w:id="126"/>
      <w:bookmarkEnd w:id="127"/>
    </w:p>
    <w:p>
      <w:pPr>
        <w:autoSpaceDE w:val="0"/>
        <w:autoSpaceDN w:val="0"/>
        <w:adjustRightInd w:val="0"/>
        <w:spacing w:before="156" w:beforeLines="50" w:after="156" w:afterLines="50" w:line="360" w:lineRule="auto"/>
        <w:ind w:firstLine="480" w:firstLineChars="200"/>
        <w:rPr>
          <w:rFonts w:ascii="宋体" w:hAnsi="宋体" w:eastAsia="宋体" w:cs="Times New Roman"/>
          <w:color w:val="000000" w:themeColor="text1"/>
          <w:kern w:val="0"/>
          <w:sz w:val="24"/>
          <w:szCs w:val="32"/>
        </w:rPr>
      </w:pPr>
      <w:r>
        <w:rPr>
          <w:rFonts w:hint="eastAsia" w:ascii="宋体" w:hAnsi="宋体" w:eastAsia="宋体" w:cs="Times New Roman"/>
          <w:color w:val="000000" w:themeColor="text1"/>
          <w:kern w:val="0"/>
          <w:sz w:val="24"/>
          <w:szCs w:val="32"/>
        </w:rPr>
        <w:t>由各投标人根据参考格式要求自行编写。目录清晰、内容详尽、易于理解和评审并富有建设性的技术、服务方案在评标时具有优势。具体内容应包括但不限于以下内容：</w:t>
      </w:r>
    </w:p>
    <w:p>
      <w:pPr>
        <w:numPr>
          <w:ilvl w:val="0"/>
          <w:numId w:val="57"/>
        </w:numPr>
        <w:autoSpaceDE w:val="0"/>
        <w:autoSpaceDN w:val="0"/>
        <w:adjustRightInd w:val="0"/>
        <w:spacing w:line="360" w:lineRule="auto"/>
        <w:ind w:left="490" w:hanging="370"/>
        <w:rPr>
          <w:rFonts w:ascii="宋体" w:hAnsi="宋体" w:eastAsia="宋体" w:cs="Times New Roman"/>
          <w:color w:val="000000" w:themeColor="text1"/>
          <w:kern w:val="0"/>
          <w:sz w:val="24"/>
          <w:szCs w:val="32"/>
        </w:rPr>
      </w:pPr>
      <w:r>
        <w:rPr>
          <w:rFonts w:hint="eastAsia" w:ascii="宋体" w:hAnsi="宋体" w:eastAsia="宋体" w:cs="Times New Roman"/>
          <w:color w:val="000000" w:themeColor="text1"/>
          <w:kern w:val="0"/>
          <w:sz w:val="24"/>
          <w:szCs w:val="32"/>
        </w:rPr>
        <w:t>技术、服务文件目录（目录应涵盖下述所有资料，页码清晰以便查阅）；</w:t>
      </w:r>
    </w:p>
    <w:p>
      <w:pPr>
        <w:numPr>
          <w:ilvl w:val="0"/>
          <w:numId w:val="57"/>
        </w:numPr>
        <w:autoSpaceDE w:val="0"/>
        <w:autoSpaceDN w:val="0"/>
        <w:adjustRightInd w:val="0"/>
        <w:spacing w:line="360" w:lineRule="auto"/>
        <w:ind w:left="488" w:hanging="369"/>
        <w:rPr>
          <w:rFonts w:ascii="宋体" w:hAnsi="宋体" w:eastAsia="宋体" w:cs="Times New Roman"/>
          <w:color w:val="000000" w:themeColor="text1"/>
          <w:kern w:val="0"/>
          <w:sz w:val="24"/>
          <w:szCs w:val="32"/>
        </w:rPr>
      </w:pPr>
      <w:r>
        <w:rPr>
          <w:rFonts w:hint="eastAsia" w:ascii="宋体" w:hAnsi="宋体" w:eastAsia="宋体" w:cs="Times New Roman"/>
          <w:color w:val="000000" w:themeColor="text1"/>
          <w:kern w:val="0"/>
          <w:sz w:val="24"/>
          <w:szCs w:val="32"/>
        </w:rPr>
        <w:t>投标货物（工程或服务）介绍，项目建设（服务）方案；</w:t>
      </w:r>
    </w:p>
    <w:p>
      <w:pPr>
        <w:numPr>
          <w:ilvl w:val="0"/>
          <w:numId w:val="57"/>
        </w:numPr>
        <w:autoSpaceDE w:val="0"/>
        <w:autoSpaceDN w:val="0"/>
        <w:adjustRightInd w:val="0"/>
        <w:spacing w:line="360" w:lineRule="auto"/>
        <w:ind w:left="490" w:hanging="370"/>
        <w:rPr>
          <w:rFonts w:ascii="宋体" w:hAnsi="宋体" w:eastAsia="宋体" w:cs="Times New Roman"/>
          <w:color w:val="000000" w:themeColor="text1"/>
          <w:kern w:val="0"/>
          <w:sz w:val="24"/>
          <w:szCs w:val="32"/>
        </w:rPr>
      </w:pPr>
      <w:r>
        <w:rPr>
          <w:rFonts w:hint="eastAsia" w:ascii="宋体" w:hAnsi="宋体" w:eastAsia="宋体" w:cs="Times New Roman"/>
          <w:color w:val="000000" w:themeColor="text1"/>
          <w:kern w:val="0"/>
          <w:sz w:val="24"/>
          <w:szCs w:val="32"/>
        </w:rPr>
        <w:t>技术、服务要求响应、偏离说明表（附件十九）；</w:t>
      </w:r>
    </w:p>
    <w:p>
      <w:pPr>
        <w:numPr>
          <w:ilvl w:val="0"/>
          <w:numId w:val="57"/>
        </w:numPr>
        <w:autoSpaceDE w:val="0"/>
        <w:autoSpaceDN w:val="0"/>
        <w:adjustRightInd w:val="0"/>
        <w:spacing w:line="360" w:lineRule="auto"/>
        <w:ind w:left="490" w:hanging="370"/>
        <w:rPr>
          <w:rFonts w:ascii="宋体" w:hAnsi="宋体" w:eastAsia="宋体" w:cs="Times New Roman"/>
          <w:color w:val="000000" w:themeColor="text1"/>
          <w:kern w:val="0"/>
          <w:sz w:val="24"/>
          <w:szCs w:val="32"/>
        </w:rPr>
      </w:pPr>
      <w:r>
        <w:rPr>
          <w:rFonts w:hint="eastAsia" w:ascii="宋体" w:hAnsi="宋体" w:eastAsia="宋体" w:cs="Times New Roman"/>
          <w:color w:val="000000" w:themeColor="text1"/>
          <w:kern w:val="0"/>
          <w:sz w:val="24"/>
          <w:szCs w:val="32"/>
        </w:rPr>
        <w:t>技术、服务要求“★”号条款响应、偏离说明表（附件二十）；</w:t>
      </w:r>
    </w:p>
    <w:p>
      <w:pPr>
        <w:numPr>
          <w:ilvl w:val="0"/>
          <w:numId w:val="57"/>
        </w:numPr>
        <w:autoSpaceDE w:val="0"/>
        <w:autoSpaceDN w:val="0"/>
        <w:adjustRightInd w:val="0"/>
        <w:spacing w:line="360" w:lineRule="auto"/>
        <w:ind w:left="490" w:hanging="370"/>
        <w:rPr>
          <w:rFonts w:ascii="宋体" w:hAnsi="宋体" w:eastAsia="宋体" w:cs="Times New Roman"/>
          <w:color w:val="000000" w:themeColor="text1"/>
          <w:kern w:val="0"/>
          <w:sz w:val="24"/>
          <w:szCs w:val="32"/>
        </w:rPr>
      </w:pPr>
      <w:r>
        <w:rPr>
          <w:rFonts w:hint="eastAsia" w:ascii="宋体" w:hAnsi="宋体" w:eastAsia="宋体" w:cs="Times New Roman"/>
          <w:color w:val="000000" w:themeColor="text1"/>
          <w:kern w:val="0"/>
          <w:sz w:val="24"/>
          <w:szCs w:val="32"/>
        </w:rPr>
        <w:t>技术、服务评议对照表（附件二十一）；</w:t>
      </w:r>
    </w:p>
    <w:p>
      <w:pPr>
        <w:numPr>
          <w:ilvl w:val="0"/>
          <w:numId w:val="57"/>
        </w:numPr>
        <w:autoSpaceDE w:val="0"/>
        <w:autoSpaceDN w:val="0"/>
        <w:adjustRightInd w:val="0"/>
        <w:spacing w:line="360" w:lineRule="auto"/>
        <w:ind w:left="490" w:hanging="370"/>
        <w:rPr>
          <w:rFonts w:ascii="宋体" w:hAnsi="宋体" w:eastAsia="宋体" w:cs="Times New Roman"/>
          <w:color w:val="000000" w:themeColor="text1"/>
          <w:kern w:val="0"/>
          <w:sz w:val="24"/>
          <w:szCs w:val="32"/>
        </w:rPr>
      </w:pPr>
      <w:r>
        <w:rPr>
          <w:rFonts w:hint="eastAsia" w:ascii="宋体" w:hAnsi="宋体" w:eastAsia="宋体" w:cs="Times New Roman"/>
          <w:color w:val="000000" w:themeColor="text1"/>
          <w:kern w:val="0"/>
          <w:sz w:val="24"/>
          <w:szCs w:val="32"/>
        </w:rPr>
        <w:t>招标文件要求提供或投标人认为需提供的其它资料。</w:t>
      </w:r>
    </w:p>
    <w:p>
      <w:pPr>
        <w:autoSpaceDE w:val="0"/>
        <w:autoSpaceDN w:val="0"/>
        <w:adjustRightInd w:val="0"/>
        <w:spacing w:line="360" w:lineRule="auto"/>
        <w:rPr>
          <w:rFonts w:ascii="宋体" w:hAnsi="宋体" w:eastAsia="宋体" w:cs="Times New Roman"/>
          <w:color w:val="000000" w:themeColor="text1"/>
          <w:kern w:val="0"/>
          <w:sz w:val="24"/>
          <w:szCs w:val="32"/>
        </w:rPr>
      </w:pPr>
    </w:p>
    <w:p>
      <w:pPr>
        <w:autoSpaceDE w:val="0"/>
        <w:autoSpaceDN w:val="0"/>
        <w:adjustRightInd w:val="0"/>
        <w:spacing w:line="360" w:lineRule="auto"/>
        <w:ind w:left="715" w:leftChars="-6" w:hanging="727" w:hangingChars="303"/>
        <w:rPr>
          <w:rFonts w:ascii="宋体" w:hAnsi="宋体" w:eastAsia="宋体" w:cs="Times New Roman"/>
          <w:color w:val="000000" w:themeColor="text1"/>
          <w:kern w:val="0"/>
          <w:sz w:val="24"/>
          <w:szCs w:val="32"/>
        </w:rPr>
      </w:pPr>
      <w:r>
        <w:rPr>
          <w:rFonts w:hint="eastAsia" w:ascii="宋体" w:hAnsi="宋体" w:eastAsia="宋体" w:cs="Times New Roman"/>
          <w:color w:val="000000" w:themeColor="text1"/>
          <w:kern w:val="0"/>
          <w:sz w:val="24"/>
          <w:szCs w:val="32"/>
        </w:rPr>
        <w:t>说明：投标文件技术、服务文件的编制原则，一是按招标文件要求，提供相应说明、资料、表格以证明所投货物（工程或服务）是否响应招标文件要求；二是对应评分标准，充分体现所投货物（工程或服务）对于评分标准的响应程度和优势。</w:t>
      </w:r>
    </w:p>
    <w:p>
      <w:pPr>
        <w:rPr>
          <w:color w:val="000000" w:themeColor="text1"/>
        </w:rPr>
      </w:pPr>
      <w:r>
        <w:rPr>
          <w:color w:val="000000" w:themeColor="text1"/>
        </w:rPr>
        <w:br w:type="page"/>
      </w:r>
    </w:p>
    <w:p>
      <w:pPr>
        <w:pStyle w:val="2"/>
        <w:numPr>
          <w:ilvl w:val="0"/>
          <w:numId w:val="58"/>
        </w:numPr>
        <w:spacing w:before="100" w:beforeAutospacing="1" w:after="156" w:afterLines="50" w:line="360" w:lineRule="auto"/>
        <w:ind w:left="1288" w:hanging="1288"/>
        <w:rPr>
          <w:rFonts w:ascii="宋体" w:hAnsi="宋体" w:eastAsia="宋体"/>
          <w:color w:val="000000" w:themeColor="text1"/>
        </w:rPr>
      </w:pPr>
      <w:bookmarkStart w:id="128" w:name="_Toc494665001"/>
      <w:bookmarkStart w:id="129" w:name="_Toc494745318"/>
      <w:bookmarkStart w:id="130" w:name="_Toc494702271"/>
      <w:bookmarkStart w:id="131" w:name="_Toc494721101"/>
      <w:bookmarkStart w:id="132" w:name="_Toc236473298"/>
      <w:bookmarkStart w:id="133" w:name="_Toc6282"/>
      <w:bookmarkStart w:id="134" w:name="_Toc238276242"/>
      <w:bookmarkStart w:id="135" w:name="_Toc494665951"/>
      <w:bookmarkStart w:id="136" w:name="_Toc494665554"/>
      <w:r>
        <w:rPr>
          <w:rFonts w:hint="eastAsia" w:ascii="宋体" w:hAnsi="宋体" w:eastAsia="宋体"/>
          <w:color w:val="000000" w:themeColor="text1"/>
        </w:rPr>
        <w:t>投标书</w:t>
      </w:r>
      <w:bookmarkEnd w:id="128"/>
      <w:bookmarkEnd w:id="129"/>
      <w:bookmarkEnd w:id="130"/>
      <w:bookmarkEnd w:id="131"/>
      <w:bookmarkEnd w:id="132"/>
      <w:bookmarkEnd w:id="133"/>
      <w:bookmarkEnd w:id="134"/>
      <w:bookmarkEnd w:id="135"/>
      <w:bookmarkEnd w:id="136"/>
    </w:p>
    <w:p>
      <w:pPr>
        <w:spacing w:line="360" w:lineRule="auto"/>
        <w:rPr>
          <w:b/>
          <w:color w:val="000000" w:themeColor="text1"/>
          <w:sz w:val="28"/>
          <w:szCs w:val="28"/>
        </w:rPr>
      </w:pPr>
      <w:r>
        <w:rPr>
          <w:rFonts w:hint="eastAsia"/>
          <w:b/>
          <w:color w:val="000000" w:themeColor="text1"/>
          <w:sz w:val="28"/>
          <w:szCs w:val="28"/>
        </w:rPr>
        <w:t>采购人（或采购代理公司）：</w:t>
      </w:r>
    </w:p>
    <w:p>
      <w:pPr>
        <w:spacing w:line="360" w:lineRule="auto"/>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依据贵方项目（项目编号：）招标的投标邀请，我方代表</w:t>
      </w:r>
      <w:r>
        <w:rPr>
          <w:rFonts w:hint="eastAsia" w:asciiTheme="minorEastAsia" w:hAnsiTheme="minorEastAsia"/>
          <w:color w:val="000000" w:themeColor="text1"/>
          <w:sz w:val="24"/>
          <w:szCs w:val="24"/>
          <w:u w:val="single"/>
        </w:rPr>
        <w:t>（姓名、职务）</w:t>
      </w:r>
      <w:r>
        <w:rPr>
          <w:rFonts w:hint="eastAsia" w:asciiTheme="minorEastAsia" w:hAnsiTheme="minorEastAsia"/>
          <w:color w:val="000000" w:themeColor="text1"/>
          <w:sz w:val="24"/>
          <w:szCs w:val="24"/>
        </w:rPr>
        <w:t>经正式授权并代表投标人</w:t>
      </w:r>
      <w:r>
        <w:rPr>
          <w:rFonts w:hint="eastAsia" w:asciiTheme="minorEastAsia" w:hAnsiTheme="minorEastAsia"/>
          <w:color w:val="000000" w:themeColor="text1"/>
          <w:sz w:val="24"/>
          <w:szCs w:val="24"/>
          <w:u w:val="single"/>
        </w:rPr>
        <w:t>（投标人全称 ）</w:t>
      </w:r>
      <w:r>
        <w:rPr>
          <w:rFonts w:hint="eastAsia" w:asciiTheme="minorEastAsia" w:hAnsiTheme="minorEastAsia"/>
          <w:color w:val="000000" w:themeColor="text1"/>
          <w:sz w:val="24"/>
          <w:szCs w:val="24"/>
        </w:rPr>
        <w:t>提交</w:t>
      </w:r>
      <w:r>
        <w:rPr>
          <w:rFonts w:hint="eastAsia" w:ascii="宋体" w:hAnsi="宋体"/>
          <w:color w:val="000000" w:themeColor="text1"/>
          <w:kern w:val="0"/>
          <w:sz w:val="24"/>
        </w:rPr>
        <w:t>“开标一览表”信封和下述文件正本份，副本份。</w:t>
      </w:r>
    </w:p>
    <w:p>
      <w:pPr>
        <w:spacing w:line="360" w:lineRule="auto"/>
        <w:ind w:left="12" w:leftChars="6" w:firstLine="472" w:firstLineChars="197"/>
        <w:rPr>
          <w:rFonts w:asciiTheme="minorEastAsia" w:hAnsiTheme="minorEastAsia"/>
          <w:color w:val="000000" w:themeColor="text1"/>
          <w:sz w:val="24"/>
          <w:szCs w:val="24"/>
        </w:rPr>
      </w:pPr>
      <w:r>
        <w:rPr>
          <w:rFonts w:hint="eastAsia" w:asciiTheme="minorEastAsia" w:hAnsiTheme="minorEastAsia"/>
          <w:color w:val="000000" w:themeColor="text1"/>
          <w:sz w:val="24"/>
          <w:szCs w:val="24"/>
        </w:rPr>
        <w:t xml:space="preserve">1.资格证明文件； </w:t>
      </w:r>
    </w:p>
    <w:p>
      <w:pPr>
        <w:spacing w:line="360" w:lineRule="auto"/>
        <w:ind w:left="12" w:leftChars="6" w:firstLine="472" w:firstLineChars="197"/>
        <w:rPr>
          <w:rFonts w:asciiTheme="minorEastAsia" w:hAnsiTheme="minorEastAsia"/>
          <w:color w:val="000000" w:themeColor="text1"/>
          <w:sz w:val="24"/>
          <w:szCs w:val="24"/>
        </w:rPr>
      </w:pPr>
      <w:r>
        <w:rPr>
          <w:rFonts w:hint="eastAsia" w:asciiTheme="minorEastAsia" w:hAnsiTheme="minorEastAsia"/>
          <w:color w:val="000000" w:themeColor="text1"/>
          <w:sz w:val="24"/>
          <w:szCs w:val="24"/>
        </w:rPr>
        <w:t>2.商务文件；</w:t>
      </w:r>
    </w:p>
    <w:p>
      <w:pPr>
        <w:spacing w:line="360" w:lineRule="auto"/>
        <w:ind w:left="12" w:leftChars="6" w:firstLine="472" w:firstLineChars="197"/>
        <w:rPr>
          <w:rFonts w:asciiTheme="minorEastAsia" w:hAnsiTheme="minorEastAsia"/>
          <w:color w:val="000000" w:themeColor="text1"/>
          <w:sz w:val="24"/>
          <w:szCs w:val="24"/>
        </w:rPr>
      </w:pPr>
      <w:r>
        <w:rPr>
          <w:rFonts w:hint="eastAsia" w:asciiTheme="minorEastAsia" w:hAnsiTheme="minorEastAsia"/>
          <w:color w:val="000000" w:themeColor="text1"/>
          <w:sz w:val="24"/>
          <w:szCs w:val="24"/>
        </w:rPr>
        <w:t>3.技术、服务文件。</w:t>
      </w:r>
    </w:p>
    <w:p>
      <w:pPr>
        <w:spacing w:line="360" w:lineRule="auto"/>
        <w:rPr>
          <w:rFonts w:ascii="宋体" w:hAnsi="宋体" w:eastAsia="宋体" w:cs="Times New Roman"/>
          <w:b/>
          <w:color w:val="000000" w:themeColor="text1"/>
          <w:kern w:val="0"/>
          <w:sz w:val="24"/>
          <w:szCs w:val="24"/>
        </w:rPr>
      </w:pPr>
      <w:r>
        <w:rPr>
          <w:rFonts w:hint="eastAsia" w:ascii="宋体" w:hAnsi="宋体" w:eastAsia="宋体" w:cs="Times New Roman"/>
          <w:b/>
          <w:color w:val="000000" w:themeColor="text1"/>
          <w:kern w:val="0"/>
          <w:sz w:val="24"/>
          <w:szCs w:val="24"/>
        </w:rPr>
        <w:t>在此，我方宣布同意如下：</w:t>
      </w:r>
    </w:p>
    <w:p>
      <w:pPr>
        <w:spacing w:line="360" w:lineRule="auto"/>
        <w:ind w:left="12" w:leftChars="6" w:firstLine="472" w:firstLineChars="197"/>
        <w:rPr>
          <w:rFonts w:asciiTheme="minorEastAsia" w:hAnsiTheme="minorEastAsia"/>
          <w:color w:val="000000" w:themeColor="text1"/>
          <w:sz w:val="24"/>
          <w:szCs w:val="24"/>
        </w:rPr>
      </w:pPr>
      <w:r>
        <w:rPr>
          <w:rFonts w:hint="eastAsia" w:asciiTheme="minorEastAsia" w:hAnsiTheme="minorEastAsia"/>
          <w:color w:val="000000" w:themeColor="text1"/>
          <w:sz w:val="24"/>
          <w:szCs w:val="24"/>
        </w:rPr>
        <w:t>1．《开标一览表》中规定的应提交和交付的</w:t>
      </w:r>
      <w:r>
        <w:rPr>
          <w:rFonts w:hint="eastAsia" w:asciiTheme="minorEastAsia" w:hAnsiTheme="minorEastAsia"/>
          <w:color w:val="000000" w:themeColor="text1"/>
          <w:sz w:val="24"/>
          <w:szCs w:val="24"/>
          <w:u w:val="single"/>
        </w:rPr>
        <w:t xml:space="preserve">  （包号）  </w:t>
      </w:r>
      <w:r>
        <w:rPr>
          <w:rFonts w:hint="eastAsia" w:asciiTheme="minorEastAsia" w:hAnsiTheme="minorEastAsia"/>
          <w:color w:val="000000" w:themeColor="text1"/>
          <w:sz w:val="24"/>
          <w:szCs w:val="24"/>
        </w:rPr>
        <w:t>货物（工程或服务）投标总价为</w:t>
      </w:r>
      <w:r>
        <w:rPr>
          <w:rFonts w:hint="eastAsia" w:asciiTheme="minorEastAsia" w:hAnsiTheme="minorEastAsia"/>
          <w:color w:val="000000" w:themeColor="text1"/>
          <w:sz w:val="24"/>
          <w:szCs w:val="24"/>
          <w:u w:val="single"/>
        </w:rPr>
        <w:t>（注明币种，并用大写和小写表述投标总价）</w:t>
      </w:r>
      <w:r>
        <w:rPr>
          <w:rFonts w:hint="eastAsia" w:asciiTheme="minorEastAsia" w:hAnsiTheme="minorEastAsia"/>
          <w:color w:val="000000" w:themeColor="text1"/>
          <w:sz w:val="24"/>
          <w:szCs w:val="24"/>
        </w:rPr>
        <w:t>；</w:t>
      </w:r>
    </w:p>
    <w:p>
      <w:pPr>
        <w:spacing w:line="360" w:lineRule="auto"/>
        <w:ind w:left="12" w:leftChars="6" w:firstLine="472" w:firstLineChars="197"/>
        <w:rPr>
          <w:rFonts w:asciiTheme="minorEastAsia" w:hAnsiTheme="minorEastAsia"/>
          <w:color w:val="000000" w:themeColor="text1"/>
          <w:sz w:val="24"/>
          <w:szCs w:val="24"/>
        </w:rPr>
      </w:pPr>
      <w:r>
        <w:rPr>
          <w:rFonts w:hint="eastAsia" w:asciiTheme="minorEastAsia" w:hAnsiTheme="minorEastAsia"/>
          <w:color w:val="000000" w:themeColor="text1"/>
          <w:sz w:val="24"/>
          <w:szCs w:val="24"/>
        </w:rPr>
        <w:t>2．按招标文件的约定履行合同责任和义务；</w:t>
      </w:r>
    </w:p>
    <w:p>
      <w:pPr>
        <w:spacing w:line="360" w:lineRule="auto"/>
        <w:ind w:left="12" w:leftChars="6" w:firstLine="472" w:firstLineChars="197"/>
        <w:rPr>
          <w:rFonts w:asciiTheme="minorEastAsia" w:hAnsiTheme="minorEastAsia"/>
          <w:color w:val="000000" w:themeColor="text1"/>
          <w:sz w:val="24"/>
          <w:szCs w:val="24"/>
        </w:rPr>
      </w:pPr>
      <w:r>
        <w:rPr>
          <w:rFonts w:hint="eastAsia" w:asciiTheme="minorEastAsia" w:hAnsiTheme="minorEastAsia"/>
          <w:color w:val="000000" w:themeColor="text1"/>
          <w:sz w:val="24"/>
          <w:szCs w:val="24"/>
        </w:rPr>
        <w:t>3．已详细审查全部招标文件，包括</w:t>
      </w:r>
      <w:r>
        <w:rPr>
          <w:rFonts w:hint="eastAsia" w:asciiTheme="minorEastAsia" w:hAnsiTheme="minorEastAsia"/>
          <w:color w:val="000000" w:themeColor="text1"/>
          <w:sz w:val="24"/>
          <w:szCs w:val="24"/>
          <w:u w:val="single"/>
        </w:rPr>
        <w:t>（修正或补充文件）（如果有的话）</w:t>
      </w:r>
      <w:r>
        <w:rPr>
          <w:rFonts w:hint="eastAsia" w:asciiTheme="minorEastAsia" w:hAnsiTheme="minorEastAsia"/>
          <w:color w:val="000000" w:themeColor="text1"/>
          <w:sz w:val="24"/>
          <w:szCs w:val="24"/>
        </w:rPr>
        <w:t>，对此无异议；</w:t>
      </w:r>
    </w:p>
    <w:p>
      <w:pPr>
        <w:spacing w:line="360" w:lineRule="auto"/>
        <w:ind w:left="12" w:leftChars="6" w:firstLine="472" w:firstLineChars="197"/>
        <w:rPr>
          <w:rFonts w:asciiTheme="minorEastAsia" w:hAnsiTheme="minorEastAsia"/>
          <w:color w:val="000000" w:themeColor="text1"/>
          <w:sz w:val="24"/>
          <w:szCs w:val="24"/>
        </w:rPr>
      </w:pPr>
      <w:r>
        <w:rPr>
          <w:rFonts w:hint="eastAsia" w:asciiTheme="minorEastAsia" w:hAnsiTheme="minorEastAsia"/>
          <w:color w:val="000000" w:themeColor="text1"/>
          <w:sz w:val="24"/>
          <w:szCs w:val="24"/>
        </w:rPr>
        <w:t>4．投标有效期为自</w:t>
      </w:r>
      <w:r>
        <w:rPr>
          <w:rFonts w:hint="eastAsia" w:ascii="宋体" w:hAnsi="宋体"/>
          <w:color w:val="000000" w:themeColor="text1"/>
          <w:kern w:val="0"/>
          <w:sz w:val="24"/>
        </w:rPr>
        <w:t>递交投标文件截止之日</w:t>
      </w:r>
      <w:r>
        <w:rPr>
          <w:rFonts w:hint="eastAsia" w:asciiTheme="minorEastAsia" w:hAnsiTheme="minorEastAsia"/>
          <w:color w:val="000000" w:themeColor="text1"/>
          <w:sz w:val="24"/>
          <w:szCs w:val="24"/>
        </w:rPr>
        <w:t>起，共个日历日；</w:t>
      </w:r>
    </w:p>
    <w:p>
      <w:pPr>
        <w:spacing w:line="360" w:lineRule="auto"/>
        <w:ind w:left="12" w:leftChars="6" w:firstLine="472" w:firstLineChars="197"/>
        <w:rPr>
          <w:rFonts w:asciiTheme="minorEastAsia" w:hAnsiTheme="minorEastAsia"/>
          <w:color w:val="000000" w:themeColor="text1"/>
          <w:sz w:val="24"/>
          <w:szCs w:val="24"/>
        </w:rPr>
      </w:pPr>
      <w:r>
        <w:rPr>
          <w:rFonts w:hint="eastAsia" w:asciiTheme="minorEastAsia" w:hAnsiTheme="minorEastAsia"/>
          <w:color w:val="000000" w:themeColor="text1"/>
          <w:sz w:val="24"/>
          <w:szCs w:val="24"/>
        </w:rPr>
        <w:t>5．接受招标文件关于不予退还投标保证金的约定；</w:t>
      </w:r>
    </w:p>
    <w:p>
      <w:pPr>
        <w:spacing w:line="360" w:lineRule="auto"/>
        <w:ind w:left="12" w:leftChars="6" w:firstLine="472" w:firstLineChars="197"/>
        <w:rPr>
          <w:rFonts w:asciiTheme="minorEastAsia" w:hAnsiTheme="minorEastAsia"/>
          <w:color w:val="000000" w:themeColor="text1"/>
          <w:sz w:val="24"/>
          <w:szCs w:val="24"/>
        </w:rPr>
      </w:pPr>
      <w:r>
        <w:rPr>
          <w:rFonts w:hint="eastAsia" w:asciiTheme="minorEastAsia" w:hAnsiTheme="minorEastAsia"/>
          <w:color w:val="000000" w:themeColor="text1"/>
          <w:sz w:val="24"/>
          <w:szCs w:val="24"/>
        </w:rPr>
        <w:t>6．提供按照贵方可能要求的与投标有关的一切数据或资料；</w:t>
      </w:r>
    </w:p>
    <w:p>
      <w:pPr>
        <w:spacing w:line="360" w:lineRule="auto"/>
        <w:ind w:left="12" w:leftChars="6" w:firstLine="472" w:firstLineChars="197"/>
        <w:rPr>
          <w:rFonts w:asciiTheme="minorEastAsia" w:hAnsiTheme="minorEastAsia"/>
          <w:color w:val="000000" w:themeColor="text1"/>
          <w:sz w:val="24"/>
          <w:szCs w:val="24"/>
        </w:rPr>
      </w:pPr>
      <w:r>
        <w:rPr>
          <w:rFonts w:hint="eastAsia" w:asciiTheme="minorEastAsia" w:hAnsiTheme="minorEastAsia"/>
          <w:color w:val="000000" w:themeColor="text1"/>
          <w:sz w:val="24"/>
          <w:szCs w:val="24"/>
        </w:rPr>
        <w:t>7．与投标有关的一切正式往来信函请寄：。</w:t>
      </w:r>
    </w:p>
    <w:p>
      <w:pPr>
        <w:autoSpaceDE w:val="0"/>
        <w:autoSpaceDN w:val="0"/>
        <w:adjustRightInd w:val="0"/>
        <w:spacing w:line="400" w:lineRule="exact"/>
        <w:ind w:right="246" w:firstLine="480" w:firstLineChars="200"/>
        <w:rPr>
          <w:rFonts w:ascii="宋体" w:hAnsi="宋体" w:eastAsia="宋体" w:cs="Times New Roman"/>
          <w:color w:val="000000" w:themeColor="text1"/>
          <w:kern w:val="0"/>
          <w:sz w:val="24"/>
          <w:szCs w:val="24"/>
        </w:rPr>
      </w:pPr>
    </w:p>
    <w:p>
      <w:pPr>
        <w:spacing w:line="360" w:lineRule="auto"/>
        <w:ind w:left="12" w:leftChars="6" w:firstLine="472" w:firstLineChars="197"/>
        <w:rPr>
          <w:rFonts w:asciiTheme="minorEastAsia" w:hAnsiTheme="minorEastAsia"/>
          <w:color w:val="000000" w:themeColor="text1"/>
          <w:sz w:val="24"/>
          <w:szCs w:val="24"/>
        </w:rPr>
      </w:pPr>
      <w:r>
        <w:rPr>
          <w:rFonts w:hint="eastAsia" w:asciiTheme="minorEastAsia" w:hAnsiTheme="minorEastAsia"/>
          <w:color w:val="000000" w:themeColor="text1"/>
          <w:sz w:val="24"/>
          <w:szCs w:val="24"/>
        </w:rPr>
        <w:t>投标人：</w:t>
      </w:r>
    </w:p>
    <w:p>
      <w:pPr>
        <w:spacing w:line="360" w:lineRule="auto"/>
        <w:ind w:left="12" w:leftChars="6" w:firstLine="472" w:firstLineChars="197"/>
        <w:rPr>
          <w:rFonts w:asciiTheme="minorEastAsia" w:hAnsiTheme="minorEastAsia"/>
          <w:color w:val="000000" w:themeColor="text1"/>
          <w:sz w:val="24"/>
          <w:szCs w:val="24"/>
        </w:rPr>
      </w:pPr>
      <w:r>
        <w:rPr>
          <w:rFonts w:hint="eastAsia" w:asciiTheme="minorEastAsia" w:hAnsiTheme="minorEastAsia"/>
          <w:color w:val="000000" w:themeColor="text1"/>
          <w:sz w:val="24"/>
          <w:szCs w:val="24"/>
        </w:rPr>
        <w:t>地  址：</w:t>
      </w:r>
    </w:p>
    <w:p>
      <w:pPr>
        <w:spacing w:line="360" w:lineRule="auto"/>
        <w:ind w:left="12" w:leftChars="6" w:firstLine="472" w:firstLineChars="197"/>
        <w:rPr>
          <w:rFonts w:asciiTheme="minorEastAsia" w:hAnsiTheme="minorEastAsia"/>
          <w:color w:val="000000" w:themeColor="text1"/>
          <w:sz w:val="24"/>
          <w:szCs w:val="24"/>
        </w:rPr>
      </w:pPr>
      <w:r>
        <w:rPr>
          <w:rFonts w:hint="eastAsia" w:asciiTheme="minorEastAsia" w:hAnsiTheme="minorEastAsia"/>
          <w:color w:val="000000" w:themeColor="text1"/>
          <w:sz w:val="24"/>
          <w:szCs w:val="24"/>
        </w:rPr>
        <w:t>电话/传真：</w:t>
      </w:r>
    </w:p>
    <w:p>
      <w:pPr>
        <w:spacing w:line="360" w:lineRule="auto"/>
        <w:ind w:left="12" w:leftChars="6" w:firstLine="472" w:firstLineChars="197"/>
        <w:rPr>
          <w:rFonts w:asciiTheme="minorEastAsia" w:hAnsiTheme="minorEastAsia"/>
          <w:color w:val="000000" w:themeColor="text1"/>
          <w:sz w:val="24"/>
          <w:szCs w:val="24"/>
        </w:rPr>
      </w:pPr>
      <w:r>
        <w:rPr>
          <w:rFonts w:hint="eastAsia" w:asciiTheme="minorEastAsia" w:hAnsiTheme="minorEastAsia"/>
          <w:color w:val="000000" w:themeColor="text1"/>
          <w:sz w:val="24"/>
          <w:szCs w:val="24"/>
        </w:rPr>
        <w:t>电子邮件：</w:t>
      </w:r>
    </w:p>
    <w:p>
      <w:pPr>
        <w:spacing w:line="360" w:lineRule="auto"/>
        <w:ind w:left="12" w:leftChars="6" w:firstLine="472" w:firstLineChars="197"/>
        <w:rPr>
          <w:rFonts w:asciiTheme="minorEastAsia" w:hAnsiTheme="minorEastAsia"/>
          <w:color w:val="000000" w:themeColor="text1"/>
          <w:sz w:val="24"/>
          <w:szCs w:val="24"/>
        </w:rPr>
      </w:pPr>
      <w:r>
        <w:rPr>
          <w:rFonts w:hint="eastAsia" w:asciiTheme="minorEastAsia" w:hAnsiTheme="minorEastAsia"/>
          <w:color w:val="000000" w:themeColor="text1"/>
          <w:sz w:val="24"/>
          <w:szCs w:val="24"/>
        </w:rPr>
        <w:t>投标人(公章)：</w:t>
      </w:r>
    </w:p>
    <w:p>
      <w:pPr>
        <w:spacing w:line="360" w:lineRule="auto"/>
        <w:ind w:left="12" w:leftChars="6" w:firstLine="472" w:firstLineChars="197"/>
        <w:rPr>
          <w:rFonts w:asciiTheme="minorEastAsia" w:hAnsiTheme="minorEastAsia"/>
          <w:color w:val="000000" w:themeColor="text1"/>
          <w:sz w:val="24"/>
          <w:szCs w:val="24"/>
        </w:rPr>
      </w:pPr>
      <w:r>
        <w:rPr>
          <w:rFonts w:hint="eastAsia" w:asciiTheme="minorEastAsia" w:hAnsiTheme="minorEastAsia"/>
          <w:color w:val="000000" w:themeColor="text1"/>
          <w:sz w:val="24"/>
          <w:szCs w:val="24"/>
        </w:rPr>
        <w:t>投标人授权代表（签字）：</w:t>
      </w:r>
    </w:p>
    <w:p>
      <w:pPr>
        <w:spacing w:line="360" w:lineRule="auto"/>
        <w:ind w:left="12" w:leftChars="6" w:firstLine="472" w:firstLineChars="197"/>
        <w:rPr>
          <w:rFonts w:asciiTheme="minorEastAsia" w:hAnsiTheme="minorEastAsia"/>
          <w:color w:val="000000" w:themeColor="text1"/>
          <w:sz w:val="24"/>
          <w:szCs w:val="24"/>
        </w:rPr>
      </w:pPr>
      <w:r>
        <w:rPr>
          <w:rFonts w:hint="eastAsia" w:asciiTheme="minorEastAsia" w:hAnsiTheme="minorEastAsia"/>
          <w:color w:val="000000" w:themeColor="text1"/>
          <w:sz w:val="24"/>
          <w:szCs w:val="24"/>
        </w:rPr>
        <w:t>日    期：</w:t>
      </w:r>
    </w:p>
    <w:p>
      <w:pPr>
        <w:spacing w:line="360" w:lineRule="auto"/>
        <w:ind w:left="12" w:leftChars="6" w:firstLine="472" w:firstLineChars="197"/>
        <w:rPr>
          <w:rFonts w:asciiTheme="minorEastAsia" w:hAnsiTheme="minorEastAsia"/>
          <w:color w:val="000000" w:themeColor="text1"/>
          <w:sz w:val="24"/>
          <w:szCs w:val="24"/>
        </w:rPr>
      </w:pPr>
      <w:r>
        <w:rPr>
          <w:rFonts w:hint="eastAsia" w:asciiTheme="minorEastAsia" w:hAnsiTheme="minorEastAsia"/>
          <w:color w:val="000000" w:themeColor="text1"/>
          <w:sz w:val="24"/>
          <w:szCs w:val="24"/>
        </w:rPr>
        <w:t>开户银行：</w:t>
      </w:r>
    </w:p>
    <w:p>
      <w:pPr>
        <w:spacing w:line="360" w:lineRule="auto"/>
        <w:ind w:left="12" w:leftChars="6" w:firstLine="472" w:firstLineChars="197"/>
        <w:rPr>
          <w:rFonts w:asciiTheme="minorEastAsia" w:hAnsiTheme="minorEastAsia"/>
          <w:color w:val="000000" w:themeColor="text1"/>
          <w:sz w:val="24"/>
          <w:szCs w:val="24"/>
        </w:rPr>
      </w:pPr>
      <w:r>
        <w:rPr>
          <w:rFonts w:hint="eastAsia" w:asciiTheme="minorEastAsia" w:hAnsiTheme="minorEastAsia"/>
          <w:color w:val="000000" w:themeColor="text1"/>
          <w:sz w:val="24"/>
          <w:szCs w:val="24"/>
        </w:rPr>
        <w:t>帐号/行号：</w:t>
      </w:r>
    </w:p>
    <w:p>
      <w:pPr>
        <w:rPr>
          <w:color w:val="000000" w:themeColor="text1"/>
        </w:rPr>
      </w:pPr>
      <w:r>
        <w:rPr>
          <w:color w:val="000000" w:themeColor="text1"/>
        </w:rPr>
        <w:br w:type="page"/>
      </w:r>
    </w:p>
    <w:p>
      <w:pPr>
        <w:pStyle w:val="2"/>
        <w:numPr>
          <w:ilvl w:val="0"/>
          <w:numId w:val="58"/>
        </w:numPr>
        <w:spacing w:before="100" w:beforeAutospacing="1" w:after="156" w:afterLines="50" w:line="360" w:lineRule="auto"/>
        <w:ind w:left="1288" w:hanging="1288"/>
        <w:rPr>
          <w:rFonts w:ascii="宋体" w:hAnsi="宋体" w:eastAsia="宋体"/>
          <w:color w:val="000000" w:themeColor="text1"/>
        </w:rPr>
      </w:pPr>
      <w:bookmarkStart w:id="137" w:name="_Toc494665555"/>
      <w:bookmarkStart w:id="138" w:name="_Toc494721102"/>
      <w:bookmarkStart w:id="139" w:name="_Toc494745319"/>
      <w:bookmarkStart w:id="140" w:name="_Toc494665002"/>
      <w:bookmarkStart w:id="141" w:name="_Toc494665952"/>
      <w:bookmarkStart w:id="142" w:name="_Toc494702272"/>
      <w:bookmarkStart w:id="143" w:name="_Toc9184"/>
      <w:r>
        <w:rPr>
          <w:rFonts w:hint="eastAsia" w:ascii="宋体" w:hAnsi="宋体" w:eastAsia="宋体"/>
          <w:color w:val="000000" w:themeColor="text1"/>
        </w:rPr>
        <w:t>制造商中小企业声明函</w:t>
      </w:r>
      <w:bookmarkEnd w:id="137"/>
      <w:bookmarkEnd w:id="138"/>
      <w:bookmarkEnd w:id="139"/>
      <w:bookmarkEnd w:id="140"/>
      <w:bookmarkEnd w:id="141"/>
      <w:bookmarkEnd w:id="142"/>
      <w:bookmarkEnd w:id="143"/>
    </w:p>
    <w:p>
      <w:pPr>
        <w:adjustRightInd w:val="0"/>
        <w:snapToGrid w:val="0"/>
        <w:jc w:val="center"/>
        <w:rPr>
          <w:rFonts w:ascii="宋体" w:hAnsi="宋体" w:eastAsia="宋体" w:cs="Times New Roman"/>
          <w:b/>
          <w:color w:val="000000" w:themeColor="text1"/>
          <w:sz w:val="30"/>
          <w:szCs w:val="30"/>
          <w:lang w:val="zh-CN"/>
        </w:rPr>
      </w:pPr>
      <w:r>
        <w:rPr>
          <w:rFonts w:hint="eastAsia" w:ascii="宋体" w:hAnsi="宋体" w:eastAsia="宋体" w:cs="Times New Roman"/>
          <w:b/>
          <w:color w:val="000000" w:themeColor="text1"/>
          <w:sz w:val="30"/>
          <w:szCs w:val="30"/>
          <w:lang w:val="zh-CN"/>
        </w:rPr>
        <w:t>制造商中小企业声明函</w:t>
      </w:r>
    </w:p>
    <w:p>
      <w:pPr>
        <w:adjustRightInd w:val="0"/>
        <w:snapToGrid w:val="0"/>
        <w:spacing w:before="156" w:beforeLines="50" w:after="156" w:afterLines="50"/>
        <w:jc w:val="center"/>
        <w:rPr>
          <w:rFonts w:ascii="宋体" w:hAnsi="Courier New" w:eastAsia="宋体" w:cs="Times New Roman"/>
          <w:color w:val="000000" w:themeColor="text1"/>
          <w:sz w:val="24"/>
          <w:szCs w:val="21"/>
          <w:lang w:val="zh-CN"/>
        </w:rPr>
      </w:pPr>
      <w:r>
        <w:rPr>
          <w:rFonts w:hint="eastAsia" w:ascii="宋体" w:hAnsi="Courier New" w:eastAsia="宋体" w:cs="Times New Roman"/>
          <w:color w:val="000000" w:themeColor="text1"/>
          <w:sz w:val="24"/>
          <w:szCs w:val="21"/>
          <w:lang w:val="zh-CN"/>
        </w:rPr>
        <w:t>（适用于货物类项目）</w:t>
      </w:r>
    </w:p>
    <w:p>
      <w:pPr>
        <w:spacing w:line="360" w:lineRule="auto"/>
        <w:rPr>
          <w:b/>
          <w:color w:val="000000" w:themeColor="text1"/>
          <w:sz w:val="28"/>
          <w:szCs w:val="28"/>
        </w:rPr>
      </w:pPr>
      <w:r>
        <w:rPr>
          <w:rFonts w:hint="eastAsia"/>
          <w:b/>
          <w:color w:val="000000" w:themeColor="text1"/>
          <w:sz w:val="28"/>
          <w:szCs w:val="28"/>
        </w:rPr>
        <w:t>采购人（或采购代理公司）：</w:t>
      </w:r>
    </w:p>
    <w:p>
      <w:pPr>
        <w:spacing w:line="360" w:lineRule="auto"/>
        <w:ind w:firstLine="475" w:firstLineChars="198"/>
        <w:jc w:val="left"/>
        <w:rPr>
          <w:rFonts w:ascii="宋体" w:hAnsi="宋体" w:eastAsia="宋体" w:cs="Times New Roman"/>
          <w:color w:val="000000" w:themeColor="text1"/>
          <w:sz w:val="24"/>
          <w:szCs w:val="21"/>
          <w:lang w:val="zh-CN"/>
        </w:rPr>
      </w:pPr>
      <w:r>
        <w:rPr>
          <w:rFonts w:hint="eastAsia" w:ascii="宋体" w:hAnsi="宋体" w:eastAsia="宋体" w:cs="Times New Roman"/>
          <w:color w:val="000000" w:themeColor="text1"/>
          <w:sz w:val="24"/>
          <w:szCs w:val="21"/>
          <w:lang w:val="zh-CN"/>
        </w:rPr>
        <w:t>本公司郑重声明，根据《政府采购促进中小企业发展暂行办法》（财库〔2011〕181号）的规定，本公司为______（请填写：中型、小型、微型）企业。本公司同时满足以下条件：</w:t>
      </w:r>
    </w:p>
    <w:p>
      <w:pPr>
        <w:spacing w:line="360" w:lineRule="auto"/>
        <w:ind w:firstLine="475" w:firstLineChars="198"/>
        <w:jc w:val="left"/>
        <w:rPr>
          <w:rFonts w:ascii="宋体" w:hAnsi="宋体" w:eastAsia="宋体" w:cs="Times New Roman"/>
          <w:color w:val="000000" w:themeColor="text1"/>
          <w:sz w:val="24"/>
          <w:szCs w:val="21"/>
          <w:lang w:val="zh-CN"/>
        </w:rPr>
      </w:pPr>
      <w:r>
        <w:rPr>
          <w:rFonts w:hint="eastAsia" w:ascii="宋体" w:hAnsi="宋体" w:eastAsia="宋体" w:cs="Times New Roman"/>
          <w:color w:val="000000" w:themeColor="text1"/>
          <w:sz w:val="24"/>
          <w:szCs w:val="21"/>
          <w:lang w:val="zh-CN"/>
        </w:rPr>
        <w:t>1.根据《工业和信息化部、国家统计局、国家发展和改革委员会、财政部关于印发中小企业划型标准规定的通知》（工信部联企业〔2011〕300号）规定的划分标准</w:t>
      </w:r>
      <w:r>
        <w:rPr>
          <w:rFonts w:hint="eastAsia" w:hAnsi="宋体"/>
          <w:color w:val="000000" w:themeColor="text1"/>
          <w:sz w:val="24"/>
        </w:rPr>
        <w:t>（详见《中小企业划型标准》）</w:t>
      </w:r>
      <w:r>
        <w:rPr>
          <w:rFonts w:hint="eastAsia" w:ascii="宋体" w:hAnsi="宋体" w:eastAsia="宋体" w:cs="Times New Roman"/>
          <w:color w:val="000000" w:themeColor="text1"/>
          <w:sz w:val="24"/>
          <w:szCs w:val="21"/>
          <w:lang w:val="zh-CN"/>
        </w:rPr>
        <w:t>，本公司为______（请填写：中型、小型、微型）企业。</w:t>
      </w:r>
    </w:p>
    <w:p>
      <w:pPr>
        <w:spacing w:line="360" w:lineRule="auto"/>
        <w:ind w:firstLine="475" w:firstLineChars="198"/>
        <w:jc w:val="left"/>
        <w:rPr>
          <w:rFonts w:ascii="宋体" w:hAnsi="宋体" w:eastAsia="宋体" w:cs="Times New Roman"/>
          <w:color w:val="000000" w:themeColor="text1"/>
          <w:sz w:val="24"/>
          <w:szCs w:val="21"/>
          <w:lang w:val="zh-CN"/>
        </w:rPr>
      </w:pPr>
      <w:r>
        <w:rPr>
          <w:rFonts w:hint="eastAsia" w:ascii="宋体" w:hAnsi="宋体" w:eastAsia="宋体" w:cs="Times New Roman"/>
          <w:color w:val="000000" w:themeColor="text1"/>
          <w:sz w:val="24"/>
          <w:szCs w:val="21"/>
          <w:lang w:val="zh-CN"/>
        </w:rPr>
        <w:t>2.本公司授权</w:t>
      </w:r>
      <w:r>
        <w:rPr>
          <w:rFonts w:hint="eastAsia" w:ascii="宋体" w:hAnsi="宋体" w:eastAsia="宋体" w:cs="Times New Roman"/>
          <w:color w:val="000000" w:themeColor="text1"/>
          <w:sz w:val="24"/>
          <w:szCs w:val="21"/>
          <w:u w:val="single"/>
          <w:lang w:val="zh-CN"/>
        </w:rPr>
        <w:t xml:space="preserve">  （投标人）  </w:t>
      </w:r>
      <w:r>
        <w:rPr>
          <w:rFonts w:hint="eastAsia" w:ascii="宋体" w:hAnsi="宋体" w:eastAsia="宋体" w:cs="Times New Roman"/>
          <w:color w:val="000000" w:themeColor="text1"/>
          <w:sz w:val="24"/>
          <w:szCs w:val="21"/>
          <w:lang w:val="zh-CN"/>
        </w:rPr>
        <w:t>参加</w:t>
      </w:r>
      <w:r>
        <w:rPr>
          <w:rFonts w:hint="eastAsia" w:ascii="宋体" w:hAnsi="宋体" w:eastAsia="宋体" w:cs="Times New Roman"/>
          <w:color w:val="000000" w:themeColor="text1"/>
          <w:sz w:val="24"/>
          <w:szCs w:val="21"/>
          <w:u w:val="single"/>
          <w:lang w:val="zh-CN"/>
        </w:rPr>
        <w:t>（采购人）</w:t>
      </w:r>
      <w:r>
        <w:rPr>
          <w:rFonts w:hint="eastAsia" w:ascii="宋体" w:hAnsi="宋体" w:eastAsia="宋体" w:cs="Times New Roman"/>
          <w:color w:val="000000" w:themeColor="text1"/>
          <w:sz w:val="24"/>
          <w:szCs w:val="21"/>
          <w:lang w:val="zh-CN"/>
        </w:rPr>
        <w:t>的__项目（项目编号：_____）采购活动提供本企业制造的货物。本条所称货物不包括使用大型企业注册商标的货物。</w:t>
      </w:r>
    </w:p>
    <w:p>
      <w:pPr>
        <w:spacing w:line="360" w:lineRule="auto"/>
        <w:ind w:firstLine="480" w:firstLineChars="200"/>
        <w:rPr>
          <w:rFonts w:ascii="宋体" w:hAnsi="宋体" w:eastAsia="宋体" w:cs="Times New Roman"/>
          <w:bCs/>
          <w:color w:val="000000" w:themeColor="text1"/>
          <w:sz w:val="24"/>
          <w:szCs w:val="24"/>
        </w:rPr>
      </w:pPr>
      <w:r>
        <w:rPr>
          <w:rFonts w:hint="eastAsia" w:ascii="宋体" w:hAnsi="宋体" w:eastAsia="宋体" w:cs="Times New Roman"/>
          <w:bCs/>
          <w:color w:val="000000" w:themeColor="text1"/>
          <w:sz w:val="24"/>
          <w:szCs w:val="24"/>
          <w:lang w:val="zh-CN"/>
        </w:rPr>
        <w:t>3</w:t>
      </w:r>
      <w:r>
        <w:rPr>
          <w:rFonts w:hint="eastAsia" w:ascii="宋体" w:hAnsi="宋体" w:eastAsia="宋体" w:cs="Times New Roman"/>
          <w:bCs/>
          <w:color w:val="000000" w:themeColor="text1"/>
          <w:sz w:val="24"/>
          <w:szCs w:val="24"/>
        </w:rPr>
        <w:t>.由本公司制造的货物清单见下表：</w:t>
      </w:r>
    </w:p>
    <w:tbl>
      <w:tblPr>
        <w:tblStyle w:val="18"/>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414"/>
        <w:gridCol w:w="1224"/>
        <w:gridCol w:w="907"/>
        <w:gridCol w:w="1278"/>
        <w:gridCol w:w="1843"/>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shd w:val="clear" w:color="auto" w:fill="auto"/>
            <w:vAlign w:val="center"/>
          </w:tcPr>
          <w:p>
            <w:pPr>
              <w:spacing w:line="360" w:lineRule="auto"/>
              <w:ind w:left="-23" w:leftChars="-11" w:right="-65" w:rightChars="-31"/>
              <w:jc w:val="center"/>
              <w:rPr>
                <w:rFonts w:ascii="宋体" w:hAnsi="宋体" w:cs="宋体"/>
                <w:color w:val="000000" w:themeColor="text1"/>
                <w:kern w:val="0"/>
                <w:sz w:val="24"/>
              </w:rPr>
            </w:pPr>
            <w:r>
              <w:rPr>
                <w:rFonts w:hint="eastAsia" w:ascii="宋体" w:hAnsi="宋体" w:cs="宋体"/>
                <w:color w:val="000000" w:themeColor="text1"/>
                <w:kern w:val="0"/>
                <w:sz w:val="24"/>
              </w:rPr>
              <w:t>序号</w:t>
            </w:r>
          </w:p>
        </w:tc>
        <w:tc>
          <w:tcPr>
            <w:tcW w:w="2414" w:type="dxa"/>
            <w:shd w:val="clear" w:color="auto" w:fill="auto"/>
            <w:vAlign w:val="center"/>
          </w:tcPr>
          <w:p>
            <w:pPr>
              <w:spacing w:line="360" w:lineRule="auto"/>
              <w:ind w:left="-48" w:leftChars="-23" w:right="-65" w:rightChars="-31"/>
              <w:jc w:val="center"/>
              <w:rPr>
                <w:rFonts w:ascii="宋体" w:hAnsi="宋体" w:cs="宋体"/>
                <w:color w:val="000000" w:themeColor="text1"/>
                <w:kern w:val="0"/>
                <w:sz w:val="24"/>
              </w:rPr>
            </w:pPr>
            <w:r>
              <w:rPr>
                <w:rFonts w:hint="eastAsia" w:ascii="宋体" w:hAnsi="宋体" w:cs="宋体"/>
                <w:color w:val="000000" w:themeColor="text1"/>
                <w:kern w:val="0"/>
                <w:sz w:val="24"/>
              </w:rPr>
              <w:t>名称</w:t>
            </w:r>
          </w:p>
        </w:tc>
        <w:tc>
          <w:tcPr>
            <w:tcW w:w="1224" w:type="dxa"/>
            <w:shd w:val="clear" w:color="auto" w:fill="auto"/>
            <w:vAlign w:val="center"/>
          </w:tcPr>
          <w:p>
            <w:pPr>
              <w:spacing w:line="360" w:lineRule="auto"/>
              <w:ind w:left="-48" w:leftChars="-23" w:right="-65" w:rightChars="-31"/>
              <w:jc w:val="center"/>
              <w:rPr>
                <w:rFonts w:ascii="宋体" w:hAnsi="宋体" w:cs="宋体"/>
                <w:color w:val="000000" w:themeColor="text1"/>
                <w:kern w:val="0"/>
                <w:sz w:val="24"/>
              </w:rPr>
            </w:pPr>
            <w:r>
              <w:rPr>
                <w:rFonts w:hint="eastAsia" w:ascii="宋体" w:hAnsi="宋体" w:cs="宋体"/>
                <w:color w:val="000000" w:themeColor="text1"/>
                <w:kern w:val="0"/>
                <w:sz w:val="24"/>
              </w:rPr>
              <w:t>品牌规格型号</w:t>
            </w:r>
          </w:p>
        </w:tc>
        <w:tc>
          <w:tcPr>
            <w:tcW w:w="907" w:type="dxa"/>
            <w:shd w:val="clear" w:color="auto" w:fill="auto"/>
            <w:vAlign w:val="center"/>
          </w:tcPr>
          <w:p>
            <w:pPr>
              <w:spacing w:line="360" w:lineRule="auto"/>
              <w:ind w:left="-48" w:leftChars="-23" w:right="-65" w:rightChars="-31"/>
              <w:jc w:val="center"/>
              <w:rPr>
                <w:rFonts w:ascii="宋体" w:hAnsi="宋体" w:cs="宋体"/>
                <w:color w:val="000000" w:themeColor="text1"/>
                <w:kern w:val="0"/>
                <w:sz w:val="24"/>
              </w:rPr>
            </w:pPr>
            <w:r>
              <w:rPr>
                <w:rFonts w:hint="eastAsia" w:ascii="宋体" w:hAnsi="宋体" w:cs="宋体"/>
                <w:color w:val="000000" w:themeColor="text1"/>
                <w:kern w:val="0"/>
                <w:sz w:val="24"/>
              </w:rPr>
              <w:t>数量</w:t>
            </w:r>
          </w:p>
        </w:tc>
        <w:tc>
          <w:tcPr>
            <w:tcW w:w="1278" w:type="dxa"/>
            <w:shd w:val="clear" w:color="auto" w:fill="auto"/>
            <w:vAlign w:val="center"/>
          </w:tcPr>
          <w:p>
            <w:pPr>
              <w:spacing w:line="360" w:lineRule="auto"/>
              <w:ind w:left="-48" w:leftChars="-23" w:right="-65" w:rightChars="-31"/>
              <w:jc w:val="center"/>
              <w:rPr>
                <w:rFonts w:ascii="宋体" w:hAnsi="宋体" w:cs="宋体"/>
                <w:color w:val="000000" w:themeColor="text1"/>
                <w:kern w:val="0"/>
                <w:sz w:val="24"/>
              </w:rPr>
            </w:pPr>
            <w:r>
              <w:rPr>
                <w:rFonts w:hint="eastAsia" w:ascii="宋体" w:hAnsi="宋体" w:cs="宋体"/>
                <w:color w:val="000000" w:themeColor="text1"/>
                <w:kern w:val="0"/>
                <w:sz w:val="24"/>
              </w:rPr>
              <w:t>单价(元)</w:t>
            </w:r>
          </w:p>
        </w:tc>
        <w:tc>
          <w:tcPr>
            <w:tcW w:w="1843" w:type="dxa"/>
            <w:shd w:val="clear" w:color="auto" w:fill="auto"/>
            <w:vAlign w:val="center"/>
          </w:tcPr>
          <w:p>
            <w:pPr>
              <w:spacing w:line="360" w:lineRule="auto"/>
              <w:ind w:left="-48" w:leftChars="-23" w:right="-65" w:rightChars="-31"/>
              <w:jc w:val="center"/>
              <w:rPr>
                <w:rFonts w:ascii="宋体" w:hAnsi="宋体" w:cs="宋体"/>
                <w:color w:val="000000" w:themeColor="text1"/>
                <w:kern w:val="0"/>
                <w:sz w:val="24"/>
              </w:rPr>
            </w:pPr>
            <w:r>
              <w:rPr>
                <w:rFonts w:hint="eastAsia" w:ascii="宋体" w:hAnsi="宋体" w:cs="宋体"/>
                <w:color w:val="000000" w:themeColor="text1"/>
                <w:kern w:val="0"/>
                <w:sz w:val="24"/>
              </w:rPr>
              <w:t>分项合计(元)</w:t>
            </w:r>
          </w:p>
        </w:tc>
        <w:tc>
          <w:tcPr>
            <w:tcW w:w="1228" w:type="dxa"/>
            <w:shd w:val="clear" w:color="auto" w:fill="auto"/>
            <w:vAlign w:val="center"/>
          </w:tcPr>
          <w:p>
            <w:pPr>
              <w:spacing w:line="360" w:lineRule="auto"/>
              <w:ind w:left="-48" w:leftChars="-23" w:right="-65" w:rightChars="-31"/>
              <w:jc w:val="center"/>
              <w:rPr>
                <w:rFonts w:ascii="宋体" w:hAnsi="宋体" w:cs="宋体"/>
                <w:color w:val="000000" w:themeColor="text1"/>
                <w:kern w:val="0"/>
                <w:sz w:val="24"/>
              </w:rPr>
            </w:pPr>
            <w:r>
              <w:rPr>
                <w:rFonts w:hint="eastAsia" w:ascii="宋体" w:hAnsi="宋体" w:cs="宋体"/>
                <w:color w:val="000000" w:themeColor="text1"/>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59"/>
              </w:numPr>
              <w:tabs>
                <w:tab w:val="left" w:pos="82"/>
              </w:tabs>
              <w:adjustRightInd w:val="0"/>
              <w:snapToGrid w:val="0"/>
              <w:ind w:left="-2" w:firstLine="2"/>
              <w:jc w:val="center"/>
              <w:rPr>
                <w:rFonts w:ascii="宋体" w:hAnsi="宋体"/>
                <w:color w:val="000000" w:themeColor="text1"/>
                <w:sz w:val="24"/>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rPr>
            </w:pPr>
          </w:p>
        </w:tc>
        <w:tc>
          <w:tcPr>
            <w:tcW w:w="907" w:type="dxa"/>
            <w:shd w:val="clear" w:color="auto" w:fill="auto"/>
            <w:vAlign w:val="center"/>
          </w:tcPr>
          <w:p>
            <w:pPr>
              <w:spacing w:line="240" w:lineRule="atLeast"/>
              <w:ind w:left="-48" w:leftChars="-23" w:right="-375" w:rightChars="-179"/>
              <w:jc w:val="center"/>
              <w:rPr>
                <w:rFonts w:ascii="宋体" w:hAnsi="宋体" w:eastAsia="宋体" w:cs="宋体"/>
                <w:color w:val="000000" w:themeColor="text1"/>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59"/>
              </w:numPr>
              <w:tabs>
                <w:tab w:val="left" w:pos="82"/>
              </w:tabs>
              <w:adjustRightInd w:val="0"/>
              <w:snapToGrid w:val="0"/>
              <w:ind w:left="-2" w:firstLine="2"/>
              <w:jc w:val="center"/>
              <w:rPr>
                <w:rFonts w:ascii="宋体" w:hAnsi="宋体"/>
                <w:color w:val="000000" w:themeColor="text1"/>
                <w:sz w:val="24"/>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tabs>
                <w:tab w:val="left" w:pos="82"/>
              </w:tabs>
              <w:adjustRightInd w:val="0"/>
              <w:snapToGrid w:val="0"/>
              <w:jc w:val="center"/>
              <w:rPr>
                <w:rFonts w:ascii="宋体" w:hAnsi="宋体"/>
                <w:color w:val="000000" w:themeColor="text1"/>
                <w:sz w:val="24"/>
              </w:rPr>
            </w:pPr>
            <w:r>
              <w:rPr>
                <w:rFonts w:hint="eastAsia" w:ascii="宋体" w:hAnsi="宋体"/>
                <w:color w:val="000000" w:themeColor="text1"/>
                <w:sz w:val="24"/>
              </w:rPr>
              <w:t>…</w:t>
            </w: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75" w:type="dxa"/>
            <w:gridSpan w:val="5"/>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合计</w:t>
            </w:r>
          </w:p>
        </w:tc>
        <w:tc>
          <w:tcPr>
            <w:tcW w:w="3071" w:type="dxa"/>
            <w:gridSpan w:val="2"/>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rPr>
            </w:pPr>
          </w:p>
        </w:tc>
      </w:tr>
    </w:tbl>
    <w:p>
      <w:pPr>
        <w:spacing w:before="156" w:beforeLines="50" w:line="360" w:lineRule="auto"/>
        <w:ind w:firstLine="475" w:firstLineChars="198"/>
        <w:jc w:val="left"/>
        <w:rPr>
          <w:rFonts w:ascii="宋体" w:hAnsi="宋体" w:eastAsia="宋体" w:cs="Times New Roman"/>
          <w:color w:val="000000" w:themeColor="text1"/>
          <w:sz w:val="24"/>
          <w:szCs w:val="21"/>
          <w:lang w:val="zh-CN"/>
        </w:rPr>
      </w:pPr>
      <w:r>
        <w:rPr>
          <w:rFonts w:hint="eastAsia" w:ascii="宋体" w:hAnsi="宋体" w:eastAsia="宋体" w:cs="Times New Roman"/>
          <w:color w:val="000000" w:themeColor="text1"/>
          <w:sz w:val="24"/>
          <w:szCs w:val="21"/>
          <w:lang w:val="zh-CN"/>
        </w:rPr>
        <w:t>本公司对上述声明的真实性负责。如有虚假，将依法承担相应责任。</w:t>
      </w:r>
    </w:p>
    <w:p>
      <w:pPr>
        <w:spacing w:line="360" w:lineRule="auto"/>
        <w:rPr>
          <w:rFonts w:ascii="宋体" w:hAnsi="宋体" w:eastAsia="宋体" w:cs="Times New Roman"/>
          <w:bCs/>
          <w:color w:val="000000" w:themeColor="text1"/>
          <w:sz w:val="24"/>
          <w:szCs w:val="24"/>
        </w:rPr>
      </w:pPr>
    </w:p>
    <w:p>
      <w:pPr>
        <w:pStyle w:val="9"/>
        <w:spacing w:line="360" w:lineRule="auto"/>
        <w:ind w:left="960" w:hanging="960" w:hangingChars="400"/>
        <w:jc w:val="left"/>
        <w:rPr>
          <w:rFonts w:hAnsi="宋体" w:cs="Corbel"/>
          <w:color w:val="000000" w:themeColor="text1"/>
          <w:sz w:val="24"/>
        </w:rPr>
      </w:pPr>
      <w:r>
        <w:rPr>
          <w:rFonts w:hint="eastAsia" w:hAnsi="宋体" w:eastAsia="宋体" w:cs="Times New Roman"/>
          <w:bCs/>
          <w:color w:val="000000" w:themeColor="text1"/>
          <w:sz w:val="24"/>
          <w:szCs w:val="24"/>
        </w:rPr>
        <w:t>说明：</w:t>
      </w:r>
      <w:r>
        <w:rPr>
          <w:rFonts w:hint="eastAsia" w:hAnsi="宋体" w:cs="Corbel"/>
          <w:color w:val="000000" w:themeColor="text1"/>
          <w:sz w:val="24"/>
        </w:rPr>
        <w:t>1、投标人所投货物为自己制造的，也应按本声明函格式填写。</w:t>
      </w:r>
    </w:p>
    <w:p>
      <w:pPr>
        <w:pStyle w:val="9"/>
        <w:spacing w:line="360" w:lineRule="auto"/>
        <w:ind w:left="958" w:leftChars="342" w:hanging="240" w:hangingChars="100"/>
        <w:jc w:val="left"/>
        <w:rPr>
          <w:rFonts w:hAnsi="宋体"/>
          <w:color w:val="000000" w:themeColor="text1"/>
          <w:sz w:val="24"/>
        </w:rPr>
      </w:pPr>
      <w:r>
        <w:rPr>
          <w:rFonts w:hint="eastAsia" w:hAnsi="宋体"/>
          <w:color w:val="000000" w:themeColor="text1"/>
          <w:sz w:val="24"/>
        </w:rPr>
        <w:t>2、组成联合体的大中型企业和其他自然人、法人或者其他组织，与小型、微型企业之间不得存在投资关系。</w:t>
      </w:r>
    </w:p>
    <w:p>
      <w:pPr>
        <w:pStyle w:val="9"/>
        <w:spacing w:line="360" w:lineRule="auto"/>
        <w:ind w:left="958" w:leftChars="342" w:hanging="240" w:hangingChars="100"/>
        <w:jc w:val="left"/>
        <w:rPr>
          <w:rFonts w:hAnsi="宋体" w:eastAsia="宋体" w:cs="Times New Roman"/>
          <w:bCs/>
          <w:color w:val="000000" w:themeColor="text1"/>
          <w:sz w:val="24"/>
          <w:szCs w:val="24"/>
        </w:rPr>
      </w:pPr>
      <w:r>
        <w:rPr>
          <w:rFonts w:hint="eastAsia" w:hAnsi="宋体"/>
          <w:color w:val="000000" w:themeColor="text1"/>
          <w:sz w:val="24"/>
        </w:rPr>
        <w:t>3、如以联合体方式参与本项目投标的供应商，则应由联合体双方签字盖章。</w:t>
      </w:r>
    </w:p>
    <w:p>
      <w:pPr>
        <w:spacing w:before="100" w:beforeAutospacing="1" w:after="100" w:afterAutospacing="1" w:line="360" w:lineRule="auto"/>
        <w:ind w:firstLine="3316" w:firstLineChars="1382"/>
        <w:rPr>
          <w:rFonts w:ascii="宋体" w:hAnsi="宋体" w:eastAsia="宋体" w:cs="Times New Roman"/>
          <w:b/>
          <w:bCs/>
          <w:color w:val="000000" w:themeColor="text1"/>
          <w:sz w:val="24"/>
          <w:szCs w:val="21"/>
          <w:lang w:val="zh-CN"/>
        </w:rPr>
      </w:pPr>
      <w:r>
        <w:rPr>
          <w:rFonts w:hint="eastAsia" w:ascii="宋体" w:hAnsi="宋体" w:eastAsia="宋体" w:cs="Times New Roman"/>
          <w:b/>
          <w:bCs/>
          <w:color w:val="000000" w:themeColor="text1"/>
          <w:sz w:val="24"/>
          <w:szCs w:val="21"/>
          <w:lang w:val="zh-CN"/>
        </w:rPr>
        <w:t>制造商（公章）：</w:t>
      </w:r>
    </w:p>
    <w:p>
      <w:pPr>
        <w:spacing w:before="100" w:beforeAutospacing="1" w:after="100" w:afterAutospacing="1" w:line="360" w:lineRule="auto"/>
        <w:ind w:firstLine="3316" w:firstLineChars="1382"/>
        <w:rPr>
          <w:rFonts w:ascii="宋体" w:hAnsi="宋体" w:eastAsia="宋体" w:cs="Times New Roman"/>
          <w:b/>
          <w:bCs/>
          <w:color w:val="000000" w:themeColor="text1"/>
          <w:sz w:val="24"/>
          <w:szCs w:val="21"/>
          <w:lang w:val="zh-CN"/>
        </w:rPr>
      </w:pPr>
      <w:r>
        <w:rPr>
          <w:rFonts w:hint="eastAsia" w:ascii="宋体" w:hAnsi="宋体" w:eastAsia="宋体" w:cs="Times New Roman"/>
          <w:b/>
          <w:bCs/>
          <w:color w:val="000000" w:themeColor="text1"/>
          <w:sz w:val="24"/>
          <w:szCs w:val="21"/>
          <w:lang w:val="zh-CN"/>
        </w:rPr>
        <w:t>制造商法定代表人（</w:t>
      </w:r>
      <w:r>
        <w:rPr>
          <w:rFonts w:hint="eastAsia" w:ascii="宋体" w:hAnsi="宋体" w:eastAsia="宋体" w:cs="Times New Roman"/>
          <w:b/>
          <w:color w:val="000000" w:themeColor="text1"/>
          <w:sz w:val="24"/>
          <w:szCs w:val="21"/>
          <w:lang w:val="zh-CN"/>
        </w:rPr>
        <w:t>签字或盖章</w:t>
      </w:r>
      <w:r>
        <w:rPr>
          <w:rFonts w:hint="eastAsia" w:ascii="宋体" w:hAnsi="宋体" w:eastAsia="宋体" w:cs="Times New Roman"/>
          <w:b/>
          <w:bCs/>
          <w:color w:val="000000" w:themeColor="text1"/>
          <w:sz w:val="24"/>
          <w:szCs w:val="21"/>
          <w:lang w:val="zh-CN"/>
        </w:rPr>
        <w:t>）：</w:t>
      </w:r>
    </w:p>
    <w:p>
      <w:pPr>
        <w:spacing w:before="100" w:beforeAutospacing="1" w:after="100" w:afterAutospacing="1" w:line="360" w:lineRule="auto"/>
        <w:ind w:firstLine="3316" w:firstLineChars="1382"/>
        <w:rPr>
          <w:color w:val="000000" w:themeColor="text1"/>
        </w:rPr>
      </w:pPr>
      <w:r>
        <w:rPr>
          <w:rFonts w:hint="eastAsia" w:ascii="Times New Roman" w:hAnsi="宋体" w:eastAsia="宋体" w:cs="Times New Roman"/>
          <w:b/>
          <w:color w:val="000000" w:themeColor="text1"/>
          <w:sz w:val="24"/>
          <w:szCs w:val="24"/>
        </w:rPr>
        <w:t>日   期：</w:t>
      </w:r>
    </w:p>
    <w:p>
      <w:pPr>
        <w:rPr>
          <w:color w:val="000000" w:themeColor="text1"/>
        </w:rPr>
      </w:pPr>
      <w:r>
        <w:rPr>
          <w:color w:val="000000" w:themeColor="text1"/>
        </w:rPr>
        <w:br w:type="page"/>
      </w:r>
    </w:p>
    <w:p>
      <w:pPr>
        <w:pStyle w:val="2"/>
        <w:numPr>
          <w:ilvl w:val="0"/>
          <w:numId w:val="58"/>
        </w:numPr>
        <w:spacing w:before="100" w:beforeAutospacing="1" w:after="156" w:afterLines="50" w:line="360" w:lineRule="auto"/>
        <w:ind w:left="1288" w:hanging="1288"/>
        <w:rPr>
          <w:rFonts w:ascii="宋体" w:hAnsi="宋体" w:eastAsia="宋体"/>
          <w:color w:val="000000" w:themeColor="text1"/>
        </w:rPr>
      </w:pPr>
      <w:bookmarkStart w:id="144" w:name="_Toc456264006"/>
      <w:bookmarkStart w:id="145" w:name="_Toc494665953"/>
      <w:bookmarkStart w:id="146" w:name="_Toc11879"/>
      <w:bookmarkStart w:id="147" w:name="_Toc494745320"/>
      <w:bookmarkStart w:id="148" w:name="_Toc494702273"/>
      <w:bookmarkStart w:id="149" w:name="_Toc494665556"/>
      <w:bookmarkStart w:id="150" w:name="_Toc494721103"/>
      <w:bookmarkStart w:id="151" w:name="_Toc494665003"/>
      <w:r>
        <w:rPr>
          <w:rFonts w:hint="eastAsia" w:ascii="宋体" w:hAnsi="宋体" w:eastAsia="宋体"/>
          <w:color w:val="000000" w:themeColor="text1"/>
        </w:rPr>
        <w:t>中小企业声明函</w:t>
      </w:r>
      <w:bookmarkEnd w:id="144"/>
      <w:bookmarkEnd w:id="145"/>
      <w:bookmarkEnd w:id="146"/>
      <w:bookmarkEnd w:id="147"/>
      <w:bookmarkEnd w:id="148"/>
      <w:bookmarkEnd w:id="149"/>
      <w:bookmarkEnd w:id="150"/>
      <w:bookmarkEnd w:id="151"/>
    </w:p>
    <w:p>
      <w:pPr>
        <w:adjustRightInd w:val="0"/>
        <w:snapToGrid w:val="0"/>
        <w:jc w:val="center"/>
        <w:rPr>
          <w:rFonts w:ascii="宋体" w:hAnsi="宋体" w:eastAsia="宋体" w:cs="Times New Roman"/>
          <w:b/>
          <w:color w:val="000000" w:themeColor="text1"/>
          <w:sz w:val="30"/>
          <w:szCs w:val="30"/>
          <w:lang w:val="zh-CN"/>
        </w:rPr>
      </w:pPr>
      <w:r>
        <w:rPr>
          <w:rFonts w:hint="eastAsia" w:ascii="宋体" w:hAnsi="宋体" w:eastAsia="宋体" w:cs="Times New Roman"/>
          <w:b/>
          <w:color w:val="000000" w:themeColor="text1"/>
          <w:sz w:val="30"/>
          <w:szCs w:val="30"/>
          <w:lang w:val="zh-CN"/>
        </w:rPr>
        <w:t>中小企业声明函</w:t>
      </w:r>
    </w:p>
    <w:p>
      <w:pPr>
        <w:adjustRightInd w:val="0"/>
        <w:snapToGrid w:val="0"/>
        <w:spacing w:before="156" w:beforeLines="50" w:after="156" w:afterLines="50"/>
        <w:jc w:val="center"/>
        <w:rPr>
          <w:rFonts w:ascii="宋体" w:hAnsi="Courier New" w:eastAsia="宋体" w:cs="Times New Roman"/>
          <w:color w:val="000000" w:themeColor="text1"/>
          <w:sz w:val="24"/>
          <w:szCs w:val="21"/>
          <w:lang w:val="zh-CN"/>
        </w:rPr>
      </w:pPr>
      <w:r>
        <w:rPr>
          <w:rFonts w:hint="eastAsia" w:ascii="宋体" w:hAnsi="Courier New" w:eastAsia="宋体" w:cs="Times New Roman"/>
          <w:color w:val="000000" w:themeColor="text1"/>
          <w:sz w:val="24"/>
          <w:szCs w:val="21"/>
          <w:lang w:val="zh-CN"/>
        </w:rPr>
        <w:t>（适用于工程类、服务类项目）</w:t>
      </w:r>
    </w:p>
    <w:p>
      <w:pPr>
        <w:spacing w:line="360" w:lineRule="auto"/>
        <w:rPr>
          <w:b/>
          <w:color w:val="000000" w:themeColor="text1"/>
          <w:sz w:val="28"/>
          <w:szCs w:val="28"/>
        </w:rPr>
      </w:pPr>
      <w:r>
        <w:rPr>
          <w:rFonts w:hint="eastAsia"/>
          <w:b/>
          <w:color w:val="000000" w:themeColor="text1"/>
          <w:sz w:val="28"/>
          <w:szCs w:val="28"/>
        </w:rPr>
        <w:t>采购人（或采购代理公司）：</w:t>
      </w:r>
    </w:p>
    <w:p>
      <w:pPr>
        <w:spacing w:line="360" w:lineRule="auto"/>
        <w:ind w:firstLine="475" w:firstLineChars="198"/>
        <w:jc w:val="left"/>
        <w:rPr>
          <w:rFonts w:ascii="宋体" w:hAnsi="宋体" w:eastAsia="宋体" w:cs="Times New Roman"/>
          <w:color w:val="000000" w:themeColor="text1"/>
          <w:sz w:val="24"/>
          <w:szCs w:val="21"/>
          <w:lang w:val="zh-CN"/>
        </w:rPr>
      </w:pPr>
      <w:r>
        <w:rPr>
          <w:rFonts w:hint="eastAsia" w:ascii="宋体" w:hAnsi="宋体" w:eastAsia="宋体" w:cs="Times New Roman"/>
          <w:color w:val="000000" w:themeColor="text1"/>
          <w:sz w:val="24"/>
          <w:szCs w:val="21"/>
          <w:lang w:val="zh-CN"/>
        </w:rPr>
        <w:t>本公司郑重声明，根据《政府采购促进中小企业发展暂行办法》（财库〔2011〕181号）的规定，本公司为______（请填写：中型、小型、微型）企业。本公司同时满足以下条件：</w:t>
      </w:r>
    </w:p>
    <w:p>
      <w:pPr>
        <w:spacing w:line="360" w:lineRule="auto"/>
        <w:ind w:firstLine="475" w:firstLineChars="198"/>
        <w:jc w:val="left"/>
        <w:rPr>
          <w:rFonts w:ascii="宋体" w:hAnsi="宋体" w:eastAsia="宋体" w:cs="Times New Roman"/>
          <w:color w:val="000000" w:themeColor="text1"/>
          <w:sz w:val="24"/>
          <w:szCs w:val="21"/>
          <w:lang w:val="zh-CN"/>
        </w:rPr>
      </w:pPr>
      <w:r>
        <w:rPr>
          <w:rFonts w:hint="eastAsia" w:ascii="宋体" w:hAnsi="宋体" w:eastAsia="宋体" w:cs="Times New Roman"/>
          <w:color w:val="000000" w:themeColor="text1"/>
          <w:sz w:val="24"/>
          <w:szCs w:val="21"/>
          <w:lang w:val="zh-CN"/>
        </w:rPr>
        <w:t>1.根据《工业和信息化部、国家统计局、国家发展和改革委员会、财政部关于印发中小企业划型标准规定的通知》（工信部联企业〔2011〕300号）规定的划分标准</w:t>
      </w:r>
      <w:r>
        <w:rPr>
          <w:rFonts w:hint="eastAsia" w:hAnsi="宋体"/>
          <w:color w:val="000000" w:themeColor="text1"/>
          <w:sz w:val="24"/>
        </w:rPr>
        <w:t>（详见《中小企业划型标准》）</w:t>
      </w:r>
      <w:r>
        <w:rPr>
          <w:rFonts w:hint="eastAsia" w:ascii="宋体" w:hAnsi="宋体" w:eastAsia="宋体" w:cs="Times New Roman"/>
          <w:color w:val="000000" w:themeColor="text1"/>
          <w:sz w:val="24"/>
          <w:szCs w:val="21"/>
          <w:lang w:val="zh-CN"/>
        </w:rPr>
        <w:t>，本公司为______（请填写：中型、小型、微型）企业。</w:t>
      </w:r>
    </w:p>
    <w:p>
      <w:pPr>
        <w:spacing w:line="360" w:lineRule="auto"/>
        <w:ind w:firstLine="475" w:firstLineChars="198"/>
        <w:jc w:val="left"/>
        <w:rPr>
          <w:rFonts w:ascii="宋体" w:hAnsi="宋体" w:eastAsia="宋体" w:cs="Times New Roman"/>
          <w:color w:val="000000" w:themeColor="text1"/>
          <w:sz w:val="24"/>
          <w:szCs w:val="21"/>
          <w:lang w:val="zh-CN"/>
        </w:rPr>
      </w:pPr>
      <w:r>
        <w:rPr>
          <w:rFonts w:hint="eastAsia" w:ascii="宋体" w:hAnsi="宋体" w:eastAsia="宋体" w:cs="Times New Roman"/>
          <w:color w:val="000000" w:themeColor="text1"/>
          <w:sz w:val="24"/>
          <w:szCs w:val="21"/>
          <w:lang w:val="zh-CN"/>
        </w:rPr>
        <w:t>2.本公司参加_</w:t>
      </w:r>
      <w:r>
        <w:rPr>
          <w:rFonts w:hint="eastAsia" w:ascii="宋体" w:hAnsi="宋体" w:eastAsia="宋体" w:cs="Times New Roman"/>
          <w:color w:val="000000" w:themeColor="text1"/>
          <w:sz w:val="24"/>
          <w:szCs w:val="21"/>
          <w:u w:val="single"/>
          <w:lang w:val="zh-CN"/>
        </w:rPr>
        <w:t>_（采购人）</w:t>
      </w:r>
      <w:r>
        <w:rPr>
          <w:rFonts w:hint="eastAsia" w:ascii="宋体" w:hAnsi="宋体" w:eastAsia="宋体" w:cs="Times New Roman"/>
          <w:color w:val="000000" w:themeColor="text1"/>
          <w:sz w:val="24"/>
          <w:szCs w:val="21"/>
          <w:lang w:val="zh-CN"/>
        </w:rPr>
        <w:t>的__</w:t>
      </w:r>
      <w:r>
        <w:rPr>
          <w:rFonts w:hint="eastAsia" w:ascii="宋体" w:hAnsi="宋体" w:eastAsia="宋体" w:cs="Times New Roman"/>
          <w:color w:val="000000" w:themeColor="text1"/>
          <w:sz w:val="24"/>
          <w:szCs w:val="21"/>
          <w:u w:val="single"/>
          <w:lang w:val="zh-CN"/>
        </w:rPr>
        <w:t>__</w:t>
      </w:r>
      <w:r>
        <w:rPr>
          <w:rFonts w:hint="eastAsia" w:ascii="宋体" w:hAnsi="宋体" w:eastAsia="宋体" w:cs="Times New Roman"/>
          <w:color w:val="000000" w:themeColor="text1"/>
          <w:sz w:val="24"/>
          <w:szCs w:val="21"/>
          <w:lang w:val="zh-CN"/>
        </w:rPr>
        <w:t>项目（项目编号：______）采购活动由本企业承担工程（或提供服务）。</w:t>
      </w:r>
    </w:p>
    <w:p>
      <w:pPr>
        <w:spacing w:line="360" w:lineRule="auto"/>
        <w:ind w:firstLine="475" w:firstLineChars="198"/>
        <w:jc w:val="left"/>
        <w:rPr>
          <w:rFonts w:ascii="宋体" w:hAnsi="宋体" w:eastAsia="宋体" w:cs="Times New Roman"/>
          <w:color w:val="000000" w:themeColor="text1"/>
          <w:sz w:val="24"/>
          <w:szCs w:val="21"/>
          <w:lang w:val="zh-CN"/>
        </w:rPr>
      </w:pPr>
      <w:r>
        <w:rPr>
          <w:rFonts w:hint="eastAsia" w:ascii="宋体" w:hAnsi="宋体" w:eastAsia="宋体" w:cs="Times New Roman"/>
          <w:color w:val="000000" w:themeColor="text1"/>
          <w:sz w:val="24"/>
          <w:szCs w:val="21"/>
          <w:lang w:val="zh-CN"/>
        </w:rPr>
        <w:t>本公司对上述声明的真实性负责。如有虚假，将依法承担相应责任。</w:t>
      </w:r>
    </w:p>
    <w:p>
      <w:pPr>
        <w:adjustRightInd w:val="0"/>
        <w:snapToGrid w:val="0"/>
        <w:spacing w:line="360" w:lineRule="auto"/>
        <w:rPr>
          <w:rFonts w:ascii="宋体" w:hAnsi="宋体" w:eastAsia="宋体" w:cs="Times New Roman"/>
          <w:color w:val="000000" w:themeColor="text1"/>
          <w:sz w:val="28"/>
          <w:szCs w:val="24"/>
        </w:rPr>
      </w:pPr>
    </w:p>
    <w:p>
      <w:pPr>
        <w:adjustRightInd w:val="0"/>
        <w:snapToGrid w:val="0"/>
        <w:spacing w:line="360" w:lineRule="auto"/>
        <w:rPr>
          <w:rFonts w:ascii="宋体" w:hAnsi="宋体" w:eastAsia="宋体" w:cs="Times New Roman"/>
          <w:color w:val="000000" w:themeColor="text1"/>
          <w:sz w:val="28"/>
          <w:szCs w:val="24"/>
        </w:rPr>
      </w:pPr>
    </w:p>
    <w:p>
      <w:pPr>
        <w:spacing w:line="360" w:lineRule="auto"/>
        <w:ind w:left="950" w:hanging="950" w:hangingChars="396"/>
        <w:jc w:val="left"/>
        <w:rPr>
          <w:rFonts w:ascii="宋体" w:hAnsi="宋体" w:eastAsia="宋体" w:cs="Times New Roman"/>
          <w:color w:val="000000" w:themeColor="text1"/>
          <w:sz w:val="24"/>
          <w:szCs w:val="21"/>
          <w:lang w:val="zh-CN"/>
        </w:rPr>
      </w:pPr>
      <w:r>
        <w:rPr>
          <w:rFonts w:hint="eastAsia" w:ascii="宋体" w:hAnsi="宋体" w:eastAsia="宋体" w:cs="Times New Roman"/>
          <w:color w:val="000000" w:themeColor="text1"/>
          <w:sz w:val="24"/>
          <w:szCs w:val="21"/>
          <w:lang w:val="zh-CN"/>
        </w:rPr>
        <w:t>说明：1.组成联合体的大中型企业和其他自然人、法人或者其他组织，与小型、微型企业之间不得存在投资关系。</w:t>
      </w:r>
    </w:p>
    <w:p>
      <w:pPr>
        <w:tabs>
          <w:tab w:val="left" w:pos="882"/>
        </w:tabs>
        <w:spacing w:line="360" w:lineRule="auto"/>
        <w:ind w:left="936" w:leftChars="339" w:hanging="225" w:hangingChars="94"/>
        <w:jc w:val="left"/>
        <w:rPr>
          <w:rFonts w:ascii="宋体" w:hAnsi="宋体" w:eastAsia="宋体" w:cs="Times New Roman"/>
          <w:color w:val="000000" w:themeColor="text1"/>
          <w:sz w:val="24"/>
          <w:szCs w:val="21"/>
          <w:lang w:val="zh-CN"/>
        </w:rPr>
      </w:pPr>
      <w:r>
        <w:rPr>
          <w:rFonts w:hint="eastAsia" w:ascii="宋体" w:hAnsi="宋体" w:eastAsia="宋体" w:cs="Times New Roman"/>
          <w:color w:val="000000" w:themeColor="text1"/>
          <w:sz w:val="24"/>
          <w:szCs w:val="21"/>
          <w:lang w:val="zh-CN"/>
        </w:rPr>
        <w:t>2.以联合体方式参与本项目投标的供应商，应由联合体双方签字盖章。</w:t>
      </w:r>
    </w:p>
    <w:p>
      <w:pPr>
        <w:spacing w:line="360" w:lineRule="auto"/>
        <w:ind w:firstLine="480" w:firstLineChars="200"/>
        <w:jc w:val="left"/>
        <w:rPr>
          <w:rFonts w:ascii="宋体" w:hAnsi="宋体" w:eastAsia="宋体" w:cs="Times New Roman"/>
          <w:color w:val="000000" w:themeColor="text1"/>
          <w:sz w:val="24"/>
          <w:szCs w:val="21"/>
          <w:lang w:val="zh-CN"/>
        </w:rPr>
      </w:pPr>
    </w:p>
    <w:p>
      <w:pPr>
        <w:spacing w:line="360" w:lineRule="auto"/>
        <w:ind w:firstLine="480" w:firstLineChars="200"/>
        <w:jc w:val="left"/>
        <w:rPr>
          <w:rFonts w:ascii="宋体" w:hAnsi="宋体" w:eastAsia="宋体" w:cs="Times New Roman"/>
          <w:color w:val="000000" w:themeColor="text1"/>
          <w:sz w:val="24"/>
          <w:szCs w:val="21"/>
          <w:lang w:val="zh-CN"/>
        </w:rPr>
      </w:pPr>
    </w:p>
    <w:p>
      <w:pPr>
        <w:spacing w:line="360" w:lineRule="auto"/>
        <w:ind w:firstLine="480" w:firstLineChars="200"/>
        <w:jc w:val="left"/>
        <w:rPr>
          <w:rFonts w:ascii="宋体" w:hAnsi="宋体" w:eastAsia="宋体" w:cs="Times New Roman"/>
          <w:color w:val="000000" w:themeColor="text1"/>
          <w:sz w:val="24"/>
          <w:szCs w:val="21"/>
          <w:lang w:val="zh-CN"/>
        </w:rPr>
      </w:pPr>
    </w:p>
    <w:p>
      <w:pPr>
        <w:spacing w:before="100" w:beforeAutospacing="1" w:after="100" w:afterAutospacing="1" w:line="360" w:lineRule="auto"/>
        <w:ind w:firstLine="3316" w:firstLineChars="1382"/>
        <w:rPr>
          <w:rFonts w:ascii="宋体" w:hAnsi="宋体" w:eastAsia="宋体" w:cs="Times New Roman"/>
          <w:b/>
          <w:bCs/>
          <w:color w:val="000000" w:themeColor="text1"/>
          <w:sz w:val="24"/>
          <w:szCs w:val="21"/>
          <w:u w:val="single"/>
          <w:lang w:val="zh-CN"/>
        </w:rPr>
      </w:pPr>
      <w:r>
        <w:rPr>
          <w:rFonts w:hint="eastAsia" w:ascii="宋体" w:hAnsi="宋体" w:eastAsia="宋体" w:cs="Times New Roman"/>
          <w:b/>
          <w:bCs/>
          <w:color w:val="000000" w:themeColor="text1"/>
          <w:sz w:val="24"/>
          <w:szCs w:val="21"/>
          <w:lang w:val="zh-CN"/>
        </w:rPr>
        <w:t>投标人（公章）：</w:t>
      </w:r>
    </w:p>
    <w:p>
      <w:pPr>
        <w:spacing w:before="100" w:beforeAutospacing="1" w:after="100" w:afterAutospacing="1" w:line="360" w:lineRule="auto"/>
        <w:ind w:firstLine="3316" w:firstLineChars="1382"/>
        <w:rPr>
          <w:rFonts w:ascii="宋体" w:hAnsi="宋体" w:eastAsia="宋体" w:cs="Times New Roman"/>
          <w:b/>
          <w:bCs/>
          <w:color w:val="000000" w:themeColor="text1"/>
          <w:sz w:val="24"/>
          <w:szCs w:val="21"/>
          <w:u w:val="single"/>
          <w:lang w:val="zh-CN"/>
        </w:rPr>
      </w:pPr>
      <w:r>
        <w:rPr>
          <w:rFonts w:hint="eastAsia" w:ascii="宋体" w:hAnsi="宋体" w:eastAsia="宋体" w:cs="Times New Roman"/>
          <w:b/>
          <w:bCs/>
          <w:color w:val="000000" w:themeColor="text1"/>
          <w:sz w:val="24"/>
          <w:szCs w:val="21"/>
          <w:lang w:val="zh-CN"/>
        </w:rPr>
        <w:t>投标人授权代表（签字）：</w:t>
      </w:r>
    </w:p>
    <w:p>
      <w:pPr>
        <w:spacing w:before="100" w:beforeAutospacing="1" w:after="100" w:afterAutospacing="1" w:line="360" w:lineRule="auto"/>
        <w:ind w:firstLine="3316" w:firstLineChars="1382"/>
        <w:rPr>
          <w:rFonts w:ascii="宋体" w:hAnsi="宋体" w:eastAsia="宋体" w:cs="Times New Roman"/>
          <w:b/>
          <w:bCs/>
          <w:color w:val="000000" w:themeColor="text1"/>
          <w:sz w:val="24"/>
          <w:szCs w:val="21"/>
          <w:u w:val="single"/>
          <w:lang w:val="zh-CN"/>
        </w:rPr>
      </w:pPr>
      <w:r>
        <w:rPr>
          <w:rFonts w:hint="eastAsia" w:ascii="宋体" w:hAnsi="宋体" w:eastAsia="宋体" w:cs="Times New Roman"/>
          <w:b/>
          <w:bCs/>
          <w:color w:val="000000" w:themeColor="text1"/>
          <w:sz w:val="24"/>
          <w:szCs w:val="21"/>
          <w:lang w:val="zh-CN"/>
        </w:rPr>
        <w:t>投标时间：</w:t>
      </w:r>
    </w:p>
    <w:p>
      <w:pPr>
        <w:rPr>
          <w:color w:val="000000" w:themeColor="text1"/>
        </w:rPr>
        <w:sectPr>
          <w:headerReference r:id="rId7" w:type="default"/>
          <w:footerReference r:id="rId8" w:type="default"/>
          <w:pgSz w:w="11906" w:h="16838"/>
          <w:pgMar w:top="1134" w:right="1191" w:bottom="1134" w:left="1191" w:header="851" w:footer="624" w:gutter="0"/>
          <w:cols w:space="425" w:num="1"/>
          <w:docGrid w:type="linesAndChars" w:linePitch="312" w:charSpace="0"/>
        </w:sectPr>
      </w:pPr>
      <w:r>
        <w:rPr>
          <w:color w:val="000000" w:themeColor="text1"/>
        </w:rPr>
        <w:br w:type="page"/>
      </w:r>
    </w:p>
    <w:p>
      <w:pPr>
        <w:spacing w:line="240" w:lineRule="atLeast"/>
        <w:ind w:left="-48" w:leftChars="-23" w:right="-65" w:rightChars="-31"/>
        <w:jc w:val="center"/>
        <w:rPr>
          <w:rFonts w:ascii="宋体" w:hAnsi="宋体" w:eastAsia="宋体" w:cs="Times New Roman"/>
          <w:b/>
          <w:color w:val="000000" w:themeColor="text1"/>
          <w:sz w:val="30"/>
          <w:szCs w:val="30"/>
          <w:lang w:val="zh-CN"/>
        </w:rPr>
      </w:pPr>
      <w:bookmarkStart w:id="152" w:name="_Toc476153619"/>
      <w:r>
        <w:rPr>
          <w:rFonts w:hint="eastAsia" w:ascii="宋体" w:hAnsi="宋体" w:eastAsia="宋体" w:cs="Times New Roman"/>
          <w:b/>
          <w:color w:val="000000" w:themeColor="text1"/>
          <w:sz w:val="30"/>
          <w:szCs w:val="30"/>
          <w:lang w:val="zh-CN"/>
        </w:rPr>
        <w:t>中小企业划型标准</w:t>
      </w:r>
      <w:bookmarkEnd w:id="152"/>
    </w:p>
    <w:tbl>
      <w:tblPr>
        <w:tblStyle w:val="18"/>
        <w:tblW w:w="14470" w:type="dxa"/>
        <w:jc w:val="center"/>
        <w:tblLayout w:type="fixed"/>
        <w:tblCellMar>
          <w:top w:w="0" w:type="dxa"/>
          <w:left w:w="108" w:type="dxa"/>
          <w:bottom w:w="0" w:type="dxa"/>
          <w:right w:w="108" w:type="dxa"/>
        </w:tblCellMar>
      </w:tblPr>
      <w:tblGrid>
        <w:gridCol w:w="490"/>
        <w:gridCol w:w="1954"/>
        <w:gridCol w:w="1198"/>
        <w:gridCol w:w="923"/>
        <w:gridCol w:w="941"/>
        <w:gridCol w:w="1108"/>
        <w:gridCol w:w="943"/>
        <w:gridCol w:w="998"/>
        <w:gridCol w:w="1108"/>
        <w:gridCol w:w="961"/>
        <w:gridCol w:w="1004"/>
        <w:gridCol w:w="1108"/>
        <w:gridCol w:w="883"/>
        <w:gridCol w:w="851"/>
      </w:tblGrid>
      <w:tr>
        <w:tblPrEx>
          <w:tblCellMar>
            <w:top w:w="0" w:type="dxa"/>
            <w:left w:w="108" w:type="dxa"/>
            <w:bottom w:w="0" w:type="dxa"/>
            <w:right w:w="108" w:type="dxa"/>
          </w:tblCellMar>
        </w:tblPrEx>
        <w:trPr>
          <w:trHeight w:val="500" w:hRule="atLeast"/>
          <w:tblHeader/>
          <w:jc w:val="center"/>
        </w:trPr>
        <w:tc>
          <w:tcPr>
            <w:tcW w:w="490" w:type="dxa"/>
            <w:vMerge w:val="restart"/>
            <w:tcBorders>
              <w:top w:val="single" w:color="auto" w:sz="4" w:space="0"/>
              <w:left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000000" w:themeColor="text1"/>
                <w:kern w:val="0"/>
                <w:szCs w:val="21"/>
              </w:rPr>
            </w:pPr>
            <w:r>
              <w:rPr>
                <w:rFonts w:hint="eastAsia" w:ascii="宋体" w:hAnsi="宋体" w:eastAsia="宋体" w:cs="宋体"/>
                <w:b/>
                <w:color w:val="000000" w:themeColor="text1"/>
                <w:kern w:val="0"/>
                <w:szCs w:val="21"/>
              </w:rPr>
              <w:t>序号</w:t>
            </w:r>
          </w:p>
        </w:tc>
        <w:tc>
          <w:tcPr>
            <w:tcW w:w="1954" w:type="dxa"/>
            <w:vMerge w:val="restart"/>
            <w:tcBorders>
              <w:top w:val="single" w:color="auto" w:sz="4" w:space="0"/>
              <w:left w:val="nil"/>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000000" w:themeColor="text1"/>
                <w:kern w:val="0"/>
                <w:szCs w:val="21"/>
              </w:rPr>
            </w:pPr>
            <w:r>
              <w:rPr>
                <w:rFonts w:hint="eastAsia" w:ascii="宋体" w:hAnsi="宋体" w:eastAsia="宋体" w:cs="宋体"/>
                <w:b/>
                <w:color w:val="000000" w:themeColor="text1"/>
                <w:kern w:val="0"/>
                <w:szCs w:val="21"/>
              </w:rPr>
              <w:t>行业</w:t>
            </w:r>
          </w:p>
        </w:tc>
        <w:tc>
          <w:tcPr>
            <w:tcW w:w="306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000000" w:themeColor="text1"/>
                <w:kern w:val="0"/>
                <w:szCs w:val="21"/>
              </w:rPr>
            </w:pPr>
            <w:r>
              <w:rPr>
                <w:rFonts w:hint="eastAsia" w:ascii="宋体" w:hAnsi="宋体" w:eastAsia="宋体" w:cs="宋体"/>
                <w:b/>
                <w:color w:val="000000" w:themeColor="text1"/>
                <w:kern w:val="0"/>
                <w:szCs w:val="21"/>
              </w:rPr>
              <w:t>大型企业</w:t>
            </w:r>
          </w:p>
        </w:tc>
        <w:tc>
          <w:tcPr>
            <w:tcW w:w="3049"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000000" w:themeColor="text1"/>
                <w:kern w:val="0"/>
                <w:szCs w:val="21"/>
              </w:rPr>
            </w:pPr>
            <w:r>
              <w:rPr>
                <w:rFonts w:hint="eastAsia" w:ascii="宋体" w:hAnsi="宋体" w:eastAsia="宋体" w:cs="宋体"/>
                <w:b/>
                <w:color w:val="000000" w:themeColor="text1"/>
                <w:kern w:val="0"/>
                <w:szCs w:val="21"/>
              </w:rPr>
              <w:t>中型企业</w:t>
            </w:r>
          </w:p>
        </w:tc>
        <w:tc>
          <w:tcPr>
            <w:tcW w:w="3073"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000000" w:themeColor="text1"/>
                <w:kern w:val="0"/>
                <w:szCs w:val="21"/>
              </w:rPr>
            </w:pPr>
            <w:r>
              <w:rPr>
                <w:rFonts w:hint="eastAsia" w:ascii="宋体" w:hAnsi="宋体" w:eastAsia="宋体" w:cs="宋体"/>
                <w:b/>
                <w:color w:val="000000" w:themeColor="text1"/>
                <w:kern w:val="0"/>
                <w:szCs w:val="21"/>
              </w:rPr>
              <w:t>小型企业</w:t>
            </w:r>
          </w:p>
        </w:tc>
        <w:tc>
          <w:tcPr>
            <w:tcW w:w="284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000000" w:themeColor="text1"/>
                <w:kern w:val="0"/>
                <w:szCs w:val="21"/>
              </w:rPr>
            </w:pPr>
            <w:r>
              <w:rPr>
                <w:rFonts w:hint="eastAsia" w:ascii="宋体" w:hAnsi="宋体" w:eastAsia="宋体" w:cs="宋体"/>
                <w:b/>
                <w:color w:val="000000" w:themeColor="text1"/>
                <w:kern w:val="0"/>
                <w:szCs w:val="21"/>
              </w:rPr>
              <w:t>微型企业</w:t>
            </w:r>
          </w:p>
        </w:tc>
      </w:tr>
      <w:tr>
        <w:tblPrEx>
          <w:tblCellMar>
            <w:top w:w="0" w:type="dxa"/>
            <w:left w:w="108" w:type="dxa"/>
            <w:bottom w:w="0" w:type="dxa"/>
            <w:right w:w="108" w:type="dxa"/>
          </w:tblCellMar>
        </w:tblPrEx>
        <w:trPr>
          <w:trHeight w:val="226" w:hRule="atLeast"/>
          <w:tblHeader/>
          <w:jc w:val="center"/>
        </w:trPr>
        <w:tc>
          <w:tcPr>
            <w:tcW w:w="490" w:type="dxa"/>
            <w:vMerge w:val="continue"/>
            <w:tcBorders>
              <w:left w:val="single" w:color="auto" w:sz="4" w:space="0"/>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000000" w:themeColor="text1"/>
                <w:kern w:val="0"/>
                <w:szCs w:val="21"/>
              </w:rPr>
            </w:pPr>
          </w:p>
        </w:tc>
        <w:tc>
          <w:tcPr>
            <w:tcW w:w="1954" w:type="dxa"/>
            <w:vMerge w:val="continue"/>
            <w:tcBorders>
              <w:left w:val="nil"/>
              <w:bottom w:val="single" w:color="auto" w:sz="4" w:space="0"/>
              <w:right w:val="single" w:color="auto" w:sz="4" w:space="0"/>
            </w:tcBorders>
            <w:shd w:val="clear" w:color="auto" w:fill="auto"/>
            <w:vAlign w:val="center"/>
          </w:tcPr>
          <w:p>
            <w:pPr>
              <w:spacing w:line="240" w:lineRule="atLeast"/>
              <w:ind w:left="-48" w:leftChars="-23" w:right="-65" w:rightChars="-31"/>
              <w:jc w:val="left"/>
              <w:rPr>
                <w:rFonts w:ascii="宋体" w:hAnsi="宋体" w:eastAsia="宋体" w:cs="宋体"/>
                <w:b/>
                <w:color w:val="000000" w:themeColor="text1"/>
                <w:kern w:val="0"/>
                <w:szCs w:val="21"/>
              </w:rPr>
            </w:pPr>
          </w:p>
        </w:tc>
        <w:tc>
          <w:tcPr>
            <w:tcW w:w="119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000000" w:themeColor="text1"/>
                <w:kern w:val="0"/>
                <w:szCs w:val="21"/>
              </w:rPr>
            </w:pPr>
            <w:r>
              <w:rPr>
                <w:rFonts w:hint="eastAsia" w:ascii="宋体" w:hAnsi="宋体" w:eastAsia="宋体" w:cs="宋体"/>
                <w:b/>
                <w:color w:val="000000" w:themeColor="text1"/>
                <w:kern w:val="0"/>
                <w:szCs w:val="21"/>
              </w:rPr>
              <w:t>营业收入</w:t>
            </w:r>
          </w:p>
          <w:p>
            <w:pPr>
              <w:spacing w:line="240" w:lineRule="atLeast"/>
              <w:ind w:left="-48" w:leftChars="-23" w:right="-65" w:rightChars="-31"/>
              <w:jc w:val="center"/>
              <w:rPr>
                <w:rFonts w:ascii="宋体" w:hAnsi="宋体" w:eastAsia="宋体" w:cs="宋体"/>
                <w:b/>
                <w:color w:val="000000" w:themeColor="text1"/>
                <w:kern w:val="0"/>
                <w:szCs w:val="21"/>
              </w:rPr>
            </w:pPr>
            <w:r>
              <w:rPr>
                <w:rFonts w:hint="eastAsia" w:ascii="宋体" w:hAnsi="宋体" w:eastAsia="宋体" w:cs="宋体"/>
                <w:b/>
                <w:color w:val="000000" w:themeColor="text1"/>
                <w:kern w:val="0"/>
                <w:szCs w:val="21"/>
              </w:rPr>
              <w:t>(万元)</w:t>
            </w:r>
          </w:p>
        </w:tc>
        <w:tc>
          <w:tcPr>
            <w:tcW w:w="923"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000000" w:themeColor="text1"/>
                <w:kern w:val="0"/>
                <w:szCs w:val="21"/>
              </w:rPr>
            </w:pPr>
            <w:r>
              <w:rPr>
                <w:rFonts w:hint="eastAsia" w:ascii="宋体" w:hAnsi="宋体" w:eastAsia="宋体" w:cs="宋体"/>
                <w:b/>
                <w:color w:val="000000" w:themeColor="text1"/>
                <w:kern w:val="0"/>
                <w:szCs w:val="21"/>
              </w:rPr>
              <w:t>从业人员</w:t>
            </w:r>
          </w:p>
          <w:p>
            <w:pPr>
              <w:spacing w:line="240" w:lineRule="atLeast"/>
              <w:ind w:left="-48" w:leftChars="-23" w:right="-65" w:rightChars="-31"/>
              <w:jc w:val="center"/>
              <w:rPr>
                <w:rFonts w:ascii="宋体" w:hAnsi="宋体" w:eastAsia="宋体" w:cs="宋体"/>
                <w:b/>
                <w:color w:val="000000" w:themeColor="text1"/>
                <w:kern w:val="0"/>
                <w:szCs w:val="21"/>
              </w:rPr>
            </w:pPr>
            <w:r>
              <w:rPr>
                <w:rFonts w:hint="eastAsia" w:ascii="宋体" w:hAnsi="宋体" w:eastAsia="宋体" w:cs="宋体"/>
                <w:b/>
                <w:color w:val="000000" w:themeColor="text1"/>
                <w:kern w:val="0"/>
                <w:szCs w:val="21"/>
              </w:rPr>
              <w:t>(人)</w:t>
            </w:r>
          </w:p>
        </w:tc>
        <w:tc>
          <w:tcPr>
            <w:tcW w:w="941"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000000" w:themeColor="text1"/>
                <w:kern w:val="0"/>
                <w:szCs w:val="21"/>
              </w:rPr>
            </w:pPr>
            <w:r>
              <w:rPr>
                <w:rFonts w:hint="eastAsia" w:ascii="宋体" w:hAnsi="宋体" w:eastAsia="宋体" w:cs="宋体"/>
                <w:b/>
                <w:color w:val="000000" w:themeColor="text1"/>
                <w:kern w:val="0"/>
                <w:szCs w:val="21"/>
              </w:rPr>
              <w:t>总资产</w:t>
            </w:r>
          </w:p>
          <w:p>
            <w:pPr>
              <w:spacing w:line="240" w:lineRule="atLeast"/>
              <w:ind w:left="-48" w:leftChars="-23" w:right="-65" w:rightChars="-31"/>
              <w:jc w:val="center"/>
              <w:rPr>
                <w:rFonts w:ascii="宋体" w:hAnsi="宋体" w:eastAsia="宋体" w:cs="宋体"/>
                <w:b/>
                <w:color w:val="000000" w:themeColor="text1"/>
                <w:kern w:val="0"/>
                <w:szCs w:val="21"/>
              </w:rPr>
            </w:pPr>
            <w:r>
              <w:rPr>
                <w:rFonts w:hint="eastAsia" w:ascii="宋体" w:hAnsi="宋体" w:eastAsia="宋体" w:cs="宋体"/>
                <w:b/>
                <w:color w:val="000000" w:themeColor="text1"/>
                <w:kern w:val="0"/>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000000" w:themeColor="text1"/>
                <w:kern w:val="0"/>
                <w:szCs w:val="21"/>
              </w:rPr>
            </w:pPr>
            <w:r>
              <w:rPr>
                <w:rFonts w:hint="eastAsia" w:ascii="宋体" w:hAnsi="宋体" w:eastAsia="宋体" w:cs="宋体"/>
                <w:b/>
                <w:color w:val="000000" w:themeColor="text1"/>
                <w:kern w:val="0"/>
                <w:szCs w:val="21"/>
              </w:rPr>
              <w:t>营业收入</w:t>
            </w:r>
          </w:p>
          <w:p>
            <w:pPr>
              <w:spacing w:line="240" w:lineRule="atLeast"/>
              <w:ind w:left="-48" w:leftChars="-23" w:right="-65" w:rightChars="-31"/>
              <w:jc w:val="center"/>
              <w:rPr>
                <w:rFonts w:ascii="宋体" w:hAnsi="宋体" w:eastAsia="宋体" w:cs="宋体"/>
                <w:b/>
                <w:color w:val="000000" w:themeColor="text1"/>
                <w:kern w:val="0"/>
                <w:szCs w:val="21"/>
              </w:rPr>
            </w:pPr>
            <w:r>
              <w:rPr>
                <w:rFonts w:hint="eastAsia" w:ascii="宋体" w:hAnsi="宋体" w:eastAsia="宋体" w:cs="宋体"/>
                <w:b/>
                <w:color w:val="000000" w:themeColor="text1"/>
                <w:kern w:val="0"/>
                <w:szCs w:val="21"/>
              </w:rPr>
              <w:t>(万元)</w:t>
            </w:r>
          </w:p>
        </w:tc>
        <w:tc>
          <w:tcPr>
            <w:tcW w:w="943"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000000" w:themeColor="text1"/>
                <w:kern w:val="0"/>
                <w:szCs w:val="21"/>
              </w:rPr>
            </w:pPr>
            <w:r>
              <w:rPr>
                <w:rFonts w:hint="eastAsia" w:ascii="宋体" w:hAnsi="宋体" w:eastAsia="宋体" w:cs="宋体"/>
                <w:b/>
                <w:color w:val="000000" w:themeColor="text1"/>
                <w:kern w:val="0"/>
                <w:szCs w:val="21"/>
              </w:rPr>
              <w:t>从业人员</w:t>
            </w:r>
          </w:p>
          <w:p>
            <w:pPr>
              <w:spacing w:line="240" w:lineRule="atLeast"/>
              <w:ind w:left="-48" w:leftChars="-23" w:right="-65" w:rightChars="-31"/>
              <w:jc w:val="center"/>
              <w:rPr>
                <w:rFonts w:ascii="宋体" w:hAnsi="宋体" w:eastAsia="宋体" w:cs="宋体"/>
                <w:b/>
                <w:color w:val="000000" w:themeColor="text1"/>
                <w:kern w:val="0"/>
                <w:szCs w:val="21"/>
              </w:rPr>
            </w:pPr>
            <w:r>
              <w:rPr>
                <w:rFonts w:hint="eastAsia" w:ascii="宋体" w:hAnsi="宋体" w:eastAsia="宋体" w:cs="宋体"/>
                <w:b/>
                <w:color w:val="000000" w:themeColor="text1"/>
                <w:kern w:val="0"/>
                <w:szCs w:val="21"/>
              </w:rPr>
              <w:t>(人)</w:t>
            </w:r>
          </w:p>
        </w:tc>
        <w:tc>
          <w:tcPr>
            <w:tcW w:w="99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000000" w:themeColor="text1"/>
                <w:kern w:val="0"/>
                <w:szCs w:val="21"/>
              </w:rPr>
            </w:pPr>
            <w:r>
              <w:rPr>
                <w:rFonts w:hint="eastAsia" w:ascii="宋体" w:hAnsi="宋体" w:eastAsia="宋体" w:cs="宋体"/>
                <w:b/>
                <w:color w:val="000000" w:themeColor="text1"/>
                <w:kern w:val="0"/>
                <w:szCs w:val="21"/>
              </w:rPr>
              <w:t>总资产</w:t>
            </w:r>
          </w:p>
          <w:p>
            <w:pPr>
              <w:spacing w:line="240" w:lineRule="atLeast"/>
              <w:ind w:left="-48" w:leftChars="-23" w:right="-65" w:rightChars="-31"/>
              <w:jc w:val="center"/>
              <w:rPr>
                <w:rFonts w:ascii="宋体" w:hAnsi="宋体" w:eastAsia="宋体" w:cs="宋体"/>
                <w:b/>
                <w:color w:val="000000" w:themeColor="text1"/>
                <w:kern w:val="0"/>
                <w:szCs w:val="21"/>
              </w:rPr>
            </w:pPr>
            <w:r>
              <w:rPr>
                <w:rFonts w:hint="eastAsia" w:ascii="宋体" w:hAnsi="宋体" w:eastAsia="宋体" w:cs="宋体"/>
                <w:b/>
                <w:color w:val="000000" w:themeColor="text1"/>
                <w:kern w:val="0"/>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000000" w:themeColor="text1"/>
                <w:kern w:val="0"/>
                <w:szCs w:val="21"/>
              </w:rPr>
            </w:pPr>
            <w:r>
              <w:rPr>
                <w:rFonts w:hint="eastAsia" w:ascii="宋体" w:hAnsi="宋体" w:eastAsia="宋体" w:cs="宋体"/>
                <w:b/>
                <w:color w:val="000000" w:themeColor="text1"/>
                <w:kern w:val="0"/>
                <w:szCs w:val="21"/>
              </w:rPr>
              <w:t>营业收入</w:t>
            </w:r>
          </w:p>
          <w:p>
            <w:pPr>
              <w:spacing w:line="240" w:lineRule="atLeast"/>
              <w:ind w:left="-48" w:leftChars="-23" w:right="-65" w:rightChars="-31"/>
              <w:jc w:val="center"/>
              <w:rPr>
                <w:rFonts w:ascii="宋体" w:hAnsi="宋体" w:eastAsia="宋体" w:cs="宋体"/>
                <w:b/>
                <w:color w:val="000000" w:themeColor="text1"/>
                <w:kern w:val="0"/>
                <w:szCs w:val="21"/>
              </w:rPr>
            </w:pPr>
            <w:r>
              <w:rPr>
                <w:rFonts w:hint="eastAsia" w:ascii="宋体" w:hAnsi="宋体" w:eastAsia="宋体" w:cs="宋体"/>
                <w:b/>
                <w:color w:val="000000" w:themeColor="text1"/>
                <w:kern w:val="0"/>
                <w:szCs w:val="21"/>
              </w:rPr>
              <w:t>(万元)</w:t>
            </w:r>
          </w:p>
        </w:tc>
        <w:tc>
          <w:tcPr>
            <w:tcW w:w="961" w:type="dxa"/>
            <w:tcBorders>
              <w:top w:val="nil"/>
              <w:left w:val="nil"/>
              <w:bottom w:val="single" w:color="auto" w:sz="4" w:space="0"/>
              <w:right w:val="single" w:color="auto" w:sz="4" w:space="0"/>
            </w:tcBorders>
            <w:shd w:val="clear" w:color="auto" w:fill="auto"/>
            <w:vAlign w:val="center"/>
          </w:tcPr>
          <w:p>
            <w:pPr>
              <w:spacing w:line="240" w:lineRule="atLeast"/>
              <w:ind w:left="119" w:leftChars="-23" w:right="-65" w:rightChars="-31" w:hanging="167" w:hangingChars="79"/>
              <w:jc w:val="center"/>
              <w:rPr>
                <w:rFonts w:ascii="宋体" w:hAnsi="宋体" w:eastAsia="宋体" w:cs="宋体"/>
                <w:b/>
                <w:color w:val="000000" w:themeColor="text1"/>
                <w:kern w:val="0"/>
                <w:szCs w:val="21"/>
              </w:rPr>
            </w:pPr>
            <w:r>
              <w:rPr>
                <w:rFonts w:hint="eastAsia" w:ascii="宋体" w:hAnsi="宋体" w:eastAsia="宋体" w:cs="宋体"/>
                <w:b/>
                <w:color w:val="000000" w:themeColor="text1"/>
                <w:kern w:val="0"/>
                <w:szCs w:val="21"/>
              </w:rPr>
              <w:t>从业人员</w:t>
            </w:r>
          </w:p>
          <w:p>
            <w:pPr>
              <w:spacing w:line="240" w:lineRule="atLeast"/>
              <w:ind w:left="-48" w:leftChars="-23" w:right="-65" w:rightChars="-31"/>
              <w:jc w:val="center"/>
              <w:rPr>
                <w:rFonts w:ascii="宋体" w:hAnsi="宋体" w:eastAsia="宋体" w:cs="宋体"/>
                <w:b/>
                <w:color w:val="000000" w:themeColor="text1"/>
                <w:kern w:val="0"/>
                <w:szCs w:val="21"/>
              </w:rPr>
            </w:pPr>
            <w:r>
              <w:rPr>
                <w:rFonts w:hint="eastAsia" w:ascii="宋体" w:hAnsi="宋体" w:eastAsia="宋体" w:cs="宋体"/>
                <w:b/>
                <w:color w:val="000000" w:themeColor="text1"/>
                <w:kern w:val="0"/>
                <w:szCs w:val="21"/>
              </w:rPr>
              <w:t>(人)</w:t>
            </w:r>
          </w:p>
        </w:tc>
        <w:tc>
          <w:tcPr>
            <w:tcW w:w="1004"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000000" w:themeColor="text1"/>
                <w:kern w:val="0"/>
                <w:szCs w:val="21"/>
              </w:rPr>
            </w:pPr>
            <w:r>
              <w:rPr>
                <w:rFonts w:hint="eastAsia" w:ascii="宋体" w:hAnsi="宋体" w:eastAsia="宋体" w:cs="宋体"/>
                <w:b/>
                <w:color w:val="000000" w:themeColor="text1"/>
                <w:kern w:val="0"/>
                <w:szCs w:val="21"/>
              </w:rPr>
              <w:t>总资产</w:t>
            </w:r>
          </w:p>
          <w:p>
            <w:pPr>
              <w:spacing w:line="240" w:lineRule="atLeast"/>
              <w:ind w:left="-48" w:leftChars="-23" w:right="-65" w:rightChars="-31"/>
              <w:jc w:val="center"/>
              <w:rPr>
                <w:rFonts w:ascii="宋体" w:hAnsi="宋体" w:eastAsia="宋体" w:cs="宋体"/>
                <w:b/>
                <w:color w:val="000000" w:themeColor="text1"/>
                <w:kern w:val="0"/>
                <w:szCs w:val="21"/>
              </w:rPr>
            </w:pPr>
            <w:r>
              <w:rPr>
                <w:rFonts w:hint="eastAsia" w:ascii="宋体" w:hAnsi="宋体" w:eastAsia="宋体" w:cs="宋体"/>
                <w:b/>
                <w:color w:val="000000" w:themeColor="text1"/>
                <w:kern w:val="0"/>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000000" w:themeColor="text1"/>
                <w:kern w:val="0"/>
                <w:szCs w:val="21"/>
              </w:rPr>
            </w:pPr>
            <w:r>
              <w:rPr>
                <w:rFonts w:hint="eastAsia" w:ascii="宋体" w:hAnsi="宋体" w:eastAsia="宋体" w:cs="宋体"/>
                <w:b/>
                <w:color w:val="000000" w:themeColor="text1"/>
                <w:kern w:val="0"/>
                <w:szCs w:val="21"/>
              </w:rPr>
              <w:t>营业收入</w:t>
            </w:r>
          </w:p>
          <w:p>
            <w:pPr>
              <w:spacing w:line="240" w:lineRule="atLeast"/>
              <w:ind w:left="-48" w:leftChars="-23" w:right="-65" w:rightChars="-31"/>
              <w:jc w:val="center"/>
              <w:rPr>
                <w:rFonts w:ascii="宋体" w:hAnsi="宋体" w:eastAsia="宋体" w:cs="宋体"/>
                <w:b/>
                <w:color w:val="000000" w:themeColor="text1"/>
                <w:kern w:val="0"/>
                <w:szCs w:val="21"/>
              </w:rPr>
            </w:pPr>
            <w:r>
              <w:rPr>
                <w:rFonts w:hint="eastAsia" w:ascii="宋体" w:hAnsi="宋体" w:eastAsia="宋体" w:cs="宋体"/>
                <w:b/>
                <w:color w:val="000000" w:themeColor="text1"/>
                <w:kern w:val="0"/>
                <w:szCs w:val="21"/>
              </w:rPr>
              <w:t>(万元)</w:t>
            </w:r>
          </w:p>
        </w:tc>
        <w:tc>
          <w:tcPr>
            <w:tcW w:w="883"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000000" w:themeColor="text1"/>
                <w:kern w:val="0"/>
                <w:szCs w:val="21"/>
              </w:rPr>
            </w:pPr>
            <w:r>
              <w:rPr>
                <w:rFonts w:hint="eastAsia" w:ascii="宋体" w:hAnsi="宋体" w:eastAsia="宋体" w:cs="宋体"/>
                <w:b/>
                <w:color w:val="000000" w:themeColor="text1"/>
                <w:kern w:val="0"/>
                <w:szCs w:val="21"/>
              </w:rPr>
              <w:t>从业人员</w:t>
            </w:r>
          </w:p>
          <w:p>
            <w:pPr>
              <w:spacing w:line="240" w:lineRule="atLeast"/>
              <w:ind w:left="-48" w:leftChars="-23" w:right="-65" w:rightChars="-31"/>
              <w:jc w:val="center"/>
              <w:rPr>
                <w:rFonts w:ascii="宋体" w:hAnsi="宋体" w:eastAsia="宋体" w:cs="宋体"/>
                <w:b/>
                <w:color w:val="000000" w:themeColor="text1"/>
                <w:kern w:val="0"/>
                <w:szCs w:val="21"/>
              </w:rPr>
            </w:pPr>
            <w:r>
              <w:rPr>
                <w:rFonts w:hint="eastAsia" w:ascii="宋体" w:hAnsi="宋体" w:eastAsia="宋体" w:cs="宋体"/>
                <w:b/>
                <w:color w:val="000000" w:themeColor="text1"/>
                <w:kern w:val="0"/>
                <w:szCs w:val="21"/>
              </w:rPr>
              <w:t>(人)</w:t>
            </w:r>
          </w:p>
        </w:tc>
        <w:tc>
          <w:tcPr>
            <w:tcW w:w="851"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000000" w:themeColor="text1"/>
                <w:kern w:val="0"/>
                <w:szCs w:val="21"/>
              </w:rPr>
            </w:pPr>
            <w:r>
              <w:rPr>
                <w:rFonts w:hint="eastAsia" w:ascii="宋体" w:hAnsi="宋体" w:eastAsia="宋体" w:cs="宋体"/>
                <w:b/>
                <w:color w:val="000000" w:themeColor="text1"/>
                <w:kern w:val="0"/>
                <w:szCs w:val="21"/>
              </w:rPr>
              <w:t>总资产</w:t>
            </w:r>
          </w:p>
          <w:p>
            <w:pPr>
              <w:spacing w:line="240" w:lineRule="atLeast"/>
              <w:ind w:left="-48" w:leftChars="-23" w:right="-65" w:rightChars="-31"/>
              <w:jc w:val="center"/>
              <w:rPr>
                <w:rFonts w:ascii="宋体" w:hAnsi="宋体" w:eastAsia="宋体" w:cs="宋体"/>
                <w:b/>
                <w:color w:val="000000" w:themeColor="text1"/>
                <w:kern w:val="0"/>
                <w:szCs w:val="21"/>
              </w:rPr>
            </w:pPr>
            <w:r>
              <w:rPr>
                <w:rFonts w:hint="eastAsia" w:ascii="宋体" w:hAnsi="宋体" w:eastAsia="宋体" w:cs="宋体"/>
                <w:b/>
                <w:color w:val="000000" w:themeColor="text1"/>
                <w:kern w:val="0"/>
                <w:szCs w:val="21"/>
              </w:rPr>
              <w:t>(万元)</w:t>
            </w:r>
          </w:p>
        </w:tc>
      </w:tr>
      <w:tr>
        <w:tblPrEx>
          <w:tblCellMar>
            <w:top w:w="0" w:type="dxa"/>
            <w:left w:w="108" w:type="dxa"/>
            <w:bottom w:w="0" w:type="dxa"/>
            <w:right w:w="108" w:type="dxa"/>
          </w:tblCellMar>
        </w:tblPrEx>
        <w:trPr>
          <w:trHeight w:val="369"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ind w:left="-107" w:leftChars="-51" w:right="-107" w:rightChars="-51"/>
              <w:jc w:val="center"/>
              <w:rPr>
                <w:rFonts w:ascii="宋体" w:hAnsi="宋体" w:eastAsia="宋体" w:cs="宋体"/>
                <w:b/>
                <w:color w:val="000000" w:themeColor="text1"/>
                <w:kern w:val="0"/>
                <w:szCs w:val="21"/>
              </w:rPr>
            </w:pPr>
            <w:r>
              <w:rPr>
                <w:rFonts w:hint="eastAsia" w:ascii="宋体" w:hAnsi="宋体" w:eastAsia="宋体" w:cs="宋体"/>
                <w:b/>
                <w:color w:val="000000" w:themeColor="text1"/>
                <w:kern w:val="0"/>
                <w:szCs w:val="21"/>
              </w:rPr>
              <w:t>1</w:t>
            </w:r>
          </w:p>
        </w:tc>
        <w:tc>
          <w:tcPr>
            <w:tcW w:w="1954" w:type="dxa"/>
            <w:tcBorders>
              <w:top w:val="single" w:color="auto" w:sz="4" w:space="0"/>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000000" w:themeColor="text1"/>
                <w:kern w:val="0"/>
                <w:szCs w:val="21"/>
              </w:rPr>
            </w:pPr>
            <w:r>
              <w:rPr>
                <w:rFonts w:hint="eastAsia" w:ascii="宋体" w:hAnsi="宋体" w:eastAsia="宋体" w:cs="宋体"/>
                <w:b/>
                <w:color w:val="000000" w:themeColor="text1"/>
                <w:kern w:val="0"/>
                <w:szCs w:val="21"/>
              </w:rPr>
              <w:t>农、林、牧、渔业</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000000" w:themeColor="text1"/>
                <w:kern w:val="0"/>
                <w:szCs w:val="21"/>
              </w:rPr>
            </w:pPr>
            <w:r>
              <w:rPr>
                <w:rFonts w:hint="eastAsia" w:ascii="宋体" w:hAnsi="宋体" w:eastAsia="宋体" w:cs="宋体"/>
                <w:b/>
                <w:color w:val="000000" w:themeColor="text1"/>
                <w:kern w:val="0"/>
                <w:szCs w:val="21"/>
              </w:rPr>
              <w:t>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000000" w:themeColor="text1"/>
                <w:kern w:val="0"/>
                <w:szCs w:val="21"/>
              </w:rPr>
            </w:pPr>
            <w:r>
              <w:rPr>
                <w:rFonts w:hint="eastAsia" w:ascii="宋体" w:hAnsi="宋体" w:eastAsia="宋体" w:cs="宋体"/>
                <w:b/>
                <w:color w:val="000000" w:themeColor="text1"/>
                <w:kern w:val="0"/>
                <w:szCs w:val="21"/>
              </w:rPr>
              <w:t>工业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000000" w:themeColor="text1"/>
                <w:kern w:val="0"/>
                <w:szCs w:val="21"/>
              </w:rPr>
            </w:pPr>
            <w:r>
              <w:rPr>
                <w:rFonts w:hint="eastAsia" w:ascii="宋体" w:hAnsi="宋体" w:eastAsia="宋体" w:cs="宋体"/>
                <w:b/>
                <w:color w:val="000000" w:themeColor="text1"/>
                <w:kern w:val="0"/>
                <w:szCs w:val="21"/>
              </w:rPr>
              <w:t>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000000" w:themeColor="text1"/>
                <w:kern w:val="0"/>
                <w:szCs w:val="21"/>
              </w:rPr>
            </w:pPr>
            <w:r>
              <w:rPr>
                <w:rFonts w:hint="eastAsia" w:ascii="宋体" w:hAnsi="宋体" w:eastAsia="宋体" w:cs="宋体"/>
                <w:b/>
                <w:color w:val="000000" w:themeColor="text1"/>
                <w:kern w:val="0"/>
                <w:szCs w:val="21"/>
              </w:rPr>
              <w:t>建筑业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≥80000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≥80000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≥300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＜300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000000" w:themeColor="text1"/>
                <w:kern w:val="0"/>
                <w:szCs w:val="21"/>
              </w:rPr>
            </w:pPr>
            <w:r>
              <w:rPr>
                <w:rFonts w:hint="eastAsia" w:ascii="宋体" w:hAnsi="宋体" w:eastAsia="宋体" w:cs="宋体"/>
                <w:b/>
                <w:color w:val="000000" w:themeColor="text1"/>
                <w:kern w:val="0"/>
                <w:szCs w:val="21"/>
              </w:rPr>
              <w:t>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000000" w:themeColor="text1"/>
                <w:kern w:val="0"/>
                <w:szCs w:val="21"/>
              </w:rPr>
            </w:pPr>
            <w:r>
              <w:rPr>
                <w:rFonts w:hint="eastAsia" w:ascii="宋体" w:hAnsi="宋体" w:eastAsia="宋体" w:cs="宋体"/>
                <w:b/>
                <w:color w:val="000000" w:themeColor="text1"/>
                <w:kern w:val="0"/>
                <w:szCs w:val="21"/>
              </w:rPr>
              <w:t>批发业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≥20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≥1000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＜1000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＜5</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000000" w:themeColor="text1"/>
                <w:kern w:val="0"/>
                <w:szCs w:val="21"/>
              </w:rPr>
            </w:pPr>
            <w:r>
              <w:rPr>
                <w:rFonts w:hint="eastAsia" w:ascii="宋体" w:hAnsi="宋体" w:eastAsia="宋体" w:cs="宋体"/>
                <w:b/>
                <w:color w:val="000000" w:themeColor="text1"/>
                <w:kern w:val="0"/>
                <w:szCs w:val="21"/>
              </w:rPr>
              <w:t>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000000" w:themeColor="text1"/>
                <w:kern w:val="0"/>
                <w:szCs w:val="21"/>
              </w:rPr>
            </w:pPr>
            <w:r>
              <w:rPr>
                <w:rFonts w:hint="eastAsia" w:ascii="宋体" w:hAnsi="宋体" w:eastAsia="宋体" w:cs="宋体"/>
                <w:b/>
                <w:color w:val="000000" w:themeColor="text1"/>
                <w:kern w:val="0"/>
                <w:szCs w:val="21"/>
              </w:rPr>
              <w:t>零售业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≥50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000000" w:themeColor="text1"/>
                <w:kern w:val="0"/>
                <w:szCs w:val="21"/>
              </w:rPr>
            </w:pPr>
            <w:r>
              <w:rPr>
                <w:rFonts w:hint="eastAsia" w:ascii="宋体" w:hAnsi="宋体" w:eastAsia="宋体" w:cs="宋体"/>
                <w:b/>
                <w:color w:val="000000" w:themeColor="text1"/>
                <w:kern w:val="0"/>
                <w:szCs w:val="21"/>
              </w:rPr>
              <w:t>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000000" w:themeColor="text1"/>
                <w:kern w:val="0"/>
                <w:szCs w:val="21"/>
              </w:rPr>
            </w:pPr>
            <w:r>
              <w:rPr>
                <w:rFonts w:hint="eastAsia" w:ascii="宋体" w:hAnsi="宋体" w:eastAsia="宋体" w:cs="宋体"/>
                <w:b/>
                <w:color w:val="000000" w:themeColor="text1"/>
                <w:kern w:val="0"/>
                <w:szCs w:val="21"/>
              </w:rPr>
              <w:t>交通运输业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≥3000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≥200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＜200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000000" w:themeColor="text1"/>
                <w:kern w:val="0"/>
                <w:szCs w:val="21"/>
              </w:rPr>
            </w:pPr>
            <w:r>
              <w:rPr>
                <w:rFonts w:hint="eastAsia" w:ascii="宋体" w:hAnsi="宋体" w:eastAsia="宋体" w:cs="宋体"/>
                <w:b/>
                <w:color w:val="000000" w:themeColor="text1"/>
                <w:kern w:val="0"/>
                <w:szCs w:val="21"/>
              </w:rPr>
              <w:t>7</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000000" w:themeColor="text1"/>
                <w:kern w:val="0"/>
                <w:szCs w:val="21"/>
              </w:rPr>
            </w:pPr>
            <w:r>
              <w:rPr>
                <w:rFonts w:hint="eastAsia" w:ascii="宋体" w:hAnsi="宋体" w:eastAsia="宋体" w:cs="宋体"/>
                <w:b/>
                <w:color w:val="000000" w:themeColor="text1"/>
                <w:kern w:val="0"/>
                <w:szCs w:val="21"/>
              </w:rPr>
              <w:t>仓储业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000000" w:themeColor="text1"/>
                <w:kern w:val="0"/>
                <w:szCs w:val="21"/>
              </w:rPr>
            </w:pPr>
            <w:r>
              <w:rPr>
                <w:rFonts w:hint="eastAsia" w:ascii="宋体" w:hAnsi="宋体" w:eastAsia="宋体" w:cs="宋体"/>
                <w:b/>
                <w:color w:val="000000" w:themeColor="text1"/>
                <w:kern w:val="0"/>
                <w:szCs w:val="21"/>
              </w:rPr>
              <w:t>8</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000000" w:themeColor="text1"/>
                <w:kern w:val="0"/>
                <w:szCs w:val="21"/>
              </w:rPr>
            </w:pPr>
            <w:r>
              <w:rPr>
                <w:rFonts w:hint="eastAsia" w:ascii="宋体" w:hAnsi="宋体" w:eastAsia="宋体" w:cs="宋体"/>
                <w:b/>
                <w:color w:val="000000" w:themeColor="text1"/>
                <w:kern w:val="0"/>
                <w:szCs w:val="21"/>
              </w:rPr>
              <w:t>邮政业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000000" w:themeColor="text1"/>
                <w:kern w:val="0"/>
                <w:szCs w:val="21"/>
              </w:rPr>
            </w:pPr>
            <w:r>
              <w:rPr>
                <w:rFonts w:hint="eastAsia" w:ascii="宋体" w:hAnsi="宋体" w:eastAsia="宋体" w:cs="宋体"/>
                <w:b/>
                <w:color w:val="000000" w:themeColor="text1"/>
                <w:kern w:val="0"/>
                <w:szCs w:val="21"/>
              </w:rPr>
              <w:t>9</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000000" w:themeColor="text1"/>
                <w:kern w:val="0"/>
                <w:szCs w:val="21"/>
              </w:rPr>
            </w:pPr>
            <w:r>
              <w:rPr>
                <w:rFonts w:hint="eastAsia" w:ascii="宋体" w:hAnsi="宋体" w:eastAsia="宋体" w:cs="宋体"/>
                <w:b/>
                <w:color w:val="000000" w:themeColor="text1"/>
                <w:kern w:val="0"/>
                <w:szCs w:val="21"/>
              </w:rPr>
              <w:t>住宿业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000000" w:themeColor="text1"/>
                <w:kern w:val="0"/>
                <w:szCs w:val="21"/>
              </w:rPr>
            </w:pPr>
            <w:r>
              <w:rPr>
                <w:rFonts w:hint="eastAsia" w:ascii="宋体" w:hAnsi="宋体" w:eastAsia="宋体" w:cs="宋体"/>
                <w:b/>
                <w:color w:val="000000" w:themeColor="text1"/>
                <w:kern w:val="0"/>
                <w:szCs w:val="21"/>
              </w:rPr>
              <w:t>10</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000000" w:themeColor="text1"/>
                <w:kern w:val="0"/>
                <w:szCs w:val="21"/>
              </w:rPr>
            </w:pPr>
            <w:r>
              <w:rPr>
                <w:rFonts w:hint="eastAsia" w:ascii="宋体" w:hAnsi="宋体" w:eastAsia="宋体" w:cs="宋体"/>
                <w:b/>
                <w:color w:val="000000" w:themeColor="text1"/>
                <w:kern w:val="0"/>
                <w:szCs w:val="21"/>
              </w:rPr>
              <w:t>餐饮业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000000" w:themeColor="text1"/>
                <w:kern w:val="0"/>
                <w:szCs w:val="21"/>
              </w:rPr>
            </w:pPr>
            <w:r>
              <w:rPr>
                <w:rFonts w:hint="eastAsia" w:ascii="宋体" w:hAnsi="宋体" w:eastAsia="宋体" w:cs="宋体"/>
                <w:b/>
                <w:color w:val="000000" w:themeColor="text1"/>
                <w:kern w:val="0"/>
                <w:szCs w:val="21"/>
              </w:rPr>
              <w:t>11</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000000" w:themeColor="text1"/>
                <w:kern w:val="0"/>
                <w:szCs w:val="21"/>
              </w:rPr>
            </w:pPr>
            <w:r>
              <w:rPr>
                <w:rFonts w:hint="eastAsia" w:ascii="宋体" w:hAnsi="宋体" w:eastAsia="宋体" w:cs="宋体"/>
                <w:b/>
                <w:color w:val="000000" w:themeColor="text1"/>
                <w:kern w:val="0"/>
                <w:szCs w:val="21"/>
              </w:rPr>
              <w:t>信息传输业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≥2000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000000" w:themeColor="text1"/>
                <w:kern w:val="0"/>
                <w:szCs w:val="21"/>
              </w:rPr>
            </w:pPr>
            <w:r>
              <w:rPr>
                <w:rFonts w:hint="eastAsia" w:ascii="宋体" w:hAnsi="宋体" w:eastAsia="宋体" w:cs="宋体"/>
                <w:b/>
                <w:color w:val="000000" w:themeColor="text1"/>
                <w:kern w:val="0"/>
                <w:szCs w:val="21"/>
              </w:rPr>
              <w:t>12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000000" w:themeColor="text1"/>
                <w:kern w:val="0"/>
                <w:szCs w:val="21"/>
              </w:rPr>
            </w:pPr>
            <w:r>
              <w:rPr>
                <w:rFonts w:hint="eastAsia" w:ascii="宋体" w:hAnsi="宋体" w:eastAsia="宋体" w:cs="宋体"/>
                <w:b/>
                <w:color w:val="000000" w:themeColor="text1"/>
                <w:kern w:val="0"/>
                <w:szCs w:val="21"/>
              </w:rPr>
              <w:t>软件和信息技术服务业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000000" w:themeColor="text1"/>
                <w:kern w:val="0"/>
                <w:szCs w:val="21"/>
              </w:rPr>
            </w:pPr>
            <w:r>
              <w:rPr>
                <w:rFonts w:hint="eastAsia" w:ascii="宋体" w:hAnsi="宋体" w:eastAsia="宋体" w:cs="宋体"/>
                <w:b/>
                <w:color w:val="000000" w:themeColor="text1"/>
                <w:kern w:val="0"/>
                <w:szCs w:val="21"/>
              </w:rPr>
              <w:t>13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000000" w:themeColor="text1"/>
                <w:kern w:val="0"/>
                <w:szCs w:val="21"/>
              </w:rPr>
            </w:pPr>
            <w:r>
              <w:rPr>
                <w:rFonts w:hint="eastAsia" w:ascii="宋体" w:hAnsi="宋体" w:eastAsia="宋体" w:cs="宋体"/>
                <w:b/>
                <w:color w:val="000000" w:themeColor="text1"/>
                <w:kern w:val="0"/>
                <w:szCs w:val="21"/>
              </w:rPr>
              <w:t>房地产开发经验</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≥200000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或,≥10000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且,≥5000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且,≥2000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或,＜2000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000000" w:themeColor="text1"/>
                <w:kern w:val="0"/>
                <w:szCs w:val="21"/>
              </w:rPr>
            </w:pPr>
            <w:r>
              <w:rPr>
                <w:rFonts w:hint="eastAsia" w:ascii="宋体" w:hAnsi="宋体" w:eastAsia="宋体" w:cs="宋体"/>
                <w:b/>
                <w:color w:val="000000" w:themeColor="text1"/>
                <w:kern w:val="0"/>
                <w:szCs w:val="21"/>
              </w:rPr>
              <w:t>14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000000" w:themeColor="text1"/>
                <w:kern w:val="0"/>
                <w:szCs w:val="21"/>
              </w:rPr>
            </w:pPr>
            <w:r>
              <w:rPr>
                <w:rFonts w:hint="eastAsia" w:ascii="宋体" w:hAnsi="宋体" w:eastAsia="宋体" w:cs="宋体"/>
                <w:b/>
                <w:color w:val="000000" w:themeColor="text1"/>
                <w:kern w:val="0"/>
                <w:szCs w:val="21"/>
              </w:rPr>
              <w:t>物业管理</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≥5000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≥500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≥100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＜500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＜100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000000" w:themeColor="text1"/>
                <w:kern w:val="0"/>
                <w:szCs w:val="21"/>
              </w:rPr>
            </w:pPr>
            <w:r>
              <w:rPr>
                <w:rFonts w:hint="eastAsia" w:ascii="宋体" w:hAnsi="宋体" w:eastAsia="宋体" w:cs="宋体"/>
                <w:b/>
                <w:color w:val="000000" w:themeColor="text1"/>
                <w:kern w:val="0"/>
                <w:szCs w:val="21"/>
              </w:rPr>
              <w:t>15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000000" w:themeColor="text1"/>
                <w:kern w:val="0"/>
                <w:szCs w:val="21"/>
              </w:rPr>
            </w:pPr>
            <w:r>
              <w:rPr>
                <w:rFonts w:hint="eastAsia" w:ascii="宋体" w:hAnsi="宋体" w:eastAsia="宋体" w:cs="宋体"/>
                <w:b/>
                <w:color w:val="000000" w:themeColor="text1"/>
                <w:kern w:val="0"/>
                <w:szCs w:val="21"/>
              </w:rPr>
              <w:t>租赁和商务服务业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或,≥120000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且,≥8000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且,≥100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或,＜100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000000" w:themeColor="text1"/>
                <w:kern w:val="0"/>
                <w:szCs w:val="21"/>
              </w:rPr>
            </w:pPr>
            <w:r>
              <w:rPr>
                <w:rFonts w:hint="eastAsia" w:ascii="宋体" w:hAnsi="宋体" w:eastAsia="宋体" w:cs="宋体"/>
                <w:b/>
                <w:color w:val="000000" w:themeColor="text1"/>
                <w:kern w:val="0"/>
                <w:szCs w:val="21"/>
              </w:rPr>
              <w:t>16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000000" w:themeColor="text1"/>
                <w:kern w:val="0"/>
                <w:szCs w:val="21"/>
              </w:rPr>
            </w:pPr>
            <w:r>
              <w:rPr>
                <w:rFonts w:hint="eastAsia" w:ascii="宋体" w:hAnsi="宋体" w:eastAsia="宋体" w:cs="宋体"/>
                <w:b/>
                <w:color w:val="000000" w:themeColor="text1"/>
                <w:kern w:val="0"/>
                <w:szCs w:val="21"/>
              </w:rPr>
              <w:t>其他未列明行业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r>
    </w:tbl>
    <w:p>
      <w:pPr>
        <w:rPr>
          <w:color w:val="000000" w:themeColor="text1"/>
        </w:rPr>
        <w:sectPr>
          <w:pgSz w:w="16838" w:h="11906" w:orient="landscape"/>
          <w:pgMar w:top="1191" w:right="1134" w:bottom="1191" w:left="1134" w:header="851" w:footer="851" w:gutter="0"/>
          <w:cols w:space="425" w:num="1"/>
          <w:docGrid w:type="lines" w:linePitch="312" w:charSpace="0"/>
        </w:sectPr>
      </w:pPr>
      <w:r>
        <w:rPr>
          <w:color w:val="000000" w:themeColor="text1"/>
        </w:rPr>
        <w:br w:type="page"/>
      </w:r>
    </w:p>
    <w:p>
      <w:pPr>
        <w:pStyle w:val="2"/>
        <w:numPr>
          <w:ilvl w:val="0"/>
          <w:numId w:val="58"/>
        </w:numPr>
        <w:spacing w:before="100" w:beforeAutospacing="1" w:after="156" w:afterLines="50" w:line="360" w:lineRule="auto"/>
        <w:ind w:left="1288" w:hanging="1288"/>
        <w:rPr>
          <w:rFonts w:ascii="宋体" w:hAnsi="宋体" w:eastAsia="宋体"/>
          <w:color w:val="000000" w:themeColor="text1"/>
        </w:rPr>
      </w:pPr>
      <w:bookmarkStart w:id="153" w:name="_Toc494745321"/>
      <w:bookmarkStart w:id="154" w:name="_Toc494702274"/>
      <w:bookmarkStart w:id="155" w:name="_Toc25959"/>
      <w:bookmarkStart w:id="156" w:name="_Toc494721104"/>
      <w:bookmarkStart w:id="157" w:name="_Toc494665954"/>
      <w:bookmarkStart w:id="158" w:name="_Toc494665557"/>
      <w:bookmarkStart w:id="159" w:name="_Toc494665004"/>
      <w:r>
        <w:rPr>
          <w:rFonts w:hint="eastAsia" w:ascii="宋体" w:hAnsi="宋体" w:eastAsia="宋体"/>
          <w:color w:val="000000" w:themeColor="text1"/>
        </w:rPr>
        <w:t>残疾人福利性单位声明函</w:t>
      </w:r>
      <w:bookmarkEnd w:id="153"/>
      <w:bookmarkEnd w:id="154"/>
      <w:bookmarkEnd w:id="155"/>
      <w:bookmarkEnd w:id="156"/>
      <w:bookmarkEnd w:id="157"/>
      <w:bookmarkEnd w:id="158"/>
      <w:bookmarkEnd w:id="159"/>
    </w:p>
    <w:p>
      <w:pPr>
        <w:adjustRightInd w:val="0"/>
        <w:snapToGrid w:val="0"/>
        <w:jc w:val="center"/>
        <w:rPr>
          <w:rFonts w:ascii="宋体" w:hAnsi="宋体" w:eastAsia="宋体" w:cs="Times New Roman"/>
          <w:b/>
          <w:color w:val="000000" w:themeColor="text1"/>
          <w:sz w:val="30"/>
          <w:szCs w:val="30"/>
          <w:lang w:val="zh-CN"/>
        </w:rPr>
      </w:pPr>
      <w:r>
        <w:rPr>
          <w:rFonts w:hint="eastAsia" w:ascii="宋体" w:hAnsi="宋体" w:eastAsia="宋体" w:cs="Times New Roman"/>
          <w:b/>
          <w:color w:val="000000" w:themeColor="text1"/>
          <w:sz w:val="30"/>
          <w:szCs w:val="30"/>
          <w:lang w:val="zh-CN"/>
        </w:rPr>
        <w:t>残疾人福利性单位声明函</w:t>
      </w:r>
    </w:p>
    <w:p>
      <w:pPr>
        <w:adjustRightInd w:val="0"/>
        <w:snapToGrid w:val="0"/>
        <w:spacing w:before="156" w:beforeLines="50" w:after="156" w:afterLines="50"/>
        <w:jc w:val="center"/>
        <w:rPr>
          <w:rFonts w:ascii="宋体" w:hAnsi="Courier New" w:eastAsia="宋体" w:cs="Times New Roman"/>
          <w:color w:val="000000" w:themeColor="text1"/>
          <w:sz w:val="24"/>
          <w:szCs w:val="21"/>
          <w:lang w:val="zh-CN"/>
        </w:rPr>
      </w:pPr>
      <w:r>
        <w:rPr>
          <w:rFonts w:hint="eastAsia" w:ascii="宋体" w:hAnsi="Courier New" w:eastAsia="宋体" w:cs="Times New Roman"/>
          <w:color w:val="000000" w:themeColor="text1"/>
          <w:sz w:val="24"/>
          <w:szCs w:val="21"/>
          <w:lang w:val="zh-CN"/>
        </w:rPr>
        <w:t>（适用于货物类项目）</w:t>
      </w:r>
    </w:p>
    <w:p>
      <w:pPr>
        <w:spacing w:line="360" w:lineRule="auto"/>
        <w:rPr>
          <w:b/>
          <w:color w:val="000000" w:themeColor="text1"/>
          <w:sz w:val="28"/>
          <w:szCs w:val="28"/>
        </w:rPr>
      </w:pPr>
      <w:r>
        <w:rPr>
          <w:rFonts w:hint="eastAsia"/>
          <w:b/>
          <w:color w:val="000000" w:themeColor="text1"/>
          <w:sz w:val="28"/>
          <w:szCs w:val="28"/>
        </w:rPr>
        <w:t>采购人（或采购代理公司）：</w:t>
      </w:r>
    </w:p>
    <w:p>
      <w:pPr>
        <w:pStyle w:val="9"/>
        <w:spacing w:line="360" w:lineRule="auto"/>
        <w:ind w:firstLine="475" w:firstLineChars="198"/>
        <w:jc w:val="left"/>
        <w:rPr>
          <w:rFonts w:hAnsi="宋体"/>
          <w:color w:val="000000" w:themeColor="text1"/>
          <w:sz w:val="24"/>
        </w:rPr>
      </w:pPr>
      <w:r>
        <w:rPr>
          <w:rFonts w:hint="eastAsia" w:hAnsi="宋体"/>
          <w:color w:val="000000" w:themeColor="text1"/>
          <w:sz w:val="24"/>
        </w:rPr>
        <w:t>本单位郑重声明，根据《财政部 民政部 中国残疾人联合会关于促进残疾人就业政府采购政策的通知》（财库〔2017〕141号）的规定，本单位为符合条件的残疾人福利性单位（详见“残疾人福利性单位应当满足的条件”）。</w:t>
      </w:r>
    </w:p>
    <w:p>
      <w:pPr>
        <w:pStyle w:val="9"/>
        <w:spacing w:line="360" w:lineRule="auto"/>
        <w:ind w:firstLine="475" w:firstLineChars="198"/>
        <w:jc w:val="left"/>
        <w:rPr>
          <w:rFonts w:hAnsi="宋体"/>
          <w:color w:val="000000" w:themeColor="text1"/>
          <w:sz w:val="24"/>
        </w:rPr>
      </w:pPr>
      <w:r>
        <w:rPr>
          <w:rFonts w:hint="eastAsia" w:hAnsi="宋体"/>
          <w:color w:val="000000" w:themeColor="text1"/>
          <w:sz w:val="24"/>
        </w:rPr>
        <w:t>1.本单位授权</w:t>
      </w:r>
      <w:r>
        <w:rPr>
          <w:rFonts w:hint="eastAsia" w:hAnsi="宋体"/>
          <w:color w:val="000000" w:themeColor="text1"/>
          <w:sz w:val="24"/>
          <w:u w:val="single"/>
        </w:rPr>
        <w:t xml:space="preserve"> （投标人） </w:t>
      </w:r>
      <w:r>
        <w:rPr>
          <w:rFonts w:hint="eastAsia" w:hAnsi="宋体"/>
          <w:color w:val="000000" w:themeColor="text1"/>
          <w:sz w:val="24"/>
        </w:rPr>
        <w:t>参加_</w:t>
      </w:r>
      <w:r>
        <w:rPr>
          <w:rFonts w:hint="eastAsia" w:hAnsi="宋体"/>
          <w:color w:val="000000" w:themeColor="text1"/>
          <w:sz w:val="24"/>
          <w:u w:val="single"/>
        </w:rPr>
        <w:t>（采购人）</w:t>
      </w:r>
      <w:r>
        <w:rPr>
          <w:rFonts w:hint="eastAsia" w:hAnsi="宋体"/>
          <w:color w:val="000000" w:themeColor="text1"/>
          <w:sz w:val="24"/>
        </w:rPr>
        <w:t>的__</w:t>
      </w:r>
      <w:r>
        <w:rPr>
          <w:rFonts w:hint="eastAsia" w:hAnsi="宋体"/>
          <w:color w:val="000000" w:themeColor="text1"/>
          <w:sz w:val="24"/>
          <w:u w:val="single"/>
        </w:rPr>
        <w:t>_ _</w:t>
      </w:r>
      <w:r>
        <w:rPr>
          <w:rFonts w:hint="eastAsia" w:hAnsi="宋体"/>
          <w:color w:val="000000" w:themeColor="text1"/>
          <w:sz w:val="24"/>
        </w:rPr>
        <w:t>项目（项目编号：_____）采购活动提供本单位制造的货物。本条所称货物不包括使用非残疾人福利性单位注册商标的货物。</w:t>
      </w:r>
    </w:p>
    <w:p>
      <w:pPr>
        <w:spacing w:line="360" w:lineRule="auto"/>
        <w:ind w:firstLine="480" w:firstLineChars="200"/>
        <w:rPr>
          <w:rFonts w:ascii="宋体" w:hAnsi="宋体"/>
          <w:bCs/>
          <w:color w:val="000000" w:themeColor="text1"/>
          <w:sz w:val="24"/>
        </w:rPr>
      </w:pPr>
      <w:r>
        <w:rPr>
          <w:rFonts w:hint="eastAsia" w:ascii="宋体" w:hAnsi="宋体"/>
          <w:bCs/>
          <w:color w:val="000000" w:themeColor="text1"/>
          <w:sz w:val="24"/>
          <w:lang w:val="zh-CN"/>
        </w:rPr>
        <w:t>2</w:t>
      </w:r>
      <w:r>
        <w:rPr>
          <w:rFonts w:hint="eastAsia" w:ascii="宋体" w:hAnsi="宋体"/>
          <w:bCs/>
          <w:color w:val="000000" w:themeColor="text1"/>
          <w:sz w:val="24"/>
        </w:rPr>
        <w:t>.由本单位制造的货物清单见下表：</w:t>
      </w:r>
    </w:p>
    <w:tbl>
      <w:tblPr>
        <w:tblStyle w:val="18"/>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414"/>
        <w:gridCol w:w="1224"/>
        <w:gridCol w:w="907"/>
        <w:gridCol w:w="1278"/>
        <w:gridCol w:w="1843"/>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shd w:val="clear" w:color="auto" w:fill="auto"/>
            <w:vAlign w:val="center"/>
          </w:tcPr>
          <w:p>
            <w:pPr>
              <w:spacing w:line="360" w:lineRule="auto"/>
              <w:ind w:left="-23" w:leftChars="-11" w:right="-65" w:rightChars="-31"/>
              <w:jc w:val="center"/>
              <w:rPr>
                <w:rFonts w:ascii="宋体" w:hAnsi="宋体" w:cs="宋体"/>
                <w:color w:val="000000" w:themeColor="text1"/>
                <w:kern w:val="0"/>
                <w:sz w:val="24"/>
              </w:rPr>
            </w:pPr>
            <w:r>
              <w:rPr>
                <w:rFonts w:hint="eastAsia" w:ascii="宋体" w:hAnsi="宋体" w:cs="宋体"/>
                <w:color w:val="000000" w:themeColor="text1"/>
                <w:kern w:val="0"/>
                <w:sz w:val="24"/>
              </w:rPr>
              <w:t>序号</w:t>
            </w:r>
          </w:p>
        </w:tc>
        <w:tc>
          <w:tcPr>
            <w:tcW w:w="2414" w:type="dxa"/>
            <w:shd w:val="clear" w:color="auto" w:fill="auto"/>
            <w:vAlign w:val="center"/>
          </w:tcPr>
          <w:p>
            <w:pPr>
              <w:spacing w:line="360" w:lineRule="auto"/>
              <w:ind w:left="-48" w:leftChars="-23" w:right="-65" w:rightChars="-31"/>
              <w:jc w:val="center"/>
              <w:rPr>
                <w:rFonts w:ascii="宋体" w:hAnsi="宋体" w:cs="宋体"/>
                <w:color w:val="000000" w:themeColor="text1"/>
                <w:kern w:val="0"/>
                <w:sz w:val="24"/>
              </w:rPr>
            </w:pPr>
            <w:r>
              <w:rPr>
                <w:rFonts w:hint="eastAsia" w:ascii="宋体" w:hAnsi="宋体" w:cs="宋体"/>
                <w:color w:val="000000" w:themeColor="text1"/>
                <w:kern w:val="0"/>
                <w:sz w:val="24"/>
              </w:rPr>
              <w:t>名称</w:t>
            </w:r>
          </w:p>
        </w:tc>
        <w:tc>
          <w:tcPr>
            <w:tcW w:w="1224" w:type="dxa"/>
            <w:shd w:val="clear" w:color="auto" w:fill="auto"/>
            <w:vAlign w:val="center"/>
          </w:tcPr>
          <w:p>
            <w:pPr>
              <w:spacing w:line="360" w:lineRule="auto"/>
              <w:ind w:left="-48" w:leftChars="-23" w:right="-65" w:rightChars="-31"/>
              <w:jc w:val="center"/>
              <w:rPr>
                <w:rFonts w:ascii="宋体" w:hAnsi="宋体" w:cs="宋体"/>
                <w:color w:val="000000" w:themeColor="text1"/>
                <w:kern w:val="0"/>
                <w:sz w:val="24"/>
              </w:rPr>
            </w:pPr>
            <w:r>
              <w:rPr>
                <w:rFonts w:hint="eastAsia" w:ascii="宋体" w:hAnsi="宋体" w:cs="宋体"/>
                <w:color w:val="000000" w:themeColor="text1"/>
                <w:kern w:val="0"/>
                <w:sz w:val="24"/>
              </w:rPr>
              <w:t>品牌规格型号</w:t>
            </w:r>
          </w:p>
        </w:tc>
        <w:tc>
          <w:tcPr>
            <w:tcW w:w="907" w:type="dxa"/>
            <w:shd w:val="clear" w:color="auto" w:fill="auto"/>
            <w:vAlign w:val="center"/>
          </w:tcPr>
          <w:p>
            <w:pPr>
              <w:spacing w:line="360" w:lineRule="auto"/>
              <w:ind w:left="-48" w:leftChars="-23" w:right="-65" w:rightChars="-31"/>
              <w:jc w:val="center"/>
              <w:rPr>
                <w:rFonts w:ascii="宋体" w:hAnsi="宋体" w:cs="宋体"/>
                <w:color w:val="000000" w:themeColor="text1"/>
                <w:kern w:val="0"/>
                <w:sz w:val="24"/>
              </w:rPr>
            </w:pPr>
            <w:r>
              <w:rPr>
                <w:rFonts w:hint="eastAsia" w:ascii="宋体" w:hAnsi="宋体" w:cs="宋体"/>
                <w:color w:val="000000" w:themeColor="text1"/>
                <w:kern w:val="0"/>
                <w:sz w:val="24"/>
              </w:rPr>
              <w:t>数量</w:t>
            </w:r>
          </w:p>
        </w:tc>
        <w:tc>
          <w:tcPr>
            <w:tcW w:w="1278" w:type="dxa"/>
            <w:shd w:val="clear" w:color="auto" w:fill="auto"/>
            <w:vAlign w:val="center"/>
          </w:tcPr>
          <w:p>
            <w:pPr>
              <w:spacing w:line="360" w:lineRule="auto"/>
              <w:ind w:left="-48" w:leftChars="-23" w:right="-65" w:rightChars="-31"/>
              <w:jc w:val="center"/>
              <w:rPr>
                <w:rFonts w:ascii="宋体" w:hAnsi="宋体" w:cs="宋体"/>
                <w:color w:val="000000" w:themeColor="text1"/>
                <w:kern w:val="0"/>
                <w:sz w:val="24"/>
              </w:rPr>
            </w:pPr>
            <w:r>
              <w:rPr>
                <w:rFonts w:hint="eastAsia" w:ascii="宋体" w:hAnsi="宋体" w:cs="宋体"/>
                <w:color w:val="000000" w:themeColor="text1"/>
                <w:kern w:val="0"/>
                <w:sz w:val="24"/>
              </w:rPr>
              <w:t>单价(元)</w:t>
            </w:r>
          </w:p>
        </w:tc>
        <w:tc>
          <w:tcPr>
            <w:tcW w:w="1843" w:type="dxa"/>
            <w:shd w:val="clear" w:color="auto" w:fill="auto"/>
            <w:vAlign w:val="center"/>
          </w:tcPr>
          <w:p>
            <w:pPr>
              <w:spacing w:line="360" w:lineRule="auto"/>
              <w:ind w:left="-48" w:leftChars="-23" w:right="-65" w:rightChars="-31"/>
              <w:jc w:val="center"/>
              <w:rPr>
                <w:rFonts w:ascii="宋体" w:hAnsi="宋体" w:cs="宋体"/>
                <w:color w:val="000000" w:themeColor="text1"/>
                <w:kern w:val="0"/>
                <w:sz w:val="24"/>
              </w:rPr>
            </w:pPr>
            <w:r>
              <w:rPr>
                <w:rFonts w:hint="eastAsia" w:ascii="宋体" w:hAnsi="宋体" w:cs="宋体"/>
                <w:color w:val="000000" w:themeColor="text1"/>
                <w:kern w:val="0"/>
                <w:sz w:val="24"/>
              </w:rPr>
              <w:t>分项合计(元)</w:t>
            </w:r>
          </w:p>
        </w:tc>
        <w:tc>
          <w:tcPr>
            <w:tcW w:w="1228" w:type="dxa"/>
            <w:shd w:val="clear" w:color="auto" w:fill="auto"/>
            <w:vAlign w:val="center"/>
          </w:tcPr>
          <w:p>
            <w:pPr>
              <w:spacing w:line="360" w:lineRule="auto"/>
              <w:ind w:left="-48" w:leftChars="-23" w:right="-65" w:rightChars="-31"/>
              <w:jc w:val="center"/>
              <w:rPr>
                <w:rFonts w:ascii="宋体" w:hAnsi="宋体" w:cs="宋体"/>
                <w:color w:val="000000" w:themeColor="text1"/>
                <w:kern w:val="0"/>
                <w:sz w:val="24"/>
              </w:rPr>
            </w:pPr>
            <w:r>
              <w:rPr>
                <w:rFonts w:hint="eastAsia" w:ascii="宋体" w:hAnsi="宋体" w:cs="宋体"/>
                <w:color w:val="000000" w:themeColor="text1"/>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0"/>
              </w:numPr>
              <w:tabs>
                <w:tab w:val="left" w:pos="82"/>
              </w:tabs>
              <w:adjustRightInd w:val="0"/>
              <w:snapToGrid w:val="0"/>
              <w:jc w:val="center"/>
              <w:rPr>
                <w:rFonts w:ascii="宋体" w:hAnsi="宋体"/>
                <w:color w:val="000000" w:themeColor="text1"/>
                <w:sz w:val="24"/>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rPr>
            </w:pPr>
          </w:p>
        </w:tc>
        <w:tc>
          <w:tcPr>
            <w:tcW w:w="907" w:type="dxa"/>
            <w:shd w:val="clear" w:color="auto" w:fill="auto"/>
            <w:vAlign w:val="center"/>
          </w:tcPr>
          <w:p>
            <w:pPr>
              <w:spacing w:line="240" w:lineRule="atLeast"/>
              <w:ind w:left="-48" w:leftChars="-23" w:right="-375" w:rightChars="-179"/>
              <w:jc w:val="center"/>
              <w:rPr>
                <w:rFonts w:ascii="宋体" w:hAnsi="宋体" w:eastAsia="宋体" w:cs="宋体"/>
                <w:color w:val="000000" w:themeColor="text1"/>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0"/>
              </w:numPr>
              <w:tabs>
                <w:tab w:val="left" w:pos="82"/>
              </w:tabs>
              <w:adjustRightInd w:val="0"/>
              <w:snapToGrid w:val="0"/>
              <w:ind w:left="-2" w:firstLine="2"/>
              <w:jc w:val="center"/>
              <w:rPr>
                <w:rFonts w:ascii="宋体" w:hAnsi="宋体"/>
                <w:color w:val="000000" w:themeColor="text1"/>
                <w:sz w:val="24"/>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tabs>
                <w:tab w:val="left" w:pos="82"/>
              </w:tabs>
              <w:adjustRightInd w:val="0"/>
              <w:snapToGrid w:val="0"/>
              <w:jc w:val="center"/>
              <w:rPr>
                <w:rFonts w:ascii="宋体" w:hAnsi="宋体"/>
                <w:color w:val="000000" w:themeColor="text1"/>
                <w:sz w:val="24"/>
              </w:rPr>
            </w:pPr>
            <w:r>
              <w:rPr>
                <w:rFonts w:hint="eastAsia" w:ascii="宋体" w:hAnsi="宋体"/>
                <w:color w:val="000000" w:themeColor="text1"/>
                <w:sz w:val="24"/>
              </w:rPr>
              <w:t>…</w:t>
            </w: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75" w:type="dxa"/>
            <w:gridSpan w:val="5"/>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合计</w:t>
            </w:r>
          </w:p>
        </w:tc>
        <w:tc>
          <w:tcPr>
            <w:tcW w:w="3071" w:type="dxa"/>
            <w:gridSpan w:val="2"/>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rPr>
            </w:pPr>
          </w:p>
        </w:tc>
      </w:tr>
    </w:tbl>
    <w:p>
      <w:pPr>
        <w:spacing w:line="360" w:lineRule="auto"/>
        <w:ind w:firstLine="480" w:firstLineChars="200"/>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本单位对上述声明的真实性负责。如有虚假，将依法承担相应责任。</w:t>
      </w:r>
    </w:p>
    <w:p>
      <w:pPr>
        <w:spacing w:line="360" w:lineRule="auto"/>
        <w:rPr>
          <w:rFonts w:ascii="宋体" w:hAnsi="宋体" w:eastAsia="宋体" w:cs="Times New Roman"/>
          <w:bCs/>
          <w:color w:val="000000" w:themeColor="text1"/>
          <w:sz w:val="24"/>
          <w:szCs w:val="24"/>
        </w:rPr>
      </w:pPr>
    </w:p>
    <w:p>
      <w:pPr>
        <w:pStyle w:val="9"/>
        <w:spacing w:line="360" w:lineRule="auto"/>
        <w:jc w:val="left"/>
        <w:rPr>
          <w:rFonts w:hAnsi="宋体" w:cs="Corbel"/>
          <w:color w:val="000000" w:themeColor="text1"/>
          <w:sz w:val="24"/>
        </w:rPr>
      </w:pPr>
      <w:r>
        <w:rPr>
          <w:rFonts w:hint="eastAsia" w:hAnsi="宋体" w:eastAsia="宋体" w:cs="Times New Roman"/>
          <w:bCs/>
          <w:color w:val="000000" w:themeColor="text1"/>
          <w:sz w:val="24"/>
          <w:szCs w:val="24"/>
        </w:rPr>
        <w:t>说明：</w:t>
      </w:r>
      <w:r>
        <w:rPr>
          <w:rFonts w:hint="eastAsia" w:hAnsi="宋体" w:cs="Corbel"/>
          <w:color w:val="000000" w:themeColor="text1"/>
          <w:sz w:val="24"/>
        </w:rPr>
        <w:t>1、投标人所投货物为自己制造的，也应按本声明函格式填写。</w:t>
      </w:r>
    </w:p>
    <w:p>
      <w:pPr>
        <w:pStyle w:val="9"/>
        <w:spacing w:line="360" w:lineRule="auto"/>
        <w:ind w:left="1078" w:leftChars="342" w:hanging="360" w:hangingChars="150"/>
        <w:jc w:val="left"/>
        <w:rPr>
          <w:rFonts w:hAnsi="宋体"/>
          <w:color w:val="000000" w:themeColor="text1"/>
          <w:sz w:val="24"/>
        </w:rPr>
      </w:pPr>
      <w:r>
        <w:rPr>
          <w:rFonts w:hint="eastAsia" w:hAnsi="宋体"/>
          <w:color w:val="000000" w:themeColor="text1"/>
          <w:sz w:val="24"/>
        </w:rPr>
        <w:t>2、组成联合体的大中型企业和其他自然人、法人或者其他组织，与残疾人福利性单位之间不得存在投资关系。</w:t>
      </w:r>
    </w:p>
    <w:p>
      <w:pPr>
        <w:pStyle w:val="9"/>
        <w:spacing w:line="360" w:lineRule="auto"/>
        <w:ind w:left="1078" w:leftChars="342" w:hanging="360" w:hangingChars="150"/>
        <w:jc w:val="left"/>
        <w:rPr>
          <w:rFonts w:hAnsi="宋体"/>
          <w:color w:val="000000" w:themeColor="text1"/>
          <w:sz w:val="24"/>
        </w:rPr>
      </w:pPr>
      <w:r>
        <w:rPr>
          <w:rFonts w:hint="eastAsia" w:hAnsi="宋体"/>
          <w:color w:val="000000" w:themeColor="text1"/>
          <w:sz w:val="24"/>
        </w:rPr>
        <w:t>3、以联合体方式参与本项目投标的供应商，应由联合体双方签字盖章。</w:t>
      </w:r>
    </w:p>
    <w:p>
      <w:pPr>
        <w:spacing w:line="360" w:lineRule="auto"/>
        <w:rPr>
          <w:rFonts w:ascii="宋体" w:hAnsi="宋体"/>
          <w:color w:val="000000" w:themeColor="text1"/>
          <w:sz w:val="24"/>
        </w:rPr>
      </w:pPr>
    </w:p>
    <w:p>
      <w:pPr>
        <w:spacing w:before="100" w:beforeAutospacing="1" w:after="100" w:afterAutospacing="1" w:line="360" w:lineRule="auto"/>
        <w:ind w:firstLine="3316" w:firstLineChars="1382"/>
        <w:rPr>
          <w:rFonts w:ascii="宋体" w:hAnsi="宋体" w:eastAsia="宋体" w:cs="Times New Roman"/>
          <w:b/>
          <w:bCs/>
          <w:color w:val="000000" w:themeColor="text1"/>
          <w:sz w:val="24"/>
          <w:szCs w:val="21"/>
          <w:lang w:val="zh-CN"/>
        </w:rPr>
      </w:pPr>
      <w:r>
        <w:rPr>
          <w:rFonts w:hint="eastAsia" w:ascii="宋体" w:hAnsi="宋体" w:eastAsia="宋体" w:cs="Times New Roman"/>
          <w:b/>
          <w:bCs/>
          <w:color w:val="000000" w:themeColor="text1"/>
          <w:sz w:val="24"/>
          <w:szCs w:val="21"/>
          <w:lang w:val="zh-CN"/>
        </w:rPr>
        <w:t>制造商（公章）：</w:t>
      </w:r>
    </w:p>
    <w:p>
      <w:pPr>
        <w:spacing w:before="100" w:beforeAutospacing="1" w:after="100" w:afterAutospacing="1" w:line="360" w:lineRule="auto"/>
        <w:ind w:firstLine="3316" w:firstLineChars="1382"/>
        <w:rPr>
          <w:rFonts w:ascii="宋体" w:hAnsi="宋体" w:eastAsia="宋体" w:cs="Times New Roman"/>
          <w:b/>
          <w:bCs/>
          <w:color w:val="000000" w:themeColor="text1"/>
          <w:sz w:val="24"/>
          <w:szCs w:val="21"/>
          <w:lang w:val="zh-CN"/>
        </w:rPr>
      </w:pPr>
      <w:r>
        <w:rPr>
          <w:rFonts w:hint="eastAsia" w:ascii="宋体" w:hAnsi="宋体" w:eastAsia="宋体" w:cs="Times New Roman"/>
          <w:b/>
          <w:bCs/>
          <w:color w:val="000000" w:themeColor="text1"/>
          <w:sz w:val="24"/>
          <w:szCs w:val="21"/>
          <w:lang w:val="zh-CN"/>
        </w:rPr>
        <w:t>制造商法定代表人（</w:t>
      </w:r>
      <w:r>
        <w:rPr>
          <w:rFonts w:hint="eastAsia" w:ascii="宋体" w:hAnsi="宋体" w:eastAsia="宋体" w:cs="Times New Roman"/>
          <w:b/>
          <w:color w:val="000000" w:themeColor="text1"/>
          <w:sz w:val="24"/>
          <w:szCs w:val="21"/>
          <w:lang w:val="zh-CN"/>
        </w:rPr>
        <w:t>签字或盖章</w:t>
      </w:r>
      <w:r>
        <w:rPr>
          <w:rFonts w:hint="eastAsia" w:ascii="宋体" w:hAnsi="宋体" w:eastAsia="宋体" w:cs="Times New Roman"/>
          <w:b/>
          <w:bCs/>
          <w:color w:val="000000" w:themeColor="text1"/>
          <w:sz w:val="24"/>
          <w:szCs w:val="21"/>
          <w:lang w:val="zh-CN"/>
        </w:rPr>
        <w:t>）：</w:t>
      </w:r>
    </w:p>
    <w:p>
      <w:pPr>
        <w:spacing w:before="100" w:beforeAutospacing="1" w:after="100" w:afterAutospacing="1" w:line="360" w:lineRule="auto"/>
        <w:ind w:firstLine="3316" w:firstLineChars="1382"/>
        <w:rPr>
          <w:color w:val="000000" w:themeColor="text1"/>
        </w:rPr>
      </w:pPr>
      <w:r>
        <w:rPr>
          <w:rFonts w:hint="eastAsia" w:ascii="Times New Roman" w:hAnsi="宋体" w:eastAsia="宋体" w:cs="Times New Roman"/>
          <w:b/>
          <w:color w:val="000000" w:themeColor="text1"/>
          <w:sz w:val="24"/>
          <w:szCs w:val="24"/>
        </w:rPr>
        <w:t>日   期：</w:t>
      </w:r>
    </w:p>
    <w:p>
      <w:pPr>
        <w:rPr>
          <w:color w:val="000000" w:themeColor="text1"/>
        </w:rPr>
      </w:pPr>
      <w:r>
        <w:rPr>
          <w:color w:val="000000" w:themeColor="text1"/>
        </w:rPr>
        <w:br w:type="page"/>
      </w:r>
    </w:p>
    <w:p>
      <w:pPr>
        <w:adjustRightInd w:val="0"/>
        <w:snapToGrid w:val="0"/>
        <w:jc w:val="center"/>
        <w:rPr>
          <w:rFonts w:ascii="宋体" w:hAnsi="宋体" w:eastAsia="宋体" w:cs="Times New Roman"/>
          <w:b/>
          <w:color w:val="000000" w:themeColor="text1"/>
          <w:sz w:val="30"/>
          <w:szCs w:val="30"/>
          <w:lang w:val="zh-CN"/>
        </w:rPr>
      </w:pPr>
    </w:p>
    <w:p>
      <w:pPr>
        <w:adjustRightInd w:val="0"/>
        <w:snapToGrid w:val="0"/>
        <w:spacing w:before="312" w:beforeLines="100"/>
        <w:jc w:val="center"/>
        <w:rPr>
          <w:rFonts w:ascii="宋体" w:hAnsi="宋体" w:eastAsia="宋体" w:cs="Times New Roman"/>
          <w:b/>
          <w:color w:val="000000" w:themeColor="text1"/>
          <w:sz w:val="30"/>
          <w:szCs w:val="30"/>
          <w:lang w:val="zh-CN"/>
        </w:rPr>
      </w:pPr>
      <w:r>
        <w:rPr>
          <w:rFonts w:hint="eastAsia" w:ascii="宋体" w:hAnsi="宋体" w:eastAsia="宋体" w:cs="Times New Roman"/>
          <w:b/>
          <w:color w:val="000000" w:themeColor="text1"/>
          <w:sz w:val="30"/>
          <w:szCs w:val="30"/>
          <w:lang w:val="zh-CN"/>
        </w:rPr>
        <w:t>残疾人福利性单位声明函</w:t>
      </w:r>
    </w:p>
    <w:p>
      <w:pPr>
        <w:adjustRightInd w:val="0"/>
        <w:snapToGrid w:val="0"/>
        <w:spacing w:before="156" w:beforeLines="50" w:after="156" w:afterLines="50"/>
        <w:jc w:val="center"/>
        <w:rPr>
          <w:rFonts w:ascii="宋体" w:hAnsi="Courier New" w:eastAsia="宋体" w:cs="Times New Roman"/>
          <w:color w:val="000000" w:themeColor="text1"/>
          <w:sz w:val="24"/>
          <w:szCs w:val="21"/>
          <w:lang w:val="zh-CN"/>
        </w:rPr>
      </w:pPr>
      <w:r>
        <w:rPr>
          <w:rFonts w:hint="eastAsia" w:ascii="宋体" w:hAnsi="Courier New" w:eastAsia="宋体" w:cs="Times New Roman"/>
          <w:color w:val="000000" w:themeColor="text1"/>
          <w:sz w:val="24"/>
          <w:szCs w:val="21"/>
          <w:lang w:val="zh-CN"/>
        </w:rPr>
        <w:t>（适用于工程类、服务类项目）</w:t>
      </w:r>
    </w:p>
    <w:p>
      <w:pPr>
        <w:spacing w:line="360" w:lineRule="auto"/>
        <w:rPr>
          <w:b/>
          <w:color w:val="000000" w:themeColor="text1"/>
          <w:sz w:val="28"/>
          <w:szCs w:val="28"/>
        </w:rPr>
      </w:pPr>
      <w:r>
        <w:rPr>
          <w:rFonts w:hint="eastAsia"/>
          <w:b/>
          <w:color w:val="000000" w:themeColor="text1"/>
          <w:sz w:val="28"/>
          <w:szCs w:val="28"/>
        </w:rPr>
        <w:t>采购人（或采购代理公司）：</w:t>
      </w:r>
    </w:p>
    <w:p>
      <w:pPr>
        <w:spacing w:line="360" w:lineRule="auto"/>
        <w:ind w:firstLine="480" w:firstLineChars="200"/>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本单位郑重声明，根据《财政部 民政部 中国残疾人联合会关于促进残疾人就业政府采购政策的通知》（财库〔2017〕141号）的规定，本单位为符合条件的残疾人福利性单位</w:t>
      </w:r>
      <w:r>
        <w:rPr>
          <w:rFonts w:hint="eastAsia" w:hAnsi="宋体"/>
          <w:color w:val="000000" w:themeColor="text1"/>
          <w:sz w:val="24"/>
        </w:rPr>
        <w:t>（详见“残疾人福利性单位应当满足的条件”）</w:t>
      </w:r>
      <w:r>
        <w:rPr>
          <w:rFonts w:hint="eastAsia" w:ascii="宋体" w:hAnsi="宋体" w:eastAsia="宋体" w:cs="Times New Roman"/>
          <w:color w:val="000000" w:themeColor="text1"/>
          <w:sz w:val="24"/>
          <w:szCs w:val="24"/>
        </w:rPr>
        <w:t>，且本单位参加</w:t>
      </w:r>
      <w:r>
        <w:rPr>
          <w:rFonts w:hint="eastAsia" w:ascii="宋体" w:hAnsi="宋体" w:eastAsia="宋体" w:cs="Times New Roman"/>
          <w:color w:val="000000" w:themeColor="text1"/>
          <w:sz w:val="24"/>
          <w:szCs w:val="24"/>
          <w:u w:val="single"/>
        </w:rPr>
        <w:t xml:space="preserve">  （</w:t>
      </w:r>
      <w:r>
        <w:rPr>
          <w:rFonts w:hint="eastAsia" w:ascii="Times New Roman" w:hAnsi="宋体" w:eastAsia="宋体" w:cs="Times New Roman"/>
          <w:color w:val="000000" w:themeColor="text1"/>
          <w:sz w:val="24"/>
          <w:szCs w:val="24"/>
          <w:u w:val="single"/>
        </w:rPr>
        <w:t>采购</w:t>
      </w:r>
      <w:r>
        <w:rPr>
          <w:rFonts w:hint="eastAsia" w:ascii="宋体" w:hAnsi="宋体" w:eastAsia="宋体" w:cs="Times New Roman"/>
          <w:color w:val="000000" w:themeColor="text1"/>
          <w:sz w:val="24"/>
          <w:szCs w:val="24"/>
          <w:u w:val="single"/>
        </w:rPr>
        <w:t>人）</w:t>
      </w:r>
      <w:r>
        <w:rPr>
          <w:rFonts w:hint="eastAsia" w:ascii="Times New Roman" w:hAnsi="宋体" w:eastAsia="宋体" w:cs="Times New Roman"/>
          <w:color w:val="000000" w:themeColor="text1"/>
          <w:sz w:val="24"/>
          <w:szCs w:val="24"/>
        </w:rPr>
        <w:t>的</w:t>
      </w:r>
      <w:r>
        <w:rPr>
          <w:rFonts w:hint="eastAsia" w:cs="Times New Roman" w:asciiTheme="minorEastAsia" w:hAnsiTheme="minorEastAsia"/>
          <w:color w:val="000000" w:themeColor="text1"/>
          <w:sz w:val="24"/>
          <w:szCs w:val="24"/>
          <w:u w:val="single"/>
        </w:rPr>
        <w:t>__   _</w:t>
      </w:r>
      <w:r>
        <w:rPr>
          <w:rFonts w:hint="eastAsia" w:ascii="Times New Roman" w:hAnsi="宋体" w:eastAsia="宋体" w:cs="Times New Roman"/>
          <w:color w:val="000000" w:themeColor="text1"/>
          <w:sz w:val="24"/>
          <w:szCs w:val="24"/>
        </w:rPr>
        <w:t>项目（项目编号：______）</w:t>
      </w:r>
      <w:r>
        <w:rPr>
          <w:rFonts w:hint="eastAsia" w:ascii="宋体" w:hAnsi="宋体" w:eastAsia="宋体" w:cs="Times New Roman"/>
          <w:color w:val="000000" w:themeColor="text1"/>
          <w:sz w:val="24"/>
          <w:szCs w:val="24"/>
        </w:rPr>
        <w:t>采购活动由本单位承担工程（或提供服务）。</w:t>
      </w:r>
    </w:p>
    <w:p>
      <w:pPr>
        <w:spacing w:line="360" w:lineRule="auto"/>
        <w:ind w:firstLine="480" w:firstLineChars="200"/>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本单位对上述声明的真实性负责。如有虚假，将依法承担相应责任。</w:t>
      </w:r>
    </w:p>
    <w:p>
      <w:pPr>
        <w:spacing w:line="360" w:lineRule="auto"/>
        <w:rPr>
          <w:rFonts w:ascii="宋体" w:hAnsi="宋体" w:eastAsia="宋体" w:cs="Times New Roman"/>
          <w:color w:val="000000" w:themeColor="text1"/>
          <w:sz w:val="24"/>
          <w:szCs w:val="24"/>
        </w:rPr>
      </w:pPr>
    </w:p>
    <w:p>
      <w:pPr>
        <w:spacing w:line="360" w:lineRule="auto"/>
        <w:rPr>
          <w:rFonts w:ascii="宋体" w:hAnsi="宋体" w:eastAsia="宋体" w:cs="Times New Roman"/>
          <w:color w:val="000000" w:themeColor="text1"/>
          <w:sz w:val="24"/>
          <w:szCs w:val="24"/>
        </w:rPr>
      </w:pPr>
    </w:p>
    <w:p>
      <w:pPr>
        <w:spacing w:line="360" w:lineRule="auto"/>
        <w:ind w:left="1080" w:hanging="1080" w:hangingChars="450"/>
        <w:jc w:val="left"/>
        <w:rPr>
          <w:rFonts w:ascii="宋体" w:hAnsi="宋体" w:cs="Courier New"/>
          <w:color w:val="000000" w:themeColor="text1"/>
          <w:sz w:val="24"/>
          <w:szCs w:val="21"/>
        </w:rPr>
      </w:pPr>
      <w:r>
        <w:rPr>
          <w:rFonts w:hint="eastAsia" w:ascii="宋体" w:hAnsi="宋体" w:cs="Courier New"/>
          <w:color w:val="000000" w:themeColor="text1"/>
          <w:sz w:val="24"/>
          <w:szCs w:val="21"/>
        </w:rPr>
        <w:t>说明：1、组成联合体的大中型企业和其他自然人、法人或者其他组织，与残疾人福利性单位之间不得存在投资关系。</w:t>
      </w:r>
    </w:p>
    <w:p>
      <w:pPr>
        <w:spacing w:line="360" w:lineRule="auto"/>
        <w:ind w:left="1078" w:leftChars="342" w:hanging="360" w:hangingChars="150"/>
        <w:jc w:val="left"/>
        <w:rPr>
          <w:rFonts w:ascii="宋体" w:hAnsi="宋体" w:eastAsia="宋体" w:cs="Times New Roman"/>
          <w:color w:val="000000" w:themeColor="text1"/>
          <w:sz w:val="24"/>
          <w:szCs w:val="24"/>
        </w:rPr>
      </w:pPr>
      <w:r>
        <w:rPr>
          <w:rFonts w:hint="eastAsia" w:ascii="宋体" w:hAnsi="宋体" w:cs="Courier New"/>
          <w:color w:val="000000" w:themeColor="text1"/>
          <w:sz w:val="24"/>
          <w:szCs w:val="21"/>
        </w:rPr>
        <w:t>2、以联合体方式参与本项目投标的供应商，应由联合体双方签字盖章。</w:t>
      </w:r>
    </w:p>
    <w:p>
      <w:pPr>
        <w:spacing w:line="360" w:lineRule="auto"/>
        <w:rPr>
          <w:rFonts w:ascii="宋体" w:hAnsi="宋体" w:eastAsia="宋体" w:cs="Times New Roman"/>
          <w:color w:val="000000" w:themeColor="text1"/>
          <w:sz w:val="24"/>
          <w:szCs w:val="24"/>
        </w:rPr>
      </w:pPr>
    </w:p>
    <w:p>
      <w:pPr>
        <w:spacing w:line="360" w:lineRule="auto"/>
        <w:rPr>
          <w:rFonts w:ascii="宋体" w:hAnsi="宋体" w:eastAsia="宋体" w:cs="Times New Roman"/>
          <w:color w:val="000000" w:themeColor="text1"/>
          <w:sz w:val="24"/>
          <w:szCs w:val="24"/>
        </w:rPr>
      </w:pPr>
    </w:p>
    <w:p>
      <w:pPr>
        <w:spacing w:before="100" w:beforeAutospacing="1" w:after="100" w:afterAutospacing="1" w:line="360" w:lineRule="auto"/>
        <w:ind w:firstLine="3316" w:firstLineChars="1382"/>
        <w:rPr>
          <w:rFonts w:ascii="宋体" w:hAnsi="宋体" w:eastAsia="宋体" w:cs="Times New Roman"/>
          <w:b/>
          <w:bCs/>
          <w:color w:val="000000" w:themeColor="text1"/>
          <w:sz w:val="24"/>
          <w:szCs w:val="21"/>
          <w:lang w:val="zh-CN"/>
        </w:rPr>
      </w:pPr>
      <w:r>
        <w:rPr>
          <w:rFonts w:hint="eastAsia" w:ascii="宋体" w:hAnsi="宋体" w:eastAsia="宋体" w:cs="Times New Roman"/>
          <w:b/>
          <w:bCs/>
          <w:color w:val="000000" w:themeColor="text1"/>
          <w:sz w:val="24"/>
          <w:szCs w:val="21"/>
          <w:lang w:val="zh-CN"/>
        </w:rPr>
        <w:t>制造商（公章）：</w:t>
      </w:r>
    </w:p>
    <w:p>
      <w:pPr>
        <w:spacing w:before="100" w:beforeAutospacing="1" w:after="100" w:afterAutospacing="1" w:line="360" w:lineRule="auto"/>
        <w:ind w:firstLine="3316" w:firstLineChars="1382"/>
        <w:rPr>
          <w:rFonts w:ascii="宋体" w:hAnsi="宋体" w:eastAsia="宋体" w:cs="Times New Roman"/>
          <w:b/>
          <w:bCs/>
          <w:color w:val="000000" w:themeColor="text1"/>
          <w:sz w:val="24"/>
          <w:szCs w:val="21"/>
          <w:lang w:val="zh-CN"/>
        </w:rPr>
      </w:pPr>
      <w:r>
        <w:rPr>
          <w:rFonts w:hint="eastAsia" w:ascii="宋体" w:hAnsi="宋体" w:eastAsia="宋体" w:cs="Times New Roman"/>
          <w:b/>
          <w:bCs/>
          <w:color w:val="000000" w:themeColor="text1"/>
          <w:sz w:val="24"/>
          <w:szCs w:val="21"/>
          <w:lang w:val="zh-CN"/>
        </w:rPr>
        <w:t>投标人授权代表（签字）：</w:t>
      </w:r>
    </w:p>
    <w:p>
      <w:pPr>
        <w:spacing w:before="100" w:beforeAutospacing="1" w:after="100" w:afterAutospacing="1" w:line="360" w:lineRule="auto"/>
        <w:ind w:firstLine="3316" w:firstLineChars="1382"/>
        <w:rPr>
          <w:rFonts w:ascii="Times New Roman" w:hAnsi="宋体" w:eastAsia="宋体" w:cs="Times New Roman"/>
          <w:bCs/>
          <w:color w:val="000000" w:themeColor="text1"/>
          <w:sz w:val="24"/>
          <w:szCs w:val="24"/>
          <w:u w:val="single"/>
        </w:rPr>
      </w:pPr>
      <w:r>
        <w:rPr>
          <w:rFonts w:hint="eastAsia" w:ascii="Times New Roman" w:hAnsi="宋体" w:eastAsia="宋体" w:cs="Times New Roman"/>
          <w:b/>
          <w:color w:val="000000" w:themeColor="text1"/>
          <w:sz w:val="24"/>
          <w:szCs w:val="24"/>
        </w:rPr>
        <w:t>日   期：</w:t>
      </w:r>
    </w:p>
    <w:p>
      <w:pPr>
        <w:rPr>
          <w:color w:val="000000" w:themeColor="text1"/>
        </w:rPr>
      </w:pPr>
      <w:r>
        <w:rPr>
          <w:color w:val="000000" w:themeColor="text1"/>
        </w:rPr>
        <w:br w:type="page"/>
      </w:r>
    </w:p>
    <w:p>
      <w:pPr>
        <w:spacing w:line="600" w:lineRule="exact"/>
        <w:rPr>
          <w:rFonts w:ascii="Times New Roman" w:hAnsi="Times New Roman" w:eastAsia="宋体" w:cs="Times New Roman"/>
          <w:b/>
          <w:color w:val="000000" w:themeColor="text1"/>
          <w:sz w:val="24"/>
          <w:szCs w:val="24"/>
        </w:rPr>
      </w:pPr>
      <w:r>
        <w:rPr>
          <w:rFonts w:hint="eastAsia" w:ascii="Times New Roman" w:hAnsi="Times New Roman" w:eastAsia="宋体" w:cs="Times New Roman"/>
          <w:b/>
          <w:color w:val="000000" w:themeColor="text1"/>
          <w:sz w:val="24"/>
          <w:szCs w:val="24"/>
        </w:rPr>
        <w:t>享受政府采购支持政策的残疾人福利性单位应当同时满足以下条件：</w:t>
      </w:r>
    </w:p>
    <w:p>
      <w:pPr>
        <w:spacing w:line="600" w:lineRule="exact"/>
        <w:ind w:firstLine="480" w:firstLineChars="200"/>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（一）安置的残疾人占本单位在职职工人数的比例不低于25%（含25%），并且安置的残疾人人数不少于10人（含10人）；</w:t>
      </w:r>
    </w:p>
    <w:p>
      <w:pPr>
        <w:spacing w:line="600" w:lineRule="exact"/>
        <w:ind w:firstLine="480" w:firstLineChars="200"/>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（二）依法与安置的每位残疾人签订了一年以上（含一年）的劳动合同或服务协议；</w:t>
      </w:r>
    </w:p>
    <w:p>
      <w:pPr>
        <w:spacing w:line="600" w:lineRule="exact"/>
        <w:ind w:firstLine="480" w:firstLineChars="200"/>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（三）为安置的每位残疾人按月足额缴纳了基本养老保险、基本医疗保险、失业保险、工伤保险和生育保险等社会保险费；</w:t>
      </w:r>
    </w:p>
    <w:p>
      <w:pPr>
        <w:spacing w:line="600" w:lineRule="exact"/>
        <w:ind w:firstLine="480" w:firstLineChars="200"/>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（四）通过银行等金融机构向安置的每位残疾人，按月支付了不低于单位所在区县适用的经省级人民政府批准的月最低工资标准的工资；</w:t>
      </w:r>
    </w:p>
    <w:p>
      <w:pPr>
        <w:spacing w:line="600" w:lineRule="exact"/>
        <w:ind w:firstLine="480" w:firstLineChars="200"/>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（五）提供本单位制造的货物、承担的工程或者服务（以下简称产品），或者提供其他残疾人福利性单位制造的货物（不包括使用非残疾人福利性单位注册商标的货物）。</w:t>
      </w:r>
    </w:p>
    <w:p>
      <w:pPr>
        <w:spacing w:line="600" w:lineRule="exact"/>
        <w:ind w:firstLine="480" w:firstLineChars="200"/>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rPr>
          <w:color w:val="000000" w:themeColor="text1"/>
        </w:rPr>
      </w:pPr>
    </w:p>
    <w:p>
      <w:pPr>
        <w:rPr>
          <w:color w:val="000000" w:themeColor="text1"/>
        </w:rPr>
      </w:pPr>
      <w:r>
        <w:rPr>
          <w:color w:val="000000" w:themeColor="text1"/>
        </w:rPr>
        <w:br w:type="page"/>
      </w:r>
    </w:p>
    <w:p>
      <w:pPr>
        <w:pStyle w:val="2"/>
        <w:numPr>
          <w:ilvl w:val="0"/>
          <w:numId w:val="58"/>
        </w:numPr>
        <w:spacing w:before="100" w:beforeAutospacing="1" w:after="156" w:afterLines="50" w:line="360" w:lineRule="auto"/>
        <w:ind w:left="1288" w:hanging="1288"/>
        <w:rPr>
          <w:rFonts w:ascii="宋体" w:hAnsi="宋体" w:eastAsia="宋体"/>
          <w:color w:val="000000" w:themeColor="text1"/>
        </w:rPr>
      </w:pPr>
      <w:bookmarkStart w:id="160" w:name="_Toc494665005"/>
      <w:bookmarkStart w:id="161" w:name="_Toc494721105"/>
      <w:bookmarkStart w:id="162" w:name="_Toc494745322"/>
      <w:bookmarkStart w:id="163" w:name="_Toc26653"/>
      <w:bookmarkStart w:id="164" w:name="_Toc494577410"/>
      <w:bookmarkStart w:id="165" w:name="_Toc494702275"/>
      <w:bookmarkStart w:id="166" w:name="_Toc494665955"/>
      <w:bookmarkStart w:id="167" w:name="_Toc494665558"/>
      <w:r>
        <w:rPr>
          <w:rFonts w:hint="eastAsia" w:ascii="宋体" w:hAnsi="宋体" w:eastAsia="宋体"/>
          <w:color w:val="000000" w:themeColor="text1"/>
        </w:rPr>
        <w:t>开标一览表</w:t>
      </w:r>
      <w:bookmarkEnd w:id="160"/>
      <w:bookmarkEnd w:id="161"/>
      <w:bookmarkEnd w:id="162"/>
      <w:bookmarkEnd w:id="163"/>
      <w:bookmarkEnd w:id="164"/>
      <w:bookmarkEnd w:id="165"/>
      <w:bookmarkEnd w:id="166"/>
      <w:bookmarkEnd w:id="167"/>
    </w:p>
    <w:p>
      <w:pPr>
        <w:spacing w:line="360" w:lineRule="auto"/>
        <w:jc w:val="left"/>
        <w:rPr>
          <w:rFonts w:ascii="宋体" w:hAnsi="宋体" w:eastAsia="宋体" w:cs="Times New Roman"/>
          <w:b/>
          <w:color w:val="000000" w:themeColor="text1"/>
          <w:sz w:val="24"/>
          <w:szCs w:val="21"/>
          <w:u w:val="single"/>
          <w:lang w:val="zh-CN"/>
        </w:rPr>
      </w:pPr>
      <w:r>
        <w:rPr>
          <w:rFonts w:hint="eastAsia" w:ascii="宋体" w:hAnsi="宋体" w:eastAsia="宋体" w:cs="Times New Roman"/>
          <w:b/>
          <w:color w:val="000000" w:themeColor="text1"/>
          <w:sz w:val="24"/>
          <w:szCs w:val="21"/>
          <w:lang w:val="zh-CN"/>
        </w:rPr>
        <w:t>投 标 人：</w:t>
      </w:r>
    </w:p>
    <w:p>
      <w:pPr>
        <w:spacing w:line="360" w:lineRule="auto"/>
        <w:jc w:val="left"/>
        <w:rPr>
          <w:rFonts w:ascii="宋体" w:hAnsi="宋体" w:eastAsia="宋体" w:cs="Times New Roman"/>
          <w:b/>
          <w:color w:val="000000" w:themeColor="text1"/>
          <w:sz w:val="24"/>
          <w:szCs w:val="21"/>
          <w:lang w:val="zh-CN"/>
        </w:rPr>
      </w:pPr>
      <w:r>
        <w:rPr>
          <w:rFonts w:hint="eastAsia" w:ascii="宋体" w:hAnsi="宋体" w:eastAsia="宋体" w:cs="Times New Roman"/>
          <w:b/>
          <w:color w:val="000000" w:themeColor="text1"/>
          <w:sz w:val="24"/>
          <w:szCs w:val="21"/>
          <w:lang w:val="zh-CN"/>
        </w:rPr>
        <w:t>项目名称：</w:t>
      </w:r>
    </w:p>
    <w:p>
      <w:pPr>
        <w:spacing w:line="360" w:lineRule="auto"/>
        <w:jc w:val="left"/>
        <w:rPr>
          <w:rFonts w:ascii="宋体" w:hAnsi="宋体" w:eastAsia="宋体" w:cs="Times New Roman"/>
          <w:b/>
          <w:bCs/>
          <w:color w:val="000000" w:themeColor="text1"/>
          <w:sz w:val="24"/>
          <w:szCs w:val="21"/>
          <w:u w:val="single"/>
          <w:lang w:val="zh-CN"/>
        </w:rPr>
      </w:pPr>
      <w:r>
        <w:rPr>
          <w:rFonts w:hint="eastAsia" w:ascii="宋体" w:hAnsi="宋体" w:eastAsia="宋体" w:cs="Times New Roman"/>
          <w:b/>
          <w:color w:val="000000" w:themeColor="text1"/>
          <w:sz w:val="24"/>
          <w:szCs w:val="21"/>
          <w:lang w:val="zh-CN"/>
        </w:rPr>
        <w:t>项目编号：</w:t>
      </w:r>
      <w:r>
        <w:rPr>
          <w:rFonts w:hint="eastAsia" w:ascii="宋体" w:hAnsi="宋体" w:eastAsia="宋体" w:cs="Times New Roman"/>
          <w:b/>
          <w:bCs/>
          <w:color w:val="000000" w:themeColor="text1"/>
          <w:sz w:val="24"/>
          <w:szCs w:val="21"/>
          <w:lang w:val="zh-CN"/>
        </w:rPr>
        <w:t xml:space="preserve">                所投包号：</w:t>
      </w:r>
    </w:p>
    <w:tbl>
      <w:tblPr>
        <w:tblStyle w:val="18"/>
        <w:tblW w:w="9547"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057"/>
        <w:gridCol w:w="924"/>
        <w:gridCol w:w="2954"/>
        <w:gridCol w:w="1119"/>
        <w:gridCol w:w="1134"/>
        <w:gridCol w:w="170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1" w:type="dxa"/>
            <w:tcBorders>
              <w:top w:val="double" w:color="auto" w:sz="4" w:space="0"/>
              <w:left w:val="doub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00000" w:themeColor="text1"/>
                <w:kern w:val="0"/>
                <w:sz w:val="24"/>
              </w:rPr>
            </w:pPr>
            <w:r>
              <w:rPr>
                <w:rFonts w:hint="eastAsia" w:ascii="宋体" w:hAnsi="宋体" w:cs="宋体"/>
                <w:color w:val="000000" w:themeColor="text1"/>
                <w:kern w:val="0"/>
                <w:sz w:val="24"/>
              </w:rPr>
              <w:t>序号</w:t>
            </w:r>
          </w:p>
        </w:tc>
        <w:tc>
          <w:tcPr>
            <w:tcW w:w="1981" w:type="dxa"/>
            <w:gridSpan w:val="2"/>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00000" w:themeColor="text1"/>
                <w:kern w:val="0"/>
                <w:sz w:val="24"/>
              </w:rPr>
            </w:pPr>
            <w:r>
              <w:rPr>
                <w:rFonts w:hint="eastAsia" w:ascii="宋体" w:hAnsi="宋体" w:cs="宋体"/>
                <w:color w:val="000000" w:themeColor="text1"/>
                <w:kern w:val="0"/>
                <w:sz w:val="24"/>
              </w:rPr>
              <w:t>名称</w:t>
            </w:r>
          </w:p>
        </w:tc>
        <w:tc>
          <w:tcPr>
            <w:tcW w:w="2954"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00000" w:themeColor="text1"/>
                <w:kern w:val="0"/>
                <w:sz w:val="24"/>
              </w:rPr>
            </w:pPr>
            <w:r>
              <w:rPr>
                <w:rFonts w:hint="eastAsia" w:ascii="宋体" w:hAnsi="宋体" w:cs="宋体"/>
                <w:color w:val="000000" w:themeColor="text1"/>
                <w:kern w:val="0"/>
                <w:sz w:val="24"/>
              </w:rPr>
              <w:t>品牌、型号</w:t>
            </w:r>
          </w:p>
        </w:tc>
        <w:tc>
          <w:tcPr>
            <w:tcW w:w="1119"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00000" w:themeColor="text1"/>
                <w:kern w:val="0"/>
                <w:sz w:val="24"/>
              </w:rPr>
            </w:pPr>
            <w:r>
              <w:rPr>
                <w:rFonts w:hint="eastAsia" w:ascii="宋体" w:hAnsi="宋体" w:cs="宋体"/>
                <w:color w:val="000000" w:themeColor="text1"/>
                <w:kern w:val="0"/>
                <w:sz w:val="24"/>
              </w:rPr>
              <w:t>数量</w:t>
            </w:r>
          </w:p>
        </w:tc>
        <w:tc>
          <w:tcPr>
            <w:tcW w:w="1134"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00000" w:themeColor="text1"/>
                <w:kern w:val="0"/>
                <w:sz w:val="24"/>
              </w:rPr>
            </w:pPr>
            <w:r>
              <w:rPr>
                <w:rFonts w:hint="eastAsia" w:ascii="宋体" w:hAnsi="宋体" w:cs="宋体"/>
                <w:color w:val="000000" w:themeColor="text1"/>
                <w:kern w:val="0"/>
                <w:sz w:val="24"/>
              </w:rPr>
              <w:t>单价(元)</w:t>
            </w:r>
          </w:p>
        </w:tc>
        <w:tc>
          <w:tcPr>
            <w:tcW w:w="1708" w:type="dxa"/>
            <w:tcBorders>
              <w:top w:val="double" w:color="auto" w:sz="4" w:space="0"/>
              <w:left w:val="single" w:color="auto" w:sz="4" w:space="0"/>
              <w:bottom w:val="single" w:color="auto" w:sz="4" w:space="0"/>
              <w:right w:val="double" w:color="auto" w:sz="4" w:space="0"/>
            </w:tcBorders>
            <w:shd w:val="clear" w:color="auto" w:fill="EEECE1"/>
            <w:vAlign w:val="center"/>
          </w:tcPr>
          <w:p>
            <w:pPr>
              <w:spacing w:line="360" w:lineRule="auto"/>
              <w:ind w:left="-50" w:leftChars="-24" w:right="-65" w:rightChars="-31"/>
              <w:jc w:val="center"/>
              <w:rPr>
                <w:rFonts w:ascii="宋体" w:hAnsi="宋体" w:cs="宋体"/>
                <w:color w:val="000000" w:themeColor="text1"/>
                <w:kern w:val="0"/>
                <w:sz w:val="24"/>
              </w:rPr>
            </w:pPr>
            <w:r>
              <w:rPr>
                <w:rFonts w:hint="eastAsia" w:ascii="宋体" w:hAnsi="宋体" w:cs="宋体"/>
                <w:color w:val="000000" w:themeColor="text1"/>
                <w:kern w:val="0"/>
                <w:sz w:val="24"/>
              </w:rPr>
              <w:t>分项合计(元)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000000" w:themeColor="text1"/>
                <w:kern w:val="0"/>
                <w:sz w:val="24"/>
                <w:szCs w:val="24"/>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000000" w:themeColor="text1"/>
                <w:kern w:val="0"/>
                <w:sz w:val="24"/>
                <w:szCs w:val="24"/>
              </w:rPr>
            </w:pPr>
          </w:p>
        </w:tc>
        <w:tc>
          <w:tcPr>
            <w:tcW w:w="295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000000" w:themeColor="text1"/>
                <w:kern w:val="0"/>
                <w:sz w:val="24"/>
                <w:szCs w:val="24"/>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000000" w:themeColor="text1"/>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000000" w:themeColor="text1"/>
                <w:kern w:val="0"/>
                <w:sz w:val="24"/>
                <w:szCs w:val="24"/>
              </w:rPr>
            </w:pPr>
          </w:p>
        </w:tc>
        <w:tc>
          <w:tcPr>
            <w:tcW w:w="1708"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center"/>
              <w:rPr>
                <w:rFonts w:ascii="宋体" w:hAnsi="宋体" w:eastAsia="宋体" w:cs="宋体"/>
                <w:color w:val="000000" w:themeColor="text1"/>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000000" w:themeColor="text1"/>
                <w:kern w:val="0"/>
                <w:sz w:val="24"/>
                <w:szCs w:val="24"/>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000000" w:themeColor="text1"/>
                <w:kern w:val="0"/>
                <w:sz w:val="24"/>
                <w:szCs w:val="24"/>
              </w:rPr>
            </w:pPr>
          </w:p>
        </w:tc>
        <w:tc>
          <w:tcPr>
            <w:tcW w:w="295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000000" w:themeColor="text1"/>
                <w:kern w:val="0"/>
                <w:sz w:val="24"/>
                <w:szCs w:val="24"/>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000000" w:themeColor="text1"/>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000000" w:themeColor="text1"/>
                <w:kern w:val="0"/>
                <w:sz w:val="24"/>
                <w:szCs w:val="24"/>
              </w:rPr>
            </w:pPr>
          </w:p>
        </w:tc>
        <w:tc>
          <w:tcPr>
            <w:tcW w:w="1708"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center"/>
              <w:rPr>
                <w:rFonts w:ascii="宋体" w:hAnsi="宋体" w:eastAsia="宋体" w:cs="宋体"/>
                <w:color w:val="000000" w:themeColor="text1"/>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000000" w:themeColor="text1"/>
                <w:kern w:val="0"/>
                <w:sz w:val="24"/>
                <w:szCs w:val="24"/>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000000" w:themeColor="text1"/>
                <w:kern w:val="0"/>
                <w:sz w:val="24"/>
                <w:szCs w:val="24"/>
              </w:rPr>
            </w:pPr>
          </w:p>
        </w:tc>
        <w:tc>
          <w:tcPr>
            <w:tcW w:w="295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000000" w:themeColor="text1"/>
                <w:kern w:val="0"/>
                <w:sz w:val="24"/>
                <w:szCs w:val="24"/>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000000" w:themeColor="text1"/>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000000" w:themeColor="text1"/>
                <w:kern w:val="0"/>
                <w:sz w:val="24"/>
                <w:szCs w:val="24"/>
              </w:rPr>
            </w:pPr>
          </w:p>
        </w:tc>
        <w:tc>
          <w:tcPr>
            <w:tcW w:w="1708"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center"/>
              <w:rPr>
                <w:rFonts w:ascii="宋体" w:hAnsi="宋体" w:eastAsia="宋体" w:cs="宋体"/>
                <w:color w:val="000000" w:themeColor="text1"/>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投标总报价</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after="120" w:line="400" w:lineRule="atLeast"/>
              <w:ind w:left="205" w:leftChars="98" w:right="-65" w:rightChars="-31"/>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小写：万元整（¥）</w:t>
            </w:r>
          </w:p>
          <w:p>
            <w:pPr>
              <w:spacing w:after="120" w:line="400" w:lineRule="atLeast"/>
              <w:ind w:left="205" w:leftChars="98" w:right="-65" w:rightChars="-31"/>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大写：万 仟 佰 十 元 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项目工期</w:t>
            </w:r>
          </w:p>
          <w:p>
            <w:pPr>
              <w:spacing w:line="240" w:lineRule="atLeast"/>
              <w:ind w:left="-48" w:leftChars="-23" w:right="-65" w:rightChars="-31"/>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（服务期限）</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（单位：日历天）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质保期</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（单位：年）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708" w:type="dxa"/>
            <w:gridSpan w:val="2"/>
            <w:tcBorders>
              <w:top w:val="single" w:color="auto" w:sz="4" w:space="0"/>
              <w:left w:val="double" w:color="auto" w:sz="4" w:space="0"/>
              <w:bottom w:val="doub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备注</w:t>
            </w:r>
          </w:p>
        </w:tc>
        <w:tc>
          <w:tcPr>
            <w:tcW w:w="7839" w:type="dxa"/>
            <w:gridSpan w:val="5"/>
            <w:tcBorders>
              <w:top w:val="single" w:color="auto" w:sz="4" w:space="0"/>
              <w:left w:val="single" w:color="auto" w:sz="4" w:space="0"/>
              <w:bottom w:val="double" w:color="auto" w:sz="4" w:space="0"/>
              <w:right w:val="double" w:color="auto" w:sz="4" w:space="0"/>
            </w:tcBorders>
            <w:vAlign w:val="center"/>
          </w:tcPr>
          <w:p>
            <w:pPr>
              <w:spacing w:line="276" w:lineRule="auto"/>
              <w:ind w:left="-48" w:leftChars="-23" w:right="-65" w:rightChars="-31"/>
              <w:jc w:val="left"/>
              <w:rPr>
                <w:rFonts w:ascii="宋体" w:hAnsi="宋体" w:eastAsia="宋体" w:cs="Times New Roman"/>
                <w:color w:val="000000" w:themeColor="text1"/>
                <w:sz w:val="24"/>
              </w:rPr>
            </w:pPr>
            <w:r>
              <w:rPr>
                <w:rFonts w:hint="eastAsia" w:ascii="Times New Roman" w:hAnsi="宋体" w:eastAsia="宋体" w:cs="Times New Roman"/>
                <w:color w:val="000000" w:themeColor="text1"/>
                <w:sz w:val="24"/>
                <w:szCs w:val="24"/>
              </w:rPr>
              <w:t>小型和微型企业、监狱企业、残疾人福利性单位价格扣除</w:t>
            </w:r>
            <w:r>
              <w:rPr>
                <w:rFonts w:hint="eastAsia" w:ascii="宋体" w:hAnsi="宋体" w:eastAsia="宋体" w:cs="Times New Roman"/>
                <w:color w:val="000000" w:themeColor="text1"/>
                <w:sz w:val="24"/>
              </w:rPr>
              <w:t>合计（</w:t>
            </w:r>
            <w:r>
              <w:rPr>
                <w:rFonts w:hint="eastAsia" w:ascii="宋体" w:hAnsi="宋体" w:eastAsia="宋体" w:cs="宋体"/>
                <w:color w:val="000000" w:themeColor="text1"/>
                <w:kern w:val="0"/>
                <w:sz w:val="24"/>
                <w:szCs w:val="24"/>
              </w:rPr>
              <w:t>大写</w:t>
            </w:r>
            <w:r>
              <w:rPr>
                <w:rFonts w:hint="eastAsia" w:ascii="宋体" w:hAnsi="宋体" w:eastAsia="宋体" w:cs="Times New Roman"/>
                <w:color w:val="000000" w:themeColor="text1"/>
                <w:sz w:val="24"/>
              </w:rPr>
              <w:t>）：</w:t>
            </w:r>
          </w:p>
          <w:p>
            <w:pPr>
              <w:spacing w:line="276" w:lineRule="auto"/>
              <w:ind w:left="-48" w:leftChars="-23" w:right="-65" w:rightChars="-31"/>
              <w:jc w:val="left"/>
              <w:rPr>
                <w:rFonts w:ascii="宋体" w:hAnsi="宋体" w:eastAsia="宋体" w:cs="宋体"/>
                <w:color w:val="000000" w:themeColor="text1"/>
                <w:kern w:val="0"/>
                <w:sz w:val="24"/>
                <w:szCs w:val="24"/>
                <w:lang w:val="zh-CN"/>
              </w:rPr>
            </w:pPr>
            <w:r>
              <w:rPr>
                <w:rFonts w:hint="eastAsia" w:ascii="宋体" w:hAnsi="宋体" w:eastAsia="宋体" w:cs="宋体"/>
                <w:color w:val="000000" w:themeColor="text1"/>
                <w:kern w:val="0"/>
                <w:sz w:val="24"/>
                <w:szCs w:val="24"/>
              </w:rPr>
              <w:t>万仟佰拾元整</w:t>
            </w:r>
            <w:r>
              <w:rPr>
                <w:rFonts w:hint="eastAsia" w:ascii="宋体" w:hAnsi="宋体" w:cs="宋体"/>
                <w:color w:val="000000" w:themeColor="text1"/>
                <w:kern w:val="0"/>
                <w:sz w:val="24"/>
              </w:rPr>
              <w:t>（或以联合体投标的，</w:t>
            </w:r>
            <w:r>
              <w:rPr>
                <w:rFonts w:ascii="宋体" w:hAnsi="宋体"/>
                <w:bCs/>
                <w:color w:val="000000" w:themeColor="text1"/>
                <w:sz w:val="24"/>
              </w:rPr>
              <w:t>联合协议中约定小型、微型企业的协议合同金额占到联合体协议合同总金额的</w:t>
            </w:r>
            <w:r>
              <w:rPr>
                <w:rFonts w:hint="eastAsia" w:ascii="宋体" w:hAnsi="宋体"/>
                <w:bCs/>
                <w:color w:val="000000" w:themeColor="text1"/>
                <w:sz w:val="24"/>
              </w:rPr>
              <w:t>%）</w:t>
            </w:r>
          </w:p>
        </w:tc>
      </w:tr>
    </w:tbl>
    <w:p>
      <w:pPr>
        <w:spacing w:line="360" w:lineRule="auto"/>
        <w:ind w:left="1049" w:hanging="1048" w:hangingChars="437"/>
        <w:jc w:val="left"/>
        <w:rPr>
          <w:rFonts w:ascii="宋体" w:hAnsi="宋体"/>
          <w:color w:val="000000" w:themeColor="text1"/>
          <w:sz w:val="24"/>
        </w:rPr>
      </w:pPr>
      <w:r>
        <w:rPr>
          <w:rFonts w:hint="eastAsia" w:ascii="宋体" w:hAnsi="宋体"/>
          <w:color w:val="000000" w:themeColor="text1"/>
          <w:sz w:val="24"/>
        </w:rPr>
        <w:t>说明：1．所有价格均用人民币表示，单位为万元。</w:t>
      </w:r>
    </w:p>
    <w:p>
      <w:pPr>
        <w:spacing w:line="360" w:lineRule="auto"/>
        <w:ind w:left="1061" w:leftChars="339" w:hanging="350" w:hangingChars="146"/>
        <w:jc w:val="left"/>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2．价格应按照招标文件第二章“投标人须知”中第12条的要求进行报价。</w:t>
      </w:r>
    </w:p>
    <w:p>
      <w:pPr>
        <w:spacing w:line="360" w:lineRule="auto"/>
        <w:ind w:left="1061" w:leftChars="339" w:hanging="350" w:hangingChars="146"/>
        <w:jc w:val="left"/>
        <w:rPr>
          <w:rFonts w:ascii="宋体" w:hAnsi="宋体" w:eastAsia="宋体" w:cs="Times New Roman"/>
          <w:b/>
          <w:color w:val="000000" w:themeColor="text1"/>
          <w:sz w:val="24"/>
          <w:szCs w:val="24"/>
        </w:rPr>
      </w:pPr>
      <w:r>
        <w:rPr>
          <w:rFonts w:hint="eastAsia" w:ascii="宋体" w:hAnsi="宋体" w:eastAsia="宋体" w:cs="Times New Roman"/>
          <w:color w:val="000000" w:themeColor="text1"/>
          <w:sz w:val="24"/>
          <w:szCs w:val="24"/>
        </w:rPr>
        <w:t>3．为方便开标时唱标，投标人应另附《开标一览表》及《交纳投标保证金的银行凭证》（如有交纳保证金要求的）各一份一并</w:t>
      </w:r>
      <w:r>
        <w:rPr>
          <w:rFonts w:hint="eastAsia" w:ascii="宋体" w:hAnsi="宋体" w:eastAsia="宋体" w:cs="Times New Roman"/>
          <w:color w:val="000000" w:themeColor="text1"/>
          <w:spacing w:val="-6"/>
          <w:kern w:val="0"/>
          <w:sz w:val="24"/>
          <w:szCs w:val="24"/>
        </w:rPr>
        <w:t>装入一个信封，单独密封提交</w:t>
      </w:r>
      <w:r>
        <w:rPr>
          <w:rFonts w:hint="eastAsia" w:ascii="宋体" w:hAnsi="宋体" w:eastAsia="宋体" w:cs="Times New Roman"/>
          <w:color w:val="000000" w:themeColor="text1"/>
          <w:sz w:val="24"/>
          <w:szCs w:val="24"/>
        </w:rPr>
        <w:t>，并在信封上标明“开标一览表”字样。未单独提交或单独提交的上述资料未按照招标文件规定的格式填写完整并签字、盖章</w:t>
      </w:r>
      <w:r>
        <w:rPr>
          <w:rFonts w:hint="eastAsia" w:ascii="宋体" w:hAnsi="宋体" w:eastAsia="宋体" w:cs="Times New Roman"/>
          <w:color w:val="000000" w:themeColor="text1"/>
          <w:sz w:val="24"/>
          <w:szCs w:val="20"/>
          <w:lang w:val="zh-CN"/>
        </w:rPr>
        <w:t>的集中采购机构</w:t>
      </w:r>
      <w:r>
        <w:rPr>
          <w:rFonts w:hint="eastAsia" w:ascii="宋体" w:hAnsi="宋体" w:eastAsia="宋体" w:cs="Times New Roman"/>
          <w:b/>
          <w:color w:val="000000" w:themeColor="text1"/>
          <w:sz w:val="24"/>
          <w:szCs w:val="20"/>
          <w:lang w:val="zh-CN"/>
        </w:rPr>
        <w:t>拒绝</w:t>
      </w:r>
      <w:r>
        <w:rPr>
          <w:rFonts w:hint="eastAsia" w:ascii="宋体" w:hAnsi="宋体" w:eastAsia="宋体" w:cs="Times New Roman"/>
          <w:color w:val="000000" w:themeColor="text1"/>
          <w:sz w:val="24"/>
          <w:szCs w:val="20"/>
          <w:lang w:val="zh-CN"/>
        </w:rPr>
        <w:t>其投标。</w:t>
      </w:r>
    </w:p>
    <w:p>
      <w:pPr>
        <w:spacing w:line="360" w:lineRule="auto"/>
        <w:ind w:left="1061" w:leftChars="339" w:hanging="350" w:hangingChars="146"/>
        <w:jc w:val="left"/>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4. 本表应按要求由投标人法人授权代表签字，并加盖投标单位公章，否则将被视为非响应性投标，将按照</w:t>
      </w:r>
      <w:r>
        <w:rPr>
          <w:rFonts w:hint="eastAsia" w:ascii="宋体" w:hAnsi="宋体" w:eastAsia="宋体" w:cs="Times New Roman"/>
          <w:b/>
          <w:color w:val="000000" w:themeColor="text1"/>
          <w:sz w:val="24"/>
          <w:szCs w:val="24"/>
        </w:rPr>
        <w:t>无效投标处理</w:t>
      </w:r>
      <w:r>
        <w:rPr>
          <w:rFonts w:hint="eastAsia" w:ascii="宋体" w:hAnsi="宋体" w:eastAsia="宋体" w:cs="Times New Roman"/>
          <w:color w:val="000000" w:themeColor="text1"/>
          <w:sz w:val="24"/>
          <w:szCs w:val="24"/>
        </w:rPr>
        <w:t>。</w:t>
      </w:r>
    </w:p>
    <w:p>
      <w:pPr>
        <w:spacing w:before="100" w:beforeAutospacing="1" w:after="100" w:afterAutospacing="1" w:line="360" w:lineRule="auto"/>
        <w:ind w:firstLine="3316" w:firstLineChars="1382"/>
        <w:rPr>
          <w:rFonts w:ascii="宋体" w:hAnsi="宋体" w:eastAsia="宋体" w:cs="Times New Roman"/>
          <w:b/>
          <w:bCs/>
          <w:color w:val="000000" w:themeColor="text1"/>
          <w:sz w:val="24"/>
          <w:szCs w:val="21"/>
          <w:u w:val="single"/>
          <w:lang w:val="zh-CN"/>
        </w:rPr>
      </w:pPr>
      <w:r>
        <w:rPr>
          <w:rFonts w:hint="eastAsia" w:ascii="宋体" w:hAnsi="宋体" w:eastAsia="宋体" w:cs="Times New Roman"/>
          <w:b/>
          <w:bCs/>
          <w:color w:val="000000" w:themeColor="text1"/>
          <w:sz w:val="24"/>
          <w:szCs w:val="21"/>
          <w:lang w:val="zh-CN"/>
        </w:rPr>
        <w:t>投标人（公章）：</w:t>
      </w:r>
    </w:p>
    <w:p>
      <w:pPr>
        <w:spacing w:before="100" w:beforeAutospacing="1" w:after="100" w:afterAutospacing="1" w:line="360" w:lineRule="auto"/>
        <w:ind w:firstLine="3316" w:firstLineChars="1382"/>
        <w:rPr>
          <w:rFonts w:ascii="宋体" w:hAnsi="宋体" w:eastAsia="宋体" w:cs="Times New Roman"/>
          <w:b/>
          <w:bCs/>
          <w:color w:val="000000" w:themeColor="text1"/>
          <w:sz w:val="24"/>
          <w:szCs w:val="21"/>
          <w:u w:val="single"/>
          <w:lang w:val="zh-CN"/>
        </w:rPr>
      </w:pPr>
      <w:r>
        <w:rPr>
          <w:rFonts w:hint="eastAsia" w:ascii="宋体" w:hAnsi="宋体" w:eastAsia="宋体" w:cs="Times New Roman"/>
          <w:b/>
          <w:bCs/>
          <w:color w:val="000000" w:themeColor="text1"/>
          <w:sz w:val="24"/>
          <w:szCs w:val="21"/>
          <w:lang w:val="zh-CN"/>
        </w:rPr>
        <w:t>投标人授权代表（签字）：</w:t>
      </w:r>
    </w:p>
    <w:p>
      <w:pPr>
        <w:spacing w:before="100" w:beforeAutospacing="1" w:after="100" w:afterAutospacing="1" w:line="360" w:lineRule="auto"/>
        <w:ind w:firstLine="3316" w:firstLineChars="1382"/>
        <w:rPr>
          <w:rFonts w:ascii="宋体" w:hAnsi="宋体" w:eastAsia="宋体" w:cs="Times New Roman"/>
          <w:b/>
          <w:bCs/>
          <w:color w:val="000000" w:themeColor="text1"/>
          <w:sz w:val="24"/>
          <w:szCs w:val="21"/>
          <w:u w:val="single"/>
          <w:lang w:val="zh-CN"/>
        </w:rPr>
      </w:pPr>
      <w:r>
        <w:rPr>
          <w:rFonts w:hint="eastAsia" w:ascii="宋体" w:hAnsi="宋体" w:eastAsia="宋体" w:cs="Times New Roman"/>
          <w:b/>
          <w:bCs/>
          <w:color w:val="000000" w:themeColor="text1"/>
          <w:sz w:val="24"/>
          <w:szCs w:val="21"/>
          <w:lang w:val="zh-CN"/>
        </w:rPr>
        <w:t>投标时间：</w:t>
      </w:r>
    </w:p>
    <w:p>
      <w:pPr>
        <w:rPr>
          <w:color w:val="000000" w:themeColor="text1"/>
        </w:rPr>
      </w:pPr>
      <w:r>
        <w:rPr>
          <w:color w:val="000000" w:themeColor="text1"/>
        </w:rPr>
        <w:br w:type="page"/>
      </w:r>
    </w:p>
    <w:p>
      <w:pPr>
        <w:pStyle w:val="2"/>
        <w:numPr>
          <w:ilvl w:val="0"/>
          <w:numId w:val="58"/>
        </w:numPr>
        <w:spacing w:before="100" w:beforeAutospacing="1" w:after="156" w:afterLines="50" w:line="360" w:lineRule="auto"/>
        <w:ind w:left="1288" w:hanging="1288"/>
        <w:rPr>
          <w:rFonts w:ascii="宋体" w:hAnsi="宋体" w:eastAsia="宋体"/>
          <w:color w:val="000000" w:themeColor="text1"/>
        </w:rPr>
      </w:pPr>
      <w:bookmarkStart w:id="168" w:name="_Toc9871"/>
      <w:bookmarkStart w:id="169" w:name="_Toc494665006"/>
      <w:bookmarkStart w:id="170" w:name="_Toc494577411"/>
      <w:bookmarkStart w:id="171" w:name="_Toc494745323"/>
      <w:bookmarkStart w:id="172" w:name="_Toc494665956"/>
      <w:bookmarkStart w:id="173" w:name="_Toc494702276"/>
      <w:bookmarkStart w:id="174" w:name="_Toc494721106"/>
      <w:bookmarkStart w:id="175" w:name="_Toc494665559"/>
      <w:r>
        <w:rPr>
          <w:rFonts w:hint="eastAsia" w:ascii="宋体" w:hAnsi="宋体" w:eastAsia="宋体"/>
          <w:color w:val="000000" w:themeColor="text1"/>
        </w:rPr>
        <w:t>投标报价明细表</w:t>
      </w:r>
      <w:bookmarkEnd w:id="168"/>
      <w:bookmarkEnd w:id="169"/>
      <w:bookmarkEnd w:id="170"/>
      <w:bookmarkEnd w:id="171"/>
      <w:bookmarkEnd w:id="172"/>
      <w:bookmarkEnd w:id="173"/>
      <w:bookmarkEnd w:id="174"/>
      <w:bookmarkEnd w:id="175"/>
    </w:p>
    <w:p>
      <w:pPr>
        <w:spacing w:line="360" w:lineRule="auto"/>
        <w:jc w:val="left"/>
        <w:rPr>
          <w:rFonts w:ascii="宋体" w:hAnsi="宋体" w:eastAsia="宋体" w:cs="Times New Roman"/>
          <w:b/>
          <w:color w:val="000000" w:themeColor="text1"/>
          <w:sz w:val="24"/>
          <w:szCs w:val="21"/>
          <w:u w:val="single"/>
          <w:lang w:val="zh-CN"/>
        </w:rPr>
      </w:pPr>
      <w:r>
        <w:rPr>
          <w:rFonts w:hint="eastAsia" w:ascii="宋体" w:hAnsi="宋体" w:eastAsia="宋体" w:cs="Times New Roman"/>
          <w:b/>
          <w:color w:val="000000" w:themeColor="text1"/>
          <w:sz w:val="24"/>
          <w:szCs w:val="21"/>
          <w:lang w:val="zh-CN"/>
        </w:rPr>
        <w:t>投 标 人：</w:t>
      </w:r>
    </w:p>
    <w:p>
      <w:pPr>
        <w:spacing w:line="360" w:lineRule="auto"/>
        <w:jc w:val="left"/>
        <w:rPr>
          <w:rFonts w:ascii="宋体" w:hAnsi="宋体" w:eastAsia="宋体" w:cs="Times New Roman"/>
          <w:b/>
          <w:color w:val="000000" w:themeColor="text1"/>
          <w:sz w:val="24"/>
          <w:szCs w:val="21"/>
          <w:lang w:val="zh-CN"/>
        </w:rPr>
      </w:pPr>
      <w:r>
        <w:rPr>
          <w:rFonts w:hint="eastAsia" w:ascii="宋体" w:hAnsi="宋体" w:eastAsia="宋体" w:cs="Times New Roman"/>
          <w:b/>
          <w:color w:val="000000" w:themeColor="text1"/>
          <w:sz w:val="24"/>
          <w:szCs w:val="21"/>
          <w:lang w:val="zh-CN"/>
        </w:rPr>
        <w:t>项目名称：</w:t>
      </w:r>
    </w:p>
    <w:p>
      <w:pPr>
        <w:spacing w:line="360" w:lineRule="auto"/>
        <w:jc w:val="left"/>
        <w:rPr>
          <w:rFonts w:ascii="宋体" w:hAnsi="宋体" w:eastAsia="宋体" w:cs="Times New Roman"/>
          <w:b/>
          <w:color w:val="000000" w:themeColor="text1"/>
          <w:sz w:val="24"/>
          <w:szCs w:val="21"/>
          <w:u w:val="single"/>
          <w:lang w:val="zh-CN"/>
        </w:rPr>
      </w:pPr>
      <w:r>
        <w:rPr>
          <w:rFonts w:hint="eastAsia" w:ascii="宋体" w:hAnsi="宋体" w:eastAsia="宋体" w:cs="Times New Roman"/>
          <w:b/>
          <w:color w:val="000000" w:themeColor="text1"/>
          <w:sz w:val="24"/>
          <w:szCs w:val="21"/>
          <w:lang w:val="zh-CN"/>
        </w:rPr>
        <w:t>项目编号：</w:t>
      </w:r>
      <w:r>
        <w:rPr>
          <w:rFonts w:hint="eastAsia" w:ascii="宋体" w:hAnsi="宋体" w:eastAsia="宋体" w:cs="Times New Roman"/>
          <w:b/>
          <w:bCs/>
          <w:color w:val="000000" w:themeColor="text1"/>
          <w:sz w:val="24"/>
          <w:szCs w:val="21"/>
          <w:lang w:val="zh-CN"/>
        </w:rPr>
        <w:t xml:space="preserve">                所投包号：</w:t>
      </w:r>
    </w:p>
    <w:tbl>
      <w:tblPr>
        <w:tblStyle w:val="18"/>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611"/>
        <w:gridCol w:w="1134"/>
        <w:gridCol w:w="800"/>
        <w:gridCol w:w="1676"/>
        <w:gridCol w:w="1316"/>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shd w:val="clear" w:color="auto" w:fill="D8D8D8" w:themeFill="background1" w:themeFillShade="D9"/>
            <w:vAlign w:val="center"/>
          </w:tcPr>
          <w:p>
            <w:pPr>
              <w:spacing w:line="360" w:lineRule="auto"/>
              <w:ind w:left="-23" w:leftChars="-11" w:right="-65" w:rightChars="-31"/>
              <w:jc w:val="center"/>
              <w:rPr>
                <w:rFonts w:ascii="宋体" w:hAnsi="宋体" w:cs="宋体"/>
                <w:color w:val="000000" w:themeColor="text1"/>
                <w:kern w:val="0"/>
                <w:sz w:val="24"/>
              </w:rPr>
            </w:pPr>
            <w:r>
              <w:rPr>
                <w:rFonts w:hint="eastAsia" w:ascii="宋体" w:hAnsi="宋体" w:cs="宋体"/>
                <w:color w:val="000000" w:themeColor="text1"/>
                <w:kern w:val="0"/>
                <w:sz w:val="24"/>
              </w:rPr>
              <w:t>序号</w:t>
            </w:r>
          </w:p>
        </w:tc>
        <w:tc>
          <w:tcPr>
            <w:tcW w:w="2611" w:type="dxa"/>
            <w:shd w:val="clear" w:color="auto" w:fill="D8D8D8" w:themeFill="background1" w:themeFillShade="D9"/>
            <w:vAlign w:val="center"/>
          </w:tcPr>
          <w:p>
            <w:pPr>
              <w:spacing w:line="360" w:lineRule="auto"/>
              <w:ind w:left="-48" w:leftChars="-23" w:right="-65" w:rightChars="-31"/>
              <w:jc w:val="center"/>
              <w:rPr>
                <w:rFonts w:ascii="宋体" w:hAnsi="宋体" w:cs="宋体"/>
                <w:color w:val="000000" w:themeColor="text1"/>
                <w:kern w:val="0"/>
                <w:sz w:val="24"/>
              </w:rPr>
            </w:pPr>
            <w:r>
              <w:rPr>
                <w:rFonts w:hint="eastAsia" w:ascii="宋体" w:hAnsi="宋体" w:cs="宋体"/>
                <w:color w:val="000000" w:themeColor="text1"/>
                <w:kern w:val="0"/>
                <w:sz w:val="24"/>
              </w:rPr>
              <w:t>名称</w:t>
            </w:r>
          </w:p>
        </w:tc>
        <w:tc>
          <w:tcPr>
            <w:tcW w:w="1134" w:type="dxa"/>
            <w:shd w:val="clear" w:color="auto" w:fill="D8D8D8" w:themeFill="background1" w:themeFillShade="D9"/>
            <w:vAlign w:val="center"/>
          </w:tcPr>
          <w:p>
            <w:pPr>
              <w:ind w:left="-48" w:leftChars="-23" w:right="-65" w:rightChars="-31"/>
              <w:jc w:val="center"/>
              <w:rPr>
                <w:rFonts w:ascii="宋体" w:hAnsi="宋体" w:cs="宋体"/>
                <w:color w:val="000000" w:themeColor="text1"/>
                <w:kern w:val="0"/>
                <w:sz w:val="24"/>
              </w:rPr>
            </w:pPr>
            <w:r>
              <w:rPr>
                <w:rFonts w:hint="eastAsia" w:ascii="宋体" w:hAnsi="宋体"/>
                <w:color w:val="000000" w:themeColor="text1"/>
                <w:sz w:val="24"/>
              </w:rPr>
              <w:t>品牌型号规格</w:t>
            </w:r>
          </w:p>
        </w:tc>
        <w:tc>
          <w:tcPr>
            <w:tcW w:w="800" w:type="dxa"/>
            <w:shd w:val="clear" w:color="auto" w:fill="D8D8D8" w:themeFill="background1" w:themeFillShade="D9"/>
            <w:vAlign w:val="center"/>
          </w:tcPr>
          <w:p>
            <w:pPr>
              <w:spacing w:line="360" w:lineRule="auto"/>
              <w:ind w:left="-48" w:leftChars="-23" w:right="-65" w:rightChars="-31"/>
              <w:jc w:val="center"/>
              <w:rPr>
                <w:rFonts w:ascii="宋体" w:hAnsi="宋体" w:cs="宋体"/>
                <w:color w:val="000000" w:themeColor="text1"/>
                <w:kern w:val="0"/>
                <w:sz w:val="24"/>
              </w:rPr>
            </w:pPr>
            <w:r>
              <w:rPr>
                <w:rFonts w:hint="eastAsia" w:ascii="宋体" w:hAnsi="宋体" w:cs="宋体"/>
                <w:color w:val="000000" w:themeColor="text1"/>
                <w:kern w:val="0"/>
                <w:sz w:val="24"/>
              </w:rPr>
              <w:t>数量</w:t>
            </w:r>
          </w:p>
        </w:tc>
        <w:tc>
          <w:tcPr>
            <w:tcW w:w="1676" w:type="dxa"/>
            <w:shd w:val="clear" w:color="auto" w:fill="D8D8D8" w:themeFill="background1" w:themeFillShade="D9"/>
            <w:vAlign w:val="center"/>
          </w:tcPr>
          <w:p>
            <w:pPr>
              <w:spacing w:line="360" w:lineRule="auto"/>
              <w:ind w:left="-48" w:leftChars="-23" w:right="-65" w:rightChars="-31"/>
              <w:jc w:val="center"/>
              <w:rPr>
                <w:rFonts w:ascii="宋体" w:hAnsi="宋体" w:cs="宋体"/>
                <w:color w:val="000000" w:themeColor="text1"/>
                <w:kern w:val="0"/>
                <w:sz w:val="24"/>
              </w:rPr>
            </w:pPr>
            <w:r>
              <w:rPr>
                <w:rFonts w:hint="eastAsia" w:ascii="宋体" w:hAnsi="宋体" w:cs="宋体"/>
                <w:color w:val="000000" w:themeColor="text1"/>
                <w:kern w:val="0"/>
                <w:sz w:val="24"/>
              </w:rPr>
              <w:t>制造商名称</w:t>
            </w:r>
          </w:p>
        </w:tc>
        <w:tc>
          <w:tcPr>
            <w:tcW w:w="1316" w:type="dxa"/>
            <w:shd w:val="clear" w:color="auto" w:fill="D8D8D8" w:themeFill="background1" w:themeFillShade="D9"/>
            <w:vAlign w:val="center"/>
          </w:tcPr>
          <w:p>
            <w:pPr>
              <w:spacing w:line="360" w:lineRule="auto"/>
              <w:ind w:left="-23" w:leftChars="-11" w:right="-65" w:rightChars="-31"/>
              <w:jc w:val="center"/>
              <w:rPr>
                <w:rFonts w:ascii="宋体" w:hAnsi="宋体" w:cs="宋体"/>
                <w:color w:val="000000" w:themeColor="text1"/>
                <w:kern w:val="0"/>
                <w:sz w:val="24"/>
              </w:rPr>
            </w:pPr>
            <w:r>
              <w:rPr>
                <w:rFonts w:hint="eastAsia" w:ascii="宋体" w:hAnsi="宋体" w:cs="宋体"/>
                <w:color w:val="000000" w:themeColor="text1"/>
                <w:kern w:val="0"/>
                <w:sz w:val="24"/>
              </w:rPr>
              <w:t>单价</w:t>
            </w:r>
          </w:p>
        </w:tc>
        <w:tc>
          <w:tcPr>
            <w:tcW w:w="1357" w:type="dxa"/>
            <w:shd w:val="clear" w:color="auto" w:fill="D8D8D8" w:themeFill="background1" w:themeFillShade="D9"/>
            <w:vAlign w:val="center"/>
          </w:tcPr>
          <w:p>
            <w:pPr>
              <w:spacing w:line="360" w:lineRule="auto"/>
              <w:ind w:left="-23" w:leftChars="-11" w:right="-65" w:rightChars="-31"/>
              <w:jc w:val="center"/>
              <w:rPr>
                <w:rFonts w:ascii="宋体" w:hAnsi="宋体" w:cs="宋体"/>
                <w:color w:val="000000" w:themeColor="text1"/>
                <w:kern w:val="0"/>
                <w:sz w:val="24"/>
              </w:rPr>
            </w:pPr>
            <w:r>
              <w:rPr>
                <w:rFonts w:hint="eastAsia" w:ascii="宋体" w:hAnsi="宋体" w:cs="宋体"/>
                <w:color w:val="000000" w:themeColor="text1"/>
                <w:kern w:val="0"/>
                <w:sz w:val="24"/>
              </w:rPr>
              <w:t>分项合计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1"/>
              </w:numPr>
              <w:tabs>
                <w:tab w:val="left" w:pos="82"/>
              </w:tabs>
              <w:adjustRightInd w:val="0"/>
              <w:snapToGrid w:val="0"/>
              <w:jc w:val="center"/>
              <w:rPr>
                <w:rFonts w:ascii="宋体" w:hAnsi="宋体"/>
                <w:color w:val="000000" w:themeColor="text1"/>
                <w:sz w:val="24"/>
              </w:rPr>
            </w:pPr>
          </w:p>
        </w:tc>
        <w:tc>
          <w:tcPr>
            <w:tcW w:w="2611" w:type="dxa"/>
            <w:shd w:val="clear" w:color="auto" w:fill="auto"/>
            <w:vAlign w:val="center"/>
          </w:tcPr>
          <w:p>
            <w:pPr>
              <w:tabs>
                <w:tab w:val="left" w:pos="0"/>
                <w:tab w:val="left" w:pos="56"/>
              </w:tabs>
              <w:adjustRightInd w:val="0"/>
              <w:snapToGrid w:val="0"/>
              <w:ind w:left="547" w:hanging="547" w:hangingChars="228"/>
              <w:jc w:val="center"/>
              <w:rPr>
                <w:rFonts w:ascii="宋体" w:hAnsi="宋体"/>
                <w:color w:val="000000" w:themeColor="text1"/>
                <w:sz w:val="24"/>
              </w:rPr>
            </w:pPr>
            <w:r>
              <w:rPr>
                <w:rFonts w:hint="eastAsia" w:ascii="宋体" w:hAnsi="宋体"/>
                <w:color w:val="000000" w:themeColor="text1"/>
                <w:sz w:val="24"/>
              </w:rPr>
              <w:t>货物1（工程或服务）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rPr>
            </w:pPr>
          </w:p>
        </w:tc>
        <w:tc>
          <w:tcPr>
            <w:tcW w:w="800" w:type="dxa"/>
            <w:shd w:val="clear" w:color="auto" w:fill="auto"/>
            <w:vAlign w:val="center"/>
          </w:tcPr>
          <w:p>
            <w:pPr>
              <w:spacing w:line="240" w:lineRule="atLeast"/>
              <w:ind w:left="-48" w:leftChars="-23" w:right="-375" w:rightChars="-179"/>
              <w:jc w:val="center"/>
              <w:rPr>
                <w:rFonts w:ascii="宋体" w:hAnsi="宋体" w:eastAsia="宋体" w:cs="宋体"/>
                <w:color w:val="000000" w:themeColor="text1"/>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1"/>
              </w:numPr>
              <w:tabs>
                <w:tab w:val="left" w:pos="82"/>
              </w:tabs>
              <w:adjustRightInd w:val="0"/>
              <w:snapToGrid w:val="0"/>
              <w:jc w:val="center"/>
              <w:rPr>
                <w:rFonts w:ascii="宋体" w:hAnsi="宋体"/>
                <w:color w:val="000000" w:themeColor="text1"/>
                <w:sz w:val="24"/>
              </w:rPr>
            </w:pPr>
          </w:p>
        </w:tc>
        <w:tc>
          <w:tcPr>
            <w:tcW w:w="2611" w:type="dxa"/>
            <w:shd w:val="clear" w:color="auto" w:fill="auto"/>
            <w:vAlign w:val="center"/>
          </w:tcPr>
          <w:p>
            <w:pPr>
              <w:tabs>
                <w:tab w:val="left" w:pos="0"/>
                <w:tab w:val="left" w:pos="56"/>
              </w:tabs>
              <w:adjustRightInd w:val="0"/>
              <w:snapToGrid w:val="0"/>
              <w:jc w:val="center"/>
              <w:rPr>
                <w:rFonts w:ascii="宋体" w:hAnsi="宋体"/>
                <w:color w:val="000000" w:themeColor="text1"/>
                <w:sz w:val="24"/>
              </w:rPr>
            </w:pPr>
            <w:r>
              <w:rPr>
                <w:rFonts w:hint="eastAsia" w:ascii="宋体" w:hAnsi="宋体"/>
                <w:color w:val="000000" w:themeColor="text1"/>
                <w:sz w:val="24"/>
              </w:rPr>
              <w:t>货物2（工程或服务）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1"/>
              </w:numPr>
              <w:tabs>
                <w:tab w:val="left" w:pos="82"/>
              </w:tabs>
              <w:adjustRightInd w:val="0"/>
              <w:snapToGrid w:val="0"/>
              <w:jc w:val="center"/>
              <w:rPr>
                <w:rFonts w:ascii="宋体" w:hAnsi="宋体"/>
                <w:color w:val="000000" w:themeColor="text1"/>
                <w:sz w:val="24"/>
              </w:rPr>
            </w:pPr>
          </w:p>
        </w:tc>
        <w:tc>
          <w:tcPr>
            <w:tcW w:w="2611" w:type="dxa"/>
            <w:shd w:val="clear" w:color="auto" w:fill="auto"/>
            <w:vAlign w:val="center"/>
          </w:tcPr>
          <w:p>
            <w:pPr>
              <w:tabs>
                <w:tab w:val="left" w:pos="0"/>
                <w:tab w:val="left" w:pos="56"/>
              </w:tabs>
              <w:adjustRightInd w:val="0"/>
              <w:snapToGrid w:val="0"/>
              <w:jc w:val="center"/>
              <w:rPr>
                <w:rFonts w:ascii="宋体" w:hAnsi="宋体"/>
                <w:color w:val="000000" w:themeColor="text1"/>
                <w:sz w:val="24"/>
              </w:rPr>
            </w:pPr>
            <w:r>
              <w:rPr>
                <w:rFonts w:hint="eastAsia" w:ascii="宋体" w:hAnsi="宋体"/>
                <w:color w:val="000000" w:themeColor="text1"/>
                <w:sz w:val="24"/>
              </w:rPr>
              <w:t>货物3（工程或服务）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1"/>
              </w:numPr>
              <w:tabs>
                <w:tab w:val="left" w:pos="82"/>
              </w:tabs>
              <w:adjustRightInd w:val="0"/>
              <w:snapToGrid w:val="0"/>
              <w:jc w:val="center"/>
              <w:rPr>
                <w:rFonts w:ascii="宋体" w:hAnsi="宋体"/>
                <w:color w:val="000000" w:themeColor="text1"/>
                <w:sz w:val="24"/>
              </w:rPr>
            </w:pPr>
          </w:p>
        </w:tc>
        <w:tc>
          <w:tcPr>
            <w:tcW w:w="2611" w:type="dxa"/>
            <w:shd w:val="clear" w:color="auto" w:fill="auto"/>
            <w:vAlign w:val="center"/>
          </w:tcPr>
          <w:p>
            <w:pPr>
              <w:tabs>
                <w:tab w:val="left" w:pos="0"/>
                <w:tab w:val="left" w:pos="56"/>
              </w:tabs>
              <w:adjustRightInd w:val="0"/>
              <w:snapToGrid w:val="0"/>
              <w:jc w:val="center"/>
              <w:rPr>
                <w:rFonts w:ascii="宋体" w:hAnsi="宋体"/>
                <w:color w:val="000000" w:themeColor="text1"/>
                <w:sz w:val="24"/>
              </w:rPr>
            </w:pPr>
            <w:r>
              <w:rPr>
                <w:rFonts w:hint="eastAsia" w:ascii="宋体" w:hAnsi="宋体"/>
                <w:color w:val="000000" w:themeColor="text1"/>
                <w:sz w:val="24"/>
              </w:rPr>
              <w:t>货物4（工程或服务）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1"/>
              </w:numPr>
              <w:tabs>
                <w:tab w:val="left" w:pos="82"/>
              </w:tabs>
              <w:adjustRightInd w:val="0"/>
              <w:snapToGrid w:val="0"/>
              <w:jc w:val="center"/>
              <w:rPr>
                <w:rFonts w:ascii="宋体" w:hAnsi="宋体"/>
                <w:color w:val="000000" w:themeColor="text1"/>
                <w:sz w:val="24"/>
              </w:rPr>
            </w:pPr>
          </w:p>
        </w:tc>
        <w:tc>
          <w:tcPr>
            <w:tcW w:w="2611" w:type="dxa"/>
            <w:shd w:val="clear" w:color="auto" w:fill="auto"/>
            <w:vAlign w:val="center"/>
          </w:tcPr>
          <w:p>
            <w:pPr>
              <w:tabs>
                <w:tab w:val="left" w:pos="0"/>
                <w:tab w:val="left" w:pos="56"/>
              </w:tabs>
              <w:adjustRightInd w:val="0"/>
              <w:snapToGrid w:val="0"/>
              <w:jc w:val="center"/>
              <w:rPr>
                <w:rFonts w:ascii="宋体" w:hAnsi="宋体"/>
                <w:color w:val="000000" w:themeColor="text1"/>
                <w:sz w:val="24"/>
              </w:rPr>
            </w:pPr>
            <w:r>
              <w:rPr>
                <w:rFonts w:hint="eastAsia" w:ascii="宋体" w:hAnsi="宋体"/>
                <w:color w:val="000000" w:themeColor="text1"/>
                <w:sz w:val="24"/>
              </w:rPr>
              <w:t>货物5（工程或服务）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1"/>
              </w:numPr>
              <w:tabs>
                <w:tab w:val="left" w:pos="82"/>
              </w:tabs>
              <w:adjustRightInd w:val="0"/>
              <w:snapToGrid w:val="0"/>
              <w:jc w:val="center"/>
              <w:rPr>
                <w:rFonts w:ascii="宋体" w:hAnsi="宋体"/>
                <w:color w:val="000000" w:themeColor="text1"/>
                <w:sz w:val="24"/>
              </w:rPr>
            </w:pPr>
          </w:p>
        </w:tc>
        <w:tc>
          <w:tcPr>
            <w:tcW w:w="2611" w:type="dxa"/>
            <w:shd w:val="clear" w:color="auto" w:fill="auto"/>
            <w:vAlign w:val="center"/>
          </w:tcPr>
          <w:p>
            <w:pPr>
              <w:tabs>
                <w:tab w:val="left" w:pos="0"/>
                <w:tab w:val="left" w:pos="56"/>
              </w:tabs>
              <w:adjustRightInd w:val="0"/>
              <w:snapToGrid w:val="0"/>
              <w:jc w:val="center"/>
              <w:rPr>
                <w:rFonts w:ascii="宋体" w:hAnsi="宋体"/>
                <w:color w:val="000000" w:themeColor="text1"/>
                <w:sz w:val="24"/>
              </w:rPr>
            </w:pPr>
            <w:r>
              <w:rPr>
                <w:rFonts w:hint="eastAsia" w:ascii="宋体" w:hAnsi="宋体"/>
                <w:color w:val="000000" w:themeColor="text1"/>
                <w:sz w:val="24"/>
              </w:rPr>
              <w:t>货物6（工程或服务）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1"/>
              </w:numPr>
              <w:tabs>
                <w:tab w:val="left" w:pos="82"/>
              </w:tabs>
              <w:adjustRightInd w:val="0"/>
              <w:snapToGrid w:val="0"/>
              <w:jc w:val="center"/>
              <w:rPr>
                <w:rFonts w:ascii="宋体" w:hAnsi="宋体"/>
                <w:color w:val="000000" w:themeColor="text1"/>
                <w:sz w:val="24"/>
              </w:rPr>
            </w:pPr>
          </w:p>
        </w:tc>
        <w:tc>
          <w:tcPr>
            <w:tcW w:w="2611" w:type="dxa"/>
            <w:shd w:val="clear" w:color="auto" w:fill="auto"/>
            <w:vAlign w:val="center"/>
          </w:tcPr>
          <w:p>
            <w:pPr>
              <w:tabs>
                <w:tab w:val="left" w:pos="0"/>
                <w:tab w:val="left" w:pos="56"/>
              </w:tabs>
              <w:adjustRightInd w:val="0"/>
              <w:snapToGrid w:val="0"/>
              <w:jc w:val="center"/>
              <w:rPr>
                <w:rFonts w:ascii="宋体" w:hAnsi="宋体"/>
                <w:color w:val="000000" w:themeColor="text1"/>
                <w:sz w:val="24"/>
              </w:rPr>
            </w:pPr>
            <w:r>
              <w:rPr>
                <w:rFonts w:hint="eastAsia" w:ascii="宋体" w:hAnsi="宋体"/>
                <w:color w:val="000000" w:themeColor="text1"/>
                <w:sz w:val="24"/>
              </w:rPr>
              <w:t>货物7（工程或服务）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tabs>
                <w:tab w:val="left" w:pos="82"/>
              </w:tabs>
              <w:adjustRightInd w:val="0"/>
              <w:snapToGrid w:val="0"/>
              <w:jc w:val="center"/>
              <w:rPr>
                <w:rFonts w:ascii="宋体" w:hAnsi="宋体"/>
                <w:color w:val="000000" w:themeColor="text1"/>
                <w:sz w:val="24"/>
              </w:rPr>
            </w:pPr>
            <w:r>
              <w:rPr>
                <w:rFonts w:hint="eastAsia" w:ascii="宋体" w:hAnsi="宋体"/>
                <w:color w:val="000000" w:themeColor="text1"/>
                <w:sz w:val="24"/>
              </w:rPr>
              <w:t>…</w:t>
            </w:r>
          </w:p>
        </w:tc>
        <w:tc>
          <w:tcPr>
            <w:tcW w:w="2611"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rPr>
            </w:pP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873" w:type="dxa"/>
            <w:gridSpan w:val="5"/>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合计</w:t>
            </w:r>
          </w:p>
        </w:tc>
        <w:tc>
          <w:tcPr>
            <w:tcW w:w="2673" w:type="dxa"/>
            <w:gridSpan w:val="2"/>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rPr>
            </w:pPr>
          </w:p>
        </w:tc>
      </w:tr>
    </w:tbl>
    <w:p>
      <w:pPr>
        <w:spacing w:line="360" w:lineRule="auto"/>
        <w:ind w:left="1049" w:hanging="1048" w:hangingChars="437"/>
        <w:jc w:val="left"/>
        <w:rPr>
          <w:rFonts w:ascii="宋体" w:hAnsi="宋体"/>
          <w:color w:val="000000" w:themeColor="text1"/>
          <w:sz w:val="24"/>
        </w:rPr>
      </w:pPr>
      <w:r>
        <w:rPr>
          <w:rFonts w:hint="eastAsia" w:ascii="宋体" w:hAnsi="宋体"/>
          <w:color w:val="000000" w:themeColor="text1"/>
          <w:sz w:val="24"/>
        </w:rPr>
        <w:t>说明：1．所有价格均用人民币表示，单位为元。</w:t>
      </w:r>
    </w:p>
    <w:p>
      <w:pPr>
        <w:spacing w:line="360" w:lineRule="auto"/>
        <w:ind w:left="1061" w:leftChars="339" w:hanging="350" w:hangingChars="146"/>
        <w:jc w:val="left"/>
        <w:rPr>
          <w:rFonts w:ascii="宋体" w:hAnsi="宋体"/>
          <w:color w:val="000000" w:themeColor="text1"/>
          <w:sz w:val="24"/>
        </w:rPr>
      </w:pPr>
      <w:r>
        <w:rPr>
          <w:rFonts w:hint="eastAsia" w:ascii="宋体" w:hAnsi="宋体"/>
          <w:color w:val="000000" w:themeColor="text1"/>
          <w:sz w:val="24"/>
        </w:rPr>
        <w:t>2．报价明细表合计应与《开标一览表》中的投标总报价一致。</w:t>
      </w:r>
    </w:p>
    <w:p>
      <w:pPr>
        <w:spacing w:line="360" w:lineRule="auto"/>
        <w:ind w:left="1061" w:leftChars="339" w:hanging="350" w:hangingChars="146"/>
        <w:jc w:val="left"/>
        <w:rPr>
          <w:rFonts w:ascii="宋体" w:hAnsi="宋体"/>
          <w:color w:val="000000" w:themeColor="text1"/>
          <w:sz w:val="24"/>
        </w:rPr>
      </w:pPr>
      <w:r>
        <w:rPr>
          <w:rFonts w:hint="eastAsia" w:ascii="宋体" w:hAnsi="宋体"/>
          <w:color w:val="000000" w:themeColor="text1"/>
          <w:sz w:val="24"/>
        </w:rPr>
        <w:t>3．未提供详细的货物（工程或服务）报价明细</w:t>
      </w:r>
      <w:r>
        <w:rPr>
          <w:rFonts w:hint="eastAsia" w:ascii="宋体" w:hAnsi="宋体" w:cs="Corbel"/>
          <w:color w:val="000000" w:themeColor="text1"/>
          <w:sz w:val="24"/>
        </w:rPr>
        <w:t>，</w:t>
      </w:r>
      <w:r>
        <w:rPr>
          <w:rFonts w:hint="eastAsia" w:ascii="宋体" w:hAnsi="宋体"/>
          <w:color w:val="000000" w:themeColor="text1"/>
          <w:sz w:val="24"/>
        </w:rPr>
        <w:t>导致的后果由投标人自行承担。</w:t>
      </w:r>
    </w:p>
    <w:p>
      <w:pPr>
        <w:spacing w:line="360" w:lineRule="auto"/>
        <w:ind w:left="950" w:hanging="950" w:hangingChars="396"/>
        <w:jc w:val="left"/>
        <w:rPr>
          <w:rFonts w:ascii="宋体" w:hAnsi="宋体" w:eastAsia="宋体" w:cs="Times New Roman"/>
          <w:color w:val="000000" w:themeColor="text1"/>
          <w:sz w:val="24"/>
          <w:szCs w:val="24"/>
        </w:rPr>
      </w:pPr>
    </w:p>
    <w:p>
      <w:pPr>
        <w:spacing w:line="360" w:lineRule="auto"/>
        <w:ind w:left="950" w:hanging="950" w:hangingChars="396"/>
        <w:jc w:val="left"/>
        <w:rPr>
          <w:rFonts w:ascii="宋体" w:hAnsi="宋体" w:eastAsia="宋体" w:cs="Times New Roman"/>
          <w:color w:val="000000" w:themeColor="text1"/>
          <w:sz w:val="24"/>
          <w:szCs w:val="24"/>
        </w:rPr>
      </w:pPr>
    </w:p>
    <w:p>
      <w:pPr>
        <w:spacing w:line="360" w:lineRule="auto"/>
        <w:ind w:left="950" w:hanging="950" w:hangingChars="396"/>
        <w:jc w:val="left"/>
        <w:rPr>
          <w:rFonts w:ascii="宋体" w:hAnsi="宋体" w:eastAsia="宋体" w:cs="Times New Roman"/>
          <w:color w:val="000000" w:themeColor="text1"/>
          <w:sz w:val="24"/>
          <w:szCs w:val="24"/>
        </w:rPr>
      </w:pPr>
    </w:p>
    <w:p>
      <w:pPr>
        <w:spacing w:before="100" w:beforeAutospacing="1" w:after="100" w:afterAutospacing="1" w:line="360" w:lineRule="auto"/>
        <w:ind w:firstLine="3316" w:firstLineChars="1382"/>
        <w:rPr>
          <w:rFonts w:hAnsi="宋体"/>
          <w:b/>
          <w:bCs/>
          <w:color w:val="000000" w:themeColor="text1"/>
          <w:sz w:val="24"/>
          <w:u w:val="single"/>
        </w:rPr>
      </w:pPr>
      <w:r>
        <w:rPr>
          <w:rFonts w:hint="eastAsia" w:hAnsi="宋体"/>
          <w:b/>
          <w:bCs/>
          <w:color w:val="000000" w:themeColor="text1"/>
          <w:sz w:val="24"/>
        </w:rPr>
        <w:t>投标人（公章）：</w:t>
      </w:r>
    </w:p>
    <w:p>
      <w:pPr>
        <w:spacing w:before="100" w:beforeAutospacing="1" w:after="100" w:afterAutospacing="1" w:line="360" w:lineRule="auto"/>
        <w:ind w:firstLine="3316" w:firstLineChars="1382"/>
        <w:rPr>
          <w:rFonts w:hAnsi="宋体"/>
          <w:b/>
          <w:bCs/>
          <w:color w:val="000000" w:themeColor="text1"/>
          <w:sz w:val="24"/>
          <w:u w:val="single"/>
        </w:rPr>
      </w:pPr>
      <w:r>
        <w:rPr>
          <w:rFonts w:hint="eastAsia" w:ascii="宋体" w:hAnsi="宋体" w:eastAsia="宋体" w:cs="Times New Roman"/>
          <w:b/>
          <w:bCs/>
          <w:color w:val="000000" w:themeColor="text1"/>
          <w:sz w:val="24"/>
          <w:szCs w:val="21"/>
          <w:lang w:val="zh-CN"/>
        </w:rPr>
        <w:t>投标人</w:t>
      </w:r>
      <w:r>
        <w:rPr>
          <w:rFonts w:hint="eastAsia" w:hAnsi="宋体"/>
          <w:b/>
          <w:bCs/>
          <w:color w:val="000000" w:themeColor="text1"/>
          <w:sz w:val="24"/>
        </w:rPr>
        <w:t>授权代表（签字）：</w:t>
      </w:r>
    </w:p>
    <w:p>
      <w:pPr>
        <w:spacing w:before="100" w:beforeAutospacing="1" w:after="100" w:afterAutospacing="1" w:line="360" w:lineRule="auto"/>
        <w:ind w:firstLine="3316" w:firstLineChars="1382"/>
        <w:rPr>
          <w:rFonts w:hAnsi="宋体"/>
          <w:b/>
          <w:bCs/>
          <w:color w:val="000000" w:themeColor="text1"/>
          <w:sz w:val="24"/>
          <w:u w:val="single"/>
        </w:rPr>
      </w:pPr>
      <w:r>
        <w:rPr>
          <w:rFonts w:hint="eastAsia" w:ascii="宋体" w:hAnsi="宋体" w:eastAsia="宋体" w:cs="Times New Roman"/>
          <w:b/>
          <w:bCs/>
          <w:color w:val="000000" w:themeColor="text1"/>
          <w:sz w:val="24"/>
          <w:szCs w:val="21"/>
          <w:lang w:val="zh-CN"/>
        </w:rPr>
        <w:t>投标</w:t>
      </w:r>
      <w:r>
        <w:rPr>
          <w:rFonts w:hint="eastAsia" w:hAnsi="宋体"/>
          <w:b/>
          <w:bCs/>
          <w:color w:val="000000" w:themeColor="text1"/>
          <w:sz w:val="24"/>
        </w:rPr>
        <w:t>时间：</w:t>
      </w:r>
    </w:p>
    <w:p>
      <w:pPr>
        <w:rPr>
          <w:color w:val="000000" w:themeColor="text1"/>
        </w:rPr>
      </w:pPr>
      <w:r>
        <w:rPr>
          <w:color w:val="000000" w:themeColor="text1"/>
        </w:rPr>
        <w:br w:type="page"/>
      </w:r>
    </w:p>
    <w:p>
      <w:pPr>
        <w:pStyle w:val="2"/>
        <w:numPr>
          <w:ilvl w:val="0"/>
          <w:numId w:val="58"/>
        </w:numPr>
        <w:spacing w:before="100" w:beforeAutospacing="1" w:after="156" w:afterLines="50" w:line="360" w:lineRule="auto"/>
        <w:ind w:left="1288" w:hanging="1288"/>
        <w:rPr>
          <w:rFonts w:ascii="宋体" w:hAnsi="宋体" w:eastAsia="宋体"/>
          <w:color w:val="000000" w:themeColor="text1"/>
          <w:sz w:val="31"/>
          <w:szCs w:val="31"/>
        </w:rPr>
      </w:pPr>
      <w:bookmarkStart w:id="176" w:name="_Toc494665560"/>
      <w:bookmarkStart w:id="177" w:name="_Toc494745324"/>
      <w:bookmarkStart w:id="178" w:name="_Toc494577412"/>
      <w:bookmarkStart w:id="179" w:name="_Toc7786"/>
      <w:bookmarkStart w:id="180" w:name="_Toc494665957"/>
      <w:bookmarkStart w:id="181" w:name="_Toc494702277"/>
      <w:bookmarkStart w:id="182" w:name="_Toc494721107"/>
      <w:bookmarkStart w:id="183" w:name="_Toc494665007"/>
      <w:r>
        <w:rPr>
          <w:rFonts w:hint="eastAsia" w:ascii="宋体" w:hAnsi="宋体" w:eastAsia="宋体"/>
          <w:color w:val="000000" w:themeColor="text1"/>
          <w:sz w:val="31"/>
          <w:szCs w:val="31"/>
        </w:rPr>
        <w:t>小型和微型企业、监狱企业、残疾人福利性单位货物汇总表</w:t>
      </w:r>
      <w:bookmarkEnd w:id="176"/>
      <w:bookmarkEnd w:id="177"/>
      <w:bookmarkEnd w:id="178"/>
      <w:bookmarkEnd w:id="179"/>
      <w:bookmarkEnd w:id="180"/>
      <w:bookmarkEnd w:id="181"/>
      <w:bookmarkEnd w:id="182"/>
      <w:bookmarkEnd w:id="183"/>
    </w:p>
    <w:p>
      <w:pPr>
        <w:spacing w:line="360" w:lineRule="auto"/>
        <w:jc w:val="left"/>
        <w:rPr>
          <w:rFonts w:hAnsi="宋体"/>
          <w:b/>
          <w:color w:val="000000" w:themeColor="text1"/>
          <w:sz w:val="24"/>
        </w:rPr>
      </w:pPr>
      <w:r>
        <w:rPr>
          <w:rFonts w:hint="eastAsia" w:hAnsi="宋体"/>
          <w:b/>
          <w:color w:val="000000" w:themeColor="text1"/>
          <w:sz w:val="24"/>
        </w:rPr>
        <w:t>投 标 人：</w:t>
      </w:r>
    </w:p>
    <w:p>
      <w:pPr>
        <w:spacing w:line="360" w:lineRule="auto"/>
        <w:jc w:val="left"/>
        <w:rPr>
          <w:rFonts w:hAnsi="宋体"/>
          <w:b/>
          <w:color w:val="000000" w:themeColor="text1"/>
          <w:sz w:val="24"/>
        </w:rPr>
      </w:pPr>
      <w:r>
        <w:rPr>
          <w:rFonts w:hint="eastAsia" w:ascii="宋体" w:hAnsi="宋体" w:eastAsia="宋体" w:cs="Times New Roman"/>
          <w:b/>
          <w:color w:val="000000" w:themeColor="text1"/>
          <w:sz w:val="24"/>
          <w:szCs w:val="21"/>
          <w:lang w:val="zh-CN"/>
        </w:rPr>
        <w:t>项目编号：</w:t>
      </w:r>
      <w:r>
        <w:rPr>
          <w:rFonts w:hint="eastAsia" w:ascii="宋体" w:hAnsi="宋体" w:eastAsia="宋体" w:cs="Times New Roman"/>
          <w:b/>
          <w:bCs/>
          <w:color w:val="000000" w:themeColor="text1"/>
          <w:sz w:val="24"/>
          <w:szCs w:val="21"/>
          <w:lang w:val="zh-CN"/>
        </w:rPr>
        <w:t xml:space="preserve">                所投包号：</w:t>
      </w:r>
    </w:p>
    <w:tbl>
      <w:tblPr>
        <w:tblStyle w:val="18"/>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552"/>
        <w:gridCol w:w="1560"/>
        <w:gridCol w:w="1133"/>
        <w:gridCol w:w="848"/>
        <w:gridCol w:w="1100"/>
        <w:gridCol w:w="1134"/>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F1F1F1" w:themeFill="background1" w:themeFillShade="F2"/>
            <w:vAlign w:val="center"/>
          </w:tcPr>
          <w:p>
            <w:pPr>
              <w:adjustRightInd w:val="0"/>
              <w:snapToGrid w:val="0"/>
              <w:ind w:left="-88" w:leftChars="-42"/>
              <w:jc w:val="center"/>
              <w:rPr>
                <w:rFonts w:ascii="宋体" w:hAnsi="宋体"/>
                <w:color w:val="000000" w:themeColor="text1"/>
                <w:sz w:val="24"/>
              </w:rPr>
            </w:pPr>
            <w:r>
              <w:rPr>
                <w:rFonts w:hint="eastAsia" w:ascii="宋体" w:hAnsi="宋体"/>
                <w:color w:val="000000" w:themeColor="text1"/>
                <w:sz w:val="24"/>
              </w:rPr>
              <w:t>序号</w:t>
            </w:r>
          </w:p>
        </w:tc>
        <w:tc>
          <w:tcPr>
            <w:tcW w:w="1552" w:type="dxa"/>
            <w:shd w:val="clear" w:color="auto" w:fill="F1F1F1" w:themeFill="background1" w:themeFillShade="F2"/>
            <w:vAlign w:val="center"/>
          </w:tcPr>
          <w:p>
            <w:pPr>
              <w:adjustRightInd w:val="0"/>
              <w:snapToGrid w:val="0"/>
              <w:ind w:left="-88" w:leftChars="-42"/>
              <w:jc w:val="center"/>
              <w:rPr>
                <w:rFonts w:ascii="宋体" w:hAnsi="宋体"/>
                <w:color w:val="000000" w:themeColor="text1"/>
                <w:sz w:val="24"/>
              </w:rPr>
            </w:pPr>
            <w:r>
              <w:rPr>
                <w:rFonts w:hint="eastAsia" w:ascii="宋体" w:hAnsi="宋体"/>
                <w:color w:val="000000" w:themeColor="text1"/>
                <w:sz w:val="24"/>
              </w:rPr>
              <w:t>制造商名称</w:t>
            </w:r>
          </w:p>
        </w:tc>
        <w:tc>
          <w:tcPr>
            <w:tcW w:w="1560" w:type="dxa"/>
            <w:shd w:val="clear" w:color="auto" w:fill="F1F1F1" w:themeFill="background1" w:themeFillShade="F2"/>
            <w:vAlign w:val="center"/>
          </w:tcPr>
          <w:p>
            <w:pPr>
              <w:adjustRightInd w:val="0"/>
              <w:snapToGrid w:val="0"/>
              <w:ind w:left="-88" w:leftChars="-42"/>
              <w:jc w:val="center"/>
              <w:rPr>
                <w:rFonts w:ascii="宋体" w:hAnsi="宋体"/>
                <w:color w:val="000000" w:themeColor="text1"/>
                <w:sz w:val="24"/>
              </w:rPr>
            </w:pPr>
            <w:r>
              <w:rPr>
                <w:rFonts w:hint="eastAsia" w:ascii="宋体" w:hAnsi="宋体"/>
                <w:color w:val="000000" w:themeColor="text1"/>
                <w:sz w:val="24"/>
              </w:rPr>
              <w:t>货物名称</w:t>
            </w:r>
          </w:p>
        </w:tc>
        <w:tc>
          <w:tcPr>
            <w:tcW w:w="1133" w:type="dxa"/>
            <w:shd w:val="clear" w:color="auto" w:fill="F1F1F1" w:themeFill="background1" w:themeFillShade="F2"/>
            <w:vAlign w:val="center"/>
          </w:tcPr>
          <w:p>
            <w:pPr>
              <w:adjustRightInd w:val="0"/>
              <w:snapToGrid w:val="0"/>
              <w:ind w:left="-88" w:leftChars="-42"/>
              <w:jc w:val="center"/>
              <w:rPr>
                <w:rFonts w:ascii="宋体" w:hAnsi="宋体"/>
                <w:color w:val="000000" w:themeColor="text1"/>
                <w:sz w:val="24"/>
              </w:rPr>
            </w:pPr>
            <w:r>
              <w:rPr>
                <w:rFonts w:hint="eastAsia" w:ascii="宋体" w:hAnsi="宋体"/>
                <w:color w:val="000000" w:themeColor="text1"/>
                <w:sz w:val="24"/>
              </w:rPr>
              <w:t>规格型号</w:t>
            </w:r>
          </w:p>
        </w:tc>
        <w:tc>
          <w:tcPr>
            <w:tcW w:w="848" w:type="dxa"/>
            <w:shd w:val="clear" w:color="auto" w:fill="F1F1F1" w:themeFill="background1" w:themeFillShade="F2"/>
            <w:vAlign w:val="center"/>
          </w:tcPr>
          <w:p>
            <w:pPr>
              <w:adjustRightInd w:val="0"/>
              <w:snapToGrid w:val="0"/>
              <w:ind w:left="-88" w:leftChars="-42"/>
              <w:jc w:val="center"/>
              <w:rPr>
                <w:rFonts w:ascii="宋体" w:hAnsi="宋体"/>
                <w:color w:val="000000" w:themeColor="text1"/>
                <w:sz w:val="24"/>
              </w:rPr>
            </w:pPr>
            <w:r>
              <w:rPr>
                <w:rFonts w:hint="eastAsia" w:ascii="宋体" w:hAnsi="宋体"/>
                <w:color w:val="000000" w:themeColor="text1"/>
                <w:sz w:val="24"/>
              </w:rPr>
              <w:t>数量</w:t>
            </w:r>
          </w:p>
        </w:tc>
        <w:tc>
          <w:tcPr>
            <w:tcW w:w="1100" w:type="dxa"/>
            <w:shd w:val="clear" w:color="auto" w:fill="F1F1F1" w:themeFill="background1" w:themeFillShade="F2"/>
            <w:vAlign w:val="center"/>
          </w:tcPr>
          <w:p>
            <w:pPr>
              <w:adjustRightInd w:val="0"/>
              <w:snapToGrid w:val="0"/>
              <w:ind w:left="-88" w:leftChars="-42"/>
              <w:jc w:val="center"/>
              <w:rPr>
                <w:rFonts w:ascii="宋体" w:hAnsi="宋体"/>
                <w:color w:val="000000" w:themeColor="text1"/>
                <w:sz w:val="24"/>
              </w:rPr>
            </w:pPr>
            <w:r>
              <w:rPr>
                <w:rFonts w:hint="eastAsia" w:ascii="宋体" w:hAnsi="宋体"/>
                <w:color w:val="000000" w:themeColor="text1"/>
                <w:sz w:val="24"/>
              </w:rPr>
              <w:t>单价</w:t>
            </w:r>
          </w:p>
        </w:tc>
        <w:tc>
          <w:tcPr>
            <w:tcW w:w="1134" w:type="dxa"/>
            <w:shd w:val="clear" w:color="auto" w:fill="F1F1F1" w:themeFill="background1" w:themeFillShade="F2"/>
            <w:vAlign w:val="center"/>
          </w:tcPr>
          <w:p>
            <w:pPr>
              <w:adjustRightInd w:val="0"/>
              <w:snapToGrid w:val="0"/>
              <w:ind w:left="-88" w:leftChars="-42"/>
              <w:jc w:val="center"/>
              <w:rPr>
                <w:rFonts w:ascii="宋体" w:hAnsi="宋体"/>
                <w:color w:val="000000" w:themeColor="text1"/>
                <w:sz w:val="24"/>
              </w:rPr>
            </w:pPr>
            <w:r>
              <w:rPr>
                <w:rFonts w:hint="eastAsia" w:ascii="宋体" w:hAnsi="宋体"/>
                <w:color w:val="000000" w:themeColor="text1"/>
                <w:sz w:val="24"/>
              </w:rPr>
              <w:t>分项</w:t>
            </w:r>
          </w:p>
          <w:p>
            <w:pPr>
              <w:adjustRightInd w:val="0"/>
              <w:snapToGrid w:val="0"/>
              <w:ind w:left="-88" w:leftChars="-42"/>
              <w:jc w:val="center"/>
              <w:rPr>
                <w:rFonts w:ascii="宋体" w:hAnsi="宋体"/>
                <w:color w:val="000000" w:themeColor="text1"/>
                <w:sz w:val="24"/>
              </w:rPr>
            </w:pPr>
            <w:r>
              <w:rPr>
                <w:rFonts w:hint="eastAsia" w:ascii="宋体" w:hAnsi="宋体"/>
                <w:color w:val="000000" w:themeColor="text1"/>
                <w:sz w:val="24"/>
              </w:rPr>
              <w:t>合计</w:t>
            </w:r>
          </w:p>
        </w:tc>
        <w:tc>
          <w:tcPr>
            <w:tcW w:w="1468" w:type="dxa"/>
            <w:shd w:val="clear" w:color="auto" w:fill="F1F1F1" w:themeFill="background1" w:themeFillShade="F2"/>
            <w:vAlign w:val="center"/>
          </w:tcPr>
          <w:p>
            <w:pPr>
              <w:adjustRightInd w:val="0"/>
              <w:snapToGrid w:val="0"/>
              <w:ind w:left="-88" w:leftChars="-42"/>
              <w:jc w:val="center"/>
              <w:rPr>
                <w:rFonts w:ascii="宋体" w:hAnsi="宋体"/>
                <w:color w:val="000000" w:themeColor="text1"/>
                <w:sz w:val="24"/>
              </w:rPr>
            </w:pPr>
            <w:r>
              <w:rPr>
                <w:rFonts w:hint="eastAsia" w:ascii="宋体" w:hAnsi="宋体"/>
                <w:color w:val="000000" w:themeColor="text1"/>
                <w:sz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rPr>
            </w:pPr>
            <w:r>
              <w:rPr>
                <w:rFonts w:hint="eastAsia" w:ascii="宋体" w:hAnsi="宋体" w:cs="宋体"/>
                <w:color w:val="000000" w:themeColor="text1"/>
                <w:kern w:val="0"/>
                <w:sz w:val="24"/>
              </w:rPr>
              <w:t>1</w:t>
            </w:r>
          </w:p>
        </w:tc>
        <w:tc>
          <w:tcPr>
            <w:tcW w:w="1552" w:type="dxa"/>
          </w:tcPr>
          <w:p>
            <w:pPr>
              <w:tabs>
                <w:tab w:val="left" w:pos="0"/>
                <w:tab w:val="left" w:pos="56"/>
              </w:tabs>
              <w:adjustRightInd w:val="0"/>
              <w:snapToGrid w:val="0"/>
              <w:jc w:val="center"/>
              <w:rPr>
                <w:rFonts w:ascii="宋体" w:hAnsi="宋体" w:cs="宋体"/>
                <w:color w:val="000000" w:themeColor="text1"/>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rPr>
            </w:pPr>
            <w:r>
              <w:rPr>
                <w:rFonts w:hint="eastAsia" w:ascii="宋体" w:hAnsi="宋体" w:cs="宋体"/>
                <w:color w:val="000000" w:themeColor="text1"/>
                <w:kern w:val="0"/>
                <w:sz w:val="24"/>
              </w:rPr>
              <w:t>2</w:t>
            </w:r>
          </w:p>
        </w:tc>
        <w:tc>
          <w:tcPr>
            <w:tcW w:w="1552" w:type="dxa"/>
          </w:tcPr>
          <w:p>
            <w:pPr>
              <w:tabs>
                <w:tab w:val="left" w:pos="0"/>
                <w:tab w:val="left" w:pos="56"/>
              </w:tabs>
              <w:adjustRightInd w:val="0"/>
              <w:snapToGrid w:val="0"/>
              <w:jc w:val="center"/>
              <w:rPr>
                <w:rFonts w:ascii="宋体" w:hAnsi="宋体" w:cs="宋体"/>
                <w:color w:val="000000" w:themeColor="text1"/>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rPr>
            </w:pPr>
            <w:r>
              <w:rPr>
                <w:rFonts w:hint="eastAsia" w:ascii="宋体" w:hAnsi="宋体" w:cs="宋体"/>
                <w:color w:val="000000" w:themeColor="text1"/>
                <w:kern w:val="0"/>
                <w:sz w:val="24"/>
              </w:rPr>
              <w:t>3</w:t>
            </w:r>
          </w:p>
        </w:tc>
        <w:tc>
          <w:tcPr>
            <w:tcW w:w="1552" w:type="dxa"/>
          </w:tcPr>
          <w:p>
            <w:pPr>
              <w:tabs>
                <w:tab w:val="left" w:pos="0"/>
                <w:tab w:val="left" w:pos="56"/>
              </w:tabs>
              <w:adjustRightInd w:val="0"/>
              <w:snapToGrid w:val="0"/>
              <w:jc w:val="center"/>
              <w:rPr>
                <w:rFonts w:ascii="宋体" w:hAnsi="宋体" w:cs="宋体"/>
                <w:color w:val="000000" w:themeColor="text1"/>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rPr>
            </w:pPr>
            <w:r>
              <w:rPr>
                <w:rFonts w:hint="eastAsia" w:ascii="宋体" w:hAnsi="宋体" w:cs="宋体"/>
                <w:color w:val="000000" w:themeColor="text1"/>
                <w:kern w:val="0"/>
                <w:sz w:val="24"/>
              </w:rPr>
              <w:t>4</w:t>
            </w:r>
          </w:p>
        </w:tc>
        <w:tc>
          <w:tcPr>
            <w:tcW w:w="1552" w:type="dxa"/>
          </w:tcPr>
          <w:p>
            <w:pPr>
              <w:tabs>
                <w:tab w:val="left" w:pos="0"/>
                <w:tab w:val="left" w:pos="56"/>
              </w:tabs>
              <w:adjustRightInd w:val="0"/>
              <w:snapToGrid w:val="0"/>
              <w:jc w:val="center"/>
              <w:rPr>
                <w:rFonts w:ascii="宋体" w:hAnsi="宋体" w:cs="宋体"/>
                <w:color w:val="000000" w:themeColor="text1"/>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rPr>
            </w:pPr>
            <w:r>
              <w:rPr>
                <w:rFonts w:hint="eastAsia" w:ascii="宋体" w:hAnsi="宋体" w:cs="宋体"/>
                <w:color w:val="000000" w:themeColor="text1"/>
                <w:kern w:val="0"/>
                <w:sz w:val="24"/>
              </w:rPr>
              <w:t>5</w:t>
            </w:r>
          </w:p>
        </w:tc>
        <w:tc>
          <w:tcPr>
            <w:tcW w:w="1552" w:type="dxa"/>
          </w:tcPr>
          <w:p>
            <w:pPr>
              <w:tabs>
                <w:tab w:val="left" w:pos="0"/>
                <w:tab w:val="left" w:pos="56"/>
              </w:tabs>
              <w:adjustRightInd w:val="0"/>
              <w:snapToGrid w:val="0"/>
              <w:jc w:val="center"/>
              <w:rPr>
                <w:rFonts w:ascii="宋体" w:hAnsi="宋体" w:cs="宋体"/>
                <w:color w:val="000000" w:themeColor="text1"/>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rPr>
            </w:pPr>
            <w:r>
              <w:rPr>
                <w:rFonts w:hint="eastAsia" w:ascii="宋体" w:hAnsi="宋体" w:cs="宋体"/>
                <w:color w:val="000000" w:themeColor="text1"/>
                <w:kern w:val="0"/>
                <w:sz w:val="24"/>
              </w:rPr>
              <w:t>6</w:t>
            </w:r>
          </w:p>
        </w:tc>
        <w:tc>
          <w:tcPr>
            <w:tcW w:w="1552" w:type="dxa"/>
          </w:tcPr>
          <w:p>
            <w:pPr>
              <w:tabs>
                <w:tab w:val="left" w:pos="0"/>
                <w:tab w:val="left" w:pos="56"/>
              </w:tabs>
              <w:adjustRightInd w:val="0"/>
              <w:snapToGrid w:val="0"/>
              <w:jc w:val="center"/>
              <w:rPr>
                <w:rFonts w:ascii="宋体" w:hAnsi="宋体" w:cs="宋体"/>
                <w:color w:val="000000" w:themeColor="text1"/>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rPr>
            </w:pPr>
            <w:r>
              <w:rPr>
                <w:rFonts w:hint="eastAsia" w:ascii="宋体" w:hAnsi="宋体" w:cs="宋体"/>
                <w:color w:val="000000" w:themeColor="text1"/>
                <w:kern w:val="0"/>
                <w:sz w:val="24"/>
              </w:rPr>
              <w:t>7</w:t>
            </w:r>
          </w:p>
        </w:tc>
        <w:tc>
          <w:tcPr>
            <w:tcW w:w="1552" w:type="dxa"/>
          </w:tcPr>
          <w:p>
            <w:pPr>
              <w:tabs>
                <w:tab w:val="left" w:pos="0"/>
                <w:tab w:val="left" w:pos="56"/>
              </w:tabs>
              <w:adjustRightInd w:val="0"/>
              <w:snapToGrid w:val="0"/>
              <w:jc w:val="center"/>
              <w:rPr>
                <w:rFonts w:ascii="宋体" w:hAnsi="宋体" w:cs="宋体"/>
                <w:color w:val="000000" w:themeColor="text1"/>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rPr>
            </w:pPr>
            <w:r>
              <w:rPr>
                <w:rFonts w:hint="eastAsia" w:ascii="宋体" w:hAnsi="宋体" w:cs="宋体"/>
                <w:color w:val="000000" w:themeColor="text1"/>
                <w:kern w:val="0"/>
                <w:sz w:val="24"/>
              </w:rPr>
              <w:t>…</w:t>
            </w:r>
          </w:p>
        </w:tc>
        <w:tc>
          <w:tcPr>
            <w:tcW w:w="1552" w:type="dxa"/>
          </w:tcPr>
          <w:p>
            <w:pPr>
              <w:tabs>
                <w:tab w:val="left" w:pos="0"/>
                <w:tab w:val="left" w:pos="56"/>
              </w:tabs>
              <w:adjustRightInd w:val="0"/>
              <w:snapToGrid w:val="0"/>
              <w:jc w:val="center"/>
              <w:rPr>
                <w:rFonts w:ascii="宋体" w:hAnsi="宋体" w:cs="宋体"/>
                <w:color w:val="000000" w:themeColor="text1"/>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12" w:type="dxa"/>
            <w:gridSpan w:val="6"/>
          </w:tcPr>
          <w:p>
            <w:pPr>
              <w:spacing w:line="360" w:lineRule="auto"/>
              <w:jc w:val="center"/>
              <w:rPr>
                <w:rFonts w:ascii="宋体" w:hAnsi="宋体"/>
                <w:bCs/>
                <w:color w:val="000000" w:themeColor="text1"/>
                <w:sz w:val="24"/>
              </w:rPr>
            </w:pPr>
            <w:r>
              <w:rPr>
                <w:rFonts w:hint="eastAsia" w:ascii="宋体" w:hAnsi="宋体"/>
                <w:bCs/>
                <w:color w:val="000000" w:themeColor="text1"/>
                <w:sz w:val="24"/>
              </w:rPr>
              <w:t>合计</w:t>
            </w:r>
          </w:p>
        </w:tc>
        <w:tc>
          <w:tcPr>
            <w:tcW w:w="2602" w:type="dxa"/>
            <w:gridSpan w:val="2"/>
            <w:shd w:val="clear" w:color="auto" w:fill="auto"/>
            <w:vAlign w:val="center"/>
          </w:tcPr>
          <w:p>
            <w:pPr>
              <w:spacing w:line="360" w:lineRule="auto"/>
              <w:jc w:val="left"/>
              <w:rPr>
                <w:rFonts w:ascii="宋体" w:hAnsi="宋体"/>
                <w:bCs/>
                <w:color w:val="000000" w:themeColor="text1"/>
                <w:sz w:val="24"/>
              </w:rPr>
            </w:pPr>
          </w:p>
        </w:tc>
      </w:tr>
    </w:tbl>
    <w:p>
      <w:pPr>
        <w:spacing w:line="360" w:lineRule="auto"/>
        <w:ind w:left="1049" w:hanging="1048" w:hangingChars="437"/>
        <w:jc w:val="left"/>
        <w:rPr>
          <w:rFonts w:ascii="宋体" w:hAnsi="宋体"/>
          <w:color w:val="000000" w:themeColor="text1"/>
          <w:sz w:val="24"/>
        </w:rPr>
      </w:pPr>
      <w:r>
        <w:rPr>
          <w:rFonts w:hint="eastAsia" w:ascii="宋体" w:hAnsi="宋体"/>
          <w:color w:val="000000" w:themeColor="text1"/>
          <w:sz w:val="24"/>
        </w:rPr>
        <w:t>说明：1</w:t>
      </w:r>
      <w:r>
        <w:rPr>
          <w:rFonts w:hint="eastAsia" w:ascii="宋体" w:hAnsi="宋体" w:eastAsia="宋体" w:cs="Times New Roman"/>
          <w:color w:val="000000" w:themeColor="text1"/>
          <w:sz w:val="24"/>
          <w:szCs w:val="24"/>
        </w:rPr>
        <w:t>．</w:t>
      </w:r>
      <w:r>
        <w:rPr>
          <w:rFonts w:hint="eastAsia" w:ascii="宋体" w:hAnsi="宋体"/>
          <w:color w:val="000000" w:themeColor="text1"/>
          <w:sz w:val="24"/>
        </w:rPr>
        <w:t>所有价格均用人民币表示，单位为元。</w:t>
      </w:r>
    </w:p>
    <w:p>
      <w:pPr>
        <w:spacing w:line="360" w:lineRule="auto"/>
        <w:ind w:left="1061" w:leftChars="339" w:hanging="350" w:hangingChars="146"/>
        <w:jc w:val="left"/>
        <w:rPr>
          <w:rFonts w:ascii="宋体" w:hAnsi="宋体"/>
          <w:color w:val="000000" w:themeColor="text1"/>
          <w:sz w:val="24"/>
        </w:rPr>
      </w:pPr>
      <w:r>
        <w:rPr>
          <w:rFonts w:hint="eastAsia" w:ascii="宋体" w:hAnsi="宋体"/>
          <w:color w:val="000000" w:themeColor="text1"/>
          <w:sz w:val="24"/>
        </w:rPr>
        <w:t>2</w:t>
      </w:r>
      <w:r>
        <w:rPr>
          <w:rFonts w:hint="eastAsia" w:ascii="宋体" w:hAnsi="宋体" w:eastAsia="宋体" w:cs="Times New Roman"/>
          <w:color w:val="000000" w:themeColor="text1"/>
          <w:sz w:val="24"/>
          <w:szCs w:val="24"/>
        </w:rPr>
        <w:t>．</w:t>
      </w:r>
      <w:r>
        <w:rPr>
          <w:rFonts w:hint="eastAsia" w:ascii="宋体" w:hAnsi="宋体"/>
          <w:color w:val="000000" w:themeColor="text1"/>
          <w:sz w:val="24"/>
        </w:rPr>
        <w:t>投标人提供的相关证明文件对应页码填写到上表“投标文件对应的页码”中。</w:t>
      </w:r>
      <w:r>
        <w:rPr>
          <w:rFonts w:hint="eastAsia" w:ascii="宋体" w:hAnsi="宋体" w:cs="Corbel"/>
          <w:color w:val="000000" w:themeColor="text1"/>
          <w:sz w:val="24"/>
        </w:rPr>
        <w:t>如未提供页码或内容页码完全不一致的，</w:t>
      </w:r>
      <w:r>
        <w:rPr>
          <w:rFonts w:hint="eastAsia" w:ascii="宋体" w:hAnsi="宋体"/>
          <w:color w:val="000000" w:themeColor="text1"/>
          <w:sz w:val="24"/>
        </w:rPr>
        <w:t>导致的后果由投标人自行承担。</w:t>
      </w:r>
    </w:p>
    <w:p>
      <w:pPr>
        <w:adjustRightInd w:val="0"/>
        <w:snapToGrid w:val="0"/>
        <w:spacing w:line="360" w:lineRule="auto"/>
        <w:ind w:left="767" w:leftChars="194" w:hanging="360" w:hangingChars="150"/>
        <w:rPr>
          <w:rFonts w:ascii="宋体" w:hAnsi="宋体"/>
          <w:color w:val="000000" w:themeColor="text1"/>
          <w:sz w:val="24"/>
        </w:rPr>
      </w:pPr>
    </w:p>
    <w:p>
      <w:pPr>
        <w:adjustRightInd w:val="0"/>
        <w:snapToGrid w:val="0"/>
        <w:spacing w:line="360" w:lineRule="auto"/>
        <w:ind w:left="767" w:leftChars="194" w:hanging="360" w:hangingChars="150"/>
        <w:rPr>
          <w:rFonts w:ascii="宋体" w:hAnsi="宋体"/>
          <w:color w:val="000000" w:themeColor="text1"/>
          <w:sz w:val="24"/>
        </w:rPr>
      </w:pPr>
    </w:p>
    <w:p>
      <w:pPr>
        <w:adjustRightInd w:val="0"/>
        <w:snapToGrid w:val="0"/>
        <w:spacing w:line="360" w:lineRule="auto"/>
        <w:ind w:left="767" w:leftChars="194" w:hanging="360" w:hangingChars="150"/>
        <w:rPr>
          <w:rFonts w:ascii="宋体" w:hAnsi="宋体"/>
          <w:color w:val="000000" w:themeColor="text1"/>
          <w:sz w:val="24"/>
        </w:rPr>
      </w:pPr>
    </w:p>
    <w:p>
      <w:pPr>
        <w:adjustRightInd w:val="0"/>
        <w:snapToGrid w:val="0"/>
        <w:spacing w:line="360" w:lineRule="auto"/>
        <w:ind w:left="767" w:leftChars="194" w:hanging="360" w:hangingChars="150"/>
        <w:rPr>
          <w:rFonts w:ascii="宋体" w:hAnsi="宋体"/>
          <w:color w:val="000000" w:themeColor="text1"/>
          <w:sz w:val="24"/>
        </w:rPr>
      </w:pPr>
    </w:p>
    <w:p>
      <w:pPr>
        <w:adjustRightInd w:val="0"/>
        <w:snapToGrid w:val="0"/>
        <w:spacing w:line="360" w:lineRule="auto"/>
        <w:ind w:left="767" w:leftChars="194" w:hanging="360" w:hangingChars="150"/>
        <w:rPr>
          <w:rFonts w:ascii="宋体" w:hAnsi="宋体"/>
          <w:color w:val="000000" w:themeColor="text1"/>
          <w:sz w:val="24"/>
        </w:rPr>
      </w:pPr>
    </w:p>
    <w:p>
      <w:pPr>
        <w:spacing w:before="100" w:beforeAutospacing="1" w:after="100" w:afterAutospacing="1" w:line="360" w:lineRule="auto"/>
        <w:ind w:firstLine="3316" w:firstLineChars="1382"/>
        <w:rPr>
          <w:rFonts w:hAnsi="宋体"/>
          <w:b/>
          <w:bCs/>
          <w:color w:val="000000" w:themeColor="text1"/>
          <w:sz w:val="24"/>
          <w:u w:val="single"/>
        </w:rPr>
      </w:pPr>
      <w:r>
        <w:rPr>
          <w:rFonts w:hint="eastAsia" w:hAnsi="宋体"/>
          <w:b/>
          <w:bCs/>
          <w:color w:val="000000" w:themeColor="text1"/>
          <w:sz w:val="24"/>
        </w:rPr>
        <w:t>投标人（公章）：</w:t>
      </w:r>
    </w:p>
    <w:p>
      <w:pPr>
        <w:spacing w:before="100" w:beforeAutospacing="1" w:after="100" w:afterAutospacing="1" w:line="360" w:lineRule="auto"/>
        <w:ind w:firstLine="3316" w:firstLineChars="1382"/>
        <w:rPr>
          <w:rFonts w:hAnsi="宋体"/>
          <w:b/>
          <w:bCs/>
          <w:color w:val="000000" w:themeColor="text1"/>
          <w:sz w:val="24"/>
          <w:u w:val="single"/>
        </w:rPr>
      </w:pPr>
      <w:r>
        <w:rPr>
          <w:rFonts w:hint="eastAsia" w:ascii="宋体" w:hAnsi="宋体" w:eastAsia="宋体" w:cs="Times New Roman"/>
          <w:b/>
          <w:bCs/>
          <w:color w:val="000000" w:themeColor="text1"/>
          <w:sz w:val="24"/>
          <w:szCs w:val="21"/>
          <w:lang w:val="zh-CN"/>
        </w:rPr>
        <w:t>投标人</w:t>
      </w:r>
      <w:r>
        <w:rPr>
          <w:rFonts w:hint="eastAsia" w:hAnsi="宋体"/>
          <w:b/>
          <w:bCs/>
          <w:color w:val="000000" w:themeColor="text1"/>
          <w:sz w:val="24"/>
        </w:rPr>
        <w:t>授权代表（签字）：</w:t>
      </w:r>
    </w:p>
    <w:p>
      <w:pPr>
        <w:spacing w:before="100" w:beforeAutospacing="1" w:after="100" w:afterAutospacing="1" w:line="360" w:lineRule="auto"/>
        <w:ind w:firstLine="3316" w:firstLineChars="1382"/>
        <w:rPr>
          <w:rFonts w:hAnsi="宋体"/>
          <w:b/>
          <w:bCs/>
          <w:color w:val="000000" w:themeColor="text1"/>
          <w:sz w:val="24"/>
          <w:u w:val="single"/>
        </w:rPr>
      </w:pPr>
      <w:r>
        <w:rPr>
          <w:rFonts w:hint="eastAsia" w:ascii="宋体" w:hAnsi="宋体" w:eastAsia="宋体" w:cs="Times New Roman"/>
          <w:b/>
          <w:bCs/>
          <w:color w:val="000000" w:themeColor="text1"/>
          <w:sz w:val="24"/>
          <w:szCs w:val="21"/>
          <w:lang w:val="zh-CN"/>
        </w:rPr>
        <w:t>投标</w:t>
      </w:r>
      <w:r>
        <w:rPr>
          <w:rFonts w:hint="eastAsia" w:hAnsi="宋体"/>
          <w:b/>
          <w:bCs/>
          <w:color w:val="000000" w:themeColor="text1"/>
          <w:sz w:val="24"/>
        </w:rPr>
        <w:t>时间：</w:t>
      </w:r>
    </w:p>
    <w:p>
      <w:pPr>
        <w:rPr>
          <w:color w:val="000000" w:themeColor="text1"/>
        </w:rPr>
      </w:pPr>
      <w:r>
        <w:rPr>
          <w:color w:val="000000" w:themeColor="text1"/>
        </w:rPr>
        <w:br w:type="page"/>
      </w:r>
    </w:p>
    <w:p>
      <w:pPr>
        <w:pStyle w:val="2"/>
        <w:numPr>
          <w:ilvl w:val="0"/>
          <w:numId w:val="58"/>
        </w:numPr>
        <w:spacing w:before="100" w:beforeAutospacing="1" w:after="156" w:afterLines="50" w:line="360" w:lineRule="auto"/>
        <w:ind w:left="1288" w:hanging="1288"/>
        <w:rPr>
          <w:rFonts w:ascii="宋体" w:hAnsi="宋体" w:eastAsia="宋体"/>
          <w:color w:val="000000" w:themeColor="text1"/>
        </w:rPr>
      </w:pPr>
      <w:bookmarkStart w:id="184" w:name="_Toc494665561"/>
      <w:bookmarkStart w:id="185" w:name="_Toc18551"/>
      <w:bookmarkStart w:id="186" w:name="_Toc494745325"/>
      <w:bookmarkStart w:id="187" w:name="_Toc494665958"/>
      <w:bookmarkStart w:id="188" w:name="_Toc494665008"/>
      <w:bookmarkStart w:id="189" w:name="_Toc494702278"/>
      <w:bookmarkStart w:id="190" w:name="_Toc494721108"/>
      <w:r>
        <w:rPr>
          <w:rFonts w:hint="eastAsia" w:ascii="宋体" w:hAnsi="宋体" w:eastAsia="宋体"/>
          <w:color w:val="000000" w:themeColor="text1"/>
        </w:rPr>
        <w:t>投标货物（工程或服务）清单</w:t>
      </w:r>
      <w:bookmarkEnd w:id="184"/>
      <w:bookmarkEnd w:id="185"/>
      <w:bookmarkEnd w:id="186"/>
      <w:bookmarkEnd w:id="187"/>
      <w:bookmarkEnd w:id="188"/>
      <w:bookmarkEnd w:id="189"/>
      <w:bookmarkEnd w:id="190"/>
    </w:p>
    <w:p>
      <w:pPr>
        <w:adjustRightInd w:val="0"/>
        <w:snapToGrid w:val="0"/>
        <w:spacing w:line="360" w:lineRule="auto"/>
        <w:rPr>
          <w:rFonts w:ascii="宋体" w:hAnsi="宋体"/>
          <w:b/>
          <w:color w:val="000000" w:themeColor="text1"/>
          <w:sz w:val="24"/>
        </w:rPr>
      </w:pPr>
      <w:r>
        <w:rPr>
          <w:rFonts w:hint="eastAsia" w:ascii="宋体" w:hAnsi="宋体"/>
          <w:b/>
          <w:color w:val="000000" w:themeColor="text1"/>
          <w:sz w:val="24"/>
        </w:rPr>
        <w:t>投 标 人：</w:t>
      </w:r>
    </w:p>
    <w:p>
      <w:pPr>
        <w:adjustRightInd w:val="0"/>
        <w:snapToGrid w:val="0"/>
        <w:spacing w:line="360" w:lineRule="auto"/>
        <w:rPr>
          <w:rFonts w:ascii="宋体" w:hAnsi="宋体"/>
          <w:b/>
          <w:color w:val="000000" w:themeColor="text1"/>
          <w:sz w:val="24"/>
        </w:rPr>
      </w:pPr>
      <w:r>
        <w:rPr>
          <w:rFonts w:hint="eastAsia" w:ascii="宋体" w:hAnsi="宋体" w:eastAsia="宋体" w:cs="Times New Roman"/>
          <w:b/>
          <w:color w:val="000000" w:themeColor="text1"/>
          <w:sz w:val="24"/>
          <w:szCs w:val="21"/>
          <w:lang w:val="zh-CN"/>
        </w:rPr>
        <w:t>项目编号：</w:t>
      </w:r>
      <w:r>
        <w:rPr>
          <w:rFonts w:hint="eastAsia" w:ascii="宋体" w:hAnsi="宋体" w:eastAsia="宋体" w:cs="Times New Roman"/>
          <w:b/>
          <w:bCs/>
          <w:color w:val="000000" w:themeColor="text1"/>
          <w:sz w:val="24"/>
          <w:szCs w:val="21"/>
          <w:lang w:val="zh-CN"/>
        </w:rPr>
        <w:t xml:space="preserve">                所投包号：</w:t>
      </w:r>
    </w:p>
    <w:tbl>
      <w:tblPr>
        <w:tblStyle w:val="18"/>
        <w:tblW w:w="937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5"/>
        <w:gridCol w:w="2722"/>
        <w:gridCol w:w="2459"/>
        <w:gridCol w:w="851"/>
        <w:gridCol w:w="259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45" w:type="dxa"/>
            <w:tcBorders>
              <w:top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84" w:rightChars="-40"/>
              <w:jc w:val="center"/>
              <w:rPr>
                <w:rFonts w:ascii="宋体" w:hAnsi="宋体" w:cs="宋体"/>
                <w:color w:val="000000" w:themeColor="text1"/>
                <w:kern w:val="0"/>
                <w:sz w:val="24"/>
              </w:rPr>
            </w:pPr>
            <w:r>
              <w:rPr>
                <w:rFonts w:hint="eastAsia" w:ascii="宋体" w:hAnsi="宋体" w:cs="宋体"/>
                <w:color w:val="000000" w:themeColor="text1"/>
                <w:kern w:val="0"/>
                <w:sz w:val="24"/>
              </w:rPr>
              <w:t>序号</w:t>
            </w:r>
          </w:p>
        </w:tc>
        <w:tc>
          <w:tcPr>
            <w:tcW w:w="2722"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00000" w:themeColor="text1"/>
                <w:kern w:val="0"/>
                <w:sz w:val="24"/>
              </w:rPr>
            </w:pPr>
            <w:r>
              <w:rPr>
                <w:rFonts w:hint="eastAsia" w:ascii="宋体" w:hAnsi="宋体" w:cs="宋体"/>
                <w:color w:val="000000" w:themeColor="text1"/>
                <w:kern w:val="0"/>
                <w:sz w:val="24"/>
              </w:rPr>
              <w:t>货物（工程或服务）名称</w:t>
            </w:r>
          </w:p>
        </w:tc>
        <w:tc>
          <w:tcPr>
            <w:tcW w:w="245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00000" w:themeColor="text1"/>
                <w:kern w:val="0"/>
                <w:sz w:val="24"/>
              </w:rPr>
            </w:pPr>
            <w:r>
              <w:rPr>
                <w:rFonts w:hint="eastAsia" w:ascii="宋体" w:hAnsi="宋体" w:cs="宋体"/>
                <w:color w:val="000000" w:themeColor="text1"/>
                <w:kern w:val="0"/>
                <w:sz w:val="24"/>
              </w:rPr>
              <w:t>主要规格、技术参数</w:t>
            </w:r>
          </w:p>
        </w:tc>
        <w:tc>
          <w:tcPr>
            <w:tcW w:w="851"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00000" w:themeColor="text1"/>
                <w:kern w:val="0"/>
                <w:sz w:val="24"/>
              </w:rPr>
            </w:pPr>
            <w:r>
              <w:rPr>
                <w:rFonts w:hint="eastAsia" w:ascii="宋体" w:hAnsi="宋体" w:cs="宋体"/>
                <w:color w:val="000000" w:themeColor="text1"/>
                <w:kern w:val="0"/>
                <w:sz w:val="24"/>
              </w:rPr>
              <w:t>数量</w:t>
            </w:r>
          </w:p>
        </w:tc>
        <w:tc>
          <w:tcPr>
            <w:tcW w:w="2593" w:type="dxa"/>
            <w:tcBorders>
              <w:top w:val="single" w:color="auto" w:sz="4" w:space="0"/>
              <w:left w:val="single" w:color="auto" w:sz="4" w:space="0"/>
              <w:bottom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00000" w:themeColor="text1"/>
                <w:kern w:val="0"/>
                <w:sz w:val="24"/>
              </w:rPr>
            </w:pPr>
            <w:r>
              <w:rPr>
                <w:rFonts w:hint="eastAsia" w:ascii="宋体" w:hAnsi="宋体" w:cs="宋体"/>
                <w:color w:val="000000" w:themeColor="text1"/>
                <w:kern w:val="0"/>
                <w:sz w:val="24"/>
              </w:rPr>
              <w:t>制造厂家/产地及国家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tcBorders>
              <w:top w:val="single" w:color="auto" w:sz="4" w:space="0"/>
            </w:tcBorders>
            <w:vAlign w:val="center"/>
          </w:tcPr>
          <w:p>
            <w:pPr>
              <w:adjustRightInd w:val="0"/>
              <w:snapToGrid w:val="0"/>
              <w:ind w:left="-88" w:leftChars="-42"/>
              <w:jc w:val="center"/>
              <w:rPr>
                <w:rFonts w:ascii="宋体" w:hAnsi="宋体"/>
                <w:color w:val="000000" w:themeColor="text1"/>
                <w:sz w:val="24"/>
              </w:rPr>
            </w:pPr>
            <w:r>
              <w:rPr>
                <w:rFonts w:hint="eastAsia" w:ascii="宋体" w:hAnsi="宋体"/>
                <w:color w:val="000000" w:themeColor="text1"/>
                <w:sz w:val="24"/>
              </w:rPr>
              <w:t>1</w:t>
            </w:r>
          </w:p>
        </w:tc>
        <w:tc>
          <w:tcPr>
            <w:tcW w:w="2722" w:type="dxa"/>
            <w:tcBorders>
              <w:top w:val="single" w:color="auto" w:sz="4" w:space="0"/>
            </w:tcBorders>
            <w:vAlign w:val="center"/>
          </w:tcPr>
          <w:p>
            <w:pPr>
              <w:adjustRightInd w:val="0"/>
              <w:snapToGrid w:val="0"/>
              <w:ind w:left="-88" w:leftChars="-42"/>
              <w:jc w:val="center"/>
              <w:rPr>
                <w:rFonts w:ascii="宋体" w:hAnsi="宋体"/>
                <w:color w:val="000000" w:themeColor="text1"/>
                <w:sz w:val="24"/>
              </w:rPr>
            </w:pPr>
          </w:p>
        </w:tc>
        <w:tc>
          <w:tcPr>
            <w:tcW w:w="2459" w:type="dxa"/>
            <w:tcBorders>
              <w:top w:val="single" w:color="auto" w:sz="4" w:space="0"/>
            </w:tcBorders>
            <w:vAlign w:val="center"/>
          </w:tcPr>
          <w:p>
            <w:pPr>
              <w:adjustRightInd w:val="0"/>
              <w:snapToGrid w:val="0"/>
              <w:jc w:val="center"/>
              <w:rPr>
                <w:rFonts w:ascii="宋体" w:hAnsi="宋体"/>
                <w:color w:val="000000" w:themeColor="text1"/>
                <w:sz w:val="24"/>
              </w:rPr>
            </w:pPr>
          </w:p>
        </w:tc>
        <w:tc>
          <w:tcPr>
            <w:tcW w:w="851" w:type="dxa"/>
            <w:tcBorders>
              <w:top w:val="single" w:color="auto" w:sz="4" w:space="0"/>
            </w:tcBorders>
            <w:vAlign w:val="center"/>
          </w:tcPr>
          <w:p>
            <w:pPr>
              <w:adjustRightInd w:val="0"/>
              <w:snapToGrid w:val="0"/>
              <w:jc w:val="center"/>
              <w:rPr>
                <w:rFonts w:ascii="宋体" w:hAnsi="宋体"/>
                <w:color w:val="000000" w:themeColor="text1"/>
                <w:sz w:val="24"/>
              </w:rPr>
            </w:pPr>
          </w:p>
        </w:tc>
        <w:tc>
          <w:tcPr>
            <w:tcW w:w="2593" w:type="dxa"/>
            <w:tcBorders>
              <w:top w:val="single" w:color="auto" w:sz="4" w:space="0"/>
            </w:tcBorders>
            <w:vAlign w:val="center"/>
          </w:tcPr>
          <w:p>
            <w:pPr>
              <w:adjustRightInd w:val="0"/>
              <w:snapToGrid w:val="0"/>
              <w:jc w:val="cente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color w:val="000000" w:themeColor="text1"/>
                <w:sz w:val="24"/>
              </w:rPr>
            </w:pPr>
            <w:r>
              <w:rPr>
                <w:rFonts w:hint="eastAsia" w:ascii="宋体" w:hAnsi="宋体"/>
                <w:color w:val="000000" w:themeColor="text1"/>
                <w:sz w:val="24"/>
              </w:rPr>
              <w:t>2</w:t>
            </w:r>
          </w:p>
        </w:tc>
        <w:tc>
          <w:tcPr>
            <w:tcW w:w="2722" w:type="dxa"/>
            <w:vAlign w:val="center"/>
          </w:tcPr>
          <w:p>
            <w:pPr>
              <w:adjustRightInd w:val="0"/>
              <w:snapToGrid w:val="0"/>
              <w:ind w:left="-88" w:leftChars="-42"/>
              <w:jc w:val="center"/>
              <w:rPr>
                <w:rFonts w:ascii="宋体" w:hAnsi="宋体"/>
                <w:color w:val="000000" w:themeColor="text1"/>
                <w:sz w:val="24"/>
              </w:rPr>
            </w:pPr>
          </w:p>
        </w:tc>
        <w:tc>
          <w:tcPr>
            <w:tcW w:w="2459" w:type="dxa"/>
            <w:vAlign w:val="center"/>
          </w:tcPr>
          <w:p>
            <w:pPr>
              <w:adjustRightInd w:val="0"/>
              <w:snapToGrid w:val="0"/>
              <w:jc w:val="center"/>
              <w:rPr>
                <w:rFonts w:ascii="宋体" w:hAnsi="宋体"/>
                <w:color w:val="000000" w:themeColor="text1"/>
                <w:sz w:val="24"/>
              </w:rPr>
            </w:pPr>
          </w:p>
        </w:tc>
        <w:tc>
          <w:tcPr>
            <w:tcW w:w="851" w:type="dxa"/>
            <w:vAlign w:val="center"/>
          </w:tcPr>
          <w:p>
            <w:pPr>
              <w:adjustRightInd w:val="0"/>
              <w:snapToGrid w:val="0"/>
              <w:jc w:val="center"/>
              <w:rPr>
                <w:rFonts w:ascii="宋体" w:hAnsi="宋体"/>
                <w:color w:val="000000" w:themeColor="text1"/>
                <w:sz w:val="24"/>
              </w:rPr>
            </w:pPr>
          </w:p>
        </w:tc>
        <w:tc>
          <w:tcPr>
            <w:tcW w:w="2593" w:type="dxa"/>
            <w:vAlign w:val="center"/>
          </w:tcPr>
          <w:p>
            <w:pPr>
              <w:adjustRightInd w:val="0"/>
              <w:snapToGrid w:val="0"/>
              <w:jc w:val="cente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color w:val="000000" w:themeColor="text1"/>
                <w:sz w:val="24"/>
              </w:rPr>
            </w:pPr>
            <w:r>
              <w:rPr>
                <w:rFonts w:hint="eastAsia" w:ascii="宋体" w:hAnsi="宋体"/>
                <w:color w:val="000000" w:themeColor="text1"/>
                <w:sz w:val="24"/>
              </w:rPr>
              <w:t>3</w:t>
            </w:r>
          </w:p>
        </w:tc>
        <w:tc>
          <w:tcPr>
            <w:tcW w:w="2722" w:type="dxa"/>
            <w:vAlign w:val="center"/>
          </w:tcPr>
          <w:p>
            <w:pPr>
              <w:adjustRightInd w:val="0"/>
              <w:snapToGrid w:val="0"/>
              <w:ind w:left="-88" w:leftChars="-42"/>
              <w:jc w:val="center"/>
              <w:rPr>
                <w:rFonts w:ascii="宋体" w:hAnsi="宋体"/>
                <w:color w:val="000000" w:themeColor="text1"/>
                <w:sz w:val="24"/>
              </w:rPr>
            </w:pPr>
          </w:p>
        </w:tc>
        <w:tc>
          <w:tcPr>
            <w:tcW w:w="2459" w:type="dxa"/>
            <w:vAlign w:val="center"/>
          </w:tcPr>
          <w:p>
            <w:pPr>
              <w:adjustRightInd w:val="0"/>
              <w:snapToGrid w:val="0"/>
              <w:ind w:left="-88" w:leftChars="-42"/>
              <w:jc w:val="center"/>
              <w:rPr>
                <w:rFonts w:ascii="宋体" w:hAnsi="宋体"/>
                <w:color w:val="000000" w:themeColor="text1"/>
                <w:sz w:val="24"/>
              </w:rPr>
            </w:pPr>
          </w:p>
        </w:tc>
        <w:tc>
          <w:tcPr>
            <w:tcW w:w="851" w:type="dxa"/>
            <w:vAlign w:val="center"/>
          </w:tcPr>
          <w:p>
            <w:pPr>
              <w:adjustRightInd w:val="0"/>
              <w:snapToGrid w:val="0"/>
              <w:ind w:left="-88" w:leftChars="-42"/>
              <w:jc w:val="center"/>
              <w:rPr>
                <w:rFonts w:ascii="宋体" w:hAnsi="宋体"/>
                <w:color w:val="000000" w:themeColor="text1"/>
                <w:sz w:val="24"/>
              </w:rPr>
            </w:pPr>
          </w:p>
        </w:tc>
        <w:tc>
          <w:tcPr>
            <w:tcW w:w="2593" w:type="dxa"/>
            <w:vAlign w:val="center"/>
          </w:tcPr>
          <w:p>
            <w:pPr>
              <w:adjustRightInd w:val="0"/>
              <w:snapToGrid w:val="0"/>
              <w:ind w:left="-88" w:leftChars="-42"/>
              <w:jc w:val="cente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color w:val="000000" w:themeColor="text1"/>
                <w:sz w:val="24"/>
              </w:rPr>
            </w:pPr>
            <w:r>
              <w:rPr>
                <w:rFonts w:hint="eastAsia" w:ascii="宋体" w:hAnsi="宋体"/>
                <w:color w:val="000000" w:themeColor="text1"/>
                <w:sz w:val="24"/>
              </w:rPr>
              <w:t>4</w:t>
            </w:r>
          </w:p>
        </w:tc>
        <w:tc>
          <w:tcPr>
            <w:tcW w:w="2722" w:type="dxa"/>
            <w:vAlign w:val="center"/>
          </w:tcPr>
          <w:p>
            <w:pPr>
              <w:adjustRightInd w:val="0"/>
              <w:snapToGrid w:val="0"/>
              <w:ind w:left="-88" w:leftChars="-42"/>
              <w:jc w:val="center"/>
              <w:rPr>
                <w:rFonts w:ascii="宋体" w:hAnsi="宋体"/>
                <w:color w:val="000000" w:themeColor="text1"/>
                <w:sz w:val="24"/>
              </w:rPr>
            </w:pPr>
          </w:p>
        </w:tc>
        <w:tc>
          <w:tcPr>
            <w:tcW w:w="2459" w:type="dxa"/>
            <w:vAlign w:val="center"/>
          </w:tcPr>
          <w:p>
            <w:pPr>
              <w:adjustRightInd w:val="0"/>
              <w:snapToGrid w:val="0"/>
              <w:jc w:val="center"/>
              <w:rPr>
                <w:rFonts w:ascii="宋体" w:hAnsi="宋体"/>
                <w:color w:val="000000" w:themeColor="text1"/>
                <w:sz w:val="24"/>
              </w:rPr>
            </w:pPr>
          </w:p>
        </w:tc>
        <w:tc>
          <w:tcPr>
            <w:tcW w:w="851" w:type="dxa"/>
            <w:vAlign w:val="center"/>
          </w:tcPr>
          <w:p>
            <w:pPr>
              <w:adjustRightInd w:val="0"/>
              <w:snapToGrid w:val="0"/>
              <w:jc w:val="center"/>
              <w:rPr>
                <w:rFonts w:ascii="宋体" w:hAnsi="宋体"/>
                <w:color w:val="000000" w:themeColor="text1"/>
                <w:sz w:val="24"/>
              </w:rPr>
            </w:pPr>
          </w:p>
        </w:tc>
        <w:tc>
          <w:tcPr>
            <w:tcW w:w="2593" w:type="dxa"/>
            <w:vAlign w:val="center"/>
          </w:tcPr>
          <w:p>
            <w:pPr>
              <w:adjustRightInd w:val="0"/>
              <w:snapToGrid w:val="0"/>
              <w:jc w:val="cente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color w:val="000000" w:themeColor="text1"/>
                <w:sz w:val="24"/>
              </w:rPr>
            </w:pPr>
            <w:r>
              <w:rPr>
                <w:rFonts w:hint="eastAsia" w:ascii="宋体" w:hAnsi="宋体"/>
                <w:color w:val="000000" w:themeColor="text1"/>
                <w:sz w:val="24"/>
              </w:rPr>
              <w:t>5</w:t>
            </w:r>
          </w:p>
        </w:tc>
        <w:tc>
          <w:tcPr>
            <w:tcW w:w="2722" w:type="dxa"/>
            <w:vAlign w:val="center"/>
          </w:tcPr>
          <w:p>
            <w:pPr>
              <w:adjustRightInd w:val="0"/>
              <w:snapToGrid w:val="0"/>
              <w:ind w:left="-88" w:leftChars="-42"/>
              <w:jc w:val="center"/>
              <w:rPr>
                <w:rFonts w:ascii="宋体" w:hAnsi="宋体"/>
                <w:color w:val="000000" w:themeColor="text1"/>
                <w:sz w:val="24"/>
              </w:rPr>
            </w:pPr>
          </w:p>
        </w:tc>
        <w:tc>
          <w:tcPr>
            <w:tcW w:w="2459" w:type="dxa"/>
            <w:vAlign w:val="center"/>
          </w:tcPr>
          <w:p>
            <w:pPr>
              <w:adjustRightInd w:val="0"/>
              <w:snapToGrid w:val="0"/>
              <w:jc w:val="center"/>
              <w:rPr>
                <w:rFonts w:ascii="宋体" w:hAnsi="宋体"/>
                <w:color w:val="000000" w:themeColor="text1"/>
                <w:sz w:val="24"/>
              </w:rPr>
            </w:pPr>
          </w:p>
        </w:tc>
        <w:tc>
          <w:tcPr>
            <w:tcW w:w="851" w:type="dxa"/>
            <w:vAlign w:val="center"/>
          </w:tcPr>
          <w:p>
            <w:pPr>
              <w:adjustRightInd w:val="0"/>
              <w:snapToGrid w:val="0"/>
              <w:jc w:val="center"/>
              <w:rPr>
                <w:rFonts w:ascii="宋体" w:hAnsi="宋体"/>
                <w:color w:val="000000" w:themeColor="text1"/>
                <w:sz w:val="24"/>
              </w:rPr>
            </w:pPr>
          </w:p>
        </w:tc>
        <w:tc>
          <w:tcPr>
            <w:tcW w:w="2593" w:type="dxa"/>
            <w:vAlign w:val="center"/>
          </w:tcPr>
          <w:p>
            <w:pPr>
              <w:adjustRightInd w:val="0"/>
              <w:snapToGrid w:val="0"/>
              <w:jc w:val="cente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color w:val="000000" w:themeColor="text1"/>
                <w:sz w:val="24"/>
              </w:rPr>
            </w:pPr>
            <w:r>
              <w:rPr>
                <w:rFonts w:hint="eastAsia" w:ascii="宋体" w:hAnsi="宋体"/>
                <w:color w:val="000000" w:themeColor="text1"/>
                <w:sz w:val="24"/>
              </w:rPr>
              <w:t>6</w:t>
            </w:r>
          </w:p>
        </w:tc>
        <w:tc>
          <w:tcPr>
            <w:tcW w:w="2722" w:type="dxa"/>
            <w:vAlign w:val="center"/>
          </w:tcPr>
          <w:p>
            <w:pPr>
              <w:adjustRightInd w:val="0"/>
              <w:snapToGrid w:val="0"/>
              <w:ind w:left="-88" w:leftChars="-42"/>
              <w:jc w:val="center"/>
              <w:rPr>
                <w:rFonts w:ascii="宋体" w:hAnsi="宋体"/>
                <w:color w:val="000000" w:themeColor="text1"/>
                <w:sz w:val="24"/>
              </w:rPr>
            </w:pPr>
          </w:p>
        </w:tc>
        <w:tc>
          <w:tcPr>
            <w:tcW w:w="2459" w:type="dxa"/>
            <w:vAlign w:val="center"/>
          </w:tcPr>
          <w:p>
            <w:pPr>
              <w:adjustRightInd w:val="0"/>
              <w:snapToGrid w:val="0"/>
              <w:jc w:val="center"/>
              <w:rPr>
                <w:rFonts w:ascii="宋体" w:hAnsi="宋体"/>
                <w:color w:val="000000" w:themeColor="text1"/>
                <w:sz w:val="24"/>
              </w:rPr>
            </w:pPr>
          </w:p>
        </w:tc>
        <w:tc>
          <w:tcPr>
            <w:tcW w:w="851" w:type="dxa"/>
            <w:vAlign w:val="center"/>
          </w:tcPr>
          <w:p>
            <w:pPr>
              <w:adjustRightInd w:val="0"/>
              <w:snapToGrid w:val="0"/>
              <w:jc w:val="center"/>
              <w:rPr>
                <w:rFonts w:ascii="宋体" w:hAnsi="宋体"/>
                <w:color w:val="000000" w:themeColor="text1"/>
                <w:sz w:val="24"/>
              </w:rPr>
            </w:pPr>
          </w:p>
        </w:tc>
        <w:tc>
          <w:tcPr>
            <w:tcW w:w="2593" w:type="dxa"/>
            <w:vAlign w:val="center"/>
          </w:tcPr>
          <w:p>
            <w:pPr>
              <w:adjustRightInd w:val="0"/>
              <w:snapToGrid w:val="0"/>
              <w:jc w:val="cente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color w:val="000000" w:themeColor="text1"/>
                <w:sz w:val="24"/>
              </w:rPr>
            </w:pPr>
            <w:r>
              <w:rPr>
                <w:rFonts w:hint="eastAsia" w:ascii="宋体" w:hAnsi="宋体"/>
                <w:color w:val="000000" w:themeColor="text1"/>
                <w:sz w:val="24"/>
              </w:rPr>
              <w:t>7</w:t>
            </w:r>
          </w:p>
        </w:tc>
        <w:tc>
          <w:tcPr>
            <w:tcW w:w="2722" w:type="dxa"/>
            <w:vAlign w:val="center"/>
          </w:tcPr>
          <w:p>
            <w:pPr>
              <w:adjustRightInd w:val="0"/>
              <w:snapToGrid w:val="0"/>
              <w:ind w:left="-88" w:leftChars="-42"/>
              <w:jc w:val="center"/>
              <w:rPr>
                <w:rFonts w:ascii="宋体" w:hAnsi="宋体"/>
                <w:color w:val="000000" w:themeColor="text1"/>
                <w:sz w:val="24"/>
              </w:rPr>
            </w:pPr>
          </w:p>
        </w:tc>
        <w:tc>
          <w:tcPr>
            <w:tcW w:w="2459" w:type="dxa"/>
            <w:vAlign w:val="center"/>
          </w:tcPr>
          <w:p>
            <w:pPr>
              <w:adjustRightInd w:val="0"/>
              <w:snapToGrid w:val="0"/>
              <w:jc w:val="center"/>
              <w:rPr>
                <w:rFonts w:ascii="宋体" w:hAnsi="宋体"/>
                <w:color w:val="000000" w:themeColor="text1"/>
                <w:sz w:val="24"/>
              </w:rPr>
            </w:pPr>
          </w:p>
        </w:tc>
        <w:tc>
          <w:tcPr>
            <w:tcW w:w="851" w:type="dxa"/>
            <w:vAlign w:val="center"/>
          </w:tcPr>
          <w:p>
            <w:pPr>
              <w:adjustRightInd w:val="0"/>
              <w:snapToGrid w:val="0"/>
              <w:jc w:val="center"/>
              <w:rPr>
                <w:rFonts w:ascii="宋体" w:hAnsi="宋体"/>
                <w:color w:val="000000" w:themeColor="text1"/>
                <w:sz w:val="24"/>
              </w:rPr>
            </w:pPr>
          </w:p>
        </w:tc>
        <w:tc>
          <w:tcPr>
            <w:tcW w:w="2593" w:type="dxa"/>
            <w:vAlign w:val="center"/>
          </w:tcPr>
          <w:p>
            <w:pPr>
              <w:adjustRightInd w:val="0"/>
              <w:snapToGrid w:val="0"/>
              <w:jc w:val="cente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color w:val="000000" w:themeColor="text1"/>
                <w:sz w:val="24"/>
              </w:rPr>
            </w:pPr>
            <w:r>
              <w:rPr>
                <w:rFonts w:hint="eastAsia" w:ascii="宋体" w:hAnsi="宋体"/>
                <w:color w:val="000000" w:themeColor="text1"/>
                <w:sz w:val="24"/>
              </w:rPr>
              <w:t>…</w:t>
            </w:r>
          </w:p>
        </w:tc>
        <w:tc>
          <w:tcPr>
            <w:tcW w:w="2722" w:type="dxa"/>
            <w:vAlign w:val="center"/>
          </w:tcPr>
          <w:p>
            <w:pPr>
              <w:adjustRightInd w:val="0"/>
              <w:snapToGrid w:val="0"/>
              <w:ind w:left="-88" w:leftChars="-42"/>
              <w:jc w:val="center"/>
              <w:rPr>
                <w:rFonts w:ascii="宋体" w:hAnsi="宋体"/>
                <w:color w:val="000000" w:themeColor="text1"/>
                <w:sz w:val="24"/>
              </w:rPr>
            </w:pPr>
          </w:p>
        </w:tc>
        <w:tc>
          <w:tcPr>
            <w:tcW w:w="2459" w:type="dxa"/>
            <w:vAlign w:val="center"/>
          </w:tcPr>
          <w:p>
            <w:pPr>
              <w:adjustRightInd w:val="0"/>
              <w:snapToGrid w:val="0"/>
              <w:jc w:val="center"/>
              <w:rPr>
                <w:rFonts w:ascii="宋体" w:hAnsi="宋体"/>
                <w:color w:val="000000" w:themeColor="text1"/>
                <w:sz w:val="24"/>
              </w:rPr>
            </w:pPr>
          </w:p>
        </w:tc>
        <w:tc>
          <w:tcPr>
            <w:tcW w:w="851" w:type="dxa"/>
            <w:vAlign w:val="center"/>
          </w:tcPr>
          <w:p>
            <w:pPr>
              <w:adjustRightInd w:val="0"/>
              <w:snapToGrid w:val="0"/>
              <w:jc w:val="center"/>
              <w:rPr>
                <w:rFonts w:ascii="宋体" w:hAnsi="宋体"/>
                <w:color w:val="000000" w:themeColor="text1"/>
                <w:sz w:val="24"/>
              </w:rPr>
            </w:pPr>
          </w:p>
        </w:tc>
        <w:tc>
          <w:tcPr>
            <w:tcW w:w="2593" w:type="dxa"/>
            <w:vAlign w:val="center"/>
          </w:tcPr>
          <w:p>
            <w:pPr>
              <w:adjustRightInd w:val="0"/>
              <w:snapToGrid w:val="0"/>
              <w:jc w:val="center"/>
              <w:rPr>
                <w:rFonts w:ascii="宋体" w:hAnsi="宋体"/>
                <w:color w:val="000000" w:themeColor="text1"/>
                <w:sz w:val="24"/>
              </w:rPr>
            </w:pPr>
          </w:p>
        </w:tc>
      </w:tr>
    </w:tbl>
    <w:p>
      <w:pPr>
        <w:spacing w:line="360" w:lineRule="auto"/>
        <w:ind w:left="1078" w:hanging="1077" w:hangingChars="449"/>
        <w:jc w:val="left"/>
        <w:rPr>
          <w:rFonts w:ascii="宋体" w:hAnsi="宋体"/>
          <w:color w:val="000000" w:themeColor="text1"/>
          <w:sz w:val="24"/>
        </w:rPr>
      </w:pPr>
      <w:r>
        <w:rPr>
          <w:rFonts w:hint="eastAsia" w:ascii="宋体" w:hAnsi="宋体"/>
          <w:color w:val="000000" w:themeColor="text1"/>
          <w:sz w:val="24"/>
        </w:rPr>
        <w:t>说明：1．此表为货物（工程或服务）清单，投标人应提供所投货物（工程或服务）详细的供货（工程或服务）范围，包括主要配件及生产厂家、备品备件等。</w:t>
      </w:r>
    </w:p>
    <w:p>
      <w:pPr>
        <w:spacing w:line="360" w:lineRule="auto"/>
        <w:ind w:left="1061" w:leftChars="339" w:hanging="350" w:hangingChars="146"/>
        <w:jc w:val="left"/>
        <w:rPr>
          <w:rFonts w:ascii="宋体" w:hAnsi="宋体"/>
          <w:color w:val="000000" w:themeColor="text1"/>
          <w:sz w:val="24"/>
        </w:rPr>
      </w:pPr>
      <w:r>
        <w:rPr>
          <w:rFonts w:hint="eastAsia" w:ascii="宋体" w:hAnsi="宋体"/>
          <w:color w:val="000000" w:themeColor="text1"/>
          <w:sz w:val="24"/>
        </w:rPr>
        <w:t>2．各项货物（工程或服务）详细技术规格、参数及要求性能，应另页描述。</w:t>
      </w:r>
    </w:p>
    <w:p>
      <w:pPr>
        <w:adjustRightInd w:val="0"/>
        <w:snapToGrid w:val="0"/>
        <w:spacing w:line="360" w:lineRule="auto"/>
        <w:ind w:left="767" w:leftChars="194" w:hanging="360" w:hangingChars="150"/>
        <w:rPr>
          <w:rFonts w:ascii="宋体" w:hAnsi="宋体"/>
          <w:color w:val="000000" w:themeColor="text1"/>
          <w:sz w:val="24"/>
        </w:rPr>
      </w:pPr>
    </w:p>
    <w:p>
      <w:pPr>
        <w:adjustRightInd w:val="0"/>
        <w:snapToGrid w:val="0"/>
        <w:spacing w:line="360" w:lineRule="auto"/>
        <w:ind w:left="767" w:leftChars="194" w:hanging="360" w:hangingChars="150"/>
        <w:rPr>
          <w:rFonts w:ascii="宋体" w:hAnsi="宋体"/>
          <w:color w:val="000000" w:themeColor="text1"/>
          <w:sz w:val="24"/>
        </w:rPr>
      </w:pPr>
    </w:p>
    <w:p>
      <w:pPr>
        <w:adjustRightInd w:val="0"/>
        <w:snapToGrid w:val="0"/>
        <w:spacing w:line="360" w:lineRule="auto"/>
        <w:ind w:left="767" w:leftChars="194" w:hanging="360" w:hangingChars="150"/>
        <w:rPr>
          <w:rFonts w:ascii="宋体" w:hAnsi="宋体"/>
          <w:color w:val="000000" w:themeColor="text1"/>
          <w:sz w:val="24"/>
        </w:rPr>
      </w:pPr>
    </w:p>
    <w:p>
      <w:pPr>
        <w:adjustRightInd w:val="0"/>
        <w:snapToGrid w:val="0"/>
        <w:spacing w:line="360" w:lineRule="auto"/>
        <w:ind w:left="767" w:leftChars="194" w:hanging="360" w:hangingChars="150"/>
        <w:rPr>
          <w:rFonts w:ascii="宋体" w:hAnsi="宋体"/>
          <w:color w:val="000000" w:themeColor="text1"/>
          <w:sz w:val="24"/>
        </w:rPr>
      </w:pPr>
    </w:p>
    <w:p>
      <w:pPr>
        <w:spacing w:before="100" w:beforeAutospacing="1" w:after="100" w:afterAutospacing="1" w:line="360" w:lineRule="auto"/>
        <w:ind w:firstLine="3316" w:firstLineChars="1382"/>
        <w:rPr>
          <w:rFonts w:hAnsi="宋体"/>
          <w:b/>
          <w:bCs/>
          <w:color w:val="000000" w:themeColor="text1"/>
          <w:sz w:val="24"/>
          <w:u w:val="single"/>
        </w:rPr>
      </w:pPr>
      <w:r>
        <w:rPr>
          <w:rFonts w:hint="eastAsia" w:hAnsi="宋体"/>
          <w:b/>
          <w:bCs/>
          <w:color w:val="000000" w:themeColor="text1"/>
          <w:sz w:val="24"/>
        </w:rPr>
        <w:t>投标人（公章）：</w:t>
      </w:r>
    </w:p>
    <w:p>
      <w:pPr>
        <w:spacing w:before="100" w:beforeAutospacing="1" w:after="100" w:afterAutospacing="1" w:line="360" w:lineRule="auto"/>
        <w:ind w:firstLine="3316" w:firstLineChars="1382"/>
        <w:rPr>
          <w:rFonts w:hAnsi="宋体"/>
          <w:b/>
          <w:bCs/>
          <w:color w:val="000000" w:themeColor="text1"/>
          <w:sz w:val="24"/>
          <w:u w:val="single"/>
        </w:rPr>
      </w:pPr>
      <w:r>
        <w:rPr>
          <w:rFonts w:hint="eastAsia" w:ascii="宋体" w:hAnsi="宋体" w:eastAsia="宋体" w:cs="Times New Roman"/>
          <w:b/>
          <w:bCs/>
          <w:color w:val="000000" w:themeColor="text1"/>
          <w:sz w:val="24"/>
          <w:szCs w:val="21"/>
          <w:lang w:val="zh-CN"/>
        </w:rPr>
        <w:t>投标人</w:t>
      </w:r>
      <w:r>
        <w:rPr>
          <w:rFonts w:hint="eastAsia" w:hAnsi="宋体"/>
          <w:b/>
          <w:bCs/>
          <w:color w:val="000000" w:themeColor="text1"/>
          <w:sz w:val="24"/>
        </w:rPr>
        <w:t>授权代表（签字）：</w:t>
      </w:r>
    </w:p>
    <w:p>
      <w:pPr>
        <w:spacing w:before="100" w:beforeAutospacing="1" w:after="100" w:afterAutospacing="1" w:line="360" w:lineRule="auto"/>
        <w:ind w:firstLine="3316" w:firstLineChars="1382"/>
        <w:rPr>
          <w:rFonts w:hAnsi="宋体"/>
          <w:b/>
          <w:bCs/>
          <w:color w:val="000000" w:themeColor="text1"/>
          <w:sz w:val="24"/>
          <w:u w:val="single"/>
        </w:rPr>
      </w:pPr>
      <w:r>
        <w:rPr>
          <w:rFonts w:hint="eastAsia" w:ascii="宋体" w:hAnsi="宋体" w:eastAsia="宋体" w:cs="Times New Roman"/>
          <w:b/>
          <w:bCs/>
          <w:color w:val="000000" w:themeColor="text1"/>
          <w:sz w:val="24"/>
          <w:szCs w:val="21"/>
          <w:lang w:val="zh-CN"/>
        </w:rPr>
        <w:t>投标</w:t>
      </w:r>
      <w:r>
        <w:rPr>
          <w:rFonts w:hint="eastAsia" w:hAnsi="宋体"/>
          <w:b/>
          <w:bCs/>
          <w:color w:val="000000" w:themeColor="text1"/>
          <w:sz w:val="24"/>
        </w:rPr>
        <w:t>时间：</w:t>
      </w:r>
    </w:p>
    <w:p>
      <w:pPr>
        <w:rPr>
          <w:color w:val="000000" w:themeColor="text1"/>
        </w:rPr>
      </w:pPr>
      <w:r>
        <w:rPr>
          <w:color w:val="000000" w:themeColor="text1"/>
        </w:rPr>
        <w:br w:type="page"/>
      </w:r>
    </w:p>
    <w:p>
      <w:pPr>
        <w:pStyle w:val="2"/>
        <w:numPr>
          <w:ilvl w:val="0"/>
          <w:numId w:val="58"/>
        </w:numPr>
        <w:spacing w:before="100" w:beforeAutospacing="1" w:after="156" w:afterLines="50" w:line="360" w:lineRule="auto"/>
        <w:ind w:left="1288" w:hanging="1288"/>
        <w:rPr>
          <w:rFonts w:ascii="宋体" w:hAnsi="宋体" w:eastAsia="宋体"/>
          <w:color w:val="000000" w:themeColor="text1"/>
        </w:rPr>
      </w:pPr>
      <w:bookmarkStart w:id="191" w:name="_Toc236473303"/>
      <w:bookmarkStart w:id="192" w:name="_Toc494665563"/>
      <w:bookmarkStart w:id="193" w:name="_Toc494702280"/>
      <w:bookmarkStart w:id="194" w:name="_Toc494721110"/>
      <w:bookmarkStart w:id="195" w:name="_Toc494745327"/>
      <w:bookmarkStart w:id="196" w:name="_Toc494665960"/>
      <w:bookmarkStart w:id="197" w:name="_Toc238276247"/>
      <w:bookmarkStart w:id="198" w:name="_Toc494665010"/>
      <w:bookmarkStart w:id="199" w:name="_Toc21481"/>
      <w:r>
        <w:rPr>
          <w:rFonts w:hint="eastAsia" w:ascii="宋体" w:hAnsi="宋体" w:eastAsia="宋体"/>
          <w:color w:val="000000" w:themeColor="text1"/>
        </w:rPr>
        <w:t>法定代表人授权书</w:t>
      </w:r>
      <w:bookmarkEnd w:id="191"/>
      <w:bookmarkEnd w:id="192"/>
      <w:bookmarkEnd w:id="193"/>
      <w:bookmarkEnd w:id="194"/>
      <w:bookmarkEnd w:id="195"/>
      <w:bookmarkEnd w:id="196"/>
      <w:bookmarkEnd w:id="197"/>
      <w:bookmarkEnd w:id="198"/>
      <w:bookmarkEnd w:id="199"/>
    </w:p>
    <w:p>
      <w:pPr>
        <w:spacing w:line="480" w:lineRule="auto"/>
        <w:rPr>
          <w:rFonts w:ascii="宋体" w:hAnsi="宋体" w:eastAsia="宋体" w:cs="Times New Roman"/>
          <w:b/>
          <w:color w:val="000000" w:themeColor="text1"/>
          <w:sz w:val="24"/>
          <w:szCs w:val="24"/>
        </w:rPr>
      </w:pPr>
      <w:r>
        <w:rPr>
          <w:rFonts w:hint="eastAsia"/>
          <w:b/>
          <w:color w:val="000000" w:themeColor="text1"/>
          <w:sz w:val="28"/>
          <w:szCs w:val="28"/>
        </w:rPr>
        <w:t>采购人（或代理公司）</w:t>
      </w:r>
      <w:r>
        <w:rPr>
          <w:rFonts w:hint="eastAsia" w:ascii="宋体" w:hAnsi="宋体" w:cs="Courier New"/>
          <w:b/>
          <w:color w:val="000000" w:themeColor="text1"/>
          <w:sz w:val="28"/>
          <w:szCs w:val="28"/>
        </w:rPr>
        <w:t>：</w:t>
      </w:r>
    </w:p>
    <w:p>
      <w:pPr>
        <w:spacing w:line="360" w:lineRule="auto"/>
        <w:ind w:firstLine="480" w:firstLineChars="200"/>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兹授权</w:t>
      </w:r>
      <w:r>
        <w:rPr>
          <w:rFonts w:hint="eastAsia" w:ascii="Times New Roman" w:hAnsi="宋体" w:eastAsia="宋体" w:cs="Times New Roman"/>
          <w:color w:val="000000" w:themeColor="text1"/>
          <w:sz w:val="24"/>
          <w:szCs w:val="24"/>
        </w:rPr>
        <w:t>____</w:t>
      </w:r>
      <w:r>
        <w:rPr>
          <w:rFonts w:hint="eastAsia" w:ascii="宋体" w:hAnsi="宋体" w:eastAsia="宋体" w:cs="Times New Roman"/>
          <w:color w:val="000000" w:themeColor="text1"/>
          <w:sz w:val="24"/>
          <w:szCs w:val="24"/>
        </w:rPr>
        <w:t>同志为我单位参加贵方组织的</w:t>
      </w:r>
      <w:r>
        <w:rPr>
          <w:rFonts w:hint="eastAsia" w:ascii="Times New Roman" w:hAnsi="宋体" w:eastAsia="宋体" w:cs="Times New Roman"/>
          <w:color w:val="000000" w:themeColor="text1"/>
          <w:sz w:val="24"/>
          <w:szCs w:val="24"/>
        </w:rPr>
        <w:t>____项目（项目编号：______）</w:t>
      </w:r>
      <w:r>
        <w:rPr>
          <w:rFonts w:hint="eastAsia" w:ascii="宋体" w:hAnsi="宋体" w:eastAsia="宋体" w:cs="Times New Roman"/>
          <w:color w:val="000000" w:themeColor="text1"/>
          <w:sz w:val="24"/>
          <w:szCs w:val="24"/>
        </w:rPr>
        <w:t>采购活动的投标人授权代表，全权代表我公司处理在</w:t>
      </w:r>
      <w:r>
        <w:rPr>
          <w:rFonts w:hint="eastAsia" w:ascii="Times New Roman" w:hAnsi="宋体" w:eastAsia="宋体" w:cs="Times New Roman"/>
          <w:color w:val="000000" w:themeColor="text1"/>
          <w:sz w:val="24"/>
          <w:szCs w:val="24"/>
        </w:rPr>
        <w:t>____</w:t>
      </w:r>
      <w:r>
        <w:rPr>
          <w:rFonts w:hint="eastAsia" w:ascii="宋体" w:hAnsi="宋体" w:eastAsia="宋体" w:cs="Times New Roman"/>
          <w:color w:val="000000" w:themeColor="text1"/>
          <w:sz w:val="24"/>
          <w:szCs w:val="24"/>
        </w:rPr>
        <w:t>项目采购活动中的一切事宜。代理期限从</w:t>
      </w:r>
      <w:r>
        <w:rPr>
          <w:rFonts w:hint="eastAsia" w:ascii="Times New Roman" w:hAnsi="宋体" w:eastAsia="宋体" w:cs="Times New Roman"/>
          <w:color w:val="000000" w:themeColor="text1"/>
          <w:sz w:val="24"/>
          <w:szCs w:val="24"/>
        </w:rPr>
        <w:t>__</w:t>
      </w:r>
      <w:r>
        <w:rPr>
          <w:rFonts w:hint="eastAsia" w:ascii="宋体" w:hAnsi="宋体" w:eastAsia="宋体" w:cs="Times New Roman"/>
          <w:color w:val="000000" w:themeColor="text1"/>
          <w:sz w:val="24"/>
          <w:szCs w:val="24"/>
        </w:rPr>
        <w:t>年</w:t>
      </w:r>
      <w:r>
        <w:rPr>
          <w:rFonts w:hint="eastAsia" w:ascii="Times New Roman" w:hAnsi="宋体" w:eastAsia="宋体" w:cs="Times New Roman"/>
          <w:color w:val="000000" w:themeColor="text1"/>
          <w:sz w:val="24"/>
          <w:szCs w:val="24"/>
        </w:rPr>
        <w:t>__</w:t>
      </w:r>
      <w:r>
        <w:rPr>
          <w:rFonts w:hint="eastAsia" w:ascii="宋体" w:hAnsi="宋体" w:eastAsia="宋体" w:cs="Times New Roman"/>
          <w:color w:val="000000" w:themeColor="text1"/>
          <w:sz w:val="24"/>
          <w:szCs w:val="24"/>
        </w:rPr>
        <w:t>月</w:t>
      </w:r>
      <w:r>
        <w:rPr>
          <w:rFonts w:hint="eastAsia" w:ascii="Times New Roman" w:hAnsi="宋体" w:eastAsia="宋体" w:cs="Times New Roman"/>
          <w:color w:val="000000" w:themeColor="text1"/>
          <w:sz w:val="24"/>
          <w:szCs w:val="24"/>
        </w:rPr>
        <w:t>__</w:t>
      </w:r>
      <w:r>
        <w:rPr>
          <w:rFonts w:hint="eastAsia" w:ascii="宋体" w:hAnsi="宋体" w:eastAsia="宋体" w:cs="Times New Roman"/>
          <w:color w:val="000000" w:themeColor="text1"/>
          <w:sz w:val="24"/>
          <w:szCs w:val="24"/>
        </w:rPr>
        <w:t>日起至</w:t>
      </w:r>
      <w:r>
        <w:rPr>
          <w:rFonts w:hint="eastAsia" w:ascii="Times New Roman" w:hAnsi="宋体" w:eastAsia="宋体" w:cs="Times New Roman"/>
          <w:color w:val="000000" w:themeColor="text1"/>
          <w:sz w:val="24"/>
          <w:szCs w:val="24"/>
        </w:rPr>
        <w:t>____</w:t>
      </w:r>
      <w:r>
        <w:rPr>
          <w:rFonts w:hint="eastAsia" w:ascii="宋体" w:hAnsi="宋体" w:eastAsia="宋体" w:cs="Times New Roman"/>
          <w:color w:val="000000" w:themeColor="text1"/>
          <w:sz w:val="24"/>
          <w:szCs w:val="24"/>
        </w:rPr>
        <w:t>年</w:t>
      </w:r>
      <w:r>
        <w:rPr>
          <w:rFonts w:hint="eastAsia" w:ascii="Times New Roman" w:hAnsi="宋体" w:eastAsia="宋体" w:cs="Times New Roman"/>
          <w:color w:val="000000" w:themeColor="text1"/>
          <w:sz w:val="24"/>
          <w:szCs w:val="24"/>
        </w:rPr>
        <w:t>____</w:t>
      </w:r>
      <w:r>
        <w:rPr>
          <w:rFonts w:hint="eastAsia" w:ascii="宋体" w:hAnsi="宋体" w:eastAsia="宋体" w:cs="Times New Roman"/>
          <w:color w:val="000000" w:themeColor="text1"/>
          <w:sz w:val="24"/>
          <w:szCs w:val="24"/>
        </w:rPr>
        <w:t>月</w:t>
      </w:r>
      <w:r>
        <w:rPr>
          <w:rFonts w:hint="eastAsia" w:ascii="Times New Roman" w:hAnsi="宋体" w:eastAsia="宋体" w:cs="Times New Roman"/>
          <w:color w:val="000000" w:themeColor="text1"/>
          <w:sz w:val="24"/>
          <w:szCs w:val="24"/>
        </w:rPr>
        <w:t>____</w:t>
      </w:r>
      <w:r>
        <w:rPr>
          <w:rFonts w:hint="eastAsia" w:ascii="宋体" w:hAnsi="宋体" w:eastAsia="宋体" w:cs="Times New Roman"/>
          <w:color w:val="000000" w:themeColor="text1"/>
          <w:sz w:val="24"/>
          <w:szCs w:val="24"/>
        </w:rPr>
        <w:t xml:space="preserve">日止。 </w:t>
      </w:r>
    </w:p>
    <w:p>
      <w:pPr>
        <w:spacing w:line="360" w:lineRule="auto"/>
        <w:ind w:firstLine="540" w:firstLineChars="225"/>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被授权代表无转委托权。</w:t>
      </w:r>
    </w:p>
    <w:p>
      <w:pPr>
        <w:spacing w:line="360" w:lineRule="auto"/>
        <w:ind w:firstLine="540" w:firstLineChars="225"/>
        <w:rPr>
          <w:rFonts w:ascii="宋体" w:hAnsi="宋体" w:eastAsia="宋体" w:cs="Times New Roman"/>
          <w:color w:val="000000" w:themeColor="text1"/>
          <w:sz w:val="24"/>
          <w:szCs w:val="24"/>
        </w:rPr>
      </w:pPr>
    </w:p>
    <w:p>
      <w:pPr>
        <w:spacing w:before="100" w:beforeAutospacing="1" w:after="100" w:afterAutospacing="1" w:line="360" w:lineRule="auto"/>
        <w:ind w:firstLine="3316" w:firstLineChars="1382"/>
        <w:rPr>
          <w:rFonts w:hAnsi="宋体"/>
          <w:b/>
          <w:bCs/>
          <w:color w:val="000000" w:themeColor="text1"/>
          <w:sz w:val="24"/>
          <w:u w:val="single"/>
        </w:rPr>
      </w:pPr>
      <w:r>
        <w:rPr>
          <w:rFonts w:hint="eastAsia" w:hAnsi="宋体"/>
          <w:b/>
          <w:bCs/>
          <w:color w:val="000000" w:themeColor="text1"/>
          <w:sz w:val="24"/>
        </w:rPr>
        <w:t>授权单位（公章）：</w:t>
      </w:r>
    </w:p>
    <w:p>
      <w:pPr>
        <w:spacing w:before="100" w:beforeAutospacing="1" w:after="100" w:afterAutospacing="1" w:line="360" w:lineRule="auto"/>
        <w:ind w:firstLine="3316" w:firstLineChars="1382"/>
        <w:rPr>
          <w:rFonts w:hAnsi="宋体"/>
          <w:b/>
          <w:bCs/>
          <w:color w:val="000000" w:themeColor="text1"/>
          <w:sz w:val="24"/>
          <w:u w:val="single"/>
        </w:rPr>
      </w:pPr>
      <w:r>
        <w:rPr>
          <w:rFonts w:hint="eastAsia" w:ascii="宋体" w:hAnsi="宋体" w:eastAsia="宋体" w:cs="Times New Roman"/>
          <w:b/>
          <w:bCs/>
          <w:color w:val="000000" w:themeColor="text1"/>
          <w:sz w:val="24"/>
          <w:szCs w:val="21"/>
          <w:lang w:val="zh-CN"/>
        </w:rPr>
        <w:t>法定代表人（签字或盖章）</w:t>
      </w:r>
      <w:r>
        <w:rPr>
          <w:rFonts w:hint="eastAsia" w:hAnsi="宋体"/>
          <w:b/>
          <w:bCs/>
          <w:color w:val="000000" w:themeColor="text1"/>
          <w:sz w:val="24"/>
        </w:rPr>
        <w:t>：</w:t>
      </w:r>
    </w:p>
    <w:p>
      <w:pPr>
        <w:spacing w:before="100" w:beforeAutospacing="1" w:after="100" w:afterAutospacing="1" w:line="360" w:lineRule="auto"/>
        <w:ind w:firstLine="3316" w:firstLineChars="1382"/>
        <w:rPr>
          <w:rFonts w:hAnsi="宋体"/>
          <w:b/>
          <w:bCs/>
          <w:color w:val="000000" w:themeColor="text1"/>
          <w:sz w:val="24"/>
          <w:u w:val="single"/>
        </w:rPr>
      </w:pPr>
      <w:r>
        <w:rPr>
          <w:rFonts w:hint="eastAsia" w:ascii="宋体" w:hAnsi="宋体" w:eastAsia="宋体" w:cs="Times New Roman"/>
          <w:b/>
          <w:color w:val="000000" w:themeColor="text1"/>
          <w:sz w:val="24"/>
          <w:szCs w:val="21"/>
          <w:lang w:val="zh-CN"/>
        </w:rPr>
        <w:t>签发日期：</w:t>
      </w:r>
      <w:r>
        <w:rPr>
          <w:rFonts w:hint="eastAsia" w:ascii="Times New Roman" w:hAnsi="宋体" w:eastAsia="宋体" w:cs="Times New Roman"/>
          <w:color w:val="000000" w:themeColor="text1"/>
          <w:sz w:val="24"/>
          <w:szCs w:val="24"/>
        </w:rPr>
        <w:t>____</w:t>
      </w:r>
      <w:r>
        <w:rPr>
          <w:rFonts w:hint="eastAsia" w:ascii="宋体" w:hAnsi="宋体" w:eastAsia="宋体" w:cs="Times New Roman"/>
          <w:b/>
          <w:color w:val="000000" w:themeColor="text1"/>
          <w:sz w:val="24"/>
          <w:szCs w:val="21"/>
          <w:lang w:val="zh-CN"/>
        </w:rPr>
        <w:t>年</w:t>
      </w:r>
      <w:r>
        <w:rPr>
          <w:rFonts w:hint="eastAsia" w:ascii="Times New Roman" w:hAnsi="宋体" w:eastAsia="宋体" w:cs="Times New Roman"/>
          <w:color w:val="000000" w:themeColor="text1"/>
          <w:sz w:val="24"/>
          <w:szCs w:val="24"/>
        </w:rPr>
        <w:t>____</w:t>
      </w:r>
      <w:r>
        <w:rPr>
          <w:rFonts w:hint="eastAsia" w:ascii="宋体" w:hAnsi="宋体" w:eastAsia="宋体" w:cs="Times New Roman"/>
          <w:b/>
          <w:color w:val="000000" w:themeColor="text1"/>
          <w:sz w:val="24"/>
          <w:szCs w:val="21"/>
          <w:lang w:val="zh-CN"/>
        </w:rPr>
        <w:t>月</w:t>
      </w:r>
      <w:r>
        <w:rPr>
          <w:rFonts w:hint="eastAsia" w:ascii="Times New Roman" w:hAnsi="宋体" w:eastAsia="宋体" w:cs="Times New Roman"/>
          <w:color w:val="000000" w:themeColor="text1"/>
          <w:sz w:val="24"/>
          <w:szCs w:val="24"/>
        </w:rPr>
        <w:t>____</w:t>
      </w:r>
      <w:r>
        <w:rPr>
          <w:rFonts w:hint="eastAsia" w:ascii="宋体" w:hAnsi="宋体" w:eastAsia="宋体" w:cs="Times New Roman"/>
          <w:b/>
          <w:color w:val="000000" w:themeColor="text1"/>
          <w:sz w:val="24"/>
          <w:szCs w:val="21"/>
          <w:lang w:val="zh-CN"/>
        </w:rPr>
        <w:t>日</w:t>
      </w:r>
    </w:p>
    <w:p>
      <w:pPr>
        <w:spacing w:line="360" w:lineRule="auto"/>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附：</w:t>
      </w:r>
    </w:p>
    <w:p>
      <w:pPr>
        <w:spacing w:line="360" w:lineRule="auto"/>
        <w:ind w:firstLine="480" w:firstLineChars="200"/>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投标人授权代表单位名称：</w:t>
      </w:r>
    </w:p>
    <w:p>
      <w:pPr>
        <w:spacing w:line="360" w:lineRule="auto"/>
        <w:ind w:firstLine="480" w:firstLineChars="200"/>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职务： 性别：</w:t>
      </w:r>
    </w:p>
    <w:p>
      <w:pPr>
        <w:spacing w:line="360" w:lineRule="auto"/>
        <w:ind w:firstLine="480" w:firstLineChars="200"/>
        <w:rPr>
          <w:rFonts w:ascii="宋体" w:hAnsi="宋体" w:eastAsia="宋体" w:cs="Times New Roman"/>
          <w:color w:val="000000" w:themeColor="text1"/>
          <w:sz w:val="24"/>
          <w:szCs w:val="24"/>
          <w:u w:val="single"/>
        </w:rPr>
      </w:pPr>
      <w:r>
        <w:rPr>
          <w:rFonts w:hint="eastAsia" w:ascii="宋体" w:hAnsi="宋体" w:eastAsia="宋体" w:cs="Times New Roman"/>
          <w:color w:val="000000" w:themeColor="text1"/>
          <w:sz w:val="24"/>
          <w:szCs w:val="24"/>
        </w:rPr>
        <w:t>身份证号码：</w:t>
      </w:r>
    </w:p>
    <w:p>
      <w:pPr>
        <w:spacing w:line="360" w:lineRule="auto"/>
        <w:ind w:firstLine="480" w:firstLineChars="200"/>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电话：</w:t>
      </w:r>
    </w:p>
    <w:tbl>
      <w:tblPr>
        <w:tblStyle w:val="18"/>
        <w:tblW w:w="9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jc w:val="center"/>
        </w:trPr>
        <w:tc>
          <w:tcPr>
            <w:tcW w:w="9532" w:type="dxa"/>
          </w:tcPr>
          <w:p>
            <w:pPr>
              <w:spacing w:line="300" w:lineRule="auto"/>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粘贴被授权人身份证（清晰影印件）</w:t>
            </w:r>
          </w:p>
        </w:tc>
      </w:tr>
    </w:tbl>
    <w:p>
      <w:pPr>
        <w:rPr>
          <w:color w:val="000000" w:themeColor="text1"/>
        </w:rPr>
      </w:pPr>
      <w:r>
        <w:rPr>
          <w:color w:val="000000" w:themeColor="text1"/>
        </w:rPr>
        <w:br w:type="page"/>
      </w:r>
    </w:p>
    <w:p>
      <w:pPr>
        <w:pStyle w:val="2"/>
        <w:numPr>
          <w:ilvl w:val="0"/>
          <w:numId w:val="58"/>
        </w:numPr>
        <w:spacing w:before="100" w:beforeAutospacing="1" w:after="156" w:afterLines="50" w:line="360" w:lineRule="auto"/>
        <w:ind w:left="1610" w:hanging="1610"/>
        <w:rPr>
          <w:rFonts w:ascii="宋体" w:hAnsi="宋体" w:eastAsia="宋体"/>
          <w:color w:val="000000" w:themeColor="text1"/>
        </w:rPr>
      </w:pPr>
      <w:bookmarkStart w:id="200" w:name="_Toc494702281"/>
      <w:bookmarkStart w:id="201" w:name="_Toc494745328"/>
      <w:bookmarkStart w:id="202" w:name="_Toc6517"/>
      <w:bookmarkStart w:id="203" w:name="_Toc494665961"/>
      <w:bookmarkStart w:id="204" w:name="_Toc494665011"/>
      <w:bookmarkStart w:id="205" w:name="_Toc236473304"/>
      <w:bookmarkStart w:id="206" w:name="_Toc494665564"/>
      <w:bookmarkStart w:id="207" w:name="_Toc238276248"/>
      <w:bookmarkStart w:id="208" w:name="_Toc494721111"/>
      <w:r>
        <w:rPr>
          <w:rFonts w:hint="eastAsia" w:ascii="宋体" w:hAnsi="宋体" w:eastAsia="宋体"/>
          <w:color w:val="000000" w:themeColor="text1"/>
        </w:rPr>
        <w:t>投标人的资格声明</w:t>
      </w:r>
      <w:bookmarkEnd w:id="200"/>
      <w:bookmarkEnd w:id="201"/>
      <w:bookmarkEnd w:id="202"/>
      <w:bookmarkEnd w:id="203"/>
      <w:bookmarkEnd w:id="204"/>
      <w:bookmarkEnd w:id="205"/>
      <w:bookmarkEnd w:id="206"/>
      <w:bookmarkEnd w:id="207"/>
      <w:bookmarkEnd w:id="208"/>
    </w:p>
    <w:p>
      <w:pPr>
        <w:spacing w:line="360" w:lineRule="auto"/>
        <w:ind w:left="1078" w:hanging="1077" w:hangingChars="449"/>
        <w:jc w:val="left"/>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1．名称及基本情况：</w:t>
      </w:r>
    </w:p>
    <w:p>
      <w:pPr>
        <w:spacing w:line="360" w:lineRule="exact"/>
        <w:ind w:firstLine="240" w:firstLineChars="100"/>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（1）投标人：</w:t>
      </w:r>
    </w:p>
    <w:p>
      <w:pPr>
        <w:spacing w:line="360" w:lineRule="exact"/>
        <w:ind w:firstLine="240" w:firstLineChars="100"/>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（2）地址：     邮编：</w:t>
      </w:r>
    </w:p>
    <w:p>
      <w:pPr>
        <w:spacing w:line="360" w:lineRule="exact"/>
        <w:ind w:firstLine="840" w:firstLineChars="350"/>
        <w:rPr>
          <w:rFonts w:ascii="宋体" w:hAnsi="宋体" w:eastAsia="宋体" w:cs="Times New Roman"/>
          <w:color w:val="000000" w:themeColor="text1"/>
          <w:sz w:val="24"/>
          <w:szCs w:val="24"/>
          <w:u w:val="single"/>
        </w:rPr>
      </w:pPr>
      <w:r>
        <w:rPr>
          <w:rFonts w:hint="eastAsia" w:ascii="宋体" w:hAnsi="宋体" w:eastAsia="宋体" w:cs="Times New Roman"/>
          <w:color w:val="000000" w:themeColor="text1"/>
          <w:sz w:val="24"/>
          <w:szCs w:val="24"/>
        </w:rPr>
        <w:t>电话：     传真：</w:t>
      </w:r>
    </w:p>
    <w:p>
      <w:pPr>
        <w:spacing w:line="360" w:lineRule="exact"/>
        <w:ind w:firstLine="240" w:firstLineChars="100"/>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（3）成立或注册日期：</w:t>
      </w:r>
    </w:p>
    <w:p>
      <w:pPr>
        <w:spacing w:line="360" w:lineRule="exact"/>
        <w:ind w:firstLine="240" w:firstLineChars="100"/>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（4）单位性质：</w:t>
      </w:r>
    </w:p>
    <w:p>
      <w:pPr>
        <w:spacing w:line="360" w:lineRule="exact"/>
        <w:ind w:firstLine="240" w:firstLineChars="100"/>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（5）法定代表人或主要负责人：</w:t>
      </w:r>
    </w:p>
    <w:p>
      <w:pPr>
        <w:spacing w:line="360" w:lineRule="exact"/>
        <w:ind w:firstLine="240" w:firstLineChars="100"/>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（6）员工人数：</w:t>
      </w:r>
    </w:p>
    <w:p>
      <w:pPr>
        <w:spacing w:line="360" w:lineRule="exact"/>
        <w:ind w:firstLine="240" w:firstLineChars="100"/>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（7）注册资本：</w:t>
      </w:r>
    </w:p>
    <w:p>
      <w:pPr>
        <w:spacing w:line="360" w:lineRule="exact"/>
        <w:ind w:firstLine="240" w:firstLineChars="100"/>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（8）实收资本：</w:t>
      </w:r>
    </w:p>
    <w:p>
      <w:pPr>
        <w:spacing w:line="360" w:lineRule="exact"/>
        <w:ind w:firstLine="240" w:firstLineChars="100"/>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（9）上年末资产负债表：</w:t>
      </w:r>
    </w:p>
    <w:p>
      <w:pPr>
        <w:spacing w:line="360" w:lineRule="exact"/>
        <w:ind w:firstLine="727" w:firstLineChars="303"/>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1）固定资产</w:t>
      </w:r>
    </w:p>
    <w:p>
      <w:pPr>
        <w:spacing w:line="360" w:lineRule="exact"/>
        <w:ind w:firstLine="727" w:firstLineChars="303"/>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 xml:space="preserve">原   值：    净   值： </w:t>
      </w:r>
    </w:p>
    <w:p>
      <w:pPr>
        <w:spacing w:line="360" w:lineRule="exact"/>
        <w:ind w:firstLine="727" w:firstLineChars="303"/>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2）流动资金：</w:t>
      </w:r>
    </w:p>
    <w:p>
      <w:pPr>
        <w:spacing w:line="360" w:lineRule="exact"/>
        <w:ind w:firstLine="727" w:firstLineChars="303"/>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3）长期负债：</w:t>
      </w:r>
    </w:p>
    <w:p>
      <w:pPr>
        <w:spacing w:line="360" w:lineRule="exact"/>
        <w:ind w:firstLine="727" w:firstLineChars="303"/>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4）短期负债：</w:t>
      </w:r>
    </w:p>
    <w:p>
      <w:pPr>
        <w:spacing w:line="360" w:lineRule="exact"/>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 xml:space="preserve">2．与投标货物的生产、销售和服务有关的情况： </w:t>
      </w:r>
    </w:p>
    <w:p>
      <w:pPr>
        <w:spacing w:line="360" w:lineRule="exact"/>
        <w:ind w:firstLine="240" w:firstLineChars="100"/>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（1）关于制造投标货物的设施及其它情况：</w:t>
      </w:r>
    </w:p>
    <w:tbl>
      <w:tblPr>
        <w:tblStyle w:val="18"/>
        <w:tblW w:w="95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3"/>
        <w:gridCol w:w="2383"/>
        <w:gridCol w:w="2383"/>
        <w:gridCol w:w="2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生产基地地址</w:t>
            </w:r>
          </w:p>
        </w:tc>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生产的项目</w:t>
            </w:r>
          </w:p>
        </w:tc>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年生产能力</w:t>
            </w:r>
          </w:p>
        </w:tc>
        <w:tc>
          <w:tcPr>
            <w:tcW w:w="2384"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员工人数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rPr>
            </w:pPr>
          </w:p>
        </w:tc>
        <w:tc>
          <w:tcPr>
            <w:tcW w:w="2384" w:type="dxa"/>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rPr>
            </w:pPr>
          </w:p>
        </w:tc>
        <w:tc>
          <w:tcPr>
            <w:tcW w:w="2384" w:type="dxa"/>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rPr>
            </w:pPr>
          </w:p>
        </w:tc>
      </w:tr>
    </w:tbl>
    <w:p>
      <w:pPr>
        <w:spacing w:line="360" w:lineRule="exact"/>
        <w:ind w:firstLine="240" w:firstLineChars="100"/>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（2）投标人生产此投标货物的经验（包括年限、项目业主、额定能力、商业运营的起始日期等）：</w:t>
      </w:r>
    </w:p>
    <w:p>
      <w:pPr>
        <w:spacing w:line="360" w:lineRule="exact"/>
        <w:ind w:firstLine="240" w:firstLineChars="100"/>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（3）销售、服务网点分布（可另行附表）：</w:t>
      </w:r>
    </w:p>
    <w:tbl>
      <w:tblPr>
        <w:tblStyle w:val="18"/>
        <w:tblW w:w="95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7"/>
        <w:gridCol w:w="2155"/>
        <w:gridCol w:w="1763"/>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7"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销售服务网点名称和地址</w:t>
            </w:r>
          </w:p>
        </w:tc>
        <w:tc>
          <w:tcPr>
            <w:tcW w:w="2155"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主要服务范围</w:t>
            </w:r>
          </w:p>
        </w:tc>
        <w:tc>
          <w:tcPr>
            <w:tcW w:w="176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服务人员数</w:t>
            </w:r>
          </w:p>
        </w:tc>
        <w:tc>
          <w:tcPr>
            <w:tcW w:w="1968"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内部等级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3647" w:type="dxa"/>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rPr>
            </w:pPr>
          </w:p>
        </w:tc>
        <w:tc>
          <w:tcPr>
            <w:tcW w:w="2155" w:type="dxa"/>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rPr>
            </w:pPr>
          </w:p>
        </w:tc>
        <w:tc>
          <w:tcPr>
            <w:tcW w:w="1763" w:type="dxa"/>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rPr>
            </w:pPr>
          </w:p>
        </w:tc>
        <w:tc>
          <w:tcPr>
            <w:tcW w:w="1968" w:type="dxa"/>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3647" w:type="dxa"/>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rPr>
            </w:pPr>
          </w:p>
        </w:tc>
        <w:tc>
          <w:tcPr>
            <w:tcW w:w="2155" w:type="dxa"/>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rPr>
            </w:pPr>
          </w:p>
        </w:tc>
        <w:tc>
          <w:tcPr>
            <w:tcW w:w="1763" w:type="dxa"/>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rPr>
            </w:pPr>
          </w:p>
        </w:tc>
        <w:tc>
          <w:tcPr>
            <w:tcW w:w="1968" w:type="dxa"/>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rPr>
            </w:pPr>
          </w:p>
        </w:tc>
      </w:tr>
    </w:tbl>
    <w:p>
      <w:pPr>
        <w:spacing w:line="360" w:lineRule="exact"/>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 xml:space="preserve">3．投标人认为需要声明的其它情况：                         </w:t>
      </w:r>
    </w:p>
    <w:p>
      <w:pPr>
        <w:spacing w:line="360" w:lineRule="exact"/>
        <w:ind w:firstLine="475" w:firstLineChars="198"/>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 xml:space="preserve">兹证明上述声明是真实的、正确，并提供了全部能提供的资料和数据，同意按照集中采购机构要求出示有关证明文件。                      </w:t>
      </w:r>
    </w:p>
    <w:p>
      <w:pPr>
        <w:spacing w:line="360" w:lineRule="auto"/>
        <w:ind w:left="504" w:leftChars="240"/>
        <w:rPr>
          <w:rFonts w:ascii="宋体" w:hAnsi="宋体" w:eastAsia="宋体" w:cs="Times New Roman"/>
          <w:b/>
          <w:color w:val="000000" w:themeColor="text1"/>
          <w:sz w:val="24"/>
          <w:szCs w:val="24"/>
        </w:rPr>
      </w:pPr>
      <w:r>
        <w:rPr>
          <w:rFonts w:hint="eastAsia" w:ascii="宋体" w:hAnsi="宋体" w:eastAsia="宋体" w:cs="Times New Roman"/>
          <w:b/>
          <w:color w:val="000000" w:themeColor="text1"/>
          <w:sz w:val="24"/>
          <w:szCs w:val="24"/>
        </w:rPr>
        <w:t>投标人</w:t>
      </w:r>
      <w:r>
        <w:rPr>
          <w:rFonts w:hint="eastAsia" w:ascii="Times New Roman" w:hAnsi="宋体" w:eastAsia="宋体" w:cs="Times New Roman"/>
          <w:b/>
          <w:color w:val="000000" w:themeColor="text1"/>
          <w:sz w:val="24"/>
          <w:szCs w:val="24"/>
        </w:rPr>
        <w:t>（公章）</w:t>
      </w:r>
      <w:r>
        <w:rPr>
          <w:rFonts w:hint="eastAsia" w:ascii="宋体" w:hAnsi="宋体" w:eastAsia="宋体" w:cs="Times New Roman"/>
          <w:b/>
          <w:color w:val="000000" w:themeColor="text1"/>
          <w:sz w:val="24"/>
          <w:szCs w:val="24"/>
        </w:rPr>
        <w:t>：</w:t>
      </w:r>
    </w:p>
    <w:p>
      <w:pPr>
        <w:spacing w:line="360" w:lineRule="auto"/>
        <w:ind w:left="504" w:leftChars="240"/>
        <w:rPr>
          <w:rFonts w:ascii="宋体" w:hAnsi="宋体" w:eastAsia="宋体" w:cs="Times New Roman"/>
          <w:b/>
          <w:color w:val="000000" w:themeColor="text1"/>
          <w:sz w:val="24"/>
          <w:szCs w:val="24"/>
        </w:rPr>
      </w:pPr>
      <w:r>
        <w:rPr>
          <w:rFonts w:hint="eastAsia" w:ascii="Times New Roman" w:hAnsi="宋体" w:eastAsia="宋体" w:cs="Times New Roman"/>
          <w:b/>
          <w:color w:val="000000" w:themeColor="text1"/>
          <w:sz w:val="24"/>
          <w:szCs w:val="24"/>
        </w:rPr>
        <w:t>法定代表人（签字或盖章）</w:t>
      </w:r>
      <w:r>
        <w:rPr>
          <w:rFonts w:hint="eastAsia" w:ascii="宋体" w:hAnsi="宋体" w:eastAsia="宋体" w:cs="Times New Roman"/>
          <w:b/>
          <w:color w:val="000000" w:themeColor="text1"/>
          <w:sz w:val="24"/>
          <w:szCs w:val="24"/>
        </w:rPr>
        <w:t>：</w:t>
      </w:r>
    </w:p>
    <w:p>
      <w:pPr>
        <w:spacing w:line="360" w:lineRule="auto"/>
        <w:ind w:left="504" w:leftChars="240"/>
        <w:rPr>
          <w:rFonts w:ascii="宋体" w:hAnsi="宋体" w:eastAsia="宋体" w:cs="Times New Roman"/>
          <w:b/>
          <w:color w:val="000000" w:themeColor="text1"/>
          <w:sz w:val="24"/>
          <w:szCs w:val="24"/>
        </w:rPr>
      </w:pPr>
      <w:r>
        <w:rPr>
          <w:rFonts w:hint="eastAsia" w:ascii="宋体" w:hAnsi="宋体" w:eastAsia="宋体" w:cs="Times New Roman"/>
          <w:b/>
          <w:color w:val="000000" w:themeColor="text1"/>
          <w:sz w:val="24"/>
          <w:szCs w:val="24"/>
        </w:rPr>
        <w:t>电    话：</w:t>
      </w:r>
    </w:p>
    <w:p>
      <w:pPr>
        <w:spacing w:line="360" w:lineRule="auto"/>
        <w:ind w:left="504" w:leftChars="240"/>
        <w:rPr>
          <w:rFonts w:ascii="宋体" w:hAnsi="宋体" w:eastAsia="宋体" w:cs="Times New Roman"/>
          <w:b/>
          <w:color w:val="000000" w:themeColor="text1"/>
          <w:sz w:val="24"/>
          <w:szCs w:val="24"/>
          <w:u w:val="single"/>
        </w:rPr>
      </w:pPr>
      <w:r>
        <w:rPr>
          <w:rFonts w:hint="eastAsia" w:ascii="宋体" w:hAnsi="宋体" w:eastAsia="宋体" w:cs="Times New Roman"/>
          <w:b/>
          <w:color w:val="000000" w:themeColor="text1"/>
          <w:sz w:val="24"/>
          <w:szCs w:val="24"/>
        </w:rPr>
        <w:t>传    真：</w:t>
      </w:r>
    </w:p>
    <w:p>
      <w:pPr>
        <w:spacing w:line="360" w:lineRule="auto"/>
        <w:ind w:left="504" w:leftChars="240"/>
        <w:rPr>
          <w:rFonts w:ascii="宋体" w:hAnsi="宋体" w:eastAsia="宋体" w:cs="Times New Roman"/>
          <w:b/>
          <w:color w:val="000000" w:themeColor="text1"/>
          <w:sz w:val="24"/>
          <w:szCs w:val="24"/>
        </w:rPr>
      </w:pPr>
      <w:r>
        <w:rPr>
          <w:rFonts w:hint="eastAsia" w:ascii="宋体" w:hAnsi="宋体" w:eastAsia="宋体" w:cs="Times New Roman"/>
          <w:b/>
          <w:color w:val="000000" w:themeColor="text1"/>
          <w:sz w:val="24"/>
          <w:szCs w:val="24"/>
        </w:rPr>
        <w:t>日    期：年月 日</w:t>
      </w:r>
    </w:p>
    <w:p>
      <w:pPr>
        <w:pStyle w:val="2"/>
        <w:numPr>
          <w:ilvl w:val="0"/>
          <w:numId w:val="58"/>
        </w:numPr>
        <w:spacing w:before="100" w:beforeAutospacing="1" w:after="156" w:afterLines="50" w:line="360" w:lineRule="auto"/>
        <w:ind w:left="1610" w:hanging="1610"/>
        <w:rPr>
          <w:rFonts w:ascii="宋体" w:hAnsi="宋体" w:eastAsia="宋体"/>
          <w:color w:val="000000" w:themeColor="text1"/>
        </w:rPr>
      </w:pPr>
      <w:bookmarkStart w:id="209" w:name="_Toc494665962"/>
      <w:bookmarkStart w:id="210" w:name="_Toc494665565"/>
      <w:bookmarkStart w:id="211" w:name="_Toc494721112"/>
      <w:bookmarkStart w:id="212" w:name="_Toc494745329"/>
      <w:bookmarkStart w:id="213" w:name="_Toc494702282"/>
      <w:bookmarkStart w:id="214" w:name="_Toc494665012"/>
      <w:bookmarkStart w:id="215" w:name="_Toc17175"/>
      <w:r>
        <w:rPr>
          <w:rFonts w:hint="eastAsia" w:ascii="宋体" w:hAnsi="宋体" w:eastAsia="宋体"/>
          <w:color w:val="000000" w:themeColor="text1"/>
        </w:rPr>
        <w:t>项目负责人、技术负责人简历表</w:t>
      </w:r>
      <w:bookmarkEnd w:id="209"/>
      <w:bookmarkEnd w:id="210"/>
      <w:bookmarkEnd w:id="211"/>
      <w:bookmarkEnd w:id="212"/>
      <w:bookmarkEnd w:id="213"/>
      <w:bookmarkEnd w:id="214"/>
      <w:bookmarkEnd w:id="215"/>
    </w:p>
    <w:p>
      <w:pPr>
        <w:spacing w:line="360" w:lineRule="auto"/>
        <w:jc w:val="left"/>
        <w:rPr>
          <w:rFonts w:hAnsi="宋体"/>
          <w:b/>
          <w:color w:val="000000" w:themeColor="text1"/>
          <w:sz w:val="24"/>
        </w:rPr>
      </w:pPr>
      <w:r>
        <w:rPr>
          <w:rFonts w:hint="eastAsia" w:hAnsi="宋体"/>
          <w:b/>
          <w:color w:val="000000" w:themeColor="text1"/>
          <w:sz w:val="24"/>
        </w:rPr>
        <w:t>投 标 人：</w:t>
      </w:r>
    </w:p>
    <w:p>
      <w:pPr>
        <w:spacing w:line="360" w:lineRule="auto"/>
        <w:jc w:val="left"/>
        <w:rPr>
          <w:rFonts w:hAnsi="宋体"/>
          <w:b/>
          <w:color w:val="000000" w:themeColor="text1"/>
          <w:sz w:val="24"/>
        </w:rPr>
      </w:pPr>
      <w:r>
        <w:rPr>
          <w:rFonts w:hint="eastAsia" w:ascii="宋体" w:hAnsi="宋体" w:eastAsia="宋体" w:cs="Times New Roman"/>
          <w:b/>
          <w:color w:val="000000" w:themeColor="text1"/>
          <w:sz w:val="24"/>
          <w:szCs w:val="21"/>
          <w:lang w:val="zh-CN"/>
        </w:rPr>
        <w:t>项目编号：</w:t>
      </w:r>
      <w:r>
        <w:rPr>
          <w:rFonts w:hint="eastAsia" w:ascii="宋体" w:hAnsi="宋体" w:eastAsia="宋体" w:cs="Times New Roman"/>
          <w:b/>
          <w:bCs/>
          <w:color w:val="000000" w:themeColor="text1"/>
          <w:sz w:val="24"/>
          <w:szCs w:val="21"/>
          <w:lang w:val="zh-CN"/>
        </w:rPr>
        <w:t xml:space="preserve">                所投包号：</w:t>
      </w:r>
    </w:p>
    <w:tbl>
      <w:tblPr>
        <w:tblStyle w:val="18"/>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306"/>
        <w:gridCol w:w="1224"/>
        <w:gridCol w:w="612"/>
        <w:gridCol w:w="918"/>
        <w:gridCol w:w="918"/>
        <w:gridCol w:w="612"/>
        <w:gridCol w:w="1224"/>
        <w:gridCol w:w="306"/>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ascii="宋体" w:hAnsi="宋体" w:eastAsia="宋体" w:cs="Times New Roman"/>
                <w:color w:val="000000" w:themeColor="text1"/>
                <w:kern w:val="0"/>
                <w:sz w:val="24"/>
                <w:szCs w:val="28"/>
              </w:rPr>
            </w:pPr>
            <w:r>
              <w:rPr>
                <w:rFonts w:hint="eastAsia" w:ascii="宋体" w:hAnsi="宋体" w:eastAsia="宋体" w:cs="Times New Roman"/>
                <w:color w:val="000000" w:themeColor="text1"/>
                <w:kern w:val="0"/>
                <w:sz w:val="24"/>
                <w:szCs w:val="28"/>
              </w:rPr>
              <w:t>姓    名</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color w:val="000000" w:themeColor="text1"/>
                <w:kern w:val="0"/>
                <w:sz w:val="24"/>
                <w:szCs w:val="28"/>
              </w:rPr>
            </w:pPr>
          </w:p>
        </w:tc>
        <w:tc>
          <w:tcPr>
            <w:tcW w:w="1530" w:type="dxa"/>
            <w:gridSpan w:val="2"/>
            <w:vAlign w:val="center"/>
          </w:tcPr>
          <w:p>
            <w:pPr>
              <w:autoSpaceDE w:val="0"/>
              <w:autoSpaceDN w:val="0"/>
              <w:adjustRightInd w:val="0"/>
              <w:spacing w:line="360" w:lineRule="auto"/>
              <w:ind w:right="-128" w:rightChars="-61"/>
              <w:jc w:val="center"/>
              <w:rPr>
                <w:rFonts w:ascii="宋体" w:hAnsi="宋体" w:eastAsia="宋体" w:cs="Times New Roman"/>
                <w:color w:val="000000" w:themeColor="text1"/>
                <w:kern w:val="0"/>
                <w:sz w:val="24"/>
                <w:szCs w:val="28"/>
              </w:rPr>
            </w:pPr>
            <w:r>
              <w:rPr>
                <w:rFonts w:hint="eastAsia" w:ascii="宋体" w:hAnsi="宋体" w:eastAsia="宋体" w:cs="Times New Roman"/>
                <w:color w:val="000000" w:themeColor="text1"/>
                <w:kern w:val="0"/>
                <w:sz w:val="24"/>
                <w:szCs w:val="28"/>
              </w:rPr>
              <w:t>性    别</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color w:val="000000" w:themeColor="text1"/>
                <w:kern w:val="0"/>
                <w:sz w:val="24"/>
                <w:szCs w:val="28"/>
              </w:rPr>
            </w:pPr>
          </w:p>
        </w:tc>
        <w:tc>
          <w:tcPr>
            <w:tcW w:w="1530" w:type="dxa"/>
            <w:gridSpan w:val="2"/>
            <w:vAlign w:val="center"/>
          </w:tcPr>
          <w:p>
            <w:pPr>
              <w:autoSpaceDE w:val="0"/>
              <w:autoSpaceDN w:val="0"/>
              <w:adjustRightInd w:val="0"/>
              <w:spacing w:line="360" w:lineRule="auto"/>
              <w:ind w:right="2" w:rightChars="1"/>
              <w:jc w:val="center"/>
              <w:rPr>
                <w:rFonts w:ascii="宋体" w:hAnsi="宋体" w:eastAsia="宋体" w:cs="Times New Roman"/>
                <w:color w:val="000000" w:themeColor="text1"/>
                <w:kern w:val="0"/>
                <w:sz w:val="24"/>
                <w:szCs w:val="28"/>
              </w:rPr>
            </w:pPr>
            <w:r>
              <w:rPr>
                <w:rFonts w:hint="eastAsia" w:ascii="宋体" w:hAnsi="宋体" w:eastAsia="宋体" w:cs="Times New Roman"/>
                <w:color w:val="000000" w:themeColor="text1"/>
                <w:kern w:val="0"/>
                <w:sz w:val="24"/>
                <w:szCs w:val="28"/>
              </w:rPr>
              <w:t>年    龄</w:t>
            </w:r>
          </w:p>
        </w:tc>
        <w:tc>
          <w:tcPr>
            <w:tcW w:w="1530" w:type="dxa"/>
            <w:vAlign w:val="center"/>
          </w:tcPr>
          <w:p>
            <w:pPr>
              <w:autoSpaceDE w:val="0"/>
              <w:autoSpaceDN w:val="0"/>
              <w:adjustRightInd w:val="0"/>
              <w:spacing w:line="360" w:lineRule="auto"/>
              <w:ind w:right="285" w:rightChars="136"/>
              <w:jc w:val="center"/>
              <w:rPr>
                <w:rFonts w:ascii="宋体" w:hAnsi="宋体" w:eastAsia="宋体" w:cs="Times New Roman"/>
                <w:color w:val="000000" w:themeColor="text1"/>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ascii="宋体" w:hAnsi="宋体" w:eastAsia="宋体" w:cs="Times New Roman"/>
                <w:color w:val="000000" w:themeColor="text1"/>
                <w:kern w:val="0"/>
                <w:sz w:val="24"/>
                <w:szCs w:val="28"/>
              </w:rPr>
            </w:pPr>
            <w:r>
              <w:rPr>
                <w:rFonts w:hint="eastAsia" w:ascii="宋体" w:hAnsi="宋体" w:eastAsia="宋体" w:cs="Times New Roman"/>
                <w:color w:val="000000" w:themeColor="text1"/>
                <w:kern w:val="0"/>
                <w:sz w:val="24"/>
                <w:szCs w:val="28"/>
              </w:rPr>
              <w:t>职    务</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color w:val="000000" w:themeColor="text1"/>
                <w:kern w:val="0"/>
                <w:sz w:val="24"/>
                <w:szCs w:val="28"/>
              </w:rPr>
            </w:pPr>
          </w:p>
        </w:tc>
        <w:tc>
          <w:tcPr>
            <w:tcW w:w="1530" w:type="dxa"/>
            <w:gridSpan w:val="2"/>
            <w:vAlign w:val="center"/>
          </w:tcPr>
          <w:p>
            <w:pPr>
              <w:autoSpaceDE w:val="0"/>
              <w:autoSpaceDN w:val="0"/>
              <w:adjustRightInd w:val="0"/>
              <w:spacing w:line="360" w:lineRule="auto"/>
              <w:ind w:right="-84" w:rightChars="-40"/>
              <w:jc w:val="center"/>
              <w:rPr>
                <w:rFonts w:ascii="宋体" w:hAnsi="宋体" w:eastAsia="宋体" w:cs="Times New Roman"/>
                <w:color w:val="000000" w:themeColor="text1"/>
                <w:kern w:val="0"/>
                <w:sz w:val="24"/>
                <w:szCs w:val="28"/>
              </w:rPr>
            </w:pPr>
            <w:r>
              <w:rPr>
                <w:rFonts w:hint="eastAsia" w:ascii="宋体" w:hAnsi="宋体" w:eastAsia="宋体" w:cs="Times New Roman"/>
                <w:color w:val="000000" w:themeColor="text1"/>
                <w:kern w:val="0"/>
                <w:sz w:val="24"/>
                <w:szCs w:val="28"/>
              </w:rPr>
              <w:t>职    称</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color w:val="000000" w:themeColor="text1"/>
                <w:kern w:val="0"/>
                <w:sz w:val="24"/>
                <w:szCs w:val="28"/>
              </w:rPr>
            </w:pPr>
          </w:p>
        </w:tc>
        <w:tc>
          <w:tcPr>
            <w:tcW w:w="1530" w:type="dxa"/>
            <w:gridSpan w:val="2"/>
            <w:vAlign w:val="center"/>
          </w:tcPr>
          <w:p>
            <w:pPr>
              <w:autoSpaceDE w:val="0"/>
              <w:autoSpaceDN w:val="0"/>
              <w:adjustRightInd w:val="0"/>
              <w:spacing w:line="360" w:lineRule="auto"/>
              <w:ind w:right="2" w:rightChars="1"/>
              <w:jc w:val="center"/>
              <w:rPr>
                <w:rFonts w:ascii="宋体" w:hAnsi="宋体" w:eastAsia="宋体" w:cs="Times New Roman"/>
                <w:color w:val="000000" w:themeColor="text1"/>
                <w:kern w:val="0"/>
                <w:sz w:val="24"/>
                <w:szCs w:val="28"/>
              </w:rPr>
            </w:pPr>
            <w:r>
              <w:rPr>
                <w:rFonts w:hint="eastAsia" w:ascii="宋体" w:hAnsi="宋体" w:eastAsia="宋体" w:cs="Times New Roman"/>
                <w:color w:val="000000" w:themeColor="text1"/>
                <w:kern w:val="0"/>
                <w:sz w:val="24"/>
                <w:szCs w:val="28"/>
              </w:rPr>
              <w:t>学    历</w:t>
            </w:r>
          </w:p>
        </w:tc>
        <w:tc>
          <w:tcPr>
            <w:tcW w:w="1530" w:type="dxa"/>
            <w:vAlign w:val="center"/>
          </w:tcPr>
          <w:p>
            <w:pPr>
              <w:autoSpaceDE w:val="0"/>
              <w:autoSpaceDN w:val="0"/>
              <w:adjustRightInd w:val="0"/>
              <w:spacing w:line="360" w:lineRule="auto"/>
              <w:ind w:right="2" w:rightChars="1"/>
              <w:jc w:val="center"/>
              <w:rPr>
                <w:rFonts w:ascii="宋体" w:hAnsi="宋体" w:eastAsia="宋体" w:cs="Times New Roman"/>
                <w:color w:val="000000" w:themeColor="text1"/>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2" w:type="dxa"/>
            <w:vAlign w:val="center"/>
          </w:tcPr>
          <w:p>
            <w:pPr>
              <w:autoSpaceDE w:val="0"/>
              <w:autoSpaceDN w:val="0"/>
              <w:adjustRightInd w:val="0"/>
              <w:spacing w:line="360" w:lineRule="auto"/>
              <w:jc w:val="center"/>
              <w:rPr>
                <w:rFonts w:ascii="宋体" w:hAnsi="宋体" w:eastAsia="宋体" w:cs="Times New Roman"/>
                <w:color w:val="000000" w:themeColor="text1"/>
                <w:kern w:val="0"/>
                <w:sz w:val="24"/>
                <w:szCs w:val="28"/>
              </w:rPr>
            </w:pPr>
            <w:r>
              <w:rPr>
                <w:rFonts w:hint="eastAsia" w:ascii="宋体" w:hAnsi="宋体" w:eastAsia="宋体" w:cs="Times New Roman"/>
                <w:color w:val="000000" w:themeColor="text1"/>
                <w:kern w:val="0"/>
                <w:sz w:val="24"/>
                <w:szCs w:val="28"/>
              </w:rPr>
              <w:t>参加工作</w:t>
            </w:r>
          </w:p>
          <w:p>
            <w:pPr>
              <w:autoSpaceDE w:val="0"/>
              <w:autoSpaceDN w:val="0"/>
              <w:adjustRightInd w:val="0"/>
              <w:spacing w:line="360" w:lineRule="auto"/>
              <w:jc w:val="center"/>
              <w:rPr>
                <w:rFonts w:ascii="宋体" w:hAnsi="宋体" w:eastAsia="宋体" w:cs="Times New Roman"/>
                <w:color w:val="000000" w:themeColor="text1"/>
                <w:kern w:val="0"/>
                <w:sz w:val="24"/>
                <w:szCs w:val="28"/>
              </w:rPr>
            </w:pPr>
            <w:r>
              <w:rPr>
                <w:rFonts w:hint="eastAsia" w:ascii="宋体" w:hAnsi="宋体" w:eastAsia="宋体" w:cs="Times New Roman"/>
                <w:color w:val="000000" w:themeColor="text1"/>
                <w:kern w:val="0"/>
                <w:sz w:val="24"/>
                <w:szCs w:val="28"/>
              </w:rPr>
              <w:t>时间</w:t>
            </w:r>
          </w:p>
        </w:tc>
        <w:tc>
          <w:tcPr>
            <w:tcW w:w="1530" w:type="dxa"/>
            <w:gridSpan w:val="2"/>
            <w:vAlign w:val="center"/>
          </w:tcPr>
          <w:p>
            <w:pPr>
              <w:autoSpaceDE w:val="0"/>
              <w:autoSpaceDN w:val="0"/>
              <w:adjustRightInd w:val="0"/>
              <w:spacing w:line="360" w:lineRule="auto"/>
              <w:jc w:val="center"/>
              <w:rPr>
                <w:rFonts w:ascii="宋体" w:hAnsi="宋体" w:eastAsia="宋体" w:cs="Times New Roman"/>
                <w:color w:val="000000" w:themeColor="text1"/>
                <w:kern w:val="0"/>
                <w:sz w:val="24"/>
                <w:szCs w:val="28"/>
              </w:rPr>
            </w:pPr>
          </w:p>
        </w:tc>
        <w:tc>
          <w:tcPr>
            <w:tcW w:w="1530" w:type="dxa"/>
            <w:gridSpan w:val="2"/>
            <w:vAlign w:val="center"/>
          </w:tcPr>
          <w:p>
            <w:pPr>
              <w:autoSpaceDE w:val="0"/>
              <w:autoSpaceDN w:val="0"/>
              <w:adjustRightInd w:val="0"/>
              <w:spacing w:line="360" w:lineRule="auto"/>
              <w:jc w:val="center"/>
              <w:rPr>
                <w:rFonts w:ascii="宋体" w:hAnsi="宋体" w:eastAsia="宋体" w:cs="Times New Roman"/>
                <w:color w:val="000000" w:themeColor="text1"/>
                <w:kern w:val="0"/>
                <w:sz w:val="24"/>
                <w:szCs w:val="28"/>
              </w:rPr>
            </w:pPr>
            <w:r>
              <w:rPr>
                <w:rFonts w:hint="eastAsia" w:ascii="宋体" w:hAnsi="宋体" w:eastAsia="宋体" w:cs="Times New Roman"/>
                <w:color w:val="000000" w:themeColor="text1"/>
                <w:kern w:val="0"/>
                <w:sz w:val="24"/>
                <w:szCs w:val="28"/>
              </w:rPr>
              <w:t>从事本行业工作年限</w:t>
            </w:r>
          </w:p>
        </w:tc>
        <w:tc>
          <w:tcPr>
            <w:tcW w:w="1530" w:type="dxa"/>
            <w:gridSpan w:val="2"/>
            <w:vAlign w:val="center"/>
          </w:tcPr>
          <w:p>
            <w:pPr>
              <w:autoSpaceDE w:val="0"/>
              <w:autoSpaceDN w:val="0"/>
              <w:adjustRightInd w:val="0"/>
              <w:spacing w:line="360" w:lineRule="auto"/>
              <w:jc w:val="center"/>
              <w:rPr>
                <w:rFonts w:ascii="宋体" w:hAnsi="宋体" w:eastAsia="宋体" w:cs="Times New Roman"/>
                <w:color w:val="000000" w:themeColor="text1"/>
                <w:kern w:val="0"/>
                <w:sz w:val="24"/>
                <w:szCs w:val="28"/>
              </w:rPr>
            </w:pPr>
          </w:p>
        </w:tc>
        <w:tc>
          <w:tcPr>
            <w:tcW w:w="1530" w:type="dxa"/>
            <w:gridSpan w:val="2"/>
            <w:vAlign w:val="center"/>
          </w:tcPr>
          <w:p>
            <w:pPr>
              <w:autoSpaceDE w:val="0"/>
              <w:autoSpaceDN w:val="0"/>
              <w:adjustRightInd w:val="0"/>
              <w:spacing w:line="360" w:lineRule="auto"/>
              <w:jc w:val="center"/>
              <w:rPr>
                <w:rFonts w:ascii="宋体" w:hAnsi="宋体" w:eastAsia="宋体" w:cs="Times New Roman"/>
                <w:color w:val="000000" w:themeColor="text1"/>
                <w:kern w:val="0"/>
                <w:sz w:val="24"/>
                <w:szCs w:val="28"/>
              </w:rPr>
            </w:pPr>
            <w:r>
              <w:rPr>
                <w:rFonts w:hint="eastAsia" w:ascii="宋体" w:hAnsi="宋体" w:eastAsia="宋体" w:cs="Times New Roman"/>
                <w:color w:val="000000" w:themeColor="text1"/>
                <w:kern w:val="0"/>
                <w:sz w:val="24"/>
                <w:szCs w:val="28"/>
              </w:rPr>
              <w:t>个人专业资质及证书</w:t>
            </w:r>
          </w:p>
        </w:tc>
        <w:tc>
          <w:tcPr>
            <w:tcW w:w="1530" w:type="dxa"/>
            <w:vAlign w:val="center"/>
          </w:tcPr>
          <w:p>
            <w:pPr>
              <w:autoSpaceDE w:val="0"/>
              <w:autoSpaceDN w:val="0"/>
              <w:adjustRightInd w:val="0"/>
              <w:spacing w:line="360" w:lineRule="auto"/>
              <w:jc w:val="center"/>
              <w:rPr>
                <w:rFonts w:ascii="宋体" w:hAnsi="宋体" w:eastAsia="宋体" w:cs="Times New Roman"/>
                <w:color w:val="000000" w:themeColor="text1"/>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hAnsi="宋体" w:eastAsia="宋体" w:cs="Times New Roman"/>
                <w:color w:val="000000" w:themeColor="text1"/>
                <w:kern w:val="0"/>
                <w:sz w:val="24"/>
                <w:szCs w:val="28"/>
              </w:rPr>
            </w:pPr>
            <w:r>
              <w:rPr>
                <w:rFonts w:hint="eastAsia" w:ascii="宋体" w:hAnsi="宋体" w:eastAsia="宋体" w:cs="Times New Roman"/>
                <w:color w:val="000000" w:themeColor="text1"/>
                <w:kern w:val="0"/>
                <w:sz w:val="24"/>
                <w:szCs w:val="28"/>
              </w:rPr>
              <w:t>个人简介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1"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hAnsi="宋体" w:eastAsia="宋体" w:cs="Times New Roman"/>
                <w:color w:val="000000" w:themeColor="text1"/>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hAnsi="宋体" w:eastAsia="宋体" w:cs="Times New Roman"/>
                <w:color w:val="000000" w:themeColor="text1"/>
                <w:kern w:val="0"/>
                <w:sz w:val="24"/>
                <w:szCs w:val="28"/>
              </w:rPr>
            </w:pPr>
            <w:r>
              <w:rPr>
                <w:rFonts w:hint="eastAsia" w:ascii="宋体" w:hAnsi="宋体" w:eastAsia="宋体" w:cs="Times New Roman"/>
                <w:color w:val="000000" w:themeColor="text1"/>
                <w:kern w:val="0"/>
                <w:sz w:val="24"/>
                <w:szCs w:val="28"/>
              </w:rPr>
              <w:t>类似项目经验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rPr>
            </w:pPr>
            <w:r>
              <w:rPr>
                <w:rFonts w:hint="eastAsia" w:ascii="宋体" w:hAnsi="宋体" w:eastAsia="宋体" w:cs="Times New Roman"/>
                <w:color w:val="000000" w:themeColor="text1"/>
                <w:kern w:val="0"/>
                <w:sz w:val="24"/>
                <w:szCs w:val="28"/>
              </w:rPr>
              <w:t>项目单位</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rPr>
            </w:pPr>
            <w:r>
              <w:rPr>
                <w:rFonts w:hint="eastAsia" w:ascii="宋体" w:hAnsi="宋体" w:eastAsia="宋体" w:cs="Times New Roman"/>
                <w:color w:val="000000" w:themeColor="text1"/>
                <w:kern w:val="0"/>
                <w:sz w:val="24"/>
                <w:szCs w:val="28"/>
              </w:rPr>
              <w:t>项目名称</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rPr>
            </w:pPr>
            <w:r>
              <w:rPr>
                <w:rFonts w:hint="eastAsia" w:ascii="宋体" w:hAnsi="宋体" w:eastAsia="宋体" w:cs="Times New Roman"/>
                <w:color w:val="000000" w:themeColor="text1"/>
                <w:kern w:val="0"/>
                <w:sz w:val="24"/>
                <w:szCs w:val="28"/>
              </w:rPr>
              <w:t>项目内容</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rPr>
            </w:pPr>
            <w:r>
              <w:rPr>
                <w:rFonts w:hint="eastAsia" w:ascii="宋体" w:hAnsi="宋体" w:eastAsia="宋体" w:cs="Times New Roman"/>
                <w:color w:val="000000" w:themeColor="text1"/>
                <w:kern w:val="0"/>
                <w:sz w:val="24"/>
                <w:szCs w:val="28"/>
              </w:rPr>
              <w:t>项目金额</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rPr>
            </w:pPr>
            <w:r>
              <w:rPr>
                <w:rFonts w:hint="eastAsia" w:ascii="宋体" w:hAnsi="宋体" w:eastAsia="宋体" w:cs="Times New Roman"/>
                <w:color w:val="000000" w:themeColor="text1"/>
                <w:kern w:val="0"/>
                <w:sz w:val="24"/>
                <w:szCs w:val="28"/>
              </w:rPr>
              <w:t>项目时间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rPr>
            </w:pPr>
          </w:p>
        </w:tc>
      </w:tr>
    </w:tbl>
    <w:p>
      <w:pPr>
        <w:spacing w:line="360" w:lineRule="auto"/>
        <w:ind w:left="720" w:hanging="720" w:hangingChars="300"/>
        <w:jc w:val="left"/>
        <w:rPr>
          <w:rFonts w:ascii="宋体" w:hAnsi="宋体" w:eastAsia="宋体" w:cs="Times New Roman"/>
          <w:color w:val="000000" w:themeColor="text1"/>
          <w:sz w:val="24"/>
          <w:szCs w:val="24"/>
          <w:lang w:val="zh-CN"/>
        </w:rPr>
      </w:pPr>
      <w:r>
        <w:rPr>
          <w:rFonts w:hint="eastAsia" w:ascii="宋体" w:hAnsi="宋体" w:eastAsia="宋体" w:cs="Times New Roman"/>
          <w:color w:val="000000" w:themeColor="text1"/>
          <w:sz w:val="24"/>
          <w:szCs w:val="24"/>
          <w:lang w:val="zh-CN"/>
        </w:rPr>
        <w:t>说明：投标文件正本应附完整的相关证明材料清晰影印件，未按照要求详细完整填写此表，导致的后果由投标人自行承担。</w:t>
      </w:r>
    </w:p>
    <w:p>
      <w:pPr>
        <w:spacing w:line="360" w:lineRule="auto"/>
        <w:jc w:val="left"/>
        <w:rPr>
          <w:rFonts w:ascii="宋体" w:hAnsi="宋体" w:eastAsia="宋体" w:cs="Times New Roman"/>
          <w:color w:val="000000" w:themeColor="text1"/>
          <w:sz w:val="24"/>
          <w:szCs w:val="24"/>
          <w:lang w:val="zh-CN"/>
        </w:rPr>
      </w:pPr>
    </w:p>
    <w:p>
      <w:pPr>
        <w:spacing w:before="100" w:beforeAutospacing="1" w:after="100" w:afterAutospacing="1" w:line="360" w:lineRule="auto"/>
        <w:ind w:firstLine="3316" w:firstLineChars="1382"/>
        <w:rPr>
          <w:rFonts w:hAnsi="宋体"/>
          <w:b/>
          <w:bCs/>
          <w:color w:val="000000" w:themeColor="text1"/>
          <w:sz w:val="24"/>
          <w:u w:val="single"/>
        </w:rPr>
      </w:pPr>
      <w:r>
        <w:rPr>
          <w:rFonts w:hint="eastAsia" w:hAnsi="宋体"/>
          <w:b/>
          <w:bCs/>
          <w:color w:val="000000" w:themeColor="text1"/>
          <w:sz w:val="24"/>
        </w:rPr>
        <w:t>投标人（公章）：</w:t>
      </w:r>
    </w:p>
    <w:p>
      <w:pPr>
        <w:spacing w:before="100" w:beforeAutospacing="1" w:after="100" w:afterAutospacing="1" w:line="360" w:lineRule="auto"/>
        <w:ind w:firstLine="3316" w:firstLineChars="1382"/>
        <w:rPr>
          <w:rFonts w:hAnsi="宋体"/>
          <w:b/>
          <w:bCs/>
          <w:color w:val="000000" w:themeColor="text1"/>
          <w:sz w:val="24"/>
          <w:u w:val="single"/>
        </w:rPr>
      </w:pPr>
      <w:r>
        <w:rPr>
          <w:rFonts w:hint="eastAsia" w:ascii="宋体" w:hAnsi="宋体" w:eastAsia="宋体" w:cs="Times New Roman"/>
          <w:b/>
          <w:bCs/>
          <w:color w:val="000000" w:themeColor="text1"/>
          <w:sz w:val="24"/>
          <w:szCs w:val="21"/>
          <w:lang w:val="zh-CN"/>
        </w:rPr>
        <w:t>投标人</w:t>
      </w:r>
      <w:r>
        <w:rPr>
          <w:rFonts w:hint="eastAsia" w:hAnsi="宋体"/>
          <w:b/>
          <w:bCs/>
          <w:color w:val="000000" w:themeColor="text1"/>
          <w:sz w:val="24"/>
        </w:rPr>
        <w:t>授权代表（签字）：</w:t>
      </w:r>
    </w:p>
    <w:p>
      <w:pPr>
        <w:spacing w:before="100" w:beforeAutospacing="1" w:after="100" w:afterAutospacing="1" w:line="360" w:lineRule="auto"/>
        <w:ind w:firstLine="3316" w:firstLineChars="1382"/>
        <w:rPr>
          <w:rFonts w:hAnsi="宋体"/>
          <w:b/>
          <w:bCs/>
          <w:color w:val="000000" w:themeColor="text1"/>
          <w:sz w:val="24"/>
          <w:u w:val="single"/>
        </w:rPr>
      </w:pPr>
      <w:r>
        <w:rPr>
          <w:rFonts w:hint="eastAsia" w:ascii="宋体" w:hAnsi="宋体" w:eastAsia="宋体" w:cs="Times New Roman"/>
          <w:b/>
          <w:bCs/>
          <w:color w:val="000000" w:themeColor="text1"/>
          <w:sz w:val="24"/>
          <w:szCs w:val="21"/>
          <w:lang w:val="zh-CN"/>
        </w:rPr>
        <w:t>投标</w:t>
      </w:r>
      <w:r>
        <w:rPr>
          <w:rFonts w:hint="eastAsia" w:hAnsi="宋体"/>
          <w:b/>
          <w:bCs/>
          <w:color w:val="000000" w:themeColor="text1"/>
          <w:sz w:val="24"/>
        </w:rPr>
        <w:t>时间：</w:t>
      </w:r>
    </w:p>
    <w:p>
      <w:pPr>
        <w:rPr>
          <w:color w:val="000000" w:themeColor="text1"/>
        </w:rPr>
      </w:pPr>
      <w:r>
        <w:rPr>
          <w:color w:val="000000" w:themeColor="text1"/>
        </w:rPr>
        <w:br w:type="page"/>
      </w:r>
    </w:p>
    <w:p>
      <w:pPr>
        <w:pStyle w:val="2"/>
        <w:numPr>
          <w:ilvl w:val="0"/>
          <w:numId w:val="58"/>
        </w:numPr>
        <w:spacing w:before="100" w:beforeAutospacing="1" w:after="156" w:afterLines="50" w:line="360" w:lineRule="auto"/>
        <w:ind w:left="1610" w:hanging="1610"/>
        <w:rPr>
          <w:rFonts w:ascii="宋体" w:hAnsi="宋体" w:eastAsia="宋体"/>
          <w:color w:val="000000" w:themeColor="text1"/>
        </w:rPr>
      </w:pPr>
      <w:bookmarkStart w:id="216" w:name="_Toc494665566"/>
      <w:bookmarkStart w:id="217" w:name="_Toc494745330"/>
      <w:bookmarkStart w:id="218" w:name="_Toc494665963"/>
      <w:bookmarkStart w:id="219" w:name="_Toc494702283"/>
      <w:bookmarkStart w:id="220" w:name="_Toc401"/>
      <w:bookmarkStart w:id="221" w:name="_Toc494721113"/>
      <w:bookmarkStart w:id="222" w:name="_Toc238276251"/>
      <w:bookmarkStart w:id="223" w:name="_Toc236473307"/>
      <w:bookmarkStart w:id="224" w:name="_Toc494665013"/>
      <w:r>
        <w:rPr>
          <w:rFonts w:hint="eastAsia" w:ascii="宋体" w:hAnsi="宋体" w:eastAsia="宋体"/>
          <w:color w:val="000000" w:themeColor="text1"/>
        </w:rPr>
        <w:t>项目班子成员情况表</w:t>
      </w:r>
      <w:bookmarkEnd w:id="216"/>
      <w:bookmarkEnd w:id="217"/>
      <w:bookmarkEnd w:id="218"/>
      <w:bookmarkEnd w:id="219"/>
      <w:bookmarkEnd w:id="220"/>
      <w:bookmarkEnd w:id="221"/>
      <w:bookmarkEnd w:id="222"/>
      <w:bookmarkEnd w:id="223"/>
      <w:bookmarkEnd w:id="224"/>
    </w:p>
    <w:p>
      <w:pPr>
        <w:spacing w:line="360" w:lineRule="auto"/>
        <w:jc w:val="left"/>
        <w:rPr>
          <w:rFonts w:hAnsi="宋体"/>
          <w:b/>
          <w:color w:val="000000" w:themeColor="text1"/>
          <w:sz w:val="24"/>
        </w:rPr>
      </w:pPr>
      <w:r>
        <w:rPr>
          <w:rFonts w:hint="eastAsia" w:hAnsi="宋体"/>
          <w:b/>
          <w:color w:val="000000" w:themeColor="text1"/>
          <w:sz w:val="24"/>
        </w:rPr>
        <w:t>投 标 人：</w:t>
      </w:r>
    </w:p>
    <w:p>
      <w:pPr>
        <w:spacing w:line="360" w:lineRule="auto"/>
        <w:jc w:val="left"/>
        <w:rPr>
          <w:rFonts w:hAnsi="宋体"/>
          <w:b/>
          <w:color w:val="000000" w:themeColor="text1"/>
          <w:sz w:val="24"/>
        </w:rPr>
      </w:pPr>
      <w:r>
        <w:rPr>
          <w:rFonts w:hint="eastAsia" w:ascii="宋体" w:hAnsi="宋体" w:eastAsia="宋体" w:cs="Times New Roman"/>
          <w:b/>
          <w:color w:val="000000" w:themeColor="text1"/>
          <w:sz w:val="24"/>
          <w:szCs w:val="21"/>
          <w:lang w:val="zh-CN"/>
        </w:rPr>
        <w:t>项目编号：</w:t>
      </w:r>
      <w:r>
        <w:rPr>
          <w:rFonts w:hint="eastAsia" w:ascii="宋体" w:hAnsi="宋体" w:eastAsia="宋体" w:cs="Times New Roman"/>
          <w:b/>
          <w:bCs/>
          <w:color w:val="000000" w:themeColor="text1"/>
          <w:sz w:val="24"/>
          <w:szCs w:val="21"/>
          <w:lang w:val="zh-CN"/>
        </w:rPr>
        <w:t xml:space="preserve">                所投包号：</w:t>
      </w:r>
    </w:p>
    <w:tbl>
      <w:tblPr>
        <w:tblStyle w:val="18"/>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92"/>
        <w:gridCol w:w="1134"/>
        <w:gridCol w:w="1134"/>
        <w:gridCol w:w="1418"/>
        <w:gridCol w:w="184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序号</w:t>
            </w:r>
          </w:p>
        </w:tc>
        <w:tc>
          <w:tcPr>
            <w:tcW w:w="992"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姓 名</w:t>
            </w: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专 业</w:t>
            </w: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年 龄</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kern w:val="0"/>
                <w:sz w:val="24"/>
                <w:szCs w:val="28"/>
              </w:rPr>
              <w:t>从事本行业工作年限</w:t>
            </w:r>
          </w:p>
        </w:tc>
        <w:tc>
          <w:tcPr>
            <w:tcW w:w="1843" w:type="dxa"/>
            <w:tcBorders>
              <w:top w:val="single" w:color="auto" w:sz="4" w:space="0"/>
              <w:left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在本项目中承担的工作</w:t>
            </w:r>
          </w:p>
        </w:tc>
        <w:tc>
          <w:tcPr>
            <w:tcW w:w="1842" w:type="dxa"/>
            <w:tcBorders>
              <w:top w:val="single" w:color="auto" w:sz="4" w:space="0"/>
              <w:left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kern w:val="0"/>
                <w:sz w:val="24"/>
                <w:szCs w:val="28"/>
              </w:rPr>
              <w:t>个人专业资质及证书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1</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sz w:val="24"/>
                <w:szCs w:val="24"/>
              </w:rPr>
            </w:pPr>
          </w:p>
        </w:tc>
        <w:tc>
          <w:tcPr>
            <w:tcW w:w="1843" w:type="dxa"/>
            <w:tcBorders>
              <w:left w:val="single" w:color="auto" w:sz="4" w:space="0"/>
              <w:right w:val="single" w:color="auto" w:sz="4" w:space="0"/>
            </w:tcBorders>
            <w:vAlign w:val="center"/>
          </w:tcPr>
          <w:p>
            <w:pPr>
              <w:rPr>
                <w:rFonts w:ascii="宋体" w:hAnsi="宋体" w:eastAsia="宋体" w:cs="Times New Roman"/>
                <w:color w:val="000000" w:themeColor="text1"/>
                <w:sz w:val="24"/>
                <w:szCs w:val="24"/>
              </w:rPr>
            </w:pPr>
          </w:p>
        </w:tc>
        <w:tc>
          <w:tcPr>
            <w:tcW w:w="1842" w:type="dxa"/>
            <w:tcBorders>
              <w:left w:val="single" w:color="auto" w:sz="4" w:space="0"/>
              <w:right w:val="single" w:color="auto" w:sz="4" w:space="0"/>
            </w:tcBorders>
            <w:vAlign w:val="center"/>
          </w:tcPr>
          <w:p>
            <w:pPr>
              <w:rPr>
                <w:rFonts w:ascii="宋体" w:hAnsi="宋体" w:eastAsia="宋体"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2</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color w:val="000000" w:themeColor="text1"/>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3</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color w:val="000000" w:themeColor="text1"/>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4</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color w:val="000000" w:themeColor="text1"/>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5</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color w:val="000000" w:themeColor="text1"/>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6</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color w:val="000000" w:themeColor="text1"/>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7</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color w:val="000000" w:themeColor="text1"/>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
                <w:color w:val="000000" w:themeColor="text1"/>
                <w:sz w:val="24"/>
                <w:szCs w:val="24"/>
              </w:rPr>
            </w:pPr>
            <w:r>
              <w:rPr>
                <w:rFonts w:ascii="宋体" w:hAnsi="宋体" w:eastAsia="宋体" w:cs="Times New Roman"/>
                <w:b/>
                <w:color w:val="000000" w:themeColor="text1"/>
                <w:sz w:val="24"/>
                <w:szCs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rPr>
            </w:pPr>
          </w:p>
        </w:tc>
        <w:tc>
          <w:tcPr>
            <w:tcW w:w="1843" w:type="dxa"/>
            <w:tcBorders>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rPr>
            </w:pPr>
          </w:p>
        </w:tc>
        <w:tc>
          <w:tcPr>
            <w:tcW w:w="1842" w:type="dxa"/>
            <w:tcBorders>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rPr>
            </w:pPr>
          </w:p>
        </w:tc>
      </w:tr>
    </w:tbl>
    <w:p>
      <w:pPr>
        <w:spacing w:line="360" w:lineRule="auto"/>
        <w:ind w:left="720" w:hanging="720" w:hangingChars="300"/>
        <w:jc w:val="left"/>
        <w:rPr>
          <w:rFonts w:ascii="宋体" w:hAnsi="宋体" w:eastAsia="宋体" w:cs="Times New Roman"/>
          <w:color w:val="000000" w:themeColor="text1"/>
          <w:sz w:val="24"/>
          <w:szCs w:val="24"/>
          <w:lang w:val="zh-CN"/>
        </w:rPr>
      </w:pPr>
      <w:r>
        <w:rPr>
          <w:rFonts w:hint="eastAsia" w:ascii="宋体" w:hAnsi="宋体" w:eastAsia="宋体" w:cs="Times New Roman"/>
          <w:color w:val="000000" w:themeColor="text1"/>
          <w:sz w:val="24"/>
          <w:szCs w:val="24"/>
          <w:lang w:val="zh-CN"/>
        </w:rPr>
        <w:t>说明：投标文件正本应附完整的相关证明材料清晰影印件，</w:t>
      </w:r>
      <w:r>
        <w:rPr>
          <w:rFonts w:hint="eastAsia" w:ascii="宋体" w:hAnsi="宋体" w:eastAsia="宋体" w:cs="Corbel"/>
          <w:color w:val="000000" w:themeColor="text1"/>
          <w:sz w:val="24"/>
          <w:szCs w:val="21"/>
          <w:lang w:val="zh-CN"/>
        </w:rPr>
        <w:t>未按照要求详细完整填写此表，</w:t>
      </w:r>
      <w:r>
        <w:rPr>
          <w:rFonts w:hint="eastAsia" w:ascii="宋体" w:hAnsi="宋体" w:eastAsia="宋体" w:cs="Times New Roman"/>
          <w:color w:val="000000" w:themeColor="text1"/>
          <w:sz w:val="24"/>
          <w:szCs w:val="21"/>
          <w:lang w:val="zh-CN"/>
        </w:rPr>
        <w:t>导致的后果由投标人自行承担。</w:t>
      </w:r>
    </w:p>
    <w:p>
      <w:pPr>
        <w:spacing w:line="360" w:lineRule="auto"/>
        <w:jc w:val="left"/>
        <w:rPr>
          <w:rFonts w:ascii="宋体" w:hAnsi="宋体" w:eastAsia="宋体" w:cs="Times New Roman"/>
          <w:color w:val="000000" w:themeColor="text1"/>
          <w:sz w:val="24"/>
          <w:szCs w:val="24"/>
          <w:lang w:val="zh-CN"/>
        </w:rPr>
      </w:pPr>
    </w:p>
    <w:p>
      <w:pPr>
        <w:spacing w:line="360" w:lineRule="auto"/>
        <w:jc w:val="left"/>
        <w:rPr>
          <w:rFonts w:ascii="宋体" w:hAnsi="宋体" w:eastAsia="宋体" w:cs="Times New Roman"/>
          <w:color w:val="000000" w:themeColor="text1"/>
          <w:sz w:val="24"/>
          <w:szCs w:val="24"/>
          <w:lang w:val="zh-CN"/>
        </w:rPr>
      </w:pPr>
    </w:p>
    <w:p>
      <w:pPr>
        <w:spacing w:line="360" w:lineRule="auto"/>
        <w:jc w:val="left"/>
        <w:rPr>
          <w:rFonts w:ascii="宋体" w:hAnsi="宋体" w:eastAsia="宋体" w:cs="Times New Roman"/>
          <w:color w:val="000000" w:themeColor="text1"/>
          <w:sz w:val="24"/>
          <w:szCs w:val="24"/>
          <w:lang w:val="zh-CN"/>
        </w:rPr>
      </w:pPr>
    </w:p>
    <w:p>
      <w:pPr>
        <w:spacing w:line="360" w:lineRule="auto"/>
        <w:jc w:val="left"/>
        <w:rPr>
          <w:rFonts w:ascii="宋体" w:hAnsi="宋体" w:eastAsia="宋体" w:cs="Times New Roman"/>
          <w:color w:val="000000" w:themeColor="text1"/>
          <w:sz w:val="24"/>
          <w:szCs w:val="24"/>
          <w:lang w:val="zh-CN"/>
        </w:rPr>
      </w:pPr>
    </w:p>
    <w:p>
      <w:pPr>
        <w:spacing w:line="360" w:lineRule="auto"/>
        <w:jc w:val="left"/>
        <w:rPr>
          <w:rFonts w:ascii="宋体" w:hAnsi="宋体" w:eastAsia="宋体" w:cs="Times New Roman"/>
          <w:color w:val="000000" w:themeColor="text1"/>
          <w:sz w:val="24"/>
          <w:szCs w:val="24"/>
          <w:lang w:val="zh-CN"/>
        </w:rPr>
      </w:pPr>
    </w:p>
    <w:p>
      <w:pPr>
        <w:spacing w:before="100" w:beforeAutospacing="1" w:after="100" w:afterAutospacing="1" w:line="360" w:lineRule="auto"/>
        <w:ind w:firstLine="3316" w:firstLineChars="1382"/>
        <w:rPr>
          <w:rFonts w:hAnsi="宋体"/>
          <w:b/>
          <w:bCs/>
          <w:color w:val="000000" w:themeColor="text1"/>
          <w:sz w:val="24"/>
          <w:u w:val="single"/>
        </w:rPr>
      </w:pPr>
      <w:r>
        <w:rPr>
          <w:rFonts w:hint="eastAsia" w:hAnsi="宋体"/>
          <w:b/>
          <w:bCs/>
          <w:color w:val="000000" w:themeColor="text1"/>
          <w:sz w:val="24"/>
        </w:rPr>
        <w:t>投标人（公章）：</w:t>
      </w:r>
    </w:p>
    <w:p>
      <w:pPr>
        <w:spacing w:before="100" w:beforeAutospacing="1" w:after="100" w:afterAutospacing="1" w:line="360" w:lineRule="auto"/>
        <w:ind w:firstLine="3316" w:firstLineChars="1382"/>
        <w:rPr>
          <w:rFonts w:hAnsi="宋体"/>
          <w:b/>
          <w:bCs/>
          <w:color w:val="000000" w:themeColor="text1"/>
          <w:sz w:val="24"/>
          <w:u w:val="single"/>
        </w:rPr>
      </w:pPr>
      <w:r>
        <w:rPr>
          <w:rFonts w:hint="eastAsia" w:ascii="宋体" w:hAnsi="宋体" w:eastAsia="宋体" w:cs="Times New Roman"/>
          <w:b/>
          <w:bCs/>
          <w:color w:val="000000" w:themeColor="text1"/>
          <w:sz w:val="24"/>
          <w:szCs w:val="21"/>
          <w:lang w:val="zh-CN"/>
        </w:rPr>
        <w:t>投标人</w:t>
      </w:r>
      <w:r>
        <w:rPr>
          <w:rFonts w:hint="eastAsia" w:hAnsi="宋体"/>
          <w:b/>
          <w:bCs/>
          <w:color w:val="000000" w:themeColor="text1"/>
          <w:sz w:val="24"/>
        </w:rPr>
        <w:t>授权代表（签字）：</w:t>
      </w:r>
    </w:p>
    <w:p>
      <w:pPr>
        <w:spacing w:before="100" w:beforeAutospacing="1" w:after="100" w:afterAutospacing="1" w:line="360" w:lineRule="auto"/>
        <w:ind w:firstLine="3316" w:firstLineChars="1382"/>
        <w:rPr>
          <w:rFonts w:hAnsi="宋体"/>
          <w:b/>
          <w:bCs/>
          <w:color w:val="000000" w:themeColor="text1"/>
          <w:sz w:val="24"/>
          <w:u w:val="single"/>
        </w:rPr>
      </w:pPr>
      <w:r>
        <w:rPr>
          <w:rFonts w:hint="eastAsia" w:ascii="宋体" w:hAnsi="宋体" w:eastAsia="宋体" w:cs="Times New Roman"/>
          <w:b/>
          <w:bCs/>
          <w:color w:val="000000" w:themeColor="text1"/>
          <w:sz w:val="24"/>
          <w:szCs w:val="21"/>
          <w:lang w:val="zh-CN"/>
        </w:rPr>
        <w:t>投标</w:t>
      </w:r>
      <w:r>
        <w:rPr>
          <w:rFonts w:hint="eastAsia" w:hAnsi="宋体"/>
          <w:b/>
          <w:bCs/>
          <w:color w:val="000000" w:themeColor="text1"/>
          <w:sz w:val="24"/>
        </w:rPr>
        <w:t>时间：</w:t>
      </w:r>
    </w:p>
    <w:p>
      <w:pPr>
        <w:rPr>
          <w:color w:val="000000" w:themeColor="text1"/>
        </w:rPr>
      </w:pPr>
      <w:r>
        <w:rPr>
          <w:color w:val="000000" w:themeColor="text1"/>
        </w:rPr>
        <w:br w:type="page"/>
      </w:r>
    </w:p>
    <w:p>
      <w:pPr>
        <w:pStyle w:val="2"/>
        <w:numPr>
          <w:ilvl w:val="0"/>
          <w:numId w:val="58"/>
        </w:numPr>
        <w:spacing w:before="100" w:beforeAutospacing="1" w:after="156" w:afterLines="50" w:line="360" w:lineRule="auto"/>
        <w:ind w:left="1610" w:hanging="1610"/>
        <w:rPr>
          <w:rFonts w:ascii="宋体" w:hAnsi="宋体" w:eastAsia="宋体"/>
          <w:color w:val="000000" w:themeColor="text1"/>
        </w:rPr>
      </w:pPr>
      <w:bookmarkStart w:id="225" w:name="_Toc238276256"/>
      <w:bookmarkStart w:id="226" w:name="_Toc494665014"/>
      <w:bookmarkStart w:id="227" w:name="_Toc494665964"/>
      <w:bookmarkStart w:id="228" w:name="_Toc494665567"/>
      <w:bookmarkStart w:id="229" w:name="_Toc494745331"/>
      <w:bookmarkStart w:id="230" w:name="_Toc21872"/>
      <w:bookmarkStart w:id="231" w:name="_Toc494702284"/>
      <w:bookmarkStart w:id="232" w:name="_Toc494721114"/>
      <w:bookmarkStart w:id="233" w:name="_Toc236473312"/>
      <w:r>
        <w:rPr>
          <w:rFonts w:hint="eastAsia" w:ascii="宋体" w:hAnsi="宋体" w:eastAsia="宋体"/>
          <w:color w:val="000000" w:themeColor="text1"/>
        </w:rPr>
        <w:t>投标人类似项目业绩表</w:t>
      </w:r>
      <w:bookmarkEnd w:id="225"/>
      <w:bookmarkEnd w:id="226"/>
      <w:bookmarkEnd w:id="227"/>
      <w:bookmarkEnd w:id="228"/>
      <w:bookmarkEnd w:id="229"/>
      <w:bookmarkEnd w:id="230"/>
      <w:bookmarkEnd w:id="231"/>
      <w:bookmarkEnd w:id="232"/>
      <w:bookmarkEnd w:id="233"/>
    </w:p>
    <w:p>
      <w:pPr>
        <w:spacing w:line="360" w:lineRule="auto"/>
        <w:jc w:val="left"/>
        <w:rPr>
          <w:rFonts w:hAnsi="宋体"/>
          <w:b/>
          <w:color w:val="000000" w:themeColor="text1"/>
          <w:sz w:val="24"/>
        </w:rPr>
      </w:pPr>
      <w:r>
        <w:rPr>
          <w:rFonts w:hint="eastAsia" w:hAnsi="宋体"/>
          <w:b/>
          <w:color w:val="000000" w:themeColor="text1"/>
          <w:sz w:val="24"/>
        </w:rPr>
        <w:t>投 标 人：</w:t>
      </w:r>
    </w:p>
    <w:p>
      <w:pPr>
        <w:spacing w:line="360" w:lineRule="auto"/>
        <w:jc w:val="left"/>
        <w:rPr>
          <w:rFonts w:hAnsi="宋体"/>
          <w:b/>
          <w:color w:val="000000" w:themeColor="text1"/>
          <w:sz w:val="24"/>
        </w:rPr>
      </w:pPr>
      <w:r>
        <w:rPr>
          <w:rFonts w:hint="eastAsia" w:ascii="宋体" w:hAnsi="宋体" w:eastAsia="宋体" w:cs="Times New Roman"/>
          <w:b/>
          <w:color w:val="000000" w:themeColor="text1"/>
          <w:sz w:val="24"/>
          <w:szCs w:val="21"/>
          <w:lang w:val="zh-CN"/>
        </w:rPr>
        <w:t>项目编号：</w:t>
      </w:r>
      <w:r>
        <w:rPr>
          <w:rFonts w:hint="eastAsia" w:ascii="宋体" w:hAnsi="宋体" w:eastAsia="宋体" w:cs="Times New Roman"/>
          <w:b/>
          <w:bCs/>
          <w:color w:val="000000" w:themeColor="text1"/>
          <w:sz w:val="24"/>
          <w:szCs w:val="21"/>
          <w:lang w:val="zh-CN"/>
        </w:rPr>
        <w:t xml:space="preserve">                所投包号：</w:t>
      </w:r>
    </w:p>
    <w:tbl>
      <w:tblPr>
        <w:tblStyle w:val="18"/>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0"/>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220" w:type="dxa"/>
            <w:shd w:val="clear" w:color="auto" w:fill="auto"/>
            <w:vAlign w:val="center"/>
          </w:tcPr>
          <w:p>
            <w:pPr>
              <w:jc w:val="center"/>
              <w:rPr>
                <w:rFonts w:ascii="宋体" w:hAnsi="宋体" w:eastAsia="宋体" w:cs="Courier New"/>
                <w:color w:val="000000" w:themeColor="text1"/>
                <w:sz w:val="24"/>
                <w:szCs w:val="24"/>
              </w:rPr>
            </w:pPr>
            <w:r>
              <w:rPr>
                <w:rFonts w:hint="eastAsia" w:ascii="宋体" w:hAnsi="宋体" w:eastAsia="宋体" w:cs="Courier New"/>
                <w:color w:val="000000" w:themeColor="text1"/>
                <w:sz w:val="24"/>
                <w:szCs w:val="24"/>
              </w:rPr>
              <w:t>项目单位名称</w:t>
            </w:r>
          </w:p>
        </w:tc>
        <w:tc>
          <w:tcPr>
            <w:tcW w:w="7200" w:type="dxa"/>
            <w:shd w:val="clear" w:color="auto" w:fill="auto"/>
          </w:tcPr>
          <w:p>
            <w:pPr>
              <w:rPr>
                <w:rFonts w:ascii="宋体" w:hAnsi="宋体" w:eastAsia="宋体" w:cs="Courier New"/>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220" w:type="dxa"/>
            <w:shd w:val="clear" w:color="auto" w:fill="auto"/>
            <w:vAlign w:val="center"/>
          </w:tcPr>
          <w:p>
            <w:pPr>
              <w:jc w:val="center"/>
              <w:rPr>
                <w:rFonts w:ascii="宋体" w:hAnsi="宋体" w:eastAsia="宋体" w:cs="Courier New"/>
                <w:color w:val="000000" w:themeColor="text1"/>
                <w:sz w:val="24"/>
                <w:szCs w:val="24"/>
              </w:rPr>
            </w:pPr>
            <w:r>
              <w:rPr>
                <w:rFonts w:hint="eastAsia" w:ascii="宋体" w:hAnsi="宋体" w:eastAsia="宋体" w:cs="Courier New"/>
                <w:color w:val="000000" w:themeColor="text1"/>
                <w:sz w:val="24"/>
                <w:szCs w:val="24"/>
              </w:rPr>
              <w:t>项目名称</w:t>
            </w:r>
          </w:p>
        </w:tc>
        <w:tc>
          <w:tcPr>
            <w:tcW w:w="7200" w:type="dxa"/>
            <w:shd w:val="clear" w:color="auto" w:fill="auto"/>
          </w:tcPr>
          <w:p>
            <w:pPr>
              <w:rPr>
                <w:rFonts w:ascii="宋体" w:hAnsi="宋体" w:eastAsia="宋体" w:cs="Courier New"/>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220" w:type="dxa"/>
            <w:shd w:val="clear" w:color="auto" w:fill="auto"/>
            <w:vAlign w:val="center"/>
          </w:tcPr>
          <w:p>
            <w:pPr>
              <w:jc w:val="center"/>
              <w:rPr>
                <w:rFonts w:ascii="宋体" w:hAnsi="宋体" w:eastAsia="宋体" w:cs="Courier New"/>
                <w:color w:val="000000" w:themeColor="text1"/>
                <w:sz w:val="24"/>
                <w:szCs w:val="24"/>
              </w:rPr>
            </w:pPr>
            <w:r>
              <w:rPr>
                <w:rFonts w:hint="eastAsia" w:ascii="宋体" w:hAnsi="宋体" w:eastAsia="宋体" w:cs="Courier New"/>
                <w:color w:val="000000" w:themeColor="text1"/>
                <w:sz w:val="24"/>
                <w:szCs w:val="24"/>
              </w:rPr>
              <w:t>项目单位联系人姓名及联系方式</w:t>
            </w:r>
          </w:p>
        </w:tc>
        <w:tc>
          <w:tcPr>
            <w:tcW w:w="7200" w:type="dxa"/>
            <w:shd w:val="clear" w:color="auto" w:fill="auto"/>
          </w:tcPr>
          <w:p>
            <w:pPr>
              <w:rPr>
                <w:rFonts w:ascii="宋体" w:hAnsi="宋体" w:eastAsia="宋体" w:cs="Courier New"/>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220" w:type="dxa"/>
            <w:shd w:val="clear" w:color="auto" w:fill="auto"/>
            <w:vAlign w:val="center"/>
          </w:tcPr>
          <w:p>
            <w:pPr>
              <w:jc w:val="center"/>
              <w:rPr>
                <w:rFonts w:ascii="宋体" w:hAnsi="宋体" w:eastAsia="宋体" w:cs="Courier New"/>
                <w:color w:val="000000" w:themeColor="text1"/>
                <w:sz w:val="24"/>
                <w:szCs w:val="24"/>
              </w:rPr>
            </w:pPr>
            <w:r>
              <w:rPr>
                <w:rFonts w:hint="eastAsia" w:ascii="宋体" w:hAnsi="宋体" w:eastAsia="宋体" w:cs="Courier New"/>
                <w:color w:val="000000" w:themeColor="text1"/>
                <w:sz w:val="24"/>
                <w:szCs w:val="24"/>
              </w:rPr>
              <w:t>项目金额</w:t>
            </w:r>
          </w:p>
        </w:tc>
        <w:tc>
          <w:tcPr>
            <w:tcW w:w="7200" w:type="dxa"/>
            <w:shd w:val="clear" w:color="auto" w:fill="auto"/>
          </w:tcPr>
          <w:p>
            <w:pPr>
              <w:rPr>
                <w:rFonts w:ascii="宋体" w:hAnsi="宋体" w:eastAsia="宋体" w:cs="Courier New"/>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220" w:type="dxa"/>
            <w:shd w:val="clear" w:color="auto" w:fill="auto"/>
            <w:vAlign w:val="center"/>
          </w:tcPr>
          <w:p>
            <w:pPr>
              <w:jc w:val="center"/>
              <w:rPr>
                <w:rFonts w:ascii="宋体" w:hAnsi="宋体" w:eastAsia="宋体" w:cs="Courier New"/>
                <w:color w:val="000000" w:themeColor="text1"/>
                <w:sz w:val="24"/>
                <w:szCs w:val="24"/>
              </w:rPr>
            </w:pPr>
            <w:r>
              <w:rPr>
                <w:rFonts w:hint="eastAsia" w:ascii="宋体" w:hAnsi="宋体" w:eastAsia="宋体" w:cs="Courier New"/>
                <w:color w:val="000000" w:themeColor="text1"/>
                <w:sz w:val="24"/>
                <w:szCs w:val="24"/>
              </w:rPr>
              <w:t>项目负责人姓名</w:t>
            </w:r>
          </w:p>
        </w:tc>
        <w:tc>
          <w:tcPr>
            <w:tcW w:w="7200" w:type="dxa"/>
            <w:shd w:val="clear" w:color="auto" w:fill="auto"/>
          </w:tcPr>
          <w:p>
            <w:pPr>
              <w:rPr>
                <w:rFonts w:ascii="宋体" w:hAnsi="宋体" w:eastAsia="宋体" w:cs="Courier New"/>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220" w:type="dxa"/>
            <w:shd w:val="clear" w:color="auto" w:fill="auto"/>
            <w:vAlign w:val="center"/>
          </w:tcPr>
          <w:p>
            <w:pPr>
              <w:jc w:val="center"/>
              <w:rPr>
                <w:rFonts w:ascii="宋体" w:hAnsi="宋体" w:eastAsia="宋体" w:cs="Courier New"/>
                <w:color w:val="000000" w:themeColor="text1"/>
                <w:sz w:val="24"/>
                <w:szCs w:val="24"/>
              </w:rPr>
            </w:pPr>
            <w:r>
              <w:rPr>
                <w:rFonts w:hint="eastAsia" w:ascii="宋体" w:hAnsi="宋体" w:eastAsia="宋体" w:cs="Courier New"/>
                <w:color w:val="000000" w:themeColor="text1"/>
                <w:sz w:val="24"/>
                <w:szCs w:val="24"/>
              </w:rPr>
              <w:t>项目时间</w:t>
            </w:r>
          </w:p>
        </w:tc>
        <w:tc>
          <w:tcPr>
            <w:tcW w:w="7200" w:type="dxa"/>
            <w:shd w:val="clear" w:color="auto" w:fill="auto"/>
          </w:tcPr>
          <w:p>
            <w:pPr>
              <w:rPr>
                <w:rFonts w:ascii="宋体" w:hAnsi="宋体" w:eastAsia="宋体" w:cs="Courier New"/>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2220" w:type="dxa"/>
            <w:shd w:val="clear" w:color="auto" w:fill="auto"/>
            <w:vAlign w:val="center"/>
          </w:tcPr>
          <w:p>
            <w:pPr>
              <w:jc w:val="center"/>
              <w:rPr>
                <w:rFonts w:ascii="宋体" w:hAnsi="宋体" w:eastAsia="宋体" w:cs="Courier New"/>
                <w:color w:val="000000" w:themeColor="text1"/>
                <w:sz w:val="24"/>
                <w:szCs w:val="24"/>
              </w:rPr>
            </w:pPr>
            <w:r>
              <w:rPr>
                <w:rFonts w:hint="eastAsia" w:ascii="宋体" w:hAnsi="宋体" w:eastAsia="宋体" w:cs="Courier New"/>
                <w:color w:val="000000" w:themeColor="text1"/>
                <w:sz w:val="24"/>
                <w:szCs w:val="24"/>
              </w:rPr>
              <w:t>项目内容</w:t>
            </w:r>
          </w:p>
        </w:tc>
        <w:tc>
          <w:tcPr>
            <w:tcW w:w="7200" w:type="dxa"/>
            <w:shd w:val="clear" w:color="auto" w:fill="auto"/>
          </w:tcPr>
          <w:p>
            <w:pPr>
              <w:rPr>
                <w:rFonts w:ascii="宋体" w:hAnsi="宋体" w:eastAsia="宋体" w:cs="Courier New"/>
                <w:color w:val="000000" w:themeColor="text1"/>
                <w:sz w:val="24"/>
                <w:szCs w:val="24"/>
              </w:rPr>
            </w:pPr>
          </w:p>
        </w:tc>
      </w:tr>
    </w:tbl>
    <w:p>
      <w:pPr>
        <w:spacing w:line="360" w:lineRule="auto"/>
        <w:ind w:left="1092" w:hanging="1092" w:hangingChars="455"/>
        <w:jc w:val="left"/>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说明：1．每个合同应单独附表，并附上相关证明材料，</w:t>
      </w:r>
      <w:r>
        <w:rPr>
          <w:rFonts w:hint="eastAsia" w:ascii="宋体" w:hAnsi="宋体" w:eastAsia="宋体" w:cs="Corbel"/>
          <w:color w:val="000000" w:themeColor="text1"/>
          <w:sz w:val="24"/>
          <w:szCs w:val="24"/>
        </w:rPr>
        <w:t>未按照要求详细完整填写此表，</w:t>
      </w:r>
      <w:r>
        <w:rPr>
          <w:rFonts w:hint="eastAsia" w:ascii="宋体" w:hAnsi="宋体" w:eastAsia="宋体" w:cs="Times New Roman"/>
          <w:color w:val="000000" w:themeColor="text1"/>
          <w:sz w:val="24"/>
          <w:szCs w:val="24"/>
        </w:rPr>
        <w:t>导致的后果由投标人自行承担。</w:t>
      </w:r>
    </w:p>
    <w:p>
      <w:pPr>
        <w:spacing w:line="360" w:lineRule="auto"/>
        <w:ind w:left="1061" w:leftChars="339" w:hanging="350" w:hangingChars="146"/>
        <w:jc w:val="left"/>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2．项目内容请详细说明所承担的具体工作内容等。</w:t>
      </w:r>
    </w:p>
    <w:p>
      <w:pPr>
        <w:spacing w:line="360" w:lineRule="auto"/>
        <w:ind w:firstLine="720" w:firstLineChars="300"/>
        <w:rPr>
          <w:rFonts w:ascii="宋体" w:hAnsi="宋体" w:eastAsia="宋体" w:cs="Times New Roman"/>
          <w:color w:val="000000" w:themeColor="text1"/>
          <w:sz w:val="24"/>
          <w:szCs w:val="24"/>
        </w:rPr>
      </w:pPr>
    </w:p>
    <w:p>
      <w:pPr>
        <w:spacing w:line="360" w:lineRule="auto"/>
        <w:ind w:firstLine="720" w:firstLineChars="300"/>
        <w:rPr>
          <w:rFonts w:ascii="宋体" w:hAnsi="宋体" w:eastAsia="宋体" w:cs="Times New Roman"/>
          <w:color w:val="000000" w:themeColor="text1"/>
          <w:sz w:val="24"/>
          <w:szCs w:val="24"/>
        </w:rPr>
      </w:pPr>
    </w:p>
    <w:p>
      <w:pPr>
        <w:spacing w:before="100" w:beforeAutospacing="1" w:after="100" w:afterAutospacing="1" w:line="360" w:lineRule="auto"/>
        <w:ind w:firstLine="3316" w:firstLineChars="1382"/>
        <w:rPr>
          <w:rFonts w:hAnsi="宋体"/>
          <w:b/>
          <w:bCs/>
          <w:color w:val="000000" w:themeColor="text1"/>
          <w:sz w:val="24"/>
          <w:u w:val="single"/>
        </w:rPr>
      </w:pPr>
      <w:r>
        <w:rPr>
          <w:rFonts w:hint="eastAsia" w:hAnsi="宋体"/>
          <w:b/>
          <w:bCs/>
          <w:color w:val="000000" w:themeColor="text1"/>
          <w:sz w:val="24"/>
        </w:rPr>
        <w:t>投标人（公章）：</w:t>
      </w:r>
    </w:p>
    <w:p>
      <w:pPr>
        <w:spacing w:before="100" w:beforeAutospacing="1" w:after="100" w:afterAutospacing="1" w:line="360" w:lineRule="auto"/>
        <w:ind w:firstLine="3316" w:firstLineChars="1382"/>
        <w:rPr>
          <w:rFonts w:hAnsi="宋体"/>
          <w:b/>
          <w:bCs/>
          <w:color w:val="000000" w:themeColor="text1"/>
          <w:sz w:val="24"/>
          <w:u w:val="single"/>
        </w:rPr>
      </w:pPr>
      <w:r>
        <w:rPr>
          <w:rFonts w:hint="eastAsia" w:ascii="宋体" w:hAnsi="宋体" w:eastAsia="宋体" w:cs="Times New Roman"/>
          <w:b/>
          <w:bCs/>
          <w:color w:val="000000" w:themeColor="text1"/>
          <w:sz w:val="24"/>
          <w:szCs w:val="21"/>
          <w:lang w:val="zh-CN"/>
        </w:rPr>
        <w:t>投标人</w:t>
      </w:r>
      <w:r>
        <w:rPr>
          <w:rFonts w:hint="eastAsia" w:hAnsi="宋体"/>
          <w:b/>
          <w:bCs/>
          <w:color w:val="000000" w:themeColor="text1"/>
          <w:sz w:val="24"/>
        </w:rPr>
        <w:t>授权代表（签字）：</w:t>
      </w:r>
    </w:p>
    <w:p>
      <w:pPr>
        <w:spacing w:before="100" w:beforeAutospacing="1" w:after="100" w:afterAutospacing="1" w:line="360" w:lineRule="auto"/>
        <w:ind w:firstLine="3316" w:firstLineChars="1382"/>
        <w:rPr>
          <w:color w:val="000000" w:themeColor="text1"/>
        </w:rPr>
      </w:pPr>
      <w:r>
        <w:rPr>
          <w:rFonts w:hint="eastAsia" w:ascii="宋体" w:hAnsi="宋体" w:eastAsia="宋体" w:cs="Times New Roman"/>
          <w:b/>
          <w:bCs/>
          <w:color w:val="000000" w:themeColor="text1"/>
          <w:sz w:val="24"/>
          <w:szCs w:val="21"/>
          <w:lang w:val="zh-CN"/>
        </w:rPr>
        <w:t>投标</w:t>
      </w:r>
      <w:r>
        <w:rPr>
          <w:rFonts w:hint="eastAsia" w:hAnsi="宋体"/>
          <w:b/>
          <w:bCs/>
          <w:color w:val="000000" w:themeColor="text1"/>
          <w:sz w:val="24"/>
        </w:rPr>
        <w:t>时间：</w:t>
      </w:r>
    </w:p>
    <w:p>
      <w:pPr>
        <w:rPr>
          <w:color w:val="000000" w:themeColor="text1"/>
        </w:rPr>
      </w:pPr>
      <w:r>
        <w:rPr>
          <w:color w:val="000000" w:themeColor="text1"/>
        </w:rPr>
        <w:br w:type="page"/>
      </w:r>
    </w:p>
    <w:p>
      <w:pPr>
        <w:pStyle w:val="2"/>
        <w:numPr>
          <w:ilvl w:val="0"/>
          <w:numId w:val="58"/>
        </w:numPr>
        <w:spacing w:before="100" w:beforeAutospacing="1" w:after="156" w:afterLines="50" w:line="360" w:lineRule="auto"/>
        <w:ind w:left="1610" w:hanging="1610"/>
        <w:rPr>
          <w:rFonts w:ascii="宋体" w:hAnsi="宋体" w:eastAsia="宋体"/>
          <w:color w:val="000000" w:themeColor="text1"/>
        </w:rPr>
      </w:pPr>
      <w:bookmarkStart w:id="234" w:name="_Toc494745332"/>
      <w:bookmarkStart w:id="235" w:name="_Toc494665965"/>
      <w:bookmarkStart w:id="236" w:name="_Toc494665568"/>
      <w:bookmarkStart w:id="237" w:name="_Toc494721115"/>
      <w:bookmarkStart w:id="238" w:name="_Toc10144"/>
      <w:bookmarkStart w:id="239" w:name="_Toc494702285"/>
      <w:bookmarkStart w:id="240" w:name="_Toc494665015"/>
      <w:r>
        <w:rPr>
          <w:rFonts w:hint="eastAsia" w:ascii="宋体" w:hAnsi="宋体" w:eastAsia="宋体"/>
          <w:color w:val="000000" w:themeColor="text1"/>
        </w:rPr>
        <w:t>符合性审查对照表</w:t>
      </w:r>
      <w:bookmarkEnd w:id="234"/>
      <w:bookmarkEnd w:id="235"/>
      <w:bookmarkEnd w:id="236"/>
      <w:bookmarkEnd w:id="237"/>
      <w:bookmarkEnd w:id="238"/>
      <w:bookmarkEnd w:id="239"/>
      <w:bookmarkEnd w:id="240"/>
    </w:p>
    <w:p>
      <w:pPr>
        <w:spacing w:line="360" w:lineRule="auto"/>
        <w:jc w:val="left"/>
        <w:rPr>
          <w:rFonts w:hAnsi="宋体"/>
          <w:b/>
          <w:color w:val="000000" w:themeColor="text1"/>
          <w:sz w:val="24"/>
        </w:rPr>
      </w:pPr>
      <w:r>
        <w:rPr>
          <w:rFonts w:hint="eastAsia" w:hAnsi="宋体"/>
          <w:b/>
          <w:color w:val="000000" w:themeColor="text1"/>
          <w:sz w:val="24"/>
        </w:rPr>
        <w:t>投 标 人：</w:t>
      </w:r>
    </w:p>
    <w:p>
      <w:pPr>
        <w:spacing w:line="360" w:lineRule="auto"/>
        <w:jc w:val="left"/>
        <w:rPr>
          <w:rFonts w:hAnsi="宋体"/>
          <w:b/>
          <w:color w:val="000000" w:themeColor="text1"/>
          <w:sz w:val="24"/>
        </w:rPr>
      </w:pPr>
      <w:r>
        <w:rPr>
          <w:rFonts w:hint="eastAsia" w:ascii="宋体" w:hAnsi="宋体" w:eastAsia="宋体" w:cs="Times New Roman"/>
          <w:b/>
          <w:color w:val="000000" w:themeColor="text1"/>
          <w:sz w:val="24"/>
          <w:szCs w:val="21"/>
          <w:lang w:val="zh-CN"/>
        </w:rPr>
        <w:t>项目编号：</w:t>
      </w:r>
      <w:r>
        <w:rPr>
          <w:rFonts w:hint="eastAsia" w:ascii="宋体" w:hAnsi="宋体" w:eastAsia="宋体" w:cs="Times New Roman"/>
          <w:b/>
          <w:bCs/>
          <w:color w:val="000000" w:themeColor="text1"/>
          <w:sz w:val="24"/>
          <w:szCs w:val="21"/>
          <w:lang w:val="zh-CN"/>
        </w:rPr>
        <w:t xml:space="preserve">                所投包号：</w:t>
      </w:r>
    </w:p>
    <w:tbl>
      <w:tblPr>
        <w:tblStyle w:val="18"/>
        <w:tblW w:w="95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3032"/>
        <w:gridCol w:w="2754"/>
        <w:gridCol w:w="1363"/>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53" w:type="dxa"/>
            <w:shd w:val="clear" w:color="auto" w:fill="F1F1F1" w:themeFill="background1" w:themeFillShade="F2"/>
            <w:vAlign w:val="center"/>
          </w:tcPr>
          <w:p>
            <w:pPr>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序号</w:t>
            </w:r>
          </w:p>
        </w:tc>
        <w:tc>
          <w:tcPr>
            <w:tcW w:w="3032" w:type="dxa"/>
            <w:shd w:val="clear" w:color="auto" w:fill="F1F1F1" w:themeFill="background1" w:themeFillShade="F2"/>
            <w:vAlign w:val="center"/>
          </w:tcPr>
          <w:p>
            <w:pPr>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招标文件</w:t>
            </w:r>
            <w:r>
              <w:rPr>
                <w:rFonts w:hint="eastAsia" w:ascii="宋体" w:hAnsi="宋体" w:eastAsia="宋体" w:cs="Corbel"/>
                <w:color w:val="000000" w:themeColor="text1"/>
                <w:sz w:val="24"/>
                <w:szCs w:val="24"/>
              </w:rPr>
              <w:t>符合性审查条款</w:t>
            </w:r>
          </w:p>
        </w:tc>
        <w:tc>
          <w:tcPr>
            <w:tcW w:w="2754" w:type="dxa"/>
            <w:shd w:val="clear" w:color="auto" w:fill="F1F1F1" w:themeFill="background1" w:themeFillShade="F2"/>
            <w:vAlign w:val="center"/>
          </w:tcPr>
          <w:p>
            <w:pPr>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投标响应内容对应简述</w:t>
            </w:r>
          </w:p>
        </w:tc>
        <w:tc>
          <w:tcPr>
            <w:tcW w:w="1363" w:type="dxa"/>
            <w:shd w:val="clear" w:color="auto" w:fill="F1F1F1" w:themeFill="background1" w:themeFillShade="F2"/>
            <w:vAlign w:val="center"/>
          </w:tcPr>
          <w:p>
            <w:pPr>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偏离说明</w:t>
            </w:r>
          </w:p>
        </w:tc>
        <w:tc>
          <w:tcPr>
            <w:tcW w:w="1602" w:type="dxa"/>
            <w:shd w:val="clear" w:color="auto" w:fill="F1F1F1" w:themeFill="background1" w:themeFillShade="F2"/>
          </w:tcPr>
          <w:p>
            <w:pPr>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1</w:t>
            </w:r>
          </w:p>
        </w:tc>
        <w:tc>
          <w:tcPr>
            <w:tcW w:w="3032" w:type="dxa"/>
            <w:vAlign w:val="center"/>
          </w:tcPr>
          <w:p>
            <w:pPr>
              <w:jc w:val="center"/>
              <w:rPr>
                <w:rFonts w:ascii="宋体" w:hAnsi="宋体" w:eastAsia="宋体" w:cs="仿宋_GB2312"/>
                <w:color w:val="000000" w:themeColor="text1"/>
                <w:sz w:val="24"/>
                <w:szCs w:val="24"/>
              </w:rPr>
            </w:pPr>
          </w:p>
        </w:tc>
        <w:tc>
          <w:tcPr>
            <w:tcW w:w="2754" w:type="dxa"/>
            <w:vAlign w:val="center"/>
          </w:tcPr>
          <w:p>
            <w:pPr>
              <w:jc w:val="center"/>
              <w:rPr>
                <w:rFonts w:ascii="宋体" w:hAnsi="宋体" w:eastAsia="宋体" w:cs="仿宋_GB2312"/>
                <w:color w:val="000000" w:themeColor="text1"/>
                <w:sz w:val="24"/>
                <w:szCs w:val="24"/>
              </w:rPr>
            </w:pPr>
          </w:p>
        </w:tc>
        <w:tc>
          <w:tcPr>
            <w:tcW w:w="1363" w:type="dxa"/>
            <w:vAlign w:val="center"/>
          </w:tcPr>
          <w:p>
            <w:pPr>
              <w:jc w:val="center"/>
              <w:rPr>
                <w:rFonts w:ascii="宋体" w:hAnsi="宋体" w:eastAsia="宋体" w:cs="仿宋_GB2312"/>
                <w:color w:val="000000" w:themeColor="text1"/>
                <w:sz w:val="24"/>
                <w:szCs w:val="24"/>
              </w:rPr>
            </w:pPr>
          </w:p>
        </w:tc>
        <w:tc>
          <w:tcPr>
            <w:tcW w:w="1602" w:type="dxa"/>
            <w:vAlign w:val="center"/>
          </w:tcPr>
          <w:p>
            <w:pPr>
              <w:jc w:val="center"/>
              <w:rPr>
                <w:rFonts w:ascii="宋体" w:hAnsi="宋体" w:eastAsia="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2</w:t>
            </w:r>
          </w:p>
        </w:tc>
        <w:tc>
          <w:tcPr>
            <w:tcW w:w="3032" w:type="dxa"/>
            <w:vAlign w:val="center"/>
          </w:tcPr>
          <w:p>
            <w:pPr>
              <w:jc w:val="center"/>
              <w:rPr>
                <w:rFonts w:ascii="宋体" w:hAnsi="宋体" w:eastAsia="宋体" w:cs="仿宋_GB2312"/>
                <w:color w:val="000000" w:themeColor="text1"/>
                <w:sz w:val="24"/>
                <w:szCs w:val="24"/>
              </w:rPr>
            </w:pPr>
          </w:p>
        </w:tc>
        <w:tc>
          <w:tcPr>
            <w:tcW w:w="2754" w:type="dxa"/>
            <w:vAlign w:val="center"/>
          </w:tcPr>
          <w:p>
            <w:pPr>
              <w:jc w:val="center"/>
              <w:rPr>
                <w:rFonts w:ascii="宋体" w:hAnsi="宋体" w:eastAsia="宋体" w:cs="仿宋_GB2312"/>
                <w:color w:val="000000" w:themeColor="text1"/>
                <w:sz w:val="24"/>
                <w:szCs w:val="24"/>
              </w:rPr>
            </w:pPr>
          </w:p>
        </w:tc>
        <w:tc>
          <w:tcPr>
            <w:tcW w:w="1363" w:type="dxa"/>
            <w:vAlign w:val="center"/>
          </w:tcPr>
          <w:p>
            <w:pPr>
              <w:jc w:val="center"/>
              <w:rPr>
                <w:rFonts w:ascii="宋体" w:hAnsi="宋体" w:eastAsia="宋体" w:cs="仿宋_GB2312"/>
                <w:color w:val="000000" w:themeColor="text1"/>
                <w:sz w:val="24"/>
                <w:szCs w:val="24"/>
              </w:rPr>
            </w:pPr>
          </w:p>
        </w:tc>
        <w:tc>
          <w:tcPr>
            <w:tcW w:w="1602" w:type="dxa"/>
            <w:vAlign w:val="center"/>
          </w:tcPr>
          <w:p>
            <w:pPr>
              <w:jc w:val="center"/>
              <w:rPr>
                <w:rFonts w:ascii="宋体" w:hAnsi="宋体" w:eastAsia="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3</w:t>
            </w:r>
          </w:p>
        </w:tc>
        <w:tc>
          <w:tcPr>
            <w:tcW w:w="3032" w:type="dxa"/>
            <w:vAlign w:val="center"/>
          </w:tcPr>
          <w:p>
            <w:pPr>
              <w:jc w:val="center"/>
              <w:rPr>
                <w:rFonts w:ascii="宋体" w:hAnsi="宋体" w:eastAsia="宋体" w:cs="仿宋_GB2312"/>
                <w:color w:val="000000" w:themeColor="text1"/>
                <w:sz w:val="24"/>
                <w:szCs w:val="24"/>
              </w:rPr>
            </w:pPr>
          </w:p>
        </w:tc>
        <w:tc>
          <w:tcPr>
            <w:tcW w:w="2754" w:type="dxa"/>
            <w:vAlign w:val="center"/>
          </w:tcPr>
          <w:p>
            <w:pPr>
              <w:jc w:val="center"/>
              <w:rPr>
                <w:rFonts w:ascii="宋体" w:hAnsi="宋体" w:eastAsia="宋体" w:cs="仿宋_GB2312"/>
                <w:color w:val="000000" w:themeColor="text1"/>
                <w:sz w:val="24"/>
                <w:szCs w:val="24"/>
              </w:rPr>
            </w:pPr>
          </w:p>
        </w:tc>
        <w:tc>
          <w:tcPr>
            <w:tcW w:w="1363" w:type="dxa"/>
            <w:vAlign w:val="center"/>
          </w:tcPr>
          <w:p>
            <w:pPr>
              <w:jc w:val="center"/>
              <w:rPr>
                <w:rFonts w:ascii="宋体" w:hAnsi="宋体" w:eastAsia="宋体" w:cs="仿宋_GB2312"/>
                <w:color w:val="000000" w:themeColor="text1"/>
                <w:sz w:val="24"/>
                <w:szCs w:val="24"/>
              </w:rPr>
            </w:pPr>
          </w:p>
        </w:tc>
        <w:tc>
          <w:tcPr>
            <w:tcW w:w="1602" w:type="dxa"/>
            <w:vAlign w:val="center"/>
          </w:tcPr>
          <w:p>
            <w:pPr>
              <w:jc w:val="center"/>
              <w:rPr>
                <w:rFonts w:ascii="宋体" w:hAnsi="宋体" w:eastAsia="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4</w:t>
            </w:r>
          </w:p>
        </w:tc>
        <w:tc>
          <w:tcPr>
            <w:tcW w:w="3032" w:type="dxa"/>
            <w:vAlign w:val="center"/>
          </w:tcPr>
          <w:p>
            <w:pPr>
              <w:jc w:val="center"/>
              <w:rPr>
                <w:rFonts w:ascii="宋体" w:hAnsi="宋体" w:eastAsia="宋体" w:cs="仿宋_GB2312"/>
                <w:color w:val="000000" w:themeColor="text1"/>
                <w:sz w:val="24"/>
                <w:szCs w:val="24"/>
              </w:rPr>
            </w:pPr>
          </w:p>
        </w:tc>
        <w:tc>
          <w:tcPr>
            <w:tcW w:w="2754" w:type="dxa"/>
            <w:vAlign w:val="center"/>
          </w:tcPr>
          <w:p>
            <w:pPr>
              <w:jc w:val="center"/>
              <w:rPr>
                <w:rFonts w:ascii="宋体" w:hAnsi="宋体" w:eastAsia="宋体" w:cs="仿宋_GB2312"/>
                <w:color w:val="000000" w:themeColor="text1"/>
                <w:sz w:val="24"/>
                <w:szCs w:val="24"/>
              </w:rPr>
            </w:pPr>
          </w:p>
        </w:tc>
        <w:tc>
          <w:tcPr>
            <w:tcW w:w="1363" w:type="dxa"/>
            <w:vAlign w:val="center"/>
          </w:tcPr>
          <w:p>
            <w:pPr>
              <w:jc w:val="center"/>
              <w:rPr>
                <w:rFonts w:ascii="宋体" w:hAnsi="宋体" w:eastAsia="宋体" w:cs="仿宋_GB2312"/>
                <w:color w:val="000000" w:themeColor="text1"/>
                <w:sz w:val="24"/>
                <w:szCs w:val="24"/>
              </w:rPr>
            </w:pPr>
          </w:p>
        </w:tc>
        <w:tc>
          <w:tcPr>
            <w:tcW w:w="1602" w:type="dxa"/>
            <w:vAlign w:val="center"/>
          </w:tcPr>
          <w:p>
            <w:pPr>
              <w:jc w:val="center"/>
              <w:rPr>
                <w:rFonts w:ascii="宋体" w:hAnsi="宋体" w:eastAsia="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5</w:t>
            </w:r>
          </w:p>
        </w:tc>
        <w:tc>
          <w:tcPr>
            <w:tcW w:w="3032" w:type="dxa"/>
            <w:vAlign w:val="center"/>
          </w:tcPr>
          <w:p>
            <w:pPr>
              <w:jc w:val="center"/>
              <w:rPr>
                <w:rFonts w:ascii="宋体" w:hAnsi="宋体" w:eastAsia="宋体" w:cs="仿宋_GB2312"/>
                <w:color w:val="000000" w:themeColor="text1"/>
                <w:sz w:val="24"/>
                <w:szCs w:val="24"/>
              </w:rPr>
            </w:pPr>
          </w:p>
        </w:tc>
        <w:tc>
          <w:tcPr>
            <w:tcW w:w="2754" w:type="dxa"/>
            <w:vAlign w:val="center"/>
          </w:tcPr>
          <w:p>
            <w:pPr>
              <w:jc w:val="center"/>
              <w:rPr>
                <w:rFonts w:ascii="宋体" w:hAnsi="宋体" w:eastAsia="宋体" w:cs="仿宋_GB2312"/>
                <w:color w:val="000000" w:themeColor="text1"/>
                <w:sz w:val="24"/>
                <w:szCs w:val="24"/>
              </w:rPr>
            </w:pPr>
          </w:p>
        </w:tc>
        <w:tc>
          <w:tcPr>
            <w:tcW w:w="1363" w:type="dxa"/>
            <w:vAlign w:val="center"/>
          </w:tcPr>
          <w:p>
            <w:pPr>
              <w:jc w:val="center"/>
              <w:rPr>
                <w:rFonts w:ascii="宋体" w:hAnsi="宋体" w:eastAsia="宋体" w:cs="仿宋_GB2312"/>
                <w:color w:val="000000" w:themeColor="text1"/>
                <w:sz w:val="24"/>
                <w:szCs w:val="24"/>
              </w:rPr>
            </w:pPr>
          </w:p>
        </w:tc>
        <w:tc>
          <w:tcPr>
            <w:tcW w:w="1602" w:type="dxa"/>
            <w:vAlign w:val="center"/>
          </w:tcPr>
          <w:p>
            <w:pPr>
              <w:jc w:val="center"/>
              <w:rPr>
                <w:rFonts w:ascii="宋体" w:hAnsi="宋体" w:eastAsia="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6</w:t>
            </w:r>
          </w:p>
        </w:tc>
        <w:tc>
          <w:tcPr>
            <w:tcW w:w="3032" w:type="dxa"/>
            <w:vAlign w:val="center"/>
          </w:tcPr>
          <w:p>
            <w:pPr>
              <w:jc w:val="center"/>
              <w:rPr>
                <w:rFonts w:ascii="宋体" w:hAnsi="宋体" w:eastAsia="宋体" w:cs="仿宋_GB2312"/>
                <w:color w:val="000000" w:themeColor="text1"/>
                <w:sz w:val="24"/>
                <w:szCs w:val="24"/>
              </w:rPr>
            </w:pPr>
          </w:p>
        </w:tc>
        <w:tc>
          <w:tcPr>
            <w:tcW w:w="2754" w:type="dxa"/>
            <w:vAlign w:val="center"/>
          </w:tcPr>
          <w:p>
            <w:pPr>
              <w:jc w:val="center"/>
              <w:rPr>
                <w:rFonts w:ascii="宋体" w:hAnsi="宋体" w:eastAsia="宋体" w:cs="仿宋_GB2312"/>
                <w:color w:val="000000" w:themeColor="text1"/>
                <w:sz w:val="24"/>
                <w:szCs w:val="24"/>
              </w:rPr>
            </w:pPr>
          </w:p>
        </w:tc>
        <w:tc>
          <w:tcPr>
            <w:tcW w:w="1363" w:type="dxa"/>
            <w:vAlign w:val="center"/>
          </w:tcPr>
          <w:p>
            <w:pPr>
              <w:jc w:val="center"/>
              <w:rPr>
                <w:rFonts w:ascii="宋体" w:hAnsi="宋体" w:eastAsia="宋体" w:cs="仿宋_GB2312"/>
                <w:color w:val="000000" w:themeColor="text1"/>
                <w:sz w:val="24"/>
                <w:szCs w:val="24"/>
              </w:rPr>
            </w:pPr>
          </w:p>
        </w:tc>
        <w:tc>
          <w:tcPr>
            <w:tcW w:w="1602" w:type="dxa"/>
            <w:vAlign w:val="center"/>
          </w:tcPr>
          <w:p>
            <w:pPr>
              <w:jc w:val="center"/>
              <w:rPr>
                <w:rFonts w:ascii="宋体" w:hAnsi="宋体" w:eastAsia="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7</w:t>
            </w:r>
          </w:p>
        </w:tc>
        <w:tc>
          <w:tcPr>
            <w:tcW w:w="3032" w:type="dxa"/>
            <w:vAlign w:val="center"/>
          </w:tcPr>
          <w:p>
            <w:pPr>
              <w:jc w:val="center"/>
              <w:rPr>
                <w:rFonts w:ascii="宋体" w:hAnsi="宋体" w:eastAsia="宋体" w:cs="仿宋_GB2312"/>
                <w:color w:val="000000" w:themeColor="text1"/>
                <w:sz w:val="24"/>
                <w:szCs w:val="24"/>
              </w:rPr>
            </w:pPr>
          </w:p>
        </w:tc>
        <w:tc>
          <w:tcPr>
            <w:tcW w:w="2754" w:type="dxa"/>
            <w:vAlign w:val="center"/>
          </w:tcPr>
          <w:p>
            <w:pPr>
              <w:jc w:val="center"/>
              <w:rPr>
                <w:rFonts w:ascii="宋体" w:hAnsi="宋体" w:eastAsia="宋体" w:cs="仿宋_GB2312"/>
                <w:color w:val="000000" w:themeColor="text1"/>
                <w:sz w:val="24"/>
                <w:szCs w:val="24"/>
              </w:rPr>
            </w:pPr>
          </w:p>
        </w:tc>
        <w:tc>
          <w:tcPr>
            <w:tcW w:w="1363" w:type="dxa"/>
            <w:vAlign w:val="center"/>
          </w:tcPr>
          <w:p>
            <w:pPr>
              <w:jc w:val="center"/>
              <w:rPr>
                <w:rFonts w:ascii="宋体" w:hAnsi="宋体" w:eastAsia="宋体" w:cs="仿宋_GB2312"/>
                <w:color w:val="000000" w:themeColor="text1"/>
                <w:sz w:val="24"/>
                <w:szCs w:val="24"/>
              </w:rPr>
            </w:pPr>
          </w:p>
        </w:tc>
        <w:tc>
          <w:tcPr>
            <w:tcW w:w="1602" w:type="dxa"/>
            <w:vAlign w:val="center"/>
          </w:tcPr>
          <w:p>
            <w:pPr>
              <w:jc w:val="center"/>
              <w:rPr>
                <w:rFonts w:ascii="宋体" w:hAnsi="宋体" w:eastAsia="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w:t>
            </w:r>
          </w:p>
        </w:tc>
        <w:tc>
          <w:tcPr>
            <w:tcW w:w="3032" w:type="dxa"/>
            <w:vAlign w:val="center"/>
          </w:tcPr>
          <w:p>
            <w:pPr>
              <w:jc w:val="center"/>
              <w:rPr>
                <w:rFonts w:ascii="宋体" w:hAnsi="宋体" w:eastAsia="宋体" w:cs="仿宋_GB2312"/>
                <w:color w:val="000000" w:themeColor="text1"/>
                <w:sz w:val="24"/>
                <w:szCs w:val="24"/>
              </w:rPr>
            </w:pPr>
          </w:p>
        </w:tc>
        <w:tc>
          <w:tcPr>
            <w:tcW w:w="2754" w:type="dxa"/>
            <w:vAlign w:val="center"/>
          </w:tcPr>
          <w:p>
            <w:pPr>
              <w:jc w:val="center"/>
              <w:rPr>
                <w:rFonts w:ascii="宋体" w:hAnsi="宋体" w:eastAsia="宋体" w:cs="仿宋_GB2312"/>
                <w:color w:val="000000" w:themeColor="text1"/>
                <w:sz w:val="24"/>
                <w:szCs w:val="24"/>
              </w:rPr>
            </w:pPr>
          </w:p>
        </w:tc>
        <w:tc>
          <w:tcPr>
            <w:tcW w:w="1363" w:type="dxa"/>
            <w:vAlign w:val="center"/>
          </w:tcPr>
          <w:p>
            <w:pPr>
              <w:jc w:val="center"/>
              <w:rPr>
                <w:rFonts w:ascii="宋体" w:hAnsi="宋体" w:eastAsia="宋体" w:cs="仿宋_GB2312"/>
                <w:color w:val="000000" w:themeColor="text1"/>
                <w:sz w:val="24"/>
                <w:szCs w:val="24"/>
              </w:rPr>
            </w:pPr>
          </w:p>
        </w:tc>
        <w:tc>
          <w:tcPr>
            <w:tcW w:w="1602" w:type="dxa"/>
            <w:vAlign w:val="center"/>
          </w:tcPr>
          <w:p>
            <w:pPr>
              <w:jc w:val="center"/>
              <w:rPr>
                <w:rFonts w:ascii="宋体" w:hAnsi="宋体" w:eastAsia="宋体" w:cs="仿宋_GB2312"/>
                <w:color w:val="000000" w:themeColor="text1"/>
                <w:sz w:val="24"/>
                <w:szCs w:val="24"/>
              </w:rPr>
            </w:pPr>
          </w:p>
        </w:tc>
      </w:tr>
    </w:tbl>
    <w:p>
      <w:pPr>
        <w:spacing w:line="360" w:lineRule="auto"/>
        <w:ind w:left="1092" w:hanging="1092" w:hangingChars="455"/>
        <w:jc w:val="left"/>
        <w:rPr>
          <w:rFonts w:ascii="宋体" w:hAnsi="宋体" w:eastAsia="宋体" w:cs="Times New Roman"/>
          <w:b/>
          <w:color w:val="000000" w:themeColor="text1"/>
          <w:sz w:val="24"/>
          <w:szCs w:val="24"/>
        </w:rPr>
      </w:pPr>
      <w:r>
        <w:rPr>
          <w:rFonts w:hint="eastAsia" w:ascii="宋体" w:hAnsi="宋体" w:eastAsia="宋体" w:cs="Times New Roman"/>
          <w:color w:val="000000" w:themeColor="text1"/>
          <w:sz w:val="24"/>
          <w:szCs w:val="24"/>
        </w:rPr>
        <w:t>说明</w:t>
      </w:r>
      <w:r>
        <w:rPr>
          <w:rFonts w:hint="eastAsia" w:ascii="宋体" w:hAnsi="宋体" w:eastAsia="宋体" w:cs="Corbel"/>
          <w:color w:val="000000" w:themeColor="text1"/>
          <w:sz w:val="24"/>
          <w:szCs w:val="24"/>
        </w:rPr>
        <w:t>：1</w:t>
      </w:r>
      <w:r>
        <w:rPr>
          <w:rFonts w:hint="eastAsia" w:ascii="宋体" w:hAnsi="宋体" w:eastAsia="宋体" w:cs="Times New Roman"/>
          <w:color w:val="000000" w:themeColor="text1"/>
          <w:sz w:val="24"/>
          <w:szCs w:val="24"/>
        </w:rPr>
        <w:t>．</w:t>
      </w:r>
      <w:r>
        <w:rPr>
          <w:rFonts w:hint="eastAsia" w:ascii="宋体" w:hAnsi="宋体" w:eastAsia="宋体" w:cs="Corbel"/>
          <w:color w:val="000000" w:themeColor="text1"/>
          <w:sz w:val="24"/>
          <w:szCs w:val="24"/>
        </w:rPr>
        <w:t>投标人应按招标文件第五章“评标方法、程序及标准”中“符合性审查”的条款逐项说明是否满足要求，如有偏离,投标人应详细说明。未按照要求详细完整填写此表或仅注明“符合”、“满足”的，</w:t>
      </w:r>
      <w:r>
        <w:rPr>
          <w:rFonts w:hint="eastAsia" w:ascii="宋体" w:hAnsi="宋体" w:eastAsia="宋体" w:cs="Times New Roman"/>
          <w:color w:val="000000" w:themeColor="text1"/>
          <w:sz w:val="24"/>
          <w:szCs w:val="24"/>
        </w:rPr>
        <w:t>导致的后果由投标人自行承担。</w:t>
      </w:r>
    </w:p>
    <w:p>
      <w:pPr>
        <w:spacing w:line="360" w:lineRule="auto"/>
        <w:ind w:left="1061" w:leftChars="339" w:hanging="350" w:hangingChars="146"/>
        <w:jc w:val="left"/>
        <w:rPr>
          <w:rFonts w:ascii="宋体" w:hAnsi="宋体" w:eastAsia="宋体" w:cs="Times New Roman"/>
          <w:b/>
          <w:color w:val="000000" w:themeColor="text1"/>
          <w:sz w:val="24"/>
          <w:szCs w:val="24"/>
        </w:rPr>
      </w:pPr>
      <w:r>
        <w:rPr>
          <w:rFonts w:hint="eastAsia" w:ascii="宋体" w:hAnsi="宋体" w:eastAsia="宋体" w:cs="Corbel"/>
          <w:color w:val="000000" w:themeColor="text1"/>
          <w:sz w:val="24"/>
          <w:szCs w:val="24"/>
        </w:rPr>
        <w:t>2．</w:t>
      </w:r>
      <w:r>
        <w:rPr>
          <w:rFonts w:hint="eastAsia" w:ascii="宋体" w:hAnsi="宋体" w:eastAsia="宋体" w:cs="Times New Roman"/>
          <w:color w:val="000000" w:themeColor="text1"/>
          <w:sz w:val="24"/>
          <w:szCs w:val="24"/>
        </w:rPr>
        <w:t>投标人</w:t>
      </w:r>
      <w:r>
        <w:rPr>
          <w:rFonts w:hint="eastAsia" w:ascii="宋体" w:hAnsi="宋体" w:eastAsia="宋体" w:cs="Corbel"/>
          <w:color w:val="000000" w:themeColor="text1"/>
          <w:sz w:val="24"/>
          <w:szCs w:val="24"/>
        </w:rPr>
        <w:t>提供的相关证明文件对应的页码填写到上表“投标文件对应的页码”中。如未提供页码或内容页码完全不一致的，</w:t>
      </w:r>
      <w:r>
        <w:rPr>
          <w:rFonts w:hint="eastAsia" w:ascii="宋体" w:hAnsi="宋体" w:eastAsia="宋体" w:cs="Times New Roman"/>
          <w:color w:val="000000" w:themeColor="text1"/>
          <w:sz w:val="24"/>
          <w:szCs w:val="24"/>
        </w:rPr>
        <w:t>导致的后果由投标人自行承担。</w:t>
      </w:r>
    </w:p>
    <w:p>
      <w:pPr>
        <w:spacing w:before="100" w:beforeAutospacing="1" w:after="100" w:afterAutospacing="1" w:line="360" w:lineRule="auto"/>
        <w:ind w:firstLine="3316" w:firstLineChars="1382"/>
        <w:rPr>
          <w:rFonts w:hAnsi="宋体"/>
          <w:b/>
          <w:bCs/>
          <w:color w:val="000000" w:themeColor="text1"/>
          <w:sz w:val="24"/>
          <w:u w:val="single"/>
        </w:rPr>
      </w:pPr>
      <w:r>
        <w:rPr>
          <w:rFonts w:hint="eastAsia" w:hAnsi="宋体"/>
          <w:b/>
          <w:bCs/>
          <w:color w:val="000000" w:themeColor="text1"/>
          <w:sz w:val="24"/>
        </w:rPr>
        <w:t>投标人（公章）：</w:t>
      </w:r>
    </w:p>
    <w:p>
      <w:pPr>
        <w:spacing w:before="100" w:beforeAutospacing="1" w:after="100" w:afterAutospacing="1" w:line="360" w:lineRule="auto"/>
        <w:ind w:firstLine="3316" w:firstLineChars="1382"/>
        <w:rPr>
          <w:rFonts w:hAnsi="宋体"/>
          <w:b/>
          <w:bCs/>
          <w:color w:val="000000" w:themeColor="text1"/>
          <w:sz w:val="24"/>
          <w:u w:val="single"/>
        </w:rPr>
      </w:pPr>
      <w:r>
        <w:rPr>
          <w:rFonts w:hint="eastAsia" w:ascii="宋体" w:hAnsi="宋体" w:eastAsia="宋体" w:cs="Times New Roman"/>
          <w:b/>
          <w:bCs/>
          <w:color w:val="000000" w:themeColor="text1"/>
          <w:sz w:val="24"/>
          <w:szCs w:val="21"/>
          <w:lang w:val="zh-CN"/>
        </w:rPr>
        <w:t>投标人</w:t>
      </w:r>
      <w:r>
        <w:rPr>
          <w:rFonts w:hint="eastAsia" w:hAnsi="宋体"/>
          <w:b/>
          <w:bCs/>
          <w:color w:val="000000" w:themeColor="text1"/>
          <w:sz w:val="24"/>
        </w:rPr>
        <w:t>授权代表（签字）：</w:t>
      </w:r>
    </w:p>
    <w:p>
      <w:pPr>
        <w:spacing w:before="100" w:beforeAutospacing="1" w:after="100" w:afterAutospacing="1" w:line="360" w:lineRule="auto"/>
        <w:ind w:firstLine="3316" w:firstLineChars="1382"/>
        <w:rPr>
          <w:color w:val="000000" w:themeColor="text1"/>
        </w:rPr>
      </w:pPr>
      <w:r>
        <w:rPr>
          <w:rFonts w:hint="eastAsia" w:ascii="宋体" w:hAnsi="宋体" w:eastAsia="宋体" w:cs="Times New Roman"/>
          <w:b/>
          <w:bCs/>
          <w:color w:val="000000" w:themeColor="text1"/>
          <w:sz w:val="24"/>
          <w:szCs w:val="21"/>
          <w:lang w:val="zh-CN"/>
        </w:rPr>
        <w:t>投标</w:t>
      </w:r>
      <w:r>
        <w:rPr>
          <w:rFonts w:hint="eastAsia" w:hAnsi="宋体"/>
          <w:b/>
          <w:bCs/>
          <w:color w:val="000000" w:themeColor="text1"/>
          <w:sz w:val="24"/>
        </w:rPr>
        <w:t>时间：</w:t>
      </w:r>
    </w:p>
    <w:p>
      <w:pPr>
        <w:rPr>
          <w:color w:val="000000" w:themeColor="text1"/>
        </w:rPr>
      </w:pPr>
      <w:r>
        <w:rPr>
          <w:color w:val="000000" w:themeColor="text1"/>
        </w:rPr>
        <w:br w:type="page"/>
      </w:r>
    </w:p>
    <w:p>
      <w:pPr>
        <w:pStyle w:val="2"/>
        <w:numPr>
          <w:ilvl w:val="0"/>
          <w:numId w:val="58"/>
        </w:numPr>
        <w:spacing w:before="100" w:beforeAutospacing="1" w:after="156" w:afterLines="50" w:line="360" w:lineRule="auto"/>
        <w:ind w:left="1610" w:hanging="1610"/>
        <w:rPr>
          <w:rFonts w:ascii="宋体" w:hAnsi="宋体" w:eastAsia="宋体"/>
          <w:color w:val="000000" w:themeColor="text1"/>
        </w:rPr>
      </w:pPr>
      <w:bookmarkStart w:id="241" w:name="_Toc494702286"/>
      <w:bookmarkStart w:id="242" w:name="_Toc494721116"/>
      <w:bookmarkStart w:id="243" w:name="_Toc494665016"/>
      <w:bookmarkStart w:id="244" w:name="_Toc494745333"/>
      <w:bookmarkStart w:id="245" w:name="_Toc5271"/>
      <w:bookmarkStart w:id="246" w:name="_Toc494665966"/>
      <w:bookmarkStart w:id="247" w:name="_Toc494665569"/>
      <w:r>
        <w:rPr>
          <w:rFonts w:hint="eastAsia" w:ascii="宋体" w:hAnsi="宋体" w:eastAsia="宋体"/>
          <w:color w:val="000000" w:themeColor="text1"/>
        </w:rPr>
        <w:t>商务要求响应、偏离说明表</w:t>
      </w:r>
      <w:bookmarkEnd w:id="241"/>
      <w:bookmarkEnd w:id="242"/>
      <w:bookmarkEnd w:id="243"/>
      <w:bookmarkEnd w:id="244"/>
      <w:bookmarkEnd w:id="245"/>
      <w:bookmarkEnd w:id="246"/>
      <w:bookmarkEnd w:id="247"/>
    </w:p>
    <w:p>
      <w:pPr>
        <w:spacing w:line="360" w:lineRule="auto"/>
        <w:jc w:val="left"/>
        <w:rPr>
          <w:rFonts w:hAnsi="宋体"/>
          <w:b/>
          <w:color w:val="000000" w:themeColor="text1"/>
          <w:sz w:val="24"/>
        </w:rPr>
      </w:pPr>
      <w:r>
        <w:rPr>
          <w:rFonts w:hint="eastAsia" w:hAnsi="宋体"/>
          <w:b/>
          <w:color w:val="000000" w:themeColor="text1"/>
          <w:sz w:val="24"/>
        </w:rPr>
        <w:t>投 标 人：</w:t>
      </w:r>
    </w:p>
    <w:p>
      <w:pPr>
        <w:spacing w:line="360" w:lineRule="auto"/>
        <w:jc w:val="left"/>
        <w:rPr>
          <w:rFonts w:hAnsi="宋体"/>
          <w:b/>
          <w:color w:val="000000" w:themeColor="text1"/>
          <w:sz w:val="24"/>
        </w:rPr>
      </w:pPr>
      <w:r>
        <w:rPr>
          <w:rFonts w:hint="eastAsia" w:ascii="宋体" w:hAnsi="宋体" w:eastAsia="宋体" w:cs="Times New Roman"/>
          <w:b/>
          <w:color w:val="000000" w:themeColor="text1"/>
          <w:sz w:val="24"/>
          <w:szCs w:val="21"/>
          <w:lang w:val="zh-CN"/>
        </w:rPr>
        <w:t>项目编号：</w:t>
      </w:r>
      <w:r>
        <w:rPr>
          <w:rFonts w:hint="eastAsia" w:ascii="宋体" w:hAnsi="宋体" w:eastAsia="宋体" w:cs="Times New Roman"/>
          <w:b/>
          <w:bCs/>
          <w:color w:val="000000" w:themeColor="text1"/>
          <w:sz w:val="24"/>
          <w:szCs w:val="21"/>
          <w:lang w:val="zh-CN"/>
        </w:rPr>
        <w:t xml:space="preserve">                所投包号：</w:t>
      </w:r>
    </w:p>
    <w:tbl>
      <w:tblPr>
        <w:tblStyle w:val="18"/>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序号</w:t>
            </w:r>
          </w:p>
        </w:tc>
        <w:tc>
          <w:tcPr>
            <w:tcW w:w="2767" w:type="dxa"/>
            <w:shd w:val="clear" w:color="auto" w:fill="F1F1F1" w:themeFill="background1" w:themeFillShade="F2"/>
            <w:vAlign w:val="center"/>
          </w:tcPr>
          <w:p>
            <w:pPr>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招标文件商务要求条款</w:t>
            </w:r>
          </w:p>
        </w:tc>
        <w:tc>
          <w:tcPr>
            <w:tcW w:w="2767" w:type="dxa"/>
            <w:shd w:val="clear" w:color="auto" w:fill="F1F1F1" w:themeFill="background1" w:themeFillShade="F2"/>
            <w:vAlign w:val="center"/>
          </w:tcPr>
          <w:p>
            <w:pPr>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投标响应内容对应简述</w:t>
            </w:r>
          </w:p>
        </w:tc>
        <w:tc>
          <w:tcPr>
            <w:tcW w:w="1619" w:type="dxa"/>
            <w:shd w:val="clear" w:color="auto" w:fill="F1F1F1" w:themeFill="background1" w:themeFillShade="F2"/>
            <w:vAlign w:val="center"/>
          </w:tcPr>
          <w:p>
            <w:pPr>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偏离说明</w:t>
            </w:r>
          </w:p>
        </w:tc>
        <w:tc>
          <w:tcPr>
            <w:tcW w:w="1619" w:type="dxa"/>
            <w:shd w:val="clear" w:color="auto" w:fill="F1F1F1" w:themeFill="background1" w:themeFillShade="F2"/>
          </w:tcPr>
          <w:p>
            <w:pPr>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1</w:t>
            </w:r>
          </w:p>
        </w:tc>
        <w:tc>
          <w:tcPr>
            <w:tcW w:w="2767" w:type="dxa"/>
            <w:vAlign w:val="center"/>
          </w:tcPr>
          <w:p>
            <w:pPr>
              <w:jc w:val="center"/>
              <w:rPr>
                <w:rFonts w:ascii="宋体" w:hAnsi="宋体" w:eastAsia="宋体" w:cs="仿宋_GB2312"/>
                <w:color w:val="000000" w:themeColor="text1"/>
                <w:sz w:val="24"/>
                <w:szCs w:val="24"/>
              </w:rPr>
            </w:pPr>
          </w:p>
        </w:tc>
        <w:tc>
          <w:tcPr>
            <w:tcW w:w="2767" w:type="dxa"/>
            <w:vAlign w:val="center"/>
          </w:tcPr>
          <w:p>
            <w:pPr>
              <w:jc w:val="center"/>
              <w:rPr>
                <w:rFonts w:ascii="宋体" w:hAnsi="宋体" w:eastAsia="宋体" w:cs="仿宋_GB2312"/>
                <w:color w:val="000000" w:themeColor="text1"/>
                <w:sz w:val="24"/>
                <w:szCs w:val="24"/>
              </w:rPr>
            </w:pPr>
          </w:p>
        </w:tc>
        <w:tc>
          <w:tcPr>
            <w:tcW w:w="1619" w:type="dxa"/>
            <w:vAlign w:val="center"/>
          </w:tcPr>
          <w:p>
            <w:pPr>
              <w:jc w:val="center"/>
              <w:rPr>
                <w:rFonts w:ascii="宋体" w:hAnsi="宋体" w:eastAsia="宋体" w:cs="仿宋_GB2312"/>
                <w:color w:val="000000" w:themeColor="text1"/>
                <w:sz w:val="24"/>
                <w:szCs w:val="24"/>
              </w:rPr>
            </w:pPr>
          </w:p>
        </w:tc>
        <w:tc>
          <w:tcPr>
            <w:tcW w:w="1619" w:type="dxa"/>
            <w:vAlign w:val="center"/>
          </w:tcPr>
          <w:p>
            <w:pPr>
              <w:jc w:val="center"/>
              <w:rPr>
                <w:rFonts w:ascii="宋体" w:hAnsi="宋体" w:eastAsia="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2</w:t>
            </w:r>
          </w:p>
        </w:tc>
        <w:tc>
          <w:tcPr>
            <w:tcW w:w="2767" w:type="dxa"/>
            <w:vAlign w:val="center"/>
          </w:tcPr>
          <w:p>
            <w:pPr>
              <w:jc w:val="center"/>
              <w:rPr>
                <w:rFonts w:ascii="宋体" w:hAnsi="宋体" w:eastAsia="宋体" w:cs="仿宋_GB2312"/>
                <w:color w:val="000000" w:themeColor="text1"/>
                <w:sz w:val="24"/>
                <w:szCs w:val="24"/>
              </w:rPr>
            </w:pPr>
          </w:p>
        </w:tc>
        <w:tc>
          <w:tcPr>
            <w:tcW w:w="2767" w:type="dxa"/>
            <w:vAlign w:val="center"/>
          </w:tcPr>
          <w:p>
            <w:pPr>
              <w:jc w:val="center"/>
              <w:rPr>
                <w:rFonts w:ascii="宋体" w:hAnsi="宋体" w:eastAsia="宋体" w:cs="仿宋_GB2312"/>
                <w:color w:val="000000" w:themeColor="text1"/>
                <w:sz w:val="24"/>
                <w:szCs w:val="24"/>
              </w:rPr>
            </w:pPr>
          </w:p>
        </w:tc>
        <w:tc>
          <w:tcPr>
            <w:tcW w:w="1619" w:type="dxa"/>
            <w:vAlign w:val="center"/>
          </w:tcPr>
          <w:p>
            <w:pPr>
              <w:jc w:val="center"/>
              <w:rPr>
                <w:rFonts w:ascii="宋体" w:hAnsi="宋体" w:eastAsia="宋体" w:cs="仿宋_GB2312"/>
                <w:color w:val="000000" w:themeColor="text1"/>
                <w:sz w:val="24"/>
                <w:szCs w:val="24"/>
              </w:rPr>
            </w:pPr>
          </w:p>
        </w:tc>
        <w:tc>
          <w:tcPr>
            <w:tcW w:w="1619" w:type="dxa"/>
            <w:vAlign w:val="center"/>
          </w:tcPr>
          <w:p>
            <w:pPr>
              <w:jc w:val="center"/>
              <w:rPr>
                <w:rFonts w:ascii="宋体" w:hAnsi="宋体" w:eastAsia="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3</w:t>
            </w:r>
          </w:p>
        </w:tc>
        <w:tc>
          <w:tcPr>
            <w:tcW w:w="2767" w:type="dxa"/>
            <w:vAlign w:val="center"/>
          </w:tcPr>
          <w:p>
            <w:pPr>
              <w:jc w:val="center"/>
              <w:rPr>
                <w:rFonts w:ascii="宋体" w:hAnsi="宋体" w:eastAsia="宋体" w:cs="仿宋_GB2312"/>
                <w:color w:val="000000" w:themeColor="text1"/>
                <w:sz w:val="24"/>
                <w:szCs w:val="24"/>
              </w:rPr>
            </w:pPr>
          </w:p>
        </w:tc>
        <w:tc>
          <w:tcPr>
            <w:tcW w:w="2767" w:type="dxa"/>
            <w:vAlign w:val="center"/>
          </w:tcPr>
          <w:p>
            <w:pPr>
              <w:jc w:val="center"/>
              <w:rPr>
                <w:rFonts w:ascii="宋体" w:hAnsi="宋体" w:eastAsia="宋体" w:cs="仿宋_GB2312"/>
                <w:color w:val="000000" w:themeColor="text1"/>
                <w:sz w:val="24"/>
                <w:szCs w:val="24"/>
              </w:rPr>
            </w:pPr>
          </w:p>
        </w:tc>
        <w:tc>
          <w:tcPr>
            <w:tcW w:w="1619" w:type="dxa"/>
            <w:vAlign w:val="center"/>
          </w:tcPr>
          <w:p>
            <w:pPr>
              <w:jc w:val="center"/>
              <w:rPr>
                <w:rFonts w:ascii="宋体" w:hAnsi="宋体" w:eastAsia="宋体" w:cs="仿宋_GB2312"/>
                <w:color w:val="000000" w:themeColor="text1"/>
                <w:sz w:val="24"/>
                <w:szCs w:val="24"/>
              </w:rPr>
            </w:pPr>
          </w:p>
        </w:tc>
        <w:tc>
          <w:tcPr>
            <w:tcW w:w="1619" w:type="dxa"/>
            <w:vAlign w:val="center"/>
          </w:tcPr>
          <w:p>
            <w:pPr>
              <w:jc w:val="center"/>
              <w:rPr>
                <w:rFonts w:ascii="宋体" w:hAnsi="宋体" w:eastAsia="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4</w:t>
            </w:r>
          </w:p>
        </w:tc>
        <w:tc>
          <w:tcPr>
            <w:tcW w:w="2767" w:type="dxa"/>
            <w:vAlign w:val="center"/>
          </w:tcPr>
          <w:p>
            <w:pPr>
              <w:jc w:val="center"/>
              <w:rPr>
                <w:rFonts w:ascii="宋体" w:hAnsi="宋体" w:eastAsia="宋体" w:cs="仿宋_GB2312"/>
                <w:color w:val="000000" w:themeColor="text1"/>
                <w:sz w:val="24"/>
                <w:szCs w:val="24"/>
              </w:rPr>
            </w:pPr>
          </w:p>
        </w:tc>
        <w:tc>
          <w:tcPr>
            <w:tcW w:w="2767" w:type="dxa"/>
            <w:vAlign w:val="center"/>
          </w:tcPr>
          <w:p>
            <w:pPr>
              <w:jc w:val="center"/>
              <w:rPr>
                <w:rFonts w:ascii="宋体" w:hAnsi="宋体" w:eastAsia="宋体" w:cs="仿宋_GB2312"/>
                <w:color w:val="000000" w:themeColor="text1"/>
                <w:sz w:val="24"/>
                <w:szCs w:val="24"/>
              </w:rPr>
            </w:pPr>
          </w:p>
        </w:tc>
        <w:tc>
          <w:tcPr>
            <w:tcW w:w="1619" w:type="dxa"/>
            <w:vAlign w:val="center"/>
          </w:tcPr>
          <w:p>
            <w:pPr>
              <w:jc w:val="center"/>
              <w:rPr>
                <w:rFonts w:ascii="宋体" w:hAnsi="宋体" w:eastAsia="宋体" w:cs="仿宋_GB2312"/>
                <w:color w:val="000000" w:themeColor="text1"/>
                <w:sz w:val="24"/>
                <w:szCs w:val="24"/>
              </w:rPr>
            </w:pPr>
          </w:p>
        </w:tc>
        <w:tc>
          <w:tcPr>
            <w:tcW w:w="1619" w:type="dxa"/>
            <w:vAlign w:val="center"/>
          </w:tcPr>
          <w:p>
            <w:pPr>
              <w:jc w:val="center"/>
              <w:rPr>
                <w:rFonts w:ascii="宋体" w:hAnsi="宋体" w:eastAsia="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5</w:t>
            </w:r>
          </w:p>
        </w:tc>
        <w:tc>
          <w:tcPr>
            <w:tcW w:w="2767" w:type="dxa"/>
            <w:vAlign w:val="center"/>
          </w:tcPr>
          <w:p>
            <w:pPr>
              <w:jc w:val="center"/>
              <w:rPr>
                <w:rFonts w:ascii="宋体" w:hAnsi="宋体" w:eastAsia="宋体" w:cs="仿宋_GB2312"/>
                <w:color w:val="000000" w:themeColor="text1"/>
                <w:sz w:val="24"/>
                <w:szCs w:val="24"/>
              </w:rPr>
            </w:pPr>
          </w:p>
        </w:tc>
        <w:tc>
          <w:tcPr>
            <w:tcW w:w="2767" w:type="dxa"/>
            <w:vAlign w:val="center"/>
          </w:tcPr>
          <w:p>
            <w:pPr>
              <w:jc w:val="center"/>
              <w:rPr>
                <w:rFonts w:ascii="宋体" w:hAnsi="宋体" w:eastAsia="宋体" w:cs="仿宋_GB2312"/>
                <w:color w:val="000000" w:themeColor="text1"/>
                <w:sz w:val="24"/>
                <w:szCs w:val="24"/>
              </w:rPr>
            </w:pPr>
          </w:p>
        </w:tc>
        <w:tc>
          <w:tcPr>
            <w:tcW w:w="1619" w:type="dxa"/>
            <w:vAlign w:val="center"/>
          </w:tcPr>
          <w:p>
            <w:pPr>
              <w:jc w:val="center"/>
              <w:rPr>
                <w:rFonts w:ascii="宋体" w:hAnsi="宋体" w:eastAsia="宋体" w:cs="仿宋_GB2312"/>
                <w:color w:val="000000" w:themeColor="text1"/>
                <w:sz w:val="24"/>
                <w:szCs w:val="24"/>
              </w:rPr>
            </w:pPr>
          </w:p>
        </w:tc>
        <w:tc>
          <w:tcPr>
            <w:tcW w:w="1619" w:type="dxa"/>
            <w:vAlign w:val="center"/>
          </w:tcPr>
          <w:p>
            <w:pPr>
              <w:jc w:val="center"/>
              <w:rPr>
                <w:rFonts w:ascii="宋体" w:hAnsi="宋体" w:eastAsia="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6</w:t>
            </w:r>
          </w:p>
        </w:tc>
        <w:tc>
          <w:tcPr>
            <w:tcW w:w="2767" w:type="dxa"/>
            <w:vAlign w:val="center"/>
          </w:tcPr>
          <w:p>
            <w:pPr>
              <w:jc w:val="center"/>
              <w:rPr>
                <w:rFonts w:ascii="宋体" w:hAnsi="宋体" w:eastAsia="宋体" w:cs="仿宋_GB2312"/>
                <w:color w:val="000000" w:themeColor="text1"/>
                <w:sz w:val="24"/>
                <w:szCs w:val="24"/>
              </w:rPr>
            </w:pPr>
          </w:p>
        </w:tc>
        <w:tc>
          <w:tcPr>
            <w:tcW w:w="2767" w:type="dxa"/>
            <w:vAlign w:val="center"/>
          </w:tcPr>
          <w:p>
            <w:pPr>
              <w:jc w:val="center"/>
              <w:rPr>
                <w:rFonts w:ascii="宋体" w:hAnsi="宋体" w:eastAsia="宋体" w:cs="仿宋_GB2312"/>
                <w:color w:val="000000" w:themeColor="text1"/>
                <w:sz w:val="24"/>
                <w:szCs w:val="24"/>
              </w:rPr>
            </w:pPr>
          </w:p>
        </w:tc>
        <w:tc>
          <w:tcPr>
            <w:tcW w:w="1619" w:type="dxa"/>
            <w:vAlign w:val="center"/>
          </w:tcPr>
          <w:p>
            <w:pPr>
              <w:jc w:val="center"/>
              <w:rPr>
                <w:rFonts w:ascii="宋体" w:hAnsi="宋体" w:eastAsia="宋体" w:cs="仿宋_GB2312"/>
                <w:color w:val="000000" w:themeColor="text1"/>
                <w:sz w:val="24"/>
                <w:szCs w:val="24"/>
              </w:rPr>
            </w:pPr>
          </w:p>
        </w:tc>
        <w:tc>
          <w:tcPr>
            <w:tcW w:w="1619" w:type="dxa"/>
            <w:vAlign w:val="center"/>
          </w:tcPr>
          <w:p>
            <w:pPr>
              <w:jc w:val="center"/>
              <w:rPr>
                <w:rFonts w:ascii="宋体" w:hAnsi="宋体" w:eastAsia="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7</w:t>
            </w:r>
          </w:p>
        </w:tc>
        <w:tc>
          <w:tcPr>
            <w:tcW w:w="2767" w:type="dxa"/>
            <w:vAlign w:val="center"/>
          </w:tcPr>
          <w:p>
            <w:pPr>
              <w:jc w:val="center"/>
              <w:rPr>
                <w:rFonts w:ascii="宋体" w:hAnsi="宋体" w:eastAsia="宋体" w:cs="仿宋_GB2312"/>
                <w:color w:val="000000" w:themeColor="text1"/>
                <w:sz w:val="24"/>
                <w:szCs w:val="24"/>
              </w:rPr>
            </w:pPr>
          </w:p>
        </w:tc>
        <w:tc>
          <w:tcPr>
            <w:tcW w:w="2767" w:type="dxa"/>
            <w:vAlign w:val="center"/>
          </w:tcPr>
          <w:p>
            <w:pPr>
              <w:jc w:val="center"/>
              <w:rPr>
                <w:rFonts w:ascii="宋体" w:hAnsi="宋体" w:eastAsia="宋体" w:cs="仿宋_GB2312"/>
                <w:color w:val="000000" w:themeColor="text1"/>
                <w:sz w:val="24"/>
                <w:szCs w:val="24"/>
              </w:rPr>
            </w:pPr>
          </w:p>
        </w:tc>
        <w:tc>
          <w:tcPr>
            <w:tcW w:w="1619" w:type="dxa"/>
            <w:vAlign w:val="center"/>
          </w:tcPr>
          <w:p>
            <w:pPr>
              <w:jc w:val="center"/>
              <w:rPr>
                <w:rFonts w:ascii="宋体" w:hAnsi="宋体" w:eastAsia="宋体" w:cs="仿宋_GB2312"/>
                <w:color w:val="000000" w:themeColor="text1"/>
                <w:sz w:val="24"/>
                <w:szCs w:val="24"/>
              </w:rPr>
            </w:pPr>
          </w:p>
        </w:tc>
        <w:tc>
          <w:tcPr>
            <w:tcW w:w="1619" w:type="dxa"/>
            <w:vAlign w:val="center"/>
          </w:tcPr>
          <w:p>
            <w:pPr>
              <w:jc w:val="center"/>
              <w:rPr>
                <w:rFonts w:ascii="宋体" w:hAnsi="宋体" w:eastAsia="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w:t>
            </w:r>
          </w:p>
        </w:tc>
        <w:tc>
          <w:tcPr>
            <w:tcW w:w="2767" w:type="dxa"/>
            <w:vAlign w:val="center"/>
          </w:tcPr>
          <w:p>
            <w:pPr>
              <w:jc w:val="center"/>
              <w:rPr>
                <w:rFonts w:ascii="宋体" w:hAnsi="宋体" w:eastAsia="宋体" w:cs="仿宋_GB2312"/>
                <w:color w:val="000000" w:themeColor="text1"/>
                <w:sz w:val="24"/>
                <w:szCs w:val="24"/>
              </w:rPr>
            </w:pPr>
          </w:p>
        </w:tc>
        <w:tc>
          <w:tcPr>
            <w:tcW w:w="2767" w:type="dxa"/>
            <w:vAlign w:val="center"/>
          </w:tcPr>
          <w:p>
            <w:pPr>
              <w:jc w:val="center"/>
              <w:rPr>
                <w:rFonts w:ascii="宋体" w:hAnsi="宋体" w:eastAsia="宋体" w:cs="仿宋_GB2312"/>
                <w:color w:val="000000" w:themeColor="text1"/>
                <w:sz w:val="24"/>
                <w:szCs w:val="24"/>
              </w:rPr>
            </w:pPr>
          </w:p>
        </w:tc>
        <w:tc>
          <w:tcPr>
            <w:tcW w:w="1619" w:type="dxa"/>
            <w:vAlign w:val="center"/>
          </w:tcPr>
          <w:p>
            <w:pPr>
              <w:jc w:val="center"/>
              <w:rPr>
                <w:rFonts w:ascii="宋体" w:hAnsi="宋体" w:eastAsia="宋体" w:cs="仿宋_GB2312"/>
                <w:color w:val="000000" w:themeColor="text1"/>
                <w:sz w:val="24"/>
                <w:szCs w:val="24"/>
              </w:rPr>
            </w:pPr>
          </w:p>
        </w:tc>
        <w:tc>
          <w:tcPr>
            <w:tcW w:w="1619" w:type="dxa"/>
            <w:vAlign w:val="center"/>
          </w:tcPr>
          <w:p>
            <w:pPr>
              <w:jc w:val="center"/>
              <w:rPr>
                <w:rFonts w:ascii="宋体" w:hAnsi="宋体" w:eastAsia="宋体" w:cs="仿宋_GB2312"/>
                <w:color w:val="000000" w:themeColor="text1"/>
                <w:sz w:val="24"/>
                <w:szCs w:val="24"/>
              </w:rPr>
            </w:pPr>
          </w:p>
        </w:tc>
      </w:tr>
    </w:tbl>
    <w:p>
      <w:pPr>
        <w:spacing w:line="360" w:lineRule="auto"/>
        <w:ind w:left="1092" w:hanging="1092" w:hangingChars="455"/>
        <w:jc w:val="left"/>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说明</w:t>
      </w:r>
      <w:r>
        <w:rPr>
          <w:rFonts w:hint="eastAsia" w:ascii="宋体" w:hAnsi="宋体" w:eastAsia="宋体" w:cs="Corbel"/>
          <w:color w:val="000000" w:themeColor="text1"/>
          <w:sz w:val="24"/>
          <w:szCs w:val="24"/>
        </w:rPr>
        <w:t>：1．投标人应按招标文件第三章“项目技术、服务及商务要求”中“商务要求”条款逐项说明是否满足要求，如有偏离,投标人应详细说明。未按照要求填写此表或仅注明“符合”、“满足”的，</w:t>
      </w:r>
      <w:r>
        <w:rPr>
          <w:rFonts w:hint="eastAsia" w:ascii="宋体" w:hAnsi="宋体" w:eastAsia="宋体" w:cs="Times New Roman"/>
          <w:color w:val="000000" w:themeColor="text1"/>
          <w:sz w:val="24"/>
          <w:szCs w:val="24"/>
        </w:rPr>
        <w:t>导致的后果由投标人自行承担。</w:t>
      </w:r>
    </w:p>
    <w:p>
      <w:pPr>
        <w:spacing w:line="360" w:lineRule="auto"/>
        <w:ind w:left="1061" w:leftChars="339" w:hanging="350" w:hangingChars="146"/>
        <w:jc w:val="left"/>
        <w:rPr>
          <w:rFonts w:ascii="宋体" w:hAnsi="宋体" w:eastAsia="宋体" w:cs="Times New Roman"/>
          <w:color w:val="000000" w:themeColor="text1"/>
          <w:sz w:val="24"/>
          <w:szCs w:val="24"/>
        </w:rPr>
      </w:pPr>
      <w:r>
        <w:rPr>
          <w:rFonts w:hint="eastAsia" w:ascii="宋体" w:hAnsi="宋体" w:eastAsia="宋体" w:cs="Corbel"/>
          <w:color w:val="000000" w:themeColor="text1"/>
          <w:sz w:val="24"/>
          <w:szCs w:val="24"/>
        </w:rPr>
        <w:t>2．投标人</w:t>
      </w:r>
      <w:r>
        <w:rPr>
          <w:rFonts w:hint="eastAsia" w:ascii="宋体" w:hAnsi="宋体" w:eastAsia="宋体" w:cs="Times New Roman"/>
          <w:color w:val="000000" w:themeColor="text1"/>
          <w:sz w:val="24"/>
          <w:szCs w:val="24"/>
        </w:rPr>
        <w:t>提供</w:t>
      </w:r>
      <w:r>
        <w:rPr>
          <w:rFonts w:hint="eastAsia" w:ascii="宋体" w:hAnsi="宋体" w:eastAsia="宋体" w:cs="Corbel"/>
          <w:color w:val="000000" w:themeColor="text1"/>
          <w:sz w:val="24"/>
          <w:szCs w:val="24"/>
        </w:rPr>
        <w:t>的相关证明文件对应的页码填写到上表“投标文件对应的页码”中。如未提供页码或内容页码完全不一致的，</w:t>
      </w:r>
      <w:r>
        <w:rPr>
          <w:rFonts w:hint="eastAsia" w:ascii="宋体" w:hAnsi="宋体" w:eastAsia="宋体" w:cs="Times New Roman"/>
          <w:color w:val="000000" w:themeColor="text1"/>
          <w:sz w:val="24"/>
          <w:szCs w:val="24"/>
        </w:rPr>
        <w:t>导致的后果由投标人自行承担。</w:t>
      </w:r>
    </w:p>
    <w:p>
      <w:pPr>
        <w:adjustRightInd w:val="0"/>
        <w:snapToGrid w:val="0"/>
        <w:spacing w:line="360" w:lineRule="auto"/>
        <w:ind w:left="781" w:leftChars="258" w:hanging="240" w:hangingChars="100"/>
        <w:rPr>
          <w:rFonts w:ascii="宋体" w:hAnsi="宋体" w:eastAsia="宋体" w:cs="Corbel"/>
          <w:color w:val="000000" w:themeColor="text1"/>
          <w:sz w:val="24"/>
          <w:szCs w:val="24"/>
        </w:rPr>
      </w:pPr>
    </w:p>
    <w:p>
      <w:pPr>
        <w:spacing w:before="100" w:beforeAutospacing="1" w:after="100" w:afterAutospacing="1" w:line="360" w:lineRule="auto"/>
        <w:ind w:firstLine="3316" w:firstLineChars="1382"/>
        <w:rPr>
          <w:rFonts w:hAnsi="宋体"/>
          <w:b/>
          <w:bCs/>
          <w:color w:val="000000" w:themeColor="text1"/>
          <w:sz w:val="24"/>
          <w:u w:val="single"/>
        </w:rPr>
      </w:pPr>
      <w:r>
        <w:rPr>
          <w:rFonts w:hint="eastAsia" w:hAnsi="宋体"/>
          <w:b/>
          <w:bCs/>
          <w:color w:val="000000" w:themeColor="text1"/>
          <w:sz w:val="24"/>
        </w:rPr>
        <w:t>投标人（公章）：</w:t>
      </w:r>
    </w:p>
    <w:p>
      <w:pPr>
        <w:spacing w:before="100" w:beforeAutospacing="1" w:after="100" w:afterAutospacing="1" w:line="360" w:lineRule="auto"/>
        <w:ind w:firstLine="3316" w:firstLineChars="1382"/>
        <w:rPr>
          <w:rFonts w:hAnsi="宋体"/>
          <w:b/>
          <w:bCs/>
          <w:color w:val="000000" w:themeColor="text1"/>
          <w:sz w:val="24"/>
          <w:u w:val="single"/>
        </w:rPr>
      </w:pPr>
      <w:r>
        <w:rPr>
          <w:rFonts w:hint="eastAsia" w:ascii="宋体" w:hAnsi="宋体" w:eastAsia="宋体" w:cs="Times New Roman"/>
          <w:b/>
          <w:bCs/>
          <w:color w:val="000000" w:themeColor="text1"/>
          <w:sz w:val="24"/>
          <w:szCs w:val="21"/>
          <w:lang w:val="zh-CN"/>
        </w:rPr>
        <w:t>投标人</w:t>
      </w:r>
      <w:r>
        <w:rPr>
          <w:rFonts w:hint="eastAsia" w:hAnsi="宋体"/>
          <w:b/>
          <w:bCs/>
          <w:color w:val="000000" w:themeColor="text1"/>
          <w:sz w:val="24"/>
        </w:rPr>
        <w:t>授权代表（签字）：</w:t>
      </w:r>
    </w:p>
    <w:p>
      <w:pPr>
        <w:spacing w:before="100" w:beforeAutospacing="1" w:after="100" w:afterAutospacing="1" w:line="360" w:lineRule="auto"/>
        <w:ind w:firstLine="3316" w:firstLineChars="1382"/>
        <w:rPr>
          <w:color w:val="000000" w:themeColor="text1"/>
        </w:rPr>
      </w:pPr>
      <w:r>
        <w:rPr>
          <w:rFonts w:hint="eastAsia" w:ascii="宋体" w:hAnsi="宋体" w:eastAsia="宋体" w:cs="Times New Roman"/>
          <w:b/>
          <w:bCs/>
          <w:color w:val="000000" w:themeColor="text1"/>
          <w:sz w:val="24"/>
          <w:szCs w:val="21"/>
          <w:lang w:val="zh-CN"/>
        </w:rPr>
        <w:t>投标</w:t>
      </w:r>
      <w:r>
        <w:rPr>
          <w:rFonts w:hint="eastAsia" w:hAnsi="宋体"/>
          <w:b/>
          <w:bCs/>
          <w:color w:val="000000" w:themeColor="text1"/>
          <w:sz w:val="24"/>
        </w:rPr>
        <w:t>时间：</w:t>
      </w:r>
    </w:p>
    <w:p>
      <w:pPr>
        <w:rPr>
          <w:color w:val="000000" w:themeColor="text1"/>
        </w:rPr>
      </w:pPr>
      <w:r>
        <w:rPr>
          <w:color w:val="000000" w:themeColor="text1"/>
        </w:rPr>
        <w:br w:type="page"/>
      </w:r>
    </w:p>
    <w:p>
      <w:pPr>
        <w:pStyle w:val="2"/>
        <w:numPr>
          <w:ilvl w:val="0"/>
          <w:numId w:val="58"/>
        </w:numPr>
        <w:spacing w:before="100" w:beforeAutospacing="1" w:after="156" w:afterLines="50" w:line="360" w:lineRule="auto"/>
        <w:ind w:left="1610" w:hanging="1610"/>
        <w:rPr>
          <w:rFonts w:ascii="宋体" w:hAnsi="宋体" w:eastAsia="宋体"/>
          <w:color w:val="000000" w:themeColor="text1"/>
        </w:rPr>
      </w:pPr>
      <w:bookmarkStart w:id="248" w:name="_Toc494665967"/>
      <w:bookmarkStart w:id="249" w:name="_Toc494702287"/>
      <w:bookmarkStart w:id="250" w:name="_Toc31828"/>
      <w:bookmarkStart w:id="251" w:name="_Toc494665570"/>
      <w:bookmarkStart w:id="252" w:name="_Toc494665017"/>
      <w:bookmarkStart w:id="253" w:name="_Toc494745334"/>
      <w:bookmarkStart w:id="254" w:name="_Toc494721117"/>
      <w:r>
        <w:rPr>
          <w:rFonts w:hint="eastAsia" w:ascii="宋体" w:hAnsi="宋体" w:eastAsia="宋体"/>
          <w:color w:val="000000" w:themeColor="text1"/>
        </w:rPr>
        <w:t>商务要求“★”号条款响应、偏离说明表</w:t>
      </w:r>
      <w:bookmarkEnd w:id="248"/>
      <w:bookmarkEnd w:id="249"/>
      <w:bookmarkEnd w:id="250"/>
      <w:bookmarkEnd w:id="251"/>
      <w:bookmarkEnd w:id="252"/>
      <w:bookmarkEnd w:id="253"/>
      <w:bookmarkEnd w:id="254"/>
    </w:p>
    <w:p>
      <w:pPr>
        <w:spacing w:line="360" w:lineRule="auto"/>
        <w:jc w:val="left"/>
        <w:rPr>
          <w:rFonts w:hAnsi="宋体"/>
          <w:b/>
          <w:color w:val="000000" w:themeColor="text1"/>
          <w:sz w:val="24"/>
        </w:rPr>
      </w:pPr>
      <w:r>
        <w:rPr>
          <w:rFonts w:hint="eastAsia" w:hAnsi="宋体"/>
          <w:b/>
          <w:color w:val="000000" w:themeColor="text1"/>
          <w:sz w:val="24"/>
        </w:rPr>
        <w:t>投 标 人：</w:t>
      </w:r>
    </w:p>
    <w:p>
      <w:pPr>
        <w:spacing w:line="360" w:lineRule="auto"/>
        <w:jc w:val="left"/>
        <w:rPr>
          <w:rFonts w:hAnsi="宋体"/>
          <w:b/>
          <w:color w:val="000000" w:themeColor="text1"/>
          <w:sz w:val="24"/>
        </w:rPr>
      </w:pPr>
      <w:r>
        <w:rPr>
          <w:rFonts w:hint="eastAsia" w:ascii="宋体" w:hAnsi="宋体" w:eastAsia="宋体" w:cs="Times New Roman"/>
          <w:b/>
          <w:color w:val="000000" w:themeColor="text1"/>
          <w:sz w:val="24"/>
          <w:szCs w:val="21"/>
          <w:lang w:val="zh-CN"/>
        </w:rPr>
        <w:t>项目编号：</w:t>
      </w:r>
      <w:r>
        <w:rPr>
          <w:rFonts w:hint="eastAsia" w:ascii="宋体" w:hAnsi="宋体" w:eastAsia="宋体" w:cs="Times New Roman"/>
          <w:b/>
          <w:bCs/>
          <w:color w:val="000000" w:themeColor="text1"/>
          <w:sz w:val="24"/>
          <w:szCs w:val="21"/>
          <w:lang w:val="zh-CN"/>
        </w:rPr>
        <w:t xml:space="preserve">                所投包号：</w:t>
      </w:r>
    </w:p>
    <w:tbl>
      <w:tblPr>
        <w:tblStyle w:val="18"/>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序号</w:t>
            </w:r>
          </w:p>
        </w:tc>
        <w:tc>
          <w:tcPr>
            <w:tcW w:w="2767" w:type="dxa"/>
            <w:shd w:val="clear" w:color="auto" w:fill="F1F1F1" w:themeFill="background1" w:themeFillShade="F2"/>
            <w:vAlign w:val="center"/>
          </w:tcPr>
          <w:p>
            <w:pPr>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招标文件</w:t>
            </w:r>
            <w:r>
              <w:rPr>
                <w:rFonts w:hint="eastAsia" w:ascii="宋体" w:hAnsi="宋体" w:eastAsia="宋体" w:cs="Corbel"/>
                <w:color w:val="000000" w:themeColor="text1"/>
                <w:sz w:val="24"/>
                <w:szCs w:val="24"/>
              </w:rPr>
              <w:t>商务要求“★”号条款</w:t>
            </w:r>
          </w:p>
        </w:tc>
        <w:tc>
          <w:tcPr>
            <w:tcW w:w="2767" w:type="dxa"/>
            <w:shd w:val="clear" w:color="auto" w:fill="F1F1F1" w:themeFill="background1" w:themeFillShade="F2"/>
            <w:vAlign w:val="center"/>
          </w:tcPr>
          <w:p>
            <w:pPr>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投标响应内容对应简述</w:t>
            </w:r>
          </w:p>
        </w:tc>
        <w:tc>
          <w:tcPr>
            <w:tcW w:w="1619" w:type="dxa"/>
            <w:shd w:val="clear" w:color="auto" w:fill="F1F1F1" w:themeFill="background1" w:themeFillShade="F2"/>
            <w:vAlign w:val="center"/>
          </w:tcPr>
          <w:p>
            <w:pPr>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偏离说明</w:t>
            </w:r>
          </w:p>
        </w:tc>
        <w:tc>
          <w:tcPr>
            <w:tcW w:w="1619" w:type="dxa"/>
            <w:shd w:val="clear" w:color="auto" w:fill="F1F1F1" w:themeFill="background1" w:themeFillShade="F2"/>
          </w:tcPr>
          <w:p>
            <w:pPr>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1</w:t>
            </w:r>
          </w:p>
        </w:tc>
        <w:tc>
          <w:tcPr>
            <w:tcW w:w="2767" w:type="dxa"/>
            <w:vAlign w:val="center"/>
          </w:tcPr>
          <w:p>
            <w:pPr>
              <w:jc w:val="center"/>
              <w:rPr>
                <w:rFonts w:ascii="宋体" w:hAnsi="宋体" w:eastAsia="宋体" w:cs="仿宋_GB2312"/>
                <w:color w:val="000000" w:themeColor="text1"/>
                <w:sz w:val="24"/>
                <w:szCs w:val="24"/>
              </w:rPr>
            </w:pPr>
          </w:p>
        </w:tc>
        <w:tc>
          <w:tcPr>
            <w:tcW w:w="2767" w:type="dxa"/>
            <w:vAlign w:val="center"/>
          </w:tcPr>
          <w:p>
            <w:pPr>
              <w:jc w:val="center"/>
              <w:rPr>
                <w:rFonts w:ascii="宋体" w:hAnsi="宋体" w:eastAsia="宋体" w:cs="仿宋_GB2312"/>
                <w:color w:val="000000" w:themeColor="text1"/>
                <w:sz w:val="24"/>
                <w:szCs w:val="24"/>
              </w:rPr>
            </w:pPr>
          </w:p>
        </w:tc>
        <w:tc>
          <w:tcPr>
            <w:tcW w:w="1619" w:type="dxa"/>
            <w:vAlign w:val="center"/>
          </w:tcPr>
          <w:p>
            <w:pPr>
              <w:jc w:val="center"/>
              <w:rPr>
                <w:rFonts w:ascii="宋体" w:hAnsi="宋体" w:eastAsia="宋体" w:cs="仿宋_GB2312"/>
                <w:color w:val="000000" w:themeColor="text1"/>
                <w:sz w:val="24"/>
                <w:szCs w:val="24"/>
              </w:rPr>
            </w:pPr>
          </w:p>
        </w:tc>
        <w:tc>
          <w:tcPr>
            <w:tcW w:w="1619" w:type="dxa"/>
            <w:vAlign w:val="center"/>
          </w:tcPr>
          <w:p>
            <w:pPr>
              <w:jc w:val="center"/>
              <w:rPr>
                <w:rFonts w:ascii="宋体" w:hAnsi="宋体" w:eastAsia="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2</w:t>
            </w:r>
          </w:p>
        </w:tc>
        <w:tc>
          <w:tcPr>
            <w:tcW w:w="2767" w:type="dxa"/>
            <w:vAlign w:val="center"/>
          </w:tcPr>
          <w:p>
            <w:pPr>
              <w:jc w:val="center"/>
              <w:rPr>
                <w:rFonts w:ascii="宋体" w:hAnsi="宋体" w:eastAsia="宋体" w:cs="仿宋_GB2312"/>
                <w:color w:val="000000" w:themeColor="text1"/>
                <w:sz w:val="24"/>
                <w:szCs w:val="24"/>
              </w:rPr>
            </w:pPr>
          </w:p>
        </w:tc>
        <w:tc>
          <w:tcPr>
            <w:tcW w:w="2767" w:type="dxa"/>
            <w:vAlign w:val="center"/>
          </w:tcPr>
          <w:p>
            <w:pPr>
              <w:jc w:val="center"/>
              <w:rPr>
                <w:rFonts w:ascii="宋体" w:hAnsi="宋体" w:eastAsia="宋体" w:cs="仿宋_GB2312"/>
                <w:color w:val="000000" w:themeColor="text1"/>
                <w:sz w:val="24"/>
                <w:szCs w:val="24"/>
              </w:rPr>
            </w:pPr>
          </w:p>
        </w:tc>
        <w:tc>
          <w:tcPr>
            <w:tcW w:w="1619" w:type="dxa"/>
            <w:vAlign w:val="center"/>
          </w:tcPr>
          <w:p>
            <w:pPr>
              <w:jc w:val="center"/>
              <w:rPr>
                <w:rFonts w:ascii="宋体" w:hAnsi="宋体" w:eastAsia="宋体" w:cs="仿宋_GB2312"/>
                <w:color w:val="000000" w:themeColor="text1"/>
                <w:sz w:val="24"/>
                <w:szCs w:val="24"/>
              </w:rPr>
            </w:pPr>
          </w:p>
        </w:tc>
        <w:tc>
          <w:tcPr>
            <w:tcW w:w="1619" w:type="dxa"/>
            <w:vAlign w:val="center"/>
          </w:tcPr>
          <w:p>
            <w:pPr>
              <w:jc w:val="center"/>
              <w:rPr>
                <w:rFonts w:ascii="宋体" w:hAnsi="宋体" w:eastAsia="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3</w:t>
            </w:r>
          </w:p>
        </w:tc>
        <w:tc>
          <w:tcPr>
            <w:tcW w:w="2767" w:type="dxa"/>
            <w:vAlign w:val="center"/>
          </w:tcPr>
          <w:p>
            <w:pPr>
              <w:jc w:val="center"/>
              <w:rPr>
                <w:rFonts w:ascii="宋体" w:hAnsi="宋体" w:eastAsia="宋体" w:cs="仿宋_GB2312"/>
                <w:color w:val="000000" w:themeColor="text1"/>
                <w:sz w:val="24"/>
                <w:szCs w:val="24"/>
              </w:rPr>
            </w:pPr>
          </w:p>
        </w:tc>
        <w:tc>
          <w:tcPr>
            <w:tcW w:w="2767" w:type="dxa"/>
            <w:vAlign w:val="center"/>
          </w:tcPr>
          <w:p>
            <w:pPr>
              <w:jc w:val="center"/>
              <w:rPr>
                <w:rFonts w:ascii="宋体" w:hAnsi="宋体" w:eastAsia="宋体" w:cs="仿宋_GB2312"/>
                <w:color w:val="000000" w:themeColor="text1"/>
                <w:sz w:val="24"/>
                <w:szCs w:val="24"/>
              </w:rPr>
            </w:pPr>
          </w:p>
        </w:tc>
        <w:tc>
          <w:tcPr>
            <w:tcW w:w="1619" w:type="dxa"/>
            <w:vAlign w:val="center"/>
          </w:tcPr>
          <w:p>
            <w:pPr>
              <w:jc w:val="center"/>
              <w:rPr>
                <w:rFonts w:ascii="宋体" w:hAnsi="宋体" w:eastAsia="宋体" w:cs="仿宋_GB2312"/>
                <w:color w:val="000000" w:themeColor="text1"/>
                <w:sz w:val="24"/>
                <w:szCs w:val="24"/>
              </w:rPr>
            </w:pPr>
          </w:p>
        </w:tc>
        <w:tc>
          <w:tcPr>
            <w:tcW w:w="1619" w:type="dxa"/>
            <w:vAlign w:val="center"/>
          </w:tcPr>
          <w:p>
            <w:pPr>
              <w:jc w:val="center"/>
              <w:rPr>
                <w:rFonts w:ascii="宋体" w:hAnsi="宋体" w:eastAsia="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4</w:t>
            </w:r>
          </w:p>
        </w:tc>
        <w:tc>
          <w:tcPr>
            <w:tcW w:w="2767" w:type="dxa"/>
            <w:vAlign w:val="center"/>
          </w:tcPr>
          <w:p>
            <w:pPr>
              <w:jc w:val="center"/>
              <w:rPr>
                <w:rFonts w:ascii="宋体" w:hAnsi="宋体" w:eastAsia="宋体" w:cs="仿宋_GB2312"/>
                <w:color w:val="000000" w:themeColor="text1"/>
                <w:sz w:val="24"/>
                <w:szCs w:val="24"/>
              </w:rPr>
            </w:pPr>
          </w:p>
        </w:tc>
        <w:tc>
          <w:tcPr>
            <w:tcW w:w="2767" w:type="dxa"/>
            <w:vAlign w:val="center"/>
          </w:tcPr>
          <w:p>
            <w:pPr>
              <w:jc w:val="center"/>
              <w:rPr>
                <w:rFonts w:ascii="宋体" w:hAnsi="宋体" w:eastAsia="宋体" w:cs="仿宋_GB2312"/>
                <w:color w:val="000000" w:themeColor="text1"/>
                <w:sz w:val="24"/>
                <w:szCs w:val="24"/>
              </w:rPr>
            </w:pPr>
          </w:p>
        </w:tc>
        <w:tc>
          <w:tcPr>
            <w:tcW w:w="1619" w:type="dxa"/>
            <w:vAlign w:val="center"/>
          </w:tcPr>
          <w:p>
            <w:pPr>
              <w:jc w:val="center"/>
              <w:rPr>
                <w:rFonts w:ascii="宋体" w:hAnsi="宋体" w:eastAsia="宋体" w:cs="仿宋_GB2312"/>
                <w:color w:val="000000" w:themeColor="text1"/>
                <w:sz w:val="24"/>
                <w:szCs w:val="24"/>
              </w:rPr>
            </w:pPr>
          </w:p>
        </w:tc>
        <w:tc>
          <w:tcPr>
            <w:tcW w:w="1619" w:type="dxa"/>
            <w:vAlign w:val="center"/>
          </w:tcPr>
          <w:p>
            <w:pPr>
              <w:jc w:val="center"/>
              <w:rPr>
                <w:rFonts w:ascii="宋体" w:hAnsi="宋体" w:eastAsia="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5</w:t>
            </w:r>
          </w:p>
        </w:tc>
        <w:tc>
          <w:tcPr>
            <w:tcW w:w="2767" w:type="dxa"/>
            <w:vAlign w:val="center"/>
          </w:tcPr>
          <w:p>
            <w:pPr>
              <w:jc w:val="center"/>
              <w:rPr>
                <w:rFonts w:ascii="宋体" w:hAnsi="宋体" w:eastAsia="宋体" w:cs="仿宋_GB2312"/>
                <w:color w:val="000000" w:themeColor="text1"/>
                <w:sz w:val="24"/>
                <w:szCs w:val="24"/>
              </w:rPr>
            </w:pPr>
          </w:p>
        </w:tc>
        <w:tc>
          <w:tcPr>
            <w:tcW w:w="2767" w:type="dxa"/>
            <w:vAlign w:val="center"/>
          </w:tcPr>
          <w:p>
            <w:pPr>
              <w:jc w:val="center"/>
              <w:rPr>
                <w:rFonts w:ascii="宋体" w:hAnsi="宋体" w:eastAsia="宋体" w:cs="仿宋_GB2312"/>
                <w:color w:val="000000" w:themeColor="text1"/>
                <w:sz w:val="24"/>
                <w:szCs w:val="24"/>
              </w:rPr>
            </w:pPr>
          </w:p>
        </w:tc>
        <w:tc>
          <w:tcPr>
            <w:tcW w:w="1619" w:type="dxa"/>
            <w:vAlign w:val="center"/>
          </w:tcPr>
          <w:p>
            <w:pPr>
              <w:jc w:val="center"/>
              <w:rPr>
                <w:rFonts w:ascii="宋体" w:hAnsi="宋体" w:eastAsia="宋体" w:cs="仿宋_GB2312"/>
                <w:color w:val="000000" w:themeColor="text1"/>
                <w:sz w:val="24"/>
                <w:szCs w:val="24"/>
              </w:rPr>
            </w:pPr>
          </w:p>
        </w:tc>
        <w:tc>
          <w:tcPr>
            <w:tcW w:w="1619" w:type="dxa"/>
            <w:vAlign w:val="center"/>
          </w:tcPr>
          <w:p>
            <w:pPr>
              <w:jc w:val="center"/>
              <w:rPr>
                <w:rFonts w:ascii="宋体" w:hAnsi="宋体" w:eastAsia="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6</w:t>
            </w:r>
          </w:p>
        </w:tc>
        <w:tc>
          <w:tcPr>
            <w:tcW w:w="2767" w:type="dxa"/>
            <w:vAlign w:val="center"/>
          </w:tcPr>
          <w:p>
            <w:pPr>
              <w:jc w:val="center"/>
              <w:rPr>
                <w:rFonts w:ascii="宋体" w:hAnsi="宋体" w:eastAsia="宋体" w:cs="仿宋_GB2312"/>
                <w:color w:val="000000" w:themeColor="text1"/>
                <w:sz w:val="24"/>
                <w:szCs w:val="24"/>
              </w:rPr>
            </w:pPr>
          </w:p>
        </w:tc>
        <w:tc>
          <w:tcPr>
            <w:tcW w:w="2767" w:type="dxa"/>
            <w:vAlign w:val="center"/>
          </w:tcPr>
          <w:p>
            <w:pPr>
              <w:jc w:val="center"/>
              <w:rPr>
                <w:rFonts w:ascii="宋体" w:hAnsi="宋体" w:eastAsia="宋体" w:cs="仿宋_GB2312"/>
                <w:color w:val="000000" w:themeColor="text1"/>
                <w:sz w:val="24"/>
                <w:szCs w:val="24"/>
              </w:rPr>
            </w:pPr>
          </w:p>
        </w:tc>
        <w:tc>
          <w:tcPr>
            <w:tcW w:w="1619" w:type="dxa"/>
            <w:vAlign w:val="center"/>
          </w:tcPr>
          <w:p>
            <w:pPr>
              <w:jc w:val="center"/>
              <w:rPr>
                <w:rFonts w:ascii="宋体" w:hAnsi="宋体" w:eastAsia="宋体" w:cs="仿宋_GB2312"/>
                <w:color w:val="000000" w:themeColor="text1"/>
                <w:sz w:val="24"/>
                <w:szCs w:val="24"/>
              </w:rPr>
            </w:pPr>
          </w:p>
        </w:tc>
        <w:tc>
          <w:tcPr>
            <w:tcW w:w="1619" w:type="dxa"/>
            <w:vAlign w:val="center"/>
          </w:tcPr>
          <w:p>
            <w:pPr>
              <w:jc w:val="center"/>
              <w:rPr>
                <w:rFonts w:ascii="宋体" w:hAnsi="宋体" w:eastAsia="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7</w:t>
            </w:r>
          </w:p>
        </w:tc>
        <w:tc>
          <w:tcPr>
            <w:tcW w:w="2767" w:type="dxa"/>
            <w:vAlign w:val="center"/>
          </w:tcPr>
          <w:p>
            <w:pPr>
              <w:jc w:val="center"/>
              <w:rPr>
                <w:rFonts w:ascii="宋体" w:hAnsi="宋体" w:eastAsia="宋体" w:cs="仿宋_GB2312"/>
                <w:color w:val="000000" w:themeColor="text1"/>
                <w:sz w:val="24"/>
                <w:szCs w:val="24"/>
              </w:rPr>
            </w:pPr>
          </w:p>
        </w:tc>
        <w:tc>
          <w:tcPr>
            <w:tcW w:w="2767" w:type="dxa"/>
            <w:vAlign w:val="center"/>
          </w:tcPr>
          <w:p>
            <w:pPr>
              <w:jc w:val="center"/>
              <w:rPr>
                <w:rFonts w:ascii="宋体" w:hAnsi="宋体" w:eastAsia="宋体" w:cs="仿宋_GB2312"/>
                <w:color w:val="000000" w:themeColor="text1"/>
                <w:sz w:val="24"/>
                <w:szCs w:val="24"/>
              </w:rPr>
            </w:pPr>
          </w:p>
        </w:tc>
        <w:tc>
          <w:tcPr>
            <w:tcW w:w="1619" w:type="dxa"/>
            <w:vAlign w:val="center"/>
          </w:tcPr>
          <w:p>
            <w:pPr>
              <w:jc w:val="center"/>
              <w:rPr>
                <w:rFonts w:ascii="宋体" w:hAnsi="宋体" w:eastAsia="宋体" w:cs="仿宋_GB2312"/>
                <w:color w:val="000000" w:themeColor="text1"/>
                <w:sz w:val="24"/>
                <w:szCs w:val="24"/>
              </w:rPr>
            </w:pPr>
          </w:p>
        </w:tc>
        <w:tc>
          <w:tcPr>
            <w:tcW w:w="1619" w:type="dxa"/>
            <w:vAlign w:val="center"/>
          </w:tcPr>
          <w:p>
            <w:pPr>
              <w:jc w:val="center"/>
              <w:rPr>
                <w:rFonts w:ascii="宋体" w:hAnsi="宋体" w:eastAsia="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w:t>
            </w:r>
          </w:p>
        </w:tc>
        <w:tc>
          <w:tcPr>
            <w:tcW w:w="2767" w:type="dxa"/>
            <w:vAlign w:val="center"/>
          </w:tcPr>
          <w:p>
            <w:pPr>
              <w:jc w:val="center"/>
              <w:rPr>
                <w:rFonts w:ascii="宋体" w:hAnsi="宋体" w:eastAsia="宋体" w:cs="仿宋_GB2312"/>
                <w:color w:val="000000" w:themeColor="text1"/>
                <w:sz w:val="24"/>
                <w:szCs w:val="24"/>
              </w:rPr>
            </w:pPr>
          </w:p>
        </w:tc>
        <w:tc>
          <w:tcPr>
            <w:tcW w:w="2767" w:type="dxa"/>
            <w:vAlign w:val="center"/>
          </w:tcPr>
          <w:p>
            <w:pPr>
              <w:jc w:val="center"/>
              <w:rPr>
                <w:rFonts w:ascii="宋体" w:hAnsi="宋体" w:eastAsia="宋体" w:cs="仿宋_GB2312"/>
                <w:color w:val="000000" w:themeColor="text1"/>
                <w:sz w:val="24"/>
                <w:szCs w:val="24"/>
              </w:rPr>
            </w:pPr>
          </w:p>
        </w:tc>
        <w:tc>
          <w:tcPr>
            <w:tcW w:w="1619" w:type="dxa"/>
            <w:vAlign w:val="center"/>
          </w:tcPr>
          <w:p>
            <w:pPr>
              <w:jc w:val="center"/>
              <w:rPr>
                <w:rFonts w:ascii="宋体" w:hAnsi="宋体" w:eastAsia="宋体" w:cs="仿宋_GB2312"/>
                <w:color w:val="000000" w:themeColor="text1"/>
                <w:sz w:val="24"/>
                <w:szCs w:val="24"/>
              </w:rPr>
            </w:pPr>
          </w:p>
        </w:tc>
        <w:tc>
          <w:tcPr>
            <w:tcW w:w="1619" w:type="dxa"/>
            <w:vAlign w:val="center"/>
          </w:tcPr>
          <w:p>
            <w:pPr>
              <w:jc w:val="center"/>
              <w:rPr>
                <w:rFonts w:ascii="宋体" w:hAnsi="宋体" w:eastAsia="宋体" w:cs="仿宋_GB2312"/>
                <w:color w:val="000000" w:themeColor="text1"/>
                <w:sz w:val="24"/>
                <w:szCs w:val="24"/>
              </w:rPr>
            </w:pPr>
          </w:p>
        </w:tc>
      </w:tr>
    </w:tbl>
    <w:p>
      <w:pPr>
        <w:spacing w:line="360" w:lineRule="auto"/>
        <w:ind w:left="1092" w:hanging="1092" w:hangingChars="455"/>
        <w:jc w:val="left"/>
        <w:rPr>
          <w:rFonts w:ascii="宋体" w:hAnsi="宋体" w:eastAsia="宋体" w:cs="Corbel"/>
          <w:color w:val="000000" w:themeColor="text1"/>
          <w:sz w:val="24"/>
          <w:szCs w:val="24"/>
        </w:rPr>
      </w:pPr>
      <w:r>
        <w:rPr>
          <w:rFonts w:hint="eastAsia" w:ascii="宋体" w:hAnsi="宋体" w:eastAsia="宋体" w:cs="Corbel"/>
          <w:color w:val="000000" w:themeColor="text1"/>
          <w:sz w:val="24"/>
          <w:szCs w:val="24"/>
        </w:rPr>
        <w:t>说明：1．投标人应按招标文件第三章“项目技术、服务及商务要求”中商务要求“★”号条款进行逐项说明是否满足要求，如有偏离,投标人应详细说明。未按照要求填写此表或仅注明“符合”、“满足”的，导致的后果由投标人自行承担。</w:t>
      </w:r>
    </w:p>
    <w:p>
      <w:pPr>
        <w:spacing w:line="360" w:lineRule="auto"/>
        <w:ind w:left="1061" w:leftChars="339" w:hanging="350" w:hangingChars="146"/>
        <w:jc w:val="left"/>
        <w:rPr>
          <w:rFonts w:ascii="宋体" w:hAnsi="宋体" w:eastAsia="宋体" w:cs="Corbel"/>
          <w:color w:val="000000" w:themeColor="text1"/>
          <w:sz w:val="24"/>
          <w:szCs w:val="24"/>
        </w:rPr>
      </w:pPr>
      <w:r>
        <w:rPr>
          <w:rFonts w:hint="eastAsia" w:ascii="宋体" w:hAnsi="宋体" w:eastAsia="宋体" w:cs="Corbel"/>
          <w:color w:val="000000" w:themeColor="text1"/>
          <w:sz w:val="24"/>
          <w:szCs w:val="24"/>
        </w:rPr>
        <w:t>2．投标人提供的相关证明文件对应的页码填写到上表“投标文件对应的页码”中。如未提供页码或内容页码完全不一致的，</w:t>
      </w:r>
      <w:r>
        <w:rPr>
          <w:rFonts w:hint="eastAsia" w:ascii="宋体" w:hAnsi="宋体" w:eastAsia="宋体" w:cs="Times New Roman"/>
          <w:color w:val="000000" w:themeColor="text1"/>
          <w:sz w:val="24"/>
          <w:szCs w:val="24"/>
        </w:rPr>
        <w:t>导致的后果由投标人自行承担。</w:t>
      </w:r>
    </w:p>
    <w:p>
      <w:pPr>
        <w:spacing w:before="100" w:beforeAutospacing="1" w:after="100" w:afterAutospacing="1" w:line="360" w:lineRule="auto"/>
        <w:ind w:firstLine="3316" w:firstLineChars="1382"/>
        <w:rPr>
          <w:rFonts w:hAnsi="宋体"/>
          <w:b/>
          <w:bCs/>
          <w:color w:val="000000" w:themeColor="text1"/>
          <w:sz w:val="24"/>
          <w:u w:val="single"/>
        </w:rPr>
      </w:pPr>
      <w:r>
        <w:rPr>
          <w:rFonts w:hint="eastAsia" w:hAnsi="宋体"/>
          <w:b/>
          <w:bCs/>
          <w:color w:val="000000" w:themeColor="text1"/>
          <w:sz w:val="24"/>
        </w:rPr>
        <w:t>投标人（公章）：</w:t>
      </w:r>
    </w:p>
    <w:p>
      <w:pPr>
        <w:spacing w:before="100" w:beforeAutospacing="1" w:after="100" w:afterAutospacing="1" w:line="360" w:lineRule="auto"/>
        <w:ind w:firstLine="3316" w:firstLineChars="1382"/>
        <w:rPr>
          <w:rFonts w:hAnsi="宋体"/>
          <w:b/>
          <w:bCs/>
          <w:color w:val="000000" w:themeColor="text1"/>
          <w:sz w:val="24"/>
          <w:u w:val="single"/>
        </w:rPr>
      </w:pPr>
      <w:r>
        <w:rPr>
          <w:rFonts w:hint="eastAsia" w:ascii="宋体" w:hAnsi="宋体" w:eastAsia="宋体" w:cs="Times New Roman"/>
          <w:b/>
          <w:bCs/>
          <w:color w:val="000000" w:themeColor="text1"/>
          <w:sz w:val="24"/>
          <w:szCs w:val="21"/>
          <w:lang w:val="zh-CN"/>
        </w:rPr>
        <w:t>投标人</w:t>
      </w:r>
      <w:r>
        <w:rPr>
          <w:rFonts w:hint="eastAsia" w:hAnsi="宋体"/>
          <w:b/>
          <w:bCs/>
          <w:color w:val="000000" w:themeColor="text1"/>
          <w:sz w:val="24"/>
        </w:rPr>
        <w:t>授权代表（签字）：</w:t>
      </w:r>
    </w:p>
    <w:p>
      <w:pPr>
        <w:spacing w:before="100" w:beforeAutospacing="1" w:after="100" w:afterAutospacing="1" w:line="360" w:lineRule="auto"/>
        <w:ind w:firstLine="3316" w:firstLineChars="1382"/>
        <w:rPr>
          <w:color w:val="000000" w:themeColor="text1"/>
        </w:rPr>
      </w:pPr>
      <w:r>
        <w:rPr>
          <w:rFonts w:hint="eastAsia" w:ascii="宋体" w:hAnsi="宋体" w:eastAsia="宋体" w:cs="Times New Roman"/>
          <w:b/>
          <w:bCs/>
          <w:color w:val="000000" w:themeColor="text1"/>
          <w:sz w:val="24"/>
          <w:szCs w:val="21"/>
          <w:lang w:val="zh-CN"/>
        </w:rPr>
        <w:t>投标</w:t>
      </w:r>
      <w:r>
        <w:rPr>
          <w:rFonts w:hint="eastAsia" w:hAnsi="宋体"/>
          <w:b/>
          <w:bCs/>
          <w:color w:val="000000" w:themeColor="text1"/>
          <w:sz w:val="24"/>
        </w:rPr>
        <w:t>时间：</w:t>
      </w:r>
    </w:p>
    <w:p>
      <w:pPr>
        <w:rPr>
          <w:color w:val="000000" w:themeColor="text1"/>
        </w:rPr>
      </w:pPr>
      <w:r>
        <w:rPr>
          <w:color w:val="000000" w:themeColor="text1"/>
        </w:rPr>
        <w:br w:type="page"/>
      </w:r>
    </w:p>
    <w:p>
      <w:pPr>
        <w:pStyle w:val="2"/>
        <w:numPr>
          <w:ilvl w:val="0"/>
          <w:numId w:val="58"/>
        </w:numPr>
        <w:spacing w:before="100" w:beforeAutospacing="1" w:after="156" w:afterLines="50" w:line="360" w:lineRule="auto"/>
        <w:ind w:left="1610" w:hanging="1610"/>
        <w:rPr>
          <w:rFonts w:ascii="宋体" w:hAnsi="宋体" w:eastAsia="宋体"/>
          <w:color w:val="000000" w:themeColor="text1"/>
        </w:rPr>
      </w:pPr>
      <w:bookmarkStart w:id="255" w:name="_Toc494702288"/>
      <w:bookmarkStart w:id="256" w:name="_Toc494665571"/>
      <w:bookmarkStart w:id="257" w:name="_Toc28070"/>
      <w:bookmarkStart w:id="258" w:name="_Toc494665018"/>
      <w:bookmarkStart w:id="259" w:name="_Toc494745335"/>
      <w:bookmarkStart w:id="260" w:name="_Toc494721118"/>
      <w:bookmarkStart w:id="261" w:name="_Toc494665968"/>
      <w:r>
        <w:rPr>
          <w:rFonts w:hint="eastAsia" w:ascii="宋体" w:hAnsi="宋体" w:eastAsia="宋体"/>
          <w:color w:val="000000" w:themeColor="text1"/>
        </w:rPr>
        <w:t>商务评议对照表</w:t>
      </w:r>
      <w:bookmarkEnd w:id="255"/>
      <w:bookmarkEnd w:id="256"/>
      <w:bookmarkEnd w:id="257"/>
      <w:bookmarkEnd w:id="258"/>
      <w:bookmarkEnd w:id="259"/>
      <w:bookmarkEnd w:id="260"/>
      <w:bookmarkEnd w:id="261"/>
    </w:p>
    <w:p>
      <w:pPr>
        <w:spacing w:line="360" w:lineRule="auto"/>
        <w:jc w:val="left"/>
        <w:rPr>
          <w:rFonts w:hAnsi="宋体"/>
          <w:b/>
          <w:color w:val="000000" w:themeColor="text1"/>
          <w:sz w:val="24"/>
        </w:rPr>
      </w:pPr>
      <w:r>
        <w:rPr>
          <w:rFonts w:hint="eastAsia" w:hAnsi="宋体"/>
          <w:b/>
          <w:color w:val="000000" w:themeColor="text1"/>
          <w:sz w:val="24"/>
        </w:rPr>
        <w:t>投 标 人：</w:t>
      </w:r>
    </w:p>
    <w:p>
      <w:pPr>
        <w:spacing w:line="360" w:lineRule="auto"/>
        <w:jc w:val="left"/>
        <w:rPr>
          <w:rFonts w:hAnsi="宋体"/>
          <w:b/>
          <w:color w:val="000000" w:themeColor="text1"/>
          <w:sz w:val="24"/>
        </w:rPr>
      </w:pPr>
      <w:r>
        <w:rPr>
          <w:rFonts w:hint="eastAsia" w:ascii="宋体" w:hAnsi="宋体" w:eastAsia="宋体" w:cs="Times New Roman"/>
          <w:b/>
          <w:color w:val="000000" w:themeColor="text1"/>
          <w:sz w:val="24"/>
          <w:szCs w:val="21"/>
          <w:lang w:val="zh-CN"/>
        </w:rPr>
        <w:t>项目编号：</w:t>
      </w:r>
      <w:r>
        <w:rPr>
          <w:rFonts w:hint="eastAsia" w:ascii="宋体" w:hAnsi="宋体" w:eastAsia="宋体" w:cs="Times New Roman"/>
          <w:b/>
          <w:bCs/>
          <w:color w:val="000000" w:themeColor="text1"/>
          <w:sz w:val="24"/>
          <w:szCs w:val="21"/>
          <w:lang w:val="zh-CN"/>
        </w:rPr>
        <w:t xml:space="preserve">                所投包号：</w:t>
      </w:r>
    </w:p>
    <w:tbl>
      <w:tblPr>
        <w:tblStyle w:val="18"/>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2848"/>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61" w:type="dxa"/>
            <w:shd w:val="clear" w:color="auto" w:fill="F1F1F1" w:themeFill="background1" w:themeFillShade="F2"/>
            <w:vAlign w:val="center"/>
          </w:tcPr>
          <w:p>
            <w:pPr>
              <w:ind w:left="-37" w:leftChars="-18" w:right="-48" w:rightChars="-23"/>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序号</w:t>
            </w:r>
          </w:p>
        </w:tc>
        <w:tc>
          <w:tcPr>
            <w:tcW w:w="2848" w:type="dxa"/>
            <w:shd w:val="clear" w:color="auto" w:fill="F1F1F1" w:themeFill="background1" w:themeFillShade="F2"/>
            <w:vAlign w:val="center"/>
          </w:tcPr>
          <w:p>
            <w:pPr>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招标文件商务评分标准</w:t>
            </w:r>
          </w:p>
        </w:tc>
        <w:tc>
          <w:tcPr>
            <w:tcW w:w="2767" w:type="dxa"/>
            <w:shd w:val="clear" w:color="auto" w:fill="F1F1F1" w:themeFill="background1" w:themeFillShade="F2"/>
            <w:vAlign w:val="center"/>
          </w:tcPr>
          <w:p>
            <w:pPr>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投标响应内容对应简述</w:t>
            </w:r>
          </w:p>
        </w:tc>
        <w:tc>
          <w:tcPr>
            <w:tcW w:w="1619" w:type="dxa"/>
            <w:shd w:val="clear" w:color="auto" w:fill="F1F1F1" w:themeFill="background1" w:themeFillShade="F2"/>
            <w:vAlign w:val="center"/>
          </w:tcPr>
          <w:p>
            <w:pPr>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偏离说明</w:t>
            </w:r>
          </w:p>
        </w:tc>
        <w:tc>
          <w:tcPr>
            <w:tcW w:w="1619" w:type="dxa"/>
            <w:shd w:val="clear" w:color="auto" w:fill="F1F1F1" w:themeFill="background1" w:themeFillShade="F2"/>
          </w:tcPr>
          <w:p>
            <w:pPr>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2"/>
              </w:numPr>
              <w:jc w:val="center"/>
              <w:rPr>
                <w:rFonts w:ascii="宋体" w:hAnsi="宋体" w:eastAsia="宋体" w:cs="仿宋_GB2312"/>
                <w:color w:val="000000" w:themeColor="text1"/>
                <w:sz w:val="24"/>
                <w:szCs w:val="24"/>
              </w:rPr>
            </w:pPr>
          </w:p>
        </w:tc>
        <w:tc>
          <w:tcPr>
            <w:tcW w:w="2848" w:type="dxa"/>
            <w:vAlign w:val="center"/>
          </w:tcPr>
          <w:p>
            <w:pPr>
              <w:jc w:val="center"/>
              <w:rPr>
                <w:rFonts w:ascii="宋体" w:hAnsi="宋体" w:eastAsia="宋体" w:cs="仿宋_GB2312"/>
                <w:color w:val="000000" w:themeColor="text1"/>
                <w:sz w:val="24"/>
                <w:szCs w:val="24"/>
              </w:rPr>
            </w:pPr>
          </w:p>
        </w:tc>
        <w:tc>
          <w:tcPr>
            <w:tcW w:w="2767" w:type="dxa"/>
            <w:vAlign w:val="center"/>
          </w:tcPr>
          <w:p>
            <w:pPr>
              <w:jc w:val="center"/>
              <w:rPr>
                <w:rFonts w:ascii="宋体" w:hAnsi="宋体" w:eastAsia="宋体" w:cs="仿宋_GB2312"/>
                <w:color w:val="000000" w:themeColor="text1"/>
                <w:sz w:val="24"/>
                <w:szCs w:val="24"/>
              </w:rPr>
            </w:pPr>
          </w:p>
        </w:tc>
        <w:tc>
          <w:tcPr>
            <w:tcW w:w="1619" w:type="dxa"/>
            <w:vAlign w:val="center"/>
          </w:tcPr>
          <w:p>
            <w:pPr>
              <w:jc w:val="center"/>
              <w:rPr>
                <w:rFonts w:ascii="宋体" w:hAnsi="宋体" w:eastAsia="宋体" w:cs="仿宋_GB2312"/>
                <w:color w:val="000000" w:themeColor="text1"/>
                <w:sz w:val="24"/>
                <w:szCs w:val="24"/>
              </w:rPr>
            </w:pPr>
          </w:p>
        </w:tc>
        <w:tc>
          <w:tcPr>
            <w:tcW w:w="1619" w:type="dxa"/>
            <w:vAlign w:val="center"/>
          </w:tcPr>
          <w:p>
            <w:pPr>
              <w:jc w:val="center"/>
              <w:rPr>
                <w:rFonts w:ascii="宋体" w:hAnsi="宋体" w:eastAsia="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2"/>
              </w:numPr>
              <w:jc w:val="center"/>
              <w:rPr>
                <w:rFonts w:ascii="宋体" w:hAnsi="宋体" w:eastAsia="宋体" w:cs="仿宋_GB2312"/>
                <w:color w:val="000000" w:themeColor="text1"/>
                <w:sz w:val="24"/>
                <w:szCs w:val="24"/>
              </w:rPr>
            </w:pPr>
          </w:p>
        </w:tc>
        <w:tc>
          <w:tcPr>
            <w:tcW w:w="2848" w:type="dxa"/>
            <w:vAlign w:val="center"/>
          </w:tcPr>
          <w:p>
            <w:pPr>
              <w:jc w:val="center"/>
              <w:rPr>
                <w:rFonts w:ascii="宋体" w:hAnsi="宋体" w:eastAsia="宋体" w:cs="仿宋_GB2312"/>
                <w:color w:val="000000" w:themeColor="text1"/>
                <w:sz w:val="24"/>
                <w:szCs w:val="24"/>
              </w:rPr>
            </w:pPr>
          </w:p>
        </w:tc>
        <w:tc>
          <w:tcPr>
            <w:tcW w:w="2767" w:type="dxa"/>
            <w:vAlign w:val="center"/>
          </w:tcPr>
          <w:p>
            <w:pPr>
              <w:jc w:val="center"/>
              <w:rPr>
                <w:rFonts w:ascii="宋体" w:hAnsi="宋体" w:eastAsia="宋体" w:cs="仿宋_GB2312"/>
                <w:color w:val="000000" w:themeColor="text1"/>
                <w:sz w:val="24"/>
                <w:szCs w:val="24"/>
              </w:rPr>
            </w:pPr>
          </w:p>
        </w:tc>
        <w:tc>
          <w:tcPr>
            <w:tcW w:w="1619" w:type="dxa"/>
            <w:vAlign w:val="center"/>
          </w:tcPr>
          <w:p>
            <w:pPr>
              <w:jc w:val="center"/>
              <w:rPr>
                <w:rFonts w:ascii="宋体" w:hAnsi="宋体" w:eastAsia="宋体" w:cs="仿宋_GB2312"/>
                <w:color w:val="000000" w:themeColor="text1"/>
                <w:sz w:val="24"/>
                <w:szCs w:val="24"/>
              </w:rPr>
            </w:pPr>
          </w:p>
        </w:tc>
        <w:tc>
          <w:tcPr>
            <w:tcW w:w="1619" w:type="dxa"/>
            <w:vAlign w:val="center"/>
          </w:tcPr>
          <w:p>
            <w:pPr>
              <w:jc w:val="center"/>
              <w:rPr>
                <w:rFonts w:ascii="宋体" w:hAnsi="宋体" w:eastAsia="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2"/>
              </w:numPr>
              <w:jc w:val="center"/>
              <w:rPr>
                <w:rFonts w:ascii="宋体" w:hAnsi="宋体" w:eastAsia="宋体" w:cs="仿宋_GB2312"/>
                <w:color w:val="000000" w:themeColor="text1"/>
                <w:sz w:val="24"/>
                <w:szCs w:val="24"/>
              </w:rPr>
            </w:pPr>
          </w:p>
        </w:tc>
        <w:tc>
          <w:tcPr>
            <w:tcW w:w="2848" w:type="dxa"/>
            <w:vAlign w:val="center"/>
          </w:tcPr>
          <w:p>
            <w:pPr>
              <w:jc w:val="center"/>
              <w:rPr>
                <w:rFonts w:ascii="宋体" w:hAnsi="宋体" w:eastAsia="宋体" w:cs="仿宋_GB2312"/>
                <w:color w:val="000000" w:themeColor="text1"/>
                <w:sz w:val="24"/>
                <w:szCs w:val="24"/>
              </w:rPr>
            </w:pPr>
          </w:p>
        </w:tc>
        <w:tc>
          <w:tcPr>
            <w:tcW w:w="2767" w:type="dxa"/>
            <w:vAlign w:val="center"/>
          </w:tcPr>
          <w:p>
            <w:pPr>
              <w:jc w:val="center"/>
              <w:rPr>
                <w:rFonts w:ascii="宋体" w:hAnsi="宋体" w:eastAsia="宋体" w:cs="仿宋_GB2312"/>
                <w:color w:val="000000" w:themeColor="text1"/>
                <w:sz w:val="24"/>
                <w:szCs w:val="24"/>
              </w:rPr>
            </w:pPr>
          </w:p>
        </w:tc>
        <w:tc>
          <w:tcPr>
            <w:tcW w:w="1619" w:type="dxa"/>
            <w:vAlign w:val="center"/>
          </w:tcPr>
          <w:p>
            <w:pPr>
              <w:jc w:val="center"/>
              <w:rPr>
                <w:rFonts w:ascii="宋体" w:hAnsi="宋体" w:eastAsia="宋体" w:cs="仿宋_GB2312"/>
                <w:color w:val="000000" w:themeColor="text1"/>
                <w:sz w:val="24"/>
                <w:szCs w:val="24"/>
              </w:rPr>
            </w:pPr>
          </w:p>
        </w:tc>
        <w:tc>
          <w:tcPr>
            <w:tcW w:w="1619" w:type="dxa"/>
            <w:vAlign w:val="center"/>
          </w:tcPr>
          <w:p>
            <w:pPr>
              <w:jc w:val="center"/>
              <w:rPr>
                <w:rFonts w:ascii="宋体" w:hAnsi="宋体" w:eastAsia="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2"/>
              </w:numPr>
              <w:jc w:val="center"/>
              <w:rPr>
                <w:rFonts w:ascii="宋体" w:hAnsi="宋体" w:eastAsia="宋体" w:cs="仿宋_GB2312"/>
                <w:color w:val="000000" w:themeColor="text1"/>
                <w:sz w:val="24"/>
                <w:szCs w:val="24"/>
              </w:rPr>
            </w:pPr>
          </w:p>
        </w:tc>
        <w:tc>
          <w:tcPr>
            <w:tcW w:w="2848" w:type="dxa"/>
            <w:vAlign w:val="center"/>
          </w:tcPr>
          <w:p>
            <w:pPr>
              <w:jc w:val="center"/>
              <w:rPr>
                <w:rFonts w:ascii="宋体" w:hAnsi="宋体" w:eastAsia="宋体" w:cs="仿宋_GB2312"/>
                <w:color w:val="000000" w:themeColor="text1"/>
                <w:sz w:val="24"/>
                <w:szCs w:val="24"/>
              </w:rPr>
            </w:pPr>
          </w:p>
        </w:tc>
        <w:tc>
          <w:tcPr>
            <w:tcW w:w="2767" w:type="dxa"/>
            <w:vAlign w:val="center"/>
          </w:tcPr>
          <w:p>
            <w:pPr>
              <w:jc w:val="center"/>
              <w:rPr>
                <w:rFonts w:ascii="宋体" w:hAnsi="宋体" w:eastAsia="宋体" w:cs="仿宋_GB2312"/>
                <w:color w:val="000000" w:themeColor="text1"/>
                <w:sz w:val="24"/>
                <w:szCs w:val="24"/>
              </w:rPr>
            </w:pPr>
          </w:p>
        </w:tc>
        <w:tc>
          <w:tcPr>
            <w:tcW w:w="1619" w:type="dxa"/>
            <w:vAlign w:val="center"/>
          </w:tcPr>
          <w:p>
            <w:pPr>
              <w:jc w:val="center"/>
              <w:rPr>
                <w:rFonts w:ascii="宋体" w:hAnsi="宋体" w:eastAsia="宋体" w:cs="仿宋_GB2312"/>
                <w:color w:val="000000" w:themeColor="text1"/>
                <w:sz w:val="24"/>
                <w:szCs w:val="24"/>
              </w:rPr>
            </w:pPr>
          </w:p>
        </w:tc>
        <w:tc>
          <w:tcPr>
            <w:tcW w:w="1619" w:type="dxa"/>
            <w:vAlign w:val="center"/>
          </w:tcPr>
          <w:p>
            <w:pPr>
              <w:jc w:val="center"/>
              <w:rPr>
                <w:rFonts w:ascii="宋体" w:hAnsi="宋体" w:eastAsia="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2"/>
              </w:numPr>
              <w:jc w:val="center"/>
              <w:rPr>
                <w:rFonts w:ascii="宋体" w:hAnsi="宋体" w:eastAsia="宋体" w:cs="仿宋_GB2312"/>
                <w:color w:val="000000" w:themeColor="text1"/>
                <w:sz w:val="24"/>
                <w:szCs w:val="24"/>
              </w:rPr>
            </w:pPr>
          </w:p>
        </w:tc>
        <w:tc>
          <w:tcPr>
            <w:tcW w:w="2848" w:type="dxa"/>
            <w:vAlign w:val="center"/>
          </w:tcPr>
          <w:p>
            <w:pPr>
              <w:jc w:val="center"/>
              <w:rPr>
                <w:rFonts w:ascii="宋体" w:hAnsi="宋体" w:eastAsia="宋体" w:cs="仿宋_GB2312"/>
                <w:color w:val="000000" w:themeColor="text1"/>
                <w:sz w:val="24"/>
                <w:szCs w:val="24"/>
              </w:rPr>
            </w:pPr>
          </w:p>
        </w:tc>
        <w:tc>
          <w:tcPr>
            <w:tcW w:w="2767" w:type="dxa"/>
            <w:vAlign w:val="center"/>
          </w:tcPr>
          <w:p>
            <w:pPr>
              <w:jc w:val="center"/>
              <w:rPr>
                <w:rFonts w:ascii="宋体" w:hAnsi="宋体" w:eastAsia="宋体" w:cs="仿宋_GB2312"/>
                <w:color w:val="000000" w:themeColor="text1"/>
                <w:sz w:val="24"/>
                <w:szCs w:val="24"/>
              </w:rPr>
            </w:pPr>
          </w:p>
        </w:tc>
        <w:tc>
          <w:tcPr>
            <w:tcW w:w="1619" w:type="dxa"/>
            <w:vAlign w:val="center"/>
          </w:tcPr>
          <w:p>
            <w:pPr>
              <w:jc w:val="center"/>
              <w:rPr>
                <w:rFonts w:ascii="宋体" w:hAnsi="宋体" w:eastAsia="宋体" w:cs="仿宋_GB2312"/>
                <w:color w:val="000000" w:themeColor="text1"/>
                <w:sz w:val="24"/>
                <w:szCs w:val="24"/>
              </w:rPr>
            </w:pPr>
          </w:p>
        </w:tc>
        <w:tc>
          <w:tcPr>
            <w:tcW w:w="1619" w:type="dxa"/>
            <w:vAlign w:val="center"/>
          </w:tcPr>
          <w:p>
            <w:pPr>
              <w:jc w:val="center"/>
              <w:rPr>
                <w:rFonts w:ascii="宋体" w:hAnsi="宋体" w:eastAsia="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2"/>
              </w:numPr>
              <w:jc w:val="center"/>
              <w:rPr>
                <w:rFonts w:ascii="宋体" w:hAnsi="宋体" w:eastAsia="宋体" w:cs="仿宋_GB2312"/>
                <w:color w:val="000000" w:themeColor="text1"/>
                <w:sz w:val="24"/>
                <w:szCs w:val="24"/>
              </w:rPr>
            </w:pPr>
          </w:p>
        </w:tc>
        <w:tc>
          <w:tcPr>
            <w:tcW w:w="2848" w:type="dxa"/>
            <w:vAlign w:val="center"/>
          </w:tcPr>
          <w:p>
            <w:pPr>
              <w:jc w:val="center"/>
              <w:rPr>
                <w:rFonts w:ascii="宋体" w:hAnsi="宋体" w:eastAsia="宋体" w:cs="仿宋_GB2312"/>
                <w:color w:val="000000" w:themeColor="text1"/>
                <w:sz w:val="24"/>
                <w:szCs w:val="24"/>
              </w:rPr>
            </w:pPr>
          </w:p>
        </w:tc>
        <w:tc>
          <w:tcPr>
            <w:tcW w:w="2767" w:type="dxa"/>
            <w:vAlign w:val="center"/>
          </w:tcPr>
          <w:p>
            <w:pPr>
              <w:jc w:val="center"/>
              <w:rPr>
                <w:rFonts w:ascii="宋体" w:hAnsi="宋体" w:eastAsia="宋体" w:cs="仿宋_GB2312"/>
                <w:color w:val="000000" w:themeColor="text1"/>
                <w:sz w:val="24"/>
                <w:szCs w:val="24"/>
              </w:rPr>
            </w:pPr>
          </w:p>
        </w:tc>
        <w:tc>
          <w:tcPr>
            <w:tcW w:w="1619" w:type="dxa"/>
            <w:vAlign w:val="center"/>
          </w:tcPr>
          <w:p>
            <w:pPr>
              <w:jc w:val="center"/>
              <w:rPr>
                <w:rFonts w:ascii="宋体" w:hAnsi="宋体" w:eastAsia="宋体" w:cs="仿宋_GB2312"/>
                <w:color w:val="000000" w:themeColor="text1"/>
                <w:sz w:val="24"/>
                <w:szCs w:val="24"/>
              </w:rPr>
            </w:pPr>
          </w:p>
        </w:tc>
        <w:tc>
          <w:tcPr>
            <w:tcW w:w="1619" w:type="dxa"/>
            <w:vAlign w:val="center"/>
          </w:tcPr>
          <w:p>
            <w:pPr>
              <w:jc w:val="center"/>
              <w:rPr>
                <w:rFonts w:ascii="宋体" w:hAnsi="宋体" w:eastAsia="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w:t>
            </w:r>
          </w:p>
        </w:tc>
        <w:tc>
          <w:tcPr>
            <w:tcW w:w="2848" w:type="dxa"/>
            <w:vAlign w:val="center"/>
          </w:tcPr>
          <w:p>
            <w:pPr>
              <w:jc w:val="center"/>
              <w:rPr>
                <w:rFonts w:ascii="宋体" w:hAnsi="宋体" w:eastAsia="宋体" w:cs="仿宋_GB2312"/>
                <w:color w:val="000000" w:themeColor="text1"/>
                <w:sz w:val="24"/>
                <w:szCs w:val="24"/>
              </w:rPr>
            </w:pPr>
          </w:p>
        </w:tc>
        <w:tc>
          <w:tcPr>
            <w:tcW w:w="2767" w:type="dxa"/>
            <w:vAlign w:val="center"/>
          </w:tcPr>
          <w:p>
            <w:pPr>
              <w:jc w:val="center"/>
              <w:rPr>
                <w:rFonts w:ascii="宋体" w:hAnsi="宋体" w:eastAsia="宋体" w:cs="仿宋_GB2312"/>
                <w:color w:val="000000" w:themeColor="text1"/>
                <w:sz w:val="24"/>
                <w:szCs w:val="24"/>
              </w:rPr>
            </w:pPr>
          </w:p>
        </w:tc>
        <w:tc>
          <w:tcPr>
            <w:tcW w:w="1619" w:type="dxa"/>
            <w:vAlign w:val="center"/>
          </w:tcPr>
          <w:p>
            <w:pPr>
              <w:jc w:val="center"/>
              <w:rPr>
                <w:rFonts w:ascii="宋体" w:hAnsi="宋体" w:eastAsia="宋体" w:cs="仿宋_GB2312"/>
                <w:color w:val="000000" w:themeColor="text1"/>
                <w:sz w:val="24"/>
                <w:szCs w:val="24"/>
              </w:rPr>
            </w:pPr>
          </w:p>
        </w:tc>
        <w:tc>
          <w:tcPr>
            <w:tcW w:w="1619" w:type="dxa"/>
            <w:vAlign w:val="center"/>
          </w:tcPr>
          <w:p>
            <w:pPr>
              <w:jc w:val="center"/>
              <w:rPr>
                <w:rFonts w:ascii="宋体" w:hAnsi="宋体" w:eastAsia="宋体" w:cs="仿宋_GB2312"/>
                <w:color w:val="000000" w:themeColor="text1"/>
                <w:sz w:val="24"/>
                <w:szCs w:val="24"/>
              </w:rPr>
            </w:pPr>
          </w:p>
        </w:tc>
      </w:tr>
    </w:tbl>
    <w:p>
      <w:pPr>
        <w:spacing w:line="360" w:lineRule="auto"/>
        <w:ind w:left="1092" w:hanging="1092" w:hangingChars="455"/>
        <w:jc w:val="left"/>
        <w:rPr>
          <w:rFonts w:ascii="宋体" w:hAnsi="宋体" w:eastAsia="宋体" w:cs="Corbel"/>
          <w:color w:val="000000" w:themeColor="text1"/>
          <w:sz w:val="24"/>
          <w:szCs w:val="24"/>
        </w:rPr>
      </w:pPr>
      <w:r>
        <w:rPr>
          <w:rFonts w:hint="eastAsia" w:ascii="宋体" w:hAnsi="宋体" w:eastAsia="宋体" w:cs="Corbel"/>
          <w:color w:val="000000" w:themeColor="text1"/>
          <w:sz w:val="24"/>
          <w:szCs w:val="24"/>
        </w:rPr>
        <w:t>说明：1．投标人应按招标文件第五章“评标方法、程序及标准”中“商务评议”的评分标准逐项说明是否满足要求，如有偏离,投标人应详细说明。未按照要求填写此表或仅注明“符合”、“满足”的，</w:t>
      </w:r>
      <w:r>
        <w:rPr>
          <w:rFonts w:hint="eastAsia" w:ascii="宋体" w:hAnsi="宋体" w:eastAsia="宋体" w:cs="Times New Roman"/>
          <w:color w:val="000000" w:themeColor="text1"/>
          <w:sz w:val="24"/>
          <w:szCs w:val="24"/>
        </w:rPr>
        <w:t>导致的后果由投标人自行承担。</w:t>
      </w:r>
    </w:p>
    <w:p>
      <w:pPr>
        <w:spacing w:line="360" w:lineRule="auto"/>
        <w:ind w:left="1061" w:leftChars="339" w:hanging="350" w:hangingChars="146"/>
        <w:jc w:val="left"/>
        <w:rPr>
          <w:rFonts w:ascii="宋体" w:hAnsi="宋体" w:eastAsia="宋体" w:cs="Corbel"/>
          <w:color w:val="000000" w:themeColor="text1"/>
          <w:sz w:val="24"/>
          <w:szCs w:val="24"/>
        </w:rPr>
      </w:pPr>
      <w:r>
        <w:rPr>
          <w:rFonts w:hint="eastAsia" w:ascii="宋体" w:hAnsi="宋体" w:eastAsia="宋体" w:cs="Corbel"/>
          <w:color w:val="000000" w:themeColor="text1"/>
          <w:sz w:val="24"/>
          <w:szCs w:val="24"/>
        </w:rPr>
        <w:t>2．投标人提供的相关证明文件对应的页码填写到上表“投标文件对应的页码”中。如未提供页码或内容页码完全不一致的，</w:t>
      </w:r>
      <w:r>
        <w:rPr>
          <w:rFonts w:hint="eastAsia" w:ascii="宋体" w:hAnsi="宋体" w:eastAsia="宋体" w:cs="Times New Roman"/>
          <w:color w:val="000000" w:themeColor="text1"/>
          <w:sz w:val="24"/>
          <w:szCs w:val="24"/>
        </w:rPr>
        <w:t>导致的后果由投标人自行承担。</w:t>
      </w:r>
    </w:p>
    <w:p>
      <w:pPr>
        <w:spacing w:before="100" w:beforeAutospacing="1" w:after="100" w:afterAutospacing="1" w:line="360" w:lineRule="auto"/>
        <w:ind w:firstLine="3316" w:firstLineChars="1382"/>
        <w:rPr>
          <w:rFonts w:hAnsi="宋体"/>
          <w:b/>
          <w:bCs/>
          <w:color w:val="000000" w:themeColor="text1"/>
          <w:sz w:val="24"/>
          <w:u w:val="single"/>
        </w:rPr>
      </w:pPr>
      <w:r>
        <w:rPr>
          <w:rFonts w:hint="eastAsia" w:hAnsi="宋体"/>
          <w:b/>
          <w:bCs/>
          <w:color w:val="000000" w:themeColor="text1"/>
          <w:sz w:val="24"/>
        </w:rPr>
        <w:t>投标人（公章）：</w:t>
      </w:r>
    </w:p>
    <w:p>
      <w:pPr>
        <w:spacing w:before="100" w:beforeAutospacing="1" w:after="100" w:afterAutospacing="1" w:line="360" w:lineRule="auto"/>
        <w:ind w:firstLine="3316" w:firstLineChars="1382"/>
        <w:rPr>
          <w:rFonts w:hAnsi="宋体"/>
          <w:b/>
          <w:bCs/>
          <w:color w:val="000000" w:themeColor="text1"/>
          <w:sz w:val="24"/>
          <w:u w:val="single"/>
        </w:rPr>
      </w:pPr>
      <w:r>
        <w:rPr>
          <w:rFonts w:hint="eastAsia" w:ascii="宋体" w:hAnsi="宋体" w:eastAsia="宋体" w:cs="Times New Roman"/>
          <w:b/>
          <w:bCs/>
          <w:color w:val="000000" w:themeColor="text1"/>
          <w:sz w:val="24"/>
          <w:szCs w:val="21"/>
          <w:lang w:val="zh-CN"/>
        </w:rPr>
        <w:t>投标人</w:t>
      </w:r>
      <w:r>
        <w:rPr>
          <w:rFonts w:hint="eastAsia" w:hAnsi="宋体"/>
          <w:b/>
          <w:bCs/>
          <w:color w:val="000000" w:themeColor="text1"/>
          <w:sz w:val="24"/>
        </w:rPr>
        <w:t>授权代表（签字）：</w:t>
      </w:r>
    </w:p>
    <w:p>
      <w:pPr>
        <w:spacing w:before="100" w:beforeAutospacing="1" w:after="100" w:afterAutospacing="1" w:line="360" w:lineRule="auto"/>
        <w:ind w:firstLine="3316" w:firstLineChars="1382"/>
        <w:rPr>
          <w:color w:val="000000" w:themeColor="text1"/>
        </w:rPr>
      </w:pPr>
      <w:r>
        <w:rPr>
          <w:rFonts w:hint="eastAsia" w:ascii="宋体" w:hAnsi="宋体" w:eastAsia="宋体" w:cs="Times New Roman"/>
          <w:b/>
          <w:bCs/>
          <w:color w:val="000000" w:themeColor="text1"/>
          <w:sz w:val="24"/>
          <w:szCs w:val="21"/>
          <w:lang w:val="zh-CN"/>
        </w:rPr>
        <w:t>投标</w:t>
      </w:r>
      <w:r>
        <w:rPr>
          <w:rFonts w:hint="eastAsia" w:hAnsi="宋体"/>
          <w:b/>
          <w:bCs/>
          <w:color w:val="000000" w:themeColor="text1"/>
          <w:sz w:val="24"/>
        </w:rPr>
        <w:t>时间：</w:t>
      </w:r>
    </w:p>
    <w:p>
      <w:pPr>
        <w:rPr>
          <w:color w:val="000000" w:themeColor="text1"/>
        </w:rPr>
      </w:pPr>
      <w:r>
        <w:rPr>
          <w:color w:val="000000" w:themeColor="text1"/>
        </w:rPr>
        <w:br w:type="page"/>
      </w:r>
    </w:p>
    <w:p>
      <w:pPr>
        <w:pStyle w:val="2"/>
        <w:numPr>
          <w:ilvl w:val="0"/>
          <w:numId w:val="58"/>
        </w:numPr>
        <w:spacing w:before="100" w:beforeAutospacing="1" w:after="156" w:afterLines="50" w:line="360" w:lineRule="auto"/>
        <w:ind w:left="1610" w:hanging="1610"/>
        <w:rPr>
          <w:rFonts w:ascii="宋体" w:hAnsi="宋体" w:eastAsia="宋体"/>
          <w:color w:val="000000" w:themeColor="text1"/>
        </w:rPr>
      </w:pPr>
      <w:bookmarkStart w:id="262" w:name="_Toc494665969"/>
      <w:bookmarkStart w:id="263" w:name="_Toc494745336"/>
      <w:bookmarkStart w:id="264" w:name="_Toc17092"/>
      <w:bookmarkStart w:id="265" w:name="_Toc494665019"/>
      <w:bookmarkStart w:id="266" w:name="_Toc494721119"/>
      <w:bookmarkStart w:id="267" w:name="_Toc494702289"/>
      <w:bookmarkStart w:id="268" w:name="_Toc494665572"/>
      <w:r>
        <w:rPr>
          <w:rFonts w:hint="eastAsia" w:ascii="宋体" w:hAnsi="宋体" w:eastAsia="宋体"/>
          <w:color w:val="000000" w:themeColor="text1"/>
        </w:rPr>
        <w:t>技术、服务要求响应、偏离说明表</w:t>
      </w:r>
      <w:bookmarkEnd w:id="262"/>
      <w:bookmarkEnd w:id="263"/>
      <w:bookmarkEnd w:id="264"/>
      <w:bookmarkEnd w:id="265"/>
      <w:bookmarkEnd w:id="266"/>
      <w:bookmarkEnd w:id="267"/>
      <w:bookmarkEnd w:id="268"/>
    </w:p>
    <w:p>
      <w:pPr>
        <w:spacing w:line="360" w:lineRule="auto"/>
        <w:jc w:val="left"/>
        <w:rPr>
          <w:rFonts w:hAnsi="宋体"/>
          <w:b/>
          <w:color w:val="000000" w:themeColor="text1"/>
          <w:sz w:val="24"/>
        </w:rPr>
      </w:pPr>
      <w:r>
        <w:rPr>
          <w:rFonts w:hint="eastAsia" w:hAnsi="宋体"/>
          <w:b/>
          <w:color w:val="000000" w:themeColor="text1"/>
          <w:sz w:val="24"/>
        </w:rPr>
        <w:t>投 标 人：</w:t>
      </w:r>
    </w:p>
    <w:p>
      <w:pPr>
        <w:spacing w:line="360" w:lineRule="auto"/>
        <w:jc w:val="left"/>
        <w:rPr>
          <w:rFonts w:hAnsi="宋体"/>
          <w:b/>
          <w:color w:val="000000" w:themeColor="text1"/>
          <w:sz w:val="24"/>
        </w:rPr>
      </w:pPr>
      <w:r>
        <w:rPr>
          <w:rFonts w:hint="eastAsia" w:ascii="宋体" w:hAnsi="宋体" w:eastAsia="宋体" w:cs="Times New Roman"/>
          <w:b/>
          <w:color w:val="000000" w:themeColor="text1"/>
          <w:sz w:val="24"/>
          <w:szCs w:val="21"/>
          <w:lang w:val="zh-CN"/>
        </w:rPr>
        <w:t>项目编号：</w:t>
      </w:r>
      <w:r>
        <w:rPr>
          <w:rFonts w:hint="eastAsia" w:ascii="宋体" w:hAnsi="宋体" w:eastAsia="宋体" w:cs="Times New Roman"/>
          <w:b/>
          <w:bCs/>
          <w:color w:val="000000" w:themeColor="text1"/>
          <w:sz w:val="24"/>
          <w:szCs w:val="21"/>
          <w:lang w:val="zh-CN"/>
        </w:rPr>
        <w:t xml:space="preserve">                所投包号：</w:t>
      </w:r>
    </w:p>
    <w:tbl>
      <w:tblPr>
        <w:tblStyle w:val="18"/>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3031"/>
        <w:gridCol w:w="2755"/>
        <w:gridCol w:w="1364"/>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5" w:type="dxa"/>
            <w:shd w:val="clear" w:color="auto" w:fill="F1F1F1" w:themeFill="background1" w:themeFillShade="F2"/>
            <w:vAlign w:val="center"/>
          </w:tcPr>
          <w:p>
            <w:pPr>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序号</w:t>
            </w:r>
          </w:p>
        </w:tc>
        <w:tc>
          <w:tcPr>
            <w:tcW w:w="3031" w:type="dxa"/>
            <w:shd w:val="clear" w:color="auto" w:fill="F1F1F1" w:themeFill="background1" w:themeFillShade="F2"/>
            <w:vAlign w:val="center"/>
          </w:tcPr>
          <w:p>
            <w:pPr>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招标文件技术、服务要求条款</w:t>
            </w:r>
          </w:p>
        </w:tc>
        <w:tc>
          <w:tcPr>
            <w:tcW w:w="2755" w:type="dxa"/>
            <w:shd w:val="clear" w:color="auto" w:fill="F1F1F1" w:themeFill="background1" w:themeFillShade="F2"/>
            <w:vAlign w:val="center"/>
          </w:tcPr>
          <w:p>
            <w:pPr>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投标响应内容对应简述</w:t>
            </w:r>
          </w:p>
        </w:tc>
        <w:tc>
          <w:tcPr>
            <w:tcW w:w="1364" w:type="dxa"/>
            <w:shd w:val="clear" w:color="auto" w:fill="F1F1F1" w:themeFill="background1" w:themeFillShade="F2"/>
            <w:vAlign w:val="center"/>
          </w:tcPr>
          <w:p>
            <w:pPr>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偏离说明</w:t>
            </w:r>
          </w:p>
        </w:tc>
        <w:tc>
          <w:tcPr>
            <w:tcW w:w="1619" w:type="dxa"/>
            <w:shd w:val="clear" w:color="auto" w:fill="F1F1F1" w:themeFill="background1" w:themeFillShade="F2"/>
          </w:tcPr>
          <w:p>
            <w:pPr>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1</w:t>
            </w:r>
          </w:p>
        </w:tc>
        <w:tc>
          <w:tcPr>
            <w:tcW w:w="3031" w:type="dxa"/>
            <w:vAlign w:val="center"/>
          </w:tcPr>
          <w:p>
            <w:pPr>
              <w:jc w:val="center"/>
              <w:rPr>
                <w:rFonts w:ascii="宋体" w:hAnsi="宋体" w:eastAsia="宋体" w:cs="仿宋_GB2312"/>
                <w:color w:val="000000" w:themeColor="text1"/>
                <w:sz w:val="24"/>
                <w:szCs w:val="24"/>
              </w:rPr>
            </w:pPr>
          </w:p>
        </w:tc>
        <w:tc>
          <w:tcPr>
            <w:tcW w:w="2755" w:type="dxa"/>
            <w:vAlign w:val="center"/>
          </w:tcPr>
          <w:p>
            <w:pPr>
              <w:jc w:val="center"/>
              <w:rPr>
                <w:rFonts w:ascii="宋体" w:hAnsi="宋体" w:eastAsia="宋体" w:cs="仿宋_GB2312"/>
                <w:color w:val="000000" w:themeColor="text1"/>
                <w:sz w:val="24"/>
                <w:szCs w:val="24"/>
              </w:rPr>
            </w:pPr>
          </w:p>
        </w:tc>
        <w:tc>
          <w:tcPr>
            <w:tcW w:w="1364" w:type="dxa"/>
            <w:vAlign w:val="center"/>
          </w:tcPr>
          <w:p>
            <w:pPr>
              <w:jc w:val="center"/>
              <w:rPr>
                <w:rFonts w:ascii="宋体" w:hAnsi="宋体" w:eastAsia="宋体" w:cs="仿宋_GB2312"/>
                <w:color w:val="000000" w:themeColor="text1"/>
                <w:sz w:val="24"/>
                <w:szCs w:val="24"/>
              </w:rPr>
            </w:pPr>
          </w:p>
        </w:tc>
        <w:tc>
          <w:tcPr>
            <w:tcW w:w="1619" w:type="dxa"/>
            <w:vAlign w:val="center"/>
          </w:tcPr>
          <w:p>
            <w:pPr>
              <w:jc w:val="center"/>
              <w:rPr>
                <w:rFonts w:ascii="宋体" w:hAnsi="宋体" w:eastAsia="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2</w:t>
            </w:r>
          </w:p>
        </w:tc>
        <w:tc>
          <w:tcPr>
            <w:tcW w:w="3031" w:type="dxa"/>
            <w:vAlign w:val="center"/>
          </w:tcPr>
          <w:p>
            <w:pPr>
              <w:jc w:val="center"/>
              <w:rPr>
                <w:rFonts w:ascii="宋体" w:hAnsi="宋体" w:eastAsia="宋体" w:cs="仿宋_GB2312"/>
                <w:color w:val="000000" w:themeColor="text1"/>
                <w:sz w:val="24"/>
                <w:szCs w:val="24"/>
              </w:rPr>
            </w:pPr>
          </w:p>
        </w:tc>
        <w:tc>
          <w:tcPr>
            <w:tcW w:w="2755" w:type="dxa"/>
            <w:vAlign w:val="center"/>
          </w:tcPr>
          <w:p>
            <w:pPr>
              <w:jc w:val="center"/>
              <w:rPr>
                <w:rFonts w:ascii="宋体" w:hAnsi="宋体" w:eastAsia="宋体" w:cs="仿宋_GB2312"/>
                <w:color w:val="000000" w:themeColor="text1"/>
                <w:sz w:val="24"/>
                <w:szCs w:val="24"/>
              </w:rPr>
            </w:pPr>
          </w:p>
        </w:tc>
        <w:tc>
          <w:tcPr>
            <w:tcW w:w="1364" w:type="dxa"/>
            <w:vAlign w:val="center"/>
          </w:tcPr>
          <w:p>
            <w:pPr>
              <w:jc w:val="center"/>
              <w:rPr>
                <w:rFonts w:ascii="宋体" w:hAnsi="宋体" w:eastAsia="宋体" w:cs="仿宋_GB2312"/>
                <w:color w:val="000000" w:themeColor="text1"/>
                <w:sz w:val="24"/>
                <w:szCs w:val="24"/>
              </w:rPr>
            </w:pPr>
          </w:p>
        </w:tc>
        <w:tc>
          <w:tcPr>
            <w:tcW w:w="1619" w:type="dxa"/>
            <w:vAlign w:val="center"/>
          </w:tcPr>
          <w:p>
            <w:pPr>
              <w:jc w:val="center"/>
              <w:rPr>
                <w:rFonts w:ascii="宋体" w:hAnsi="宋体" w:eastAsia="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3</w:t>
            </w:r>
          </w:p>
        </w:tc>
        <w:tc>
          <w:tcPr>
            <w:tcW w:w="3031" w:type="dxa"/>
            <w:vAlign w:val="center"/>
          </w:tcPr>
          <w:p>
            <w:pPr>
              <w:jc w:val="center"/>
              <w:rPr>
                <w:rFonts w:ascii="宋体" w:hAnsi="宋体" w:eastAsia="宋体" w:cs="仿宋_GB2312"/>
                <w:color w:val="000000" w:themeColor="text1"/>
                <w:sz w:val="24"/>
                <w:szCs w:val="24"/>
              </w:rPr>
            </w:pPr>
          </w:p>
        </w:tc>
        <w:tc>
          <w:tcPr>
            <w:tcW w:w="2755" w:type="dxa"/>
            <w:vAlign w:val="center"/>
          </w:tcPr>
          <w:p>
            <w:pPr>
              <w:jc w:val="center"/>
              <w:rPr>
                <w:rFonts w:ascii="宋体" w:hAnsi="宋体" w:eastAsia="宋体" w:cs="仿宋_GB2312"/>
                <w:color w:val="000000" w:themeColor="text1"/>
                <w:sz w:val="24"/>
                <w:szCs w:val="24"/>
              </w:rPr>
            </w:pPr>
          </w:p>
        </w:tc>
        <w:tc>
          <w:tcPr>
            <w:tcW w:w="1364" w:type="dxa"/>
            <w:vAlign w:val="center"/>
          </w:tcPr>
          <w:p>
            <w:pPr>
              <w:jc w:val="center"/>
              <w:rPr>
                <w:rFonts w:ascii="宋体" w:hAnsi="宋体" w:eastAsia="宋体" w:cs="仿宋_GB2312"/>
                <w:color w:val="000000" w:themeColor="text1"/>
                <w:sz w:val="24"/>
                <w:szCs w:val="24"/>
              </w:rPr>
            </w:pPr>
          </w:p>
        </w:tc>
        <w:tc>
          <w:tcPr>
            <w:tcW w:w="1619" w:type="dxa"/>
            <w:vAlign w:val="center"/>
          </w:tcPr>
          <w:p>
            <w:pPr>
              <w:jc w:val="center"/>
              <w:rPr>
                <w:rFonts w:ascii="宋体" w:hAnsi="宋体" w:eastAsia="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4</w:t>
            </w:r>
          </w:p>
        </w:tc>
        <w:tc>
          <w:tcPr>
            <w:tcW w:w="3031" w:type="dxa"/>
            <w:vAlign w:val="center"/>
          </w:tcPr>
          <w:p>
            <w:pPr>
              <w:jc w:val="center"/>
              <w:rPr>
                <w:rFonts w:ascii="宋体" w:hAnsi="宋体" w:eastAsia="宋体" w:cs="仿宋_GB2312"/>
                <w:color w:val="000000" w:themeColor="text1"/>
                <w:sz w:val="24"/>
                <w:szCs w:val="24"/>
              </w:rPr>
            </w:pPr>
          </w:p>
        </w:tc>
        <w:tc>
          <w:tcPr>
            <w:tcW w:w="2755" w:type="dxa"/>
            <w:vAlign w:val="center"/>
          </w:tcPr>
          <w:p>
            <w:pPr>
              <w:jc w:val="center"/>
              <w:rPr>
                <w:rFonts w:ascii="宋体" w:hAnsi="宋体" w:eastAsia="宋体" w:cs="仿宋_GB2312"/>
                <w:color w:val="000000" w:themeColor="text1"/>
                <w:sz w:val="24"/>
                <w:szCs w:val="24"/>
              </w:rPr>
            </w:pPr>
          </w:p>
        </w:tc>
        <w:tc>
          <w:tcPr>
            <w:tcW w:w="1364" w:type="dxa"/>
            <w:vAlign w:val="center"/>
          </w:tcPr>
          <w:p>
            <w:pPr>
              <w:jc w:val="center"/>
              <w:rPr>
                <w:rFonts w:ascii="宋体" w:hAnsi="宋体" w:eastAsia="宋体" w:cs="仿宋_GB2312"/>
                <w:color w:val="000000" w:themeColor="text1"/>
                <w:sz w:val="24"/>
                <w:szCs w:val="24"/>
              </w:rPr>
            </w:pPr>
          </w:p>
        </w:tc>
        <w:tc>
          <w:tcPr>
            <w:tcW w:w="1619" w:type="dxa"/>
            <w:vAlign w:val="center"/>
          </w:tcPr>
          <w:p>
            <w:pPr>
              <w:jc w:val="center"/>
              <w:rPr>
                <w:rFonts w:ascii="宋体" w:hAnsi="宋体" w:eastAsia="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5</w:t>
            </w:r>
          </w:p>
        </w:tc>
        <w:tc>
          <w:tcPr>
            <w:tcW w:w="3031" w:type="dxa"/>
            <w:vAlign w:val="center"/>
          </w:tcPr>
          <w:p>
            <w:pPr>
              <w:jc w:val="center"/>
              <w:rPr>
                <w:rFonts w:ascii="宋体" w:hAnsi="宋体" w:eastAsia="宋体" w:cs="仿宋_GB2312"/>
                <w:color w:val="000000" w:themeColor="text1"/>
                <w:sz w:val="24"/>
                <w:szCs w:val="24"/>
              </w:rPr>
            </w:pPr>
          </w:p>
        </w:tc>
        <w:tc>
          <w:tcPr>
            <w:tcW w:w="2755" w:type="dxa"/>
            <w:vAlign w:val="center"/>
          </w:tcPr>
          <w:p>
            <w:pPr>
              <w:jc w:val="center"/>
              <w:rPr>
                <w:rFonts w:ascii="宋体" w:hAnsi="宋体" w:eastAsia="宋体" w:cs="仿宋_GB2312"/>
                <w:color w:val="000000" w:themeColor="text1"/>
                <w:sz w:val="24"/>
                <w:szCs w:val="24"/>
              </w:rPr>
            </w:pPr>
          </w:p>
        </w:tc>
        <w:tc>
          <w:tcPr>
            <w:tcW w:w="1364" w:type="dxa"/>
            <w:vAlign w:val="center"/>
          </w:tcPr>
          <w:p>
            <w:pPr>
              <w:jc w:val="center"/>
              <w:rPr>
                <w:rFonts w:ascii="宋体" w:hAnsi="宋体" w:eastAsia="宋体" w:cs="仿宋_GB2312"/>
                <w:color w:val="000000" w:themeColor="text1"/>
                <w:sz w:val="24"/>
                <w:szCs w:val="24"/>
              </w:rPr>
            </w:pPr>
          </w:p>
        </w:tc>
        <w:tc>
          <w:tcPr>
            <w:tcW w:w="1619" w:type="dxa"/>
            <w:vAlign w:val="center"/>
          </w:tcPr>
          <w:p>
            <w:pPr>
              <w:jc w:val="center"/>
              <w:rPr>
                <w:rFonts w:ascii="宋体" w:hAnsi="宋体" w:eastAsia="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6</w:t>
            </w:r>
          </w:p>
        </w:tc>
        <w:tc>
          <w:tcPr>
            <w:tcW w:w="3031" w:type="dxa"/>
            <w:vAlign w:val="center"/>
          </w:tcPr>
          <w:p>
            <w:pPr>
              <w:jc w:val="center"/>
              <w:rPr>
                <w:rFonts w:ascii="宋体" w:hAnsi="宋体" w:eastAsia="宋体" w:cs="仿宋_GB2312"/>
                <w:color w:val="000000" w:themeColor="text1"/>
                <w:sz w:val="24"/>
                <w:szCs w:val="24"/>
              </w:rPr>
            </w:pPr>
          </w:p>
        </w:tc>
        <w:tc>
          <w:tcPr>
            <w:tcW w:w="2755" w:type="dxa"/>
            <w:vAlign w:val="center"/>
          </w:tcPr>
          <w:p>
            <w:pPr>
              <w:jc w:val="center"/>
              <w:rPr>
                <w:rFonts w:ascii="宋体" w:hAnsi="宋体" w:eastAsia="宋体" w:cs="仿宋_GB2312"/>
                <w:color w:val="000000" w:themeColor="text1"/>
                <w:sz w:val="24"/>
                <w:szCs w:val="24"/>
              </w:rPr>
            </w:pPr>
          </w:p>
        </w:tc>
        <w:tc>
          <w:tcPr>
            <w:tcW w:w="1364" w:type="dxa"/>
            <w:vAlign w:val="center"/>
          </w:tcPr>
          <w:p>
            <w:pPr>
              <w:jc w:val="center"/>
              <w:rPr>
                <w:rFonts w:ascii="宋体" w:hAnsi="宋体" w:eastAsia="宋体" w:cs="仿宋_GB2312"/>
                <w:color w:val="000000" w:themeColor="text1"/>
                <w:sz w:val="24"/>
                <w:szCs w:val="24"/>
              </w:rPr>
            </w:pPr>
          </w:p>
        </w:tc>
        <w:tc>
          <w:tcPr>
            <w:tcW w:w="1619" w:type="dxa"/>
            <w:vAlign w:val="center"/>
          </w:tcPr>
          <w:p>
            <w:pPr>
              <w:jc w:val="center"/>
              <w:rPr>
                <w:rFonts w:ascii="宋体" w:hAnsi="宋体" w:eastAsia="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7</w:t>
            </w:r>
          </w:p>
        </w:tc>
        <w:tc>
          <w:tcPr>
            <w:tcW w:w="3031" w:type="dxa"/>
            <w:vAlign w:val="center"/>
          </w:tcPr>
          <w:p>
            <w:pPr>
              <w:jc w:val="center"/>
              <w:rPr>
                <w:rFonts w:ascii="宋体" w:hAnsi="宋体" w:eastAsia="宋体" w:cs="仿宋_GB2312"/>
                <w:color w:val="000000" w:themeColor="text1"/>
                <w:sz w:val="24"/>
                <w:szCs w:val="24"/>
              </w:rPr>
            </w:pPr>
          </w:p>
        </w:tc>
        <w:tc>
          <w:tcPr>
            <w:tcW w:w="2755" w:type="dxa"/>
            <w:vAlign w:val="center"/>
          </w:tcPr>
          <w:p>
            <w:pPr>
              <w:jc w:val="center"/>
              <w:rPr>
                <w:rFonts w:ascii="宋体" w:hAnsi="宋体" w:eastAsia="宋体" w:cs="仿宋_GB2312"/>
                <w:color w:val="000000" w:themeColor="text1"/>
                <w:sz w:val="24"/>
                <w:szCs w:val="24"/>
              </w:rPr>
            </w:pPr>
          </w:p>
        </w:tc>
        <w:tc>
          <w:tcPr>
            <w:tcW w:w="1364" w:type="dxa"/>
            <w:vAlign w:val="center"/>
          </w:tcPr>
          <w:p>
            <w:pPr>
              <w:jc w:val="center"/>
              <w:rPr>
                <w:rFonts w:ascii="宋体" w:hAnsi="宋体" w:eastAsia="宋体" w:cs="仿宋_GB2312"/>
                <w:color w:val="000000" w:themeColor="text1"/>
                <w:sz w:val="24"/>
                <w:szCs w:val="24"/>
              </w:rPr>
            </w:pPr>
          </w:p>
        </w:tc>
        <w:tc>
          <w:tcPr>
            <w:tcW w:w="1619" w:type="dxa"/>
            <w:vAlign w:val="center"/>
          </w:tcPr>
          <w:p>
            <w:pPr>
              <w:jc w:val="center"/>
              <w:rPr>
                <w:rFonts w:ascii="宋体" w:hAnsi="宋体" w:eastAsia="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w:t>
            </w:r>
          </w:p>
        </w:tc>
        <w:tc>
          <w:tcPr>
            <w:tcW w:w="3031" w:type="dxa"/>
            <w:vAlign w:val="center"/>
          </w:tcPr>
          <w:p>
            <w:pPr>
              <w:jc w:val="center"/>
              <w:rPr>
                <w:rFonts w:ascii="宋体" w:hAnsi="宋体" w:eastAsia="宋体" w:cs="仿宋_GB2312"/>
                <w:color w:val="000000" w:themeColor="text1"/>
                <w:sz w:val="24"/>
                <w:szCs w:val="24"/>
              </w:rPr>
            </w:pPr>
          </w:p>
        </w:tc>
        <w:tc>
          <w:tcPr>
            <w:tcW w:w="2755" w:type="dxa"/>
            <w:vAlign w:val="center"/>
          </w:tcPr>
          <w:p>
            <w:pPr>
              <w:jc w:val="center"/>
              <w:rPr>
                <w:rFonts w:ascii="宋体" w:hAnsi="宋体" w:eastAsia="宋体" w:cs="仿宋_GB2312"/>
                <w:color w:val="000000" w:themeColor="text1"/>
                <w:sz w:val="24"/>
                <w:szCs w:val="24"/>
              </w:rPr>
            </w:pPr>
          </w:p>
        </w:tc>
        <w:tc>
          <w:tcPr>
            <w:tcW w:w="1364" w:type="dxa"/>
            <w:vAlign w:val="center"/>
          </w:tcPr>
          <w:p>
            <w:pPr>
              <w:jc w:val="center"/>
              <w:rPr>
                <w:rFonts w:ascii="宋体" w:hAnsi="宋体" w:eastAsia="宋体" w:cs="仿宋_GB2312"/>
                <w:color w:val="000000" w:themeColor="text1"/>
                <w:sz w:val="24"/>
                <w:szCs w:val="24"/>
              </w:rPr>
            </w:pPr>
          </w:p>
        </w:tc>
        <w:tc>
          <w:tcPr>
            <w:tcW w:w="1619" w:type="dxa"/>
            <w:vAlign w:val="center"/>
          </w:tcPr>
          <w:p>
            <w:pPr>
              <w:jc w:val="center"/>
              <w:rPr>
                <w:rFonts w:ascii="宋体" w:hAnsi="宋体" w:eastAsia="宋体" w:cs="仿宋_GB2312"/>
                <w:color w:val="000000" w:themeColor="text1"/>
                <w:sz w:val="24"/>
                <w:szCs w:val="24"/>
              </w:rPr>
            </w:pPr>
          </w:p>
        </w:tc>
      </w:tr>
    </w:tbl>
    <w:p>
      <w:pPr>
        <w:spacing w:line="360" w:lineRule="auto"/>
        <w:ind w:left="1092" w:hanging="1092" w:hangingChars="455"/>
        <w:jc w:val="left"/>
        <w:rPr>
          <w:rFonts w:ascii="宋体" w:hAnsi="宋体" w:eastAsia="宋体" w:cs="Times New Roman"/>
          <w:color w:val="000000" w:themeColor="text1"/>
          <w:sz w:val="24"/>
          <w:szCs w:val="24"/>
        </w:rPr>
      </w:pPr>
      <w:r>
        <w:rPr>
          <w:rFonts w:hint="eastAsia" w:ascii="宋体" w:hAnsi="宋体" w:eastAsia="宋体" w:cs="Corbel"/>
          <w:color w:val="000000" w:themeColor="text1"/>
          <w:sz w:val="24"/>
          <w:szCs w:val="24"/>
        </w:rPr>
        <w:t>说明：1．投标人应按招标文件第三章“项目技术、服务及商务要求”中“技术、服务要求”条款逐项说明是否满足要求，如有偏离,投标人应详细说明。未按照要求填写此表或仅注明“符合”、“满足”的，</w:t>
      </w:r>
      <w:r>
        <w:rPr>
          <w:rFonts w:hint="eastAsia" w:ascii="宋体" w:hAnsi="宋体" w:eastAsia="宋体" w:cs="Times New Roman"/>
          <w:color w:val="000000" w:themeColor="text1"/>
          <w:sz w:val="24"/>
          <w:szCs w:val="24"/>
        </w:rPr>
        <w:t>导致的后果由投标人自行承担。</w:t>
      </w:r>
    </w:p>
    <w:p>
      <w:pPr>
        <w:spacing w:line="360" w:lineRule="auto"/>
        <w:ind w:left="1061" w:leftChars="339" w:hanging="350" w:hangingChars="146"/>
        <w:jc w:val="left"/>
        <w:rPr>
          <w:rFonts w:ascii="宋体" w:hAnsi="宋体" w:eastAsia="宋体" w:cs="Corbel"/>
          <w:color w:val="000000" w:themeColor="text1"/>
          <w:sz w:val="24"/>
          <w:szCs w:val="24"/>
        </w:rPr>
      </w:pPr>
      <w:r>
        <w:rPr>
          <w:rFonts w:hint="eastAsia" w:ascii="宋体" w:hAnsi="宋体" w:eastAsia="宋体" w:cs="Corbel"/>
          <w:color w:val="000000" w:themeColor="text1"/>
          <w:sz w:val="24"/>
          <w:szCs w:val="24"/>
        </w:rPr>
        <w:t>2．投标人提供的相关证明文件对应的页码填写到上表“投标文件对应的页码”中。如未提供页码或内容页码完全不一致的，</w:t>
      </w:r>
      <w:r>
        <w:rPr>
          <w:rFonts w:hint="eastAsia" w:ascii="宋体" w:hAnsi="宋体" w:eastAsia="宋体" w:cs="Times New Roman"/>
          <w:color w:val="000000" w:themeColor="text1"/>
          <w:sz w:val="24"/>
          <w:szCs w:val="24"/>
        </w:rPr>
        <w:t>导致的后果由投标人自行承担。</w:t>
      </w:r>
    </w:p>
    <w:p>
      <w:pPr>
        <w:spacing w:before="100" w:beforeAutospacing="1" w:after="100" w:afterAutospacing="1" w:line="360" w:lineRule="auto"/>
        <w:ind w:firstLine="3316" w:firstLineChars="1382"/>
        <w:rPr>
          <w:rFonts w:hAnsi="宋体"/>
          <w:b/>
          <w:bCs/>
          <w:color w:val="000000" w:themeColor="text1"/>
          <w:sz w:val="24"/>
          <w:u w:val="single"/>
        </w:rPr>
      </w:pPr>
      <w:r>
        <w:rPr>
          <w:rFonts w:hint="eastAsia" w:hAnsi="宋体"/>
          <w:b/>
          <w:bCs/>
          <w:color w:val="000000" w:themeColor="text1"/>
          <w:sz w:val="24"/>
        </w:rPr>
        <w:t>投标人（公章）：</w:t>
      </w:r>
    </w:p>
    <w:p>
      <w:pPr>
        <w:spacing w:before="100" w:beforeAutospacing="1" w:after="100" w:afterAutospacing="1" w:line="360" w:lineRule="auto"/>
        <w:ind w:firstLine="3316" w:firstLineChars="1382"/>
        <w:rPr>
          <w:rFonts w:hAnsi="宋体"/>
          <w:b/>
          <w:bCs/>
          <w:color w:val="000000" w:themeColor="text1"/>
          <w:sz w:val="24"/>
          <w:u w:val="single"/>
        </w:rPr>
      </w:pPr>
      <w:r>
        <w:rPr>
          <w:rFonts w:hint="eastAsia" w:ascii="宋体" w:hAnsi="宋体" w:eastAsia="宋体" w:cs="Times New Roman"/>
          <w:b/>
          <w:bCs/>
          <w:color w:val="000000" w:themeColor="text1"/>
          <w:sz w:val="24"/>
          <w:szCs w:val="21"/>
          <w:lang w:val="zh-CN"/>
        </w:rPr>
        <w:t>投标人</w:t>
      </w:r>
      <w:r>
        <w:rPr>
          <w:rFonts w:hint="eastAsia" w:hAnsi="宋体"/>
          <w:b/>
          <w:bCs/>
          <w:color w:val="000000" w:themeColor="text1"/>
          <w:sz w:val="24"/>
        </w:rPr>
        <w:t>授权代表（签字）：</w:t>
      </w:r>
    </w:p>
    <w:p>
      <w:pPr>
        <w:spacing w:before="100" w:beforeAutospacing="1" w:after="100" w:afterAutospacing="1" w:line="360" w:lineRule="auto"/>
        <w:ind w:firstLine="3316" w:firstLineChars="1382"/>
        <w:rPr>
          <w:color w:val="000000" w:themeColor="text1"/>
        </w:rPr>
      </w:pPr>
      <w:r>
        <w:rPr>
          <w:rFonts w:hint="eastAsia" w:ascii="宋体" w:hAnsi="宋体" w:eastAsia="宋体" w:cs="Times New Roman"/>
          <w:b/>
          <w:bCs/>
          <w:color w:val="000000" w:themeColor="text1"/>
          <w:sz w:val="24"/>
          <w:szCs w:val="21"/>
          <w:lang w:val="zh-CN"/>
        </w:rPr>
        <w:t>投标</w:t>
      </w:r>
      <w:r>
        <w:rPr>
          <w:rFonts w:hint="eastAsia" w:hAnsi="宋体"/>
          <w:b/>
          <w:bCs/>
          <w:color w:val="000000" w:themeColor="text1"/>
          <w:sz w:val="24"/>
        </w:rPr>
        <w:t>时间：</w:t>
      </w:r>
    </w:p>
    <w:p>
      <w:pPr>
        <w:rPr>
          <w:color w:val="000000" w:themeColor="text1"/>
        </w:rPr>
      </w:pPr>
      <w:r>
        <w:rPr>
          <w:color w:val="000000" w:themeColor="text1"/>
        </w:rPr>
        <w:br w:type="page"/>
      </w:r>
    </w:p>
    <w:p>
      <w:pPr>
        <w:pStyle w:val="2"/>
        <w:numPr>
          <w:ilvl w:val="0"/>
          <w:numId w:val="58"/>
        </w:numPr>
        <w:spacing w:before="100" w:beforeAutospacing="1" w:after="156" w:afterLines="50" w:line="360" w:lineRule="auto"/>
        <w:ind w:left="1610" w:hanging="1610"/>
        <w:rPr>
          <w:rFonts w:ascii="宋体" w:hAnsi="宋体" w:eastAsia="宋体"/>
          <w:color w:val="000000" w:themeColor="text1"/>
        </w:rPr>
      </w:pPr>
      <w:bookmarkStart w:id="269" w:name="_Toc8218"/>
      <w:bookmarkStart w:id="270" w:name="_Toc494745337"/>
      <w:bookmarkStart w:id="271" w:name="_Toc494721120"/>
      <w:bookmarkStart w:id="272" w:name="_Toc494665020"/>
      <w:bookmarkStart w:id="273" w:name="_Toc494702290"/>
      <w:bookmarkStart w:id="274" w:name="_Toc494665573"/>
      <w:bookmarkStart w:id="275" w:name="_Toc494665970"/>
      <w:bookmarkStart w:id="276" w:name="_Toc329859066"/>
      <w:r>
        <w:rPr>
          <w:rFonts w:hint="eastAsia" w:ascii="宋体" w:hAnsi="宋体" w:eastAsia="宋体"/>
          <w:color w:val="000000" w:themeColor="text1"/>
        </w:rPr>
        <w:t>技术、服务要求“★”号条款响应、偏离说明表</w:t>
      </w:r>
      <w:bookmarkEnd w:id="269"/>
      <w:bookmarkEnd w:id="270"/>
      <w:bookmarkEnd w:id="271"/>
      <w:bookmarkEnd w:id="272"/>
      <w:bookmarkEnd w:id="273"/>
      <w:bookmarkEnd w:id="274"/>
      <w:bookmarkEnd w:id="275"/>
    </w:p>
    <w:p>
      <w:pPr>
        <w:spacing w:line="360" w:lineRule="auto"/>
        <w:jc w:val="left"/>
        <w:rPr>
          <w:rFonts w:hAnsi="宋体"/>
          <w:b/>
          <w:color w:val="000000" w:themeColor="text1"/>
          <w:sz w:val="24"/>
        </w:rPr>
      </w:pPr>
      <w:r>
        <w:rPr>
          <w:rFonts w:hint="eastAsia" w:hAnsi="宋体"/>
          <w:b/>
          <w:color w:val="000000" w:themeColor="text1"/>
          <w:sz w:val="24"/>
        </w:rPr>
        <w:t>投 标 人：</w:t>
      </w:r>
    </w:p>
    <w:p>
      <w:pPr>
        <w:spacing w:line="360" w:lineRule="auto"/>
        <w:jc w:val="left"/>
        <w:rPr>
          <w:rFonts w:hAnsi="宋体"/>
          <w:b/>
          <w:color w:val="000000" w:themeColor="text1"/>
          <w:sz w:val="24"/>
        </w:rPr>
      </w:pPr>
      <w:r>
        <w:rPr>
          <w:rFonts w:hint="eastAsia" w:ascii="宋体" w:hAnsi="宋体" w:eastAsia="宋体" w:cs="Times New Roman"/>
          <w:b/>
          <w:color w:val="000000" w:themeColor="text1"/>
          <w:sz w:val="24"/>
          <w:szCs w:val="21"/>
          <w:lang w:val="zh-CN"/>
        </w:rPr>
        <w:t>项目编号：</w:t>
      </w:r>
      <w:r>
        <w:rPr>
          <w:rFonts w:hint="eastAsia" w:ascii="宋体" w:hAnsi="宋体" w:eastAsia="宋体" w:cs="Times New Roman"/>
          <w:b/>
          <w:bCs/>
          <w:color w:val="000000" w:themeColor="text1"/>
          <w:sz w:val="24"/>
          <w:szCs w:val="21"/>
          <w:lang w:val="zh-CN"/>
        </w:rPr>
        <w:t xml:space="preserve">                所投包号：</w:t>
      </w:r>
    </w:p>
    <w:tbl>
      <w:tblPr>
        <w:tblStyle w:val="18"/>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877"/>
        <w:gridCol w:w="150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序号</w:t>
            </w:r>
          </w:p>
        </w:tc>
        <w:tc>
          <w:tcPr>
            <w:tcW w:w="2767" w:type="dxa"/>
            <w:shd w:val="clear" w:color="auto" w:fill="F1F1F1" w:themeFill="background1" w:themeFillShade="F2"/>
            <w:vAlign w:val="center"/>
          </w:tcPr>
          <w:p>
            <w:pPr>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招标文件</w:t>
            </w:r>
            <w:r>
              <w:rPr>
                <w:rFonts w:hint="eastAsia" w:ascii="宋体" w:hAnsi="宋体" w:eastAsia="宋体" w:cs="Corbel"/>
                <w:color w:val="000000" w:themeColor="text1"/>
                <w:sz w:val="24"/>
                <w:szCs w:val="24"/>
              </w:rPr>
              <w:t>技术、服务要求“★”号条款</w:t>
            </w:r>
          </w:p>
        </w:tc>
        <w:tc>
          <w:tcPr>
            <w:tcW w:w="2877" w:type="dxa"/>
            <w:shd w:val="clear" w:color="auto" w:fill="F1F1F1" w:themeFill="background1" w:themeFillShade="F2"/>
            <w:vAlign w:val="center"/>
          </w:tcPr>
          <w:p>
            <w:pPr>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投标响应内容对应简述</w:t>
            </w:r>
          </w:p>
        </w:tc>
        <w:tc>
          <w:tcPr>
            <w:tcW w:w="1509" w:type="dxa"/>
            <w:shd w:val="clear" w:color="auto" w:fill="F1F1F1" w:themeFill="background1" w:themeFillShade="F2"/>
            <w:vAlign w:val="center"/>
          </w:tcPr>
          <w:p>
            <w:pPr>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偏离说明</w:t>
            </w:r>
          </w:p>
        </w:tc>
        <w:tc>
          <w:tcPr>
            <w:tcW w:w="1619" w:type="dxa"/>
            <w:shd w:val="clear" w:color="auto" w:fill="F1F1F1" w:themeFill="background1" w:themeFillShade="F2"/>
          </w:tcPr>
          <w:p>
            <w:pPr>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1</w:t>
            </w:r>
          </w:p>
        </w:tc>
        <w:tc>
          <w:tcPr>
            <w:tcW w:w="2767" w:type="dxa"/>
            <w:vAlign w:val="center"/>
          </w:tcPr>
          <w:p>
            <w:pPr>
              <w:jc w:val="center"/>
              <w:rPr>
                <w:rFonts w:ascii="宋体" w:hAnsi="宋体" w:eastAsia="宋体" w:cs="仿宋_GB2312"/>
                <w:color w:val="000000" w:themeColor="text1"/>
                <w:sz w:val="24"/>
                <w:szCs w:val="24"/>
              </w:rPr>
            </w:pPr>
          </w:p>
        </w:tc>
        <w:tc>
          <w:tcPr>
            <w:tcW w:w="2877" w:type="dxa"/>
            <w:vAlign w:val="center"/>
          </w:tcPr>
          <w:p>
            <w:pPr>
              <w:jc w:val="center"/>
              <w:rPr>
                <w:rFonts w:ascii="宋体" w:hAnsi="宋体" w:eastAsia="宋体" w:cs="仿宋_GB2312"/>
                <w:color w:val="000000" w:themeColor="text1"/>
                <w:sz w:val="24"/>
                <w:szCs w:val="24"/>
              </w:rPr>
            </w:pPr>
          </w:p>
        </w:tc>
        <w:tc>
          <w:tcPr>
            <w:tcW w:w="1509" w:type="dxa"/>
            <w:vAlign w:val="center"/>
          </w:tcPr>
          <w:p>
            <w:pPr>
              <w:jc w:val="center"/>
              <w:rPr>
                <w:rFonts w:ascii="宋体" w:hAnsi="宋体" w:eastAsia="宋体" w:cs="仿宋_GB2312"/>
                <w:color w:val="000000" w:themeColor="text1"/>
                <w:sz w:val="24"/>
                <w:szCs w:val="24"/>
              </w:rPr>
            </w:pPr>
          </w:p>
        </w:tc>
        <w:tc>
          <w:tcPr>
            <w:tcW w:w="1619" w:type="dxa"/>
            <w:vAlign w:val="center"/>
          </w:tcPr>
          <w:p>
            <w:pPr>
              <w:jc w:val="center"/>
              <w:rPr>
                <w:rFonts w:ascii="宋体" w:hAnsi="宋体" w:eastAsia="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2</w:t>
            </w:r>
          </w:p>
        </w:tc>
        <w:tc>
          <w:tcPr>
            <w:tcW w:w="2767" w:type="dxa"/>
            <w:vAlign w:val="center"/>
          </w:tcPr>
          <w:p>
            <w:pPr>
              <w:jc w:val="center"/>
              <w:rPr>
                <w:rFonts w:ascii="宋体" w:hAnsi="宋体" w:eastAsia="宋体" w:cs="仿宋_GB2312"/>
                <w:color w:val="000000" w:themeColor="text1"/>
                <w:sz w:val="24"/>
                <w:szCs w:val="24"/>
              </w:rPr>
            </w:pPr>
          </w:p>
        </w:tc>
        <w:tc>
          <w:tcPr>
            <w:tcW w:w="2877" w:type="dxa"/>
            <w:vAlign w:val="center"/>
          </w:tcPr>
          <w:p>
            <w:pPr>
              <w:jc w:val="center"/>
              <w:rPr>
                <w:rFonts w:ascii="宋体" w:hAnsi="宋体" w:eastAsia="宋体" w:cs="仿宋_GB2312"/>
                <w:color w:val="000000" w:themeColor="text1"/>
                <w:sz w:val="24"/>
                <w:szCs w:val="24"/>
              </w:rPr>
            </w:pPr>
          </w:p>
        </w:tc>
        <w:tc>
          <w:tcPr>
            <w:tcW w:w="1509" w:type="dxa"/>
            <w:vAlign w:val="center"/>
          </w:tcPr>
          <w:p>
            <w:pPr>
              <w:jc w:val="center"/>
              <w:rPr>
                <w:rFonts w:ascii="宋体" w:hAnsi="宋体" w:eastAsia="宋体" w:cs="仿宋_GB2312"/>
                <w:color w:val="000000" w:themeColor="text1"/>
                <w:sz w:val="24"/>
                <w:szCs w:val="24"/>
              </w:rPr>
            </w:pPr>
          </w:p>
        </w:tc>
        <w:tc>
          <w:tcPr>
            <w:tcW w:w="1619" w:type="dxa"/>
            <w:vAlign w:val="center"/>
          </w:tcPr>
          <w:p>
            <w:pPr>
              <w:jc w:val="center"/>
              <w:rPr>
                <w:rFonts w:ascii="宋体" w:hAnsi="宋体" w:eastAsia="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3</w:t>
            </w:r>
          </w:p>
        </w:tc>
        <w:tc>
          <w:tcPr>
            <w:tcW w:w="2767" w:type="dxa"/>
            <w:vAlign w:val="center"/>
          </w:tcPr>
          <w:p>
            <w:pPr>
              <w:jc w:val="center"/>
              <w:rPr>
                <w:rFonts w:ascii="宋体" w:hAnsi="宋体" w:eastAsia="宋体" w:cs="仿宋_GB2312"/>
                <w:color w:val="000000" w:themeColor="text1"/>
                <w:sz w:val="24"/>
                <w:szCs w:val="24"/>
              </w:rPr>
            </w:pPr>
          </w:p>
        </w:tc>
        <w:tc>
          <w:tcPr>
            <w:tcW w:w="2877" w:type="dxa"/>
            <w:vAlign w:val="center"/>
          </w:tcPr>
          <w:p>
            <w:pPr>
              <w:jc w:val="center"/>
              <w:rPr>
                <w:rFonts w:ascii="宋体" w:hAnsi="宋体" w:eastAsia="宋体" w:cs="仿宋_GB2312"/>
                <w:color w:val="000000" w:themeColor="text1"/>
                <w:sz w:val="24"/>
                <w:szCs w:val="24"/>
              </w:rPr>
            </w:pPr>
          </w:p>
        </w:tc>
        <w:tc>
          <w:tcPr>
            <w:tcW w:w="1509" w:type="dxa"/>
            <w:vAlign w:val="center"/>
          </w:tcPr>
          <w:p>
            <w:pPr>
              <w:jc w:val="center"/>
              <w:rPr>
                <w:rFonts w:ascii="宋体" w:hAnsi="宋体" w:eastAsia="宋体" w:cs="仿宋_GB2312"/>
                <w:color w:val="000000" w:themeColor="text1"/>
                <w:sz w:val="24"/>
                <w:szCs w:val="24"/>
              </w:rPr>
            </w:pPr>
          </w:p>
        </w:tc>
        <w:tc>
          <w:tcPr>
            <w:tcW w:w="1619" w:type="dxa"/>
            <w:vAlign w:val="center"/>
          </w:tcPr>
          <w:p>
            <w:pPr>
              <w:jc w:val="center"/>
              <w:rPr>
                <w:rFonts w:ascii="宋体" w:hAnsi="宋体" w:eastAsia="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4</w:t>
            </w:r>
          </w:p>
        </w:tc>
        <w:tc>
          <w:tcPr>
            <w:tcW w:w="2767" w:type="dxa"/>
            <w:vAlign w:val="center"/>
          </w:tcPr>
          <w:p>
            <w:pPr>
              <w:jc w:val="center"/>
              <w:rPr>
                <w:rFonts w:ascii="宋体" w:hAnsi="宋体" w:eastAsia="宋体" w:cs="仿宋_GB2312"/>
                <w:color w:val="000000" w:themeColor="text1"/>
                <w:sz w:val="24"/>
                <w:szCs w:val="24"/>
              </w:rPr>
            </w:pPr>
          </w:p>
        </w:tc>
        <w:tc>
          <w:tcPr>
            <w:tcW w:w="2877" w:type="dxa"/>
            <w:vAlign w:val="center"/>
          </w:tcPr>
          <w:p>
            <w:pPr>
              <w:jc w:val="center"/>
              <w:rPr>
                <w:rFonts w:ascii="宋体" w:hAnsi="宋体" w:eastAsia="宋体" w:cs="仿宋_GB2312"/>
                <w:color w:val="000000" w:themeColor="text1"/>
                <w:sz w:val="24"/>
                <w:szCs w:val="24"/>
              </w:rPr>
            </w:pPr>
          </w:p>
        </w:tc>
        <w:tc>
          <w:tcPr>
            <w:tcW w:w="1509" w:type="dxa"/>
            <w:vAlign w:val="center"/>
          </w:tcPr>
          <w:p>
            <w:pPr>
              <w:jc w:val="center"/>
              <w:rPr>
                <w:rFonts w:ascii="宋体" w:hAnsi="宋体" w:eastAsia="宋体" w:cs="仿宋_GB2312"/>
                <w:color w:val="000000" w:themeColor="text1"/>
                <w:sz w:val="24"/>
                <w:szCs w:val="24"/>
              </w:rPr>
            </w:pPr>
          </w:p>
        </w:tc>
        <w:tc>
          <w:tcPr>
            <w:tcW w:w="1619" w:type="dxa"/>
            <w:vAlign w:val="center"/>
          </w:tcPr>
          <w:p>
            <w:pPr>
              <w:jc w:val="center"/>
              <w:rPr>
                <w:rFonts w:ascii="宋体" w:hAnsi="宋体" w:eastAsia="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5</w:t>
            </w:r>
          </w:p>
        </w:tc>
        <w:tc>
          <w:tcPr>
            <w:tcW w:w="2767" w:type="dxa"/>
            <w:vAlign w:val="center"/>
          </w:tcPr>
          <w:p>
            <w:pPr>
              <w:jc w:val="center"/>
              <w:rPr>
                <w:rFonts w:ascii="宋体" w:hAnsi="宋体" w:eastAsia="宋体" w:cs="仿宋_GB2312"/>
                <w:color w:val="000000" w:themeColor="text1"/>
                <w:sz w:val="24"/>
                <w:szCs w:val="24"/>
              </w:rPr>
            </w:pPr>
          </w:p>
        </w:tc>
        <w:tc>
          <w:tcPr>
            <w:tcW w:w="2877" w:type="dxa"/>
            <w:vAlign w:val="center"/>
          </w:tcPr>
          <w:p>
            <w:pPr>
              <w:jc w:val="center"/>
              <w:rPr>
                <w:rFonts w:ascii="宋体" w:hAnsi="宋体" w:eastAsia="宋体" w:cs="仿宋_GB2312"/>
                <w:color w:val="000000" w:themeColor="text1"/>
                <w:sz w:val="24"/>
                <w:szCs w:val="24"/>
              </w:rPr>
            </w:pPr>
          </w:p>
        </w:tc>
        <w:tc>
          <w:tcPr>
            <w:tcW w:w="1509" w:type="dxa"/>
            <w:vAlign w:val="center"/>
          </w:tcPr>
          <w:p>
            <w:pPr>
              <w:jc w:val="center"/>
              <w:rPr>
                <w:rFonts w:ascii="宋体" w:hAnsi="宋体" w:eastAsia="宋体" w:cs="仿宋_GB2312"/>
                <w:color w:val="000000" w:themeColor="text1"/>
                <w:sz w:val="24"/>
                <w:szCs w:val="24"/>
              </w:rPr>
            </w:pPr>
          </w:p>
        </w:tc>
        <w:tc>
          <w:tcPr>
            <w:tcW w:w="1619" w:type="dxa"/>
            <w:vAlign w:val="center"/>
          </w:tcPr>
          <w:p>
            <w:pPr>
              <w:jc w:val="center"/>
              <w:rPr>
                <w:rFonts w:ascii="宋体" w:hAnsi="宋体" w:eastAsia="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6</w:t>
            </w:r>
          </w:p>
        </w:tc>
        <w:tc>
          <w:tcPr>
            <w:tcW w:w="2767" w:type="dxa"/>
            <w:vAlign w:val="center"/>
          </w:tcPr>
          <w:p>
            <w:pPr>
              <w:jc w:val="center"/>
              <w:rPr>
                <w:rFonts w:ascii="宋体" w:hAnsi="宋体" w:eastAsia="宋体" w:cs="仿宋_GB2312"/>
                <w:color w:val="000000" w:themeColor="text1"/>
                <w:sz w:val="24"/>
                <w:szCs w:val="24"/>
              </w:rPr>
            </w:pPr>
          </w:p>
        </w:tc>
        <w:tc>
          <w:tcPr>
            <w:tcW w:w="2877" w:type="dxa"/>
            <w:vAlign w:val="center"/>
          </w:tcPr>
          <w:p>
            <w:pPr>
              <w:jc w:val="center"/>
              <w:rPr>
                <w:rFonts w:ascii="宋体" w:hAnsi="宋体" w:eastAsia="宋体" w:cs="仿宋_GB2312"/>
                <w:color w:val="000000" w:themeColor="text1"/>
                <w:sz w:val="24"/>
                <w:szCs w:val="24"/>
              </w:rPr>
            </w:pPr>
          </w:p>
        </w:tc>
        <w:tc>
          <w:tcPr>
            <w:tcW w:w="1509" w:type="dxa"/>
            <w:vAlign w:val="center"/>
          </w:tcPr>
          <w:p>
            <w:pPr>
              <w:jc w:val="center"/>
              <w:rPr>
                <w:rFonts w:ascii="宋体" w:hAnsi="宋体" w:eastAsia="宋体" w:cs="仿宋_GB2312"/>
                <w:color w:val="000000" w:themeColor="text1"/>
                <w:sz w:val="24"/>
                <w:szCs w:val="24"/>
              </w:rPr>
            </w:pPr>
          </w:p>
        </w:tc>
        <w:tc>
          <w:tcPr>
            <w:tcW w:w="1619" w:type="dxa"/>
            <w:vAlign w:val="center"/>
          </w:tcPr>
          <w:p>
            <w:pPr>
              <w:jc w:val="center"/>
              <w:rPr>
                <w:rFonts w:ascii="宋体" w:hAnsi="宋体" w:eastAsia="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w:t>
            </w:r>
          </w:p>
        </w:tc>
        <w:tc>
          <w:tcPr>
            <w:tcW w:w="2767" w:type="dxa"/>
            <w:vAlign w:val="center"/>
          </w:tcPr>
          <w:p>
            <w:pPr>
              <w:jc w:val="center"/>
              <w:rPr>
                <w:rFonts w:ascii="宋体" w:hAnsi="宋体" w:eastAsia="宋体" w:cs="仿宋_GB2312"/>
                <w:color w:val="000000" w:themeColor="text1"/>
                <w:sz w:val="24"/>
                <w:szCs w:val="24"/>
              </w:rPr>
            </w:pPr>
          </w:p>
        </w:tc>
        <w:tc>
          <w:tcPr>
            <w:tcW w:w="2877" w:type="dxa"/>
            <w:vAlign w:val="center"/>
          </w:tcPr>
          <w:p>
            <w:pPr>
              <w:jc w:val="center"/>
              <w:rPr>
                <w:rFonts w:ascii="宋体" w:hAnsi="宋体" w:eastAsia="宋体" w:cs="仿宋_GB2312"/>
                <w:color w:val="000000" w:themeColor="text1"/>
                <w:sz w:val="24"/>
                <w:szCs w:val="24"/>
              </w:rPr>
            </w:pPr>
          </w:p>
        </w:tc>
        <w:tc>
          <w:tcPr>
            <w:tcW w:w="1509" w:type="dxa"/>
            <w:vAlign w:val="center"/>
          </w:tcPr>
          <w:p>
            <w:pPr>
              <w:jc w:val="center"/>
              <w:rPr>
                <w:rFonts w:ascii="宋体" w:hAnsi="宋体" w:eastAsia="宋体" w:cs="仿宋_GB2312"/>
                <w:color w:val="000000" w:themeColor="text1"/>
                <w:sz w:val="24"/>
                <w:szCs w:val="24"/>
              </w:rPr>
            </w:pPr>
          </w:p>
        </w:tc>
        <w:tc>
          <w:tcPr>
            <w:tcW w:w="1619" w:type="dxa"/>
            <w:vAlign w:val="center"/>
          </w:tcPr>
          <w:p>
            <w:pPr>
              <w:jc w:val="center"/>
              <w:rPr>
                <w:rFonts w:ascii="宋体" w:hAnsi="宋体" w:eastAsia="宋体" w:cs="仿宋_GB2312"/>
                <w:color w:val="000000" w:themeColor="text1"/>
                <w:sz w:val="24"/>
                <w:szCs w:val="24"/>
              </w:rPr>
            </w:pPr>
          </w:p>
        </w:tc>
      </w:tr>
    </w:tbl>
    <w:p>
      <w:pPr>
        <w:spacing w:line="360" w:lineRule="auto"/>
        <w:ind w:left="936" w:hanging="936" w:hangingChars="390"/>
        <w:jc w:val="left"/>
        <w:rPr>
          <w:rFonts w:ascii="宋体" w:hAnsi="宋体" w:eastAsia="宋体" w:cs="Corbel"/>
          <w:color w:val="000000" w:themeColor="text1"/>
          <w:sz w:val="24"/>
          <w:szCs w:val="24"/>
        </w:rPr>
      </w:pPr>
      <w:r>
        <w:rPr>
          <w:rFonts w:hint="eastAsia" w:ascii="宋体" w:hAnsi="宋体" w:eastAsia="宋体" w:cs="Corbel"/>
          <w:color w:val="000000" w:themeColor="text1"/>
          <w:sz w:val="24"/>
          <w:szCs w:val="24"/>
        </w:rPr>
        <w:t>说明：1．投标人应按招标文件第三章“项目技术、服务及商务要求”中技术、服务要求</w:t>
      </w:r>
      <w:r>
        <w:rPr>
          <w:rFonts w:hint="eastAsia" w:ascii="Times New Roman" w:hAnsi="宋体" w:eastAsia="宋体" w:cs="Times New Roman"/>
          <w:color w:val="000000" w:themeColor="text1"/>
          <w:sz w:val="24"/>
          <w:szCs w:val="24"/>
        </w:rPr>
        <w:t>“★”号</w:t>
      </w:r>
      <w:r>
        <w:rPr>
          <w:rFonts w:hint="eastAsia" w:ascii="宋体" w:hAnsi="宋体" w:eastAsia="宋体" w:cs="Corbel"/>
          <w:color w:val="000000" w:themeColor="text1"/>
          <w:sz w:val="24"/>
          <w:szCs w:val="24"/>
        </w:rPr>
        <w:t>条款进行逐项说明是否满足要求，如有偏离,投标人应详细说明。未按照要求填写此表或仅注明“符合”、“满足”的，</w:t>
      </w:r>
      <w:r>
        <w:rPr>
          <w:rFonts w:hint="eastAsia" w:ascii="宋体" w:hAnsi="宋体" w:eastAsia="宋体" w:cs="Times New Roman"/>
          <w:color w:val="000000" w:themeColor="text1"/>
          <w:sz w:val="24"/>
          <w:szCs w:val="24"/>
        </w:rPr>
        <w:t>导致的后果由投标人自行承担。</w:t>
      </w:r>
    </w:p>
    <w:p>
      <w:pPr>
        <w:spacing w:line="360" w:lineRule="auto"/>
        <w:ind w:left="1006" w:leftChars="306" w:hanging="364" w:hangingChars="152"/>
        <w:jc w:val="left"/>
        <w:rPr>
          <w:rFonts w:ascii="宋体" w:hAnsi="宋体" w:eastAsia="宋体" w:cs="Corbel"/>
          <w:color w:val="000000" w:themeColor="text1"/>
          <w:sz w:val="24"/>
          <w:szCs w:val="24"/>
        </w:rPr>
      </w:pPr>
      <w:r>
        <w:rPr>
          <w:rFonts w:hint="eastAsia" w:ascii="宋体" w:hAnsi="宋体" w:eastAsia="宋体" w:cs="Corbel"/>
          <w:color w:val="000000" w:themeColor="text1"/>
          <w:sz w:val="24"/>
          <w:szCs w:val="24"/>
        </w:rPr>
        <w:t>2．投标人提供的相关证明文件对应的页码填写到上表“投标文件对应的页码”中。如未提供页码或内容页码完全不一致的，</w:t>
      </w:r>
      <w:r>
        <w:rPr>
          <w:rFonts w:hint="eastAsia" w:ascii="宋体" w:hAnsi="宋体" w:eastAsia="宋体" w:cs="Times New Roman"/>
          <w:color w:val="000000" w:themeColor="text1"/>
          <w:sz w:val="24"/>
          <w:szCs w:val="24"/>
        </w:rPr>
        <w:t>导致的后果由投标人自行承担。</w:t>
      </w:r>
    </w:p>
    <w:bookmarkEnd w:id="276"/>
    <w:p>
      <w:pPr>
        <w:spacing w:before="100" w:beforeAutospacing="1" w:after="100" w:afterAutospacing="1" w:line="360" w:lineRule="auto"/>
        <w:ind w:firstLine="3316" w:firstLineChars="1382"/>
        <w:rPr>
          <w:rFonts w:hAnsi="宋体"/>
          <w:b/>
          <w:bCs/>
          <w:color w:val="000000" w:themeColor="text1"/>
          <w:sz w:val="24"/>
          <w:u w:val="single"/>
        </w:rPr>
      </w:pPr>
      <w:r>
        <w:rPr>
          <w:rFonts w:hint="eastAsia" w:hAnsi="宋体"/>
          <w:b/>
          <w:bCs/>
          <w:color w:val="000000" w:themeColor="text1"/>
          <w:sz w:val="24"/>
        </w:rPr>
        <w:t>投标人（公章）：</w:t>
      </w:r>
    </w:p>
    <w:p>
      <w:pPr>
        <w:spacing w:before="100" w:beforeAutospacing="1" w:after="100" w:afterAutospacing="1" w:line="360" w:lineRule="auto"/>
        <w:ind w:firstLine="3316" w:firstLineChars="1382"/>
        <w:rPr>
          <w:rFonts w:hAnsi="宋体"/>
          <w:b/>
          <w:bCs/>
          <w:color w:val="000000" w:themeColor="text1"/>
          <w:sz w:val="24"/>
          <w:u w:val="single"/>
        </w:rPr>
      </w:pPr>
      <w:r>
        <w:rPr>
          <w:rFonts w:hint="eastAsia" w:ascii="宋体" w:hAnsi="宋体" w:eastAsia="宋体" w:cs="Times New Roman"/>
          <w:b/>
          <w:bCs/>
          <w:color w:val="000000" w:themeColor="text1"/>
          <w:sz w:val="24"/>
          <w:szCs w:val="21"/>
          <w:lang w:val="zh-CN"/>
        </w:rPr>
        <w:t>投标人</w:t>
      </w:r>
      <w:r>
        <w:rPr>
          <w:rFonts w:hint="eastAsia" w:hAnsi="宋体"/>
          <w:b/>
          <w:bCs/>
          <w:color w:val="000000" w:themeColor="text1"/>
          <w:sz w:val="24"/>
        </w:rPr>
        <w:t>授权代表（签字）：</w:t>
      </w:r>
    </w:p>
    <w:p>
      <w:pPr>
        <w:spacing w:before="100" w:beforeAutospacing="1" w:after="100" w:afterAutospacing="1" w:line="360" w:lineRule="auto"/>
        <w:ind w:firstLine="3316" w:firstLineChars="1382"/>
        <w:rPr>
          <w:color w:val="000000" w:themeColor="text1"/>
        </w:rPr>
      </w:pPr>
      <w:r>
        <w:rPr>
          <w:rFonts w:hint="eastAsia" w:ascii="宋体" w:hAnsi="宋体" w:eastAsia="宋体" w:cs="Times New Roman"/>
          <w:b/>
          <w:bCs/>
          <w:color w:val="000000" w:themeColor="text1"/>
          <w:sz w:val="24"/>
          <w:szCs w:val="21"/>
          <w:lang w:val="zh-CN"/>
        </w:rPr>
        <w:t>投标</w:t>
      </w:r>
      <w:r>
        <w:rPr>
          <w:rFonts w:hint="eastAsia" w:hAnsi="宋体"/>
          <w:b/>
          <w:bCs/>
          <w:color w:val="000000" w:themeColor="text1"/>
          <w:sz w:val="24"/>
        </w:rPr>
        <w:t>时间：</w:t>
      </w:r>
    </w:p>
    <w:p>
      <w:pPr>
        <w:rPr>
          <w:color w:val="000000" w:themeColor="text1"/>
        </w:rPr>
      </w:pPr>
      <w:r>
        <w:rPr>
          <w:color w:val="000000" w:themeColor="text1"/>
        </w:rPr>
        <w:br w:type="page"/>
      </w:r>
    </w:p>
    <w:p>
      <w:pPr>
        <w:pStyle w:val="2"/>
        <w:numPr>
          <w:ilvl w:val="0"/>
          <w:numId w:val="58"/>
        </w:numPr>
        <w:spacing w:before="100" w:beforeAutospacing="1" w:after="156" w:afterLines="50" w:line="360" w:lineRule="auto"/>
        <w:ind w:left="1610" w:hanging="1610"/>
        <w:rPr>
          <w:rFonts w:ascii="宋体" w:hAnsi="宋体" w:eastAsia="宋体"/>
          <w:color w:val="000000" w:themeColor="text1"/>
        </w:rPr>
      </w:pPr>
      <w:bookmarkStart w:id="277" w:name="_Toc494665021"/>
      <w:bookmarkStart w:id="278" w:name="_Toc494721121"/>
      <w:bookmarkStart w:id="279" w:name="_Toc494665971"/>
      <w:bookmarkStart w:id="280" w:name="_Toc494665574"/>
      <w:bookmarkStart w:id="281" w:name="_Toc494745338"/>
      <w:bookmarkStart w:id="282" w:name="_Toc10806"/>
      <w:bookmarkStart w:id="283" w:name="_Toc494702291"/>
      <w:r>
        <w:rPr>
          <w:rFonts w:hint="eastAsia" w:ascii="宋体" w:hAnsi="宋体" w:eastAsia="宋体"/>
          <w:color w:val="000000" w:themeColor="text1"/>
        </w:rPr>
        <w:t>技术、服务评议对照表</w:t>
      </w:r>
      <w:bookmarkEnd w:id="277"/>
      <w:bookmarkEnd w:id="278"/>
      <w:bookmarkEnd w:id="279"/>
      <w:bookmarkEnd w:id="280"/>
      <w:bookmarkEnd w:id="281"/>
      <w:bookmarkEnd w:id="282"/>
      <w:bookmarkEnd w:id="283"/>
    </w:p>
    <w:p>
      <w:pPr>
        <w:spacing w:line="360" w:lineRule="auto"/>
        <w:jc w:val="left"/>
        <w:rPr>
          <w:rFonts w:hAnsi="宋体"/>
          <w:b/>
          <w:color w:val="000000" w:themeColor="text1"/>
          <w:sz w:val="24"/>
        </w:rPr>
      </w:pPr>
      <w:r>
        <w:rPr>
          <w:rFonts w:hint="eastAsia" w:hAnsi="宋体"/>
          <w:b/>
          <w:color w:val="000000" w:themeColor="text1"/>
          <w:sz w:val="24"/>
        </w:rPr>
        <w:t>投 标 人：</w:t>
      </w:r>
    </w:p>
    <w:p>
      <w:pPr>
        <w:spacing w:line="360" w:lineRule="auto"/>
        <w:jc w:val="left"/>
        <w:rPr>
          <w:rFonts w:hAnsi="宋体"/>
          <w:b/>
          <w:color w:val="000000" w:themeColor="text1"/>
          <w:sz w:val="24"/>
        </w:rPr>
      </w:pPr>
      <w:r>
        <w:rPr>
          <w:rFonts w:hint="eastAsia" w:ascii="宋体" w:hAnsi="宋体" w:eastAsia="宋体" w:cs="Times New Roman"/>
          <w:b/>
          <w:color w:val="000000" w:themeColor="text1"/>
          <w:sz w:val="24"/>
          <w:szCs w:val="21"/>
          <w:lang w:val="zh-CN"/>
        </w:rPr>
        <w:t>项目编号：</w:t>
      </w:r>
      <w:r>
        <w:rPr>
          <w:rFonts w:hint="eastAsia" w:ascii="宋体" w:hAnsi="宋体" w:eastAsia="宋体" w:cs="Times New Roman"/>
          <w:b/>
          <w:bCs/>
          <w:color w:val="000000" w:themeColor="text1"/>
          <w:sz w:val="24"/>
          <w:szCs w:val="21"/>
          <w:lang w:val="zh-CN"/>
        </w:rPr>
        <w:t xml:space="preserve">                所投包号：</w:t>
      </w:r>
    </w:p>
    <w:tbl>
      <w:tblPr>
        <w:tblStyle w:val="18"/>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2389"/>
        <w:gridCol w:w="3227"/>
        <w:gridCol w:w="1256"/>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9" w:type="dxa"/>
            <w:shd w:val="clear" w:color="auto" w:fill="F1F1F1" w:themeFill="background1" w:themeFillShade="F2"/>
            <w:vAlign w:val="center"/>
          </w:tcPr>
          <w:p>
            <w:pPr>
              <w:ind w:left="-37" w:leftChars="-18" w:right="-48" w:rightChars="-23"/>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序号</w:t>
            </w:r>
          </w:p>
        </w:tc>
        <w:tc>
          <w:tcPr>
            <w:tcW w:w="2389" w:type="dxa"/>
            <w:shd w:val="clear" w:color="auto" w:fill="F1F1F1" w:themeFill="background1" w:themeFillShade="F2"/>
            <w:vAlign w:val="center"/>
          </w:tcPr>
          <w:p>
            <w:pPr>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招标文件技术、服务评分标准</w:t>
            </w:r>
          </w:p>
        </w:tc>
        <w:tc>
          <w:tcPr>
            <w:tcW w:w="3227" w:type="dxa"/>
            <w:shd w:val="clear" w:color="auto" w:fill="F1F1F1" w:themeFill="background1" w:themeFillShade="F2"/>
            <w:vAlign w:val="center"/>
          </w:tcPr>
          <w:p>
            <w:pPr>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投标响应内容对应简述</w:t>
            </w:r>
          </w:p>
        </w:tc>
        <w:tc>
          <w:tcPr>
            <w:tcW w:w="1256" w:type="dxa"/>
            <w:shd w:val="clear" w:color="auto" w:fill="F1F1F1" w:themeFill="background1" w:themeFillShade="F2"/>
            <w:vAlign w:val="center"/>
          </w:tcPr>
          <w:p>
            <w:pPr>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偏离说明</w:t>
            </w:r>
          </w:p>
        </w:tc>
        <w:tc>
          <w:tcPr>
            <w:tcW w:w="1983" w:type="dxa"/>
            <w:shd w:val="clear" w:color="auto" w:fill="F1F1F1" w:themeFill="background1" w:themeFillShade="F2"/>
          </w:tcPr>
          <w:p>
            <w:pPr>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3"/>
              </w:numPr>
              <w:jc w:val="center"/>
              <w:rPr>
                <w:rFonts w:ascii="宋体" w:hAnsi="宋体" w:eastAsia="宋体" w:cs="仿宋_GB2312"/>
                <w:color w:val="000000" w:themeColor="text1"/>
                <w:sz w:val="24"/>
                <w:szCs w:val="24"/>
              </w:rPr>
            </w:pPr>
          </w:p>
        </w:tc>
        <w:tc>
          <w:tcPr>
            <w:tcW w:w="2389" w:type="dxa"/>
            <w:vAlign w:val="center"/>
          </w:tcPr>
          <w:p>
            <w:pPr>
              <w:jc w:val="center"/>
              <w:rPr>
                <w:rFonts w:ascii="宋体" w:hAnsi="宋体" w:eastAsia="宋体" w:cs="仿宋_GB2312"/>
                <w:color w:val="000000" w:themeColor="text1"/>
                <w:sz w:val="24"/>
                <w:szCs w:val="24"/>
              </w:rPr>
            </w:pPr>
          </w:p>
        </w:tc>
        <w:tc>
          <w:tcPr>
            <w:tcW w:w="3227" w:type="dxa"/>
            <w:vAlign w:val="center"/>
          </w:tcPr>
          <w:p>
            <w:pPr>
              <w:jc w:val="center"/>
              <w:rPr>
                <w:rFonts w:ascii="宋体" w:hAnsi="宋体" w:eastAsia="宋体" w:cs="仿宋_GB2312"/>
                <w:color w:val="000000" w:themeColor="text1"/>
                <w:sz w:val="24"/>
                <w:szCs w:val="24"/>
              </w:rPr>
            </w:pPr>
          </w:p>
        </w:tc>
        <w:tc>
          <w:tcPr>
            <w:tcW w:w="1256" w:type="dxa"/>
            <w:vAlign w:val="center"/>
          </w:tcPr>
          <w:p>
            <w:pPr>
              <w:jc w:val="center"/>
              <w:rPr>
                <w:rFonts w:ascii="宋体" w:hAnsi="宋体" w:eastAsia="宋体" w:cs="仿宋_GB2312"/>
                <w:color w:val="000000" w:themeColor="text1"/>
                <w:sz w:val="24"/>
                <w:szCs w:val="24"/>
              </w:rPr>
            </w:pPr>
          </w:p>
        </w:tc>
        <w:tc>
          <w:tcPr>
            <w:tcW w:w="1983" w:type="dxa"/>
            <w:vAlign w:val="center"/>
          </w:tcPr>
          <w:p>
            <w:pPr>
              <w:jc w:val="center"/>
              <w:rPr>
                <w:rFonts w:ascii="宋体" w:hAnsi="宋体" w:eastAsia="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3"/>
              </w:numPr>
              <w:jc w:val="center"/>
              <w:rPr>
                <w:rFonts w:ascii="宋体" w:hAnsi="宋体" w:eastAsia="宋体" w:cs="仿宋_GB2312"/>
                <w:color w:val="000000" w:themeColor="text1"/>
                <w:sz w:val="24"/>
                <w:szCs w:val="24"/>
              </w:rPr>
            </w:pPr>
          </w:p>
        </w:tc>
        <w:tc>
          <w:tcPr>
            <w:tcW w:w="2389" w:type="dxa"/>
            <w:vAlign w:val="center"/>
          </w:tcPr>
          <w:p>
            <w:pPr>
              <w:jc w:val="center"/>
              <w:rPr>
                <w:rFonts w:ascii="宋体" w:hAnsi="宋体" w:eastAsia="宋体" w:cs="仿宋_GB2312"/>
                <w:color w:val="000000" w:themeColor="text1"/>
                <w:sz w:val="24"/>
                <w:szCs w:val="24"/>
              </w:rPr>
            </w:pPr>
          </w:p>
        </w:tc>
        <w:tc>
          <w:tcPr>
            <w:tcW w:w="3227" w:type="dxa"/>
            <w:vAlign w:val="center"/>
          </w:tcPr>
          <w:p>
            <w:pPr>
              <w:jc w:val="center"/>
              <w:rPr>
                <w:rFonts w:ascii="宋体" w:hAnsi="宋体" w:eastAsia="宋体" w:cs="仿宋_GB2312"/>
                <w:color w:val="000000" w:themeColor="text1"/>
                <w:sz w:val="24"/>
                <w:szCs w:val="24"/>
              </w:rPr>
            </w:pPr>
          </w:p>
        </w:tc>
        <w:tc>
          <w:tcPr>
            <w:tcW w:w="1256" w:type="dxa"/>
            <w:vAlign w:val="center"/>
          </w:tcPr>
          <w:p>
            <w:pPr>
              <w:jc w:val="center"/>
              <w:rPr>
                <w:rFonts w:ascii="宋体" w:hAnsi="宋体" w:eastAsia="宋体" w:cs="仿宋_GB2312"/>
                <w:color w:val="000000" w:themeColor="text1"/>
                <w:sz w:val="24"/>
                <w:szCs w:val="24"/>
              </w:rPr>
            </w:pPr>
          </w:p>
        </w:tc>
        <w:tc>
          <w:tcPr>
            <w:tcW w:w="1983" w:type="dxa"/>
            <w:vAlign w:val="center"/>
          </w:tcPr>
          <w:p>
            <w:pPr>
              <w:jc w:val="center"/>
              <w:rPr>
                <w:rFonts w:ascii="宋体" w:hAnsi="宋体" w:eastAsia="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3"/>
              </w:numPr>
              <w:jc w:val="center"/>
              <w:rPr>
                <w:rFonts w:ascii="宋体" w:hAnsi="宋体" w:eastAsia="宋体" w:cs="仿宋_GB2312"/>
                <w:color w:val="000000" w:themeColor="text1"/>
                <w:sz w:val="24"/>
                <w:szCs w:val="24"/>
              </w:rPr>
            </w:pPr>
          </w:p>
        </w:tc>
        <w:tc>
          <w:tcPr>
            <w:tcW w:w="2389" w:type="dxa"/>
            <w:vAlign w:val="center"/>
          </w:tcPr>
          <w:p>
            <w:pPr>
              <w:jc w:val="center"/>
              <w:rPr>
                <w:rFonts w:ascii="宋体" w:hAnsi="宋体" w:eastAsia="宋体" w:cs="仿宋_GB2312"/>
                <w:color w:val="000000" w:themeColor="text1"/>
                <w:sz w:val="24"/>
                <w:szCs w:val="24"/>
              </w:rPr>
            </w:pPr>
          </w:p>
        </w:tc>
        <w:tc>
          <w:tcPr>
            <w:tcW w:w="3227" w:type="dxa"/>
            <w:vAlign w:val="center"/>
          </w:tcPr>
          <w:p>
            <w:pPr>
              <w:jc w:val="center"/>
              <w:rPr>
                <w:rFonts w:ascii="宋体" w:hAnsi="宋体" w:eastAsia="宋体" w:cs="仿宋_GB2312"/>
                <w:color w:val="000000" w:themeColor="text1"/>
                <w:sz w:val="24"/>
                <w:szCs w:val="24"/>
              </w:rPr>
            </w:pPr>
          </w:p>
        </w:tc>
        <w:tc>
          <w:tcPr>
            <w:tcW w:w="1256" w:type="dxa"/>
            <w:vAlign w:val="center"/>
          </w:tcPr>
          <w:p>
            <w:pPr>
              <w:jc w:val="center"/>
              <w:rPr>
                <w:rFonts w:ascii="宋体" w:hAnsi="宋体" w:eastAsia="宋体" w:cs="仿宋_GB2312"/>
                <w:color w:val="000000" w:themeColor="text1"/>
                <w:sz w:val="24"/>
                <w:szCs w:val="24"/>
              </w:rPr>
            </w:pPr>
          </w:p>
        </w:tc>
        <w:tc>
          <w:tcPr>
            <w:tcW w:w="1983" w:type="dxa"/>
            <w:vAlign w:val="center"/>
          </w:tcPr>
          <w:p>
            <w:pPr>
              <w:jc w:val="center"/>
              <w:rPr>
                <w:rFonts w:ascii="宋体" w:hAnsi="宋体" w:eastAsia="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3"/>
              </w:numPr>
              <w:jc w:val="center"/>
              <w:rPr>
                <w:rFonts w:ascii="宋体" w:hAnsi="宋体" w:eastAsia="宋体" w:cs="仿宋_GB2312"/>
                <w:color w:val="000000" w:themeColor="text1"/>
                <w:sz w:val="24"/>
                <w:szCs w:val="24"/>
              </w:rPr>
            </w:pPr>
          </w:p>
        </w:tc>
        <w:tc>
          <w:tcPr>
            <w:tcW w:w="2389" w:type="dxa"/>
            <w:vAlign w:val="center"/>
          </w:tcPr>
          <w:p>
            <w:pPr>
              <w:jc w:val="center"/>
              <w:rPr>
                <w:rFonts w:ascii="宋体" w:hAnsi="宋体" w:eastAsia="宋体" w:cs="仿宋_GB2312"/>
                <w:color w:val="000000" w:themeColor="text1"/>
                <w:sz w:val="24"/>
                <w:szCs w:val="24"/>
              </w:rPr>
            </w:pPr>
          </w:p>
        </w:tc>
        <w:tc>
          <w:tcPr>
            <w:tcW w:w="3227" w:type="dxa"/>
            <w:vAlign w:val="center"/>
          </w:tcPr>
          <w:p>
            <w:pPr>
              <w:jc w:val="center"/>
              <w:rPr>
                <w:rFonts w:ascii="宋体" w:hAnsi="宋体" w:eastAsia="宋体" w:cs="仿宋_GB2312"/>
                <w:color w:val="000000" w:themeColor="text1"/>
                <w:sz w:val="24"/>
                <w:szCs w:val="24"/>
              </w:rPr>
            </w:pPr>
          </w:p>
        </w:tc>
        <w:tc>
          <w:tcPr>
            <w:tcW w:w="1256" w:type="dxa"/>
            <w:vAlign w:val="center"/>
          </w:tcPr>
          <w:p>
            <w:pPr>
              <w:jc w:val="center"/>
              <w:rPr>
                <w:rFonts w:ascii="宋体" w:hAnsi="宋体" w:eastAsia="宋体" w:cs="仿宋_GB2312"/>
                <w:color w:val="000000" w:themeColor="text1"/>
                <w:sz w:val="24"/>
                <w:szCs w:val="24"/>
              </w:rPr>
            </w:pPr>
          </w:p>
        </w:tc>
        <w:tc>
          <w:tcPr>
            <w:tcW w:w="1983" w:type="dxa"/>
            <w:vAlign w:val="center"/>
          </w:tcPr>
          <w:p>
            <w:pPr>
              <w:jc w:val="center"/>
              <w:rPr>
                <w:rFonts w:ascii="宋体" w:hAnsi="宋体" w:eastAsia="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3"/>
              </w:numPr>
              <w:jc w:val="center"/>
              <w:rPr>
                <w:rFonts w:ascii="宋体" w:hAnsi="宋体" w:eastAsia="宋体" w:cs="仿宋_GB2312"/>
                <w:color w:val="000000" w:themeColor="text1"/>
                <w:sz w:val="24"/>
                <w:szCs w:val="24"/>
              </w:rPr>
            </w:pPr>
          </w:p>
        </w:tc>
        <w:tc>
          <w:tcPr>
            <w:tcW w:w="2389" w:type="dxa"/>
            <w:vAlign w:val="center"/>
          </w:tcPr>
          <w:p>
            <w:pPr>
              <w:jc w:val="center"/>
              <w:rPr>
                <w:rFonts w:ascii="宋体" w:hAnsi="宋体" w:eastAsia="宋体" w:cs="仿宋_GB2312"/>
                <w:color w:val="000000" w:themeColor="text1"/>
                <w:sz w:val="24"/>
                <w:szCs w:val="24"/>
              </w:rPr>
            </w:pPr>
          </w:p>
        </w:tc>
        <w:tc>
          <w:tcPr>
            <w:tcW w:w="3227" w:type="dxa"/>
            <w:vAlign w:val="center"/>
          </w:tcPr>
          <w:p>
            <w:pPr>
              <w:jc w:val="center"/>
              <w:rPr>
                <w:rFonts w:ascii="宋体" w:hAnsi="宋体" w:eastAsia="宋体" w:cs="仿宋_GB2312"/>
                <w:color w:val="000000" w:themeColor="text1"/>
                <w:sz w:val="24"/>
                <w:szCs w:val="24"/>
              </w:rPr>
            </w:pPr>
          </w:p>
        </w:tc>
        <w:tc>
          <w:tcPr>
            <w:tcW w:w="1256" w:type="dxa"/>
            <w:vAlign w:val="center"/>
          </w:tcPr>
          <w:p>
            <w:pPr>
              <w:jc w:val="center"/>
              <w:rPr>
                <w:rFonts w:ascii="宋体" w:hAnsi="宋体" w:eastAsia="宋体" w:cs="仿宋_GB2312"/>
                <w:color w:val="000000" w:themeColor="text1"/>
                <w:sz w:val="24"/>
                <w:szCs w:val="24"/>
              </w:rPr>
            </w:pPr>
          </w:p>
        </w:tc>
        <w:tc>
          <w:tcPr>
            <w:tcW w:w="1983" w:type="dxa"/>
            <w:vAlign w:val="center"/>
          </w:tcPr>
          <w:p>
            <w:pPr>
              <w:jc w:val="center"/>
              <w:rPr>
                <w:rFonts w:ascii="宋体" w:hAnsi="宋体" w:eastAsia="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3"/>
              </w:numPr>
              <w:jc w:val="center"/>
              <w:rPr>
                <w:rFonts w:ascii="宋体" w:hAnsi="宋体" w:eastAsia="宋体" w:cs="仿宋_GB2312"/>
                <w:color w:val="000000" w:themeColor="text1"/>
                <w:sz w:val="24"/>
                <w:szCs w:val="24"/>
              </w:rPr>
            </w:pPr>
          </w:p>
        </w:tc>
        <w:tc>
          <w:tcPr>
            <w:tcW w:w="2389" w:type="dxa"/>
            <w:vAlign w:val="center"/>
          </w:tcPr>
          <w:p>
            <w:pPr>
              <w:jc w:val="center"/>
              <w:rPr>
                <w:rFonts w:ascii="宋体" w:hAnsi="宋体" w:eastAsia="宋体" w:cs="仿宋_GB2312"/>
                <w:color w:val="000000" w:themeColor="text1"/>
                <w:sz w:val="24"/>
                <w:szCs w:val="24"/>
              </w:rPr>
            </w:pPr>
          </w:p>
        </w:tc>
        <w:tc>
          <w:tcPr>
            <w:tcW w:w="3227" w:type="dxa"/>
            <w:vAlign w:val="center"/>
          </w:tcPr>
          <w:p>
            <w:pPr>
              <w:jc w:val="center"/>
              <w:rPr>
                <w:rFonts w:ascii="宋体" w:hAnsi="宋体" w:eastAsia="宋体" w:cs="仿宋_GB2312"/>
                <w:color w:val="000000" w:themeColor="text1"/>
                <w:sz w:val="24"/>
                <w:szCs w:val="24"/>
              </w:rPr>
            </w:pPr>
          </w:p>
        </w:tc>
        <w:tc>
          <w:tcPr>
            <w:tcW w:w="1256" w:type="dxa"/>
            <w:vAlign w:val="center"/>
          </w:tcPr>
          <w:p>
            <w:pPr>
              <w:jc w:val="center"/>
              <w:rPr>
                <w:rFonts w:ascii="宋体" w:hAnsi="宋体" w:eastAsia="宋体" w:cs="仿宋_GB2312"/>
                <w:color w:val="000000" w:themeColor="text1"/>
                <w:sz w:val="24"/>
                <w:szCs w:val="24"/>
              </w:rPr>
            </w:pPr>
          </w:p>
        </w:tc>
        <w:tc>
          <w:tcPr>
            <w:tcW w:w="1983" w:type="dxa"/>
            <w:vAlign w:val="center"/>
          </w:tcPr>
          <w:p>
            <w:pPr>
              <w:jc w:val="center"/>
              <w:rPr>
                <w:rFonts w:ascii="宋体" w:hAnsi="宋体" w:eastAsia="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w:t>
            </w:r>
          </w:p>
        </w:tc>
        <w:tc>
          <w:tcPr>
            <w:tcW w:w="2389" w:type="dxa"/>
            <w:vAlign w:val="center"/>
          </w:tcPr>
          <w:p>
            <w:pPr>
              <w:jc w:val="center"/>
              <w:rPr>
                <w:rFonts w:ascii="宋体" w:hAnsi="宋体" w:eastAsia="宋体" w:cs="仿宋_GB2312"/>
                <w:color w:val="000000" w:themeColor="text1"/>
                <w:sz w:val="24"/>
                <w:szCs w:val="24"/>
              </w:rPr>
            </w:pPr>
          </w:p>
        </w:tc>
        <w:tc>
          <w:tcPr>
            <w:tcW w:w="3227" w:type="dxa"/>
            <w:vAlign w:val="center"/>
          </w:tcPr>
          <w:p>
            <w:pPr>
              <w:jc w:val="center"/>
              <w:rPr>
                <w:rFonts w:ascii="宋体" w:hAnsi="宋体" w:eastAsia="宋体" w:cs="仿宋_GB2312"/>
                <w:color w:val="000000" w:themeColor="text1"/>
                <w:sz w:val="24"/>
                <w:szCs w:val="24"/>
              </w:rPr>
            </w:pPr>
          </w:p>
        </w:tc>
        <w:tc>
          <w:tcPr>
            <w:tcW w:w="1256" w:type="dxa"/>
            <w:vAlign w:val="center"/>
          </w:tcPr>
          <w:p>
            <w:pPr>
              <w:jc w:val="center"/>
              <w:rPr>
                <w:rFonts w:ascii="宋体" w:hAnsi="宋体" w:eastAsia="宋体" w:cs="仿宋_GB2312"/>
                <w:color w:val="000000" w:themeColor="text1"/>
                <w:sz w:val="24"/>
                <w:szCs w:val="24"/>
              </w:rPr>
            </w:pPr>
          </w:p>
        </w:tc>
        <w:tc>
          <w:tcPr>
            <w:tcW w:w="1983" w:type="dxa"/>
            <w:vAlign w:val="center"/>
          </w:tcPr>
          <w:p>
            <w:pPr>
              <w:jc w:val="center"/>
              <w:rPr>
                <w:rFonts w:ascii="宋体" w:hAnsi="宋体" w:eastAsia="宋体" w:cs="仿宋_GB2312"/>
                <w:color w:val="000000" w:themeColor="text1"/>
                <w:sz w:val="24"/>
                <w:szCs w:val="24"/>
              </w:rPr>
            </w:pPr>
          </w:p>
        </w:tc>
      </w:tr>
    </w:tbl>
    <w:p>
      <w:pPr>
        <w:spacing w:line="360" w:lineRule="auto"/>
        <w:ind w:left="1092" w:hanging="1092" w:hangingChars="455"/>
        <w:jc w:val="left"/>
        <w:rPr>
          <w:rFonts w:ascii="宋体" w:hAnsi="宋体" w:eastAsia="宋体" w:cs="Corbel"/>
          <w:color w:val="000000" w:themeColor="text1"/>
          <w:sz w:val="24"/>
          <w:szCs w:val="24"/>
        </w:rPr>
      </w:pPr>
      <w:r>
        <w:rPr>
          <w:rFonts w:hint="eastAsia" w:ascii="宋体" w:hAnsi="宋体" w:eastAsia="宋体" w:cs="Corbel"/>
          <w:color w:val="000000" w:themeColor="text1"/>
          <w:sz w:val="24"/>
          <w:szCs w:val="24"/>
        </w:rPr>
        <w:t>说明：1．投标人应按招标文件第五章“评标方法、程序及标准”中“技术、服务评议”的评分标准逐项说明是否满足要求，如有偏离,投标人应详细说明。未按照要求填写此表或仅注明“符合”、“满足”的，</w:t>
      </w:r>
      <w:r>
        <w:rPr>
          <w:rFonts w:hint="eastAsia" w:ascii="宋体" w:hAnsi="宋体" w:eastAsia="宋体" w:cs="Times New Roman"/>
          <w:color w:val="000000" w:themeColor="text1"/>
          <w:sz w:val="24"/>
          <w:szCs w:val="24"/>
        </w:rPr>
        <w:t>导致的后果由投标人自行承担。</w:t>
      </w:r>
    </w:p>
    <w:p>
      <w:pPr>
        <w:spacing w:line="360" w:lineRule="auto"/>
        <w:ind w:left="1006" w:leftChars="306" w:hanging="364" w:hangingChars="152"/>
        <w:jc w:val="left"/>
        <w:rPr>
          <w:rFonts w:ascii="宋体" w:hAnsi="宋体" w:eastAsia="宋体" w:cs="Corbel"/>
          <w:color w:val="000000" w:themeColor="text1"/>
          <w:sz w:val="24"/>
          <w:szCs w:val="24"/>
        </w:rPr>
      </w:pPr>
      <w:r>
        <w:rPr>
          <w:rFonts w:hint="eastAsia" w:ascii="宋体" w:hAnsi="宋体" w:eastAsia="宋体" w:cs="Corbel"/>
          <w:color w:val="000000" w:themeColor="text1"/>
          <w:sz w:val="24"/>
          <w:szCs w:val="24"/>
        </w:rPr>
        <w:t>2．投标人提供的相关证明文件对应的页码填写到上表“投标文件对应的页码”中。如未提供页码或内容页码完全不一致的，</w:t>
      </w:r>
      <w:r>
        <w:rPr>
          <w:rFonts w:hint="eastAsia" w:ascii="宋体" w:hAnsi="宋体" w:eastAsia="宋体" w:cs="Times New Roman"/>
          <w:color w:val="000000" w:themeColor="text1"/>
          <w:sz w:val="24"/>
          <w:szCs w:val="24"/>
        </w:rPr>
        <w:t>导致的后果由投标人自行承担。</w:t>
      </w:r>
    </w:p>
    <w:p>
      <w:pPr>
        <w:adjustRightInd w:val="0"/>
        <w:snapToGrid w:val="0"/>
        <w:spacing w:line="300" w:lineRule="auto"/>
        <w:ind w:left="720" w:hanging="720" w:hangingChars="300"/>
        <w:rPr>
          <w:rFonts w:ascii="宋体" w:hAnsi="宋体" w:eastAsia="宋体" w:cs="Corbel"/>
          <w:color w:val="000000" w:themeColor="text1"/>
          <w:sz w:val="24"/>
          <w:szCs w:val="24"/>
        </w:rPr>
      </w:pPr>
    </w:p>
    <w:p>
      <w:pPr>
        <w:spacing w:before="100" w:beforeAutospacing="1" w:after="100" w:afterAutospacing="1" w:line="360" w:lineRule="auto"/>
        <w:ind w:firstLine="3316" w:firstLineChars="1382"/>
        <w:rPr>
          <w:rFonts w:hAnsi="宋体"/>
          <w:b/>
          <w:bCs/>
          <w:color w:val="000000" w:themeColor="text1"/>
          <w:sz w:val="24"/>
          <w:u w:val="single"/>
        </w:rPr>
      </w:pPr>
      <w:r>
        <w:rPr>
          <w:rFonts w:hint="eastAsia" w:hAnsi="宋体"/>
          <w:b/>
          <w:bCs/>
          <w:color w:val="000000" w:themeColor="text1"/>
          <w:sz w:val="24"/>
        </w:rPr>
        <w:t>投标人（公章）：</w:t>
      </w:r>
    </w:p>
    <w:p>
      <w:pPr>
        <w:spacing w:before="100" w:beforeAutospacing="1" w:after="100" w:afterAutospacing="1" w:line="360" w:lineRule="auto"/>
        <w:ind w:firstLine="3316" w:firstLineChars="1382"/>
        <w:rPr>
          <w:rFonts w:hAnsi="宋体"/>
          <w:b/>
          <w:bCs/>
          <w:color w:val="000000" w:themeColor="text1"/>
          <w:sz w:val="24"/>
          <w:u w:val="single"/>
        </w:rPr>
      </w:pPr>
      <w:r>
        <w:rPr>
          <w:rFonts w:hint="eastAsia" w:ascii="宋体" w:hAnsi="宋体" w:eastAsia="宋体" w:cs="Times New Roman"/>
          <w:b/>
          <w:bCs/>
          <w:color w:val="000000" w:themeColor="text1"/>
          <w:sz w:val="24"/>
          <w:szCs w:val="21"/>
          <w:lang w:val="zh-CN"/>
        </w:rPr>
        <w:t>投标人</w:t>
      </w:r>
      <w:r>
        <w:rPr>
          <w:rFonts w:hint="eastAsia" w:hAnsi="宋体"/>
          <w:b/>
          <w:bCs/>
          <w:color w:val="000000" w:themeColor="text1"/>
          <w:sz w:val="24"/>
        </w:rPr>
        <w:t>授权代表（签字）：</w:t>
      </w:r>
    </w:p>
    <w:p>
      <w:pPr>
        <w:spacing w:before="100" w:beforeAutospacing="1" w:after="100" w:afterAutospacing="1" w:line="360" w:lineRule="auto"/>
        <w:ind w:firstLine="3316" w:firstLineChars="1382"/>
        <w:rPr>
          <w:color w:val="000000" w:themeColor="text1"/>
        </w:rPr>
      </w:pPr>
      <w:r>
        <w:rPr>
          <w:rFonts w:hint="eastAsia" w:ascii="宋体" w:hAnsi="宋体" w:eastAsia="宋体" w:cs="Times New Roman"/>
          <w:b/>
          <w:bCs/>
          <w:color w:val="000000" w:themeColor="text1"/>
          <w:sz w:val="24"/>
          <w:szCs w:val="21"/>
          <w:lang w:val="zh-CN"/>
        </w:rPr>
        <w:t>投标</w:t>
      </w:r>
      <w:r>
        <w:rPr>
          <w:rFonts w:hint="eastAsia" w:hAnsi="宋体"/>
          <w:b/>
          <w:bCs/>
          <w:color w:val="000000" w:themeColor="text1"/>
          <w:sz w:val="24"/>
        </w:rPr>
        <w:t>时间：</w:t>
      </w:r>
    </w:p>
    <w:p>
      <w:pPr>
        <w:rPr>
          <w:color w:val="000000" w:themeColor="text1"/>
        </w:rPr>
      </w:pPr>
    </w:p>
    <w:p/>
    <w:sectPr>
      <w:pgSz w:w="11906" w:h="16838"/>
      <w:pgMar w:top="1134" w:right="1191" w:bottom="1134" w:left="1191" w:header="851" w:footer="851"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MS Gothic">
    <w:panose1 w:val="020B0609070205080204"/>
    <w:charset w:val="80"/>
    <w:family w:val="modern"/>
    <w:pitch w:val="default"/>
    <w:sig w:usb0="E00002FF" w:usb1="6AC7FDFB" w:usb2="00000012" w:usb3="00000000" w:csb0="4002009F" w:csb1="DFD70000"/>
  </w:font>
  <w:font w:name="Corbel">
    <w:panose1 w:val="020B0503020204020204"/>
    <w:charset w:val="00"/>
    <w:family w:val="swiss"/>
    <w:pitch w:val="default"/>
    <w:sig w:usb0="A00002EF" w:usb1="4000A44B" w:usb2="00000000" w:usb3="00000000" w:csb0="2000019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asciiTheme="minorEastAsia" w:hAnsiTheme="minorEastAsia"/>
        <w:b/>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 w:val="clear" w:pos="8306"/>
      </w:tabs>
      <w:rPr>
        <w:rFonts w:asciiTheme="minorEastAsia" w:hAnsiTheme="minorEastAsia"/>
        <w:b/>
        <w:bCs/>
      </w:rPr>
    </w:pPr>
    <w:r>
      <w:rPr>
        <w:rFonts w:hint="eastAsia" w:asciiTheme="minorEastAsia" w:hAnsiTheme="minorEastAsia"/>
        <w:bCs/>
      </w:rPr>
      <w:t>湖北省政府采购中心编制</w:t>
    </w:r>
    <w:r>
      <w:rPr>
        <w:rFonts w:asciiTheme="minorEastAsia" w:hAnsiTheme="minorEastAsia"/>
        <w:bCs/>
      </w:rPr>
      <w:t>V3.0.2017.0930</w:t>
    </w:r>
  </w:p>
  <w:p>
    <w:pPr>
      <w:pStyle w:val="11"/>
      <w:tabs>
        <w:tab w:val="clear" w:pos="4153"/>
        <w:tab w:val="clear" w:pos="8306"/>
      </w:tabs>
      <w:jc w:val="center"/>
      <w:rPr>
        <w:rFonts w:asciiTheme="minorEastAsia" w:hAnsiTheme="minorEastAsia"/>
      </w:rPr>
    </w:pPr>
    <w:r>
      <w:rPr>
        <w:rFonts w:asciiTheme="minorEastAsia" w:hAnsiTheme="minorEastAsia"/>
        <w:b/>
        <w:bCs/>
      </w:rPr>
      <w:fldChar w:fldCharType="begin"/>
    </w:r>
    <w:r>
      <w:rPr>
        <w:rFonts w:asciiTheme="minorEastAsia" w:hAnsiTheme="minorEastAsia"/>
        <w:b/>
        <w:bCs/>
      </w:rPr>
      <w:instrText xml:space="preserve">PAGE</w:instrText>
    </w:r>
    <w:r>
      <w:rPr>
        <w:rFonts w:asciiTheme="minorEastAsia" w:hAnsiTheme="minorEastAsia"/>
        <w:b/>
        <w:bCs/>
      </w:rPr>
      <w:fldChar w:fldCharType="separate"/>
    </w:r>
    <w:r>
      <w:rPr>
        <w:rFonts w:asciiTheme="minorEastAsia" w:hAnsiTheme="minorEastAsia"/>
        <w:b/>
        <w:bCs/>
      </w:rPr>
      <w:t>22</w:t>
    </w:r>
    <w:r>
      <w:rPr>
        <w:rFonts w:asciiTheme="minorEastAsia" w:hAnsiTheme="minorEastAsia"/>
        <w:b/>
        <w:bCs/>
      </w:rPr>
      <w:fldChar w:fldCharType="end"/>
    </w:r>
    <w:r>
      <w:rPr>
        <w:rFonts w:asciiTheme="minorEastAsia" w:hAnsiTheme="minorEastAsia"/>
        <w:b/>
        <w:lang w:val="zh-CN"/>
      </w:rPr>
      <w:t xml:space="preserve"> / </w:t>
    </w:r>
    <w:r>
      <w:rPr>
        <w:rFonts w:asciiTheme="minorEastAsia" w:hAnsiTheme="minorEastAsia"/>
        <w:b/>
        <w:bCs/>
      </w:rPr>
      <w:fldChar w:fldCharType="begin"/>
    </w:r>
    <w:r>
      <w:rPr>
        <w:rFonts w:asciiTheme="minorEastAsia" w:hAnsiTheme="minorEastAsia"/>
        <w:b/>
        <w:bCs/>
      </w:rPr>
      <w:instrText xml:space="preserve">NUMPAGES</w:instrText>
    </w:r>
    <w:r>
      <w:rPr>
        <w:rFonts w:asciiTheme="minorEastAsia" w:hAnsiTheme="minorEastAsia"/>
        <w:b/>
        <w:bCs/>
      </w:rPr>
      <w:fldChar w:fldCharType="separate"/>
    </w:r>
    <w:r>
      <w:rPr>
        <w:rFonts w:asciiTheme="minorEastAsia" w:hAnsiTheme="minorEastAsia"/>
        <w:b/>
        <w:bCs/>
      </w:rPr>
      <w:t>61</w:t>
    </w:r>
    <w:r>
      <w:rPr>
        <w:rFonts w:asciiTheme="minorEastAsia" w:hAnsiTheme="minorEastAsia"/>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single" w:color="000000" w:themeColor="text1" w:sz="4" w:space="1"/>
      </w:pBdr>
      <w:tabs>
        <w:tab w:val="clear" w:pos="4153"/>
        <w:tab w:val="clear" w:pos="8306"/>
      </w:tabs>
      <w:ind w:right="-9" w:firstLine="630" w:firstLineChars="300"/>
    </w:pPr>
    <w:r>
      <w:rPr>
        <w:rFonts w:hint="eastAsia" w:ascii="宋体" w:hAnsi="宋体" w:eastAsia="宋体" w:cs="宋体"/>
        <w:kern w:val="0"/>
        <w:sz w:val="21"/>
        <w:szCs w:val="21"/>
        <w:u w:val="single"/>
      </w:rPr>
      <w:t>衡正国际工程咨询有限公司制</w:t>
    </w:r>
  </w:p>
  <w:p>
    <w:pPr>
      <w:pStyle w:val="11"/>
      <w:pBdr>
        <w:top w:val="single" w:color="000000" w:themeColor="text1" w:sz="4" w:space="1"/>
      </w:pBdr>
      <w:tabs>
        <w:tab w:val="clear" w:pos="4153"/>
        <w:tab w:val="clear" w:pos="8306"/>
      </w:tabs>
      <w:ind w:right="-9"/>
      <w:jc w:val="center"/>
      <w:rPr>
        <w:rFonts w:asciiTheme="minorEastAsia" w:hAnsiTheme="minorEastAsia"/>
        <w:b/>
      </w:rPr>
    </w:pPr>
    <w:sdt>
      <w:sdtPr>
        <w:id w:val="1717543377"/>
      </w:sdtPr>
      <w:sdtEndPr>
        <w:rPr>
          <w:rFonts w:asciiTheme="minorEastAsia" w:hAnsiTheme="minorEastAsia"/>
          <w:b/>
        </w:rPr>
      </w:sdtEndPr>
      <w:sdtContent>
        <w:r>
          <w:rPr>
            <w:rFonts w:asciiTheme="minorEastAsia" w:hAnsiTheme="minorEastAsia"/>
            <w:b/>
            <w:bCs/>
          </w:rPr>
          <w:fldChar w:fldCharType="begin"/>
        </w:r>
        <w:r>
          <w:rPr>
            <w:rFonts w:asciiTheme="minorEastAsia" w:hAnsiTheme="minorEastAsia"/>
            <w:b/>
            <w:bCs/>
          </w:rPr>
          <w:instrText xml:space="preserve">PAGE</w:instrText>
        </w:r>
        <w:r>
          <w:rPr>
            <w:rFonts w:asciiTheme="minorEastAsia" w:hAnsiTheme="minorEastAsia"/>
            <w:b/>
            <w:bCs/>
          </w:rPr>
          <w:fldChar w:fldCharType="separate"/>
        </w:r>
        <w:r>
          <w:rPr>
            <w:rFonts w:asciiTheme="minorEastAsia" w:hAnsiTheme="minorEastAsia"/>
            <w:b/>
            <w:bCs/>
          </w:rPr>
          <w:t>8</w:t>
        </w:r>
        <w:r>
          <w:rPr>
            <w:rFonts w:asciiTheme="minorEastAsia" w:hAnsiTheme="minorEastAsia"/>
            <w:b/>
            <w:bCs/>
          </w:rPr>
          <w:fldChar w:fldCharType="end"/>
        </w:r>
        <w:r>
          <w:rPr>
            <w:rFonts w:asciiTheme="minorEastAsia" w:hAnsiTheme="minorEastAsia"/>
            <w:b/>
            <w:lang w:val="zh-CN"/>
          </w:rPr>
          <w:t xml:space="preserve"> / </w:t>
        </w:r>
        <w:r>
          <w:rPr>
            <w:rFonts w:asciiTheme="minorEastAsia" w:hAnsiTheme="minorEastAsia"/>
            <w:b/>
            <w:bCs/>
          </w:rPr>
          <w:fldChar w:fldCharType="begin"/>
        </w:r>
        <w:r>
          <w:rPr>
            <w:rFonts w:asciiTheme="minorEastAsia" w:hAnsiTheme="minorEastAsia"/>
            <w:b/>
            <w:bCs/>
          </w:rPr>
          <w:instrText xml:space="preserve">NUMPAGES</w:instrText>
        </w:r>
        <w:r>
          <w:rPr>
            <w:rFonts w:asciiTheme="minorEastAsia" w:hAnsiTheme="minorEastAsia"/>
            <w:b/>
            <w:bCs/>
          </w:rPr>
          <w:fldChar w:fldCharType="separate"/>
        </w:r>
        <w:r>
          <w:rPr>
            <w:rFonts w:asciiTheme="minorEastAsia" w:hAnsiTheme="minorEastAsia"/>
            <w:b/>
            <w:bCs/>
          </w:rPr>
          <w:t>61</w:t>
        </w:r>
        <w:r>
          <w:rPr>
            <w:rFonts w:asciiTheme="minorEastAsia" w:hAnsiTheme="minorEastAsia"/>
            <w:b/>
            <w:bCs/>
          </w:rPr>
          <w:fldChar w:fldCharType="end"/>
        </w: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tabs>
        <w:tab w:val="left" w:pos="675"/>
        <w:tab w:val="center" w:pos="4762"/>
      </w:tabs>
      <w:jc w:val="left"/>
    </w:pPr>
  </w:p>
  <w:p>
    <w:pPr>
      <w:adjustRightInd w:val="0"/>
      <w:snapToGrid w:val="0"/>
      <w:spacing w:line="36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lear" w:pos="4153"/>
      </w:tabs>
      <w:jc w:val="left"/>
      <w:rPr>
        <w:rFonts w:asciiTheme="minorEastAsia" w:hAnsiTheme="minorEastAsia"/>
        <w:b/>
      </w:rPr>
    </w:pPr>
    <w:r>
      <w:rPr>
        <w:rFonts w:hint="eastAsia" w:asciiTheme="minorEastAsia" w:hAnsiTheme="minorEastAsia"/>
        <w:b/>
      </w:rPr>
      <w:t>项目名称：XXXXXXXXXXXX项目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000000" w:themeColor="text1" w:sz="4" w:space="1"/>
      </w:pBdr>
      <w:tabs>
        <w:tab w:val="clear" w:pos="4153"/>
      </w:tabs>
      <w:jc w:val="left"/>
      <w:rPr>
        <w:b/>
      </w:rPr>
    </w:pPr>
    <w:r>
      <w:rPr>
        <w:rFonts w:hint="eastAsia"/>
        <w:b/>
        <w:sz w:val="21"/>
        <w:szCs w:val="21"/>
      </w:rPr>
      <w:t>项目名称：阳新县基层医疗机构设备购置项目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17788"/>
    <w:multiLevelType w:val="multilevel"/>
    <w:tmpl w:val="00317788"/>
    <w:lvl w:ilvl="0" w:tentative="0">
      <w:start w:val="1"/>
      <w:numFmt w:val="decimal"/>
      <w:lvlText w:val="3.%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1">
    <w:nsid w:val="0068509E"/>
    <w:multiLevelType w:val="multilevel"/>
    <w:tmpl w:val="0068509E"/>
    <w:lvl w:ilvl="0" w:tentative="0">
      <w:start w:val="1"/>
      <w:numFmt w:val="decimal"/>
      <w:lvlText w:val="35.%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3226416"/>
    <w:multiLevelType w:val="multilevel"/>
    <w:tmpl w:val="03226416"/>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8112400"/>
    <w:multiLevelType w:val="multilevel"/>
    <w:tmpl w:val="08112400"/>
    <w:lvl w:ilvl="0" w:tentative="0">
      <w:start w:val="1"/>
      <w:numFmt w:val="decimal"/>
      <w:lvlText w:val="8.%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5">
    <w:nsid w:val="092D2B91"/>
    <w:multiLevelType w:val="multilevel"/>
    <w:tmpl w:val="092D2B91"/>
    <w:lvl w:ilvl="0" w:tentative="0">
      <w:start w:val="1"/>
      <w:numFmt w:val="decimal"/>
      <w:lvlText w:val="3.%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EB600DC"/>
    <w:multiLevelType w:val="multilevel"/>
    <w:tmpl w:val="0EB600DC"/>
    <w:lvl w:ilvl="0" w:tentative="0">
      <w:start w:val="1"/>
      <w:numFmt w:val="decimal"/>
      <w:lvlText w:val="27.%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F196355"/>
    <w:multiLevelType w:val="multilevel"/>
    <w:tmpl w:val="0F196355"/>
    <w:lvl w:ilvl="0" w:tentative="0">
      <w:start w:val="1"/>
      <w:numFmt w:val="decimal"/>
      <w:lvlText w:val="15.%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00F5420"/>
    <w:multiLevelType w:val="multilevel"/>
    <w:tmpl w:val="100F5420"/>
    <w:lvl w:ilvl="0" w:tentative="0">
      <w:start w:val="1"/>
      <w:numFmt w:val="decimal"/>
      <w:lvlText w:val="12.3.%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9">
    <w:nsid w:val="12F3169F"/>
    <w:multiLevelType w:val="multilevel"/>
    <w:tmpl w:val="12F3169F"/>
    <w:lvl w:ilvl="0" w:tentative="0">
      <w:start w:val="1"/>
      <w:numFmt w:val="decimal"/>
      <w:lvlText w:val="18.%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43A1834"/>
    <w:multiLevelType w:val="multilevel"/>
    <w:tmpl w:val="143A1834"/>
    <w:lvl w:ilvl="0" w:tentative="0">
      <w:start w:val="1"/>
      <w:numFmt w:val="chineseCountingThousand"/>
      <w:lvlText w:val="附件%1、"/>
      <w:lvlJc w:val="left"/>
      <w:pPr>
        <w:ind w:left="420" w:hanging="420"/>
      </w:pPr>
      <w:rPr>
        <w:rFonts w:hint="eastAsia" w:ascii="宋体" w:hAnsi="宋体" w:eastAsia="宋体"/>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5F76080"/>
    <w:multiLevelType w:val="multilevel"/>
    <w:tmpl w:val="15F76080"/>
    <w:lvl w:ilvl="0" w:tentative="0">
      <w:start w:val="1"/>
      <w:numFmt w:val="decimal"/>
      <w:lvlText w:val="4.%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12">
    <w:nsid w:val="1636573F"/>
    <w:multiLevelType w:val="multilevel"/>
    <w:tmpl w:val="1636573F"/>
    <w:lvl w:ilvl="0" w:tentative="0">
      <w:start w:val="1"/>
      <w:numFmt w:val="decimal"/>
      <w:lvlText w:val="1.%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6962145"/>
    <w:multiLevelType w:val="multilevel"/>
    <w:tmpl w:val="16962145"/>
    <w:lvl w:ilvl="0" w:tentative="0">
      <w:start w:val="1"/>
      <w:numFmt w:val="decimal"/>
      <w:lvlText w:val="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5015415"/>
    <w:multiLevelType w:val="multilevel"/>
    <w:tmpl w:val="25015415"/>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15">
    <w:nsid w:val="251B2B6C"/>
    <w:multiLevelType w:val="multilevel"/>
    <w:tmpl w:val="251B2B6C"/>
    <w:lvl w:ilvl="0" w:tentative="0">
      <w:start w:val="1"/>
      <w:numFmt w:val="chineseCountingThousand"/>
      <w:lvlText w:val="（%1） "/>
      <w:lvlJc w:val="left"/>
      <w:pPr>
        <w:ind w:left="902" w:hanging="420"/>
      </w:pPr>
      <w:rPr>
        <w:rFonts w:hint="eastAsia"/>
        <w:b/>
        <w:strike w:val="0"/>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6">
    <w:nsid w:val="279A794F"/>
    <w:multiLevelType w:val="multilevel"/>
    <w:tmpl w:val="279A794F"/>
    <w:lvl w:ilvl="0" w:tentative="0">
      <w:start w:val="1"/>
      <w:numFmt w:val="decimal"/>
      <w:lvlText w:val="3.%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17">
    <w:nsid w:val="27FE7BA7"/>
    <w:multiLevelType w:val="multilevel"/>
    <w:tmpl w:val="27FE7BA7"/>
    <w:lvl w:ilvl="0" w:tentative="0">
      <w:start w:val="1"/>
      <w:numFmt w:val="decimal"/>
      <w:lvlText w:val="27.1.%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18">
    <w:nsid w:val="28394228"/>
    <w:multiLevelType w:val="multilevel"/>
    <w:tmpl w:val="2839422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28AA4AF5"/>
    <w:multiLevelType w:val="multilevel"/>
    <w:tmpl w:val="28AA4AF5"/>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20">
    <w:nsid w:val="29735AF9"/>
    <w:multiLevelType w:val="multilevel"/>
    <w:tmpl w:val="29735AF9"/>
    <w:lvl w:ilvl="0" w:tentative="0">
      <w:start w:val="1"/>
      <w:numFmt w:val="decimal"/>
      <w:lvlText w:val="11.%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2ABF2833"/>
    <w:multiLevelType w:val="multilevel"/>
    <w:tmpl w:val="2ABF2833"/>
    <w:lvl w:ilvl="0" w:tentative="0">
      <w:start w:val="1"/>
      <w:numFmt w:val="decimal"/>
      <w:lvlText w:val="1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2CC65A04"/>
    <w:multiLevelType w:val="multilevel"/>
    <w:tmpl w:val="2CC65A04"/>
    <w:lvl w:ilvl="0" w:tentative="0">
      <w:start w:val="1"/>
      <w:numFmt w:val="decimal"/>
      <w:lvlText w:val="32.%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2D665F38"/>
    <w:multiLevelType w:val="multilevel"/>
    <w:tmpl w:val="2D665F38"/>
    <w:lvl w:ilvl="0" w:tentative="0">
      <w:start w:val="1"/>
      <w:numFmt w:val="decimal"/>
      <w:lvlText w:val="5.%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24">
    <w:nsid w:val="2D850054"/>
    <w:multiLevelType w:val="multilevel"/>
    <w:tmpl w:val="2D850054"/>
    <w:lvl w:ilvl="0" w:tentative="0">
      <w:start w:val="1"/>
      <w:numFmt w:val="decimal"/>
      <w:lvlText w:val="%1. "/>
      <w:lvlJc w:val="left"/>
      <w:pPr>
        <w:ind w:left="840" w:hanging="420"/>
      </w:pPr>
      <w:rPr>
        <w:rFonts w:hint="default" w:ascii="宋体" w:hAnsi="宋体" w:eastAsia="宋体"/>
        <w:b/>
        <w:strike w:val="0"/>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5">
    <w:nsid w:val="2E825AFA"/>
    <w:multiLevelType w:val="multilevel"/>
    <w:tmpl w:val="2E825AFA"/>
    <w:lvl w:ilvl="0" w:tentative="0">
      <w:start w:val="1"/>
      <w:numFmt w:val="decimal"/>
      <w:lvlText w:val="2.%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311832AE"/>
    <w:multiLevelType w:val="multilevel"/>
    <w:tmpl w:val="311832AE"/>
    <w:lvl w:ilvl="0" w:tentative="0">
      <w:start w:val="1"/>
      <w:numFmt w:val="decimal"/>
      <w:lvlText w:val="19.%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315F4B3A"/>
    <w:multiLevelType w:val="multilevel"/>
    <w:tmpl w:val="315F4B3A"/>
    <w:lvl w:ilvl="0" w:tentative="0">
      <w:start w:val="1"/>
      <w:numFmt w:val="decimal"/>
      <w:lvlText w:val="7.%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28">
    <w:nsid w:val="33020AE6"/>
    <w:multiLevelType w:val="multilevel"/>
    <w:tmpl w:val="33020AE6"/>
    <w:lvl w:ilvl="0" w:tentative="0">
      <w:start w:val="1"/>
      <w:numFmt w:val="decimal"/>
      <w:lvlText w:val="%1"/>
      <w:lvlJc w:val="left"/>
      <w:pPr>
        <w:ind w:left="420" w:hanging="420"/>
      </w:pPr>
      <w:rPr>
        <w:rFonts w:hint="default" w:ascii="宋体" w:hAnsi="宋体" w:eastAsia="宋体"/>
        <w:b/>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35442C9F"/>
    <w:multiLevelType w:val="multilevel"/>
    <w:tmpl w:val="35442C9F"/>
    <w:lvl w:ilvl="0" w:tentative="0">
      <w:start w:val="1"/>
      <w:numFmt w:val="decimal"/>
      <w:lvlText w:val="（%1）"/>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0">
    <w:nsid w:val="37C132BF"/>
    <w:multiLevelType w:val="multilevel"/>
    <w:tmpl w:val="37C132BF"/>
    <w:lvl w:ilvl="0" w:tentative="0">
      <w:start w:val="1"/>
      <w:numFmt w:val="decimal"/>
      <w:lvlText w:val="4.%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38F606C2"/>
    <w:multiLevelType w:val="multilevel"/>
    <w:tmpl w:val="38F606C2"/>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3DE06FC6"/>
    <w:multiLevelType w:val="multilevel"/>
    <w:tmpl w:val="3DE06FC6"/>
    <w:lvl w:ilvl="0" w:tentative="0">
      <w:start w:val="1"/>
      <w:numFmt w:val="decimal"/>
      <w:lvlText w:val="20.%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3FF72387"/>
    <w:multiLevelType w:val="multilevel"/>
    <w:tmpl w:val="3FF72387"/>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34">
    <w:nsid w:val="40E6015E"/>
    <w:multiLevelType w:val="multilevel"/>
    <w:tmpl w:val="40E6015E"/>
    <w:lvl w:ilvl="0" w:tentative="0">
      <w:start w:val="1"/>
      <w:numFmt w:val="decimal"/>
      <w:lvlText w:val="29.2.%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35">
    <w:nsid w:val="41730A17"/>
    <w:multiLevelType w:val="multilevel"/>
    <w:tmpl w:val="41730A17"/>
    <w:lvl w:ilvl="0" w:tentative="0">
      <w:start w:val="1"/>
      <w:numFmt w:val="decimal"/>
      <w:lvlText w:val="21.%1"/>
      <w:lvlJc w:val="left"/>
      <w:pPr>
        <w:ind w:left="562" w:hanging="420"/>
      </w:pPr>
      <w:rPr>
        <w:rFonts w:hint="default" w:ascii="仿宋" w:hAnsi="仿宋" w:eastAsia="仿宋"/>
        <w:b w:val="0"/>
        <w:strike w:val="0"/>
        <w:color w:val="auto"/>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36">
    <w:nsid w:val="440821F5"/>
    <w:multiLevelType w:val="multilevel"/>
    <w:tmpl w:val="440821F5"/>
    <w:lvl w:ilvl="0" w:tentative="0">
      <w:start w:val="1"/>
      <w:numFmt w:val="decimal"/>
      <w:lvlText w:val="%1."/>
      <w:lvlJc w:val="left"/>
      <w:pPr>
        <w:ind w:left="420" w:hanging="420"/>
      </w:pPr>
      <w:rPr>
        <w:rFonts w:hint="default" w:ascii="宋体" w:hAnsi="宋体" w:eastAsia="宋体"/>
        <w:b/>
        <w:strike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445F2796"/>
    <w:multiLevelType w:val="multilevel"/>
    <w:tmpl w:val="445F2796"/>
    <w:lvl w:ilvl="0" w:tentative="0">
      <w:start w:val="1"/>
      <w:numFmt w:val="decimal"/>
      <w:lvlText w:val="2.%1 "/>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8">
    <w:nsid w:val="4A6B2EA4"/>
    <w:multiLevelType w:val="multilevel"/>
    <w:tmpl w:val="4A6B2EA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4EAF5455"/>
    <w:multiLevelType w:val="multilevel"/>
    <w:tmpl w:val="4EAF5455"/>
    <w:lvl w:ilvl="0" w:tentative="0">
      <w:start w:val="1"/>
      <w:numFmt w:val="chineseCountingThousand"/>
      <w:lvlText w:val="第%1章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505F200A"/>
    <w:multiLevelType w:val="multilevel"/>
    <w:tmpl w:val="505F200A"/>
    <w:lvl w:ilvl="0" w:tentative="0">
      <w:start w:val="1"/>
      <w:numFmt w:val="decimal"/>
      <w:lvlText w:val="1.%1 "/>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1">
    <w:nsid w:val="54AC2495"/>
    <w:multiLevelType w:val="multilevel"/>
    <w:tmpl w:val="54AC2495"/>
    <w:lvl w:ilvl="0" w:tentative="0">
      <w:start w:val="1"/>
      <w:numFmt w:val="decimal"/>
      <w:lvlText w:val="26.%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570117E4"/>
    <w:multiLevelType w:val="multilevel"/>
    <w:tmpl w:val="570117E4"/>
    <w:lvl w:ilvl="0" w:tentative="0">
      <w:start w:val="1"/>
      <w:numFmt w:val="decimal"/>
      <w:lvlText w:val="23.%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577C0B87"/>
    <w:multiLevelType w:val="multilevel"/>
    <w:tmpl w:val="577C0B87"/>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59A852BA"/>
    <w:multiLevelType w:val="multilevel"/>
    <w:tmpl w:val="59A852BA"/>
    <w:lvl w:ilvl="0" w:tentative="0">
      <w:start w:val="1"/>
      <w:numFmt w:val="decimal"/>
      <w:lvlText w:val="6.%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45">
    <w:nsid w:val="5A02CE94"/>
    <w:multiLevelType w:val="multilevel"/>
    <w:tmpl w:val="5A02CE94"/>
    <w:lvl w:ilvl="0" w:tentative="0">
      <w:start w:val="1"/>
      <w:numFmt w:val="decimal"/>
      <w:lvlText w:val="3.2.%1"/>
      <w:lvlJc w:val="left"/>
      <w:pPr>
        <w:ind w:left="987" w:hanging="420"/>
      </w:pPr>
      <w:rPr>
        <w:rFonts w:ascii="楷体" w:hAnsi="楷体" w:eastAsia="楷体"/>
        <w:strike w:val="0"/>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46">
    <w:nsid w:val="5A0B11B2"/>
    <w:multiLevelType w:val="multilevel"/>
    <w:tmpl w:val="5A0B11B2"/>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47">
    <w:nsid w:val="61F95093"/>
    <w:multiLevelType w:val="multilevel"/>
    <w:tmpl w:val="61F95093"/>
    <w:lvl w:ilvl="0" w:tentative="0">
      <w:start w:val="1"/>
      <w:numFmt w:val="decimal"/>
      <w:lvlText w:val="31.%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643B08CA"/>
    <w:multiLevelType w:val="multilevel"/>
    <w:tmpl w:val="643B08CA"/>
    <w:lvl w:ilvl="0" w:tentative="0">
      <w:start w:val="1"/>
      <w:numFmt w:val="decimal"/>
      <w:lvlText w:val="3.1.%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49">
    <w:nsid w:val="64E31E93"/>
    <w:multiLevelType w:val="multilevel"/>
    <w:tmpl w:val="64E31E93"/>
    <w:lvl w:ilvl="0" w:tentative="0">
      <w:start w:val="1"/>
      <w:numFmt w:val="decimal"/>
      <w:lvlText w:val="29.%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69647823"/>
    <w:multiLevelType w:val="multilevel"/>
    <w:tmpl w:val="69647823"/>
    <w:lvl w:ilvl="0" w:tentative="0">
      <w:start w:val="1"/>
      <w:numFmt w:val="decimal"/>
      <w:lvlText w:val="34.%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6B81BFFD"/>
    <w:multiLevelType w:val="singleLevel"/>
    <w:tmpl w:val="6B81BFFD"/>
    <w:lvl w:ilvl="0" w:tentative="0">
      <w:start w:val="4"/>
      <w:numFmt w:val="chineseCounting"/>
      <w:suff w:val="nothing"/>
      <w:lvlText w:val="%1、"/>
      <w:lvlJc w:val="left"/>
      <w:rPr>
        <w:rFonts w:hint="eastAsia"/>
      </w:rPr>
    </w:lvl>
  </w:abstractNum>
  <w:abstractNum w:abstractNumId="52">
    <w:nsid w:val="6B887DF2"/>
    <w:multiLevelType w:val="multilevel"/>
    <w:tmpl w:val="6B887DF2"/>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71581402"/>
    <w:multiLevelType w:val="multilevel"/>
    <w:tmpl w:val="71581402"/>
    <w:lvl w:ilvl="0" w:tentative="0">
      <w:start w:val="1"/>
      <w:numFmt w:val="decimal"/>
      <w:lvlText w:val="24.%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71731B18"/>
    <w:multiLevelType w:val="multilevel"/>
    <w:tmpl w:val="71731B18"/>
    <w:lvl w:ilvl="0" w:tentative="0">
      <w:start w:val="1"/>
      <w:numFmt w:val="decimal"/>
      <w:lvlText w:val="28.%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730B37A3"/>
    <w:multiLevelType w:val="multilevel"/>
    <w:tmpl w:val="730B37A3"/>
    <w:lvl w:ilvl="0" w:tentative="0">
      <w:start w:val="1"/>
      <w:numFmt w:val="decimal"/>
      <w:lvlText w:val="2.%1"/>
      <w:lvlJc w:val="left"/>
      <w:pPr>
        <w:ind w:left="372" w:hanging="420"/>
      </w:pPr>
      <w:rPr>
        <w:rFonts w:hint="default" w:ascii="仿宋" w:hAnsi="仿宋" w:eastAsia="仿宋"/>
        <w:b w:val="0"/>
        <w:color w:val="auto"/>
      </w:rPr>
    </w:lvl>
    <w:lvl w:ilvl="1" w:tentative="0">
      <w:start w:val="1"/>
      <w:numFmt w:val="lowerLetter"/>
      <w:lvlText w:val="%2)"/>
      <w:lvlJc w:val="left"/>
      <w:pPr>
        <w:ind w:left="792" w:hanging="420"/>
      </w:pPr>
    </w:lvl>
    <w:lvl w:ilvl="2" w:tentative="0">
      <w:start w:val="1"/>
      <w:numFmt w:val="lowerRoman"/>
      <w:lvlText w:val="%3."/>
      <w:lvlJc w:val="right"/>
      <w:pPr>
        <w:ind w:left="1212" w:hanging="420"/>
      </w:pPr>
    </w:lvl>
    <w:lvl w:ilvl="3" w:tentative="0">
      <w:start w:val="1"/>
      <w:numFmt w:val="decimal"/>
      <w:lvlText w:val="%4."/>
      <w:lvlJc w:val="left"/>
      <w:pPr>
        <w:ind w:left="1632" w:hanging="420"/>
      </w:pPr>
    </w:lvl>
    <w:lvl w:ilvl="4" w:tentative="0">
      <w:start w:val="1"/>
      <w:numFmt w:val="lowerLetter"/>
      <w:lvlText w:val="%5)"/>
      <w:lvlJc w:val="left"/>
      <w:pPr>
        <w:ind w:left="2052" w:hanging="420"/>
      </w:pPr>
    </w:lvl>
    <w:lvl w:ilvl="5" w:tentative="0">
      <w:start w:val="1"/>
      <w:numFmt w:val="lowerRoman"/>
      <w:lvlText w:val="%6."/>
      <w:lvlJc w:val="right"/>
      <w:pPr>
        <w:ind w:left="2472" w:hanging="420"/>
      </w:pPr>
    </w:lvl>
    <w:lvl w:ilvl="6" w:tentative="0">
      <w:start w:val="1"/>
      <w:numFmt w:val="decimal"/>
      <w:lvlText w:val="%7."/>
      <w:lvlJc w:val="left"/>
      <w:pPr>
        <w:ind w:left="2892" w:hanging="420"/>
      </w:pPr>
    </w:lvl>
    <w:lvl w:ilvl="7" w:tentative="0">
      <w:start w:val="1"/>
      <w:numFmt w:val="lowerLetter"/>
      <w:lvlText w:val="%8)"/>
      <w:lvlJc w:val="left"/>
      <w:pPr>
        <w:ind w:left="3312" w:hanging="420"/>
      </w:pPr>
    </w:lvl>
    <w:lvl w:ilvl="8" w:tentative="0">
      <w:start w:val="1"/>
      <w:numFmt w:val="lowerRoman"/>
      <w:lvlText w:val="%9."/>
      <w:lvlJc w:val="right"/>
      <w:pPr>
        <w:ind w:left="3732" w:hanging="420"/>
      </w:pPr>
    </w:lvl>
  </w:abstractNum>
  <w:abstractNum w:abstractNumId="56">
    <w:nsid w:val="768933D5"/>
    <w:multiLevelType w:val="multilevel"/>
    <w:tmpl w:val="768933D5"/>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57">
    <w:nsid w:val="76DE73C5"/>
    <w:multiLevelType w:val="multilevel"/>
    <w:tmpl w:val="76DE73C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774C7C21"/>
    <w:multiLevelType w:val="multilevel"/>
    <w:tmpl w:val="774C7C21"/>
    <w:lvl w:ilvl="0" w:tentative="0">
      <w:start w:val="1"/>
      <w:numFmt w:val="decimal"/>
      <w:lvlText w:val="16.%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786B7301"/>
    <w:multiLevelType w:val="multilevel"/>
    <w:tmpl w:val="786B7301"/>
    <w:lvl w:ilvl="0" w:tentative="0">
      <w:start w:val="1"/>
      <w:numFmt w:val="decimal"/>
      <w:lvlText w:val="25.%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797F553B"/>
    <w:multiLevelType w:val="multilevel"/>
    <w:tmpl w:val="797F553B"/>
    <w:lvl w:ilvl="0" w:tentative="0">
      <w:start w:val="1"/>
      <w:numFmt w:val="decimal"/>
      <w:lvlText w:val="%1. "/>
      <w:lvlJc w:val="left"/>
      <w:pPr>
        <w:ind w:left="988"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61">
    <w:nsid w:val="7A0C6CFB"/>
    <w:multiLevelType w:val="multilevel"/>
    <w:tmpl w:val="7A0C6CFB"/>
    <w:lvl w:ilvl="0" w:tentative="0">
      <w:start w:val="1"/>
      <w:numFmt w:val="decimal"/>
      <w:lvlText w:val="22.%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7ECB03B9"/>
    <w:multiLevelType w:val="multilevel"/>
    <w:tmpl w:val="7ECB03B9"/>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num w:numId="1">
    <w:abstractNumId w:val="39"/>
  </w:num>
  <w:num w:numId="2">
    <w:abstractNumId w:val="51"/>
  </w:num>
  <w:num w:numId="3">
    <w:abstractNumId w:val="28"/>
  </w:num>
  <w:num w:numId="4">
    <w:abstractNumId w:val="2"/>
  </w:num>
  <w:num w:numId="5">
    <w:abstractNumId w:val="36"/>
  </w:num>
  <w:num w:numId="6">
    <w:abstractNumId w:val="13"/>
  </w:num>
  <w:num w:numId="7">
    <w:abstractNumId w:val="5"/>
  </w:num>
  <w:num w:numId="8">
    <w:abstractNumId w:val="48"/>
  </w:num>
  <w:num w:numId="9">
    <w:abstractNumId w:val="30"/>
  </w:num>
  <w:num w:numId="10">
    <w:abstractNumId w:val="44"/>
  </w:num>
  <w:num w:numId="11">
    <w:abstractNumId w:val="27"/>
  </w:num>
  <w:num w:numId="12">
    <w:abstractNumId w:val="4"/>
  </w:num>
  <w:num w:numId="13">
    <w:abstractNumId w:val="20"/>
  </w:num>
  <w:num w:numId="14">
    <w:abstractNumId w:val="21"/>
  </w:num>
  <w:num w:numId="15">
    <w:abstractNumId w:val="8"/>
  </w:num>
  <w:num w:numId="16">
    <w:abstractNumId w:val="7"/>
  </w:num>
  <w:num w:numId="17">
    <w:abstractNumId w:val="58"/>
  </w:num>
  <w:num w:numId="18">
    <w:abstractNumId w:val="9"/>
  </w:num>
  <w:num w:numId="19">
    <w:abstractNumId w:val="26"/>
  </w:num>
  <w:num w:numId="20">
    <w:abstractNumId w:val="32"/>
  </w:num>
  <w:num w:numId="21">
    <w:abstractNumId w:val="35"/>
  </w:num>
  <w:num w:numId="22">
    <w:abstractNumId w:val="61"/>
  </w:num>
  <w:num w:numId="23">
    <w:abstractNumId w:val="42"/>
  </w:num>
  <w:num w:numId="24">
    <w:abstractNumId w:val="53"/>
  </w:num>
  <w:num w:numId="25">
    <w:abstractNumId w:val="59"/>
  </w:num>
  <w:num w:numId="26">
    <w:abstractNumId w:val="41"/>
  </w:num>
  <w:num w:numId="27">
    <w:abstractNumId w:val="6"/>
  </w:num>
  <w:num w:numId="28">
    <w:abstractNumId w:val="17"/>
  </w:num>
  <w:num w:numId="29">
    <w:abstractNumId w:val="54"/>
  </w:num>
  <w:num w:numId="30">
    <w:abstractNumId w:val="49"/>
  </w:num>
  <w:num w:numId="31">
    <w:abstractNumId w:val="34"/>
  </w:num>
  <w:num w:numId="32">
    <w:abstractNumId w:val="47"/>
  </w:num>
  <w:num w:numId="33">
    <w:abstractNumId w:val="22"/>
  </w:num>
  <w:num w:numId="34">
    <w:abstractNumId w:val="50"/>
  </w:num>
  <w:num w:numId="35">
    <w:abstractNumId w:val="1"/>
  </w:num>
  <w:num w:numId="36">
    <w:abstractNumId w:val="38"/>
  </w:num>
  <w:num w:numId="37">
    <w:abstractNumId w:val="57"/>
  </w:num>
  <w:num w:numId="38">
    <w:abstractNumId w:val="43"/>
  </w:num>
  <w:num w:numId="39">
    <w:abstractNumId w:val="24"/>
  </w:num>
  <w:num w:numId="40">
    <w:abstractNumId w:val="40"/>
  </w:num>
  <w:num w:numId="41">
    <w:abstractNumId w:val="29"/>
  </w:num>
  <w:num w:numId="42">
    <w:abstractNumId w:val="37"/>
  </w:num>
  <w:num w:numId="43">
    <w:abstractNumId w:val="31"/>
  </w:num>
  <w:num w:numId="44">
    <w:abstractNumId w:val="15"/>
  </w:num>
  <w:num w:numId="45">
    <w:abstractNumId w:val="46"/>
  </w:num>
  <w:num w:numId="46">
    <w:abstractNumId w:val="62"/>
  </w:num>
  <w:num w:numId="47">
    <w:abstractNumId w:val="16"/>
  </w:num>
  <w:num w:numId="48">
    <w:abstractNumId w:val="14"/>
  </w:num>
  <w:num w:numId="49">
    <w:abstractNumId w:val="0"/>
  </w:num>
  <w:num w:numId="50">
    <w:abstractNumId w:val="45"/>
    <w:lvlOverride w:ilvl="0">
      <w:startOverride w:val="1"/>
    </w:lvlOverride>
  </w:num>
  <w:num w:numId="51">
    <w:abstractNumId w:val="11"/>
  </w:num>
  <w:num w:numId="52">
    <w:abstractNumId w:val="23"/>
  </w:num>
  <w:num w:numId="53">
    <w:abstractNumId w:val="60"/>
  </w:num>
  <w:num w:numId="54">
    <w:abstractNumId w:val="19"/>
  </w:num>
  <w:num w:numId="55">
    <w:abstractNumId w:val="55"/>
  </w:num>
  <w:num w:numId="56">
    <w:abstractNumId w:val="33"/>
  </w:num>
  <w:num w:numId="57">
    <w:abstractNumId w:val="56"/>
  </w:num>
  <w:num w:numId="58">
    <w:abstractNumId w:val="10"/>
  </w:num>
  <w:num w:numId="59">
    <w:abstractNumId w:val="52"/>
  </w:num>
  <w:num w:numId="60">
    <w:abstractNumId w:val="18"/>
  </w:num>
  <w:num w:numId="61">
    <w:abstractNumId w:val="3"/>
  </w:num>
  <w:num w:numId="62">
    <w:abstractNumId w:val="12"/>
  </w:num>
  <w:num w:numId="6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26DA5"/>
    <w:rsid w:val="00126DA5"/>
    <w:rsid w:val="001A52C6"/>
    <w:rsid w:val="002D6A5C"/>
    <w:rsid w:val="005757B5"/>
    <w:rsid w:val="00774D56"/>
    <w:rsid w:val="00A03F91"/>
    <w:rsid w:val="00B939E8"/>
    <w:rsid w:val="00DA5956"/>
    <w:rsid w:val="00E371D6"/>
    <w:rsid w:val="09020BD2"/>
    <w:rsid w:val="09B72529"/>
    <w:rsid w:val="0B79380A"/>
    <w:rsid w:val="0FCE3E02"/>
    <w:rsid w:val="1F9A5F4E"/>
    <w:rsid w:val="2E1B42BE"/>
    <w:rsid w:val="2E3A01F0"/>
    <w:rsid w:val="39C97EC7"/>
    <w:rsid w:val="3AB030DF"/>
    <w:rsid w:val="42DE6B4A"/>
    <w:rsid w:val="47843E6F"/>
    <w:rsid w:val="47881D0F"/>
    <w:rsid w:val="47CF53EA"/>
    <w:rsid w:val="4B0C191C"/>
    <w:rsid w:val="555B041E"/>
    <w:rsid w:val="581D02E7"/>
    <w:rsid w:val="599009CB"/>
    <w:rsid w:val="59BD0194"/>
    <w:rsid w:val="5F855F95"/>
    <w:rsid w:val="5FF218E3"/>
    <w:rsid w:val="61CE1DE7"/>
    <w:rsid w:val="6A261055"/>
    <w:rsid w:val="71B753FA"/>
    <w:rsid w:val="757D7096"/>
    <w:rsid w:val="7B216215"/>
    <w:rsid w:val="7E1D2987"/>
    <w:rsid w:val="7E5C6267"/>
    <w:rsid w:val="7FCE08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5"/>
    <w:qFormat/>
    <w:uiPriority w:val="0"/>
    <w:pPr>
      <w:keepNext/>
      <w:keepLines/>
      <w:tabs>
        <w:tab w:val="left" w:pos="425"/>
        <w:tab w:val="left" w:pos="5852"/>
      </w:tabs>
      <w:snapToGrid w:val="0"/>
      <w:spacing w:line="360" w:lineRule="auto"/>
      <w:outlineLvl w:val="2"/>
    </w:pPr>
    <w:rPr>
      <w:b/>
      <w:sz w:val="28"/>
      <w:szCs w:val="20"/>
    </w:rPr>
  </w:style>
  <w:style w:type="paragraph" w:styleId="6">
    <w:name w:val="heading 4"/>
    <w:basedOn w:val="1"/>
    <w:next w:val="5"/>
    <w:qFormat/>
    <w:uiPriority w:val="0"/>
    <w:pPr>
      <w:keepNext/>
      <w:keepLines/>
      <w:tabs>
        <w:tab w:val="left" w:pos="425"/>
      </w:tabs>
      <w:spacing w:line="360" w:lineRule="auto"/>
      <w:outlineLvl w:val="3"/>
    </w:pPr>
    <w:rPr>
      <w:rFonts w:ascii="宋体"/>
      <w:b/>
      <w:sz w:val="28"/>
      <w:szCs w:val="20"/>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99"/>
    <w:pPr>
      <w:ind w:firstLine="420"/>
    </w:pPr>
    <w:rPr>
      <w:szCs w:val="20"/>
    </w:rPr>
  </w:style>
  <w:style w:type="paragraph" w:styleId="7">
    <w:name w:val="annotation text"/>
    <w:basedOn w:val="1"/>
    <w:qFormat/>
    <w:uiPriority w:val="99"/>
    <w:pPr>
      <w:jc w:val="left"/>
    </w:pPr>
    <w:rPr>
      <w:rFonts w:ascii="Times New Roman" w:hAnsi="Times New Roman"/>
      <w:kern w:val="0"/>
      <w:sz w:val="20"/>
      <w:szCs w:val="20"/>
    </w:rPr>
  </w:style>
  <w:style w:type="paragraph" w:styleId="8">
    <w:name w:val="Body Text"/>
    <w:basedOn w:val="1"/>
    <w:unhideWhenUsed/>
    <w:qFormat/>
    <w:uiPriority w:val="99"/>
    <w:rPr>
      <w:rFonts w:ascii="宋体"/>
      <w:sz w:val="24"/>
    </w:rPr>
  </w:style>
  <w:style w:type="paragraph" w:styleId="9">
    <w:name w:val="Plain Text"/>
    <w:basedOn w:val="1"/>
    <w:qFormat/>
    <w:uiPriority w:val="0"/>
    <w:rPr>
      <w:rFonts w:ascii="宋体" w:hAnsi="Courier New" w:cs="Courier New"/>
      <w:szCs w:val="21"/>
    </w:rPr>
  </w:style>
  <w:style w:type="paragraph" w:styleId="10">
    <w:name w:val="Balloon Text"/>
    <w:basedOn w:val="1"/>
    <w:link w:val="31"/>
    <w:qFormat/>
    <w:uiPriority w:val="0"/>
    <w:rPr>
      <w:sz w:val="18"/>
      <w:szCs w:val="18"/>
    </w:rPr>
  </w:style>
  <w:style w:type="paragraph" w:styleId="11">
    <w:name w:val="footer"/>
    <w:basedOn w:val="1"/>
    <w:unhideWhenUsed/>
    <w:qFormat/>
    <w:uiPriority w:val="99"/>
    <w:pPr>
      <w:tabs>
        <w:tab w:val="center" w:pos="4153"/>
        <w:tab w:val="right" w:pos="8306"/>
      </w:tabs>
      <w:snapToGrid w:val="0"/>
      <w:jc w:val="left"/>
    </w:pPr>
    <w:rPr>
      <w:sz w:val="18"/>
      <w:szCs w:val="18"/>
    </w:rPr>
  </w:style>
  <w:style w:type="paragraph" w:styleId="1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widowControl/>
      <w:spacing w:line="440" w:lineRule="exact"/>
      <w:jc w:val="left"/>
    </w:pPr>
    <w:rPr>
      <w:rFonts w:eastAsia="黑体"/>
      <w:b/>
      <w:kern w:val="0"/>
      <w:sz w:val="28"/>
    </w:rPr>
  </w:style>
  <w:style w:type="paragraph" w:styleId="14">
    <w:name w:val="toc 2"/>
    <w:basedOn w:val="1"/>
    <w:next w:val="1"/>
    <w:unhideWhenUsed/>
    <w:qFormat/>
    <w:uiPriority w:val="39"/>
    <w:pPr>
      <w:widowControl/>
      <w:tabs>
        <w:tab w:val="left" w:pos="756"/>
        <w:tab w:val="left" w:pos="966"/>
        <w:tab w:val="left" w:pos="1204"/>
        <w:tab w:val="left" w:pos="1442"/>
        <w:tab w:val="right" w:leader="dot" w:pos="9514"/>
      </w:tabs>
      <w:spacing w:line="276" w:lineRule="auto"/>
      <w:ind w:left="220"/>
      <w:jc w:val="left"/>
    </w:pPr>
    <w:rPr>
      <w:rFonts w:ascii="宋体" w:hAnsi="宋体"/>
      <w:kern w:val="0"/>
      <w:sz w:val="24"/>
    </w:rPr>
  </w:style>
  <w:style w:type="paragraph" w:styleId="15">
    <w:name w:val="Body Text 2"/>
    <w:basedOn w:val="1"/>
    <w:qFormat/>
    <w:uiPriority w:val="99"/>
    <w:rPr>
      <w:sz w:val="24"/>
    </w:rPr>
  </w:style>
  <w:style w:type="paragraph" w:styleId="16">
    <w:name w:val="HTML Preformatted"/>
    <w:basedOn w:val="1"/>
    <w:qFormat/>
    <w:uiPriority w:val="0"/>
    <w:rPr>
      <w:rFonts w:ascii="Courier New" w:hAnsi="Courier New"/>
      <w:sz w:val="20"/>
      <w:szCs w:val="20"/>
    </w:rPr>
  </w:style>
  <w:style w:type="paragraph" w:styleId="17">
    <w:name w:val="Normal (Web)"/>
    <w:basedOn w:val="1"/>
    <w:qFormat/>
    <w:uiPriority w:val="0"/>
    <w:pPr>
      <w:spacing w:beforeAutospacing="1" w:afterAutospacing="1"/>
      <w:jc w:val="left"/>
    </w:pPr>
    <w:rPr>
      <w:rFonts w:cs="Times New Roman"/>
      <w:kern w:val="0"/>
      <w:sz w:val="24"/>
    </w:rPr>
  </w:style>
  <w:style w:type="table" w:styleId="19">
    <w:name w:val="Table Grid"/>
    <w:basedOn w:val="18"/>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1">
    <w:name w:val="Strong"/>
    <w:basedOn w:val="20"/>
    <w:qFormat/>
    <w:uiPriority w:val="22"/>
    <w:rPr>
      <w:b/>
    </w:rPr>
  </w:style>
  <w:style w:type="character" w:styleId="22">
    <w:name w:val="Hyperlink"/>
    <w:basedOn w:val="20"/>
    <w:unhideWhenUsed/>
    <w:qFormat/>
    <w:uiPriority w:val="99"/>
    <w:rPr>
      <w:color w:val="0563C1" w:themeColor="hyperlink"/>
      <w:u w:val="single"/>
    </w:rPr>
  </w:style>
  <w:style w:type="paragraph" w:customStyle="1" w:styleId="23">
    <w:name w:val="引用1"/>
    <w:basedOn w:val="1"/>
    <w:next w:val="1"/>
    <w:qFormat/>
    <w:uiPriority w:val="29"/>
    <w:rPr>
      <w:i/>
      <w:iCs/>
      <w:color w:val="000000" w:themeColor="text1"/>
    </w:rPr>
  </w:style>
  <w:style w:type="paragraph" w:customStyle="1" w:styleId="24">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5" w:themeColor="accent1" w:themeShade="BF"/>
      <w:kern w:val="0"/>
      <w:sz w:val="28"/>
      <w:szCs w:val="28"/>
    </w:rPr>
  </w:style>
  <w:style w:type="paragraph" w:styleId="25">
    <w:name w:val="List Paragraph"/>
    <w:basedOn w:val="1"/>
    <w:unhideWhenUsed/>
    <w:qFormat/>
    <w:uiPriority w:val="99"/>
    <w:pPr>
      <w:ind w:firstLine="420" w:firstLineChars="200"/>
    </w:pPr>
  </w:style>
  <w:style w:type="paragraph" w:customStyle="1" w:styleId="26">
    <w:name w:val="列出段落1"/>
    <w:basedOn w:val="1"/>
    <w:qFormat/>
    <w:uiPriority w:val="34"/>
    <w:pPr>
      <w:ind w:firstLine="420" w:firstLineChars="200"/>
    </w:pPr>
  </w:style>
  <w:style w:type="paragraph" w:customStyle="1" w:styleId="27">
    <w:name w:val="正文1"/>
    <w:qFormat/>
    <w:uiPriority w:val="0"/>
    <w:pPr>
      <w:widowControl w:val="0"/>
      <w:jc w:val="both"/>
    </w:pPr>
    <w:rPr>
      <w:rFonts w:ascii="Calibri" w:hAnsi="Calibri" w:eastAsia="宋体" w:cs="Times New Roman"/>
      <w:kern w:val="2"/>
      <w:sz w:val="21"/>
      <w:szCs w:val="21"/>
      <w:lang w:val="en-US" w:eastAsia="zh-CN" w:bidi="ar-SA"/>
    </w:rPr>
  </w:style>
  <w:style w:type="paragraph" w:customStyle="1" w:styleId="28">
    <w:name w:val="正文文本1"/>
    <w:basedOn w:val="1"/>
    <w:semiHidden/>
    <w:qFormat/>
    <w:uiPriority w:val="0"/>
    <w:rPr>
      <w:rFonts w:ascii="宋体" w:hAnsi="Calibri" w:eastAsia="宋体" w:cs="Times New Roman"/>
      <w:sz w:val="24"/>
      <w:szCs w:val="24"/>
    </w:rPr>
  </w:style>
  <w:style w:type="table" w:customStyle="1" w:styleId="29">
    <w:name w:val="Table Normal1"/>
    <w:semiHidden/>
    <w:qFormat/>
    <w:uiPriority w:val="0"/>
    <w:rPr>
      <w:rFonts w:eastAsia="Times New Roman"/>
    </w:rPr>
    <w:tblPr>
      <w:tblCellMar>
        <w:top w:w="0" w:type="dxa"/>
        <w:left w:w="108" w:type="dxa"/>
        <w:bottom w:w="0" w:type="dxa"/>
        <w:right w:w="108" w:type="dxa"/>
      </w:tblCellMar>
    </w:tblPr>
  </w:style>
  <w:style w:type="paragraph" w:customStyle="1" w:styleId="30">
    <w:name w:val="正文文本缩进1"/>
    <w:basedOn w:val="1"/>
    <w:semiHidden/>
    <w:qFormat/>
    <w:uiPriority w:val="0"/>
    <w:pPr>
      <w:spacing w:before="100" w:beforeAutospacing="1" w:after="120"/>
      <w:ind w:left="420" w:leftChars="200"/>
    </w:pPr>
    <w:rPr>
      <w:rFonts w:ascii="Calibri" w:hAnsi="Calibri" w:eastAsia="宋体" w:cs="Times New Roman"/>
      <w:sz w:val="24"/>
      <w:szCs w:val="24"/>
    </w:rPr>
  </w:style>
  <w:style w:type="character" w:customStyle="1" w:styleId="31">
    <w:name w:val="批注框文本 字符"/>
    <w:basedOn w:val="20"/>
    <w:link w:val="10"/>
    <w:qFormat/>
    <w:uiPriority w:val="0"/>
    <w:rPr>
      <w:rFonts w:asciiTheme="minorHAnsi" w:hAnsiTheme="minorHAnsi" w:eastAsiaTheme="minorEastAsia" w:cstheme="minorBidi"/>
      <w:kern w:val="2"/>
      <w:sz w:val="18"/>
      <w:szCs w:val="18"/>
    </w:rPr>
  </w:style>
  <w:style w:type="paragraph" w:customStyle="1" w:styleId="32">
    <w:name w:val="Table Paragraph"/>
    <w:basedOn w:val="1"/>
    <w:qFormat/>
    <w:uiPriority w:val="0"/>
    <w:rPr>
      <w:rFonts w:ascii="宋体" w:hAnsi="宋体" w:cs="宋体"/>
      <w:lang w:val="zh-CN" w:bidi="zh-CN"/>
    </w:rPr>
  </w:style>
  <w:style w:type="paragraph" w:customStyle="1" w:styleId="33">
    <w:name w:val="普通正文"/>
    <w:basedOn w:val="1"/>
    <w:qFormat/>
    <w:uiPriority w:val="0"/>
    <w:pPr>
      <w:adjustRightInd w:val="0"/>
      <w:spacing w:before="120" w:after="120"/>
      <w:jc w:val="left"/>
      <w:textAlignment w:val="baseline"/>
    </w:pPr>
    <w:rPr>
      <w:rFonts w:ascii="宋体"/>
      <w:kern w:val="0"/>
      <w:sz w:val="24"/>
      <w:szCs w:val="20"/>
    </w:rPr>
  </w:style>
  <w:style w:type="paragraph" w:styleId="34">
    <w:name w:val="No Spacing"/>
    <w:qFormat/>
    <w:uiPriority w:val="1"/>
    <w:rPr>
      <w:rFonts w:ascii="Calibri" w:hAnsi="Calibri"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87</Pages>
  <Words>8451</Words>
  <Characters>48171</Characters>
  <Lines>401</Lines>
  <Paragraphs>113</Paragraphs>
  <TotalTime>6</TotalTime>
  <ScaleCrop>false</ScaleCrop>
  <LinksUpToDate>false</LinksUpToDate>
  <CharactersWithSpaces>56509</CharactersWithSpaces>
  <Application>WPS Office_11.1.0.9827_F1E327BC-269C-435d-A152-05C5408002CA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2020-05-13T00:12:00Z</cp:lastPrinted>
  <dcterms:modified xsi:type="dcterms:W3CDTF">2020-09-09T09:34:02Z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2052-11.1.0.9827</vt:lpwstr>
  </property>
</Properties>
</file>