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r>
        <w:rPr>
          <w:rFonts w:hint="eastAsia"/>
          <w:color w:val="000000" w:themeColor="text1"/>
          <w14:textFill>
            <w14:solidFill>
              <w14:schemeClr w14:val="tx1"/>
            </w14:solidFill>
          </w14:textFill>
        </w:rPr>
        <w:t>附件1：采购需求</w:t>
      </w:r>
    </w:p>
    <w:p>
      <w:pPr>
        <w:spacing w:line="360" w:lineRule="auto"/>
        <w:jc w:val="center"/>
        <w:rPr>
          <w:b/>
          <w:sz w:val="36"/>
          <w:szCs w:val="36"/>
        </w:rPr>
      </w:pPr>
      <w:r>
        <w:rPr>
          <w:b/>
          <w:sz w:val="36"/>
          <w:szCs w:val="36"/>
          <w:lang w:val="hr-HR" w:bidi="ar-EG"/>
        </w:rPr>
        <w:t>采购</w:t>
      </w:r>
      <w:r>
        <w:rPr>
          <w:b/>
          <w:sz w:val="36"/>
          <w:szCs w:val="36"/>
        </w:rPr>
        <w:t>货物</w:t>
      </w:r>
      <w:r>
        <w:rPr>
          <w:rFonts w:hint="eastAsia"/>
          <w:b/>
          <w:sz w:val="36"/>
          <w:szCs w:val="36"/>
        </w:rPr>
        <w:t>（服务）</w:t>
      </w:r>
      <w:r>
        <w:rPr>
          <w:b/>
          <w:sz w:val="36"/>
          <w:szCs w:val="36"/>
        </w:rPr>
        <w:t>技术参数、规格及要求</w:t>
      </w:r>
    </w:p>
    <w:p>
      <w:pPr>
        <w:pStyle w:val="4"/>
        <w:adjustRightInd/>
        <w:snapToGrid/>
        <w:spacing w:line="500" w:lineRule="exact"/>
        <w:rPr>
          <w:rFonts w:ascii="Times New Roman" w:hAnsi="Times New Roman"/>
          <w:b/>
          <w:bCs/>
          <w:color w:val="000000" w:themeColor="text1"/>
          <w:sz w:val="24"/>
          <w:szCs w:val="24"/>
          <w:lang w:val="zh-CN"/>
          <w14:textFill>
            <w14:solidFill>
              <w14:schemeClr w14:val="tx1"/>
            </w14:solidFill>
          </w14:textFill>
        </w:rPr>
      </w:pPr>
      <w:r>
        <w:rPr>
          <w:rFonts w:hint="eastAsia" w:ascii="Times New Roman" w:hAnsi="Times New Roman"/>
          <w:b/>
          <w:bCs/>
          <w:color w:val="000000" w:themeColor="text1"/>
          <w:sz w:val="24"/>
          <w:szCs w:val="24"/>
          <w:lang w:val="zh-CN"/>
          <w14:textFill>
            <w14:solidFill>
              <w14:schemeClr w14:val="tx1"/>
            </w14:solidFill>
          </w14:textFill>
        </w:rPr>
        <w:t>一、项目概况</w:t>
      </w:r>
    </w:p>
    <w:p>
      <w:pPr>
        <w:pStyle w:val="9"/>
        <w:spacing w:line="360" w:lineRule="auto"/>
        <w:rPr>
          <w:rFonts w:hint="default" w:ascii="宋体" w:hAnsi="宋体" w:eastAsia="宋体"/>
          <w:lang w:val="en-US" w:eastAsia="zh-CN"/>
        </w:rPr>
      </w:pPr>
      <w:r>
        <w:rPr>
          <w:rFonts w:hint="eastAsia" w:ascii="宋体" w:hAnsi="宋体"/>
        </w:rPr>
        <w:t>（</w:t>
      </w:r>
      <w:r>
        <w:rPr>
          <w:rFonts w:hint="eastAsia" w:ascii="宋体" w:hAnsi="宋体"/>
          <w:lang w:val="zh-CN"/>
        </w:rPr>
        <w:t>一）项目名称：阳新县老城区雨污分流改造一期工程（截污干管）</w:t>
      </w:r>
      <w:r>
        <w:rPr>
          <w:rFonts w:hint="eastAsia" w:ascii="宋体" w:hAnsi="宋体"/>
          <w:lang w:val="en-US" w:eastAsia="zh-CN"/>
        </w:rPr>
        <w:t>监理</w:t>
      </w:r>
    </w:p>
    <w:p>
      <w:pPr>
        <w:pStyle w:val="9"/>
        <w:spacing w:line="360" w:lineRule="auto"/>
        <w:rPr>
          <w:rFonts w:ascii="宋体" w:hAnsi="宋体"/>
          <w:lang w:val="zh-CN"/>
        </w:rPr>
      </w:pPr>
      <w:r>
        <w:rPr>
          <w:rFonts w:hint="eastAsia" w:ascii="宋体" w:hAnsi="宋体"/>
          <w:lang w:val="zh-CN"/>
        </w:rPr>
        <w:t>（二）采购单位：阳新县住房和城乡建设局</w:t>
      </w:r>
    </w:p>
    <w:p>
      <w:pPr>
        <w:pStyle w:val="9"/>
        <w:spacing w:line="360" w:lineRule="auto"/>
        <w:ind w:left="2000" w:hanging="2080" w:hangingChars="800"/>
        <w:rPr>
          <w:rFonts w:ascii="宋体" w:hAnsi="宋体"/>
          <w:lang w:val="zh-CN"/>
        </w:rPr>
      </w:pPr>
      <w:r>
        <w:rPr>
          <w:rFonts w:hint="eastAsia" w:ascii="宋体" w:hAnsi="宋体"/>
          <w:lang w:val="zh-CN"/>
        </w:rPr>
        <w:t>（三）采购项目概况</w:t>
      </w:r>
    </w:p>
    <w:p>
      <w:pPr>
        <w:pStyle w:val="9"/>
        <w:spacing w:line="360" w:lineRule="auto"/>
        <w:rPr>
          <w:rFonts w:hint="eastAsia" w:ascii="宋体" w:hAnsi="宋体"/>
          <w:lang w:val="zh-CN"/>
        </w:rPr>
      </w:pPr>
      <w:r>
        <w:rPr>
          <w:rFonts w:hint="eastAsia" w:ascii="宋体" w:hAnsi="宋体"/>
          <w:lang w:val="zh-CN"/>
        </w:rPr>
        <w:t>1、项目采购内容：本工程的施工准备阶段、施工阶段、交工验收与缺</w:t>
      </w:r>
    </w:p>
    <w:p>
      <w:pPr>
        <w:pStyle w:val="9"/>
        <w:spacing w:line="360" w:lineRule="auto"/>
        <w:rPr>
          <w:rFonts w:ascii="宋体" w:hAnsi="宋体"/>
          <w:lang w:val="zh-CN"/>
        </w:rPr>
      </w:pPr>
      <w:r>
        <w:rPr>
          <w:rFonts w:hint="eastAsia" w:ascii="宋体" w:hAnsi="宋体"/>
          <w:lang w:val="zh-CN"/>
        </w:rPr>
        <w:t>陷责任期阶段的施工监理服务及施工过程中环境保护和施工安全的监</w:t>
      </w:r>
      <w:r>
        <w:rPr>
          <w:rFonts w:hint="eastAsia" w:ascii="宋体" w:hAnsi="宋体"/>
          <w:lang w:val="en-US" w:eastAsia="zh-CN"/>
        </w:rPr>
        <w:t>理。</w:t>
      </w:r>
    </w:p>
    <w:p>
      <w:pPr>
        <w:pStyle w:val="9"/>
        <w:spacing w:line="360" w:lineRule="auto"/>
        <w:ind w:left="2000" w:hanging="2080" w:hangingChars="800"/>
        <w:rPr>
          <w:rFonts w:ascii="宋体" w:hAnsi="宋体"/>
          <w:lang w:val="zh-CN"/>
        </w:rPr>
      </w:pPr>
      <w:r>
        <w:rPr>
          <w:rFonts w:hint="eastAsia" w:ascii="宋体" w:hAnsi="宋体"/>
          <w:lang w:val="zh-CN"/>
        </w:rPr>
        <w:t>2、采购预算：</w:t>
      </w:r>
      <w:r>
        <w:rPr>
          <w:rFonts w:hint="eastAsia" w:ascii="宋体" w:hAnsi="宋体"/>
          <w:lang w:val="en-US" w:eastAsia="zh-CN"/>
        </w:rPr>
        <w:t>80</w:t>
      </w:r>
      <w:r>
        <w:rPr>
          <w:rFonts w:hint="eastAsia" w:ascii="宋体" w:hAnsi="宋体"/>
          <w:lang w:val="zh-CN"/>
        </w:rPr>
        <w:t>万元整；</w:t>
      </w:r>
    </w:p>
    <w:p>
      <w:pPr>
        <w:pStyle w:val="9"/>
        <w:spacing w:line="360" w:lineRule="auto"/>
        <w:ind w:left="2000" w:hanging="2080" w:hangingChars="800"/>
        <w:rPr>
          <w:rFonts w:hint="eastAsia"/>
        </w:rPr>
      </w:pPr>
      <w:r>
        <w:rPr>
          <w:rFonts w:hint="eastAsia"/>
        </w:rPr>
        <w:t>3、项目概况</w:t>
      </w:r>
    </w:p>
    <w:p>
      <w:pPr>
        <w:pStyle w:val="9"/>
        <w:spacing w:line="360" w:lineRule="auto"/>
        <w:ind w:left="2000" w:hanging="2080" w:hangingChars="800"/>
        <w:rPr>
          <w:rFonts w:hint="default" w:eastAsia="宋体"/>
          <w:lang w:val="en-US" w:eastAsia="zh-CN"/>
        </w:rPr>
      </w:pPr>
      <w:r>
        <w:rPr>
          <w:rFonts w:hint="eastAsia"/>
          <w:lang w:val="en-US" w:eastAsia="zh-CN"/>
        </w:rPr>
        <w:t xml:space="preserve"> 项目总投资额：约1.4亿</w:t>
      </w:r>
    </w:p>
    <w:p>
      <w:pPr>
        <w:pStyle w:val="9"/>
        <w:spacing w:line="360" w:lineRule="auto"/>
      </w:pPr>
      <w:r>
        <w:t>（1）截污干管</w:t>
      </w:r>
      <w:r>
        <w:br w:type="textWrapping"/>
      </w:r>
      <w:r>
        <w:t>西截污干管：北起东坡路、南至兴国大道，总长度5.99公里，压力管558m，配套建设14座雨水调蓄池。东截污干管：北起湖滨路，南至莲花湖大道，总长度1.18公里，压力管138m，配套建设3座雨水调蓄池。</w:t>
      </w:r>
      <w:r>
        <w:br w:type="textWrapping"/>
      </w:r>
      <w:r>
        <w:t>（2）污水提升泵站</w:t>
      </w:r>
      <w:r>
        <w:br w:type="textWrapping"/>
      </w:r>
      <w:r>
        <w:t>截污干管配套建设三座污水提升泵站，1#污水提升泵站规模46.70L/s，2#污水提升泵站规模182.16L/s，3#污水提升泵站规模34.85L/s。</w:t>
      </w:r>
      <w:r>
        <w:br w:type="textWrapping"/>
      </w:r>
      <w:r>
        <w:t>（3）恩波堤街合流管出口改造</w:t>
      </w:r>
      <w:r>
        <w:br w:type="textWrapping"/>
      </w:r>
      <w:r>
        <w:t>新建一处污水提升泵站，规模5L/s，提升污水至莲花湖大道西侧现状污水井，配套建设1座雨水调蓄池。</w:t>
      </w:r>
      <w:r>
        <w:br w:type="textWrapping"/>
      </w:r>
      <w:r>
        <w:t>（4）锦富路合流管出口改造</w:t>
      </w:r>
      <w:r>
        <w:br w:type="textWrapping"/>
      </w:r>
      <w:r>
        <w:t>封堵过街管涵排水出口，新建DN600mm污水管，长度187m，接入锦富路现状合流管。</w:t>
      </w:r>
      <w:r>
        <w:br w:type="textWrapping"/>
      </w:r>
      <w:r>
        <w:t>（5）湖滨路污水干管（俞家湾路至环湖西路）</w:t>
      </w:r>
      <w:r>
        <w:br w:type="textWrapping"/>
      </w:r>
      <w:r>
        <w:t>完善湖滨路污水管网系统，自白杨安置点污水提升泵站至环湖西路，新建DN600污水管，长度550m。</w:t>
      </w:r>
      <w:r>
        <w:br w:type="textWrapping"/>
      </w:r>
      <w:r>
        <w:t>（6）兴国大道（东坡路至图书馆）雨水管网</w:t>
      </w:r>
      <w:r>
        <w:br w:type="textWrapping"/>
      </w:r>
      <w:r>
        <w:t>在兴国大道东侧新增一条D1000雨水管，长度753m，与下游现状D1500雨水管相接。</w:t>
      </w:r>
      <w:r>
        <w:br w:type="textWrapping"/>
      </w:r>
      <w:r>
        <w:t>（7）兴国大道（桥头至污水处理厂）污水管</w:t>
      </w:r>
      <w:r>
        <w:br w:type="textWrapping"/>
      </w:r>
      <w:r>
        <w:t>由于该段近期要建设公园，为避免地面反复开挖，先预埋DN1200污水干管，长度640m，接至污水处理厂。</w:t>
      </w:r>
    </w:p>
    <w:p>
      <w:pPr>
        <w:pStyle w:val="9"/>
        <w:spacing w:line="360" w:lineRule="auto"/>
      </w:pPr>
    </w:p>
    <w:p>
      <w:pPr>
        <w:spacing w:line="360" w:lineRule="auto"/>
        <w:rPr>
          <w:rFonts w:hint="eastAsia" w:ascii="Times New Roman" w:hAnsi="Times New Roman" w:eastAsia="宋体" w:cs="Times New Roman"/>
          <w:b/>
          <w:bCs w:val="0"/>
          <w:spacing w:val="10"/>
          <w:kern w:val="0"/>
          <w:sz w:val="24"/>
          <w:szCs w:val="24"/>
          <w:lang w:val="en-US" w:eastAsia="zh-CN" w:bidi="ar-SA"/>
        </w:rPr>
      </w:pPr>
      <w:r>
        <w:rPr>
          <w:rFonts w:hint="eastAsia" w:ascii="Times New Roman" w:hAnsi="Times New Roman" w:eastAsia="宋体" w:cs="Times New Roman"/>
          <w:b/>
          <w:bCs w:val="0"/>
          <w:spacing w:val="10"/>
          <w:kern w:val="0"/>
          <w:sz w:val="24"/>
          <w:szCs w:val="24"/>
          <w:lang w:val="en-US" w:eastAsia="zh-CN" w:bidi="ar-SA"/>
        </w:rPr>
        <w:t>二、技术要求</w:t>
      </w:r>
    </w:p>
    <w:p>
      <w:pPr>
        <w:pStyle w:val="10"/>
        <w:spacing w:line="360" w:lineRule="auto"/>
        <w:rPr>
          <w:rFonts w:ascii="Times New Roman" w:hAnsi="Times New Roman" w:eastAsia="宋体" w:cs="Times New Roman"/>
          <w:bCs/>
          <w:spacing w:val="10"/>
          <w:kern w:val="0"/>
          <w:sz w:val="24"/>
          <w:szCs w:val="24"/>
          <w:lang w:val="en-US" w:eastAsia="zh-CN" w:bidi="ar-SA"/>
        </w:rPr>
      </w:pPr>
      <w:r>
        <w:rPr>
          <w:rFonts w:hint="eastAsia" w:ascii="Times New Roman" w:cs="Times New Roman"/>
          <w:bCs/>
          <w:spacing w:val="10"/>
          <w:kern w:val="0"/>
          <w:sz w:val="24"/>
          <w:szCs w:val="24"/>
          <w:lang w:val="en-US" w:eastAsia="zh-CN" w:bidi="ar-SA"/>
        </w:rPr>
        <w:t>1、</w:t>
      </w:r>
      <w:r>
        <w:rPr>
          <w:rFonts w:hint="eastAsia" w:ascii="Times New Roman" w:hAnsi="Times New Roman" w:eastAsia="宋体" w:cs="Times New Roman"/>
          <w:bCs/>
          <w:spacing w:val="10"/>
          <w:kern w:val="0"/>
          <w:sz w:val="24"/>
          <w:szCs w:val="24"/>
          <w:lang w:val="en-US" w:eastAsia="zh-CN" w:bidi="ar-SA"/>
        </w:rPr>
        <w:t>监理服务技术标准与规范</w:t>
      </w:r>
    </w:p>
    <w:p>
      <w:pPr>
        <w:pStyle w:val="10"/>
        <w:spacing w:line="360" w:lineRule="auto"/>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本工程的监理服务过程必须符合国家有关工程建设标准强制性条文和相关规定。</w:t>
      </w:r>
      <w:r>
        <w:rPr>
          <w:rFonts w:ascii="Times New Roman" w:hAnsi="Times New Roman" w:eastAsia="宋体" w:cs="Times New Roman"/>
          <w:bCs/>
          <w:spacing w:val="10"/>
          <w:kern w:val="0"/>
          <w:sz w:val="24"/>
          <w:szCs w:val="24"/>
          <w:lang w:val="en-US" w:eastAsia="zh-CN" w:bidi="ar-SA"/>
        </w:rPr>
        <w:t xml:space="preserve"> </w:t>
      </w:r>
    </w:p>
    <w:p>
      <w:pPr>
        <w:adjustRightInd w:val="0"/>
        <w:snapToGrid w:val="0"/>
        <w:spacing w:line="360" w:lineRule="auto"/>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2、技术要求</w:t>
      </w:r>
    </w:p>
    <w:p>
      <w:pPr>
        <w:adjustRightInd w:val="0"/>
        <w:snapToGrid w:val="0"/>
        <w:spacing w:line="360" w:lineRule="auto"/>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（1）</w:t>
      </w:r>
      <w:r>
        <w:rPr>
          <w:rFonts w:hint="eastAsia" w:ascii="Times New Roman" w:hAnsi="Times New Roman" w:eastAsia="宋体" w:cs="Times New Roman"/>
          <w:bCs/>
          <w:spacing w:val="10"/>
          <w:kern w:val="0"/>
          <w:sz w:val="24"/>
          <w:szCs w:val="24"/>
          <w:lang w:val="en-US" w:eastAsia="zh-CN" w:bidi="ar-SA"/>
        </w:rPr>
        <w:t>投标人对招标项目的理解和总体设计思路要阐述清楚；</w:t>
      </w:r>
    </w:p>
    <w:p>
      <w:pPr>
        <w:adjustRightInd w:val="0"/>
        <w:snapToGrid w:val="0"/>
        <w:spacing w:line="360" w:lineRule="auto"/>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（2）</w:t>
      </w:r>
      <w:r>
        <w:rPr>
          <w:rFonts w:hint="eastAsia" w:ascii="Times New Roman" w:hAnsi="Times New Roman" w:eastAsia="宋体" w:cs="Times New Roman"/>
          <w:bCs/>
          <w:spacing w:val="10"/>
          <w:kern w:val="0"/>
          <w:sz w:val="24"/>
          <w:szCs w:val="24"/>
          <w:lang w:val="en-US" w:eastAsia="zh-CN" w:bidi="ar-SA"/>
        </w:rPr>
        <w:t>投标人对招标项目工程服务的特</w:t>
      </w:r>
      <w:bookmarkStart w:id="3" w:name="_GoBack"/>
      <w:bookmarkEnd w:id="3"/>
      <w:r>
        <w:rPr>
          <w:rFonts w:hint="eastAsia" w:ascii="Times New Roman" w:hAnsi="Times New Roman" w:eastAsia="宋体" w:cs="Times New Roman"/>
          <w:bCs/>
          <w:spacing w:val="10"/>
          <w:kern w:val="0"/>
          <w:sz w:val="24"/>
          <w:szCs w:val="24"/>
          <w:lang w:val="en-US" w:eastAsia="zh-CN" w:bidi="ar-SA"/>
        </w:rPr>
        <w:t>点、关键技术问题的认识要有对策措施；</w:t>
      </w:r>
    </w:p>
    <w:p>
      <w:pPr>
        <w:adjustRightInd w:val="0"/>
        <w:snapToGrid w:val="0"/>
        <w:spacing w:line="360" w:lineRule="auto"/>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（3）</w:t>
      </w:r>
      <w:r>
        <w:rPr>
          <w:rFonts w:hint="eastAsia" w:ascii="Times New Roman" w:hAnsi="Times New Roman" w:eastAsia="宋体" w:cs="Times New Roman"/>
          <w:bCs/>
          <w:spacing w:val="10"/>
          <w:kern w:val="0"/>
          <w:sz w:val="24"/>
          <w:szCs w:val="24"/>
          <w:lang w:val="en-US" w:eastAsia="zh-CN" w:bidi="ar-SA"/>
        </w:rPr>
        <w:t>投标人对服务工作量及计划安排要有详细说明，并对工程的质量、进度等方面提供保证措施；</w:t>
      </w:r>
    </w:p>
    <w:p>
      <w:pPr>
        <w:pStyle w:val="9"/>
        <w:spacing w:line="360" w:lineRule="auto"/>
        <w:rPr>
          <w:rFonts w:hint="default"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（4）</w:t>
      </w:r>
      <w:r>
        <w:rPr>
          <w:rFonts w:hint="eastAsia" w:ascii="Times New Roman" w:hAnsi="Times New Roman" w:eastAsia="宋体" w:cs="Times New Roman"/>
          <w:bCs/>
          <w:spacing w:val="10"/>
          <w:kern w:val="0"/>
          <w:sz w:val="24"/>
          <w:szCs w:val="24"/>
          <w:lang w:val="en-US" w:eastAsia="zh-CN" w:bidi="ar-SA"/>
        </w:rPr>
        <w:t>投标人对后续服务要有具体安排及保证措施。</w:t>
      </w:r>
    </w:p>
    <w:p>
      <w:pPr>
        <w:spacing w:line="400" w:lineRule="exact"/>
        <w:rPr>
          <w:rFonts w:ascii="Times New Roman" w:hAnsi="Times New Roman" w:eastAsia="宋体" w:cs="Times New Roman"/>
          <w:b/>
          <w:bCs w:val="0"/>
          <w:spacing w:val="10"/>
          <w:kern w:val="0"/>
          <w:sz w:val="24"/>
          <w:szCs w:val="24"/>
          <w:lang w:val="zh-CN" w:eastAsia="zh-CN" w:bidi="ar-SA"/>
        </w:rPr>
      </w:pPr>
      <w:r>
        <w:rPr>
          <w:rFonts w:hint="eastAsia" w:cs="Times New Roman"/>
          <w:b/>
          <w:bCs w:val="0"/>
          <w:spacing w:val="10"/>
          <w:kern w:val="0"/>
          <w:sz w:val="24"/>
          <w:szCs w:val="24"/>
          <w:lang w:val="en-US" w:eastAsia="zh-CN" w:bidi="ar-SA"/>
        </w:rPr>
        <w:t>三</w:t>
      </w:r>
      <w:r>
        <w:rPr>
          <w:rFonts w:hint="eastAsia" w:ascii="Times New Roman" w:hAnsi="Times New Roman" w:eastAsia="宋体" w:cs="Times New Roman"/>
          <w:b/>
          <w:bCs w:val="0"/>
          <w:spacing w:val="10"/>
          <w:kern w:val="0"/>
          <w:sz w:val="24"/>
          <w:szCs w:val="24"/>
          <w:lang w:val="zh-CN" w:eastAsia="zh-CN" w:bidi="ar-SA"/>
        </w:rPr>
        <w:t>、商务要求</w:t>
      </w:r>
    </w:p>
    <w:p>
      <w:pPr>
        <w:pStyle w:val="9"/>
        <w:spacing w:line="360" w:lineRule="auto"/>
        <w:ind w:left="2000" w:hanging="2080" w:hangingChars="800"/>
        <w:rPr>
          <w:rFonts w:hint="eastAsia" w:cs="仿宋" w:asciiTheme="minorEastAsia" w:hAnsiTheme="minorEastAsia"/>
          <w:sz w:val="24"/>
        </w:rPr>
      </w:pPr>
      <w:r>
        <w:rPr>
          <w:rFonts w:hint="eastAsia" w:ascii="Times New Roman" w:hAnsi="Times New Roman" w:eastAsia="宋体" w:cs="Times New Roman"/>
          <w:bCs/>
          <w:spacing w:val="10"/>
          <w:kern w:val="0"/>
          <w:sz w:val="24"/>
          <w:szCs w:val="24"/>
          <w:lang w:val="en-US" w:eastAsia="zh-CN" w:bidi="ar-SA"/>
        </w:rPr>
        <w:t>1、监理工期：18个月</w:t>
      </w:r>
      <w:r>
        <w:rPr>
          <w:rFonts w:hint="eastAsia" w:cs="Times New Roman"/>
          <w:bCs/>
          <w:spacing w:val="10"/>
          <w:kern w:val="0"/>
          <w:sz w:val="24"/>
          <w:szCs w:val="24"/>
          <w:lang w:val="en-US" w:eastAsia="zh-CN" w:bidi="ar-SA"/>
        </w:rPr>
        <w:t>（</w:t>
      </w:r>
      <w:r>
        <w:rPr>
          <w:rFonts w:hint="eastAsia" w:cs="仿宋" w:asciiTheme="minorEastAsia" w:hAnsiTheme="minorEastAsia"/>
          <w:sz w:val="24"/>
        </w:rPr>
        <w:t>监理服务期均仅供参考，监理合同实施过程中，</w:t>
      </w:r>
    </w:p>
    <w:p>
      <w:pPr>
        <w:pStyle w:val="9"/>
        <w:spacing w:line="360" w:lineRule="auto"/>
        <w:ind w:left="2000" w:hanging="2080" w:hangingChars="800"/>
        <w:rPr>
          <w:rFonts w:hint="eastAsia" w:cs="仿宋" w:asciiTheme="minorEastAsia" w:hAnsiTheme="minorEastAsia"/>
          <w:sz w:val="24"/>
        </w:rPr>
      </w:pPr>
      <w:r>
        <w:rPr>
          <w:rFonts w:hint="eastAsia" w:cs="仿宋" w:asciiTheme="minorEastAsia" w:hAnsiTheme="minorEastAsia"/>
          <w:sz w:val="24"/>
        </w:rPr>
        <w:t>监理服务期的施工准备阶段、施工阶段、交工验收阶段等均可能缩短或延</w:t>
      </w:r>
    </w:p>
    <w:p>
      <w:pPr>
        <w:numPr>
          <w:ilvl w:val="0"/>
          <w:numId w:val="0"/>
        </w:numPr>
        <w:spacing w:line="360" w:lineRule="auto"/>
        <w:rPr>
          <w:rFonts w:hint="eastAsia"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长）</w:t>
      </w:r>
    </w:p>
    <w:p>
      <w:pPr>
        <w:numPr>
          <w:ilvl w:val="0"/>
          <w:numId w:val="1"/>
        </w:numPr>
        <w:spacing w:line="360" w:lineRule="auto"/>
        <w:rPr>
          <w:rFonts w:hint="eastAsia"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报价要求：不得超过或等于拦标价。最终报价单中标明</w:t>
      </w:r>
      <w:r>
        <w:rPr>
          <w:rFonts w:hint="eastAsia"/>
          <w:bCs/>
          <w:spacing w:val="10"/>
          <w:kern w:val="0"/>
          <w:sz w:val="24"/>
        </w:rPr>
        <w:t>的价格在合同执行过程中是固定不变的，不得以任何理由予以变更。只允许有一个报价，</w:t>
      </w:r>
      <w:r>
        <w:rPr>
          <w:rFonts w:hint="eastAsia" w:ascii="Times New Roman" w:hAnsi="Times New Roman" w:eastAsia="宋体" w:cs="Times New Roman"/>
          <w:bCs/>
          <w:spacing w:val="10"/>
          <w:kern w:val="0"/>
          <w:sz w:val="24"/>
          <w:szCs w:val="24"/>
          <w:lang w:val="en-US" w:eastAsia="zh-CN" w:bidi="ar-SA"/>
        </w:rPr>
        <w:t>任何有选择的报价将不予接受。供应商应根据服务要求进行报价。</w:t>
      </w:r>
    </w:p>
    <w:p>
      <w:pPr>
        <w:numPr>
          <w:ilvl w:val="0"/>
          <w:numId w:val="0"/>
        </w:numPr>
        <w:spacing w:line="360" w:lineRule="auto"/>
        <w:rPr>
          <w:rFonts w:hint="eastAsia"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w:t>
      </w:r>
      <w:r>
        <w:rPr>
          <w:rFonts w:hint="eastAsia" w:ascii="Times New Roman" w:hAnsi="Times New Roman" w:eastAsia="宋体" w:cs="Times New Roman"/>
          <w:bCs/>
          <w:spacing w:val="10"/>
          <w:kern w:val="0"/>
          <w:sz w:val="24"/>
          <w:szCs w:val="24"/>
          <w:lang w:val="en-US" w:eastAsia="zh-CN" w:bidi="ar-SA"/>
        </w:rPr>
        <w:t>报价包括完成规定范围和期限内的所有工作费用。投标文件中的大写金额和小写金额不一致的，以大写金额为准；总价金额与按单价汇总金额不一致的，以单价金额计算结果为准；单价金额小数点有明显错位的，应以总价为准，并修改单价。如果投标人不接受对其错误的更正，其报价将被视为无效报价</w:t>
      </w:r>
      <w:r>
        <w:rPr>
          <w:rFonts w:hint="eastAsia" w:cs="Times New Roman"/>
          <w:bCs/>
          <w:spacing w:val="10"/>
          <w:kern w:val="0"/>
          <w:sz w:val="24"/>
          <w:szCs w:val="24"/>
          <w:lang w:val="en-US" w:eastAsia="zh-CN" w:bidi="ar-SA"/>
        </w:rPr>
        <w:t>）</w:t>
      </w:r>
    </w:p>
    <w:p>
      <w:pPr>
        <w:spacing w:line="360" w:lineRule="auto"/>
        <w:rPr>
          <w:rFonts w:ascii="宋体" w:hAnsi="宋体"/>
          <w:b/>
        </w:rPr>
      </w:pPr>
      <w:r>
        <w:rPr>
          <w:rFonts w:hint="eastAsia"/>
          <w:bCs/>
          <w:spacing w:val="10"/>
          <w:kern w:val="0"/>
          <w:sz w:val="24"/>
        </w:rPr>
        <w:t>3、付款方式：</w:t>
      </w:r>
      <w:r>
        <w:rPr>
          <w:rFonts w:hint="eastAsia"/>
          <w:bCs/>
          <w:spacing w:val="10"/>
          <w:kern w:val="0"/>
          <w:sz w:val="24"/>
          <w:lang w:val="en-US" w:eastAsia="zh-CN"/>
        </w:rPr>
        <w:t>双方协商</w:t>
      </w:r>
      <w:r>
        <w:rPr>
          <w:rFonts w:hint="eastAsia"/>
          <w:bCs/>
          <w:spacing w:val="10"/>
          <w:kern w:val="0"/>
          <w:sz w:val="24"/>
        </w:rPr>
        <w:t>。</w:t>
      </w:r>
    </w:p>
    <w:p>
      <w:pPr>
        <w:pStyle w:val="3"/>
        <w:spacing w:line="500" w:lineRule="exact"/>
        <w:ind w:firstLine="0"/>
        <w:jc w:val="left"/>
        <w:rPr>
          <w:b/>
          <w:bCs/>
          <w:kern w:val="0"/>
          <w:sz w:val="32"/>
          <w:szCs w:val="32"/>
        </w:rPr>
      </w:pPr>
      <w:r>
        <w:rPr>
          <w:rFonts w:hint="eastAsia"/>
          <w:sz w:val="24"/>
        </w:rPr>
        <w:t xml:space="preserve">附件2 </w:t>
      </w:r>
      <w:r>
        <w:rPr>
          <w:sz w:val="24"/>
        </w:rPr>
        <w:t xml:space="preserve">  </w:t>
      </w:r>
      <w:r>
        <w:rPr>
          <w:rFonts w:hint="eastAsia"/>
          <w:b/>
          <w:sz w:val="32"/>
          <w:szCs w:val="36"/>
        </w:rPr>
        <w:t xml:space="preserve">    </w:t>
      </w:r>
      <w:r>
        <w:rPr>
          <w:rFonts w:hint="eastAsia"/>
          <w:b/>
          <w:sz w:val="32"/>
          <w:szCs w:val="36"/>
          <w:lang w:val="en-US" w:eastAsia="zh-CN"/>
        </w:rPr>
        <w:t xml:space="preserve">            </w:t>
      </w:r>
      <w:r>
        <w:rPr>
          <w:rFonts w:hint="eastAsia"/>
          <w:b/>
          <w:sz w:val="32"/>
          <w:szCs w:val="36"/>
        </w:rPr>
        <w:t xml:space="preserve"> </w:t>
      </w:r>
      <w:r>
        <w:rPr>
          <w:rFonts w:hint="eastAsia"/>
          <w:b/>
          <w:sz w:val="40"/>
          <w:szCs w:val="44"/>
        </w:rPr>
        <w:t xml:space="preserve"> </w:t>
      </w:r>
      <w:r>
        <w:rPr>
          <w:rFonts w:hint="eastAsia" w:ascii="宋体" w:hAnsi="宋体" w:cs="宋体"/>
          <w:b/>
          <w:bCs/>
          <w:kern w:val="0"/>
          <w:sz w:val="32"/>
          <w:szCs w:val="32"/>
        </w:rPr>
        <w:t>评分标准</w:t>
      </w:r>
    </w:p>
    <w:tbl>
      <w:tblPr>
        <w:tblStyle w:val="6"/>
        <w:tblW w:w="92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96"/>
        <w:gridCol w:w="711"/>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38" w:type="dxa"/>
            <w:gridSpan w:val="2"/>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项目</w:t>
            </w:r>
          </w:p>
        </w:tc>
        <w:tc>
          <w:tcPr>
            <w:tcW w:w="711" w:type="dxa"/>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分数</w:t>
            </w:r>
          </w:p>
        </w:tc>
        <w:tc>
          <w:tcPr>
            <w:tcW w:w="7110" w:type="dxa"/>
            <w:vAlign w:val="center"/>
          </w:tcPr>
          <w:p>
            <w:pPr>
              <w:widowControl/>
              <w:spacing w:line="300" w:lineRule="exact"/>
              <w:jc w:val="center"/>
              <w:rPr>
                <w:rFonts w:ascii="宋体" w:cs="宋体"/>
                <w:b/>
                <w:bCs/>
                <w:color w:val="000000"/>
                <w:kern w:val="0"/>
                <w:szCs w:val="21"/>
              </w:rPr>
            </w:pPr>
            <w:r>
              <w:rPr>
                <w:rFonts w:hint="eastAsia" w:ascii="宋体" w:hAnsi="宋体" w:cs="宋体"/>
                <w:b/>
                <w:bCs/>
                <w:color w:val="000000"/>
                <w:kern w:val="0"/>
                <w:szCs w:val="21"/>
              </w:rPr>
              <w:t>评</w:t>
            </w:r>
            <w:r>
              <w:rPr>
                <w:rFonts w:ascii="宋体" w:hAnsi="宋体" w:cs="宋体"/>
                <w:b/>
                <w:bCs/>
                <w:color w:val="000000"/>
                <w:kern w:val="0"/>
                <w:szCs w:val="21"/>
              </w:rPr>
              <w:t xml:space="preserve">  </w:t>
            </w:r>
            <w:r>
              <w:rPr>
                <w:rFonts w:hint="eastAsia" w:ascii="宋体" w:hAnsi="宋体" w:cs="宋体"/>
                <w:b/>
                <w:bCs/>
                <w:color w:val="000000"/>
                <w:kern w:val="0"/>
                <w:szCs w:val="21"/>
              </w:rPr>
              <w:t>分</w:t>
            </w:r>
            <w:r>
              <w:rPr>
                <w:rFonts w:ascii="宋体" w:hAnsi="宋体" w:cs="宋体"/>
                <w:b/>
                <w:bCs/>
                <w:color w:val="000000"/>
                <w:kern w:val="0"/>
                <w:szCs w:val="21"/>
              </w:rPr>
              <w:t xml:space="preserve">  </w:t>
            </w:r>
            <w:r>
              <w:rPr>
                <w:rFonts w:hint="eastAsia" w:ascii="宋体" w:hAnsi="宋体" w:cs="宋体"/>
                <w:b/>
                <w:bCs/>
                <w:color w:val="000000"/>
                <w:kern w:val="0"/>
                <w:szCs w:val="21"/>
              </w:rPr>
              <w:t>标</w:t>
            </w:r>
            <w:r>
              <w:rPr>
                <w:rFonts w:ascii="宋体" w:hAnsi="宋体" w:cs="宋体"/>
                <w:b/>
                <w:bCs/>
                <w:color w:val="000000"/>
                <w:kern w:val="0"/>
                <w:szCs w:val="21"/>
              </w:rPr>
              <w:t xml:space="preserve">  </w:t>
            </w:r>
            <w:r>
              <w:rPr>
                <w:rFonts w:hint="eastAsia" w:ascii="宋体" w:hAnsi="宋体" w:cs="宋体"/>
                <w:b/>
                <w:bCs/>
                <w:color w:val="000000"/>
                <w:kern w:val="0"/>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38" w:type="dxa"/>
            <w:gridSpan w:val="2"/>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报价部分10分</w:t>
            </w: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10</w:t>
            </w:r>
          </w:p>
        </w:tc>
        <w:tc>
          <w:tcPr>
            <w:tcW w:w="7110" w:type="dxa"/>
            <w:vAlign w:val="center"/>
          </w:tcPr>
          <w:p>
            <w:pPr>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42" w:type="dxa"/>
            <w:vMerge w:val="restart"/>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技术部分（60分）</w:t>
            </w:r>
          </w:p>
        </w:tc>
        <w:tc>
          <w:tcPr>
            <w:tcW w:w="996" w:type="dxa"/>
            <w:vMerge w:val="restart"/>
            <w:vAlign w:val="center"/>
          </w:tcPr>
          <w:p>
            <w:pPr>
              <w:spacing w:line="300" w:lineRule="exact"/>
              <w:jc w:val="lef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监理大纲和措施方案(56)</w:t>
            </w: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8</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投资控制方案：重点评定对工程造价控制在招标文件给定的指标范围内所采取的措施：</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a.</w:t>
            </w:r>
            <w:r>
              <w:rPr>
                <w:rFonts w:hint="eastAsia" w:ascii="Times New Roman" w:hAnsi="Times New Roman" w:eastAsia="宋体" w:cs="Times New Roman"/>
                <w:bCs/>
                <w:spacing w:val="10"/>
                <w:kern w:val="0"/>
                <w:sz w:val="24"/>
                <w:szCs w:val="24"/>
                <w:lang w:val="en-US" w:eastAsia="zh-CN" w:bidi="ar-SA"/>
              </w:rPr>
              <w:t>投资控制方案合理可行得2分，基本可行得0-1分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b.</w:t>
            </w:r>
            <w:r>
              <w:rPr>
                <w:rFonts w:hint="eastAsia" w:ascii="Times New Roman" w:hAnsi="Times New Roman" w:eastAsia="宋体" w:cs="Times New Roman"/>
                <w:bCs/>
                <w:spacing w:val="10"/>
                <w:kern w:val="0"/>
                <w:sz w:val="24"/>
                <w:szCs w:val="24"/>
                <w:lang w:val="en-US" w:eastAsia="zh-CN" w:bidi="ar-SA"/>
              </w:rPr>
              <w:t>对招标文件给定的造价指标有控制系统流程图且详细清晰的得</w:t>
            </w:r>
            <w:r>
              <w:rPr>
                <w:rFonts w:ascii="Times New Roman" w:hAnsi="Times New Roman" w:eastAsia="宋体" w:cs="Times New Roman"/>
                <w:bCs/>
                <w:spacing w:val="10"/>
                <w:kern w:val="0"/>
                <w:sz w:val="24"/>
                <w:szCs w:val="24"/>
                <w:lang w:val="en-US" w:eastAsia="zh-CN" w:bidi="ar-SA"/>
              </w:rPr>
              <w:t>2</w:t>
            </w:r>
            <w:r>
              <w:rPr>
                <w:rFonts w:hint="eastAsia" w:ascii="Times New Roman" w:hAnsi="Times New Roman" w:eastAsia="宋体" w:cs="Times New Roman"/>
                <w:bCs/>
                <w:spacing w:val="10"/>
                <w:kern w:val="0"/>
                <w:sz w:val="24"/>
                <w:szCs w:val="24"/>
                <w:lang w:val="en-US" w:eastAsia="zh-CN" w:bidi="ar-SA"/>
              </w:rPr>
              <w:t>-3分，基本具备得0-1分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c.</w:t>
            </w:r>
            <w:r>
              <w:rPr>
                <w:rFonts w:hint="eastAsia" w:ascii="Times New Roman" w:hAnsi="Times New Roman" w:eastAsia="宋体" w:cs="Times New Roman"/>
                <w:bCs/>
                <w:spacing w:val="10"/>
                <w:kern w:val="0"/>
                <w:sz w:val="24"/>
                <w:szCs w:val="24"/>
                <w:lang w:val="en-US" w:eastAsia="zh-CN" w:bidi="ar-SA"/>
              </w:rPr>
              <w:t>对实现招标文件给定的造价指标有具体措施且明确清晰的得</w:t>
            </w:r>
            <w:r>
              <w:rPr>
                <w:rFonts w:ascii="Times New Roman" w:hAnsi="Times New Roman" w:eastAsia="宋体" w:cs="Times New Roman"/>
                <w:bCs/>
                <w:spacing w:val="10"/>
                <w:kern w:val="0"/>
                <w:sz w:val="24"/>
                <w:szCs w:val="24"/>
                <w:lang w:val="en-US" w:eastAsia="zh-CN" w:bidi="ar-SA"/>
              </w:rPr>
              <w:t>2</w:t>
            </w:r>
            <w:r>
              <w:rPr>
                <w:rFonts w:hint="eastAsia" w:ascii="Times New Roman" w:hAnsi="Times New Roman" w:eastAsia="宋体" w:cs="Times New Roman"/>
                <w:bCs/>
                <w:spacing w:val="10"/>
                <w:kern w:val="0"/>
                <w:sz w:val="24"/>
                <w:szCs w:val="24"/>
                <w:lang w:val="en-US" w:eastAsia="zh-CN" w:bidi="ar-SA"/>
              </w:rPr>
              <w:t>-3分，基本具备得0-1分。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12</w:t>
            </w:r>
          </w:p>
        </w:tc>
        <w:tc>
          <w:tcPr>
            <w:tcW w:w="7110" w:type="dxa"/>
            <w:vAlign w:val="center"/>
          </w:tcPr>
          <w:p>
            <w:pPr>
              <w:widowControl/>
              <w:snapToGrid w:val="0"/>
              <w:spacing w:line="300" w:lineRule="exact"/>
              <w:rPr>
                <w:rFonts w:hint="eastAsia"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进度控制方案，用网络计划技术对合同工期的动态控制程序：</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a.</w:t>
            </w:r>
            <w:r>
              <w:rPr>
                <w:rFonts w:hint="eastAsia" w:ascii="Times New Roman" w:hAnsi="Times New Roman" w:eastAsia="宋体" w:cs="Times New Roman"/>
                <w:bCs/>
                <w:spacing w:val="10"/>
                <w:kern w:val="0"/>
                <w:sz w:val="24"/>
                <w:szCs w:val="24"/>
                <w:lang w:val="en-US" w:eastAsia="zh-CN" w:bidi="ar-SA"/>
              </w:rPr>
              <w:t>进度控制方案合理可行的得3-4分，基本可行得0-2分</w:t>
            </w:r>
          </w:p>
          <w:p>
            <w:pPr>
              <w:widowControl/>
              <w:snapToGrid w:val="0"/>
              <w:spacing w:line="300" w:lineRule="exact"/>
              <w:rPr>
                <w:rFonts w:hint="default"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b.</w:t>
            </w:r>
            <w:r>
              <w:rPr>
                <w:rFonts w:hint="eastAsia" w:ascii="Times New Roman" w:hAnsi="Times New Roman" w:eastAsia="宋体" w:cs="Times New Roman"/>
                <w:bCs/>
                <w:spacing w:val="10"/>
                <w:kern w:val="0"/>
                <w:sz w:val="24"/>
                <w:szCs w:val="24"/>
                <w:lang w:val="en-US" w:eastAsia="zh-CN" w:bidi="ar-SA"/>
              </w:rPr>
              <w:t>有工程总体进度计划横道图</w:t>
            </w:r>
            <w:r>
              <w:rPr>
                <w:rFonts w:hint="eastAsia" w:cs="Times New Roman"/>
                <w:bCs/>
                <w:spacing w:val="10"/>
                <w:kern w:val="0"/>
                <w:sz w:val="24"/>
                <w:szCs w:val="24"/>
                <w:lang w:val="en-US" w:eastAsia="zh-CN" w:bidi="ar-SA"/>
              </w:rPr>
              <w:t>且详细清晰</w:t>
            </w:r>
            <w:r>
              <w:rPr>
                <w:rFonts w:hint="eastAsia" w:ascii="Times New Roman" w:hAnsi="Times New Roman" w:eastAsia="宋体" w:cs="Times New Roman"/>
                <w:bCs/>
                <w:spacing w:val="10"/>
                <w:kern w:val="0"/>
                <w:sz w:val="24"/>
                <w:szCs w:val="24"/>
                <w:lang w:val="en-US" w:eastAsia="zh-CN" w:bidi="ar-SA"/>
              </w:rPr>
              <w:t>的得2分</w:t>
            </w:r>
            <w:r>
              <w:rPr>
                <w:rFonts w:hint="eastAsia" w:cs="Times New Roman"/>
                <w:bCs/>
                <w:spacing w:val="10"/>
                <w:kern w:val="0"/>
                <w:sz w:val="24"/>
                <w:szCs w:val="24"/>
                <w:lang w:val="en-US" w:eastAsia="zh-CN" w:bidi="ar-SA"/>
              </w:rPr>
              <w:t>，基本具备得0-1分</w:t>
            </w:r>
          </w:p>
          <w:p>
            <w:pPr>
              <w:widowControl/>
              <w:snapToGrid w:val="0"/>
              <w:spacing w:line="300" w:lineRule="exact"/>
              <w:rPr>
                <w:rFonts w:hint="default"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c.</w:t>
            </w:r>
            <w:r>
              <w:rPr>
                <w:rFonts w:hint="eastAsia" w:ascii="Times New Roman" w:hAnsi="Times New Roman" w:eastAsia="宋体" w:cs="Times New Roman"/>
                <w:bCs/>
                <w:spacing w:val="10"/>
                <w:kern w:val="0"/>
                <w:sz w:val="24"/>
                <w:szCs w:val="24"/>
                <w:lang w:val="en-US" w:eastAsia="zh-CN" w:bidi="ar-SA"/>
              </w:rPr>
              <w:t>有工程项目施工总进度计划网络图</w:t>
            </w:r>
            <w:r>
              <w:rPr>
                <w:rFonts w:hint="eastAsia" w:cs="Times New Roman"/>
                <w:bCs/>
                <w:spacing w:val="10"/>
                <w:kern w:val="0"/>
                <w:sz w:val="24"/>
                <w:szCs w:val="24"/>
                <w:lang w:val="en-US" w:eastAsia="zh-CN" w:bidi="ar-SA"/>
              </w:rPr>
              <w:t>且详细清晰</w:t>
            </w:r>
            <w:r>
              <w:rPr>
                <w:rFonts w:hint="eastAsia" w:ascii="Times New Roman" w:hAnsi="Times New Roman" w:eastAsia="宋体" w:cs="Times New Roman"/>
                <w:bCs/>
                <w:spacing w:val="10"/>
                <w:kern w:val="0"/>
                <w:sz w:val="24"/>
                <w:szCs w:val="24"/>
                <w:lang w:val="en-US" w:eastAsia="zh-CN" w:bidi="ar-SA"/>
              </w:rPr>
              <w:t>的得2分</w:t>
            </w:r>
            <w:r>
              <w:rPr>
                <w:rFonts w:hint="eastAsia" w:cs="Times New Roman"/>
                <w:bCs/>
                <w:spacing w:val="10"/>
                <w:kern w:val="0"/>
                <w:sz w:val="24"/>
                <w:szCs w:val="24"/>
                <w:lang w:val="en-US" w:eastAsia="zh-CN" w:bidi="ar-SA"/>
              </w:rPr>
              <w:t>，基本具备得0-1分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d.</w:t>
            </w:r>
            <w:r>
              <w:rPr>
                <w:rFonts w:hint="eastAsia" w:ascii="Times New Roman" w:hAnsi="Times New Roman" w:eastAsia="宋体" w:cs="Times New Roman"/>
                <w:bCs/>
                <w:spacing w:val="10"/>
                <w:kern w:val="0"/>
                <w:sz w:val="24"/>
                <w:szCs w:val="24"/>
                <w:lang w:val="en-US" w:eastAsia="zh-CN" w:bidi="ar-SA"/>
              </w:rPr>
              <w:t>保证工期的具体措施详细明确得3-4分，基本可行得0-2分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1</w:t>
            </w:r>
            <w:r>
              <w:rPr>
                <w:rFonts w:hint="eastAsia" w:ascii="Times New Roman" w:hAnsi="Times New Roman" w:eastAsia="宋体" w:cs="Times New Roman"/>
                <w:bCs/>
                <w:spacing w:val="10"/>
                <w:kern w:val="0"/>
                <w:sz w:val="24"/>
                <w:szCs w:val="24"/>
                <w:lang w:val="en-US" w:eastAsia="zh-CN" w:bidi="ar-SA"/>
              </w:rPr>
              <w:t>2</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质量控制方案，对质量目标的分解描述水平及具体的质量控制组织技术、经济合同措施的分析比较：</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a.</w:t>
            </w:r>
            <w:r>
              <w:rPr>
                <w:rFonts w:hint="eastAsia" w:ascii="Times New Roman" w:hAnsi="Times New Roman" w:eastAsia="宋体" w:cs="Times New Roman"/>
                <w:bCs/>
                <w:spacing w:val="10"/>
                <w:kern w:val="0"/>
                <w:sz w:val="24"/>
                <w:szCs w:val="24"/>
                <w:lang w:val="en-US" w:eastAsia="zh-CN" w:bidi="ar-SA"/>
              </w:rPr>
              <w:t>质量控制方案目标明确合理可行得3-4分，方案基本可行得0-2分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b.</w:t>
            </w:r>
            <w:r>
              <w:rPr>
                <w:rFonts w:hint="eastAsia" w:ascii="Times New Roman" w:hAnsi="Times New Roman" w:eastAsia="宋体" w:cs="Times New Roman"/>
                <w:bCs/>
                <w:spacing w:val="10"/>
                <w:kern w:val="0"/>
                <w:sz w:val="24"/>
                <w:szCs w:val="24"/>
                <w:lang w:val="en-US" w:eastAsia="zh-CN" w:bidi="ar-SA"/>
              </w:rPr>
              <w:t>施工事前中后质量措施合理可行详细明确的得3-4分，措施基本合理得0-2分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c</w:t>
            </w:r>
            <w:r>
              <w:rPr>
                <w:rFonts w:hint="eastAsia" w:ascii="Times New Roman" w:hAnsi="Times New Roman" w:eastAsia="宋体" w:cs="Times New Roman"/>
                <w:bCs/>
                <w:spacing w:val="10"/>
                <w:kern w:val="0"/>
                <w:sz w:val="24"/>
                <w:szCs w:val="24"/>
                <w:lang w:val="en-US" w:eastAsia="zh-CN" w:bidi="ar-SA"/>
              </w:rPr>
              <w:t>.各项</w:t>
            </w:r>
            <w:r>
              <w:rPr>
                <w:rFonts w:ascii="Times New Roman" w:hAnsi="Times New Roman" w:eastAsia="宋体" w:cs="Times New Roman"/>
                <w:bCs/>
                <w:spacing w:val="10"/>
                <w:kern w:val="0"/>
                <w:sz w:val="24"/>
                <w:szCs w:val="24"/>
                <w:lang w:val="en-US" w:eastAsia="zh-CN" w:bidi="ar-SA"/>
              </w:rPr>
              <w:t>工程验收方法和工作流程合理</w:t>
            </w:r>
            <w:r>
              <w:rPr>
                <w:rFonts w:hint="eastAsia" w:ascii="Times New Roman" w:hAnsi="Times New Roman" w:eastAsia="宋体" w:cs="Times New Roman"/>
                <w:bCs/>
                <w:spacing w:val="10"/>
                <w:kern w:val="0"/>
                <w:sz w:val="24"/>
                <w:szCs w:val="24"/>
                <w:lang w:val="en-US" w:eastAsia="zh-CN" w:bidi="ar-SA"/>
              </w:rPr>
              <w:t>可行得3-4，基本可行得0-2分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bookmarkStart w:id="0" w:name="OLE_LINK19" w:colFirst="3" w:colLast="3"/>
          </w:p>
        </w:tc>
        <w:tc>
          <w:tcPr>
            <w:tcW w:w="996" w:type="dxa"/>
            <w:vMerge w:val="continue"/>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2</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安全监理方案：有安全监理方案的得1-</w:t>
            </w:r>
            <w:r>
              <w:rPr>
                <w:rFonts w:ascii="Times New Roman" w:hAnsi="Times New Roman" w:eastAsia="宋体" w:cs="Times New Roman"/>
                <w:bCs/>
                <w:spacing w:val="10"/>
                <w:kern w:val="0"/>
                <w:sz w:val="24"/>
                <w:szCs w:val="24"/>
                <w:lang w:val="en-US" w:eastAsia="zh-CN" w:bidi="ar-SA"/>
              </w:rPr>
              <w:t>2</w:t>
            </w:r>
            <w:r>
              <w:rPr>
                <w:rFonts w:hint="eastAsia" w:ascii="Times New Roman" w:hAnsi="Times New Roman" w:eastAsia="宋体" w:cs="Times New Roman"/>
                <w:bCs/>
                <w:spacing w:val="10"/>
                <w:kern w:val="0"/>
                <w:sz w:val="24"/>
                <w:szCs w:val="24"/>
                <w:lang w:val="en-US" w:eastAsia="zh-CN" w:bidi="ar-SA"/>
              </w:rPr>
              <w:t>分</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spacing w:line="300" w:lineRule="exact"/>
              <w:jc w:val="left"/>
              <w:rPr>
                <w:rFonts w:ascii="Times New Roman" w:hAnsi="Times New Roman" w:eastAsia="宋体" w:cs="Times New Roman"/>
                <w:bCs/>
                <w:spacing w:val="10"/>
                <w:kern w:val="0"/>
                <w:sz w:val="24"/>
                <w:szCs w:val="24"/>
                <w:lang w:val="en-US" w:eastAsia="zh-CN" w:bidi="ar-SA"/>
              </w:rPr>
            </w:pP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5</w:t>
            </w:r>
          </w:p>
        </w:tc>
        <w:tc>
          <w:tcPr>
            <w:tcW w:w="7110" w:type="dxa"/>
            <w:vAlign w:val="center"/>
          </w:tcPr>
          <w:p>
            <w:pPr>
              <w:widowControl/>
              <w:snapToGrid w:val="0"/>
              <w:spacing w:line="300" w:lineRule="exact"/>
              <w:rPr>
                <w:rFonts w:hint="eastAsia"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合同管理方案，对合同争议调节与索赔程序的处理方法：</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合</w:t>
            </w:r>
            <w:r>
              <w:rPr>
                <w:rFonts w:ascii="Times New Roman" w:hAnsi="Times New Roman" w:eastAsia="宋体" w:cs="Times New Roman"/>
                <w:bCs/>
                <w:spacing w:val="10"/>
                <w:kern w:val="0"/>
                <w:sz w:val="24"/>
                <w:szCs w:val="24"/>
                <w:lang w:val="en-US" w:eastAsia="zh-CN" w:bidi="ar-SA"/>
              </w:rPr>
              <w:t>同管理</w:t>
            </w:r>
            <w:r>
              <w:rPr>
                <w:rFonts w:hint="eastAsia" w:ascii="Times New Roman" w:hAnsi="Times New Roman" w:eastAsia="宋体" w:cs="Times New Roman"/>
                <w:bCs/>
                <w:spacing w:val="10"/>
                <w:kern w:val="0"/>
                <w:sz w:val="24"/>
                <w:szCs w:val="24"/>
                <w:lang w:val="en-US" w:eastAsia="zh-CN" w:bidi="ar-SA"/>
              </w:rPr>
              <w:t>方案合理，</w:t>
            </w:r>
            <w:r>
              <w:rPr>
                <w:rFonts w:ascii="Times New Roman" w:hAnsi="Times New Roman" w:eastAsia="宋体" w:cs="Times New Roman"/>
                <w:bCs/>
                <w:spacing w:val="10"/>
                <w:kern w:val="0"/>
                <w:sz w:val="24"/>
                <w:szCs w:val="24"/>
                <w:lang w:val="en-US" w:eastAsia="zh-CN" w:bidi="ar-SA"/>
              </w:rPr>
              <w:t>措施具体完善</w:t>
            </w:r>
            <w:r>
              <w:rPr>
                <w:rFonts w:hint="eastAsia" w:ascii="Times New Roman" w:hAnsi="Times New Roman" w:eastAsia="宋体" w:cs="Times New Roman"/>
                <w:bCs/>
                <w:spacing w:val="10"/>
                <w:kern w:val="0"/>
                <w:sz w:val="24"/>
                <w:szCs w:val="24"/>
                <w:lang w:val="en-US" w:eastAsia="zh-CN" w:bidi="ar-SA"/>
              </w:rPr>
              <w:t>，有合同争议调节与索赔程序处理方法的得3-5分，基本可行得0-2分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5</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信息管理方案</w:t>
            </w:r>
            <w:r>
              <w:rPr>
                <w:rFonts w:ascii="Times New Roman" w:hAnsi="Times New Roman" w:eastAsia="宋体" w:cs="Times New Roman"/>
                <w:bCs/>
                <w:spacing w:val="10"/>
                <w:kern w:val="0"/>
                <w:sz w:val="24"/>
                <w:szCs w:val="24"/>
                <w:lang w:val="en-US" w:eastAsia="zh-CN" w:bidi="ar-SA"/>
              </w:rPr>
              <w:t xml:space="preserve">  </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a.</w:t>
            </w:r>
            <w:r>
              <w:rPr>
                <w:rFonts w:hint="eastAsia" w:ascii="Times New Roman" w:hAnsi="Times New Roman" w:eastAsia="宋体" w:cs="Times New Roman"/>
                <w:bCs/>
                <w:spacing w:val="10"/>
                <w:kern w:val="0"/>
                <w:sz w:val="24"/>
                <w:szCs w:val="24"/>
                <w:lang w:val="en-US" w:eastAsia="zh-CN" w:bidi="ar-SA"/>
              </w:rPr>
              <w:t>信息管理方案完备合理得2-3分，基本合理得0-1分</w:t>
            </w:r>
          </w:p>
          <w:p>
            <w:pPr>
              <w:widowControl/>
              <w:snapToGrid w:val="0"/>
              <w:spacing w:line="300" w:lineRule="exact"/>
              <w:rPr>
                <w:rFonts w:hint="default"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b.</w:t>
            </w:r>
            <w:r>
              <w:rPr>
                <w:rFonts w:hint="eastAsia" w:ascii="Times New Roman" w:hAnsi="Times New Roman" w:eastAsia="宋体" w:cs="Times New Roman"/>
                <w:bCs/>
                <w:spacing w:val="10"/>
                <w:kern w:val="0"/>
                <w:sz w:val="24"/>
                <w:szCs w:val="24"/>
                <w:lang w:val="en-US" w:eastAsia="zh-CN" w:bidi="ar-SA"/>
              </w:rPr>
              <w:t>有该工程信息反馈处理流程图</w:t>
            </w:r>
            <w:r>
              <w:rPr>
                <w:rFonts w:hint="eastAsia" w:cs="Times New Roman"/>
                <w:bCs/>
                <w:spacing w:val="10"/>
                <w:kern w:val="0"/>
                <w:sz w:val="24"/>
                <w:szCs w:val="24"/>
                <w:lang w:val="en-US" w:eastAsia="zh-CN" w:bidi="ar-SA"/>
              </w:rPr>
              <w:t>且详细清晰</w:t>
            </w:r>
            <w:r>
              <w:rPr>
                <w:rFonts w:hint="eastAsia" w:ascii="Times New Roman" w:hAnsi="Times New Roman" w:eastAsia="宋体" w:cs="Times New Roman"/>
                <w:bCs/>
                <w:spacing w:val="10"/>
                <w:kern w:val="0"/>
                <w:sz w:val="24"/>
                <w:szCs w:val="24"/>
                <w:lang w:val="en-US" w:eastAsia="zh-CN" w:bidi="ar-SA"/>
              </w:rPr>
              <w:t>的得2分</w:t>
            </w:r>
            <w:r>
              <w:rPr>
                <w:rFonts w:hint="eastAsia" w:cs="Times New Roman"/>
                <w:bCs/>
                <w:spacing w:val="10"/>
                <w:kern w:val="0"/>
                <w:sz w:val="24"/>
                <w:szCs w:val="24"/>
                <w:lang w:val="en-US" w:eastAsia="zh-CN" w:bidi="ar-SA"/>
              </w:rPr>
              <w:t>，基本具备得0-1分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p>
        </w:tc>
        <w:tc>
          <w:tcPr>
            <w:tcW w:w="711" w:type="dxa"/>
            <w:vAlign w:val="center"/>
          </w:tcPr>
          <w:p>
            <w:pPr>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8</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监理工作资料归档方案</w:t>
            </w:r>
            <w:r>
              <w:rPr>
                <w:rFonts w:ascii="Times New Roman" w:hAnsi="Times New Roman" w:eastAsia="宋体" w:cs="Times New Roman"/>
                <w:bCs/>
                <w:spacing w:val="10"/>
                <w:kern w:val="0"/>
                <w:sz w:val="24"/>
                <w:szCs w:val="24"/>
                <w:lang w:val="en-US" w:eastAsia="zh-CN" w:bidi="ar-SA"/>
              </w:rPr>
              <w:t> </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a.</w:t>
            </w:r>
            <w:r>
              <w:rPr>
                <w:rFonts w:hint="eastAsia" w:ascii="Times New Roman" w:hAnsi="Times New Roman" w:eastAsia="宋体" w:cs="Times New Roman"/>
                <w:bCs/>
                <w:spacing w:val="10"/>
                <w:kern w:val="0"/>
                <w:sz w:val="24"/>
                <w:szCs w:val="24"/>
                <w:lang w:val="en-US" w:eastAsia="zh-CN" w:bidi="ar-SA"/>
              </w:rPr>
              <w:t>监理工作资料归档方案完善合理得3-4分，基本合理得0-2分</w:t>
            </w:r>
          </w:p>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b.</w:t>
            </w:r>
            <w:r>
              <w:rPr>
                <w:rFonts w:hint="eastAsia" w:ascii="Times New Roman" w:hAnsi="Times New Roman" w:eastAsia="宋体" w:cs="Times New Roman"/>
                <w:bCs/>
                <w:spacing w:val="10"/>
                <w:kern w:val="0"/>
                <w:sz w:val="24"/>
                <w:szCs w:val="24"/>
                <w:lang w:val="en-US" w:eastAsia="zh-CN" w:bidi="ar-SA"/>
              </w:rPr>
              <w:t>监理归档资料主要编目及流转方式完善合理得3-4分，基本合理得0-2分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Merge w:val="continue"/>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p>
        </w:tc>
        <w:tc>
          <w:tcPr>
            <w:tcW w:w="711" w:type="dxa"/>
            <w:vAlign w:val="center"/>
          </w:tcPr>
          <w:p>
            <w:pPr>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4</w:t>
            </w:r>
          </w:p>
        </w:tc>
        <w:tc>
          <w:tcPr>
            <w:tcW w:w="7110" w:type="dxa"/>
            <w:vAlign w:val="center"/>
          </w:tcPr>
          <w:p>
            <w:pPr>
              <w:widowControl/>
              <w:snapToGrid w:val="0"/>
              <w:spacing w:line="300" w:lineRule="exac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比较各投标人对本工程重点、难点理解和分析并提出合理化建议的，完善合理得3-4分，基本合理得0-2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Align w:val="center"/>
          </w:tcPr>
          <w:p>
            <w:pPr>
              <w:spacing w:line="300" w:lineRule="exact"/>
              <w:ind w:left="-63" w:right="-63"/>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拟投入检测设备、仪器</w:t>
            </w:r>
            <w:r>
              <w:rPr>
                <w:rFonts w:ascii="Times New Roman" w:hAnsi="Times New Roman" w:eastAsia="宋体" w:cs="Times New Roman"/>
                <w:bCs/>
                <w:spacing w:val="10"/>
                <w:kern w:val="0"/>
                <w:sz w:val="24"/>
                <w:szCs w:val="24"/>
                <w:lang w:val="en-US" w:eastAsia="zh-CN" w:bidi="ar-SA"/>
              </w:rPr>
              <w:t xml:space="preserve"> </w:t>
            </w:r>
            <w:r>
              <w:rPr>
                <w:rFonts w:hint="eastAsia" w:ascii="Times New Roman" w:hAnsi="Times New Roman" w:eastAsia="宋体" w:cs="Times New Roman"/>
                <w:bCs/>
                <w:spacing w:val="10"/>
                <w:kern w:val="0"/>
                <w:sz w:val="24"/>
                <w:szCs w:val="24"/>
                <w:lang w:val="en-US" w:eastAsia="zh-CN" w:bidi="ar-SA"/>
              </w:rPr>
              <w:t>情况（4）</w:t>
            </w:r>
          </w:p>
        </w:tc>
        <w:tc>
          <w:tcPr>
            <w:tcW w:w="711" w:type="dxa"/>
            <w:vAlign w:val="center"/>
          </w:tcPr>
          <w:p>
            <w:pPr>
              <w:spacing w:line="300" w:lineRule="exact"/>
              <w:ind w:left="-63" w:right="-63"/>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4</w:t>
            </w:r>
          </w:p>
        </w:tc>
        <w:tc>
          <w:tcPr>
            <w:tcW w:w="7110" w:type="dxa"/>
            <w:vAlign w:val="center"/>
          </w:tcPr>
          <w:p>
            <w:pPr>
              <w:spacing w:line="300" w:lineRule="exact"/>
              <w:ind w:left="-63" w:right="-63"/>
              <w:jc w:val="lef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根据投标人提供拟投入本项目检测设备、仪器情况，完善合理得3-4分。基本可行得0-2分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42" w:type="dxa"/>
            <w:vMerge w:val="restart"/>
            <w:vAlign w:val="center"/>
          </w:tcPr>
          <w:p>
            <w:pPr>
              <w:widowControl/>
              <w:spacing w:line="300" w:lineRule="exact"/>
              <w:jc w:val="center"/>
              <w:rPr>
                <w:rFonts w:hint="default"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lang w:val="en-US" w:eastAsia="zh-CN" w:bidi="ar-SA"/>
              </w:rPr>
              <w:t>商务部分30分</w:t>
            </w:r>
          </w:p>
        </w:tc>
        <w:tc>
          <w:tcPr>
            <w:tcW w:w="996"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监理人员配备</w:t>
            </w:r>
          </w:p>
        </w:tc>
        <w:tc>
          <w:tcPr>
            <w:tcW w:w="711" w:type="dxa"/>
            <w:vAlign w:val="center"/>
          </w:tcPr>
          <w:p>
            <w:pPr>
              <w:widowControl/>
              <w:spacing w:line="300" w:lineRule="exact"/>
              <w:jc w:val="center"/>
              <w:rPr>
                <w:rFonts w:hint="default"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rPr>
              <w:t>12</w:t>
            </w:r>
          </w:p>
        </w:tc>
        <w:tc>
          <w:tcPr>
            <w:tcW w:w="7110" w:type="dxa"/>
            <w:vAlign w:val="center"/>
          </w:tcPr>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项目总监：</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①总监理工程师每提供一个近</w:t>
            </w:r>
            <w:r>
              <w:rPr>
                <w:rFonts w:hint="eastAsia" w:eastAsia="宋体" w:cs="Times New Roman"/>
                <w:bCs/>
                <w:spacing w:val="10"/>
                <w:kern w:val="0"/>
                <w:sz w:val="24"/>
                <w:szCs w:val="24"/>
                <w:lang w:eastAsia="zh-CN"/>
              </w:rPr>
              <w:t>五</w:t>
            </w:r>
            <w:r>
              <w:rPr>
                <w:rFonts w:hint="eastAsia" w:ascii="Times New Roman" w:hAnsi="Times New Roman" w:eastAsia="宋体" w:cs="Times New Roman"/>
                <w:bCs/>
                <w:spacing w:val="10"/>
                <w:kern w:val="0"/>
                <w:sz w:val="24"/>
                <w:szCs w:val="24"/>
              </w:rPr>
              <w:t>年（投标截止往前推</w:t>
            </w:r>
            <w:r>
              <w:rPr>
                <w:rFonts w:hint="eastAsia" w:ascii="Times New Roman" w:hAnsi="Times New Roman" w:eastAsia="宋体" w:cs="Times New Roman"/>
                <w:bCs/>
                <w:spacing w:val="10"/>
                <w:kern w:val="0"/>
                <w:sz w:val="24"/>
                <w:szCs w:val="24"/>
                <w:lang w:eastAsia="zh-CN"/>
              </w:rPr>
              <w:t>五</w:t>
            </w:r>
            <w:r>
              <w:rPr>
                <w:rFonts w:hint="eastAsia" w:ascii="Times New Roman" w:hAnsi="Times New Roman" w:eastAsia="宋体" w:cs="Times New Roman"/>
                <w:bCs/>
                <w:spacing w:val="10"/>
                <w:kern w:val="0"/>
                <w:sz w:val="24"/>
                <w:szCs w:val="24"/>
              </w:rPr>
              <w:t>年）</w:t>
            </w:r>
            <w:r>
              <w:rPr>
                <w:rFonts w:hint="eastAsia" w:ascii="Times New Roman" w:hAnsi="Times New Roman" w:eastAsia="宋体" w:cs="Times New Roman"/>
                <w:bCs/>
                <w:spacing w:val="10"/>
                <w:kern w:val="0"/>
                <w:sz w:val="24"/>
                <w:szCs w:val="24"/>
                <w:lang w:eastAsia="zh-CN"/>
              </w:rPr>
              <w:t>的类似</w:t>
            </w:r>
            <w:r>
              <w:rPr>
                <w:rFonts w:hint="eastAsia" w:ascii="Times New Roman" w:hAnsi="Times New Roman" w:eastAsia="宋体" w:cs="Times New Roman"/>
                <w:bCs/>
                <w:spacing w:val="10"/>
                <w:kern w:val="0"/>
                <w:sz w:val="24"/>
                <w:szCs w:val="24"/>
              </w:rPr>
              <w:t>监理项目的业绩得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分，最多得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分（提供中标通知书</w:t>
            </w:r>
            <w:r>
              <w:rPr>
                <w:rFonts w:hint="eastAsia" w:cs="Times New Roman"/>
                <w:bCs/>
                <w:spacing w:val="10"/>
                <w:kern w:val="0"/>
                <w:sz w:val="24"/>
                <w:szCs w:val="24"/>
              </w:rPr>
              <w:t>或</w:t>
            </w:r>
            <w:r>
              <w:rPr>
                <w:rFonts w:hint="eastAsia" w:ascii="Times New Roman" w:hAnsi="Times New Roman" w:eastAsia="宋体" w:cs="Times New Roman"/>
                <w:bCs/>
                <w:spacing w:val="10"/>
                <w:kern w:val="0"/>
                <w:sz w:val="24"/>
                <w:szCs w:val="24"/>
              </w:rPr>
              <w:t>监理合同）</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拟投入本工程的监理的人员配备：</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①配备2名注册专业</w:t>
            </w:r>
            <w:r>
              <w:rPr>
                <w:rFonts w:hint="eastAsia" w:cs="Times New Roman"/>
                <w:bCs/>
                <w:spacing w:val="10"/>
                <w:kern w:val="0"/>
                <w:sz w:val="24"/>
                <w:szCs w:val="24"/>
              </w:rPr>
              <w:t>为市政公用</w:t>
            </w:r>
            <w:r>
              <w:rPr>
                <w:rFonts w:hint="eastAsia" w:ascii="Times New Roman" w:hAnsi="Times New Roman" w:eastAsia="宋体" w:cs="Times New Roman"/>
                <w:bCs/>
                <w:spacing w:val="10"/>
                <w:kern w:val="0"/>
                <w:sz w:val="24"/>
                <w:szCs w:val="24"/>
              </w:rPr>
              <w:t>工程的注册监理工程师得</w:t>
            </w:r>
            <w:r>
              <w:rPr>
                <w:rFonts w:hint="eastAsia" w:cs="Times New Roman"/>
                <w:bCs/>
                <w:spacing w:val="10"/>
                <w:kern w:val="0"/>
                <w:sz w:val="24"/>
                <w:szCs w:val="24"/>
              </w:rPr>
              <w:t>6</w:t>
            </w:r>
            <w:r>
              <w:rPr>
                <w:rFonts w:hint="eastAsia" w:ascii="Times New Roman" w:hAnsi="Times New Roman" w:eastAsia="宋体" w:cs="Times New Roman"/>
                <w:bCs/>
                <w:spacing w:val="10"/>
                <w:kern w:val="0"/>
                <w:sz w:val="24"/>
                <w:szCs w:val="24"/>
              </w:rPr>
              <w:t>分</w:t>
            </w:r>
            <w:r>
              <w:rPr>
                <w:rFonts w:hint="eastAsia" w:ascii="Times New Roman" w:hAnsi="Times New Roman" w:eastAsia="宋体" w:cs="Times New Roman"/>
                <w:bCs/>
                <w:spacing w:val="10"/>
                <w:kern w:val="0"/>
                <w:sz w:val="24"/>
                <w:szCs w:val="24"/>
                <w:lang w:eastAsia="zh-CN"/>
              </w:rPr>
              <w:t>，</w:t>
            </w:r>
            <w:r>
              <w:rPr>
                <w:rFonts w:hint="eastAsia" w:ascii="Times New Roman" w:hAnsi="Times New Roman" w:eastAsia="宋体" w:cs="Times New Roman"/>
                <w:bCs/>
                <w:spacing w:val="10"/>
                <w:kern w:val="0"/>
                <w:sz w:val="24"/>
                <w:szCs w:val="24"/>
                <w:lang w:val="en-US" w:eastAsia="zh-CN"/>
              </w:rPr>
              <w:t>1名</w:t>
            </w:r>
            <w:r>
              <w:rPr>
                <w:rFonts w:hint="eastAsia" w:ascii="Times New Roman" w:hAnsi="Times New Roman" w:eastAsia="宋体" w:cs="Times New Roman"/>
                <w:bCs/>
                <w:spacing w:val="10"/>
                <w:kern w:val="0"/>
                <w:sz w:val="24"/>
                <w:szCs w:val="24"/>
                <w:lang w:eastAsia="zh-CN"/>
              </w:rPr>
              <w:t>得</w:t>
            </w:r>
            <w:r>
              <w:rPr>
                <w:rFonts w:hint="eastAsia" w:ascii="Times New Roman" w:hAnsi="Times New Roman" w:eastAsia="宋体" w:cs="Times New Roman"/>
                <w:bCs/>
                <w:spacing w:val="10"/>
                <w:kern w:val="0"/>
                <w:sz w:val="24"/>
                <w:szCs w:val="24"/>
                <w:lang w:val="en-US" w:eastAsia="zh-CN"/>
              </w:rPr>
              <w:t>3分</w:t>
            </w:r>
            <w:r>
              <w:rPr>
                <w:rFonts w:hint="eastAsia" w:ascii="Times New Roman" w:hAnsi="Times New Roman" w:eastAsia="宋体" w:cs="Times New Roman"/>
                <w:bCs/>
                <w:spacing w:val="10"/>
                <w:kern w:val="0"/>
                <w:sz w:val="24"/>
                <w:szCs w:val="24"/>
              </w:rPr>
              <w:t>；</w:t>
            </w:r>
          </w:p>
          <w:p>
            <w:pPr>
              <w:spacing w:line="276" w:lineRule="auto"/>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②配备1名具备给排水专业的监理工程师得</w:t>
            </w:r>
            <w:r>
              <w:rPr>
                <w:rFonts w:hint="eastAsia" w:cs="Times New Roman"/>
                <w:bCs/>
                <w:spacing w:val="10"/>
                <w:kern w:val="0"/>
                <w:sz w:val="24"/>
                <w:szCs w:val="24"/>
              </w:rPr>
              <w:t>3</w:t>
            </w:r>
            <w:r>
              <w:rPr>
                <w:rFonts w:hint="eastAsia" w:ascii="Times New Roman" w:hAnsi="Times New Roman" w:eastAsia="宋体" w:cs="Times New Roman"/>
                <w:bCs/>
                <w:spacing w:val="10"/>
                <w:kern w:val="0"/>
                <w:sz w:val="24"/>
                <w:szCs w:val="24"/>
              </w:rPr>
              <w:t>分；</w:t>
            </w:r>
          </w:p>
          <w:p>
            <w:pPr>
              <w:spacing w:line="276" w:lineRule="auto"/>
              <w:rPr>
                <w:lang w:val="en-US" w:eastAsia="zh-CN"/>
              </w:rPr>
            </w:pPr>
            <w:r>
              <w:rPr>
                <w:rFonts w:hint="eastAsia" w:cs="Times New Roman"/>
                <w:bCs/>
                <w:spacing w:val="10"/>
                <w:kern w:val="0"/>
                <w:sz w:val="24"/>
                <w:szCs w:val="24"/>
              </w:rPr>
              <w:t>此项</w:t>
            </w:r>
            <w:r>
              <w:rPr>
                <w:rFonts w:hint="eastAsia" w:ascii="Times New Roman" w:hAnsi="Times New Roman" w:eastAsia="宋体" w:cs="Times New Roman"/>
                <w:bCs/>
                <w:spacing w:val="10"/>
                <w:kern w:val="0"/>
                <w:sz w:val="24"/>
                <w:szCs w:val="24"/>
              </w:rPr>
              <w:t>最高得分</w:t>
            </w:r>
            <w:r>
              <w:rPr>
                <w:rFonts w:hint="eastAsia" w:cs="Times New Roman"/>
                <w:bCs/>
                <w:spacing w:val="10"/>
                <w:kern w:val="0"/>
                <w:sz w:val="24"/>
                <w:szCs w:val="24"/>
              </w:rPr>
              <w:t>12</w:t>
            </w:r>
            <w:r>
              <w:rPr>
                <w:rFonts w:hint="eastAsia" w:ascii="Times New Roman" w:hAnsi="Times New Roman" w:eastAsia="宋体" w:cs="Times New Roman"/>
                <w:bCs/>
                <w:spacing w:val="10"/>
                <w:kern w:val="0"/>
                <w:sz w:val="24"/>
                <w:szCs w:val="24"/>
              </w:rPr>
              <w:t>分</w:t>
            </w:r>
            <w:r>
              <w:rPr>
                <w:rFonts w:hint="eastAsia" w:cs="Times New Roman"/>
                <w:bCs/>
                <w:spacing w:val="10"/>
                <w:kern w:val="0"/>
                <w:sz w:val="24"/>
                <w:szCs w:val="24"/>
              </w:rPr>
              <w:t>，</w:t>
            </w:r>
            <w:r>
              <w:rPr>
                <w:rFonts w:hint="eastAsia" w:cs="Times New Roman"/>
                <w:bCs/>
                <w:color w:val="FF0000"/>
                <w:spacing w:val="10"/>
                <w:kern w:val="0"/>
                <w:sz w:val="24"/>
                <w:szCs w:val="24"/>
              </w:rPr>
              <w:t>提供相关真彩扫描件加盖公章</w:t>
            </w:r>
            <w:r>
              <w:rPr>
                <w:rFonts w:hint="eastAsia" w:ascii="Times New Roman" w:hAnsi="Times New Roman" w:eastAsia="宋体" w:cs="Times New Roman"/>
                <w:bCs/>
                <w:spacing w:val="1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bookmarkStart w:id="1" w:name="OLE_LINK25" w:colFirst="3" w:colLast="3"/>
          </w:p>
        </w:tc>
        <w:tc>
          <w:tcPr>
            <w:tcW w:w="996"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企业经营业绩</w:t>
            </w:r>
          </w:p>
        </w:tc>
        <w:tc>
          <w:tcPr>
            <w:tcW w:w="711" w:type="dxa"/>
            <w:vAlign w:val="center"/>
          </w:tcPr>
          <w:p>
            <w:pPr>
              <w:spacing w:line="300" w:lineRule="exact"/>
              <w:jc w:val="center"/>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rPr>
              <w:t>6</w:t>
            </w:r>
          </w:p>
        </w:tc>
        <w:tc>
          <w:tcPr>
            <w:tcW w:w="7110" w:type="dxa"/>
            <w:vAlign w:val="center"/>
          </w:tcPr>
          <w:p>
            <w:pPr>
              <w:spacing w:line="276" w:lineRule="auto"/>
              <w:rPr>
                <w:lang w:val="en-US" w:eastAsia="zh-CN"/>
              </w:rPr>
            </w:pPr>
            <w:r>
              <w:rPr>
                <w:rFonts w:hint="eastAsia" w:ascii="Times New Roman" w:hAnsi="Times New Roman" w:eastAsia="宋体" w:cs="Times New Roman"/>
                <w:bCs/>
                <w:spacing w:val="10"/>
                <w:kern w:val="0"/>
                <w:sz w:val="24"/>
                <w:szCs w:val="24"/>
              </w:rPr>
              <w:t>每提供一个近五年（投标截止往前推五年）</w:t>
            </w:r>
            <w:r>
              <w:rPr>
                <w:rFonts w:hint="eastAsia" w:ascii="Times New Roman" w:hAnsi="Times New Roman" w:eastAsia="宋体" w:cs="Times New Roman"/>
                <w:bCs/>
                <w:spacing w:val="10"/>
                <w:kern w:val="0"/>
                <w:sz w:val="24"/>
                <w:szCs w:val="24"/>
                <w:lang w:eastAsia="zh-CN"/>
              </w:rPr>
              <w:t>的类似</w:t>
            </w:r>
            <w:r>
              <w:rPr>
                <w:rFonts w:hint="eastAsia" w:ascii="Times New Roman" w:hAnsi="Times New Roman" w:eastAsia="宋体" w:cs="Times New Roman"/>
                <w:bCs/>
                <w:spacing w:val="10"/>
                <w:kern w:val="0"/>
                <w:sz w:val="24"/>
                <w:szCs w:val="24"/>
              </w:rPr>
              <w:t>项目监理业绩得</w:t>
            </w:r>
            <w:r>
              <w:rPr>
                <w:rFonts w:hint="eastAsia" w:cs="Times New Roman"/>
                <w:bCs/>
                <w:spacing w:val="10"/>
                <w:kern w:val="0"/>
                <w:sz w:val="24"/>
                <w:szCs w:val="24"/>
              </w:rPr>
              <w:t>2</w:t>
            </w:r>
            <w:r>
              <w:rPr>
                <w:rFonts w:hint="eastAsia" w:ascii="Times New Roman" w:hAnsi="Times New Roman" w:eastAsia="宋体" w:cs="Times New Roman"/>
                <w:bCs/>
                <w:spacing w:val="10"/>
                <w:kern w:val="0"/>
                <w:sz w:val="24"/>
                <w:szCs w:val="24"/>
              </w:rPr>
              <w:t>分，最多得</w:t>
            </w:r>
            <w:r>
              <w:rPr>
                <w:rFonts w:hint="eastAsia" w:eastAsia="宋体" w:cs="Times New Roman"/>
                <w:bCs/>
                <w:spacing w:val="10"/>
                <w:kern w:val="0"/>
                <w:sz w:val="24"/>
                <w:szCs w:val="24"/>
                <w:lang w:val="en-US" w:eastAsia="zh-CN"/>
              </w:rPr>
              <w:t>6</w:t>
            </w:r>
            <w:r>
              <w:rPr>
                <w:rFonts w:hint="eastAsia" w:ascii="Times New Roman" w:hAnsi="Times New Roman" w:eastAsia="宋体" w:cs="Times New Roman"/>
                <w:bCs/>
                <w:spacing w:val="10"/>
                <w:kern w:val="0"/>
                <w:sz w:val="24"/>
                <w:szCs w:val="24"/>
              </w:rPr>
              <w:t>分（提供中标通知书</w:t>
            </w:r>
            <w:r>
              <w:rPr>
                <w:rFonts w:hint="eastAsia" w:cs="Times New Roman"/>
                <w:bCs/>
                <w:spacing w:val="10"/>
                <w:kern w:val="0"/>
                <w:sz w:val="24"/>
                <w:szCs w:val="24"/>
              </w:rPr>
              <w:t>或</w:t>
            </w:r>
            <w:r>
              <w:rPr>
                <w:rFonts w:hint="eastAsia" w:ascii="Times New Roman" w:hAnsi="Times New Roman" w:eastAsia="宋体" w:cs="Times New Roman"/>
                <w:bCs/>
                <w:spacing w:val="10"/>
                <w:kern w:val="0"/>
                <w:sz w:val="24"/>
                <w:szCs w:val="24"/>
              </w:rPr>
              <w:t>监理合同）</w:t>
            </w:r>
            <w:r>
              <w:rPr>
                <w:rFonts w:hint="eastAsia" w:cs="Times New Roman"/>
                <w:bCs/>
                <w:color w:val="FF0000"/>
                <w:spacing w:val="10"/>
                <w:kern w:val="0"/>
                <w:sz w:val="24"/>
                <w:szCs w:val="24"/>
              </w:rPr>
              <w:t>提供相关真彩扫描件加盖公章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Align w:val="center"/>
          </w:tcPr>
          <w:p>
            <w:pPr>
              <w:widowControl/>
              <w:jc w:val="center"/>
              <w:rPr>
                <w:rFonts w:ascii="Times New Roman" w:hAnsi="Times New Roman" w:eastAsia="宋体" w:cs="Times New Roman"/>
                <w:bCs/>
                <w:spacing w:val="10"/>
                <w:kern w:val="0"/>
                <w:sz w:val="24"/>
                <w:szCs w:val="24"/>
              </w:rPr>
            </w:pPr>
            <w:r>
              <w:rPr>
                <w:rFonts w:hint="eastAsia" w:ascii="Times New Roman" w:hAnsi="Times New Roman" w:eastAsia="宋体" w:cs="Times New Roman"/>
                <w:bCs/>
                <w:spacing w:val="10"/>
                <w:kern w:val="0"/>
                <w:sz w:val="24"/>
                <w:szCs w:val="24"/>
              </w:rPr>
              <w:t>本地化</w:t>
            </w:r>
          </w:p>
          <w:p>
            <w:pPr>
              <w:widowControl/>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服务</w:t>
            </w:r>
          </w:p>
        </w:tc>
        <w:tc>
          <w:tcPr>
            <w:tcW w:w="711" w:type="dxa"/>
            <w:vAlign w:val="center"/>
          </w:tcPr>
          <w:p>
            <w:pPr>
              <w:widowControl/>
              <w:jc w:val="center"/>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rPr>
              <w:t>4</w:t>
            </w:r>
          </w:p>
        </w:tc>
        <w:tc>
          <w:tcPr>
            <w:tcW w:w="7110" w:type="dxa"/>
            <w:vAlign w:val="center"/>
          </w:tcPr>
          <w:p>
            <w:pPr>
              <w:spacing w:line="276" w:lineRule="auto"/>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提供完善的本地化服务，在本地有办公场所</w:t>
            </w:r>
            <w:r>
              <w:rPr>
                <w:rFonts w:hint="eastAsia" w:ascii="Times New Roman" w:hAnsi="Times New Roman" w:eastAsia="宋体" w:cs="Times New Roman"/>
                <w:bCs/>
                <w:color w:val="FF0000"/>
                <w:spacing w:val="10"/>
                <w:kern w:val="0"/>
                <w:sz w:val="24"/>
                <w:szCs w:val="24"/>
              </w:rPr>
              <w:t>（提供相关真彩扫描证明）</w:t>
            </w:r>
            <w:r>
              <w:rPr>
                <w:rFonts w:hint="eastAsia" w:ascii="Times New Roman" w:hAnsi="Times New Roman" w:eastAsia="宋体" w:cs="Times New Roman"/>
                <w:bCs/>
                <w:spacing w:val="10"/>
                <w:kern w:val="0"/>
                <w:sz w:val="24"/>
                <w:szCs w:val="24"/>
              </w:rPr>
              <w:t>，售后服务机构提供完善的联系方式等得</w:t>
            </w:r>
            <w:r>
              <w:rPr>
                <w:rFonts w:hint="eastAsia" w:cs="Times New Roman"/>
                <w:bCs/>
                <w:spacing w:val="10"/>
                <w:kern w:val="0"/>
                <w:sz w:val="24"/>
                <w:szCs w:val="24"/>
              </w:rPr>
              <w:t>4</w:t>
            </w:r>
            <w:r>
              <w:rPr>
                <w:rFonts w:hint="eastAsia" w:ascii="Times New Roman" w:hAnsi="Times New Roman" w:eastAsia="宋体" w:cs="Times New Roman"/>
                <w:bCs/>
                <w:spacing w:val="10"/>
                <w:kern w:val="0"/>
                <w:sz w:val="24"/>
                <w:szCs w:val="24"/>
              </w:rPr>
              <w:t>分，否则不得分。</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bookmarkStart w:id="2" w:name="OLE_LINK26" w:colFirst="3" w:colLast="3"/>
          </w:p>
        </w:tc>
        <w:tc>
          <w:tcPr>
            <w:tcW w:w="996" w:type="dxa"/>
            <w:vAlign w:val="center"/>
          </w:tcPr>
          <w:p>
            <w:pPr>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服务承诺</w:t>
            </w:r>
          </w:p>
        </w:tc>
        <w:tc>
          <w:tcPr>
            <w:tcW w:w="711" w:type="dxa"/>
            <w:vAlign w:val="center"/>
          </w:tcPr>
          <w:p>
            <w:pPr>
              <w:spacing w:line="300" w:lineRule="exact"/>
              <w:jc w:val="center"/>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rPr>
              <w:t>4</w:t>
            </w:r>
          </w:p>
        </w:tc>
        <w:tc>
          <w:tcPr>
            <w:tcW w:w="7110" w:type="dxa"/>
            <w:vAlign w:val="center"/>
          </w:tcPr>
          <w:p>
            <w:pPr>
              <w:spacing w:line="300" w:lineRule="exact"/>
              <w:jc w:val="left"/>
              <w:rPr>
                <w:rFonts w:hint="default"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售后服务承诺以及其他实质性承诺条款</w:t>
            </w:r>
            <w:r>
              <w:rPr>
                <w:rFonts w:hint="eastAsia" w:cs="Times New Roman"/>
                <w:bCs/>
                <w:spacing w:val="10"/>
                <w:kern w:val="0"/>
                <w:sz w:val="24"/>
                <w:szCs w:val="24"/>
              </w:rPr>
              <w:t>完善合理得3-4</w:t>
            </w:r>
            <w:r>
              <w:rPr>
                <w:rFonts w:hint="eastAsia" w:ascii="Times New Roman" w:hAnsi="Times New Roman" w:eastAsia="宋体" w:cs="Times New Roman"/>
                <w:bCs/>
                <w:spacing w:val="10"/>
                <w:kern w:val="0"/>
                <w:sz w:val="24"/>
                <w:szCs w:val="24"/>
              </w:rPr>
              <w:t>分</w:t>
            </w:r>
            <w:r>
              <w:rPr>
                <w:rFonts w:hint="eastAsia" w:cs="Times New Roman"/>
                <w:bCs/>
                <w:spacing w:val="10"/>
                <w:kern w:val="0"/>
                <w:sz w:val="24"/>
                <w:szCs w:val="24"/>
              </w:rPr>
              <w:t>，基本合理得0-2分。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442" w:type="dxa"/>
            <w:vMerge w:val="continue"/>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磋商响应文件的完整性</w:t>
            </w:r>
          </w:p>
        </w:tc>
        <w:tc>
          <w:tcPr>
            <w:tcW w:w="711"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cs="Times New Roman"/>
                <w:bCs/>
                <w:spacing w:val="10"/>
                <w:kern w:val="0"/>
                <w:sz w:val="24"/>
                <w:szCs w:val="24"/>
              </w:rPr>
              <w:t>4</w:t>
            </w:r>
          </w:p>
        </w:tc>
        <w:tc>
          <w:tcPr>
            <w:tcW w:w="7110" w:type="dxa"/>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rPr>
              <w:t>根据供应商响应文件编制水平及内容完整性（编制水平差的表现包括但不限于：编排杂乱无序、叙述答非所问、资料残缺不全、资料模糊不清、前后不一致等）合理可行的得</w:t>
            </w:r>
            <w:r>
              <w:rPr>
                <w:rFonts w:hint="eastAsia" w:cs="Times New Roman"/>
                <w:bCs/>
                <w:spacing w:val="10"/>
                <w:kern w:val="0"/>
                <w:sz w:val="24"/>
                <w:szCs w:val="24"/>
              </w:rPr>
              <w:t>3-4</w:t>
            </w:r>
            <w:r>
              <w:rPr>
                <w:rFonts w:hint="eastAsia" w:ascii="Times New Roman" w:hAnsi="Times New Roman" w:eastAsia="宋体" w:cs="Times New Roman"/>
                <w:bCs/>
                <w:spacing w:val="10"/>
                <w:kern w:val="0"/>
                <w:sz w:val="24"/>
                <w:szCs w:val="24"/>
              </w:rPr>
              <w:t>分；编制欠合理，基本可行0-</w:t>
            </w:r>
            <w:r>
              <w:rPr>
                <w:rFonts w:hint="eastAsia" w:cs="Times New Roman"/>
                <w:bCs/>
                <w:spacing w:val="10"/>
                <w:kern w:val="0"/>
                <w:sz w:val="24"/>
                <w:szCs w:val="24"/>
              </w:rPr>
              <w:t>2</w:t>
            </w:r>
            <w:r>
              <w:rPr>
                <w:rFonts w:hint="eastAsia" w:ascii="Times New Roman" w:hAnsi="Times New Roman" w:eastAsia="宋体" w:cs="Times New Roman"/>
                <w:bCs/>
                <w:spacing w:val="10"/>
                <w:kern w:val="0"/>
                <w:sz w:val="24"/>
                <w:szCs w:val="24"/>
              </w:rPr>
              <w:t>分。</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42" w:type="dxa"/>
            <w:vAlign w:val="center"/>
          </w:tcPr>
          <w:p>
            <w:pPr>
              <w:widowControl/>
              <w:spacing w:line="300" w:lineRule="exact"/>
              <w:jc w:val="left"/>
              <w:rPr>
                <w:rFonts w:ascii="Times New Roman" w:hAnsi="Times New Roman" w:eastAsia="宋体" w:cs="Times New Roman"/>
                <w:bCs/>
                <w:spacing w:val="10"/>
                <w:kern w:val="0"/>
                <w:sz w:val="24"/>
                <w:szCs w:val="24"/>
                <w:lang w:val="en-US" w:eastAsia="zh-CN" w:bidi="ar-SA"/>
              </w:rPr>
            </w:pPr>
          </w:p>
        </w:tc>
        <w:tc>
          <w:tcPr>
            <w:tcW w:w="996" w:type="dxa"/>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hint="eastAsia" w:ascii="Times New Roman" w:hAnsi="Times New Roman" w:eastAsia="宋体" w:cs="Times New Roman"/>
                <w:bCs/>
                <w:spacing w:val="10"/>
                <w:kern w:val="0"/>
                <w:sz w:val="24"/>
                <w:szCs w:val="24"/>
                <w:lang w:val="en-US" w:eastAsia="zh-CN" w:bidi="ar-SA"/>
              </w:rPr>
              <w:t>总</w:t>
            </w:r>
            <w:r>
              <w:rPr>
                <w:rFonts w:ascii="Times New Roman" w:hAnsi="Times New Roman" w:eastAsia="宋体" w:cs="Times New Roman"/>
                <w:bCs/>
                <w:spacing w:val="10"/>
                <w:kern w:val="0"/>
                <w:sz w:val="24"/>
                <w:szCs w:val="24"/>
                <w:lang w:val="en-US" w:eastAsia="zh-CN" w:bidi="ar-SA"/>
              </w:rPr>
              <w:t xml:space="preserve">  </w:t>
            </w:r>
            <w:r>
              <w:rPr>
                <w:rFonts w:hint="eastAsia" w:ascii="Times New Roman" w:hAnsi="Times New Roman" w:eastAsia="宋体" w:cs="Times New Roman"/>
                <w:bCs/>
                <w:spacing w:val="10"/>
                <w:kern w:val="0"/>
                <w:sz w:val="24"/>
                <w:szCs w:val="24"/>
                <w:lang w:val="en-US" w:eastAsia="zh-CN" w:bidi="ar-SA"/>
              </w:rPr>
              <w:t>分</w:t>
            </w:r>
          </w:p>
        </w:tc>
        <w:tc>
          <w:tcPr>
            <w:tcW w:w="7821" w:type="dxa"/>
            <w:gridSpan w:val="2"/>
            <w:vAlign w:val="center"/>
          </w:tcPr>
          <w:p>
            <w:pPr>
              <w:widowControl/>
              <w:spacing w:line="300" w:lineRule="exact"/>
              <w:jc w:val="center"/>
              <w:rPr>
                <w:rFonts w:ascii="Times New Roman" w:hAnsi="Times New Roman" w:eastAsia="宋体" w:cs="Times New Roman"/>
                <w:bCs/>
                <w:spacing w:val="10"/>
                <w:kern w:val="0"/>
                <w:sz w:val="24"/>
                <w:szCs w:val="24"/>
                <w:lang w:val="en-US" w:eastAsia="zh-CN" w:bidi="ar-SA"/>
              </w:rPr>
            </w:pPr>
            <w:r>
              <w:rPr>
                <w:rFonts w:ascii="Times New Roman" w:hAnsi="Times New Roman" w:eastAsia="宋体" w:cs="Times New Roman"/>
                <w:bCs/>
                <w:spacing w:val="10"/>
                <w:kern w:val="0"/>
                <w:sz w:val="24"/>
                <w:szCs w:val="24"/>
                <w:lang w:val="en-US" w:eastAsia="zh-CN" w:bidi="ar-SA"/>
              </w:rPr>
              <w:t>100</w:t>
            </w:r>
            <w:r>
              <w:rPr>
                <w:rFonts w:hint="eastAsia" w:ascii="Times New Roman" w:hAnsi="Times New Roman" w:eastAsia="宋体" w:cs="Times New Roman"/>
                <w:bCs/>
                <w:spacing w:val="10"/>
                <w:kern w:val="0"/>
                <w:sz w:val="24"/>
                <w:szCs w:val="24"/>
                <w:lang w:val="en-US" w:eastAsia="zh-CN" w:bidi="ar-SA"/>
              </w:rPr>
              <w:t>分</w:t>
            </w:r>
          </w:p>
        </w:tc>
      </w:tr>
    </w:tbl>
    <w:p>
      <w:pPr>
        <w:ind w:firstLine="560" w:firstLineChars="200"/>
        <w:rPr>
          <w:bCs/>
          <w:szCs w:val="21"/>
        </w:rPr>
      </w:pPr>
    </w:p>
    <w:p>
      <w:pPr>
        <w:ind w:firstLine="560" w:firstLineChars="200"/>
        <w:rPr>
          <w:bCs/>
          <w:szCs w:val="21"/>
        </w:rPr>
      </w:pPr>
    </w:p>
    <w:p>
      <w:r>
        <w:br w:type="page"/>
      </w:r>
    </w:p>
    <w:p>
      <w:pPr>
        <w:jc w:val="left"/>
        <w:rPr>
          <w:rFonts w:ascii="宋体" w:hAnsi="宋体"/>
          <w:b/>
          <w:color w:val="000000"/>
          <w:sz w:val="24"/>
        </w:rPr>
      </w:pPr>
      <w:r>
        <w:rPr>
          <w:rFonts w:hint="eastAsia"/>
          <w:sz w:val="32"/>
          <w:szCs w:val="32"/>
        </w:rPr>
        <w:t xml:space="preserve"> </w:t>
      </w:r>
      <w:r>
        <w:rPr>
          <w:sz w:val="24"/>
        </w:rPr>
        <w:t>附件</w:t>
      </w:r>
      <w:r>
        <w:rPr>
          <w:rFonts w:hint="eastAsia"/>
          <w:sz w:val="24"/>
        </w:rPr>
        <w:t>3</w:t>
      </w:r>
      <w:r>
        <w:rPr>
          <w:sz w:val="24"/>
        </w:rPr>
        <w:t>：</w:t>
      </w:r>
    </w:p>
    <w:p>
      <w:pPr>
        <w:jc w:val="center"/>
        <w:rPr>
          <w:sz w:val="32"/>
          <w:szCs w:val="32"/>
        </w:rPr>
      </w:pPr>
      <w:r>
        <w:rPr>
          <w:rFonts w:hint="eastAsia"/>
          <w:sz w:val="32"/>
          <w:szCs w:val="32"/>
        </w:rPr>
        <w:t>供应商报名表</w:t>
      </w:r>
    </w:p>
    <w:p>
      <w:pPr>
        <w:rPr>
          <w:sz w:val="24"/>
        </w:rPr>
      </w:pPr>
      <w:r>
        <w:rPr>
          <w:rFonts w:hint="eastAsia"/>
          <w:sz w:val="24"/>
        </w:rPr>
        <w:t>项目编号：</w:t>
      </w:r>
    </w:p>
    <w:p>
      <w:pPr>
        <w:rPr>
          <w:sz w:val="24"/>
        </w:rPr>
      </w:pPr>
      <w:r>
        <w:rPr>
          <w:rFonts w:hint="eastAsia"/>
          <w:sz w:val="24"/>
        </w:rPr>
        <w:t>项目名称：</w:t>
      </w:r>
    </w:p>
    <w:tbl>
      <w:tblPr>
        <w:tblStyle w:val="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供应商名称（盖章）</w:t>
            </w:r>
          </w:p>
        </w:tc>
        <w:tc>
          <w:tcPr>
            <w:tcW w:w="68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联系人姓名</w:t>
            </w:r>
          </w:p>
        </w:tc>
        <w:tc>
          <w:tcPr>
            <w:tcW w:w="68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联系人电话（办公电话和手机）</w:t>
            </w:r>
          </w:p>
        </w:tc>
        <w:tc>
          <w:tcPr>
            <w:tcW w:w="68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联系人邮箱</w:t>
            </w:r>
          </w:p>
        </w:tc>
        <w:tc>
          <w:tcPr>
            <w:tcW w:w="68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kern w:val="0"/>
                <w:sz w:val="24"/>
              </w:rPr>
            </w:pPr>
            <w:r>
              <w:rPr>
                <w:rFonts w:hint="eastAsia" w:cs="宋体" w:asciiTheme="minorEastAsia" w:hAnsiTheme="minorEastAsia"/>
                <w:kern w:val="0"/>
                <w:sz w:val="24"/>
              </w:rPr>
              <w:t>供应商提供的</w:t>
            </w:r>
          </w:p>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报名资料</w:t>
            </w: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2.</w:t>
            </w:r>
            <w:r>
              <w:rPr>
                <w:rFonts w:hint="eastAsia"/>
                <w:sz w:val="24"/>
                <w:lang w:eastAsia="zh-CN"/>
              </w:rPr>
              <w:t>近三年</w:t>
            </w:r>
            <w:r>
              <w:rPr>
                <w:rFonts w:hint="eastAsia"/>
                <w:sz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4.</w:t>
            </w:r>
            <w:r>
              <w:rPr>
                <w:rFonts w:hint="eastAsia"/>
                <w:color w:val="000000"/>
                <w:sz w:val="24"/>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rPr>
                <w:sz w:val="24"/>
              </w:rPr>
            </w:pPr>
            <w:r>
              <w:rPr>
                <w:rFonts w:hint="eastAsia"/>
                <w:color w:val="000000"/>
                <w:sz w:val="24"/>
              </w:rPr>
              <w:t>6.在“信用中国”(www.creditchina.gov.cn)上查询无“失信惩戒”信息，未被列入重大税收违法案件当事人名单，在“中国政府采购网（www.ccgp.gov.cn）”上查询未被列入政府采购严重违法失信行为记录名单。（查询时点为本项目发布征集供应商名单公告之日起至投标截止之日止，提供网页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85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outlineLvl w:val="0"/>
              <w:rPr>
                <w:sz w:val="24"/>
              </w:rPr>
            </w:pPr>
            <w:r>
              <w:rPr>
                <w:rFonts w:hint="eastAsia"/>
                <w:sz w:val="24"/>
              </w:rPr>
              <w:t>7.</w:t>
            </w:r>
            <w:r>
              <w:rPr>
                <w:rFonts w:hint="eastAsia"/>
                <w:color w:val="000000"/>
                <w:sz w:val="24"/>
              </w:rPr>
              <w:t>提供资格要求内的特定条件。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02" w:type="dxa"/>
            <w:tcBorders>
              <w:left w:val="single" w:color="auto" w:sz="4" w:space="0"/>
              <w:bottom w:val="single" w:color="auto" w:sz="4" w:space="0"/>
              <w:right w:val="single" w:color="auto" w:sz="4" w:space="0"/>
            </w:tcBorders>
            <w:vAlign w:val="center"/>
          </w:tcPr>
          <w:p>
            <w:pPr>
              <w:widowControl/>
              <w:jc w:val="left"/>
              <w:rPr>
                <w:rFonts w:ascii="宋体" w:hAnsi="宋体" w:cs="宋体"/>
                <w:b/>
                <w:kern w:val="0"/>
                <w:sz w:val="24"/>
              </w:rPr>
            </w:pPr>
            <w:r>
              <w:rPr>
                <w:rFonts w:hint="eastAsia" w:ascii="宋体" w:hAnsi="宋体" w:cs="宋体"/>
                <w:b/>
                <w:kern w:val="0"/>
                <w:sz w:val="24"/>
              </w:rPr>
              <w:t>供应商意见</w:t>
            </w:r>
          </w:p>
        </w:tc>
        <w:tc>
          <w:tcPr>
            <w:tcW w:w="6855" w:type="dxa"/>
            <w:tcBorders>
              <w:top w:val="single" w:color="auto" w:sz="4" w:space="0"/>
              <w:left w:val="single" w:color="auto" w:sz="4" w:space="0"/>
              <w:bottom w:val="single" w:color="auto" w:sz="4" w:space="0"/>
              <w:right w:val="single" w:color="auto" w:sz="4" w:space="0"/>
            </w:tcBorders>
          </w:tcPr>
          <w:p>
            <w:pPr>
              <w:rPr>
                <w:b/>
                <w:sz w:val="24"/>
              </w:rPr>
            </w:pPr>
            <w:r>
              <w:rPr>
                <w:rFonts w:hint="eastAsia"/>
                <w:b/>
                <w:sz w:val="24"/>
              </w:rPr>
              <w:t>供应商可对本项目采购需求的公正性、专业性、合理性等提出自己正确的意见、建议等（可另页详细表述）。</w:t>
            </w:r>
          </w:p>
        </w:tc>
      </w:tr>
    </w:tbl>
    <w:p>
      <w:pPr>
        <w:pStyle w:val="5"/>
        <w:shd w:val="clear" w:color="auto" w:fill="FFFFFF"/>
        <w:spacing w:before="150" w:beforeAutospacing="0" w:after="150" w:afterAutospacing="0" w:line="360" w:lineRule="atLeast"/>
        <w:ind w:firstLine="241" w:firstLineChars="100"/>
        <w:rPr>
          <w:rStyle w:val="8"/>
        </w:rPr>
      </w:pPr>
      <w:r>
        <w:rPr>
          <w:rStyle w:val="8"/>
          <w:rFonts w:hint="eastAsia"/>
        </w:rPr>
        <w:t>注意事项：</w:t>
      </w:r>
    </w:p>
    <w:p>
      <w:pPr>
        <w:widowControl/>
        <w:ind w:firstLine="240" w:firstLineChars="100"/>
        <w:jc w:val="left"/>
        <w:rPr>
          <w:b/>
          <w:bCs/>
          <w:color w:val="FF0000"/>
          <w:sz w:val="24"/>
          <w:szCs w:val="28"/>
        </w:rPr>
      </w:pPr>
      <w:r>
        <w:rPr>
          <w:rFonts w:hint="eastAsia"/>
          <w:color w:val="000000"/>
          <w:sz w:val="24"/>
          <w:szCs w:val="28"/>
        </w:rPr>
        <w:t>1.供应商必须严格按照公告的内容和要求，完整递交有关资料，</w:t>
      </w:r>
      <w:r>
        <w:rPr>
          <w:rFonts w:hint="eastAsia"/>
          <w:b/>
          <w:bCs/>
          <w:color w:val="FF0000"/>
          <w:sz w:val="24"/>
          <w:szCs w:val="28"/>
        </w:rPr>
        <w:t>逾期递交的将予以拒收。</w:t>
      </w:r>
    </w:p>
    <w:p>
      <w:pPr>
        <w:widowControl/>
        <w:ind w:firstLine="240" w:firstLineChars="100"/>
        <w:jc w:val="left"/>
        <w:rPr>
          <w:b/>
          <w:bCs/>
          <w:color w:val="FF0000"/>
          <w:sz w:val="24"/>
          <w:szCs w:val="28"/>
        </w:rPr>
      </w:pPr>
      <w:r>
        <w:rPr>
          <w:rFonts w:hint="eastAsia"/>
          <w:color w:val="000000"/>
          <w:sz w:val="24"/>
          <w:szCs w:val="28"/>
        </w:rPr>
        <w:t>2.供应商所递交的资料（全部盖有单位公章）必须为一般常用电脑办公软件能够读取的清晰、易于辨识的彩色电子扫描件、照片（相关证书和证明材料的原件）,并对其他递交资料内容的真实性、有效性及完整性负责，</w:t>
      </w:r>
      <w:r>
        <w:rPr>
          <w:rFonts w:hint="eastAsia"/>
          <w:b/>
          <w:bCs/>
          <w:color w:val="FF0000"/>
          <w:sz w:val="24"/>
          <w:szCs w:val="28"/>
        </w:rPr>
        <w:t>如提供文件资料有错漏、模糊不清、复印件的电子扫描件、照片、无法读取识别或弄虚作假等，一律属于无效文件。</w:t>
      </w:r>
    </w:p>
    <w:p>
      <w:r>
        <w:rPr>
          <w:rFonts w:hint="eastAsia"/>
          <w:color w:val="000000"/>
          <w:sz w:val="24"/>
          <w:szCs w:val="28"/>
        </w:rPr>
        <w:t>3.须在邮件（附件文件名注明公司全称）注明公司全称、项目名称及项目编号（不注明我单位将拒收报名邮件）。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ACC6"/>
    <w:multiLevelType w:val="singleLevel"/>
    <w:tmpl w:val="16DCACC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4F3AA8"/>
    <w:rsid w:val="4A043F56"/>
    <w:rsid w:val="598D0AF3"/>
    <w:rsid w:val="7AD3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3">
    <w:name w:val="Normal Indent"/>
    <w:basedOn w:val="1"/>
    <w:qFormat/>
    <w:uiPriority w:val="0"/>
    <w:pPr>
      <w:ind w:firstLine="420"/>
    </w:pPr>
    <w:rPr>
      <w:sz w:val="21"/>
      <w:szCs w:val="20"/>
    </w:rPr>
  </w:style>
  <w:style w:type="paragraph" w:styleId="4">
    <w:name w:val="Body Text 2"/>
    <w:basedOn w:val="1"/>
    <w:qFormat/>
    <w:uiPriority w:val="0"/>
    <w:pPr>
      <w:adjustRightInd w:val="0"/>
      <w:snapToGrid w:val="0"/>
      <w:spacing w:line="480" w:lineRule="atLeast"/>
    </w:pPr>
    <w:rPr>
      <w:rFonts w:ascii="宋体" w:hAnsi="宋体"/>
      <w:szCs w:val="20"/>
    </w:rPr>
  </w:style>
  <w:style w:type="paragraph" w:styleId="5">
    <w:name w:val="Normal (Web)"/>
    <w:basedOn w:val="1"/>
    <w:unhideWhenUsed/>
    <w:qFormat/>
    <w:uiPriority w:val="0"/>
    <w:pPr>
      <w:spacing w:beforeAutospacing="1" w:afterAutospacing="1"/>
      <w:jc w:val="left"/>
    </w:pPr>
    <w:rPr>
      <w:rFonts w:ascii="Calibri" w:hAnsi="Calibri"/>
      <w:kern w:val="0"/>
      <w:sz w:val="24"/>
      <w:szCs w:val="22"/>
    </w:rPr>
  </w:style>
  <w:style w:type="character" w:styleId="8">
    <w:name w:val="Strong"/>
    <w:qFormat/>
    <w:uiPriority w:val="0"/>
    <w:rPr>
      <w:b/>
      <w:bCs/>
    </w:rPr>
  </w:style>
  <w:style w:type="paragraph" w:customStyle="1" w:styleId="9">
    <w:name w:val="表格文字"/>
    <w:basedOn w:val="1"/>
    <w:qFormat/>
    <w:uiPriority w:val="0"/>
    <w:pPr>
      <w:spacing w:before="25" w:after="25"/>
      <w:jc w:val="left"/>
    </w:pPr>
    <w:rPr>
      <w:bCs/>
      <w:spacing w:val="10"/>
      <w:kern w:val="0"/>
      <w:sz w:val="24"/>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2020-09-15T07:39:00Z</dcterms:created>
  <dc:creator>Administrator</dc:creator>
  <cp:lastModifiedBy>Administrator</cp:lastModifiedBy>
  <dcterms:modified xsi:type="dcterms:W3CDTF">2020-09-15T08:32:22Z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