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附件：</w:t>
      </w:r>
    </w:p>
    <w:p>
      <w:pPr>
        <w:spacing w:line="360" w:lineRule="auto"/>
        <w:jc w:val="center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阳新县人民医院</w:t>
      </w:r>
      <w:r>
        <w:rPr>
          <w:rFonts w:hint="eastAsia"/>
          <w:sz w:val="32"/>
          <w:szCs w:val="32"/>
          <w:lang w:eastAsia="zh-CN"/>
        </w:rPr>
        <w:t>牙椅一批</w:t>
      </w:r>
      <w:r>
        <w:rPr>
          <w:rFonts w:hint="eastAsia"/>
          <w:sz w:val="32"/>
          <w:szCs w:val="32"/>
        </w:rPr>
        <w:t>采购项目采购需求</w:t>
      </w:r>
      <w:r>
        <w:rPr>
          <w:rFonts w:hint="eastAsia"/>
          <w:sz w:val="32"/>
          <w:szCs w:val="32"/>
          <w:lang w:val="en-US" w:eastAsia="zh-CN"/>
        </w:rPr>
        <w:t>及供应商报名表</w:t>
      </w:r>
    </w:p>
    <w:p>
      <w:pPr>
        <w:spacing w:line="360" w:lineRule="auto"/>
        <w:jc w:val="center"/>
        <w:rPr>
          <w:sz w:val="24"/>
          <w:szCs w:val="24"/>
        </w:rPr>
      </w:pPr>
    </w:p>
    <w:p>
      <w:pPr>
        <w:numPr>
          <w:ilvl w:val="0"/>
          <w:numId w:val="2"/>
        </w:numPr>
        <w:spacing w:line="500" w:lineRule="exact"/>
        <w:rPr>
          <w:rFonts w:hint="eastAsia"/>
          <w:color w:val="000000"/>
          <w:sz w:val="24"/>
          <w:szCs w:val="24"/>
        </w:rPr>
      </w:pPr>
      <w:bookmarkStart w:id="0" w:name="_Toc118467468"/>
      <w:bookmarkStart w:id="1" w:name="_Toc244580128"/>
      <w:r>
        <w:rPr>
          <w:rFonts w:hint="eastAsia"/>
          <w:color w:val="000000"/>
          <w:sz w:val="24"/>
          <w:szCs w:val="24"/>
        </w:rPr>
        <w:t>采购清单。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3133"/>
        <w:gridCol w:w="832"/>
        <w:gridCol w:w="851"/>
        <w:gridCol w:w="2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3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序 号</w:t>
            </w:r>
          </w:p>
        </w:tc>
        <w:tc>
          <w:tcPr>
            <w:tcW w:w="3133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名 称</w:t>
            </w:r>
          </w:p>
        </w:tc>
        <w:tc>
          <w:tcPr>
            <w:tcW w:w="832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数 量</w:t>
            </w:r>
          </w:p>
        </w:tc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单 位</w:t>
            </w:r>
          </w:p>
        </w:tc>
        <w:tc>
          <w:tcPr>
            <w:tcW w:w="2417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3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1</w:t>
            </w:r>
          </w:p>
        </w:tc>
        <w:tc>
          <w:tcPr>
            <w:tcW w:w="3133" w:type="dxa"/>
            <w:vAlign w:val="center"/>
          </w:tcPr>
          <w:p>
            <w:pPr>
              <w:spacing w:line="440" w:lineRule="exact"/>
              <w:jc w:val="center"/>
              <w:rPr>
                <w:bCs/>
                <w:color w:val="000000" w:themeColor="text1"/>
                <w:sz w:val="24"/>
                <w:vertAlign w:val="baseline"/>
                <w:lang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bidi="ar-EG"/>
              </w:rPr>
              <w:t>种植牙椅</w:t>
            </w:r>
          </w:p>
        </w:tc>
        <w:tc>
          <w:tcPr>
            <w:tcW w:w="832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2</w:t>
            </w:r>
          </w:p>
        </w:tc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套</w:t>
            </w:r>
          </w:p>
        </w:tc>
        <w:tc>
          <w:tcPr>
            <w:tcW w:w="2417" w:type="dxa"/>
            <w:vAlign w:val="center"/>
          </w:tcPr>
          <w:p>
            <w:pPr>
              <w:spacing w:line="440" w:lineRule="exact"/>
              <w:jc w:val="center"/>
              <w:rPr>
                <w:bCs/>
                <w:color w:val="000000" w:themeColor="text1"/>
                <w:sz w:val="24"/>
                <w:vertAlign w:val="baseline"/>
                <w:lang w:bidi="ar-EG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3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2</w:t>
            </w:r>
          </w:p>
        </w:tc>
        <w:tc>
          <w:tcPr>
            <w:tcW w:w="3133" w:type="dxa"/>
            <w:vAlign w:val="center"/>
          </w:tcPr>
          <w:p>
            <w:pPr>
              <w:spacing w:line="440" w:lineRule="exact"/>
              <w:jc w:val="center"/>
              <w:rPr>
                <w:bCs/>
                <w:color w:val="000000" w:themeColor="text1"/>
                <w:sz w:val="24"/>
                <w:vertAlign w:val="baseline"/>
                <w:lang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bidi="ar-EG"/>
              </w:rPr>
              <w:t>综合治疗牙椅</w:t>
            </w:r>
          </w:p>
        </w:tc>
        <w:tc>
          <w:tcPr>
            <w:tcW w:w="832" w:type="dxa"/>
            <w:vAlign w:val="center"/>
          </w:tcPr>
          <w:p>
            <w:pPr>
              <w:spacing w:line="440" w:lineRule="exact"/>
              <w:jc w:val="center"/>
              <w:rPr>
                <w:rFonts w:hint="default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11</w:t>
            </w:r>
          </w:p>
        </w:tc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</w:pPr>
            <w:r>
              <w:rPr>
                <w:rFonts w:hint="eastAsia"/>
                <w:bCs/>
                <w:color w:val="000000" w:themeColor="text1"/>
                <w:sz w:val="24"/>
                <w:vertAlign w:val="baseline"/>
                <w:lang w:val="en-US" w:eastAsia="zh-CN" w:bidi="ar-EG"/>
              </w:rPr>
              <w:t>套</w:t>
            </w:r>
          </w:p>
        </w:tc>
        <w:tc>
          <w:tcPr>
            <w:tcW w:w="2417" w:type="dxa"/>
            <w:vAlign w:val="center"/>
          </w:tcPr>
          <w:p>
            <w:pPr>
              <w:spacing w:line="440" w:lineRule="exact"/>
              <w:jc w:val="center"/>
              <w:rPr>
                <w:bCs/>
                <w:color w:val="000000" w:themeColor="text1"/>
                <w:sz w:val="24"/>
                <w:vertAlign w:val="baseline"/>
                <w:lang w:bidi="ar-EG"/>
              </w:rPr>
            </w:pPr>
          </w:p>
        </w:tc>
      </w:tr>
    </w:tbl>
    <w:p>
      <w:pPr>
        <w:numPr>
          <w:ilvl w:val="0"/>
          <w:numId w:val="0"/>
        </w:numPr>
        <w:spacing w:line="500" w:lineRule="exact"/>
        <w:rPr>
          <w:rFonts w:hint="eastAsia"/>
          <w:color w:val="000000"/>
          <w:sz w:val="24"/>
          <w:szCs w:val="24"/>
        </w:rPr>
      </w:pPr>
    </w:p>
    <w:p>
      <w:pPr>
        <w:numPr>
          <w:ilvl w:val="0"/>
          <w:numId w:val="2"/>
        </w:numPr>
        <w:spacing w:line="500" w:lineRule="exact"/>
        <w:ind w:left="0" w:leftChars="0" w:firstLine="0" w:firstLineChars="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技术、服务等要求。</w:t>
      </w:r>
    </w:p>
    <w:p>
      <w:pPr>
        <w:pStyle w:val="4"/>
        <w:numPr>
          <w:ilvl w:val="0"/>
          <w:numId w:val="3"/>
        </w:numPr>
        <w:tabs>
          <w:tab w:val="left" w:pos="84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种植牙椅</w:t>
      </w:r>
    </w:p>
    <w:p>
      <w:pPr>
        <w:pStyle w:val="4"/>
        <w:numPr>
          <w:ilvl w:val="0"/>
          <w:numId w:val="4"/>
        </w:numPr>
        <w:tabs>
          <w:tab w:val="left" w:pos="112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配置清单；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电动椅（安全保护）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有缝座垫（环保皮）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落地式箱体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不锈钢器械盘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水/气/电总开关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圆型脚踏开关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脚控装置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三用喷枪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>冷/热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LED-6手术灯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>感应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双扶手设计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医用水/气管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可折叠、双关节头枕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助手架装置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>不锈钢托盘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医生座椅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医生座椅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九个记忆位控制系统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>集成电脑板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外置净水装置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陶瓷痰盂缸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>可拆卸/旋转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numPr>
          <w:ilvl w:val="0"/>
          <w:numId w:val="5"/>
        </w:numPr>
        <w:spacing w:line="360" w:lineRule="auto"/>
        <w:ind w:left="425" w:leftChars="0" w:firstLine="135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内置式地箱</w:t>
      </w:r>
      <w:r>
        <w:rPr>
          <w:rFonts w:hint="eastAsia"/>
          <w:sz w:val="24"/>
          <w:szCs w:val="24"/>
          <w:lang w:eastAsia="zh-CN"/>
        </w:rPr>
        <w:t>；</w:t>
      </w:r>
    </w:p>
    <w:p>
      <w:pPr>
        <w:bidi w:val="0"/>
        <w:rPr>
          <w:rFonts w:hint="default"/>
          <w:lang w:val="en-US" w:eastAsia="zh-CN"/>
        </w:rPr>
      </w:pPr>
    </w:p>
    <w:p>
      <w:pPr>
        <w:pStyle w:val="4"/>
        <w:numPr>
          <w:ilvl w:val="0"/>
          <w:numId w:val="4"/>
        </w:numPr>
        <w:tabs>
          <w:tab w:val="left" w:pos="112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工作条件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气源：无油；在0.6MPa的气压条件下，流量＞50L/min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水源：硬度＜25度；在0.20MPa水压条件下，流量＞10L/min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电源：a.c.220V，50Hz，10A，350VA，接地保护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操作环境：温度5℃～40℃，相对湿度30％～75％；压力高度≤3000m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运输环境：温度5℃～40℃，相对湿度≤80％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numPr>
          <w:ilvl w:val="0"/>
          <w:numId w:val="6"/>
        </w:numPr>
        <w:tabs>
          <w:tab w:val="left" w:pos="1400"/>
        </w:tabs>
        <w:spacing w:line="360" w:lineRule="auto"/>
        <w:ind w:left="425" w:leftChars="0" w:firstLine="135" w:firstLineChars="0"/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</w:rPr>
        <w:t>操作空间：长≥4m，宽≥3m，高≥2m；地面平整且偏斜角度小于0.5°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szCs w:val="24"/>
          <w:lang w:eastAsia="zh-CN"/>
        </w:rPr>
        <w:t>；</w:t>
      </w:r>
    </w:p>
    <w:p>
      <w:pPr>
        <w:bidi w:val="0"/>
        <w:rPr>
          <w:rFonts w:hint="default"/>
          <w:lang w:val="en-US" w:eastAsia="zh-CN"/>
        </w:rPr>
      </w:pPr>
    </w:p>
    <w:p>
      <w:pPr>
        <w:pStyle w:val="4"/>
        <w:numPr>
          <w:ilvl w:val="0"/>
          <w:numId w:val="4"/>
        </w:numPr>
        <w:tabs>
          <w:tab w:val="clear" w:pos="420"/>
        </w:tabs>
        <w:ind w:left="1120" w:leftChars="0" w:hanging="54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控制系统：全电脑控制操作系统，集成电脑板，主、付、脚三控均采用USB接口连接，主控板及助手控板设有电脑触摸式近键，电脑控制面板具有特殊位置的九个记忆功能；牙科椅的升降、复位、冷光灯、冲盂、漱口水、加热手器等功能操作键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主箱体：落地式箱体，可做到防腐，防锈，不褪色，二折式助手架便于四手操作和设备维护；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器械盘：移动式推车器械台不锈钢器械盘设计，挂架与器械盘连为一体，整体紧凑简洁，使用更方便；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器械臂：机械装置锁定平衡臂，臂关节采用平面轴承，整个器械臂推拉自如，带不锈钢器械盘；</w:t>
      </w:r>
    </w:p>
    <w:p>
      <w:pPr>
        <w:pStyle w:val="4"/>
        <w:numPr>
          <w:ilvl w:val="0"/>
          <w:numId w:val="4"/>
        </w:numPr>
        <w:tabs>
          <w:tab w:val="left" w:pos="112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水、气管</w:t>
      </w:r>
    </w:p>
    <w:p>
      <w:pPr>
        <w:pStyle w:val="4"/>
        <w:numPr>
          <w:ilvl w:val="0"/>
          <w:numId w:val="7"/>
        </w:numPr>
        <w:tabs>
          <w:tab w:val="left" w:pos="1120"/>
        </w:tabs>
        <w:ind w:left="425" w:leftChars="0" w:firstLine="135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 w:eastAsia="宋体"/>
          <w:sz w:val="24"/>
          <w:szCs w:val="24"/>
          <w:lang w:val="en-US" w:eastAsia="zh-CN"/>
        </w:rPr>
        <w:t>整机采用专业医用水气管线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 w:eastAsia="宋体"/>
          <w:sz w:val="24"/>
          <w:szCs w:val="24"/>
          <w:lang w:val="en-US" w:eastAsia="zh-CN"/>
        </w:rPr>
        <w:t>防老</w:t>
      </w:r>
      <w:r>
        <w:rPr>
          <w:rFonts w:hint="default"/>
          <w:sz w:val="24"/>
          <w:szCs w:val="24"/>
          <w:lang w:val="en-US" w:eastAsia="zh-CN"/>
        </w:rPr>
        <w:t>化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防腐蚀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耐</w:t>
      </w:r>
      <w:r>
        <w:rPr>
          <w:rFonts w:hint="eastAsia"/>
          <w:sz w:val="24"/>
          <w:szCs w:val="24"/>
          <w:lang w:val="en-US" w:eastAsia="zh-CN"/>
        </w:rPr>
        <w:t>高压；</w:t>
      </w:r>
    </w:p>
    <w:p>
      <w:pPr>
        <w:pStyle w:val="4"/>
        <w:numPr>
          <w:ilvl w:val="0"/>
          <w:numId w:val="7"/>
        </w:numPr>
        <w:tabs>
          <w:tab w:val="left" w:pos="112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 w:eastAsia="宋体"/>
          <w:sz w:val="24"/>
          <w:szCs w:val="24"/>
          <w:lang w:val="en-US" w:eastAsia="zh-CN"/>
        </w:rPr>
        <w:t>独特的水流疏导设计，可以有效防止水流飞溅</w:t>
      </w:r>
      <w:r>
        <w:rPr>
          <w:rFonts w:hint="eastAsia" w:eastAsia="宋体"/>
          <w:sz w:val="24"/>
          <w:szCs w:val="24"/>
          <w:lang w:val="en-US" w:eastAsia="zh-CN"/>
        </w:rPr>
        <w:t>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痰盂：陶瓷痰盂和无锐缘光滑设计的主体，可90度旋转，可拆卸、易于清洁消毒；下水流畅，下水速度不少于4L/min；</w:t>
      </w:r>
    </w:p>
    <w:p>
      <w:pPr>
        <w:pStyle w:val="4"/>
        <w:numPr>
          <w:ilvl w:val="0"/>
          <w:numId w:val="4"/>
        </w:numPr>
        <w:tabs>
          <w:tab w:val="left" w:pos="1120"/>
        </w:tabs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观片灯：内置式低压LED观片灯，光照均匀、明亮；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LED-6口腔手术灯（1套）：圆形6孔手术灯，豪华、大气、感应、无级可调LED冷光灯，手柄可拆卸，可高温高压消毒；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冲盂漱口定量给水自动控制系统：电磁阀控制冲盂、漱口水，可设定给水时间，漱口水配有可自动加热恒温系统；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强力吸引器、吸唾器：中央负压带选位阀强力吸引器，吸唾器；工程塑料手柄，可调节吸力大小，可高温高压消毒；强、弱吸连通管实现快插接头，带有清洗过滤网装置，方便拆卸；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气控脚开关：脚开关具有机椅复合功能，可控制高、低速手机工作，实现高速手机干、温转及吸屑气；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净化水系统：采用自动泻压与增压，可灵活选择自来水或纯净水，也满足管路消毒需要牙科椅，全电脑控制操作，具有自动复位、吐痰位、特殊记忆功能，主控板及副控板均有电脑摸式按键；动力系统采用直流静音电机，上电机3500N/金属, 下电机8000N/金属；内置式地箱；机椅互锁装置，靠背及椅身处设有安全保护装置；头枕可任意调节及锁定；宽体牙椅，牙椅皮垫采用环保超纤皮革缝制而成，耐磨、耐压,不易变色；牙科椅为双扶手设计，外侧扶手可依需要打开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整体外观：整机外观端庄、大气, 颇具欧美流线设计风格，无论医生、患者都倍感轻松、舒适；</w:t>
      </w:r>
    </w:p>
    <w:p>
      <w:pPr>
        <w:pStyle w:val="4"/>
        <w:numPr>
          <w:ilvl w:val="0"/>
          <w:numId w:val="4"/>
        </w:numPr>
        <w:tabs>
          <w:tab w:val="left" w:pos="1120"/>
          <w:tab w:val="clear" w:pos="420"/>
        </w:tabs>
        <w:ind w:left="1120" w:leftChars="0" w:hanging="56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医生转椅（2张）：医生座椅可升降，最低椅位为440mm,行程120 mm，靠背可独立上下前后调节；</w:t>
      </w:r>
    </w:p>
    <w:p>
      <w:pPr>
        <w:pStyle w:val="4"/>
        <w:numPr>
          <w:ilvl w:val="0"/>
          <w:numId w:val="0"/>
        </w:numPr>
        <w:tabs>
          <w:tab w:val="left" w:pos="1120"/>
        </w:tabs>
        <w:ind w:left="560" w:leftChars="0"/>
        <w:rPr>
          <w:rFonts w:hint="default" w:eastAsia="宋体"/>
          <w:sz w:val="24"/>
          <w:szCs w:val="24"/>
          <w:lang w:val="en-US" w:eastAsia="zh-CN"/>
        </w:rPr>
      </w:pPr>
    </w:p>
    <w:p>
      <w:pPr>
        <w:pStyle w:val="4"/>
        <w:numPr>
          <w:ilvl w:val="0"/>
          <w:numId w:val="3"/>
        </w:numPr>
        <w:ind w:left="425" w:leftChars="0" w:firstLine="135" w:firstLineChars="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bCs/>
          <w:color w:val="000000" w:themeColor="text1"/>
          <w:sz w:val="24"/>
          <w:vertAlign w:val="baseline"/>
          <w:lang w:val="en-US" w:eastAsia="zh-CN" w:bidi="ar-EG"/>
        </w:rPr>
        <w:t xml:space="preserve">   </w:t>
      </w:r>
      <w:r>
        <w:rPr>
          <w:rFonts w:hint="eastAsia"/>
          <w:bCs/>
          <w:color w:val="000000" w:themeColor="text1"/>
          <w:sz w:val="24"/>
          <w:vertAlign w:val="baseline"/>
          <w:lang w:bidi="ar-EG"/>
        </w:rPr>
        <w:t>综合治疗牙椅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配置清单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内置式地箱：1套；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外置式储水罐：1套；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圆型脚踏开关：1套；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电动椅脚控装置：1套；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强/弱吸唾装置：1套；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助手架组合装置：1套；  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LED观片灯：1套；     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LED-4口腔灯（感应）：1套；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三用喷枪（冷/热）：1套；  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医用水/气管：1套；  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水/气/电总开关装置 ：1套；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可拆卸双关节头枕：1套；   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可旋转/拆卸玻璃痰盂缸 ：1套；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冲痰/漱口定量给水系统：1套；        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24V直流静音电动椅（安全保护）：1套；  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集成电脑板控制系统（三个记忆位）：1套；  </w:t>
      </w:r>
    </w:p>
    <w:p>
      <w:pPr>
        <w:pStyle w:val="4"/>
        <w:numPr>
          <w:ilvl w:val="0"/>
          <w:numId w:val="9"/>
        </w:numPr>
        <w:ind w:left="425" w:leftChars="0" w:firstLine="13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下挂工具盘（互锁功能/可旋转手机支架）：1套；   </w:t>
      </w:r>
    </w:p>
    <w:p>
      <w:pPr>
        <w:pStyle w:val="4"/>
        <w:numPr>
          <w:ilvl w:val="0"/>
          <w:numId w:val="0"/>
        </w:numPr>
        <w:ind w:left="560" w:leftChars="0"/>
        <w:rPr>
          <w:rFonts w:hint="eastAsia"/>
          <w:lang w:val="en-US" w:eastAsia="zh-CN"/>
        </w:rPr>
      </w:pP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工作条件</w:t>
      </w:r>
    </w:p>
    <w:p>
      <w:pPr>
        <w:pStyle w:val="4"/>
        <w:numPr>
          <w:ilvl w:val="0"/>
          <w:numId w:val="10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电源电压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a.c.220V-230V/50Hz</w:t>
      </w:r>
      <w:r>
        <w:rPr>
          <w:rFonts w:hint="eastAsia"/>
          <w:lang w:val="en-US" w:eastAsia="zh-CN"/>
        </w:rPr>
        <w:t>；</w:t>
      </w:r>
    </w:p>
    <w:p>
      <w:pPr>
        <w:pStyle w:val="4"/>
        <w:numPr>
          <w:ilvl w:val="0"/>
          <w:numId w:val="10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水源水压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0.2-0.4MPa/2.0-4.0bar</w:t>
      </w:r>
      <w:r>
        <w:rPr>
          <w:rFonts w:hint="eastAsia"/>
          <w:lang w:val="en-US" w:eastAsia="zh-CN"/>
        </w:rPr>
        <w:t>；</w:t>
      </w:r>
    </w:p>
    <w:p>
      <w:pPr>
        <w:pStyle w:val="4"/>
        <w:numPr>
          <w:ilvl w:val="0"/>
          <w:numId w:val="10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气源气压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0.55-0.8MPa/5.5-8.0bar</w:t>
      </w:r>
      <w:r>
        <w:rPr>
          <w:rFonts w:hint="eastAsia"/>
          <w:lang w:val="en-US" w:eastAsia="zh-CN"/>
        </w:rPr>
        <w:t>；</w:t>
      </w:r>
    </w:p>
    <w:p>
      <w:pPr>
        <w:pStyle w:val="4"/>
        <w:numPr>
          <w:ilvl w:val="0"/>
          <w:numId w:val="10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气源排量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&gt;55L/min</w:t>
      </w:r>
      <w:r>
        <w:rPr>
          <w:rFonts w:hint="eastAsia"/>
          <w:lang w:val="en-US" w:eastAsia="zh-CN"/>
        </w:rPr>
        <w:t>；</w:t>
      </w:r>
    </w:p>
    <w:p>
      <w:pPr>
        <w:pStyle w:val="4"/>
        <w:numPr>
          <w:ilvl w:val="0"/>
          <w:numId w:val="0"/>
        </w:numPr>
        <w:ind w:left="560" w:leftChars="0"/>
        <w:rPr>
          <w:rFonts w:hint="default"/>
          <w:lang w:val="en-US" w:eastAsia="zh-CN"/>
        </w:rPr>
      </w:pP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外观</w:t>
      </w:r>
      <w:r>
        <w:rPr>
          <w:rFonts w:hint="eastAsia"/>
          <w:lang w:val="en-US" w:eastAsia="zh-CN"/>
        </w:rPr>
        <w:t>：整机外观端庄、大气，颇具欧美流线设计风格，根据人体工程学设计，无论是患者或医生都倍感舒适、轻松；无木质结构的病人电动椅，全方位任意角度头枕适合小孩和老人；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牙椅坐垫</w:t>
      </w:r>
      <w:r>
        <w:rPr>
          <w:rFonts w:hint="eastAsia"/>
          <w:lang w:val="en-US" w:eastAsia="zh-CN"/>
        </w:rPr>
        <w:t>：有缝环保皮；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主箱体</w:t>
      </w:r>
      <w:r>
        <w:rPr>
          <w:rFonts w:hint="eastAsia"/>
          <w:lang w:val="en-US" w:eastAsia="zh-CN"/>
        </w:rPr>
        <w:t>：采用注塑工艺制作，可做到防腐，防锈，不褪色；二折式助手架便于四手操作和设备维护；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净化水系统</w:t>
      </w:r>
      <w:r>
        <w:rPr>
          <w:rFonts w:hint="eastAsia"/>
          <w:lang w:val="en-US" w:eastAsia="zh-CN"/>
        </w:rPr>
        <w:t>：</w:t>
      </w:r>
      <w:r>
        <w:rPr>
          <w:rFonts w:hint="eastAsia" w:ascii="宋体" w:hAnsi="宋体" w:cs="宋体"/>
          <w:szCs w:val="21"/>
        </w:rPr>
        <w:t>手机三用枪独立供水，可灵活选择自来水或纯净水，也满足管路消毒需要</w:t>
      </w:r>
      <w:r>
        <w:rPr>
          <w:rFonts w:hint="eastAsia" w:ascii="宋体" w:hAnsi="宋体" w:cs="宋体"/>
          <w:szCs w:val="21"/>
          <w:lang w:eastAsia="zh-CN"/>
        </w:rPr>
        <w:t>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控制系统</w:t>
      </w:r>
      <w:r>
        <w:rPr>
          <w:rFonts w:hint="eastAsia"/>
          <w:lang w:val="en-US" w:eastAsia="zh-CN"/>
        </w:rPr>
        <w:t>：全电脑控制操作系统，稳定耐用，主、副、脚三控均采用USB接口连接；集成电脑板，电脑控制面板具有特殊位置的三个记忆功能、一键复位功能和吐痰位功能；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病人座椅</w:t>
      </w:r>
      <w:r>
        <w:rPr>
          <w:rFonts w:hint="eastAsia"/>
          <w:lang w:val="en-US" w:eastAsia="zh-CN"/>
        </w:rPr>
        <w:t>：全电脑控制操作，具有自动复位、吐痰位、特殊记忆功能；主控板及副控板均有电脑模式按键；动力系统采用直流静音电机，上电机3500N/金属，下电机8000/金属;机椅互锁装置，靠背及椅身处设有安全保护装置；头枕可任意调节及锁定；牙椅皮垫采用无缝PU皮，耐磨、耐压、不易变色；牙科椅为双扶手设计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器械盘</w:t>
      </w:r>
      <w:r>
        <w:rPr>
          <w:rFonts w:hint="eastAsia"/>
          <w:lang w:val="en-US" w:eastAsia="zh-CN"/>
        </w:rPr>
        <w:t>：下挂式连体器械盘设计，可以和病人椅同升降，锁定后可承重达3kg。手机及洁牙机挂架可90°旋转，每个手机可独立调节气压、水量及雾化量。同时具备手机废油收集及消音；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器械臂</w:t>
      </w:r>
      <w:r>
        <w:rPr>
          <w:rFonts w:hint="eastAsia"/>
          <w:highlight w:val="none"/>
          <w:lang w:val="en-US" w:eastAsia="zh-CN"/>
        </w:rPr>
        <w:t>：使用气锁固定，按下气锁开关可轻松调节；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highlight w:val="none"/>
          <w:lang w:val="en-US" w:eastAsia="zh-CN"/>
        </w:rPr>
        <w:t>水/气管</w:t>
      </w:r>
      <w:r>
        <w:rPr>
          <w:rFonts w:hint="eastAsia"/>
          <w:highlight w:val="none"/>
          <w:lang w:val="en-US" w:eastAsia="zh-CN"/>
        </w:rPr>
        <w:t>：整机采用电机，医用水气管线，</w:t>
      </w:r>
      <w:r>
        <w:rPr>
          <w:rFonts w:hint="eastAsia"/>
          <w:lang w:val="en-US" w:eastAsia="zh-CN"/>
        </w:rPr>
        <w:t>防老化、防磨蚀、耐高压；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痰盂缸</w:t>
      </w:r>
      <w:r>
        <w:rPr>
          <w:rFonts w:hint="eastAsia"/>
          <w:lang w:val="en-US" w:eastAsia="zh-CN"/>
        </w:rPr>
        <w:t>：玻璃痰盂和无锐缘光滑设计的主体，可拆卸、可旋转、易于清洁消毒；下水流畅，下水速度不少于4L/min；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观片灯</w:t>
      </w:r>
      <w:r>
        <w:rPr>
          <w:rFonts w:hint="eastAsia"/>
          <w:lang w:val="en-US" w:eastAsia="zh-CN"/>
        </w:rPr>
        <w:t>：内置式低压LED观片灯，光照均匀、明亮；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LED-4口腔灯</w:t>
      </w:r>
      <w:r>
        <w:rPr>
          <w:rFonts w:hint="eastAsia"/>
          <w:lang w:val="en-US" w:eastAsia="zh-CN"/>
        </w:rPr>
        <w:t>：LED光源，感应控制，亮度感应调节，白光、黄光、暖光三种光度可以选择，双扶手的设计让病人更有安全感；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冲盂/漱口定量给水自动控制系统</w:t>
      </w:r>
      <w:r>
        <w:rPr>
          <w:rFonts w:hint="eastAsia"/>
          <w:lang w:val="en-US" w:eastAsia="zh-CN"/>
        </w:rPr>
        <w:t>：电磁阀控制冲盂、漱口水，可设定给水时间，漱口水配有可自动加热恒温系统；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强力吸引器/吸唾器</w:t>
      </w:r>
      <w:r>
        <w:rPr>
          <w:rFonts w:hint="eastAsia"/>
          <w:lang w:val="en-US" w:eastAsia="zh-CN"/>
        </w:rPr>
        <w:t>：电磁阀控制；强吸ABS手柄，可调节吸力大小，强、弱吸连通管实现快插接头，带有清洗过滤网装置，方便拆卸；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气控脚开关</w:t>
      </w:r>
      <w:r>
        <w:rPr>
          <w:rFonts w:hint="eastAsia"/>
          <w:lang w:val="en-US" w:eastAsia="zh-CN"/>
        </w:rPr>
        <w:t>：脚开关具有机椅复合功能，可控制高、低速手机工作，实现高速手机干、温转吸屑气，也可控制牙科椅的升降，俯仰动作；</w:t>
      </w:r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安全设置</w:t>
      </w:r>
      <w:r>
        <w:rPr>
          <w:rFonts w:hint="eastAsia"/>
          <w:lang w:val="en-US" w:eastAsia="zh-CN"/>
        </w:rPr>
        <w:t>：当脚踏被踩下时病人椅锁定，使得治疗过程更加平稳、安全。病人椅背受力时病人椅自动升起保护医生腿部不受压迫。椅背后设急停按钮为医生为患者提供安全保障；</w:t>
      </w:r>
      <w:bookmarkStart w:id="2" w:name="_GoBack"/>
      <w:bookmarkEnd w:id="2"/>
    </w:p>
    <w:p>
      <w:pPr>
        <w:pStyle w:val="4"/>
        <w:numPr>
          <w:ilvl w:val="0"/>
          <w:numId w:val="8"/>
        </w:numPr>
        <w:ind w:left="425" w:leftChars="0" w:firstLine="135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医生转椅</w:t>
      </w:r>
      <w:r>
        <w:rPr>
          <w:rFonts w:hint="eastAsia"/>
          <w:lang w:val="en-US"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2把</w:t>
      </w:r>
      <w:r>
        <w:rPr>
          <w:rFonts w:hint="eastAsia"/>
          <w:lang w:val="en-US" w:eastAsia="zh-CN"/>
        </w:rPr>
        <w:t>）：</w:t>
      </w:r>
      <w:r>
        <w:rPr>
          <w:rFonts w:hint="eastAsia" w:ascii="宋体" w:hAnsi="宋体" w:cs="宋体"/>
          <w:szCs w:val="21"/>
          <w:lang w:val="en-US" w:eastAsia="zh-CN"/>
        </w:rPr>
        <w:t>医生座椅，方便医生和护士进行四手操作，</w:t>
      </w:r>
      <w:r>
        <w:rPr>
          <w:rFonts w:hint="eastAsia" w:ascii="宋体" w:hAnsi="宋体" w:cs="宋体"/>
          <w:szCs w:val="21"/>
        </w:rPr>
        <w:t>医生座椅可升降，最低椅位为</w:t>
      </w:r>
      <w:r>
        <w:rPr>
          <w:rFonts w:ascii="宋体" w:hAnsi="宋体" w:cs="宋体"/>
          <w:szCs w:val="21"/>
        </w:rPr>
        <w:t>440mm,</w:t>
      </w:r>
      <w:r>
        <w:rPr>
          <w:rFonts w:hint="eastAsia" w:ascii="宋体" w:hAnsi="宋体" w:cs="宋体"/>
          <w:szCs w:val="21"/>
        </w:rPr>
        <w:t>行程</w:t>
      </w:r>
      <w:r>
        <w:rPr>
          <w:rFonts w:ascii="宋体" w:hAnsi="宋体" w:cs="宋体"/>
          <w:szCs w:val="21"/>
        </w:rPr>
        <w:t>120mm</w:t>
      </w:r>
      <w:r>
        <w:rPr>
          <w:rFonts w:hint="eastAsia" w:ascii="宋体" w:hAnsi="宋体" w:cs="宋体"/>
          <w:szCs w:val="21"/>
          <w:lang w:eastAsia="zh-CN"/>
        </w:rPr>
        <w:t>；</w:t>
      </w:r>
    </w:p>
    <w:p>
      <w:pPr>
        <w:pStyle w:val="4"/>
        <w:numPr>
          <w:ilvl w:val="0"/>
          <w:numId w:val="0"/>
        </w:numPr>
        <w:ind w:left="560" w:leftChars="0"/>
        <w:rPr>
          <w:rFonts w:hint="default"/>
          <w:lang w:val="en-US" w:eastAsia="zh-CN"/>
        </w:rPr>
      </w:pPr>
    </w:p>
    <w:p>
      <w:pPr>
        <w:numPr>
          <w:ilvl w:val="0"/>
          <w:numId w:val="2"/>
        </w:numPr>
        <w:spacing w:line="500" w:lineRule="exact"/>
        <w:ind w:left="0" w:leftChars="0" w:firstLine="0" w:firstLineChars="0"/>
        <w:rPr>
          <w:rFonts w:hint="eastAsia"/>
          <w:color w:val="000000"/>
          <w:szCs w:val="28"/>
        </w:rPr>
      </w:pPr>
      <w:r>
        <w:rPr>
          <w:rFonts w:hint="eastAsia"/>
          <w:color w:val="000000"/>
          <w:szCs w:val="28"/>
        </w:rPr>
        <w:t>国家相关行政主管部门颁布的强制标准、规范：采购内容需执行的国家相关标准、行业标准、地方标准或者其他标准、规范。</w:t>
      </w:r>
    </w:p>
    <w:p>
      <w:pPr>
        <w:numPr>
          <w:ilvl w:val="0"/>
          <w:numId w:val="0"/>
        </w:numPr>
        <w:spacing w:line="500" w:lineRule="exact"/>
        <w:ind w:leftChars="0"/>
        <w:rPr>
          <w:rFonts w:hint="eastAsia"/>
          <w:color w:val="000000"/>
          <w:szCs w:val="28"/>
        </w:rPr>
      </w:pPr>
    </w:p>
    <w:p>
      <w:pPr>
        <w:spacing w:line="500" w:lineRule="exact"/>
        <w:rPr>
          <w:rFonts w:hint="eastAsia"/>
          <w:color w:val="000000"/>
          <w:szCs w:val="28"/>
        </w:rPr>
      </w:pPr>
      <w:r>
        <w:rPr>
          <w:rFonts w:hint="eastAsia"/>
          <w:color w:val="000000"/>
          <w:szCs w:val="28"/>
        </w:rPr>
        <w:t>四、商务要求</w:t>
      </w:r>
    </w:p>
    <w:p>
      <w:pPr>
        <w:spacing w:line="500" w:lineRule="exact"/>
        <w:ind w:firstLine="411" w:firstLineChars="196"/>
        <w:rPr>
          <w:rFonts w:hint="eastAsia"/>
          <w:color w:val="000000"/>
          <w:szCs w:val="28"/>
        </w:rPr>
      </w:pPr>
      <w:r>
        <w:rPr>
          <w:rFonts w:hint="eastAsia"/>
          <w:color w:val="000000"/>
          <w:szCs w:val="28"/>
        </w:rPr>
        <w:t>说明：</w:t>
      </w:r>
      <w:r>
        <w:rPr>
          <w:rFonts w:hint="eastAsia"/>
          <w:color w:val="000000"/>
          <w:szCs w:val="28"/>
          <w:lang w:val="en-US" w:eastAsia="zh-CN"/>
        </w:rPr>
        <w:t>供应商</w:t>
      </w:r>
      <w:r>
        <w:rPr>
          <w:rFonts w:hint="eastAsia"/>
          <w:color w:val="000000"/>
          <w:szCs w:val="28"/>
        </w:rPr>
        <w:t>在</w:t>
      </w:r>
      <w:r>
        <w:rPr>
          <w:rFonts w:hint="eastAsia"/>
          <w:color w:val="000000"/>
          <w:szCs w:val="28"/>
          <w:lang w:val="en-US" w:eastAsia="zh-CN"/>
        </w:rPr>
        <w:t>谈判响应</w:t>
      </w:r>
      <w:r>
        <w:rPr>
          <w:rFonts w:hint="eastAsia"/>
          <w:color w:val="000000"/>
          <w:szCs w:val="28"/>
        </w:rPr>
        <w:t>文件《商务要求响应、偏离说明表》中应对以下逐条商务要求进行响应描述或偏离说明。不满足以下要求的，其投标按照无效投标处理。</w:t>
      </w:r>
    </w:p>
    <w:p>
      <w:pPr>
        <w:spacing w:line="500" w:lineRule="exact"/>
        <w:rPr>
          <w:rFonts w:hint="eastAsia"/>
          <w:color w:val="000000"/>
          <w:szCs w:val="28"/>
          <w:highlight w:val="none"/>
        </w:rPr>
      </w:pPr>
    </w:p>
    <w:p>
      <w:pPr>
        <w:spacing w:line="500" w:lineRule="exact"/>
        <w:rPr>
          <w:rFonts w:hint="eastAsia"/>
          <w:color w:val="000000"/>
          <w:szCs w:val="28"/>
          <w:highlight w:val="none"/>
        </w:rPr>
      </w:pPr>
      <w:r>
        <w:rPr>
          <w:rFonts w:hint="eastAsia"/>
          <w:color w:val="000000"/>
          <w:szCs w:val="28"/>
          <w:highlight w:val="none"/>
        </w:rPr>
        <w:t>1、交货期：签定合同后按合同和谈判、谈判响应文件约定的要求和标准进行交货验收，交货期为签定合同后3</w:t>
      </w:r>
      <w:r>
        <w:rPr>
          <w:rFonts w:hint="eastAsia"/>
          <w:color w:val="000000"/>
          <w:szCs w:val="28"/>
          <w:highlight w:val="none"/>
          <w:lang w:val="en-US" w:eastAsia="zh-CN"/>
        </w:rPr>
        <w:t>0（日历天）</w:t>
      </w:r>
      <w:r>
        <w:rPr>
          <w:rFonts w:hint="eastAsia"/>
          <w:color w:val="000000"/>
          <w:szCs w:val="28"/>
          <w:highlight w:val="none"/>
        </w:rPr>
        <w:t>内。“交货期”指所有货物运抵现场安装调试完毕后交付用户验收的日期。</w:t>
      </w:r>
    </w:p>
    <w:p>
      <w:pPr>
        <w:spacing w:line="500" w:lineRule="exact"/>
        <w:rPr>
          <w:rFonts w:hint="eastAsia"/>
          <w:color w:val="000000"/>
          <w:szCs w:val="28"/>
          <w:highlight w:val="none"/>
        </w:rPr>
      </w:pPr>
      <w:r>
        <w:rPr>
          <w:rFonts w:hint="eastAsia"/>
          <w:color w:val="000000"/>
          <w:szCs w:val="28"/>
          <w:highlight w:val="none"/>
        </w:rPr>
        <w:t>2、交货地点：</w:t>
      </w:r>
      <w:r>
        <w:rPr>
          <w:rFonts w:hint="eastAsia"/>
          <w:highlight w:val="none"/>
        </w:rPr>
        <w:t>阳新县人民医院指定地点。</w:t>
      </w:r>
    </w:p>
    <w:p>
      <w:pPr>
        <w:spacing w:line="500" w:lineRule="exact"/>
        <w:rPr>
          <w:rFonts w:hint="eastAsia"/>
          <w:highlight w:val="none"/>
        </w:rPr>
      </w:pPr>
      <w:r>
        <w:rPr>
          <w:rFonts w:hint="eastAsia"/>
          <w:color w:val="000000"/>
          <w:szCs w:val="28"/>
          <w:highlight w:val="none"/>
        </w:rPr>
        <w:t>3、质保期：</w:t>
      </w:r>
      <w:r>
        <w:rPr>
          <w:rFonts w:hint="eastAsia"/>
          <w:highlight w:val="none"/>
        </w:rPr>
        <w:t>整机保修1年，终身维修，维修人员服务响应时间不超过24小时。</w:t>
      </w:r>
    </w:p>
    <w:p>
      <w:pPr>
        <w:spacing w:line="500" w:lineRule="exact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4、人员培训：装机现场培训，同时提供设备的使用说明和相关注意事项。</w:t>
      </w:r>
    </w:p>
    <w:p>
      <w:pPr>
        <w:spacing w:line="500" w:lineRule="exact"/>
        <w:rPr>
          <w:rFonts w:hint="eastAsia"/>
          <w:highlight w:val="none"/>
        </w:rPr>
      </w:pPr>
      <w:r>
        <w:rPr>
          <w:rFonts w:hint="eastAsia"/>
          <w:color w:val="000000"/>
          <w:szCs w:val="28"/>
          <w:highlight w:val="none"/>
          <w:lang w:val="en-US" w:eastAsia="zh-CN"/>
        </w:rPr>
        <w:t>5</w:t>
      </w:r>
      <w:r>
        <w:rPr>
          <w:rFonts w:hint="eastAsia"/>
          <w:color w:val="000000"/>
          <w:szCs w:val="28"/>
          <w:highlight w:val="none"/>
        </w:rPr>
        <w:t>、付款方式：</w:t>
      </w:r>
      <w:r>
        <w:rPr>
          <w:rFonts w:hint="eastAsia"/>
          <w:highlight w:val="none"/>
          <w:lang w:val="en-US" w:eastAsia="zh-CN"/>
        </w:rPr>
        <w:t>验收合格</w:t>
      </w:r>
      <w:r>
        <w:rPr>
          <w:rFonts w:hint="eastAsia"/>
          <w:highlight w:val="none"/>
        </w:rPr>
        <w:t>后付全款的90%，余下10%质保期结束后付清。</w:t>
      </w:r>
    </w:p>
    <w:p>
      <w:pPr>
        <w:spacing w:line="500" w:lineRule="exact"/>
        <w:rPr>
          <w:sz w:val="24"/>
        </w:rPr>
      </w:pPr>
      <w:r>
        <w:rPr>
          <w:rFonts w:hint="eastAsia"/>
          <w:lang w:val="en-US" w:eastAsia="zh-CN"/>
        </w:rPr>
        <w:t>6、本项目采购预算控制金额为69.2万元整，超出预算控制金额将导致其谈判无效。</w:t>
      </w:r>
    </w:p>
    <w:p>
      <w:pPr>
        <w:spacing w:line="440" w:lineRule="exact"/>
        <w:ind w:firstLine="480" w:firstLineChars="200"/>
        <w:jc w:val="left"/>
        <w:rPr>
          <w:sz w:val="24"/>
        </w:rPr>
      </w:pPr>
    </w:p>
    <w:bookmarkEnd w:id="0"/>
    <w:bookmarkEnd w:id="1"/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br w:type="page"/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供应商报名表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项目编号：</w:t>
      </w:r>
      <w:r>
        <w:rPr>
          <w:sz w:val="24"/>
          <w:szCs w:val="24"/>
          <w:u w:val="single"/>
        </w:rPr>
        <w:t xml:space="preserve">                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项目名称：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               </w:t>
      </w:r>
      <w:r>
        <w:rPr>
          <w:sz w:val="24"/>
          <w:szCs w:val="24"/>
        </w:rPr>
        <w:t xml:space="preserve">                       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6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供应商名称（盖章）</w:t>
            </w:r>
          </w:p>
        </w:tc>
        <w:tc>
          <w:tcPr>
            <w:tcW w:w="6288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联系人姓名</w:t>
            </w:r>
          </w:p>
        </w:tc>
        <w:tc>
          <w:tcPr>
            <w:tcW w:w="6288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联系人电话（办公电话和手机）</w:t>
            </w:r>
          </w:p>
        </w:tc>
        <w:tc>
          <w:tcPr>
            <w:tcW w:w="6288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联系人邮箱</w:t>
            </w:r>
          </w:p>
        </w:tc>
        <w:tc>
          <w:tcPr>
            <w:tcW w:w="6288" w:type="dxa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ascii="宋体" w:cs="宋体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restart"/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供应商提供的</w:t>
            </w:r>
          </w:p>
          <w:p>
            <w:pPr>
              <w:widowControl/>
              <w:spacing w:before="100" w:beforeAutospacing="1" w:after="100" w:afterAutospacing="1"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报名资料</w:t>
            </w: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</w:rPr>
              <w:t>法人或者其他组织的营业执照等证明文件，如供应商是自然人的提供身份证明材料。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财务状况报告，依法缴纳税收和社会保障资金的相关材料。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>具备履行合同所必需的设备和专业技术能力的证明材料。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rFonts w:hint="eastAsia"/>
                <w:sz w:val="24"/>
                <w:szCs w:val="24"/>
              </w:rPr>
              <w:t>参加政府采购活动前</w:t>
            </w: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年内在经营活动中没有重大违法记录的书面声明。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rFonts w:hint="eastAsia"/>
                <w:sz w:val="24"/>
                <w:szCs w:val="24"/>
              </w:rPr>
              <w:t>具备法律、行政法规规定的其他条件的证明材料。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>
              <w:rPr>
                <w:rFonts w:hint="eastAsia"/>
                <w:sz w:val="24"/>
                <w:szCs w:val="24"/>
              </w:rPr>
              <w:t>未被列入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“信用中国”网站（</w:t>
            </w:r>
            <w:r>
              <w:rPr>
                <w:sz w:val="24"/>
                <w:szCs w:val="24"/>
              </w:rPr>
              <w:t>www.creditchina.gov.cn</w:t>
            </w:r>
            <w:r>
              <w:rPr>
                <w:rFonts w:hint="eastAsia"/>
                <w:sz w:val="24"/>
                <w:szCs w:val="24"/>
              </w:rPr>
              <w:t>）失信被执行人、重大税收违法案件当事人名单</w:t>
            </w:r>
            <w:r>
              <w:rPr>
                <w:rFonts w:hint="eastAsia" w:ascii="宋体" w:hAnsi="宋体"/>
                <w:color w:val="000000" w:themeColor="text1"/>
                <w:sz w:val="24"/>
              </w:rPr>
              <w:t>和“中国政府采购”网站（</w:t>
            </w:r>
            <w:r>
              <w:rPr>
                <w:rFonts w:ascii="宋体" w:hAnsi="宋体"/>
                <w:color w:val="000000" w:themeColor="text1"/>
                <w:sz w:val="24"/>
              </w:rPr>
              <w:t>www.ccgp.gov.cn</w:t>
            </w:r>
            <w:r>
              <w:rPr>
                <w:rFonts w:hint="eastAsia" w:ascii="宋体" w:hAnsi="宋体"/>
                <w:color w:val="000000" w:themeColor="text1"/>
                <w:sz w:val="24"/>
              </w:rPr>
              <w:t>）政府采购严重违法失信行为记录名单</w:t>
            </w:r>
            <w:r>
              <w:rPr>
                <w:rFonts w:hint="eastAsia"/>
                <w:sz w:val="24"/>
                <w:szCs w:val="24"/>
              </w:rPr>
              <w:t>的网页打印件。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28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特定条件：</w:t>
            </w:r>
          </w:p>
          <w:p>
            <w:p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供应商所投产品</w:t>
            </w:r>
            <w:r>
              <w:rPr>
                <w:rFonts w:hint="eastAsia"/>
                <w:sz w:val="24"/>
                <w:szCs w:val="24"/>
              </w:rPr>
              <w:t>应具备医疗器械注册证</w:t>
            </w:r>
            <w:r>
              <w:rPr>
                <w:rFonts w:hint="eastAsia"/>
                <w:sz w:val="24"/>
                <w:szCs w:val="24"/>
                <w:lang w:eastAsia="zh-CN"/>
              </w:rPr>
              <w:t>；</w:t>
            </w:r>
          </w:p>
          <w:p>
            <w:p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（2）供应商应具备</w:t>
            </w:r>
            <w:r>
              <w:rPr>
                <w:rFonts w:hint="eastAsia"/>
                <w:sz w:val="24"/>
                <w:szCs w:val="24"/>
              </w:rPr>
              <w:t>医疗器械生产许可证或医疗器械经营许可证</w:t>
            </w:r>
            <w:r>
              <w:rPr>
                <w:rFonts w:hint="eastAsia"/>
                <w:sz w:val="24"/>
                <w:szCs w:val="24"/>
                <w:lang w:eastAsia="zh-CN"/>
              </w:rPr>
              <w:t>；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（3）</w:t>
            </w:r>
            <w:r>
              <w:rPr>
                <w:rFonts w:hint="eastAsia"/>
                <w:sz w:val="24"/>
                <w:szCs w:val="24"/>
              </w:rPr>
              <w:t>本项目不接受联合体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形式的投标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234" w:type="dxa"/>
            <w:vAlign w:val="center"/>
          </w:tcPr>
          <w:p>
            <w:pPr>
              <w:widowControl/>
              <w:jc w:val="left"/>
              <w:rPr>
                <w:rFonts w:asci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供应商意见</w:t>
            </w:r>
          </w:p>
        </w:tc>
        <w:tc>
          <w:tcPr>
            <w:tcW w:w="6288" w:type="dxa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供应商可对本项目采购需求的公正性、专业性、合理性等提出自己正确的意见、建议等（可另页详细表述）。</w:t>
            </w:r>
          </w:p>
        </w:tc>
      </w:tr>
    </w:tbl>
    <w:p>
      <w:pPr>
        <w:pStyle w:val="8"/>
        <w:shd w:val="clear" w:color="auto" w:fill="FFFFFF"/>
        <w:spacing w:before="150" w:beforeAutospacing="0" w:after="150" w:afterAutospacing="0" w:line="360" w:lineRule="atLeast"/>
        <w:ind w:left="150"/>
        <w:rPr>
          <w:rStyle w:val="12"/>
          <w:b w:val="0"/>
          <w:color w:val="000000"/>
        </w:rPr>
      </w:pPr>
      <w:r>
        <w:rPr>
          <w:rStyle w:val="12"/>
          <w:rFonts w:hint="eastAsia"/>
          <w:b w:val="0"/>
          <w:color w:val="000000"/>
        </w:rPr>
        <w:t>注意事项：</w:t>
      </w:r>
    </w:p>
    <w:p>
      <w:pPr>
        <w:pStyle w:val="8"/>
        <w:shd w:val="clear" w:color="auto" w:fill="FFFFFF"/>
        <w:spacing w:before="150" w:beforeAutospacing="0" w:after="150" w:afterAutospacing="0" w:line="360" w:lineRule="atLeast"/>
        <w:ind w:left="150" w:firstLine="480" w:firstLineChars="200"/>
        <w:rPr>
          <w:rStyle w:val="12"/>
          <w:b w:val="0"/>
          <w:color w:val="000000"/>
        </w:rPr>
      </w:pPr>
      <w:r>
        <w:rPr>
          <w:color w:val="000000"/>
        </w:rPr>
        <w:t>1.</w:t>
      </w:r>
      <w:r>
        <w:rPr>
          <w:rFonts w:hint="eastAsia"/>
          <w:color w:val="000000"/>
        </w:rPr>
        <w:t>供应商必须严格按照公告的内容和要求，完整递交有关资料，</w:t>
      </w:r>
      <w:r>
        <w:rPr>
          <w:rStyle w:val="12"/>
          <w:rFonts w:hint="eastAsia"/>
          <w:b w:val="0"/>
          <w:color w:val="000000"/>
        </w:rPr>
        <w:t>逾期递交的将予以拒收。</w:t>
      </w:r>
    </w:p>
    <w:p>
      <w:pPr>
        <w:pStyle w:val="8"/>
        <w:shd w:val="clear" w:color="auto" w:fill="FFFFFF"/>
        <w:spacing w:before="150" w:beforeAutospacing="0" w:after="150" w:afterAutospacing="0" w:line="360" w:lineRule="atLeast"/>
        <w:ind w:left="150" w:firstLine="480" w:firstLineChars="200"/>
        <w:rPr>
          <w:rFonts w:ascii="微软雅黑" w:hAnsi="微软雅黑" w:eastAsia="微软雅黑"/>
          <w:color w:val="000000"/>
          <w:sz w:val="18"/>
          <w:szCs w:val="18"/>
        </w:rPr>
      </w:pPr>
      <w:r>
        <w:rPr>
          <w:rFonts w:ascii="宋体" w:hAnsi="宋体" w:cs="宋体"/>
          <w:color w:val="000000"/>
          <w:szCs w:val="24"/>
        </w:rPr>
        <w:t>2.</w:t>
      </w:r>
      <w:r>
        <w:rPr>
          <w:rFonts w:hint="eastAsia" w:ascii="宋体" w:hAnsi="宋体" w:cs="宋体"/>
          <w:bCs/>
          <w:color w:val="000000"/>
          <w:szCs w:val="24"/>
        </w:rPr>
        <w:t>供应商所递交的资料（全部盖有单位公章）必须为一般常用电脑办公软件能够读取的清晰、易于辨识的彩色电子扫描件、照片（相关证书和证明材料的原件）</w:t>
      </w:r>
      <w:r>
        <w:rPr>
          <w:rFonts w:ascii="宋体" w:cs="宋体"/>
          <w:bCs/>
          <w:color w:val="000000"/>
          <w:szCs w:val="24"/>
        </w:rPr>
        <w:t>,</w:t>
      </w:r>
      <w:r>
        <w:rPr>
          <w:rFonts w:hint="eastAsia" w:ascii="宋体" w:hAnsi="宋体" w:cs="宋体"/>
          <w:bCs/>
          <w:color w:val="000000"/>
          <w:szCs w:val="24"/>
        </w:rPr>
        <w:t>并对其他递交资料内容的真实性、有效性及完整性负责，如提供文件资料有错漏、模糊不清、复印件的电子扫描件、照片、无法读取识别或弄虚作假等，一律属于无效文件。</w:t>
      </w:r>
      <w:r>
        <w:rPr>
          <w:rFonts w:ascii="宋体" w:hAnsi="宋体" w:cs="宋体"/>
          <w:bCs/>
          <w:color w:val="000000"/>
          <w:szCs w:val="24"/>
        </w:rPr>
        <w:t xml:space="preserve"> </w:t>
      </w:r>
    </w:p>
    <w:p>
      <w:pPr>
        <w:pStyle w:val="8"/>
        <w:shd w:val="clear" w:color="auto" w:fill="FFFFFF"/>
        <w:spacing w:before="150" w:beforeAutospacing="0" w:after="150" w:afterAutospacing="0" w:line="360" w:lineRule="atLeast"/>
        <w:ind w:left="150" w:firstLine="480" w:firstLineChars="200"/>
        <w:rPr>
          <w:sz w:val="24"/>
          <w:szCs w:val="24"/>
        </w:rPr>
      </w:pPr>
      <w:r>
        <w:rPr>
          <w:color w:val="000000"/>
        </w:rPr>
        <w:t>3.</w:t>
      </w:r>
      <w:r>
        <w:rPr>
          <w:rFonts w:hint="eastAsia"/>
          <w:color w:val="000000"/>
        </w:rPr>
        <w:t>须在邮件（附件文件名注明公司全称）注明公司全称、项目名称及项目编号（不注明我单位将拒收报名邮件）。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062E62"/>
    <w:multiLevelType w:val="singleLevel"/>
    <w:tmpl w:val="A5062E62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5" w:leftChars="0" w:hanging="425" w:firstLineChars="0"/>
      </w:pPr>
      <w:rPr>
        <w:rFonts w:hint="default" w:ascii="Cambria" w:hAnsi="Cambria"/>
      </w:rPr>
    </w:lvl>
  </w:abstractNum>
  <w:abstractNum w:abstractNumId="1">
    <w:nsid w:val="AE96B498"/>
    <w:multiLevelType w:val="singleLevel"/>
    <w:tmpl w:val="AE96B498"/>
    <w:lvl w:ilvl="0" w:tentative="0">
      <w:start w:val="1"/>
      <w:numFmt w:val="decimal"/>
      <w:lvlText w:val="1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B16135F9"/>
    <w:multiLevelType w:val="singleLevel"/>
    <w:tmpl w:val="B16135F9"/>
    <w:lvl w:ilvl="0" w:tentative="0">
      <w:start w:val="1"/>
      <w:numFmt w:val="decimal"/>
      <w:lvlText w:val="1.2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D37D3F96"/>
    <w:multiLevelType w:val="singleLevel"/>
    <w:tmpl w:val="D37D3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E03510AF"/>
    <w:multiLevelType w:val="singleLevel"/>
    <w:tmpl w:val="E03510AF"/>
    <w:lvl w:ilvl="0" w:tentative="0">
      <w:start w:val="1"/>
      <w:numFmt w:val="decimal"/>
      <w:lvlText w:val="1.1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5">
    <w:nsid w:val="E80C4888"/>
    <w:multiLevelType w:val="singleLevel"/>
    <w:tmpl w:val="E80C4888"/>
    <w:lvl w:ilvl="0" w:tentative="0">
      <w:start w:val="1"/>
      <w:numFmt w:val="decimal"/>
      <w:lvlText w:val="1.7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6">
    <w:nsid w:val="F7206094"/>
    <w:multiLevelType w:val="singleLevel"/>
    <w:tmpl w:val="F7206094"/>
    <w:lvl w:ilvl="0" w:tentative="0">
      <w:start w:val="1"/>
      <w:numFmt w:val="decimal"/>
      <w:lvlText w:val="2.1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7">
    <w:nsid w:val="1A3A561D"/>
    <w:multiLevelType w:val="singleLevel"/>
    <w:tmpl w:val="1A3A561D"/>
    <w:lvl w:ilvl="0" w:tentative="0">
      <w:start w:val="1"/>
      <w:numFmt w:val="decimal"/>
      <w:lvlText w:val="2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8">
    <w:nsid w:val="45C42C9A"/>
    <w:multiLevelType w:val="multilevel"/>
    <w:tmpl w:val="45C42C9A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1260"/>
        </w:tabs>
        <w:ind w:left="126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9">
    <w:nsid w:val="62B13A76"/>
    <w:multiLevelType w:val="singleLevel"/>
    <w:tmpl w:val="62B13A76"/>
    <w:lvl w:ilvl="0" w:tentative="0">
      <w:start w:val="1"/>
      <w:numFmt w:val="decimal"/>
      <w:lvlText w:val="2.2.%1.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DE9"/>
    <w:rsid w:val="00016BFD"/>
    <w:rsid w:val="00021D98"/>
    <w:rsid w:val="00026D00"/>
    <w:rsid w:val="000527BB"/>
    <w:rsid w:val="00056AED"/>
    <w:rsid w:val="0008654C"/>
    <w:rsid w:val="0009726D"/>
    <w:rsid w:val="000A6872"/>
    <w:rsid w:val="000D728B"/>
    <w:rsid w:val="00101CA6"/>
    <w:rsid w:val="00104393"/>
    <w:rsid w:val="00120CEA"/>
    <w:rsid w:val="00122B5C"/>
    <w:rsid w:val="00127B67"/>
    <w:rsid w:val="00162BF4"/>
    <w:rsid w:val="00174B5D"/>
    <w:rsid w:val="001B3DD1"/>
    <w:rsid w:val="00227C74"/>
    <w:rsid w:val="00241FC1"/>
    <w:rsid w:val="00247E29"/>
    <w:rsid w:val="00251305"/>
    <w:rsid w:val="00263FDD"/>
    <w:rsid w:val="0027306D"/>
    <w:rsid w:val="00286F91"/>
    <w:rsid w:val="002912E3"/>
    <w:rsid w:val="002C0DCE"/>
    <w:rsid w:val="002D3A86"/>
    <w:rsid w:val="002E6F83"/>
    <w:rsid w:val="002E70BC"/>
    <w:rsid w:val="00354132"/>
    <w:rsid w:val="00356FB9"/>
    <w:rsid w:val="0038354E"/>
    <w:rsid w:val="003A3307"/>
    <w:rsid w:val="003C173C"/>
    <w:rsid w:val="0042465C"/>
    <w:rsid w:val="00431D7E"/>
    <w:rsid w:val="004357AA"/>
    <w:rsid w:val="004451C8"/>
    <w:rsid w:val="00462B04"/>
    <w:rsid w:val="00465FFA"/>
    <w:rsid w:val="0048653B"/>
    <w:rsid w:val="004D26D1"/>
    <w:rsid w:val="0051396C"/>
    <w:rsid w:val="00526415"/>
    <w:rsid w:val="005517D8"/>
    <w:rsid w:val="00577CD8"/>
    <w:rsid w:val="00587588"/>
    <w:rsid w:val="006101C6"/>
    <w:rsid w:val="0067218F"/>
    <w:rsid w:val="006763BF"/>
    <w:rsid w:val="00680095"/>
    <w:rsid w:val="006A74A1"/>
    <w:rsid w:val="006B1667"/>
    <w:rsid w:val="006B566D"/>
    <w:rsid w:val="00710283"/>
    <w:rsid w:val="00714951"/>
    <w:rsid w:val="00731C4C"/>
    <w:rsid w:val="00770BDF"/>
    <w:rsid w:val="007E530D"/>
    <w:rsid w:val="0081133A"/>
    <w:rsid w:val="00841971"/>
    <w:rsid w:val="00843EA0"/>
    <w:rsid w:val="0085685E"/>
    <w:rsid w:val="00862199"/>
    <w:rsid w:val="008632F9"/>
    <w:rsid w:val="00877547"/>
    <w:rsid w:val="008D5B51"/>
    <w:rsid w:val="009111CF"/>
    <w:rsid w:val="00912E34"/>
    <w:rsid w:val="00917353"/>
    <w:rsid w:val="00965878"/>
    <w:rsid w:val="00973CEA"/>
    <w:rsid w:val="00984E78"/>
    <w:rsid w:val="009F57B7"/>
    <w:rsid w:val="00A06B58"/>
    <w:rsid w:val="00AC4743"/>
    <w:rsid w:val="00AC4FF6"/>
    <w:rsid w:val="00AC7064"/>
    <w:rsid w:val="00AD57E9"/>
    <w:rsid w:val="00AE0050"/>
    <w:rsid w:val="00B02FC2"/>
    <w:rsid w:val="00B37D97"/>
    <w:rsid w:val="00B422CC"/>
    <w:rsid w:val="00B87DB2"/>
    <w:rsid w:val="00BD15BE"/>
    <w:rsid w:val="00C045C9"/>
    <w:rsid w:val="00C04CDB"/>
    <w:rsid w:val="00C554DF"/>
    <w:rsid w:val="00C7441B"/>
    <w:rsid w:val="00C7583C"/>
    <w:rsid w:val="00C77263"/>
    <w:rsid w:val="00C8060B"/>
    <w:rsid w:val="00C81BC1"/>
    <w:rsid w:val="00C94576"/>
    <w:rsid w:val="00CA0AA0"/>
    <w:rsid w:val="00D049F5"/>
    <w:rsid w:val="00D239DE"/>
    <w:rsid w:val="00D34002"/>
    <w:rsid w:val="00D63126"/>
    <w:rsid w:val="00D64C90"/>
    <w:rsid w:val="00D665CD"/>
    <w:rsid w:val="00D9157E"/>
    <w:rsid w:val="00DA12FB"/>
    <w:rsid w:val="00DA3AC3"/>
    <w:rsid w:val="00DC47E0"/>
    <w:rsid w:val="00DD4640"/>
    <w:rsid w:val="00DE7188"/>
    <w:rsid w:val="00DE75E6"/>
    <w:rsid w:val="00E14B01"/>
    <w:rsid w:val="00E5330B"/>
    <w:rsid w:val="00E6320A"/>
    <w:rsid w:val="00E652DF"/>
    <w:rsid w:val="00E721AB"/>
    <w:rsid w:val="00E849D4"/>
    <w:rsid w:val="00E94B33"/>
    <w:rsid w:val="00EB4553"/>
    <w:rsid w:val="00EB5D3C"/>
    <w:rsid w:val="00EC51EB"/>
    <w:rsid w:val="00ED3F8E"/>
    <w:rsid w:val="00EF6F42"/>
    <w:rsid w:val="00F10D7E"/>
    <w:rsid w:val="00F27BC7"/>
    <w:rsid w:val="00F52DE9"/>
    <w:rsid w:val="00F67B38"/>
    <w:rsid w:val="00F76F50"/>
    <w:rsid w:val="00F83087"/>
    <w:rsid w:val="00FD4208"/>
    <w:rsid w:val="00FF19EE"/>
    <w:rsid w:val="036E1E2C"/>
    <w:rsid w:val="05357BDD"/>
    <w:rsid w:val="05EB380B"/>
    <w:rsid w:val="081669CA"/>
    <w:rsid w:val="0B706B75"/>
    <w:rsid w:val="0D662123"/>
    <w:rsid w:val="0DCB5D0A"/>
    <w:rsid w:val="13BB3CF4"/>
    <w:rsid w:val="158122A6"/>
    <w:rsid w:val="17867FBC"/>
    <w:rsid w:val="1A7F5A1A"/>
    <w:rsid w:val="1B2B3562"/>
    <w:rsid w:val="1D3A4920"/>
    <w:rsid w:val="202042A9"/>
    <w:rsid w:val="22584D7B"/>
    <w:rsid w:val="23E661CC"/>
    <w:rsid w:val="24AF6192"/>
    <w:rsid w:val="348827AB"/>
    <w:rsid w:val="357E4F48"/>
    <w:rsid w:val="38BD05F5"/>
    <w:rsid w:val="40586677"/>
    <w:rsid w:val="426E2F53"/>
    <w:rsid w:val="4631003F"/>
    <w:rsid w:val="4F1E5C9D"/>
    <w:rsid w:val="5045265C"/>
    <w:rsid w:val="54117053"/>
    <w:rsid w:val="570C6CFC"/>
    <w:rsid w:val="5A452253"/>
    <w:rsid w:val="5DB549BD"/>
    <w:rsid w:val="641512DC"/>
    <w:rsid w:val="68D24476"/>
    <w:rsid w:val="6CA64460"/>
    <w:rsid w:val="6F00649B"/>
    <w:rsid w:val="6FBC0A3F"/>
    <w:rsid w:val="70432682"/>
    <w:rsid w:val="758E099D"/>
    <w:rsid w:val="77471B72"/>
    <w:rsid w:val="7DA4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0" w:semiHidden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locked/>
    <w:uiPriority w:val="0"/>
    <w:pPr>
      <w:keepNext/>
      <w:keepLines/>
      <w:numPr>
        <w:ilvl w:val="1"/>
        <w:numId w:val="1"/>
      </w:numPr>
      <w:spacing w:before="260" w:after="260" w:line="416" w:lineRule="auto"/>
      <w:ind w:left="0" w:firstLine="0"/>
      <w:outlineLvl w:val="1"/>
    </w:pPr>
    <w:rPr>
      <w:rFonts w:ascii="Cambria" w:hAnsi="Cambria"/>
      <w:b/>
      <w:bCs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420" w:lineRule="auto"/>
    </w:pPr>
    <w:rPr>
      <w:sz w:val="24"/>
    </w:rPr>
  </w:style>
  <w:style w:type="paragraph" w:styleId="5">
    <w:name w:val="Balloon Text"/>
    <w:basedOn w:val="1"/>
    <w:link w:val="14"/>
    <w:qFormat/>
    <w:uiPriority w:val="99"/>
    <w:rPr>
      <w:sz w:val="18"/>
      <w:szCs w:val="18"/>
    </w:r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99"/>
    <w:rPr>
      <w:rFonts w:cs="Times New Roman"/>
      <w:b/>
      <w:bCs/>
    </w:rPr>
  </w:style>
  <w:style w:type="character" w:customStyle="1" w:styleId="13">
    <w:name w:val="标题 1 Char"/>
    <w:basedOn w:val="11"/>
    <w:link w:val="3"/>
    <w:qFormat/>
    <w:locked/>
    <w:uiPriority w:val="99"/>
    <w:rPr>
      <w:rFonts w:eastAsia="宋体" w:cs="Times New Roman"/>
      <w:b/>
      <w:bCs/>
      <w:kern w:val="44"/>
      <w:sz w:val="44"/>
      <w:szCs w:val="44"/>
    </w:rPr>
  </w:style>
  <w:style w:type="character" w:customStyle="1" w:styleId="14">
    <w:name w:val="批注框文本 Char"/>
    <w:basedOn w:val="11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页脚 Char"/>
    <w:basedOn w:val="11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眉 Char"/>
    <w:basedOn w:val="11"/>
    <w:link w:val="7"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3364</Words>
  <Characters>519</Characters>
  <Lines>4</Lines>
  <Paragraphs>7</Paragraphs>
  <TotalTime>64</TotalTime>
  <ScaleCrop>false</ScaleCrop>
  <LinksUpToDate>false</LinksUpToDate>
  <CharactersWithSpaces>3876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2017-04-17T01:17:00Z</dcterms:created>
  <dc:creator>wangh</dc:creator>
  <cp:lastModifiedBy>Administrator</cp:lastModifiedBy>
  <cp:lastPrinted>2020-09-24T06:15:00Z</cp:lastPrinted>
  <dcterms:modified xsi:type="dcterms:W3CDTF">2020-09-24T07:40:37Z</dcterms:modified>
  <dc:title>湖北省省级政府采购需求公示</dc:title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