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936" w:afterLines="300"/>
        <w:jc w:val="center"/>
        <w:rPr>
          <w:rFonts w:ascii="黑体" w:hAnsi="黑体" w:eastAsia="黑体"/>
          <w:b/>
          <w:color w:val="000000" w:themeColor="text1"/>
          <w:sz w:val="52"/>
          <w:szCs w:val="52"/>
          <w14:textFill>
            <w14:solidFill>
              <w14:schemeClr w14:val="tx1"/>
            </w14:solidFill>
          </w14:textFill>
        </w:rPr>
      </w:pPr>
    </w:p>
    <w:p>
      <w:pPr>
        <w:spacing w:after="936" w:afterLines="300"/>
        <w:jc w:val="center"/>
        <w:rPr>
          <w:rFonts w:ascii="黑体" w:hAnsi="黑体" w:eastAsia="黑体"/>
          <w:b/>
          <w:color w:val="000000" w:themeColor="text1"/>
          <w:sz w:val="52"/>
          <w:szCs w:val="52"/>
          <w14:textFill>
            <w14:solidFill>
              <w14:schemeClr w14:val="tx1"/>
            </w14:solidFill>
          </w14:textFill>
        </w:rPr>
      </w:pPr>
      <w:r>
        <w:rPr>
          <w:rFonts w:hint="eastAsia" w:ascii="黑体" w:hAnsi="黑体" w:eastAsia="黑体"/>
          <w:b/>
          <w:color w:val="000000" w:themeColor="text1"/>
          <w:sz w:val="52"/>
          <w:szCs w:val="52"/>
          <w14:textFill>
            <w14:solidFill>
              <w14:schemeClr w14:val="tx1"/>
            </w14:solidFill>
          </w14:textFill>
        </w:rPr>
        <w:t>阳新县县级政府采购</w:t>
      </w:r>
    </w:p>
    <w:p>
      <w:pPr>
        <w:spacing w:after="936" w:afterLines="3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招 标 文 件</w:t>
      </w:r>
    </w:p>
    <w:p>
      <w:pPr>
        <w:pStyle w:val="19"/>
      </w:pPr>
    </w:p>
    <w:p>
      <w:pPr>
        <w:spacing w:line="360" w:lineRule="auto"/>
        <w:ind w:left="2055" w:leftChars="619" w:right="1306" w:rightChars="622" w:hanging="755" w:hangingChars="209"/>
        <w:rPr>
          <w:rFonts w:ascii="黑体" w:hAnsi="黑体" w:eastAsia="黑体" w:cs="Times New Roman"/>
          <w:b/>
          <w:bCs/>
          <w:color w:val="000000" w:themeColor="text1"/>
          <w:sz w:val="36"/>
          <w:szCs w:val="24"/>
          <w14:textFill>
            <w14:solidFill>
              <w14:schemeClr w14:val="tx1"/>
            </w14:solidFill>
          </w14:textFill>
        </w:rPr>
      </w:pPr>
    </w:p>
    <w:p>
      <w:pPr>
        <w:spacing w:line="360" w:lineRule="auto"/>
        <w:ind w:left="2055" w:leftChars="619" w:right="1306" w:rightChars="622" w:hanging="755" w:hangingChars="209"/>
        <w:rPr>
          <w:rFonts w:ascii="黑体" w:hAnsi="黑体" w:eastAsia="黑体" w:cs="Times New Roman"/>
          <w:b/>
          <w:bCs/>
          <w:color w:val="000000" w:themeColor="text1"/>
          <w:sz w:val="36"/>
          <w:szCs w:val="24"/>
          <w14:textFill>
            <w14:solidFill>
              <w14:schemeClr w14:val="tx1"/>
            </w14:solidFill>
          </w14:textFill>
        </w:rPr>
      </w:pPr>
    </w:p>
    <w:p>
      <w:pPr>
        <w:spacing w:line="360" w:lineRule="auto"/>
        <w:ind w:right="1306" w:rightChars="622" w:firstLine="1084" w:firstLineChars="300"/>
        <w:rPr>
          <w:rFonts w:hint="default" w:ascii="华文中宋" w:hAnsi="华文中宋" w:eastAsia="黑体"/>
          <w:color w:val="000000" w:themeColor="text1"/>
          <w:sz w:val="32"/>
          <w:u w:val="single"/>
          <w:lang w:val="en-US" w:eastAsia="zh-CN"/>
          <w14:textFill>
            <w14:solidFill>
              <w14:schemeClr w14:val="tx1"/>
            </w14:solidFill>
          </w14:textFill>
        </w:rPr>
      </w:pPr>
      <w:r>
        <w:rPr>
          <w:rFonts w:hint="eastAsia" w:ascii="黑体" w:hAnsi="黑体" w:eastAsia="黑体" w:cs="Times New Roman"/>
          <w:b/>
          <w:bCs/>
          <w:color w:val="000000" w:themeColor="text1"/>
          <w:sz w:val="36"/>
          <w:szCs w:val="24"/>
          <w14:textFill>
            <w14:solidFill>
              <w14:schemeClr w14:val="tx1"/>
            </w14:solidFill>
          </w14:textFill>
        </w:rPr>
        <w:t>项目编号：131-2020CG-</w:t>
      </w:r>
      <w:r>
        <w:rPr>
          <w:rFonts w:hint="eastAsia" w:ascii="黑体" w:hAnsi="黑体" w:eastAsia="黑体" w:cs="Times New Roman"/>
          <w:b/>
          <w:bCs/>
          <w:color w:val="000000" w:themeColor="text1"/>
          <w:sz w:val="36"/>
          <w:szCs w:val="24"/>
          <w:lang w:val="en-US" w:eastAsia="zh-CN"/>
          <w14:textFill>
            <w14:solidFill>
              <w14:schemeClr w14:val="tx1"/>
            </w14:solidFill>
          </w14:textFill>
        </w:rPr>
        <w:t>206</w:t>
      </w:r>
    </w:p>
    <w:p>
      <w:pPr>
        <w:spacing w:line="360" w:lineRule="auto"/>
        <w:ind w:right="1306" w:rightChars="622" w:firstLine="1084" w:firstLineChars="300"/>
        <w:rPr>
          <w:rFonts w:ascii="宋体" w:hAnsi="宋体" w:eastAsia="黑体" w:cs="Times New Roman"/>
          <w:bCs/>
          <w:color w:val="000000" w:themeColor="text1"/>
          <w:sz w:val="36"/>
          <w:szCs w:val="24"/>
          <w14:textFill>
            <w14:solidFill>
              <w14:schemeClr w14:val="tx1"/>
            </w14:solidFill>
          </w14:textFill>
        </w:rPr>
      </w:pPr>
      <w:r>
        <w:rPr>
          <w:rFonts w:hint="eastAsia" w:ascii="黑体" w:hAnsi="黑体" w:eastAsia="黑体" w:cs="Times New Roman"/>
          <w:b/>
          <w:bCs/>
          <w:color w:val="000000" w:themeColor="text1"/>
          <w:sz w:val="36"/>
          <w:szCs w:val="24"/>
          <w14:textFill>
            <w14:solidFill>
              <w14:schemeClr w14:val="tx1"/>
            </w14:solidFill>
          </w14:textFill>
        </w:rPr>
        <w:t>采购人：</w:t>
      </w:r>
      <w:r>
        <w:rPr>
          <w:rFonts w:hint="eastAsia" w:ascii="宋体" w:hAnsi="宋体" w:eastAsia="黑体" w:cs="宋体"/>
          <w:color w:val="000000" w:themeColor="text1"/>
          <w:kern w:val="0"/>
          <w:sz w:val="32"/>
          <w:szCs w:val="32"/>
          <w:u w:val="single"/>
          <w14:textFill>
            <w14:solidFill>
              <w14:schemeClr w14:val="tx1"/>
            </w14:solidFill>
          </w14:textFill>
        </w:rPr>
        <w:t>阳新县教育局</w:t>
      </w:r>
    </w:p>
    <w:p>
      <w:pPr>
        <w:spacing w:line="360" w:lineRule="auto"/>
        <w:ind w:right="1306" w:rightChars="622" w:firstLine="1084" w:firstLineChars="300"/>
        <w:rPr>
          <w:rFonts w:ascii="宋体" w:hAnsi="宋体" w:eastAsia="黑体" w:cs="宋体"/>
          <w:color w:val="000000" w:themeColor="text1"/>
          <w:kern w:val="0"/>
          <w:sz w:val="32"/>
          <w:szCs w:val="32"/>
          <w:u w:val="single"/>
          <w14:textFill>
            <w14:solidFill>
              <w14:schemeClr w14:val="tx1"/>
            </w14:solidFill>
          </w14:textFill>
        </w:rPr>
      </w:pPr>
      <w:r>
        <w:rPr>
          <w:rFonts w:hint="eastAsia" w:ascii="黑体" w:hAnsi="黑体" w:eastAsia="黑体" w:cs="Times New Roman"/>
          <w:b/>
          <w:bCs/>
          <w:color w:val="000000" w:themeColor="text1"/>
          <w:sz w:val="36"/>
          <w:szCs w:val="24"/>
          <w14:textFill>
            <w14:solidFill>
              <w14:schemeClr w14:val="tx1"/>
            </w14:solidFill>
          </w14:textFill>
        </w:rPr>
        <w:t>项目名称：</w:t>
      </w:r>
      <w:r>
        <w:rPr>
          <w:rFonts w:hint="eastAsia" w:ascii="宋体" w:hAnsi="宋体" w:eastAsia="黑体" w:cs="宋体"/>
          <w:color w:val="000000" w:themeColor="text1"/>
          <w:kern w:val="0"/>
          <w:sz w:val="32"/>
          <w:szCs w:val="32"/>
          <w:u w:val="single"/>
          <w14:textFill>
            <w14:solidFill>
              <w14:schemeClr w14:val="tx1"/>
            </w14:solidFill>
          </w14:textFill>
        </w:rPr>
        <w:t>阳新县教育局2020年能力提升工程班班通教室设备采购项目</w:t>
      </w:r>
    </w:p>
    <w:p>
      <w:pPr>
        <w:spacing w:line="360" w:lineRule="auto"/>
        <w:ind w:right="1306" w:rightChars="622" w:firstLine="1084" w:firstLineChars="300"/>
        <w:rPr>
          <w:rFonts w:ascii="宋体" w:hAnsi="宋体" w:eastAsia="黑体" w:cs="宋体"/>
          <w:color w:val="000000" w:themeColor="text1"/>
          <w:kern w:val="0"/>
          <w:sz w:val="32"/>
          <w:szCs w:val="32"/>
          <w:u w:val="single"/>
          <w14:textFill>
            <w14:solidFill>
              <w14:schemeClr w14:val="tx1"/>
            </w14:solidFill>
          </w14:textFill>
        </w:rPr>
      </w:pPr>
      <w:r>
        <w:rPr>
          <w:rFonts w:hint="eastAsia" w:ascii="黑体" w:hAnsi="黑体" w:eastAsia="黑体" w:cs="Times New Roman"/>
          <w:b/>
          <w:bCs/>
          <w:color w:val="000000" w:themeColor="text1"/>
          <w:sz w:val="36"/>
          <w:szCs w:val="24"/>
          <w14:textFill>
            <w14:solidFill>
              <w14:schemeClr w14:val="tx1"/>
            </w14:solidFill>
          </w14:textFill>
        </w:rPr>
        <w:t>采购内容：</w:t>
      </w:r>
      <w:r>
        <w:rPr>
          <w:rFonts w:hint="eastAsia" w:ascii="宋体" w:hAnsi="宋体" w:eastAsia="黑体" w:cs="宋体"/>
          <w:color w:val="000000" w:themeColor="text1"/>
          <w:kern w:val="0"/>
          <w:sz w:val="32"/>
          <w:szCs w:val="32"/>
          <w:u w:val="single"/>
          <w14:textFill>
            <w14:solidFill>
              <w14:schemeClr w14:val="tx1"/>
            </w14:solidFill>
          </w14:textFill>
        </w:rPr>
        <w:t>班班通教室设备采购</w:t>
      </w:r>
    </w:p>
    <w:p>
      <w:pPr>
        <w:pStyle w:val="19"/>
      </w:pPr>
    </w:p>
    <w:p>
      <w:pPr>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衡正国际工程咨询有限公司</w:t>
      </w:r>
    </w:p>
    <w:p>
      <w:pPr>
        <w:jc w:val="center"/>
        <w:rPr>
          <w:rFonts w:ascii="黑体" w:hAnsi="黑体" w:eastAsia="黑体"/>
          <w:b/>
          <w:color w:val="000000" w:themeColor="text1"/>
          <w:sz w:val="44"/>
          <w14:textFill>
            <w14:solidFill>
              <w14:schemeClr w14:val="tx1"/>
            </w14:solidFill>
          </w14:textFill>
        </w:rPr>
      </w:pPr>
      <w:r>
        <w:rPr>
          <w:rFonts w:hint="eastAsia" w:ascii="黑体" w:hAnsi="黑体" w:eastAsia="黑体"/>
          <w:b/>
          <w:color w:val="000000" w:themeColor="text1"/>
          <w:sz w:val="44"/>
          <w14:textFill>
            <w14:solidFill>
              <w14:schemeClr w14:val="tx1"/>
            </w14:solidFill>
          </w14:textFill>
        </w:rPr>
        <w:t>2020年10月</w:t>
      </w:r>
    </w:p>
    <w:p>
      <w:pPr>
        <w:rPr>
          <w:color w:val="000000" w:themeColor="text1"/>
          <w14:textFill>
            <w14:solidFill>
              <w14:schemeClr w14:val="tx1"/>
            </w14:solidFill>
          </w14:textFill>
        </w:rPr>
        <w:sectPr>
          <w:headerReference r:id="rId3" w:type="default"/>
          <w:footerReference r:id="rId5" w:type="default"/>
          <w:headerReference r:id="rId4" w:type="even"/>
          <w:footerReference r:id="rId6" w:type="even"/>
          <w:pgSz w:w="11906" w:h="16838"/>
          <w:pgMar w:top="1522" w:right="1035" w:bottom="1134" w:left="991" w:header="680" w:footer="680" w:gutter="0"/>
          <w:cols w:space="425" w:num="1"/>
          <w:docGrid w:type="lines" w:linePitch="312" w:charSpace="0"/>
        </w:sectPr>
      </w:pPr>
    </w:p>
    <w:p>
      <w:pPr>
        <w:spacing w:before="312" w:beforeLines="100"/>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目   录</w:t>
      </w:r>
    </w:p>
    <w:sdt>
      <w:sdtPr>
        <w:rPr>
          <w:lang w:val="zh-CN"/>
        </w:rPr>
        <w:id w:val="1482579200"/>
      </w:sdtPr>
      <w:sdtEndPr>
        <w:rPr>
          <w:b w:val="0"/>
          <w:bCs/>
          <w:lang w:val="zh-CN"/>
        </w:rPr>
      </w:sdtEndPr>
      <w:sdtContent>
        <w:p>
          <w:pPr>
            <w:pStyle w:val="10"/>
            <w:tabs>
              <w:tab w:val="left" w:pos="1260"/>
              <w:tab w:val="right" w:leader="dot" w:pos="9514"/>
            </w:tabs>
          </w:pPr>
          <w:r>
            <w:fldChar w:fldCharType="begin"/>
          </w:r>
          <w:r>
            <w:instrText xml:space="preserve"> TOC \o "1-2" \h \z \u </w:instrText>
          </w:r>
          <w:r>
            <w:fldChar w:fldCharType="separate"/>
          </w:r>
        </w:p>
        <w:p>
          <w:pPr>
            <w:pStyle w:val="10"/>
            <w:tabs>
              <w:tab w:val="right" w:leader="dot" w:pos="9524"/>
            </w:tabs>
          </w:pPr>
          <w:r>
            <w:fldChar w:fldCharType="begin"/>
          </w:r>
          <w:r>
            <w:instrText xml:space="preserve"> HYPERLINK \l "_Toc23548" </w:instrText>
          </w:r>
          <w:r>
            <w:fldChar w:fldCharType="separate"/>
          </w:r>
          <w:r>
            <w:rPr>
              <w:rFonts w:hint="eastAsia" w:ascii="黑体" w:hAnsi="黑体"/>
            </w:rPr>
            <w:t>第一章 投标邀请书</w:t>
          </w:r>
          <w:r>
            <w:tab/>
          </w:r>
          <w:r>
            <w:fldChar w:fldCharType="begin"/>
          </w:r>
          <w:r>
            <w:instrText xml:space="preserve"> PAGEREF _Toc23548 </w:instrText>
          </w:r>
          <w:r>
            <w:fldChar w:fldCharType="separate"/>
          </w:r>
          <w:r>
            <w:t>4</w:t>
          </w:r>
          <w:r>
            <w:fldChar w:fldCharType="end"/>
          </w:r>
          <w:r>
            <w:fldChar w:fldCharType="end"/>
          </w:r>
        </w:p>
        <w:p>
          <w:pPr>
            <w:pStyle w:val="10"/>
            <w:tabs>
              <w:tab w:val="right" w:leader="dot" w:pos="9524"/>
            </w:tabs>
          </w:pPr>
          <w:r>
            <w:fldChar w:fldCharType="begin"/>
          </w:r>
          <w:r>
            <w:instrText xml:space="preserve"> HYPERLINK \l "_Toc30604" </w:instrText>
          </w:r>
          <w:r>
            <w:fldChar w:fldCharType="separate"/>
          </w:r>
          <w:r>
            <w:rPr>
              <w:rFonts w:hint="eastAsia" w:ascii="黑体" w:hAnsi="黑体"/>
            </w:rPr>
            <w:t>第二章 投标人须知</w:t>
          </w:r>
          <w:r>
            <w:tab/>
          </w:r>
          <w:r>
            <w:fldChar w:fldCharType="begin"/>
          </w:r>
          <w:r>
            <w:instrText xml:space="preserve"> PAGEREF _Toc30604 </w:instrText>
          </w:r>
          <w:r>
            <w:fldChar w:fldCharType="separate"/>
          </w:r>
          <w:r>
            <w:t>6</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"_Toc29600" </w:instrText>
          </w:r>
          <w:r>
            <w:fldChar w:fldCharType="separate"/>
          </w:r>
          <w:r>
            <w:rPr>
              <w:rFonts w:cs="Times New Roman" w:asciiTheme="majorEastAsia" w:hAnsiTheme="majorEastAsia" w:eastAsiaTheme="majorEastAsia"/>
              <w:bCs/>
              <w:szCs w:val="32"/>
              <w:lang w:val="zh-CN"/>
            </w:rPr>
            <w:t>投标须知前附表</w:t>
          </w:r>
          <w:r>
            <w:tab/>
          </w:r>
          <w:r>
            <w:fldChar w:fldCharType="begin"/>
          </w:r>
          <w:r>
            <w:instrText xml:space="preserve"> PAGEREF _Toc29600 </w:instrText>
          </w:r>
          <w:r>
            <w:fldChar w:fldCharType="separate"/>
          </w:r>
          <w:r>
            <w:t>6</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"_Toc1612" </w:instrText>
          </w:r>
          <w:r>
            <w:fldChar w:fldCharType="separate"/>
          </w:r>
          <w:r>
            <w:rPr>
              <w:rFonts w:hint="eastAsia" w:cs="Times New Roman" w:asciiTheme="majorEastAsia" w:hAnsiTheme="majorEastAsia"/>
              <w:szCs w:val="30"/>
              <w:lang w:val="zh-CN"/>
            </w:rPr>
            <w:t xml:space="preserve">一、 </w:t>
          </w:r>
          <w:r>
            <w:rPr>
              <w:rFonts w:hint="eastAsia" w:cs="Times New Roman" w:asciiTheme="majorEastAsia" w:hAnsiTheme="majorEastAsia"/>
              <w:lang w:val="zh-CN"/>
            </w:rPr>
            <w:t>说  明</w:t>
          </w:r>
          <w:r>
            <w:tab/>
          </w:r>
          <w:r>
            <w:fldChar w:fldCharType="begin"/>
          </w:r>
          <w:r>
            <w:instrText xml:space="preserve"> PAGEREF _Toc1612 </w:instrText>
          </w:r>
          <w:r>
            <w:fldChar w:fldCharType="separate"/>
          </w:r>
          <w:r>
            <w:t>7</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"_Toc8194" </w:instrText>
          </w:r>
          <w:r>
            <w:fldChar w:fldCharType="separate"/>
          </w:r>
          <w:r>
            <w:rPr>
              <w:rFonts w:hint="eastAsia" w:cs="Times New Roman" w:asciiTheme="majorEastAsia" w:hAnsiTheme="majorEastAsia"/>
              <w:szCs w:val="30"/>
              <w:lang w:val="zh-CN"/>
            </w:rPr>
            <w:t xml:space="preserve">二、 </w:t>
          </w:r>
          <w:r>
            <w:rPr>
              <w:rFonts w:hint="eastAsia" w:cs="Times New Roman" w:asciiTheme="majorEastAsia" w:hAnsiTheme="majorEastAsia"/>
              <w:lang w:val="zh-CN"/>
            </w:rPr>
            <w:t>招标文件</w:t>
          </w:r>
          <w:r>
            <w:tab/>
          </w:r>
          <w:r>
            <w:fldChar w:fldCharType="begin"/>
          </w:r>
          <w:r>
            <w:instrText xml:space="preserve"> PAGEREF _Toc8194 </w:instrText>
          </w:r>
          <w:r>
            <w:fldChar w:fldCharType="separate"/>
          </w:r>
          <w:r>
            <w:t>8</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"_Toc27230" </w:instrText>
          </w:r>
          <w:r>
            <w:fldChar w:fldCharType="separate"/>
          </w:r>
          <w:r>
            <w:rPr>
              <w:rFonts w:hint="eastAsia" w:cs="Times New Roman" w:asciiTheme="majorEastAsia" w:hAnsiTheme="majorEastAsia"/>
              <w:szCs w:val="30"/>
              <w:lang w:val="zh-CN"/>
            </w:rPr>
            <w:t xml:space="preserve">三、 </w:t>
          </w:r>
          <w:r>
            <w:rPr>
              <w:rFonts w:hint="eastAsia" w:cs="Times New Roman" w:asciiTheme="majorEastAsia" w:hAnsiTheme="majorEastAsia"/>
              <w:lang w:val="zh-CN"/>
            </w:rPr>
            <w:t>投标文件</w:t>
          </w:r>
          <w:r>
            <w:tab/>
          </w:r>
          <w:r>
            <w:fldChar w:fldCharType="begin"/>
          </w:r>
          <w:r>
            <w:instrText xml:space="preserve"> PAGEREF _Toc27230 </w:instrText>
          </w:r>
          <w:r>
            <w:fldChar w:fldCharType="separate"/>
          </w:r>
          <w:r>
            <w:t>9</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"_Toc24257" </w:instrText>
          </w:r>
          <w:r>
            <w:fldChar w:fldCharType="separate"/>
          </w:r>
          <w:r>
            <w:rPr>
              <w:rFonts w:hint="eastAsia" w:cs="Times New Roman" w:asciiTheme="majorEastAsia" w:hAnsiTheme="majorEastAsia"/>
              <w:szCs w:val="30"/>
              <w:lang w:val="zh-CN"/>
            </w:rPr>
            <w:t xml:space="preserve">四、 </w:t>
          </w:r>
          <w:r>
            <w:rPr>
              <w:rFonts w:hint="eastAsia" w:cs="Times New Roman" w:asciiTheme="majorEastAsia" w:hAnsiTheme="majorEastAsia"/>
              <w:lang w:val="zh-CN"/>
            </w:rPr>
            <w:t>开标与评标</w:t>
          </w:r>
          <w:r>
            <w:tab/>
          </w:r>
          <w:r>
            <w:fldChar w:fldCharType="begin"/>
          </w:r>
          <w:r>
            <w:instrText xml:space="preserve"> PAGEREF _Toc24257 </w:instrText>
          </w:r>
          <w:r>
            <w:fldChar w:fldCharType="separate"/>
          </w:r>
          <w:r>
            <w:t>13</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"_Toc31076" </w:instrText>
          </w:r>
          <w:r>
            <w:fldChar w:fldCharType="separate"/>
          </w:r>
          <w:r>
            <w:rPr>
              <w:rFonts w:hint="eastAsia" w:cs="Times New Roman" w:asciiTheme="majorEastAsia" w:hAnsiTheme="majorEastAsia"/>
              <w:szCs w:val="30"/>
              <w:lang w:val="zh-CN"/>
            </w:rPr>
            <w:t xml:space="preserve">五、 </w:t>
          </w:r>
          <w:r>
            <w:rPr>
              <w:rFonts w:hint="eastAsia" w:cs="Times New Roman" w:asciiTheme="majorEastAsia" w:hAnsiTheme="majorEastAsia"/>
              <w:lang w:val="zh-CN"/>
            </w:rPr>
            <w:t>投标人信用信息及查询</w:t>
          </w:r>
          <w:r>
            <w:tab/>
          </w:r>
          <w:r>
            <w:fldChar w:fldCharType="begin"/>
          </w:r>
          <w:r>
            <w:instrText xml:space="preserve"> PAGEREF _Toc31076 </w:instrText>
          </w:r>
          <w:r>
            <w:fldChar w:fldCharType="separate"/>
          </w:r>
          <w:r>
            <w:t>15</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"_Toc11144" </w:instrText>
          </w:r>
          <w:r>
            <w:fldChar w:fldCharType="separate"/>
          </w:r>
          <w:r>
            <w:rPr>
              <w:rFonts w:hint="eastAsia" w:cs="Times New Roman" w:asciiTheme="majorEastAsia" w:hAnsiTheme="majorEastAsia"/>
              <w:szCs w:val="30"/>
              <w:lang w:val="zh-CN"/>
            </w:rPr>
            <w:t xml:space="preserve">六、 </w:t>
          </w:r>
          <w:r>
            <w:rPr>
              <w:rFonts w:cs="Times New Roman" w:asciiTheme="majorEastAsia" w:hAnsiTheme="majorEastAsia"/>
              <w:lang w:val="zh-CN"/>
            </w:rPr>
            <w:t>中标</w:t>
          </w:r>
          <w:r>
            <w:rPr>
              <w:rFonts w:hint="eastAsia" w:cs="Times New Roman" w:asciiTheme="majorEastAsia" w:hAnsiTheme="majorEastAsia"/>
              <w:lang w:val="zh-CN"/>
            </w:rPr>
            <w:t>与</w:t>
          </w:r>
          <w:r>
            <w:rPr>
              <w:rFonts w:cs="Times New Roman" w:asciiTheme="majorEastAsia" w:hAnsiTheme="majorEastAsia"/>
              <w:lang w:val="zh-CN"/>
            </w:rPr>
            <w:t>合同</w:t>
          </w:r>
          <w:r>
            <w:tab/>
          </w:r>
          <w:r>
            <w:fldChar w:fldCharType="begin"/>
          </w:r>
          <w:r>
            <w:instrText xml:space="preserve"> PAGEREF _Toc11144 </w:instrText>
          </w:r>
          <w:r>
            <w:fldChar w:fldCharType="separate"/>
          </w:r>
          <w:r>
            <w:t>15</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"_Toc4771" </w:instrText>
          </w:r>
          <w:r>
            <w:fldChar w:fldCharType="separate"/>
          </w:r>
          <w:r>
            <w:rPr>
              <w:rFonts w:hint="eastAsia" w:cs="Times New Roman" w:asciiTheme="majorEastAsia" w:hAnsiTheme="majorEastAsia"/>
              <w:szCs w:val="30"/>
              <w:lang w:val="zh-CN"/>
            </w:rPr>
            <w:t xml:space="preserve">七、 </w:t>
          </w:r>
          <w:r>
            <w:rPr>
              <w:rFonts w:hint="eastAsia" w:cs="Times New Roman" w:asciiTheme="majorEastAsia" w:hAnsiTheme="majorEastAsia"/>
              <w:lang w:val="zh-CN"/>
            </w:rPr>
            <w:t>采购信息公告</w:t>
          </w:r>
          <w:r>
            <w:tab/>
          </w:r>
          <w:r>
            <w:fldChar w:fldCharType="begin"/>
          </w:r>
          <w:r>
            <w:instrText xml:space="preserve"> PAGEREF _Toc4771 </w:instrText>
          </w:r>
          <w:r>
            <w:fldChar w:fldCharType="separate"/>
          </w:r>
          <w:r>
            <w:t>16</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"_Toc6568" </w:instrText>
          </w:r>
          <w:r>
            <w:fldChar w:fldCharType="separate"/>
          </w:r>
          <w:r>
            <w:rPr>
              <w:rFonts w:hint="eastAsia" w:cs="Times New Roman" w:asciiTheme="majorEastAsia" w:hAnsiTheme="majorEastAsia"/>
              <w:szCs w:val="30"/>
              <w:lang w:val="zh-CN"/>
            </w:rPr>
            <w:t xml:space="preserve">八、 </w:t>
          </w:r>
          <w:r>
            <w:rPr>
              <w:rFonts w:hint="eastAsia" w:cs="Times New Roman" w:asciiTheme="majorEastAsia" w:hAnsiTheme="majorEastAsia"/>
              <w:lang w:val="zh-CN"/>
            </w:rPr>
            <w:t>质疑及提交</w:t>
          </w:r>
          <w:r>
            <w:tab/>
          </w:r>
          <w:r>
            <w:fldChar w:fldCharType="begin"/>
          </w:r>
          <w:r>
            <w:instrText xml:space="preserve"> PAGEREF _Toc6568 </w:instrText>
          </w:r>
          <w:r>
            <w:fldChar w:fldCharType="separate"/>
          </w:r>
          <w:r>
            <w:t>17</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"_Toc28870" </w:instrText>
          </w:r>
          <w:r>
            <w:fldChar w:fldCharType="separate"/>
          </w:r>
          <w:r>
            <w:rPr>
              <w:rFonts w:hint="eastAsia" w:cs="Times New Roman" w:asciiTheme="majorEastAsia" w:hAnsiTheme="majorEastAsia"/>
              <w:szCs w:val="30"/>
              <w:lang w:val="zh-CN"/>
            </w:rPr>
            <w:t xml:space="preserve">九、 </w:t>
          </w:r>
          <w:r>
            <w:rPr>
              <w:rFonts w:hint="eastAsia" w:cs="Times New Roman" w:asciiTheme="majorEastAsia" w:hAnsiTheme="majorEastAsia"/>
              <w:lang w:val="zh-CN"/>
            </w:rPr>
            <w:t>相关条文解读</w:t>
          </w:r>
          <w:r>
            <w:tab/>
          </w:r>
          <w:r>
            <w:fldChar w:fldCharType="begin"/>
          </w:r>
          <w:r>
            <w:instrText xml:space="preserve"> PAGEREF _Toc28870 </w:instrText>
          </w:r>
          <w:r>
            <w:fldChar w:fldCharType="separate"/>
          </w:r>
          <w:r>
            <w:t>17</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"_Toc857" </w:instrText>
          </w:r>
          <w:r>
            <w:fldChar w:fldCharType="separate"/>
          </w:r>
          <w:r>
            <w:rPr>
              <w:rFonts w:hint="eastAsia" w:cs="Times New Roman" w:asciiTheme="majorEastAsia" w:hAnsiTheme="majorEastAsia"/>
              <w:szCs w:val="30"/>
              <w:lang w:val="zh-CN"/>
            </w:rPr>
            <w:t xml:space="preserve">十、 </w:t>
          </w:r>
          <w:r>
            <w:rPr>
              <w:rFonts w:hint="eastAsia" w:cs="Times New Roman" w:asciiTheme="majorEastAsia" w:hAnsiTheme="majorEastAsia"/>
              <w:lang w:val="zh-CN"/>
            </w:rPr>
            <w:t>其他注意事项</w:t>
          </w:r>
          <w:r>
            <w:tab/>
          </w:r>
          <w:r>
            <w:fldChar w:fldCharType="begin"/>
          </w:r>
          <w:r>
            <w:instrText xml:space="preserve"> PAGEREF _Toc857 </w:instrText>
          </w:r>
          <w:r>
            <w:fldChar w:fldCharType="separate"/>
          </w:r>
          <w:r>
            <w:t>18</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"_Toc11919" </w:instrText>
          </w:r>
          <w:r>
            <w:fldChar w:fldCharType="separate"/>
          </w:r>
          <w:r>
            <w:rPr>
              <w:rFonts w:hint="eastAsia" w:cs="Times New Roman" w:asciiTheme="majorEastAsia" w:hAnsiTheme="majorEastAsia"/>
              <w:szCs w:val="30"/>
              <w:lang w:val="zh-CN"/>
            </w:rPr>
            <w:t xml:space="preserve">十一、 </w:t>
          </w:r>
          <w:r>
            <w:rPr>
              <w:rFonts w:hint="eastAsia" w:cs="Times New Roman" w:asciiTheme="majorEastAsia" w:hAnsiTheme="majorEastAsia"/>
              <w:lang w:val="zh-CN"/>
            </w:rPr>
            <w:t>适用法律</w:t>
          </w:r>
          <w:r>
            <w:tab/>
          </w:r>
          <w:r>
            <w:fldChar w:fldCharType="begin"/>
          </w:r>
          <w:r>
            <w:instrText xml:space="preserve"> PAGEREF _Toc11919 </w:instrText>
          </w:r>
          <w:r>
            <w:fldChar w:fldCharType="separate"/>
          </w:r>
          <w:r>
            <w:t>18</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"_Toc17423" </w:instrText>
          </w:r>
          <w:r>
            <w:fldChar w:fldCharType="separate"/>
          </w:r>
          <w:r>
            <w:rPr>
              <w:rFonts w:hint="eastAsia" w:cs="Times New Roman" w:asciiTheme="majorEastAsia" w:hAnsiTheme="majorEastAsia"/>
              <w:szCs w:val="30"/>
              <w:lang w:val="zh-CN"/>
            </w:rPr>
            <w:t xml:space="preserve">十二、 </w:t>
          </w:r>
          <w:r>
            <w:rPr>
              <w:rFonts w:hint="eastAsia" w:cs="Times New Roman" w:asciiTheme="majorEastAsia" w:hAnsiTheme="majorEastAsia"/>
              <w:lang w:val="zh-CN"/>
            </w:rPr>
            <w:t>招标文件的解释权</w:t>
          </w:r>
          <w:r>
            <w:tab/>
          </w:r>
          <w:r>
            <w:fldChar w:fldCharType="begin"/>
          </w:r>
          <w:r>
            <w:instrText xml:space="preserve"> PAGEREF _Toc17423 </w:instrText>
          </w:r>
          <w:r>
            <w:fldChar w:fldCharType="separate"/>
          </w:r>
          <w:r>
            <w:t>18</w:t>
          </w:r>
          <w:r>
            <w:fldChar w:fldCharType="end"/>
          </w:r>
          <w:r>
            <w:fldChar w:fldCharType="end"/>
          </w:r>
        </w:p>
        <w:p>
          <w:pPr>
            <w:pStyle w:val="10"/>
            <w:tabs>
              <w:tab w:val="right" w:leader="dot" w:pos="9524"/>
            </w:tabs>
          </w:pPr>
          <w:r>
            <w:fldChar w:fldCharType="begin"/>
          </w:r>
          <w:r>
            <w:instrText xml:space="preserve"> HYPERLINK \l "_Toc15959" </w:instrText>
          </w:r>
          <w:r>
            <w:fldChar w:fldCharType="separate"/>
          </w:r>
          <w:r>
            <w:rPr>
              <w:rFonts w:hint="eastAsia"/>
            </w:rPr>
            <w:t xml:space="preserve">第三章 </w:t>
          </w:r>
          <w:r>
            <w:rPr>
              <w:rFonts w:hint="eastAsia" w:ascii="黑体" w:hAnsi="黑体"/>
            </w:rPr>
            <w:t>项目技术、服务及商务要求</w:t>
          </w:r>
          <w:r>
            <w:tab/>
          </w:r>
          <w:r>
            <w:fldChar w:fldCharType="begin"/>
          </w:r>
          <w:r>
            <w:instrText xml:space="preserve"> PAGEREF _Toc15959 </w:instrText>
          </w:r>
          <w:r>
            <w:fldChar w:fldCharType="separate"/>
          </w:r>
          <w:r>
            <w:t>19</w:t>
          </w:r>
          <w:r>
            <w:fldChar w:fldCharType="end"/>
          </w:r>
          <w:r>
            <w:fldChar w:fldCharType="end"/>
          </w:r>
        </w:p>
        <w:p>
          <w:pPr>
            <w:pStyle w:val="10"/>
            <w:tabs>
              <w:tab w:val="right" w:leader="dot" w:pos="9524"/>
            </w:tabs>
          </w:pPr>
          <w:r>
            <w:fldChar w:fldCharType="begin"/>
          </w:r>
          <w:r>
            <w:instrText xml:space="preserve"> HYPERLINK \l "_Toc24213" </w:instrText>
          </w:r>
          <w:r>
            <w:fldChar w:fldCharType="separate"/>
          </w:r>
          <w:r>
            <w:rPr>
              <w:rFonts w:hint="eastAsia" w:ascii="黑体" w:hAnsi="黑体"/>
            </w:rPr>
            <w:t>第四章 资格审查方法及标准</w:t>
          </w:r>
          <w:r>
            <w:tab/>
          </w:r>
          <w:r>
            <w:fldChar w:fldCharType="begin"/>
          </w:r>
          <w:r>
            <w:instrText xml:space="preserve"> PAGEREF _Toc24213 </w:instrText>
          </w:r>
          <w:r>
            <w:fldChar w:fldCharType="separate"/>
          </w:r>
          <w:r>
            <w:t>40</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"_Toc21069" </w:instrText>
          </w:r>
          <w:r>
            <w:fldChar w:fldCharType="separate"/>
          </w:r>
          <w:r>
            <w:rPr>
              <w:rFonts w:hint="eastAsia" w:cs="Times New Roman" w:asciiTheme="majorEastAsia" w:hAnsiTheme="majorEastAsia"/>
              <w:szCs w:val="30"/>
              <w:lang w:val="zh-CN"/>
            </w:rPr>
            <w:t>一、 资格审查方法</w:t>
          </w:r>
          <w:r>
            <w:tab/>
          </w:r>
          <w:r>
            <w:fldChar w:fldCharType="begin"/>
          </w:r>
          <w:r>
            <w:instrText xml:space="preserve"> PAGEREF _Toc21069 </w:instrText>
          </w:r>
          <w:r>
            <w:fldChar w:fldCharType="separate"/>
          </w:r>
          <w:r>
            <w:t>40</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"_Toc13504" </w:instrText>
          </w:r>
          <w:r>
            <w:fldChar w:fldCharType="separate"/>
          </w:r>
          <w:r>
            <w:rPr>
              <w:rFonts w:hint="eastAsia" w:cs="Times New Roman" w:asciiTheme="majorEastAsia" w:hAnsiTheme="majorEastAsia"/>
              <w:szCs w:val="30"/>
              <w:lang w:val="zh-CN"/>
            </w:rPr>
            <w:t>二、 资格审查标准</w:t>
          </w:r>
          <w:r>
            <w:tab/>
          </w:r>
          <w:r>
            <w:fldChar w:fldCharType="begin"/>
          </w:r>
          <w:r>
            <w:instrText xml:space="preserve"> PAGEREF _Toc13504 </w:instrText>
          </w:r>
          <w:r>
            <w:fldChar w:fldCharType="separate"/>
          </w:r>
          <w:r>
            <w:t>40</w:t>
          </w:r>
          <w:r>
            <w:fldChar w:fldCharType="end"/>
          </w:r>
          <w:r>
            <w:fldChar w:fldCharType="end"/>
          </w:r>
        </w:p>
        <w:p>
          <w:pPr>
            <w:pStyle w:val="10"/>
            <w:tabs>
              <w:tab w:val="right" w:leader="dot" w:pos="9524"/>
            </w:tabs>
          </w:pPr>
          <w:r>
            <w:fldChar w:fldCharType="begin"/>
          </w:r>
          <w:r>
            <w:instrText xml:space="preserve"> HYPERLINK \l "_Toc25544" </w:instrText>
          </w:r>
          <w:r>
            <w:fldChar w:fldCharType="separate"/>
          </w:r>
          <w:r>
            <w:rPr>
              <w:rFonts w:hint="eastAsia" w:ascii="黑体" w:hAnsi="黑体"/>
            </w:rPr>
            <w:t>第五章 评标方法、程序及标准</w:t>
          </w:r>
          <w:r>
            <w:tab/>
          </w:r>
          <w:r>
            <w:fldChar w:fldCharType="begin"/>
          </w:r>
          <w:r>
            <w:instrText xml:space="preserve"> PAGEREF _Toc25544 </w:instrText>
          </w:r>
          <w:r>
            <w:fldChar w:fldCharType="separate"/>
          </w:r>
          <w:r>
            <w:t>42</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"_Toc26105" </w:instrText>
          </w:r>
          <w:r>
            <w:fldChar w:fldCharType="separate"/>
          </w:r>
          <w:r>
            <w:rPr>
              <w:rFonts w:hint="eastAsia" w:cs="Times New Roman" w:asciiTheme="majorEastAsia" w:hAnsiTheme="majorEastAsia"/>
              <w:szCs w:val="30"/>
              <w:lang w:val="zh-CN"/>
            </w:rPr>
            <w:t>一、 评标方法</w:t>
          </w:r>
          <w:r>
            <w:tab/>
          </w:r>
          <w:r>
            <w:fldChar w:fldCharType="begin"/>
          </w:r>
          <w:r>
            <w:instrText xml:space="preserve"> PAGEREF _Toc26105 </w:instrText>
          </w:r>
          <w:r>
            <w:fldChar w:fldCharType="separate"/>
          </w:r>
          <w:r>
            <w:t>42</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"_Toc14904" </w:instrText>
          </w:r>
          <w:r>
            <w:fldChar w:fldCharType="separate"/>
          </w:r>
          <w:r>
            <w:rPr>
              <w:rFonts w:hint="eastAsia" w:cs="Times New Roman" w:asciiTheme="majorEastAsia" w:hAnsiTheme="majorEastAsia"/>
              <w:szCs w:val="30"/>
              <w:lang w:val="zh-CN"/>
            </w:rPr>
            <w:t>二、 评标程序及标准</w:t>
          </w:r>
          <w:r>
            <w:tab/>
          </w:r>
          <w:r>
            <w:fldChar w:fldCharType="begin"/>
          </w:r>
          <w:r>
            <w:instrText xml:space="preserve"> PAGEREF _Toc14904 </w:instrText>
          </w:r>
          <w:r>
            <w:fldChar w:fldCharType="separate"/>
          </w:r>
          <w:r>
            <w:t>42</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"_Toc21241" </w:instrText>
          </w:r>
          <w:r>
            <w:fldChar w:fldCharType="separate"/>
          </w:r>
          <w:r>
            <w:rPr>
              <w:rFonts w:hint="eastAsia" w:cs="Times New Roman" w:asciiTheme="majorEastAsia" w:hAnsiTheme="majorEastAsia"/>
              <w:szCs w:val="30"/>
              <w:lang w:val="zh-CN"/>
            </w:rPr>
            <w:t>三、评审因素及评分标准</w:t>
          </w:r>
          <w:r>
            <w:tab/>
          </w:r>
          <w:r>
            <w:fldChar w:fldCharType="begin"/>
          </w:r>
          <w:r>
            <w:instrText xml:space="preserve"> PAGEREF _Toc21241 </w:instrText>
          </w:r>
          <w:r>
            <w:fldChar w:fldCharType="separate"/>
          </w:r>
          <w:r>
            <w:t>46</w:t>
          </w:r>
          <w:r>
            <w:fldChar w:fldCharType="end"/>
          </w:r>
          <w:r>
            <w:fldChar w:fldCharType="end"/>
          </w:r>
        </w:p>
        <w:p>
          <w:pPr>
            <w:pStyle w:val="10"/>
            <w:tabs>
              <w:tab w:val="right" w:leader="dot" w:pos="9524"/>
            </w:tabs>
          </w:pPr>
          <w:r>
            <w:fldChar w:fldCharType="begin"/>
          </w:r>
          <w:r>
            <w:instrText xml:space="preserve"> HYPERLINK \l "_Toc5740" </w:instrText>
          </w:r>
          <w:r>
            <w:fldChar w:fldCharType="separate"/>
          </w:r>
          <w:r>
            <w:rPr>
              <w:rFonts w:hint="eastAsia" w:ascii="黑体" w:hAnsi="黑体"/>
            </w:rPr>
            <w:t>第六章 合同书格式（参考）</w:t>
          </w:r>
          <w:r>
            <w:tab/>
          </w:r>
          <w:r>
            <w:fldChar w:fldCharType="begin"/>
          </w:r>
          <w:r>
            <w:instrText xml:space="preserve"> PAGEREF _Toc5740 </w:instrText>
          </w:r>
          <w:r>
            <w:fldChar w:fldCharType="separate"/>
          </w:r>
          <w:r>
            <w:t>48</w:t>
          </w:r>
          <w:r>
            <w:fldChar w:fldCharType="end"/>
          </w:r>
          <w:r>
            <w:fldChar w:fldCharType="end"/>
          </w:r>
        </w:p>
        <w:p>
          <w:pPr>
            <w:pStyle w:val="10"/>
            <w:tabs>
              <w:tab w:val="right" w:leader="dot" w:pos="9524"/>
            </w:tabs>
          </w:pPr>
          <w:r>
            <w:fldChar w:fldCharType="begin"/>
          </w:r>
          <w:r>
            <w:instrText xml:space="preserve"> HYPERLINK \l "_Toc30816" </w:instrText>
          </w:r>
          <w:r>
            <w:fldChar w:fldCharType="separate"/>
          </w:r>
          <w:r>
            <w:rPr>
              <w:rFonts w:hint="eastAsia" w:ascii="黑体" w:hAnsi="黑体"/>
            </w:rPr>
            <w:t>第七章 投标文件格式（参考）</w:t>
          </w:r>
          <w:r>
            <w:tab/>
          </w:r>
          <w:r>
            <w:fldChar w:fldCharType="begin"/>
          </w:r>
          <w:r>
            <w:instrText xml:space="preserve"> PAGEREF _Toc30816 </w:instrText>
          </w:r>
          <w:r>
            <w:fldChar w:fldCharType="separate"/>
          </w:r>
          <w:r>
            <w:t>50</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"_Toc3405" </w:instrText>
          </w:r>
          <w:r>
            <w:fldChar w:fldCharType="separate"/>
          </w:r>
          <w:r>
            <w:rPr>
              <w:rFonts w:hint="eastAsia" w:cs="Times New Roman" w:asciiTheme="majorEastAsia" w:hAnsiTheme="majorEastAsia"/>
              <w:szCs w:val="44"/>
              <w:lang w:val="zh-CN"/>
            </w:rPr>
            <w:t>第一部分 资格证明文件</w:t>
          </w:r>
          <w:r>
            <w:tab/>
          </w:r>
          <w:r>
            <w:fldChar w:fldCharType="begin"/>
          </w:r>
          <w:r>
            <w:instrText xml:space="preserve"> PAGEREF _Toc3405 </w:instrText>
          </w:r>
          <w:r>
            <w:fldChar w:fldCharType="separate"/>
          </w:r>
          <w:r>
            <w:t>50</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"_Toc7956" </w:instrText>
          </w:r>
          <w:r>
            <w:fldChar w:fldCharType="separate"/>
          </w:r>
          <w:r>
            <w:rPr>
              <w:rFonts w:hint="eastAsia" w:cs="Times New Roman" w:asciiTheme="majorEastAsia" w:hAnsiTheme="majorEastAsia"/>
              <w:szCs w:val="44"/>
              <w:lang w:val="zh-CN"/>
            </w:rPr>
            <w:t>第二部分 商务文件</w:t>
          </w:r>
          <w:r>
            <w:tab/>
          </w:r>
          <w:r>
            <w:fldChar w:fldCharType="begin"/>
          </w:r>
          <w:r>
            <w:instrText xml:space="preserve"> PAGEREF _Toc7956 </w:instrText>
          </w:r>
          <w:r>
            <w:fldChar w:fldCharType="separate"/>
          </w:r>
          <w:r>
            <w:t>52</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"_Toc13638" </w:instrText>
          </w:r>
          <w:r>
            <w:fldChar w:fldCharType="separate"/>
          </w:r>
          <w:r>
            <w:rPr>
              <w:rFonts w:hint="eastAsia" w:cs="Times New Roman" w:asciiTheme="majorEastAsia" w:hAnsiTheme="majorEastAsia"/>
              <w:szCs w:val="44"/>
              <w:lang w:val="zh-CN"/>
            </w:rPr>
            <w:t>第三部分 技术、服务文件</w:t>
          </w:r>
          <w:r>
            <w:tab/>
          </w:r>
          <w:r>
            <w:fldChar w:fldCharType="begin"/>
          </w:r>
          <w:r>
            <w:instrText xml:space="preserve"> PAGEREF _Toc13638 </w:instrText>
          </w:r>
          <w:r>
            <w:fldChar w:fldCharType="separate"/>
          </w:r>
          <w:r>
            <w:t>54</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"_Toc6282" </w:instrText>
          </w:r>
          <w:r>
            <w:fldChar w:fldCharType="separate"/>
          </w:r>
          <w:r>
            <w:rPr>
              <w:rFonts w:hint="eastAsia" w:eastAsia="宋体"/>
            </w:rPr>
            <w:t>附件一、 投标书</w:t>
          </w:r>
          <w:r>
            <w:tab/>
          </w:r>
          <w:r>
            <w:fldChar w:fldCharType="begin"/>
          </w:r>
          <w:r>
            <w:instrText xml:space="preserve"> PAGEREF _Toc6282 </w:instrText>
          </w:r>
          <w:r>
            <w:fldChar w:fldCharType="separate"/>
          </w:r>
          <w:r>
            <w:t>56</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"_Toc9184" </w:instrText>
          </w:r>
          <w:r>
            <w:fldChar w:fldCharType="separate"/>
          </w:r>
          <w:r>
            <w:rPr>
              <w:rFonts w:hint="eastAsia" w:eastAsia="宋体"/>
            </w:rPr>
            <w:t>附件二、 制造商中小企业声明函</w:t>
          </w:r>
          <w:r>
            <w:tab/>
          </w:r>
          <w:r>
            <w:fldChar w:fldCharType="begin"/>
          </w:r>
          <w:r>
            <w:instrText xml:space="preserve"> PAGEREF _Toc9184 </w:instrText>
          </w:r>
          <w:r>
            <w:fldChar w:fldCharType="separate"/>
          </w:r>
          <w:r>
            <w:t>57</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"_Toc11879" </w:instrText>
          </w:r>
          <w:r>
            <w:fldChar w:fldCharType="separate"/>
          </w:r>
          <w:r>
            <w:rPr>
              <w:rFonts w:hint="eastAsia" w:eastAsia="宋体"/>
            </w:rPr>
            <w:t>附件三、 中小企业声明函</w:t>
          </w:r>
          <w:r>
            <w:tab/>
          </w:r>
          <w:r>
            <w:fldChar w:fldCharType="begin"/>
          </w:r>
          <w:r>
            <w:instrText xml:space="preserve"> PAGEREF _Toc11879 </w:instrText>
          </w:r>
          <w:r>
            <w:fldChar w:fldCharType="separate"/>
          </w:r>
          <w:r>
            <w:t>58</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"_Toc25959" </w:instrText>
          </w:r>
          <w:r>
            <w:fldChar w:fldCharType="separate"/>
          </w:r>
          <w:r>
            <w:rPr>
              <w:rFonts w:hint="eastAsia" w:eastAsia="宋体"/>
            </w:rPr>
            <w:t>附件四、 残疾人福利性单位声明函</w:t>
          </w:r>
          <w:r>
            <w:tab/>
          </w:r>
          <w:r>
            <w:fldChar w:fldCharType="begin"/>
          </w:r>
          <w:r>
            <w:instrText xml:space="preserve"> PAGEREF _Toc25959 </w:instrText>
          </w:r>
          <w:r>
            <w:fldChar w:fldCharType="separate"/>
          </w:r>
          <w:r>
            <w:t>60</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"_Toc26653" </w:instrText>
          </w:r>
          <w:r>
            <w:fldChar w:fldCharType="separate"/>
          </w:r>
          <w:r>
            <w:rPr>
              <w:rFonts w:hint="eastAsia" w:eastAsia="宋体"/>
            </w:rPr>
            <w:t>附件五、 开标一览表</w:t>
          </w:r>
          <w:r>
            <w:tab/>
          </w:r>
          <w:r>
            <w:fldChar w:fldCharType="begin"/>
          </w:r>
          <w:r>
            <w:instrText xml:space="preserve"> PAGEREF _Toc26653 </w:instrText>
          </w:r>
          <w:r>
            <w:fldChar w:fldCharType="separate"/>
          </w:r>
          <w:r>
            <w:t>63</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"_Toc9871" </w:instrText>
          </w:r>
          <w:r>
            <w:fldChar w:fldCharType="separate"/>
          </w:r>
          <w:r>
            <w:rPr>
              <w:rFonts w:hint="eastAsia" w:eastAsia="宋体"/>
            </w:rPr>
            <w:t>附件六、 投标报价明细表</w:t>
          </w:r>
          <w:r>
            <w:tab/>
          </w:r>
          <w:r>
            <w:fldChar w:fldCharType="begin"/>
          </w:r>
          <w:r>
            <w:instrText xml:space="preserve"> PAGEREF _Toc9871 </w:instrText>
          </w:r>
          <w:r>
            <w:fldChar w:fldCharType="separate"/>
          </w:r>
          <w:r>
            <w:t>64</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"_Toc7786" </w:instrText>
          </w:r>
          <w:r>
            <w:fldChar w:fldCharType="separate"/>
          </w:r>
          <w:r>
            <w:rPr>
              <w:rFonts w:hint="eastAsia" w:eastAsia="宋体"/>
              <w:szCs w:val="31"/>
            </w:rPr>
            <w:t>附件七、 小型和微型企业、监狱企业、残疾人福利性单位货物汇总表</w:t>
          </w:r>
          <w:r>
            <w:tab/>
          </w:r>
          <w:r>
            <w:fldChar w:fldCharType="begin"/>
          </w:r>
          <w:r>
            <w:instrText xml:space="preserve"> PAGEREF _Toc7786 </w:instrText>
          </w:r>
          <w:r>
            <w:fldChar w:fldCharType="separate"/>
          </w:r>
          <w:r>
            <w:t>65</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"_Toc18551" </w:instrText>
          </w:r>
          <w:r>
            <w:fldChar w:fldCharType="separate"/>
          </w:r>
          <w:r>
            <w:rPr>
              <w:rFonts w:hint="eastAsia" w:eastAsia="宋体"/>
            </w:rPr>
            <w:t>附件八、 投标货物（工程或服务）清单</w:t>
          </w:r>
          <w:r>
            <w:tab/>
          </w:r>
          <w:r>
            <w:fldChar w:fldCharType="begin"/>
          </w:r>
          <w:r>
            <w:instrText xml:space="preserve"> PAGEREF _Toc18551 </w:instrText>
          </w:r>
          <w:r>
            <w:fldChar w:fldCharType="separate"/>
          </w:r>
          <w:r>
            <w:t>66</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"_Toc21481" </w:instrText>
          </w:r>
          <w:r>
            <w:fldChar w:fldCharType="separate"/>
          </w:r>
          <w:r>
            <w:rPr>
              <w:rFonts w:hint="eastAsia" w:eastAsia="宋体"/>
            </w:rPr>
            <w:t>附件九、 法定代表人授权书</w:t>
          </w:r>
          <w:r>
            <w:tab/>
          </w:r>
          <w:r>
            <w:fldChar w:fldCharType="begin"/>
          </w:r>
          <w:r>
            <w:instrText xml:space="preserve"> PAGEREF _Toc21481 </w:instrText>
          </w:r>
          <w:r>
            <w:fldChar w:fldCharType="separate"/>
          </w:r>
          <w:r>
            <w:t>67</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"_Toc6517" </w:instrText>
          </w:r>
          <w:r>
            <w:fldChar w:fldCharType="separate"/>
          </w:r>
          <w:r>
            <w:rPr>
              <w:rFonts w:hint="eastAsia" w:eastAsia="宋体"/>
            </w:rPr>
            <w:t>附件十、 投标人的资格声明</w:t>
          </w:r>
          <w:r>
            <w:tab/>
          </w:r>
          <w:r>
            <w:fldChar w:fldCharType="begin"/>
          </w:r>
          <w:r>
            <w:instrText xml:space="preserve"> PAGEREF _Toc6517 </w:instrText>
          </w:r>
          <w:r>
            <w:fldChar w:fldCharType="separate"/>
          </w:r>
          <w:r>
            <w:t>68</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"_Toc17175" </w:instrText>
          </w:r>
          <w:r>
            <w:fldChar w:fldCharType="separate"/>
          </w:r>
          <w:r>
            <w:rPr>
              <w:rFonts w:hint="eastAsia" w:eastAsia="宋体"/>
            </w:rPr>
            <w:t>附件十一、 项目负责人、技术负责人简历表</w:t>
          </w:r>
          <w:r>
            <w:tab/>
          </w:r>
          <w:r>
            <w:fldChar w:fldCharType="begin"/>
          </w:r>
          <w:r>
            <w:instrText xml:space="preserve"> PAGEREF _Toc17175 </w:instrText>
          </w:r>
          <w:r>
            <w:fldChar w:fldCharType="separate"/>
          </w:r>
          <w:r>
            <w:t>69</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"_Toc401" </w:instrText>
          </w:r>
          <w:r>
            <w:fldChar w:fldCharType="separate"/>
          </w:r>
          <w:r>
            <w:rPr>
              <w:rFonts w:hint="eastAsia" w:eastAsia="宋体"/>
            </w:rPr>
            <w:t>附件十二、 项目班子成员情况表</w:t>
          </w:r>
          <w:r>
            <w:tab/>
          </w:r>
          <w:r>
            <w:fldChar w:fldCharType="begin"/>
          </w:r>
          <w:r>
            <w:instrText xml:space="preserve"> PAGEREF _Toc401 </w:instrText>
          </w:r>
          <w:r>
            <w:fldChar w:fldCharType="separate"/>
          </w:r>
          <w:r>
            <w:t>70</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"_Toc21872" </w:instrText>
          </w:r>
          <w:r>
            <w:fldChar w:fldCharType="separate"/>
          </w:r>
          <w:r>
            <w:rPr>
              <w:rFonts w:hint="eastAsia" w:eastAsia="宋体"/>
            </w:rPr>
            <w:t>附件十三、 投标人类似项目业绩表</w:t>
          </w:r>
          <w:r>
            <w:tab/>
          </w:r>
          <w:r>
            <w:fldChar w:fldCharType="begin"/>
          </w:r>
          <w:r>
            <w:instrText xml:space="preserve"> PAGEREF _Toc21872 </w:instrText>
          </w:r>
          <w:r>
            <w:fldChar w:fldCharType="separate"/>
          </w:r>
          <w:r>
            <w:t>71</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"_Toc10144" </w:instrText>
          </w:r>
          <w:r>
            <w:fldChar w:fldCharType="separate"/>
          </w:r>
          <w:r>
            <w:rPr>
              <w:rFonts w:hint="eastAsia" w:eastAsia="宋体"/>
            </w:rPr>
            <w:t>附件十四、 符合性审查对照表</w:t>
          </w:r>
          <w:r>
            <w:tab/>
          </w:r>
          <w:r>
            <w:fldChar w:fldCharType="begin"/>
          </w:r>
          <w:r>
            <w:instrText xml:space="preserve"> PAGEREF _Toc10144 </w:instrText>
          </w:r>
          <w:r>
            <w:fldChar w:fldCharType="separate"/>
          </w:r>
          <w:r>
            <w:t>72</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"_Toc5271" </w:instrText>
          </w:r>
          <w:r>
            <w:fldChar w:fldCharType="separate"/>
          </w:r>
          <w:r>
            <w:rPr>
              <w:rFonts w:hint="eastAsia" w:eastAsia="宋体"/>
            </w:rPr>
            <w:t>附件十五、 商务要求响应、偏离说明表</w:t>
          </w:r>
          <w:r>
            <w:tab/>
          </w:r>
          <w:r>
            <w:fldChar w:fldCharType="begin"/>
          </w:r>
          <w:r>
            <w:instrText xml:space="preserve"> PAGEREF _Toc5271 </w:instrText>
          </w:r>
          <w:r>
            <w:fldChar w:fldCharType="separate"/>
          </w:r>
          <w:r>
            <w:t>73</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"_Toc31828" </w:instrText>
          </w:r>
          <w:r>
            <w:fldChar w:fldCharType="separate"/>
          </w:r>
          <w:r>
            <w:rPr>
              <w:rFonts w:hint="eastAsia" w:eastAsia="宋体"/>
            </w:rPr>
            <w:t>附件十六、 商务要求“★”号条款响应、偏离说明表</w:t>
          </w:r>
          <w:r>
            <w:tab/>
          </w:r>
          <w:r>
            <w:fldChar w:fldCharType="begin"/>
          </w:r>
          <w:r>
            <w:instrText xml:space="preserve"> PAGEREF _Toc31828 </w:instrText>
          </w:r>
          <w:r>
            <w:fldChar w:fldCharType="separate"/>
          </w:r>
          <w:r>
            <w:t>74</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"_Toc28070" </w:instrText>
          </w:r>
          <w:r>
            <w:fldChar w:fldCharType="separate"/>
          </w:r>
          <w:r>
            <w:rPr>
              <w:rFonts w:hint="eastAsia" w:eastAsia="宋体"/>
            </w:rPr>
            <w:t>附件十七、 商务评议对照表</w:t>
          </w:r>
          <w:r>
            <w:tab/>
          </w:r>
          <w:r>
            <w:fldChar w:fldCharType="begin"/>
          </w:r>
          <w:r>
            <w:instrText xml:space="preserve"> PAGEREF _Toc28070 </w:instrText>
          </w:r>
          <w:r>
            <w:fldChar w:fldCharType="separate"/>
          </w:r>
          <w:r>
            <w:t>75</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"_Toc17092" </w:instrText>
          </w:r>
          <w:r>
            <w:fldChar w:fldCharType="separate"/>
          </w:r>
          <w:r>
            <w:rPr>
              <w:rFonts w:hint="eastAsia" w:eastAsia="宋体"/>
            </w:rPr>
            <w:t>附件十八、 技术、服务要求响应、偏离说明表</w:t>
          </w:r>
          <w:r>
            <w:tab/>
          </w:r>
          <w:r>
            <w:fldChar w:fldCharType="begin"/>
          </w:r>
          <w:r>
            <w:instrText xml:space="preserve"> PAGEREF _Toc17092 </w:instrText>
          </w:r>
          <w:r>
            <w:fldChar w:fldCharType="separate"/>
          </w:r>
          <w:r>
            <w:t>76</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"_Toc8218" </w:instrText>
          </w:r>
          <w:r>
            <w:fldChar w:fldCharType="separate"/>
          </w:r>
          <w:r>
            <w:rPr>
              <w:rFonts w:hint="eastAsia" w:eastAsia="宋体"/>
            </w:rPr>
            <w:t>附件十九、 技术、服务要求“★”号条款响应、偏离说明表</w:t>
          </w:r>
          <w:r>
            <w:tab/>
          </w:r>
          <w:r>
            <w:fldChar w:fldCharType="begin"/>
          </w:r>
          <w:r>
            <w:instrText xml:space="preserve"> PAGEREF _Toc8218 </w:instrText>
          </w:r>
          <w:r>
            <w:fldChar w:fldCharType="separate"/>
          </w:r>
          <w:r>
            <w:t>77</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"_Toc10806" </w:instrText>
          </w:r>
          <w:r>
            <w:fldChar w:fldCharType="separate"/>
          </w:r>
          <w:r>
            <w:rPr>
              <w:rFonts w:hint="eastAsia" w:eastAsia="宋体"/>
            </w:rPr>
            <w:t>附件二十、 技术、服务评议对照表</w:t>
          </w:r>
          <w:r>
            <w:tab/>
          </w:r>
          <w:r>
            <w:fldChar w:fldCharType="begin"/>
          </w:r>
          <w:r>
            <w:instrText xml:space="preserve"> PAGEREF _Toc10806 </w:instrText>
          </w:r>
          <w:r>
            <w:fldChar w:fldCharType="separate"/>
          </w:r>
          <w:r>
            <w:t>78</w:t>
          </w:r>
          <w:r>
            <w:fldChar w:fldCharType="end"/>
          </w:r>
          <w:r>
            <w:fldChar w:fldCharType="end"/>
          </w:r>
        </w:p>
        <w:p>
          <w:pPr>
            <w:pStyle w:val="10"/>
            <w:tabs>
              <w:tab w:val="left" w:pos="1260"/>
              <w:tab w:val="right" w:leader="dot" w:pos="9514"/>
            </w:tabs>
          </w:pPr>
          <w:r>
            <w:fldChar w:fldCharType="end"/>
          </w:r>
          <w:r>
            <w:rPr>
              <w:b w:val="0"/>
              <w:bCs/>
              <w:lang w:val="zh-CN"/>
            </w:rPr>
            <w:tab/>
          </w:r>
        </w:p>
      </w:sdtContent>
    </w:sdt>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1"/>
        </w:numPr>
        <w:spacing w:before="240" w:after="120"/>
        <w:ind w:left="883" w:hanging="880" w:hangingChars="200"/>
        <w:jc w:val="center"/>
        <w:rPr>
          <w:rFonts w:ascii="黑体" w:hAnsi="黑体" w:eastAsia="黑体"/>
          <w:color w:val="000000" w:themeColor="text1"/>
          <w14:textFill>
            <w14:solidFill>
              <w14:schemeClr w14:val="tx1"/>
            </w14:solidFill>
          </w14:textFill>
        </w:rPr>
      </w:pPr>
      <w:bookmarkStart w:id="0" w:name="_Toc23548"/>
      <w:r>
        <w:rPr>
          <w:rFonts w:hint="eastAsia" w:ascii="黑体" w:hAnsi="黑体" w:eastAsia="黑体"/>
          <w:color w:val="000000" w:themeColor="text1"/>
          <w14:textFill>
            <w14:solidFill>
              <w14:schemeClr w14:val="tx1"/>
            </w14:solidFill>
          </w14:textFill>
        </w:rPr>
        <w:t>投标邀请书</w:t>
      </w:r>
      <w:bookmarkEnd w:id="0"/>
    </w:p>
    <w:p>
      <w:pPr>
        <w:pStyle w:val="13"/>
        <w:widowControl/>
        <w:pBdr>
          <w:top w:val="single" w:color="auto" w:sz="6" w:space="0"/>
          <w:left w:val="single" w:color="auto" w:sz="6" w:space="3"/>
          <w:bottom w:val="single" w:color="auto" w:sz="6" w:space="0"/>
          <w:right w:val="single" w:color="auto" w:sz="6" w:space="3"/>
        </w:pBdr>
        <w:spacing w:beforeAutospacing="0" w:afterAutospacing="0" w:line="360" w:lineRule="auto"/>
        <w:ind w:firstLine="720"/>
        <w:rPr>
          <w:rFonts w:ascii="宋体" w:hAnsi="宋体" w:eastAsia="宋体"/>
          <w:color w:val="000000" w:themeColor="text1"/>
          <w:szCs w:val="24"/>
          <w14:textFill>
            <w14:solidFill>
              <w14:schemeClr w14:val="tx1"/>
            </w14:solidFill>
          </w14:textFill>
        </w:rPr>
      </w:pPr>
      <w:r>
        <w:rPr>
          <w:rFonts w:hint="eastAsia" w:ascii="宋体" w:hAnsi="宋体" w:cs="宋体"/>
          <w:szCs w:val="24"/>
          <w:shd w:val="clear" w:color="auto" w:fill="FFFFFF"/>
        </w:rPr>
        <w:t>阳新县教育局2020年能力提升工程班班通教室设备采购项目</w:t>
      </w:r>
      <w:r>
        <w:rPr>
          <w:rFonts w:hint="eastAsia" w:ascii="宋体" w:hAnsi="宋体" w:eastAsia="宋体" w:cs="宋体"/>
          <w:szCs w:val="24"/>
          <w:shd w:val="clear" w:color="auto" w:fill="FFFFFF"/>
        </w:rPr>
        <w:t>的潜在投标人应在“湖北省政府采购网”、“黄石市公共资源交易信息网”及“阳新县人民政府网”获取招标文件，并于</w:t>
      </w:r>
      <w:r>
        <w:rPr>
          <w:rFonts w:hint="eastAsia" w:ascii="宋体" w:hAnsi="宋体" w:eastAsia="宋体" w:cs="宋体"/>
          <w:szCs w:val="24"/>
          <w:u w:val="single"/>
          <w:shd w:val="clear" w:color="auto" w:fill="FFFFFF"/>
        </w:rPr>
        <w:t>2020</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cs="宋体"/>
          <w:szCs w:val="24"/>
          <w:u w:val="single"/>
          <w:shd w:val="clear" w:color="auto" w:fill="FFFFFF"/>
        </w:rPr>
        <w:t>1</w:t>
      </w:r>
      <w:r>
        <w:rPr>
          <w:rFonts w:hint="eastAsia" w:ascii="宋体" w:hAnsi="宋体" w:cs="宋体"/>
          <w:szCs w:val="24"/>
          <w:u w:val="single"/>
          <w:shd w:val="clear" w:color="auto" w:fill="FFFFFF"/>
          <w:lang w:val="en-US" w:eastAsia="zh-CN"/>
        </w:rPr>
        <w:t>1</w:t>
      </w:r>
      <w:r>
        <w:rPr>
          <w:rFonts w:hint="eastAsia" w:ascii="宋体" w:hAnsi="宋体" w:cs="宋体"/>
          <w:szCs w:val="24"/>
          <w:u w:val="single"/>
          <w:shd w:val="clear" w:color="auto" w:fill="FFFFFF"/>
        </w:rPr>
        <w:t xml:space="preserve">   </w:t>
      </w:r>
      <w:r>
        <w:rPr>
          <w:rFonts w:hint="eastAsia" w:ascii="宋体" w:hAnsi="宋体" w:eastAsia="宋体" w:cs="宋体"/>
          <w:szCs w:val="24"/>
          <w:shd w:val="clear" w:color="auto" w:fill="FFFFFF"/>
        </w:rPr>
        <w:t>月</w:t>
      </w:r>
      <w:r>
        <w:rPr>
          <w:rFonts w:hint="eastAsia" w:ascii="宋体" w:hAnsi="宋体" w:eastAsia="宋体" w:cs="宋体"/>
          <w:szCs w:val="24"/>
          <w:u w:val="single"/>
          <w:shd w:val="clear" w:color="auto" w:fill="FFFFFF"/>
        </w:rPr>
        <w:t xml:space="preserve"> </w:t>
      </w:r>
      <w:r>
        <w:rPr>
          <w:rFonts w:hint="eastAsia" w:ascii="宋体" w:hAnsi="宋体" w:cs="宋体"/>
          <w:szCs w:val="24"/>
          <w:u w:val="single"/>
          <w:shd w:val="clear" w:color="auto" w:fill="FFFFFF"/>
        </w:rPr>
        <w:t xml:space="preserve"> </w:t>
      </w:r>
      <w:r>
        <w:rPr>
          <w:rFonts w:hint="eastAsia" w:ascii="宋体" w:hAnsi="宋体" w:cs="宋体"/>
          <w:szCs w:val="24"/>
          <w:u w:val="single"/>
          <w:shd w:val="clear" w:color="auto" w:fill="FFFFFF"/>
          <w:lang w:val="en-US" w:eastAsia="zh-CN"/>
        </w:rPr>
        <w:t>9</w:t>
      </w:r>
      <w:r>
        <w:rPr>
          <w:rFonts w:hint="eastAsia" w:ascii="宋体" w:hAnsi="宋体" w:cs="宋体"/>
          <w:szCs w:val="24"/>
          <w:u w:val="single"/>
          <w:shd w:val="clear" w:color="auto" w:fill="FFFFFF"/>
        </w:rPr>
        <w:t xml:space="preserve"> </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日</w:t>
      </w:r>
      <w:r>
        <w:rPr>
          <w:rFonts w:hint="eastAsia" w:ascii="宋体" w:hAnsi="宋体" w:eastAsia="宋体" w:cs="宋体"/>
          <w:szCs w:val="24"/>
          <w:u w:val="single"/>
          <w:shd w:val="clear" w:color="auto" w:fill="FFFFFF"/>
        </w:rPr>
        <w:t>09</w:t>
      </w:r>
      <w:r>
        <w:rPr>
          <w:rFonts w:hint="eastAsia" w:ascii="宋体" w:hAnsi="宋体" w:eastAsia="宋体" w:cs="宋体"/>
          <w:szCs w:val="24"/>
          <w:shd w:val="clear" w:color="auto" w:fill="FFFFFF"/>
        </w:rPr>
        <w:t>点00分(北京时间）前递交投标文件。</w:t>
      </w:r>
    </w:p>
    <w:p>
      <w:pPr>
        <w:pStyle w:val="13"/>
        <w:widowControl/>
        <w:spacing w:beforeAutospacing="0" w:afterAutospacing="0" w:line="500" w:lineRule="exact"/>
        <w:ind w:firstLine="420"/>
      </w:pPr>
      <w:r>
        <w:rPr>
          <w:rStyle w:val="17"/>
          <w:rFonts w:hint="eastAsia" w:ascii="宋体" w:hAnsi="宋体" w:eastAsia="宋体" w:cs="宋体"/>
          <w:szCs w:val="24"/>
          <w:shd w:val="clear" w:color="auto" w:fill="FFFFFF"/>
        </w:rPr>
        <w:t>一、项目基本情况</w:t>
      </w:r>
    </w:p>
    <w:p>
      <w:pPr>
        <w:spacing w:line="500" w:lineRule="exact"/>
        <w:ind w:firstLine="480" w:firstLineChars="200"/>
        <w:rPr>
          <w:rFonts w:eastAsia="宋体"/>
        </w:rPr>
      </w:pPr>
      <w:r>
        <w:rPr>
          <w:rFonts w:hint="eastAsia" w:ascii="宋体" w:hAnsi="宋体" w:eastAsia="宋体" w:cs="宋体"/>
          <w:sz w:val="24"/>
          <w:szCs w:val="24"/>
          <w:shd w:val="clear" w:color="auto" w:fill="FFFFFF"/>
        </w:rPr>
        <w:t>项目编号：131-2020CG-</w:t>
      </w:r>
      <w:r>
        <w:rPr>
          <w:rFonts w:hint="eastAsia" w:ascii="宋体" w:hAnsi="宋体" w:eastAsia="宋体" w:cs="宋体"/>
          <w:sz w:val="24"/>
          <w:szCs w:val="24"/>
          <w:shd w:val="clear" w:color="auto" w:fill="FFFFFF"/>
          <w:lang w:val="en-US" w:eastAsia="zh-CN"/>
        </w:rPr>
        <w:t>206</w:t>
      </w:r>
      <w:r>
        <w:rPr>
          <w:rFonts w:hint="eastAsia" w:ascii="宋体" w:hAnsi="宋体" w:eastAsia="宋体" w:cs="宋体"/>
          <w:sz w:val="24"/>
          <w:szCs w:val="24"/>
          <w:shd w:val="clear" w:color="auto" w:fill="FFFFFF"/>
        </w:rPr>
        <w:t xml:space="preserve">  </w:t>
      </w:r>
      <w:r>
        <w:rPr>
          <w:rFonts w:hint="eastAsia" w:ascii="宋体" w:hAnsi="宋体" w:eastAsia="宋体" w:cs="宋体"/>
          <w:kern w:val="0"/>
          <w:sz w:val="24"/>
          <w:szCs w:val="24"/>
          <w:shd w:val="clear" w:color="auto" w:fill="FFFFFF"/>
        </w:rPr>
        <w:t>（政府采购备案号：阳财采计备[2020]A</w:t>
      </w:r>
      <w:r>
        <w:rPr>
          <w:rFonts w:hint="eastAsia" w:ascii="宋体" w:hAnsi="宋体" w:cs="宋体"/>
          <w:kern w:val="0"/>
          <w:sz w:val="24"/>
          <w:szCs w:val="24"/>
          <w:u w:val="single"/>
          <w:shd w:val="clear" w:color="auto" w:fill="FFFFFF"/>
        </w:rPr>
        <w:t>158</w:t>
      </w:r>
      <w:r>
        <w:rPr>
          <w:rFonts w:hint="eastAsia" w:ascii="宋体" w:hAnsi="宋体" w:eastAsia="宋体" w:cs="宋体"/>
          <w:kern w:val="0"/>
          <w:sz w:val="24"/>
          <w:szCs w:val="24"/>
          <w:shd w:val="clear" w:color="auto" w:fill="FFFFFF"/>
        </w:rPr>
        <w:t>号）</w:t>
      </w:r>
    </w:p>
    <w:p>
      <w:pPr>
        <w:pStyle w:val="13"/>
        <w:widowControl/>
        <w:spacing w:beforeAutospacing="0" w:afterAutospacing="0" w:line="500" w:lineRule="exact"/>
        <w:ind w:firstLine="480"/>
        <w:rPr>
          <w:rFonts w:eastAsia="宋体"/>
        </w:rPr>
      </w:pPr>
      <w:r>
        <w:rPr>
          <w:rFonts w:hint="eastAsia" w:ascii="宋体" w:hAnsi="宋体" w:eastAsia="宋体" w:cs="宋体"/>
          <w:szCs w:val="24"/>
          <w:shd w:val="clear" w:color="auto" w:fill="FFFFFF"/>
        </w:rPr>
        <w:t>项目名称：</w:t>
      </w:r>
      <w:r>
        <w:rPr>
          <w:rFonts w:hint="eastAsia" w:ascii="宋体" w:hAnsi="宋体" w:cs="宋体"/>
          <w:szCs w:val="24"/>
          <w:shd w:val="clear" w:color="auto" w:fill="FFFFFF"/>
        </w:rPr>
        <w:t>阳新县教育局2020年能力提升工程班班通教室设备采购项目</w:t>
      </w:r>
    </w:p>
    <w:p>
      <w:pPr>
        <w:pStyle w:val="13"/>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预算金额：</w:t>
      </w:r>
      <w:r>
        <w:rPr>
          <w:rFonts w:hint="eastAsia" w:ascii="宋体" w:hAnsi="宋体" w:cs="宋体"/>
          <w:szCs w:val="24"/>
          <w:shd w:val="clear" w:color="auto" w:fill="FFFFFF"/>
        </w:rPr>
        <w:t>一包：200</w:t>
      </w:r>
      <w:r>
        <w:rPr>
          <w:rFonts w:hint="eastAsia" w:ascii="宋体" w:hAnsi="宋体" w:eastAsia="宋体" w:cs="宋体"/>
          <w:szCs w:val="24"/>
          <w:shd w:val="clear" w:color="auto" w:fill="FFFFFF"/>
        </w:rPr>
        <w:t>万元；二包：200万（超过此金额作为无效投标</w:t>
      </w:r>
      <w:r>
        <w:rPr>
          <w:rFonts w:hint="eastAsia" w:ascii="宋体" w:hAnsi="宋体" w:eastAsia="宋体" w:cs="宋体"/>
          <w:szCs w:val="24"/>
          <w:shd w:val="clear" w:color="auto" w:fill="FFFFFF"/>
          <w:lang w:eastAsia="zh-CN"/>
        </w:rPr>
        <w:t>，潜在供应商只能投两个标段中的任意一个标段。</w:t>
      </w:r>
      <w:r>
        <w:rPr>
          <w:rFonts w:hint="eastAsia" w:ascii="宋体" w:hAnsi="宋体" w:eastAsia="宋体" w:cs="宋体"/>
          <w:szCs w:val="24"/>
          <w:shd w:val="clear" w:color="auto" w:fill="FFFFFF"/>
        </w:rPr>
        <w:t>）</w:t>
      </w:r>
    </w:p>
    <w:p>
      <w:pPr>
        <w:pStyle w:val="13"/>
        <w:widowControl/>
        <w:spacing w:beforeAutospacing="0" w:afterAutospacing="0" w:line="360" w:lineRule="auto"/>
        <w:ind w:firstLine="480"/>
      </w:pPr>
      <w:r>
        <w:rPr>
          <w:rFonts w:hint="eastAsia" w:ascii="宋体" w:hAnsi="宋体" w:eastAsia="宋体" w:cs="宋体"/>
          <w:szCs w:val="24"/>
          <w:shd w:val="clear" w:color="auto" w:fill="FFFFFF"/>
        </w:rPr>
        <w:t>采购需求：班班通教室设备采购</w:t>
      </w:r>
      <w:r>
        <w:rPr>
          <w:rFonts w:hint="eastAsia" w:ascii="宋体" w:hAnsi="宋体" w:eastAsia="宋体" w:cs="宋体"/>
          <w:color w:val="0C0C0C"/>
          <w:szCs w:val="24"/>
          <w:shd w:val="clear" w:color="auto" w:fill="FFFFFF"/>
        </w:rPr>
        <w:t>（详见招标文件）</w:t>
      </w:r>
    </w:p>
    <w:p>
      <w:pPr>
        <w:pStyle w:val="13"/>
        <w:widowControl/>
        <w:spacing w:beforeAutospacing="0" w:afterAutospacing="0" w:line="500" w:lineRule="exact"/>
        <w:ind w:firstLine="480"/>
        <w:rPr>
          <w:rFonts w:eastAsia="宋体"/>
        </w:rPr>
      </w:pPr>
      <w:r>
        <w:rPr>
          <w:rFonts w:hint="eastAsia" w:ascii="宋体" w:hAnsi="宋体" w:eastAsia="宋体" w:cs="宋体"/>
          <w:szCs w:val="24"/>
          <w:shd w:val="clear" w:color="auto" w:fill="FFFFFF"/>
        </w:rPr>
        <w:t>合同履行期限：</w:t>
      </w:r>
      <w:r>
        <w:rPr>
          <w:rFonts w:hint="eastAsia" w:ascii="宋体" w:hAnsi="宋体" w:eastAsia="宋体" w:cs="宋体"/>
          <w:szCs w:val="24"/>
        </w:rPr>
        <w:t>合同签定后</w:t>
      </w:r>
      <w:r>
        <w:rPr>
          <w:rFonts w:hint="eastAsia" w:ascii="宋体" w:hAnsi="宋体" w:cs="宋体"/>
          <w:szCs w:val="24"/>
        </w:rPr>
        <w:t>40天</w:t>
      </w:r>
    </w:p>
    <w:p>
      <w:pPr>
        <w:pStyle w:val="13"/>
        <w:widowControl/>
        <w:spacing w:beforeAutospacing="0" w:afterAutospacing="0" w:line="500" w:lineRule="exact"/>
        <w:ind w:firstLine="480"/>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本项目不接受联合体投标。</w:t>
      </w:r>
    </w:p>
    <w:p>
      <w:pPr>
        <w:pStyle w:val="13"/>
        <w:widowControl/>
        <w:spacing w:beforeAutospacing="0" w:afterAutospacing="0" w:line="500" w:lineRule="exact"/>
        <w:ind w:firstLine="420"/>
      </w:pPr>
      <w:r>
        <w:rPr>
          <w:rStyle w:val="17"/>
          <w:rFonts w:hint="eastAsia" w:ascii="宋体" w:hAnsi="宋体" w:eastAsia="宋体" w:cs="宋体"/>
          <w:szCs w:val="24"/>
          <w:shd w:val="clear" w:color="auto" w:fill="FFFFFF"/>
        </w:rPr>
        <w:t>二、申请人的资格要求：</w:t>
      </w:r>
    </w:p>
    <w:p>
      <w:pPr>
        <w:pStyle w:val="13"/>
        <w:widowControl/>
        <w:spacing w:beforeAutospacing="0" w:afterAutospacing="0" w:line="500" w:lineRule="exact"/>
        <w:ind w:firstLine="480"/>
      </w:pPr>
      <w:r>
        <w:rPr>
          <w:rFonts w:hint="eastAsia" w:ascii="宋体" w:hAnsi="宋体" w:eastAsia="宋体" w:cs="宋体"/>
          <w:szCs w:val="24"/>
          <w:shd w:val="clear" w:color="auto" w:fill="FFFFFF"/>
        </w:rPr>
        <w:t>1、应具备《政府采购法》第二十二条第一款规定的条件；</w:t>
      </w:r>
    </w:p>
    <w:p>
      <w:pPr>
        <w:pStyle w:val="13"/>
        <w:widowControl/>
        <w:spacing w:beforeAutospacing="0" w:afterAutospacing="0" w:line="500" w:lineRule="exact"/>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tabs>
          <w:tab w:val="left" w:pos="896"/>
        </w:tabs>
        <w:spacing w:line="360" w:lineRule="auto"/>
        <w:ind w:left="482"/>
        <w:rPr>
          <w:sz w:val="24"/>
          <w:szCs w:val="24"/>
        </w:rPr>
      </w:pPr>
      <w:r>
        <w:rPr>
          <w:rFonts w:hint="eastAsia" w:ascii="宋体" w:hAnsi="宋体" w:cs="Times New Roman"/>
          <w:bCs/>
          <w:color w:val="0D0D0D" w:themeColor="text1" w:themeTint="F2"/>
          <w:sz w:val="24"/>
          <w:szCs w:val="24"/>
          <w14:textFill>
            <w14:solidFill>
              <w14:schemeClr w14:val="tx1">
                <w14:lumMod w14:val="95000"/>
                <w14:lumOff w14:val="5000"/>
              </w14:schemeClr>
            </w14:solidFill>
          </w14:textFill>
        </w:rPr>
        <w:t>3、</w:t>
      </w:r>
      <w:r>
        <w:rPr>
          <w:rFonts w:hint="eastAsia" w:ascii="宋体" w:hAnsi="宋体" w:eastAsia="宋体" w:cs="Times New Roman"/>
          <w:bCs/>
          <w:color w:val="0D0D0D" w:themeColor="text1" w:themeTint="F2"/>
          <w:sz w:val="24"/>
          <w:szCs w:val="24"/>
          <w14:textFill>
            <w14:solidFill>
              <w14:schemeClr w14:val="tx1">
                <w14:lumMod w14:val="95000"/>
                <w14:lumOff w14:val="5000"/>
              </w14:schemeClr>
            </w14:solidFill>
          </w14:textFill>
        </w:rPr>
        <w:t>特定条件：无</w:t>
      </w:r>
    </w:p>
    <w:p>
      <w:pPr>
        <w:tabs>
          <w:tab w:val="left" w:pos="896"/>
        </w:tabs>
        <w:spacing w:line="360" w:lineRule="auto"/>
        <w:ind w:left="482"/>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ascii="宋体" w:hAnsi="宋体" w:cs="Times New Roman"/>
          <w:bCs/>
          <w:color w:val="0D0D0D" w:themeColor="text1" w:themeTint="F2"/>
          <w:sz w:val="24"/>
          <w:szCs w:val="24"/>
          <w14:textFill>
            <w14:solidFill>
              <w14:schemeClr w14:val="tx1">
                <w14:lumMod w14:val="95000"/>
                <w14:lumOff w14:val="5000"/>
              </w14:schemeClr>
            </w14:solidFill>
          </w14:textFill>
        </w:rPr>
        <w:t>4、</w:t>
      </w:r>
      <w:r>
        <w:rPr>
          <w:rFonts w:hint="eastAsia" w:ascii="宋体" w:hAnsi="宋体" w:eastAsia="宋体" w:cs="Times New Roman"/>
          <w:bCs/>
          <w:color w:val="0D0D0D" w:themeColor="text1" w:themeTint="F2"/>
          <w:sz w:val="24"/>
          <w:szCs w:val="24"/>
          <w14:textFill>
            <w14:solidFill>
              <w14:schemeClr w14:val="tx1">
                <w14:lumMod w14:val="95000"/>
                <w14:lumOff w14:val="5000"/>
              </w14:schemeClr>
            </w14:solidFill>
          </w14:textFill>
        </w:rPr>
        <w:t>本项目不接受联合体形式的投标。</w:t>
      </w:r>
    </w:p>
    <w:p>
      <w:pPr>
        <w:pStyle w:val="13"/>
        <w:widowControl/>
        <w:spacing w:beforeAutospacing="0" w:afterAutospacing="0" w:line="500" w:lineRule="exact"/>
        <w:ind w:firstLine="420"/>
      </w:pPr>
      <w:r>
        <w:rPr>
          <w:rStyle w:val="17"/>
          <w:rFonts w:hint="eastAsia" w:ascii="宋体" w:hAnsi="宋体" w:eastAsia="宋体" w:cs="宋体"/>
          <w:szCs w:val="24"/>
          <w:shd w:val="clear" w:color="auto" w:fill="FFFFFF"/>
        </w:rPr>
        <w:t>三、获取招标文件</w:t>
      </w:r>
    </w:p>
    <w:p>
      <w:pPr>
        <w:pStyle w:val="13"/>
        <w:widowControl/>
        <w:spacing w:beforeAutospacing="0" w:afterAutospacing="0" w:line="500" w:lineRule="exact"/>
        <w:ind w:firstLine="480"/>
      </w:pPr>
      <w:r>
        <w:rPr>
          <w:rFonts w:hint="eastAsia" w:ascii="宋体" w:hAnsi="宋体" w:eastAsia="宋体" w:cs="宋体"/>
          <w:szCs w:val="24"/>
          <w:shd w:val="clear" w:color="auto" w:fill="FFFFFF"/>
        </w:rPr>
        <w:t>时间：</w:t>
      </w:r>
      <w:r>
        <w:rPr>
          <w:rFonts w:hint="eastAsia" w:ascii="宋体" w:hAnsi="宋体" w:eastAsia="宋体" w:cs="宋体"/>
          <w:szCs w:val="24"/>
          <w:u w:val="single"/>
          <w:shd w:val="clear" w:color="auto" w:fill="FFFFFF"/>
        </w:rPr>
        <w:t>2020</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10</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月</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15</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日至</w:t>
      </w:r>
      <w:r>
        <w:rPr>
          <w:rFonts w:hint="eastAsia" w:ascii="宋体" w:hAnsi="宋体" w:eastAsia="宋体" w:cs="宋体"/>
          <w:szCs w:val="24"/>
          <w:u w:val="single"/>
          <w:shd w:val="clear" w:color="auto" w:fill="FFFFFF"/>
        </w:rPr>
        <w:t>2020</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10</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月</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22</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日17:30(北京时间)</w:t>
      </w:r>
    </w:p>
    <w:p>
      <w:pPr>
        <w:pStyle w:val="13"/>
        <w:widowControl/>
        <w:spacing w:beforeAutospacing="0" w:afterAutospacing="0" w:line="500" w:lineRule="exact"/>
        <w:ind w:firstLine="480"/>
      </w:pPr>
      <w:r>
        <w:rPr>
          <w:rFonts w:hint="eastAsia" w:ascii="宋体" w:hAnsi="宋体" w:eastAsia="宋体" w:cs="宋体"/>
          <w:szCs w:val="24"/>
          <w:shd w:val="clear" w:color="auto" w:fill="FFFFFF"/>
        </w:rPr>
        <w:t>招标文件下载：见附件</w:t>
      </w:r>
    </w:p>
    <w:p>
      <w:pPr>
        <w:pStyle w:val="13"/>
        <w:widowControl/>
        <w:numPr>
          <w:ilvl w:val="0"/>
          <w:numId w:val="2"/>
        </w:numPr>
        <w:spacing w:beforeAutospacing="0" w:afterAutospacing="0" w:line="500" w:lineRule="exact"/>
        <w:ind w:firstLine="420"/>
        <w:rPr>
          <w:rStyle w:val="17"/>
          <w:rFonts w:ascii="宋体" w:hAnsi="宋体" w:eastAsia="宋体" w:cs="宋体"/>
          <w:szCs w:val="24"/>
          <w:shd w:val="clear" w:color="auto" w:fill="FFFFFF"/>
        </w:rPr>
      </w:pPr>
      <w:r>
        <w:rPr>
          <w:rStyle w:val="17"/>
          <w:rFonts w:hint="eastAsia" w:ascii="宋体" w:hAnsi="宋体" w:eastAsia="宋体" w:cs="宋体"/>
          <w:szCs w:val="24"/>
          <w:shd w:val="clear" w:color="auto" w:fill="FFFFFF"/>
        </w:rPr>
        <w:t>提交投标文件截止时间、开标时间和地点</w:t>
      </w:r>
    </w:p>
    <w:p>
      <w:pPr>
        <w:pStyle w:val="13"/>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rPr>
        <w:t>提交投标文件截止时间、开标时间</w:t>
      </w:r>
      <w:r>
        <w:rPr>
          <w:rFonts w:hint="eastAsia" w:ascii="宋体" w:hAnsi="宋体" w:eastAsia="宋体" w:cs="宋体"/>
          <w:szCs w:val="24"/>
          <w:shd w:val="clear" w:color="auto" w:fill="FFFFFF"/>
        </w:rPr>
        <w:t>：</w:t>
      </w:r>
      <w:r>
        <w:rPr>
          <w:rFonts w:hint="eastAsia" w:ascii="宋体" w:hAnsi="宋体" w:eastAsia="宋体" w:cs="宋体"/>
          <w:szCs w:val="24"/>
          <w:u w:val="single"/>
          <w:shd w:val="clear" w:color="auto" w:fill="FFFFFF"/>
        </w:rPr>
        <w:t>2020</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11</w:t>
      </w:r>
      <w:r>
        <w:rPr>
          <w:rFonts w:hint="eastAsia" w:ascii="宋体" w:hAnsi="宋体" w:cs="宋体"/>
          <w:szCs w:val="24"/>
          <w:u w:val="single"/>
          <w:shd w:val="clear" w:color="auto" w:fill="FFFFFF"/>
        </w:rPr>
        <w:t xml:space="preserve"> </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月</w:t>
      </w:r>
      <w:r>
        <w:rPr>
          <w:rFonts w:hint="eastAsia" w:ascii="宋体" w:hAnsi="宋体" w:eastAsia="宋体" w:cs="宋体"/>
          <w:szCs w:val="24"/>
          <w:u w:val="single"/>
          <w:shd w:val="clear" w:color="auto" w:fill="FFFFFF"/>
        </w:rPr>
        <w:t xml:space="preserve"> </w:t>
      </w:r>
      <w:r>
        <w:rPr>
          <w:rFonts w:hint="eastAsia" w:ascii="宋体" w:hAnsi="宋体" w:cs="宋体"/>
          <w:szCs w:val="24"/>
          <w:u w:val="single"/>
          <w:shd w:val="clear" w:color="auto" w:fill="FFFFFF"/>
        </w:rPr>
        <w:t xml:space="preserve"> </w:t>
      </w:r>
      <w:r>
        <w:rPr>
          <w:rFonts w:hint="eastAsia" w:ascii="宋体" w:hAnsi="宋体" w:cs="宋体"/>
          <w:szCs w:val="24"/>
          <w:u w:val="single"/>
          <w:shd w:val="clear" w:color="auto" w:fill="FFFFFF"/>
          <w:lang w:val="en-US" w:eastAsia="zh-CN"/>
        </w:rPr>
        <w:t>9</w:t>
      </w:r>
      <w:r>
        <w:rPr>
          <w:rFonts w:hint="eastAsia" w:ascii="宋体" w:hAnsi="宋体" w:cs="宋体"/>
          <w:szCs w:val="24"/>
          <w:u w:val="single"/>
          <w:shd w:val="clear" w:color="auto" w:fill="FFFFFF"/>
        </w:rPr>
        <w:t xml:space="preserve"> </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日9时00分（8时30分开始接收投标文件，拒收逾期送达或者未按招标文件要求密封的投标文件）</w:t>
      </w:r>
    </w:p>
    <w:p>
      <w:pPr>
        <w:pStyle w:val="13"/>
        <w:widowControl/>
        <w:spacing w:beforeAutospacing="0" w:afterAutospacing="0" w:line="360" w:lineRule="auto"/>
        <w:ind w:firstLine="480"/>
      </w:pPr>
      <w:r>
        <w:rPr>
          <w:rFonts w:hint="eastAsia" w:ascii="宋体" w:hAnsi="宋体" w:eastAsia="宋体" w:cs="宋体"/>
          <w:szCs w:val="24"/>
        </w:rPr>
        <w:t>提交投标文件地点</w:t>
      </w:r>
      <w:r>
        <w:rPr>
          <w:rFonts w:hint="eastAsia" w:ascii="宋体" w:hAnsi="宋体" w:eastAsia="宋体" w:cs="宋体"/>
          <w:szCs w:val="24"/>
          <w:shd w:val="clear" w:color="auto" w:fill="FFFFFF"/>
        </w:rPr>
        <w:t>：阳新县公共资源交易中心</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 xml:space="preserve"> 二</w:t>
      </w:r>
      <w:r>
        <w:rPr>
          <w:rFonts w:hint="eastAsia" w:ascii="宋体" w:hAnsi="宋体" w:cs="宋体"/>
          <w:szCs w:val="24"/>
          <w:u w:val="single"/>
          <w:shd w:val="clear" w:color="auto" w:fill="FFFFFF"/>
        </w:rPr>
        <w:t xml:space="preserve"> </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楼开标大厅（阳新县熊家垴安置小区东侧）</w:t>
      </w:r>
    </w:p>
    <w:p>
      <w:pPr>
        <w:pStyle w:val="13"/>
        <w:widowControl/>
        <w:spacing w:beforeAutospacing="0" w:afterAutospacing="0" w:line="360" w:lineRule="auto"/>
        <w:ind w:firstLine="420"/>
      </w:pPr>
      <w:r>
        <w:rPr>
          <w:rStyle w:val="17"/>
          <w:rFonts w:hint="eastAsia" w:ascii="宋体" w:hAnsi="宋体" w:eastAsia="宋体" w:cs="宋体"/>
          <w:szCs w:val="24"/>
          <w:shd w:val="clear" w:color="auto" w:fill="FFFFFF"/>
        </w:rPr>
        <w:t>五、公告期限</w:t>
      </w:r>
    </w:p>
    <w:p>
      <w:pPr>
        <w:pStyle w:val="13"/>
        <w:widowControl/>
        <w:spacing w:beforeAutospacing="0" w:afterAutospacing="0" w:line="360" w:lineRule="auto"/>
        <w:ind w:firstLine="480"/>
      </w:pPr>
      <w:r>
        <w:rPr>
          <w:rFonts w:hint="eastAsia" w:ascii="宋体" w:hAnsi="宋体" w:eastAsia="宋体" w:cs="宋体"/>
          <w:szCs w:val="24"/>
          <w:shd w:val="clear" w:color="auto" w:fill="FFFFFF"/>
        </w:rPr>
        <w:t>自本公告发布之日起5个工作日。</w:t>
      </w:r>
    </w:p>
    <w:p>
      <w:pPr>
        <w:pStyle w:val="13"/>
        <w:widowControl/>
        <w:spacing w:beforeAutospacing="0" w:afterAutospacing="0" w:line="360" w:lineRule="auto"/>
        <w:ind w:firstLine="420"/>
      </w:pPr>
      <w:r>
        <w:rPr>
          <w:rStyle w:val="17"/>
          <w:rFonts w:hint="eastAsia" w:ascii="宋体" w:hAnsi="宋体" w:eastAsia="宋体" w:cs="宋体"/>
          <w:szCs w:val="24"/>
          <w:shd w:val="clear" w:color="auto" w:fill="FFFFFF"/>
        </w:rPr>
        <w:t>六、其他补充事宜</w:t>
      </w:r>
    </w:p>
    <w:p>
      <w:pPr>
        <w:pStyle w:val="13"/>
        <w:widowControl/>
        <w:spacing w:beforeAutospacing="0" w:afterAutospacing="0" w:line="360" w:lineRule="auto"/>
        <w:ind w:firstLine="480"/>
      </w:pPr>
      <w:r>
        <w:rPr>
          <w:rFonts w:hint="eastAsia" w:ascii="宋体" w:hAnsi="宋体" w:eastAsia="宋体" w:cs="宋体"/>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13"/>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2、是否专门面向中小企业、监狱企业、残疾人福利性单位：否。</w:t>
      </w:r>
    </w:p>
    <w:p>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pStyle w:val="13"/>
        <w:widowControl/>
        <w:spacing w:beforeAutospacing="0" w:afterAutospacing="0" w:line="360" w:lineRule="auto"/>
        <w:ind w:firstLine="420"/>
      </w:pPr>
      <w:r>
        <w:rPr>
          <w:rStyle w:val="17"/>
          <w:rFonts w:hint="eastAsia" w:ascii="宋体" w:hAnsi="宋体" w:eastAsia="宋体" w:cs="宋体"/>
          <w:szCs w:val="24"/>
          <w:shd w:val="clear" w:color="auto" w:fill="FFFFFF"/>
        </w:rPr>
        <w:t>七、对本次招标提出询问，请按以下方式联系。</w:t>
      </w:r>
    </w:p>
    <w:p>
      <w:pPr>
        <w:pStyle w:val="13"/>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1.采购人信息</w:t>
      </w:r>
    </w:p>
    <w:p>
      <w:pPr>
        <w:pStyle w:val="13"/>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名    称：阳新县教育局</w:t>
      </w:r>
    </w:p>
    <w:p>
      <w:pPr>
        <w:pStyle w:val="13"/>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地    址：</w:t>
      </w:r>
      <w:r>
        <w:rPr>
          <w:rFonts w:hint="eastAsia"/>
          <w:color w:val="000000" w:themeColor="text1"/>
          <w:szCs w:val="24"/>
          <w14:textFill>
            <w14:solidFill>
              <w14:schemeClr w14:val="tx1"/>
            </w14:solidFill>
          </w14:textFill>
        </w:rPr>
        <w:t>阳新县兴国镇桃花泉路</w:t>
      </w:r>
      <w:r>
        <w:rPr>
          <w:color w:val="000000" w:themeColor="text1"/>
          <w:szCs w:val="24"/>
          <w14:textFill>
            <w14:solidFill>
              <w14:schemeClr w14:val="tx1"/>
            </w14:solidFill>
          </w14:textFill>
        </w:rPr>
        <w:t>37</w:t>
      </w:r>
      <w:r>
        <w:rPr>
          <w:rFonts w:hint="eastAsia"/>
          <w:color w:val="000000" w:themeColor="text1"/>
          <w:szCs w:val="24"/>
          <w14:textFill>
            <w14:solidFill>
              <w14:schemeClr w14:val="tx1"/>
            </w14:solidFill>
          </w14:textFill>
        </w:rPr>
        <w:t>号</w:t>
      </w:r>
      <w:r>
        <w:rPr>
          <w:rFonts w:hint="eastAsia" w:ascii="宋体" w:hAnsi="宋体" w:eastAsia="宋体" w:cs="宋体"/>
          <w:szCs w:val="24"/>
        </w:rPr>
        <w:t xml:space="preserve"> </w:t>
      </w:r>
    </w:p>
    <w:p>
      <w:pPr>
        <w:pStyle w:val="13"/>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联系方式：王辉琪   </w:t>
      </w:r>
      <w:r>
        <w:rPr>
          <w:rFonts w:hint="eastAsia"/>
          <w:szCs w:val="24"/>
        </w:rPr>
        <w:t>15897781066</w:t>
      </w:r>
    </w:p>
    <w:p>
      <w:pPr>
        <w:pStyle w:val="13"/>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2.采购代理机构信息</w:t>
      </w:r>
    </w:p>
    <w:p>
      <w:pPr>
        <w:pStyle w:val="13"/>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名    称：衡正国际工程咨询有限公司</w:t>
      </w:r>
    </w:p>
    <w:p>
      <w:pPr>
        <w:pStyle w:val="13"/>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地　　址：阳新县兴国镇山景城小区二期1栋113商铺</w:t>
      </w:r>
    </w:p>
    <w:p>
      <w:pPr>
        <w:pStyle w:val="13"/>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联系方式：石林   13971196990</w:t>
      </w:r>
    </w:p>
    <w:p>
      <w:pPr>
        <w:pStyle w:val="13"/>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3.项目联系方式</w:t>
      </w:r>
    </w:p>
    <w:p>
      <w:pPr>
        <w:pStyle w:val="13"/>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项目联系人：石林</w:t>
      </w:r>
    </w:p>
    <w:p>
      <w:pPr>
        <w:pStyle w:val="13"/>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电　　 话：13971196990</w:t>
      </w:r>
    </w:p>
    <w:p>
      <w:pPr>
        <w:pStyle w:val="13"/>
        <w:widowControl/>
        <w:spacing w:beforeAutospacing="0" w:afterAutospacing="0" w:line="360" w:lineRule="auto"/>
        <w:ind w:firstLine="480"/>
      </w:pPr>
      <w:r>
        <w:rPr>
          <w:rFonts w:hint="eastAsia" w:ascii="宋体" w:hAnsi="宋体" w:eastAsia="宋体" w:cs="宋体"/>
          <w:szCs w:val="24"/>
          <w:shd w:val="clear" w:color="auto" w:fill="FFFFFF"/>
        </w:rPr>
        <w:t> </w:t>
      </w:r>
    </w:p>
    <w:p>
      <w:pPr>
        <w:pStyle w:val="13"/>
        <w:widowControl/>
        <w:spacing w:beforeAutospacing="0" w:afterAutospacing="0" w:line="360" w:lineRule="auto"/>
        <w:ind w:firstLine="480"/>
        <w:jc w:val="right"/>
        <w:rPr>
          <w:rFonts w:ascii="宋体" w:hAnsi="宋体" w:cs="宋体"/>
          <w:szCs w:val="24"/>
          <w:shd w:val="clear" w:color="auto" w:fill="FFFFFF"/>
        </w:rPr>
      </w:pPr>
      <w:r>
        <w:rPr>
          <w:rFonts w:hint="eastAsia" w:ascii="宋体" w:hAnsi="宋体" w:cs="宋体"/>
          <w:szCs w:val="24"/>
          <w:shd w:val="clear" w:color="auto" w:fill="FFFFFF"/>
        </w:rPr>
        <w:t>衡正国际工程咨询有限公司</w:t>
      </w:r>
    </w:p>
    <w:p>
      <w:pPr>
        <w:pStyle w:val="13"/>
        <w:widowControl/>
        <w:spacing w:beforeAutospacing="0" w:afterAutospacing="0" w:line="360" w:lineRule="auto"/>
        <w:ind w:firstLine="480"/>
        <w:jc w:val="right"/>
      </w:pPr>
      <w:r>
        <w:rPr>
          <w:rFonts w:hint="eastAsia" w:ascii="宋体" w:hAnsi="宋体" w:eastAsia="宋体" w:cs="宋体"/>
          <w:szCs w:val="24"/>
          <w:u w:val="single"/>
          <w:shd w:val="clear" w:color="auto" w:fill="FFFFFF"/>
        </w:rPr>
        <w:t>2020</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10</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月</w:t>
      </w:r>
      <w:r>
        <w:rPr>
          <w:rFonts w:hint="eastAsia" w:ascii="宋体" w:hAnsi="宋体" w:cs="宋体"/>
          <w:szCs w:val="24"/>
          <w:u w:val="single"/>
          <w:shd w:val="clear" w:color="auto" w:fill="FFFFFF"/>
        </w:rPr>
        <w:t xml:space="preserve"> </w:t>
      </w:r>
      <w:r>
        <w:rPr>
          <w:rFonts w:hint="eastAsia" w:ascii="宋体" w:hAnsi="宋体" w:cs="宋体"/>
          <w:szCs w:val="24"/>
          <w:u w:val="single"/>
          <w:shd w:val="clear" w:color="auto" w:fill="FFFFFF"/>
          <w:lang w:val="en-US" w:eastAsia="zh-CN"/>
        </w:rPr>
        <w:t>15</w:t>
      </w:r>
      <w:r>
        <w:rPr>
          <w:rFonts w:hint="eastAsia" w:ascii="宋体" w:hAnsi="宋体" w:cs="宋体"/>
          <w:szCs w:val="24"/>
          <w:u w:val="single"/>
          <w:shd w:val="clear" w:color="auto" w:fill="FFFFFF"/>
        </w:rPr>
        <w:t xml:space="preserve">  </w:t>
      </w:r>
      <w:r>
        <w:rPr>
          <w:rFonts w:hint="eastAsia" w:ascii="宋体" w:hAnsi="宋体" w:eastAsia="宋体" w:cs="宋体"/>
          <w:szCs w:val="24"/>
          <w:shd w:val="clear" w:color="auto" w:fill="FFFFFF"/>
        </w:rPr>
        <w:t>日</w:t>
      </w:r>
    </w:p>
    <w:p>
      <w:pPr>
        <w:spacing w:line="360" w:lineRule="auto"/>
        <w:ind w:firstLine="560" w:firstLineChars="200"/>
        <w:jc w:val="right"/>
        <w:rPr>
          <w:color w:val="000000" w:themeColor="text1"/>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br w:type="page"/>
      </w:r>
    </w:p>
    <w:p>
      <w:pPr>
        <w:pStyle w:val="3"/>
        <w:numPr>
          <w:ilvl w:val="0"/>
          <w:numId w:val="1"/>
        </w:numPr>
        <w:spacing w:before="240" w:after="120"/>
        <w:ind w:left="883" w:hanging="880" w:hangingChars="200"/>
        <w:jc w:val="center"/>
        <w:rPr>
          <w:rFonts w:ascii="黑体" w:hAnsi="黑体" w:eastAsia="黑体"/>
          <w:color w:val="000000" w:themeColor="text1"/>
          <w14:textFill>
            <w14:solidFill>
              <w14:schemeClr w14:val="tx1"/>
            </w14:solidFill>
          </w14:textFill>
        </w:rPr>
      </w:pPr>
      <w:bookmarkStart w:id="1" w:name="_Toc30604"/>
      <w:r>
        <w:rPr>
          <w:rFonts w:hint="eastAsia" w:ascii="黑体" w:hAnsi="黑体" w:eastAsia="黑体"/>
          <w:color w:val="000000" w:themeColor="text1"/>
          <w14:textFill>
            <w14:solidFill>
              <w14:schemeClr w14:val="tx1"/>
            </w14:solidFill>
          </w14:textFill>
        </w:rPr>
        <w:t>投标人须知</w:t>
      </w:r>
      <w:bookmarkEnd w:id="1"/>
    </w:p>
    <w:p>
      <w:pPr>
        <w:keepNext/>
        <w:keepLines/>
        <w:spacing w:line="360" w:lineRule="auto"/>
        <w:jc w:val="center"/>
        <w:outlineLvl w:val="1"/>
        <w:rPr>
          <w:rFonts w:cs="Times New Roman" w:asciiTheme="majorEastAsia" w:hAnsiTheme="majorEastAsia" w:eastAsiaTheme="majorEastAsia"/>
          <w:b/>
          <w:bCs/>
          <w:color w:val="000000" w:themeColor="text1"/>
          <w:sz w:val="32"/>
          <w:szCs w:val="32"/>
          <w:lang w:val="zh-CN"/>
          <w14:textFill>
            <w14:solidFill>
              <w14:schemeClr w14:val="tx1"/>
            </w14:solidFill>
          </w14:textFill>
        </w:rPr>
      </w:pPr>
      <w:bookmarkStart w:id="2" w:name="_Toc29600"/>
      <w:bookmarkStart w:id="3" w:name="_Toc494561937"/>
      <w:r>
        <w:rPr>
          <w:rFonts w:cs="Times New Roman" w:asciiTheme="majorEastAsia" w:hAnsiTheme="majorEastAsia" w:eastAsiaTheme="majorEastAsia"/>
          <w:b/>
          <w:bCs/>
          <w:color w:val="000000" w:themeColor="text1"/>
          <w:sz w:val="32"/>
          <w:szCs w:val="32"/>
          <w:lang w:val="zh-CN"/>
          <w14:textFill>
            <w14:solidFill>
              <w14:schemeClr w14:val="tx1"/>
            </w14:solidFill>
          </w14:textFill>
        </w:rPr>
        <w:t>投标须知前附表</w:t>
      </w:r>
      <w:bookmarkEnd w:id="2"/>
      <w:bookmarkEnd w:id="3"/>
    </w:p>
    <w:tbl>
      <w:tblPr>
        <w:tblStyle w:val="14"/>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宋体" w:eastAsia="宋体" w:cs="Times New Roman"/>
                <w:b/>
                <w:color w:val="000000" w:themeColor="text1"/>
                <w:sz w:val="24"/>
                <w:szCs w:val="24"/>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项目编号</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u w:val="single"/>
                <w14:textFill>
                  <w14:solidFill>
                    <w14:schemeClr w14:val="tx1"/>
                  </w14:solidFill>
                </w14:textFill>
              </w:rPr>
              <w:t>131-2020CG-</w:t>
            </w:r>
            <w:r>
              <w:rPr>
                <w:rFonts w:hint="eastAsia" w:ascii="宋体" w:hAnsi="宋体" w:eastAsia="宋体" w:cs="宋体"/>
                <w:b/>
                <w:bCs/>
                <w:color w:val="000000" w:themeColor="text1"/>
                <w:kern w:val="0"/>
                <w:sz w:val="24"/>
                <w:szCs w:val="24"/>
                <w:u w:val="single"/>
                <w:lang w:val="en-US" w:eastAsia="zh-CN"/>
                <w14:textFill>
                  <w14:solidFill>
                    <w14:schemeClr w14:val="tx1"/>
                  </w14:solidFill>
                </w14:textFill>
              </w:rPr>
              <w:t>206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项目名称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u w:val="single"/>
                <w14:textFill>
                  <w14:solidFill>
                    <w14:schemeClr w14:val="tx1"/>
                  </w14:solidFill>
                </w14:textFill>
              </w:rPr>
              <w:t>阳新县教育局2020年能力提升工程班班通教室设备采购项目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u w:val="single"/>
                <w14:textFill>
                  <w14:solidFill>
                    <w14:schemeClr w14:val="tx1"/>
                  </w14:solidFill>
                </w14:textFill>
              </w:rPr>
              <w:t>阳新县教育局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保证金</w:t>
            </w:r>
            <w:r>
              <w:rPr>
                <w:rFonts w:hint="eastAsia" w:ascii="Times New Roman" w:hAnsi="宋体" w:eastAsia="宋体" w:cs="Times New Roman"/>
                <w:color w:val="000000" w:themeColor="text1"/>
                <w:sz w:val="24"/>
                <w:szCs w:val="24"/>
                <w14:textFill>
                  <w14:solidFill>
                    <w14:schemeClr w14:val="tx1"/>
                  </w14:solidFill>
                </w14:textFill>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正本</w:t>
            </w:r>
            <w:r>
              <w:rPr>
                <w:rFonts w:hint="eastAsia" w:ascii="Times New Roman" w:hAnsi="Times New Roman" w:eastAsia="宋体" w:cs="Times New Roman"/>
                <w:color w:val="000000" w:themeColor="text1"/>
                <w:sz w:val="24"/>
                <w:szCs w:val="24"/>
                <w14:textFill>
                  <w14:solidFill>
                    <w14:schemeClr w14:val="tx1"/>
                  </w14:solidFill>
                </w14:textFill>
              </w:rPr>
              <w:t>一</w:t>
            </w:r>
            <w:r>
              <w:rPr>
                <w:rFonts w:ascii="Times New Roman" w:hAnsi="Times New Roman" w:eastAsia="宋体" w:cs="Times New Roman"/>
                <w:color w:val="000000" w:themeColor="text1"/>
                <w:sz w:val="24"/>
                <w:szCs w:val="24"/>
                <w14:textFill>
                  <w14:solidFill>
                    <w14:schemeClr w14:val="tx1"/>
                  </w14:solidFill>
                </w14:textFill>
              </w:rPr>
              <w:t>份</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副本</w:t>
            </w:r>
            <w:r>
              <w:rPr>
                <w:rFonts w:hint="eastAsia" w:ascii="Times New Roman" w:hAnsi="Times New Roman" w:eastAsia="宋体" w:cs="Times New Roman"/>
                <w:color w:val="000000" w:themeColor="text1"/>
                <w:sz w:val="24"/>
                <w:szCs w:val="24"/>
                <w14:textFill>
                  <w14:solidFill>
                    <w14:schemeClr w14:val="tx1"/>
                  </w14:solidFill>
                </w14:textFill>
              </w:rPr>
              <w:t>四</w:t>
            </w:r>
            <w:r>
              <w:rPr>
                <w:rFonts w:ascii="Times New Roman" w:hAnsi="Times New Roman" w:eastAsia="宋体" w:cs="Times New Roman"/>
                <w:color w:val="000000" w:themeColor="text1"/>
                <w:sz w:val="24"/>
                <w:szCs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highlight w:val="yellow"/>
                <w14:textFill>
                  <w14:solidFill>
                    <w14:schemeClr w14:val="tx1"/>
                  </w14:solidFill>
                </w14:textFill>
              </w:rPr>
            </w:pPr>
            <w:r>
              <w:rPr>
                <w:rFonts w:hint="eastAsia" w:ascii="Times New Roman" w:hAnsi="Times New Roman" w:eastAsia="宋体" w:cs="Times New Roman"/>
                <w:color w:val="000000" w:themeColor="text1"/>
                <w:sz w:val="24"/>
                <w:szCs w:val="24"/>
                <w:highlight w:val="yellow"/>
                <w14:textFill>
                  <w14:solidFill>
                    <w14:schemeClr w14:val="tx1"/>
                  </w14:solidFill>
                </w14:textFill>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开标时间</w:t>
            </w:r>
            <w:r>
              <w:rPr>
                <w:rFonts w:hint="eastAsia" w:ascii="Times New Roman" w:hAnsi="宋体" w:eastAsia="宋体" w:cs="Times New Roman"/>
                <w:color w:val="000000" w:themeColor="text1"/>
                <w:sz w:val="24"/>
                <w:szCs w:val="24"/>
                <w14:textFill>
                  <w14:solidFill>
                    <w14:schemeClr w14:val="tx1"/>
                  </w14:solidFill>
                </w14:textFill>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不允许</w:t>
            </w:r>
          </w:p>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详见第三章“</w:t>
            </w:r>
            <w:r>
              <w:rPr>
                <w:rFonts w:hint="eastAsia" w:ascii="宋体" w:hAnsi="宋体" w:eastAsia="宋体" w:cs="Times New Roman"/>
                <w:color w:val="000000" w:themeColor="text1"/>
                <w:sz w:val="24"/>
                <w:szCs w:val="24"/>
                <w14:textFill>
                  <w14:solidFill>
                    <w14:schemeClr w14:val="tx1"/>
                  </w14:solidFill>
                </w14:textFill>
              </w:rPr>
              <w:t>项目技术、服务及商务要求</w:t>
            </w:r>
            <w:r>
              <w:rPr>
                <w:rFonts w:hint="eastAsia" w:ascii="Times New Roman" w:hAnsi="Times New Roman" w:eastAsia="宋体" w:cs="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highlight w:val="yellow"/>
                <w14:textFill>
                  <w14:solidFill>
                    <w14:schemeClr w14:val="tx1"/>
                  </w14:solidFill>
                </w14:textFill>
              </w:rPr>
              <w:t>提交</w:t>
            </w:r>
          </w:p>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详见第三章“</w:t>
            </w:r>
            <w:r>
              <w:rPr>
                <w:rFonts w:hint="eastAsia" w:ascii="宋体" w:hAnsi="宋体" w:eastAsia="宋体" w:cs="Times New Roman"/>
                <w:color w:val="000000" w:themeColor="text1"/>
                <w:sz w:val="24"/>
                <w:szCs w:val="24"/>
                <w14:textFill>
                  <w14:solidFill>
                    <w14:schemeClr w14:val="tx1"/>
                  </w14:solidFill>
                </w14:textFill>
              </w:rPr>
              <w:t>项目技术、服务及商务要求</w:t>
            </w:r>
            <w:r>
              <w:rPr>
                <w:rFonts w:hint="eastAsia" w:ascii="Times New Roman" w:hAnsi="Times New Roman" w:eastAsia="宋体" w:cs="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highlight w:val="yellow"/>
                <w14:textFill>
                  <w14:solidFill>
                    <w14:schemeClr w14:val="tx1"/>
                  </w14:solidFill>
                </w14:textFill>
              </w:rPr>
              <w:t>不组织</w:t>
            </w:r>
          </w:p>
          <w:p>
            <w:pPr>
              <w:ind w:right="-105" w:rightChars="-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详见第三章“</w:t>
            </w:r>
            <w:r>
              <w:rPr>
                <w:rFonts w:hint="eastAsia" w:ascii="宋体" w:hAnsi="宋体" w:eastAsia="宋体" w:cs="Times New Roman"/>
                <w:color w:val="000000" w:themeColor="text1"/>
                <w:sz w:val="24"/>
                <w:szCs w:val="24"/>
                <w14:textFill>
                  <w14:solidFill>
                    <w14:schemeClr w14:val="tx1"/>
                  </w14:solidFill>
                </w14:textFill>
              </w:rPr>
              <w:t>项目技术、服务及商务要求</w:t>
            </w:r>
            <w:r>
              <w:rPr>
                <w:rFonts w:hint="eastAsia" w:ascii="Times New Roman" w:hAnsi="Times New Roman" w:eastAsia="宋体" w:cs="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不允许</w:t>
            </w:r>
          </w:p>
          <w:p>
            <w:pPr>
              <w:rPr>
                <w:rFonts w:ascii="Times New Roman" w:hAnsi="Times New Roman" w:eastAsia="宋体" w:cs="Times New Roman"/>
                <w:color w:val="000000" w:themeColor="text1"/>
                <w:sz w:val="24"/>
                <w:szCs w:val="24"/>
                <w:highlight w:val="yellow"/>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详见第三章“</w:t>
            </w:r>
            <w:r>
              <w:rPr>
                <w:rFonts w:hint="eastAsia" w:ascii="宋体" w:hAnsi="宋体" w:eastAsia="宋体" w:cs="Times New Roman"/>
                <w:color w:val="000000" w:themeColor="text1"/>
                <w:sz w:val="24"/>
                <w:szCs w:val="24"/>
                <w14:textFill>
                  <w14:solidFill>
                    <w14:schemeClr w14:val="tx1"/>
                  </w14:solidFill>
                </w14:textFill>
              </w:rPr>
              <w:t>项目技术、服务及商务要求</w:t>
            </w:r>
            <w:r>
              <w:rPr>
                <w:rFonts w:hint="eastAsia" w:ascii="Times New Roman" w:hAnsi="Times New Roman" w:eastAsia="宋体" w:cs="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综合评分法</w:t>
            </w:r>
          </w:p>
          <w:p>
            <w:pPr>
              <w:rPr>
                <w:rFonts w:ascii="Times New Roman" w:hAnsi="Times New Roman" w:eastAsia="宋体" w:cs="Times New Roman"/>
                <w:color w:val="000000" w:themeColor="text1"/>
                <w:sz w:val="24"/>
                <w:szCs w:val="24"/>
                <w:lang w:val="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详见本章“质疑及提交”要求</w:t>
            </w:r>
          </w:p>
        </w:tc>
      </w:tr>
    </w:tbl>
    <w:p>
      <w:pPr>
        <w:keepNext/>
        <w:keepLines/>
        <w:spacing w:before="100" w:beforeAutospacing="1" w:after="100" w:afterAutospacing="1" w:line="360" w:lineRule="auto"/>
        <w:outlineLvl w:val="1"/>
        <w:rPr>
          <w:rFonts w:ascii="黑体" w:hAnsi="黑体" w:eastAsia="黑体" w:cs="Times New Roman"/>
          <w:b/>
          <w:bCs/>
          <w:color w:val="000000" w:themeColor="text1"/>
          <w:sz w:val="32"/>
          <w:szCs w:val="32"/>
          <w:lang w:val="zh-CN"/>
          <w14:textFill>
            <w14:solidFill>
              <w14:schemeClr w14:val="tx1"/>
            </w14:solidFill>
          </w14:textFill>
        </w:rPr>
      </w:pPr>
      <w:bookmarkStart w:id="4" w:name="_Toc494561938"/>
      <w:r>
        <w:rPr>
          <w:rFonts w:ascii="黑体" w:hAnsi="黑体" w:eastAsia="黑体" w:cs="Times New Roman"/>
          <w:b/>
          <w:bCs/>
          <w:color w:val="000000" w:themeColor="text1"/>
          <w:sz w:val="32"/>
          <w:szCs w:val="32"/>
          <w:lang w:val="zh-CN"/>
          <w14:textFill>
            <w14:solidFill>
              <w14:schemeClr w14:val="tx1"/>
            </w14:solidFill>
          </w14:textFill>
        </w:rPr>
        <w:br w:type="page"/>
      </w:r>
    </w:p>
    <w:p>
      <w:pPr>
        <w:pStyle w:val="4"/>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5" w:name="_Toc1612"/>
      <w:r>
        <w:rPr>
          <w:rFonts w:hint="eastAsia" w:cs="Times New Roman" w:asciiTheme="majorEastAsia" w:hAnsiTheme="majorEastAsia"/>
          <w:bCs w:val="0"/>
          <w:color w:val="000000" w:themeColor="text1"/>
          <w:lang w:val="zh-CN"/>
          <w14:textFill>
            <w14:solidFill>
              <w14:schemeClr w14:val="tx1"/>
            </w14:solidFill>
          </w14:textFill>
        </w:rPr>
        <w:t>说  明</w:t>
      </w:r>
      <w:bookmarkEnd w:id="4"/>
      <w:bookmarkEnd w:id="5"/>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适用范围</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招标文件仅适用于第一章“投标邀请书”中所述项目的货物、工程及服务的采购。</w:t>
      </w:r>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当事人定义</w:t>
      </w:r>
    </w:p>
    <w:p>
      <w:pPr>
        <w:numPr>
          <w:ilvl w:val="0"/>
          <w:numId w:val="6"/>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“采购人”是指：</w:t>
      </w:r>
      <w:r>
        <w:rPr>
          <w:rFonts w:hint="eastAsia" w:cs="Times New Roman" w:asciiTheme="minorEastAsia" w:hAnsiTheme="minorEastAsia"/>
          <w:color w:val="000000" w:themeColor="text1"/>
          <w:sz w:val="24"/>
          <w:szCs w:val="24"/>
          <w:lang w:val="zh-CN"/>
          <w14:textFill>
            <w14:solidFill>
              <w14:schemeClr w14:val="tx1"/>
            </w14:solidFill>
          </w14:textFill>
        </w:rPr>
        <w:t>详见第一章“投标邀请书”。</w:t>
      </w:r>
    </w:p>
    <w:p>
      <w:pPr>
        <w:numPr>
          <w:ilvl w:val="0"/>
          <w:numId w:val="6"/>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“监管部门”是指：</w:t>
      </w:r>
      <w:r>
        <w:rPr>
          <w:rFonts w:hint="eastAsia" w:cs="Times New Roman" w:asciiTheme="minorEastAsia" w:hAnsiTheme="minorEastAsia"/>
          <w:color w:val="000000" w:themeColor="text1"/>
          <w:sz w:val="24"/>
          <w:szCs w:val="24"/>
          <w:lang w:val="zh-CN"/>
          <w14:textFill>
            <w14:solidFill>
              <w14:schemeClr w14:val="tx1"/>
            </w14:solidFill>
          </w14:textFill>
        </w:rPr>
        <w:t>阳新县政府采购办公室、阳新县公共资源交易监督管理局。</w:t>
      </w:r>
    </w:p>
    <w:p>
      <w:pPr>
        <w:numPr>
          <w:ilvl w:val="0"/>
          <w:numId w:val="6"/>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“采购机构”是指：</w:t>
      </w:r>
      <w:r>
        <w:rPr>
          <w:rFonts w:hint="eastAsia" w:ascii="宋体" w:hAnsi="宋体" w:cs="宋体"/>
          <w:color w:val="000000" w:themeColor="text1"/>
          <w:kern w:val="0"/>
          <w:sz w:val="24"/>
          <w:szCs w:val="24"/>
          <w:u w:val="single"/>
          <w14:textFill>
            <w14:solidFill>
              <w14:schemeClr w14:val="tx1"/>
            </w14:solidFill>
          </w14:textFill>
        </w:rPr>
        <w:t>衡正国际工程咨询有限公司</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6"/>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“投标人”是指：</w:t>
      </w:r>
      <w:r>
        <w:rPr>
          <w:rFonts w:cs="Helvetica" w:asciiTheme="minorEastAsia" w:hAnsiTheme="minorEastAsia"/>
          <w:color w:val="000000" w:themeColor="text1"/>
          <w:kern w:val="0"/>
          <w:sz w:val="24"/>
          <w:szCs w:val="24"/>
          <w:lang w:val="zh-CN"/>
          <w14:textFill>
            <w14:solidFill>
              <w14:schemeClr w14:val="tx1"/>
            </w14:solidFill>
          </w14:textFill>
        </w:rPr>
        <w:t>响应招标、参加投标竞争的法人、其他组织或者自然人。</w:t>
      </w:r>
    </w:p>
    <w:p>
      <w:pPr>
        <w:numPr>
          <w:ilvl w:val="0"/>
          <w:numId w:val="6"/>
        </w:numPr>
        <w:spacing w:line="360" w:lineRule="auto"/>
        <w:ind w:left="476" w:hanging="47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“合格的投标人”是指：</w:t>
      </w:r>
      <w:r>
        <w:rPr>
          <w:rFonts w:hint="eastAsia" w:cs="Helvetica" w:asciiTheme="minorEastAsia" w:hAnsiTheme="minorEastAsia"/>
          <w:color w:val="000000" w:themeColor="text1"/>
          <w:kern w:val="0"/>
          <w:sz w:val="24"/>
          <w:szCs w:val="24"/>
          <w:lang w:val="zh-CN"/>
          <w14:textFill>
            <w14:solidFill>
              <w14:schemeClr w14:val="tx1"/>
            </w14:solidFill>
          </w14:textFill>
        </w:rPr>
        <w:t>资格审查和符合性审查合格的投标人。</w:t>
      </w:r>
    </w:p>
    <w:p>
      <w:pPr>
        <w:numPr>
          <w:ilvl w:val="0"/>
          <w:numId w:val="6"/>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“中标人”是指：</w:t>
      </w:r>
      <w:r>
        <w:rPr>
          <w:rFonts w:hint="eastAsia" w:cs="Times New Roman" w:asciiTheme="minorEastAsia" w:hAnsiTheme="minorEastAsia"/>
          <w:color w:val="000000" w:themeColor="text1"/>
          <w:sz w:val="24"/>
          <w:szCs w:val="24"/>
          <w:lang w:val="zh-CN"/>
          <w14:textFill>
            <w14:solidFill>
              <w14:schemeClr w14:val="tx1"/>
            </w14:solidFill>
          </w14:textFill>
        </w:rPr>
        <w:t>经评标委员会评审，授予合同的投标人。</w:t>
      </w:r>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项目属性及定义</w:t>
      </w:r>
    </w:p>
    <w:p>
      <w:pPr>
        <w:numPr>
          <w:ilvl w:val="0"/>
          <w:numId w:val="7"/>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“货物”是指</w:t>
      </w:r>
      <w:r>
        <w:rPr>
          <w:rFonts w:hint="eastAsia" w:cs="Times New Roman" w:asciiTheme="minorEastAsia" w:hAnsiTheme="minorEastAsia"/>
          <w:color w:val="000000" w:themeColor="text1"/>
          <w:sz w:val="24"/>
          <w:szCs w:val="24"/>
          <w:lang w:val="zh-CN"/>
          <w14:textFill>
            <w14:solidFill>
              <w14:schemeClr w14:val="tx1"/>
            </w14:solidFill>
          </w14:textFill>
        </w:rPr>
        <w:t>：各种形态和种类的物品，包括原材料、燃料、设备、产品等。</w:t>
      </w:r>
    </w:p>
    <w:p>
      <w:pPr>
        <w:numPr>
          <w:ilvl w:val="0"/>
          <w:numId w:val="8"/>
        </w:numPr>
        <w:spacing w:line="360" w:lineRule="auto"/>
        <w:ind w:left="854" w:hanging="728"/>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招标文件中没有提及招标货物来源地的，根据《政府采购法》及相关规定均应是本国货物，另有规定的除外。</w:t>
      </w:r>
    </w:p>
    <w:p>
      <w:pPr>
        <w:numPr>
          <w:ilvl w:val="0"/>
          <w:numId w:val="8"/>
        </w:numPr>
        <w:spacing w:line="360" w:lineRule="auto"/>
        <w:ind w:left="854" w:hanging="728"/>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投标的货物应是合法生产的符合国家有关标准要求的货物，并能够按照合同规定的品牌、产地、质量、价格和有效期等履约。</w:t>
      </w:r>
    </w:p>
    <w:p>
      <w:pPr>
        <w:numPr>
          <w:ilvl w:val="0"/>
          <w:numId w:val="7"/>
        </w:numPr>
        <w:spacing w:line="360" w:lineRule="auto"/>
        <w:ind w:left="476" w:hanging="476"/>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“工程”是指</w:t>
      </w:r>
      <w:r>
        <w:rPr>
          <w:rFonts w:hint="eastAsia" w:cs="Times New Roman" w:asciiTheme="minorEastAsia" w:hAnsiTheme="minorEastAsia"/>
          <w:color w:val="000000" w:themeColor="text1"/>
          <w:sz w:val="24"/>
          <w:szCs w:val="24"/>
          <w:lang w:val="zh-CN"/>
          <w14:textFill>
            <w14:solidFill>
              <w14:schemeClr w14:val="tx1"/>
            </w14:solidFill>
          </w14:textFill>
        </w:rPr>
        <w:t>：与建筑物和构筑物的新建、改建、扩建及其相关的装修、拆除、修缮无关的工程。</w:t>
      </w:r>
    </w:p>
    <w:p>
      <w:pPr>
        <w:numPr>
          <w:ilvl w:val="0"/>
          <w:numId w:val="7"/>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“服务”是指：</w:t>
      </w:r>
      <w:r>
        <w:rPr>
          <w:rFonts w:hint="eastAsia" w:cs="Times New Roman" w:asciiTheme="minorEastAsia" w:hAnsiTheme="minorEastAsia"/>
          <w:color w:val="000000" w:themeColor="text1"/>
          <w:sz w:val="24"/>
          <w:szCs w:val="24"/>
          <w:lang w:val="zh-CN"/>
          <w14:textFill>
            <w14:solidFill>
              <w14:schemeClr w14:val="tx1"/>
            </w14:solidFill>
          </w14:textFill>
        </w:rPr>
        <w:t>除货物和工程（含本章3.2条所述工程及《招标投标法》所定义工程）以外的其他政府采购对象,包括政府自身需要的服务和政府向社会公众提供的公共服务。</w:t>
      </w:r>
    </w:p>
    <w:p>
      <w:pPr>
        <w:numPr>
          <w:ilvl w:val="0"/>
          <w:numId w:val="7"/>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cs="Times New Roman" w:asciiTheme="minorEastAsia" w:hAnsiTheme="minorEastAsia"/>
          <w:color w:val="000000" w:themeColor="text1"/>
          <w:sz w:val="24"/>
          <w:szCs w:val="24"/>
          <w:lang w:val="zh-CN"/>
          <w14:textFill>
            <w14:solidFill>
              <w14:schemeClr w14:val="tx1"/>
            </w14:solidFill>
          </w14:textFill>
        </w:rPr>
        <w:t>采购人应当按照财政部制定的《政府采购品目分类目录》确定采购项目属性</w:t>
      </w:r>
      <w:r>
        <w:rPr>
          <w:rFonts w:hint="eastAsia" w:cs="Times New Roman" w:asciiTheme="minorEastAsia" w:hAnsiTheme="minorEastAsia"/>
          <w:color w:val="000000" w:themeColor="text1"/>
          <w:sz w:val="24"/>
          <w:szCs w:val="24"/>
          <w:lang w:val="zh-CN"/>
          <w14:textFill>
            <w14:solidFill>
              <w14:schemeClr w14:val="tx1"/>
            </w14:solidFill>
          </w14:textFill>
        </w:rPr>
        <w:t>。</w:t>
      </w:r>
      <w:r>
        <w:rPr>
          <w:rFonts w:cs="Times New Roman" w:asciiTheme="minorEastAsia" w:hAnsiTheme="minorEastAsia"/>
          <w:color w:val="000000" w:themeColor="text1"/>
          <w:sz w:val="24"/>
          <w:szCs w:val="24"/>
          <w:lang w:val="zh-CN"/>
          <w14:textFill>
            <w14:solidFill>
              <w14:schemeClr w14:val="tx1"/>
            </w14:solidFill>
          </w14:textFill>
        </w:rPr>
        <w:t>按照《政府采购品目分类目录》无法确定的，按照有利于采购项目实施的原则确定。</w:t>
      </w:r>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投标费用</w:t>
      </w:r>
    </w:p>
    <w:p>
      <w:pPr>
        <w:numPr>
          <w:ilvl w:val="0"/>
          <w:numId w:val="9"/>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投标人应承担所有与准备和参加投标有关的费用。不论投标的结果如何，采购代理机构和采购人均无义务和责任承担这些费用。</w:t>
      </w:r>
    </w:p>
    <w:p>
      <w:pPr>
        <w:pStyle w:val="20"/>
        <w:numPr>
          <w:ilvl w:val="0"/>
          <w:numId w:val="9"/>
        </w:numPr>
        <w:adjustRightInd w:val="0"/>
        <w:snapToGrid w:val="0"/>
        <w:spacing w:line="300" w:lineRule="auto"/>
        <w:ind w:firstLineChars="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采购代理服务费：</w:t>
      </w:r>
    </w:p>
    <w:p>
      <w:pPr>
        <w:pStyle w:val="20"/>
        <w:ind w:left="420" w:firstLine="0" w:firstLineChars="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经过采购代理机构与采购人协议，规定由中标单位支付。采购代理服务费收费标准如下：</w:t>
      </w:r>
    </w:p>
    <w:p>
      <w:pPr>
        <w:pStyle w:val="20"/>
        <w:ind w:left="420" w:firstLine="0" w:firstLineChars="0"/>
        <w:rPr>
          <w:rFonts w:ascii="宋体" w:hAnsi="宋体"/>
          <w:b/>
          <w:color w:val="000000" w:themeColor="text1"/>
          <w:sz w:val="24"/>
          <w:szCs w:val="24"/>
          <w14:textFill>
            <w14:solidFill>
              <w14:schemeClr w14:val="tx1"/>
            </w14:solidFill>
          </w14:textFill>
        </w:rPr>
      </w:pPr>
    </w:p>
    <w:p>
      <w:pPr>
        <w:pStyle w:val="20"/>
        <w:ind w:left="420" w:firstLine="0" w:firstLineChars="0"/>
        <w:rPr>
          <w:rFonts w:ascii="宋体" w:hAnsi="宋体"/>
          <w:b/>
          <w:color w:val="000000" w:themeColor="text1"/>
          <w:sz w:val="24"/>
          <w:szCs w:val="24"/>
          <w14:textFill>
            <w14:solidFill>
              <w14:schemeClr w14:val="tx1"/>
            </w14:solidFill>
          </w14:textFill>
        </w:rPr>
      </w:pPr>
    </w:p>
    <w:tbl>
      <w:tblPr>
        <w:tblStyle w:val="14"/>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0" t="0" r="0" b="6350"/>
                      <wp:wrapNone/>
                      <wp:docPr id="2" name="直接连接符 2"/>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A2vnUm5AEAAKMDAAAOAAAAZHJzL2Uyb0RvYy54bWytU8mOEzEQvSPx&#10;D5bvpDstMkxa6cxhwsABQSSWe8VLtyVvsk06+Ql+AIkbnDhy528YPoOyO4TtghB9KJVrea73XL26&#10;OhhN9iJE5WxH57OaEmGZ48r2HX354ubeJSUxgeWgnRUdPYpIr9Z376xG34rGDU5zEQiC2NiOvqND&#10;Sr6tqsgGYSDOnBcWk9IFAwmPoa94gBHRja6aur6oRhe4D46JGDG6mZJ0XfClFCw9kzKKRHRHcbZU&#10;bCh2l221XkHbB/CDYqcx4B+mMKAsXnqG2kAC8jqoP6CMYsFFJ9OMOVM5KRUThQOymde/sXk+gBeF&#10;C4oT/Vmm+P9g2dP9NhDFO9pQYsHgE92+/fTlzfuvn9+hvf34gTRZpNHHFmuv7TacTtFvQ2Z8kMEQ&#10;qZV/jO9Pi/cqezmH/MihiH08iy0OiTAMzu/P6+UDfBOGucuL5XJRXqOaEHO3DzE9Es6Q7HRUK5vF&#10;gBb2T2LCKbD0e0kOa0vGji4XzQIxAXdJakjoGo/sou1Lb3Ra8Rulde6Iod9d60D2kLejfJkr4v5S&#10;li/ZQBymupKa9mYQwB9aTtLRo24WF5zmEYzglGiB/0P2EBDaBEr/TSVerS1OkOWeBM7ezvFj0b3E&#10;cRPKjKetzav287l0//i31t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EZzrNEAAAAJAQAADwAA&#10;AAAAAAABACAAAAAiAAAAZHJzL2Rvd25yZXYueG1sUEsBAhQAFAAAAAgAh07iQDa+dSbkAQAAowMA&#10;AA4AAAAAAAAAAQAgAAAAIAEAAGRycy9lMm9Eb2MueG1sUEsFBgAAAAAGAAYAWQEAAHYFAAAAAA==&#10;">
                      <v:fill on="f" focussize="0,0"/>
                      <v:stroke color="#000000" joinstyle="round"/>
                      <v:imagedata o:title=""/>
                      <o:lock v:ext="edit" aspectratio="f"/>
                    </v:line>
                  </w:pict>
                </mc:Fallback>
              </mc:AlternateContent>
            </w:r>
            <w:r>
              <w:rPr>
                <w:rFonts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0" t="0" r="3175" b="17145"/>
                      <wp:wrapNone/>
                      <wp:docPr id="1" name="直接连接符 1"/>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UXLpDd4BAACjAwAADgAAAGRycy9lMm9Eb2MueG1srVO7rhMx&#10;EO2R+AfLPdlNRIC7yuYWN1woEETi0U/8yFryS7bJJj/BDyDRQUVJz99w+QxmnBBeDUJsMRrPnDme&#10;OTteXO6dZTuVsgm+59NJy5nyIkjjtz1/+eL6zgPOcgEvwQaven5QmV8ub99ajLFTszAEK1ViSOJz&#10;N8aeD6XErmmyGJSDPAlReUzqkBwUPKZtIxOMyO5sM2vbe80YkowpCJUzRlfHJF9Wfq2VKM+0zqow&#10;23PsrVSbqt2QbZYL6LYJ4mDEqQ34hy4cGI+XnqlWUIC9TuYPKmdECjnoMhHBNUFrI1SdAaeZtr9N&#10;83yAqOosKE6OZ5ny/6MVT3frxIzEf8eZB4e/6Obtpy9v3n/9/A7tzccPbEoijTF3iL3y63Q65bhO&#10;NPFeJ8e0NfFx5SDvFXmUw/nYvop9OIut9oUJDE7nF/fb2Zwzgbm7s2nbzumi5shI1THl8kgFx8jp&#10;uTWexIAOdk9yOUK/QyhsPRt7fjGvnIC7pC0UpHcRp8t+W2tzsEZeG2upIqft5somtgPajvqdWvgF&#10;RpesIA9HXE0RDLpBgXzoJSuHiLp5XHBOLTglObMK3wN5FVnA2L9B4vTWowgk91Fg8jZBHqruNY6b&#10;UGU6bS2t2s/nWv3jbS2/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4uAobVAAAACAEAAA8AAAAA&#10;AAAAAQAgAAAAIgAAAGRycy9kb3ducmV2LnhtbFBLAQIUABQAAAAIAIdO4kBRcukN3gEAAKMDAAAO&#10;AAAAAAAAAAEAIAAAACQBAABkcnMvZTJvRG9jLnhtbFBLBQYAAAAABgAGAFkBAAB0BQAAAAA=&#10;">
                      <v:fill on="f" focussize="0,0"/>
                      <v:stroke color="#000000" joinstyle="round"/>
                      <v:imagedata o:title=""/>
                      <o:lock v:ext="edit" aspectratio="f"/>
                    </v:line>
                  </w:pict>
                </mc:Fallback>
              </mc:AlternateContent>
            </w:r>
            <w:r>
              <w:rPr>
                <w:rFonts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cP9bhc4BAACGAwAADgAAAGRycy9lMm9Eb2MueG1srVNLjhMx&#10;EN0jcQfLe9KZRDOCVjqzmDBsEEQCDlDxp9uSf3KZdHIJLoDEDlYs2XMbhmNQdjIZZtggRC+qy+Wq&#10;V/VeVy8ud86yrUpogu/42WTKmfIiSOP7jr97e/3kKWeYwUuwwauO7xXyy+XjR4sxtmoWhmClSoxA&#10;PLZj7PiQc2ybBsWgHOAkROXpUofkINMx9Y1MMBK6s81sOr1oxpBkTEEoRIquDpd8WfG1ViK/1hpV&#10;ZrbjNFuuNlW7KbZZLqDtE8TBiOMY8A9TODCemp6gVpCBvU/mDyhnRAoYdJ6I4JqgtRGqciA2Z9MH&#10;bN4MEFXlQuJgPMmE/w9WvNquEzOy43POPDj6RDcfv/348Pnn909kb75+YfMi0hixpdwrv07HE8Z1&#10;Kox3OrnyJi5sV4Xdn4RVu8wEBS/m55yJ23hzVxQT5hcqOFacjlvjC19oYfsSMzWi1NuUEraejR1/&#10;dj4rcEDroi1kcl0kAuj7WovBGnltrC0VmPrNlU1sC2UB6lPoEO69tNJkBTgc8urVYTUGBfK5lyzv&#10;I0njaYd5GcEpyZlVtPLFI0BoMxj7N5nU2nqaoCh60LB4myD3Vdoap49dZzwuZtmm38+1+u73W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5HTftUAAAAJAQAADwAAAAAAAAABACAAAAAiAAAAZHJz&#10;L2Rvd25yZXYueG1sUEsBAhQAFAAAAAgAh07iQHD/W4XOAQAAhgMAAA4AAAAAAAAAAQAgAAAAJAEA&#10;AGRycy9lMm9Eb2MueG1sUEsFBgAAAAAGAAYAWQEAAGQFAAAAAA==&#10;">
                      <v:fill on="f" focussize="0,0"/>
                      <v:stroke color="#000000" joinstyle="round"/>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招标类型　　　</w:t>
            </w:r>
          </w:p>
          <w:p>
            <w:pPr>
              <w:spacing w:line="300" w:lineRule="auto"/>
              <w:ind w:firstLine="998" w:firstLineChars="416"/>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中标</w:t>
            </w:r>
            <w:r>
              <w:rPr>
                <w:rFonts w:hint="eastAsia" w:ascii="宋体" w:hAnsi="宋体" w:cs="宋体"/>
                <w:color w:val="000000" w:themeColor="text1"/>
                <w:sz w:val="24"/>
                <w:szCs w:val="24"/>
                <w14:textFill>
                  <w14:solidFill>
                    <w14:schemeClr w14:val="tx1"/>
                  </w14:solidFill>
                </w14:textFill>
              </w:rPr>
              <w:t xml:space="preserve">　　　 </w:t>
            </w:r>
          </w:p>
          <w:p>
            <w:pPr>
              <w:spacing w:line="300" w:lineRule="auto"/>
              <w:ind w:firstLine="1504" w:firstLineChars="627"/>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费率</w:t>
            </w:r>
          </w:p>
          <w:p>
            <w:pPr>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金额（万元）</w:t>
            </w:r>
          </w:p>
        </w:tc>
        <w:tc>
          <w:tcPr>
            <w:tcW w:w="2470" w:type="dxa"/>
            <w:vAlign w:val="center"/>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货物招标</w:t>
            </w:r>
          </w:p>
        </w:tc>
        <w:tc>
          <w:tcPr>
            <w:tcW w:w="2148" w:type="dxa"/>
            <w:vAlign w:val="center"/>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服务招标</w:t>
            </w:r>
          </w:p>
        </w:tc>
        <w:tc>
          <w:tcPr>
            <w:tcW w:w="2148" w:type="dxa"/>
            <w:vAlign w:val="center"/>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100以下</w:t>
            </w:r>
          </w:p>
        </w:tc>
        <w:tc>
          <w:tcPr>
            <w:tcW w:w="2470"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100-500</w:t>
            </w:r>
          </w:p>
        </w:tc>
        <w:tc>
          <w:tcPr>
            <w:tcW w:w="2470"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0.8%</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500-1000</w:t>
            </w:r>
          </w:p>
        </w:tc>
        <w:tc>
          <w:tcPr>
            <w:tcW w:w="2470"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0.8%</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0.45%</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0.55％</w:t>
            </w:r>
          </w:p>
        </w:tc>
      </w:tr>
    </w:tbl>
    <w:p>
      <w:pPr>
        <w:pStyle w:val="20"/>
        <w:adjustRightInd w:val="0"/>
        <w:snapToGrid w:val="0"/>
        <w:spacing w:line="300" w:lineRule="auto"/>
        <w:ind w:left="420" w:firstLine="0" w:firstLineChars="0"/>
        <w:rPr>
          <w:rFonts w:ascii="宋体" w:hAnsi="宋体"/>
          <w:color w:val="000000" w:themeColor="text1"/>
          <w:sz w:val="24"/>
          <w:szCs w:val="24"/>
          <w14:textFill>
            <w14:solidFill>
              <w14:schemeClr w14:val="tx1"/>
            </w14:solidFill>
          </w14:textFill>
        </w:rPr>
      </w:pPr>
    </w:p>
    <w:p>
      <w:pPr>
        <w:pStyle w:val="4"/>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6" w:name="_Toc494561939"/>
      <w:bookmarkStart w:id="7" w:name="_Toc8194"/>
      <w:bookmarkStart w:id="8" w:name="_Toc272247695"/>
      <w:bookmarkStart w:id="9" w:name="_Toc278891592"/>
      <w:r>
        <w:rPr>
          <w:rFonts w:hint="eastAsia" w:cs="Times New Roman" w:asciiTheme="majorEastAsia" w:hAnsiTheme="majorEastAsia"/>
          <w:bCs w:val="0"/>
          <w:color w:val="000000" w:themeColor="text1"/>
          <w:lang w:val="zh-CN"/>
          <w14:textFill>
            <w14:solidFill>
              <w14:schemeClr w14:val="tx1"/>
            </w14:solidFill>
          </w14:textFill>
        </w:rPr>
        <w:t>招标文件</w:t>
      </w:r>
      <w:bookmarkEnd w:id="6"/>
      <w:bookmarkEnd w:id="7"/>
      <w:bookmarkEnd w:id="8"/>
      <w:bookmarkEnd w:id="9"/>
    </w:p>
    <w:p>
      <w:pPr>
        <w:numPr>
          <w:ilvl w:val="0"/>
          <w:numId w:val="5"/>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招标文件的构成</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第一章 投标邀请书</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第二章 投标人须知</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第三章 项目技术、服务及商务要求</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第四章 资格审查方法及标准</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第五章 评标方法、程序及标准</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第六章 合同书格式（参考）</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第七章 投标文件格式（参考）</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其 他  在招标过程中由集中采购机构发出的修正和补充文件等</w:t>
      </w:r>
    </w:p>
    <w:p>
      <w:pPr>
        <w:numPr>
          <w:ilvl w:val="0"/>
          <w:numId w:val="5"/>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招标文件疑问的提交</w:t>
      </w:r>
    </w:p>
    <w:p>
      <w:pPr>
        <w:numPr>
          <w:ilvl w:val="0"/>
          <w:numId w:val="10"/>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潜在投标人对招标文件有疑问的，可以向集中采购机构提出询问，或在6.2规定的时间前以书面的形式向集中采购机构提交疑问函。</w:t>
      </w:r>
    </w:p>
    <w:p>
      <w:pPr>
        <w:numPr>
          <w:ilvl w:val="0"/>
          <w:numId w:val="10"/>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潜在投标人在项目招标公告期限届满之日起7个工作日内未对招标文件提出疑问的，集中采购机构将视其认同招标文件，在规定的时间后就招标文件内容提出的疑问将不予受理。</w:t>
      </w:r>
    </w:p>
    <w:p>
      <w:pPr>
        <w:numPr>
          <w:ilvl w:val="0"/>
          <w:numId w:val="10"/>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5"/>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招标文件的澄清、修改</w:t>
      </w:r>
    </w:p>
    <w:p>
      <w:pPr>
        <w:numPr>
          <w:ilvl w:val="0"/>
          <w:numId w:val="11"/>
        </w:numPr>
        <w:spacing w:line="360" w:lineRule="auto"/>
        <w:ind w:left="476" w:hanging="47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集中采购机构和采购人可以对已发出的招标文件进行必要的澄清或者修改。</w:t>
      </w:r>
      <w:r>
        <w:rPr>
          <w:rFonts w:hint="eastAsia" w:ascii="Helvetica" w:hAnsi="Helvetica" w:eastAsia="宋体" w:cs="Helvetica"/>
          <w:color w:val="000000" w:themeColor="text1"/>
          <w:kern w:val="0"/>
          <w:sz w:val="24"/>
          <w:szCs w:val="24"/>
          <w:lang w:val="zh-CN"/>
          <w14:textFill>
            <w14:solidFill>
              <w14:schemeClr w14:val="tx1"/>
            </w14:solidFill>
          </w14:textFill>
        </w:rPr>
        <w:t>澄清或者修改将在原公告发布媒体上发布澄清公告。澄清或者修改的内容可能影响投标文件编制的，集中采购机构和采购人将在投标截止时间至少</w:t>
      </w:r>
      <w:r>
        <w:rPr>
          <w:rFonts w:hint="eastAsia" w:ascii="宋体" w:hAnsi="宋体" w:eastAsia="宋体" w:cs="Times New Roman"/>
          <w:color w:val="000000" w:themeColor="text1"/>
          <w:sz w:val="24"/>
          <w:szCs w:val="20"/>
          <w:lang w:val="zh-CN"/>
          <w14:textFill>
            <w14:solidFill>
              <w14:schemeClr w14:val="tx1"/>
            </w14:solidFill>
          </w14:textFill>
        </w:rPr>
        <w:t>15</w:t>
      </w:r>
      <w:r>
        <w:rPr>
          <w:rFonts w:hint="eastAsia" w:ascii="Helvetica" w:hAnsi="Helvetica" w:eastAsia="宋体" w:cs="Helvetica"/>
          <w:color w:val="000000" w:themeColor="text1"/>
          <w:kern w:val="0"/>
          <w:sz w:val="24"/>
          <w:szCs w:val="24"/>
          <w:lang w:val="zh-CN"/>
          <w14:textFill>
            <w14:solidFill>
              <w14:schemeClr w14:val="tx1"/>
            </w14:solidFill>
          </w14:textFill>
        </w:rPr>
        <w:t>日前，以书面</w:t>
      </w:r>
      <w:r>
        <w:rPr>
          <w:rFonts w:hint="eastAsia" w:ascii="宋体" w:hAnsi="宋体" w:eastAsia="宋体" w:cs="Times New Roman"/>
          <w:color w:val="000000" w:themeColor="text1"/>
          <w:sz w:val="24"/>
          <w:szCs w:val="20"/>
          <w:lang w:val="zh-CN"/>
          <w14:textFill>
            <w14:solidFill>
              <w14:schemeClr w14:val="tx1"/>
            </w14:solidFill>
          </w14:textFill>
        </w:rPr>
        <w:t>（或网上公告）</w:t>
      </w:r>
      <w:r>
        <w:rPr>
          <w:rFonts w:hint="eastAsia" w:ascii="Helvetica" w:hAnsi="Helvetica" w:eastAsia="宋体" w:cs="Helvetica"/>
          <w:color w:val="000000" w:themeColor="text1"/>
          <w:kern w:val="0"/>
          <w:sz w:val="24"/>
          <w:szCs w:val="24"/>
          <w:lang w:val="zh-CN"/>
          <w14:textFill>
            <w14:solidFill>
              <w14:schemeClr w14:val="tx1"/>
            </w14:solidFill>
          </w14:textFill>
        </w:rPr>
        <w:t>形式通知所有获取招标文件的潜在投标人。</w:t>
      </w:r>
    </w:p>
    <w:p>
      <w:pPr>
        <w:numPr>
          <w:ilvl w:val="0"/>
          <w:numId w:val="11"/>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1"/>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澄清或者修改的内容为招标文件的组成部分，并对潜在投标人具有约束力。</w:t>
      </w:r>
    </w:p>
    <w:p>
      <w:pPr>
        <w:numPr>
          <w:ilvl w:val="0"/>
          <w:numId w:val="5"/>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现场考察</w:t>
      </w:r>
    </w:p>
    <w:p>
      <w:pPr>
        <w:numPr>
          <w:ilvl w:val="0"/>
          <w:numId w:val="12"/>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2"/>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采购人向潜在投标人提供有关现场的数据和资料。是采购人现有的能被潜在投标人利用的客观资料，采购人对潜在投标人依此作出的任何推论、理解和结论均不负责任。</w:t>
      </w:r>
    </w:p>
    <w:p>
      <w:pPr>
        <w:numPr>
          <w:ilvl w:val="0"/>
          <w:numId w:val="12"/>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10" w:name="_Toc272247696"/>
      <w:bookmarkStart w:id="11" w:name="_Toc27230"/>
      <w:bookmarkStart w:id="12" w:name="_Toc494561940"/>
      <w:bookmarkStart w:id="13" w:name="_Toc278891593"/>
      <w:r>
        <w:rPr>
          <w:rFonts w:hint="eastAsia" w:cs="Times New Roman" w:asciiTheme="majorEastAsia" w:hAnsiTheme="majorEastAsia"/>
          <w:bCs w:val="0"/>
          <w:color w:val="000000" w:themeColor="text1"/>
          <w:lang w:val="zh-CN"/>
          <w14:textFill>
            <w14:solidFill>
              <w14:schemeClr w14:val="tx1"/>
            </w14:solidFill>
          </w14:textFill>
        </w:rPr>
        <w:t>投标文件</w:t>
      </w:r>
      <w:bookmarkEnd w:id="10"/>
      <w:bookmarkEnd w:id="11"/>
      <w:bookmarkEnd w:id="12"/>
      <w:bookmarkEnd w:id="13"/>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投标的语言</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投标文件的构成</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投标人编制的投标文件应包括但不限于下列内容：</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第一部分  资格证明文件（详见第七章“投标文件格式”中资格证明文件组成）</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第二部分  商务文件（详见第七章“投标文件格式”中商务文件组成）</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第三部分  技术、服务文件（详见第七章“投标文件格式”中技术、服务文件组成）</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投标文件编制</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如招标文件有分包要求，投标人对招标文件中多个包进行投标的，其投标文件的编制应按每包要求分别装订和封装，并注明对应包号。</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投标人应当对投标文件进行装订，对未经装订的投标书可能发生的文件散落或缺损，由此产生的后果及责任由投标人自行承担。</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投标人应按照招标文件第七章“投标文件格式”提供的《投标书》、《开标一览表》、《投标报价明细表》、《法定代表人授权书》等格式、要求、规定来编制投标文件。</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投标人应对投标文件中所提供资料的真实性负责，如有虚假，将依法承担相应责任。投标人应自觉接受集中采购机构对其中任何资料进一步核实的要求。</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因投标人投标文件填报的内容不详，或没有提供招标文件中所要求的全部资料及数据等，由此产生的后果及责任由投标人自行承担。</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投标文件用纸应统一为A4规格（图纸除外）。</w:t>
      </w:r>
    </w:p>
    <w:p>
      <w:pPr>
        <w:numPr>
          <w:ilvl w:val="0"/>
          <w:numId w:val="13"/>
        </w:numPr>
        <w:spacing w:line="360" w:lineRule="auto"/>
        <w:ind w:left="616" w:hanging="616"/>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各部分文件及内容详见第七章"投标文件格式"要求。</w:t>
      </w:r>
      <w:r>
        <w:rPr>
          <w:rFonts w:hint="eastAsia" w:ascii="宋体" w:hAnsi="宋体" w:eastAsia="宋体" w:cs="Times New Roman"/>
          <w:b/>
          <w:color w:val="000000" w:themeColor="text1"/>
          <w:sz w:val="24"/>
          <w:szCs w:val="20"/>
          <w:lang w:val="zh-CN"/>
          <w14:textFill>
            <w14:solidFill>
              <w14:schemeClr w14:val="tx1"/>
            </w14:solidFill>
          </w14:textFill>
        </w:rPr>
        <w:t>。</w:t>
      </w:r>
    </w:p>
    <w:p>
      <w:pPr>
        <w:numPr>
          <w:ilvl w:val="0"/>
          <w:numId w:val="13"/>
        </w:numPr>
        <w:spacing w:line="360" w:lineRule="auto"/>
        <w:ind w:left="616" w:hanging="616"/>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投标报价</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投标人所提供的货物（工程或服务）均以人民币计价。</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《投标报价明细表》填写时应响应下列要求：</w:t>
      </w:r>
    </w:p>
    <w:p>
      <w:pPr>
        <w:numPr>
          <w:ilvl w:val="0"/>
          <w:numId w:val="15"/>
        </w:numPr>
        <w:spacing w:line="360" w:lineRule="auto"/>
        <w:ind w:left="980" w:hanging="854"/>
        <w:rPr>
          <w:rFonts w:cs="Times New Roman" w:asciiTheme="minorEastAsia" w:hAnsiTheme="minorEastAsia"/>
          <w:color w:val="000000" w:themeColor="text1"/>
          <w:sz w:val="24"/>
          <w:szCs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应包括所有根据合同或其他原因由投标人支付的款项、费用</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15"/>
        </w:numPr>
        <w:spacing w:line="360" w:lineRule="auto"/>
        <w:ind w:left="980" w:hanging="854"/>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应包含货物运至最终目的地的运输、保险和伴随货物（工程或服务）的有关费用；</w:t>
      </w:r>
    </w:p>
    <w:p>
      <w:pPr>
        <w:numPr>
          <w:ilvl w:val="0"/>
          <w:numId w:val="15"/>
        </w:numPr>
        <w:spacing w:line="360" w:lineRule="auto"/>
        <w:ind w:left="980" w:hanging="854"/>
        <w:rPr>
          <w:rFonts w:cs="Courier New"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应详细提供《投标报价明细表》和《投标货物、服务清单》等内容，否则按照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每一种规格的货物（工程或服务）只允许有一个报价，否则按照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对于招标文件未列明，而投标人认为必需的费用也需列入其投标总价。在合同实施时，采购人将不予支付投标人没有列入的项目费用，并认为此项目的费用已包括在其投标总价中。</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投标人应对项目招标范围内的全部内容进行报价，不得缺、漏项或只投其中的部分内容的，否则按照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备选方案</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只允许投标人提供一个投标方案（招标文件中要求提供备选方案的除外），否则按照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中标后分包</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cs="Times New Roman" w:asciiTheme="minorEastAsia" w:hAnsiTheme="minorEastAsia"/>
          <w:color w:val="000000" w:themeColor="text1"/>
          <w:sz w:val="24"/>
          <w:szCs w:val="24"/>
          <w:lang w:val="zh-CN"/>
          <w14:textFill>
            <w14:solidFill>
              <w14:schemeClr w14:val="tx1"/>
            </w14:solidFill>
          </w14:textFill>
        </w:rPr>
        <w:t>招标文件规定</w:t>
      </w:r>
      <w:r>
        <w:rPr>
          <w:rFonts w:hint="eastAsia" w:cs="Times New Roman" w:asciiTheme="minorEastAsia" w:hAnsiTheme="minorEastAsia"/>
          <w:color w:val="000000" w:themeColor="text1"/>
          <w:sz w:val="24"/>
          <w:szCs w:val="24"/>
          <w:lang w:val="zh-CN"/>
          <w14:textFill>
            <w14:solidFill>
              <w14:schemeClr w14:val="tx1"/>
            </w14:solidFill>
          </w14:textFill>
        </w:rPr>
        <w:t>项目非主体、非关键性工作中标后可以分包</w:t>
      </w:r>
      <w:r>
        <w:rPr>
          <w:rFonts w:cs="Times New Roman" w:asciiTheme="minorEastAsia" w:hAnsiTheme="minorEastAsia"/>
          <w:color w:val="000000" w:themeColor="text1"/>
          <w:sz w:val="24"/>
          <w:szCs w:val="24"/>
          <w:lang w:val="zh-CN"/>
          <w14:textFill>
            <w14:solidFill>
              <w14:schemeClr w14:val="tx1"/>
            </w14:solidFill>
          </w14:textFill>
        </w:rPr>
        <w:t>的，投标人拟在中标后将项目的非主体、非关键性工作分包，应当在投标文件中载明</w:t>
      </w:r>
      <w:r>
        <w:rPr>
          <w:rFonts w:hint="eastAsia" w:cs="Times New Roman" w:asciiTheme="minorEastAsia" w:hAnsiTheme="minorEastAsia"/>
          <w:color w:val="000000" w:themeColor="text1"/>
          <w:sz w:val="24"/>
          <w:szCs w:val="24"/>
          <w:lang w:val="zh-CN"/>
          <w14:textFill>
            <w14:solidFill>
              <w14:schemeClr w14:val="tx1"/>
            </w14:solidFill>
          </w14:textFill>
        </w:rPr>
        <w:t>具备相应资质条件的</w:t>
      </w:r>
      <w:r>
        <w:rPr>
          <w:rFonts w:cs="Times New Roman" w:asciiTheme="minorEastAsia" w:hAnsiTheme="minorEastAsia"/>
          <w:color w:val="000000" w:themeColor="text1"/>
          <w:sz w:val="24"/>
          <w:szCs w:val="24"/>
          <w:lang w:val="zh-CN"/>
          <w14:textFill>
            <w14:solidFill>
              <w14:schemeClr w14:val="tx1"/>
            </w14:solidFill>
          </w14:textFill>
        </w:rPr>
        <w:t>分包承担主体，分包承担主体不得再次分包。</w:t>
      </w:r>
      <w:r>
        <w:rPr>
          <w:rFonts w:hint="eastAsia" w:cs="Times New Roman" w:asciiTheme="minorEastAsia" w:hAnsiTheme="minorEastAsia"/>
          <w:color w:val="000000" w:themeColor="text1"/>
          <w:sz w:val="24"/>
          <w:szCs w:val="24"/>
          <w:lang w:val="zh-CN"/>
          <w14:textFill>
            <w14:solidFill>
              <w14:schemeClr w14:val="tx1"/>
            </w14:solidFill>
          </w14:textFill>
        </w:rPr>
        <w:t>否则中标后不允许分包。</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联合体投标</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两个及以上供应商可以组成一个联合体，以一个投标人的身份共同参与投标。</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采取联合体形式投标的，联合体各方均应当符合政府采购法第二十二条第一款规定的条件。联合体的主体应完全满足项目投标人资格要求。</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联合体各方之间应签订联合投标协议，明确约定联合体主体及各方承担的工作和相应的责任，其投标文件中应提供联合投标协议。</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以联合体形式参加政府采购活动的，联合体各方不得再单独参加或者与其他供应商另外组成联合体参加同一合同项下的政府采购活动。</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采取联合体形式投标的，其投标文件应由联合体所有成员或其各自正式书面授权的代表签署（盖章），以便对所有成员作为整体及作为个体均具有法律约束力。</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采取联合体形式投标的，项目评审时只对联合体主体进行评议。</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联合体中标的，联合体各方应当共同与采购人签订采购合同，</w:t>
      </w:r>
      <w:r>
        <w:rPr>
          <w:rFonts w:hint="eastAsia" w:ascii="宋体" w:hAnsi="宋体"/>
          <w:color w:val="000000" w:themeColor="text1"/>
          <w:sz w:val="24"/>
          <w14:textFill>
            <w14:solidFill>
              <w14:schemeClr w14:val="tx1"/>
            </w14:solidFill>
          </w14:textFill>
        </w:rPr>
        <w:t>就采购合同约定的事项对采购人承担连带责任，</w:t>
      </w:r>
      <w:r>
        <w:rPr>
          <w:rFonts w:hint="eastAsia" w:cs="Times New Roman" w:asciiTheme="minorEastAsia" w:hAnsiTheme="minorEastAsia"/>
          <w:color w:val="000000" w:themeColor="text1"/>
          <w:sz w:val="24"/>
          <w:szCs w:val="24"/>
          <w:lang w:val="zh-CN"/>
          <w14:textFill>
            <w14:solidFill>
              <w14:schemeClr w14:val="tx1"/>
            </w14:solidFill>
          </w14:textFill>
        </w:rPr>
        <w:t>联合体主体单位负主要责任。</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联合体中有同类资质的供应商按照联合体分工承担相同工作的，应当按照资质等级较低的供应商确定资质等级。</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招标文件第一章“投标人资格要求”中</w:t>
      </w:r>
      <w:r>
        <w:rPr>
          <w:rFonts w:cs="Times New Roman" w:asciiTheme="minorEastAsia" w:hAnsiTheme="minorEastAsia"/>
          <w:color w:val="000000" w:themeColor="text1"/>
          <w:sz w:val="24"/>
          <w:szCs w:val="24"/>
          <w:lang w:val="zh-CN"/>
          <w14:textFill>
            <w14:solidFill>
              <w14:schemeClr w14:val="tx1"/>
            </w14:solidFill>
          </w14:textFill>
        </w:rPr>
        <w:t>未载明</w:t>
      </w:r>
      <w:r>
        <w:rPr>
          <w:rFonts w:hint="eastAsia" w:cs="Times New Roman" w:asciiTheme="minorEastAsia" w:hAnsiTheme="minorEastAsia"/>
          <w:color w:val="000000" w:themeColor="text1"/>
          <w:sz w:val="24"/>
          <w:szCs w:val="24"/>
          <w:lang w:val="zh-CN"/>
          <w14:textFill>
            <w14:solidFill>
              <w14:schemeClr w14:val="tx1"/>
            </w14:solidFill>
          </w14:textFill>
        </w:rPr>
        <w:t>是否接受联合体投标的</w:t>
      </w:r>
      <w:r>
        <w:rPr>
          <w:rFonts w:cs="Times New Roman" w:asciiTheme="minorEastAsia" w:hAnsiTheme="minorEastAsia"/>
          <w:color w:val="000000" w:themeColor="text1"/>
          <w:sz w:val="24"/>
          <w:szCs w:val="24"/>
          <w:lang w:val="zh-CN"/>
          <w14:textFill>
            <w14:solidFill>
              <w14:schemeClr w14:val="tx1"/>
            </w14:solidFill>
          </w14:textFill>
        </w:rPr>
        <w:t>，</w:t>
      </w:r>
      <w:r>
        <w:rPr>
          <w:rFonts w:hint="eastAsia" w:cs="Times New Roman" w:asciiTheme="minorEastAsia" w:hAnsiTheme="minorEastAsia"/>
          <w:color w:val="000000" w:themeColor="text1"/>
          <w:sz w:val="24"/>
          <w:szCs w:val="24"/>
          <w:lang w:val="zh-CN"/>
          <w14:textFill>
            <w14:solidFill>
              <w14:schemeClr w14:val="tx1"/>
            </w14:solidFill>
          </w14:textFill>
        </w:rPr>
        <w:t>视同接受</w:t>
      </w:r>
      <w:r>
        <w:rPr>
          <w:rFonts w:cs="Times New Roman" w:asciiTheme="minorEastAsia" w:hAnsiTheme="minorEastAsia"/>
          <w:color w:val="000000" w:themeColor="text1"/>
          <w:sz w:val="24"/>
          <w:szCs w:val="24"/>
          <w:lang w:val="zh-CN"/>
          <w14:textFill>
            <w14:solidFill>
              <w14:schemeClr w14:val="tx1"/>
            </w14:solidFill>
          </w14:textFill>
        </w:rPr>
        <w:t>。</w:t>
      </w:r>
    </w:p>
    <w:p>
      <w:pPr>
        <w:numPr>
          <w:ilvl w:val="0"/>
          <w:numId w:val="16"/>
        </w:numPr>
        <w:spacing w:line="360" w:lineRule="auto"/>
        <w:ind w:left="728" w:hanging="728"/>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以联合体形式参与投标的，其价格扣除相关规定详见第五章“评标方法、程序及标准”。</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资格证明文件</w:t>
      </w:r>
    </w:p>
    <w:p>
      <w:pPr>
        <w:numPr>
          <w:ilvl w:val="0"/>
          <w:numId w:val="17"/>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投标人应按本节及第四章“资格审查方法及标准”的要求，提供足以证明其符合项目“投标人资格要求”且中标后有能力履行合同的文件，并作为其投标文件的组成部分。</w:t>
      </w:r>
    </w:p>
    <w:p>
      <w:pPr>
        <w:numPr>
          <w:ilvl w:val="0"/>
          <w:numId w:val="17"/>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资格证明文件应真实、合法，并就此承担相应法律责任。</w:t>
      </w:r>
    </w:p>
    <w:p>
      <w:pPr>
        <w:numPr>
          <w:ilvl w:val="0"/>
          <w:numId w:val="17"/>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资格证明文件正本应为清晰彩色影印件且加盖单位公章，否则按照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r>
        <w:rPr>
          <w:rFonts w:hint="eastAsia" w:cs="Times New Roman" w:asciiTheme="minorEastAsia" w:hAnsiTheme="minorEastAsia"/>
          <w:color w:val="000000" w:themeColor="text1"/>
          <w:sz w:val="24"/>
          <w:szCs w:val="24"/>
          <w:lang w:val="zh-CN"/>
          <w14:textFill>
            <w14:solidFill>
              <w14:schemeClr w14:val="tx1"/>
            </w14:solidFill>
          </w14:textFill>
        </w:rPr>
        <w:t>。副本可为正本的复印件,但应在副本封面加盖单位公章。</w:t>
      </w:r>
    </w:p>
    <w:p>
      <w:pPr>
        <w:numPr>
          <w:ilvl w:val="0"/>
          <w:numId w:val="17"/>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资格证明文件内容详见</w:t>
      </w:r>
      <w:r>
        <w:rPr>
          <w:rFonts w:hint="eastAsia" w:cs="Times New Roman" w:asciiTheme="minorEastAsia" w:hAnsiTheme="minorEastAsia"/>
          <w:color w:val="000000" w:themeColor="text1"/>
          <w:sz w:val="24"/>
          <w:szCs w:val="24"/>
          <w:lang w:val="zh-CN"/>
          <w14:textFill>
            <w14:solidFill>
              <w14:schemeClr w14:val="tx1"/>
            </w14:solidFill>
          </w14:textFill>
        </w:rPr>
        <w:t>第四章“资格审查方法及标准”中资格审查内容</w:t>
      </w:r>
      <w:r>
        <w:rPr>
          <w:rFonts w:hint="eastAsia" w:cs="Helvetica" w:asciiTheme="minorEastAsia" w:hAnsiTheme="minorEastAsia"/>
          <w:color w:val="000000" w:themeColor="text1"/>
          <w:kern w:val="0"/>
          <w:sz w:val="24"/>
          <w:szCs w:val="24"/>
          <w:lang w:val="zh-CN"/>
          <w14:textFill>
            <w14:solidFill>
              <w14:schemeClr w14:val="tx1"/>
            </w14:solidFill>
          </w14:textFill>
        </w:rPr>
        <w:t>。</w:t>
      </w:r>
    </w:p>
    <w:p>
      <w:pPr>
        <w:numPr>
          <w:ilvl w:val="0"/>
          <w:numId w:val="5"/>
        </w:numPr>
        <w:spacing w:line="360" w:lineRule="auto"/>
        <w:ind w:left="560" w:hanging="56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投标保证金</w:t>
      </w:r>
      <w:r>
        <w:rPr>
          <w:rFonts w:hint="eastAsia" w:cs="Times New Roman" w:asciiTheme="minorEastAsia" w:hAnsiTheme="minorEastAsia"/>
          <w:color w:val="000000" w:themeColor="text1"/>
          <w:sz w:val="24"/>
          <w:szCs w:val="24"/>
          <w:lang w:val="zh-CN"/>
          <w14:textFill>
            <w14:solidFill>
              <w14:schemeClr w14:val="tx1"/>
            </w14:solidFill>
          </w14:textFill>
        </w:rPr>
        <w:t>：无。</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投标有效期</w:t>
      </w:r>
    </w:p>
    <w:p>
      <w:pPr>
        <w:numPr>
          <w:ilvl w:val="0"/>
          <w:numId w:val="18"/>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投标有效期详见本章“投标须知前附表”中规定。</w:t>
      </w:r>
      <w:r>
        <w:rPr>
          <w:rFonts w:cs="Helvetica" w:asciiTheme="minorEastAsia" w:hAnsiTheme="minorEastAsia"/>
          <w:color w:val="000000" w:themeColor="text1"/>
          <w:kern w:val="0"/>
          <w:sz w:val="24"/>
          <w:szCs w:val="24"/>
          <w:lang w:val="zh-CN"/>
          <w14:textFill>
            <w14:solidFill>
              <w14:schemeClr w14:val="tx1"/>
            </w14:solidFill>
          </w14:textFill>
        </w:rPr>
        <w:t>投标文件中承诺的投标有效期应当不少于招标文件中载明的投标有效期</w:t>
      </w:r>
      <w:r>
        <w:rPr>
          <w:rFonts w:hint="eastAsia" w:cs="Helvetica" w:asciiTheme="minorEastAsia" w:hAnsiTheme="minorEastAsia"/>
          <w:color w:val="000000" w:themeColor="text1"/>
          <w:kern w:val="0"/>
          <w:sz w:val="24"/>
          <w:szCs w:val="24"/>
          <w:lang w:val="zh-CN"/>
          <w14:textFill>
            <w14:solidFill>
              <w14:schemeClr w14:val="tx1"/>
            </w14:solidFill>
          </w14:textFill>
        </w:rPr>
        <w:t>。投标有效期不足的，</w:t>
      </w:r>
      <w:r>
        <w:rPr>
          <w:rFonts w:hint="eastAsia" w:cs="Times New Roman" w:asciiTheme="minorEastAsia" w:hAnsiTheme="minorEastAsia"/>
          <w:color w:val="000000" w:themeColor="text1"/>
          <w:sz w:val="24"/>
          <w:szCs w:val="24"/>
          <w:lang w:val="zh-CN"/>
          <w14:textFill>
            <w14:solidFill>
              <w14:schemeClr w14:val="tx1"/>
            </w14:solidFill>
          </w14:textFill>
        </w:rPr>
        <w:t>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p>
    <w:p>
      <w:pPr>
        <w:numPr>
          <w:ilvl w:val="0"/>
          <w:numId w:val="18"/>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投标文件的数量和签署</w:t>
      </w:r>
    </w:p>
    <w:p>
      <w:pPr>
        <w:numPr>
          <w:ilvl w:val="0"/>
          <w:numId w:val="19"/>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19"/>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9"/>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投标文件中任何涂改和增删，应由法定代表人或经其正式授权的代表在旁边签字后方为有效。</w:t>
      </w:r>
    </w:p>
    <w:p>
      <w:pPr>
        <w:numPr>
          <w:ilvl w:val="0"/>
          <w:numId w:val="19"/>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招标文件中要求加盖公章及签字（签章）之处，投标文件正本中应按要求提供加盖公章及签字（签章）的原件，否则按照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投标文件的密封和标记</w:t>
      </w:r>
    </w:p>
    <w:p>
      <w:pPr>
        <w:numPr>
          <w:ilvl w:val="0"/>
          <w:numId w:val="20"/>
        </w:numPr>
        <w:spacing w:line="360" w:lineRule="auto"/>
        <w:ind w:left="616" w:hanging="616"/>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投标人应将投标文件第一部分资格证明文件、第二部分商务文件、第三部分技术、服务文件一起合并装订成一本投标文件，一起封装。</w:t>
      </w:r>
    </w:p>
    <w:p>
      <w:pPr>
        <w:numPr>
          <w:ilvl w:val="0"/>
          <w:numId w:val="2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color w:val="FF0000"/>
          <w:sz w:val="24"/>
          <w:szCs w:val="20"/>
          <w:lang w:val="zh-CN"/>
        </w:rPr>
        <w:t>投标人应将投标文件</w:t>
      </w:r>
      <w:r>
        <w:rPr>
          <w:rFonts w:hint="eastAsia" w:ascii="宋体" w:hAnsi="宋体"/>
          <w:b/>
          <w:color w:val="FF0000"/>
          <w:sz w:val="24"/>
          <w:szCs w:val="20"/>
          <w:lang w:val="zh-CN"/>
        </w:rPr>
        <w:t>正本和副本</w:t>
      </w:r>
      <w:r>
        <w:rPr>
          <w:rFonts w:hint="eastAsia" w:ascii="宋体" w:hAnsi="宋体"/>
          <w:color w:val="FF0000"/>
          <w:sz w:val="24"/>
          <w:szCs w:val="20"/>
          <w:lang w:val="zh-CN"/>
        </w:rPr>
        <w:t>密封装在单独的封包中</w:t>
      </w:r>
      <w:r>
        <w:rPr>
          <w:rFonts w:hint="eastAsia" w:ascii="宋体" w:hAnsi="宋体" w:eastAsia="宋体" w:cs="Times New Roman"/>
          <w:color w:val="000000" w:themeColor="text1"/>
          <w:sz w:val="24"/>
          <w:szCs w:val="20"/>
          <w:lang w:val="zh-CN"/>
          <w14:textFill>
            <w14:solidFill>
              <w14:schemeClr w14:val="tx1"/>
            </w14:solidFill>
          </w14:textFill>
        </w:rPr>
        <w:t>。</w:t>
      </w:r>
    </w:p>
    <w:p>
      <w:pPr>
        <w:numPr>
          <w:ilvl w:val="0"/>
          <w:numId w:val="2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如果未按要求加写密封、标记或存在错误，集中采购机构对其误投或提前启封概不负责。</w:t>
      </w:r>
    </w:p>
    <w:p>
      <w:pPr>
        <w:numPr>
          <w:ilvl w:val="0"/>
          <w:numId w:val="20"/>
        </w:numPr>
        <w:spacing w:line="360" w:lineRule="auto"/>
        <w:ind w:left="616" w:hanging="616"/>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为方便开标时唱标，投标人应将《开标一览表》原件及《交纳投标保证金的银行凭证》（若有交纳保证金要求的）各一份一并</w:t>
      </w:r>
      <w:r>
        <w:rPr>
          <w:rFonts w:hint="eastAsia" w:ascii="宋体" w:hAnsi="宋体" w:eastAsia="宋体" w:cs="Times New Roman"/>
          <w:color w:val="000000" w:themeColor="text1"/>
          <w:spacing w:val="-6"/>
          <w:kern w:val="0"/>
          <w:sz w:val="24"/>
          <w:szCs w:val="20"/>
          <w:lang w:val="zh-CN"/>
          <w14:textFill>
            <w14:solidFill>
              <w14:schemeClr w14:val="tx1"/>
            </w14:solidFill>
          </w14:textFill>
        </w:rPr>
        <w:t>装入一个信封，单独密封提交</w:t>
      </w:r>
      <w:r>
        <w:rPr>
          <w:rFonts w:hint="eastAsia" w:ascii="宋体" w:hAnsi="宋体" w:eastAsia="宋体" w:cs="Times New Roman"/>
          <w:color w:val="000000" w:themeColor="text1"/>
          <w:sz w:val="24"/>
          <w:szCs w:val="20"/>
          <w:lang w:val="zh-CN"/>
          <w14:textFill>
            <w14:solidFill>
              <w14:schemeClr w14:val="tx1"/>
            </w14:solidFill>
          </w14:textFill>
        </w:rPr>
        <w:t>，并在信封上标明“开标一览表”字样。未单独提交或单独提交的上述资料未按照招标文件规定的格式填写完整并签字、盖章的采购人</w:t>
      </w:r>
      <w:r>
        <w:rPr>
          <w:rFonts w:hint="eastAsia" w:ascii="宋体" w:hAnsi="宋体" w:eastAsia="宋体" w:cs="Times New Roman"/>
          <w:b/>
          <w:color w:val="000000" w:themeColor="text1"/>
          <w:sz w:val="24"/>
          <w:szCs w:val="20"/>
          <w:lang w:val="zh-CN"/>
          <w14:textFill>
            <w14:solidFill>
              <w14:schemeClr w14:val="tx1"/>
            </w14:solidFill>
          </w14:textFill>
        </w:rPr>
        <w:t>拒绝</w:t>
      </w:r>
      <w:r>
        <w:rPr>
          <w:rFonts w:hint="eastAsia" w:ascii="宋体" w:hAnsi="宋体" w:eastAsia="宋体" w:cs="Times New Roman"/>
          <w:color w:val="000000" w:themeColor="text1"/>
          <w:sz w:val="24"/>
          <w:szCs w:val="20"/>
          <w:lang w:val="zh-CN"/>
          <w14:textFill>
            <w14:solidFill>
              <w14:schemeClr w14:val="tx1"/>
            </w14:solidFill>
          </w14:textFill>
        </w:rPr>
        <w:t>其投标。</w:t>
      </w:r>
    </w:p>
    <w:p>
      <w:pPr>
        <w:numPr>
          <w:ilvl w:val="0"/>
          <w:numId w:val="2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“开标一览表”信封和投标文件的封包上应注明采购项目编号、项目名称、投标内容和有“在（招标文件中规定的开标日期和时间）之前不得启封”的字样，封口处加盖投标人公章。</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投标文件递交</w:t>
      </w:r>
    </w:p>
    <w:p>
      <w:pPr>
        <w:numPr>
          <w:ilvl w:val="0"/>
          <w:numId w:val="21"/>
        </w:numPr>
        <w:spacing w:line="360" w:lineRule="auto"/>
        <w:ind w:left="616" w:hanging="61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投标人应在不迟于投标邀请书中规定的投标截止日期和时间将投标文件密封递交至采购人（或代理公司）规定的投标地点。</w:t>
      </w:r>
    </w:p>
    <w:p>
      <w:pPr>
        <w:numPr>
          <w:ilvl w:val="0"/>
          <w:numId w:val="21"/>
        </w:numPr>
        <w:spacing w:line="360" w:lineRule="auto"/>
        <w:ind w:left="616" w:hanging="616"/>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ascii="Helvetica" w:hAnsi="Helvetica" w:eastAsia="宋体" w:cs="Helvetica"/>
          <w:b/>
          <w:color w:val="000000" w:themeColor="text1"/>
          <w:kern w:val="0"/>
          <w:sz w:val="24"/>
          <w:szCs w:val="24"/>
          <w:lang w:val="zh-CN"/>
          <w14:textFill>
            <w14:solidFill>
              <w14:schemeClr w14:val="tx1"/>
            </w14:solidFill>
          </w14:textFill>
        </w:rPr>
        <w:t>拒收逾期送达或者未按招标文件要求密封的投标文件。</w:t>
      </w:r>
    </w:p>
    <w:p>
      <w:pPr>
        <w:numPr>
          <w:ilvl w:val="0"/>
          <w:numId w:val="21"/>
        </w:numPr>
        <w:spacing w:line="360" w:lineRule="auto"/>
        <w:ind w:left="616" w:hanging="61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ascii="Helvetica" w:hAnsi="Helvetica" w:eastAsia="宋体" w:cs="Helvetica"/>
          <w:color w:val="000000" w:themeColor="text1"/>
          <w:kern w:val="0"/>
          <w:sz w:val="24"/>
          <w:szCs w:val="24"/>
          <w:lang w:val="zh-CN"/>
          <w14:textFill>
            <w14:solidFill>
              <w14:schemeClr w14:val="tx1"/>
            </w14:solidFill>
          </w14:textFill>
        </w:rPr>
        <w:t>收到投标文件后，应当如实记载投标文件的送达时间和密封情况，签收保存，并向投标人出具签收回执。</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投标文件的修改和撤回</w:t>
      </w:r>
    </w:p>
    <w:p>
      <w:pPr>
        <w:numPr>
          <w:ilvl w:val="0"/>
          <w:numId w:val="22"/>
        </w:numPr>
        <w:spacing w:line="360" w:lineRule="auto"/>
        <w:ind w:left="616" w:hanging="616"/>
        <w:rPr>
          <w:rFonts w:ascii="宋体" w:hAnsi="宋体" w:eastAsia="宋体" w:cs="Times New Roman"/>
          <w:strike/>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投标人在投标截止时间前，可以对所递交的投标文件进行补充、修改或者撤回，并书面通知</w:t>
      </w:r>
      <w:r>
        <w:rPr>
          <w:rFonts w:hint="eastAsia" w:ascii="宋体" w:hAnsi="宋体" w:eastAsia="宋体" w:cs="Times New Roman"/>
          <w:color w:val="000000" w:themeColor="text1"/>
          <w:sz w:val="24"/>
          <w:szCs w:val="20"/>
          <w:lang w:val="zh-CN"/>
          <w14:textFill>
            <w14:solidFill>
              <w14:schemeClr w14:val="tx1"/>
            </w14:solidFill>
          </w14:textFill>
        </w:rPr>
        <w:t>集中采购机构</w:t>
      </w:r>
      <w:r>
        <w:rPr>
          <w:rFonts w:ascii="宋体" w:hAnsi="宋体" w:eastAsia="宋体" w:cs="Times New Roman"/>
          <w:color w:val="000000" w:themeColor="text1"/>
          <w:sz w:val="24"/>
          <w:szCs w:val="20"/>
          <w:lang w:val="zh-CN"/>
          <w14:textFill>
            <w14:solidFill>
              <w14:schemeClr w14:val="tx1"/>
            </w14:solidFill>
          </w14:textFill>
        </w:rPr>
        <w:t>。补充、修改的内容应当按照招标文件要求签署、盖章、密封后，作为投标文件的组成部分。</w:t>
      </w:r>
    </w:p>
    <w:p>
      <w:pPr>
        <w:numPr>
          <w:ilvl w:val="0"/>
          <w:numId w:val="2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投标有效期内投标人不得撤销其投标文件，否则按照本章“投标保证金”的规定其投标保证金不予退还。</w:t>
      </w:r>
    </w:p>
    <w:p>
      <w:pPr>
        <w:numPr>
          <w:ilvl w:val="0"/>
          <w:numId w:val="2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投标人所递交的投标文件无论中标与否不予退还。</w:t>
      </w:r>
    </w:p>
    <w:p>
      <w:pPr>
        <w:pStyle w:val="4"/>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14" w:name="_Toc272247698"/>
      <w:bookmarkStart w:id="15" w:name="_Toc278891595"/>
      <w:bookmarkStart w:id="16" w:name="_Toc494561942"/>
      <w:bookmarkStart w:id="17" w:name="_Toc24257"/>
      <w:r>
        <w:rPr>
          <w:rFonts w:hint="eastAsia" w:cs="Times New Roman" w:asciiTheme="majorEastAsia" w:hAnsiTheme="majorEastAsia"/>
          <w:bCs w:val="0"/>
          <w:color w:val="000000" w:themeColor="text1"/>
          <w:lang w:val="zh-CN"/>
          <w14:textFill>
            <w14:solidFill>
              <w14:schemeClr w14:val="tx1"/>
            </w14:solidFill>
          </w14:textFill>
        </w:rPr>
        <w:t>开标与评标</w:t>
      </w:r>
      <w:bookmarkEnd w:id="14"/>
      <w:bookmarkEnd w:id="15"/>
      <w:bookmarkEnd w:id="16"/>
      <w:bookmarkEnd w:id="17"/>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开标</w:t>
      </w:r>
    </w:p>
    <w:p>
      <w:pPr>
        <w:numPr>
          <w:ilvl w:val="0"/>
          <w:numId w:val="23"/>
        </w:numPr>
        <w:spacing w:line="360" w:lineRule="auto"/>
        <w:ind w:left="616" w:hanging="616"/>
        <w:rPr>
          <w:rFonts w:ascii="宋体" w:hAnsi="宋体" w:eastAsia="宋体" w:cs="Times New Roman"/>
          <w:b/>
          <w:color w:val="000000" w:themeColor="text1"/>
          <w:sz w:val="24"/>
          <w:szCs w:val="20"/>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ascii="宋体" w:hAnsi="宋体" w:eastAsia="宋体" w:cs="Times New Roman"/>
          <w:color w:val="000000" w:themeColor="text1"/>
          <w:sz w:val="24"/>
          <w:szCs w:val="20"/>
          <w:lang w:val="zh-CN"/>
          <w14:textFill>
            <w14:solidFill>
              <w14:schemeClr w14:val="tx1"/>
            </w14:solidFill>
          </w14:textFill>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color w:val="000000" w:themeColor="text1"/>
          <w:sz w:val="24"/>
          <w:szCs w:val="20"/>
          <w:lang w:val="zh-CN"/>
          <w14:textFill>
            <w14:solidFill>
              <w14:schemeClr w14:val="tx1"/>
            </w14:solidFill>
          </w14:textFill>
        </w:rPr>
        <w:t>，否则视同认可开标结果。</w:t>
      </w:r>
    </w:p>
    <w:p>
      <w:pPr>
        <w:numPr>
          <w:ilvl w:val="0"/>
          <w:numId w:val="23"/>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投标人法定代表人或其授权代表应携带有效身份证明参加项目开标会，</w:t>
      </w:r>
      <w:r>
        <w:rPr>
          <w:rFonts w:ascii="宋体" w:hAnsi="宋体" w:eastAsia="宋体" w:cs="Times New Roman"/>
          <w:color w:val="000000" w:themeColor="text1"/>
          <w:sz w:val="24"/>
          <w:szCs w:val="20"/>
          <w:lang w:val="zh-CN"/>
          <w14:textFill>
            <w14:solidFill>
              <w14:schemeClr w14:val="tx1"/>
            </w14:solidFill>
          </w14:textFill>
        </w:rPr>
        <w:t>投标人未参加开标的，视同认可开标结果。</w:t>
      </w:r>
      <w:r>
        <w:rPr>
          <w:rFonts w:hint="eastAsia" w:ascii="宋体" w:hAnsi="宋体" w:eastAsia="宋体" w:cs="Times New Roman"/>
          <w:color w:val="000000" w:themeColor="text1"/>
          <w:sz w:val="24"/>
          <w:szCs w:val="20"/>
          <w:lang w:val="zh-CN"/>
          <w14:textFill>
            <w14:solidFill>
              <w14:schemeClr w14:val="tx1"/>
            </w14:solidFill>
          </w14:textFill>
        </w:rPr>
        <w:t>截止</w:t>
      </w:r>
      <w:r>
        <w:rPr>
          <w:rFonts w:hint="eastAsia" w:ascii="宋体" w:hAnsi="宋体" w:eastAsia="宋体" w:cs="宋体"/>
          <w:color w:val="000000" w:themeColor="text1"/>
          <w:kern w:val="0"/>
          <w:sz w:val="24"/>
          <w:szCs w:val="24"/>
          <w14:textFill>
            <w14:solidFill>
              <w14:schemeClr w14:val="tx1"/>
            </w14:solidFill>
          </w14:textFill>
        </w:rPr>
        <w:t>投标文件</w:t>
      </w:r>
      <w:r>
        <w:rPr>
          <w:rFonts w:hint="eastAsia" w:ascii="宋体" w:hAnsi="宋体" w:eastAsia="宋体" w:cs="Times New Roman"/>
          <w:color w:val="000000" w:themeColor="text1"/>
          <w:sz w:val="24"/>
          <w:szCs w:val="20"/>
          <w:lang w:val="zh-CN"/>
          <w14:textFill>
            <w14:solidFill>
              <w14:schemeClr w14:val="tx1"/>
            </w14:solidFill>
          </w14:textFill>
        </w:rPr>
        <w:t>递交时间，投标人不足3家的，不进行开标</w:t>
      </w:r>
      <w:r>
        <w:rPr>
          <w:rFonts w:hint="eastAsia" w:ascii="Helvetica" w:hAnsi="Helvetica" w:eastAsia="宋体" w:cs="Helvetica"/>
          <w:color w:val="000000" w:themeColor="text1"/>
          <w:kern w:val="0"/>
          <w:sz w:val="24"/>
          <w:szCs w:val="24"/>
          <w:lang w:val="zh-CN"/>
          <w14:textFill>
            <w14:solidFill>
              <w14:schemeClr w14:val="tx1"/>
            </w14:solidFill>
          </w14:textFill>
        </w:rPr>
        <w:t>。</w:t>
      </w:r>
    </w:p>
    <w:p>
      <w:pPr>
        <w:numPr>
          <w:ilvl w:val="0"/>
          <w:numId w:val="23"/>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开标时，由投标人或其推选的代表检查投标文件的密封情况，经确认无误后由</w:t>
      </w: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ascii="宋体" w:hAnsi="宋体" w:eastAsia="宋体" w:cs="Times New Roman"/>
          <w:color w:val="000000" w:themeColor="text1"/>
          <w:sz w:val="24"/>
          <w:szCs w:val="20"/>
          <w:lang w:val="zh-CN"/>
          <w14:textFill>
            <w14:solidFill>
              <w14:schemeClr w14:val="tx1"/>
            </w14:solidFill>
          </w14:textFill>
        </w:rPr>
        <w:t>工作人员当众拆封，</w:t>
      </w:r>
      <w:r>
        <w:rPr>
          <w:rFonts w:ascii="宋体" w:hAnsi="宋体" w:eastAsia="宋体" w:cs="Times New Roman"/>
          <w:color w:val="000000" w:themeColor="text1"/>
          <w:sz w:val="24"/>
          <w:szCs w:val="20"/>
          <w:lang w:val="zh-CN"/>
          <w14:textFill>
            <w14:solidFill>
              <w14:schemeClr w14:val="tx1"/>
            </w14:solidFill>
          </w14:textFill>
        </w:rPr>
        <w:t>宣布投标人名称、投标价格和招标文件规定的需要宣布的其他内容。</w:t>
      </w:r>
    </w:p>
    <w:p>
      <w:pPr>
        <w:numPr>
          <w:ilvl w:val="0"/>
          <w:numId w:val="23"/>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ascii="宋体" w:hAnsi="宋体" w:eastAsia="宋体" w:cs="Times New Roman"/>
          <w:color w:val="000000" w:themeColor="text1"/>
          <w:sz w:val="24"/>
          <w:szCs w:val="20"/>
          <w:lang w:val="zh-CN"/>
          <w14:textFill>
            <w14:solidFill>
              <w14:schemeClr w14:val="tx1"/>
            </w14:solidFill>
          </w14:textFill>
        </w:rPr>
        <w:t>负责</w:t>
      </w:r>
      <w:r>
        <w:rPr>
          <w:rFonts w:hint="eastAsia" w:ascii="宋体" w:hAnsi="宋体" w:eastAsia="宋体" w:cs="Times New Roman"/>
          <w:color w:val="000000" w:themeColor="text1"/>
          <w:sz w:val="24"/>
          <w:szCs w:val="20"/>
          <w:lang w:val="zh-CN"/>
          <w14:textFill>
            <w14:solidFill>
              <w14:schemeClr w14:val="tx1"/>
            </w14:solidFill>
          </w14:textFill>
        </w:rPr>
        <w:t>对</w:t>
      </w:r>
      <w:r>
        <w:rPr>
          <w:rFonts w:ascii="宋体" w:hAnsi="宋体" w:eastAsia="宋体" w:cs="Times New Roman"/>
          <w:color w:val="000000" w:themeColor="text1"/>
          <w:sz w:val="24"/>
          <w:szCs w:val="20"/>
          <w:lang w:val="zh-CN"/>
          <w14:textFill>
            <w14:solidFill>
              <w14:schemeClr w14:val="tx1"/>
            </w14:solidFill>
          </w14:textFill>
        </w:rPr>
        <w:t>开标过程</w:t>
      </w:r>
      <w:r>
        <w:rPr>
          <w:rFonts w:hint="eastAsia" w:ascii="宋体" w:hAnsi="宋体" w:eastAsia="宋体" w:cs="Times New Roman"/>
          <w:color w:val="000000" w:themeColor="text1"/>
          <w:sz w:val="24"/>
          <w:szCs w:val="20"/>
          <w:lang w:val="zh-CN"/>
          <w14:textFill>
            <w14:solidFill>
              <w14:schemeClr w14:val="tx1"/>
            </w14:solidFill>
          </w14:textFill>
        </w:rPr>
        <w:t>进行</w:t>
      </w:r>
      <w:r>
        <w:rPr>
          <w:rFonts w:ascii="宋体" w:hAnsi="宋体" w:eastAsia="宋体" w:cs="Times New Roman"/>
          <w:color w:val="000000" w:themeColor="text1"/>
          <w:sz w:val="24"/>
          <w:szCs w:val="20"/>
          <w:lang w:val="zh-CN"/>
          <w14:textFill>
            <w14:solidFill>
              <w14:schemeClr w14:val="tx1"/>
            </w14:solidFill>
          </w14:textFill>
        </w:rPr>
        <w:t>记录，由参加开标的各投标人代表和相关工作人员</w:t>
      </w:r>
      <w:r>
        <w:rPr>
          <w:rFonts w:hint="eastAsia" w:ascii="宋体" w:hAnsi="宋体" w:eastAsia="宋体" w:cs="Times New Roman"/>
          <w:color w:val="000000" w:themeColor="text1"/>
          <w:sz w:val="24"/>
          <w:szCs w:val="20"/>
          <w:lang w:val="zh-CN"/>
          <w14:textFill>
            <w14:solidFill>
              <w14:schemeClr w14:val="tx1"/>
            </w14:solidFill>
          </w14:textFill>
        </w:rPr>
        <w:t>对开标记录进行</w:t>
      </w:r>
      <w:r>
        <w:rPr>
          <w:rFonts w:ascii="宋体" w:hAnsi="宋体" w:eastAsia="宋体" w:cs="Times New Roman"/>
          <w:color w:val="000000" w:themeColor="text1"/>
          <w:sz w:val="24"/>
          <w:szCs w:val="20"/>
          <w:lang w:val="zh-CN"/>
          <w14:textFill>
            <w14:solidFill>
              <w14:schemeClr w14:val="tx1"/>
            </w14:solidFill>
          </w14:textFill>
        </w:rPr>
        <w:t>签字确认。</w:t>
      </w:r>
    </w:p>
    <w:p>
      <w:pPr>
        <w:numPr>
          <w:ilvl w:val="0"/>
          <w:numId w:val="23"/>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投标人代表对开标过程和开标记录有疑义，以及认为采购人、</w:t>
      </w:r>
      <w:r>
        <w:rPr>
          <w:rFonts w:hint="eastAsia" w:ascii="Helvetica" w:hAnsi="Helvetica" w:eastAsia="宋体" w:cs="Helvetica"/>
          <w:color w:val="000000" w:themeColor="text1"/>
          <w:kern w:val="0"/>
          <w:sz w:val="24"/>
          <w:szCs w:val="24"/>
          <w:lang w:val="zh-CN"/>
          <w14:textFill>
            <w14:solidFill>
              <w14:schemeClr w14:val="tx1"/>
            </w14:solidFill>
          </w14:textFill>
        </w:rPr>
        <w:t>代理公司</w:t>
      </w:r>
      <w:r>
        <w:rPr>
          <w:rFonts w:ascii="宋体" w:hAnsi="宋体" w:eastAsia="宋体" w:cs="Times New Roman"/>
          <w:color w:val="000000" w:themeColor="text1"/>
          <w:sz w:val="24"/>
          <w:szCs w:val="20"/>
          <w:lang w:val="zh-CN"/>
          <w14:textFill>
            <w14:solidFill>
              <w14:schemeClr w14:val="tx1"/>
            </w14:solidFill>
          </w14:textFill>
        </w:rPr>
        <w:t>相关工作人员有需要回避的情形的，应当场提出询问或者回避申请。采购人、</w:t>
      </w:r>
      <w:r>
        <w:rPr>
          <w:rFonts w:hint="eastAsia" w:ascii="Helvetica" w:hAnsi="Helvetica" w:eastAsia="宋体" w:cs="Helvetica"/>
          <w:color w:val="000000" w:themeColor="text1"/>
          <w:kern w:val="0"/>
          <w:sz w:val="24"/>
          <w:szCs w:val="24"/>
          <w:lang w:val="zh-CN"/>
          <w14:textFill>
            <w14:solidFill>
              <w14:schemeClr w14:val="tx1"/>
            </w14:solidFill>
          </w14:textFill>
        </w:rPr>
        <w:t>代理公司</w:t>
      </w:r>
      <w:r>
        <w:rPr>
          <w:rFonts w:hint="eastAsia" w:ascii="宋体" w:hAnsi="宋体" w:eastAsia="宋体" w:cs="Times New Roman"/>
          <w:color w:val="000000" w:themeColor="text1"/>
          <w:sz w:val="24"/>
          <w:szCs w:val="20"/>
          <w:lang w:val="zh-CN"/>
          <w14:textFill>
            <w14:solidFill>
              <w14:schemeClr w14:val="tx1"/>
            </w14:solidFill>
          </w14:textFill>
        </w:rPr>
        <w:t>将</w:t>
      </w:r>
      <w:r>
        <w:rPr>
          <w:rFonts w:ascii="宋体" w:hAnsi="宋体" w:eastAsia="宋体" w:cs="Times New Roman"/>
          <w:color w:val="000000" w:themeColor="text1"/>
          <w:sz w:val="24"/>
          <w:szCs w:val="20"/>
          <w:lang w:val="zh-CN"/>
          <w14:textFill>
            <w14:solidFill>
              <w14:schemeClr w14:val="tx1"/>
            </w14:solidFill>
          </w14:textFill>
        </w:rPr>
        <w:t>及时处理投标人代表提出的询问或者回避申请。</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资格审查</w:t>
      </w:r>
    </w:p>
    <w:p>
      <w:pPr>
        <w:numPr>
          <w:ilvl w:val="0"/>
          <w:numId w:val="24"/>
        </w:numPr>
        <w:spacing w:line="360" w:lineRule="auto"/>
        <w:ind w:left="616" w:hanging="61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公开招标采购项目开标结束后，采购人和采购代理公司依据法律、法规及招标文件的规定，对投标人的资格进行审查，以确定投标人资格是否合格。</w:t>
      </w:r>
      <w:r>
        <w:rPr>
          <w:rFonts w:ascii="Helvetica" w:hAnsi="Helvetica" w:eastAsia="宋体" w:cs="Helvetica"/>
          <w:color w:val="000000" w:themeColor="text1"/>
          <w:kern w:val="0"/>
          <w:sz w:val="24"/>
          <w:szCs w:val="24"/>
          <w:lang w:val="zh-CN"/>
          <w14:textFill>
            <w14:solidFill>
              <w14:schemeClr w14:val="tx1"/>
            </w14:solidFill>
          </w14:textFill>
        </w:rPr>
        <w:t>合格投标人不足</w:t>
      </w:r>
      <w:r>
        <w:rPr>
          <w:rFonts w:ascii="宋体" w:hAnsi="宋体" w:eastAsia="宋体" w:cs="Helvetica"/>
          <w:color w:val="000000" w:themeColor="text1"/>
          <w:kern w:val="0"/>
          <w:sz w:val="24"/>
          <w:szCs w:val="24"/>
          <w:lang w:val="zh-CN"/>
          <w14:textFill>
            <w14:solidFill>
              <w14:schemeClr w14:val="tx1"/>
            </w14:solidFill>
          </w14:textFill>
        </w:rPr>
        <w:t>3</w:t>
      </w:r>
      <w:r>
        <w:rPr>
          <w:rFonts w:ascii="Helvetica" w:hAnsi="Helvetica" w:eastAsia="宋体" w:cs="Helvetica"/>
          <w:color w:val="000000" w:themeColor="text1"/>
          <w:kern w:val="0"/>
          <w:sz w:val="24"/>
          <w:szCs w:val="24"/>
          <w:lang w:val="zh-CN"/>
          <w14:textFill>
            <w14:solidFill>
              <w14:schemeClr w14:val="tx1"/>
            </w14:solidFill>
          </w14:textFill>
        </w:rPr>
        <w:t>家的，不</w:t>
      </w:r>
      <w:r>
        <w:rPr>
          <w:rFonts w:hint="eastAsia" w:ascii="Helvetica" w:hAnsi="Helvetica" w:eastAsia="宋体" w:cs="Helvetica"/>
          <w:color w:val="000000" w:themeColor="text1"/>
          <w:kern w:val="0"/>
          <w:sz w:val="24"/>
          <w:szCs w:val="24"/>
          <w:lang w:val="zh-CN"/>
          <w14:textFill>
            <w14:solidFill>
              <w14:schemeClr w14:val="tx1"/>
            </w14:solidFill>
          </w14:textFill>
        </w:rPr>
        <w:t>进行</w:t>
      </w:r>
      <w:r>
        <w:rPr>
          <w:rFonts w:ascii="Helvetica" w:hAnsi="Helvetica" w:eastAsia="宋体" w:cs="Helvetica"/>
          <w:color w:val="000000" w:themeColor="text1"/>
          <w:kern w:val="0"/>
          <w:sz w:val="24"/>
          <w:szCs w:val="24"/>
          <w:lang w:val="zh-CN"/>
          <w14:textFill>
            <w14:solidFill>
              <w14:schemeClr w14:val="tx1"/>
            </w14:solidFill>
          </w14:textFill>
        </w:rPr>
        <w:t>评标</w:t>
      </w:r>
      <w:r>
        <w:rPr>
          <w:rFonts w:hint="eastAsia" w:ascii="Helvetica" w:hAnsi="Helvetica" w:eastAsia="宋体" w:cs="Helvetica"/>
          <w:color w:val="000000" w:themeColor="text1"/>
          <w:kern w:val="0"/>
          <w:sz w:val="24"/>
          <w:szCs w:val="24"/>
          <w:lang w:val="zh-CN"/>
          <w14:textFill>
            <w14:solidFill>
              <w14:schemeClr w14:val="tx1"/>
            </w14:solidFill>
          </w14:textFill>
        </w:rPr>
        <w:t>。</w:t>
      </w:r>
    </w:p>
    <w:p>
      <w:pPr>
        <w:numPr>
          <w:ilvl w:val="0"/>
          <w:numId w:val="24"/>
        </w:numPr>
        <w:spacing w:line="360" w:lineRule="auto"/>
        <w:ind w:left="616" w:hanging="61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资格审查详见第四章“资格审查方法及标准”。</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评标方法</w:t>
      </w:r>
    </w:p>
    <w:p>
      <w:pPr>
        <w:numPr>
          <w:ilvl w:val="0"/>
          <w:numId w:val="25"/>
        </w:numPr>
        <w:spacing w:line="360" w:lineRule="auto"/>
        <w:ind w:left="616" w:hanging="61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最低评标价法。最低评标价法是指投标文件满足招标文件全部实质性要求，且投标报价最低的投标人为中标候选人的评标方法。</w:t>
      </w:r>
    </w:p>
    <w:p>
      <w:pPr>
        <w:numPr>
          <w:ilvl w:val="0"/>
          <w:numId w:val="25"/>
        </w:numPr>
        <w:spacing w:line="360" w:lineRule="auto"/>
        <w:ind w:left="616" w:hanging="61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综合评分法。</w:t>
      </w:r>
      <w:r>
        <w:rPr>
          <w:rFonts w:ascii="宋体" w:hAnsi="宋体" w:eastAsia="宋体" w:cs="Times New Roman"/>
          <w:bCs/>
          <w:color w:val="000000" w:themeColor="text1"/>
          <w:sz w:val="24"/>
          <w:szCs w:val="20"/>
          <w:lang w:val="zh-CN"/>
          <w14:textFill>
            <w14:solidFill>
              <w14:schemeClr w14:val="tx1"/>
            </w14:solidFill>
          </w14:textFill>
        </w:rPr>
        <w:t>综合评分法是指投标文件满足招标文件全部实质性要求，且按照评审因素的量化指标评审得分最高的投标人为中标候选人的评标方法。</w:t>
      </w:r>
    </w:p>
    <w:p>
      <w:pPr>
        <w:numPr>
          <w:ilvl w:val="0"/>
          <w:numId w:val="25"/>
        </w:numPr>
        <w:spacing w:line="360" w:lineRule="auto"/>
        <w:ind w:left="616" w:hanging="616"/>
        <w:rPr>
          <w:rFonts w:ascii="宋体" w:hAnsi="宋体" w:eastAsia="宋体" w:cs="Times New Roman"/>
          <w:bCs/>
          <w:color w:val="000000" w:themeColor="text1"/>
          <w:sz w:val="24"/>
          <w:szCs w:val="20"/>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评标方法详见第五章“评标方法、程序及标准”</w:t>
      </w:r>
      <w:r>
        <w:rPr>
          <w:rFonts w:hint="eastAsia" w:ascii="宋体" w:hAnsi="宋体" w:eastAsia="宋体" w:cs="Times New Roman"/>
          <w:bCs/>
          <w:color w:val="000000" w:themeColor="text1"/>
          <w:sz w:val="24"/>
          <w:szCs w:val="20"/>
          <w:lang w:val="zh-CN"/>
          <w14:textFill>
            <w14:solidFill>
              <w14:schemeClr w14:val="tx1"/>
            </w14:solidFill>
          </w14:textFill>
        </w:rPr>
        <w:t>。</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评标委员会的组成</w:t>
      </w:r>
    </w:p>
    <w:p>
      <w:pPr>
        <w:numPr>
          <w:ilvl w:val="0"/>
          <w:numId w:val="26"/>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Helvetica"/>
          <w:color w:val="000000" w:themeColor="text1"/>
          <w:kern w:val="0"/>
          <w:sz w:val="24"/>
          <w:szCs w:val="24"/>
          <w:lang w:val="zh-CN"/>
          <w14:textFill>
            <w14:solidFill>
              <w14:schemeClr w14:val="tx1"/>
            </w14:solidFill>
          </w14:textFill>
        </w:rPr>
        <w:t>评标委员会由采购人代表和评审专家组成，成员人数应当为5人</w:t>
      </w:r>
      <w:r>
        <w:rPr>
          <w:rFonts w:hint="eastAsia" w:ascii="宋体" w:hAnsi="宋体" w:eastAsia="宋体" w:cs="Helvetica"/>
          <w:color w:val="000000" w:themeColor="text1"/>
          <w:kern w:val="0"/>
          <w:sz w:val="24"/>
          <w:szCs w:val="24"/>
          <w:lang w:val="zh-CN"/>
          <w14:textFill>
            <w14:solidFill>
              <w14:schemeClr w14:val="tx1"/>
            </w14:solidFill>
          </w14:textFill>
        </w:rPr>
        <w:t>及</w:t>
      </w:r>
      <w:r>
        <w:rPr>
          <w:rFonts w:ascii="宋体" w:hAnsi="宋体" w:eastAsia="宋体" w:cs="Helvetica"/>
          <w:color w:val="000000" w:themeColor="text1"/>
          <w:kern w:val="0"/>
          <w:sz w:val="24"/>
          <w:szCs w:val="24"/>
          <w:lang w:val="zh-CN"/>
          <w14:textFill>
            <w14:solidFill>
              <w14:schemeClr w14:val="tx1"/>
            </w14:solidFill>
          </w14:textFill>
        </w:rPr>
        <w:t>以上单数，其中评审专家不得少于成员总数的三分之二</w:t>
      </w:r>
      <w:r>
        <w:rPr>
          <w:rFonts w:hint="eastAsia" w:ascii="宋体" w:hAnsi="宋体" w:eastAsia="宋体" w:cs="Helvetica"/>
          <w:color w:val="000000" w:themeColor="text1"/>
          <w:kern w:val="0"/>
          <w:sz w:val="24"/>
          <w:szCs w:val="24"/>
          <w:lang w:val="zh-CN"/>
          <w14:textFill>
            <w14:solidFill>
              <w14:schemeClr w14:val="tx1"/>
            </w14:solidFill>
          </w14:textFill>
        </w:rPr>
        <w:t>；</w:t>
      </w:r>
      <w:r>
        <w:rPr>
          <w:rFonts w:ascii="宋体" w:hAnsi="宋体" w:eastAsia="宋体" w:cs="Times New Roman"/>
          <w:color w:val="000000" w:themeColor="text1"/>
          <w:sz w:val="24"/>
          <w:szCs w:val="20"/>
          <w:lang w:val="zh-CN"/>
          <w14:textFill>
            <w14:solidFill>
              <w14:schemeClr w14:val="tx1"/>
            </w14:solidFill>
          </w14:textFill>
        </w:rPr>
        <w:t>采购预算金额在1000万元</w:t>
      </w:r>
      <w:r>
        <w:rPr>
          <w:rFonts w:hint="eastAsia" w:ascii="宋体" w:hAnsi="宋体" w:eastAsia="宋体" w:cs="Times New Roman"/>
          <w:color w:val="000000" w:themeColor="text1"/>
          <w:sz w:val="24"/>
          <w:szCs w:val="20"/>
          <w:lang w:val="zh-CN"/>
          <w14:textFill>
            <w14:solidFill>
              <w14:schemeClr w14:val="tx1"/>
            </w14:solidFill>
          </w14:textFill>
        </w:rPr>
        <w:t>及</w:t>
      </w:r>
      <w:r>
        <w:rPr>
          <w:rFonts w:ascii="宋体" w:hAnsi="宋体" w:eastAsia="宋体" w:cs="Times New Roman"/>
          <w:color w:val="000000" w:themeColor="text1"/>
          <w:sz w:val="24"/>
          <w:szCs w:val="20"/>
          <w:lang w:val="zh-CN"/>
          <w14:textFill>
            <w14:solidFill>
              <w14:schemeClr w14:val="tx1"/>
            </w14:solidFill>
          </w14:textFill>
        </w:rPr>
        <w:t>以上</w:t>
      </w:r>
      <w:r>
        <w:rPr>
          <w:rFonts w:hint="eastAsia" w:ascii="宋体" w:hAnsi="宋体" w:eastAsia="宋体" w:cs="Times New Roman"/>
          <w:color w:val="000000" w:themeColor="text1"/>
          <w:sz w:val="24"/>
          <w:szCs w:val="20"/>
          <w:lang w:val="zh-CN"/>
          <w14:textFill>
            <w14:solidFill>
              <w14:schemeClr w14:val="tx1"/>
            </w14:solidFill>
          </w14:textFill>
        </w:rPr>
        <w:t>、</w:t>
      </w:r>
      <w:r>
        <w:rPr>
          <w:rFonts w:ascii="宋体" w:hAnsi="宋体" w:eastAsia="宋体" w:cs="Times New Roman"/>
          <w:color w:val="000000" w:themeColor="text1"/>
          <w:sz w:val="24"/>
          <w:szCs w:val="20"/>
          <w:lang w:val="zh-CN"/>
          <w14:textFill>
            <w14:solidFill>
              <w14:schemeClr w14:val="tx1"/>
            </w14:solidFill>
          </w14:textFill>
        </w:rPr>
        <w:t>技术复杂</w:t>
      </w:r>
      <w:r>
        <w:rPr>
          <w:rFonts w:hint="eastAsia" w:ascii="宋体" w:hAnsi="宋体" w:eastAsia="宋体" w:cs="Times New Roman"/>
          <w:color w:val="000000" w:themeColor="text1"/>
          <w:sz w:val="24"/>
          <w:szCs w:val="20"/>
          <w:lang w:val="zh-CN"/>
          <w14:textFill>
            <w14:solidFill>
              <w14:schemeClr w14:val="tx1"/>
            </w14:solidFill>
          </w14:textFill>
        </w:rPr>
        <w:t>或</w:t>
      </w:r>
      <w:r>
        <w:rPr>
          <w:rFonts w:ascii="宋体" w:hAnsi="宋体" w:eastAsia="宋体" w:cs="Times New Roman"/>
          <w:color w:val="000000" w:themeColor="text1"/>
          <w:sz w:val="24"/>
          <w:szCs w:val="20"/>
          <w:lang w:val="zh-CN"/>
          <w14:textFill>
            <w14:solidFill>
              <w14:schemeClr w14:val="tx1"/>
            </w14:solidFill>
          </w14:textFill>
        </w:rPr>
        <w:t>社会影响较大</w:t>
      </w:r>
      <w:r>
        <w:rPr>
          <w:rFonts w:hint="eastAsia" w:ascii="宋体" w:hAnsi="宋体" w:eastAsia="宋体" w:cs="Times New Roman"/>
          <w:color w:val="000000" w:themeColor="text1"/>
          <w:sz w:val="24"/>
          <w:szCs w:val="20"/>
          <w:lang w:val="zh-CN"/>
          <w14:textFill>
            <w14:solidFill>
              <w14:schemeClr w14:val="tx1"/>
            </w14:solidFill>
          </w14:textFill>
        </w:rPr>
        <w:t>的项目，</w:t>
      </w:r>
      <w:r>
        <w:rPr>
          <w:rFonts w:ascii="宋体" w:hAnsi="宋体" w:eastAsia="宋体" w:cs="Times New Roman"/>
          <w:color w:val="000000" w:themeColor="text1"/>
          <w:sz w:val="24"/>
          <w:szCs w:val="20"/>
          <w:lang w:val="zh-CN"/>
          <w14:textFill>
            <w14:solidFill>
              <w14:schemeClr w14:val="tx1"/>
            </w14:solidFill>
          </w14:textFill>
        </w:rPr>
        <w:t>评标委员会成员人数应当为7人</w:t>
      </w:r>
      <w:r>
        <w:rPr>
          <w:rFonts w:hint="eastAsia" w:ascii="宋体" w:hAnsi="宋体" w:eastAsia="宋体" w:cs="Times New Roman"/>
          <w:color w:val="000000" w:themeColor="text1"/>
          <w:sz w:val="24"/>
          <w:szCs w:val="20"/>
          <w:lang w:val="zh-CN"/>
          <w14:textFill>
            <w14:solidFill>
              <w14:schemeClr w14:val="tx1"/>
            </w14:solidFill>
          </w14:textFill>
        </w:rPr>
        <w:t>及</w:t>
      </w:r>
      <w:r>
        <w:rPr>
          <w:rFonts w:ascii="宋体" w:hAnsi="宋体" w:eastAsia="宋体" w:cs="Times New Roman"/>
          <w:color w:val="000000" w:themeColor="text1"/>
          <w:sz w:val="24"/>
          <w:szCs w:val="20"/>
          <w:lang w:val="zh-CN"/>
          <w14:textFill>
            <w14:solidFill>
              <w14:schemeClr w14:val="tx1"/>
            </w14:solidFill>
          </w14:textFill>
        </w:rPr>
        <w:t>以上单数</w:t>
      </w:r>
      <w:r>
        <w:rPr>
          <w:rFonts w:hint="eastAsia" w:ascii="宋体" w:hAnsi="宋体" w:eastAsia="宋体" w:cs="Times New Roman"/>
          <w:color w:val="000000" w:themeColor="text1"/>
          <w:sz w:val="24"/>
          <w:szCs w:val="20"/>
          <w:lang w:val="zh-CN"/>
          <w14:textFill>
            <w14:solidFill>
              <w14:schemeClr w14:val="tx1"/>
            </w14:solidFill>
          </w14:textFill>
        </w:rPr>
        <w:t>。</w:t>
      </w:r>
    </w:p>
    <w:p>
      <w:pPr>
        <w:numPr>
          <w:ilvl w:val="0"/>
          <w:numId w:val="26"/>
        </w:numPr>
        <w:spacing w:line="360" w:lineRule="auto"/>
        <w:ind w:left="616" w:hanging="616"/>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评标委员会成员依法从政府采购专家库中随机抽取。</w:t>
      </w:r>
      <w:r>
        <w:rPr>
          <w:rFonts w:ascii="宋体" w:hAnsi="宋体" w:eastAsia="宋体" w:cs="Times New Roman"/>
          <w:b/>
          <w:color w:val="000000" w:themeColor="text1"/>
          <w:sz w:val="24"/>
          <w:szCs w:val="20"/>
          <w:lang w:val="zh-CN"/>
          <w14:textFill>
            <w14:solidFill>
              <w14:schemeClr w14:val="tx1"/>
            </w14:solidFill>
          </w14:textFill>
        </w:rPr>
        <w:t>对技术复杂、专业性强的采购项目，通过随机方式难以确定合适评审专家的，经主管预算单位同意，采购人可以自行选定相应专业领域的评审专家。</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评标程序</w:t>
      </w:r>
    </w:p>
    <w:p>
      <w:pPr>
        <w:numPr>
          <w:ilvl w:val="0"/>
          <w:numId w:val="27"/>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评标委员会负责具体评标事务，并独立履行下列职责：</w:t>
      </w:r>
    </w:p>
    <w:p>
      <w:pPr>
        <w:numPr>
          <w:ilvl w:val="0"/>
          <w:numId w:val="28"/>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审查、评价投标文件是否符合招标文件的商务、技术等实质性要求；</w:t>
      </w:r>
    </w:p>
    <w:p>
      <w:pPr>
        <w:numPr>
          <w:ilvl w:val="0"/>
          <w:numId w:val="28"/>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要求投标人对投标文件有关事项作出澄清或者说明；</w:t>
      </w:r>
    </w:p>
    <w:p>
      <w:pPr>
        <w:numPr>
          <w:ilvl w:val="0"/>
          <w:numId w:val="28"/>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对投标文件进行</w:t>
      </w:r>
      <w:r>
        <w:rPr>
          <w:rFonts w:hint="eastAsia" w:ascii="宋体" w:hAnsi="宋体" w:eastAsia="宋体" w:cs="Times New Roman"/>
          <w:color w:val="000000" w:themeColor="text1"/>
          <w:sz w:val="24"/>
          <w:szCs w:val="20"/>
          <w:lang w:val="zh-CN"/>
          <w14:textFill>
            <w14:solidFill>
              <w14:schemeClr w14:val="tx1"/>
            </w14:solidFill>
          </w14:textFill>
        </w:rPr>
        <w:t>综合</w:t>
      </w:r>
      <w:r>
        <w:rPr>
          <w:rFonts w:ascii="宋体" w:hAnsi="宋体" w:eastAsia="宋体" w:cs="Times New Roman"/>
          <w:color w:val="000000" w:themeColor="text1"/>
          <w:sz w:val="24"/>
          <w:szCs w:val="20"/>
          <w:lang w:val="zh-CN"/>
          <w14:textFill>
            <w14:solidFill>
              <w14:schemeClr w14:val="tx1"/>
            </w14:solidFill>
          </w14:textFill>
        </w:rPr>
        <w:t>比较和评价；</w:t>
      </w:r>
    </w:p>
    <w:p>
      <w:pPr>
        <w:numPr>
          <w:ilvl w:val="0"/>
          <w:numId w:val="28"/>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确定中标候选人名单或中标人；</w:t>
      </w:r>
    </w:p>
    <w:p>
      <w:pPr>
        <w:numPr>
          <w:ilvl w:val="0"/>
          <w:numId w:val="28"/>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向采购人、</w:t>
      </w:r>
      <w:r>
        <w:rPr>
          <w:rFonts w:hint="eastAsia" w:ascii="宋体" w:hAnsi="宋体" w:eastAsia="宋体" w:cs="Times New Roman"/>
          <w:color w:val="000000" w:themeColor="text1"/>
          <w:sz w:val="24"/>
          <w:szCs w:val="20"/>
          <w:lang w:val="zh-CN"/>
          <w14:textFill>
            <w14:solidFill>
              <w14:schemeClr w14:val="tx1"/>
            </w14:solidFill>
          </w14:textFill>
        </w:rPr>
        <w:t>集中采购</w:t>
      </w:r>
      <w:r>
        <w:rPr>
          <w:rFonts w:ascii="宋体" w:hAnsi="宋体" w:eastAsia="宋体" w:cs="Times New Roman"/>
          <w:color w:val="000000" w:themeColor="text1"/>
          <w:sz w:val="24"/>
          <w:szCs w:val="20"/>
          <w:lang w:val="zh-CN"/>
          <w14:textFill>
            <w14:solidFill>
              <w14:schemeClr w14:val="tx1"/>
            </w14:solidFill>
          </w14:textFill>
        </w:rPr>
        <w:t>机构或者有关部门报告评标中发现的违法行为。</w:t>
      </w:r>
    </w:p>
    <w:p>
      <w:pPr>
        <w:numPr>
          <w:ilvl w:val="0"/>
          <w:numId w:val="27"/>
        </w:numPr>
        <w:spacing w:line="360" w:lineRule="auto"/>
        <w:ind w:left="616" w:hanging="61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评标程序详见第五章“评标方法、程序及标准”。</w:t>
      </w:r>
    </w:p>
    <w:p>
      <w:pPr>
        <w:pStyle w:val="4"/>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18" w:name="_Toc494561943"/>
      <w:bookmarkStart w:id="19" w:name="_Toc31076"/>
      <w:r>
        <w:rPr>
          <w:rFonts w:hint="eastAsia" w:cs="Times New Roman" w:asciiTheme="majorEastAsia" w:hAnsiTheme="majorEastAsia"/>
          <w:bCs w:val="0"/>
          <w:color w:val="000000" w:themeColor="text1"/>
          <w:lang w:val="zh-CN"/>
          <w14:textFill>
            <w14:solidFill>
              <w14:schemeClr w14:val="tx1"/>
            </w14:solidFill>
          </w14:textFill>
        </w:rPr>
        <w:t>投标人信用信息及查询</w:t>
      </w:r>
      <w:bookmarkEnd w:id="18"/>
      <w:bookmarkEnd w:id="19"/>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信用信息查询渠道及使用规则</w:t>
      </w:r>
    </w:p>
    <w:p>
      <w:pPr>
        <w:numPr>
          <w:ilvl w:val="0"/>
          <w:numId w:val="29"/>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color w:val="000000" w:themeColor="text1"/>
          <w:kern w:val="0"/>
          <w:sz w:val="24"/>
          <w:szCs w:val="24"/>
          <w:lang w:val="zh-CN"/>
          <w14:textFill>
            <w14:solidFill>
              <w14:schemeClr w14:val="tx1"/>
            </w14:solidFill>
          </w14:textFill>
        </w:rPr>
        <w:t>www.ccgp.gov.cn</w:t>
      </w:r>
      <w:r>
        <w:rPr>
          <w:rFonts w:hint="eastAsia" w:cs="Helvetica" w:asciiTheme="minorEastAsia" w:hAnsiTheme="minorEastAsia"/>
          <w:color w:val="000000" w:themeColor="text1"/>
          <w:kern w:val="0"/>
          <w:sz w:val="24"/>
          <w:szCs w:val="24"/>
          <w:lang w:val="zh-CN"/>
          <w14:textFill>
            <w14:solidFill>
              <w14:schemeClr w14:val="tx1"/>
            </w14:solidFill>
          </w14:textFill>
        </w:rPr>
        <w:fldChar w:fldCharType="end"/>
      </w:r>
      <w:r>
        <w:rPr>
          <w:rFonts w:hint="eastAsia" w:cs="Helvetica" w:asciiTheme="minorEastAsia" w:hAnsiTheme="minorEastAsia"/>
          <w:color w:val="000000" w:themeColor="text1"/>
          <w:kern w:val="0"/>
          <w:sz w:val="24"/>
          <w:szCs w:val="24"/>
          <w:lang w:val="zh-CN"/>
          <w14:textFill>
            <w14:solidFill>
              <w14:schemeClr w14:val="tx1"/>
            </w14:solidFill>
          </w14:textFill>
        </w:rPr>
        <w:t>)。</w:t>
      </w:r>
    </w:p>
    <w:p>
      <w:pPr>
        <w:numPr>
          <w:ilvl w:val="0"/>
          <w:numId w:val="29"/>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列入失信被执行人、重大税收违法案件当事人名单、政府采购严重违法失信行为记录名单的供应商，采购人、采购代理机构</w:t>
      </w:r>
      <w:r>
        <w:rPr>
          <w:rFonts w:hint="eastAsia" w:cs="Helvetica" w:asciiTheme="minorEastAsia" w:hAnsiTheme="minorEastAsia"/>
          <w:b/>
          <w:color w:val="000000" w:themeColor="text1"/>
          <w:kern w:val="0"/>
          <w:sz w:val="24"/>
          <w:szCs w:val="24"/>
          <w:lang w:val="zh-CN"/>
          <w14:textFill>
            <w14:solidFill>
              <w14:schemeClr w14:val="tx1"/>
            </w14:solidFill>
          </w14:textFill>
        </w:rPr>
        <w:t>拒绝</w:t>
      </w:r>
      <w:r>
        <w:rPr>
          <w:rFonts w:hint="eastAsia" w:cs="Helvetica" w:asciiTheme="minorEastAsia" w:hAnsiTheme="minorEastAsia"/>
          <w:color w:val="000000" w:themeColor="text1"/>
          <w:kern w:val="0"/>
          <w:sz w:val="24"/>
          <w:szCs w:val="24"/>
          <w:lang w:val="zh-CN"/>
          <w14:textFill>
            <w14:solidFill>
              <w14:schemeClr w14:val="tx1"/>
            </w14:solidFill>
          </w14:textFill>
        </w:rPr>
        <w:t>其参与政府采购活动。</w:t>
      </w:r>
    </w:p>
    <w:p>
      <w:pPr>
        <w:numPr>
          <w:ilvl w:val="0"/>
          <w:numId w:val="29"/>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29"/>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投标人的信用记录，最终以评标时的“信用中国”网站发布的信息为准。</w:t>
      </w:r>
    </w:p>
    <w:p>
      <w:pPr>
        <w:numPr>
          <w:ilvl w:val="0"/>
          <w:numId w:val="29"/>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在资格审查与评标工作未同日进行的特殊情形下，</w:t>
      </w: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cs="Helvetica" w:asciiTheme="minorEastAsia" w:hAnsiTheme="minorEastAsia"/>
          <w:color w:val="000000" w:themeColor="text1"/>
          <w:kern w:val="0"/>
          <w:sz w:val="24"/>
          <w:szCs w:val="24"/>
          <w:lang w:val="zh-CN"/>
          <w14:textFill>
            <w14:solidFill>
              <w14:schemeClr w14:val="tx1"/>
            </w14:solidFill>
          </w14:textFill>
        </w:rPr>
        <w:t>工作人员在评标时对投标人的信用信息进行复核，发现评标当日存在不良信用信息的，由评标委员会按照符合性审查不合格作</w:t>
      </w:r>
      <w:r>
        <w:rPr>
          <w:rFonts w:hint="eastAsia" w:cs="Helvetica" w:asciiTheme="minorEastAsia" w:hAnsiTheme="minorEastAsia"/>
          <w:b/>
          <w:color w:val="000000" w:themeColor="text1"/>
          <w:kern w:val="0"/>
          <w:sz w:val="24"/>
          <w:szCs w:val="24"/>
          <w:lang w:val="zh-CN"/>
          <w14:textFill>
            <w14:solidFill>
              <w14:schemeClr w14:val="tx1"/>
            </w14:solidFill>
          </w14:textFill>
        </w:rPr>
        <w:t>无效投标处理</w:t>
      </w:r>
      <w:r>
        <w:rPr>
          <w:rFonts w:hint="eastAsia" w:cs="Helvetica" w:asciiTheme="minorEastAsia" w:hAnsiTheme="minorEastAsia"/>
          <w:color w:val="000000" w:themeColor="text1"/>
          <w:kern w:val="0"/>
          <w:sz w:val="24"/>
          <w:szCs w:val="24"/>
          <w:lang w:val="zh-CN"/>
          <w14:textFill>
            <w14:solidFill>
              <w14:schemeClr w14:val="tx1"/>
            </w14:solidFill>
          </w14:textFill>
        </w:rPr>
        <w:t>。</w:t>
      </w:r>
    </w:p>
    <w:p>
      <w:pPr>
        <w:pStyle w:val="4"/>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20" w:name="_Toc11144"/>
      <w:bookmarkStart w:id="21" w:name="_Toc494561944"/>
      <w:r>
        <w:rPr>
          <w:rFonts w:cs="Times New Roman" w:asciiTheme="majorEastAsia" w:hAnsiTheme="majorEastAsia"/>
          <w:bCs w:val="0"/>
          <w:color w:val="000000" w:themeColor="text1"/>
          <w:lang w:val="zh-CN"/>
          <w14:textFill>
            <w14:solidFill>
              <w14:schemeClr w14:val="tx1"/>
            </w14:solidFill>
          </w14:textFill>
        </w:rPr>
        <w:t>中标</w:t>
      </w:r>
      <w:r>
        <w:rPr>
          <w:rFonts w:hint="eastAsia" w:cs="Times New Roman" w:asciiTheme="majorEastAsia" w:hAnsiTheme="majorEastAsia"/>
          <w:bCs w:val="0"/>
          <w:color w:val="000000" w:themeColor="text1"/>
          <w:lang w:val="zh-CN"/>
          <w14:textFill>
            <w14:solidFill>
              <w14:schemeClr w14:val="tx1"/>
            </w14:solidFill>
          </w14:textFill>
        </w:rPr>
        <w:t>与</w:t>
      </w:r>
      <w:r>
        <w:rPr>
          <w:rFonts w:cs="Times New Roman" w:asciiTheme="majorEastAsia" w:hAnsiTheme="majorEastAsia"/>
          <w:bCs w:val="0"/>
          <w:color w:val="000000" w:themeColor="text1"/>
          <w:lang w:val="zh-CN"/>
          <w14:textFill>
            <w14:solidFill>
              <w14:schemeClr w14:val="tx1"/>
            </w14:solidFill>
          </w14:textFill>
        </w:rPr>
        <w:t>合同</w:t>
      </w:r>
      <w:bookmarkEnd w:id="20"/>
      <w:bookmarkEnd w:id="21"/>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确定中标人</w:t>
      </w:r>
    </w:p>
    <w:p>
      <w:pPr>
        <w:numPr>
          <w:ilvl w:val="0"/>
          <w:numId w:val="3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采购人收到评标报告</w:t>
      </w:r>
      <w:r>
        <w:rPr>
          <w:rFonts w:ascii="宋体" w:hAnsi="宋体" w:eastAsia="宋体" w:cs="Helvetica"/>
          <w:color w:val="000000" w:themeColor="text1"/>
          <w:kern w:val="0"/>
          <w:sz w:val="24"/>
          <w:szCs w:val="24"/>
          <w:lang w:val="zh-CN"/>
          <w14:textFill>
            <w14:solidFill>
              <w14:schemeClr w14:val="tx1"/>
            </w14:solidFill>
          </w14:textFill>
        </w:rPr>
        <w:t>5个工作日内，</w:t>
      </w:r>
      <w:r>
        <w:rPr>
          <w:rFonts w:hint="eastAsia" w:ascii="宋体" w:hAnsi="宋体" w:eastAsia="宋体" w:cs="Helvetica"/>
          <w:color w:val="000000" w:themeColor="text1"/>
          <w:kern w:val="0"/>
          <w:sz w:val="24"/>
          <w:szCs w:val="24"/>
          <w:lang w:val="zh-CN"/>
          <w14:textFill>
            <w14:solidFill>
              <w14:schemeClr w14:val="tx1"/>
            </w14:solidFill>
          </w14:textFill>
        </w:rPr>
        <w:t>按</w:t>
      </w:r>
      <w:r>
        <w:rPr>
          <w:rFonts w:ascii="宋体" w:hAnsi="宋体" w:eastAsia="宋体" w:cs="Helvetica"/>
          <w:color w:val="000000" w:themeColor="text1"/>
          <w:kern w:val="0"/>
          <w:sz w:val="24"/>
          <w:szCs w:val="24"/>
          <w:lang w:val="zh-CN"/>
          <w14:textFill>
            <w14:solidFill>
              <w14:schemeClr w14:val="tx1"/>
            </w14:solidFill>
          </w14:textFill>
        </w:rPr>
        <w:t>评标报告推荐的中标候选人顺序确定中标人。</w:t>
      </w:r>
    </w:p>
    <w:p>
      <w:pPr>
        <w:numPr>
          <w:ilvl w:val="0"/>
          <w:numId w:val="3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中标候选人并列的</w:t>
      </w:r>
      <w:r>
        <w:rPr>
          <w:rFonts w:hint="eastAsia" w:ascii="Helvetica" w:hAnsi="Helvetica" w:eastAsia="宋体" w:cs="Helvetica"/>
          <w:color w:val="000000" w:themeColor="text1"/>
          <w:kern w:val="0"/>
          <w:sz w:val="24"/>
          <w:szCs w:val="24"/>
          <w:lang w:val="zh-CN"/>
          <w14:textFill>
            <w14:solidFill>
              <w14:schemeClr w14:val="tx1"/>
            </w14:solidFill>
          </w14:textFill>
        </w:rPr>
        <w:t>：</w:t>
      </w:r>
    </w:p>
    <w:p>
      <w:pPr>
        <w:numPr>
          <w:ilvl w:val="0"/>
          <w:numId w:val="31"/>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采用最低评标价法的，评标结果按投标报价由低到高顺序排列。投标报价相同的，按技术部分由高到低顺序排列。</w:t>
      </w:r>
    </w:p>
    <w:p>
      <w:pPr>
        <w:numPr>
          <w:ilvl w:val="0"/>
          <w:numId w:val="31"/>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采用综合评分法的，评标结果按评审后得分由高到低顺序排列。得分相同的，按投标报价由低到高顺序排列。得分且投标报价相同的，按技术部分由高到低顺序排列。</w:t>
      </w:r>
    </w:p>
    <w:p>
      <w:pPr>
        <w:numPr>
          <w:ilvl w:val="0"/>
          <w:numId w:val="3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中标人的数量有其他规定的，按招标文件相关规定执行。</w:t>
      </w:r>
    </w:p>
    <w:p>
      <w:pPr>
        <w:numPr>
          <w:ilvl w:val="0"/>
          <w:numId w:val="30"/>
        </w:numPr>
        <w:spacing w:line="360" w:lineRule="auto"/>
        <w:ind w:left="616" w:hanging="616"/>
        <w:rPr>
          <w:rFonts w:ascii="宋体" w:hAnsi="宋体" w:eastAsia="宋体" w:cs="Times New Roman"/>
          <w:strike/>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0"/>
        </w:numPr>
        <w:spacing w:line="360" w:lineRule="auto"/>
        <w:ind w:left="616" w:hanging="616"/>
        <w:rPr>
          <w:rFonts w:ascii="宋体" w:hAnsi="宋体" w:eastAsia="宋体" w:cs="Times New Roman"/>
          <w:strike/>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中标通知书发出后，采购人不得违法改变中标结果，中标人无正当理由不得放弃中标。</w:t>
      </w:r>
    </w:p>
    <w:p>
      <w:pPr>
        <w:numPr>
          <w:ilvl w:val="0"/>
          <w:numId w:val="3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合同授予</w:t>
      </w:r>
    </w:p>
    <w:p>
      <w:pPr>
        <w:spacing w:line="360" w:lineRule="auto"/>
        <w:ind w:firstLine="480" w:firstLine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除本章“确定中标人”规定及其他法律规定的情形外，采购人把合同授予被确定为实质上响应招标文件要求且排名第一的中标人。</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合同签订</w:t>
      </w:r>
    </w:p>
    <w:p>
      <w:pPr>
        <w:numPr>
          <w:ilvl w:val="0"/>
          <w:numId w:val="3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bookmarkStart w:id="22" w:name="_Toc272247700"/>
      <w:bookmarkStart w:id="23" w:name="_Toc278891597"/>
      <w:r>
        <w:rPr>
          <w:rFonts w:ascii="宋体" w:hAnsi="宋体" w:eastAsia="宋体" w:cs="Times New Roman"/>
          <w:color w:val="000000" w:themeColor="text1"/>
          <w:sz w:val="24"/>
          <w:szCs w:val="20"/>
          <w:lang w:val="zh-CN"/>
          <w14:textFill>
            <w14:solidFill>
              <w14:schemeClr w14:val="tx1"/>
            </w14:solidFill>
          </w14:textFill>
        </w:rPr>
        <w:t>采购人应当自中标通知书发出之日起30日内，按照招标文件</w:t>
      </w:r>
      <w:r>
        <w:rPr>
          <w:rFonts w:hint="eastAsia" w:ascii="宋体" w:hAnsi="宋体" w:eastAsia="宋体" w:cs="Times New Roman"/>
          <w:color w:val="000000" w:themeColor="text1"/>
          <w:sz w:val="24"/>
          <w:szCs w:val="20"/>
          <w:lang w:val="zh-CN"/>
          <w14:textFill>
            <w14:solidFill>
              <w14:schemeClr w14:val="tx1"/>
            </w14:solidFill>
          </w14:textFill>
        </w:rPr>
        <w:t>规定</w:t>
      </w:r>
      <w:r>
        <w:rPr>
          <w:rFonts w:ascii="宋体" w:hAnsi="宋体" w:eastAsia="宋体" w:cs="Times New Roman"/>
          <w:color w:val="000000" w:themeColor="text1"/>
          <w:sz w:val="24"/>
          <w:szCs w:val="20"/>
          <w:lang w:val="zh-CN"/>
          <w14:textFill>
            <w14:solidFill>
              <w14:schemeClr w14:val="tx1"/>
            </w14:solidFill>
          </w14:textFill>
        </w:rPr>
        <w:t>和中标人投标文件的</w:t>
      </w:r>
      <w:r>
        <w:rPr>
          <w:rFonts w:hint="eastAsia" w:ascii="宋体" w:hAnsi="宋体" w:eastAsia="宋体" w:cs="Times New Roman"/>
          <w:color w:val="000000" w:themeColor="text1"/>
          <w:sz w:val="24"/>
          <w:szCs w:val="20"/>
          <w:lang w:val="zh-CN"/>
          <w14:textFill>
            <w14:solidFill>
              <w14:schemeClr w14:val="tx1"/>
            </w14:solidFill>
          </w14:textFill>
        </w:rPr>
        <w:t>承诺</w:t>
      </w:r>
      <w:r>
        <w:rPr>
          <w:rFonts w:ascii="宋体" w:hAnsi="宋体" w:eastAsia="宋体" w:cs="Times New Roman"/>
          <w:color w:val="000000" w:themeColor="text1"/>
          <w:sz w:val="24"/>
          <w:szCs w:val="20"/>
          <w:lang w:val="zh-CN"/>
          <w14:textFill>
            <w14:solidFill>
              <w14:schemeClr w14:val="tx1"/>
            </w14:solidFill>
          </w14:textFill>
        </w:rPr>
        <w:t>，与中标人签订书面合同。所签订的合同不得对招标文件确定的事项和中标人投标文件作实质性修改。</w:t>
      </w:r>
    </w:p>
    <w:p>
      <w:pPr>
        <w:numPr>
          <w:ilvl w:val="0"/>
          <w:numId w:val="32"/>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采购人不得向中标人提出任何不合理的要求作为签订合同的条件。</w:t>
      </w:r>
    </w:p>
    <w:p>
      <w:pPr>
        <w:numPr>
          <w:ilvl w:val="0"/>
          <w:numId w:val="32"/>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政府采购合同应当包括采购人与中标人的名称和住所、标的、数量、质量、价款或者报酬、履行期限及地点和方式、验收要求、违约责任、解决争议的方法等内容。</w:t>
      </w:r>
    </w:p>
    <w:p>
      <w:pPr>
        <w:numPr>
          <w:ilvl w:val="0"/>
          <w:numId w:val="32"/>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采购人与中标人应当根据合同的约定依法履行合同义务。政府采购合同的履行、违约责任和解决争议的方法等适用《中华人民共和国合同法》。</w:t>
      </w:r>
    </w:p>
    <w:p>
      <w:pPr>
        <w:numPr>
          <w:ilvl w:val="0"/>
          <w:numId w:val="32"/>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采购人应当自政府采购合同签订之日起2个工作日内，将政府采购合同在省级以上人民政府财政部门指定的媒体上公告，但政府采购合同中涉及国家秘密、商业秘密的内容除外。</w:t>
      </w:r>
    </w:p>
    <w:p>
      <w:pPr>
        <w:numPr>
          <w:ilvl w:val="0"/>
          <w:numId w:val="32"/>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24" w:name="_Toc494561945"/>
      <w:bookmarkStart w:id="25" w:name="_Toc4771"/>
      <w:r>
        <w:rPr>
          <w:rFonts w:hint="eastAsia" w:cs="Times New Roman" w:asciiTheme="majorEastAsia" w:hAnsiTheme="majorEastAsia"/>
          <w:bCs w:val="0"/>
          <w:color w:val="000000" w:themeColor="text1"/>
          <w:lang w:val="zh-CN"/>
          <w14:textFill>
            <w14:solidFill>
              <w14:schemeClr w14:val="tx1"/>
            </w14:solidFill>
          </w14:textFill>
        </w:rPr>
        <w:t>采购信息公告</w:t>
      </w:r>
      <w:bookmarkEnd w:id="24"/>
      <w:bookmarkEnd w:id="25"/>
    </w:p>
    <w:p>
      <w:pPr>
        <w:numPr>
          <w:ilvl w:val="0"/>
          <w:numId w:val="5"/>
        </w:numPr>
        <w:spacing w:line="360" w:lineRule="auto"/>
        <w:ind w:left="560" w:hanging="560"/>
        <w:rPr>
          <w:rFonts w:ascii="宋体" w:hAnsi="宋体" w:eastAsia="宋体" w:cs="Helvetica"/>
          <w:b/>
          <w:color w:val="000000" w:themeColor="text1"/>
          <w:kern w:val="0"/>
          <w:sz w:val="24"/>
          <w:szCs w:val="24"/>
          <w:lang w:val="zh-CN"/>
          <w14:textFill>
            <w14:solidFill>
              <w14:schemeClr w14:val="tx1"/>
            </w14:solidFill>
          </w14:textFill>
        </w:rPr>
      </w:pPr>
      <w:r>
        <w:rPr>
          <w:rFonts w:hint="eastAsia" w:ascii="宋体" w:hAnsi="宋体" w:eastAsia="宋体" w:cs="Helvetica"/>
          <w:b/>
          <w:color w:val="000000" w:themeColor="text1"/>
          <w:kern w:val="0"/>
          <w:sz w:val="24"/>
          <w:szCs w:val="24"/>
          <w:lang w:val="zh-CN"/>
          <w14:textFill>
            <w14:solidFill>
              <w14:schemeClr w14:val="tx1"/>
            </w14:solidFill>
          </w14:textFill>
        </w:rPr>
        <w:t>公告的媒体及规定</w:t>
      </w:r>
    </w:p>
    <w:p>
      <w:pPr>
        <w:numPr>
          <w:ilvl w:val="0"/>
          <w:numId w:val="33"/>
        </w:numPr>
        <w:tabs>
          <w:tab w:val="left" w:pos="616"/>
        </w:tabs>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集中采购机构在招标活动中的公告、补充、更正、结果等采购信息均依法在政府采购监管部门指定媒体上（中国湖北政府采购网http://www.ccgp-hubei.gov.cn/）发布。</w:t>
      </w:r>
    </w:p>
    <w:p>
      <w:pPr>
        <w:numPr>
          <w:ilvl w:val="0"/>
          <w:numId w:val="33"/>
        </w:numPr>
        <w:tabs>
          <w:tab w:val="left" w:pos="616"/>
        </w:tabs>
        <w:spacing w:line="360" w:lineRule="auto"/>
        <w:ind w:left="616" w:hanging="616"/>
        <w:rPr>
          <w:rFonts w:cs="Helvetica" w:asciiTheme="minorEastAsia" w:hAnsiTheme="minorEastAsia"/>
          <w:b/>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集中采购机构在自</w:t>
      </w:r>
      <w:r>
        <w:rPr>
          <w:rFonts w:cs="Helvetica" w:asciiTheme="minorEastAsia" w:hAnsiTheme="minorEastAsia"/>
          <w:color w:val="000000" w:themeColor="text1"/>
          <w:kern w:val="0"/>
          <w:sz w:val="24"/>
          <w:szCs w:val="24"/>
          <w:lang w:val="zh-CN"/>
          <w14:textFill>
            <w14:solidFill>
              <w14:schemeClr w14:val="tx1"/>
            </w14:solidFill>
          </w14:textFill>
        </w:rPr>
        <w:t>中标人确定之日起2个工作日内，</w:t>
      </w:r>
      <w:r>
        <w:rPr>
          <w:rFonts w:hint="eastAsia" w:cs="Helvetica" w:asciiTheme="minorEastAsia" w:hAnsiTheme="minorEastAsia"/>
          <w:color w:val="000000" w:themeColor="text1"/>
          <w:kern w:val="0"/>
          <w:sz w:val="24"/>
          <w:szCs w:val="24"/>
          <w:lang w:val="zh-CN"/>
          <w14:textFill>
            <w14:solidFill>
              <w14:schemeClr w14:val="tx1"/>
            </w14:solidFill>
          </w14:textFill>
        </w:rPr>
        <w:t>在政府采购监管部门指定媒体上</w:t>
      </w:r>
      <w:r>
        <w:rPr>
          <w:rFonts w:cs="Helvetica" w:asciiTheme="minorEastAsia" w:hAnsiTheme="minorEastAsia"/>
          <w:color w:val="000000" w:themeColor="text1"/>
          <w:kern w:val="0"/>
          <w:sz w:val="24"/>
          <w:szCs w:val="24"/>
          <w:lang w:val="zh-CN"/>
          <w14:textFill>
            <w14:solidFill>
              <w14:schemeClr w14:val="tx1"/>
            </w14:solidFill>
          </w14:textFill>
        </w:rPr>
        <w:t>公告中标结果</w:t>
      </w:r>
      <w:r>
        <w:rPr>
          <w:rFonts w:hint="eastAsia" w:cs="Helvetica" w:asciiTheme="minorEastAsia" w:hAnsiTheme="minorEastAsia"/>
          <w:color w:val="000000" w:themeColor="text1"/>
          <w:kern w:val="0"/>
          <w:sz w:val="24"/>
          <w:szCs w:val="24"/>
          <w:lang w:val="zh-CN"/>
          <w14:textFill>
            <w14:solidFill>
              <w14:schemeClr w14:val="tx1"/>
            </w14:solidFill>
          </w14:textFill>
        </w:rPr>
        <w:t>，</w:t>
      </w:r>
      <w:r>
        <w:rPr>
          <w:rFonts w:hint="eastAsia" w:cs="Helvetica" w:asciiTheme="minorEastAsia" w:hAnsiTheme="minorEastAsia"/>
          <w:b/>
          <w:color w:val="000000" w:themeColor="text1"/>
          <w:kern w:val="0"/>
          <w:sz w:val="24"/>
          <w:szCs w:val="24"/>
          <w:lang w:val="zh-CN"/>
          <w14:textFill>
            <w14:solidFill>
              <w14:schemeClr w14:val="tx1"/>
            </w14:solidFill>
          </w14:textFill>
        </w:rPr>
        <w:t>中标公告的公示期为1个工作日。</w:t>
      </w:r>
    </w:p>
    <w:p>
      <w:pPr>
        <w:numPr>
          <w:ilvl w:val="0"/>
          <w:numId w:val="33"/>
        </w:numPr>
        <w:tabs>
          <w:tab w:val="left" w:pos="616"/>
        </w:tabs>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资格审查未通过的投标人可在结果公告质疑有效期内按公告中的联系方式获知</w:t>
      </w:r>
      <w:r>
        <w:rPr>
          <w:rFonts w:cs="Helvetica" w:asciiTheme="minorEastAsia" w:hAnsiTheme="minorEastAsia"/>
          <w:color w:val="000000" w:themeColor="text1"/>
          <w:kern w:val="0"/>
          <w:sz w:val="24"/>
          <w:szCs w:val="24"/>
          <w:lang w:val="zh-CN"/>
          <w14:textFill>
            <w14:solidFill>
              <w14:schemeClr w14:val="tx1"/>
            </w14:solidFill>
          </w14:textFill>
        </w:rPr>
        <w:t>本</w:t>
      </w:r>
      <w:r>
        <w:rPr>
          <w:rFonts w:hint="eastAsia" w:cs="Helvetica" w:asciiTheme="minorEastAsia" w:hAnsiTheme="minorEastAsia"/>
          <w:color w:val="000000" w:themeColor="text1"/>
          <w:kern w:val="0"/>
          <w:sz w:val="24"/>
          <w:szCs w:val="24"/>
          <w:lang w:val="zh-CN"/>
          <w14:textFill>
            <w14:solidFill>
              <w14:schemeClr w14:val="tx1"/>
            </w14:solidFill>
          </w14:textFill>
        </w:rPr>
        <w:t>单位</w:t>
      </w:r>
      <w:r>
        <w:rPr>
          <w:rFonts w:cs="Helvetica" w:asciiTheme="minorEastAsia" w:hAnsiTheme="minorEastAsia"/>
          <w:color w:val="000000" w:themeColor="text1"/>
          <w:kern w:val="0"/>
          <w:sz w:val="24"/>
          <w:szCs w:val="24"/>
          <w:lang w:val="zh-CN"/>
          <w14:textFill>
            <w14:solidFill>
              <w14:schemeClr w14:val="tx1"/>
            </w14:solidFill>
          </w14:textFill>
        </w:rPr>
        <w:t>的</w:t>
      </w:r>
      <w:r>
        <w:rPr>
          <w:rFonts w:hint="eastAsia" w:cs="Helvetica" w:asciiTheme="minorEastAsia" w:hAnsiTheme="minorEastAsia"/>
          <w:color w:val="000000" w:themeColor="text1"/>
          <w:kern w:val="0"/>
          <w:sz w:val="24"/>
          <w:szCs w:val="24"/>
          <w:lang w:val="zh-CN"/>
          <w14:textFill>
            <w14:solidFill>
              <w14:schemeClr w14:val="tx1"/>
            </w14:solidFill>
          </w14:textFill>
        </w:rPr>
        <w:t>资格审查情况</w:t>
      </w:r>
      <w:r>
        <w:rPr>
          <w:rFonts w:cs="Helvetica" w:asciiTheme="minorEastAsia" w:hAnsiTheme="minorEastAsia"/>
          <w:color w:val="000000" w:themeColor="text1"/>
          <w:kern w:val="0"/>
          <w:sz w:val="24"/>
          <w:szCs w:val="24"/>
          <w:lang w:val="zh-CN"/>
          <w14:textFill>
            <w14:solidFill>
              <w14:schemeClr w14:val="tx1"/>
            </w14:solidFill>
          </w14:textFill>
        </w:rPr>
        <w:t>。</w:t>
      </w:r>
    </w:p>
    <w:p>
      <w:pPr>
        <w:numPr>
          <w:ilvl w:val="0"/>
          <w:numId w:val="33"/>
        </w:numPr>
        <w:tabs>
          <w:tab w:val="left" w:pos="616"/>
        </w:tabs>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cs="Helvetica" w:asciiTheme="minorEastAsia" w:hAnsiTheme="minorEastAsia"/>
          <w:color w:val="000000" w:themeColor="text1"/>
          <w:kern w:val="0"/>
          <w:sz w:val="24"/>
          <w:szCs w:val="24"/>
          <w:lang w:val="zh-CN"/>
          <w14:textFill>
            <w14:solidFill>
              <w14:schemeClr w14:val="tx1"/>
            </w14:solidFill>
          </w14:textFill>
        </w:rPr>
        <w:t>采用综合评分法评审的</w:t>
      </w:r>
      <w:r>
        <w:rPr>
          <w:rFonts w:hint="eastAsia" w:cs="Helvetica" w:asciiTheme="minorEastAsia" w:hAnsiTheme="minorEastAsia"/>
          <w:color w:val="000000" w:themeColor="text1"/>
          <w:kern w:val="0"/>
          <w:sz w:val="24"/>
          <w:szCs w:val="24"/>
          <w:lang w:val="zh-CN"/>
          <w14:textFill>
            <w14:solidFill>
              <w14:schemeClr w14:val="tx1"/>
            </w14:solidFill>
          </w14:textFill>
        </w:rPr>
        <w:t>项目</w:t>
      </w:r>
      <w:r>
        <w:rPr>
          <w:rFonts w:cs="Helvetica" w:asciiTheme="minorEastAsia" w:hAnsiTheme="minorEastAsia"/>
          <w:color w:val="000000" w:themeColor="text1"/>
          <w:kern w:val="0"/>
          <w:sz w:val="24"/>
          <w:szCs w:val="24"/>
          <w:lang w:val="zh-CN"/>
          <w14:textFill>
            <w14:solidFill>
              <w14:schemeClr w14:val="tx1"/>
            </w14:solidFill>
          </w14:textFill>
        </w:rPr>
        <w:t>，</w:t>
      </w:r>
      <w:r>
        <w:rPr>
          <w:rFonts w:hint="eastAsia" w:cs="Helvetica" w:asciiTheme="minorEastAsia" w:hAnsiTheme="minorEastAsia"/>
          <w:color w:val="000000" w:themeColor="text1"/>
          <w:kern w:val="0"/>
          <w:sz w:val="24"/>
          <w:szCs w:val="24"/>
          <w:lang w:val="zh-CN"/>
          <w14:textFill>
            <w14:solidFill>
              <w14:schemeClr w14:val="tx1"/>
            </w14:solidFill>
          </w14:textFill>
        </w:rPr>
        <w:t>未中标人可在结果公告质疑有效期内按公告中的联系方式获知</w:t>
      </w:r>
      <w:r>
        <w:rPr>
          <w:rFonts w:cs="Helvetica" w:asciiTheme="minorEastAsia" w:hAnsiTheme="minorEastAsia"/>
          <w:color w:val="000000" w:themeColor="text1"/>
          <w:kern w:val="0"/>
          <w:sz w:val="24"/>
          <w:szCs w:val="24"/>
          <w:lang w:val="zh-CN"/>
          <w14:textFill>
            <w14:solidFill>
              <w14:schemeClr w14:val="tx1"/>
            </w14:solidFill>
          </w14:textFill>
        </w:rPr>
        <w:t>本</w:t>
      </w:r>
      <w:r>
        <w:rPr>
          <w:rFonts w:hint="eastAsia" w:cs="Helvetica" w:asciiTheme="minorEastAsia" w:hAnsiTheme="minorEastAsia"/>
          <w:color w:val="000000" w:themeColor="text1"/>
          <w:kern w:val="0"/>
          <w:sz w:val="24"/>
          <w:szCs w:val="24"/>
          <w:lang w:val="zh-CN"/>
          <w14:textFill>
            <w14:solidFill>
              <w14:schemeClr w14:val="tx1"/>
            </w14:solidFill>
          </w14:textFill>
        </w:rPr>
        <w:t>单位</w:t>
      </w:r>
      <w:r>
        <w:rPr>
          <w:rFonts w:cs="Helvetica" w:asciiTheme="minorEastAsia" w:hAnsiTheme="minorEastAsia"/>
          <w:color w:val="000000" w:themeColor="text1"/>
          <w:kern w:val="0"/>
          <w:sz w:val="24"/>
          <w:szCs w:val="24"/>
          <w:lang w:val="zh-CN"/>
          <w14:textFill>
            <w14:solidFill>
              <w14:schemeClr w14:val="tx1"/>
            </w14:solidFill>
          </w14:textFill>
        </w:rPr>
        <w:t>的评审得分与排序。</w:t>
      </w:r>
    </w:p>
    <w:p>
      <w:pPr>
        <w:pStyle w:val="4"/>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26" w:name="_Toc6568"/>
      <w:bookmarkStart w:id="27" w:name="_Toc494561946"/>
      <w:r>
        <w:rPr>
          <w:rFonts w:hint="eastAsia" w:cs="Times New Roman" w:asciiTheme="majorEastAsia" w:hAnsiTheme="majorEastAsia"/>
          <w:bCs w:val="0"/>
          <w:color w:val="000000" w:themeColor="text1"/>
          <w:lang w:val="zh-CN"/>
          <w14:textFill>
            <w14:solidFill>
              <w14:schemeClr w14:val="tx1"/>
            </w14:solidFill>
          </w14:textFill>
        </w:rPr>
        <w:t>质疑</w:t>
      </w:r>
      <w:bookmarkEnd w:id="22"/>
      <w:bookmarkEnd w:id="23"/>
      <w:r>
        <w:rPr>
          <w:rFonts w:hint="eastAsia" w:cs="Times New Roman" w:asciiTheme="majorEastAsia" w:hAnsiTheme="majorEastAsia"/>
          <w:bCs w:val="0"/>
          <w:color w:val="000000" w:themeColor="text1"/>
          <w:lang w:val="zh-CN"/>
          <w14:textFill>
            <w14:solidFill>
              <w14:schemeClr w14:val="tx1"/>
            </w14:solidFill>
          </w14:textFill>
        </w:rPr>
        <w:t>及提交</w:t>
      </w:r>
      <w:bookmarkEnd w:id="26"/>
      <w:bookmarkEnd w:id="27"/>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质疑提交</w:t>
      </w:r>
    </w:p>
    <w:p>
      <w:pPr>
        <w:autoSpaceDE w:val="0"/>
        <w:autoSpaceDN w:val="0"/>
        <w:adjustRightInd w:val="0"/>
        <w:snapToGrid w:val="0"/>
        <w:spacing w:line="300" w:lineRule="auto"/>
        <w:ind w:left="420" w:right="32" w:firstLine="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投标人认为招标文件、招标过程和中标结果使自己的权益受到损害的，可以在知道或者应知其权益受到损害之日起7个工作日内，</w:t>
      </w:r>
      <w:r>
        <w:rPr>
          <w:rFonts w:ascii="宋体" w:hAnsi="宋体" w:eastAsia="宋体" w:cs="Times New Roman"/>
          <w:color w:val="000000" w:themeColor="text1"/>
          <w:sz w:val="24"/>
          <w:szCs w:val="20"/>
          <w:lang w:val="zh-CN"/>
          <w14:textFill>
            <w14:solidFill>
              <w14:schemeClr w14:val="tx1"/>
            </w14:solidFill>
          </w14:textFill>
        </w:rPr>
        <w:t>向</w:t>
      </w:r>
      <w:r>
        <w:rPr>
          <w:rFonts w:hint="eastAsia" w:ascii="宋体" w:hAnsi="宋体" w:eastAsia="宋体" w:cs="Times New Roman"/>
          <w:color w:val="000000" w:themeColor="text1"/>
          <w:sz w:val="24"/>
          <w:szCs w:val="20"/>
          <w:lang w:val="zh-CN"/>
          <w14:textFill>
            <w14:solidFill>
              <w14:schemeClr w14:val="tx1"/>
            </w14:solidFill>
          </w14:textFill>
        </w:rPr>
        <w:t>采购人（或代理公司）</w:t>
      </w:r>
      <w:r>
        <w:rPr>
          <w:rFonts w:ascii="宋体" w:hAnsi="宋体" w:eastAsia="宋体" w:cs="Times New Roman"/>
          <w:color w:val="000000" w:themeColor="text1"/>
          <w:sz w:val="24"/>
          <w:szCs w:val="20"/>
          <w:lang w:val="zh-CN"/>
          <w14:textFill>
            <w14:solidFill>
              <w14:schemeClr w14:val="tx1"/>
            </w14:solidFill>
          </w14:textFill>
        </w:rPr>
        <w:t>提出</w:t>
      </w:r>
      <w:r>
        <w:rPr>
          <w:rFonts w:hint="eastAsia" w:ascii="宋体" w:hAnsi="宋体" w:eastAsia="宋体" w:cs="Times New Roman"/>
          <w:color w:val="000000" w:themeColor="text1"/>
          <w:sz w:val="24"/>
          <w:szCs w:val="20"/>
          <w:lang w:val="zh-CN"/>
          <w14:textFill>
            <w14:solidFill>
              <w14:schemeClr w14:val="tx1"/>
            </w14:solidFill>
          </w14:textFill>
        </w:rPr>
        <w:t>书面</w:t>
      </w:r>
      <w:r>
        <w:rPr>
          <w:rFonts w:ascii="宋体" w:hAnsi="宋体" w:eastAsia="宋体" w:cs="Times New Roman"/>
          <w:color w:val="000000" w:themeColor="text1"/>
          <w:sz w:val="24"/>
          <w:szCs w:val="20"/>
          <w:lang w:val="zh-CN"/>
          <w14:textFill>
            <w14:solidFill>
              <w14:schemeClr w14:val="tx1"/>
            </w14:solidFill>
          </w14:textFill>
        </w:rPr>
        <w:t>质疑</w:t>
      </w:r>
      <w:r>
        <w:rPr>
          <w:rFonts w:hint="eastAsia" w:ascii="宋体" w:hAnsi="宋体" w:eastAsia="宋体" w:cs="Times New Roman"/>
          <w:color w:val="000000" w:themeColor="text1"/>
          <w:sz w:val="24"/>
          <w:szCs w:val="20"/>
          <w:lang w:val="zh-CN"/>
          <w14:textFill>
            <w14:solidFill>
              <w14:schemeClr w14:val="tx1"/>
            </w14:solidFill>
          </w14:textFill>
        </w:rPr>
        <w:t>，质疑提出时间以收到之日为准。</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投标人</w:t>
      </w:r>
      <w:r>
        <w:rPr>
          <w:rFonts w:ascii="宋体" w:hAnsi="宋体" w:eastAsia="宋体" w:cs="Times New Roman"/>
          <w:b/>
          <w:color w:val="000000" w:themeColor="text1"/>
          <w:sz w:val="24"/>
          <w:szCs w:val="20"/>
          <w:lang w:val="zh-CN"/>
          <w14:textFill>
            <w14:solidFill>
              <w14:schemeClr w14:val="tx1"/>
            </w14:solidFill>
          </w14:textFill>
        </w:rPr>
        <w:t>应知其权益受到损害之日是指：</w:t>
      </w:r>
    </w:p>
    <w:p>
      <w:pPr>
        <w:numPr>
          <w:ilvl w:val="0"/>
          <w:numId w:val="34"/>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对可以质疑的</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文件提出质疑的，为收到</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文件之日或者</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文件公告期限届满之日</w:t>
      </w:r>
      <w:r>
        <w:rPr>
          <w:rFonts w:hint="eastAsia" w:ascii="宋体" w:hAnsi="宋体" w:eastAsia="宋体" w:cs="Times New Roman"/>
          <w:color w:val="000000" w:themeColor="text1"/>
          <w:sz w:val="24"/>
          <w:szCs w:val="20"/>
          <w:lang w:val="zh-CN"/>
          <w14:textFill>
            <w14:solidFill>
              <w14:schemeClr w14:val="tx1"/>
            </w14:solidFill>
          </w14:textFill>
        </w:rPr>
        <w:t>；</w:t>
      </w:r>
    </w:p>
    <w:p>
      <w:pPr>
        <w:numPr>
          <w:ilvl w:val="0"/>
          <w:numId w:val="34"/>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对</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过程提出质疑的，为各</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程序环节结束之日</w:t>
      </w:r>
      <w:r>
        <w:rPr>
          <w:rFonts w:hint="eastAsia" w:ascii="宋体" w:hAnsi="宋体" w:eastAsia="宋体" w:cs="Times New Roman"/>
          <w:color w:val="000000" w:themeColor="text1"/>
          <w:sz w:val="24"/>
          <w:szCs w:val="20"/>
          <w:lang w:val="zh-CN"/>
          <w14:textFill>
            <w14:solidFill>
              <w14:schemeClr w14:val="tx1"/>
            </w14:solidFill>
          </w14:textFill>
        </w:rPr>
        <w:t>；</w:t>
      </w:r>
    </w:p>
    <w:p>
      <w:pPr>
        <w:numPr>
          <w:ilvl w:val="0"/>
          <w:numId w:val="34"/>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对中标结果提出质疑的，为中标公告期限届满之日。</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质疑书应当包括下列主要内容：</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质疑人的名称、地址、联系人及联系电话等；</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被质疑人的名称、地址、联系人及联系电话等；</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质疑项目名称及编号、质疑事项和明确的请求；</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质疑事项的事实根据、法律依据及其他必要的证明材料；</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提出质疑的日期；</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质疑人的署名及签章（质疑人为自然人的，应当由本人签字；质疑人为法人或者其他组织的，应当由法定代表人或者主要负责人签字盖章并加盖公章）；</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法人授权委托书（质疑人或法人委托代理人办理质疑事务的，应当提供授权委托书，授权委托书应当载明委托代理的具体权限和事项）。</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不予受理的情形</w:t>
      </w:r>
    </w:p>
    <w:p>
      <w:pPr>
        <w:spacing w:line="360" w:lineRule="auto"/>
        <w:ind w:firstLine="480" w:firstLine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投标人未按本章“质疑及提交”规定的时限、内容及方式进行质疑的，采购人（或代理公司）不予受理。</w:t>
      </w:r>
    </w:p>
    <w:p>
      <w:pPr>
        <w:pStyle w:val="4"/>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28" w:name="_Toc494561947"/>
      <w:bookmarkStart w:id="29" w:name="_Toc28870"/>
      <w:r>
        <w:rPr>
          <w:rFonts w:hint="eastAsia" w:cs="Times New Roman" w:asciiTheme="majorEastAsia" w:hAnsiTheme="majorEastAsia"/>
          <w:bCs w:val="0"/>
          <w:color w:val="000000" w:themeColor="text1"/>
          <w:lang w:val="zh-CN"/>
          <w14:textFill>
            <w14:solidFill>
              <w14:schemeClr w14:val="tx1"/>
            </w14:solidFill>
          </w14:textFill>
        </w:rPr>
        <w:t>相关条文解读</w:t>
      </w:r>
      <w:bookmarkEnd w:id="28"/>
      <w:bookmarkEnd w:id="29"/>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政府采购法第二十二条第一款第五项所称重大违法记录，是指供应商因违法经营受到刑事处罚或者责令停产停业、吊销许可证或者执照、较大数额罚款等行政处罚。</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按照财政部《关于规范政府采购行政处罚有关问题的通知》的规定，</w:t>
      </w:r>
      <w:r>
        <w:rPr>
          <w:rFonts w:ascii="宋体" w:hAnsi="宋体" w:eastAsia="宋体" w:cs="Times New Roman"/>
          <w:color w:val="000000" w:themeColor="text1"/>
          <w:sz w:val="24"/>
          <w:szCs w:val="20"/>
          <w:lang w:val="zh-CN"/>
          <w14:textFill>
            <w14:solidFill>
              <w14:schemeClr w14:val="tx1"/>
            </w14:solidFill>
          </w14:textFill>
        </w:rPr>
        <w:t>各级人民政府财政部门依法对参加政府采购活动的供应商作出的禁止参加政府采购活动等行政处罚决定在全国范围内生效。</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供应商在参加政府采购活动前3年内因违法经营被禁止在一定期限内参加政府采购活动，期限届满的，可以参加政府采购活动。</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根据财政部《政府采购法实施条例》释义中关于供应商资格条件的解释，对于银行、保险、石油石化、电力、电信等有行业特殊情况的，采购人和集中采购机构允许其分支机构参与投标。</w:t>
      </w:r>
    </w:p>
    <w:p>
      <w:pPr>
        <w:pStyle w:val="4"/>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30" w:name="_Toc494561948"/>
      <w:bookmarkStart w:id="31" w:name="_Toc857"/>
      <w:r>
        <w:rPr>
          <w:rFonts w:hint="eastAsia" w:cs="Times New Roman" w:asciiTheme="majorEastAsia" w:hAnsiTheme="majorEastAsia"/>
          <w:bCs w:val="0"/>
          <w:color w:val="000000" w:themeColor="text1"/>
          <w:lang w:val="zh-CN"/>
          <w14:textFill>
            <w14:solidFill>
              <w14:schemeClr w14:val="tx1"/>
            </w14:solidFill>
          </w14:textFill>
        </w:rPr>
        <w:t>其他注意事项</w:t>
      </w:r>
      <w:bookmarkEnd w:id="30"/>
      <w:bookmarkEnd w:id="31"/>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单位负责人为同一人或者存在直接控股、管理关系的不同供应商，不得参加同一合同项下的政府采购活动。</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除单一来源采购项目外，为采购项目提供整体设计、规范编制或者项目管理、监理、检测等服务的供应商，不得再参加该采购项目的其他采购活动。</w:t>
      </w:r>
    </w:p>
    <w:p>
      <w:pPr>
        <w:pStyle w:val="4"/>
        <w:numPr>
          <w:ilvl w:val="0"/>
          <w:numId w:val="4"/>
        </w:numPr>
        <w:spacing w:before="40" w:after="40" w:line="360" w:lineRule="auto"/>
        <w:ind w:left="966" w:hanging="966"/>
        <w:jc w:val="left"/>
        <w:rPr>
          <w:rFonts w:cs="Times New Roman" w:asciiTheme="majorEastAsia" w:hAnsiTheme="majorEastAsia"/>
          <w:bCs w:val="0"/>
          <w:color w:val="000000" w:themeColor="text1"/>
          <w:lang w:val="zh-CN"/>
          <w14:textFill>
            <w14:solidFill>
              <w14:schemeClr w14:val="tx1"/>
            </w14:solidFill>
          </w14:textFill>
        </w:rPr>
      </w:pPr>
      <w:bookmarkStart w:id="32" w:name="_Toc272247701"/>
      <w:bookmarkStart w:id="33" w:name="_Toc278891598"/>
      <w:bookmarkStart w:id="34" w:name="_Toc494561949"/>
      <w:bookmarkStart w:id="35" w:name="_Toc11919"/>
      <w:r>
        <w:rPr>
          <w:rFonts w:hint="eastAsia" w:cs="Times New Roman" w:asciiTheme="majorEastAsia" w:hAnsiTheme="majorEastAsia"/>
          <w:bCs w:val="0"/>
          <w:color w:val="000000" w:themeColor="text1"/>
          <w:lang w:val="zh-CN"/>
          <w14:textFill>
            <w14:solidFill>
              <w14:schemeClr w14:val="tx1"/>
            </w14:solidFill>
          </w14:textFill>
        </w:rPr>
        <w:t>适用法律</w:t>
      </w:r>
      <w:bookmarkEnd w:id="32"/>
      <w:bookmarkEnd w:id="33"/>
      <w:bookmarkEnd w:id="34"/>
      <w:bookmarkEnd w:id="35"/>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采购人、采购代理机构及投标人的一切招标投标活动均适用《政府采购法》、《政府采购法实施条例》、</w:t>
      </w:r>
      <w:r>
        <w:rPr>
          <w:rFonts w:ascii="宋体" w:hAnsi="宋体" w:eastAsia="宋体" w:cs="Times New Roman"/>
          <w:color w:val="000000" w:themeColor="text1"/>
          <w:sz w:val="24"/>
          <w:szCs w:val="20"/>
          <w:lang w:val="zh-CN"/>
          <w14:textFill>
            <w14:solidFill>
              <w14:schemeClr w14:val="tx1"/>
            </w14:solidFill>
          </w14:textFill>
        </w:rPr>
        <w:t>《政府采购货物和服务招标投标管理办法》</w:t>
      </w:r>
      <w:r>
        <w:rPr>
          <w:rFonts w:hint="eastAsia" w:ascii="宋体" w:hAnsi="宋体" w:eastAsia="宋体" w:cs="Times New Roman"/>
          <w:color w:val="000000" w:themeColor="text1"/>
          <w:sz w:val="24"/>
          <w:szCs w:val="20"/>
          <w:lang w:val="zh-CN"/>
          <w14:textFill>
            <w14:solidFill>
              <w14:schemeClr w14:val="tx1"/>
            </w14:solidFill>
          </w14:textFill>
        </w:rPr>
        <w:t>及相关法律法规。</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政府采购合同的履行、违约责任和解决争议的方法等适用《合同法》。</w:t>
      </w:r>
    </w:p>
    <w:p>
      <w:pPr>
        <w:pStyle w:val="4"/>
        <w:numPr>
          <w:ilvl w:val="0"/>
          <w:numId w:val="4"/>
        </w:numPr>
        <w:spacing w:before="40" w:after="40" w:line="360" w:lineRule="auto"/>
        <w:ind w:left="966" w:hanging="966"/>
        <w:jc w:val="left"/>
        <w:rPr>
          <w:rFonts w:cs="Times New Roman" w:asciiTheme="majorEastAsia" w:hAnsiTheme="majorEastAsia"/>
          <w:bCs w:val="0"/>
          <w:color w:val="000000" w:themeColor="text1"/>
          <w:lang w:val="zh-CN"/>
          <w14:textFill>
            <w14:solidFill>
              <w14:schemeClr w14:val="tx1"/>
            </w14:solidFill>
          </w14:textFill>
        </w:rPr>
      </w:pPr>
      <w:bookmarkStart w:id="36" w:name="_Toc272247702"/>
      <w:bookmarkStart w:id="37" w:name="_Toc494561950"/>
      <w:bookmarkStart w:id="38" w:name="_Toc17423"/>
      <w:bookmarkStart w:id="39" w:name="_Toc278891599"/>
      <w:r>
        <w:rPr>
          <w:rFonts w:hint="eastAsia" w:cs="Times New Roman" w:asciiTheme="majorEastAsia" w:hAnsiTheme="majorEastAsia"/>
          <w:bCs w:val="0"/>
          <w:color w:val="000000" w:themeColor="text1"/>
          <w:lang w:val="zh-CN"/>
          <w14:textFill>
            <w14:solidFill>
              <w14:schemeClr w14:val="tx1"/>
            </w14:solidFill>
          </w14:textFill>
        </w:rPr>
        <w:t>招标文件的解释权</w:t>
      </w:r>
      <w:bookmarkEnd w:id="36"/>
      <w:bookmarkEnd w:id="37"/>
      <w:bookmarkEnd w:id="38"/>
      <w:bookmarkEnd w:id="39"/>
    </w:p>
    <w:p>
      <w:pPr>
        <w:numPr>
          <w:ilvl w:val="0"/>
          <w:numId w:val="5"/>
        </w:numPr>
        <w:spacing w:line="360" w:lineRule="auto"/>
        <w:ind w:left="560" w:hanging="560"/>
        <w:rPr>
          <w:color w:val="000000" w:themeColor="text1"/>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招标文件的最终解释权为采购人、采购代理机构所有。</w:t>
      </w:r>
      <w:r>
        <w:rPr>
          <w:color w:val="000000" w:themeColor="text1"/>
          <w14:textFill>
            <w14:solidFill>
              <w14:schemeClr w14:val="tx1"/>
            </w14:solidFill>
          </w14:textFill>
        </w:rPr>
        <w:br w:type="page"/>
      </w:r>
    </w:p>
    <w:p>
      <w:pPr>
        <w:pStyle w:val="3"/>
        <w:numPr>
          <w:ilvl w:val="0"/>
          <w:numId w:val="1"/>
        </w:numPr>
        <w:jc w:val="center"/>
        <w:rPr>
          <w:color w:val="FF0000"/>
        </w:rPr>
      </w:pPr>
      <w:bookmarkStart w:id="40" w:name="_Toc15959"/>
      <w:r>
        <w:rPr>
          <w:rFonts w:hint="eastAsia" w:ascii="黑体" w:hAnsi="黑体" w:eastAsia="黑体"/>
          <w:color w:val="000000" w:themeColor="text1"/>
          <w14:textFill>
            <w14:solidFill>
              <w14:schemeClr w14:val="tx1"/>
            </w14:solidFill>
          </w14:textFill>
        </w:rPr>
        <w:t>项目技术、服务及商务要求</w:t>
      </w:r>
      <w:bookmarkEnd w:id="40"/>
      <w:bookmarkStart w:id="41" w:name="_Toc494561956"/>
    </w:p>
    <w:p>
      <w:pPr>
        <w:adjustRightInd w:val="0"/>
        <w:snapToGrid w:val="0"/>
        <w:spacing w:line="440" w:lineRule="exact"/>
        <w:jc w:val="center"/>
        <w:outlineLvl w:val="0"/>
        <w:rPr>
          <w:rFonts w:ascii="Times New Roman" w:hAnsi="Times New Roman" w:cs="Times New Roman"/>
          <w:b/>
          <w:sz w:val="24"/>
          <w:szCs w:val="24"/>
        </w:rPr>
      </w:pPr>
    </w:p>
    <w:p/>
    <w:p>
      <w:pPr>
        <w:pStyle w:val="20"/>
        <w:ind w:left="420" w:firstLine="0" w:firstLineChars="0"/>
      </w:pPr>
    </w:p>
    <w:p>
      <w:pPr>
        <w:pStyle w:val="20"/>
        <w:ind w:left="420" w:firstLine="0" w:firstLineChars="0"/>
      </w:pPr>
      <w:r>
        <w:rPr>
          <w:rFonts w:hint="eastAsia"/>
        </w:rPr>
        <w:t>1包</w:t>
      </w:r>
    </w:p>
    <w:tbl>
      <w:tblPr>
        <w:tblStyle w:val="14"/>
        <w:tblW w:w="5524" w:type="dxa"/>
        <w:jc w:val="center"/>
        <w:tblLayout w:type="autofit"/>
        <w:tblCellMar>
          <w:top w:w="0" w:type="dxa"/>
          <w:left w:w="108" w:type="dxa"/>
          <w:bottom w:w="0" w:type="dxa"/>
          <w:right w:w="108" w:type="dxa"/>
        </w:tblCellMar>
      </w:tblPr>
      <w:tblGrid>
        <w:gridCol w:w="780"/>
        <w:gridCol w:w="2759"/>
        <w:gridCol w:w="1134"/>
        <w:gridCol w:w="851"/>
      </w:tblGrid>
      <w:tr>
        <w:tblPrEx>
          <w:tblCellMar>
            <w:top w:w="0" w:type="dxa"/>
            <w:left w:w="108" w:type="dxa"/>
            <w:bottom w:w="0" w:type="dxa"/>
            <w:right w:w="108" w:type="dxa"/>
          </w:tblCellMar>
        </w:tblPrEx>
        <w:trPr>
          <w:trHeight w:val="360"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序号</w:t>
            </w:r>
          </w:p>
        </w:tc>
        <w:tc>
          <w:tcPr>
            <w:tcW w:w="275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设备名称</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数量</w:t>
            </w:r>
          </w:p>
        </w:tc>
        <w:tc>
          <w:tcPr>
            <w:tcW w:w="851"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单位</w:t>
            </w:r>
          </w:p>
        </w:tc>
      </w:tr>
      <w:tr>
        <w:tblPrEx>
          <w:tblCellMar>
            <w:top w:w="0" w:type="dxa"/>
            <w:left w:w="108" w:type="dxa"/>
            <w:bottom w:w="0" w:type="dxa"/>
            <w:right w:w="108" w:type="dxa"/>
          </w:tblCellMar>
        </w:tblPrEx>
        <w:trPr>
          <w:trHeight w:val="36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2759"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70寸一体机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109</w:t>
            </w:r>
          </w:p>
        </w:tc>
        <w:tc>
          <w:tcPr>
            <w:tcW w:w="85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套</w:t>
            </w:r>
          </w:p>
        </w:tc>
      </w:tr>
      <w:tr>
        <w:tblPrEx>
          <w:tblCellMar>
            <w:top w:w="0" w:type="dxa"/>
            <w:left w:w="108" w:type="dxa"/>
            <w:bottom w:w="0" w:type="dxa"/>
            <w:right w:w="108" w:type="dxa"/>
          </w:tblCellMar>
        </w:tblPrEx>
        <w:trPr>
          <w:trHeight w:val="36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2759"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OPS电脑</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109</w:t>
            </w: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36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2759"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推拉黑板</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109</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套</w:t>
            </w:r>
          </w:p>
        </w:tc>
      </w:tr>
      <w:tr>
        <w:tblPrEx>
          <w:tblCellMar>
            <w:top w:w="0" w:type="dxa"/>
            <w:left w:w="108" w:type="dxa"/>
            <w:bottom w:w="0" w:type="dxa"/>
            <w:right w:w="108" w:type="dxa"/>
          </w:tblCellMar>
        </w:tblPrEx>
        <w:trPr>
          <w:trHeight w:val="36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c>
          <w:tcPr>
            <w:tcW w:w="2759"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视频展台</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109</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r>
      <w:tr>
        <w:tblPrEx>
          <w:tblCellMar>
            <w:top w:w="0" w:type="dxa"/>
            <w:left w:w="108" w:type="dxa"/>
            <w:bottom w:w="0" w:type="dxa"/>
            <w:right w:w="108" w:type="dxa"/>
          </w:tblCellMar>
        </w:tblPrEx>
        <w:trPr>
          <w:trHeight w:val="36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c>
          <w:tcPr>
            <w:tcW w:w="2759"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辅材</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批</w:t>
            </w:r>
          </w:p>
        </w:tc>
      </w:tr>
      <w:tr>
        <w:tblPrEx>
          <w:tblCellMar>
            <w:top w:w="0" w:type="dxa"/>
            <w:left w:w="108" w:type="dxa"/>
            <w:bottom w:w="0" w:type="dxa"/>
            <w:right w:w="108" w:type="dxa"/>
          </w:tblCellMar>
        </w:tblPrEx>
        <w:trPr>
          <w:trHeight w:val="36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w:t>
            </w:r>
          </w:p>
        </w:tc>
        <w:tc>
          <w:tcPr>
            <w:tcW w:w="2759"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钢制讲台</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109</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r>
      <w:tr>
        <w:tblPrEx>
          <w:tblCellMar>
            <w:top w:w="0" w:type="dxa"/>
            <w:left w:w="108" w:type="dxa"/>
            <w:bottom w:w="0" w:type="dxa"/>
            <w:right w:w="108" w:type="dxa"/>
          </w:tblCellMar>
        </w:tblPrEx>
        <w:trPr>
          <w:trHeight w:val="36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w:t>
            </w:r>
          </w:p>
        </w:tc>
        <w:tc>
          <w:tcPr>
            <w:tcW w:w="2759"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无线键盘鼠标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109</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套</w:t>
            </w:r>
          </w:p>
        </w:tc>
      </w:tr>
      <w:tr>
        <w:tblPrEx>
          <w:tblCellMar>
            <w:top w:w="0" w:type="dxa"/>
            <w:left w:w="108" w:type="dxa"/>
            <w:bottom w:w="0" w:type="dxa"/>
            <w:right w:w="108" w:type="dxa"/>
          </w:tblCellMar>
        </w:tblPrEx>
        <w:trPr>
          <w:trHeight w:val="360" w:hRule="atLeast"/>
          <w:jc w:val="center"/>
        </w:trPr>
        <w:tc>
          <w:tcPr>
            <w:tcW w:w="780" w:type="dxa"/>
            <w:vMerge w:val="restart"/>
            <w:tcBorders>
              <w:top w:val="nil"/>
              <w:left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9</w:t>
            </w:r>
          </w:p>
        </w:tc>
        <w:tc>
          <w:tcPr>
            <w:tcW w:w="4744"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摄像器材：</w:t>
            </w:r>
          </w:p>
        </w:tc>
      </w:tr>
      <w:tr>
        <w:tblPrEx>
          <w:tblCellMar>
            <w:top w:w="0" w:type="dxa"/>
            <w:left w:w="108" w:type="dxa"/>
            <w:bottom w:w="0" w:type="dxa"/>
            <w:right w:w="108" w:type="dxa"/>
          </w:tblCellMar>
        </w:tblPrEx>
        <w:trPr>
          <w:trHeight w:val="360" w:hRule="atLeast"/>
          <w:jc w:val="center"/>
        </w:trPr>
        <w:tc>
          <w:tcPr>
            <w:tcW w:w="780" w:type="dxa"/>
            <w:vMerge w:val="continue"/>
            <w:tcBorders>
              <w:left w:val="single" w:color="auto" w:sz="4" w:space="0"/>
              <w:right w:val="single" w:color="auto" w:sz="4" w:space="0"/>
            </w:tcBorders>
            <w:shd w:val="clear" w:color="auto" w:fill="auto"/>
            <w:noWrap/>
            <w:vAlign w:val="bottom"/>
          </w:tcPr>
          <w:p>
            <w:pPr>
              <w:widowControl/>
              <w:rPr>
                <w:rFonts w:cs="宋体" w:asciiTheme="minorEastAsia" w:hAnsiTheme="minorEastAsia"/>
                <w:color w:val="000000"/>
                <w:kern w:val="0"/>
                <w:sz w:val="24"/>
                <w:szCs w:val="24"/>
              </w:rPr>
            </w:pPr>
          </w:p>
        </w:tc>
        <w:tc>
          <w:tcPr>
            <w:tcW w:w="2759"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ascii="宋体" w:hAnsi="宋体"/>
                <w:szCs w:val="21"/>
              </w:rPr>
              <w:t>摄像机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r>
      <w:tr>
        <w:tblPrEx>
          <w:tblCellMar>
            <w:top w:w="0" w:type="dxa"/>
            <w:left w:w="108" w:type="dxa"/>
            <w:bottom w:w="0" w:type="dxa"/>
            <w:right w:w="108" w:type="dxa"/>
          </w:tblCellMar>
        </w:tblPrEx>
        <w:trPr>
          <w:trHeight w:val="360" w:hRule="atLeast"/>
          <w:jc w:val="center"/>
        </w:trPr>
        <w:tc>
          <w:tcPr>
            <w:tcW w:w="780" w:type="dxa"/>
            <w:vMerge w:val="continue"/>
            <w:tcBorders>
              <w:left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p>
        </w:tc>
        <w:tc>
          <w:tcPr>
            <w:tcW w:w="2759"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ascii="宋体" w:hAnsi="宋体"/>
                <w:szCs w:val="21"/>
              </w:rPr>
              <w:t>单反相机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r>
      <w:tr>
        <w:tblPrEx>
          <w:tblCellMar>
            <w:top w:w="0" w:type="dxa"/>
            <w:left w:w="108" w:type="dxa"/>
            <w:bottom w:w="0" w:type="dxa"/>
            <w:right w:w="108" w:type="dxa"/>
          </w:tblCellMar>
        </w:tblPrEx>
        <w:trPr>
          <w:trHeight w:val="360" w:hRule="atLeast"/>
          <w:jc w:val="center"/>
        </w:trPr>
        <w:tc>
          <w:tcPr>
            <w:tcW w:w="780" w:type="dxa"/>
            <w:vMerge w:val="continue"/>
            <w:tcBorders>
              <w:left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p>
        </w:tc>
        <w:tc>
          <w:tcPr>
            <w:tcW w:w="275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szCs w:val="21"/>
              </w:rPr>
            </w:pPr>
            <w:r>
              <w:rPr>
                <w:rFonts w:hint="eastAsia" w:ascii="宋体" w:hAnsi="宋体"/>
                <w:szCs w:val="21"/>
              </w:rPr>
              <w:t>专业镜头</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只</w:t>
            </w:r>
          </w:p>
        </w:tc>
      </w:tr>
      <w:tr>
        <w:tblPrEx>
          <w:tblCellMar>
            <w:top w:w="0" w:type="dxa"/>
            <w:left w:w="108" w:type="dxa"/>
            <w:bottom w:w="0" w:type="dxa"/>
            <w:right w:w="108" w:type="dxa"/>
          </w:tblCellMar>
        </w:tblPrEx>
        <w:trPr>
          <w:trHeight w:val="360" w:hRule="atLeast"/>
          <w:jc w:val="center"/>
        </w:trPr>
        <w:tc>
          <w:tcPr>
            <w:tcW w:w="780" w:type="dxa"/>
            <w:vMerge w:val="continue"/>
            <w:tcBorders>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p>
        </w:tc>
        <w:tc>
          <w:tcPr>
            <w:tcW w:w="275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szCs w:val="21"/>
              </w:rPr>
            </w:pPr>
            <w:r>
              <w:rPr>
                <w:rFonts w:hint="eastAsia" w:ascii="宋体" w:hAnsi="宋体"/>
                <w:szCs w:val="21"/>
              </w:rPr>
              <w:t>照片打印机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r>
    </w:tbl>
    <w:p>
      <w:pPr>
        <w:pStyle w:val="20"/>
        <w:ind w:left="420" w:firstLine="0" w:firstLineChars="0"/>
      </w:pPr>
    </w:p>
    <w:p>
      <w:pPr>
        <w:pStyle w:val="20"/>
        <w:ind w:left="420" w:firstLine="0" w:firstLineChars="0"/>
      </w:pPr>
      <w:r>
        <w:rPr>
          <w:rFonts w:hint="eastAsia"/>
        </w:rPr>
        <w:t>2包</w:t>
      </w:r>
    </w:p>
    <w:tbl>
      <w:tblPr>
        <w:tblStyle w:val="14"/>
        <w:tblW w:w="5528" w:type="dxa"/>
        <w:jc w:val="center"/>
        <w:tblLayout w:type="autofit"/>
        <w:tblCellMar>
          <w:top w:w="0" w:type="dxa"/>
          <w:left w:w="108" w:type="dxa"/>
          <w:bottom w:w="0" w:type="dxa"/>
          <w:right w:w="108" w:type="dxa"/>
        </w:tblCellMar>
      </w:tblPr>
      <w:tblGrid>
        <w:gridCol w:w="850"/>
        <w:gridCol w:w="2694"/>
        <w:gridCol w:w="1134"/>
        <w:gridCol w:w="850"/>
      </w:tblGrid>
      <w:tr>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序号</w:t>
            </w:r>
          </w:p>
        </w:tc>
        <w:tc>
          <w:tcPr>
            <w:tcW w:w="2694"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设备名称</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数量</w:t>
            </w:r>
          </w:p>
        </w:tc>
        <w:tc>
          <w:tcPr>
            <w:tcW w:w="85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单位</w:t>
            </w:r>
          </w:p>
        </w:tc>
      </w:tr>
      <w:tr>
        <w:tblPrEx>
          <w:tblCellMar>
            <w:top w:w="0" w:type="dxa"/>
            <w:left w:w="108" w:type="dxa"/>
            <w:bottom w:w="0" w:type="dxa"/>
            <w:right w:w="108" w:type="dxa"/>
          </w:tblCellMar>
        </w:tblPrEx>
        <w:trPr>
          <w:trHeight w:val="360" w:hRule="atLeast"/>
          <w:jc w:val="center"/>
        </w:trPr>
        <w:tc>
          <w:tcPr>
            <w:tcW w:w="85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2694"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70寸一体机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109</w:t>
            </w:r>
          </w:p>
        </w:tc>
        <w:tc>
          <w:tcPr>
            <w:tcW w:w="85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套</w:t>
            </w:r>
          </w:p>
        </w:tc>
      </w:tr>
      <w:tr>
        <w:tblPrEx>
          <w:tblCellMar>
            <w:top w:w="0" w:type="dxa"/>
            <w:left w:w="108" w:type="dxa"/>
            <w:bottom w:w="0" w:type="dxa"/>
            <w:right w:w="108" w:type="dxa"/>
          </w:tblCellMar>
        </w:tblPrEx>
        <w:trPr>
          <w:trHeight w:val="360" w:hRule="atLeast"/>
          <w:jc w:val="center"/>
        </w:trPr>
        <w:tc>
          <w:tcPr>
            <w:tcW w:w="85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2694"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OPS电脑</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109</w:t>
            </w:r>
          </w:p>
        </w:tc>
        <w:tc>
          <w:tcPr>
            <w:tcW w:w="85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360" w:hRule="atLeast"/>
          <w:jc w:val="center"/>
        </w:trPr>
        <w:tc>
          <w:tcPr>
            <w:tcW w:w="85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2694"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推拉黑板</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109</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套</w:t>
            </w:r>
          </w:p>
        </w:tc>
      </w:tr>
      <w:tr>
        <w:tblPrEx>
          <w:tblCellMar>
            <w:top w:w="0" w:type="dxa"/>
            <w:left w:w="108" w:type="dxa"/>
            <w:bottom w:w="0" w:type="dxa"/>
            <w:right w:w="108" w:type="dxa"/>
          </w:tblCellMar>
        </w:tblPrEx>
        <w:trPr>
          <w:trHeight w:val="360" w:hRule="atLeast"/>
          <w:jc w:val="center"/>
        </w:trPr>
        <w:tc>
          <w:tcPr>
            <w:tcW w:w="85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c>
          <w:tcPr>
            <w:tcW w:w="2694"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视频展台</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109</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r>
      <w:tr>
        <w:tblPrEx>
          <w:tblCellMar>
            <w:top w:w="0" w:type="dxa"/>
            <w:left w:w="108" w:type="dxa"/>
            <w:bottom w:w="0" w:type="dxa"/>
            <w:right w:w="108" w:type="dxa"/>
          </w:tblCellMar>
        </w:tblPrEx>
        <w:trPr>
          <w:trHeight w:val="360" w:hRule="atLeast"/>
          <w:jc w:val="center"/>
        </w:trPr>
        <w:tc>
          <w:tcPr>
            <w:tcW w:w="85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c>
          <w:tcPr>
            <w:tcW w:w="2694"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辅材</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批</w:t>
            </w:r>
          </w:p>
        </w:tc>
      </w:tr>
      <w:tr>
        <w:tblPrEx>
          <w:tblCellMar>
            <w:top w:w="0" w:type="dxa"/>
            <w:left w:w="108" w:type="dxa"/>
            <w:bottom w:w="0" w:type="dxa"/>
            <w:right w:w="108" w:type="dxa"/>
          </w:tblCellMar>
        </w:tblPrEx>
        <w:trPr>
          <w:trHeight w:val="360" w:hRule="atLeast"/>
          <w:jc w:val="center"/>
        </w:trPr>
        <w:tc>
          <w:tcPr>
            <w:tcW w:w="85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w:t>
            </w:r>
          </w:p>
        </w:tc>
        <w:tc>
          <w:tcPr>
            <w:tcW w:w="2694"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钢制讲台</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109</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r>
      <w:tr>
        <w:tblPrEx>
          <w:tblCellMar>
            <w:top w:w="0" w:type="dxa"/>
            <w:left w:w="108" w:type="dxa"/>
            <w:bottom w:w="0" w:type="dxa"/>
            <w:right w:w="108" w:type="dxa"/>
          </w:tblCellMar>
        </w:tblPrEx>
        <w:trPr>
          <w:trHeight w:val="360" w:hRule="atLeast"/>
          <w:jc w:val="center"/>
        </w:trPr>
        <w:tc>
          <w:tcPr>
            <w:tcW w:w="85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w:t>
            </w:r>
          </w:p>
        </w:tc>
        <w:tc>
          <w:tcPr>
            <w:tcW w:w="2694"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无线键盘鼠标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109</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套</w:t>
            </w:r>
          </w:p>
        </w:tc>
      </w:tr>
      <w:tr>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9</w:t>
            </w:r>
          </w:p>
        </w:tc>
        <w:tc>
          <w:tcPr>
            <w:tcW w:w="2694"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教学电脑</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r>
              <w:rPr>
                <w:rFonts w:cs="宋体" w:asciiTheme="minorEastAsia" w:hAnsiTheme="minorEastAsia"/>
                <w:color w:val="000000"/>
                <w:kern w:val="0"/>
                <w:sz w:val="24"/>
                <w:szCs w:val="24"/>
              </w:rPr>
              <w:t>1</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r>
      <w:tr>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w:t>
            </w:r>
          </w:p>
        </w:tc>
        <w:tc>
          <w:tcPr>
            <w:tcW w:w="2694"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激光多功能一体打印机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r>
    </w:tbl>
    <w:p>
      <w:r>
        <w:br w:type="page"/>
      </w:r>
    </w:p>
    <w:p>
      <w:pPr>
        <w:pStyle w:val="20"/>
        <w:ind w:left="420" w:firstLine="0" w:firstLineChars="0"/>
      </w:pPr>
    </w:p>
    <w:p>
      <w:pPr>
        <w:pStyle w:val="20"/>
        <w:numPr>
          <w:ilvl w:val="0"/>
          <w:numId w:val="36"/>
        </w:numPr>
        <w:ind w:left="704" w:firstLineChars="0"/>
        <w:rPr>
          <w:b/>
        </w:rPr>
      </w:pPr>
      <w:r>
        <w:rPr>
          <w:rFonts w:hint="eastAsia"/>
          <w:b/>
        </w:rPr>
        <w:t>设备功能</w:t>
      </w:r>
    </w:p>
    <w:p>
      <w:pPr>
        <w:pStyle w:val="20"/>
        <w:ind w:left="420" w:firstLine="0" w:firstLineChars="0"/>
        <w:rPr>
          <w:b/>
        </w:rPr>
      </w:pPr>
    </w:p>
    <w:tbl>
      <w:tblPr>
        <w:tblStyle w:val="14"/>
        <w:tblW w:w="969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3"/>
        <w:gridCol w:w="525"/>
        <w:gridCol w:w="81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jc w:val="center"/>
        </w:trPr>
        <w:tc>
          <w:tcPr>
            <w:tcW w:w="983" w:type="dxa"/>
            <w:vAlign w:val="center"/>
          </w:tcPr>
          <w:p>
            <w:pPr>
              <w:widowControl/>
              <w:rPr>
                <w:rFonts w:ascii="宋体" w:hAnsi="宋体" w:cs="宋体"/>
                <w:b/>
                <w:bCs/>
                <w:kern w:val="0"/>
                <w:szCs w:val="21"/>
              </w:rPr>
            </w:pPr>
            <w:r>
              <w:rPr>
                <w:rFonts w:hint="eastAsia" w:ascii="宋体" w:hAnsi="宋体" w:cs="宋体"/>
                <w:b/>
                <w:bCs/>
                <w:kern w:val="0"/>
                <w:szCs w:val="21"/>
              </w:rPr>
              <w:t>名称</w:t>
            </w:r>
          </w:p>
        </w:tc>
        <w:tc>
          <w:tcPr>
            <w:tcW w:w="8709"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技术参数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8" w:hRule="atLeast"/>
          <w:jc w:val="center"/>
        </w:trPr>
        <w:tc>
          <w:tcPr>
            <w:tcW w:w="983" w:type="dxa"/>
            <w:vAlign w:val="center"/>
          </w:tcPr>
          <w:p>
            <w:pPr>
              <w:widowControl/>
              <w:spacing w:line="360" w:lineRule="auto"/>
              <w:jc w:val="center"/>
              <w:rPr>
                <w:rFonts w:ascii="宋体" w:hAnsi="宋体" w:cs="宋体"/>
                <w:kern w:val="0"/>
                <w:szCs w:val="21"/>
              </w:rPr>
            </w:pPr>
            <w:r>
              <w:rPr>
                <w:rFonts w:hint="eastAsia" w:ascii="宋体" w:hAnsi="宋体"/>
                <w:b/>
                <w:bCs/>
                <w:szCs w:val="21"/>
              </w:rPr>
              <w:t>教学触控一体机</w:t>
            </w:r>
          </w:p>
        </w:tc>
        <w:tc>
          <w:tcPr>
            <w:tcW w:w="8709" w:type="dxa"/>
            <w:gridSpan w:val="2"/>
            <w:vAlign w:val="center"/>
          </w:tcPr>
          <w:p>
            <w:pPr>
              <w:spacing w:line="360" w:lineRule="auto"/>
              <w:ind w:firstLine="210"/>
              <w:rPr>
                <w:rFonts w:ascii="宋体" w:hAnsi="宋体" w:cs="宋体"/>
                <w:b/>
                <w:bCs/>
                <w:szCs w:val="21"/>
              </w:rPr>
            </w:pPr>
            <w:r>
              <w:rPr>
                <w:rFonts w:hint="eastAsia" w:ascii="宋体" w:hAnsi="宋体" w:cs="宋体"/>
                <w:b/>
                <w:bCs/>
                <w:szCs w:val="21"/>
              </w:rPr>
              <w:t>一、硬件部分</w:t>
            </w:r>
          </w:p>
          <w:p>
            <w:pPr>
              <w:widowControl/>
              <w:spacing w:line="360" w:lineRule="auto"/>
              <w:ind w:firstLine="210"/>
              <w:jc w:val="left"/>
              <w:rPr>
                <w:rFonts w:ascii="宋体" w:hAnsi="宋体" w:cs="宋体"/>
                <w:kern w:val="0"/>
                <w:szCs w:val="21"/>
              </w:rPr>
            </w:pPr>
            <w:r>
              <w:rPr>
                <w:rFonts w:hint="eastAsia" w:ascii="宋体" w:hAnsi="宋体" w:cs="宋体"/>
                <w:kern w:val="0"/>
                <w:szCs w:val="21"/>
              </w:rPr>
              <w:t>1、</w:t>
            </w:r>
            <w:r>
              <w:rPr>
                <w:rFonts w:hint="eastAsia" w:ascii="宋体" w:hAnsi="宋体" w:cs="宋体"/>
                <w:szCs w:val="21"/>
              </w:rPr>
              <w:t>★</w:t>
            </w:r>
            <w:r>
              <w:rPr>
                <w:rFonts w:ascii="宋体" w:hAnsi="宋体" w:cs="宋体"/>
                <w:kern w:val="0"/>
                <w:szCs w:val="21"/>
              </w:rPr>
              <w:t>整机采用一体设计，</w:t>
            </w:r>
            <w:r>
              <w:rPr>
                <w:rFonts w:hint="eastAsia" w:ascii="宋体" w:hAnsi="宋体" w:cs="宋体"/>
                <w:color w:val="000000"/>
                <w:szCs w:val="21"/>
              </w:rPr>
              <w:t>屏体采用全贴合技术，LED 屏和钢化玻璃之间无间隙，书写时无隔空感、可规避屏体起水雾问题。</w:t>
            </w:r>
            <w:r>
              <w:rPr>
                <w:rFonts w:ascii="宋体" w:hAnsi="宋体" w:cs="宋体"/>
                <w:kern w:val="0"/>
                <w:szCs w:val="21"/>
              </w:rPr>
              <w:t>整机屏幕采用</w:t>
            </w:r>
            <w:r>
              <w:rPr>
                <w:rFonts w:hint="eastAsia"/>
                <w:szCs w:val="21"/>
              </w:rPr>
              <w:t>≥</w:t>
            </w:r>
            <w:r>
              <w:rPr>
                <w:szCs w:val="21"/>
              </w:rPr>
              <w:t>7</w:t>
            </w:r>
            <w:r>
              <w:rPr>
                <w:rFonts w:hint="eastAsia"/>
                <w:szCs w:val="21"/>
              </w:rPr>
              <w:t>0</w:t>
            </w:r>
            <w:r>
              <w:rPr>
                <w:rFonts w:ascii="宋体" w:hAnsi="宋体" w:cs="宋体"/>
                <w:kern w:val="0"/>
                <w:szCs w:val="21"/>
              </w:rPr>
              <w:t>英寸超高清液晶屏，显示比例16:9，屏幕图像分辨率3840*2160，具备防眩光效果</w:t>
            </w:r>
            <w:r>
              <w:rPr>
                <w:rFonts w:hint="eastAsia" w:ascii="宋体" w:hAnsi="宋体" w:cs="宋体"/>
                <w:kern w:val="0"/>
                <w:szCs w:val="21"/>
              </w:rPr>
              <w:t>；</w:t>
            </w:r>
          </w:p>
          <w:p>
            <w:pPr>
              <w:widowControl/>
              <w:spacing w:line="360" w:lineRule="auto"/>
              <w:ind w:firstLine="210"/>
              <w:jc w:val="left"/>
              <w:rPr>
                <w:rFonts w:ascii="宋体" w:hAnsi="宋体" w:cs="宋体"/>
                <w:kern w:val="0"/>
                <w:szCs w:val="21"/>
              </w:rPr>
            </w:pPr>
            <w:r>
              <w:rPr>
                <w:rFonts w:hint="eastAsia" w:ascii="宋体" w:hAnsi="宋体" w:cs="宋体"/>
                <w:kern w:val="0"/>
                <w:szCs w:val="21"/>
              </w:rPr>
              <w:t>2、为方便老师教学使用，前置输入接口具备≥3路USB3.0双通道、1*Type-C、1*Touch USB、1*HDMI接口。</w:t>
            </w:r>
          </w:p>
          <w:p>
            <w:pPr>
              <w:widowControl/>
              <w:spacing w:line="360" w:lineRule="auto"/>
              <w:ind w:firstLine="210"/>
              <w:jc w:val="left"/>
              <w:rPr>
                <w:rFonts w:ascii="宋体" w:hAnsi="宋体" w:cs="宋体"/>
                <w:kern w:val="0"/>
                <w:szCs w:val="21"/>
              </w:rPr>
            </w:pPr>
            <w:r>
              <w:rPr>
                <w:rFonts w:hint="eastAsia" w:ascii="宋体" w:hAnsi="宋体" w:cs="宋体"/>
                <w:kern w:val="0"/>
                <w:szCs w:val="21"/>
              </w:rPr>
              <w:t>3、为适应不同场景下的实用需求，整机能感应并自动调节屏幕亮度来达到在不同光照环境下的不同亮度显示效果，此功能可自行开启或关闭。</w:t>
            </w:r>
          </w:p>
          <w:p>
            <w:pPr>
              <w:widowControl/>
              <w:spacing w:line="360" w:lineRule="auto"/>
              <w:ind w:firstLine="210"/>
              <w:jc w:val="left"/>
              <w:rPr>
                <w:rFonts w:ascii="宋体" w:hAnsi="宋体" w:cs="宋体"/>
                <w:kern w:val="0"/>
                <w:szCs w:val="21"/>
              </w:rPr>
            </w:pPr>
            <w:r>
              <w:rPr>
                <w:rFonts w:hint="eastAsia" w:ascii="宋体" w:hAnsi="宋体" w:cs="宋体"/>
                <w:kern w:val="0"/>
                <w:szCs w:val="21"/>
              </w:rPr>
              <w:t>4、为保障视听效果，整机内置2.1声道音响，≥15W中高音扬声器2个。</w:t>
            </w:r>
          </w:p>
          <w:p>
            <w:pPr>
              <w:widowControl/>
              <w:spacing w:line="360" w:lineRule="auto"/>
              <w:ind w:firstLine="210"/>
              <w:jc w:val="left"/>
              <w:rPr>
                <w:rFonts w:ascii="宋体" w:hAnsi="宋体" w:cs="宋体"/>
                <w:kern w:val="0"/>
                <w:szCs w:val="21"/>
              </w:rPr>
            </w:pPr>
            <w:r>
              <w:rPr>
                <w:rFonts w:hint="eastAsia" w:ascii="宋体" w:hAnsi="宋体" w:cs="宋体"/>
                <w:kern w:val="0"/>
                <w:szCs w:val="21"/>
              </w:rPr>
              <w:t>5、为保障屏幕显示效果，整机屏幕彩色制式支持：PAL/SECAM/NTSC</w:t>
            </w:r>
          </w:p>
          <w:p>
            <w:pPr>
              <w:widowControl/>
              <w:spacing w:line="360" w:lineRule="auto"/>
              <w:ind w:firstLine="210"/>
              <w:jc w:val="left"/>
              <w:rPr>
                <w:rFonts w:ascii="宋体" w:hAnsi="宋体" w:cs="宋体"/>
                <w:szCs w:val="21"/>
              </w:rPr>
            </w:pPr>
            <w:r>
              <w:rPr>
                <w:rFonts w:ascii="宋体" w:hAnsi="宋体" w:cs="宋体"/>
                <w:szCs w:val="21"/>
              </w:rPr>
              <w:t>6</w:t>
            </w:r>
            <w:r>
              <w:rPr>
                <w:rFonts w:hint="eastAsia" w:ascii="宋体" w:hAnsi="宋体" w:cs="宋体"/>
                <w:szCs w:val="21"/>
              </w:rPr>
              <w:t>、内置摄像头及麦克风：摄像头支持1920*1080P高清画质，有效像素≥200 万，模块化设计，无缝拼接，与一体机完美融合，摄像头支持角度调整，可水平调整至-15°，水平视角≥100°，支持白平衡、数字降噪、背光补偿等功能；同时集成拾音 MIC，拾音距离可达 5 米，可一键启动录屏功能，将屏幕中显示的课件、音频内容与人声同时录制。</w:t>
            </w:r>
          </w:p>
          <w:p>
            <w:pPr>
              <w:widowControl/>
              <w:spacing w:line="360" w:lineRule="auto"/>
              <w:ind w:firstLine="210"/>
              <w:jc w:val="left"/>
              <w:rPr>
                <w:rFonts w:ascii="宋体" w:hAnsi="宋体" w:cs="宋体"/>
                <w:szCs w:val="21"/>
              </w:rPr>
            </w:pPr>
            <w:r>
              <w:rPr>
                <w:rFonts w:hint="eastAsia" w:ascii="宋体" w:hAnsi="宋体" w:cs="宋体"/>
                <w:szCs w:val="21"/>
              </w:rPr>
              <w:t>7、前置笔槽设计：自带红外书写笔吸附区域，可将书写笔吸附于槽内，方便用户放置书写笔，提高使用的便捷性。</w:t>
            </w:r>
          </w:p>
          <w:p>
            <w:pPr>
              <w:widowControl/>
              <w:spacing w:line="360" w:lineRule="auto"/>
              <w:ind w:firstLine="210"/>
              <w:jc w:val="left"/>
              <w:rPr>
                <w:rFonts w:ascii="宋体" w:hAnsi="宋体" w:cs="宋体"/>
                <w:szCs w:val="21"/>
              </w:rPr>
            </w:pPr>
            <w:r>
              <w:rPr>
                <w:rFonts w:hint="eastAsia" w:ascii="宋体" w:hAnsi="宋体" w:cs="宋体"/>
                <w:szCs w:val="21"/>
              </w:rPr>
              <w:t>8、</w:t>
            </w:r>
            <w:r>
              <w:rPr>
                <w:rFonts w:hint="eastAsia" w:ascii="宋体" w:hAnsi="宋体" w:cs="宋体"/>
                <w:color w:val="000000"/>
                <w:szCs w:val="21"/>
              </w:rPr>
              <w:t>前置按键：前面板具有安卓、音量、频道、电源、菜单等功能物理按键，支持一键开机/关机</w:t>
            </w:r>
            <w:r>
              <w:rPr>
                <w:szCs w:val="21"/>
              </w:rPr>
              <w:t>。</w:t>
            </w:r>
          </w:p>
          <w:p>
            <w:pPr>
              <w:widowControl/>
              <w:spacing w:line="360" w:lineRule="auto"/>
              <w:ind w:firstLine="210"/>
              <w:jc w:val="left"/>
              <w:rPr>
                <w:rFonts w:ascii="宋体" w:hAnsi="宋体" w:cs="宋体"/>
                <w:szCs w:val="21"/>
              </w:rPr>
            </w:pPr>
            <w:r>
              <w:rPr>
                <w:rFonts w:hint="eastAsia" w:ascii="宋体" w:hAnsi="宋体" w:cs="宋体"/>
                <w:szCs w:val="21"/>
              </w:rPr>
              <w:t>9、</w:t>
            </w:r>
            <w:r>
              <w:rPr>
                <w:rFonts w:hint="eastAsia" w:ascii="宋体" w:hAnsi="宋体" w:cs="宋体"/>
                <w:color w:val="000000"/>
                <w:szCs w:val="21"/>
              </w:rPr>
              <w:t>交互平板具备前置一键物理还原按键，且配有中/英文文字提示，不需要专业人员即可轻松解决电脑系统故障；在PC系统出现异常或需要清除PC数据时，可在嵌入式系统中对PC进行一键还原、恢复至出厂状态</w:t>
            </w:r>
            <w:r>
              <w:rPr>
                <w:rFonts w:hint="eastAsia" w:ascii="宋体" w:hAnsi="宋体" w:cs="宋体"/>
                <w:szCs w:val="21"/>
              </w:rPr>
              <w:t>。</w:t>
            </w:r>
          </w:p>
          <w:p>
            <w:pPr>
              <w:widowControl/>
              <w:spacing w:line="360" w:lineRule="auto"/>
              <w:ind w:firstLine="210"/>
              <w:jc w:val="left"/>
              <w:rPr>
                <w:rFonts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w:t>
            </w:r>
            <w:r>
              <w:rPr>
                <w:rFonts w:hint="eastAsia" w:ascii="宋体" w:hAnsi="宋体" w:cs="宋体"/>
                <w:color w:val="000000"/>
                <w:szCs w:val="21"/>
              </w:rPr>
              <w:t>红外框防光干扰：在触摸屏的各个角度用白炽灯发射200K LUX光强度的光进行干扰，然后进行正常书写功能测试灯与屏的垂直距离为 1M，此种情况下设备可正常工作</w:t>
            </w:r>
            <w:r>
              <w:rPr>
                <w:rFonts w:hint="eastAsia" w:ascii="宋体" w:hAnsi="宋体" w:cs="宋体"/>
                <w:szCs w:val="21"/>
              </w:rPr>
              <w:t>。</w:t>
            </w:r>
          </w:p>
          <w:p>
            <w:pPr>
              <w:widowControl/>
              <w:spacing w:line="360" w:lineRule="auto"/>
              <w:ind w:firstLine="210"/>
              <w:jc w:val="left"/>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、为保障网络环境稳定，Wi-Fi和AP热点均支持双频2.4G &amp; 5G ，满足IEEE 802.11 a/b/g/n/ac标准。</w:t>
            </w:r>
          </w:p>
          <w:p>
            <w:pPr>
              <w:widowControl/>
              <w:spacing w:line="360" w:lineRule="auto"/>
              <w:ind w:firstLine="210"/>
              <w:jc w:val="left"/>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、智能光功能：整机能感应并自动调节屏幕亮度来达到在不同光照环境下的最佳显示效果。</w:t>
            </w:r>
          </w:p>
          <w:p>
            <w:pPr>
              <w:widowControl/>
              <w:spacing w:line="360" w:lineRule="auto"/>
              <w:ind w:firstLine="210"/>
              <w:jc w:val="left"/>
              <w:rPr>
                <w:rFonts w:ascii="宋体" w:hAnsi="宋体" w:cs="宋体"/>
                <w:color w:val="000000"/>
                <w:szCs w:val="21"/>
              </w:rPr>
            </w:pPr>
            <w:r>
              <w:rPr>
                <w:rFonts w:hint="eastAsia" w:ascii="宋体" w:hAnsi="宋体" w:cs="宋体"/>
                <w:szCs w:val="21"/>
              </w:rPr>
              <w:t>13、</w:t>
            </w:r>
            <w:r>
              <w:rPr>
                <w:rFonts w:hint="eastAsia" w:ascii="宋体" w:hAnsi="宋体" w:cs="宋体"/>
                <w:color w:val="000000"/>
                <w:szCs w:val="21"/>
              </w:rPr>
              <w:t>接口要求：输入接口：TV RF *1、HDMI*2、AV IN*1、YPbPr*1、VGA*1、TouchUSB*1、TV USB*1、RJ45*1、RS232*1、WIFI*1;输出接口：耳机*1、SPDIF *1；</w:t>
            </w:r>
          </w:p>
          <w:p>
            <w:pPr>
              <w:widowControl/>
              <w:spacing w:line="360" w:lineRule="auto"/>
              <w:ind w:firstLine="210"/>
              <w:jc w:val="lef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w:t>
            </w:r>
            <w:r>
              <w:rPr>
                <w:rFonts w:hint="eastAsia" w:ascii="宋体" w:hAnsi="宋体" w:cs="宋体"/>
                <w:color w:val="000000"/>
                <w:szCs w:val="21"/>
              </w:rPr>
              <w:t>、</w:t>
            </w:r>
            <w:r>
              <w:rPr>
                <w:rFonts w:ascii="宋体" w:hAnsi="宋体" w:cs="宋体"/>
                <w:color w:val="000000"/>
                <w:szCs w:val="21"/>
              </w:rPr>
              <w:t>为保障师生视力健康，整机视网膜蓝光危害（蓝光加权辐射亮度LB）符合IEC62471标准，LB限值范围≤0.55。</w:t>
            </w:r>
            <w:r>
              <w:rPr>
                <w:rFonts w:hint="eastAsia" w:ascii="宋体" w:hAnsi="宋体" w:cs="宋体"/>
                <w:color w:val="000000"/>
                <w:szCs w:val="21"/>
              </w:rPr>
              <w:t>（提供具有CNAS标识的检测报告复印件加盖制造商公章证明）；</w:t>
            </w:r>
          </w:p>
          <w:p>
            <w:pPr>
              <w:widowControl/>
              <w:spacing w:line="360" w:lineRule="auto"/>
              <w:ind w:firstLine="210"/>
              <w:jc w:val="left"/>
              <w:rPr>
                <w:rFonts w:ascii="宋体" w:hAnsi="宋体" w:cs="宋体"/>
                <w:color w:val="000000"/>
                <w:szCs w:val="21"/>
              </w:rPr>
            </w:pPr>
          </w:p>
          <w:p>
            <w:pPr>
              <w:widowControl/>
              <w:spacing w:line="360" w:lineRule="auto"/>
              <w:ind w:firstLine="210"/>
              <w:jc w:val="left"/>
              <w:rPr>
                <w:rFonts w:ascii="宋体" w:hAnsi="宋体" w:cs="宋体"/>
                <w:color w:val="000000"/>
                <w:szCs w:val="21"/>
              </w:rPr>
            </w:pPr>
            <w:r>
              <w:rPr>
                <w:rFonts w:hint="eastAsia" w:ascii="宋体" w:hAnsi="宋体" w:cs="宋体"/>
                <w:b/>
                <w:bCs/>
                <w:szCs w:val="21"/>
              </w:rPr>
              <w:t xml:space="preserve"> （以上技术参数为硬件设备重要性能参数，必须提供权威检测机构所出具的检测报告盖章扫描件，并加盖投标人公章方可有效。）</w:t>
            </w:r>
          </w:p>
          <w:p>
            <w:pPr>
              <w:numPr>
                <w:ilvl w:val="0"/>
                <w:numId w:val="37"/>
              </w:numPr>
              <w:spacing w:line="360" w:lineRule="auto"/>
              <w:ind w:firstLine="210" w:firstLineChars="100"/>
              <w:rPr>
                <w:rFonts w:ascii="宋体" w:hAnsi="宋体" w:cs="宋体"/>
                <w:b/>
                <w:bCs/>
                <w:szCs w:val="21"/>
              </w:rPr>
            </w:pPr>
            <w:r>
              <w:rPr>
                <w:rFonts w:hint="eastAsia" w:ascii="宋体" w:hAnsi="宋体" w:cs="宋体"/>
                <w:b/>
                <w:bCs/>
                <w:szCs w:val="21"/>
              </w:rPr>
              <w:t>操作系统</w:t>
            </w:r>
          </w:p>
          <w:p>
            <w:pPr>
              <w:spacing w:line="360" w:lineRule="auto"/>
              <w:ind w:firstLine="210" w:firstLineChars="100"/>
              <w:rPr>
                <w:rFonts w:ascii="宋体" w:hAnsi="宋体" w:cs="宋体"/>
                <w:szCs w:val="21"/>
              </w:rPr>
            </w:pPr>
            <w:r>
              <w:rPr>
                <w:rFonts w:hint="eastAsia" w:ascii="宋体" w:hAnsi="宋体" w:cs="宋体"/>
                <w:szCs w:val="21"/>
              </w:rPr>
              <w:t>1、安卓系统及配置：安卓系统版本6.0或以上； RAM 2G，ROM 32G 。</w:t>
            </w:r>
          </w:p>
          <w:p>
            <w:pPr>
              <w:spacing w:line="360" w:lineRule="auto"/>
              <w:ind w:firstLine="210" w:firstLineChars="100"/>
              <w:rPr>
                <w:rFonts w:ascii="宋体" w:hAnsi="宋体" w:cs="宋体"/>
                <w:szCs w:val="21"/>
              </w:rPr>
            </w:pPr>
            <w:r>
              <w:rPr>
                <w:rFonts w:hint="eastAsia" w:ascii="宋体" w:hAnsi="宋体" w:cs="宋体"/>
                <w:szCs w:val="21"/>
              </w:rPr>
              <w:t>2、前面板具有安卓系统的物理按键，方便安卓、windows 系统切换；</w:t>
            </w:r>
          </w:p>
          <w:p>
            <w:pPr>
              <w:spacing w:line="360" w:lineRule="auto"/>
              <w:ind w:firstLine="210" w:firstLineChars="100"/>
              <w:rPr>
                <w:rFonts w:ascii="宋体" w:hAnsi="宋体" w:cs="宋体"/>
                <w:szCs w:val="21"/>
              </w:rPr>
            </w:pPr>
            <w:r>
              <w:rPr>
                <w:rFonts w:hint="eastAsia" w:ascii="宋体" w:hAnsi="宋体" w:cs="宋体"/>
                <w:szCs w:val="21"/>
              </w:rPr>
              <w:t>3、★无线传屏：支持Android /IOS/Widows设备无线投射到液晶屏幕上。支持四分屏显示，安卓系统在无线投屏功能下支持 4 路 HDMI 信号 4 分屏显示；</w:t>
            </w:r>
          </w:p>
          <w:p>
            <w:pPr>
              <w:spacing w:line="360" w:lineRule="auto"/>
              <w:ind w:firstLine="210" w:firstLineChars="100"/>
              <w:rPr>
                <w:rFonts w:ascii="宋体" w:hAnsi="宋体" w:cs="宋体"/>
                <w:szCs w:val="21"/>
              </w:rPr>
            </w:pPr>
            <w:r>
              <w:rPr>
                <w:rFonts w:hint="eastAsia" w:ascii="宋体" w:hAnsi="宋体" w:cs="宋体"/>
                <w:szCs w:val="21"/>
              </w:rPr>
              <w:t>4、★支持多屏互动功能：支持2分屏、3分屏等多种分屏模式，分屏状态下可选择不同颜色笔进行板书，也可以一边书写，一边擦除；</w:t>
            </w:r>
          </w:p>
          <w:p>
            <w:pPr>
              <w:spacing w:line="360" w:lineRule="auto"/>
              <w:ind w:firstLine="210" w:firstLineChars="100"/>
              <w:rPr>
                <w:rFonts w:ascii="宋体" w:hAnsi="宋体" w:cs="宋体"/>
                <w:szCs w:val="21"/>
              </w:rPr>
            </w:pPr>
            <w:r>
              <w:rPr>
                <w:rFonts w:hint="eastAsia" w:ascii="宋体" w:hAnsi="宋体" w:cs="宋体"/>
                <w:szCs w:val="21"/>
              </w:rPr>
              <w:t>5、文件分类：对 TV多媒体 USB 所读取到的课件文件进行自动归类，包括文档、音乐、视频、图片、应用，检索后可直接在界面中打开；</w:t>
            </w:r>
          </w:p>
          <w:p>
            <w:pPr>
              <w:spacing w:line="360" w:lineRule="auto"/>
              <w:ind w:firstLine="280"/>
              <w:rPr>
                <w:rFonts w:ascii="宋体" w:hAnsi="宋体" w:cs="宋体"/>
                <w:szCs w:val="21"/>
              </w:rPr>
            </w:pPr>
            <w:r>
              <w:rPr>
                <w:rFonts w:hint="eastAsia" w:ascii="宋体" w:hAnsi="宋体" w:cs="宋体"/>
                <w:szCs w:val="21"/>
              </w:rPr>
              <w:t>6、硬件自检：支持硬件功能自动检测功能，对PC模块，网络状态、CPU温度、光感系统、触摸屏状态等功能模块进行检测并提示故障。</w:t>
            </w:r>
          </w:p>
          <w:p>
            <w:pPr>
              <w:spacing w:line="360" w:lineRule="auto"/>
              <w:ind w:firstLine="210" w:firstLineChars="100"/>
              <w:rPr>
                <w:rFonts w:ascii="宋体" w:hAnsi="宋体" w:cs="宋体"/>
                <w:szCs w:val="21"/>
              </w:rPr>
            </w:pPr>
            <w:r>
              <w:rPr>
                <w:rFonts w:hint="eastAsia" w:ascii="宋体" w:hAnsi="宋体" w:cs="宋体"/>
                <w:b/>
                <w:bCs/>
                <w:szCs w:val="21"/>
              </w:rPr>
              <w:t>（以上技术参数为硬件设备重要性能参数，必须提供权威检测机构所出具的检测报告盖章扫描件，并加盖投标人公章方可有效。）</w:t>
            </w:r>
          </w:p>
          <w:p>
            <w:pPr>
              <w:spacing w:line="360" w:lineRule="auto"/>
              <w:ind w:firstLine="210" w:firstLineChars="100"/>
              <w:rPr>
                <w:rFonts w:ascii="宋体" w:hAnsi="宋体" w:cs="宋体"/>
                <w:b/>
                <w:bCs/>
                <w:szCs w:val="21"/>
              </w:rPr>
            </w:pPr>
            <w:r>
              <w:rPr>
                <w:rFonts w:hint="eastAsia" w:ascii="宋体" w:hAnsi="宋体" w:cs="宋体"/>
                <w:b/>
                <w:bCs/>
                <w:szCs w:val="21"/>
              </w:rPr>
              <w:t>三、教学应用软件（本部分用于“评审因素及评分标准”中的“教学应用软件演示”评分，不纳入“符合性”审查扣分）</w:t>
            </w:r>
          </w:p>
          <w:p>
            <w:pPr>
              <w:spacing w:line="360" w:lineRule="auto"/>
              <w:ind w:firstLine="210" w:firstLineChars="100"/>
              <w:rPr>
                <w:rFonts w:ascii="宋体" w:hAnsi="宋体" w:cs="宋体"/>
                <w:szCs w:val="21"/>
              </w:rPr>
            </w:pPr>
            <w:r>
              <w:rPr>
                <w:rFonts w:hint="eastAsia" w:ascii="宋体" w:hAnsi="宋体" w:cs="宋体"/>
                <w:szCs w:val="21"/>
              </w:rPr>
              <w:t>1、一键切换，保留操作背景：可以一键切换书写和鼠标的两种状态，切换为书写状态时，保留用户原来操作的背景，不是新建一个页面。教师可快速对当前页面进行批注。</w:t>
            </w:r>
            <w:r>
              <w:rPr>
                <w:rFonts w:hint="eastAsia" w:cs="宋体"/>
                <w:color w:val="FF0000"/>
                <w:szCs w:val="21"/>
              </w:rPr>
              <w:t>(演示并提供对应功能的检测报告)</w:t>
            </w:r>
          </w:p>
          <w:p>
            <w:pPr>
              <w:spacing w:line="360" w:lineRule="auto"/>
              <w:ind w:firstLine="210" w:firstLineChars="100"/>
              <w:rPr>
                <w:rFonts w:ascii="宋体" w:hAnsi="宋体" w:cs="宋体"/>
                <w:szCs w:val="21"/>
              </w:rPr>
            </w:pPr>
            <w:r>
              <w:rPr>
                <w:rFonts w:hint="eastAsia" w:ascii="宋体" w:hAnsi="宋体" w:cs="宋体"/>
                <w:szCs w:val="21"/>
              </w:rPr>
              <w:t>2、页面扩展和漫游功能：白板软件支持包括手指左右滑动翻页、拖拽页面可实现扩展和漫游，手指变手掌可以擦除、两指手势可以对绘制的几何图形进行放大、缩小和旋转，手指甩动可以甩出图片等。</w:t>
            </w:r>
          </w:p>
          <w:p>
            <w:pPr>
              <w:spacing w:line="360" w:lineRule="auto"/>
              <w:ind w:firstLine="210" w:firstLineChars="100"/>
              <w:rPr>
                <w:rFonts w:ascii="宋体" w:hAnsi="宋体" w:cs="宋体"/>
                <w:szCs w:val="21"/>
              </w:rPr>
            </w:pPr>
            <w:r>
              <w:rPr>
                <w:rFonts w:hint="eastAsia" w:ascii="宋体" w:hAnsi="宋体" w:cs="宋体"/>
                <w:szCs w:val="21"/>
              </w:rPr>
              <w:t>3、书写标注功能：提供至少包括普通笔、工具笔、荧光笔、强调笔、毛笔、排笔、钢笔、纹理笔、竹笔在内10种笔，毛笔字的书写要求具有笔锋，工具笔除了可书写外，还可以实现探照灯、放大镜功能；强调笔闪烁后消失。</w:t>
            </w:r>
          </w:p>
          <w:p>
            <w:pPr>
              <w:spacing w:line="360" w:lineRule="auto"/>
              <w:ind w:firstLine="210" w:firstLineChars="100"/>
              <w:rPr>
                <w:rFonts w:ascii="宋体" w:hAnsi="宋体" w:cs="宋体"/>
                <w:szCs w:val="21"/>
              </w:rPr>
            </w:pPr>
            <w:r>
              <w:rPr>
                <w:rFonts w:hint="eastAsia" w:ascii="宋体" w:hAnsi="宋体" w:cs="宋体"/>
                <w:szCs w:val="21"/>
              </w:rPr>
              <w:t>4、图形绘制和填充：可以绘制包含矩形、椭圆形、圆形、平行四边形、梯形、三角形、角和弧线等9种常用图形；绘制的图形都可以实现大小调整、旋转、删除、锁定、复制、切片、图层调整、镜像、克隆、导出等功能；能对绘图的几何图形的内封闭区域进行颜色填充。</w:t>
            </w:r>
          </w:p>
          <w:p>
            <w:pPr>
              <w:spacing w:line="360" w:lineRule="auto"/>
              <w:ind w:firstLine="210" w:firstLineChars="100"/>
              <w:rPr>
                <w:rFonts w:ascii="宋体" w:hAnsi="宋体" w:cs="宋体"/>
                <w:szCs w:val="21"/>
              </w:rPr>
            </w:pPr>
            <w:r>
              <w:rPr>
                <w:rFonts w:hint="eastAsia" w:ascii="宋体" w:hAnsi="宋体" w:cs="宋体"/>
                <w:szCs w:val="21"/>
              </w:rPr>
              <w:t>5、手写识别及汉字教学功能：为方便教师展开汉字教学，教师可以在白板任意空白位置上（不需要老师事先拉出田字格等特殊背景）手写一个汉字，系统可以自动识别为正规文本。老师可以马上点击进入对该汉字进行学习，要求汉字学习具备偏旁部首说明、多音字拼读、笔顺描述和组词功能，并具备汉字的描红功能，要求软件可以模拟汉字的真实描红，能根据用户书写笔顺是否正确显示或不显示描红笔划。汉字教学提供按拼音首字母归类，例如屏幕上显示该字母下100或以上汉字，任意选取一个汉字可实现上述汉字学习功能，并支持关键字搜索。</w:t>
            </w:r>
            <w:r>
              <w:rPr>
                <w:rFonts w:hint="eastAsia" w:cs="宋体"/>
                <w:color w:val="FF0000"/>
                <w:szCs w:val="21"/>
              </w:rPr>
              <w:t>(演示并提供对应功能的检测报告)</w:t>
            </w:r>
          </w:p>
          <w:p>
            <w:pPr>
              <w:spacing w:line="360" w:lineRule="auto"/>
              <w:ind w:firstLine="210" w:firstLineChars="100"/>
              <w:rPr>
                <w:rFonts w:ascii="宋体" w:hAnsi="宋体" w:cs="宋体"/>
                <w:szCs w:val="21"/>
              </w:rPr>
            </w:pPr>
            <w:r>
              <w:rPr>
                <w:rFonts w:hint="eastAsia" w:ascii="宋体" w:hAnsi="宋体" w:cs="宋体"/>
                <w:szCs w:val="21"/>
              </w:rPr>
              <w:t>6、对象回放：在白板软件页面上，创建至少2个以上的可见对象，任意选择其中一个对象，对该对象进行移动、拉伸等操作，可自定义回放该对象在某个时间段的运动轨迹，回放中不会出现其他对象，方便突出教学重点或进行教学对比。</w:t>
            </w:r>
            <w:r>
              <w:rPr>
                <w:rFonts w:hint="eastAsia" w:cs="宋体"/>
                <w:color w:val="FF0000"/>
                <w:szCs w:val="21"/>
              </w:rPr>
              <w:t>(演示并提供对应功能的检测报告)</w:t>
            </w:r>
          </w:p>
          <w:p>
            <w:pPr>
              <w:spacing w:line="360" w:lineRule="auto"/>
              <w:ind w:firstLine="210" w:firstLineChars="100"/>
              <w:rPr>
                <w:rFonts w:ascii="宋体" w:hAnsi="宋体" w:cs="宋体"/>
                <w:szCs w:val="21"/>
              </w:rPr>
            </w:pPr>
            <w:r>
              <w:rPr>
                <w:rFonts w:hint="eastAsia" w:ascii="宋体" w:hAnsi="宋体" w:cs="宋体"/>
                <w:szCs w:val="21"/>
              </w:rPr>
              <w:t>7、课件背景设置：提供常用白、绿、黑颜色背景、提供至少15种常用作业本背景模板；并支持自定义背景颜色、背景图片，可设置默认页面背景，自定义的背景图片设为默认背景可保存在白板软件里，方便调用，适用于各种教学场景。</w:t>
            </w:r>
          </w:p>
          <w:p>
            <w:pPr>
              <w:spacing w:line="360" w:lineRule="auto"/>
              <w:ind w:firstLine="210" w:firstLineChars="100"/>
              <w:rPr>
                <w:rFonts w:ascii="宋体" w:hAnsi="宋体" w:cs="宋体"/>
                <w:szCs w:val="21"/>
              </w:rPr>
            </w:pPr>
            <w:r>
              <w:rPr>
                <w:rFonts w:hint="eastAsia" w:ascii="宋体" w:hAnsi="宋体" w:cs="宋体"/>
                <w:szCs w:val="21"/>
              </w:rPr>
              <w:t>8、调用教学应用：软件提供的教学应用应至少包括：学科工具、资源、实验、题库、思维导图、课堂游戏、VR全景及其他可自定义嵌入的应用。每种教学应用都提供文字和图标标识，通过标签页面和主页图标均可切换不同种类教学应用。提供右键把应用插入到白板软件的功能。</w:t>
            </w:r>
            <w:r>
              <w:rPr>
                <w:rFonts w:hint="eastAsia" w:cs="宋体"/>
                <w:color w:val="FF0000"/>
                <w:szCs w:val="21"/>
              </w:rPr>
              <w:t>(演示并提供对应功能的检测报告)</w:t>
            </w:r>
          </w:p>
          <w:p>
            <w:pPr>
              <w:spacing w:line="360" w:lineRule="auto"/>
              <w:ind w:firstLine="210" w:firstLineChars="100"/>
              <w:rPr>
                <w:rFonts w:ascii="宋体" w:hAnsi="宋体" w:cs="宋体"/>
                <w:szCs w:val="21"/>
              </w:rPr>
            </w:pPr>
            <w:r>
              <w:rPr>
                <w:rFonts w:hint="eastAsia" w:ascii="宋体" w:hAnsi="宋体" w:cs="宋体"/>
                <w:szCs w:val="21"/>
              </w:rPr>
              <w:t>9教学辅助工具：至少有70种以上的教学展示辅助工具，并提供工具名称清单列表。常用工具：包括屏幕幕布、浏览器、软键盘、计时器、探照灯、屏幕截图、屏幕录制、放大镜、手写输入、摄像头/展台、计算器、图片工具、魔术贴纸、VR全景图、转盘、屏幕锁定、三角板（双游标）、直尺（双游标）、量角器（双游标）、圆规。通用类辅助工具：包括国旗与首都、动物、名著、柱状图、条形图、饼图、万年历、历史大事件、交通规则。</w:t>
            </w:r>
            <w:r>
              <w:rPr>
                <w:rFonts w:hint="eastAsia" w:cs="宋体"/>
                <w:color w:val="FF0000"/>
                <w:szCs w:val="21"/>
              </w:rPr>
              <w:t>(演示并提供对应功能的检测报告)</w:t>
            </w:r>
          </w:p>
          <w:p>
            <w:pPr>
              <w:spacing w:line="360" w:lineRule="auto"/>
              <w:ind w:firstLine="210" w:firstLineChars="100"/>
              <w:rPr>
                <w:rFonts w:ascii="宋体" w:hAnsi="宋体" w:cs="宋体"/>
                <w:szCs w:val="21"/>
              </w:rPr>
            </w:pPr>
            <w:r>
              <w:rPr>
                <w:rFonts w:hint="eastAsia" w:ascii="宋体" w:hAnsi="宋体" w:cs="宋体"/>
                <w:szCs w:val="21"/>
              </w:rPr>
              <w:t>10、绘图工具种类:绘图工具种类有：通用：形状、箭头、线条、国家地图、国旗；金融：银行、保险、证券；电力：安全标志、其他；交通：交通标志；生活：天气图标；公共安全：消防、军队符号；教育：语文、数学、物理、化学、生物、地理、历史、美术、体育在内 9 门学科，共计900个以上学科绘图工具。</w:t>
            </w:r>
          </w:p>
          <w:p>
            <w:pPr>
              <w:spacing w:line="360" w:lineRule="auto"/>
              <w:ind w:firstLine="210" w:firstLineChars="100"/>
              <w:rPr>
                <w:rFonts w:ascii="宋体" w:hAnsi="宋体" w:cs="宋体"/>
                <w:szCs w:val="21"/>
              </w:rPr>
            </w:pPr>
            <w:r>
              <w:rPr>
                <w:rFonts w:hint="eastAsia" w:ascii="宋体" w:hAnsi="宋体" w:cs="宋体"/>
                <w:szCs w:val="21"/>
              </w:rPr>
              <w:t>11、表格绘制：白板软件支持绘制表格，可对表格项目框进行文字编辑输入，可设置边框颜色和宽度、还有单元格背景颜色，在表格中增减行和列、可以调整列宽。单元格中可以插入文字。</w:t>
            </w:r>
          </w:p>
          <w:p>
            <w:pPr>
              <w:spacing w:line="360" w:lineRule="auto"/>
              <w:ind w:firstLine="210" w:firstLineChars="100"/>
              <w:rPr>
                <w:rFonts w:ascii="宋体" w:hAnsi="宋体" w:cs="宋体"/>
                <w:szCs w:val="21"/>
              </w:rPr>
            </w:pPr>
            <w:r>
              <w:rPr>
                <w:rFonts w:hint="eastAsia" w:ascii="宋体" w:hAnsi="宋体" w:cs="宋体"/>
                <w:szCs w:val="21"/>
              </w:rPr>
              <w:t>12、思维导图：可制作思维导图，提供编辑面板，可收起或展开，提供中英文，可切换编辑和禁用编辑状态，提供多种主题，按键有文字标识，容易理解。要求功能有：新增节点、删除节点、节点链接图片、缩放导图、自定义字体颜色和节点背景颜色、自定义思维导图背景图和节点背景图、可以收起和展开节点、可保存为图片或可再编辑文件，两种都可以插入到白板页面里，提供思维导图列表，点击可打开已有思维导图文件重新编辑，在白板页面上点击插入的思维导图，可再次编辑和查看，并可保存为课件。可打开文件所在的文件夹，方便取走文件。</w:t>
            </w:r>
          </w:p>
          <w:p>
            <w:pPr>
              <w:spacing w:line="360" w:lineRule="auto"/>
              <w:ind w:firstLine="210" w:firstLineChars="100"/>
              <w:rPr>
                <w:rFonts w:ascii="宋体" w:hAnsi="宋体" w:cs="宋体"/>
                <w:szCs w:val="21"/>
              </w:rPr>
            </w:pPr>
            <w:r>
              <w:rPr>
                <w:rFonts w:hint="eastAsia" w:ascii="宋体" w:hAnsi="宋体" w:cs="宋体"/>
                <w:szCs w:val="21"/>
              </w:rPr>
              <w:t>13、浏览器工具：白板软件可打开浏览器窗口。支持左右半屏、全屏显示。支持在白板软件里的浏览器窗口直接打开 PPT、WORD、EXCEL、PDF、SWF、JPG、PNG、HTML 格式的课件或图片进行播放演示。支持通过拖拉浏览器网页上的图片，可把图片直接拖拉进白板软件页面中。点击浏览器窗口里的拍照按钮，可以把网页上的内容拍照并插入到白板软件页面中，方便老师在网站上快速取材。</w:t>
            </w:r>
            <w:r>
              <w:rPr>
                <w:rFonts w:hint="eastAsia" w:cs="宋体"/>
                <w:color w:val="FF0000"/>
                <w:szCs w:val="21"/>
              </w:rPr>
              <w:t>(演示并提供对应功能的检测报告)</w:t>
            </w:r>
          </w:p>
          <w:p>
            <w:pPr>
              <w:spacing w:line="360" w:lineRule="auto"/>
              <w:ind w:firstLine="210" w:firstLineChars="100"/>
              <w:rPr>
                <w:rFonts w:ascii="宋体" w:hAnsi="宋体" w:cs="宋体"/>
                <w:szCs w:val="21"/>
              </w:rPr>
            </w:pPr>
            <w:r>
              <w:rPr>
                <w:rFonts w:hint="eastAsia" w:ascii="宋体" w:hAnsi="宋体" w:cs="宋体"/>
                <w:szCs w:val="21"/>
              </w:rPr>
              <w:t>14、魔术贴：支持魔术贴隐藏教学内容，可提供多张贴纸，并提供添加和随机闪动功能，可拖拉出相应大小的矩形贴纸遮挡内容。闪动功能可随机闪动页面上的贴纸，闪动停止后，高亮该贴纸，增加课堂互动趣味性。</w:t>
            </w:r>
            <w:r>
              <w:rPr>
                <w:rFonts w:hint="eastAsia" w:cs="宋体"/>
                <w:color w:val="FF0000"/>
                <w:szCs w:val="21"/>
              </w:rPr>
              <w:t>(演示并提供对应功能的检测报告)</w:t>
            </w:r>
          </w:p>
          <w:p>
            <w:pPr>
              <w:spacing w:line="360" w:lineRule="auto"/>
              <w:ind w:firstLine="210" w:firstLineChars="100"/>
              <w:rPr>
                <w:rFonts w:ascii="宋体" w:hAnsi="宋体" w:cs="宋体"/>
                <w:szCs w:val="21"/>
              </w:rPr>
            </w:pPr>
            <w:r>
              <w:rPr>
                <w:rFonts w:hint="eastAsia" w:ascii="宋体" w:hAnsi="宋体" w:cs="宋体"/>
                <w:szCs w:val="21"/>
              </w:rPr>
              <w:t>15、配套试题工具：配套试题工具，可按年份、地区和题型的结构树形式归类展开试题，可以打开查看、编辑试题内容和试题答案，可以新增和批量导入试题；提供过往2年全国各地高考、主要城市中考试题和答案；并配有小学课后练习题库；配套试题工具有统计和查询功能：系统提供12种组合条件用于统计和查询，统计和查询结果可以导出和打印；可以查看各题型题目的分布情况，各类型题目数量和所占比例，支持用饼图方式呈现题型分布情况；配套试题工具提供组卷功能：教师可以使用配套的组卷功能生成试卷供学生练习和考核，生成的试卷，可以进行试题替换、重新组卷、生成AB卷或平行卷相关功能，还可以设置试题排序、卷头编辑功能。组卷后可以导出试卷（含答案或不含答案）或只导出答案，组卷后也可存入试卷库中。</w:t>
            </w:r>
          </w:p>
          <w:p>
            <w:pPr>
              <w:spacing w:line="360" w:lineRule="auto"/>
              <w:ind w:firstLine="210" w:firstLineChars="100"/>
              <w:rPr>
                <w:rFonts w:ascii="宋体" w:hAnsi="宋体" w:cs="宋体"/>
                <w:szCs w:val="21"/>
              </w:rPr>
            </w:pPr>
            <w:r>
              <w:rPr>
                <w:rFonts w:hint="eastAsia" w:ascii="宋体" w:hAnsi="宋体" w:cs="宋体"/>
                <w:szCs w:val="21"/>
              </w:rPr>
              <w:t>16、配套实验软件：提供仿真实验软件，能通过白板软件直接调用，实验包括高中物理、高中化学、高中生物、初中物理、初中化学、初中生物、小学科学、幼儿科学、卡诺图、数字逻辑、几何软件等高中、初中、小学和幼儿仿真实验。仿真实验软件里共计有500个以上的仿真实验。</w:t>
            </w:r>
            <w:r>
              <w:rPr>
                <w:rFonts w:hint="eastAsia" w:cs="宋体"/>
                <w:color w:val="FF0000"/>
                <w:szCs w:val="21"/>
              </w:rPr>
              <w:t>(演示并提供对应功能的检测报告)</w:t>
            </w:r>
          </w:p>
          <w:p>
            <w:pPr>
              <w:spacing w:line="360" w:lineRule="auto"/>
              <w:ind w:firstLine="210" w:firstLineChars="100"/>
              <w:rPr>
                <w:rFonts w:ascii="宋体" w:hAnsi="宋体" w:cs="宋体"/>
                <w:szCs w:val="21"/>
              </w:rPr>
            </w:pPr>
            <w:r>
              <w:rPr>
                <w:rFonts w:hint="eastAsia" w:ascii="宋体" w:hAnsi="宋体" w:cs="宋体"/>
                <w:szCs w:val="21"/>
              </w:rPr>
              <w:t>17、配套教学资源：提供共20门科目的资源，能通过白板软件直接调用，20门科目分别是：初中语文、数学、英语、生物、化学、物理、地理、历史；高中语文、数学、生物、化学、物理、地理、历史；小学科学、数学、语文、英语；幼儿资源；幼儿资源包括：健康、语言、社会、科学、艺术共 5 类资源。</w:t>
            </w:r>
            <w:r>
              <w:rPr>
                <w:rFonts w:hint="eastAsia" w:cs="宋体"/>
                <w:color w:val="FF0000"/>
                <w:szCs w:val="21"/>
              </w:rPr>
              <w:t>(演示并提供对应功能的检测报告)</w:t>
            </w:r>
          </w:p>
          <w:p>
            <w:pPr>
              <w:spacing w:line="360" w:lineRule="auto"/>
              <w:ind w:firstLine="210" w:firstLineChars="100"/>
              <w:rPr>
                <w:rFonts w:ascii="宋体" w:hAnsi="宋体" w:cs="宋体"/>
                <w:szCs w:val="21"/>
              </w:rPr>
            </w:pPr>
            <w:r>
              <w:rPr>
                <w:rFonts w:hint="eastAsia" w:ascii="宋体" w:hAnsi="宋体" w:cs="宋体"/>
                <w:szCs w:val="21"/>
              </w:rPr>
              <w:t>18、屏幕录制：可自定义录制区域，也可全屏录制。支持屏幕录制工具的视频列表，选择任一视频，可一键把录制的视频插入到白板软件页面中。用于备课时老师的课件设计。</w:t>
            </w:r>
          </w:p>
          <w:p>
            <w:pPr>
              <w:spacing w:line="360" w:lineRule="auto"/>
              <w:ind w:firstLine="210" w:firstLineChars="100"/>
              <w:rPr>
                <w:rFonts w:ascii="宋体" w:hAnsi="宋体" w:cs="宋体"/>
                <w:szCs w:val="21"/>
              </w:rPr>
            </w:pPr>
            <w:r>
              <w:rPr>
                <w:rFonts w:hint="eastAsia" w:ascii="宋体" w:hAnsi="宋体" w:cs="宋体"/>
                <w:szCs w:val="21"/>
              </w:rPr>
              <w:t>19、央馆网络资源：在白板软件里提供央馆资源网站的链接，可登录央馆资源网站，可下载央馆资源网站的资源。（提供中央电化教育馆证明文件）</w:t>
            </w:r>
          </w:p>
          <w:p>
            <w:pPr>
              <w:spacing w:line="360" w:lineRule="auto"/>
              <w:ind w:firstLine="210" w:firstLineChars="100"/>
              <w:rPr>
                <w:rFonts w:ascii="宋体" w:hAnsi="宋体" w:cs="宋体"/>
                <w:szCs w:val="21"/>
              </w:rPr>
            </w:pPr>
            <w:r>
              <w:rPr>
                <w:rFonts w:hint="eastAsia" w:ascii="宋体" w:hAnsi="宋体" w:cs="宋体"/>
                <w:szCs w:val="21"/>
              </w:rPr>
              <w:t>20、PPT/Word标注和保存：可以在常用工具软件中（如WORD/PowerPoint/Excel等文档）生成注释保存，从而达到方便操作的作用。</w:t>
            </w:r>
          </w:p>
          <w:p>
            <w:pPr>
              <w:spacing w:line="360" w:lineRule="auto"/>
              <w:ind w:firstLine="210" w:firstLineChars="100"/>
              <w:rPr>
                <w:rFonts w:ascii="宋体" w:hAnsi="宋体" w:cs="宋体"/>
                <w:szCs w:val="21"/>
              </w:rPr>
            </w:pPr>
            <w:r>
              <w:rPr>
                <w:rFonts w:hint="eastAsia" w:ascii="宋体" w:hAnsi="宋体" w:cs="宋体"/>
                <w:szCs w:val="21"/>
              </w:rPr>
              <w:t>21、手写识别：支持手写识别功能：可以识别中文简体、繁体、英文、数字、简单运算公式，标点符号、常用特殊符号，支持英文单词、整句的识别；支持中文单字、词组以及整句的识别；并可对输入文字的大小、颜色、字体、对齐格式进行编辑，并可以任意移动、旋转、再编辑。并可实现其发音、汉语拼音、英文单词音标标示。</w:t>
            </w:r>
          </w:p>
          <w:p>
            <w:pPr>
              <w:spacing w:line="360" w:lineRule="auto"/>
              <w:ind w:firstLine="210" w:firstLineChars="100"/>
              <w:rPr>
                <w:rFonts w:ascii="宋体" w:hAnsi="宋体" w:cs="宋体"/>
                <w:szCs w:val="21"/>
              </w:rPr>
            </w:pPr>
            <w:r>
              <w:rPr>
                <w:rFonts w:hint="eastAsia" w:ascii="宋体" w:hAnsi="宋体" w:cs="宋体"/>
                <w:szCs w:val="21"/>
              </w:rPr>
              <w:t>22、页面功能：支持删除单页面和所选页面；支持浏览页面、调整页面顺序；将操作过的页面自动保存，可随时调看之前操作的任何页面，并能再次修改；能导出单页面、所选页面、全部页面，并保存为多种图片格式，如gif,jpg,bmp,png等。支持页面缩放和设置页面显示比例。可以一键删除无内容页面。</w:t>
            </w:r>
          </w:p>
          <w:p>
            <w:pPr>
              <w:spacing w:line="360" w:lineRule="auto"/>
              <w:ind w:firstLine="210" w:firstLineChars="100"/>
              <w:rPr>
                <w:rFonts w:ascii="宋体" w:hAnsi="宋体" w:cs="宋体"/>
                <w:szCs w:val="21"/>
              </w:rPr>
            </w:pPr>
            <w:r>
              <w:rPr>
                <w:rFonts w:hint="eastAsia" w:ascii="宋体" w:hAnsi="宋体" w:cs="宋体"/>
                <w:szCs w:val="21"/>
              </w:rPr>
              <w:t>23、云存储云下载课件：提供白板课件上传和下载的功能，无需打开云平台，直接在白板软件里把白板课件上传到云平台保存，从白板软件页面下载已保存在云平台的白板课件，支持下载后打开下载文件夹或直接读取白板课件，支持快速登录和注册云平台用户和操作忘记密码，方便教师利用网络存储和下载课件。</w:t>
            </w:r>
          </w:p>
          <w:p>
            <w:pPr>
              <w:spacing w:line="360" w:lineRule="auto"/>
              <w:ind w:firstLine="210" w:firstLineChars="100"/>
              <w:rPr>
                <w:rFonts w:ascii="宋体" w:hAnsi="宋体" w:cs="宋体"/>
                <w:szCs w:val="21"/>
              </w:rPr>
            </w:pPr>
            <w:r>
              <w:rPr>
                <w:rFonts w:hint="eastAsia" w:ascii="宋体" w:hAnsi="宋体" w:cs="宋体"/>
                <w:szCs w:val="21"/>
              </w:rPr>
              <w:t>24、互动课堂游戏：课堂游戏工具提供多种模板和游戏方式给用户使用和选择。模板包括：“分类”、“填空”、“找答案”、“竞争游戏”和“数学工具”，而每个模板下均提供多个游戏主题，分类提供单人游戏、多人竞技游戏或计时游戏；填空模板游戏规则是填空完后再改对错。提供游戏列表，在列表中提供编辑、打开、插入页面、删除等功能。可打开文件所在的文件夹，方便取走文件，并可保存为课件。</w:t>
            </w:r>
            <w:r>
              <w:rPr>
                <w:rFonts w:hint="eastAsia" w:cs="宋体"/>
                <w:color w:val="FF0000"/>
                <w:szCs w:val="21"/>
              </w:rPr>
              <w:t>(演示并提供对应功能的检测报告)</w:t>
            </w:r>
          </w:p>
          <w:p>
            <w:pPr>
              <w:spacing w:line="360" w:lineRule="auto"/>
              <w:ind w:firstLine="210" w:firstLineChars="100"/>
              <w:rPr>
                <w:rFonts w:ascii="宋体" w:hAnsi="宋体" w:cs="宋体"/>
                <w:szCs w:val="21"/>
              </w:rPr>
            </w:pPr>
            <w:r>
              <w:rPr>
                <w:rFonts w:hint="eastAsia" w:ascii="宋体" w:hAnsi="宋体" w:cs="宋体"/>
                <w:szCs w:val="21"/>
              </w:rPr>
              <w:t>25、二维码分享：白板软件里每一页上都提供分享页面的二维码，手机移动设备在不需要接入局域网的情况下就可通过扫描白板软件页面上的二维码，下载当前课件的所有页面到移动设备上。实现课件分享和学习。</w:t>
            </w:r>
            <w:r>
              <w:rPr>
                <w:rFonts w:hint="eastAsia" w:cs="宋体"/>
                <w:color w:val="FF0000"/>
                <w:szCs w:val="21"/>
              </w:rPr>
              <w:t>(演示并提供对应功能的检测报告)</w:t>
            </w:r>
          </w:p>
          <w:p>
            <w:pPr>
              <w:spacing w:line="360" w:lineRule="auto"/>
              <w:ind w:firstLine="210" w:firstLineChars="100"/>
              <w:rPr>
                <w:rFonts w:ascii="宋体" w:hAnsi="宋体" w:cs="宋体"/>
                <w:szCs w:val="21"/>
              </w:rPr>
            </w:pPr>
            <w:r>
              <w:rPr>
                <w:rFonts w:hint="eastAsia" w:ascii="宋体" w:hAnsi="宋体" w:cs="宋体"/>
                <w:szCs w:val="21"/>
              </w:rPr>
              <w:t>26、软件联网自动更新，内置软件常用功能的演示视频连接。</w:t>
            </w:r>
          </w:p>
          <w:p>
            <w:pPr>
              <w:spacing w:line="360" w:lineRule="auto"/>
              <w:ind w:firstLine="210"/>
              <w:rPr>
                <w:rFonts w:ascii="宋体" w:hAnsi="宋体" w:cs="宋体"/>
                <w:b/>
                <w:bCs/>
                <w:szCs w:val="21"/>
              </w:rPr>
            </w:pPr>
            <w:r>
              <w:rPr>
                <w:rFonts w:hint="eastAsia" w:ascii="宋体" w:hAnsi="宋体" w:cs="宋体"/>
                <w:b/>
                <w:bCs/>
                <w:szCs w:val="21"/>
              </w:rPr>
              <w:t>三、移动授课功能（本部分用于“评审因素及评分标准”中的“移动授课功能演示”评分，不纳入“符合性”审查扣分）</w:t>
            </w:r>
          </w:p>
          <w:p>
            <w:pPr>
              <w:spacing w:line="360" w:lineRule="auto"/>
              <w:ind w:firstLine="210"/>
              <w:rPr>
                <w:rFonts w:cs="宋体"/>
                <w:color w:val="000000"/>
                <w:szCs w:val="21"/>
              </w:rPr>
            </w:pPr>
            <w:r>
              <w:rPr>
                <w:rFonts w:hint="eastAsia" w:cs="宋体"/>
                <w:color w:val="000000"/>
                <w:szCs w:val="21"/>
              </w:rPr>
              <w:t>无线传屏和镜像功能：大屏接收端可同时连接多个移动设备，并可对各个移动设备进行连接管理，要求：</w:t>
            </w:r>
            <w:r>
              <w:rPr>
                <w:rFonts w:hint="eastAsia" w:cs="宋体"/>
                <w:color w:val="FF0000"/>
                <w:szCs w:val="21"/>
              </w:rPr>
              <w:t>(演示并提供对应功能的检测报告)</w:t>
            </w:r>
          </w:p>
          <w:p>
            <w:pPr>
              <w:spacing w:line="360" w:lineRule="auto"/>
              <w:ind w:firstLine="210" w:firstLineChars="100"/>
              <w:rPr>
                <w:rFonts w:ascii="宋体" w:hAnsi="宋体" w:cs="宋体"/>
                <w:szCs w:val="21"/>
              </w:rPr>
            </w:pPr>
            <w:r>
              <w:rPr>
                <w:rFonts w:hint="eastAsia" w:ascii="宋体" w:hAnsi="宋体" w:cs="宋体"/>
                <w:szCs w:val="21"/>
              </w:rPr>
              <w:t>1、在大屏幕可以打开已连接的移动设备列表窗口，查看每个设备名称。</w:t>
            </w:r>
          </w:p>
          <w:p>
            <w:pPr>
              <w:spacing w:line="360" w:lineRule="auto"/>
              <w:ind w:firstLine="210" w:firstLineChars="100"/>
              <w:rPr>
                <w:rFonts w:ascii="宋体" w:hAnsi="宋体" w:cs="宋体"/>
                <w:szCs w:val="21"/>
              </w:rPr>
            </w:pPr>
            <w:r>
              <w:rPr>
                <w:rFonts w:hint="eastAsia" w:ascii="宋体" w:hAnsi="宋体" w:cs="宋体"/>
                <w:szCs w:val="21"/>
              </w:rPr>
              <w:t>2、提供对每个电脑客户端画面预览的开关，打开则可以观看某个电脑客户端设备的动态画面，例如电脑客户端正在播放一个视频。可以一键开启所有电脑客户端的画面预览，观看所有电脑客户端的动态画面。</w:t>
            </w:r>
          </w:p>
          <w:p>
            <w:pPr>
              <w:spacing w:line="360" w:lineRule="auto"/>
              <w:ind w:firstLine="210" w:firstLineChars="100"/>
              <w:rPr>
                <w:rFonts w:ascii="宋体" w:hAnsi="宋体" w:cs="宋体"/>
                <w:szCs w:val="21"/>
              </w:rPr>
            </w:pPr>
            <w:r>
              <w:rPr>
                <w:rFonts w:hint="eastAsia" w:ascii="宋体" w:hAnsi="宋体" w:cs="宋体"/>
                <w:szCs w:val="21"/>
              </w:rPr>
              <w:t>3、随时可以断开其中某个设备的连接。</w:t>
            </w:r>
          </w:p>
          <w:p>
            <w:pPr>
              <w:spacing w:line="360" w:lineRule="auto"/>
              <w:ind w:firstLine="210" w:firstLineChars="100"/>
              <w:rPr>
                <w:rFonts w:ascii="宋体" w:hAnsi="宋体" w:cs="宋体"/>
                <w:szCs w:val="21"/>
              </w:rPr>
            </w:pPr>
            <w:r>
              <w:rPr>
                <w:rFonts w:hint="eastAsia" w:ascii="宋体" w:hAnsi="宋体" w:cs="宋体"/>
                <w:szCs w:val="21"/>
              </w:rPr>
              <w:t>4、可以同时选择多个移动设备，批量向这些设备进行文件传送。也可以接收由移动设备传送过来的文件，并可以选择保存、打开或直接插入白板页面三种操作。</w:t>
            </w:r>
          </w:p>
          <w:p>
            <w:pPr>
              <w:spacing w:line="360" w:lineRule="auto"/>
              <w:ind w:firstLine="210" w:firstLineChars="100"/>
              <w:rPr>
                <w:rFonts w:ascii="宋体" w:hAnsi="宋体" w:cs="宋体"/>
                <w:szCs w:val="21"/>
              </w:rPr>
            </w:pPr>
            <w:r>
              <w:rPr>
                <w:rFonts w:hint="eastAsia" w:ascii="宋体" w:hAnsi="宋体" w:cs="宋体"/>
                <w:szCs w:val="21"/>
              </w:rPr>
              <w:t>5、可以显示同一网段内的其他大屏幕接收端列表，并可以将某个移动设备转投到其他大屏幕接收端。</w:t>
            </w:r>
          </w:p>
          <w:p>
            <w:pPr>
              <w:spacing w:line="360" w:lineRule="auto"/>
              <w:ind w:firstLine="210" w:firstLineChars="100"/>
              <w:rPr>
                <w:rFonts w:ascii="宋体" w:hAnsi="宋体" w:cs="宋体"/>
                <w:b/>
                <w:bCs/>
                <w:szCs w:val="21"/>
              </w:rPr>
            </w:pPr>
            <w:r>
              <w:rPr>
                <w:rFonts w:hint="eastAsia" w:ascii="宋体" w:hAnsi="宋体" w:cs="宋体"/>
                <w:b/>
                <w:bCs/>
                <w:szCs w:val="21"/>
              </w:rPr>
              <w:t>四、集中控制管理功能（本部分用于“评审因素及评分标准”中的“集控管理功能演示”评分，不纳入“符合性”审查扣分）</w:t>
            </w:r>
          </w:p>
          <w:p>
            <w:pPr>
              <w:spacing w:line="360" w:lineRule="auto"/>
              <w:ind w:firstLine="210" w:firstLineChars="100"/>
              <w:rPr>
                <w:rFonts w:ascii="宋体" w:hAnsi="宋体" w:cs="宋体"/>
                <w:szCs w:val="21"/>
              </w:rPr>
            </w:pPr>
            <w:r>
              <w:rPr>
                <w:rFonts w:hint="eastAsia" w:ascii="宋体" w:hAnsi="宋体" w:cs="宋体"/>
                <w:szCs w:val="21"/>
              </w:rPr>
              <w:t>1、网页集控平台：监控管理平台采用B/S架构设计，可在WINDOWS、ANDROID、IOS等多种不同的操作系统上通过网页浏览器登陆操作。</w:t>
            </w:r>
          </w:p>
          <w:p>
            <w:pPr>
              <w:spacing w:line="360" w:lineRule="auto"/>
              <w:ind w:firstLine="210" w:firstLineChars="100"/>
              <w:rPr>
                <w:rFonts w:ascii="宋体" w:hAnsi="宋体" w:cs="宋体"/>
                <w:szCs w:val="21"/>
              </w:rPr>
            </w:pPr>
            <w:r>
              <w:rPr>
                <w:rFonts w:hint="eastAsia" w:ascii="宋体" w:hAnsi="宋体" w:cs="宋体"/>
                <w:szCs w:val="21"/>
              </w:rPr>
              <w:t>2、远程控制开关机：通过校园网络连接各个教室的电脑、液晶一体机等设备，集中远程控制各设备的定时开关机。</w:t>
            </w:r>
          </w:p>
          <w:p>
            <w:pPr>
              <w:spacing w:line="360" w:lineRule="auto"/>
              <w:ind w:firstLine="210" w:firstLineChars="100"/>
              <w:rPr>
                <w:rFonts w:ascii="宋体" w:hAnsi="宋体" w:cs="宋体"/>
                <w:szCs w:val="21"/>
              </w:rPr>
            </w:pPr>
            <w:r>
              <w:rPr>
                <w:rFonts w:hint="eastAsia" w:ascii="宋体" w:hAnsi="宋体" w:cs="宋体"/>
                <w:szCs w:val="21"/>
              </w:rPr>
              <w:t>3、设备分组管理：管理员在集控平台可以对连接上学校服务器的各教室的电脑、液晶一体机等设备进行分组设置，统一管理。</w:t>
            </w:r>
          </w:p>
          <w:p>
            <w:pPr>
              <w:spacing w:line="360" w:lineRule="auto"/>
              <w:ind w:firstLine="210" w:firstLineChars="100"/>
              <w:rPr>
                <w:rFonts w:ascii="宋体" w:hAnsi="宋体" w:cs="宋体"/>
                <w:szCs w:val="21"/>
              </w:rPr>
            </w:pPr>
            <w:r>
              <w:rPr>
                <w:rFonts w:hint="eastAsia" w:ascii="宋体" w:hAnsi="宋体" w:cs="宋体"/>
                <w:szCs w:val="21"/>
              </w:rPr>
              <w:t>4、实时监控设备屏幕：支持在集控平台远程对所有连接上学校服务器的电脑、液晶一体机等设备屏幕画面进行实时监控。可灵活设置获取设备更新的时间，也可以实时刷新了解设备当前情况。</w:t>
            </w:r>
          </w:p>
          <w:p>
            <w:pPr>
              <w:spacing w:line="360" w:lineRule="auto"/>
              <w:ind w:firstLine="210" w:firstLineChars="100"/>
              <w:rPr>
                <w:rFonts w:ascii="宋体" w:hAnsi="宋体" w:cs="宋体"/>
                <w:szCs w:val="21"/>
              </w:rPr>
            </w:pPr>
            <w:r>
              <w:rPr>
                <w:rFonts w:hint="eastAsia" w:ascii="宋体" w:hAnsi="宋体" w:cs="宋体"/>
                <w:szCs w:val="21"/>
              </w:rPr>
              <w:t>5、远程发布信息：通过远程集控系统可统一对监控设备进行信息发布，通过网络平台传输信息到播放终端以滚动字幕的方式播放，可设置发布信息内容显示的字体、大小、颜色、滚动方向、显示位置、滚动速度、次数，还有发布信息幕布设置等。还可预览发布效果。</w:t>
            </w:r>
          </w:p>
          <w:p>
            <w:pPr>
              <w:spacing w:line="360" w:lineRule="auto"/>
              <w:ind w:firstLine="210" w:firstLineChars="100"/>
              <w:rPr>
                <w:rFonts w:ascii="宋体" w:hAnsi="宋体" w:cs="宋体"/>
                <w:szCs w:val="21"/>
              </w:rPr>
            </w:pPr>
            <w:r>
              <w:rPr>
                <w:rFonts w:hint="eastAsia" w:ascii="宋体" w:hAnsi="宋体" w:cs="宋体"/>
                <w:szCs w:val="21"/>
              </w:rPr>
              <w:t>6、远程查看使用状态和信息：支持实时查看连接上的各个教室的电脑、液晶一体机等设备的开关机状态，联网情况、系统属性、温度等信息。方便学校统一管理。</w:t>
            </w:r>
          </w:p>
          <w:p>
            <w:pPr>
              <w:spacing w:line="360" w:lineRule="auto"/>
              <w:ind w:firstLine="210" w:firstLineChars="100"/>
              <w:rPr>
                <w:rFonts w:ascii="宋体" w:hAnsi="宋体" w:cs="宋体"/>
                <w:szCs w:val="21"/>
              </w:rPr>
            </w:pPr>
            <w:r>
              <w:rPr>
                <w:rFonts w:hint="eastAsia" w:ascii="宋体" w:hAnsi="宋体" w:cs="宋体"/>
                <w:szCs w:val="21"/>
              </w:rPr>
              <w:t>7、远程控制执行时间设置：可对远程发布信息、视音频点播、文件传送和控制开关机进行执行时间的设置，支持对单个或批量连接到学校服务器的电脑、液晶一体机等设备进行自定义每天或固定一周内任意一天（多天）的任意一个时间执行远程控制任务。学校可按照不同的需要设置执行任务的时间。</w:t>
            </w:r>
          </w:p>
          <w:p>
            <w:pPr>
              <w:spacing w:line="360" w:lineRule="auto"/>
              <w:ind w:firstLine="210" w:firstLineChars="100"/>
              <w:rPr>
                <w:rFonts w:ascii="宋体" w:hAnsi="宋体" w:cs="宋体"/>
                <w:szCs w:val="21"/>
              </w:rPr>
            </w:pPr>
            <w:r>
              <w:rPr>
                <w:rFonts w:hint="eastAsia" w:ascii="宋体" w:hAnsi="宋体" w:cs="宋体"/>
                <w:szCs w:val="21"/>
              </w:rPr>
              <w:t>8、远程控制任务管理：提供发布信息、文件传送、远程开关机、视音频点播以及远程解锁等任务清单的查看，可查看每个任务的设置内容:任务周期、任务执行时间、任务类型、任务对象、执行内容和执行状态，支持对单个或批量任务进行开启、关闭或删除动作。管理员可快速设置控制任务。支持对任务清单设置按时间和任务类型排序，方便查找。</w:t>
            </w:r>
          </w:p>
          <w:p>
            <w:pPr>
              <w:spacing w:line="360" w:lineRule="auto"/>
              <w:ind w:firstLine="210" w:firstLineChars="100"/>
              <w:rPr>
                <w:rFonts w:ascii="宋体" w:hAnsi="宋体" w:cs="宋体"/>
                <w:szCs w:val="21"/>
              </w:rPr>
            </w:pPr>
            <w:r>
              <w:rPr>
                <w:rFonts w:hint="eastAsia" w:ascii="宋体" w:hAnsi="宋体" w:cs="宋体"/>
                <w:szCs w:val="21"/>
              </w:rPr>
              <w:t>9、报表统计功能</w:t>
            </w:r>
            <w:r>
              <w:rPr>
                <w:rFonts w:hint="eastAsia" w:ascii="宋体" w:hAnsi="宋体" w:cs="宋体"/>
                <w:szCs w:val="21"/>
              </w:rPr>
              <w:tab/>
            </w:r>
            <w:r>
              <w:rPr>
                <w:rFonts w:hint="eastAsia" w:ascii="宋体" w:hAnsi="宋体" w:cs="宋体"/>
                <w:szCs w:val="21"/>
              </w:rPr>
              <w:t>：可对连接上学校服务器的电脑、液晶一体机等设备的开机频率、开机时间、操作系统和指令执行统计，可设置统计时间范围，可对指定范围内的设备进行统计。统计数据采用直观的图表形式，统计数据还可以导出为Excel和Word文档。</w:t>
            </w:r>
          </w:p>
          <w:p>
            <w:pPr>
              <w:spacing w:line="360" w:lineRule="auto"/>
              <w:ind w:firstLine="210" w:firstLineChars="100"/>
              <w:rPr>
                <w:rFonts w:ascii="宋体" w:hAnsi="宋体" w:cs="宋体"/>
                <w:szCs w:val="21"/>
              </w:rPr>
            </w:pPr>
            <w:r>
              <w:rPr>
                <w:rFonts w:hint="eastAsia" w:ascii="宋体" w:hAnsi="宋体" w:cs="宋体"/>
                <w:szCs w:val="21"/>
              </w:rPr>
              <w:t>10、用户管理功能：控制平台具有高安全性，实施用户权限管理，降低集中管理风险。用户类别分别有普通用户、信息发布员、机构管理员。</w:t>
            </w:r>
          </w:p>
          <w:p>
            <w:pPr>
              <w:spacing w:line="360" w:lineRule="auto"/>
              <w:ind w:firstLine="210" w:firstLineChars="100"/>
              <w:rPr>
                <w:rFonts w:ascii="宋体" w:hAnsi="宋体" w:cs="宋体"/>
                <w:szCs w:val="21"/>
              </w:rPr>
            </w:pPr>
            <w:r>
              <w:rPr>
                <w:rFonts w:hint="eastAsia" w:ascii="宋体" w:hAnsi="宋体" w:cs="宋体"/>
                <w:szCs w:val="21"/>
              </w:rPr>
              <w:t>11、远程文件传送：通过集控系统对连接学校服务器上的电脑、液晶一体机等设备远程传送各类文件，文件格式不限。让学校下达传送文件更高效更便捷。各设备客户端会自动接收文件，并保存。可以在客户端查看接收文件列表，并可随时打开。</w:t>
            </w:r>
          </w:p>
          <w:p>
            <w:pPr>
              <w:spacing w:line="360" w:lineRule="auto"/>
              <w:ind w:firstLine="210" w:firstLineChars="100"/>
              <w:rPr>
                <w:rFonts w:ascii="宋体" w:hAnsi="宋体" w:cs="宋体"/>
                <w:szCs w:val="21"/>
              </w:rPr>
            </w:pPr>
            <w:r>
              <w:rPr>
                <w:rFonts w:hint="eastAsia" w:ascii="宋体" w:hAnsi="宋体" w:cs="宋体"/>
                <w:szCs w:val="21"/>
              </w:rPr>
              <w:t xml:space="preserve">12、远程视音频点播：通过集控系统把指定的多媒体文件发送到连接学校服务器的指定的多个电脑、液晶一体机等设备上进行播放，并可在服务器端设置文件在客户端的播放时间和播放形式。可设置播放次数、视频窗口大小、播放时间、播放音量大小等。 </w:t>
            </w:r>
          </w:p>
          <w:p>
            <w:pPr>
              <w:spacing w:line="360" w:lineRule="auto"/>
              <w:ind w:firstLine="210" w:firstLineChars="100"/>
              <w:rPr>
                <w:rFonts w:ascii="宋体" w:hAnsi="宋体" w:cs="宋体"/>
                <w:szCs w:val="21"/>
              </w:rPr>
            </w:pPr>
            <w:r>
              <w:rPr>
                <w:rFonts w:hint="eastAsia" w:ascii="宋体" w:hAnsi="宋体" w:cs="宋体"/>
                <w:szCs w:val="21"/>
              </w:rPr>
              <w:t>13、校园广播功能：支持通过集控系统对连接上学校服务器的电脑、液晶一体机等设备进行摄像头广播、视频广播、PPT 广播以及语音广播的功能，广播过程中随时控制播放进度和关闭广播。</w:t>
            </w:r>
          </w:p>
          <w:p>
            <w:pPr>
              <w:spacing w:line="360" w:lineRule="auto"/>
              <w:ind w:firstLine="280"/>
              <w:rPr>
                <w:rFonts w:ascii="宋体" w:hAnsi="宋体" w:cs="宋体"/>
                <w:szCs w:val="21"/>
              </w:rPr>
            </w:pPr>
            <w:r>
              <w:rPr>
                <w:rFonts w:hint="eastAsia" w:ascii="宋体" w:hAnsi="宋体" w:cs="宋体"/>
                <w:szCs w:val="21"/>
              </w:rPr>
              <w:t>14、设置多个服务器功能：设置多服务器管理：客户端可增加多个管理服务器，若当前服务器因网络突然瘫痪或崩溃时，客户端可自动连接另一个设置服务器，保证远程中控管理不中断。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983" w:type="dxa"/>
            <w:vAlign w:val="center"/>
          </w:tcPr>
          <w:p>
            <w:pPr>
              <w:widowControl/>
              <w:spacing w:line="360" w:lineRule="auto"/>
              <w:jc w:val="center"/>
              <w:rPr>
                <w:rFonts w:ascii="宋体" w:hAnsi="宋体"/>
                <w:b/>
                <w:bCs/>
                <w:szCs w:val="21"/>
              </w:rPr>
            </w:pPr>
            <w:r>
              <w:rPr>
                <w:rFonts w:hint="eastAsia" w:ascii="宋体" w:hAnsi="宋体" w:cs="宋体"/>
                <w:b/>
                <w:bCs/>
                <w:kern w:val="0"/>
                <w:sz w:val="24"/>
              </w:rPr>
              <w:t>触控</w:t>
            </w:r>
            <w:r>
              <w:rPr>
                <w:rFonts w:hint="eastAsia" w:ascii="宋体" w:hAnsi="宋体"/>
                <w:b/>
                <w:bCs/>
                <w:szCs w:val="21"/>
              </w:rPr>
              <w:t>一体机</w:t>
            </w:r>
            <w:r>
              <w:rPr>
                <w:rFonts w:ascii="宋体" w:hAnsi="宋体"/>
                <w:b/>
                <w:bCs/>
                <w:szCs w:val="21"/>
              </w:rPr>
              <w:t>OPS</w:t>
            </w:r>
            <w:r>
              <w:rPr>
                <w:rFonts w:hint="eastAsia" w:ascii="宋体" w:hAnsi="宋体"/>
                <w:b/>
                <w:bCs/>
                <w:szCs w:val="21"/>
              </w:rPr>
              <w:t>电脑</w:t>
            </w:r>
          </w:p>
        </w:tc>
        <w:tc>
          <w:tcPr>
            <w:tcW w:w="8709" w:type="dxa"/>
            <w:gridSpan w:val="2"/>
            <w:vAlign w:val="center"/>
          </w:tcPr>
          <w:p>
            <w:pPr>
              <w:spacing w:line="360" w:lineRule="auto"/>
              <w:ind w:firstLine="203" w:firstLineChars="97"/>
              <w:rPr>
                <w:rFonts w:ascii="宋体" w:hAnsi="宋体"/>
                <w:szCs w:val="21"/>
              </w:rPr>
            </w:pPr>
            <w:r>
              <w:rPr>
                <w:rFonts w:ascii="宋体" w:hAnsi="宋体"/>
                <w:szCs w:val="21"/>
              </w:rPr>
              <w:t>1.</w:t>
            </w:r>
            <w:r>
              <w:rPr>
                <w:rFonts w:hint="eastAsia" w:ascii="宋体" w:hAnsi="宋体"/>
                <w:szCs w:val="21"/>
              </w:rPr>
              <w:t>散热处理</w:t>
            </w:r>
            <w:r>
              <w:rPr>
                <w:rFonts w:ascii="宋体" w:hAnsi="宋体"/>
                <w:szCs w:val="21"/>
              </w:rPr>
              <w:t>:</w:t>
            </w:r>
            <w:r>
              <w:rPr>
                <w:rFonts w:hint="eastAsia" w:ascii="宋体" w:hAnsi="宋体"/>
                <w:szCs w:val="21"/>
              </w:rPr>
              <w:t>具备高效铜导管散热模组，超低静音侧出风散热设计</w:t>
            </w:r>
            <w:r>
              <w:rPr>
                <w:rFonts w:ascii="宋体" w:hAnsi="宋体"/>
                <w:szCs w:val="21"/>
              </w:rPr>
              <w:t>.</w:t>
            </w:r>
          </w:p>
          <w:p>
            <w:pPr>
              <w:spacing w:line="360" w:lineRule="auto"/>
              <w:ind w:firstLine="203" w:firstLineChars="97"/>
              <w:rPr>
                <w:rFonts w:ascii="宋体" w:hAnsi="宋体"/>
                <w:szCs w:val="21"/>
              </w:rPr>
            </w:pPr>
            <w:r>
              <w:rPr>
                <w:rFonts w:ascii="宋体" w:hAnsi="宋体"/>
                <w:szCs w:val="21"/>
              </w:rPr>
              <w:t>2.</w:t>
            </w:r>
            <w:r>
              <w:rPr>
                <w:rFonts w:hint="eastAsia" w:ascii="宋体" w:hAnsi="宋体"/>
                <w:szCs w:val="21"/>
              </w:rPr>
              <w:t>主板规格</w:t>
            </w:r>
            <w:r>
              <w:rPr>
                <w:rFonts w:ascii="宋体" w:hAnsi="宋体"/>
                <w:szCs w:val="21"/>
              </w:rPr>
              <w:t>:</w:t>
            </w:r>
            <w:r>
              <w:rPr>
                <w:rFonts w:hint="eastAsia" w:ascii="宋体" w:hAnsi="宋体"/>
                <w:szCs w:val="21"/>
              </w:rPr>
              <w:t>采用</w:t>
            </w:r>
            <w:r>
              <w:rPr>
                <w:rFonts w:ascii="宋体" w:hAnsi="宋体"/>
                <w:szCs w:val="21"/>
              </w:rPr>
              <w:t>H</w:t>
            </w:r>
            <w:r>
              <w:rPr>
                <w:rFonts w:hint="eastAsia" w:ascii="宋体" w:hAnsi="宋体"/>
                <w:szCs w:val="21"/>
              </w:rPr>
              <w:t>1</w:t>
            </w:r>
            <w:r>
              <w:rPr>
                <w:rFonts w:ascii="宋体" w:hAnsi="宋体"/>
                <w:szCs w:val="21"/>
              </w:rPr>
              <w:t>10</w:t>
            </w:r>
            <w:r>
              <w:rPr>
                <w:rFonts w:hint="eastAsia" w:ascii="宋体" w:hAnsi="宋体"/>
                <w:szCs w:val="21"/>
              </w:rPr>
              <w:t>芯片组；</w:t>
            </w:r>
          </w:p>
          <w:p>
            <w:pPr>
              <w:spacing w:line="360" w:lineRule="auto"/>
              <w:ind w:firstLine="203" w:firstLineChars="97"/>
              <w:rPr>
                <w:rFonts w:ascii="宋体" w:hAnsi="宋体"/>
                <w:szCs w:val="21"/>
              </w:rPr>
            </w:pPr>
            <w:r>
              <w:rPr>
                <w:rFonts w:ascii="宋体" w:hAnsi="宋体"/>
                <w:szCs w:val="21"/>
              </w:rPr>
              <w:t>3.</w:t>
            </w:r>
            <w:r>
              <w:rPr>
                <w:rFonts w:hint="eastAsia" w:ascii="宋体" w:hAnsi="宋体"/>
                <w:szCs w:val="21"/>
              </w:rPr>
              <w:t>处理器性能</w:t>
            </w:r>
            <w:r>
              <w:rPr>
                <w:rFonts w:ascii="宋体" w:hAnsi="宋体"/>
                <w:szCs w:val="21"/>
              </w:rPr>
              <w:t>:</w:t>
            </w:r>
            <w:r>
              <w:rPr>
                <w:rFonts w:hint="eastAsia" w:ascii="宋体" w:hAnsi="宋体"/>
                <w:szCs w:val="21"/>
              </w:rPr>
              <w:t>采用</w:t>
            </w:r>
            <w:r>
              <w:rPr>
                <w:rFonts w:ascii="宋体" w:hAnsi="宋体"/>
                <w:szCs w:val="21"/>
              </w:rPr>
              <w:t>Intel</w:t>
            </w:r>
            <w:r>
              <w:rPr>
                <w:rFonts w:hint="eastAsia" w:ascii="宋体" w:hAnsi="宋体"/>
                <w:szCs w:val="21"/>
              </w:rPr>
              <w:t>酷睿</w:t>
            </w:r>
            <w:r>
              <w:rPr>
                <w:rFonts w:ascii="宋体" w:hAnsi="宋体"/>
                <w:szCs w:val="21"/>
              </w:rPr>
              <w:t>I5</w:t>
            </w:r>
            <w:r>
              <w:rPr>
                <w:rFonts w:hint="eastAsia" w:ascii="宋体" w:hAnsi="宋体"/>
                <w:szCs w:val="21"/>
              </w:rPr>
              <w:t>处理器或以上配置</w:t>
            </w:r>
            <w:r>
              <w:rPr>
                <w:rFonts w:ascii="宋体" w:hAnsi="宋体"/>
                <w:szCs w:val="21"/>
              </w:rPr>
              <w:t>;</w:t>
            </w:r>
          </w:p>
          <w:p>
            <w:pPr>
              <w:spacing w:line="360" w:lineRule="auto"/>
              <w:ind w:firstLine="203" w:firstLineChars="97"/>
              <w:rPr>
                <w:rFonts w:ascii="宋体" w:hAnsi="宋体"/>
                <w:szCs w:val="21"/>
              </w:rPr>
            </w:pPr>
            <w:r>
              <w:rPr>
                <w:rFonts w:ascii="宋体" w:hAnsi="宋体"/>
                <w:szCs w:val="21"/>
              </w:rPr>
              <w:t>4.</w:t>
            </w:r>
            <w:r>
              <w:rPr>
                <w:rFonts w:hint="eastAsia" w:ascii="宋体" w:hAnsi="宋体"/>
                <w:szCs w:val="21"/>
              </w:rPr>
              <w:t>内存性能</w:t>
            </w:r>
            <w:r>
              <w:rPr>
                <w:rFonts w:ascii="宋体" w:hAnsi="宋体"/>
                <w:szCs w:val="21"/>
              </w:rPr>
              <w:t xml:space="preserve">:8G </w:t>
            </w:r>
            <w:r>
              <w:rPr>
                <w:rFonts w:hint="eastAsia" w:ascii="宋体" w:hAnsi="宋体"/>
                <w:szCs w:val="21"/>
              </w:rPr>
              <w:t>DDR</w:t>
            </w:r>
            <w:r>
              <w:rPr>
                <w:rFonts w:ascii="宋体" w:hAnsi="宋体"/>
                <w:szCs w:val="21"/>
              </w:rPr>
              <w:t xml:space="preserve">4 </w:t>
            </w:r>
            <w:r>
              <w:rPr>
                <w:rFonts w:hint="eastAsia" w:ascii="宋体" w:hAnsi="宋体"/>
                <w:szCs w:val="21"/>
              </w:rPr>
              <w:t>内存或以上配置</w:t>
            </w:r>
            <w:r>
              <w:rPr>
                <w:rFonts w:ascii="宋体" w:hAnsi="宋体"/>
                <w:szCs w:val="21"/>
              </w:rPr>
              <w:t>;</w:t>
            </w:r>
          </w:p>
          <w:p>
            <w:pPr>
              <w:spacing w:line="360" w:lineRule="auto"/>
              <w:ind w:firstLine="203" w:firstLineChars="97"/>
              <w:rPr>
                <w:rFonts w:ascii="宋体" w:hAnsi="宋体"/>
                <w:szCs w:val="21"/>
              </w:rPr>
            </w:pPr>
            <w:r>
              <w:rPr>
                <w:rFonts w:ascii="宋体" w:hAnsi="宋体"/>
                <w:szCs w:val="21"/>
              </w:rPr>
              <w:t>5.</w:t>
            </w:r>
            <w:r>
              <w:rPr>
                <w:rFonts w:hint="eastAsia" w:ascii="宋体" w:hAnsi="宋体"/>
                <w:szCs w:val="21"/>
              </w:rPr>
              <w:t>硬盘性能</w:t>
            </w:r>
            <w:r>
              <w:rPr>
                <w:rFonts w:ascii="宋体" w:hAnsi="宋体"/>
                <w:szCs w:val="21"/>
              </w:rPr>
              <w:t>:</w:t>
            </w:r>
            <w:r>
              <w:rPr>
                <w:rFonts w:hint="eastAsia" w:ascii="宋体" w:hAnsi="宋体"/>
                <w:szCs w:val="21"/>
              </w:rPr>
              <w:t xml:space="preserve"> 2</w:t>
            </w:r>
            <w:r>
              <w:rPr>
                <w:rFonts w:ascii="宋体" w:hAnsi="宋体"/>
                <w:szCs w:val="21"/>
              </w:rPr>
              <w:t>56G SSD</w:t>
            </w:r>
            <w:r>
              <w:rPr>
                <w:rFonts w:hint="eastAsia" w:ascii="宋体" w:hAnsi="宋体"/>
                <w:szCs w:val="21"/>
              </w:rPr>
              <w:t>或以上配置</w:t>
            </w:r>
            <w:r>
              <w:rPr>
                <w:rFonts w:ascii="宋体" w:hAnsi="宋体"/>
                <w:szCs w:val="21"/>
              </w:rPr>
              <w:t>,</w:t>
            </w:r>
            <w:r>
              <w:rPr>
                <w:rFonts w:hint="eastAsia" w:ascii="宋体" w:hAnsi="宋体"/>
                <w:szCs w:val="21"/>
              </w:rPr>
              <w:t>并具有防震功能</w:t>
            </w:r>
            <w:r>
              <w:rPr>
                <w:rFonts w:ascii="宋体" w:hAnsi="宋体"/>
                <w:szCs w:val="21"/>
              </w:rPr>
              <w:t>;</w:t>
            </w:r>
          </w:p>
          <w:p>
            <w:pPr>
              <w:spacing w:line="360" w:lineRule="auto"/>
              <w:ind w:firstLine="203" w:firstLineChars="97"/>
              <w:rPr>
                <w:rFonts w:ascii="宋体" w:hAnsi="宋体"/>
                <w:szCs w:val="21"/>
              </w:rPr>
            </w:pPr>
            <w:r>
              <w:rPr>
                <w:rFonts w:ascii="宋体" w:hAnsi="宋体"/>
                <w:szCs w:val="21"/>
              </w:rPr>
              <w:t>6.</w:t>
            </w:r>
            <w:r>
              <w:rPr>
                <w:rFonts w:hint="eastAsia" w:ascii="宋体" w:hAnsi="宋体"/>
                <w:szCs w:val="21"/>
              </w:rPr>
              <w:t>网络接入</w:t>
            </w:r>
            <w:r>
              <w:rPr>
                <w:rFonts w:ascii="宋体" w:hAnsi="宋体"/>
                <w:szCs w:val="21"/>
              </w:rPr>
              <w:t>:</w:t>
            </w:r>
            <w:r>
              <w:rPr>
                <w:rFonts w:hint="eastAsia" w:ascii="宋体" w:hAnsi="宋体"/>
                <w:szCs w:val="21"/>
              </w:rPr>
              <w:t>内置</w:t>
            </w:r>
            <w:r>
              <w:rPr>
                <w:rFonts w:ascii="宋体" w:hAnsi="宋体"/>
                <w:szCs w:val="21"/>
              </w:rPr>
              <w:t>10/100/1000M</w:t>
            </w:r>
            <w:r>
              <w:rPr>
                <w:rFonts w:hint="eastAsia" w:ascii="宋体" w:hAnsi="宋体"/>
                <w:szCs w:val="21"/>
              </w:rPr>
              <w:t>自适应网卡</w:t>
            </w:r>
            <w:r>
              <w:rPr>
                <w:rFonts w:ascii="宋体" w:hAnsi="宋体"/>
                <w:szCs w:val="21"/>
              </w:rPr>
              <w:t>,WiFi</w:t>
            </w:r>
            <w:r>
              <w:rPr>
                <w:rFonts w:hint="eastAsia" w:ascii="宋体" w:hAnsi="宋体"/>
                <w:szCs w:val="21"/>
              </w:rPr>
              <w:t>遵循</w:t>
            </w:r>
            <w:r>
              <w:rPr>
                <w:rFonts w:ascii="宋体" w:hAnsi="宋体"/>
                <w:szCs w:val="21"/>
              </w:rPr>
              <w:t>IEEE 802.11n</w:t>
            </w:r>
            <w:r>
              <w:rPr>
                <w:rFonts w:hint="eastAsia" w:ascii="宋体" w:hAnsi="宋体"/>
                <w:szCs w:val="21"/>
              </w:rPr>
              <w:t>标准</w:t>
            </w:r>
          </w:p>
          <w:p>
            <w:pPr>
              <w:spacing w:line="360" w:lineRule="auto"/>
              <w:ind w:firstLine="203" w:firstLineChars="97"/>
              <w:rPr>
                <w:rFonts w:ascii="宋体" w:hAnsi="宋体"/>
                <w:szCs w:val="21"/>
              </w:rPr>
            </w:pPr>
            <w:r>
              <w:rPr>
                <w:rFonts w:ascii="宋体" w:hAnsi="宋体"/>
                <w:szCs w:val="21"/>
              </w:rPr>
              <w:t>7.</w:t>
            </w:r>
            <w:r>
              <w:rPr>
                <w:rFonts w:hint="eastAsia" w:ascii="宋体" w:hAnsi="宋体"/>
                <w:szCs w:val="21"/>
              </w:rPr>
              <w:t>拓展接口</w:t>
            </w:r>
            <w:r>
              <w:rPr>
                <w:rFonts w:ascii="宋体" w:hAnsi="宋体"/>
                <w:szCs w:val="21"/>
              </w:rPr>
              <w:t>:</w:t>
            </w:r>
            <w:r>
              <w:rPr>
                <w:rFonts w:hint="eastAsia" w:ascii="宋体" w:hAnsi="宋体"/>
                <w:szCs w:val="21"/>
              </w:rPr>
              <w:t>具备独立非外扩展</w:t>
            </w:r>
            <w:r>
              <w:rPr>
                <w:rFonts w:ascii="宋体" w:hAnsi="宋体"/>
                <w:szCs w:val="21"/>
              </w:rPr>
              <w:t>6</w:t>
            </w:r>
            <w:r>
              <w:rPr>
                <w:rFonts w:hint="eastAsia" w:ascii="宋体" w:hAnsi="宋体"/>
                <w:szCs w:val="21"/>
              </w:rPr>
              <w:t>个</w:t>
            </w:r>
            <w:r>
              <w:rPr>
                <w:rFonts w:ascii="宋体" w:hAnsi="宋体"/>
                <w:szCs w:val="21"/>
              </w:rPr>
              <w:t>USB</w:t>
            </w:r>
            <w:r>
              <w:rPr>
                <w:rFonts w:hint="eastAsia" w:ascii="宋体" w:hAnsi="宋体"/>
                <w:szCs w:val="21"/>
              </w:rPr>
              <w:t>（U</w:t>
            </w:r>
            <w:r>
              <w:rPr>
                <w:rFonts w:ascii="宋体" w:hAnsi="宋体"/>
                <w:szCs w:val="21"/>
              </w:rPr>
              <w:t>SB3.0</w:t>
            </w:r>
            <w:r>
              <w:rPr>
                <w:rFonts w:hint="eastAsia" w:ascii="宋体" w:hAnsi="宋体"/>
                <w:szCs w:val="21"/>
              </w:rPr>
              <w:t>≥3个）、</w:t>
            </w:r>
            <w:r>
              <w:rPr>
                <w:rFonts w:ascii="宋体" w:hAnsi="宋体"/>
                <w:szCs w:val="21"/>
              </w:rPr>
              <w:t>HDMI*1</w:t>
            </w:r>
            <w:r>
              <w:rPr>
                <w:rFonts w:hint="eastAsia" w:ascii="宋体" w:hAnsi="宋体"/>
                <w:szCs w:val="21"/>
              </w:rPr>
              <w:t>、</w:t>
            </w:r>
            <w:r>
              <w:rPr>
                <w:rFonts w:ascii="宋体" w:hAnsi="宋体"/>
                <w:szCs w:val="21"/>
              </w:rPr>
              <w:t>DP*1,</w:t>
            </w:r>
            <w:r>
              <w:rPr>
                <w:rFonts w:hint="eastAsia" w:ascii="宋体" w:hAnsi="宋体"/>
                <w:szCs w:val="21"/>
              </w:rPr>
              <w:t>满足教学拓展需求</w:t>
            </w:r>
            <w:r>
              <w:rPr>
                <w:rFonts w:ascii="宋体" w:hAnsi="宋体"/>
                <w:szCs w:val="21"/>
              </w:rPr>
              <w:t>;</w:t>
            </w:r>
          </w:p>
          <w:p>
            <w:pPr>
              <w:spacing w:line="360" w:lineRule="auto"/>
              <w:ind w:firstLine="280"/>
              <w:rPr>
                <w:szCs w:val="21"/>
              </w:rPr>
            </w:pPr>
            <w:r>
              <w:rPr>
                <w:rFonts w:ascii="宋体" w:hAnsi="宋体"/>
                <w:szCs w:val="21"/>
              </w:rPr>
              <w:t>8.</w:t>
            </w:r>
            <w:r>
              <w:rPr>
                <w:rFonts w:hint="eastAsia" w:ascii="宋体" w:hAnsi="宋体"/>
                <w:szCs w:val="21"/>
              </w:rPr>
              <w:t>系统还原</w:t>
            </w:r>
            <w:r>
              <w:rPr>
                <w:rFonts w:ascii="宋体" w:hAnsi="宋体"/>
                <w:szCs w:val="21"/>
              </w:rPr>
              <w:t>:</w:t>
            </w:r>
            <w:r>
              <w:rPr>
                <w:rFonts w:hint="eastAsia" w:ascii="宋体" w:hAnsi="宋体"/>
                <w:szCs w:val="21"/>
              </w:rPr>
              <w:t>提供软件、硬件一键系统还原方案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983" w:type="dxa"/>
            <w:vAlign w:val="center"/>
          </w:tcPr>
          <w:p>
            <w:pPr>
              <w:widowControl/>
              <w:spacing w:line="360" w:lineRule="auto"/>
              <w:jc w:val="center"/>
              <w:rPr>
                <w:rFonts w:ascii="宋体" w:hAnsi="宋体" w:cs="宋体"/>
                <w:kern w:val="0"/>
                <w:szCs w:val="21"/>
              </w:rPr>
            </w:pPr>
            <w:r>
              <w:rPr>
                <w:rFonts w:hint="eastAsia" w:ascii="宋体" w:hAnsi="宋体"/>
                <w:b/>
                <w:bCs/>
                <w:szCs w:val="21"/>
              </w:rPr>
              <w:t>组合式推拉黑板</w:t>
            </w:r>
          </w:p>
        </w:tc>
        <w:tc>
          <w:tcPr>
            <w:tcW w:w="8709" w:type="dxa"/>
            <w:gridSpan w:val="2"/>
            <w:vAlign w:val="center"/>
          </w:tcPr>
          <w:p>
            <w:pPr>
              <w:rPr>
                <w:rFonts w:ascii="宋体" w:hAnsi="宋体" w:cs="宋体"/>
                <w:color w:val="000000"/>
                <w:szCs w:val="21"/>
              </w:rPr>
            </w:pPr>
            <w:r>
              <w:rPr>
                <w:rFonts w:hint="eastAsia" w:ascii="宋体" w:hAnsi="宋体" w:cs="宋体"/>
                <w:color w:val="000000"/>
                <w:sz w:val="24"/>
                <w:szCs w:val="24"/>
              </w:rPr>
              <w:t>1</w:t>
            </w:r>
            <w:r>
              <w:rPr>
                <w:rFonts w:hint="eastAsia" w:ascii="宋体" w:hAnsi="宋体" w:cs="宋体"/>
                <w:color w:val="000000"/>
                <w:szCs w:val="21"/>
              </w:rPr>
              <w:t>.结构：双层结构，内层为两块固定书写板左右各一块，中间预留放置电子产品空间，外层为两块滑动书写板。</w:t>
            </w:r>
          </w:p>
          <w:p>
            <w:pPr>
              <w:rPr>
                <w:rFonts w:ascii="宋体" w:hAnsi="宋体" w:cs="宋体"/>
                <w:color w:val="000000"/>
                <w:szCs w:val="21"/>
              </w:rPr>
            </w:pPr>
            <w:r>
              <w:rPr>
                <w:rFonts w:hint="eastAsia" w:ascii="宋体" w:hAnsi="宋体" w:cs="宋体"/>
                <w:color w:val="000000"/>
                <w:szCs w:val="21"/>
              </w:rPr>
              <w:t>2.尺寸：≥4300mm，可根据所配电子产品适当调整，确保与电子产品的有效配套</w:t>
            </w:r>
          </w:p>
          <w:p>
            <w:pPr>
              <w:rPr>
                <w:rFonts w:ascii="宋体" w:hAnsi="宋体" w:cs="宋体"/>
                <w:color w:val="000000"/>
                <w:szCs w:val="21"/>
              </w:rPr>
            </w:pPr>
            <w:r>
              <w:rPr>
                <w:rFonts w:hint="eastAsia" w:ascii="宋体" w:hAnsi="宋体" w:cs="宋体"/>
                <w:color w:val="000000"/>
                <w:szCs w:val="21"/>
              </w:rPr>
              <w:t>3.板面：采用金属烤漆书写板面，亚光墨绿色，光泽度≤12光泽单位，没有因黑板本身原因产生的眩光，书写流畅字迹清晰、色彩协调可视效果佳，有效的缓解学生视觉疲劳。</w:t>
            </w:r>
          </w:p>
          <w:p>
            <w:pPr>
              <w:rPr>
                <w:rFonts w:ascii="宋体" w:hAnsi="宋体" w:cs="宋体"/>
                <w:color w:val="000000"/>
                <w:szCs w:val="21"/>
              </w:rPr>
            </w:pPr>
            <w:r>
              <w:rPr>
                <w:rFonts w:hint="eastAsia" w:ascii="宋体" w:hAnsi="宋体" w:cs="宋体"/>
                <w:color w:val="000000"/>
                <w:szCs w:val="21"/>
              </w:rPr>
              <w:t>4.内板：边框采用折边工艺，左右彻底无边框，上下边框隐藏于外框中，正面观看整套黑板浑然一体，无传统教学板格栅化分格效果，更具美观，并有效增加书写面积，整体颜色一致，简洁美观。整块内板表面平整，硬度高，没有因黑板本身原因产生的眩光，书写流畅字迹清晰、色彩协调可视效果佳，有效的缓解学生视觉疲劳；板面表面附有一层透明保护膜，符合GB28231-2011《书写板安全卫生要求》；</w:t>
            </w:r>
          </w:p>
          <w:p>
            <w:pPr>
              <w:rPr>
                <w:rFonts w:ascii="宋体" w:hAnsi="宋体" w:cs="宋体"/>
                <w:color w:val="000000"/>
                <w:szCs w:val="21"/>
              </w:rPr>
            </w:pPr>
            <w:r>
              <w:rPr>
                <w:rFonts w:hint="eastAsia" w:ascii="宋体" w:hAnsi="宋体" w:cs="宋体"/>
                <w:color w:val="000000"/>
                <w:szCs w:val="21"/>
              </w:rPr>
              <w:t>5.滑块：采用聚四氟乙烯材质，耐高温，耐腐蚀，自润滑，耐磨，滑块与外框紧密接触，有效避免内板前后晃动，具有滑动板拉动轻便顺畅、无滚动噪音等优点，书写体验度高；自阻尼设计，避免于滑动板书写时左右晃动。</w:t>
            </w:r>
          </w:p>
          <w:p>
            <w:pPr>
              <w:rPr>
                <w:rFonts w:ascii="宋体" w:hAnsi="宋体" w:cs="宋体"/>
                <w:color w:val="000000"/>
                <w:szCs w:val="21"/>
              </w:rPr>
            </w:pPr>
            <w:r>
              <w:rPr>
                <w:rFonts w:hint="eastAsia" w:ascii="宋体" w:hAnsi="宋体" w:cs="宋体"/>
                <w:color w:val="000000"/>
                <w:szCs w:val="21"/>
              </w:rPr>
              <w:t>6.边框：采用高强度电泳喷砂驼色铝合金型材，耐磨耐腐，经铜加速乙酸盐雾试验，保护等级≥10级；经耐磨性经落砂磨耗试验，落砂量≥3000g，未落穿至基材。</w:t>
            </w:r>
          </w:p>
          <w:p>
            <w:pPr>
              <w:rPr>
                <w:rFonts w:ascii="宋体" w:hAnsi="宋体" w:cs="宋体"/>
                <w:color w:val="000000"/>
                <w:szCs w:val="21"/>
              </w:rPr>
            </w:pPr>
            <w:r>
              <w:rPr>
                <w:rFonts w:hint="eastAsia" w:ascii="宋体" w:hAnsi="宋体" w:cs="宋体"/>
                <w:color w:val="000000"/>
                <w:szCs w:val="21"/>
              </w:rPr>
              <w:t>7.包角：采用抗老化高强度ABS工程塑料注塑成型，整体性强。无尖角毛刺，符合GB 21027-2007《学生用品的安全通用要求》 。</w:t>
            </w:r>
          </w:p>
          <w:p>
            <w:pPr>
              <w:rPr>
                <w:szCs w:val="21"/>
              </w:rPr>
            </w:pPr>
            <w:r>
              <w:rPr>
                <w:rFonts w:hint="eastAsia" w:ascii="宋体" w:hAnsi="宋体" w:cs="宋体"/>
                <w:color w:val="000000"/>
                <w:szCs w:val="21"/>
              </w:rPr>
              <w:t>8、限位档：横框内部两侧安装可拆卸限位档，避免滑动板推拉过程中撞击立框及夹手。限位档可反复多次拆装不滑丝，螺丝刀即可操作。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983" w:type="dxa"/>
            <w:vAlign w:val="center"/>
          </w:tcPr>
          <w:p>
            <w:pPr>
              <w:widowControl/>
              <w:spacing w:line="360" w:lineRule="auto"/>
              <w:jc w:val="center"/>
              <w:rPr>
                <w:rFonts w:ascii="宋体" w:hAnsi="宋体" w:cs="宋体"/>
                <w:kern w:val="0"/>
                <w:szCs w:val="21"/>
              </w:rPr>
            </w:pPr>
            <w:r>
              <w:rPr>
                <w:rFonts w:hint="eastAsia" w:ascii="宋体" w:hAnsi="宋体"/>
                <w:b/>
                <w:bCs/>
                <w:szCs w:val="21"/>
              </w:rPr>
              <w:t>实物展台（壁挂式）</w:t>
            </w:r>
          </w:p>
        </w:tc>
        <w:tc>
          <w:tcPr>
            <w:tcW w:w="8709" w:type="dxa"/>
            <w:gridSpan w:val="2"/>
            <w:vAlign w:val="center"/>
          </w:tcPr>
          <w:p>
            <w:pPr>
              <w:numPr>
                <w:ilvl w:val="0"/>
                <w:numId w:val="38"/>
              </w:numPr>
              <w:spacing w:line="360" w:lineRule="auto"/>
              <w:rPr>
                <w:rFonts w:ascii="宋体" w:hAnsi="宋体" w:cs="宋体"/>
                <w:color w:val="000000"/>
                <w:kern w:val="0"/>
                <w:szCs w:val="21"/>
              </w:rPr>
            </w:pPr>
            <w:r>
              <w:rPr>
                <w:rFonts w:hint="eastAsia" w:ascii="宋体" w:hAnsi="宋体" w:cs="宋体"/>
                <w:color w:val="000000"/>
                <w:kern w:val="0"/>
                <w:szCs w:val="21"/>
              </w:rPr>
              <w:t>箱体采用环保材质，轻便耐腐蚀，箱内无可见连接线，整机圆边设计，安全防碰伤。</w:t>
            </w:r>
          </w:p>
          <w:p>
            <w:pPr>
              <w:numPr>
                <w:ilvl w:val="0"/>
                <w:numId w:val="38"/>
              </w:numPr>
              <w:spacing w:line="360" w:lineRule="auto"/>
              <w:rPr>
                <w:rFonts w:ascii="宋体" w:hAnsi="宋体" w:cs="宋体"/>
                <w:color w:val="000000"/>
                <w:kern w:val="0"/>
                <w:szCs w:val="21"/>
              </w:rPr>
            </w:pPr>
            <w:r>
              <w:rPr>
                <w:rFonts w:hint="eastAsia" w:ascii="宋体" w:hAnsi="宋体" w:cs="宋体"/>
                <w:color w:val="000000"/>
                <w:kern w:val="0"/>
                <w:szCs w:val="21"/>
              </w:rPr>
              <w:t>采用三折叠式开合托板，非气压杆联动，平稳无故障。</w:t>
            </w:r>
          </w:p>
          <w:p>
            <w:pPr>
              <w:numPr>
                <w:ilvl w:val="0"/>
                <w:numId w:val="38"/>
              </w:numPr>
              <w:spacing w:line="360" w:lineRule="auto"/>
              <w:rPr>
                <w:rFonts w:ascii="宋体" w:hAnsi="宋体" w:cs="宋体"/>
                <w:color w:val="000000"/>
                <w:kern w:val="0"/>
                <w:szCs w:val="21"/>
              </w:rPr>
            </w:pPr>
            <w:r>
              <w:rPr>
                <w:rFonts w:hint="eastAsia" w:ascii="宋体" w:hAnsi="宋体" w:cs="宋体"/>
                <w:color w:val="000000"/>
                <w:kern w:val="0"/>
                <w:szCs w:val="21"/>
              </w:rPr>
              <w:t>像素：镜头800万像素，A4拍摄幅面。</w:t>
            </w:r>
          </w:p>
          <w:p>
            <w:pPr>
              <w:numPr>
                <w:ilvl w:val="0"/>
                <w:numId w:val="38"/>
              </w:numPr>
              <w:spacing w:line="360" w:lineRule="auto"/>
              <w:rPr>
                <w:rFonts w:ascii="宋体" w:hAnsi="宋体" w:cs="宋体"/>
                <w:color w:val="000000"/>
                <w:kern w:val="0"/>
                <w:szCs w:val="21"/>
              </w:rPr>
            </w:pPr>
            <w:r>
              <w:rPr>
                <w:rFonts w:hint="eastAsia" w:ascii="宋体" w:hAnsi="宋体" w:cs="宋体"/>
                <w:color w:val="000000"/>
                <w:kern w:val="0"/>
                <w:szCs w:val="21"/>
              </w:rPr>
              <w:t>具备1个5V 2A电源接口，在超5米远距离传输时可选用电源适配器辅助供电，确保高清数据和供电传输的稳定性。</w:t>
            </w:r>
          </w:p>
          <w:p>
            <w:pPr>
              <w:numPr>
                <w:ilvl w:val="0"/>
                <w:numId w:val="38"/>
              </w:numPr>
              <w:spacing w:line="360" w:lineRule="auto"/>
              <w:rPr>
                <w:rFonts w:ascii="宋体" w:hAnsi="宋体" w:cs="宋体"/>
                <w:color w:val="000000"/>
                <w:kern w:val="0"/>
                <w:szCs w:val="21"/>
              </w:rPr>
            </w:pPr>
            <w:r>
              <w:rPr>
                <w:rFonts w:hint="eastAsia" w:ascii="宋体" w:hAnsi="宋体" w:cs="宋体"/>
                <w:color w:val="000000"/>
                <w:szCs w:val="21"/>
              </w:rPr>
              <w:t>展台采用USB连接方式，单根USB线实现供电与传输，环保无辐射。</w:t>
            </w:r>
          </w:p>
          <w:p>
            <w:pPr>
              <w:numPr>
                <w:ilvl w:val="0"/>
                <w:numId w:val="38"/>
              </w:numPr>
              <w:spacing w:line="360" w:lineRule="auto"/>
              <w:rPr>
                <w:rFonts w:ascii="宋体" w:hAnsi="宋体" w:cs="宋体"/>
                <w:color w:val="000000"/>
                <w:kern w:val="0"/>
                <w:szCs w:val="21"/>
              </w:rPr>
            </w:pPr>
            <w:r>
              <w:rPr>
                <w:rFonts w:hint="eastAsia" w:ascii="宋体" w:hAnsi="宋体" w:cs="宋体"/>
                <w:color w:val="000000"/>
                <w:kern w:val="0"/>
                <w:szCs w:val="21"/>
              </w:rPr>
              <w:t>箱体外侧内嵌2个USB扩展口，可外接U盘或无线键鼠的接收器。</w:t>
            </w:r>
          </w:p>
          <w:p>
            <w:pPr>
              <w:numPr>
                <w:ilvl w:val="0"/>
                <w:numId w:val="38"/>
              </w:numPr>
              <w:spacing w:line="360" w:lineRule="auto"/>
              <w:rPr>
                <w:rFonts w:ascii="宋体" w:hAnsi="宋体" w:cs="宋体"/>
                <w:color w:val="000000"/>
                <w:kern w:val="0"/>
                <w:szCs w:val="21"/>
              </w:rPr>
            </w:pPr>
            <w:r>
              <w:rPr>
                <w:rFonts w:hint="eastAsia" w:ascii="宋体" w:hAnsi="宋体" w:cs="宋体"/>
                <w:color w:val="000000"/>
                <w:kern w:val="0"/>
                <w:szCs w:val="21"/>
              </w:rPr>
              <w:t>镜头对焦方式采用自动对焦加触摸对焦按键，也可通过实时演示画面直接控制对焦，减少老师来回走动。</w:t>
            </w:r>
          </w:p>
          <w:p>
            <w:pPr>
              <w:numPr>
                <w:ilvl w:val="0"/>
                <w:numId w:val="38"/>
              </w:numPr>
              <w:spacing w:line="360" w:lineRule="auto"/>
              <w:rPr>
                <w:rFonts w:ascii="宋体" w:hAnsi="宋体" w:cs="宋体"/>
                <w:color w:val="000000"/>
                <w:kern w:val="0"/>
                <w:szCs w:val="21"/>
              </w:rPr>
            </w:pPr>
            <w:r>
              <w:rPr>
                <w:rFonts w:hint="eastAsia" w:ascii="宋体" w:hAnsi="宋体" w:cs="宋体"/>
                <w:color w:val="000000"/>
                <w:kern w:val="0"/>
                <w:szCs w:val="21"/>
              </w:rPr>
              <w:t xml:space="preserve">整机自带LED补光灯，可触摸式三级灯光调节。 </w:t>
            </w:r>
          </w:p>
          <w:p>
            <w:pPr>
              <w:spacing w:line="360" w:lineRule="auto"/>
              <w:rPr>
                <w:rFonts w:ascii="宋体" w:hAnsi="宋体" w:cs="宋体"/>
                <w:color w:val="000000"/>
                <w:szCs w:val="21"/>
                <w:shd w:val="clear" w:color="auto" w:fill="FBFBFB"/>
              </w:rPr>
            </w:pPr>
            <w:r>
              <w:rPr>
                <w:rFonts w:hint="eastAsia" w:ascii="宋体" w:hAnsi="宋体" w:cs="宋体"/>
                <w:color w:val="000000"/>
                <w:szCs w:val="21"/>
              </w:rPr>
              <w:t>9，软件界面与功能图标内嵌中文，清晰易用，提供多种画笔选择，实现即时划线批注，画笔的设置效果可以通过预览框所见所得。有清空、擦除及桌面白板批注、保存、动态文字添加功能，批注侧栏可一键隐藏；触摸即时自由缩放，能实现以鼠标为中心按1%梯度进行自由缩放至1000%</w:t>
            </w:r>
            <w:r>
              <w:rPr>
                <w:rFonts w:hint="eastAsia" w:ascii="宋体" w:hAnsi="宋体" w:cs="宋体"/>
                <w:color w:val="000000"/>
                <w:szCs w:val="21"/>
                <w:shd w:val="clear" w:color="auto" w:fill="FBFBFB"/>
              </w:rPr>
              <w:t>。</w:t>
            </w:r>
          </w:p>
          <w:p>
            <w:pPr>
              <w:spacing w:line="360" w:lineRule="auto"/>
              <w:rPr>
                <w:rFonts w:ascii="宋体" w:hAnsi="宋体" w:cs="宋体"/>
                <w:color w:val="000000"/>
                <w:szCs w:val="21"/>
                <w:shd w:val="clear" w:color="auto" w:fill="FBFBFB"/>
              </w:rPr>
            </w:pPr>
            <w:r>
              <w:rPr>
                <w:rFonts w:hint="eastAsia" w:ascii="宋体" w:hAnsi="宋体" w:cs="宋体"/>
                <w:color w:val="000000"/>
                <w:szCs w:val="21"/>
                <w:shd w:val="clear" w:color="auto" w:fill="FBFBFB"/>
              </w:rPr>
              <w:t>10，支持对展台实时画面进行</w:t>
            </w:r>
            <w:r>
              <w:rPr>
                <w:rFonts w:hint="eastAsia" w:ascii="宋体" w:hAnsi="宋体" w:cs="宋体"/>
                <w:color w:val="000000"/>
                <w:szCs w:val="21"/>
              </w:rPr>
              <w:t>负片、镜像、黑白、自动曝光、亮度、对比度、饱和度等操作，提供JPG、BMP、PNG、PDF多种图片格式选择，支持一键PDF文件拍摄，拍照后能直接点打开和跳转文件目录，可自定义设置图片和录像的存储路径</w:t>
            </w:r>
            <w:r>
              <w:rPr>
                <w:rFonts w:hint="eastAsia" w:ascii="宋体" w:hAnsi="宋体" w:cs="宋体"/>
                <w:color w:val="000000"/>
                <w:szCs w:val="21"/>
                <w:shd w:val="clear" w:color="auto" w:fill="FBFBFB"/>
              </w:rPr>
              <w:t>。</w:t>
            </w:r>
          </w:p>
          <w:p>
            <w:pPr>
              <w:spacing w:line="360" w:lineRule="auto"/>
              <w:rPr>
                <w:sz w:val="24"/>
                <w:szCs w:val="24"/>
              </w:rPr>
            </w:pPr>
            <w:r>
              <w:rPr>
                <w:rFonts w:hint="eastAsia" w:ascii="宋体" w:hAnsi="宋体" w:cs="宋体"/>
                <w:color w:val="000000"/>
                <w:szCs w:val="21"/>
                <w:shd w:val="clear" w:color="auto" w:fill="FBFBFB"/>
              </w:rPr>
              <w:t>11，虚拟黑板功能：在展台画面演示窗口中，老师可以框选任意区域内容，框选完成自动跳转到板书模式下显示，对于课本或试卷的重点内容进行独立讲解，支持保存功能，便于二次打开和编辑，使授课变得简单轻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983" w:type="dxa"/>
            <w:vAlign w:val="center"/>
          </w:tcPr>
          <w:p>
            <w:pPr>
              <w:widowControl/>
              <w:spacing w:line="360" w:lineRule="auto"/>
              <w:jc w:val="center"/>
              <w:rPr>
                <w:rFonts w:ascii="宋体" w:hAnsi="宋体"/>
                <w:b/>
                <w:bCs/>
                <w:szCs w:val="21"/>
              </w:rPr>
            </w:pPr>
            <w:r>
              <w:rPr>
                <w:rFonts w:hint="eastAsia" w:ascii="宋体" w:hAnsi="宋体"/>
                <w:b/>
                <w:bCs/>
                <w:szCs w:val="21"/>
              </w:rPr>
              <w:t>钢制讲台</w:t>
            </w:r>
          </w:p>
        </w:tc>
        <w:tc>
          <w:tcPr>
            <w:tcW w:w="8709" w:type="dxa"/>
            <w:gridSpan w:val="2"/>
            <w:vAlign w:val="center"/>
          </w:tcPr>
          <w:p>
            <w:pPr>
              <w:spacing w:line="360" w:lineRule="auto"/>
              <w:rPr>
                <w:rFonts w:ascii="宋体" w:hAnsi="宋体" w:cs="宋体"/>
                <w:color w:val="000000"/>
                <w:szCs w:val="21"/>
              </w:rPr>
            </w:pPr>
            <w:r>
              <w:rPr>
                <w:rFonts w:hint="eastAsia" w:ascii="宋体" w:hAnsi="宋体" w:cs="宋体"/>
                <w:color w:val="000000"/>
                <w:szCs w:val="21"/>
              </w:rPr>
              <w:t>1、讲台外型（L*B*H):800mm*600mm*940mm.</w:t>
            </w:r>
          </w:p>
          <w:p>
            <w:pPr>
              <w:spacing w:line="360" w:lineRule="auto"/>
              <w:rPr>
                <w:rFonts w:ascii="宋体" w:hAnsi="宋体" w:cs="宋体"/>
                <w:color w:val="000000"/>
                <w:szCs w:val="21"/>
              </w:rPr>
            </w:pPr>
            <w:r>
              <w:rPr>
                <w:rFonts w:hint="eastAsia" w:ascii="宋体" w:hAnsi="宋体" w:cs="宋体"/>
                <w:color w:val="000000"/>
                <w:szCs w:val="21"/>
              </w:rPr>
              <w:t xml:space="preserve">2、 讲桌主体材料采用0.8-1.0mm冷轧钢板。讲桌采用钢木结合构造，桌体上部分采用圆弧设计。讲台整体设计符合人体力学原理，提供左右实木扶手，供使用者扶用。  </w:t>
            </w:r>
          </w:p>
          <w:p>
            <w:pPr>
              <w:spacing w:line="360" w:lineRule="auto"/>
              <w:rPr>
                <w:rFonts w:ascii="宋体" w:hAnsi="宋体" w:cs="宋体"/>
                <w:color w:val="000000"/>
                <w:szCs w:val="21"/>
              </w:rPr>
            </w:pPr>
            <w:r>
              <w:rPr>
                <w:rFonts w:hint="eastAsia" w:ascii="宋体" w:hAnsi="宋体" w:cs="宋体"/>
                <w:color w:val="000000"/>
                <w:szCs w:val="21"/>
              </w:rPr>
              <w:t xml:space="preserve">3、 工艺：脱脂、磷化、静电喷塑、溜平固化，重点部位须采用一次冲压成型技术；所有钣金部分均采用激光切割加工，所有尖角倒圆角不小于R3，保证使用者和维护者不划伤。 </w:t>
            </w:r>
          </w:p>
          <w:p>
            <w:pPr>
              <w:spacing w:line="360" w:lineRule="auto"/>
              <w:rPr>
                <w:rFonts w:ascii="宋体" w:hAnsi="宋体" w:cs="宋体"/>
                <w:color w:val="000000"/>
                <w:szCs w:val="21"/>
              </w:rPr>
            </w:pPr>
            <w:r>
              <w:rPr>
                <w:rFonts w:hint="eastAsia" w:ascii="宋体" w:hAnsi="宋体" w:cs="宋体"/>
                <w:color w:val="000000"/>
                <w:szCs w:val="21"/>
              </w:rPr>
              <w:t xml:space="preserve">4、 讲桌桌面采用木质耐划台面，实木扶手，防火、防尘、防水，整体布局简洁、美观。 </w:t>
            </w:r>
          </w:p>
          <w:p>
            <w:pPr>
              <w:spacing w:line="360" w:lineRule="auto"/>
              <w:rPr>
                <w:rFonts w:ascii="宋体" w:hAnsi="宋体"/>
              </w:rPr>
            </w:pPr>
            <w:r>
              <w:rPr>
                <w:rFonts w:hint="eastAsia" w:ascii="宋体" w:hAnsi="宋体" w:cs="宋体"/>
                <w:color w:val="000000"/>
                <w:szCs w:val="21"/>
              </w:rPr>
              <w:t xml:space="preserve">5、 讲桌上下层采用分体式设计，键盘托架采用抽拉式设计，桌面部分和桌体部分自成一体，且下柜为乐高拼插结构，有效预防磕碰问题又方便运输搬运，讲台所有部分一个包装箱，方便进出设计比较窄的教室门。讲桌内置固定螺丝孔位，安装简单，安全防盗；运输轻便。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2" w:hRule="atLeast"/>
          <w:jc w:val="center"/>
        </w:trPr>
        <w:tc>
          <w:tcPr>
            <w:tcW w:w="983" w:type="dxa"/>
            <w:vAlign w:val="center"/>
          </w:tcPr>
          <w:p>
            <w:pPr>
              <w:widowControl/>
              <w:spacing w:line="360" w:lineRule="auto"/>
              <w:jc w:val="center"/>
              <w:rPr>
                <w:rFonts w:ascii="宋体" w:hAnsi="宋体" w:cs="宋体"/>
                <w:kern w:val="0"/>
                <w:szCs w:val="21"/>
              </w:rPr>
            </w:pPr>
            <w:r>
              <w:rPr>
                <w:rFonts w:hint="eastAsia" w:ascii="宋体" w:hAnsi="宋体"/>
                <w:b/>
                <w:bCs/>
                <w:szCs w:val="21"/>
              </w:rPr>
              <w:t>无线鼠标键盘套装</w:t>
            </w:r>
          </w:p>
        </w:tc>
        <w:tc>
          <w:tcPr>
            <w:tcW w:w="8709" w:type="dxa"/>
            <w:gridSpan w:val="2"/>
            <w:vAlign w:val="center"/>
          </w:tcPr>
          <w:p>
            <w:pPr>
              <w:spacing w:line="360" w:lineRule="auto"/>
              <w:ind w:firstLine="280"/>
              <w:rPr>
                <w:szCs w:val="21"/>
              </w:rPr>
            </w:pPr>
            <w:r>
              <w:rPr>
                <w:rFonts w:hint="eastAsia" w:ascii="宋体" w:hAnsi="宋体"/>
                <w:szCs w:val="21"/>
              </w:rPr>
              <w:t>1、无线环保频率2.4GHz,无线加密传输，通讯距离≥10米；</w:t>
            </w:r>
          </w:p>
          <w:p>
            <w:pPr>
              <w:spacing w:line="360" w:lineRule="auto"/>
              <w:ind w:firstLine="280"/>
              <w:rPr>
                <w:szCs w:val="21"/>
              </w:rPr>
            </w:pPr>
            <w:r>
              <w:rPr>
                <w:rFonts w:hint="eastAsia" w:ascii="宋体" w:hAnsi="宋体"/>
                <w:szCs w:val="21"/>
              </w:rPr>
              <w:t>2、USB</w:t>
            </w:r>
            <w:r>
              <w:rPr>
                <w:rFonts w:ascii="宋体" w:hAnsi="宋体"/>
                <w:szCs w:val="21"/>
              </w:rPr>
              <w:t>3</w:t>
            </w:r>
            <w:r>
              <w:rPr>
                <w:rFonts w:hint="eastAsia" w:ascii="宋体" w:hAnsi="宋体"/>
                <w:szCs w:val="21"/>
              </w:rPr>
              <w:t>.0微型接收器（鼠标键盘共用一个接收器）；</w:t>
            </w:r>
          </w:p>
          <w:p>
            <w:pPr>
              <w:spacing w:line="360" w:lineRule="auto"/>
              <w:ind w:firstLine="280"/>
              <w:rPr>
                <w:szCs w:val="21"/>
              </w:rPr>
            </w:pPr>
            <w:r>
              <w:rPr>
                <w:rFonts w:hint="eastAsia" w:ascii="宋体" w:hAnsi="宋体"/>
                <w:szCs w:val="21"/>
              </w:rPr>
              <w:t>3、全尺寸键盘，能控制音量大小，视频播放等媒体热键；有电磁检查、计算器、锁、Home快捷键；</w:t>
            </w:r>
          </w:p>
          <w:p>
            <w:pPr>
              <w:spacing w:line="360" w:lineRule="auto"/>
              <w:ind w:firstLine="280"/>
              <w:rPr>
                <w:szCs w:val="21"/>
              </w:rPr>
            </w:pPr>
            <w:r>
              <w:rPr>
                <w:rFonts w:hint="eastAsia" w:ascii="宋体" w:hAnsi="宋体"/>
                <w:szCs w:val="21"/>
              </w:rPr>
              <w:t>4、键盘、鼠标具有6</w:t>
            </w:r>
            <w:r>
              <w:rPr>
                <w:rFonts w:ascii="宋体" w:hAnsi="宋体"/>
                <w:szCs w:val="21"/>
              </w:rPr>
              <w:t>0</w:t>
            </w:r>
            <w:r>
              <w:rPr>
                <w:rFonts w:hint="eastAsia" w:ascii="宋体" w:hAnsi="宋体"/>
                <w:szCs w:val="21"/>
              </w:rPr>
              <w:t>ml以下的液体防溅泼设计；</w:t>
            </w:r>
          </w:p>
          <w:p>
            <w:pPr>
              <w:spacing w:line="360" w:lineRule="auto"/>
              <w:ind w:firstLine="280"/>
              <w:rPr>
                <w:szCs w:val="21"/>
              </w:rPr>
            </w:pPr>
            <w:r>
              <w:rPr>
                <w:rFonts w:hint="eastAsia" w:ascii="宋体" w:hAnsi="宋体"/>
                <w:szCs w:val="21"/>
              </w:rPr>
              <w:t>5、设备具有低耗能，更新一次电池后</w:t>
            </w:r>
            <w:r>
              <w:rPr>
                <w:rFonts w:ascii="宋体" w:hAnsi="宋体"/>
                <w:szCs w:val="21"/>
              </w:rPr>
              <w:t>12</w:t>
            </w:r>
            <w:r>
              <w:rPr>
                <w:rFonts w:hint="eastAsia" w:ascii="宋体" w:hAnsi="宋体"/>
                <w:szCs w:val="21"/>
              </w:rPr>
              <w:t>个月内无需重复更换；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2" w:hRule="atLeast"/>
          <w:jc w:val="center"/>
        </w:trPr>
        <w:tc>
          <w:tcPr>
            <w:tcW w:w="983" w:type="dxa"/>
            <w:vMerge w:val="restart"/>
            <w:vAlign w:val="center"/>
          </w:tcPr>
          <w:p>
            <w:pPr>
              <w:spacing w:line="360" w:lineRule="auto"/>
              <w:jc w:val="center"/>
              <w:rPr>
                <w:rFonts w:ascii="宋体" w:hAnsi="宋体"/>
                <w:b/>
                <w:bCs/>
                <w:szCs w:val="21"/>
              </w:rPr>
            </w:pPr>
            <w:r>
              <w:rPr>
                <w:rFonts w:hint="eastAsia" w:ascii="宋体" w:hAnsi="宋体"/>
                <w:b/>
                <w:bCs/>
                <w:szCs w:val="21"/>
              </w:rPr>
              <w:t>摄像器材</w:t>
            </w:r>
          </w:p>
        </w:tc>
        <w:tc>
          <w:tcPr>
            <w:tcW w:w="525" w:type="dxa"/>
            <w:tcBorders>
              <w:right w:val="single" w:color="auto" w:sz="4" w:space="0"/>
            </w:tcBorders>
            <w:vAlign w:val="center"/>
          </w:tcPr>
          <w:p>
            <w:pPr>
              <w:spacing w:line="360" w:lineRule="auto"/>
              <w:jc w:val="center"/>
              <w:rPr>
                <w:rFonts w:ascii="宋体" w:hAnsi="宋体"/>
                <w:szCs w:val="21"/>
              </w:rPr>
            </w:pPr>
            <w:r>
              <w:rPr>
                <w:rFonts w:hint="eastAsia" w:ascii="宋体" w:hAnsi="宋体"/>
                <w:b/>
                <w:bCs/>
                <w:szCs w:val="21"/>
              </w:rPr>
              <w:t>摄像机</w:t>
            </w:r>
          </w:p>
        </w:tc>
        <w:tc>
          <w:tcPr>
            <w:tcW w:w="8184" w:type="dxa"/>
            <w:tcBorders>
              <w:lef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1、类型：4K便携式专业摄录一体机</w:t>
            </w:r>
          </w:p>
          <w:p>
            <w:pPr>
              <w:spacing w:line="360" w:lineRule="auto"/>
              <w:rPr>
                <w:rFonts w:ascii="宋体" w:hAnsi="宋体" w:cs="宋体"/>
                <w:color w:val="000000"/>
                <w:szCs w:val="21"/>
              </w:rPr>
            </w:pPr>
            <w:r>
              <w:rPr>
                <w:rFonts w:hint="eastAsia" w:ascii="宋体" w:hAnsi="宋体" w:cs="宋体"/>
                <w:color w:val="000000"/>
                <w:szCs w:val="21"/>
              </w:rPr>
              <w:t>2、成像器：1.0英寸Exmor RTM CMOS成像器；</w:t>
            </w:r>
          </w:p>
          <w:p>
            <w:pPr>
              <w:spacing w:line="360" w:lineRule="auto"/>
              <w:rPr>
                <w:rFonts w:ascii="宋体" w:hAnsi="宋体" w:cs="宋体"/>
                <w:color w:val="000000"/>
                <w:szCs w:val="21"/>
              </w:rPr>
            </w:pPr>
            <w:r>
              <w:rPr>
                <w:rFonts w:hint="eastAsia" w:ascii="宋体" w:hAnsi="宋体" w:cs="宋体"/>
                <w:color w:val="000000"/>
                <w:szCs w:val="21"/>
              </w:rPr>
              <w:t>3、有效像素：4K影像，≥1420万像素（16:9）；</w:t>
            </w:r>
          </w:p>
          <w:p>
            <w:pPr>
              <w:spacing w:line="360" w:lineRule="auto"/>
              <w:rPr>
                <w:rFonts w:ascii="宋体" w:hAnsi="宋体" w:cs="宋体"/>
                <w:color w:val="000000"/>
                <w:szCs w:val="21"/>
              </w:rPr>
            </w:pPr>
            <w:r>
              <w:rPr>
                <w:rFonts w:hint="eastAsia" w:ascii="宋体" w:hAnsi="宋体" w:cs="宋体"/>
                <w:color w:val="000000"/>
                <w:szCs w:val="21"/>
              </w:rPr>
              <w:t>4、内置光学滤波片：关闭：Clear，1： 1/4ND，2： 1/16ND，3： 1/64ND</w:t>
            </w:r>
          </w:p>
          <w:p>
            <w:pPr>
              <w:spacing w:line="360" w:lineRule="auto"/>
              <w:rPr>
                <w:rFonts w:ascii="宋体" w:hAnsi="宋体" w:cs="宋体"/>
                <w:color w:val="000000"/>
                <w:szCs w:val="21"/>
              </w:rPr>
            </w:pPr>
            <w:r>
              <w:rPr>
                <w:rFonts w:hint="eastAsia" w:ascii="宋体" w:hAnsi="宋体" w:cs="宋体"/>
                <w:color w:val="000000"/>
                <w:szCs w:val="21"/>
              </w:rPr>
              <w:t>5、最低照度：[50i] 1.7 lux（低照度模式）</w:t>
            </w:r>
          </w:p>
          <w:p>
            <w:pPr>
              <w:spacing w:line="360" w:lineRule="auto"/>
              <w:rPr>
                <w:rFonts w:ascii="宋体" w:hAnsi="宋体" w:cs="宋体"/>
                <w:color w:val="000000"/>
                <w:szCs w:val="21"/>
              </w:rPr>
            </w:pPr>
            <w:r>
              <w:rPr>
                <w:rFonts w:hint="eastAsia" w:ascii="宋体" w:hAnsi="宋体" w:cs="宋体"/>
                <w:color w:val="000000"/>
                <w:szCs w:val="21"/>
              </w:rPr>
              <w:t>6、快门速度：[50i]： 1/6 -1/10,000</w:t>
            </w:r>
          </w:p>
          <w:p>
            <w:pPr>
              <w:spacing w:line="360" w:lineRule="auto"/>
              <w:rPr>
                <w:rFonts w:ascii="宋体" w:hAnsi="宋体" w:cs="宋体"/>
                <w:color w:val="000000"/>
                <w:szCs w:val="21"/>
              </w:rPr>
            </w:pPr>
            <w:r>
              <w:rPr>
                <w:rFonts w:hint="eastAsia" w:ascii="宋体" w:hAnsi="宋体" w:cs="宋体"/>
                <w:color w:val="000000"/>
                <w:szCs w:val="21"/>
              </w:rPr>
              <w:t>7、寻像器： 0.24 英寸</w:t>
            </w:r>
          </w:p>
          <w:p>
            <w:pPr>
              <w:spacing w:line="360" w:lineRule="auto"/>
              <w:rPr>
                <w:rFonts w:ascii="宋体" w:hAnsi="宋体" w:cs="宋体"/>
                <w:color w:val="000000"/>
                <w:szCs w:val="21"/>
              </w:rPr>
            </w:pPr>
            <w:r>
              <w:rPr>
                <w:rFonts w:hint="eastAsia" w:ascii="宋体" w:hAnsi="宋体" w:cs="宋体"/>
                <w:color w:val="000000"/>
                <w:szCs w:val="21"/>
              </w:rPr>
              <w:t>8、3.5 英寸液晶屏</w:t>
            </w:r>
          </w:p>
          <w:p>
            <w:pPr>
              <w:spacing w:line="360" w:lineRule="auto"/>
              <w:rPr>
                <w:rFonts w:ascii="宋体" w:hAnsi="宋体" w:cs="宋体"/>
                <w:color w:val="000000"/>
                <w:szCs w:val="21"/>
              </w:rPr>
            </w:pPr>
            <w:r>
              <w:rPr>
                <w:rFonts w:hint="eastAsia" w:ascii="宋体" w:hAnsi="宋体" w:cs="宋体"/>
                <w:color w:val="000000"/>
                <w:szCs w:val="21"/>
              </w:rPr>
              <w:t>9、内置单向立体声驻极体电容式麦克风。</w:t>
            </w:r>
          </w:p>
          <w:p>
            <w:pPr>
              <w:spacing w:line="360" w:lineRule="auto"/>
              <w:rPr>
                <w:rFonts w:ascii="宋体" w:hAnsi="宋体" w:cs="宋体"/>
                <w:color w:val="000000"/>
                <w:szCs w:val="21"/>
              </w:rPr>
            </w:pPr>
            <w:r>
              <w:rPr>
                <w:rFonts w:hint="eastAsia" w:ascii="宋体" w:hAnsi="宋体" w:cs="宋体"/>
                <w:color w:val="000000"/>
                <w:szCs w:val="21"/>
              </w:rPr>
              <w:t>10、镜头：变焦比：12 倍（光学），伺服；焦距：f = 9.3 - 111.6 mm 相当于 35 mm 镜头上的 f = 29.0 - 348.0 mm (16:9)</w:t>
            </w:r>
          </w:p>
          <w:p>
            <w:pPr>
              <w:spacing w:line="360" w:lineRule="auto"/>
              <w:rPr>
                <w:rFonts w:ascii="宋体" w:hAnsi="宋体" w:cs="宋体"/>
                <w:color w:val="000000"/>
                <w:szCs w:val="21"/>
              </w:rPr>
            </w:pPr>
            <w:r>
              <w:rPr>
                <w:rFonts w:hint="eastAsia" w:ascii="宋体" w:hAnsi="宋体" w:cs="宋体"/>
                <w:color w:val="000000"/>
                <w:szCs w:val="21"/>
              </w:rPr>
              <w:t>11、聚焦：自动对焦/手动对焦可选，10 mm 至无穷远（广角），1000 mm 至无穷远（长焦）</w:t>
            </w:r>
          </w:p>
          <w:p>
            <w:pPr>
              <w:spacing w:line="360" w:lineRule="auto"/>
              <w:rPr>
                <w:rFonts w:ascii="宋体" w:hAnsi="宋体" w:cs="宋体"/>
                <w:color w:val="000000"/>
                <w:szCs w:val="21"/>
              </w:rPr>
            </w:pPr>
            <w:r>
              <w:rPr>
                <w:rFonts w:hint="eastAsia" w:ascii="宋体" w:hAnsi="宋体" w:cs="宋体"/>
                <w:color w:val="000000"/>
                <w:szCs w:val="21"/>
              </w:rPr>
              <w:t>12、录制格式（视频）: XAVC S：MPEG4-AVC/H264 4:2:0 Long Profile；AVCHD： 兼容 MPEG-4 AVC/H.264 AVCHD 2.0 格式；DV</w:t>
            </w:r>
          </w:p>
          <w:p>
            <w:pPr>
              <w:spacing w:line="360" w:lineRule="auto"/>
              <w:rPr>
                <w:rFonts w:ascii="宋体" w:hAnsi="宋体" w:cs="宋体"/>
                <w:color w:val="000000"/>
                <w:szCs w:val="21"/>
              </w:rPr>
            </w:pPr>
            <w:r>
              <w:rPr>
                <w:rFonts w:hint="eastAsia" w:ascii="宋体" w:hAnsi="宋体" w:cs="宋体"/>
                <w:color w:val="000000"/>
                <w:szCs w:val="21"/>
              </w:rPr>
              <w:t>13、录制帧频：XAVC S 4K (3840 x 2160)@25p，100Mbps/60Mbps；XAVC S 高清 (1920 x 1080)@50p，25p，50 Mbps；AVCHD (1920 x 1080)@50p，PS 模式 (28 Mbps)；AVCHD (1920 x 1080) @50i/25p，FX 模式 (24 Mbps) FH 模式 (17 Mbps)；AVCHD (1440 x 1080)@50i，HQ 模式 (9 Mbps) LP 模式 (5 Mbps)；AVCHD (1280 x 720)@50p，FX 模式 (24 Mbps) FH 模式 (17 Mbps) HQ 模式 (9 Mbps)；DV (720 x 576) @50i，25 Mbps</w:t>
            </w:r>
          </w:p>
          <w:p>
            <w:pPr>
              <w:spacing w:line="360" w:lineRule="auto"/>
              <w:rPr>
                <w:rFonts w:ascii="宋体" w:hAnsi="宋体" w:cs="宋体"/>
                <w:color w:val="000000"/>
                <w:szCs w:val="21"/>
              </w:rPr>
            </w:pPr>
            <w:r>
              <w:rPr>
                <w:rFonts w:hint="eastAsia" w:ascii="宋体" w:hAnsi="宋体" w:cs="宋体"/>
                <w:color w:val="000000"/>
                <w:szCs w:val="21"/>
              </w:rPr>
              <w:t>14、输入输出：XLR 型 3 针（母头）(x 2) 音频输入；BNC (×1) 视频输出；RCA音频输出；USB；耳机输出；扬声器输出；DC 输入；远程控制；HDMI 输出</w:t>
            </w:r>
          </w:p>
          <w:p>
            <w:pPr>
              <w:spacing w:line="360" w:lineRule="auto"/>
              <w:ind w:firstLine="280"/>
              <w:rPr>
                <w:rFonts w:ascii="宋体" w:hAnsi="宋体" w:cs="宋体"/>
                <w:b/>
                <w:bCs/>
                <w:color w:val="000000"/>
                <w:szCs w:val="21"/>
              </w:rPr>
            </w:pPr>
            <w:r>
              <w:rPr>
                <w:rFonts w:hint="eastAsia" w:ascii="宋体" w:hAnsi="宋体" w:cs="宋体"/>
                <w:b/>
                <w:bCs/>
                <w:color w:val="000000"/>
                <w:szCs w:val="21"/>
              </w:rPr>
              <w:t>15、另配置外置</w:t>
            </w:r>
            <w:r>
              <w:rPr>
                <w:rFonts w:ascii="宋体" w:hAnsi="宋体" w:cs="宋体"/>
                <w:b/>
                <w:bCs/>
                <w:color w:val="000000"/>
                <w:szCs w:val="21"/>
              </w:rPr>
              <w:t>枪式驻极体电容采访麦克风</w:t>
            </w:r>
            <w:r>
              <w:rPr>
                <w:rFonts w:hint="eastAsia" w:ascii="宋体" w:hAnsi="宋体" w:cs="宋体"/>
                <w:b/>
                <w:bCs/>
                <w:color w:val="000000"/>
                <w:szCs w:val="21"/>
              </w:rPr>
              <w:t>1只；256G存储卡1张；镜头UV镜1个；配套优质摄像机包1个；碳纤维三脚架1副。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983" w:type="dxa"/>
            <w:vMerge w:val="continue"/>
            <w:vAlign w:val="center"/>
          </w:tcPr>
          <w:p>
            <w:pPr>
              <w:widowControl/>
              <w:spacing w:line="360" w:lineRule="auto"/>
              <w:jc w:val="center"/>
              <w:rPr>
                <w:rFonts w:ascii="宋体" w:hAnsi="宋体"/>
                <w:b/>
                <w:bCs/>
                <w:szCs w:val="21"/>
              </w:rPr>
            </w:pPr>
          </w:p>
        </w:tc>
        <w:tc>
          <w:tcPr>
            <w:tcW w:w="525" w:type="dxa"/>
            <w:tcBorders>
              <w:right w:val="single" w:color="auto" w:sz="4" w:space="0"/>
            </w:tcBorders>
            <w:vAlign w:val="center"/>
          </w:tcPr>
          <w:p>
            <w:pPr>
              <w:spacing w:line="360" w:lineRule="auto"/>
              <w:rPr>
                <w:rFonts w:ascii="宋体" w:hAnsi="宋体"/>
                <w:b/>
                <w:szCs w:val="21"/>
              </w:rPr>
            </w:pPr>
            <w:r>
              <w:rPr>
                <w:rFonts w:hint="eastAsia" w:ascii="宋体" w:hAnsi="宋体"/>
                <w:b/>
                <w:bCs/>
                <w:szCs w:val="21"/>
              </w:rPr>
              <w:t>单反相机</w:t>
            </w:r>
          </w:p>
        </w:tc>
        <w:tc>
          <w:tcPr>
            <w:tcW w:w="8184" w:type="dxa"/>
            <w:tcBorders>
              <w:left w:val="single" w:color="auto" w:sz="4" w:space="0"/>
            </w:tcBorders>
            <w:vAlign w:val="center"/>
          </w:tcPr>
          <w:p>
            <w:pPr>
              <w:spacing w:line="360" w:lineRule="auto"/>
            </w:pPr>
            <w:r>
              <w:rPr>
                <w:rFonts w:hint="eastAsia" w:ascii="宋体" w:hAnsi="宋体"/>
                <w:szCs w:val="21"/>
              </w:rPr>
              <w:t>1、</w:t>
            </w:r>
            <w:r>
              <w:t>具有自动对焦 / 自动曝光的单镜头反光式数码相机</w:t>
            </w:r>
          </w:p>
          <w:p>
            <w:pPr>
              <w:spacing w:line="360" w:lineRule="auto"/>
            </w:pPr>
            <w:r>
              <w:rPr>
                <w:rFonts w:hint="eastAsia"/>
              </w:rPr>
              <w:t>2、</w:t>
            </w:r>
            <w:r>
              <w:t>图像感应器</w:t>
            </w:r>
            <w:r>
              <w:rPr>
                <w:rFonts w:hint="eastAsia"/>
              </w:rPr>
              <w:t>：</w:t>
            </w:r>
            <w:r>
              <w:t>CMOS 图像感应器（支持全像素双核 CMOS AF）</w:t>
            </w:r>
          </w:p>
          <w:p>
            <w:pPr>
              <w:spacing w:line="360" w:lineRule="auto"/>
            </w:pPr>
            <w:r>
              <w:rPr>
                <w:rFonts w:hint="eastAsia" w:ascii="宋体" w:hAnsi="宋体"/>
                <w:szCs w:val="21"/>
              </w:rPr>
              <w:t>3、</w:t>
            </w:r>
            <w:r>
              <w:t>有效像素</w:t>
            </w:r>
            <w:r>
              <w:rPr>
                <w:rFonts w:hint="eastAsia"/>
              </w:rPr>
              <w:t>：≥</w:t>
            </w:r>
            <w:r>
              <w:t>2620 万像素</w:t>
            </w:r>
          </w:p>
          <w:p>
            <w:pPr>
              <w:spacing w:line="360" w:lineRule="auto"/>
            </w:pPr>
            <w:r>
              <w:rPr>
                <w:rFonts w:hint="eastAsia"/>
              </w:rPr>
              <w:t>4、</w:t>
            </w:r>
            <w:r>
              <w:t>取景器</w:t>
            </w:r>
            <w:r>
              <w:rPr>
                <w:rFonts w:hint="eastAsia"/>
              </w:rPr>
              <w:t>：</w:t>
            </w:r>
            <w:r>
              <w:t>眼平五棱镜</w:t>
            </w:r>
          </w:p>
          <w:p>
            <w:pPr>
              <w:spacing w:line="360" w:lineRule="auto"/>
            </w:pPr>
            <w:r>
              <w:rPr>
                <w:rFonts w:hint="eastAsia"/>
              </w:rPr>
              <w:t>5、</w:t>
            </w:r>
            <w:r>
              <w:t>对焦模式</w:t>
            </w:r>
            <w:r>
              <w:rPr>
                <w:rFonts w:hint="eastAsia"/>
              </w:rPr>
              <w:t>：</w:t>
            </w:r>
            <w:r>
              <w:t>单次自动对焦、人工智能伺服自动对焦、人工智能自动对焦、 手动对焦</w:t>
            </w:r>
          </w:p>
          <w:p>
            <w:pPr>
              <w:spacing w:line="360" w:lineRule="auto"/>
            </w:pPr>
            <w:r>
              <w:rPr>
                <w:rFonts w:hint="eastAsia"/>
              </w:rPr>
              <w:t>6、</w:t>
            </w:r>
            <w:r>
              <w:t>曝光控制</w:t>
            </w:r>
            <w:r>
              <w:rPr>
                <w:rFonts w:hint="eastAsia"/>
              </w:rPr>
              <w:t>：</w:t>
            </w:r>
            <w:r>
              <w:t>素 RGB+ 红外 测光感应器、63 区 TTL 全开光圈测光</w:t>
            </w:r>
          </w:p>
          <w:p>
            <w:pPr>
              <w:spacing w:line="360" w:lineRule="auto"/>
            </w:pPr>
            <w:r>
              <w:rPr>
                <w:rFonts w:hint="eastAsia"/>
              </w:rPr>
              <w:t>7、</w:t>
            </w:r>
            <w:r>
              <w:t>快门</w:t>
            </w:r>
            <w:r>
              <w:rPr>
                <w:rFonts w:hint="eastAsia"/>
              </w:rPr>
              <w:t>：</w:t>
            </w:r>
            <w:r>
              <w:t>电子控制焦平面快门</w:t>
            </w:r>
          </w:p>
          <w:p>
            <w:pPr>
              <w:spacing w:line="360" w:lineRule="auto"/>
            </w:pPr>
            <w:r>
              <w:rPr>
                <w:rFonts w:hint="eastAsia"/>
              </w:rPr>
              <w:t>8、</w:t>
            </w:r>
            <w:r>
              <w:t>白平衡</w:t>
            </w:r>
            <w:r>
              <w:rPr>
                <w:rFonts w:hint="eastAsia"/>
              </w:rPr>
              <w:t>：</w:t>
            </w:r>
            <w:r>
              <w:t>自动（氛围优先）、自动（白色优先）、预设（日光、阴影、 阴天、钨丝灯、白色荧光灯、闪光灯）、用户自定义、色 温（约 2500-10000K），具备白平衡校正和白平衡包围曝光</w:t>
            </w:r>
          </w:p>
          <w:p>
            <w:pPr>
              <w:spacing w:line="360" w:lineRule="auto"/>
            </w:pPr>
            <w:r>
              <w:rPr>
                <w:rFonts w:hint="eastAsia"/>
              </w:rPr>
              <w:t>9、具备</w:t>
            </w:r>
            <w:r>
              <w:t>自动图像亮度优化校正功能</w:t>
            </w:r>
          </w:p>
          <w:p>
            <w:pPr>
              <w:spacing w:line="360" w:lineRule="auto"/>
            </w:pPr>
            <w:r>
              <w:rPr>
                <w:rFonts w:hint="eastAsia"/>
              </w:rPr>
              <w:t>10、</w:t>
            </w:r>
            <w:r>
              <w:t>图像类型</w:t>
            </w:r>
            <w:r>
              <w:rPr>
                <w:rFonts w:hint="eastAsia"/>
              </w:rPr>
              <w:t>：</w:t>
            </w:r>
            <w:r>
              <w:t>JPEG、RAW（14 位）, 可以同时记录 RAW+JPEG</w:t>
            </w:r>
          </w:p>
          <w:p>
            <w:pPr>
              <w:spacing w:line="360" w:lineRule="auto"/>
            </w:pPr>
            <w:r>
              <w:rPr>
                <w:rFonts w:hint="eastAsia"/>
              </w:rPr>
              <w:t>11、</w:t>
            </w:r>
            <w:r>
              <w:t>记录像素</w:t>
            </w:r>
            <w:r>
              <w:rPr>
                <w:rFonts w:hint="eastAsia"/>
              </w:rPr>
              <w:t>：</w:t>
            </w:r>
            <w:r>
              <w:t>L（大），RAW：约 2600 万像素（6240×4160） M-RAW：约 1460 万像素（4680×3120） M（中）：约 1150 万像素（4160×2768） S1（小 1），S-RAW：约 650 万像素（3120×2080）</w:t>
            </w:r>
            <w:r>
              <w:rPr>
                <w:rFonts w:hint="eastAsia"/>
              </w:rPr>
              <w:t>，</w:t>
            </w:r>
            <w:r>
              <w:t>S2（小 2）：约 380 万像素（2400×1600）</w:t>
            </w:r>
          </w:p>
          <w:p>
            <w:pPr>
              <w:spacing w:line="360" w:lineRule="auto"/>
            </w:pPr>
            <w:r>
              <w:rPr>
                <w:rFonts w:hint="eastAsia"/>
              </w:rPr>
              <w:t>12、</w:t>
            </w:r>
            <w:r>
              <w:t>接口</w:t>
            </w:r>
            <w:r>
              <w:rPr>
                <w:rFonts w:hint="eastAsia"/>
              </w:rPr>
              <w:t>：</w:t>
            </w:r>
            <w:r>
              <w:t>数码端子</w:t>
            </w:r>
            <w:r>
              <w:rPr>
                <w:rFonts w:hint="eastAsia"/>
              </w:rPr>
              <w:t>、</w:t>
            </w:r>
            <w:r>
              <w:t>HDMI mini 输出端子</w:t>
            </w:r>
            <w:r>
              <w:rPr>
                <w:rFonts w:hint="eastAsia"/>
              </w:rPr>
              <w:t>、</w:t>
            </w:r>
            <w:r>
              <w:t>外接麦克风输入端子</w:t>
            </w:r>
            <w:r>
              <w:rPr>
                <w:rFonts w:hint="eastAsia"/>
              </w:rPr>
              <w:t>、</w:t>
            </w:r>
            <w:r>
              <w:t>遥控端子</w:t>
            </w:r>
          </w:p>
          <w:p>
            <w:pPr>
              <w:spacing w:line="360" w:lineRule="auto"/>
            </w:pPr>
            <w:r>
              <w:rPr>
                <w:rFonts w:hint="eastAsia"/>
              </w:rPr>
              <w:t>13、</w:t>
            </w:r>
            <w:r>
              <w:t>电池拍摄能力（基于 CIPA 测试标准）</w:t>
            </w:r>
            <w:r>
              <w:rPr>
                <w:rFonts w:hint="eastAsia"/>
              </w:rPr>
              <w:t>：</w:t>
            </w:r>
            <w:r>
              <w:t>使用取景器拍摄：23</w:t>
            </w:r>
            <w:r>
              <w:rPr>
                <w:rFonts w:hint="eastAsia" w:ascii="宋体" w:hAnsi="宋体" w:cs="宋体"/>
              </w:rPr>
              <w:t>℃</w:t>
            </w:r>
            <w:r>
              <w:t>时约 1200 张、0</w:t>
            </w:r>
            <w:r>
              <w:rPr>
                <w:rFonts w:hint="eastAsia" w:ascii="宋体" w:hAnsi="宋体" w:cs="宋体"/>
              </w:rPr>
              <w:t>℃</w:t>
            </w:r>
            <w:r>
              <w:t>时约 1100 张 使用实时显示拍摄：23</w:t>
            </w:r>
            <w:r>
              <w:rPr>
                <w:rFonts w:hint="eastAsia" w:ascii="宋体" w:hAnsi="宋体" w:cs="宋体"/>
              </w:rPr>
              <w:t>℃</w:t>
            </w:r>
            <w:r>
              <w:t>时约 380 张、0</w:t>
            </w:r>
            <w:r>
              <w:rPr>
                <w:rFonts w:hint="eastAsia" w:ascii="宋体" w:hAnsi="宋体" w:cs="宋体"/>
              </w:rPr>
              <w:t>℃</w:t>
            </w:r>
            <w:r>
              <w:t>时约 340 张</w:t>
            </w:r>
          </w:p>
          <w:p>
            <w:pPr>
              <w:spacing w:line="360" w:lineRule="auto"/>
              <w:rPr>
                <w:rFonts w:ascii="宋体" w:hAnsi="宋体"/>
                <w:b/>
                <w:szCs w:val="21"/>
              </w:rPr>
            </w:pPr>
            <w:r>
              <w:rPr>
                <w:rFonts w:hint="eastAsia"/>
              </w:rPr>
              <w:t>14、</w:t>
            </w:r>
            <w:r>
              <w:rPr>
                <w:rFonts w:hint="eastAsia" w:ascii="宋体" w:hAnsi="宋体"/>
                <w:b/>
                <w:szCs w:val="21"/>
              </w:rPr>
              <w:t>另每台单反</w:t>
            </w:r>
            <w:r>
              <w:rPr>
                <w:rFonts w:hint="eastAsia" w:ascii="宋体" w:hAnsi="宋体"/>
                <w:b/>
                <w:bCs/>
                <w:szCs w:val="21"/>
              </w:rPr>
              <w:t>相机</w:t>
            </w:r>
            <w:r>
              <w:rPr>
                <w:rFonts w:hint="eastAsia" w:ascii="宋体" w:hAnsi="宋体"/>
                <w:b/>
                <w:szCs w:val="21"/>
              </w:rPr>
              <w:t>配置256G存储卡1张；镜头UV镜1个；配套优质相机包1个；铝合金三脚架1副；备用电池1块；备用电池充电器1个。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2" w:hRule="atLeast"/>
          <w:jc w:val="center"/>
        </w:trPr>
        <w:tc>
          <w:tcPr>
            <w:tcW w:w="983" w:type="dxa"/>
            <w:vMerge w:val="continue"/>
            <w:vAlign w:val="center"/>
          </w:tcPr>
          <w:p>
            <w:pPr>
              <w:widowControl/>
              <w:spacing w:line="360" w:lineRule="auto"/>
              <w:jc w:val="center"/>
              <w:rPr>
                <w:rFonts w:ascii="宋体" w:hAnsi="宋体"/>
                <w:b/>
                <w:bCs/>
                <w:szCs w:val="21"/>
              </w:rPr>
            </w:pPr>
          </w:p>
        </w:tc>
        <w:tc>
          <w:tcPr>
            <w:tcW w:w="525" w:type="dxa"/>
            <w:tcBorders>
              <w:bottom w:val="single" w:color="auto" w:sz="4" w:space="0"/>
              <w:right w:val="single" w:color="auto" w:sz="4" w:space="0"/>
            </w:tcBorders>
            <w:vAlign w:val="center"/>
          </w:tcPr>
          <w:p>
            <w:pPr>
              <w:tabs>
                <w:tab w:val="left" w:pos="3383"/>
              </w:tabs>
              <w:spacing w:line="360" w:lineRule="auto"/>
              <w:rPr>
                <w:rFonts w:ascii="宋体" w:hAnsi="宋体"/>
                <w:szCs w:val="21"/>
              </w:rPr>
            </w:pPr>
            <w:r>
              <w:rPr>
                <w:rFonts w:hint="eastAsia" w:ascii="宋体" w:hAnsi="宋体"/>
                <w:b/>
                <w:bCs/>
                <w:szCs w:val="21"/>
              </w:rPr>
              <w:t>专业镜头</w:t>
            </w:r>
          </w:p>
        </w:tc>
        <w:tc>
          <w:tcPr>
            <w:tcW w:w="8184" w:type="dxa"/>
            <w:tcBorders>
              <w:left w:val="single" w:color="auto" w:sz="4" w:space="0"/>
              <w:bottom w:val="single" w:color="auto" w:sz="4" w:space="0"/>
            </w:tcBorders>
            <w:vAlign w:val="center"/>
          </w:tcPr>
          <w:p>
            <w:pPr>
              <w:spacing w:line="360" w:lineRule="auto"/>
              <w:rPr>
                <w:rFonts w:ascii="宋体" w:hAnsi="宋体"/>
                <w:szCs w:val="21"/>
              </w:rPr>
            </w:pPr>
            <w:r>
              <w:rPr>
                <w:rFonts w:hint="eastAsia" w:ascii="宋体" w:hAnsi="宋体"/>
                <w:szCs w:val="21"/>
              </w:rPr>
              <w:t>镜头焦距：70-200mm</w:t>
            </w:r>
          </w:p>
          <w:p>
            <w:pPr>
              <w:spacing w:line="360" w:lineRule="auto"/>
              <w:rPr>
                <w:rFonts w:ascii="宋体" w:hAnsi="宋体"/>
                <w:szCs w:val="21"/>
              </w:rPr>
            </w:pPr>
            <w:r>
              <w:rPr>
                <w:rFonts w:hint="eastAsia" w:ascii="宋体" w:hAnsi="宋体"/>
                <w:szCs w:val="21"/>
              </w:rPr>
              <w:t>镜头结构：19组23片</w:t>
            </w:r>
          </w:p>
          <w:p>
            <w:pPr>
              <w:spacing w:line="360" w:lineRule="auto"/>
              <w:rPr>
                <w:rFonts w:ascii="宋体" w:hAnsi="宋体"/>
                <w:szCs w:val="21"/>
              </w:rPr>
            </w:pPr>
            <w:r>
              <w:rPr>
                <w:rFonts w:hint="eastAsia" w:ascii="宋体" w:hAnsi="宋体"/>
                <w:szCs w:val="21"/>
              </w:rPr>
              <w:t>最小光圈：32</w:t>
            </w:r>
          </w:p>
          <w:p>
            <w:pPr>
              <w:spacing w:line="360" w:lineRule="auto"/>
              <w:rPr>
                <w:rFonts w:ascii="宋体" w:hAnsi="宋体"/>
                <w:szCs w:val="21"/>
              </w:rPr>
            </w:pPr>
            <w:r>
              <w:rPr>
                <w:rFonts w:hint="eastAsia" w:ascii="宋体" w:hAnsi="宋体"/>
                <w:szCs w:val="21"/>
              </w:rPr>
              <w:t>最近对焦距离：约1.2米</w:t>
            </w:r>
          </w:p>
          <w:p>
            <w:pPr>
              <w:spacing w:line="360" w:lineRule="auto"/>
              <w:rPr>
                <w:rFonts w:ascii="宋体" w:hAnsi="宋体"/>
                <w:szCs w:val="21"/>
              </w:rPr>
            </w:pPr>
            <w:r>
              <w:rPr>
                <w:rFonts w:hint="eastAsia" w:ascii="宋体" w:hAnsi="宋体"/>
                <w:szCs w:val="21"/>
              </w:rPr>
              <w:t>驱动系统：USM超声波马达</w:t>
            </w:r>
          </w:p>
          <w:p>
            <w:pPr>
              <w:spacing w:line="360" w:lineRule="auto"/>
              <w:rPr>
                <w:rFonts w:ascii="宋体" w:hAnsi="宋体"/>
                <w:szCs w:val="21"/>
              </w:rPr>
            </w:pPr>
            <w:r>
              <w:rPr>
                <w:rFonts w:hint="eastAsia" w:ascii="宋体" w:hAnsi="宋体"/>
                <w:szCs w:val="21"/>
              </w:rPr>
              <w:t>与单反相机同一品牌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2" w:hRule="atLeast"/>
          <w:jc w:val="center"/>
        </w:trPr>
        <w:tc>
          <w:tcPr>
            <w:tcW w:w="983" w:type="dxa"/>
            <w:vMerge w:val="continue"/>
            <w:tcBorders>
              <w:bottom w:val="single" w:color="auto" w:sz="4" w:space="0"/>
            </w:tcBorders>
            <w:vAlign w:val="center"/>
          </w:tcPr>
          <w:p>
            <w:pPr>
              <w:widowControl/>
              <w:spacing w:line="360" w:lineRule="auto"/>
              <w:jc w:val="center"/>
              <w:rPr>
                <w:rFonts w:ascii="宋体" w:hAnsi="宋体"/>
                <w:b/>
                <w:bCs/>
                <w:szCs w:val="21"/>
              </w:rPr>
            </w:pPr>
          </w:p>
        </w:tc>
        <w:tc>
          <w:tcPr>
            <w:tcW w:w="525" w:type="dxa"/>
            <w:tcBorders>
              <w:top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b/>
                <w:bCs/>
                <w:szCs w:val="21"/>
              </w:rPr>
              <w:t>照片打印机</w:t>
            </w:r>
          </w:p>
        </w:tc>
        <w:tc>
          <w:tcPr>
            <w:tcW w:w="8184" w:type="dxa"/>
            <w:tcBorders>
              <w:top w:val="single" w:color="auto" w:sz="4" w:space="0"/>
              <w:left w:val="single" w:color="auto" w:sz="4" w:space="0"/>
              <w:bottom w:val="single" w:color="auto" w:sz="4" w:space="0"/>
            </w:tcBorders>
            <w:vAlign w:val="center"/>
          </w:tcPr>
          <w:p>
            <w:pPr>
              <w:spacing w:line="360" w:lineRule="auto"/>
            </w:pPr>
            <w:r>
              <w:rPr>
                <w:rFonts w:hint="eastAsia"/>
              </w:rPr>
              <w:t>1、</w:t>
            </w:r>
            <w:r>
              <w:t>A3+大幅面无边距照片打印</w:t>
            </w:r>
            <w:r>
              <w:rPr>
                <w:rFonts w:hint="eastAsia"/>
              </w:rPr>
              <w:t>机</w:t>
            </w:r>
          </w:p>
          <w:p>
            <w:pPr>
              <w:spacing w:line="360" w:lineRule="auto"/>
            </w:pPr>
            <w:r>
              <w:rPr>
                <w:rFonts w:hint="eastAsia"/>
              </w:rPr>
              <w:t>2、</w:t>
            </w:r>
            <w:r>
              <w:t>打印方式：按需喷墨</w:t>
            </w:r>
            <w:r>
              <w:rPr>
                <w:rFonts w:hint="eastAsia"/>
              </w:rPr>
              <w:t>，</w:t>
            </w:r>
            <w:r>
              <w:t>微压电打印技术</w:t>
            </w:r>
          </w:p>
          <w:p>
            <w:pPr>
              <w:spacing w:line="360" w:lineRule="auto"/>
            </w:pPr>
            <w:r>
              <w:rPr>
                <w:rFonts w:hint="eastAsia"/>
              </w:rPr>
              <w:t>3、</w:t>
            </w:r>
            <w:r>
              <w:t>打印分辨率</w:t>
            </w:r>
            <w:r>
              <w:rPr>
                <w:rFonts w:hint="eastAsia"/>
              </w:rPr>
              <w:t>不低于</w:t>
            </w:r>
            <w:r>
              <w:t>5760x1440 dpi</w:t>
            </w:r>
          </w:p>
          <w:p>
            <w:pPr>
              <w:spacing w:line="360" w:lineRule="auto"/>
            </w:pPr>
            <w:r>
              <w:rPr>
                <w:rFonts w:hint="eastAsia"/>
              </w:rPr>
              <w:t>4、</w:t>
            </w:r>
            <w:r>
              <w:t>带有智能墨滴变换技术</w:t>
            </w:r>
          </w:p>
          <w:p>
            <w:pPr>
              <w:spacing w:line="360" w:lineRule="auto"/>
            </w:pPr>
            <w:r>
              <w:rPr>
                <w:rFonts w:hint="eastAsia"/>
              </w:rPr>
              <w:t>5、</w:t>
            </w:r>
            <w:r>
              <w:t>六色原装墨水，细腻画质，恒久靓丽</w:t>
            </w:r>
          </w:p>
          <w:p>
            <w:pPr>
              <w:spacing w:line="360" w:lineRule="auto"/>
            </w:pPr>
            <w:r>
              <w:rPr>
                <w:rFonts w:hint="eastAsia"/>
              </w:rPr>
              <w:t>6、</w:t>
            </w:r>
            <w:r>
              <w:t>大印量</w:t>
            </w:r>
            <w:r>
              <w:rPr>
                <w:rFonts w:hint="eastAsia"/>
              </w:rPr>
              <w:t>，</w:t>
            </w:r>
            <w:r>
              <w:t>彩色</w:t>
            </w:r>
            <w:r>
              <w:rPr>
                <w:rFonts w:hint="eastAsia"/>
              </w:rPr>
              <w:t>不低于</w:t>
            </w:r>
            <w:r>
              <w:t>4,700页</w:t>
            </w:r>
          </w:p>
          <w:p>
            <w:pPr>
              <w:spacing w:line="360" w:lineRule="auto"/>
            </w:pPr>
            <w:r>
              <w:rPr>
                <w:rFonts w:hint="eastAsia"/>
              </w:rPr>
              <w:t>7、</w:t>
            </w:r>
            <w:r>
              <w:t>无碳粉粉尘，零臭氧排放, 原厂保修（含打印头）</w:t>
            </w:r>
          </w:p>
          <w:p>
            <w:pPr>
              <w:spacing w:line="360" w:lineRule="auto"/>
              <w:rPr>
                <w:rFonts w:ascii="宋体" w:hAnsi="宋体"/>
                <w:szCs w:val="21"/>
              </w:rPr>
            </w:pPr>
            <w:r>
              <w:rPr>
                <w:rFonts w:hint="eastAsia" w:ascii="宋体" w:hAnsi="宋体"/>
                <w:b/>
                <w:szCs w:val="21"/>
              </w:rPr>
              <w:t>8、另配A3及A4幅面照片纸各1包（20张）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2" w:hRule="atLeast"/>
          <w:jc w:val="center"/>
        </w:trPr>
        <w:tc>
          <w:tcPr>
            <w:tcW w:w="983" w:type="dxa"/>
            <w:tcBorders>
              <w:top w:val="single" w:color="auto" w:sz="4" w:space="0"/>
              <w:bottom w:val="single" w:color="auto" w:sz="4" w:space="0"/>
            </w:tcBorders>
            <w:vAlign w:val="center"/>
          </w:tcPr>
          <w:p>
            <w:pPr>
              <w:widowControl/>
              <w:spacing w:line="360" w:lineRule="auto"/>
              <w:jc w:val="center"/>
              <w:rPr>
                <w:rFonts w:ascii="宋体" w:hAnsi="宋体"/>
                <w:b/>
                <w:bCs/>
                <w:szCs w:val="21"/>
              </w:rPr>
            </w:pPr>
            <w:r>
              <w:rPr>
                <w:rFonts w:hint="eastAsia" w:cs="宋体" w:asciiTheme="minorEastAsia" w:hAnsiTheme="minorEastAsia"/>
                <w:color w:val="000000"/>
                <w:kern w:val="0"/>
                <w:sz w:val="24"/>
                <w:szCs w:val="24"/>
              </w:rPr>
              <w:t>教学电脑</w:t>
            </w:r>
          </w:p>
        </w:tc>
        <w:tc>
          <w:tcPr>
            <w:tcW w:w="8709" w:type="dxa"/>
            <w:gridSpan w:val="2"/>
            <w:tcBorders>
              <w:top w:val="single" w:color="auto" w:sz="4" w:space="0"/>
              <w:bottom w:val="single" w:color="auto" w:sz="4" w:space="0"/>
            </w:tcBorders>
            <w:vAlign w:val="center"/>
          </w:tcPr>
          <w:p>
            <w:pPr>
              <w:spacing w:line="360" w:lineRule="auto"/>
              <w:rPr>
                <w:rFonts w:ascii="宋体" w:hAnsi="宋体"/>
                <w:szCs w:val="21"/>
              </w:rPr>
            </w:pPr>
            <w:r>
              <w:rPr>
                <w:rFonts w:hint="eastAsia" w:ascii="宋体" w:hAnsi="宋体"/>
                <w:szCs w:val="21"/>
              </w:rPr>
              <w:t>1、CPU：≥物理四核处理器，主（基）频≥3.6Ghz，线程≥8线程（投标时需注明CPU详细型号备查）；</w:t>
            </w:r>
          </w:p>
          <w:p>
            <w:pPr>
              <w:spacing w:line="360" w:lineRule="auto"/>
              <w:rPr>
                <w:rFonts w:ascii="宋体" w:hAnsi="宋体"/>
                <w:szCs w:val="21"/>
              </w:rPr>
            </w:pPr>
            <w:r>
              <w:rPr>
                <w:rFonts w:hint="eastAsia" w:ascii="宋体" w:hAnsi="宋体"/>
                <w:szCs w:val="21"/>
              </w:rPr>
              <w:t>2、芯片组：Q370或B450及以上性能的芯片组（投标时需注明芯片组详细型号备查）；</w:t>
            </w:r>
          </w:p>
          <w:p>
            <w:pPr>
              <w:spacing w:line="360" w:lineRule="auto"/>
              <w:rPr>
                <w:rFonts w:ascii="宋体" w:hAnsi="宋体"/>
                <w:szCs w:val="21"/>
              </w:rPr>
            </w:pPr>
            <w:r>
              <w:rPr>
                <w:rFonts w:hint="eastAsia" w:ascii="宋体" w:hAnsi="宋体"/>
                <w:szCs w:val="21"/>
              </w:rPr>
              <w:t>3、内存：≥8G DDR4 2666MHz内存，≥2个内存插槽，最大支持32GB DDR4内存；</w:t>
            </w:r>
          </w:p>
          <w:p>
            <w:pPr>
              <w:spacing w:line="360" w:lineRule="auto"/>
              <w:rPr>
                <w:rFonts w:ascii="宋体" w:hAnsi="宋体"/>
                <w:szCs w:val="21"/>
              </w:rPr>
            </w:pPr>
            <w:r>
              <w:rPr>
                <w:rFonts w:hint="eastAsia" w:ascii="宋体" w:hAnsi="宋体"/>
                <w:szCs w:val="21"/>
              </w:rPr>
              <w:t>4、显卡：高性能集成显卡；</w:t>
            </w:r>
          </w:p>
          <w:p>
            <w:pPr>
              <w:spacing w:line="360" w:lineRule="auto"/>
              <w:rPr>
                <w:rFonts w:ascii="宋体" w:hAnsi="宋体"/>
                <w:szCs w:val="21"/>
              </w:rPr>
            </w:pPr>
            <w:r>
              <w:rPr>
                <w:rFonts w:hint="eastAsia" w:ascii="宋体" w:hAnsi="宋体"/>
                <w:szCs w:val="21"/>
              </w:rPr>
              <w:t>5、声卡：集成HD Audio，支持5.1声道，具有5个以上音频接口；</w:t>
            </w:r>
          </w:p>
          <w:p>
            <w:pPr>
              <w:spacing w:line="360" w:lineRule="auto"/>
              <w:rPr>
                <w:rFonts w:ascii="宋体" w:hAnsi="宋体"/>
                <w:szCs w:val="21"/>
              </w:rPr>
            </w:pPr>
            <w:r>
              <w:rPr>
                <w:rFonts w:hint="eastAsia" w:ascii="宋体" w:hAnsi="宋体"/>
                <w:szCs w:val="21"/>
              </w:rPr>
              <w:t>6、硬盘：≥128G M.2 NVMe SSD固态硬盘+1TB 7200转SATA3机械硬盘，主板可支持M.2接口 NVMe协议SSD+HDD双硬盘扩展；</w:t>
            </w:r>
          </w:p>
          <w:p>
            <w:pPr>
              <w:spacing w:line="360" w:lineRule="auto"/>
              <w:rPr>
                <w:rFonts w:ascii="宋体" w:hAnsi="宋体"/>
                <w:szCs w:val="21"/>
              </w:rPr>
            </w:pPr>
            <w:r>
              <w:rPr>
                <w:rFonts w:hint="eastAsia" w:ascii="宋体" w:hAnsi="宋体"/>
                <w:szCs w:val="21"/>
              </w:rPr>
              <w:t>7、集成10/100/1000M自适应以太网卡；</w:t>
            </w:r>
          </w:p>
          <w:p>
            <w:pPr>
              <w:spacing w:line="360" w:lineRule="auto"/>
              <w:rPr>
                <w:rFonts w:ascii="宋体" w:hAnsi="宋体"/>
                <w:szCs w:val="21"/>
              </w:rPr>
            </w:pPr>
            <w:r>
              <w:rPr>
                <w:rFonts w:hint="eastAsia" w:ascii="宋体" w:hAnsi="宋体"/>
                <w:szCs w:val="21"/>
              </w:rPr>
              <w:t>8、≥1个PCI-E*16，≥2个PCI-E*1 ，≥1个PCI或1个PCI-Ex4，所有插槽均为出厂标配；</w:t>
            </w:r>
          </w:p>
          <w:p>
            <w:pPr>
              <w:spacing w:line="360" w:lineRule="auto"/>
              <w:rPr>
                <w:rFonts w:ascii="宋体" w:hAnsi="宋体"/>
                <w:szCs w:val="21"/>
              </w:rPr>
            </w:pPr>
            <w:r>
              <w:rPr>
                <w:rFonts w:hint="eastAsia" w:ascii="宋体" w:hAnsi="宋体"/>
                <w:szCs w:val="21"/>
              </w:rPr>
              <w:t>9、防水抗菌键盘鼠标（提供抗菌检测报告）；</w:t>
            </w:r>
          </w:p>
          <w:p>
            <w:pPr>
              <w:spacing w:line="360" w:lineRule="auto"/>
              <w:rPr>
                <w:rFonts w:ascii="宋体" w:hAnsi="宋体"/>
                <w:szCs w:val="21"/>
              </w:rPr>
            </w:pPr>
            <w:r>
              <w:rPr>
                <w:rFonts w:hint="eastAsia" w:ascii="宋体" w:hAnsi="宋体"/>
                <w:szCs w:val="21"/>
              </w:rPr>
              <w:t>10、≥8个USB接口（整机至少6个USB3.1 Gen1接口，至少前置2个USB3.1 Gen2高速接口）、PS/2接口、VGA接口（原生接口，非转换器转换接口）、HDMI接口、≥1个串口；</w:t>
            </w:r>
          </w:p>
          <w:p>
            <w:pPr>
              <w:spacing w:line="360" w:lineRule="auto"/>
              <w:rPr>
                <w:rFonts w:ascii="宋体" w:hAnsi="宋体"/>
                <w:szCs w:val="21"/>
              </w:rPr>
            </w:pPr>
            <w:r>
              <w:rPr>
                <w:rFonts w:hint="eastAsia" w:ascii="宋体" w:hAnsi="宋体"/>
                <w:szCs w:val="21"/>
              </w:rPr>
              <w:t>11、出厂预装WIN10 64bit简体中文版操作系统；</w:t>
            </w:r>
          </w:p>
          <w:p>
            <w:pPr>
              <w:spacing w:line="360" w:lineRule="auto"/>
              <w:rPr>
                <w:rFonts w:ascii="宋体" w:hAnsi="宋体"/>
                <w:szCs w:val="21"/>
              </w:rPr>
            </w:pPr>
            <w:r>
              <w:rPr>
                <w:rFonts w:hint="eastAsia" w:ascii="宋体" w:hAnsi="宋体"/>
                <w:szCs w:val="21"/>
              </w:rPr>
              <w:t>12、≤180W 85%高能效电源；</w:t>
            </w:r>
          </w:p>
          <w:p>
            <w:pPr>
              <w:spacing w:line="360" w:lineRule="auto"/>
              <w:rPr>
                <w:rFonts w:ascii="宋体" w:hAnsi="宋体"/>
                <w:szCs w:val="21"/>
              </w:rPr>
            </w:pPr>
            <w:r>
              <w:rPr>
                <w:rFonts w:hint="eastAsia" w:ascii="宋体" w:hAnsi="宋体"/>
                <w:szCs w:val="21"/>
              </w:rPr>
              <w:t>13、≥21.5英寸16:9宽屏液晶显示器（1920x1080，VGA+DVI双接口）（为减少用眼疲劳显示器通过低蓝光认证并提供中文版认证证书附有二维码或官网链接可准确查询显示器型号）；</w:t>
            </w:r>
          </w:p>
          <w:p>
            <w:pPr>
              <w:spacing w:line="360" w:lineRule="auto"/>
              <w:rPr>
                <w:rFonts w:ascii="宋体" w:hAnsi="宋体"/>
                <w:szCs w:val="21"/>
              </w:rPr>
            </w:pPr>
            <w:r>
              <w:rPr>
                <w:rFonts w:hint="eastAsia" w:ascii="宋体" w:hAnsi="宋体"/>
                <w:szCs w:val="21"/>
              </w:rPr>
              <w:t>14、可在BIOS设置USB仅识别键盘、鼠标，无法识别USB存储设备，有效防止数据泄露（投标时提供功能性截屏）；</w:t>
            </w:r>
          </w:p>
          <w:p>
            <w:pPr>
              <w:spacing w:line="360" w:lineRule="auto"/>
              <w:rPr>
                <w:rFonts w:ascii="宋体" w:hAnsi="宋体"/>
                <w:szCs w:val="21"/>
              </w:rPr>
            </w:pPr>
            <w:r>
              <w:rPr>
                <w:rFonts w:hint="eastAsia" w:ascii="宋体" w:hAnsi="宋体"/>
                <w:szCs w:val="21"/>
              </w:rPr>
              <w:t>15、出厂预装正版远程管理软件，如第三方软件，需提供至少三年的正版授权；支持USB端口管理、及时更新操作系统补丁、远程维护、限置网络带宽、软/硬件资产统计等功能（需提供功能截图证明）；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2" w:hRule="atLeast"/>
          <w:jc w:val="center"/>
        </w:trPr>
        <w:tc>
          <w:tcPr>
            <w:tcW w:w="983" w:type="dxa"/>
            <w:tcBorders>
              <w:top w:val="single" w:color="auto" w:sz="4" w:space="0"/>
            </w:tcBorders>
            <w:vAlign w:val="center"/>
          </w:tcPr>
          <w:p>
            <w:pPr>
              <w:widowControl/>
              <w:spacing w:line="360" w:lineRule="auto"/>
              <w:jc w:val="center"/>
              <w:rPr>
                <w:rFonts w:ascii="宋体" w:hAnsi="宋体"/>
                <w:b/>
                <w:bCs/>
                <w:szCs w:val="21"/>
              </w:rPr>
            </w:pPr>
            <w:r>
              <w:rPr>
                <w:rFonts w:hint="eastAsia" w:cs="宋体" w:asciiTheme="minorEastAsia" w:hAnsiTheme="minorEastAsia"/>
                <w:color w:val="000000"/>
                <w:kern w:val="0"/>
                <w:sz w:val="24"/>
                <w:szCs w:val="24"/>
              </w:rPr>
              <w:t>激光多功能一体打印机</w:t>
            </w:r>
          </w:p>
        </w:tc>
        <w:tc>
          <w:tcPr>
            <w:tcW w:w="8709" w:type="dxa"/>
            <w:gridSpan w:val="2"/>
            <w:tcBorders>
              <w:top w:val="single" w:color="auto" w:sz="4" w:space="0"/>
            </w:tcBorders>
            <w:vAlign w:val="center"/>
          </w:tcPr>
          <w:p>
            <w:pPr>
              <w:spacing w:line="360" w:lineRule="auto"/>
              <w:rPr>
                <w:rFonts w:ascii="宋体" w:hAnsi="宋体"/>
                <w:szCs w:val="21"/>
              </w:rPr>
            </w:pPr>
            <w:r>
              <w:rPr>
                <w:rFonts w:hint="eastAsia" w:ascii="宋体" w:hAnsi="宋体"/>
                <w:szCs w:val="21"/>
              </w:rPr>
              <w:t>1、自动进稿器</w:t>
            </w:r>
          </w:p>
          <w:p>
            <w:pPr>
              <w:spacing w:line="360" w:lineRule="auto"/>
              <w:rPr>
                <w:rFonts w:ascii="宋体" w:hAnsi="宋体"/>
                <w:szCs w:val="21"/>
              </w:rPr>
            </w:pPr>
            <w:r>
              <w:rPr>
                <w:rFonts w:hint="eastAsia" w:ascii="宋体" w:hAnsi="宋体"/>
                <w:szCs w:val="21"/>
              </w:rPr>
              <w:t>2、接口: 高速USB2.0;10Base-T/100Base-TX</w:t>
            </w:r>
          </w:p>
          <w:p>
            <w:pPr>
              <w:spacing w:line="360" w:lineRule="auto"/>
              <w:rPr>
                <w:rFonts w:ascii="宋体" w:hAnsi="宋体"/>
                <w:szCs w:val="21"/>
              </w:rPr>
            </w:pPr>
            <w:r>
              <w:rPr>
                <w:rFonts w:hint="eastAsia" w:ascii="宋体" w:hAnsi="宋体"/>
                <w:szCs w:val="21"/>
              </w:rPr>
              <w:t>3、打印引擎: 黑白激光</w:t>
            </w:r>
          </w:p>
          <w:p>
            <w:pPr>
              <w:spacing w:line="360" w:lineRule="auto"/>
              <w:rPr>
                <w:rFonts w:ascii="宋体" w:hAnsi="宋体"/>
                <w:szCs w:val="21"/>
              </w:rPr>
            </w:pPr>
            <w:r>
              <w:rPr>
                <w:rFonts w:hint="eastAsia" w:ascii="宋体" w:hAnsi="宋体"/>
                <w:szCs w:val="21"/>
              </w:rPr>
              <w:t>4、内存: 32MB</w:t>
            </w:r>
          </w:p>
          <w:p>
            <w:pPr>
              <w:spacing w:line="360" w:lineRule="auto"/>
              <w:rPr>
                <w:rFonts w:ascii="宋体" w:hAnsi="宋体"/>
                <w:szCs w:val="21"/>
              </w:rPr>
            </w:pPr>
            <w:r>
              <w:rPr>
                <w:rFonts w:hint="eastAsia" w:ascii="宋体" w:hAnsi="宋体"/>
                <w:szCs w:val="21"/>
              </w:rPr>
              <w:t>5、标准纸盒输入量: 250页</w:t>
            </w:r>
          </w:p>
          <w:p>
            <w:pPr>
              <w:spacing w:line="360" w:lineRule="auto"/>
              <w:rPr>
                <w:rFonts w:ascii="宋体" w:hAnsi="宋体"/>
                <w:szCs w:val="21"/>
              </w:rPr>
            </w:pPr>
            <w:r>
              <w:rPr>
                <w:rFonts w:hint="eastAsia" w:ascii="宋体" w:hAnsi="宋体"/>
                <w:szCs w:val="21"/>
              </w:rPr>
              <w:t>6、支持操作系统: windows，linux</w:t>
            </w:r>
          </w:p>
          <w:p>
            <w:pPr>
              <w:spacing w:line="360" w:lineRule="auto"/>
              <w:rPr>
                <w:rFonts w:ascii="宋体" w:hAnsi="宋体"/>
                <w:szCs w:val="21"/>
              </w:rPr>
            </w:pPr>
            <w:r>
              <w:rPr>
                <w:rFonts w:hint="eastAsia" w:ascii="宋体" w:hAnsi="宋体"/>
                <w:szCs w:val="21"/>
              </w:rPr>
              <w:t>7、复印速度: 30cpm</w:t>
            </w:r>
          </w:p>
          <w:p>
            <w:pPr>
              <w:spacing w:line="360" w:lineRule="auto"/>
              <w:rPr>
                <w:rFonts w:ascii="宋体" w:hAnsi="宋体"/>
                <w:szCs w:val="21"/>
              </w:rPr>
            </w:pPr>
            <w:r>
              <w:rPr>
                <w:rFonts w:hint="eastAsia" w:ascii="宋体" w:hAnsi="宋体"/>
                <w:szCs w:val="21"/>
              </w:rPr>
              <w:t>8、支持N合1复印</w:t>
            </w:r>
          </w:p>
          <w:p>
            <w:pPr>
              <w:spacing w:line="360" w:lineRule="auto"/>
              <w:rPr>
                <w:rFonts w:ascii="宋体" w:hAnsi="宋体"/>
                <w:szCs w:val="21"/>
              </w:rPr>
            </w:pPr>
            <w:r>
              <w:rPr>
                <w:rFonts w:hint="eastAsia" w:ascii="宋体" w:hAnsi="宋体"/>
                <w:szCs w:val="21"/>
              </w:rPr>
              <w:t>9、分辨率: 600 x 600 dpi；放大缩小复印: 25%-400%</w:t>
            </w:r>
          </w:p>
          <w:p>
            <w:pPr>
              <w:spacing w:line="360" w:lineRule="auto"/>
              <w:jc w:val="left"/>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、介质尺寸: A4,B5(JIS),A5,letter,A5(长边),Executive,A6,16K(195x270mm),16K(184x260mm),16K(197x273mm)；</w:t>
            </w:r>
          </w:p>
          <w:p>
            <w:pPr>
              <w:spacing w:line="360" w:lineRule="auto"/>
              <w:jc w:val="left"/>
              <w:rPr>
                <w:rFonts w:ascii="宋体" w:hAnsi="宋体"/>
                <w:szCs w:val="21"/>
              </w:rPr>
            </w:pPr>
            <w:r>
              <w:rPr>
                <w:rFonts w:ascii="宋体" w:hAnsi="宋体"/>
                <w:szCs w:val="21"/>
              </w:rPr>
              <w:t>11</w:t>
            </w:r>
            <w:r>
              <w:rPr>
                <w:rFonts w:hint="eastAsia" w:ascii="宋体" w:hAnsi="宋体"/>
                <w:szCs w:val="21"/>
              </w:rPr>
              <w:t>、扫描参数：</w:t>
            </w:r>
          </w:p>
          <w:p>
            <w:pPr>
              <w:spacing w:line="360" w:lineRule="auto"/>
              <w:jc w:val="left"/>
              <w:rPr>
                <w:rFonts w:ascii="宋体" w:hAnsi="宋体"/>
                <w:szCs w:val="21"/>
              </w:rPr>
            </w:pPr>
            <w:r>
              <w:rPr>
                <w:rFonts w:hint="eastAsia" w:ascii="宋体" w:hAnsi="宋体"/>
                <w:szCs w:val="21"/>
              </w:rPr>
              <w:t>色深: 30位输入/24位输出</w:t>
            </w:r>
          </w:p>
          <w:p>
            <w:pPr>
              <w:spacing w:line="360" w:lineRule="auto"/>
              <w:jc w:val="left"/>
              <w:rPr>
                <w:rFonts w:ascii="宋体" w:hAnsi="宋体"/>
                <w:szCs w:val="21"/>
              </w:rPr>
            </w:pPr>
            <w:r>
              <w:rPr>
                <w:rFonts w:hint="eastAsia" w:ascii="宋体" w:hAnsi="宋体"/>
                <w:szCs w:val="21"/>
              </w:rPr>
              <w:t>灰度等级: 10位输入/8位输出</w:t>
            </w:r>
          </w:p>
          <w:p>
            <w:pPr>
              <w:spacing w:line="360" w:lineRule="auto"/>
              <w:jc w:val="left"/>
              <w:rPr>
                <w:rFonts w:ascii="宋体" w:hAnsi="宋体"/>
                <w:szCs w:val="21"/>
              </w:rPr>
            </w:pPr>
            <w:r>
              <w:rPr>
                <w:rFonts w:hint="eastAsia" w:ascii="宋体" w:hAnsi="宋体"/>
                <w:szCs w:val="21"/>
              </w:rPr>
              <w:t>扫描分辨率(插值): 高达 19,200 x 19,200 dpi</w:t>
            </w:r>
          </w:p>
          <w:p>
            <w:pPr>
              <w:spacing w:line="360" w:lineRule="auto"/>
              <w:jc w:val="left"/>
              <w:rPr>
                <w:rFonts w:ascii="宋体" w:hAnsi="宋体"/>
                <w:szCs w:val="21"/>
              </w:rPr>
            </w:pPr>
            <w:r>
              <w:rPr>
                <w:rFonts w:hint="eastAsia" w:ascii="宋体" w:hAnsi="宋体"/>
                <w:szCs w:val="21"/>
              </w:rPr>
              <w:t>扫描分辨率(光学): 高达 600 x 2400 dpi</w:t>
            </w:r>
          </w:p>
          <w:p>
            <w:pPr>
              <w:spacing w:line="360" w:lineRule="auto"/>
              <w:jc w:val="left"/>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、打印参数</w:t>
            </w:r>
          </w:p>
          <w:p>
            <w:pPr>
              <w:spacing w:line="360" w:lineRule="auto"/>
              <w:jc w:val="left"/>
              <w:rPr>
                <w:rFonts w:ascii="宋体" w:hAnsi="宋体"/>
                <w:szCs w:val="21"/>
              </w:rPr>
            </w:pPr>
            <w:r>
              <w:rPr>
                <w:rFonts w:hint="eastAsia" w:ascii="宋体" w:hAnsi="宋体"/>
                <w:szCs w:val="21"/>
              </w:rPr>
              <w:t>自动双面打印速度: 15面/分钟</w:t>
            </w:r>
          </w:p>
          <w:p>
            <w:pPr>
              <w:spacing w:line="360" w:lineRule="auto"/>
              <w:jc w:val="left"/>
              <w:rPr>
                <w:rFonts w:ascii="宋体" w:hAnsi="宋体"/>
                <w:szCs w:val="21"/>
              </w:rPr>
            </w:pPr>
            <w:r>
              <w:rPr>
                <w:rFonts w:hint="eastAsia" w:ascii="宋体" w:hAnsi="宋体"/>
                <w:szCs w:val="21"/>
              </w:rPr>
              <w:t>首页打印输出时间(从Ready模式开始计算，标准纸盒）: 少于8.5秒</w:t>
            </w:r>
          </w:p>
          <w:p>
            <w:pPr>
              <w:spacing w:line="360" w:lineRule="auto"/>
              <w:jc w:val="left"/>
              <w:rPr>
                <w:rFonts w:ascii="宋体" w:hAnsi="宋体"/>
                <w:szCs w:val="21"/>
              </w:rPr>
            </w:pPr>
            <w:r>
              <w:rPr>
                <w:rFonts w:hint="eastAsia" w:ascii="宋体" w:hAnsi="宋体"/>
                <w:szCs w:val="21"/>
              </w:rPr>
              <w:t>打印仿真语言: PCL6, BR-Script3</w:t>
            </w:r>
          </w:p>
          <w:p>
            <w:pPr>
              <w:spacing w:line="360" w:lineRule="auto"/>
              <w:jc w:val="left"/>
              <w:rPr>
                <w:rFonts w:ascii="宋体" w:hAnsi="宋体"/>
                <w:szCs w:val="21"/>
              </w:rPr>
            </w:pPr>
            <w:r>
              <w:rPr>
                <w:rFonts w:hint="eastAsia" w:ascii="宋体" w:hAnsi="宋体"/>
                <w:szCs w:val="21"/>
              </w:rPr>
              <w:t>打印速度: 30ppm</w:t>
            </w:r>
          </w:p>
          <w:p>
            <w:pPr>
              <w:spacing w:line="360" w:lineRule="auto"/>
              <w:jc w:val="left"/>
              <w:rPr>
                <w:rFonts w:ascii="宋体" w:hAnsi="宋体"/>
                <w:szCs w:val="21"/>
              </w:rPr>
            </w:pPr>
            <w:r>
              <w:rPr>
                <w:rFonts w:hint="eastAsia" w:ascii="宋体" w:hAnsi="宋体"/>
                <w:szCs w:val="21"/>
              </w:rPr>
              <w:t>分辨率: 600*600dpi，HQ1200dpi</w:t>
            </w:r>
          </w:p>
        </w:tc>
      </w:tr>
    </w:tbl>
    <w:p>
      <w:pPr>
        <w:pStyle w:val="20"/>
        <w:spacing w:line="360" w:lineRule="auto"/>
        <w:ind w:firstLine="0" w:firstLineChars="0"/>
      </w:pPr>
    </w:p>
    <w:p>
      <w:pPr>
        <w:widowControl/>
        <w:jc w:val="left"/>
      </w:pPr>
      <w:r>
        <w:br w:type="page"/>
      </w:r>
    </w:p>
    <w:p>
      <w:pPr>
        <w:pStyle w:val="4"/>
        <w:numPr>
          <w:ilvl w:val="0"/>
          <w:numId w:val="36"/>
        </w:numPr>
        <w:spacing w:before="0" w:after="0" w:line="360" w:lineRule="auto"/>
        <w:ind w:left="0"/>
        <w:jc w:val="left"/>
        <w:rPr>
          <w:rFonts w:ascii="宋体" w:hAnsi="宋体"/>
          <w:color w:val="000000"/>
          <w:sz w:val="24"/>
          <w:szCs w:val="24"/>
        </w:rPr>
      </w:pPr>
      <w:r>
        <w:rPr>
          <w:rFonts w:hint="eastAsia" w:ascii="宋体" w:hAnsi="宋体"/>
          <w:sz w:val="28"/>
          <w:szCs w:val="28"/>
          <w:lang w:val="zh-CN"/>
        </w:rPr>
        <w:t>商务要求</w:t>
      </w:r>
    </w:p>
    <w:p>
      <w:pPr>
        <w:tabs>
          <w:tab w:val="left" w:pos="450"/>
        </w:tabs>
        <w:spacing w:line="360" w:lineRule="auto"/>
        <w:rPr>
          <w:rFonts w:ascii="宋体" w:hAnsi="宋体"/>
          <w:b/>
          <w:bCs/>
          <w:sz w:val="24"/>
          <w:szCs w:val="24"/>
        </w:rPr>
      </w:pPr>
      <w:r>
        <w:rPr>
          <w:rFonts w:hint="eastAsia" w:ascii="宋体" w:hAnsi="宋体"/>
          <w:b/>
          <w:bCs/>
          <w:sz w:val="24"/>
          <w:szCs w:val="24"/>
        </w:rPr>
        <w:t>1、投标样品</w:t>
      </w:r>
    </w:p>
    <w:p>
      <w:pPr>
        <w:spacing w:line="360" w:lineRule="auto"/>
        <w:ind w:firstLine="465"/>
        <w:rPr>
          <w:rFonts w:ascii="宋体" w:hAnsi="宋体"/>
          <w:bCs/>
          <w:sz w:val="24"/>
          <w:szCs w:val="24"/>
        </w:rPr>
      </w:pPr>
      <w:r>
        <w:rPr>
          <w:rFonts w:hint="eastAsia" w:ascii="宋体" w:hAnsi="宋体"/>
          <w:bCs/>
          <w:sz w:val="24"/>
          <w:szCs w:val="24"/>
        </w:rPr>
        <w:t>（1）须提供招标货物样品如下：</w:t>
      </w:r>
    </w:p>
    <w:p>
      <w:pPr>
        <w:spacing w:line="360" w:lineRule="auto"/>
        <w:ind w:firstLine="465"/>
        <w:rPr>
          <w:rFonts w:ascii="宋体" w:hAnsi="宋体"/>
          <w:bCs/>
          <w:sz w:val="24"/>
          <w:szCs w:val="24"/>
        </w:rPr>
      </w:pPr>
      <w:r>
        <w:rPr>
          <w:rFonts w:hint="eastAsia" w:ascii="宋体" w:hAnsi="宋体" w:cs="宋体"/>
          <w:bCs/>
          <w:color w:val="000000"/>
          <w:kern w:val="0"/>
          <w:sz w:val="24"/>
          <w:szCs w:val="24"/>
        </w:rPr>
        <w:t>提供投标型号教学触控一体机</w:t>
      </w:r>
      <w:r>
        <w:rPr>
          <w:rFonts w:hint="eastAsia" w:ascii="宋体" w:hAnsi="宋体"/>
          <w:bCs/>
          <w:sz w:val="24"/>
          <w:szCs w:val="24"/>
        </w:rPr>
        <w:t>1台，提供投标型号</w:t>
      </w:r>
      <w:r>
        <w:rPr>
          <w:rFonts w:hint="eastAsia" w:ascii="宋体" w:hAnsi="宋体" w:cs="宋体"/>
          <w:bCs/>
          <w:color w:val="000000"/>
          <w:kern w:val="0"/>
          <w:sz w:val="24"/>
          <w:szCs w:val="24"/>
        </w:rPr>
        <w:t>OPS电脑</w:t>
      </w:r>
      <w:r>
        <w:rPr>
          <w:rFonts w:hint="eastAsia" w:ascii="宋体" w:hAnsi="宋体"/>
          <w:bCs/>
          <w:sz w:val="24"/>
          <w:szCs w:val="24"/>
        </w:rPr>
        <w:t>1台，分开封装。请将样品在开标当天</w:t>
      </w:r>
      <w:r>
        <w:rPr>
          <w:rFonts w:ascii="宋体" w:hAnsi="宋体"/>
          <w:bCs/>
          <w:sz w:val="24"/>
          <w:szCs w:val="24"/>
        </w:rPr>
        <w:t>9</w:t>
      </w:r>
      <w:r>
        <w:rPr>
          <w:rFonts w:hint="eastAsia" w:ascii="宋体" w:hAnsi="宋体"/>
          <w:bCs/>
          <w:sz w:val="24"/>
          <w:szCs w:val="24"/>
        </w:rPr>
        <w:t>：</w:t>
      </w:r>
      <w:r>
        <w:rPr>
          <w:rFonts w:ascii="宋体" w:hAnsi="宋体"/>
          <w:bCs/>
          <w:sz w:val="24"/>
          <w:szCs w:val="24"/>
        </w:rPr>
        <w:t>00</w:t>
      </w:r>
      <w:r>
        <w:rPr>
          <w:rFonts w:hint="eastAsia" w:ascii="宋体" w:hAnsi="宋体"/>
          <w:bCs/>
          <w:sz w:val="24"/>
          <w:szCs w:val="24"/>
        </w:rPr>
        <w:t>（北京时间）前送达湖北省阳新县公共资源交易中心（地址：</w:t>
      </w:r>
      <w:r>
        <w:rPr>
          <w:rFonts w:hint="eastAsia"/>
          <w:sz w:val="24"/>
          <w:szCs w:val="24"/>
        </w:rPr>
        <w:t>城东新区阳新大道熊家垴安置小区东侧</w:t>
      </w:r>
      <w:r>
        <w:rPr>
          <w:rFonts w:hint="eastAsia" w:ascii="宋体" w:hAnsi="宋体"/>
          <w:bCs/>
          <w:sz w:val="24"/>
          <w:szCs w:val="24"/>
        </w:rPr>
        <w:t>）</w:t>
      </w:r>
      <w:r>
        <w:rPr>
          <w:rFonts w:hint="eastAsia" w:ascii="宋体" w:hAnsi="宋体"/>
          <w:bCs/>
          <w:color w:val="FF0000"/>
          <w:sz w:val="24"/>
          <w:szCs w:val="24"/>
        </w:rPr>
        <w:t>的指定地有序存放。</w:t>
      </w:r>
      <w:r>
        <w:rPr>
          <w:rFonts w:hint="eastAsia" w:ascii="宋体" w:hAnsi="宋体"/>
          <w:bCs/>
          <w:sz w:val="24"/>
          <w:szCs w:val="24"/>
        </w:rPr>
        <w:t>样品应独立提供，不得与其他投标人共用，为了防止中标供应商弄虚作假，样品在评标时有可能做破坏性实验检查材料是否符合标书要求。供应商提供的样品不符合标书中的性能、材质及参数规格要求的，其投标将被拒绝，中标人的样品须封存并作为验收的重要依据。</w:t>
      </w:r>
    </w:p>
    <w:p>
      <w:pPr>
        <w:spacing w:line="360" w:lineRule="auto"/>
        <w:ind w:firstLine="465"/>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（2）投标样品外</w:t>
      </w:r>
      <w:r>
        <w:rPr>
          <w:rFonts w:hint="eastAsia" w:ascii="宋体" w:hAnsi="宋体"/>
          <w:bCs/>
          <w:color w:val="FF0000"/>
          <w:sz w:val="24"/>
          <w:szCs w:val="24"/>
        </w:rPr>
        <w:t>包装</w:t>
      </w:r>
      <w:r>
        <w:rPr>
          <w:rFonts w:hint="eastAsia" w:ascii="宋体" w:hAnsi="宋体"/>
          <w:bCs/>
          <w:color w:val="000000" w:themeColor="text1"/>
          <w:sz w:val="24"/>
          <w:szCs w:val="24"/>
          <w14:textFill>
            <w14:solidFill>
              <w14:schemeClr w14:val="tx1"/>
            </w14:solidFill>
          </w14:textFill>
        </w:rPr>
        <w:t>上应注明样品名称、规格型号，所用原材料名称、规格型号等信息，并使用封条封装好</w:t>
      </w:r>
      <w:r>
        <w:rPr>
          <w:rFonts w:hint="eastAsia" w:ascii="宋体" w:hAnsi="宋体"/>
          <w:bCs/>
          <w:color w:val="FF0000"/>
          <w:sz w:val="24"/>
          <w:szCs w:val="24"/>
        </w:rPr>
        <w:t>样品,</w:t>
      </w:r>
      <w:r>
        <w:rPr>
          <w:rFonts w:hint="eastAsia"/>
          <w:color w:val="FF0000"/>
        </w:rPr>
        <w:t xml:space="preserve"> </w:t>
      </w:r>
      <w:r>
        <w:rPr>
          <w:rFonts w:hint="eastAsia" w:ascii="宋体" w:hAnsi="宋体"/>
          <w:bCs/>
          <w:color w:val="FF0000"/>
          <w:sz w:val="24"/>
          <w:szCs w:val="24"/>
        </w:rPr>
        <w:t>同时</w:t>
      </w:r>
      <w:r>
        <w:rPr>
          <w:rFonts w:hint="eastAsia" w:ascii="宋体" w:hAnsi="宋体"/>
          <w:bCs/>
          <w:color w:val="000000" w:themeColor="text1"/>
          <w:sz w:val="24"/>
          <w:szCs w:val="24"/>
          <w14:textFill>
            <w14:solidFill>
              <w14:schemeClr w14:val="tx1"/>
            </w14:solidFill>
          </w14:textFill>
        </w:rPr>
        <w:t>加盖投标人鲜章。</w:t>
      </w:r>
    </w:p>
    <w:p>
      <w:pPr>
        <w:spacing w:line="360" w:lineRule="auto"/>
        <w:ind w:firstLine="465"/>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）投标样品拆封由投标人在监督工作人员的监督和统一安排下自行拆封和组装。投标人应在1~</w:t>
      </w:r>
      <w:r>
        <w:rPr>
          <w:rFonts w:ascii="宋体" w:hAnsi="宋体"/>
          <w:bCs/>
          <w:sz w:val="24"/>
          <w:szCs w:val="24"/>
        </w:rPr>
        <w:t>2</w:t>
      </w:r>
      <w:r>
        <w:rPr>
          <w:rFonts w:hint="eastAsia" w:ascii="宋体" w:hAnsi="宋体"/>
          <w:bCs/>
          <w:sz w:val="24"/>
          <w:szCs w:val="24"/>
        </w:rPr>
        <w:t>小时内组装和调试好一体机（含OPS）的软硬件。演示现场只提供电源不提供Internet网络，需投标人自行使用4G网络相关技术解决。</w:t>
      </w:r>
    </w:p>
    <w:p>
      <w:pPr>
        <w:spacing w:line="360" w:lineRule="auto"/>
        <w:ind w:firstLine="465"/>
      </w:pPr>
      <w:r>
        <w:rPr>
          <w:rFonts w:hint="eastAsia" w:ascii="宋体" w:hAnsi="宋体"/>
          <w:color w:val="000000"/>
          <w:sz w:val="24"/>
          <w:szCs w:val="24"/>
        </w:rPr>
        <w:t>（</w:t>
      </w:r>
      <w:r>
        <w:rPr>
          <w:rFonts w:ascii="宋体" w:hAnsi="宋体"/>
          <w:color w:val="000000"/>
          <w:sz w:val="24"/>
          <w:szCs w:val="24"/>
        </w:rPr>
        <w:t>4）</w:t>
      </w:r>
      <w:r>
        <w:rPr>
          <w:rFonts w:hint="eastAsia" w:ascii="宋体" w:hAnsi="宋体"/>
          <w:bCs/>
          <w:color w:val="000000"/>
          <w:sz w:val="24"/>
          <w:szCs w:val="24"/>
        </w:rPr>
        <w:t>所有投标人在计算投标报价时，应考虑投标样品所需的费用开支。评标结束后，封存前三名投标商样品，</w:t>
      </w:r>
      <w:r>
        <w:rPr>
          <w:rFonts w:hint="eastAsia" w:ascii="宋体" w:hAnsi="宋体"/>
          <w:color w:val="000000"/>
          <w:sz w:val="24"/>
          <w:szCs w:val="24"/>
        </w:rPr>
        <w:t>中标公告发布后，</w:t>
      </w:r>
      <w:r>
        <w:rPr>
          <w:rFonts w:hint="eastAsia" w:ascii="宋体" w:hAnsi="宋体"/>
          <w:color w:val="FF0000"/>
          <w:sz w:val="24"/>
          <w:szCs w:val="24"/>
        </w:rPr>
        <w:t>除</w:t>
      </w:r>
      <w:r>
        <w:rPr>
          <w:rFonts w:hint="eastAsia" w:ascii="宋体" w:hAnsi="宋体"/>
          <w:color w:val="000000"/>
          <w:sz w:val="24"/>
          <w:szCs w:val="24"/>
        </w:rPr>
        <w:t>中标供应商的投标样品</w:t>
      </w:r>
      <w:r>
        <w:rPr>
          <w:rFonts w:hint="eastAsia" w:ascii="宋体" w:hAnsi="宋体"/>
          <w:bCs/>
          <w:color w:val="000000"/>
          <w:sz w:val="24"/>
          <w:szCs w:val="24"/>
        </w:rPr>
        <w:t>将被封存，作为供货、验收的依据，不予退还</w:t>
      </w:r>
      <w:r>
        <w:rPr>
          <w:rFonts w:hint="eastAsia" w:ascii="宋体" w:hAnsi="宋体"/>
          <w:bCs/>
          <w:color w:val="FF0000"/>
          <w:sz w:val="24"/>
          <w:szCs w:val="24"/>
        </w:rPr>
        <w:t>外,</w:t>
      </w:r>
      <w:r>
        <w:rPr>
          <w:rFonts w:hint="eastAsia"/>
        </w:rPr>
        <w:t xml:space="preserve"> </w:t>
      </w:r>
      <w:r>
        <w:rPr>
          <w:rFonts w:hint="eastAsia" w:ascii="宋体" w:hAnsi="宋体"/>
          <w:bCs/>
          <w:color w:val="FF0000"/>
          <w:sz w:val="24"/>
          <w:szCs w:val="24"/>
        </w:rPr>
        <w:t>其他投标人所提供的样品由投标人自己保管处置</w:t>
      </w:r>
      <w:r>
        <w:rPr>
          <w:rFonts w:hint="eastAsia" w:ascii="宋体" w:hAnsi="宋体"/>
          <w:bCs/>
          <w:color w:val="000000"/>
          <w:sz w:val="24"/>
          <w:szCs w:val="24"/>
        </w:rPr>
        <w:t>。</w:t>
      </w:r>
    </w:p>
    <w:p>
      <w:pPr>
        <w:spacing w:line="360" w:lineRule="auto"/>
        <w:rPr>
          <w:rFonts w:ascii="宋体" w:hAnsi="宋体"/>
          <w:bCs/>
          <w:color w:val="000000"/>
          <w:sz w:val="24"/>
          <w:szCs w:val="24"/>
        </w:rPr>
      </w:pPr>
      <w:r>
        <w:rPr>
          <w:rFonts w:ascii="宋体" w:hAnsi="宋体"/>
          <w:b/>
          <w:bCs/>
          <w:color w:val="000000"/>
          <w:sz w:val="24"/>
          <w:szCs w:val="24"/>
        </w:rPr>
        <w:t>2</w:t>
      </w:r>
      <w:r>
        <w:rPr>
          <w:rFonts w:hint="eastAsia" w:ascii="宋体" w:hAnsi="宋体"/>
          <w:b/>
          <w:bCs/>
          <w:color w:val="000000"/>
          <w:sz w:val="24"/>
          <w:szCs w:val="24"/>
        </w:rPr>
        <w:t>、项目地点</w:t>
      </w:r>
      <w:r>
        <w:rPr>
          <w:rFonts w:hint="eastAsia" w:ascii="宋体" w:hAnsi="宋体"/>
          <w:bCs/>
          <w:color w:val="000000"/>
          <w:sz w:val="24"/>
          <w:szCs w:val="24"/>
        </w:rPr>
        <w:t>：</w:t>
      </w:r>
    </w:p>
    <w:p>
      <w:pPr>
        <w:spacing w:line="360" w:lineRule="auto"/>
        <w:ind w:firstLine="424" w:firstLineChars="177"/>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阳新县义务教育学校。</w:t>
      </w:r>
    </w:p>
    <w:p>
      <w:pPr>
        <w:spacing w:line="360" w:lineRule="auto"/>
        <w:ind w:firstLine="141" w:firstLineChars="59"/>
        <w:rPr>
          <w:rFonts w:ascii="宋体" w:hAnsi="宋体"/>
          <w:bCs/>
          <w:color w:val="000000"/>
          <w:sz w:val="24"/>
          <w:szCs w:val="24"/>
        </w:rPr>
      </w:pPr>
      <w:r>
        <w:rPr>
          <w:rFonts w:hint="eastAsia" w:ascii="宋体" w:hAnsi="宋体" w:cs="宋体"/>
          <w:color w:val="000000"/>
          <w:sz w:val="24"/>
          <w:szCs w:val="24"/>
        </w:rPr>
        <w:t>★</w:t>
      </w:r>
      <w:r>
        <w:rPr>
          <w:rFonts w:ascii="宋体" w:hAnsi="宋体"/>
          <w:b/>
          <w:bCs/>
          <w:color w:val="000000"/>
          <w:sz w:val="24"/>
          <w:szCs w:val="24"/>
        </w:rPr>
        <w:t>3</w:t>
      </w:r>
      <w:r>
        <w:rPr>
          <w:rFonts w:hint="eastAsia" w:ascii="宋体" w:hAnsi="宋体"/>
          <w:b/>
          <w:bCs/>
          <w:color w:val="000000"/>
          <w:sz w:val="24"/>
          <w:szCs w:val="24"/>
        </w:rPr>
        <w:t>、</w:t>
      </w:r>
      <w:r>
        <w:rPr>
          <w:rFonts w:hint="eastAsia" w:ascii="宋体" w:hAnsi="宋体"/>
          <w:sz w:val="24"/>
          <w:szCs w:val="24"/>
        </w:rPr>
        <w:t>提供触控一体机（含OPS计算机）、教学电脑的</w:t>
      </w:r>
      <w:r>
        <w:rPr>
          <w:rFonts w:ascii="宋体" w:hAnsi="宋体"/>
          <w:sz w:val="24"/>
          <w:szCs w:val="24"/>
        </w:rPr>
        <w:t>3</w:t>
      </w:r>
      <w:r>
        <w:rPr>
          <w:rFonts w:hint="eastAsia" w:ascii="宋体" w:hAnsi="宋体"/>
          <w:sz w:val="24"/>
          <w:szCs w:val="24"/>
        </w:rPr>
        <w:t>C证书复印件，并加盖鲜章；提供交换机的工信部设备进网许可证和入网测试报告复印件并加盖投标人鲜章；</w:t>
      </w:r>
    </w:p>
    <w:p>
      <w:pPr>
        <w:pStyle w:val="20"/>
        <w:spacing w:line="360" w:lineRule="auto"/>
        <w:ind w:firstLine="0" w:firstLineChars="0"/>
        <w:rPr>
          <w:b/>
          <w:sz w:val="24"/>
          <w:szCs w:val="24"/>
        </w:rPr>
      </w:pPr>
      <w:r>
        <w:rPr>
          <w:rFonts w:ascii="宋体" w:hAnsi="宋体"/>
          <w:b/>
          <w:sz w:val="24"/>
          <w:szCs w:val="24"/>
        </w:rPr>
        <w:t>4</w:t>
      </w:r>
      <w:r>
        <w:rPr>
          <w:rFonts w:hint="eastAsia" w:ascii="宋体" w:hAnsi="宋体"/>
          <w:b/>
          <w:sz w:val="24"/>
          <w:szCs w:val="24"/>
        </w:rPr>
        <w:t>、培训要求：</w:t>
      </w:r>
    </w:p>
    <w:p>
      <w:pPr>
        <w:pStyle w:val="20"/>
        <w:spacing w:line="360" w:lineRule="auto"/>
        <w:ind w:firstLine="0" w:firstLineChars="0"/>
        <w:rPr>
          <w:rFonts w:ascii="宋体" w:hAnsi="宋体"/>
          <w:sz w:val="24"/>
          <w:szCs w:val="24"/>
        </w:rPr>
      </w:pPr>
      <w:r>
        <w:rPr>
          <w:rFonts w:hint="eastAsia" w:ascii="宋体" w:hAnsi="宋体"/>
          <w:sz w:val="24"/>
          <w:szCs w:val="24"/>
        </w:rPr>
        <w:t>（1）提供培训教材；</w:t>
      </w:r>
    </w:p>
    <w:p>
      <w:pPr>
        <w:pStyle w:val="20"/>
        <w:spacing w:line="360" w:lineRule="auto"/>
        <w:ind w:firstLine="0" w:firstLineChars="0"/>
        <w:rPr>
          <w:sz w:val="24"/>
          <w:szCs w:val="24"/>
        </w:rPr>
      </w:pPr>
      <w:r>
        <w:rPr>
          <w:rFonts w:hint="eastAsia"/>
          <w:sz w:val="24"/>
          <w:szCs w:val="24"/>
        </w:rPr>
        <w:t>（2）培训内容必须包含：教学一体机、视频展台的硬件及软件功能的使用、设备保养、售后服务等内容；</w:t>
      </w:r>
    </w:p>
    <w:p>
      <w:pPr>
        <w:pStyle w:val="20"/>
        <w:spacing w:line="360" w:lineRule="auto"/>
        <w:ind w:firstLine="0" w:firstLineChars="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）在指定项目学校提供不少于4场次，每场次不少于4课时（45分钟每课时）教师操作培训。</w:t>
      </w:r>
    </w:p>
    <w:p>
      <w:pPr>
        <w:pStyle w:val="20"/>
        <w:spacing w:line="360" w:lineRule="auto"/>
        <w:ind w:firstLine="0" w:firstLineChars="0"/>
        <w:rPr>
          <w:rFonts w:ascii="宋体" w:hAnsi="宋体"/>
          <w:sz w:val="24"/>
          <w:szCs w:val="24"/>
        </w:rPr>
      </w:pPr>
      <w:r>
        <w:rPr>
          <w:rFonts w:hint="eastAsia" w:ascii="宋体" w:hAnsi="宋体" w:cs="宋体"/>
          <w:color w:val="000000"/>
          <w:sz w:val="24"/>
          <w:szCs w:val="24"/>
        </w:rPr>
        <w:t>★</w:t>
      </w:r>
      <w:r>
        <w:rPr>
          <w:rFonts w:ascii="宋体" w:hAnsi="宋体"/>
          <w:b/>
          <w:sz w:val="24"/>
          <w:szCs w:val="24"/>
        </w:rPr>
        <w:t>5</w:t>
      </w:r>
      <w:r>
        <w:rPr>
          <w:rFonts w:hint="eastAsia" w:ascii="宋体" w:hAnsi="宋体"/>
          <w:b/>
          <w:sz w:val="24"/>
          <w:szCs w:val="24"/>
        </w:rPr>
        <w:t>、质量保证期和运维服务</w:t>
      </w:r>
      <w:r>
        <w:rPr>
          <w:rFonts w:hint="eastAsia" w:ascii="宋体" w:hAnsi="宋体"/>
          <w:sz w:val="24"/>
          <w:szCs w:val="24"/>
        </w:rPr>
        <w:t>：</w:t>
      </w:r>
    </w:p>
    <w:p>
      <w:pPr>
        <w:pStyle w:val="20"/>
        <w:spacing w:line="360" w:lineRule="auto"/>
        <w:ind w:firstLine="566" w:firstLineChars="236"/>
        <w:rPr>
          <w:rFonts w:ascii="宋体" w:hAnsi="宋体"/>
          <w:sz w:val="24"/>
          <w:szCs w:val="24"/>
        </w:rPr>
      </w:pPr>
      <w:r>
        <w:rPr>
          <w:rFonts w:hint="eastAsia" w:ascii="宋体" w:hAnsi="宋体"/>
          <w:sz w:val="24"/>
          <w:szCs w:val="24"/>
        </w:rPr>
        <w:t>触控一体机 、OPS计算机、黑板、实物展台、钢制讲台等大件器材的质量保证期为验收合格之日起叁年。</w:t>
      </w:r>
    </w:p>
    <w:p>
      <w:pPr>
        <w:pStyle w:val="20"/>
        <w:spacing w:line="360" w:lineRule="auto"/>
        <w:ind w:firstLine="566" w:firstLineChars="236"/>
        <w:rPr>
          <w:rFonts w:ascii="宋体" w:hAnsi="宋体"/>
          <w:sz w:val="24"/>
          <w:szCs w:val="24"/>
        </w:rPr>
      </w:pPr>
      <w:r>
        <w:rPr>
          <w:rFonts w:hint="eastAsia" w:ascii="宋体" w:hAnsi="宋体"/>
          <w:sz w:val="24"/>
          <w:szCs w:val="24"/>
        </w:rPr>
        <w:t>触控一体机 、OPS计算机、黑板、实物展台等系统的运维服务期为验收合格之日起叁年。</w:t>
      </w:r>
    </w:p>
    <w:p>
      <w:pPr>
        <w:pStyle w:val="20"/>
        <w:spacing w:line="360" w:lineRule="auto"/>
        <w:ind w:firstLineChars="175"/>
        <w:rPr>
          <w:rFonts w:ascii="宋体" w:hAnsi="宋体"/>
          <w:sz w:val="24"/>
          <w:szCs w:val="24"/>
        </w:rPr>
      </w:pPr>
      <w:r>
        <w:rPr>
          <w:rFonts w:hint="eastAsia" w:ascii="宋体" w:hAnsi="宋体"/>
          <w:sz w:val="24"/>
          <w:szCs w:val="24"/>
        </w:rPr>
        <w:t>如果乙方在规定的期限内没有对有质量问题的产品进行维修、更换或运维服务，甲方有权部分或全部解除合同，并采取必要的措施，相关费用由乙方承担。同时甲方将向乙方提出赔偿要求。</w:t>
      </w:r>
    </w:p>
    <w:p>
      <w:pPr>
        <w:pStyle w:val="20"/>
        <w:spacing w:line="360" w:lineRule="auto"/>
        <w:ind w:firstLine="0" w:firstLineChars="0"/>
        <w:rPr>
          <w:rFonts w:ascii="宋体" w:hAnsi="宋体"/>
          <w:sz w:val="24"/>
          <w:szCs w:val="24"/>
        </w:rPr>
      </w:pPr>
      <w:r>
        <w:rPr>
          <w:rFonts w:ascii="宋体" w:hAnsi="宋体"/>
          <w:b/>
          <w:sz w:val="24"/>
          <w:szCs w:val="24"/>
        </w:rPr>
        <w:t>6</w:t>
      </w:r>
      <w:r>
        <w:rPr>
          <w:rFonts w:hint="eastAsia" w:ascii="宋体" w:hAnsi="宋体"/>
          <w:b/>
          <w:sz w:val="24"/>
          <w:szCs w:val="24"/>
        </w:rPr>
        <w:t>、售后及运维服务</w:t>
      </w:r>
      <w:r>
        <w:rPr>
          <w:rFonts w:hint="eastAsia" w:ascii="宋体" w:hAnsi="宋体"/>
          <w:sz w:val="24"/>
          <w:szCs w:val="24"/>
        </w:rPr>
        <w:t>：</w:t>
      </w:r>
    </w:p>
    <w:p>
      <w:pPr>
        <w:spacing w:line="360" w:lineRule="auto"/>
        <w:ind w:firstLine="240" w:firstLineChars="100"/>
        <w:rPr>
          <w:rFonts w:ascii="宋体" w:hAnsi="宋体"/>
          <w:sz w:val="24"/>
          <w:szCs w:val="24"/>
        </w:rPr>
      </w:pPr>
      <w:r>
        <w:rPr>
          <w:rFonts w:ascii="宋体" w:hAnsi="宋体"/>
          <w:sz w:val="24"/>
          <w:szCs w:val="24"/>
        </w:rPr>
        <w:t>6</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各投标人应能提供优秀的售后及运维服务。在设备通过验收后，投标人应对设备全系统至少有</w:t>
      </w:r>
      <w:r>
        <w:rPr>
          <w:rFonts w:hint="eastAsia" w:ascii="宋体" w:hAnsi="宋体"/>
          <w:b/>
          <w:bCs/>
          <w:sz w:val="24"/>
          <w:szCs w:val="24"/>
          <w:u w:val="single"/>
        </w:rPr>
        <w:t>不低于招标文件规定</w:t>
      </w:r>
      <w:r>
        <w:rPr>
          <w:rFonts w:hint="eastAsia" w:ascii="宋体" w:hAnsi="宋体"/>
          <w:b/>
          <w:bCs/>
          <w:sz w:val="24"/>
          <w:szCs w:val="24"/>
        </w:rPr>
        <w:t>质量保证期限</w:t>
      </w:r>
      <w:r>
        <w:rPr>
          <w:rFonts w:hint="eastAsia" w:ascii="宋体" w:hAnsi="宋体"/>
          <w:sz w:val="24"/>
          <w:szCs w:val="24"/>
        </w:rPr>
        <w:t>，投标人应对产品质量实行“三包”服务。在质量保证期内，当发生故障采购人提出故障服务请求时，</w:t>
      </w:r>
      <w:r>
        <w:rPr>
          <w:rFonts w:hint="eastAsia" w:ascii="宋体" w:hAnsi="宋体"/>
          <w:b/>
          <w:bCs/>
          <w:sz w:val="24"/>
          <w:szCs w:val="24"/>
        </w:rPr>
        <w:t>投标人应在30分钟之内给予响应，必要时应在24小时内派技术人员到现场排除故障，排除故障时间应在2个工作日内，如在2个工作日内无法排障，投标人应免费提供性能相当的备机供采购人使用。</w:t>
      </w:r>
    </w:p>
    <w:p>
      <w:pPr>
        <w:spacing w:line="360" w:lineRule="auto"/>
        <w:ind w:firstLine="240" w:firstLineChars="100"/>
        <w:rPr>
          <w:rFonts w:ascii="宋体" w:hAnsi="宋体"/>
          <w:sz w:val="24"/>
          <w:szCs w:val="24"/>
        </w:rPr>
      </w:pPr>
      <w:r>
        <w:rPr>
          <w:rFonts w:ascii="宋体" w:hAnsi="宋体"/>
          <w:sz w:val="24"/>
          <w:szCs w:val="24"/>
        </w:rPr>
        <w:t>6</w:t>
      </w:r>
      <w:r>
        <w:rPr>
          <w:rFonts w:hint="eastAsia" w:ascii="宋体" w:hAnsi="宋体"/>
          <w:sz w:val="24"/>
          <w:szCs w:val="24"/>
        </w:rPr>
        <w:t>.2</w:t>
      </w:r>
      <w:r>
        <w:rPr>
          <w:rFonts w:ascii="宋体" w:hAnsi="宋体"/>
          <w:sz w:val="24"/>
          <w:szCs w:val="24"/>
        </w:rPr>
        <w:t>在保质期满以后，</w:t>
      </w:r>
      <w:r>
        <w:rPr>
          <w:rFonts w:hint="eastAsia" w:ascii="宋体" w:hAnsi="宋体"/>
          <w:sz w:val="24"/>
          <w:szCs w:val="24"/>
        </w:rPr>
        <w:t>投标人</w:t>
      </w:r>
      <w:r>
        <w:rPr>
          <w:rFonts w:ascii="宋体" w:hAnsi="宋体"/>
          <w:sz w:val="24"/>
          <w:szCs w:val="24"/>
        </w:rPr>
        <w:t>应按其在湖北地区同类设备的最优惠价格提供</w:t>
      </w:r>
      <w:r>
        <w:rPr>
          <w:rFonts w:hint="eastAsia" w:ascii="宋体" w:hAnsi="宋体"/>
          <w:sz w:val="24"/>
          <w:szCs w:val="24"/>
        </w:rPr>
        <w:t>运维</w:t>
      </w:r>
      <w:r>
        <w:rPr>
          <w:rFonts w:ascii="宋体" w:hAnsi="宋体"/>
          <w:sz w:val="24"/>
          <w:szCs w:val="24"/>
        </w:rPr>
        <w:t>服务。</w:t>
      </w:r>
    </w:p>
    <w:p>
      <w:pPr>
        <w:pStyle w:val="13"/>
        <w:spacing w:beforeAutospacing="0" w:afterAutospacing="0" w:line="360" w:lineRule="auto"/>
        <w:ind w:firstLine="240" w:firstLineChars="100"/>
        <w:rPr>
          <w:rFonts w:cstheme="minorBidi"/>
          <w:kern w:val="2"/>
        </w:rPr>
      </w:pPr>
      <w:r>
        <w:rPr>
          <w:rFonts w:cstheme="minorBidi"/>
          <w:kern w:val="2"/>
        </w:rPr>
        <w:t>6</w:t>
      </w:r>
      <w:r>
        <w:rPr>
          <w:rFonts w:hint="eastAsia" w:cstheme="minorBidi"/>
          <w:kern w:val="2"/>
        </w:rPr>
        <w:t>.3</w:t>
      </w:r>
      <w:r>
        <w:rPr>
          <w:rFonts w:cstheme="minorBidi"/>
          <w:kern w:val="2"/>
        </w:rPr>
        <w:t>投标人应提供在</w:t>
      </w:r>
      <w:r>
        <w:rPr>
          <w:rFonts w:hint="eastAsia" w:cstheme="minorBidi"/>
          <w:kern w:val="2"/>
        </w:rPr>
        <w:t>湖北省</w:t>
      </w:r>
      <w:r>
        <w:rPr>
          <w:rFonts w:cstheme="minorBidi"/>
          <w:kern w:val="2"/>
        </w:rPr>
        <w:t>境内售后服务队伍名称、资质、人员配备、联系地址、电话等详细资料。</w:t>
      </w:r>
    </w:p>
    <w:p>
      <w:pPr>
        <w:tabs>
          <w:tab w:val="left" w:pos="510"/>
        </w:tabs>
        <w:spacing w:line="360" w:lineRule="auto"/>
        <w:rPr>
          <w:rFonts w:ascii="宋体" w:hAnsi="宋体"/>
          <w:sz w:val="24"/>
          <w:szCs w:val="24"/>
        </w:rPr>
      </w:pPr>
      <w:r>
        <w:rPr>
          <w:rFonts w:ascii="宋体" w:hAnsi="宋体"/>
          <w:sz w:val="24"/>
          <w:szCs w:val="24"/>
        </w:rPr>
        <w:t>6</w:t>
      </w:r>
      <w:r>
        <w:rPr>
          <w:rFonts w:hint="eastAsia" w:ascii="宋体" w:hAnsi="宋体"/>
          <w:sz w:val="24"/>
          <w:szCs w:val="24"/>
        </w:rPr>
        <w:t>.4备件及易损件：</w:t>
      </w:r>
    </w:p>
    <w:p>
      <w:pPr>
        <w:spacing w:line="360" w:lineRule="auto"/>
        <w:ind w:firstLine="240" w:firstLineChars="100"/>
        <w:rPr>
          <w:rFonts w:ascii="宋体" w:hAnsi="宋体"/>
          <w:sz w:val="24"/>
          <w:szCs w:val="24"/>
        </w:rPr>
      </w:pPr>
      <w:r>
        <w:rPr>
          <w:rFonts w:hint="eastAsia" w:ascii="宋体" w:hAnsi="宋体"/>
          <w:sz w:val="24"/>
          <w:szCs w:val="24"/>
        </w:rPr>
        <w:t>1） 投标人应提供随机附带的免费备品备件清单（格式自报），如无此服务则可不提供。</w:t>
      </w:r>
    </w:p>
    <w:p>
      <w:pPr>
        <w:spacing w:line="360" w:lineRule="auto"/>
        <w:ind w:firstLine="240" w:firstLineChars="100"/>
        <w:rPr>
          <w:rFonts w:ascii="宋体" w:hAnsi="宋体"/>
          <w:b/>
          <w:bCs/>
          <w:sz w:val="24"/>
          <w:szCs w:val="24"/>
        </w:rPr>
      </w:pPr>
      <w:r>
        <w:rPr>
          <w:rFonts w:hint="eastAsia" w:ascii="宋体" w:hAnsi="宋体"/>
          <w:sz w:val="24"/>
          <w:szCs w:val="24"/>
        </w:rPr>
        <w:t>2）应提供所供设备易损件清单（含名称、规格、每台设备配置该件数量、单价、生产厂家或供应商及通信地址），无此服务可不提供。</w:t>
      </w:r>
    </w:p>
    <w:p>
      <w:pPr>
        <w:tabs>
          <w:tab w:val="left" w:pos="510"/>
        </w:tabs>
        <w:spacing w:line="360" w:lineRule="auto"/>
        <w:rPr>
          <w:rFonts w:ascii="宋体" w:hAnsi="宋体"/>
          <w:sz w:val="24"/>
          <w:szCs w:val="24"/>
        </w:rPr>
      </w:pPr>
      <w:r>
        <w:rPr>
          <w:rFonts w:ascii="宋体" w:hAnsi="宋体"/>
          <w:sz w:val="24"/>
          <w:szCs w:val="24"/>
        </w:rPr>
        <w:t>6</w:t>
      </w:r>
      <w:r>
        <w:rPr>
          <w:rFonts w:hint="eastAsia" w:ascii="宋体" w:hAnsi="宋体"/>
          <w:sz w:val="24"/>
          <w:szCs w:val="24"/>
        </w:rPr>
        <w:t>.5、货物招回条款（需在投标文件中承诺）</w:t>
      </w:r>
    </w:p>
    <w:p>
      <w:pPr>
        <w:pStyle w:val="20"/>
        <w:spacing w:line="360" w:lineRule="auto"/>
        <w:ind w:firstLineChars="175"/>
        <w:rPr>
          <w:rFonts w:ascii="宋体" w:hAnsi="宋体"/>
          <w:sz w:val="24"/>
          <w:szCs w:val="24"/>
        </w:rPr>
      </w:pPr>
      <w:r>
        <w:rPr>
          <w:rFonts w:ascii="宋体" w:hAnsi="宋体"/>
          <w:sz w:val="24"/>
          <w:szCs w:val="24"/>
        </w:rPr>
        <w:t xml:space="preserve"> </w:t>
      </w:r>
      <w:r>
        <w:rPr>
          <w:rFonts w:hint="eastAsia" w:ascii="宋体" w:hAnsi="宋体"/>
          <w:sz w:val="24"/>
          <w:szCs w:val="24"/>
        </w:rPr>
        <w:t>三</w:t>
      </w:r>
      <w:r>
        <w:rPr>
          <w:rFonts w:ascii="宋体" w:hAnsi="宋体"/>
          <w:sz w:val="24"/>
          <w:szCs w:val="24"/>
        </w:rPr>
        <w:t>年内，如因所供货物的设计缺陷和质量问题导致货物不能继续使用或因此造成的事故责任全部由供货商负责；不能继续使用的货物供货商应无条件退回或更换。</w:t>
      </w:r>
    </w:p>
    <w:p>
      <w:pPr>
        <w:pStyle w:val="20"/>
        <w:spacing w:line="360" w:lineRule="auto"/>
        <w:ind w:firstLine="424" w:firstLineChars="177"/>
        <w:rPr>
          <w:rFonts w:ascii="宋体" w:hAnsi="宋体"/>
          <w:sz w:val="24"/>
          <w:szCs w:val="24"/>
        </w:rPr>
      </w:pPr>
      <w:r>
        <w:rPr>
          <w:rFonts w:hint="eastAsia" w:ascii="宋体" w:hAnsi="宋体"/>
          <w:sz w:val="24"/>
          <w:szCs w:val="24"/>
        </w:rPr>
        <w:t>(1）质量保证期和产品出厂质保时间内，需定期对器材进行一次全面的维修、紧固工作，更换残缺、缺损的零部件、每学期至少应组织一次维护保养巡查活动等工作，</w:t>
      </w:r>
      <w:r>
        <w:rPr>
          <w:rFonts w:ascii="宋体" w:hAnsi="宋体"/>
          <w:sz w:val="24"/>
          <w:szCs w:val="24"/>
        </w:rPr>
        <w:t xml:space="preserve"> </w:t>
      </w:r>
    </w:p>
    <w:p>
      <w:pPr>
        <w:pStyle w:val="20"/>
        <w:spacing w:line="360" w:lineRule="auto"/>
        <w:ind w:firstLine="424" w:firstLineChars="177"/>
        <w:jc w:val="left"/>
        <w:rPr>
          <w:rFonts w:ascii="宋体" w:hAnsi="宋体"/>
          <w:sz w:val="24"/>
          <w:szCs w:val="24"/>
        </w:rPr>
      </w:pPr>
      <w:r>
        <w:rPr>
          <w:rFonts w:hint="eastAsia" w:ascii="宋体" w:hAnsi="宋体"/>
          <w:sz w:val="24"/>
          <w:szCs w:val="24"/>
        </w:rPr>
        <w:t>(2）为保证教师日常教学软件系统正常使用，中标方须为每所项目学校提供</w:t>
      </w:r>
      <w:r>
        <w:rPr>
          <w:rFonts w:ascii="宋体" w:hAnsi="宋体"/>
          <w:sz w:val="24"/>
          <w:szCs w:val="24"/>
        </w:rPr>
        <w:t>2</w:t>
      </w:r>
      <w:r>
        <w:rPr>
          <w:rFonts w:hint="eastAsia" w:ascii="宋体" w:hAnsi="宋体"/>
          <w:sz w:val="24"/>
          <w:szCs w:val="24"/>
        </w:rPr>
        <w:t>套一体机及OPS电脑的备份系统、软件的启动恢复U盘。</w:t>
      </w:r>
    </w:p>
    <w:p>
      <w:pPr>
        <w:pStyle w:val="20"/>
        <w:spacing w:line="360" w:lineRule="auto"/>
        <w:ind w:firstLine="0" w:firstLineChars="0"/>
        <w:rPr>
          <w:rFonts w:ascii="宋体" w:hAnsi="宋体"/>
          <w:sz w:val="24"/>
          <w:szCs w:val="24"/>
        </w:rPr>
      </w:pPr>
      <w:r>
        <w:rPr>
          <w:rFonts w:ascii="宋体" w:hAnsi="宋体"/>
          <w:b/>
          <w:sz w:val="24"/>
          <w:szCs w:val="24"/>
        </w:rPr>
        <w:t>7</w:t>
      </w:r>
      <w:r>
        <w:rPr>
          <w:rFonts w:hint="eastAsia" w:ascii="宋体" w:hAnsi="宋体"/>
          <w:b/>
          <w:sz w:val="24"/>
          <w:szCs w:val="24"/>
        </w:rPr>
        <w:t>、交货期</w:t>
      </w:r>
      <w:r>
        <w:rPr>
          <w:rFonts w:hint="eastAsia" w:ascii="宋体" w:hAnsi="宋体"/>
          <w:sz w:val="24"/>
          <w:szCs w:val="24"/>
        </w:rPr>
        <w:t>：</w:t>
      </w:r>
      <w:r>
        <w:rPr>
          <w:rFonts w:hint="eastAsia" w:ascii="宋体" w:hAnsi="宋体"/>
          <w:color w:val="000000"/>
          <w:sz w:val="24"/>
          <w:szCs w:val="24"/>
        </w:rPr>
        <w:t>合同签订后</w:t>
      </w:r>
      <w:r>
        <w:rPr>
          <w:rFonts w:hint="eastAsia" w:ascii="宋体" w:hAnsi="宋体"/>
          <w:b/>
          <w:sz w:val="24"/>
          <w:szCs w:val="24"/>
          <w:u w:val="single"/>
        </w:rPr>
        <w:t>40</w:t>
      </w:r>
      <w:r>
        <w:rPr>
          <w:rFonts w:hint="eastAsia" w:ascii="宋体" w:hAnsi="宋体" w:cs="宋体"/>
          <w:sz w:val="24"/>
          <w:szCs w:val="24"/>
        </w:rPr>
        <w:t>天</w:t>
      </w:r>
      <w:r>
        <w:rPr>
          <w:rFonts w:hint="eastAsia" w:ascii="宋体" w:hAnsi="宋体"/>
          <w:sz w:val="24"/>
          <w:szCs w:val="24"/>
        </w:rPr>
        <w:t>。</w:t>
      </w:r>
    </w:p>
    <w:p>
      <w:pPr>
        <w:pStyle w:val="20"/>
        <w:spacing w:line="360" w:lineRule="auto"/>
        <w:ind w:firstLine="0" w:firstLineChars="0"/>
        <w:rPr>
          <w:rFonts w:ascii="宋体" w:hAnsi="宋体"/>
          <w:sz w:val="24"/>
          <w:szCs w:val="24"/>
        </w:rPr>
      </w:pPr>
      <w:r>
        <w:rPr>
          <w:rFonts w:ascii="宋体" w:hAnsi="宋体"/>
          <w:b/>
          <w:sz w:val="24"/>
          <w:szCs w:val="24"/>
        </w:rPr>
        <w:t>8</w:t>
      </w:r>
      <w:r>
        <w:rPr>
          <w:rFonts w:hint="eastAsia" w:ascii="宋体" w:hAnsi="宋体"/>
          <w:b/>
          <w:sz w:val="24"/>
          <w:szCs w:val="24"/>
        </w:rPr>
        <w:t>、检测与验收</w:t>
      </w:r>
      <w:r>
        <w:rPr>
          <w:rFonts w:hint="eastAsia" w:ascii="宋体" w:hAnsi="宋体"/>
          <w:sz w:val="24"/>
          <w:szCs w:val="24"/>
        </w:rPr>
        <w:t>：</w:t>
      </w:r>
    </w:p>
    <w:p>
      <w:pPr>
        <w:pStyle w:val="20"/>
        <w:spacing w:line="360" w:lineRule="auto"/>
        <w:ind w:firstLine="424" w:firstLineChars="177"/>
        <w:rPr>
          <w:rFonts w:ascii="宋体" w:hAnsi="宋体"/>
          <w:sz w:val="24"/>
          <w:szCs w:val="24"/>
        </w:rPr>
      </w:pPr>
      <w:r>
        <w:rPr>
          <w:rFonts w:hint="eastAsia" w:ascii="宋体" w:hAnsi="宋体"/>
          <w:sz w:val="24"/>
          <w:szCs w:val="24"/>
        </w:rPr>
        <w:t>在项目完工且设备试用一段时间性能稳定后，由中标方向阳新教育局相关部门提供书面验收申请。阳新教育局依据国家相关规定要求，</w:t>
      </w:r>
      <w:r>
        <w:rPr>
          <w:rFonts w:hint="eastAsia" w:ascii="宋体" w:hAnsi="宋体" w:cstheme="minorEastAsia"/>
          <w:color w:val="000000" w:themeColor="text1"/>
          <w:kern w:val="0"/>
          <w:sz w:val="24"/>
          <w:szCs w:val="24"/>
          <w14:textFill>
            <w14:solidFill>
              <w14:schemeClr w14:val="tx1"/>
            </w14:solidFill>
          </w14:textFill>
        </w:rPr>
        <w:t>组织有关部门、</w:t>
      </w:r>
      <w:r>
        <w:rPr>
          <w:rFonts w:hint="eastAsia" w:ascii="宋体" w:hAnsi="宋体"/>
          <w:sz w:val="24"/>
          <w:szCs w:val="24"/>
        </w:rPr>
        <w:t>专家对该项目按程序步骤验收。</w:t>
      </w:r>
    </w:p>
    <w:p>
      <w:pPr>
        <w:spacing w:line="360" w:lineRule="auto"/>
        <w:jc w:val="left"/>
        <w:textAlignment w:val="baseline"/>
        <w:rPr>
          <w:rFonts w:ascii="宋体" w:hAnsi="宋体"/>
          <w:sz w:val="24"/>
          <w:szCs w:val="24"/>
        </w:rPr>
      </w:pPr>
      <w:r>
        <w:rPr>
          <w:rFonts w:hint="eastAsia" w:ascii="宋体" w:hAnsi="宋体"/>
          <w:sz w:val="24"/>
          <w:szCs w:val="24"/>
        </w:rPr>
        <w:t>（1）抽检</w:t>
      </w:r>
    </w:p>
    <w:p>
      <w:pPr>
        <w:pStyle w:val="20"/>
        <w:spacing w:line="360" w:lineRule="auto"/>
        <w:ind w:firstLine="424" w:firstLineChars="177"/>
        <w:rPr>
          <w:rFonts w:ascii="宋体" w:hAnsi="宋体"/>
          <w:sz w:val="24"/>
          <w:szCs w:val="24"/>
        </w:rPr>
      </w:pPr>
      <w:r>
        <w:rPr>
          <w:rFonts w:hint="eastAsia" w:ascii="宋体" w:hAnsi="宋体"/>
          <w:sz w:val="24"/>
          <w:szCs w:val="24"/>
        </w:rPr>
        <w:t>由甲乙双方随机抽样1台教学一体机（含OPS电脑）送省级或以上质检部门按标书中（包括评分部分）需提供质量检测报告证明的要求进行重新检测，如有一样不符，则该项项目不合格；</w:t>
      </w:r>
      <w:r>
        <w:rPr>
          <w:rFonts w:ascii="宋体" w:hAnsi="宋体"/>
          <w:sz w:val="24"/>
          <w:szCs w:val="24"/>
        </w:rPr>
        <w:t xml:space="preserve"> </w:t>
      </w:r>
    </w:p>
    <w:p>
      <w:pPr>
        <w:spacing w:line="360" w:lineRule="auto"/>
        <w:jc w:val="left"/>
        <w:textAlignment w:val="baseline"/>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）验收材料审核</w:t>
      </w:r>
    </w:p>
    <w:p>
      <w:pPr>
        <w:spacing w:line="360" w:lineRule="auto"/>
        <w:ind w:firstLine="420" w:firstLineChars="175"/>
        <w:jc w:val="left"/>
        <w:textAlignment w:val="baseline"/>
        <w:rPr>
          <w:rFonts w:ascii="宋体" w:hAnsi="宋体" w:cs="仿宋_GB2312"/>
          <w:sz w:val="24"/>
          <w:szCs w:val="24"/>
        </w:rPr>
      </w:pPr>
      <w:r>
        <w:rPr>
          <w:rFonts w:hint="eastAsia" w:ascii="宋体" w:hAnsi="宋体"/>
          <w:sz w:val="24"/>
          <w:szCs w:val="24"/>
        </w:rPr>
        <w:t>项目完工后，中标方需提供（包含但不限于）：验收申请函、中标通知书（复印件）、合同（复印件）、到货签收单、施工记录、安装调试合格确认书、投标时的所有证书和检测报告、产品合格证（每样产品一份）、说明书（每样产品一份）、培训记录、售后承诺函等竣工文件汇编。甲方组织专业机构</w:t>
      </w:r>
      <w:r>
        <w:rPr>
          <w:rFonts w:hint="eastAsia" w:ascii="宋体" w:hAnsi="宋体" w:cs="仿宋_GB2312"/>
          <w:sz w:val="24"/>
          <w:szCs w:val="24"/>
        </w:rPr>
        <w:t>对以上材料及“评分细则”中投标响应的所有证书进行核实，如有一项不符，则该项目不合格；该项验收合格后方可进行项目现场验收。</w:t>
      </w:r>
    </w:p>
    <w:p>
      <w:pPr>
        <w:spacing w:line="360" w:lineRule="auto"/>
        <w:ind w:firstLine="420" w:firstLineChars="175"/>
        <w:jc w:val="left"/>
        <w:textAlignment w:val="baseline"/>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）项目学校现场验收</w:t>
      </w:r>
    </w:p>
    <w:p>
      <w:pPr>
        <w:spacing w:line="360" w:lineRule="auto"/>
        <w:ind w:firstLine="420" w:firstLineChars="175"/>
        <w:rPr>
          <w:rFonts w:ascii="宋体" w:hAnsi="宋体"/>
          <w:sz w:val="24"/>
          <w:szCs w:val="24"/>
        </w:rPr>
      </w:pPr>
      <w:r>
        <w:rPr>
          <w:rFonts w:hint="eastAsia" w:ascii="宋体" w:hAnsi="宋体" w:cstheme="minorEastAsia"/>
          <w:color w:val="000000" w:themeColor="text1"/>
          <w:kern w:val="0"/>
          <w:sz w:val="24"/>
          <w:szCs w:val="24"/>
          <w14:textFill>
            <w14:solidFill>
              <w14:schemeClr w14:val="tx1"/>
            </w14:solidFill>
          </w14:textFill>
        </w:rPr>
        <w:t>对招投标文件中其他参数由甲乙双方组织有关部门、专家进行现场操作验收，如任一项功能、参数或品牌型号与投标文件响应的不符，则该项目不合格。</w:t>
      </w:r>
    </w:p>
    <w:p>
      <w:pPr>
        <w:pStyle w:val="20"/>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）第一次验收不合格，中标方可申请第二次验收，如果仍然不合格，甲方有权拒绝再次验收，一切损失由中标方承担。</w:t>
      </w:r>
    </w:p>
    <w:p>
      <w:pPr>
        <w:pStyle w:val="20"/>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）验收费用由中标方负责，费用计入报价。</w:t>
      </w:r>
    </w:p>
    <w:p>
      <w:pPr>
        <w:pStyle w:val="20"/>
        <w:spacing w:line="360" w:lineRule="auto"/>
        <w:ind w:firstLine="422" w:firstLineChars="176"/>
        <w:rPr>
          <w:rFonts w:ascii="宋体" w:hAnsi="宋体"/>
          <w:sz w:val="24"/>
          <w:szCs w:val="24"/>
        </w:rPr>
      </w:pPr>
      <w:r>
        <w:rPr>
          <w:rFonts w:ascii="宋体" w:hAnsi="宋体"/>
          <w:b/>
          <w:sz w:val="24"/>
          <w:szCs w:val="24"/>
        </w:rPr>
        <w:t>9</w:t>
      </w:r>
      <w:r>
        <w:rPr>
          <w:rFonts w:hint="eastAsia" w:ascii="宋体" w:hAnsi="宋体"/>
          <w:b/>
          <w:sz w:val="24"/>
          <w:szCs w:val="24"/>
        </w:rPr>
        <w:t>、单价调整</w:t>
      </w:r>
      <w:r>
        <w:rPr>
          <w:rFonts w:hint="eastAsia" w:ascii="宋体" w:hAnsi="宋体"/>
          <w:sz w:val="24"/>
          <w:szCs w:val="24"/>
        </w:rPr>
        <w:t>：当实际要求</w:t>
      </w:r>
      <w:r>
        <w:rPr>
          <w:rFonts w:hint="eastAsia" w:ascii="宋体" w:hAnsi="宋体"/>
          <w:b/>
          <w:sz w:val="24"/>
          <w:szCs w:val="24"/>
        </w:rPr>
        <w:t>供货数量与合同规定供货数量不符时，单价不予调整</w:t>
      </w:r>
      <w:r>
        <w:rPr>
          <w:rFonts w:hint="eastAsia" w:ascii="宋体" w:hAnsi="宋体"/>
          <w:sz w:val="24"/>
          <w:szCs w:val="24"/>
        </w:rPr>
        <w:t>。</w:t>
      </w:r>
    </w:p>
    <w:p>
      <w:pPr>
        <w:pStyle w:val="20"/>
        <w:spacing w:line="360" w:lineRule="auto"/>
        <w:ind w:firstLine="422" w:firstLineChars="176"/>
        <w:rPr>
          <w:rFonts w:ascii="宋体" w:hAnsi="宋体" w:cs="宋体"/>
          <w:b/>
          <w:sz w:val="24"/>
          <w:szCs w:val="24"/>
        </w:rPr>
      </w:pPr>
      <w:r>
        <w:rPr>
          <w:rFonts w:ascii="宋体" w:hAnsi="宋体"/>
          <w:b/>
          <w:sz w:val="24"/>
          <w:szCs w:val="24"/>
        </w:rPr>
        <w:t>10</w:t>
      </w:r>
      <w:r>
        <w:rPr>
          <w:rFonts w:hint="eastAsia" w:ascii="宋体" w:hAnsi="宋体"/>
          <w:b/>
          <w:sz w:val="24"/>
          <w:szCs w:val="24"/>
        </w:rPr>
        <w:t>、付款方式</w:t>
      </w:r>
      <w:r>
        <w:rPr>
          <w:rFonts w:hint="eastAsia" w:ascii="宋体" w:hAnsi="宋体"/>
          <w:sz w:val="24"/>
          <w:szCs w:val="24"/>
        </w:rPr>
        <w:t>：项目验收合格后，按程序办理付款手续，付合同金额的9</w:t>
      </w:r>
      <w:r>
        <w:rPr>
          <w:rFonts w:ascii="宋体" w:hAnsi="宋体"/>
          <w:sz w:val="24"/>
          <w:szCs w:val="24"/>
        </w:rPr>
        <w:t>5</w:t>
      </w:r>
      <w:r>
        <w:rPr>
          <w:rFonts w:hint="eastAsia" w:ascii="宋体" w:hAnsi="宋体"/>
          <w:sz w:val="24"/>
          <w:szCs w:val="24"/>
        </w:rPr>
        <w:t>%，验收满一年后付合同金额的</w:t>
      </w:r>
      <w:r>
        <w:rPr>
          <w:rFonts w:ascii="宋体" w:hAnsi="宋体"/>
          <w:sz w:val="24"/>
          <w:szCs w:val="24"/>
        </w:rPr>
        <w:t>5</w:t>
      </w:r>
      <w:r>
        <w:rPr>
          <w:rFonts w:hint="eastAsia" w:ascii="宋体" w:hAnsi="宋体"/>
          <w:sz w:val="24"/>
          <w:szCs w:val="24"/>
        </w:rPr>
        <w:t>%。</w:t>
      </w:r>
    </w:p>
    <w:p>
      <w:pPr>
        <w:spacing w:line="360" w:lineRule="auto"/>
        <w:rPr>
          <w:rFonts w:ascii="宋体" w:hAnsi="宋体" w:cs="宋体"/>
          <w:b/>
          <w:sz w:val="24"/>
          <w:szCs w:val="24"/>
        </w:rPr>
      </w:pPr>
      <w:r>
        <w:rPr>
          <w:rFonts w:hint="eastAsia" w:ascii="宋体" w:hAnsi="宋体" w:cs="宋体"/>
          <w:b/>
          <w:sz w:val="24"/>
          <w:szCs w:val="24"/>
        </w:rPr>
        <w:t>说明：投标人在投标文件《商务要求响应、偏离说明表》中应对以下商务要求逐条进行响应描述或偏离说明，并提供相应的证明文件佐证。不满足以下要求或者未提供相应佐证文件的，其投标按照无效投标处理。</w:t>
      </w:r>
    </w:p>
    <w:p>
      <w:pPr>
        <w:pStyle w:val="4"/>
        <w:numPr>
          <w:ilvl w:val="0"/>
          <w:numId w:val="36"/>
        </w:numPr>
        <w:spacing w:before="0" w:after="0" w:line="360" w:lineRule="auto"/>
        <w:ind w:left="0"/>
        <w:jc w:val="left"/>
        <w:rPr>
          <w:rFonts w:ascii="宋体" w:hAnsi="宋体"/>
          <w:sz w:val="24"/>
          <w:szCs w:val="24"/>
          <w:lang w:val="zh-CN"/>
        </w:rPr>
      </w:pPr>
      <w:r>
        <w:rPr>
          <w:rFonts w:hint="eastAsia" w:ascii="宋体" w:hAnsi="宋体"/>
          <w:sz w:val="24"/>
          <w:szCs w:val="24"/>
          <w:lang w:val="zh-CN"/>
        </w:rPr>
        <w:t>设备安装及布线要求</w:t>
      </w:r>
    </w:p>
    <w:p>
      <w:pPr>
        <w:pStyle w:val="20"/>
        <w:spacing w:line="360" w:lineRule="auto"/>
        <w:ind w:firstLine="0" w:firstLineChars="0"/>
        <w:rPr>
          <w:rFonts w:ascii="宋体" w:hAnsi="宋体" w:cs="宋体"/>
          <w:b/>
          <w:sz w:val="24"/>
          <w:szCs w:val="24"/>
        </w:rPr>
      </w:pPr>
      <w:r>
        <w:rPr>
          <w:rFonts w:hint="eastAsia" w:ascii="宋体" w:hAnsi="宋体"/>
          <w:b/>
          <w:sz w:val="24"/>
          <w:szCs w:val="24"/>
        </w:rPr>
        <w:t xml:space="preserve"> 1、</w:t>
      </w:r>
      <w:r>
        <w:rPr>
          <w:rFonts w:hint="eastAsia" w:ascii="宋体" w:hAnsi="宋体"/>
          <w:b/>
          <w:bCs/>
          <w:sz w:val="24"/>
          <w:szCs w:val="24"/>
        </w:rPr>
        <w:t>设备</w:t>
      </w:r>
      <w:r>
        <w:rPr>
          <w:rFonts w:hint="eastAsia" w:ascii="宋体" w:hAnsi="宋体" w:cs="宋体"/>
          <w:b/>
          <w:sz w:val="24"/>
          <w:szCs w:val="24"/>
        </w:rPr>
        <w:t>安装</w:t>
      </w:r>
    </w:p>
    <w:p>
      <w:pPr>
        <w:pStyle w:val="20"/>
        <w:spacing w:line="360" w:lineRule="auto"/>
        <w:ind w:firstLine="424" w:firstLineChars="177"/>
        <w:rPr>
          <w:rFonts w:ascii="宋体" w:hAnsi="宋体" w:cs="宋体"/>
          <w:sz w:val="24"/>
          <w:szCs w:val="24"/>
        </w:rPr>
      </w:pPr>
      <w:r>
        <w:rPr>
          <w:rFonts w:hint="eastAsia" w:ascii="宋体" w:hAnsi="宋体"/>
          <w:sz w:val="24"/>
          <w:szCs w:val="24"/>
        </w:rPr>
        <w:t>（1）漏电空开安装。</w:t>
      </w:r>
    </w:p>
    <w:p>
      <w:pPr>
        <w:pStyle w:val="20"/>
        <w:spacing w:line="360" w:lineRule="auto"/>
        <w:ind w:firstLine="424" w:firstLineChars="177"/>
        <w:rPr>
          <w:rFonts w:ascii="宋体" w:hAnsi="宋体"/>
          <w:sz w:val="24"/>
          <w:szCs w:val="24"/>
        </w:rPr>
      </w:pPr>
      <w:r>
        <w:rPr>
          <w:rFonts w:hint="eastAsia" w:ascii="宋体" w:hAnsi="宋体"/>
          <w:sz w:val="24"/>
          <w:szCs w:val="24"/>
        </w:rPr>
        <w:t>班级教室的一体机（含OPS电脑模块）接电必须为独立漏电空开接电，不能与教室其他设备共用一个空开或直接使用电线复接。漏电空开安装的位置是学生不能轻易接触且外必须带有抗阻燃的盒子，避免学生直接接触导致触电；</w:t>
      </w:r>
    </w:p>
    <w:p>
      <w:pPr>
        <w:pStyle w:val="20"/>
        <w:spacing w:line="360" w:lineRule="auto"/>
        <w:ind w:firstLine="424" w:firstLineChars="177"/>
        <w:rPr>
          <w:rFonts w:ascii="宋体" w:hAnsi="宋体" w:cs="宋体"/>
          <w:color w:val="000000"/>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）触控一体机安装。</w:t>
      </w:r>
    </w:p>
    <w:p>
      <w:pPr>
        <w:pStyle w:val="20"/>
        <w:spacing w:line="360" w:lineRule="auto"/>
        <w:ind w:firstLine="424" w:firstLineChars="177"/>
        <w:rPr>
          <w:rFonts w:ascii="宋体" w:hAnsi="宋体"/>
          <w:sz w:val="24"/>
          <w:szCs w:val="24"/>
        </w:rPr>
      </w:pPr>
      <w:r>
        <w:rPr>
          <w:rFonts w:hint="eastAsia" w:ascii="宋体" w:hAnsi="宋体"/>
          <w:sz w:val="24"/>
          <w:szCs w:val="24"/>
        </w:rPr>
        <w:t>触控一体机牢固地固定在墙面上，黑板能灵活的滑动，相应的连接线要保证接到一体机的电脑中。</w:t>
      </w:r>
    </w:p>
    <w:p>
      <w:pPr>
        <w:spacing w:line="360" w:lineRule="auto"/>
        <w:ind w:firstLine="424" w:firstLineChars="177"/>
        <w:rPr>
          <w:rFonts w:ascii="宋体" w:hAnsi="宋体"/>
          <w:color w:val="FFFF00"/>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）OPS电脑安装。</w:t>
      </w:r>
    </w:p>
    <w:p>
      <w:pPr>
        <w:pStyle w:val="20"/>
        <w:spacing w:line="360" w:lineRule="auto"/>
        <w:ind w:firstLine="424" w:firstLineChars="177"/>
        <w:rPr>
          <w:rFonts w:ascii="宋体" w:hAnsi="宋体"/>
          <w:color w:val="000000" w:themeColor="text1"/>
          <w:sz w:val="24"/>
          <w:szCs w:val="24"/>
          <w14:textFill>
            <w14:solidFill>
              <w14:schemeClr w14:val="tx1"/>
            </w14:solidFill>
          </w14:textFill>
        </w:rPr>
      </w:pPr>
      <w:r>
        <w:rPr>
          <w:rFonts w:hint="eastAsia" w:ascii="宋体" w:hAnsi="宋体"/>
          <w:sz w:val="24"/>
          <w:szCs w:val="24"/>
        </w:rPr>
        <w:t>为了一体机ops电脑模块安全,每台须用电脑锁将电脑模块锁定在一体机上。OPS 电脑</w:t>
      </w:r>
      <w:r>
        <w:rPr>
          <w:rFonts w:hint="eastAsia" w:ascii="宋体" w:hAnsi="宋体"/>
          <w:color w:val="000000" w:themeColor="text1"/>
          <w:sz w:val="24"/>
          <w:szCs w:val="24"/>
          <w14:textFill>
            <w14:solidFill>
              <w14:schemeClr w14:val="tx1"/>
            </w14:solidFill>
          </w14:textFill>
        </w:rPr>
        <w:t>安装Windows 7或</w:t>
      </w:r>
      <w:r>
        <w:rPr>
          <w:rFonts w:hint="eastAsia" w:ascii="宋体" w:hAnsi="宋体" w:cs="仿宋"/>
          <w:color w:val="000000" w:themeColor="text1"/>
          <w:sz w:val="24"/>
          <w:szCs w:val="24"/>
          <w14:textFill>
            <w14:solidFill>
              <w14:schemeClr w14:val="tx1"/>
            </w14:solidFill>
          </w14:textFill>
        </w:rPr>
        <w:t>W</w:t>
      </w:r>
      <w:r>
        <w:rPr>
          <w:rFonts w:ascii="宋体" w:hAnsi="宋体" w:cs="仿宋"/>
          <w:color w:val="000000" w:themeColor="text1"/>
          <w:sz w:val="24"/>
          <w:szCs w:val="24"/>
          <w14:textFill>
            <w14:solidFill>
              <w14:schemeClr w14:val="tx1"/>
            </w14:solidFill>
          </w14:textFill>
        </w:rPr>
        <w:t xml:space="preserve">indos </w:t>
      </w:r>
      <w:r>
        <w:rPr>
          <w:rFonts w:hint="eastAsia" w:ascii="宋体" w:hAnsi="宋体" w:cs="仿宋"/>
          <w:color w:val="000000" w:themeColor="text1"/>
          <w:sz w:val="24"/>
          <w:szCs w:val="24"/>
          <w14:textFill>
            <w14:solidFill>
              <w14:schemeClr w14:val="tx1"/>
            </w14:solidFill>
          </w14:textFill>
        </w:rPr>
        <w:t>10操作系统，常用软件（系统安全防护软件、office 2010 、PDF阅读器、 101PPT、QQ、微信、输入法、网页浏览器等），且系统安装和常用软件完成后需进行Ghost备份；</w:t>
      </w:r>
    </w:p>
    <w:p>
      <w:pPr>
        <w:pStyle w:val="20"/>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）推拉黑板安装</w:t>
      </w:r>
    </w:p>
    <w:p>
      <w:pPr>
        <w:pStyle w:val="20"/>
        <w:spacing w:line="360" w:lineRule="auto"/>
        <w:ind w:firstLine="424" w:firstLineChars="177"/>
        <w:rPr>
          <w:rFonts w:ascii="宋体" w:hAnsi="宋体"/>
          <w:sz w:val="24"/>
          <w:szCs w:val="24"/>
        </w:rPr>
      </w:pPr>
      <w:r>
        <w:rPr>
          <w:rFonts w:hint="eastAsia" w:ascii="宋体" w:hAnsi="宋体"/>
          <w:sz w:val="24"/>
          <w:szCs w:val="24"/>
        </w:rPr>
        <w:t>推拉黑板要安装水平，紧贴墙面，黑板的内层两块固定书写板应与教学一体机玻璃屏幕尽量保持在一个平面。</w:t>
      </w:r>
    </w:p>
    <w:p>
      <w:pPr>
        <w:pStyle w:val="20"/>
        <w:spacing w:line="360" w:lineRule="auto"/>
        <w:ind w:firstLine="0" w:firstLineChars="0"/>
        <w:rPr>
          <w:rFonts w:ascii="宋体" w:hAnsi="宋体"/>
          <w:b/>
          <w:sz w:val="24"/>
          <w:szCs w:val="24"/>
        </w:rPr>
      </w:pPr>
      <w:r>
        <w:rPr>
          <w:rFonts w:hint="eastAsia" w:ascii="宋体" w:hAnsi="宋体"/>
          <w:b/>
          <w:sz w:val="24"/>
          <w:szCs w:val="24"/>
        </w:rPr>
        <w:t>2、</w:t>
      </w:r>
      <w:r>
        <w:rPr>
          <w:rFonts w:hint="eastAsia" w:ascii="宋体" w:hAnsi="宋体"/>
          <w:b/>
          <w:bCs/>
          <w:sz w:val="24"/>
          <w:szCs w:val="24"/>
        </w:rPr>
        <w:t>布线要求</w:t>
      </w:r>
    </w:p>
    <w:p>
      <w:pPr>
        <w:pStyle w:val="20"/>
        <w:spacing w:line="360" w:lineRule="auto"/>
        <w:ind w:firstLine="424" w:firstLineChars="177"/>
        <w:rPr>
          <w:rFonts w:ascii="宋体" w:hAnsi="宋体"/>
          <w:sz w:val="24"/>
          <w:szCs w:val="24"/>
        </w:rPr>
      </w:pPr>
      <w:r>
        <w:rPr>
          <w:rFonts w:hint="eastAsia" w:ascii="宋体" w:hAnsi="宋体"/>
          <w:sz w:val="24"/>
          <w:szCs w:val="24"/>
        </w:rPr>
        <w:t>（1）地面、墙面走线（强电线缆、弱电线缆）：线缆应放入阻燃PVC线槽、阻燃PVC管或其他材料（优质冷扎钢板）固定。线槽连接处要使用连接配件或特殊处理，盖板整齐、严密、紧贴墙面,确保线路的安全；</w:t>
      </w:r>
      <w:r>
        <w:rPr>
          <w:rFonts w:hint="eastAsia" w:ascii="宋体" w:hAnsi="宋体"/>
          <w:b/>
          <w:bCs/>
          <w:sz w:val="24"/>
          <w:szCs w:val="24"/>
        </w:rPr>
        <w:t xml:space="preserve"> </w:t>
      </w:r>
    </w:p>
    <w:p>
      <w:pPr>
        <w:pStyle w:val="20"/>
        <w:spacing w:line="360" w:lineRule="auto"/>
        <w:ind w:firstLine="424" w:firstLineChars="177"/>
        <w:rPr>
          <w:rFonts w:ascii="宋体" w:hAnsi="宋体"/>
          <w:sz w:val="24"/>
          <w:szCs w:val="24"/>
        </w:rPr>
      </w:pPr>
      <w:r>
        <w:rPr>
          <w:rFonts w:hint="eastAsia" w:ascii="宋体" w:hAnsi="宋体"/>
          <w:sz w:val="24"/>
          <w:szCs w:val="24"/>
        </w:rPr>
        <w:t>（2）其他材料材质：地面所敷设的线槽必须采用不锈钢槽线板或优质冷扎钢板厚度≥1.2 mm；墙面线槽应采用阻燃PVC系列绝缘塑料管或阻燃PVC塑料槽板；</w:t>
      </w:r>
    </w:p>
    <w:p>
      <w:pPr>
        <w:pStyle w:val="20"/>
        <w:spacing w:line="360" w:lineRule="auto"/>
        <w:ind w:firstLine="424" w:firstLineChars="177"/>
        <w:rPr>
          <w:rFonts w:ascii="宋体" w:hAnsi="宋体"/>
          <w:sz w:val="24"/>
          <w:szCs w:val="24"/>
        </w:rPr>
      </w:pPr>
      <w:r>
        <w:rPr>
          <w:rFonts w:hint="eastAsia" w:ascii="宋体" w:hAnsi="宋体"/>
          <w:sz w:val="24"/>
          <w:szCs w:val="24"/>
        </w:rPr>
        <w:t>（3）槽板结构：由槽底、槽盖及附件组成，线槽内外应光滑无棱刺、扭曲、翘边、变形和压扁等现象；</w:t>
      </w:r>
    </w:p>
    <w:p>
      <w:pPr>
        <w:pStyle w:val="20"/>
        <w:spacing w:line="360" w:lineRule="auto"/>
        <w:ind w:firstLine="424" w:firstLineChars="177"/>
        <w:rPr>
          <w:rFonts w:ascii="宋体" w:hAnsi="宋体"/>
          <w:sz w:val="24"/>
          <w:szCs w:val="24"/>
        </w:rPr>
      </w:pPr>
      <w:r>
        <w:rPr>
          <w:rFonts w:hint="eastAsia" w:ascii="宋体" w:hAnsi="宋体"/>
          <w:sz w:val="24"/>
          <w:szCs w:val="24"/>
        </w:rPr>
        <w:t>（4）线槽安装：敷设走线横平竖直；槽体沿经过建筑物表面进行固定，转弯与接缝处须有附件固定点，直线两固定点最大间距小于500 mm，固定采用膨胀螺丝或木楔子方式；槽体连接处应严密平整、无缝隙，地面线槽还需做好防水密封处理，用不锈钢螺丝固定。</w:t>
      </w:r>
    </w:p>
    <w:p>
      <w:pPr>
        <w:pStyle w:val="20"/>
        <w:spacing w:line="360" w:lineRule="auto"/>
        <w:ind w:firstLine="424" w:firstLineChars="177"/>
        <w:rPr>
          <w:rFonts w:ascii="宋体" w:hAnsi="宋体"/>
          <w:sz w:val="24"/>
          <w:szCs w:val="24"/>
        </w:rPr>
      </w:pPr>
      <w:r>
        <w:rPr>
          <w:rFonts w:hint="eastAsia" w:ascii="宋体" w:hAnsi="宋体"/>
          <w:sz w:val="24"/>
          <w:szCs w:val="24"/>
        </w:rPr>
        <w:t>（5）导线固定和连接：除接线板及设备连接处外，连线中间要求无接头，导线绝缘保护良好；</w:t>
      </w:r>
    </w:p>
    <w:p>
      <w:pPr>
        <w:pStyle w:val="20"/>
        <w:spacing w:line="360" w:lineRule="auto"/>
        <w:ind w:firstLine="424" w:firstLineChars="177"/>
        <w:rPr>
          <w:rFonts w:ascii="宋体" w:hAnsi="宋体"/>
          <w:sz w:val="24"/>
          <w:szCs w:val="24"/>
        </w:rPr>
      </w:pPr>
      <w:r>
        <w:rPr>
          <w:rFonts w:hint="eastAsia" w:ascii="宋体" w:hAnsi="宋体"/>
          <w:sz w:val="24"/>
          <w:szCs w:val="24"/>
        </w:rPr>
        <w:t>（6）设备固有原装电源线:</w:t>
      </w:r>
      <w:r>
        <w:rPr>
          <w:rFonts w:hint="eastAsia" w:ascii="宋体" w:hAnsi="宋体"/>
          <w:b/>
          <w:bCs/>
          <w:sz w:val="24"/>
          <w:szCs w:val="24"/>
        </w:rPr>
        <w:t xml:space="preserve"> </w:t>
      </w:r>
      <w:r>
        <w:rPr>
          <w:rFonts w:hint="eastAsia" w:ascii="宋体" w:hAnsi="宋体"/>
          <w:sz w:val="24"/>
          <w:szCs w:val="24"/>
        </w:rPr>
        <w:t>不能损坏主要设备中的原装电源线；</w:t>
      </w:r>
    </w:p>
    <w:p>
      <w:pPr>
        <w:pStyle w:val="20"/>
        <w:spacing w:line="360" w:lineRule="auto"/>
        <w:ind w:firstLine="424" w:firstLineChars="177"/>
        <w:rPr>
          <w:rFonts w:ascii="宋体" w:hAnsi="宋体"/>
          <w:sz w:val="24"/>
          <w:szCs w:val="24"/>
        </w:rPr>
      </w:pPr>
      <w:r>
        <w:rPr>
          <w:rFonts w:hint="eastAsia" w:ascii="宋体" w:hAnsi="宋体"/>
          <w:sz w:val="24"/>
          <w:szCs w:val="24"/>
        </w:rPr>
        <w:t>（7）两导线连接：</w:t>
      </w:r>
    </w:p>
    <w:p>
      <w:pPr>
        <w:pStyle w:val="20"/>
        <w:spacing w:line="360" w:lineRule="auto"/>
        <w:ind w:firstLine="288" w:firstLineChars="120"/>
        <w:rPr>
          <w:rFonts w:ascii="宋体" w:hAnsi="宋体"/>
          <w:sz w:val="24"/>
          <w:szCs w:val="24"/>
        </w:rPr>
      </w:pPr>
      <w:r>
        <w:rPr>
          <w:rFonts w:hint="eastAsia" w:ascii="宋体" w:hAnsi="宋体"/>
          <w:sz w:val="24"/>
          <w:szCs w:val="24"/>
        </w:rPr>
        <w:t>a.导线连接应紧密、牢固，接头的电阻值不应大于相同长度导线的电阻值；</w:t>
      </w:r>
    </w:p>
    <w:p>
      <w:pPr>
        <w:pStyle w:val="20"/>
        <w:spacing w:line="360" w:lineRule="auto"/>
        <w:ind w:firstLine="288" w:firstLineChars="120"/>
        <w:rPr>
          <w:rFonts w:ascii="宋体" w:hAnsi="宋体"/>
          <w:sz w:val="24"/>
          <w:szCs w:val="24"/>
        </w:rPr>
      </w:pPr>
      <w:r>
        <w:rPr>
          <w:rFonts w:hint="eastAsia" w:ascii="宋体" w:hAnsi="宋体"/>
          <w:sz w:val="24"/>
          <w:szCs w:val="24"/>
        </w:rPr>
        <w:t>b.导线接头的机械强度不应小于原导线机械强度的80%；</w:t>
      </w:r>
    </w:p>
    <w:p>
      <w:pPr>
        <w:pStyle w:val="20"/>
        <w:spacing w:line="360" w:lineRule="auto"/>
        <w:ind w:firstLine="288" w:firstLineChars="120"/>
        <w:rPr>
          <w:rFonts w:ascii="宋体" w:hAnsi="宋体"/>
          <w:sz w:val="24"/>
          <w:szCs w:val="24"/>
        </w:rPr>
      </w:pPr>
      <w:r>
        <w:rPr>
          <w:rFonts w:hint="eastAsia" w:ascii="宋体" w:hAnsi="宋体"/>
          <w:sz w:val="24"/>
          <w:szCs w:val="24"/>
        </w:rPr>
        <w:t>c.两导线接头的绝缘强度应与非连接处的绝缘强度相同。</w:t>
      </w:r>
    </w:p>
    <w:p>
      <w:pPr>
        <w:pStyle w:val="20"/>
        <w:spacing w:line="360" w:lineRule="auto"/>
        <w:ind w:firstLine="424" w:firstLineChars="177"/>
        <w:rPr>
          <w:rFonts w:ascii="宋体" w:hAnsi="宋体"/>
          <w:sz w:val="24"/>
          <w:szCs w:val="24"/>
        </w:rPr>
      </w:pPr>
      <w:r>
        <w:rPr>
          <w:rFonts w:hint="eastAsia" w:ascii="宋体" w:hAnsi="宋体"/>
          <w:sz w:val="24"/>
          <w:szCs w:val="24"/>
        </w:rPr>
        <w:t>（8）线槽内线</w:t>
      </w:r>
      <w:r>
        <w:rPr>
          <w:rFonts w:ascii="宋体" w:hAnsi="宋体"/>
          <w:sz w:val="24"/>
          <w:szCs w:val="24"/>
        </w:rPr>
        <w:t>缆</w:t>
      </w:r>
      <w:r>
        <w:rPr>
          <w:rFonts w:hint="eastAsia" w:ascii="宋体" w:hAnsi="宋体"/>
          <w:sz w:val="24"/>
          <w:szCs w:val="24"/>
        </w:rPr>
        <w:t>槽敷设: 槽内所有敷设线</w:t>
      </w:r>
      <w:r>
        <w:rPr>
          <w:rFonts w:ascii="宋体" w:hAnsi="宋体"/>
          <w:sz w:val="24"/>
          <w:szCs w:val="24"/>
        </w:rPr>
        <w:t>缆最大截面积之和不大于</w:t>
      </w:r>
      <w:r>
        <w:rPr>
          <w:rFonts w:hint="eastAsia" w:ascii="宋体" w:hAnsi="宋体"/>
          <w:sz w:val="24"/>
          <w:szCs w:val="24"/>
        </w:rPr>
        <w:t>线槽</w:t>
      </w:r>
      <w:r>
        <w:rPr>
          <w:rFonts w:ascii="宋体" w:hAnsi="宋体"/>
          <w:sz w:val="24"/>
          <w:szCs w:val="24"/>
        </w:rPr>
        <w:t>截面的</w:t>
      </w:r>
      <w:r>
        <w:rPr>
          <w:rFonts w:hint="eastAsia" w:ascii="宋体" w:hAnsi="宋体"/>
          <w:sz w:val="24"/>
          <w:szCs w:val="24"/>
        </w:rPr>
        <w:t>75%，槽内导线无绝缘层受损、裸露铜芯等严重现象；</w:t>
      </w:r>
    </w:p>
    <w:p>
      <w:pPr>
        <w:pStyle w:val="20"/>
        <w:spacing w:line="360" w:lineRule="auto"/>
        <w:ind w:firstLine="424" w:firstLineChars="177"/>
        <w:rPr>
          <w:rFonts w:ascii="宋体" w:hAnsi="宋体"/>
          <w:sz w:val="24"/>
          <w:szCs w:val="24"/>
        </w:rPr>
      </w:pPr>
      <w:r>
        <w:rPr>
          <w:rFonts w:hint="eastAsia" w:ascii="宋体" w:hAnsi="宋体"/>
          <w:sz w:val="24"/>
          <w:szCs w:val="24"/>
        </w:rPr>
        <w:t>（9）连接接触电阻:所有三极插头和三极插座与多股铜芯线（单股铜芯线）线</w:t>
      </w:r>
      <w:r>
        <w:rPr>
          <w:rFonts w:ascii="宋体" w:hAnsi="宋体"/>
          <w:sz w:val="24"/>
          <w:szCs w:val="24"/>
        </w:rPr>
        <w:t>缆及其</w:t>
      </w:r>
      <w:r>
        <w:rPr>
          <w:rFonts w:hint="eastAsia" w:ascii="宋体" w:hAnsi="宋体"/>
          <w:sz w:val="24"/>
          <w:szCs w:val="24"/>
        </w:rPr>
        <w:t>连接并按相关布线标准的对应颜色、连接方法应符合GB2009.1中23的规定，插座、插头接地线与教室系统接地线进行有效、可靠连接、保护层断裂等现象，其电阻不应大于0.05Ω；</w:t>
      </w:r>
    </w:p>
    <w:p>
      <w:pPr>
        <w:pStyle w:val="20"/>
        <w:spacing w:line="360" w:lineRule="auto"/>
        <w:ind w:firstLine="424" w:firstLineChars="177"/>
        <w:rPr>
          <w:rFonts w:ascii="宋体" w:hAnsi="宋体"/>
          <w:sz w:val="24"/>
          <w:szCs w:val="24"/>
        </w:rPr>
      </w:pPr>
      <w:r>
        <w:rPr>
          <w:rFonts w:hint="eastAsia" w:ascii="宋体" w:hAnsi="宋体"/>
          <w:sz w:val="24"/>
          <w:szCs w:val="24"/>
        </w:rPr>
        <w:t>（10）电源插座、插头参数(多空插座和空开):所有电源插座、插头参数不低于220V/10A；</w:t>
      </w:r>
    </w:p>
    <w:p>
      <w:pPr>
        <w:pStyle w:val="20"/>
        <w:spacing w:line="360" w:lineRule="auto"/>
        <w:ind w:firstLine="424" w:firstLineChars="177"/>
        <w:rPr>
          <w:rFonts w:ascii="宋体" w:hAnsi="宋体"/>
          <w:sz w:val="24"/>
          <w:szCs w:val="24"/>
        </w:rPr>
      </w:pPr>
      <w:r>
        <w:rPr>
          <w:rFonts w:hint="eastAsia" w:ascii="宋体" w:hAnsi="宋体"/>
          <w:sz w:val="24"/>
          <w:szCs w:val="24"/>
        </w:rPr>
        <w:t>（11）线槽内、电气接线盒内无残留物；</w:t>
      </w:r>
    </w:p>
    <w:p>
      <w:pPr>
        <w:pStyle w:val="20"/>
        <w:spacing w:line="360" w:lineRule="auto"/>
        <w:ind w:firstLine="424" w:firstLineChars="177"/>
        <w:rPr>
          <w:rFonts w:ascii="宋体" w:hAnsi="宋体"/>
          <w:sz w:val="24"/>
          <w:szCs w:val="24"/>
        </w:rPr>
      </w:pPr>
      <w:r>
        <w:rPr>
          <w:rFonts w:hint="eastAsia" w:ascii="宋体" w:hAnsi="宋体"/>
          <w:sz w:val="24"/>
          <w:szCs w:val="24"/>
        </w:rPr>
        <w:t>（12）电源布线应保证火线、零线、地线三线颜色分别一致，并加以区别；</w:t>
      </w:r>
    </w:p>
    <w:p>
      <w:pPr>
        <w:spacing w:line="360" w:lineRule="auto"/>
        <w:ind w:firstLine="424" w:firstLineChars="177"/>
        <w:jc w:val="left"/>
        <w:rPr>
          <w:rFonts w:ascii="宋体" w:hAnsi="宋体" w:cs="宋体"/>
          <w:sz w:val="24"/>
          <w:szCs w:val="24"/>
        </w:rPr>
      </w:pPr>
      <w:r>
        <w:rPr>
          <w:rFonts w:hint="eastAsia" w:ascii="宋体" w:hAnsi="宋体"/>
          <w:sz w:val="24"/>
          <w:szCs w:val="24"/>
        </w:rPr>
        <w:t>（13）同类电气设备安装高度应一致,电气装置应安装在便于维修处。</w:t>
      </w:r>
    </w:p>
    <w:p>
      <w:pPr>
        <w:tabs>
          <w:tab w:val="left" w:pos="1209"/>
        </w:tabs>
        <w:spacing w:line="360" w:lineRule="auto"/>
        <w:ind w:right="31" w:firstLine="480"/>
        <w:rPr>
          <w:rFonts w:ascii="宋体" w:hAnsi="宋体" w:eastAsia="宋体"/>
          <w:sz w:val="24"/>
          <w:szCs w:val="24"/>
        </w:rPr>
      </w:pPr>
    </w:p>
    <w:p>
      <w:pPr>
        <w:spacing w:line="360" w:lineRule="auto"/>
        <w:jc w:val="left"/>
        <w:rPr>
          <w:sz w:val="24"/>
          <w:szCs w:val="24"/>
        </w:rPr>
      </w:pPr>
    </w:p>
    <w:p>
      <w:pPr>
        <w:pStyle w:val="2"/>
        <w:rPr>
          <w:b/>
          <w:bCs/>
          <w:color w:val="FF0000"/>
        </w:rPr>
      </w:pPr>
    </w:p>
    <w:p>
      <w:pPr>
        <w:pStyle w:val="2"/>
        <w:rPr>
          <w:b/>
          <w:bCs/>
          <w:color w:val="000000" w:themeColor="text1"/>
          <w14:textFill>
            <w14:solidFill>
              <w14:schemeClr w14:val="tx1"/>
            </w14:solidFill>
          </w14:textFill>
        </w:rPr>
      </w:pPr>
    </w:p>
    <w:p>
      <w:pPr>
        <w:pStyle w:val="2"/>
        <w:rPr>
          <w:b/>
          <w:bCs/>
          <w:color w:val="000000" w:themeColor="text1"/>
          <w:lang w:val="zh-CN"/>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1"/>
        </w:num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资格审查方法及标准</w:t>
      </w:r>
    </w:p>
    <w:p>
      <w:pPr>
        <w:spacing w:line="360" w:lineRule="auto"/>
        <w:ind w:firstLine="42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根据《政府采购法》、《政府采购法实施条例》、《政府采购货物和服务招标投标管理办法》等相关法律法规确定以下资格审查方法及标准。</w:t>
      </w:r>
    </w:p>
    <w:p>
      <w:pPr>
        <w:pStyle w:val="4"/>
        <w:numPr>
          <w:ilvl w:val="0"/>
          <w:numId w:val="39"/>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r>
        <w:rPr>
          <w:rFonts w:hint="eastAsia" w:cs="Times New Roman" w:asciiTheme="majorEastAsia" w:hAnsiTheme="majorEastAsia"/>
          <w:bCs w:val="0"/>
          <w:color w:val="000000" w:themeColor="text1"/>
          <w:sz w:val="30"/>
          <w:szCs w:val="30"/>
          <w:lang w:val="zh-CN"/>
          <w14:textFill>
            <w14:solidFill>
              <w14:schemeClr w14:val="tx1"/>
            </w14:solidFill>
          </w14:textFill>
        </w:rPr>
        <w:t>资格审查方法</w:t>
      </w:r>
    </w:p>
    <w:p>
      <w:pPr>
        <w:spacing w:line="360" w:lineRule="auto"/>
        <w:ind w:firstLine="42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公开招标采购项目开标结束后，采购人、采购代理机构成立资格审查小组，依据法律、法规及招标文件的规定，对投标人的资格进行审查，以确定投标人资格是否合格。</w:t>
      </w:r>
    </w:p>
    <w:p>
      <w:pPr>
        <w:pStyle w:val="4"/>
        <w:numPr>
          <w:ilvl w:val="0"/>
          <w:numId w:val="39"/>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r>
        <w:rPr>
          <w:rFonts w:hint="eastAsia" w:cs="Times New Roman" w:asciiTheme="majorEastAsia" w:hAnsiTheme="majorEastAsia"/>
          <w:bCs w:val="0"/>
          <w:color w:val="000000" w:themeColor="text1"/>
          <w:sz w:val="30"/>
          <w:szCs w:val="30"/>
          <w:lang w:val="zh-CN"/>
          <w14:textFill>
            <w14:solidFill>
              <w14:schemeClr w14:val="tx1"/>
            </w14:solidFill>
          </w14:textFill>
        </w:rPr>
        <w:t>资格审查标准</w:t>
      </w:r>
    </w:p>
    <w:p>
      <w:pPr>
        <w:numPr>
          <w:ilvl w:val="0"/>
          <w:numId w:val="40"/>
        </w:numPr>
        <w:tabs>
          <w:tab w:val="left" w:pos="616"/>
        </w:tabs>
        <w:spacing w:line="360" w:lineRule="auto"/>
        <w:ind w:left="14" w:firstLine="238"/>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资格证明文件审查</w:t>
      </w:r>
    </w:p>
    <w:p>
      <w:pPr>
        <w:tabs>
          <w:tab w:val="left" w:pos="616"/>
        </w:tabs>
        <w:spacing w:line="360" w:lineRule="auto"/>
        <w:ind w:firstLine="42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所递交的资格证明文件出现不符合下列情形之一或不足以证明其符合下列情形之一的，应视为资格审查不合格，并按照</w:t>
      </w:r>
      <w:r>
        <w:rPr>
          <w:rFonts w:hint="eastAsia" w:ascii="Helvetica" w:hAnsi="Helvetica" w:eastAsia="宋体" w:cs="Helvetica"/>
          <w:b/>
          <w:color w:val="000000" w:themeColor="text1"/>
          <w:kern w:val="0"/>
          <w:sz w:val="24"/>
          <w:szCs w:val="24"/>
          <w:lang w:val="zh-CN"/>
          <w14:textFill>
            <w14:solidFill>
              <w14:schemeClr w14:val="tx1"/>
            </w14:solidFill>
          </w14:textFill>
        </w:rPr>
        <w:t>无效投标处理：</w:t>
      </w:r>
    </w:p>
    <w:p>
      <w:pPr>
        <w:pStyle w:val="21"/>
        <w:numPr>
          <w:ilvl w:val="0"/>
          <w:numId w:val="41"/>
        </w:numPr>
        <w:tabs>
          <w:tab w:val="left" w:pos="840"/>
        </w:tabs>
        <w:spacing w:line="360" w:lineRule="auto"/>
        <w:ind w:hanging="602"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应具备《政府采购法》第二十二条第一款规定的条件，</w:t>
      </w:r>
      <w:r>
        <w:rPr>
          <w:rFonts w:hint="eastAsia" w:hAnsi="宋体"/>
          <w:color w:val="FF0000"/>
          <w:sz w:val="24"/>
          <w:szCs w:val="24"/>
        </w:rPr>
        <w:t>提供下列材料</w:t>
      </w:r>
      <w:r>
        <w:rPr>
          <w:rFonts w:hint="eastAsia" w:ascii="宋体" w:hAnsi="宋体" w:eastAsia="宋体" w:cs="Times New Roman"/>
          <w:color w:val="FF0000"/>
          <w:sz w:val="24"/>
          <w:szCs w:val="24"/>
          <w:lang w:val="zh-CN"/>
        </w:rPr>
        <w:t>：</w:t>
      </w:r>
    </w:p>
    <w:p>
      <w:pPr>
        <w:pStyle w:val="21"/>
        <w:numPr>
          <w:ilvl w:val="0"/>
          <w:numId w:val="42"/>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法人或者其他组织的营业执照等证明文件，自然人的身份证明；</w:t>
      </w:r>
    </w:p>
    <w:p>
      <w:pPr>
        <w:pStyle w:val="21"/>
        <w:numPr>
          <w:ilvl w:val="0"/>
          <w:numId w:val="42"/>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财务状况报告，依法缴纳税收和社会保障资金的相关材料；</w:t>
      </w:r>
    </w:p>
    <w:p>
      <w:pPr>
        <w:pStyle w:val="21"/>
        <w:numPr>
          <w:ilvl w:val="0"/>
          <w:numId w:val="42"/>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具备履行合同所必需的设备和专业技术能力的证明材料；</w:t>
      </w:r>
    </w:p>
    <w:p>
      <w:pPr>
        <w:pStyle w:val="21"/>
        <w:numPr>
          <w:ilvl w:val="0"/>
          <w:numId w:val="42"/>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参加政府采购活动前3年内在经营活动中没有重大违法记录的书面声明；</w:t>
      </w:r>
    </w:p>
    <w:p>
      <w:pPr>
        <w:pStyle w:val="21"/>
        <w:numPr>
          <w:ilvl w:val="0"/>
          <w:numId w:val="42"/>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具备法律、行政法规规定的其他条件的证明材料。</w:t>
      </w:r>
    </w:p>
    <w:p>
      <w:pPr>
        <w:pStyle w:val="21"/>
        <w:numPr>
          <w:ilvl w:val="0"/>
          <w:numId w:val="41"/>
        </w:numPr>
        <w:tabs>
          <w:tab w:val="left" w:pos="840"/>
        </w:tabs>
        <w:spacing w:line="360" w:lineRule="auto"/>
        <w:ind w:hanging="602"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21"/>
        <w:numPr>
          <w:ilvl w:val="0"/>
          <w:numId w:val="41"/>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招标文件第一章“投标人资格要求”中有特殊要求的，投标人应提供其符合特殊要求的证明材料或者情况说明；</w:t>
      </w:r>
    </w:p>
    <w:p>
      <w:pPr>
        <w:pStyle w:val="21"/>
        <w:numPr>
          <w:ilvl w:val="0"/>
          <w:numId w:val="41"/>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不符合联合体投标相关规定和要求的；</w:t>
      </w:r>
    </w:p>
    <w:p>
      <w:pPr>
        <w:pStyle w:val="21"/>
        <w:numPr>
          <w:ilvl w:val="0"/>
          <w:numId w:val="41"/>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投标人认为需提供的其它相关资格证明材料；</w:t>
      </w:r>
    </w:p>
    <w:p>
      <w:pPr>
        <w:pStyle w:val="21"/>
        <w:numPr>
          <w:ilvl w:val="0"/>
          <w:numId w:val="41"/>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资格证明文件正本应为清晰彩色影印件且加盖单位公章。</w:t>
      </w:r>
    </w:p>
    <w:p>
      <w:pPr>
        <w:numPr>
          <w:ilvl w:val="0"/>
          <w:numId w:val="40"/>
        </w:numPr>
        <w:tabs>
          <w:tab w:val="left" w:pos="616"/>
        </w:tabs>
        <w:spacing w:line="360" w:lineRule="auto"/>
        <w:ind w:left="14" w:firstLine="238"/>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确定资格审查合格投标人</w:t>
      </w:r>
    </w:p>
    <w:p>
      <w:pPr>
        <w:pStyle w:val="21"/>
        <w:numPr>
          <w:ilvl w:val="0"/>
          <w:numId w:val="43"/>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color w:val="000000" w:themeColor="text1"/>
          <w:sz w:val="24"/>
          <w:szCs w:val="24"/>
          <w:lang w:val="zh-CN"/>
          <w14:textFill>
            <w14:solidFill>
              <w14:schemeClr w14:val="tx1"/>
            </w14:solidFill>
          </w14:textFill>
        </w:rPr>
        <w:t>形成书面的资格审查报告。</w:t>
      </w:r>
    </w:p>
    <w:p>
      <w:pPr>
        <w:pStyle w:val="21"/>
        <w:numPr>
          <w:ilvl w:val="0"/>
          <w:numId w:val="43"/>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资格审查合格投标人不足3家的，不进行评标。</w:t>
      </w:r>
    </w:p>
    <w:p>
      <w:pPr>
        <w:pStyle w:val="21"/>
        <w:numPr>
          <w:ilvl w:val="0"/>
          <w:numId w:val="43"/>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资格审查未通过的投标人可在结果公告质疑有效期内按公告中的联系方式获知</w:t>
      </w:r>
      <w:r>
        <w:rPr>
          <w:rFonts w:ascii="宋体" w:hAnsi="宋体" w:eastAsia="宋体" w:cs="Times New Roman"/>
          <w:color w:val="000000" w:themeColor="text1"/>
          <w:sz w:val="24"/>
          <w:szCs w:val="24"/>
          <w:lang w:val="zh-CN"/>
          <w14:textFill>
            <w14:solidFill>
              <w14:schemeClr w14:val="tx1"/>
            </w14:solidFill>
          </w14:textFill>
        </w:rPr>
        <w:t>本</w:t>
      </w:r>
      <w:r>
        <w:rPr>
          <w:rFonts w:hint="eastAsia" w:ascii="宋体" w:hAnsi="宋体" w:eastAsia="宋体" w:cs="Times New Roman"/>
          <w:color w:val="000000" w:themeColor="text1"/>
          <w:sz w:val="24"/>
          <w:szCs w:val="24"/>
          <w:lang w:val="zh-CN"/>
          <w14:textFill>
            <w14:solidFill>
              <w14:schemeClr w14:val="tx1"/>
            </w14:solidFill>
          </w14:textFill>
        </w:rPr>
        <w:t>单位</w:t>
      </w:r>
      <w:r>
        <w:rPr>
          <w:rFonts w:ascii="宋体" w:hAnsi="宋体" w:eastAsia="宋体" w:cs="Times New Roman"/>
          <w:color w:val="000000" w:themeColor="text1"/>
          <w:sz w:val="24"/>
          <w:szCs w:val="24"/>
          <w:lang w:val="zh-CN"/>
          <w14:textFill>
            <w14:solidFill>
              <w14:schemeClr w14:val="tx1"/>
            </w14:solidFill>
          </w14:textFill>
        </w:rPr>
        <w:t>的</w:t>
      </w:r>
      <w:r>
        <w:rPr>
          <w:rFonts w:hint="eastAsia" w:ascii="宋体" w:hAnsi="宋体" w:eastAsia="宋体" w:cs="Times New Roman"/>
          <w:color w:val="000000" w:themeColor="text1"/>
          <w:sz w:val="24"/>
          <w:szCs w:val="24"/>
          <w:lang w:val="zh-CN"/>
          <w14:textFill>
            <w14:solidFill>
              <w14:schemeClr w14:val="tx1"/>
            </w14:solidFill>
          </w14:textFill>
        </w:rPr>
        <w:t>资格审查情况。</w:t>
      </w:r>
    </w:p>
    <w:p>
      <w:pPr>
        <w:pStyle w:val="21"/>
        <w:numPr>
          <w:ilvl w:val="0"/>
          <w:numId w:val="43"/>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采购人已进行资格预审的，不再进行资格审查。未通过资格预审的投标人，采购人、采购代理机构</w:t>
      </w:r>
      <w:r>
        <w:rPr>
          <w:rFonts w:hint="eastAsia" w:ascii="宋体" w:hAnsi="宋体" w:eastAsia="宋体" w:cs="Times New Roman"/>
          <w:b/>
          <w:color w:val="000000" w:themeColor="text1"/>
          <w:sz w:val="24"/>
          <w:szCs w:val="24"/>
          <w:lang w:val="zh-CN"/>
          <w14:textFill>
            <w14:solidFill>
              <w14:schemeClr w14:val="tx1"/>
            </w14:solidFill>
          </w14:textFill>
        </w:rPr>
        <w:t>拒绝</w:t>
      </w:r>
      <w:r>
        <w:rPr>
          <w:rFonts w:hint="eastAsia" w:ascii="宋体" w:hAnsi="宋体" w:eastAsia="宋体" w:cs="Times New Roman"/>
          <w:color w:val="000000" w:themeColor="text1"/>
          <w:sz w:val="24"/>
          <w:szCs w:val="24"/>
          <w:lang w:val="zh-CN"/>
          <w14:textFill>
            <w14:solidFill>
              <w14:schemeClr w14:val="tx1"/>
            </w14:solidFill>
          </w14:textFill>
        </w:rPr>
        <w:t>其投标。</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bookmarkEnd w:id="41"/>
    <w:p>
      <w:pPr>
        <w:pStyle w:val="3"/>
        <w:numPr>
          <w:ilvl w:val="0"/>
          <w:numId w:val="1"/>
        </w:numPr>
        <w:jc w:val="center"/>
        <w:rPr>
          <w:rFonts w:ascii="黑体" w:hAnsi="黑体" w:eastAsia="黑体"/>
          <w:color w:val="000000" w:themeColor="text1"/>
          <w14:textFill>
            <w14:solidFill>
              <w14:schemeClr w14:val="tx1"/>
            </w14:solidFill>
          </w14:textFill>
        </w:rPr>
      </w:pPr>
      <w:bookmarkStart w:id="42" w:name="_Toc24213"/>
      <w:r>
        <w:rPr>
          <w:rFonts w:hint="eastAsia" w:ascii="黑体" w:hAnsi="黑体" w:eastAsia="黑体"/>
          <w:color w:val="000000" w:themeColor="text1"/>
          <w14:textFill>
            <w14:solidFill>
              <w14:schemeClr w14:val="tx1"/>
            </w14:solidFill>
          </w14:textFill>
        </w:rPr>
        <w:t>资格审查方法及标准</w:t>
      </w:r>
      <w:bookmarkEnd w:id="42"/>
    </w:p>
    <w:p>
      <w:pPr>
        <w:spacing w:line="360" w:lineRule="auto"/>
        <w:ind w:firstLine="42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根据《政府采购法》、《政府采购法实施条例》、《政府采购货物和服务招标投标管理办法》等相关法律法规确定以下资格审查方法及标准。</w:t>
      </w:r>
    </w:p>
    <w:p>
      <w:pPr>
        <w:pStyle w:val="4"/>
        <w:numPr>
          <w:ilvl w:val="0"/>
          <w:numId w:val="39"/>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43" w:name="_Toc494561958"/>
      <w:bookmarkStart w:id="44" w:name="_Toc21069"/>
      <w:r>
        <w:rPr>
          <w:rFonts w:hint="eastAsia" w:cs="Times New Roman" w:asciiTheme="majorEastAsia" w:hAnsiTheme="majorEastAsia"/>
          <w:bCs w:val="0"/>
          <w:color w:val="000000" w:themeColor="text1"/>
          <w:sz w:val="30"/>
          <w:szCs w:val="30"/>
          <w:lang w:val="zh-CN"/>
          <w14:textFill>
            <w14:solidFill>
              <w14:schemeClr w14:val="tx1"/>
            </w14:solidFill>
          </w14:textFill>
        </w:rPr>
        <w:t>资格审查方法</w:t>
      </w:r>
      <w:bookmarkEnd w:id="43"/>
      <w:bookmarkEnd w:id="44"/>
    </w:p>
    <w:p>
      <w:pPr>
        <w:spacing w:line="360" w:lineRule="auto"/>
        <w:ind w:firstLine="42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公开招标采购项目开标结束后，采购人、采购代理机构成立资格审查小组，依据法律、法规及招标文件的规定，对投标人的资格进行审查，以确定投标人资格是否合格。</w:t>
      </w:r>
    </w:p>
    <w:p>
      <w:pPr>
        <w:pStyle w:val="4"/>
        <w:numPr>
          <w:ilvl w:val="0"/>
          <w:numId w:val="39"/>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45" w:name="_Toc13504"/>
      <w:bookmarkStart w:id="46" w:name="_Toc494561959"/>
      <w:r>
        <w:rPr>
          <w:rFonts w:hint="eastAsia" w:cs="Times New Roman" w:asciiTheme="majorEastAsia" w:hAnsiTheme="majorEastAsia"/>
          <w:bCs w:val="0"/>
          <w:color w:val="000000" w:themeColor="text1"/>
          <w:sz w:val="30"/>
          <w:szCs w:val="30"/>
          <w:lang w:val="zh-CN"/>
          <w14:textFill>
            <w14:solidFill>
              <w14:schemeClr w14:val="tx1"/>
            </w14:solidFill>
          </w14:textFill>
        </w:rPr>
        <w:t>资格审查标准</w:t>
      </w:r>
      <w:bookmarkEnd w:id="45"/>
      <w:bookmarkEnd w:id="46"/>
    </w:p>
    <w:p>
      <w:pPr>
        <w:numPr>
          <w:ilvl w:val="0"/>
          <w:numId w:val="40"/>
        </w:numPr>
        <w:tabs>
          <w:tab w:val="left" w:pos="616"/>
        </w:tabs>
        <w:spacing w:line="360" w:lineRule="auto"/>
        <w:ind w:left="14" w:firstLine="238"/>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资格证明文件审查</w:t>
      </w:r>
    </w:p>
    <w:p>
      <w:pPr>
        <w:tabs>
          <w:tab w:val="left" w:pos="616"/>
        </w:tabs>
        <w:spacing w:line="360" w:lineRule="auto"/>
        <w:ind w:firstLine="42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所递交的资格证明文件出现不符合下列情形之一或不足以证明其符合下列情形之一的，应视为资格审查不合格，并按照</w:t>
      </w:r>
      <w:r>
        <w:rPr>
          <w:rFonts w:hint="eastAsia" w:ascii="Helvetica" w:hAnsi="Helvetica" w:eastAsia="宋体" w:cs="Helvetica"/>
          <w:b/>
          <w:color w:val="000000" w:themeColor="text1"/>
          <w:kern w:val="0"/>
          <w:sz w:val="24"/>
          <w:szCs w:val="24"/>
          <w:lang w:val="zh-CN"/>
          <w14:textFill>
            <w14:solidFill>
              <w14:schemeClr w14:val="tx1"/>
            </w14:solidFill>
          </w14:textFill>
        </w:rPr>
        <w:t>无效投标处理：</w:t>
      </w:r>
    </w:p>
    <w:p>
      <w:pPr>
        <w:pStyle w:val="21"/>
        <w:numPr>
          <w:ilvl w:val="0"/>
          <w:numId w:val="41"/>
        </w:numPr>
        <w:tabs>
          <w:tab w:val="left" w:pos="840"/>
        </w:tabs>
        <w:spacing w:line="360" w:lineRule="auto"/>
        <w:ind w:hanging="602"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应具备《政府采购法》第二十二条第一款规定的条件，</w:t>
      </w:r>
      <w:r>
        <w:rPr>
          <w:rFonts w:hint="eastAsia" w:hAnsi="宋体"/>
          <w:color w:val="FF0000"/>
          <w:sz w:val="24"/>
          <w:szCs w:val="24"/>
        </w:rPr>
        <w:t>提供下列材料</w:t>
      </w:r>
      <w:r>
        <w:rPr>
          <w:rFonts w:hint="eastAsia" w:ascii="宋体" w:hAnsi="宋体" w:eastAsia="宋体" w:cs="Times New Roman"/>
          <w:color w:val="FF0000"/>
          <w:sz w:val="24"/>
          <w:szCs w:val="24"/>
          <w:lang w:val="zh-CN"/>
        </w:rPr>
        <w:t>：</w:t>
      </w:r>
    </w:p>
    <w:p>
      <w:pPr>
        <w:pStyle w:val="21"/>
        <w:numPr>
          <w:ilvl w:val="0"/>
          <w:numId w:val="42"/>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法人或者其他组织的营业执照等证明文件，自然人的身份证明；</w:t>
      </w:r>
    </w:p>
    <w:p>
      <w:pPr>
        <w:pStyle w:val="21"/>
        <w:numPr>
          <w:ilvl w:val="0"/>
          <w:numId w:val="42"/>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财务状况报告，依法缴纳税收和社会保障资金的相关材料；</w:t>
      </w:r>
    </w:p>
    <w:p>
      <w:pPr>
        <w:pStyle w:val="21"/>
        <w:numPr>
          <w:ilvl w:val="0"/>
          <w:numId w:val="42"/>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具备履行合同所必需的设备和专业技术能力的证明材料；</w:t>
      </w:r>
    </w:p>
    <w:p>
      <w:pPr>
        <w:pStyle w:val="21"/>
        <w:numPr>
          <w:ilvl w:val="0"/>
          <w:numId w:val="42"/>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参加政府采购活动前3年内在经营活动中没有重大违法记录的书面声明；</w:t>
      </w:r>
    </w:p>
    <w:p>
      <w:pPr>
        <w:pStyle w:val="21"/>
        <w:numPr>
          <w:ilvl w:val="0"/>
          <w:numId w:val="42"/>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具备法律、行政法规规定的其他条件的证明材料。</w:t>
      </w:r>
    </w:p>
    <w:p>
      <w:pPr>
        <w:pStyle w:val="21"/>
        <w:numPr>
          <w:ilvl w:val="0"/>
          <w:numId w:val="41"/>
        </w:numPr>
        <w:tabs>
          <w:tab w:val="left" w:pos="840"/>
        </w:tabs>
        <w:spacing w:line="360" w:lineRule="auto"/>
        <w:ind w:hanging="602"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21"/>
        <w:numPr>
          <w:ilvl w:val="0"/>
          <w:numId w:val="41"/>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招标文件第一章“投标人资格要求”中有特殊要求的，投标人应提供其符合特殊要求的证明材料或者情况说明；</w:t>
      </w:r>
    </w:p>
    <w:p>
      <w:pPr>
        <w:pStyle w:val="21"/>
        <w:numPr>
          <w:ilvl w:val="0"/>
          <w:numId w:val="41"/>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不符合联合体投标相关规定和要求的；</w:t>
      </w:r>
    </w:p>
    <w:p>
      <w:pPr>
        <w:pStyle w:val="21"/>
        <w:numPr>
          <w:ilvl w:val="0"/>
          <w:numId w:val="41"/>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投标人认为需提供的其它相关资格证明材料；</w:t>
      </w:r>
    </w:p>
    <w:p>
      <w:pPr>
        <w:pStyle w:val="21"/>
        <w:numPr>
          <w:ilvl w:val="0"/>
          <w:numId w:val="41"/>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资格证明文件正本应为清晰彩色影印件且加盖单位公章。</w:t>
      </w:r>
    </w:p>
    <w:p>
      <w:pPr>
        <w:numPr>
          <w:ilvl w:val="0"/>
          <w:numId w:val="40"/>
        </w:numPr>
        <w:tabs>
          <w:tab w:val="left" w:pos="616"/>
        </w:tabs>
        <w:spacing w:line="360" w:lineRule="auto"/>
        <w:ind w:left="14" w:firstLine="238"/>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确定资格审查合格投标人</w:t>
      </w:r>
    </w:p>
    <w:p>
      <w:pPr>
        <w:pStyle w:val="21"/>
        <w:numPr>
          <w:ilvl w:val="0"/>
          <w:numId w:val="43"/>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color w:val="000000" w:themeColor="text1"/>
          <w:sz w:val="24"/>
          <w:szCs w:val="24"/>
          <w:lang w:val="zh-CN"/>
          <w14:textFill>
            <w14:solidFill>
              <w14:schemeClr w14:val="tx1"/>
            </w14:solidFill>
          </w14:textFill>
        </w:rPr>
        <w:t>形成书面的资格审查报告。</w:t>
      </w:r>
    </w:p>
    <w:p>
      <w:pPr>
        <w:pStyle w:val="21"/>
        <w:numPr>
          <w:ilvl w:val="0"/>
          <w:numId w:val="43"/>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资格审查合格投标人不足3家的，不进行评标。</w:t>
      </w:r>
    </w:p>
    <w:p>
      <w:pPr>
        <w:pStyle w:val="21"/>
        <w:numPr>
          <w:ilvl w:val="0"/>
          <w:numId w:val="43"/>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资格审查未通过的投标人可在结果公告质疑有效期内按公告中的联系方式获知</w:t>
      </w:r>
      <w:r>
        <w:rPr>
          <w:rFonts w:ascii="宋体" w:hAnsi="宋体" w:eastAsia="宋体" w:cs="Times New Roman"/>
          <w:color w:val="000000" w:themeColor="text1"/>
          <w:sz w:val="24"/>
          <w:szCs w:val="24"/>
          <w:lang w:val="zh-CN"/>
          <w14:textFill>
            <w14:solidFill>
              <w14:schemeClr w14:val="tx1"/>
            </w14:solidFill>
          </w14:textFill>
        </w:rPr>
        <w:t>本</w:t>
      </w:r>
      <w:r>
        <w:rPr>
          <w:rFonts w:hint="eastAsia" w:ascii="宋体" w:hAnsi="宋体" w:eastAsia="宋体" w:cs="Times New Roman"/>
          <w:color w:val="000000" w:themeColor="text1"/>
          <w:sz w:val="24"/>
          <w:szCs w:val="24"/>
          <w:lang w:val="zh-CN"/>
          <w14:textFill>
            <w14:solidFill>
              <w14:schemeClr w14:val="tx1"/>
            </w14:solidFill>
          </w14:textFill>
        </w:rPr>
        <w:t>单位</w:t>
      </w:r>
      <w:r>
        <w:rPr>
          <w:rFonts w:ascii="宋体" w:hAnsi="宋体" w:eastAsia="宋体" w:cs="Times New Roman"/>
          <w:color w:val="000000" w:themeColor="text1"/>
          <w:sz w:val="24"/>
          <w:szCs w:val="24"/>
          <w:lang w:val="zh-CN"/>
          <w14:textFill>
            <w14:solidFill>
              <w14:schemeClr w14:val="tx1"/>
            </w14:solidFill>
          </w14:textFill>
        </w:rPr>
        <w:t>的</w:t>
      </w:r>
      <w:r>
        <w:rPr>
          <w:rFonts w:hint="eastAsia" w:ascii="宋体" w:hAnsi="宋体" w:eastAsia="宋体" w:cs="Times New Roman"/>
          <w:color w:val="000000" w:themeColor="text1"/>
          <w:sz w:val="24"/>
          <w:szCs w:val="24"/>
          <w:lang w:val="zh-CN"/>
          <w14:textFill>
            <w14:solidFill>
              <w14:schemeClr w14:val="tx1"/>
            </w14:solidFill>
          </w14:textFill>
        </w:rPr>
        <w:t>资格审查情况。</w:t>
      </w:r>
    </w:p>
    <w:p>
      <w:pPr>
        <w:pStyle w:val="21"/>
        <w:numPr>
          <w:ilvl w:val="0"/>
          <w:numId w:val="43"/>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采购人已进行资格预审的，不再进行资格审查。未通过资格预审的投标人，采购人、采购代理机构</w:t>
      </w:r>
      <w:r>
        <w:rPr>
          <w:rFonts w:hint="eastAsia" w:ascii="宋体" w:hAnsi="宋体" w:eastAsia="宋体" w:cs="Times New Roman"/>
          <w:b/>
          <w:color w:val="000000" w:themeColor="text1"/>
          <w:sz w:val="24"/>
          <w:szCs w:val="24"/>
          <w:lang w:val="zh-CN"/>
          <w14:textFill>
            <w14:solidFill>
              <w14:schemeClr w14:val="tx1"/>
            </w14:solidFill>
          </w14:textFill>
        </w:rPr>
        <w:t>拒绝</w:t>
      </w:r>
      <w:r>
        <w:rPr>
          <w:rFonts w:hint="eastAsia" w:ascii="宋体" w:hAnsi="宋体" w:eastAsia="宋体" w:cs="Times New Roman"/>
          <w:color w:val="000000" w:themeColor="text1"/>
          <w:sz w:val="24"/>
          <w:szCs w:val="24"/>
          <w:lang w:val="zh-CN"/>
          <w14:textFill>
            <w14:solidFill>
              <w14:schemeClr w14:val="tx1"/>
            </w14:solidFill>
          </w14:textFill>
        </w:rPr>
        <w:t>其投标。</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1"/>
        </w:numPr>
        <w:jc w:val="center"/>
        <w:rPr>
          <w:rFonts w:ascii="黑体" w:hAnsi="黑体" w:eastAsia="黑体"/>
          <w:color w:val="000000" w:themeColor="text1"/>
          <w14:textFill>
            <w14:solidFill>
              <w14:schemeClr w14:val="tx1"/>
            </w14:solidFill>
          </w14:textFill>
        </w:rPr>
      </w:pPr>
      <w:bookmarkStart w:id="47" w:name="_Toc25544"/>
      <w:r>
        <w:rPr>
          <w:rFonts w:hint="eastAsia" w:ascii="黑体" w:hAnsi="黑体" w:eastAsia="黑体"/>
          <w:color w:val="000000" w:themeColor="text1"/>
          <w14:textFill>
            <w14:solidFill>
              <w14:schemeClr w14:val="tx1"/>
            </w14:solidFill>
          </w14:textFill>
        </w:rPr>
        <w:t>评标方法、程序及标准</w:t>
      </w:r>
      <w:bookmarkEnd w:id="47"/>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根据《政府采购法》、《政府采购法实施条例》、《政府采购货物和服务招标投标管理办法》等相关法律法规确定以下评标办法、程序及标准。</w:t>
      </w:r>
    </w:p>
    <w:p>
      <w:pPr>
        <w:pStyle w:val="4"/>
        <w:numPr>
          <w:ilvl w:val="0"/>
          <w:numId w:val="44"/>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48" w:name="_Toc272247708"/>
      <w:bookmarkStart w:id="49" w:name="_Toc278891605"/>
      <w:bookmarkStart w:id="50" w:name="_Toc26105"/>
      <w:bookmarkStart w:id="51" w:name="_Toc494561961"/>
      <w:r>
        <w:rPr>
          <w:rFonts w:hint="eastAsia" w:cs="Times New Roman" w:asciiTheme="majorEastAsia" w:hAnsiTheme="majorEastAsia"/>
          <w:bCs w:val="0"/>
          <w:color w:val="000000" w:themeColor="text1"/>
          <w:sz w:val="30"/>
          <w:szCs w:val="30"/>
          <w:lang w:val="zh-CN"/>
          <w14:textFill>
            <w14:solidFill>
              <w14:schemeClr w14:val="tx1"/>
            </w14:solidFill>
          </w14:textFill>
        </w:rPr>
        <w:t>评标</w:t>
      </w:r>
      <w:bookmarkEnd w:id="48"/>
      <w:bookmarkEnd w:id="49"/>
      <w:r>
        <w:rPr>
          <w:rFonts w:hint="eastAsia" w:cs="Times New Roman" w:asciiTheme="majorEastAsia" w:hAnsiTheme="majorEastAsia"/>
          <w:bCs w:val="0"/>
          <w:color w:val="000000" w:themeColor="text1"/>
          <w:sz w:val="30"/>
          <w:szCs w:val="30"/>
          <w:lang w:val="zh-CN"/>
          <w14:textFill>
            <w14:solidFill>
              <w14:schemeClr w14:val="tx1"/>
            </w14:solidFill>
          </w14:textFill>
        </w:rPr>
        <w:t>方法</w:t>
      </w:r>
      <w:bookmarkEnd w:id="50"/>
      <w:bookmarkEnd w:id="51"/>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本项目评标采用综合评分法，</w:t>
      </w:r>
      <w:r>
        <w:rPr>
          <w:rFonts w:ascii="宋体" w:hAnsi="宋体" w:eastAsia="宋体" w:cs="Times New Roman"/>
          <w:bCs/>
          <w:color w:val="000000" w:themeColor="text1"/>
          <w:sz w:val="24"/>
          <w:szCs w:val="20"/>
          <w:lang w:val="zh-CN"/>
          <w14:textFill>
            <w14:solidFill>
              <w14:schemeClr w14:val="tx1"/>
            </w14:solidFill>
          </w14:textFill>
        </w:rPr>
        <w:t>是指投标文件满足招标文件全部实质性要求，且按照评审因素的量化指标评审得分最高的投标人为中标候选人的评标方法。</w:t>
      </w:r>
    </w:p>
    <w:p>
      <w:pPr>
        <w:pStyle w:val="4"/>
        <w:numPr>
          <w:ilvl w:val="0"/>
          <w:numId w:val="44"/>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52" w:name="_Toc272247709"/>
      <w:bookmarkStart w:id="53" w:name="_Toc278891606"/>
      <w:bookmarkStart w:id="54" w:name="_Toc14904"/>
      <w:bookmarkStart w:id="55" w:name="_Toc494561962"/>
      <w:r>
        <w:rPr>
          <w:rFonts w:hint="eastAsia" w:cs="Times New Roman" w:asciiTheme="majorEastAsia" w:hAnsiTheme="majorEastAsia"/>
          <w:bCs w:val="0"/>
          <w:color w:val="000000" w:themeColor="text1"/>
          <w:sz w:val="30"/>
          <w:szCs w:val="30"/>
          <w:lang w:val="zh-CN"/>
          <w14:textFill>
            <w14:solidFill>
              <w14:schemeClr w14:val="tx1"/>
            </w14:solidFill>
          </w14:textFill>
        </w:rPr>
        <w:t>评标程序</w:t>
      </w:r>
      <w:bookmarkEnd w:id="52"/>
      <w:bookmarkEnd w:id="53"/>
      <w:r>
        <w:rPr>
          <w:rFonts w:hint="eastAsia" w:cs="Times New Roman" w:asciiTheme="majorEastAsia" w:hAnsiTheme="majorEastAsia"/>
          <w:bCs w:val="0"/>
          <w:color w:val="000000" w:themeColor="text1"/>
          <w:sz w:val="30"/>
          <w:szCs w:val="30"/>
          <w:lang w:val="zh-CN"/>
          <w14:textFill>
            <w14:solidFill>
              <w14:schemeClr w14:val="tx1"/>
            </w14:solidFill>
          </w14:textFill>
        </w:rPr>
        <w:t>及标准</w:t>
      </w:r>
      <w:bookmarkEnd w:id="54"/>
      <w:bookmarkEnd w:id="55"/>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评标委员会按以下工作程序进行评标：</w:t>
      </w:r>
      <w:r>
        <w:rPr>
          <w:rFonts w:hint="eastAsia" w:ascii="宋体" w:hAnsi="宋体" w:eastAsia="宋体" w:cs="Times New Roman"/>
          <w:color w:val="000000" w:themeColor="text1"/>
          <w:sz w:val="24"/>
          <w:szCs w:val="20"/>
          <w:lang w:val="zh-CN"/>
          <w14:textFill>
            <w14:solidFill>
              <w14:schemeClr w14:val="tx1"/>
            </w14:solidFill>
          </w14:textFill>
        </w:rPr>
        <w:t>符合性审查、澄清有关问题、综合比较和评价、确定中标候选人名单。</w:t>
      </w:r>
    </w:p>
    <w:p>
      <w:pPr>
        <w:numPr>
          <w:ilvl w:val="0"/>
          <w:numId w:val="45"/>
        </w:numPr>
        <w:ind w:left="1311" w:leftChars="154" w:hanging="988" w:hangingChars="353"/>
        <w:rPr>
          <w:rFonts w:ascii="宋体" w:hAnsi="宋体" w:eastAsia="宋体" w:cs="Times New Roman"/>
          <w:strike/>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符合性审查</w:t>
      </w:r>
    </w:p>
    <w:p>
      <w:pPr>
        <w:spacing w:line="360" w:lineRule="auto"/>
        <w:ind w:firstLine="470" w:firstLineChars="196"/>
        <w:rPr>
          <w:rFonts w:ascii="宋体" w:hAnsi="宋体" w:eastAsia="宋体" w:cs="Times New Roman"/>
          <w:bCs/>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评标委员会应当对符合资格的投标人的投标文件进行符合性审查，以确定其是否满足招标文件的实质性要求。</w:t>
      </w:r>
      <w:r>
        <w:rPr>
          <w:rFonts w:hint="eastAsia" w:ascii="宋体" w:hAnsi="宋体" w:eastAsia="宋体" w:cs="Times New Roman"/>
          <w:bCs/>
          <w:color w:val="000000" w:themeColor="text1"/>
          <w:sz w:val="24"/>
          <w:szCs w:val="20"/>
          <w:lang w:val="zh-CN"/>
          <w14:textFill>
            <w14:solidFill>
              <w14:schemeClr w14:val="tx1"/>
            </w14:solidFill>
          </w14:textFill>
        </w:rPr>
        <w:t>符合性审查出现下列情形之一的投标按照</w:t>
      </w:r>
      <w:r>
        <w:rPr>
          <w:rFonts w:hint="eastAsia" w:ascii="宋体" w:hAnsi="宋体" w:eastAsia="宋体" w:cs="Times New Roman"/>
          <w:b/>
          <w:bCs/>
          <w:color w:val="000000" w:themeColor="text1"/>
          <w:sz w:val="24"/>
          <w:szCs w:val="20"/>
          <w:lang w:val="zh-CN"/>
          <w14:textFill>
            <w14:solidFill>
              <w14:schemeClr w14:val="tx1"/>
            </w14:solidFill>
          </w14:textFill>
        </w:rPr>
        <w:t>无效投标处理</w:t>
      </w:r>
      <w:r>
        <w:rPr>
          <w:rFonts w:hint="eastAsia" w:ascii="宋体" w:hAnsi="宋体" w:eastAsia="宋体" w:cs="Times New Roman"/>
          <w:bCs/>
          <w:color w:val="000000" w:themeColor="text1"/>
          <w:sz w:val="24"/>
          <w:szCs w:val="20"/>
          <w:lang w:val="zh-CN"/>
          <w14:textFill>
            <w14:solidFill>
              <w14:schemeClr w14:val="tx1"/>
            </w14:solidFill>
          </w14:textFill>
        </w:rPr>
        <w:t>：</w:t>
      </w:r>
    </w:p>
    <w:p>
      <w:pPr>
        <w:numPr>
          <w:ilvl w:val="0"/>
          <w:numId w:val="46"/>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投标总报价超过项目（分包）预算金额或最高限价的；</w:t>
      </w:r>
    </w:p>
    <w:p>
      <w:pPr>
        <w:numPr>
          <w:ilvl w:val="0"/>
          <w:numId w:val="46"/>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《投标书》、《法定代表人授权书》、《开标一览表》、《投标报价明细表》未提供或不符合招标文件要求的；</w:t>
      </w:r>
    </w:p>
    <w:p>
      <w:pPr>
        <w:numPr>
          <w:ilvl w:val="0"/>
          <w:numId w:val="46"/>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工期（服务期限）、质保期不符合招标文件要求的；</w:t>
      </w:r>
    </w:p>
    <w:p>
      <w:pPr>
        <w:numPr>
          <w:ilvl w:val="0"/>
          <w:numId w:val="46"/>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投标保证金的交纳不符合招标文件要求的；</w:t>
      </w:r>
    </w:p>
    <w:p>
      <w:pPr>
        <w:numPr>
          <w:ilvl w:val="0"/>
          <w:numId w:val="46"/>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出现两个或两个以上不同报价的；</w:t>
      </w:r>
    </w:p>
    <w:p>
      <w:pPr>
        <w:numPr>
          <w:ilvl w:val="0"/>
          <w:numId w:val="46"/>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出现两个或两个以上投标方案的（招标文件中要求提供备选方案的除外）；</w:t>
      </w:r>
    </w:p>
    <w:p>
      <w:pPr>
        <w:numPr>
          <w:ilvl w:val="0"/>
          <w:numId w:val="46"/>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投标报价存在缺项、漏项的；</w:t>
      </w:r>
    </w:p>
    <w:p>
      <w:pPr>
        <w:numPr>
          <w:ilvl w:val="0"/>
          <w:numId w:val="46"/>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投标有效期不足的；</w:t>
      </w:r>
    </w:p>
    <w:p>
      <w:pPr>
        <w:numPr>
          <w:ilvl w:val="0"/>
          <w:numId w:val="46"/>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无法定代表人签字（签章）或签字（签章）人无法定代表人有效授权的；</w:t>
      </w:r>
    </w:p>
    <w:p>
      <w:pPr>
        <w:numPr>
          <w:ilvl w:val="0"/>
          <w:numId w:val="46"/>
        </w:numPr>
        <w:tabs>
          <w:tab w:val="left" w:pos="75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正本未按要求提供加盖公章及签字（签章）原件的；</w:t>
      </w:r>
    </w:p>
    <w:p>
      <w:pPr>
        <w:numPr>
          <w:ilvl w:val="0"/>
          <w:numId w:val="46"/>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符合招标文件第二章“投标人须知”中40条中规定情形，以分公司形式参与投标的，法定代表人授权书未由总公司法定代表人签字（盖章）并加盖公章的；</w:t>
      </w:r>
    </w:p>
    <w:p>
      <w:pPr>
        <w:numPr>
          <w:ilvl w:val="0"/>
          <w:numId w:val="46"/>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未按要求提供招标文件第二章“十一 其他注意事项”中规定的书面声明的；</w:t>
      </w:r>
    </w:p>
    <w:p>
      <w:pPr>
        <w:numPr>
          <w:ilvl w:val="0"/>
          <w:numId w:val="46"/>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6"/>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所投货物是通过中国海关报关验放进入中国境内且产自关境外的（招标文件中注明已办理进口产品核准的除外）；</w:t>
      </w:r>
    </w:p>
    <w:p>
      <w:pPr>
        <w:numPr>
          <w:ilvl w:val="0"/>
          <w:numId w:val="46"/>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未提供所投货物（工程或服务）的具体参数值或功能表述，或原文复制招标文件的技术规格相关部分内容作为其投标文件的一部分的；</w:t>
      </w:r>
    </w:p>
    <w:p>
      <w:pPr>
        <w:numPr>
          <w:ilvl w:val="0"/>
          <w:numId w:val="46"/>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不满足招标文件第三章“项目技术、服务和商务要求”中“★”号条款要求的；</w:t>
      </w:r>
    </w:p>
    <w:p>
      <w:pPr>
        <w:numPr>
          <w:ilvl w:val="0"/>
          <w:numId w:val="46"/>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ascii="Times New Roman" w:hAnsi="宋体" w:eastAsia="宋体" w:cs="Times New Roman"/>
          <w:color w:val="000000" w:themeColor="text1"/>
          <w:sz w:val="24"/>
          <w:szCs w:val="24"/>
          <w:lang w:val="zh-CN"/>
          <w14:textFill>
            <w14:solidFill>
              <w14:schemeClr w14:val="tx1"/>
            </w14:solidFill>
          </w14:textFill>
        </w:rPr>
        <w:t>含有采购人不能接受的附加条件的</w:t>
      </w:r>
      <w:r>
        <w:rPr>
          <w:rFonts w:hint="eastAsia" w:ascii="Times New Roman" w:hAnsi="宋体" w:eastAsia="宋体" w:cs="Times New Roman"/>
          <w:color w:val="000000" w:themeColor="text1"/>
          <w:sz w:val="24"/>
          <w:szCs w:val="24"/>
          <w:lang w:val="zh-CN"/>
          <w14:textFill>
            <w14:solidFill>
              <w14:schemeClr w14:val="tx1"/>
            </w14:solidFill>
          </w14:textFill>
        </w:rPr>
        <w:t>；</w:t>
      </w:r>
    </w:p>
    <w:p>
      <w:pPr>
        <w:numPr>
          <w:ilvl w:val="0"/>
          <w:numId w:val="46"/>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6"/>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ascii="Times New Roman" w:hAnsi="宋体" w:eastAsia="宋体" w:cs="Times New Roman"/>
          <w:color w:val="000000" w:themeColor="text1"/>
          <w:sz w:val="24"/>
          <w:szCs w:val="24"/>
          <w:lang w:val="zh-CN"/>
          <w14:textFill>
            <w14:solidFill>
              <w14:schemeClr w14:val="tx1"/>
            </w14:solidFill>
          </w14:textFill>
        </w:rPr>
        <w:t>法律、法规</w:t>
      </w:r>
      <w:r>
        <w:rPr>
          <w:rFonts w:hint="eastAsia" w:ascii="Times New Roman" w:hAnsi="宋体" w:eastAsia="宋体" w:cs="Times New Roman"/>
          <w:color w:val="000000" w:themeColor="text1"/>
          <w:sz w:val="24"/>
          <w:szCs w:val="24"/>
          <w:lang w:val="zh-CN"/>
          <w14:textFill>
            <w14:solidFill>
              <w14:schemeClr w14:val="tx1"/>
            </w14:solidFill>
          </w14:textFill>
        </w:rPr>
        <w:t>和招标文件</w:t>
      </w:r>
      <w:r>
        <w:rPr>
          <w:rFonts w:ascii="Times New Roman" w:hAnsi="宋体" w:eastAsia="宋体" w:cs="Times New Roman"/>
          <w:color w:val="000000" w:themeColor="text1"/>
          <w:sz w:val="24"/>
          <w:szCs w:val="24"/>
          <w:lang w:val="zh-CN"/>
          <w14:textFill>
            <w14:solidFill>
              <w14:schemeClr w14:val="tx1"/>
            </w14:solidFill>
          </w14:textFill>
        </w:rPr>
        <w:t>规定的其他</w:t>
      </w:r>
      <w:r>
        <w:rPr>
          <w:rFonts w:hint="eastAsia" w:ascii="Times New Roman" w:hAnsi="宋体" w:eastAsia="宋体" w:cs="Times New Roman"/>
          <w:color w:val="000000" w:themeColor="text1"/>
          <w:sz w:val="24"/>
          <w:szCs w:val="24"/>
          <w:lang w:val="zh-CN"/>
          <w14:textFill>
            <w14:solidFill>
              <w14:schemeClr w14:val="tx1"/>
            </w14:solidFill>
          </w14:textFill>
        </w:rPr>
        <w:t>无效投标</w:t>
      </w:r>
      <w:r>
        <w:rPr>
          <w:rFonts w:ascii="Times New Roman" w:hAnsi="宋体" w:eastAsia="宋体" w:cs="Times New Roman"/>
          <w:color w:val="000000" w:themeColor="text1"/>
          <w:sz w:val="24"/>
          <w:szCs w:val="24"/>
          <w:lang w:val="zh-CN"/>
          <w14:textFill>
            <w14:solidFill>
              <w14:schemeClr w14:val="tx1"/>
            </w14:solidFill>
          </w14:textFill>
        </w:rPr>
        <w:t>情形。</w:t>
      </w:r>
    </w:p>
    <w:p>
      <w:pPr>
        <w:numPr>
          <w:ilvl w:val="0"/>
          <w:numId w:val="45"/>
        </w:numPr>
        <w:ind w:left="1311" w:leftChars="154" w:hanging="988" w:hangingChars="353"/>
        <w:rPr>
          <w:rFonts w:ascii="宋体" w:hAnsi="宋体" w:eastAsia="宋体" w:cs="Times New Roman"/>
          <w:b/>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澄清有关问题</w:t>
      </w:r>
    </w:p>
    <w:p>
      <w:pPr>
        <w:numPr>
          <w:ilvl w:val="0"/>
          <w:numId w:val="47"/>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评标期间，</w:t>
      </w:r>
      <w:r>
        <w:rPr>
          <w:rFonts w:ascii="Helvetica" w:hAnsi="Helvetica" w:eastAsia="宋体" w:cs="Helvetica"/>
          <w:color w:val="000000" w:themeColor="text1"/>
          <w:kern w:val="0"/>
          <w:sz w:val="24"/>
          <w:szCs w:val="24"/>
          <w:lang w:val="zh-CN"/>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numPr>
          <w:ilvl w:val="0"/>
          <w:numId w:val="47"/>
        </w:numPr>
        <w:tabs>
          <w:tab w:val="left" w:pos="616"/>
        </w:tabs>
        <w:spacing w:line="360" w:lineRule="auto"/>
        <w:ind w:left="10" w:leftChars="5" w:firstLine="237" w:firstLineChars="99"/>
        <w:rPr>
          <w:rFonts w:ascii="宋体" w:hAnsi="宋体" w:eastAsia="宋体" w:cs="Times New Roman"/>
          <w:bCs/>
          <w:strike/>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投标人应按照评标委员会要求的澄清内容在规定时间内做出澄清。</w:t>
      </w:r>
      <w:r>
        <w:rPr>
          <w:rFonts w:ascii="宋体" w:hAnsi="宋体" w:eastAsia="宋体" w:cs="Times New Roman"/>
          <w:color w:val="000000" w:themeColor="text1"/>
          <w:sz w:val="24"/>
          <w:szCs w:val="20"/>
          <w:lang w:val="zh-CN"/>
          <w14:textFill>
            <w14:solidFill>
              <w14:schemeClr w14:val="tx1"/>
            </w14:solidFill>
          </w14:textFill>
        </w:rPr>
        <w:t>投标文件报价出现前后不一致的</w:t>
      </w:r>
      <w:r>
        <w:rPr>
          <w:rFonts w:hint="eastAsia" w:ascii="宋体" w:hAnsi="宋体" w:eastAsia="宋体" w:cs="Times New Roman"/>
          <w:color w:val="000000" w:themeColor="text1"/>
          <w:sz w:val="24"/>
          <w:szCs w:val="20"/>
          <w:lang w:val="zh-CN"/>
          <w14:textFill>
            <w14:solidFill>
              <w14:schemeClr w14:val="tx1"/>
            </w14:solidFill>
          </w14:textFill>
        </w:rPr>
        <w:t>，按照本节第3</w:t>
      </w:r>
      <w:r>
        <w:rPr>
          <w:rFonts w:hint="eastAsia" w:ascii="宋体" w:hAnsi="宋体" w:eastAsia="宋体" w:cs="Times New Roman"/>
          <w:bCs/>
          <w:color w:val="000000" w:themeColor="text1"/>
          <w:sz w:val="24"/>
          <w:szCs w:val="20"/>
          <w:lang w:val="zh-CN"/>
          <w14:textFill>
            <w14:solidFill>
              <w14:schemeClr w14:val="tx1"/>
            </w14:solidFill>
          </w14:textFill>
        </w:rPr>
        <w:t>条规定进行修正，</w:t>
      </w:r>
      <w:r>
        <w:rPr>
          <w:rFonts w:ascii="Helvetica" w:hAnsi="Helvetica" w:eastAsia="宋体" w:cs="Helvetica"/>
          <w:color w:val="000000" w:themeColor="text1"/>
          <w:kern w:val="0"/>
          <w:sz w:val="24"/>
          <w:szCs w:val="24"/>
          <w:lang w:val="zh-CN"/>
          <w14:textFill>
            <w14:solidFill>
              <w14:schemeClr w14:val="tx1"/>
            </w14:solidFill>
          </w14:textFill>
        </w:rPr>
        <w:t>投标人的澄清、说明或者补正不得超出投标文件的范围或者改变投标文件的实质性内容。</w:t>
      </w:r>
    </w:p>
    <w:p>
      <w:pPr>
        <w:numPr>
          <w:ilvl w:val="0"/>
          <w:numId w:val="47"/>
        </w:numPr>
        <w:tabs>
          <w:tab w:val="left" w:pos="616"/>
        </w:tabs>
        <w:spacing w:line="360" w:lineRule="auto"/>
        <w:ind w:left="10" w:leftChars="5" w:firstLine="237" w:firstLineChars="99"/>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投标文件报价出现前后不一致的，按照下列规定修正：</w:t>
      </w:r>
    </w:p>
    <w:p>
      <w:pPr>
        <w:numPr>
          <w:ilvl w:val="0"/>
          <w:numId w:val="48"/>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投标文件中开标一览表内容与投标文件中相应内容不一致的，以开标一览表为准</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8"/>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大写金额和小写金额不一致的，以大写金额为准</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8"/>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单价金额小数点或者百分比有明显错位的，以开标一览表的总价为准，并修改单价</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8"/>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总价金额与按单价汇总金额不一致的，以单价金额计算结果为准</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8"/>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同时出现两种以上不一致的，按照前款规定的顺序修正</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8"/>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修正后的报价按照</w:t>
      </w:r>
      <w:r>
        <w:rPr>
          <w:rFonts w:hint="eastAsia" w:ascii="宋体" w:hAnsi="宋体" w:eastAsia="宋体" w:cs="Times New Roman"/>
          <w:color w:val="000000" w:themeColor="text1"/>
          <w:sz w:val="24"/>
          <w:szCs w:val="24"/>
          <w:lang w:val="zh-CN"/>
          <w14:textFill>
            <w14:solidFill>
              <w14:schemeClr w14:val="tx1"/>
            </w14:solidFill>
          </w14:textFill>
        </w:rPr>
        <w:t>本节第4条规定</w:t>
      </w:r>
      <w:r>
        <w:rPr>
          <w:rFonts w:ascii="宋体" w:hAnsi="宋体" w:eastAsia="宋体" w:cs="Times New Roman"/>
          <w:color w:val="000000" w:themeColor="text1"/>
          <w:sz w:val="24"/>
          <w:szCs w:val="24"/>
          <w:lang w:val="zh-CN"/>
          <w14:textFill>
            <w14:solidFill>
              <w14:schemeClr w14:val="tx1"/>
            </w14:solidFill>
          </w14:textFill>
        </w:rPr>
        <w:t>经投标人确认后产生约束力，投标人不确认的，</w:t>
      </w:r>
      <w:r>
        <w:rPr>
          <w:rFonts w:hint="eastAsia" w:ascii="宋体" w:hAnsi="宋体" w:eastAsia="宋体" w:cs="Times New Roman"/>
          <w:color w:val="000000" w:themeColor="text1"/>
          <w:sz w:val="24"/>
          <w:szCs w:val="24"/>
          <w:lang w:val="zh-CN"/>
          <w14:textFill>
            <w14:solidFill>
              <w14:schemeClr w14:val="tx1"/>
            </w14:solidFill>
          </w14:textFill>
        </w:rPr>
        <w:t>按照</w:t>
      </w:r>
      <w:r>
        <w:rPr>
          <w:rFonts w:ascii="宋体" w:hAnsi="宋体" w:eastAsia="宋体" w:cs="Times New Roman"/>
          <w:b/>
          <w:color w:val="000000" w:themeColor="text1"/>
          <w:sz w:val="24"/>
          <w:szCs w:val="24"/>
          <w:lang w:val="zh-CN"/>
          <w14:textFill>
            <w14:solidFill>
              <w14:schemeClr w14:val="tx1"/>
            </w14:solidFill>
          </w14:textFill>
        </w:rPr>
        <w:t>无效</w:t>
      </w:r>
      <w:r>
        <w:rPr>
          <w:rFonts w:hint="eastAsia" w:ascii="宋体" w:hAnsi="宋体" w:eastAsia="宋体" w:cs="Times New Roman"/>
          <w:b/>
          <w:color w:val="000000" w:themeColor="text1"/>
          <w:sz w:val="24"/>
          <w:szCs w:val="24"/>
          <w:lang w:val="zh-CN"/>
          <w14:textFill>
            <w14:solidFill>
              <w14:schemeClr w14:val="tx1"/>
            </w14:solidFill>
          </w14:textFill>
        </w:rPr>
        <w:t>投标处理</w:t>
      </w:r>
      <w:r>
        <w:rPr>
          <w:rFonts w:ascii="宋体" w:hAnsi="宋体" w:eastAsia="宋体" w:cs="Times New Roman"/>
          <w:color w:val="000000" w:themeColor="text1"/>
          <w:sz w:val="24"/>
          <w:szCs w:val="24"/>
          <w:lang w:val="zh-CN"/>
          <w14:textFill>
            <w14:solidFill>
              <w14:schemeClr w14:val="tx1"/>
            </w14:solidFill>
          </w14:textFill>
        </w:rPr>
        <w:t>。</w:t>
      </w:r>
    </w:p>
    <w:p>
      <w:pPr>
        <w:numPr>
          <w:ilvl w:val="0"/>
          <w:numId w:val="47"/>
        </w:numPr>
        <w:tabs>
          <w:tab w:val="left" w:pos="616"/>
        </w:tabs>
        <w:spacing w:line="360" w:lineRule="auto"/>
        <w:ind w:left="10" w:leftChars="5" w:firstLine="237" w:firstLineChars="99"/>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投标人的</w:t>
      </w:r>
      <w:r>
        <w:rPr>
          <w:rFonts w:ascii="Helvetica" w:hAnsi="Helvetica" w:eastAsia="宋体" w:cs="Helvetica"/>
          <w:color w:val="000000" w:themeColor="text1"/>
          <w:kern w:val="0"/>
          <w:sz w:val="24"/>
          <w:szCs w:val="24"/>
          <w:lang w:val="zh-CN"/>
          <w14:textFill>
            <w14:solidFill>
              <w14:schemeClr w14:val="tx1"/>
            </w14:solidFill>
          </w14:textFill>
        </w:rPr>
        <w:t>澄清、说明或者补正</w:t>
      </w:r>
      <w:r>
        <w:rPr>
          <w:rFonts w:hint="eastAsia" w:ascii="宋体" w:hAnsi="宋体" w:eastAsia="宋体" w:cs="Times New Roman"/>
          <w:color w:val="000000" w:themeColor="text1"/>
          <w:sz w:val="24"/>
          <w:szCs w:val="20"/>
          <w:lang w:val="zh-CN"/>
          <w14:textFill>
            <w14:solidFill>
              <w14:schemeClr w14:val="tx1"/>
            </w14:solidFill>
          </w14:textFill>
        </w:rPr>
        <w:t>是其投标文件的有效组成部分。</w:t>
      </w:r>
      <w:r>
        <w:rPr>
          <w:rFonts w:ascii="Helvetica" w:hAnsi="Helvetica" w:eastAsia="宋体" w:cs="Helvetica"/>
          <w:color w:val="000000" w:themeColor="text1"/>
          <w:kern w:val="0"/>
          <w:sz w:val="24"/>
          <w:szCs w:val="24"/>
          <w:lang w:val="zh-CN"/>
          <w14:textFill>
            <w14:solidFill>
              <w14:schemeClr w14:val="tx1"/>
            </w14:solidFill>
          </w14:textFill>
        </w:rPr>
        <w:t>投标人的澄清、说明或者补正应当采用书面形式，并加盖公章，或者由法定代表人或其授权的代表签字。</w:t>
      </w:r>
    </w:p>
    <w:p>
      <w:pPr>
        <w:numPr>
          <w:ilvl w:val="0"/>
          <w:numId w:val="45"/>
        </w:numPr>
        <w:ind w:left="1311" w:leftChars="154" w:hanging="988" w:hangingChars="353"/>
        <w:rPr>
          <w:rFonts w:ascii="宋体" w:hAnsi="宋体" w:eastAsia="宋体" w:cs="Times New Roman"/>
          <w:b/>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综合比较与评价</w:t>
      </w:r>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评标委员会应当按照</w:t>
      </w:r>
      <w:r>
        <w:rPr>
          <w:rFonts w:hint="eastAsia" w:ascii="宋体" w:hAnsi="宋体" w:eastAsia="宋体" w:cs="Times New Roman"/>
          <w:bCs/>
          <w:color w:val="000000" w:themeColor="text1"/>
          <w:sz w:val="24"/>
          <w:szCs w:val="20"/>
          <w:lang w:val="zh-CN"/>
          <w14:textFill>
            <w14:solidFill>
              <w14:schemeClr w14:val="tx1"/>
            </w14:solidFill>
          </w14:textFill>
        </w:rPr>
        <w:t>本章</w:t>
      </w:r>
      <w:r>
        <w:rPr>
          <w:rFonts w:ascii="宋体" w:hAnsi="宋体" w:eastAsia="宋体" w:cs="Times New Roman"/>
          <w:bCs/>
          <w:color w:val="000000" w:themeColor="text1"/>
          <w:sz w:val="24"/>
          <w:szCs w:val="20"/>
          <w:lang w:val="zh-CN"/>
          <w14:textFill>
            <w14:solidFill>
              <w14:schemeClr w14:val="tx1"/>
            </w14:solidFill>
          </w14:textFill>
        </w:rPr>
        <w:t>中规定的</w:t>
      </w:r>
      <w:r>
        <w:rPr>
          <w:rFonts w:hint="eastAsia" w:ascii="宋体" w:hAnsi="宋体" w:eastAsia="宋体" w:cs="Times New Roman"/>
          <w:bCs/>
          <w:color w:val="000000" w:themeColor="text1"/>
          <w:sz w:val="24"/>
          <w:szCs w:val="20"/>
          <w:lang w:val="zh-CN"/>
          <w14:textFill>
            <w14:solidFill>
              <w14:schemeClr w14:val="tx1"/>
            </w14:solidFill>
          </w14:textFill>
        </w:rPr>
        <w:t>评标方法和标准</w:t>
      </w:r>
      <w:r>
        <w:rPr>
          <w:rFonts w:ascii="宋体" w:hAnsi="宋体" w:eastAsia="宋体" w:cs="Times New Roman"/>
          <w:bCs/>
          <w:color w:val="000000" w:themeColor="text1"/>
          <w:sz w:val="24"/>
          <w:szCs w:val="20"/>
          <w:lang w:val="zh-CN"/>
          <w14:textFill>
            <w14:solidFill>
              <w14:schemeClr w14:val="tx1"/>
            </w14:solidFill>
          </w14:textFill>
        </w:rPr>
        <w:t>，对符合性审查合格的投标文件进行商务和技术</w:t>
      </w:r>
      <w:r>
        <w:rPr>
          <w:rFonts w:hint="eastAsia" w:ascii="宋体" w:hAnsi="宋体" w:eastAsia="宋体" w:cs="Times New Roman"/>
          <w:bCs/>
          <w:color w:val="000000" w:themeColor="text1"/>
          <w:sz w:val="24"/>
          <w:szCs w:val="20"/>
          <w:lang w:val="zh-CN"/>
          <w14:textFill>
            <w14:solidFill>
              <w14:schemeClr w14:val="tx1"/>
            </w14:solidFill>
          </w14:textFill>
        </w:rPr>
        <w:t>、服务</w:t>
      </w:r>
      <w:r>
        <w:rPr>
          <w:rFonts w:ascii="宋体" w:hAnsi="宋体" w:eastAsia="宋体" w:cs="Times New Roman"/>
          <w:bCs/>
          <w:color w:val="000000" w:themeColor="text1"/>
          <w:sz w:val="24"/>
          <w:szCs w:val="20"/>
          <w:lang w:val="zh-CN"/>
          <w14:textFill>
            <w14:solidFill>
              <w14:schemeClr w14:val="tx1"/>
            </w14:solidFill>
          </w14:textFill>
        </w:rPr>
        <w:t>评估，综合比较与评价。</w:t>
      </w:r>
    </w:p>
    <w:p>
      <w:pPr>
        <w:numPr>
          <w:ilvl w:val="0"/>
          <w:numId w:val="49"/>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商务评议：</w:t>
      </w:r>
      <w:r>
        <w:rPr>
          <w:rFonts w:hint="eastAsia" w:ascii="宋体" w:hAnsi="宋体" w:eastAsia="宋体" w:cs="Times New Roman"/>
          <w:bCs/>
          <w:color w:val="000000" w:themeColor="text1"/>
          <w:sz w:val="24"/>
          <w:szCs w:val="20"/>
          <w:lang w:val="zh-CN"/>
          <w14:textFill>
            <w14:solidFill>
              <w14:schemeClr w14:val="tx1"/>
            </w14:solidFill>
          </w14:textFill>
        </w:rPr>
        <w:t>评标委员会对符合性审查合格的投标文件进行评议，并依据本章“评审因素及评分标准”中的商务评议进行综合比较和评分。</w:t>
      </w:r>
    </w:p>
    <w:p>
      <w:pPr>
        <w:numPr>
          <w:ilvl w:val="0"/>
          <w:numId w:val="49"/>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技术、服务评议：</w:t>
      </w:r>
      <w:r>
        <w:rPr>
          <w:rFonts w:hint="eastAsia" w:ascii="宋体" w:hAnsi="宋体" w:eastAsia="宋体" w:cs="Times New Roman"/>
          <w:bCs/>
          <w:color w:val="000000" w:themeColor="text1"/>
          <w:sz w:val="24"/>
          <w:szCs w:val="20"/>
          <w:lang w:val="zh-CN"/>
          <w14:textFill>
            <w14:solidFill>
              <w14:schemeClr w14:val="tx1"/>
            </w14:solidFill>
          </w14:textFill>
        </w:rPr>
        <w:t>评标委员会对符合性审查合格的投标文件进行评议，并依据本章“评审因素及评分标准”中的技术、服务评议进行综合比较和评分。</w:t>
      </w:r>
    </w:p>
    <w:p>
      <w:pPr>
        <w:numPr>
          <w:ilvl w:val="0"/>
          <w:numId w:val="49"/>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价格评议：</w:t>
      </w:r>
      <w:r>
        <w:rPr>
          <w:rFonts w:hint="eastAsia" w:ascii="宋体" w:hAnsi="宋体" w:eastAsia="宋体" w:cs="Times New Roman"/>
          <w:bCs/>
          <w:color w:val="000000" w:themeColor="text1"/>
          <w:sz w:val="24"/>
          <w:szCs w:val="24"/>
          <w14:textFill>
            <w14:solidFill>
              <w14:schemeClr w14:val="tx1"/>
            </w14:solidFill>
          </w14:textFill>
        </w:rPr>
        <w:t>评标委员会对符合性审查合格的投标文件进行价格评议（</w:t>
      </w:r>
      <w:r>
        <w:rPr>
          <w:rFonts w:hint="eastAsia" w:ascii="宋体" w:hAnsi="宋体" w:eastAsia="宋体" w:cs="Times New Roman"/>
          <w:bCs/>
          <w:color w:val="000000" w:themeColor="text1"/>
          <w:sz w:val="24"/>
          <w:szCs w:val="21"/>
          <w:lang w:val="zh-CN"/>
          <w14:textFill>
            <w14:solidFill>
              <w14:schemeClr w14:val="tx1"/>
            </w14:solidFill>
          </w14:textFill>
        </w:rPr>
        <w:t>执行国家统一定价标准和采用固定价格采购的项目，其价格不列为评审因素</w:t>
      </w:r>
      <w:r>
        <w:rPr>
          <w:rFonts w:hint="eastAsia" w:ascii="宋体" w:hAnsi="宋体" w:eastAsia="宋体" w:cs="Times New Roman"/>
          <w:bCs/>
          <w:color w:val="000000" w:themeColor="text1"/>
          <w:sz w:val="24"/>
          <w:szCs w:val="24"/>
          <w14:textFill>
            <w14:solidFill>
              <w14:schemeClr w14:val="tx1"/>
            </w14:solidFill>
          </w14:textFill>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0"/>
        </w:numPr>
        <w:adjustRightInd w:val="0"/>
        <w:spacing w:line="360" w:lineRule="auto"/>
        <w:ind w:left="742" w:hanging="493"/>
        <w:rPr>
          <w:rFonts w:ascii="宋体" w:hAnsi="宋体" w:eastAsia="宋体" w:cs="Times New Roman"/>
          <w:bCs/>
          <w:color w:val="000000" w:themeColor="text1"/>
          <w:sz w:val="24"/>
          <w:szCs w:val="21"/>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报价合理性说明：</w:t>
      </w:r>
      <w:r>
        <w:rPr>
          <w:rFonts w:ascii="宋体" w:hAnsi="宋体" w:eastAsia="宋体" w:cs="Helvetica"/>
          <w:color w:val="000000" w:themeColor="text1"/>
          <w:kern w:val="0"/>
          <w:sz w:val="24"/>
          <w:szCs w:val="24"/>
          <w:lang w:val="zh-CN"/>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color w:val="000000" w:themeColor="text1"/>
          <w:kern w:val="0"/>
          <w:sz w:val="24"/>
          <w:szCs w:val="24"/>
          <w:lang w:val="zh-CN"/>
          <w14:textFill>
            <w14:solidFill>
              <w14:schemeClr w14:val="tx1"/>
            </w14:solidFill>
          </w14:textFill>
        </w:rPr>
        <w:t>应当将其作为</w:t>
      </w:r>
      <w:r>
        <w:rPr>
          <w:rFonts w:ascii="宋体" w:hAnsi="宋体" w:eastAsia="宋体" w:cs="Helvetica"/>
          <w:b/>
          <w:color w:val="000000" w:themeColor="text1"/>
          <w:kern w:val="0"/>
          <w:sz w:val="24"/>
          <w:szCs w:val="24"/>
          <w:lang w:val="zh-CN"/>
          <w14:textFill>
            <w14:solidFill>
              <w14:schemeClr w14:val="tx1"/>
            </w14:solidFill>
          </w14:textFill>
        </w:rPr>
        <w:t>无效投标处理</w:t>
      </w:r>
      <w:r>
        <w:rPr>
          <w:rFonts w:ascii="宋体" w:hAnsi="宋体" w:eastAsia="宋体" w:cs="Helvetica"/>
          <w:color w:val="000000" w:themeColor="text1"/>
          <w:kern w:val="0"/>
          <w:sz w:val="24"/>
          <w:szCs w:val="24"/>
          <w:lang w:val="zh-CN"/>
          <w14:textFill>
            <w14:solidFill>
              <w14:schemeClr w14:val="tx1"/>
            </w14:solidFill>
          </w14:textFill>
        </w:rPr>
        <w:t>。</w:t>
      </w:r>
    </w:p>
    <w:p>
      <w:pPr>
        <w:numPr>
          <w:ilvl w:val="0"/>
          <w:numId w:val="50"/>
        </w:numPr>
        <w:adjustRightInd w:val="0"/>
        <w:spacing w:line="360" w:lineRule="auto"/>
        <w:ind w:left="742" w:hanging="493"/>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小型和微型企业、监狱企业、残疾人福利性单位价格扣除：</w:t>
      </w:r>
    </w:p>
    <w:p>
      <w:pPr>
        <w:numPr>
          <w:ilvl w:val="0"/>
          <w:numId w:val="51"/>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非专门面向中小企业的货物类采购项目，按招标文件中采购清单确定的货物，对小型和微型企业制造的货物价格给予</w:t>
      </w:r>
      <w:r>
        <w:rPr>
          <w:rFonts w:hint="eastAsia" w:ascii="宋体" w:hAnsi="宋体" w:eastAsia="宋体" w:cs="Times New Roman"/>
          <w:b/>
          <w:bCs/>
          <w:color w:val="000000" w:themeColor="text1"/>
          <w:sz w:val="24"/>
          <w:szCs w:val="20"/>
          <w:lang w:val="zh-CN"/>
          <w14:textFill>
            <w14:solidFill>
              <w14:schemeClr w14:val="tx1"/>
            </w14:solidFill>
          </w14:textFill>
        </w:rPr>
        <w:t>6%</w:t>
      </w:r>
      <w:r>
        <w:rPr>
          <w:rFonts w:hint="eastAsia" w:ascii="宋体" w:hAnsi="宋体" w:eastAsia="宋体" w:cs="Times New Roman"/>
          <w:bCs/>
          <w:color w:val="000000" w:themeColor="text1"/>
          <w:sz w:val="24"/>
          <w:szCs w:val="20"/>
          <w:lang w:val="zh-CN"/>
          <w14:textFill>
            <w14:solidFill>
              <w14:schemeClr w14:val="tx1"/>
            </w14:solidFill>
          </w14:textFill>
        </w:rPr>
        <w:t>的扣除，用扣除后的价格参与评审。</w:t>
      </w:r>
    </w:p>
    <w:p>
      <w:pPr>
        <w:numPr>
          <w:ilvl w:val="0"/>
          <w:numId w:val="51"/>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非专门面向中小企业的工程、服务类采购项目，投标人是小型和微型企业的价格给予</w:t>
      </w:r>
      <w:r>
        <w:rPr>
          <w:rFonts w:hint="eastAsia" w:ascii="宋体" w:hAnsi="宋体" w:eastAsia="宋体" w:cs="Times New Roman"/>
          <w:b/>
          <w:bCs/>
          <w:color w:val="000000" w:themeColor="text1"/>
          <w:sz w:val="24"/>
          <w:szCs w:val="20"/>
          <w:lang w:val="zh-CN"/>
          <w14:textFill>
            <w14:solidFill>
              <w14:schemeClr w14:val="tx1"/>
            </w14:solidFill>
          </w14:textFill>
        </w:rPr>
        <w:t>6%</w:t>
      </w:r>
      <w:r>
        <w:rPr>
          <w:rFonts w:hint="eastAsia" w:ascii="宋体" w:hAnsi="宋体" w:eastAsia="宋体" w:cs="Times New Roman"/>
          <w:bCs/>
          <w:color w:val="000000" w:themeColor="text1"/>
          <w:sz w:val="24"/>
          <w:szCs w:val="20"/>
          <w:lang w:val="zh-CN"/>
          <w14:textFill>
            <w14:solidFill>
              <w14:schemeClr w14:val="tx1"/>
            </w14:solidFill>
          </w14:textFill>
        </w:rPr>
        <w:t>的扣除，用扣除后的价格参与评审。</w:t>
      </w:r>
    </w:p>
    <w:p>
      <w:pPr>
        <w:numPr>
          <w:ilvl w:val="0"/>
          <w:numId w:val="51"/>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鼓励大中型企业和其他自然人</w:t>
      </w:r>
      <w:r>
        <w:rPr>
          <w:rFonts w:ascii="宋体" w:hAnsi="宋体" w:eastAsia="宋体" w:cs="Times New Roman"/>
          <w:bCs/>
          <w:color w:val="000000" w:themeColor="text1"/>
          <w:sz w:val="24"/>
          <w:szCs w:val="20"/>
          <w14:textFill>
            <w14:solidFill>
              <w14:schemeClr w14:val="tx1"/>
            </w14:solidFill>
          </w14:textFill>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color w:val="000000" w:themeColor="text1"/>
          <w:sz w:val="24"/>
          <w:szCs w:val="20"/>
          <w14:textFill>
            <w14:solidFill>
              <w14:schemeClr w14:val="tx1"/>
            </w14:solidFill>
          </w14:textFill>
        </w:rPr>
        <w:t>30%</w:t>
      </w:r>
      <w:r>
        <w:rPr>
          <w:rFonts w:ascii="宋体" w:hAnsi="宋体" w:eastAsia="宋体" w:cs="Times New Roman"/>
          <w:bCs/>
          <w:color w:val="000000" w:themeColor="text1"/>
          <w:sz w:val="24"/>
          <w:szCs w:val="20"/>
          <w14:textFill>
            <w14:solidFill>
              <w14:schemeClr w14:val="tx1"/>
            </w14:solidFill>
          </w14:textFill>
        </w:rPr>
        <w:t>以上的，可给予联合体</w:t>
      </w:r>
      <w:r>
        <w:rPr>
          <w:rFonts w:ascii="宋体" w:hAnsi="宋体" w:eastAsia="宋体" w:cs="Times New Roman"/>
          <w:b/>
          <w:bCs/>
          <w:color w:val="000000" w:themeColor="text1"/>
          <w:sz w:val="24"/>
          <w:szCs w:val="20"/>
          <w:lang w:val="zh-CN"/>
          <w14:textFill>
            <w14:solidFill>
              <w14:schemeClr w14:val="tx1"/>
            </w14:solidFill>
          </w14:textFill>
        </w:rPr>
        <w:t>3%</w:t>
      </w:r>
      <w:r>
        <w:rPr>
          <w:rFonts w:ascii="宋体" w:hAnsi="宋体" w:eastAsia="宋体" w:cs="Times New Roman"/>
          <w:bCs/>
          <w:color w:val="000000" w:themeColor="text1"/>
          <w:sz w:val="24"/>
          <w:szCs w:val="20"/>
          <w14:textFill>
            <w14:solidFill>
              <w14:schemeClr w14:val="tx1"/>
            </w14:solidFill>
          </w14:textFill>
        </w:rPr>
        <w:t>的价格扣除</w:t>
      </w:r>
      <w:r>
        <w:rPr>
          <w:rFonts w:hint="eastAsia" w:ascii="宋体" w:hAnsi="宋体" w:eastAsia="宋体" w:cs="Times New Roman"/>
          <w:bCs/>
          <w:color w:val="000000" w:themeColor="text1"/>
          <w:sz w:val="24"/>
          <w:szCs w:val="20"/>
          <w14:textFill>
            <w14:solidFill>
              <w14:schemeClr w14:val="tx1"/>
            </w14:solidFill>
          </w14:textFill>
        </w:rPr>
        <w:t>，</w:t>
      </w:r>
      <w:r>
        <w:rPr>
          <w:rFonts w:hint="eastAsia" w:ascii="宋体" w:hAnsi="宋体" w:eastAsia="宋体" w:cs="Times New Roman"/>
          <w:bCs/>
          <w:color w:val="000000" w:themeColor="text1"/>
          <w:sz w:val="24"/>
          <w:szCs w:val="20"/>
          <w:lang w:val="zh-CN"/>
          <w14:textFill>
            <w14:solidFill>
              <w14:schemeClr w14:val="tx1"/>
            </w14:solidFill>
          </w14:textFill>
        </w:rPr>
        <w:t>不重复享受政策。</w:t>
      </w:r>
    </w:p>
    <w:p>
      <w:pPr>
        <w:numPr>
          <w:ilvl w:val="0"/>
          <w:numId w:val="51"/>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监狱企业</w:t>
      </w:r>
      <w:r>
        <w:rPr>
          <w:rFonts w:hint="eastAsia" w:ascii="宋体" w:hAnsi="宋体" w:eastAsia="宋体" w:cs="Times New Roman"/>
          <w:bCs/>
          <w:color w:val="000000" w:themeColor="text1"/>
          <w:sz w:val="24"/>
          <w:szCs w:val="20"/>
          <w:lang w:val="zh-CN"/>
          <w14:textFill>
            <w14:solidFill>
              <w14:schemeClr w14:val="tx1"/>
            </w14:solidFill>
          </w14:textFill>
        </w:rPr>
        <w:t>、残疾人福利性单位</w:t>
      </w:r>
      <w:r>
        <w:rPr>
          <w:rFonts w:ascii="宋体" w:hAnsi="宋体" w:eastAsia="宋体" w:cs="Times New Roman"/>
          <w:bCs/>
          <w:color w:val="000000" w:themeColor="text1"/>
          <w:sz w:val="24"/>
          <w:szCs w:val="20"/>
          <w:lang w:val="zh-CN"/>
          <w14:textFill>
            <w14:solidFill>
              <w14:schemeClr w14:val="tx1"/>
            </w14:solidFill>
          </w14:textFill>
        </w:rPr>
        <w:t>视同小型、微型企业，享受预留份额、评审中价格扣除等政府采购促进中小企业发展的政府采购政策</w:t>
      </w:r>
      <w:r>
        <w:rPr>
          <w:rFonts w:hint="eastAsia" w:ascii="宋体" w:hAnsi="宋体" w:eastAsia="宋体" w:cs="Times New Roman"/>
          <w:bCs/>
          <w:color w:val="000000" w:themeColor="text1"/>
          <w:sz w:val="24"/>
          <w:szCs w:val="20"/>
          <w:lang w:val="zh-CN"/>
          <w14:textFill>
            <w14:solidFill>
              <w14:schemeClr w14:val="tx1"/>
            </w14:solidFill>
          </w14:textFill>
        </w:rPr>
        <w:t>，残疾人福利性单位属于小型、微型企业的，不重复享受政策。</w:t>
      </w:r>
    </w:p>
    <w:p>
      <w:pPr>
        <w:numPr>
          <w:ilvl w:val="0"/>
          <w:numId w:val="51"/>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小型和微型企业应出具《声明函》（附件二、三）；监狱企业应提供由省级监狱局、戒毒局（含新疆生产建设兵团）出具的监狱企业的证明文件；残疾人福利性单位提供《声明函》（附件四）。</w:t>
      </w:r>
    </w:p>
    <w:p>
      <w:pPr>
        <w:numPr>
          <w:ilvl w:val="0"/>
          <w:numId w:val="49"/>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相同品牌处理原则</w:t>
      </w:r>
    </w:p>
    <w:p>
      <w:pPr>
        <w:numPr>
          <w:ilvl w:val="0"/>
          <w:numId w:val="52"/>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00000" w:themeColor="text1"/>
          <w:kern w:val="0"/>
          <w:sz w:val="24"/>
          <w:szCs w:val="24"/>
          <w:lang w:val="zh-CN"/>
          <w14:textFill>
            <w14:solidFill>
              <w14:schemeClr w14:val="tx1"/>
            </w14:solidFill>
          </w14:textFill>
        </w:rPr>
        <w:t>确定</w:t>
      </w:r>
      <w:r>
        <w:rPr>
          <w:rFonts w:ascii="Helvetica" w:hAnsi="Helvetica" w:eastAsia="宋体" w:cs="Helvetica"/>
          <w:color w:val="000000" w:themeColor="text1"/>
          <w:kern w:val="0"/>
          <w:sz w:val="24"/>
          <w:szCs w:val="24"/>
          <w:lang w:val="zh-CN"/>
          <w14:textFill>
            <w14:solidFill>
              <w14:schemeClr w14:val="tx1"/>
            </w14:solidFill>
          </w14:textFill>
        </w:rPr>
        <w:t>或者采购人委托评标委员会</w:t>
      </w:r>
      <w:r>
        <w:rPr>
          <w:rFonts w:hint="eastAsia" w:ascii="Helvetica" w:hAnsi="Helvetica" w:eastAsia="宋体" w:cs="Helvetica"/>
          <w:color w:val="000000" w:themeColor="text1"/>
          <w:kern w:val="0"/>
          <w:sz w:val="24"/>
          <w:szCs w:val="24"/>
          <w:lang w:val="zh-CN"/>
          <w14:textFill>
            <w14:solidFill>
              <w14:schemeClr w14:val="tx1"/>
            </w14:solidFill>
          </w14:textFill>
        </w:rPr>
        <w:t>以投票方式</w:t>
      </w:r>
      <w:r>
        <w:rPr>
          <w:rFonts w:ascii="Helvetica" w:hAnsi="Helvetica" w:eastAsia="宋体" w:cs="Helvetica"/>
          <w:color w:val="000000" w:themeColor="text1"/>
          <w:kern w:val="0"/>
          <w:sz w:val="24"/>
          <w:szCs w:val="24"/>
          <w:lang w:val="zh-CN"/>
          <w14:textFill>
            <w14:solidFill>
              <w14:schemeClr w14:val="tx1"/>
            </w14:solidFill>
          </w14:textFill>
        </w:rPr>
        <w:t>确定一个投标人获得中标人推荐资格，其他同品牌投标人不作为中标候选人。</w:t>
      </w:r>
    </w:p>
    <w:p>
      <w:pPr>
        <w:numPr>
          <w:ilvl w:val="0"/>
          <w:numId w:val="52"/>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非单一产品采购项目，采购人应当根据采购项目技术构成、产品价格比重等合理确定</w:t>
      </w:r>
      <w:r>
        <w:rPr>
          <w:rFonts w:hint="eastAsia" w:ascii="Helvetica" w:hAnsi="Helvetica" w:eastAsia="宋体" w:cs="Helvetica"/>
          <w:b/>
          <w:color w:val="000000" w:themeColor="text1"/>
          <w:kern w:val="0"/>
          <w:sz w:val="24"/>
          <w:szCs w:val="24"/>
          <w:lang w:val="zh-CN"/>
          <w14:textFill>
            <w14:solidFill>
              <w14:schemeClr w14:val="tx1"/>
            </w14:solidFill>
          </w14:textFill>
        </w:rPr>
        <w:t>一个</w:t>
      </w:r>
      <w:r>
        <w:rPr>
          <w:rFonts w:ascii="Helvetica" w:hAnsi="Helvetica" w:eastAsia="宋体" w:cs="Helvetica"/>
          <w:b/>
          <w:color w:val="000000" w:themeColor="text1"/>
          <w:kern w:val="0"/>
          <w:sz w:val="24"/>
          <w:szCs w:val="24"/>
          <w:lang w:val="zh-CN"/>
          <w14:textFill>
            <w14:solidFill>
              <w14:schemeClr w14:val="tx1"/>
            </w14:solidFill>
          </w14:textFill>
        </w:rPr>
        <w:t>核心产品</w:t>
      </w:r>
      <w:r>
        <w:rPr>
          <w:rFonts w:hint="eastAsia" w:ascii="Helvetica" w:hAnsi="Helvetica" w:eastAsia="宋体" w:cs="Helvetica"/>
          <w:color w:val="000000" w:themeColor="text1"/>
          <w:kern w:val="0"/>
          <w:sz w:val="24"/>
          <w:szCs w:val="24"/>
          <w:lang w:val="zh-CN"/>
          <w14:textFill>
            <w14:solidFill>
              <w14:schemeClr w14:val="tx1"/>
            </w14:solidFill>
          </w14:textFill>
        </w:rPr>
        <w:t>（采购清单中作“相同〈或同一〉品牌”实质性要求的产品，视为一个核心产品），</w:t>
      </w:r>
      <w:r>
        <w:rPr>
          <w:rFonts w:ascii="Helvetica" w:hAnsi="Helvetica" w:eastAsia="宋体" w:cs="Helvetica"/>
          <w:color w:val="000000" w:themeColor="text1"/>
          <w:kern w:val="0"/>
          <w:sz w:val="24"/>
          <w:szCs w:val="24"/>
          <w:lang w:val="zh-CN"/>
          <w14:textFill>
            <w14:solidFill>
              <w14:schemeClr w14:val="tx1"/>
            </w14:solidFill>
          </w14:textFill>
        </w:rPr>
        <w:t>并</w:t>
      </w:r>
      <w:r>
        <w:rPr>
          <w:rFonts w:hint="eastAsia" w:ascii="Helvetica" w:hAnsi="Helvetica" w:eastAsia="宋体" w:cs="Helvetica"/>
          <w:color w:val="000000" w:themeColor="text1"/>
          <w:kern w:val="0"/>
          <w:sz w:val="24"/>
          <w:szCs w:val="24"/>
          <w:lang w:val="zh-CN"/>
          <w14:textFill>
            <w14:solidFill>
              <w14:schemeClr w14:val="tx1"/>
            </w14:solidFill>
          </w14:textFill>
        </w:rPr>
        <w:t>以</w:t>
      </w:r>
      <w:r>
        <w:rPr>
          <w:rFonts w:hint="eastAsia" w:ascii="Helvetica" w:hAnsi="Helvetica" w:eastAsia="宋体" w:cs="Helvetica"/>
          <w:b/>
          <w:color w:val="000000" w:themeColor="text1"/>
          <w:kern w:val="0"/>
          <w:sz w:val="24"/>
          <w:szCs w:val="24"/>
          <w:lang w:val="zh-CN"/>
          <w14:textFill>
            <w14:solidFill>
              <w14:schemeClr w14:val="tx1"/>
            </w14:solidFill>
          </w14:textFill>
        </w:rPr>
        <w:t>“</w:t>
      </w:r>
      <w:r>
        <w:rPr>
          <w:rFonts w:hint="eastAsia" w:ascii="MS Gothic" w:hAnsi="MS Gothic" w:eastAsia="宋体" w:cs="MS Gothic"/>
          <w:b/>
          <w:color w:val="000000" w:themeColor="text1"/>
          <w:kern w:val="0"/>
          <w:sz w:val="24"/>
          <w:szCs w:val="24"/>
          <w:lang w:val="zh-CN"/>
          <w14:textFill>
            <w14:solidFill>
              <w14:schemeClr w14:val="tx1"/>
            </w14:solidFill>
          </w14:textFill>
        </w:rPr>
        <w:t>核心产品</w:t>
      </w:r>
      <w:r>
        <w:rPr>
          <w:rFonts w:hint="eastAsia" w:ascii="Helvetica" w:hAnsi="Helvetica" w:eastAsia="宋体" w:cs="Helvetica"/>
          <w:b/>
          <w:color w:val="000000" w:themeColor="text1"/>
          <w:kern w:val="0"/>
          <w:sz w:val="24"/>
          <w:szCs w:val="24"/>
          <w:lang w:val="zh-CN"/>
          <w14:textFill>
            <w14:solidFill>
              <w14:schemeClr w14:val="tx1"/>
            </w14:solidFill>
          </w14:textFill>
        </w:rPr>
        <w:t>”</w:t>
      </w:r>
      <w:r>
        <w:rPr>
          <w:rFonts w:ascii="Helvetica" w:hAnsi="Helvetica" w:eastAsia="宋体" w:cs="Helvetica"/>
          <w:color w:val="000000" w:themeColor="text1"/>
          <w:kern w:val="0"/>
          <w:sz w:val="24"/>
          <w:szCs w:val="24"/>
          <w:lang w:val="zh-CN"/>
          <w14:textFill>
            <w14:solidFill>
              <w14:schemeClr w14:val="tx1"/>
            </w14:solidFill>
          </w14:textFill>
        </w:rPr>
        <w:t>在招标文件中</w:t>
      </w:r>
      <w:r>
        <w:rPr>
          <w:rFonts w:hint="eastAsia" w:ascii="Helvetica" w:hAnsi="Helvetica" w:eastAsia="宋体" w:cs="Helvetica"/>
          <w:color w:val="000000" w:themeColor="text1"/>
          <w:kern w:val="0"/>
          <w:sz w:val="24"/>
          <w:szCs w:val="24"/>
          <w:lang w:val="zh-CN"/>
          <w14:textFill>
            <w14:solidFill>
              <w14:schemeClr w14:val="tx1"/>
            </w14:solidFill>
          </w14:textFill>
        </w:rPr>
        <w:t>标注</w:t>
      </w:r>
      <w:r>
        <w:rPr>
          <w:rFonts w:ascii="Helvetica" w:hAnsi="Helvetica" w:eastAsia="宋体" w:cs="Helvetica"/>
          <w:color w:val="000000" w:themeColor="text1"/>
          <w:kern w:val="0"/>
          <w:sz w:val="24"/>
          <w:szCs w:val="24"/>
          <w:lang w:val="zh-CN"/>
          <w14:textFill>
            <w14:solidFill>
              <w14:schemeClr w14:val="tx1"/>
            </w14:solidFill>
          </w14:textFill>
        </w:rPr>
        <w:t>。</w:t>
      </w:r>
    </w:p>
    <w:p>
      <w:pPr>
        <w:numPr>
          <w:ilvl w:val="0"/>
          <w:numId w:val="49"/>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计分办法</w:t>
      </w:r>
    </w:p>
    <w:p>
      <w:pPr>
        <w:numPr>
          <w:ilvl w:val="0"/>
          <w:numId w:val="53"/>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集中采购机构对各评委的总分进行复核。各项统计结果均精确到小数点后两位。</w:t>
      </w:r>
    </w:p>
    <w:p>
      <w:pPr>
        <w:numPr>
          <w:ilvl w:val="0"/>
          <w:numId w:val="53"/>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各投标人的最终得分为评委所评定分数的算术平均值。</w:t>
      </w:r>
    </w:p>
    <w:p>
      <w:pPr>
        <w:numPr>
          <w:ilvl w:val="0"/>
          <w:numId w:val="45"/>
        </w:numPr>
        <w:ind w:left="1311" w:leftChars="154" w:hanging="988" w:hangingChars="353"/>
        <w:rPr>
          <w:rFonts w:ascii="宋体" w:hAnsi="宋体" w:eastAsia="宋体" w:cs="Times New Roman"/>
          <w:b/>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推荐中标候选人名单或确定中标人</w:t>
      </w:r>
    </w:p>
    <w:p>
      <w:pPr>
        <w:numPr>
          <w:ilvl w:val="0"/>
          <w:numId w:val="54"/>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评标委员会按照招标文件确定的评标方法、程序及标准，对投标文件进行评审。</w:t>
      </w:r>
      <w:r>
        <w:rPr>
          <w:rFonts w:ascii="Helvetica" w:hAnsi="Helvetica" w:eastAsia="宋体" w:cs="Helvetica"/>
          <w:color w:val="000000" w:themeColor="text1"/>
          <w:kern w:val="0"/>
          <w:sz w:val="24"/>
          <w:szCs w:val="24"/>
          <w:lang w:val="zh-CN"/>
          <w14:textFill>
            <w14:solidFill>
              <w14:schemeClr w14:val="tx1"/>
            </w14:solidFill>
          </w14:textFil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4"/>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评标委员会依据评标结果，按各投标人的评审后得分由高到低的顺序向采购人推荐得分前三名的进入中标候选人名单，并形成书面的评标报告。</w:t>
      </w:r>
    </w:p>
    <w:p>
      <w:pPr>
        <w:numPr>
          <w:ilvl w:val="0"/>
          <w:numId w:val="54"/>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中标候选人并列的，</w:t>
      </w:r>
      <w:r>
        <w:rPr>
          <w:rFonts w:ascii="Helvetica" w:hAnsi="Helvetica" w:eastAsia="宋体" w:cs="Helvetica"/>
          <w:color w:val="000000" w:themeColor="text1"/>
          <w:kern w:val="0"/>
          <w:sz w:val="24"/>
          <w:szCs w:val="24"/>
          <w:lang w:val="zh-CN"/>
          <w14:textFill>
            <w14:solidFill>
              <w14:schemeClr w14:val="tx1"/>
            </w14:solidFill>
          </w14:textFill>
        </w:rPr>
        <w:t>由采购人</w:t>
      </w:r>
      <w:r>
        <w:rPr>
          <w:rFonts w:hint="eastAsia" w:ascii="Helvetica" w:hAnsi="Helvetica" w:eastAsia="宋体" w:cs="Helvetica"/>
          <w:color w:val="000000" w:themeColor="text1"/>
          <w:kern w:val="0"/>
          <w:sz w:val="24"/>
          <w:szCs w:val="24"/>
          <w:lang w:val="zh-CN"/>
          <w14:textFill>
            <w14:solidFill>
              <w14:schemeClr w14:val="tx1"/>
            </w14:solidFill>
          </w14:textFill>
        </w:rPr>
        <w:t>确定</w:t>
      </w:r>
      <w:r>
        <w:rPr>
          <w:rFonts w:ascii="Helvetica" w:hAnsi="Helvetica" w:eastAsia="宋体" w:cs="Helvetica"/>
          <w:color w:val="000000" w:themeColor="text1"/>
          <w:kern w:val="0"/>
          <w:sz w:val="24"/>
          <w:szCs w:val="24"/>
          <w:lang w:val="zh-CN"/>
          <w14:textFill>
            <w14:solidFill>
              <w14:schemeClr w14:val="tx1"/>
            </w14:solidFill>
          </w14:textFill>
        </w:rPr>
        <w:t>或者采购人委托评标委员会</w:t>
      </w:r>
      <w:r>
        <w:rPr>
          <w:rFonts w:hint="eastAsia" w:ascii="Helvetica" w:hAnsi="Helvetica" w:eastAsia="宋体" w:cs="Helvetica"/>
          <w:color w:val="000000" w:themeColor="text1"/>
          <w:kern w:val="0"/>
          <w:sz w:val="24"/>
          <w:szCs w:val="24"/>
          <w:lang w:val="zh-CN"/>
          <w14:textFill>
            <w14:solidFill>
              <w14:schemeClr w14:val="tx1"/>
            </w14:solidFill>
          </w14:textFill>
        </w:rPr>
        <w:t>以投票方式</w:t>
      </w:r>
      <w:r>
        <w:rPr>
          <w:rFonts w:ascii="Helvetica" w:hAnsi="Helvetica" w:eastAsia="宋体" w:cs="Helvetica"/>
          <w:color w:val="000000" w:themeColor="text1"/>
          <w:kern w:val="0"/>
          <w:sz w:val="24"/>
          <w:szCs w:val="24"/>
          <w:lang w:val="zh-CN"/>
          <w14:textFill>
            <w14:solidFill>
              <w14:schemeClr w14:val="tx1"/>
            </w14:solidFill>
          </w14:textFill>
        </w:rPr>
        <w:t>确定中标人。</w:t>
      </w:r>
    </w:p>
    <w:p>
      <w:pPr>
        <w:numPr>
          <w:ilvl w:val="0"/>
          <w:numId w:val="54"/>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评标委员会应当在评标报告上签字，对自己的评审意见承担法律责任。对评标报告有异议的，应当在评标报告上签署不同意见，并说明理由，否则视为同意评标报告。</w:t>
      </w:r>
    </w:p>
    <w:p>
      <w:pPr>
        <w:numPr>
          <w:ilvl w:val="0"/>
          <w:numId w:val="54"/>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中标人的数量有其他规定的，应在此处明确方法、中标比例等。</w:t>
      </w:r>
    </w:p>
    <w:p>
      <w:pPr>
        <w:pStyle w:val="19"/>
        <w:rPr>
          <w:lang w:val="zh-CN"/>
        </w:rPr>
      </w:pPr>
    </w:p>
    <w:p>
      <w:pPr>
        <w:rPr>
          <w:lang w:val="zh-CN"/>
        </w:rPr>
      </w:pPr>
    </w:p>
    <w:p>
      <w:pPr>
        <w:pStyle w:val="19"/>
        <w:rPr>
          <w:lang w:val="zh-CN"/>
        </w:rPr>
      </w:pPr>
    </w:p>
    <w:p>
      <w:pPr>
        <w:rPr>
          <w:lang w:val="zh-CN"/>
        </w:rPr>
      </w:pPr>
    </w:p>
    <w:p>
      <w:pPr>
        <w:pStyle w:val="4"/>
        <w:spacing w:before="0" w:after="0" w:line="360" w:lineRule="auto"/>
        <w:jc w:val="left"/>
        <w:rPr>
          <w:rFonts w:cs="Times New Roman" w:asciiTheme="majorEastAsia" w:hAnsiTheme="majorEastAsia"/>
          <w:bCs w:val="0"/>
          <w:color w:val="FF0000"/>
          <w:sz w:val="30"/>
          <w:szCs w:val="30"/>
          <w:lang w:val="zh-CN"/>
        </w:rPr>
      </w:pPr>
      <w:bookmarkStart w:id="56" w:name="_Toc494561963"/>
    </w:p>
    <w:p>
      <w:pPr>
        <w:rPr>
          <w:rFonts w:cs="Times New Roman" w:asciiTheme="majorEastAsia" w:hAnsiTheme="majorEastAsia"/>
          <w:color w:val="FF0000"/>
          <w:sz w:val="30"/>
          <w:szCs w:val="30"/>
          <w:lang w:val="zh-CN"/>
        </w:rPr>
      </w:pPr>
      <w:r>
        <w:rPr>
          <w:rFonts w:hint="eastAsia" w:cs="Times New Roman" w:asciiTheme="majorEastAsia" w:hAnsiTheme="majorEastAsia"/>
          <w:color w:val="FF0000"/>
          <w:sz w:val="30"/>
          <w:szCs w:val="30"/>
          <w:lang w:val="zh-CN"/>
        </w:rPr>
        <w:br w:type="page"/>
      </w:r>
    </w:p>
    <w:p>
      <w:pPr>
        <w:pStyle w:val="4"/>
        <w:spacing w:before="0" w:after="0" w:line="360" w:lineRule="auto"/>
        <w:jc w:val="left"/>
        <w:rPr>
          <w:rFonts w:cs="Times New Roman" w:asciiTheme="majorEastAsia" w:hAnsiTheme="majorEastAsia"/>
          <w:bCs w:val="0"/>
          <w:color w:val="FF0000"/>
          <w:sz w:val="30"/>
          <w:szCs w:val="30"/>
          <w:lang w:val="zh-CN"/>
        </w:rPr>
      </w:pPr>
      <w:bookmarkStart w:id="57" w:name="_Toc21241"/>
      <w:r>
        <w:rPr>
          <w:rFonts w:hint="eastAsia" w:cs="Times New Roman" w:asciiTheme="majorEastAsia" w:hAnsiTheme="majorEastAsia"/>
          <w:bCs w:val="0"/>
          <w:color w:val="FF0000"/>
          <w:sz w:val="30"/>
          <w:szCs w:val="30"/>
          <w:lang w:val="zh-CN"/>
        </w:rPr>
        <w:t>三、评审因素及评分标准</w:t>
      </w:r>
      <w:bookmarkEnd w:id="56"/>
      <w:bookmarkEnd w:id="57"/>
    </w:p>
    <w:tbl>
      <w:tblPr>
        <w:tblStyle w:val="14"/>
        <w:tblW w:w="9542" w:type="dxa"/>
        <w:jc w:val="center"/>
        <w:tblLayout w:type="fixed"/>
        <w:tblCellMar>
          <w:top w:w="0" w:type="dxa"/>
          <w:left w:w="108" w:type="dxa"/>
          <w:bottom w:w="0" w:type="dxa"/>
          <w:right w:w="108" w:type="dxa"/>
        </w:tblCellMar>
      </w:tblPr>
      <w:tblGrid>
        <w:gridCol w:w="680"/>
        <w:gridCol w:w="747"/>
        <w:gridCol w:w="514"/>
        <w:gridCol w:w="1134"/>
        <w:gridCol w:w="6467"/>
      </w:tblGrid>
      <w:tr>
        <w:tblPrEx>
          <w:tblCellMar>
            <w:top w:w="0" w:type="dxa"/>
            <w:left w:w="108" w:type="dxa"/>
            <w:bottom w:w="0" w:type="dxa"/>
            <w:right w:w="108" w:type="dxa"/>
          </w:tblCellMar>
        </w:tblPrEx>
        <w:trPr>
          <w:trHeight w:val="219" w:hRule="atLeast"/>
          <w:jc w:val="center"/>
        </w:trPr>
        <w:tc>
          <w:tcPr>
            <w:tcW w:w="14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b/>
                <w:sz w:val="24"/>
                <w:lang w:val="zh-CN"/>
              </w:rPr>
            </w:pPr>
            <w:r>
              <w:rPr>
                <w:rFonts w:ascii="宋体" w:hAnsi="宋体"/>
                <w:b/>
                <w:sz w:val="24"/>
                <w:lang w:val="zh-CN"/>
              </w:rPr>
              <w:t>评审项目</w:t>
            </w:r>
          </w:p>
        </w:tc>
        <w:tc>
          <w:tcPr>
            <w:tcW w:w="514"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b/>
                <w:sz w:val="24"/>
                <w:lang w:val="zh-CN"/>
              </w:rPr>
            </w:pPr>
            <w:r>
              <w:rPr>
                <w:rFonts w:ascii="宋体" w:hAnsi="宋体"/>
                <w:b/>
                <w:sz w:val="24"/>
                <w:lang w:val="zh-CN"/>
              </w:rPr>
              <w:t>分值</w:t>
            </w:r>
          </w:p>
        </w:tc>
        <w:tc>
          <w:tcPr>
            <w:tcW w:w="760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b/>
                <w:sz w:val="24"/>
                <w:lang w:val="zh-CN"/>
              </w:rPr>
            </w:pPr>
            <w:r>
              <w:rPr>
                <w:rFonts w:ascii="宋体" w:hAnsi="宋体"/>
                <w:b/>
                <w:sz w:val="24"/>
                <w:lang w:val="zh-CN"/>
              </w:rPr>
              <w:t>评分标准</w:t>
            </w:r>
          </w:p>
        </w:tc>
      </w:tr>
      <w:tr>
        <w:tblPrEx>
          <w:tblCellMar>
            <w:top w:w="0" w:type="dxa"/>
            <w:left w:w="108" w:type="dxa"/>
            <w:bottom w:w="0" w:type="dxa"/>
            <w:right w:w="108" w:type="dxa"/>
          </w:tblCellMar>
        </w:tblPrEx>
        <w:trPr>
          <w:trHeight w:val="1457" w:hRule="atLeast"/>
          <w:jc w:val="center"/>
        </w:trPr>
        <w:tc>
          <w:tcPr>
            <w:tcW w:w="14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ascii="宋体" w:hAnsi="宋体" w:cs="Helvetica"/>
                <w:b/>
                <w:color w:val="000000"/>
                <w:kern w:val="0"/>
                <w:szCs w:val="21"/>
                <w:lang w:val="zh-CN"/>
              </w:rPr>
              <w:t>投标报价</w:t>
            </w:r>
          </w:p>
        </w:tc>
        <w:tc>
          <w:tcPr>
            <w:tcW w:w="514"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r>
              <w:rPr>
                <w:rFonts w:ascii="宋体" w:hAnsi="宋体" w:cs="Helvetica"/>
                <w:color w:val="000000"/>
                <w:kern w:val="0"/>
                <w:szCs w:val="21"/>
                <w:lang w:val="zh-CN"/>
              </w:rPr>
              <w:t>30</w:t>
            </w:r>
          </w:p>
        </w:tc>
        <w:tc>
          <w:tcPr>
            <w:tcW w:w="760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rPr>
                <w:rFonts w:ascii="宋体" w:hAnsi="宋体" w:cs="Helvetica"/>
                <w:kern w:val="0"/>
                <w:szCs w:val="21"/>
                <w:lang w:val="zh-CN"/>
              </w:rPr>
            </w:pPr>
            <w:r>
              <w:rPr>
                <w:rFonts w:hint="eastAsia" w:ascii="宋体" w:hAnsi="宋体" w:cs="Helvetica"/>
                <w:kern w:val="0"/>
                <w:szCs w:val="21"/>
                <w:lang w:val="zh-CN"/>
              </w:rPr>
              <w:t>评标委员会只对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30  计算时保留两位小数。为保证产品质量，投标报价低于采购预算</w:t>
            </w:r>
            <w:r>
              <w:rPr>
                <w:rFonts w:ascii="宋体" w:hAnsi="宋体" w:cs="Helvetica"/>
                <w:kern w:val="0"/>
                <w:szCs w:val="21"/>
                <w:lang w:val="zh-CN"/>
              </w:rPr>
              <w:t>80</w:t>
            </w:r>
            <w:r>
              <w:rPr>
                <w:rFonts w:hint="eastAsia" w:ascii="宋体" w:hAnsi="宋体" w:cs="Helvetica"/>
                <w:kern w:val="0"/>
                <w:szCs w:val="21"/>
                <w:lang w:val="zh-CN"/>
              </w:rPr>
              <w:t>%时，评审委员会将对其进行成本分析，评标委员会认为报价低于成本价时将否决其投标。</w:t>
            </w:r>
          </w:p>
        </w:tc>
      </w:tr>
      <w:tr>
        <w:tblPrEx>
          <w:tblCellMar>
            <w:top w:w="0" w:type="dxa"/>
            <w:left w:w="108" w:type="dxa"/>
            <w:bottom w:w="0" w:type="dxa"/>
            <w:right w:w="108" w:type="dxa"/>
          </w:tblCellMar>
        </w:tblPrEx>
        <w:trPr>
          <w:trHeight w:val="570" w:hRule="atLeast"/>
          <w:jc w:val="center"/>
        </w:trPr>
        <w:tc>
          <w:tcPr>
            <w:tcW w:w="680" w:type="dxa"/>
            <w:vMerge w:val="restart"/>
            <w:tcBorders>
              <w:top w:val="single" w:color="auto" w:sz="4" w:space="0"/>
              <w:left w:val="single" w:color="auto" w:sz="4" w:space="0"/>
              <w:right w:val="single" w:color="auto" w:sz="4" w:space="0"/>
            </w:tcBorders>
            <w:vAlign w:val="center"/>
          </w:tcPr>
          <w:p>
            <w:pPr>
              <w:autoSpaceDE w:val="0"/>
              <w:autoSpaceDN w:val="0"/>
              <w:snapToGrid w:val="0"/>
              <w:spacing w:line="360" w:lineRule="exact"/>
              <w:rPr>
                <w:rFonts w:ascii="宋体" w:hAnsi="宋体" w:cs="Helvetica"/>
                <w:b/>
                <w:color w:val="000000"/>
                <w:kern w:val="0"/>
                <w:szCs w:val="21"/>
                <w:lang w:val="zh-CN"/>
              </w:rPr>
            </w:pPr>
            <w:r>
              <w:rPr>
                <w:rFonts w:hint="eastAsia" w:ascii="宋体" w:hAnsi="宋体" w:cs="Helvetica"/>
                <w:b/>
                <w:color w:val="000000"/>
                <w:kern w:val="0"/>
                <w:szCs w:val="21"/>
                <w:lang w:val="zh-CN"/>
              </w:rPr>
              <w:t>技</w:t>
            </w:r>
          </w:p>
          <w:p>
            <w:pPr>
              <w:autoSpaceDE w:val="0"/>
              <w:autoSpaceDN w:val="0"/>
              <w:snapToGrid w:val="0"/>
              <w:spacing w:line="360" w:lineRule="exact"/>
              <w:rPr>
                <w:rFonts w:ascii="宋体" w:hAnsi="宋体" w:cs="Helvetica"/>
                <w:b/>
                <w:color w:val="000000"/>
                <w:kern w:val="0"/>
                <w:szCs w:val="21"/>
                <w:lang w:val="zh-CN"/>
              </w:rPr>
            </w:pPr>
            <w:r>
              <w:rPr>
                <w:rFonts w:hint="eastAsia" w:ascii="宋体" w:hAnsi="宋体" w:cs="Helvetica"/>
                <w:b/>
                <w:color w:val="000000"/>
                <w:kern w:val="0"/>
                <w:szCs w:val="21"/>
                <w:lang w:val="zh-CN"/>
              </w:rPr>
              <w:t>术</w:t>
            </w:r>
          </w:p>
          <w:p>
            <w:pPr>
              <w:autoSpaceDE w:val="0"/>
              <w:autoSpaceDN w:val="0"/>
              <w:snapToGrid w:val="0"/>
              <w:spacing w:line="360" w:lineRule="exact"/>
              <w:rPr>
                <w:rFonts w:ascii="宋体" w:hAnsi="宋体" w:cs="Helvetica"/>
                <w:b/>
                <w:color w:val="000000"/>
                <w:kern w:val="0"/>
                <w:szCs w:val="21"/>
                <w:lang w:val="zh-CN"/>
              </w:rPr>
            </w:pPr>
            <w:r>
              <w:rPr>
                <w:rFonts w:hint="eastAsia" w:ascii="宋体" w:hAnsi="宋体" w:cs="Helvetica"/>
                <w:b/>
                <w:color w:val="000000"/>
                <w:kern w:val="0"/>
                <w:szCs w:val="21"/>
                <w:lang w:val="zh-CN"/>
              </w:rPr>
              <w:t>部</w:t>
            </w:r>
          </w:p>
          <w:p>
            <w:pPr>
              <w:autoSpaceDE w:val="0"/>
              <w:autoSpaceDN w:val="0"/>
              <w:snapToGrid w:val="0"/>
              <w:spacing w:line="360" w:lineRule="exact"/>
              <w:rPr>
                <w:rFonts w:ascii="宋体" w:hAnsi="宋体" w:cs="Helvetica"/>
                <w:b/>
                <w:color w:val="000000"/>
                <w:kern w:val="0"/>
                <w:szCs w:val="21"/>
                <w:lang w:val="zh-CN"/>
              </w:rPr>
            </w:pPr>
            <w:r>
              <w:rPr>
                <w:rFonts w:hint="eastAsia" w:ascii="宋体" w:hAnsi="宋体" w:cs="Helvetica"/>
                <w:b/>
                <w:color w:val="000000"/>
                <w:kern w:val="0"/>
                <w:szCs w:val="21"/>
                <w:lang w:val="zh-CN"/>
              </w:rPr>
              <w:t>分</w:t>
            </w:r>
          </w:p>
          <w:p>
            <w:pPr>
              <w:autoSpaceDE w:val="0"/>
              <w:autoSpaceDN w:val="0"/>
              <w:snapToGrid w:val="0"/>
              <w:spacing w:line="360" w:lineRule="exact"/>
              <w:rPr>
                <w:rFonts w:ascii="宋体" w:hAnsi="宋体" w:cs="Helvetica"/>
                <w:b/>
                <w:color w:val="000000"/>
                <w:kern w:val="0"/>
                <w:szCs w:val="21"/>
                <w:lang w:val="zh-CN"/>
              </w:rPr>
            </w:pPr>
            <w:r>
              <w:rPr>
                <w:rFonts w:hint="eastAsia" w:ascii="宋体" w:hAnsi="宋体" w:cs="Helvetica"/>
                <w:b/>
                <w:color w:val="000000"/>
                <w:kern w:val="0"/>
                <w:szCs w:val="21"/>
                <w:lang w:val="zh-CN"/>
              </w:rPr>
              <w:t>5</w:t>
            </w:r>
            <w:r>
              <w:rPr>
                <w:rFonts w:ascii="宋体" w:hAnsi="宋体" w:cs="Helvetica"/>
                <w:b/>
                <w:color w:val="000000"/>
                <w:kern w:val="0"/>
                <w:szCs w:val="21"/>
              </w:rPr>
              <w:t>0</w:t>
            </w:r>
            <w:r>
              <w:rPr>
                <w:rFonts w:hint="eastAsia" w:ascii="宋体" w:hAnsi="宋体" w:cs="Helvetica"/>
                <w:b/>
                <w:color w:val="000000"/>
                <w:kern w:val="0"/>
                <w:szCs w:val="21"/>
                <w:lang w:val="zh-CN"/>
              </w:rPr>
              <w:t>分</w:t>
            </w:r>
          </w:p>
        </w:tc>
        <w:tc>
          <w:tcPr>
            <w:tcW w:w="747" w:type="dxa"/>
            <w:tcBorders>
              <w:top w:val="single" w:color="auto" w:sz="6" w:space="0"/>
              <w:left w:val="single" w:color="auto" w:sz="4"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符合性</w:t>
            </w:r>
          </w:p>
        </w:tc>
        <w:tc>
          <w:tcPr>
            <w:tcW w:w="514" w:type="dxa"/>
            <w:tcBorders>
              <w:top w:val="single" w:color="auto" w:sz="6" w:space="0"/>
              <w:left w:val="single" w:color="auto" w:sz="6"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rPr>
            </w:pPr>
            <w:r>
              <w:rPr>
                <w:rFonts w:hint="eastAsia" w:ascii="宋体" w:hAnsi="宋体" w:cs="Helvetica"/>
                <w:color w:val="000000"/>
                <w:kern w:val="0"/>
                <w:szCs w:val="21"/>
                <w:lang w:val="zh-CN"/>
              </w:rPr>
              <w:t>2</w:t>
            </w:r>
            <w:r>
              <w:rPr>
                <w:rFonts w:ascii="宋体" w:hAnsi="宋体" w:cs="Helvetica"/>
                <w:color w:val="000000"/>
                <w:kern w:val="0"/>
                <w:szCs w:val="21"/>
              </w:rPr>
              <w:t>0</w:t>
            </w:r>
          </w:p>
        </w:tc>
        <w:tc>
          <w:tcPr>
            <w:tcW w:w="7601"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snapToGrid w:val="0"/>
              <w:spacing w:line="360" w:lineRule="exact"/>
              <w:rPr>
                <w:rFonts w:ascii="宋体" w:hAnsi="宋体" w:cs="Helvetica"/>
                <w:color w:val="000000"/>
                <w:kern w:val="0"/>
                <w:szCs w:val="21"/>
                <w:lang w:val="zh-CN"/>
              </w:rPr>
            </w:pPr>
            <w:r>
              <w:rPr>
                <w:rFonts w:hint="eastAsia" w:ascii="宋体" w:hAnsi="宋体"/>
                <w:color w:val="000000" w:themeColor="text1"/>
                <w:szCs w:val="21"/>
                <w14:textFill>
                  <w14:solidFill>
                    <w14:schemeClr w14:val="tx1"/>
                  </w14:solidFill>
                </w14:textFill>
              </w:rPr>
              <w:t>招标文件</w:t>
            </w:r>
            <w:r>
              <w:rPr>
                <w:rFonts w:hint="eastAsia" w:ascii="宋体" w:hAnsi="宋体" w:cs="宋体"/>
                <w:color w:val="000000" w:themeColor="text1"/>
                <w:kern w:val="0"/>
                <w:szCs w:val="21"/>
                <w14:textFill>
                  <w14:solidFill>
                    <w14:schemeClr w14:val="tx1"/>
                  </w14:solidFill>
                </w14:textFill>
              </w:rPr>
              <w:t>中标注“★”的技术指标任何一条不满足的做废标处理；一般技术指标根据产品性能、技术指标及其他重要性能指标和投标服务情况：符合招标文件要求20分，不满足招标文件要求的每项扣2分,超过8项属于无效投标。</w:t>
            </w:r>
          </w:p>
        </w:tc>
      </w:tr>
      <w:tr>
        <w:tblPrEx>
          <w:tblCellMar>
            <w:top w:w="0" w:type="dxa"/>
            <w:left w:w="108" w:type="dxa"/>
            <w:bottom w:w="0" w:type="dxa"/>
            <w:right w:w="108" w:type="dxa"/>
          </w:tblCellMar>
        </w:tblPrEx>
        <w:trPr>
          <w:trHeight w:val="50" w:hRule="atLeast"/>
          <w:jc w:val="center"/>
        </w:trPr>
        <w:tc>
          <w:tcPr>
            <w:tcW w:w="6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747" w:type="dxa"/>
            <w:vMerge w:val="restart"/>
            <w:tcBorders>
              <w:left w:val="single" w:color="auto" w:sz="4" w:space="0"/>
              <w:right w:val="single" w:color="auto" w:sz="6" w:space="0"/>
            </w:tcBorders>
            <w:vAlign w:val="center"/>
          </w:tcPr>
          <w:p>
            <w:pPr>
              <w:autoSpaceDE w:val="0"/>
              <w:autoSpaceDN w:val="0"/>
              <w:snapToGrid w:val="0"/>
              <w:spacing w:line="360" w:lineRule="exact"/>
              <w:rPr>
                <w:rFonts w:ascii="宋体" w:hAnsi="宋体" w:cs="Helvetica"/>
                <w:color w:val="000000"/>
                <w:kern w:val="0"/>
                <w:szCs w:val="21"/>
                <w:lang w:val="zh-CN"/>
              </w:rPr>
            </w:pPr>
            <w:r>
              <w:rPr>
                <w:rFonts w:hint="eastAsia" w:ascii="宋体" w:hAnsi="宋体" w:cs="Helvetica"/>
                <w:b/>
                <w:color w:val="000000"/>
                <w:kern w:val="0"/>
                <w:szCs w:val="21"/>
                <w:lang w:val="zh-CN"/>
              </w:rPr>
              <w:t>一体机</w:t>
            </w:r>
          </w:p>
        </w:tc>
        <w:tc>
          <w:tcPr>
            <w:tcW w:w="514" w:type="dxa"/>
            <w:vMerge w:val="restart"/>
            <w:tcBorders>
              <w:left w:val="single" w:color="auto" w:sz="6"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rPr>
            </w:pPr>
            <w:r>
              <w:rPr>
                <w:rFonts w:ascii="宋体" w:hAnsi="宋体" w:cs="Helvetica"/>
                <w:color w:val="000000"/>
                <w:kern w:val="0"/>
                <w:szCs w:val="21"/>
                <w:lang w:val="zh-CN"/>
              </w:rPr>
              <w:t>22</w:t>
            </w:r>
          </w:p>
        </w:tc>
        <w:tc>
          <w:tcPr>
            <w:tcW w:w="1134"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cs="Helvetica"/>
                <w:kern w:val="0"/>
                <w:szCs w:val="21"/>
                <w:lang w:val="zh-CN"/>
              </w:rPr>
            </w:pPr>
            <w:r>
              <w:rPr>
                <w:rFonts w:hint="eastAsia" w:ascii="宋体" w:hAnsi="宋体" w:cs="Helvetica"/>
                <w:color w:val="000000"/>
                <w:kern w:val="0"/>
                <w:szCs w:val="21"/>
                <w:lang w:val="zh-CN"/>
              </w:rPr>
              <w:t>教学</w:t>
            </w:r>
            <w:r>
              <w:rPr>
                <w:rFonts w:hint="eastAsia" w:ascii="宋体" w:hAnsi="宋体" w:cs="Helvetica"/>
                <w:color w:val="000000"/>
                <w:kern w:val="0"/>
                <w:szCs w:val="21"/>
              </w:rPr>
              <w:t>应用软件</w:t>
            </w:r>
            <w:r>
              <w:rPr>
                <w:rFonts w:hint="eastAsia" w:ascii="宋体" w:hAnsi="宋体" w:cs="Helvetica"/>
                <w:color w:val="000000"/>
                <w:kern w:val="0"/>
                <w:szCs w:val="21"/>
                <w:lang w:val="zh-CN"/>
              </w:rPr>
              <w:t>演示</w:t>
            </w:r>
            <w:r>
              <w:rPr>
                <w:rFonts w:ascii="宋体" w:hAnsi="宋体" w:cs="Helvetica"/>
                <w:color w:val="000000"/>
                <w:kern w:val="0"/>
                <w:szCs w:val="21"/>
              </w:rPr>
              <w:t>3</w:t>
            </w:r>
            <w:r>
              <w:rPr>
                <w:rFonts w:hint="eastAsia" w:ascii="宋体" w:hAnsi="宋体" w:cs="Helvetica"/>
                <w:color w:val="000000"/>
                <w:kern w:val="0"/>
                <w:szCs w:val="21"/>
                <w:lang w:val="zh-CN"/>
              </w:rPr>
              <w:t>分</w:t>
            </w:r>
          </w:p>
        </w:tc>
        <w:tc>
          <w:tcPr>
            <w:tcW w:w="6467" w:type="dxa"/>
            <w:tcBorders>
              <w:top w:val="single" w:color="auto" w:sz="4" w:space="0"/>
              <w:left w:val="single" w:color="auto" w:sz="4" w:space="0"/>
              <w:bottom w:val="single" w:color="auto" w:sz="4" w:space="0"/>
              <w:right w:val="single" w:color="auto" w:sz="6" w:space="0"/>
            </w:tcBorders>
            <w:vAlign w:val="center"/>
          </w:tcPr>
          <w:p>
            <w:pPr>
              <w:spacing w:line="360" w:lineRule="exact"/>
              <w:rPr>
                <w:rFonts w:ascii="宋体" w:hAnsi="宋体" w:cs="Helvetica"/>
                <w:kern w:val="0"/>
                <w:szCs w:val="21"/>
                <w:lang w:val="zh-CN"/>
              </w:rPr>
            </w:pPr>
            <w:r>
              <w:rPr>
                <w:rFonts w:hint="eastAsia" w:ascii="宋体" w:hAnsi="宋体" w:cs="Helvetica"/>
                <w:color w:val="000000"/>
                <w:kern w:val="0"/>
                <w:szCs w:val="21"/>
                <w:lang w:val="zh-CN"/>
              </w:rPr>
              <w:t>1、依据</w:t>
            </w:r>
            <w:r>
              <w:rPr>
                <w:rFonts w:hint="eastAsia" w:ascii="宋体" w:hAnsi="宋体" w:cs="Helvetica"/>
                <w:color w:val="000000"/>
                <w:kern w:val="0"/>
                <w:szCs w:val="21"/>
              </w:rPr>
              <w:t>参数对</w:t>
            </w:r>
            <w:r>
              <w:rPr>
                <w:rFonts w:hint="eastAsia" w:ascii="宋体" w:hAnsi="宋体" w:cs="Helvetica"/>
                <w:color w:val="000000"/>
                <w:kern w:val="0"/>
                <w:szCs w:val="21"/>
                <w:lang w:val="zh-CN"/>
              </w:rPr>
              <w:t>教学</w:t>
            </w:r>
            <w:r>
              <w:rPr>
                <w:rFonts w:hint="eastAsia" w:ascii="宋体" w:hAnsi="宋体" w:cs="Helvetica"/>
                <w:color w:val="000000"/>
                <w:kern w:val="0"/>
                <w:szCs w:val="21"/>
              </w:rPr>
              <w:t>应用软件</w:t>
            </w:r>
            <w:r>
              <w:rPr>
                <w:rFonts w:hint="eastAsia" w:ascii="宋体" w:hAnsi="宋体" w:cs="Helvetica"/>
                <w:color w:val="000000"/>
                <w:kern w:val="0"/>
                <w:szCs w:val="21"/>
                <w:lang w:val="zh-CN"/>
              </w:rPr>
              <w:t>的功能演示，根据其功能展示</w:t>
            </w:r>
            <w:r>
              <w:rPr>
                <w:rFonts w:hint="eastAsia" w:ascii="宋体" w:hAnsi="宋体" w:cs="Helvetica"/>
                <w:color w:val="000000"/>
                <w:kern w:val="0"/>
                <w:szCs w:val="21"/>
              </w:rPr>
              <w:t>参数符合性、</w:t>
            </w:r>
            <w:r>
              <w:rPr>
                <w:rFonts w:hint="eastAsia" w:ascii="宋体" w:hAnsi="宋体" w:cs="Helvetica"/>
                <w:color w:val="000000"/>
                <w:kern w:val="0"/>
                <w:szCs w:val="21"/>
                <w:lang w:val="zh-CN"/>
              </w:rPr>
              <w:t>完整性、实用性及流畅程度等进行排名打分，投标产品内容完整、实用、流畅及针对性强的得</w:t>
            </w:r>
            <w:r>
              <w:rPr>
                <w:rFonts w:hint="eastAsia" w:ascii="宋体" w:hAnsi="宋体" w:cs="Helvetica"/>
                <w:color w:val="000000"/>
                <w:kern w:val="0"/>
                <w:szCs w:val="21"/>
              </w:rPr>
              <w:t>3</w:t>
            </w:r>
            <w:r>
              <w:rPr>
                <w:rFonts w:hint="eastAsia" w:ascii="宋体" w:hAnsi="宋体" w:cs="Helvetica"/>
                <w:color w:val="000000"/>
                <w:kern w:val="0"/>
                <w:szCs w:val="21"/>
                <w:lang w:val="zh-CN"/>
              </w:rPr>
              <w:t>分；内容完整、实用可行的得</w:t>
            </w:r>
            <w:r>
              <w:rPr>
                <w:rFonts w:hint="eastAsia" w:ascii="宋体" w:hAnsi="宋体" w:cs="Helvetica"/>
                <w:color w:val="000000"/>
                <w:kern w:val="0"/>
                <w:szCs w:val="21"/>
              </w:rPr>
              <w:t>2</w:t>
            </w:r>
            <w:r>
              <w:rPr>
                <w:rFonts w:hint="eastAsia" w:ascii="宋体" w:hAnsi="宋体" w:cs="Helvetica"/>
                <w:color w:val="000000"/>
                <w:kern w:val="0"/>
                <w:szCs w:val="21"/>
                <w:lang w:val="zh-CN"/>
              </w:rPr>
              <w:t>分；内容欠完整、基本可行的得</w:t>
            </w:r>
            <w:r>
              <w:rPr>
                <w:rFonts w:ascii="宋体" w:hAnsi="宋体" w:cs="Helvetica"/>
                <w:color w:val="000000"/>
                <w:kern w:val="0"/>
                <w:szCs w:val="21"/>
                <w:lang w:val="zh-CN"/>
              </w:rPr>
              <w:t>1</w:t>
            </w:r>
            <w:r>
              <w:rPr>
                <w:rFonts w:hint="eastAsia" w:ascii="宋体" w:hAnsi="宋体" w:cs="Helvetica"/>
                <w:color w:val="000000"/>
                <w:kern w:val="0"/>
                <w:szCs w:val="21"/>
                <w:lang w:val="zh-CN"/>
              </w:rPr>
              <w:t>分。</w:t>
            </w:r>
          </w:p>
        </w:tc>
      </w:tr>
      <w:tr>
        <w:tblPrEx>
          <w:tblCellMar>
            <w:top w:w="0" w:type="dxa"/>
            <w:left w:w="108" w:type="dxa"/>
            <w:bottom w:w="0" w:type="dxa"/>
            <w:right w:w="108" w:type="dxa"/>
          </w:tblCellMar>
        </w:tblPrEx>
        <w:trPr>
          <w:trHeight w:val="52" w:hRule="atLeast"/>
          <w:jc w:val="center"/>
        </w:trPr>
        <w:tc>
          <w:tcPr>
            <w:tcW w:w="6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747" w:type="dxa"/>
            <w:vMerge w:val="continue"/>
            <w:tcBorders>
              <w:left w:val="single" w:color="auto" w:sz="4" w:space="0"/>
              <w:right w:val="single" w:color="auto" w:sz="6"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514" w:type="dxa"/>
            <w:vMerge w:val="continue"/>
            <w:tcBorders>
              <w:left w:val="single" w:color="auto" w:sz="6"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p>
        </w:tc>
        <w:tc>
          <w:tcPr>
            <w:tcW w:w="1134"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cs="Helvetica"/>
                <w:kern w:val="0"/>
                <w:szCs w:val="21"/>
                <w:lang w:val="zh-CN"/>
              </w:rPr>
            </w:pPr>
            <w:r>
              <w:rPr>
                <w:rFonts w:hint="eastAsia" w:ascii="宋体" w:hAnsi="宋体" w:cs="Helvetica"/>
                <w:color w:val="000000"/>
                <w:kern w:val="0"/>
                <w:szCs w:val="21"/>
                <w:lang w:val="zh-CN"/>
              </w:rPr>
              <w:t>移动授课功能演示</w:t>
            </w:r>
            <w:r>
              <w:rPr>
                <w:rFonts w:ascii="宋体" w:hAnsi="宋体" w:cs="Helvetica"/>
                <w:color w:val="000000"/>
                <w:kern w:val="0"/>
                <w:szCs w:val="21"/>
              </w:rPr>
              <w:t>3</w:t>
            </w:r>
            <w:r>
              <w:rPr>
                <w:rFonts w:hint="eastAsia" w:ascii="宋体" w:hAnsi="宋体" w:cs="Helvetica"/>
                <w:color w:val="000000"/>
                <w:kern w:val="0"/>
                <w:szCs w:val="21"/>
                <w:lang w:val="zh-CN"/>
              </w:rPr>
              <w:t>分</w:t>
            </w:r>
          </w:p>
        </w:tc>
        <w:tc>
          <w:tcPr>
            <w:tcW w:w="6467" w:type="dxa"/>
            <w:tcBorders>
              <w:top w:val="single" w:color="auto" w:sz="4" w:space="0"/>
              <w:left w:val="single" w:color="auto" w:sz="4" w:space="0"/>
              <w:bottom w:val="single" w:color="auto" w:sz="4" w:space="0"/>
              <w:right w:val="single" w:color="auto" w:sz="6" w:space="0"/>
            </w:tcBorders>
            <w:vAlign w:val="center"/>
          </w:tcPr>
          <w:p>
            <w:pPr>
              <w:spacing w:line="360" w:lineRule="exact"/>
              <w:rPr>
                <w:rFonts w:ascii="宋体" w:hAnsi="宋体" w:cs="Helvetica"/>
                <w:kern w:val="0"/>
                <w:szCs w:val="21"/>
                <w:lang w:val="zh-CN"/>
              </w:rPr>
            </w:pPr>
            <w:r>
              <w:rPr>
                <w:rFonts w:ascii="宋体" w:hAnsi="宋体" w:cs="Helvetica"/>
                <w:color w:val="000000"/>
                <w:kern w:val="0"/>
                <w:szCs w:val="21"/>
                <w:lang w:val="zh-CN"/>
              </w:rPr>
              <w:t>2</w:t>
            </w:r>
            <w:r>
              <w:rPr>
                <w:rFonts w:hint="eastAsia" w:ascii="宋体" w:hAnsi="宋体" w:cs="Helvetica"/>
                <w:color w:val="000000"/>
                <w:kern w:val="0"/>
                <w:szCs w:val="21"/>
                <w:lang w:val="zh-CN"/>
              </w:rPr>
              <w:t>、依据教学一体机教学互动软件功能的移动授课功能演示，根据其功能展示完整性、实用性及流畅程度等进行排名打分，投标产品内容完整、实用、流畅及针对性强的得</w:t>
            </w:r>
            <w:r>
              <w:rPr>
                <w:rFonts w:hint="eastAsia" w:ascii="宋体" w:hAnsi="宋体" w:cs="Helvetica"/>
                <w:color w:val="000000"/>
                <w:kern w:val="0"/>
                <w:szCs w:val="21"/>
              </w:rPr>
              <w:t>3</w:t>
            </w:r>
            <w:r>
              <w:rPr>
                <w:rFonts w:hint="eastAsia" w:ascii="宋体" w:hAnsi="宋体" w:cs="Helvetica"/>
                <w:color w:val="000000"/>
                <w:kern w:val="0"/>
                <w:szCs w:val="21"/>
                <w:lang w:val="zh-CN"/>
              </w:rPr>
              <w:t>分；内容完整、实用可行的得</w:t>
            </w:r>
            <w:r>
              <w:rPr>
                <w:rFonts w:hint="eastAsia" w:ascii="宋体" w:hAnsi="宋体" w:cs="Helvetica"/>
                <w:color w:val="000000"/>
                <w:kern w:val="0"/>
                <w:szCs w:val="21"/>
              </w:rPr>
              <w:t>2</w:t>
            </w:r>
            <w:r>
              <w:rPr>
                <w:rFonts w:hint="eastAsia" w:ascii="宋体" w:hAnsi="宋体" w:cs="Helvetica"/>
                <w:color w:val="000000"/>
                <w:kern w:val="0"/>
                <w:szCs w:val="21"/>
                <w:lang w:val="zh-CN"/>
              </w:rPr>
              <w:t>分；内容欠完整、基本可行的得</w:t>
            </w:r>
            <w:r>
              <w:rPr>
                <w:rFonts w:ascii="宋体" w:hAnsi="宋体" w:cs="Helvetica"/>
                <w:color w:val="000000"/>
                <w:kern w:val="0"/>
                <w:szCs w:val="21"/>
                <w:lang w:val="zh-CN"/>
              </w:rPr>
              <w:t>1</w:t>
            </w:r>
            <w:r>
              <w:rPr>
                <w:rFonts w:hint="eastAsia" w:ascii="宋体" w:hAnsi="宋体" w:cs="Helvetica"/>
                <w:color w:val="000000"/>
                <w:kern w:val="0"/>
                <w:szCs w:val="21"/>
                <w:lang w:val="zh-CN"/>
              </w:rPr>
              <w:t>分。</w:t>
            </w:r>
          </w:p>
        </w:tc>
      </w:tr>
      <w:tr>
        <w:tblPrEx>
          <w:tblCellMar>
            <w:top w:w="0" w:type="dxa"/>
            <w:left w:w="108" w:type="dxa"/>
            <w:bottom w:w="0" w:type="dxa"/>
            <w:right w:w="108" w:type="dxa"/>
          </w:tblCellMar>
        </w:tblPrEx>
        <w:trPr>
          <w:trHeight w:val="52" w:hRule="atLeast"/>
          <w:jc w:val="center"/>
        </w:trPr>
        <w:tc>
          <w:tcPr>
            <w:tcW w:w="6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747" w:type="dxa"/>
            <w:vMerge w:val="continue"/>
            <w:tcBorders>
              <w:left w:val="single" w:color="auto" w:sz="4" w:space="0"/>
              <w:right w:val="single" w:color="auto" w:sz="6"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514" w:type="dxa"/>
            <w:vMerge w:val="continue"/>
            <w:tcBorders>
              <w:left w:val="single" w:color="auto" w:sz="6"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p>
        </w:tc>
        <w:tc>
          <w:tcPr>
            <w:tcW w:w="1134"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cs="Helvetica"/>
                <w:kern w:val="0"/>
                <w:szCs w:val="21"/>
                <w:lang w:val="zh-CN"/>
              </w:rPr>
            </w:pPr>
            <w:r>
              <w:rPr>
                <w:rFonts w:hint="eastAsia" w:ascii="宋体" w:hAnsi="宋体" w:cs="Helvetica"/>
                <w:color w:val="000000"/>
                <w:kern w:val="0"/>
                <w:szCs w:val="21"/>
                <w:lang w:val="zh-CN"/>
              </w:rPr>
              <w:t>集控管理功能演示</w:t>
            </w:r>
            <w:r>
              <w:rPr>
                <w:rFonts w:ascii="宋体" w:hAnsi="宋体" w:cs="Helvetica"/>
                <w:color w:val="000000"/>
                <w:kern w:val="0"/>
                <w:szCs w:val="21"/>
              </w:rPr>
              <w:t>3</w:t>
            </w:r>
            <w:r>
              <w:rPr>
                <w:rFonts w:hint="eastAsia" w:ascii="宋体" w:hAnsi="宋体" w:cs="Helvetica"/>
                <w:kern w:val="0"/>
                <w:szCs w:val="21"/>
                <w:lang w:val="zh-CN"/>
              </w:rPr>
              <w:t>分</w:t>
            </w:r>
          </w:p>
        </w:tc>
        <w:tc>
          <w:tcPr>
            <w:tcW w:w="6467" w:type="dxa"/>
            <w:tcBorders>
              <w:top w:val="single" w:color="auto" w:sz="4" w:space="0"/>
              <w:left w:val="single" w:color="auto" w:sz="4" w:space="0"/>
              <w:bottom w:val="single" w:color="auto" w:sz="4" w:space="0"/>
              <w:right w:val="single" w:color="auto" w:sz="6" w:space="0"/>
            </w:tcBorders>
            <w:vAlign w:val="center"/>
          </w:tcPr>
          <w:p>
            <w:pPr>
              <w:spacing w:line="360" w:lineRule="exact"/>
              <w:rPr>
                <w:rFonts w:ascii="宋体" w:hAnsi="宋体" w:cs="Helvetica"/>
                <w:kern w:val="0"/>
                <w:szCs w:val="21"/>
                <w:lang w:val="zh-CN"/>
              </w:rPr>
            </w:pPr>
            <w:r>
              <w:rPr>
                <w:rFonts w:hint="eastAsia" w:ascii="宋体" w:hAnsi="宋体" w:cs="Helvetica"/>
                <w:color w:val="000000"/>
                <w:kern w:val="0"/>
                <w:szCs w:val="21"/>
                <w:lang w:val="zh-CN"/>
              </w:rPr>
              <w:t>3、依据教学一体机教学互动软件功能的集控管理功能演示，根据其功能展示完整性、实用性及流畅程度等进行排名打分，投标产品内容完整、实用、流畅及针对性强的得</w:t>
            </w:r>
            <w:r>
              <w:rPr>
                <w:rFonts w:hint="eastAsia" w:ascii="宋体" w:hAnsi="宋体" w:cs="Helvetica"/>
                <w:color w:val="000000"/>
                <w:kern w:val="0"/>
                <w:szCs w:val="21"/>
              </w:rPr>
              <w:t>3</w:t>
            </w:r>
            <w:r>
              <w:rPr>
                <w:rFonts w:hint="eastAsia" w:ascii="宋体" w:hAnsi="宋体" w:cs="Helvetica"/>
                <w:color w:val="000000"/>
                <w:kern w:val="0"/>
                <w:szCs w:val="21"/>
                <w:lang w:val="zh-CN"/>
              </w:rPr>
              <w:t>分；内容完整、实用可行的得</w:t>
            </w:r>
            <w:r>
              <w:rPr>
                <w:rFonts w:hint="eastAsia" w:ascii="宋体" w:hAnsi="宋体" w:cs="Helvetica"/>
                <w:color w:val="000000"/>
                <w:kern w:val="0"/>
                <w:szCs w:val="21"/>
              </w:rPr>
              <w:t>2</w:t>
            </w:r>
            <w:r>
              <w:rPr>
                <w:rFonts w:hint="eastAsia" w:ascii="宋体" w:hAnsi="宋体" w:cs="Helvetica"/>
                <w:color w:val="000000"/>
                <w:kern w:val="0"/>
                <w:szCs w:val="21"/>
                <w:lang w:val="zh-CN"/>
              </w:rPr>
              <w:t>分；内容欠完整、基本可行的得</w:t>
            </w:r>
            <w:r>
              <w:rPr>
                <w:rFonts w:ascii="宋体" w:hAnsi="宋体" w:cs="Helvetica"/>
                <w:color w:val="000000"/>
                <w:kern w:val="0"/>
                <w:szCs w:val="21"/>
                <w:lang w:val="zh-CN"/>
              </w:rPr>
              <w:t>1</w:t>
            </w:r>
            <w:r>
              <w:rPr>
                <w:rFonts w:hint="eastAsia" w:ascii="宋体" w:hAnsi="宋体" w:cs="Helvetica"/>
                <w:color w:val="000000"/>
                <w:kern w:val="0"/>
                <w:szCs w:val="21"/>
                <w:lang w:val="zh-CN"/>
              </w:rPr>
              <w:t>分。</w:t>
            </w:r>
          </w:p>
        </w:tc>
      </w:tr>
      <w:tr>
        <w:tblPrEx>
          <w:tblCellMar>
            <w:top w:w="0" w:type="dxa"/>
            <w:left w:w="108" w:type="dxa"/>
            <w:bottom w:w="0" w:type="dxa"/>
            <w:right w:w="108" w:type="dxa"/>
          </w:tblCellMar>
        </w:tblPrEx>
        <w:trPr>
          <w:trHeight w:val="52" w:hRule="atLeast"/>
          <w:jc w:val="center"/>
        </w:trPr>
        <w:tc>
          <w:tcPr>
            <w:tcW w:w="6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747" w:type="dxa"/>
            <w:vMerge w:val="continue"/>
            <w:tcBorders>
              <w:left w:val="single" w:color="auto" w:sz="4" w:space="0"/>
              <w:right w:val="single" w:color="auto" w:sz="6"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514" w:type="dxa"/>
            <w:vMerge w:val="continue"/>
            <w:tcBorders>
              <w:left w:val="single" w:color="auto" w:sz="6"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p>
        </w:tc>
        <w:tc>
          <w:tcPr>
            <w:tcW w:w="1134"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cs="Helvetica"/>
                <w:color w:val="000000"/>
                <w:kern w:val="0"/>
                <w:szCs w:val="21"/>
              </w:rPr>
            </w:pPr>
            <w:r>
              <w:rPr>
                <w:rFonts w:hint="eastAsia" w:ascii="宋体" w:hAnsi="宋体" w:cs="Helvetica"/>
                <w:color w:val="000000"/>
                <w:kern w:val="0"/>
                <w:szCs w:val="21"/>
              </w:rPr>
              <w:t>产品先进性</w:t>
            </w:r>
          </w:p>
          <w:p>
            <w:pPr>
              <w:spacing w:line="360" w:lineRule="exact"/>
              <w:jc w:val="center"/>
              <w:rPr>
                <w:rFonts w:ascii="宋体" w:hAnsi="宋体" w:cs="Helvetica"/>
                <w:kern w:val="0"/>
                <w:szCs w:val="21"/>
                <w:lang w:val="zh-CN"/>
              </w:rPr>
            </w:pPr>
            <w:r>
              <w:rPr>
                <w:rFonts w:hint="eastAsia" w:ascii="宋体" w:hAnsi="宋体" w:cs="Helvetica"/>
                <w:color w:val="000000"/>
                <w:kern w:val="0"/>
                <w:szCs w:val="21"/>
              </w:rPr>
              <w:t>1</w:t>
            </w:r>
            <w:r>
              <w:rPr>
                <w:rFonts w:ascii="宋体" w:hAnsi="宋体" w:cs="Helvetica"/>
                <w:color w:val="000000"/>
                <w:kern w:val="0"/>
                <w:szCs w:val="21"/>
              </w:rPr>
              <w:t>3</w:t>
            </w:r>
            <w:r>
              <w:rPr>
                <w:rFonts w:hint="eastAsia" w:ascii="宋体" w:hAnsi="宋体" w:cs="Helvetica"/>
                <w:color w:val="000000"/>
                <w:kern w:val="0"/>
                <w:szCs w:val="21"/>
                <w:lang w:val="zh-CN"/>
              </w:rPr>
              <w:t>分</w:t>
            </w:r>
          </w:p>
        </w:tc>
        <w:tc>
          <w:tcPr>
            <w:tcW w:w="6467" w:type="dxa"/>
            <w:tcBorders>
              <w:top w:val="single" w:color="auto" w:sz="4" w:space="0"/>
              <w:left w:val="single" w:color="auto" w:sz="4" w:space="0"/>
              <w:bottom w:val="single" w:color="auto" w:sz="4" w:space="0"/>
              <w:right w:val="single" w:color="auto" w:sz="6" w:space="0"/>
            </w:tcBorders>
            <w:vAlign w:val="center"/>
          </w:tcPr>
          <w:p>
            <w:pPr>
              <w:spacing w:line="360" w:lineRule="exact"/>
              <w:rPr>
                <w:rFonts w:ascii="宋体" w:hAnsi="宋体" w:cs="Helvetica"/>
                <w:color w:val="000000"/>
                <w:kern w:val="0"/>
                <w:szCs w:val="21"/>
              </w:rPr>
            </w:pPr>
            <w:r>
              <w:rPr>
                <w:rFonts w:ascii="宋体" w:hAnsi="宋体" w:cs="Helvetica"/>
                <w:color w:val="000000"/>
                <w:kern w:val="0"/>
                <w:szCs w:val="21"/>
                <w:lang w:val="zh-CN"/>
              </w:rPr>
              <w:t>4</w:t>
            </w:r>
            <w:r>
              <w:rPr>
                <w:rFonts w:hint="eastAsia" w:ascii="宋体" w:hAnsi="宋体" w:cs="Helvetica"/>
                <w:color w:val="000000"/>
                <w:kern w:val="0"/>
                <w:szCs w:val="21"/>
                <w:lang w:val="zh-CN"/>
              </w:rPr>
              <w:t>、投标一体机产品尺寸≥</w:t>
            </w:r>
            <w:r>
              <w:rPr>
                <w:rFonts w:hint="eastAsia" w:ascii="宋体" w:hAnsi="宋体" w:cs="Helvetica"/>
                <w:color w:val="000000"/>
                <w:kern w:val="0"/>
                <w:szCs w:val="21"/>
              </w:rPr>
              <w:t>75英寸得</w:t>
            </w:r>
            <w:r>
              <w:rPr>
                <w:rFonts w:ascii="宋体" w:hAnsi="宋体" w:cs="Helvetica"/>
                <w:color w:val="000000"/>
                <w:kern w:val="0"/>
                <w:szCs w:val="21"/>
              </w:rPr>
              <w:t>4</w:t>
            </w:r>
            <w:r>
              <w:rPr>
                <w:rFonts w:hint="eastAsia" w:ascii="宋体" w:hAnsi="宋体" w:cs="Helvetica"/>
                <w:color w:val="000000"/>
                <w:kern w:val="0"/>
                <w:szCs w:val="21"/>
              </w:rPr>
              <w:t>分。</w:t>
            </w:r>
            <w:r>
              <w:rPr>
                <w:rFonts w:ascii="宋体" w:hAnsi="宋体" w:cs="Helvetica"/>
                <w:color w:val="000000"/>
                <w:kern w:val="0"/>
                <w:szCs w:val="21"/>
              </w:rPr>
              <w:t xml:space="preserve"> </w:t>
            </w:r>
          </w:p>
          <w:p>
            <w:pPr>
              <w:spacing w:line="360" w:lineRule="exact"/>
              <w:rPr>
                <w:rFonts w:ascii="宋体" w:hAnsi="宋体" w:cs="Helvetica"/>
                <w:color w:val="000000"/>
                <w:kern w:val="0"/>
                <w:szCs w:val="21"/>
              </w:rPr>
            </w:pPr>
            <w:r>
              <w:rPr>
                <w:rFonts w:hint="eastAsia" w:ascii="宋体" w:hAnsi="宋体" w:cs="Helvetica"/>
                <w:color w:val="000000"/>
                <w:kern w:val="0"/>
                <w:szCs w:val="21"/>
                <w:lang w:val="zh-CN"/>
              </w:rPr>
              <w:t>5、提供整机平均无故障检测时间≥120000小时证书、检测报告。（</w:t>
            </w:r>
            <w:r>
              <w:rPr>
                <w:rFonts w:hint="eastAsia" w:ascii="宋体" w:hAnsi="宋体" w:cs="Helvetica"/>
                <w:color w:val="000000"/>
                <w:kern w:val="0"/>
                <w:szCs w:val="21"/>
              </w:rPr>
              <w:t>每项1分，共2分</w:t>
            </w:r>
            <w:r>
              <w:rPr>
                <w:rFonts w:hint="eastAsia" w:ascii="宋体" w:hAnsi="宋体" w:cs="Helvetica"/>
                <w:color w:val="000000"/>
                <w:kern w:val="0"/>
                <w:szCs w:val="21"/>
                <w:lang w:val="zh-CN"/>
              </w:rPr>
              <w:t>）</w:t>
            </w:r>
          </w:p>
          <w:p>
            <w:pPr>
              <w:spacing w:line="360" w:lineRule="exact"/>
              <w:rPr>
                <w:rFonts w:ascii="宋体" w:hAnsi="宋体" w:cs="Helvetica"/>
                <w:color w:val="000000"/>
                <w:kern w:val="0"/>
                <w:szCs w:val="21"/>
              </w:rPr>
            </w:pPr>
            <w:r>
              <w:rPr>
                <w:rFonts w:ascii="宋体" w:hAnsi="宋体" w:cs="Helvetica"/>
                <w:color w:val="000000"/>
                <w:kern w:val="0"/>
                <w:szCs w:val="21"/>
              </w:rPr>
              <w:t>6</w:t>
            </w:r>
            <w:r>
              <w:rPr>
                <w:rFonts w:hint="eastAsia" w:ascii="宋体" w:hAnsi="宋体" w:cs="Helvetica"/>
                <w:color w:val="000000"/>
                <w:kern w:val="0"/>
                <w:szCs w:val="21"/>
              </w:rPr>
              <w:t>、提供一体机教学软件著作权证书复印件（仿真实验、教学资源库、试题库、教学支撑系统）支持在线查询。</w:t>
            </w:r>
            <w:r>
              <w:rPr>
                <w:rFonts w:hint="eastAsia" w:ascii="宋体" w:hAnsi="宋体" w:cs="Helvetica"/>
                <w:color w:val="000000"/>
                <w:kern w:val="0"/>
                <w:szCs w:val="21"/>
                <w:lang w:val="zh-CN"/>
              </w:rPr>
              <w:t>（</w:t>
            </w:r>
            <w:r>
              <w:rPr>
                <w:rFonts w:hint="eastAsia" w:ascii="宋体" w:hAnsi="宋体" w:cs="Helvetica"/>
                <w:color w:val="000000"/>
                <w:kern w:val="0"/>
                <w:szCs w:val="21"/>
              </w:rPr>
              <w:t>每项1分，共4分</w:t>
            </w:r>
            <w:r>
              <w:rPr>
                <w:rFonts w:hint="eastAsia" w:ascii="宋体" w:hAnsi="宋体" w:cs="Helvetica"/>
                <w:color w:val="000000"/>
                <w:kern w:val="0"/>
                <w:szCs w:val="21"/>
                <w:lang w:val="zh-CN"/>
              </w:rPr>
              <w:t>）</w:t>
            </w:r>
          </w:p>
          <w:p>
            <w:pPr>
              <w:spacing w:line="360" w:lineRule="exact"/>
              <w:rPr>
                <w:rFonts w:ascii="宋体" w:hAnsi="宋体" w:cs="Helvetica"/>
                <w:color w:val="000000"/>
                <w:kern w:val="0"/>
                <w:szCs w:val="21"/>
              </w:rPr>
            </w:pPr>
            <w:r>
              <w:rPr>
                <w:rFonts w:hint="eastAsia" w:ascii="宋体" w:hAnsi="宋体" w:cs="Helvetica"/>
                <w:color w:val="000000"/>
                <w:kern w:val="0"/>
                <w:szCs w:val="21"/>
              </w:rPr>
              <w:t>7、</w:t>
            </w:r>
            <w:r>
              <w:rPr>
                <w:rFonts w:ascii="宋体" w:hAnsi="宋体" w:cs="Helvetica"/>
                <w:color w:val="000000"/>
                <w:kern w:val="0"/>
                <w:szCs w:val="21"/>
              </w:rPr>
              <w:t>提供仿真实验名称清单目录厂家盖章证明文件。</w:t>
            </w:r>
            <w:r>
              <w:rPr>
                <w:rFonts w:hint="eastAsia" w:ascii="宋体" w:hAnsi="宋体" w:cs="Helvetica"/>
                <w:color w:val="000000"/>
                <w:kern w:val="0"/>
                <w:szCs w:val="21"/>
                <w:lang w:val="zh-CN"/>
              </w:rPr>
              <w:t>仿真实验软件里共计有</w:t>
            </w:r>
            <w:r>
              <w:rPr>
                <w:rFonts w:hint="eastAsia" w:ascii="宋体" w:hAnsi="宋体" w:cs="Helvetica"/>
                <w:color w:val="000000"/>
                <w:kern w:val="0"/>
                <w:szCs w:val="21"/>
              </w:rPr>
              <w:t>5</w:t>
            </w:r>
            <w:r>
              <w:rPr>
                <w:rFonts w:hint="eastAsia" w:ascii="宋体" w:hAnsi="宋体" w:cs="Helvetica"/>
                <w:color w:val="000000"/>
                <w:kern w:val="0"/>
                <w:szCs w:val="21"/>
                <w:lang w:val="zh-CN"/>
              </w:rPr>
              <w:t>00个以上的仿真实验。</w:t>
            </w:r>
            <w:r>
              <w:rPr>
                <w:rFonts w:hint="eastAsia" w:ascii="宋体" w:hAnsi="宋体" w:cs="Helvetica"/>
                <w:color w:val="000000"/>
                <w:kern w:val="0"/>
                <w:szCs w:val="21"/>
              </w:rPr>
              <w:t>）提供得</w:t>
            </w:r>
            <w:r>
              <w:rPr>
                <w:rFonts w:ascii="宋体" w:hAnsi="宋体" w:cs="Helvetica"/>
                <w:color w:val="000000"/>
                <w:kern w:val="0"/>
                <w:szCs w:val="21"/>
              </w:rPr>
              <w:t>1</w:t>
            </w:r>
            <w:r>
              <w:rPr>
                <w:rFonts w:hint="eastAsia" w:ascii="宋体" w:hAnsi="宋体" w:cs="Helvetica"/>
                <w:color w:val="000000"/>
                <w:kern w:val="0"/>
                <w:szCs w:val="21"/>
              </w:rPr>
              <w:t>分，不提供不得分。</w:t>
            </w:r>
          </w:p>
          <w:p>
            <w:pPr>
              <w:spacing w:line="360" w:lineRule="exact"/>
              <w:rPr>
                <w:rFonts w:ascii="宋体" w:hAnsi="宋体" w:cs="Helvetica"/>
                <w:color w:val="000000"/>
                <w:kern w:val="0"/>
                <w:szCs w:val="21"/>
              </w:rPr>
            </w:pPr>
            <w:r>
              <w:rPr>
                <w:rFonts w:ascii="宋体" w:hAnsi="宋体" w:cs="Helvetica"/>
                <w:color w:val="000000"/>
                <w:kern w:val="0"/>
                <w:szCs w:val="21"/>
              </w:rPr>
              <w:t>8</w:t>
            </w:r>
            <w:r>
              <w:rPr>
                <w:rFonts w:hint="eastAsia" w:ascii="宋体" w:hAnsi="宋体" w:cs="Helvetica"/>
                <w:color w:val="000000"/>
                <w:kern w:val="0"/>
                <w:szCs w:val="21"/>
              </w:rPr>
              <w:t>、所投触控一体机制造商通过通过CMMI4及以上认证得</w:t>
            </w:r>
            <w:r>
              <w:rPr>
                <w:rFonts w:ascii="宋体" w:hAnsi="宋体" w:cs="Helvetica"/>
                <w:color w:val="000000"/>
                <w:kern w:val="0"/>
                <w:szCs w:val="21"/>
              </w:rPr>
              <w:t>1</w:t>
            </w:r>
            <w:r>
              <w:rPr>
                <w:rFonts w:hint="eastAsia" w:ascii="宋体" w:hAnsi="宋体" w:cs="Helvetica"/>
                <w:color w:val="000000"/>
                <w:kern w:val="0"/>
                <w:szCs w:val="21"/>
              </w:rPr>
              <w:t>分，没有不得分，提供证明文件加盖制造商公章。</w:t>
            </w:r>
          </w:p>
          <w:p>
            <w:pPr>
              <w:spacing w:line="360" w:lineRule="exact"/>
              <w:rPr>
                <w:rFonts w:ascii="宋体" w:hAnsi="宋体" w:cs="Helvetica"/>
                <w:kern w:val="0"/>
                <w:szCs w:val="21"/>
              </w:rPr>
            </w:pPr>
            <w:r>
              <w:rPr>
                <w:rFonts w:hint="eastAsia" w:ascii="宋体" w:hAnsi="宋体" w:cs="Helvetica"/>
                <w:color w:val="000000"/>
                <w:kern w:val="0"/>
                <w:szCs w:val="21"/>
              </w:rPr>
              <w:t>9、为使设备更好的服务于多媒体教学，所投触控一体机制造商为《多媒体教学环境工程建设规范》的参与制定单位，提供证书复印件并加盖制造商公章的加</w:t>
            </w:r>
            <w:r>
              <w:rPr>
                <w:rFonts w:ascii="宋体" w:hAnsi="宋体" w:cs="Helvetica"/>
                <w:color w:val="000000"/>
                <w:kern w:val="0"/>
                <w:szCs w:val="21"/>
              </w:rPr>
              <w:t>1</w:t>
            </w:r>
            <w:r>
              <w:rPr>
                <w:rFonts w:hint="eastAsia" w:ascii="宋体" w:hAnsi="宋体" w:cs="Helvetica"/>
                <w:color w:val="000000"/>
                <w:kern w:val="0"/>
                <w:szCs w:val="21"/>
              </w:rPr>
              <w:t>分；</w:t>
            </w:r>
          </w:p>
        </w:tc>
      </w:tr>
      <w:tr>
        <w:tblPrEx>
          <w:tblCellMar>
            <w:top w:w="0" w:type="dxa"/>
            <w:left w:w="108" w:type="dxa"/>
            <w:bottom w:w="0" w:type="dxa"/>
            <w:right w:w="108" w:type="dxa"/>
          </w:tblCellMar>
        </w:tblPrEx>
        <w:trPr>
          <w:trHeight w:val="416" w:hRule="atLeast"/>
          <w:jc w:val="center"/>
        </w:trPr>
        <w:tc>
          <w:tcPr>
            <w:tcW w:w="6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747" w:type="dxa"/>
            <w:tcBorders>
              <w:top w:val="single" w:color="auto" w:sz="4" w:space="0"/>
              <w:left w:val="single" w:color="auto" w:sz="4"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实物展台</w:t>
            </w:r>
          </w:p>
        </w:tc>
        <w:tc>
          <w:tcPr>
            <w:tcW w:w="514" w:type="dxa"/>
            <w:tcBorders>
              <w:top w:val="single" w:color="auto" w:sz="4" w:space="0"/>
              <w:left w:val="single" w:color="auto" w:sz="6"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r>
              <w:rPr>
                <w:rFonts w:hint="eastAsia" w:ascii="宋体" w:hAnsi="宋体" w:cs="Helvetica"/>
                <w:color w:val="000000"/>
                <w:kern w:val="0"/>
                <w:szCs w:val="21"/>
                <w:lang w:val="zh-CN"/>
              </w:rPr>
              <w:t>2</w:t>
            </w:r>
          </w:p>
        </w:tc>
        <w:tc>
          <w:tcPr>
            <w:tcW w:w="7601" w:type="dxa"/>
            <w:gridSpan w:val="2"/>
            <w:tcBorders>
              <w:top w:val="single" w:color="auto" w:sz="4" w:space="0"/>
              <w:left w:val="single" w:color="auto" w:sz="6" w:space="0"/>
              <w:bottom w:val="single" w:color="auto" w:sz="4" w:space="0"/>
              <w:right w:val="single" w:color="auto" w:sz="6" w:space="0"/>
            </w:tcBorders>
            <w:vAlign w:val="center"/>
          </w:tcPr>
          <w:p>
            <w:pPr>
              <w:spacing w:line="360" w:lineRule="exact"/>
              <w:rPr>
                <w:rFonts w:ascii="宋体" w:hAnsi="宋体" w:cs="Helvetica"/>
                <w:color w:val="00B0F0"/>
                <w:kern w:val="0"/>
                <w:szCs w:val="21"/>
                <w:lang w:val="zh-CN"/>
              </w:rPr>
            </w:pPr>
            <w:r>
              <w:rPr>
                <w:rFonts w:hint="eastAsia" w:ascii="宋体" w:hAnsi="宋体" w:cs="Helvetica"/>
                <w:color w:val="000000"/>
                <w:kern w:val="0"/>
                <w:szCs w:val="21"/>
                <w:lang w:val="en-US" w:eastAsia="zh-CN"/>
              </w:rPr>
              <w:t>10</w:t>
            </w:r>
            <w:r>
              <w:rPr>
                <w:rFonts w:hint="eastAsia" w:ascii="宋体" w:hAnsi="宋体" w:cs="Helvetica"/>
                <w:color w:val="000000"/>
                <w:kern w:val="0"/>
                <w:szCs w:val="21"/>
              </w:rPr>
              <w:t>、展台带自动对焦摄像头；外壳在摄像头部分带保护镜片密封，防止灰尘沾染摄像头，防护等级达到IP4X级别的得2分，低于IP4X或没有不得分。（须提供CMA/CNAS认可的权威检测机构出具的检测报告复印件加盖制造商公章）</w:t>
            </w:r>
          </w:p>
        </w:tc>
      </w:tr>
      <w:tr>
        <w:tblPrEx>
          <w:tblCellMar>
            <w:top w:w="0" w:type="dxa"/>
            <w:left w:w="108" w:type="dxa"/>
            <w:bottom w:w="0" w:type="dxa"/>
            <w:right w:w="108" w:type="dxa"/>
          </w:tblCellMar>
        </w:tblPrEx>
        <w:trPr>
          <w:trHeight w:val="274" w:hRule="atLeast"/>
          <w:jc w:val="center"/>
        </w:trPr>
        <w:tc>
          <w:tcPr>
            <w:tcW w:w="680" w:type="dxa"/>
            <w:vMerge w:val="continue"/>
            <w:tcBorders>
              <w:left w:val="single" w:color="auto" w:sz="4" w:space="0"/>
              <w:right w:val="single" w:color="auto" w:sz="4" w:space="0"/>
            </w:tcBorders>
            <w:vAlign w:val="center"/>
          </w:tcPr>
          <w:p>
            <w:pPr>
              <w:autoSpaceDE w:val="0"/>
              <w:autoSpaceDN w:val="0"/>
              <w:snapToGrid w:val="0"/>
              <w:spacing w:line="360" w:lineRule="exact"/>
              <w:jc w:val="center"/>
              <w:rPr>
                <w:rFonts w:ascii="宋体" w:hAnsi="宋体" w:cs="Helvetica"/>
                <w:color w:val="000000"/>
                <w:kern w:val="0"/>
                <w:szCs w:val="21"/>
                <w:lang w:val="zh-CN"/>
              </w:rPr>
            </w:pPr>
          </w:p>
        </w:tc>
        <w:tc>
          <w:tcPr>
            <w:tcW w:w="747" w:type="dxa"/>
            <w:tcBorders>
              <w:top w:val="single" w:color="auto" w:sz="4" w:space="0"/>
              <w:left w:val="single" w:color="auto" w:sz="4"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黑板</w:t>
            </w:r>
          </w:p>
        </w:tc>
        <w:tc>
          <w:tcPr>
            <w:tcW w:w="514" w:type="dxa"/>
            <w:tcBorders>
              <w:top w:val="single" w:color="auto" w:sz="4" w:space="0"/>
              <w:left w:val="single" w:color="auto" w:sz="6"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r>
              <w:rPr>
                <w:rFonts w:ascii="宋体" w:hAnsi="宋体" w:cs="Helvetica"/>
                <w:color w:val="000000"/>
                <w:kern w:val="0"/>
                <w:szCs w:val="21"/>
                <w:lang w:val="zh-CN"/>
              </w:rPr>
              <w:t>2</w:t>
            </w:r>
          </w:p>
        </w:tc>
        <w:tc>
          <w:tcPr>
            <w:tcW w:w="7601" w:type="dxa"/>
            <w:gridSpan w:val="2"/>
            <w:tcBorders>
              <w:top w:val="single" w:color="auto" w:sz="4" w:space="0"/>
              <w:left w:val="single" w:color="auto" w:sz="6" w:space="0"/>
              <w:bottom w:val="single" w:color="auto" w:sz="4" w:space="0"/>
              <w:right w:val="single" w:color="auto" w:sz="6" w:space="0"/>
            </w:tcBorders>
            <w:vAlign w:val="center"/>
          </w:tcPr>
          <w:p>
            <w:pPr>
              <w:rPr>
                <w:rFonts w:ascii="宋体" w:hAnsi="宋体" w:cs="Helvetica"/>
                <w:b/>
                <w:color w:val="000000"/>
                <w:kern w:val="0"/>
                <w:szCs w:val="21"/>
                <w:lang w:val="zh-CN"/>
              </w:rPr>
            </w:pPr>
            <w:r>
              <w:rPr>
                <w:rFonts w:ascii="宋体" w:hAnsi="宋体" w:cs="宋体"/>
                <w:color w:val="000000"/>
                <w:szCs w:val="21"/>
              </w:rPr>
              <w:t>1</w:t>
            </w:r>
            <w:r>
              <w:rPr>
                <w:rFonts w:hint="eastAsia" w:ascii="宋体" w:hAnsi="宋体" w:cs="宋体"/>
                <w:color w:val="000000"/>
                <w:szCs w:val="21"/>
                <w:lang w:val="en-US" w:eastAsia="zh-CN"/>
              </w:rPr>
              <w:t>1</w:t>
            </w:r>
            <w:r>
              <w:rPr>
                <w:rFonts w:hint="eastAsia" w:ascii="宋体" w:hAnsi="宋体" w:cs="宋体"/>
                <w:color w:val="000000"/>
                <w:szCs w:val="21"/>
              </w:rPr>
              <w:t>、书写板生产厂家同时通过ISO45001职业健康安全管理体系认证、ISO9001质量管理体系认证、ISO14001环境管理体系认证得</w:t>
            </w:r>
            <w:r>
              <w:rPr>
                <w:rFonts w:ascii="宋体" w:hAnsi="宋体" w:cs="宋体"/>
                <w:color w:val="000000"/>
                <w:szCs w:val="21"/>
              </w:rPr>
              <w:t>2</w:t>
            </w:r>
            <w:r>
              <w:rPr>
                <w:rFonts w:hint="eastAsia" w:ascii="宋体" w:hAnsi="宋体" w:cs="宋体"/>
                <w:color w:val="000000"/>
                <w:szCs w:val="21"/>
              </w:rPr>
              <w:t>分，不全不得分（注：提供证书原件扫描件加盖厂家鲜章）</w:t>
            </w:r>
          </w:p>
        </w:tc>
      </w:tr>
      <w:tr>
        <w:tblPrEx>
          <w:tblCellMar>
            <w:top w:w="0" w:type="dxa"/>
            <w:left w:w="108" w:type="dxa"/>
            <w:bottom w:w="0" w:type="dxa"/>
            <w:right w:w="108" w:type="dxa"/>
          </w:tblCellMar>
        </w:tblPrEx>
        <w:trPr>
          <w:trHeight w:val="819" w:hRule="atLeast"/>
          <w:jc w:val="center"/>
        </w:trPr>
        <w:tc>
          <w:tcPr>
            <w:tcW w:w="680" w:type="dxa"/>
            <w:vMerge w:val="continue"/>
            <w:tcBorders>
              <w:left w:val="single" w:color="auto" w:sz="4" w:space="0"/>
              <w:right w:val="single" w:color="auto" w:sz="4" w:space="0"/>
            </w:tcBorders>
            <w:vAlign w:val="center"/>
          </w:tcPr>
          <w:p>
            <w:pPr>
              <w:autoSpaceDE w:val="0"/>
              <w:autoSpaceDN w:val="0"/>
              <w:snapToGrid w:val="0"/>
              <w:spacing w:line="360" w:lineRule="exact"/>
              <w:jc w:val="center"/>
              <w:rPr>
                <w:rFonts w:ascii="宋体" w:hAnsi="宋体" w:cs="Helvetica"/>
                <w:color w:val="000000"/>
                <w:kern w:val="0"/>
                <w:szCs w:val="21"/>
                <w:lang w:val="zh-CN"/>
              </w:rPr>
            </w:pPr>
          </w:p>
        </w:tc>
        <w:tc>
          <w:tcPr>
            <w:tcW w:w="747" w:type="dxa"/>
            <w:tcBorders>
              <w:top w:val="single" w:color="auto" w:sz="4" w:space="0"/>
              <w:left w:val="single" w:color="auto" w:sz="4"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摄像器材</w:t>
            </w:r>
          </w:p>
        </w:tc>
        <w:tc>
          <w:tcPr>
            <w:tcW w:w="514" w:type="dxa"/>
            <w:tcBorders>
              <w:top w:val="single" w:color="auto" w:sz="4" w:space="0"/>
              <w:left w:val="single" w:color="auto" w:sz="6"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r>
              <w:rPr>
                <w:rFonts w:hint="eastAsia" w:ascii="宋体" w:hAnsi="宋体" w:cs="Helvetica"/>
                <w:color w:val="000000"/>
                <w:kern w:val="0"/>
                <w:szCs w:val="21"/>
                <w:lang w:val="zh-CN"/>
              </w:rPr>
              <w:t>2</w:t>
            </w:r>
          </w:p>
        </w:tc>
        <w:tc>
          <w:tcPr>
            <w:tcW w:w="7601" w:type="dxa"/>
            <w:gridSpan w:val="2"/>
            <w:tcBorders>
              <w:top w:val="single" w:color="auto" w:sz="4" w:space="0"/>
              <w:left w:val="single" w:color="auto" w:sz="6" w:space="0"/>
              <w:bottom w:val="single" w:color="auto" w:sz="4" w:space="0"/>
              <w:right w:val="single" w:color="auto" w:sz="6" w:space="0"/>
            </w:tcBorders>
            <w:vAlign w:val="center"/>
          </w:tcPr>
          <w:p>
            <w:r>
              <w:t>1</w:t>
            </w:r>
            <w:r>
              <w:rPr>
                <w:rFonts w:hint="eastAsia"/>
                <w:lang w:val="en-US" w:eastAsia="zh-CN"/>
              </w:rPr>
              <w:t>2</w:t>
            </w:r>
            <w:r>
              <w:rPr>
                <w:rFonts w:hint="eastAsia"/>
              </w:rPr>
              <w:t>、</w:t>
            </w:r>
            <w:r>
              <w:t>所投</w:t>
            </w:r>
            <w:r>
              <w:rPr>
                <w:rFonts w:hint="eastAsia"/>
              </w:rPr>
              <w:t>摄像机、</w:t>
            </w:r>
            <w:r>
              <w:t>单</w:t>
            </w:r>
            <w:r>
              <w:rPr>
                <w:rFonts w:hint="eastAsia"/>
              </w:rPr>
              <w:t>反</w:t>
            </w:r>
            <w:r>
              <w:t>相机取得</w:t>
            </w:r>
            <w:r>
              <w:rPr>
                <w:rFonts w:hint="eastAsia"/>
              </w:rPr>
              <w:t>省</w:t>
            </w:r>
            <w:r>
              <w:t xml:space="preserve">级以上质检部门出具的检测报告，每提供一项得 1 分，最高得 </w:t>
            </w:r>
            <w:r>
              <w:rPr>
                <w:rFonts w:hint="eastAsia"/>
              </w:rPr>
              <w:t>2</w:t>
            </w:r>
            <w:r>
              <w:t xml:space="preserve"> 分。</w:t>
            </w:r>
            <w:r>
              <w:rPr>
                <w:rFonts w:ascii="宋体" w:hAnsi="宋体" w:cs="Helvetica"/>
                <w:color w:val="000000"/>
                <w:kern w:val="0"/>
                <w:szCs w:val="21"/>
                <w:lang w:val="zh-CN"/>
              </w:rPr>
              <w:t>（</w:t>
            </w:r>
            <w:r>
              <w:rPr>
                <w:rFonts w:ascii="宋体" w:hAnsi="宋体" w:cs="Helvetica"/>
                <w:b/>
                <w:color w:val="000000"/>
                <w:kern w:val="0"/>
                <w:szCs w:val="21"/>
                <w:lang w:val="zh-CN"/>
              </w:rPr>
              <w:t>需提供检测报告</w:t>
            </w:r>
            <w:r>
              <w:rPr>
                <w:rFonts w:hint="eastAsia" w:ascii="宋体" w:hAnsi="宋体" w:cs="Helvetica"/>
                <w:b/>
                <w:color w:val="000000"/>
                <w:kern w:val="0"/>
                <w:szCs w:val="21"/>
                <w:lang w:val="zh-CN"/>
              </w:rPr>
              <w:t>真彩扫描打印件并</w:t>
            </w:r>
            <w:r>
              <w:rPr>
                <w:rFonts w:ascii="宋体" w:hAnsi="宋体" w:cs="Helvetica"/>
                <w:b/>
                <w:color w:val="000000"/>
                <w:kern w:val="0"/>
                <w:szCs w:val="21"/>
                <w:lang w:val="zh-CN"/>
              </w:rPr>
              <w:t>加盖制造商</w:t>
            </w:r>
            <w:r>
              <w:rPr>
                <w:rFonts w:hint="eastAsia" w:ascii="宋体" w:hAnsi="宋体" w:cs="Helvetica"/>
                <w:b/>
                <w:color w:val="000000"/>
                <w:kern w:val="0"/>
                <w:szCs w:val="21"/>
                <w:lang w:val="zh-CN"/>
              </w:rPr>
              <w:t>鲜章</w:t>
            </w:r>
            <w:r>
              <w:rPr>
                <w:rFonts w:ascii="宋体" w:hAnsi="宋体" w:cs="Helvetica"/>
                <w:b/>
                <w:color w:val="000000"/>
                <w:kern w:val="0"/>
                <w:szCs w:val="21"/>
                <w:lang w:val="zh-CN"/>
              </w:rPr>
              <w:t>）</w:t>
            </w:r>
          </w:p>
        </w:tc>
      </w:tr>
      <w:tr>
        <w:tblPrEx>
          <w:tblCellMar>
            <w:top w:w="0" w:type="dxa"/>
            <w:left w:w="108" w:type="dxa"/>
            <w:bottom w:w="0" w:type="dxa"/>
            <w:right w:w="108" w:type="dxa"/>
          </w:tblCellMar>
        </w:tblPrEx>
        <w:trPr>
          <w:trHeight w:val="819" w:hRule="atLeast"/>
          <w:jc w:val="center"/>
        </w:trPr>
        <w:tc>
          <w:tcPr>
            <w:tcW w:w="680" w:type="dxa"/>
            <w:tcBorders>
              <w:left w:val="single" w:color="auto" w:sz="4" w:space="0"/>
              <w:right w:val="single" w:color="auto" w:sz="4" w:space="0"/>
            </w:tcBorders>
            <w:vAlign w:val="center"/>
          </w:tcPr>
          <w:p>
            <w:pPr>
              <w:autoSpaceDE w:val="0"/>
              <w:autoSpaceDN w:val="0"/>
              <w:snapToGrid w:val="0"/>
              <w:spacing w:line="360" w:lineRule="exact"/>
              <w:jc w:val="center"/>
              <w:rPr>
                <w:rFonts w:ascii="宋体" w:hAnsi="宋体" w:cs="Helvetica"/>
                <w:color w:val="000000"/>
                <w:kern w:val="0"/>
                <w:szCs w:val="21"/>
                <w:lang w:val="zh-CN"/>
              </w:rPr>
            </w:pPr>
          </w:p>
        </w:tc>
        <w:tc>
          <w:tcPr>
            <w:tcW w:w="747" w:type="dxa"/>
            <w:tcBorders>
              <w:top w:val="single" w:color="auto" w:sz="4" w:space="0"/>
              <w:left w:val="single" w:color="auto" w:sz="4"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教学电脑</w:t>
            </w:r>
          </w:p>
        </w:tc>
        <w:tc>
          <w:tcPr>
            <w:tcW w:w="514" w:type="dxa"/>
            <w:tcBorders>
              <w:top w:val="single" w:color="auto" w:sz="4" w:space="0"/>
              <w:left w:val="single" w:color="auto" w:sz="6"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r>
              <w:rPr>
                <w:rFonts w:hint="eastAsia" w:ascii="宋体" w:hAnsi="宋体" w:cs="Helvetica"/>
                <w:color w:val="000000"/>
                <w:kern w:val="0"/>
                <w:szCs w:val="21"/>
                <w:lang w:val="zh-CN"/>
              </w:rPr>
              <w:t>2</w:t>
            </w:r>
          </w:p>
        </w:tc>
        <w:tc>
          <w:tcPr>
            <w:tcW w:w="7601" w:type="dxa"/>
            <w:gridSpan w:val="2"/>
            <w:tcBorders>
              <w:top w:val="single" w:color="auto" w:sz="4" w:space="0"/>
              <w:left w:val="single" w:color="auto" w:sz="6" w:space="0"/>
              <w:bottom w:val="single" w:color="auto" w:sz="4" w:space="0"/>
              <w:right w:val="single" w:color="auto" w:sz="6" w:space="0"/>
            </w:tcBorders>
            <w:vAlign w:val="center"/>
          </w:tcPr>
          <w:p>
            <w:r>
              <w:rPr>
                <w:rFonts w:hint="eastAsia" w:cs="宋体" w:asciiTheme="minorEastAsia" w:hAnsiTheme="minorEastAsia"/>
                <w:color w:val="FF0000"/>
                <w:kern w:val="0"/>
                <w:szCs w:val="21"/>
                <w:lang w:val="en-US" w:eastAsia="zh-CN"/>
              </w:rPr>
              <w:t>13</w:t>
            </w:r>
            <w:r>
              <w:rPr>
                <w:rFonts w:hint="eastAsia" w:cs="宋体" w:asciiTheme="minorEastAsia" w:hAnsiTheme="minorEastAsia"/>
                <w:color w:val="FF0000"/>
                <w:kern w:val="0"/>
                <w:szCs w:val="21"/>
              </w:rPr>
              <w:t>、为保障产品性能稳定，所投</w:t>
            </w:r>
            <w:r>
              <w:rPr>
                <w:rFonts w:hint="eastAsia" w:asciiTheme="minorEastAsia" w:hAnsiTheme="minorEastAsia"/>
                <w:color w:val="FF0000"/>
                <w:szCs w:val="21"/>
              </w:rPr>
              <w:t>计算机</w:t>
            </w:r>
            <w:r>
              <w:rPr>
                <w:rFonts w:hint="eastAsia" w:cs="宋体" w:asciiTheme="minorEastAsia" w:hAnsiTheme="minorEastAsia"/>
                <w:color w:val="FF0000"/>
                <w:kern w:val="0"/>
                <w:szCs w:val="21"/>
              </w:rPr>
              <w:t>产品具有根据CPU温度闭环控制冷却风扇转速的方法及其装置的得2分。（提供加盖制造商鲜章的证明材料原件扫描件）</w:t>
            </w:r>
          </w:p>
        </w:tc>
      </w:tr>
      <w:tr>
        <w:tblPrEx>
          <w:tblCellMar>
            <w:top w:w="0" w:type="dxa"/>
            <w:left w:w="108" w:type="dxa"/>
            <w:bottom w:w="0" w:type="dxa"/>
            <w:right w:w="108" w:type="dxa"/>
          </w:tblCellMar>
        </w:tblPrEx>
        <w:trPr>
          <w:trHeight w:val="274" w:hRule="atLeast"/>
          <w:jc w:val="center"/>
        </w:trPr>
        <w:tc>
          <w:tcPr>
            <w:tcW w:w="680" w:type="dxa"/>
            <w:vMerge w:val="restart"/>
            <w:tcBorders>
              <w:top w:val="single" w:color="auto" w:sz="4" w:space="0"/>
              <w:left w:val="single" w:color="auto" w:sz="4" w:space="0"/>
              <w:right w:val="single" w:color="auto" w:sz="4" w:space="0"/>
            </w:tcBorders>
            <w:vAlign w:val="center"/>
          </w:tcPr>
          <w:p>
            <w:pPr>
              <w:autoSpaceDE w:val="0"/>
              <w:autoSpaceDN w:val="0"/>
              <w:snapToGrid w:val="0"/>
              <w:spacing w:line="360" w:lineRule="exact"/>
              <w:rPr>
                <w:rFonts w:ascii="宋体" w:hAnsi="宋体" w:cs="Helvetica"/>
                <w:b/>
                <w:color w:val="000000"/>
                <w:kern w:val="0"/>
                <w:szCs w:val="21"/>
                <w:lang w:val="zh-CN"/>
              </w:rPr>
            </w:pPr>
            <w:r>
              <w:rPr>
                <w:rFonts w:hint="eastAsia" w:ascii="宋体" w:hAnsi="宋体" w:cs="Helvetica"/>
                <w:b/>
                <w:color w:val="000000"/>
                <w:kern w:val="0"/>
                <w:szCs w:val="21"/>
                <w:lang w:val="zh-CN"/>
              </w:rPr>
              <w:t>商务部分</w:t>
            </w:r>
            <w:r>
              <w:rPr>
                <w:rFonts w:ascii="宋体" w:hAnsi="宋体" w:cs="Helvetica"/>
                <w:b/>
                <w:color w:val="000000"/>
                <w:kern w:val="0"/>
                <w:szCs w:val="21"/>
                <w:lang w:val="zh-CN"/>
              </w:rPr>
              <w:t>20</w:t>
            </w:r>
            <w:r>
              <w:rPr>
                <w:rFonts w:hint="eastAsia" w:ascii="宋体" w:hAnsi="宋体" w:cs="Helvetica"/>
                <w:b/>
                <w:color w:val="000000"/>
                <w:kern w:val="0"/>
                <w:szCs w:val="21"/>
                <w:lang w:val="zh-CN"/>
              </w:rPr>
              <w:t>分</w:t>
            </w:r>
          </w:p>
        </w:tc>
        <w:tc>
          <w:tcPr>
            <w:tcW w:w="747" w:type="dxa"/>
            <w:tcBorders>
              <w:top w:val="single" w:color="auto" w:sz="4" w:space="0"/>
              <w:left w:val="single" w:color="auto" w:sz="4"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ascii="宋体" w:hAnsi="宋体" w:cs="Helvetica"/>
                <w:b/>
                <w:color w:val="000000"/>
                <w:kern w:val="0"/>
                <w:szCs w:val="21"/>
                <w:lang w:val="zh-CN"/>
              </w:rPr>
              <w:t>投标文件制作</w:t>
            </w:r>
          </w:p>
        </w:tc>
        <w:tc>
          <w:tcPr>
            <w:tcW w:w="514" w:type="dxa"/>
            <w:tcBorders>
              <w:top w:val="single" w:color="auto" w:sz="4"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r>
              <w:rPr>
                <w:rFonts w:hint="eastAsia" w:ascii="宋体" w:hAnsi="宋体" w:cs="Helvetica"/>
                <w:color w:val="000000"/>
                <w:kern w:val="0"/>
                <w:szCs w:val="21"/>
                <w:lang w:val="zh-CN"/>
              </w:rPr>
              <w:t>2</w:t>
            </w:r>
          </w:p>
        </w:tc>
        <w:tc>
          <w:tcPr>
            <w:tcW w:w="7601" w:type="dxa"/>
            <w:gridSpan w:val="2"/>
            <w:tcBorders>
              <w:top w:val="single" w:color="auto" w:sz="4" w:space="0"/>
              <w:left w:val="single" w:color="auto" w:sz="6" w:space="0"/>
              <w:bottom w:val="single" w:color="auto" w:sz="6" w:space="0"/>
              <w:right w:val="single" w:color="auto" w:sz="6" w:space="0"/>
            </w:tcBorders>
            <w:vAlign w:val="center"/>
          </w:tcPr>
          <w:p>
            <w:pPr>
              <w:tabs>
                <w:tab w:val="left" w:pos="275"/>
                <w:tab w:val="left" w:pos="701"/>
              </w:tabs>
              <w:spacing w:line="276" w:lineRule="auto"/>
              <w:rPr>
                <w:rFonts w:ascii="宋体" w:hAnsi="宋体" w:cs="Helvetica"/>
                <w:color w:val="000000"/>
                <w:kern w:val="0"/>
                <w:szCs w:val="21"/>
                <w:lang w:val="zh-CN"/>
              </w:rPr>
            </w:pPr>
            <w:r>
              <w:rPr>
                <w:rFonts w:ascii="宋体" w:hAnsi="宋体" w:cs="Helvetica"/>
                <w:color w:val="000000"/>
                <w:kern w:val="0"/>
                <w:szCs w:val="21"/>
                <w:lang w:val="zh-CN"/>
              </w:rPr>
              <w:t>1</w:t>
            </w:r>
            <w:r>
              <w:rPr>
                <w:rFonts w:hint="eastAsia" w:ascii="宋体" w:hAnsi="宋体" w:cs="Helvetica"/>
                <w:color w:val="000000"/>
                <w:kern w:val="0"/>
                <w:szCs w:val="21"/>
                <w:lang w:val="en-US" w:eastAsia="zh-CN"/>
              </w:rPr>
              <w:t>4</w:t>
            </w:r>
            <w:r>
              <w:rPr>
                <w:rFonts w:hint="eastAsia" w:ascii="宋体" w:hAnsi="宋体" w:cs="Helvetica"/>
                <w:color w:val="000000"/>
                <w:kern w:val="0"/>
                <w:szCs w:val="21"/>
                <w:lang w:val="zh-CN"/>
              </w:rPr>
              <w:t>、投标文件全面响应招标文件要求，编制完整、美观，非活页装订，且有详细目录、连续页码、目录与有关材料装订顺序对应清晰、查阅方便的得2分。不符合要求的，每处扣0.5分，扣完为止</w:t>
            </w:r>
            <w:r>
              <w:rPr>
                <w:rFonts w:ascii="宋体" w:hAnsi="宋体" w:cs="Helvetica"/>
                <w:color w:val="000000"/>
                <w:kern w:val="0"/>
                <w:szCs w:val="21"/>
                <w:lang w:val="zh-CN"/>
              </w:rPr>
              <w:t>。</w:t>
            </w:r>
          </w:p>
        </w:tc>
      </w:tr>
      <w:tr>
        <w:tblPrEx>
          <w:tblCellMar>
            <w:top w:w="0" w:type="dxa"/>
            <w:left w:w="108" w:type="dxa"/>
            <w:bottom w:w="0" w:type="dxa"/>
            <w:right w:w="108" w:type="dxa"/>
          </w:tblCellMar>
        </w:tblPrEx>
        <w:trPr>
          <w:trHeight w:val="274" w:hRule="atLeast"/>
          <w:jc w:val="center"/>
        </w:trPr>
        <w:tc>
          <w:tcPr>
            <w:tcW w:w="680" w:type="dxa"/>
            <w:vMerge w:val="continue"/>
            <w:tcBorders>
              <w:top w:val="single" w:color="auto" w:sz="4" w:space="0"/>
              <w:left w:val="single" w:color="auto" w:sz="4" w:space="0"/>
              <w:right w:val="single" w:color="auto" w:sz="4" w:space="0"/>
            </w:tcBorders>
            <w:vAlign w:val="center"/>
          </w:tcPr>
          <w:p>
            <w:pPr>
              <w:autoSpaceDE w:val="0"/>
              <w:autoSpaceDN w:val="0"/>
              <w:snapToGrid w:val="0"/>
              <w:spacing w:line="360" w:lineRule="exact"/>
              <w:rPr>
                <w:rFonts w:ascii="宋体" w:hAnsi="宋体" w:cs="Helvetica"/>
                <w:b/>
                <w:color w:val="000000"/>
                <w:kern w:val="0"/>
                <w:szCs w:val="21"/>
                <w:lang w:val="zh-CN"/>
              </w:rPr>
            </w:pPr>
          </w:p>
        </w:tc>
        <w:tc>
          <w:tcPr>
            <w:tcW w:w="747" w:type="dxa"/>
            <w:tcBorders>
              <w:top w:val="single" w:color="auto" w:sz="4" w:space="0"/>
              <w:left w:val="single" w:color="auto" w:sz="4"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企业</w:t>
            </w:r>
            <w:r>
              <w:rPr>
                <w:rFonts w:ascii="宋体" w:hAnsi="宋体" w:cs="Helvetica"/>
                <w:b/>
                <w:color w:val="000000"/>
                <w:kern w:val="0"/>
                <w:szCs w:val="21"/>
                <w:lang w:val="zh-CN"/>
              </w:rPr>
              <w:t>实力</w:t>
            </w:r>
          </w:p>
        </w:tc>
        <w:tc>
          <w:tcPr>
            <w:tcW w:w="514" w:type="dxa"/>
            <w:tcBorders>
              <w:top w:val="single" w:color="auto" w:sz="4"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rPr>
            </w:pPr>
            <w:r>
              <w:rPr>
                <w:rFonts w:hint="eastAsia" w:ascii="宋体" w:hAnsi="宋体" w:cs="Helvetica"/>
                <w:color w:val="000000"/>
                <w:kern w:val="0"/>
                <w:szCs w:val="21"/>
              </w:rPr>
              <w:t>6</w:t>
            </w:r>
          </w:p>
        </w:tc>
        <w:tc>
          <w:tcPr>
            <w:tcW w:w="7601" w:type="dxa"/>
            <w:gridSpan w:val="2"/>
            <w:tcBorders>
              <w:top w:val="single" w:color="auto" w:sz="4" w:space="0"/>
              <w:left w:val="single" w:color="auto" w:sz="6" w:space="0"/>
              <w:bottom w:val="single" w:color="auto" w:sz="6" w:space="0"/>
              <w:right w:val="single" w:color="auto" w:sz="6" w:space="0"/>
            </w:tcBorders>
            <w:vAlign w:val="center"/>
          </w:tcPr>
          <w:p>
            <w:pPr>
              <w:tabs>
                <w:tab w:val="left" w:pos="275"/>
                <w:tab w:val="left" w:pos="701"/>
              </w:tabs>
              <w:spacing w:line="276" w:lineRule="auto"/>
              <w:rPr>
                <w:rFonts w:ascii="宋体" w:hAnsi="宋体" w:cs="Helvetica"/>
                <w:b/>
                <w:color w:val="000000"/>
                <w:kern w:val="0"/>
                <w:szCs w:val="21"/>
                <w:lang w:val="zh-CN"/>
              </w:rPr>
            </w:pPr>
            <w:r>
              <w:rPr>
                <w:rFonts w:ascii="宋体" w:hAnsi="宋体" w:cs="Helvetica"/>
                <w:color w:val="000000"/>
                <w:kern w:val="0"/>
                <w:szCs w:val="21"/>
                <w:lang w:val="zh-CN"/>
              </w:rPr>
              <w:t>1</w:t>
            </w:r>
            <w:r>
              <w:rPr>
                <w:rFonts w:hint="eastAsia" w:ascii="宋体" w:hAnsi="宋体" w:cs="Helvetica"/>
                <w:color w:val="000000"/>
                <w:kern w:val="0"/>
                <w:szCs w:val="21"/>
                <w:lang w:val="en-US" w:eastAsia="zh-CN"/>
              </w:rPr>
              <w:t>5</w:t>
            </w:r>
            <w:r>
              <w:rPr>
                <w:rFonts w:hint="eastAsia" w:ascii="宋体" w:hAnsi="宋体" w:cs="Helvetica"/>
                <w:color w:val="000000"/>
                <w:kern w:val="0"/>
                <w:szCs w:val="21"/>
                <w:lang w:val="zh-CN"/>
              </w:rPr>
              <w:t>、投标人企业提供</w:t>
            </w:r>
            <w:r>
              <w:rPr>
                <w:rFonts w:hint="eastAsia" w:ascii="宋体" w:hAnsi="宋体" w:cs="Helvetica"/>
                <w:color w:val="000000"/>
                <w:kern w:val="0"/>
                <w:szCs w:val="21"/>
              </w:rPr>
              <w:t>电子与智能化工程专业承包贰级资质证书</w:t>
            </w:r>
            <w:r>
              <w:rPr>
                <w:rFonts w:hint="eastAsia" w:ascii="宋体" w:hAnsi="宋体" w:cs="Helvetica"/>
                <w:color w:val="000000"/>
                <w:kern w:val="0"/>
                <w:szCs w:val="21"/>
                <w:lang w:val="zh-CN"/>
              </w:rPr>
              <w:t>、音视频集成工程企业资质壹级资质、ITSS运维认证证书，提供一个得1分，满分3分；</w:t>
            </w:r>
            <w:r>
              <w:rPr>
                <w:rFonts w:ascii="宋体" w:hAnsi="宋体" w:cs="Helvetica"/>
                <w:bCs/>
                <w:color w:val="000000"/>
                <w:kern w:val="0"/>
                <w:szCs w:val="21"/>
                <w:lang w:val="zh-CN"/>
              </w:rPr>
              <w:t>（需提供</w:t>
            </w:r>
            <w:r>
              <w:rPr>
                <w:rFonts w:hint="eastAsia" w:ascii="宋体" w:hAnsi="宋体" w:cs="Helvetica"/>
                <w:bCs/>
                <w:color w:val="000000"/>
                <w:kern w:val="0"/>
                <w:szCs w:val="21"/>
                <w:lang w:val="zh-CN"/>
              </w:rPr>
              <w:t>投标人</w:t>
            </w:r>
            <w:r>
              <w:rPr>
                <w:rFonts w:ascii="宋体" w:hAnsi="宋体" w:cs="Helvetica"/>
                <w:bCs/>
                <w:color w:val="000000"/>
                <w:kern w:val="0"/>
                <w:szCs w:val="21"/>
                <w:lang w:val="zh-CN"/>
              </w:rPr>
              <w:t>证书</w:t>
            </w:r>
            <w:r>
              <w:rPr>
                <w:rFonts w:hint="eastAsia" w:ascii="宋体" w:hAnsi="宋体" w:cs="Helvetica"/>
                <w:bCs/>
                <w:color w:val="000000"/>
                <w:kern w:val="0"/>
                <w:szCs w:val="21"/>
                <w:lang w:val="zh-CN"/>
              </w:rPr>
              <w:t>真彩扫描打印件并</w:t>
            </w:r>
            <w:r>
              <w:rPr>
                <w:rFonts w:ascii="宋体" w:hAnsi="宋体" w:cs="Helvetica"/>
                <w:bCs/>
                <w:color w:val="000000"/>
                <w:kern w:val="0"/>
                <w:szCs w:val="21"/>
                <w:lang w:val="zh-CN"/>
              </w:rPr>
              <w:t>加盖制造商</w:t>
            </w:r>
            <w:r>
              <w:rPr>
                <w:rFonts w:hint="eastAsia" w:ascii="宋体" w:hAnsi="宋体" w:cs="Helvetica"/>
                <w:bCs/>
                <w:color w:val="000000"/>
                <w:kern w:val="0"/>
                <w:szCs w:val="21"/>
                <w:lang w:val="zh-CN"/>
              </w:rPr>
              <w:t>鲜章</w:t>
            </w:r>
            <w:r>
              <w:rPr>
                <w:rFonts w:ascii="宋体" w:hAnsi="宋体" w:cs="Helvetica"/>
                <w:b/>
                <w:color w:val="000000"/>
                <w:kern w:val="0"/>
                <w:szCs w:val="21"/>
                <w:lang w:val="zh-CN"/>
              </w:rPr>
              <w:t>）</w:t>
            </w:r>
          </w:p>
          <w:p>
            <w:pPr>
              <w:tabs>
                <w:tab w:val="left" w:pos="275"/>
                <w:tab w:val="left" w:pos="701"/>
              </w:tabs>
              <w:spacing w:line="276" w:lineRule="auto"/>
              <w:rPr>
                <w:rFonts w:ascii="宋体" w:hAnsi="宋体" w:cs="Helvetica"/>
                <w:b/>
                <w:color w:val="000000"/>
                <w:kern w:val="0"/>
                <w:szCs w:val="21"/>
                <w:lang w:val="zh-CN"/>
              </w:rPr>
            </w:pPr>
            <w:r>
              <w:rPr>
                <w:rFonts w:ascii="宋体" w:hAnsi="宋体" w:cs="Helvetica"/>
                <w:b/>
                <w:color w:val="000000"/>
                <w:kern w:val="0"/>
                <w:szCs w:val="21"/>
                <w:lang w:val="zh-CN"/>
              </w:rPr>
              <w:t>1</w:t>
            </w:r>
            <w:r>
              <w:rPr>
                <w:rFonts w:hint="eastAsia" w:ascii="宋体" w:hAnsi="宋体" w:cs="Helvetica"/>
                <w:b/>
                <w:color w:val="000000"/>
                <w:kern w:val="0"/>
                <w:szCs w:val="21"/>
                <w:lang w:val="en-US" w:eastAsia="zh-CN"/>
              </w:rPr>
              <w:t>6</w:t>
            </w:r>
            <w:r>
              <w:rPr>
                <w:rFonts w:hint="eastAsia" w:ascii="宋体" w:hAnsi="宋体" w:cs="Helvetica"/>
                <w:b/>
                <w:color w:val="000000"/>
                <w:kern w:val="0"/>
                <w:szCs w:val="21"/>
                <w:lang w:val="zh-CN"/>
              </w:rPr>
              <w:t>、</w:t>
            </w:r>
            <w:r>
              <w:rPr>
                <w:rFonts w:hint="eastAsia" w:ascii="宋体" w:hAnsi="宋体" w:cs="Helvetica"/>
                <w:color w:val="000000"/>
                <w:kern w:val="0"/>
                <w:szCs w:val="21"/>
                <w:lang w:val="zh-CN"/>
              </w:rPr>
              <w:t>投标人企业具有ISO20000信息技术服务管理体系认证；IS027001信息安全管理体系认证；ISO20000信息技术服务管理体系认证，提供一个得</w:t>
            </w:r>
            <w:r>
              <w:rPr>
                <w:rFonts w:hint="eastAsia" w:ascii="宋体" w:hAnsi="宋体" w:cs="Helvetica"/>
                <w:color w:val="000000"/>
                <w:kern w:val="0"/>
                <w:szCs w:val="21"/>
              </w:rPr>
              <w:t>1分，满分3分；</w:t>
            </w:r>
            <w:r>
              <w:rPr>
                <w:rFonts w:ascii="宋体" w:hAnsi="宋体" w:cs="Helvetica"/>
                <w:bCs/>
                <w:color w:val="000000"/>
                <w:kern w:val="0"/>
                <w:szCs w:val="21"/>
                <w:lang w:val="zh-CN"/>
              </w:rPr>
              <w:t>（需提供</w:t>
            </w:r>
            <w:r>
              <w:rPr>
                <w:rFonts w:hint="eastAsia" w:ascii="宋体" w:hAnsi="宋体" w:cs="Helvetica"/>
                <w:bCs/>
                <w:color w:val="000000"/>
                <w:kern w:val="0"/>
                <w:szCs w:val="21"/>
                <w:lang w:val="zh-CN"/>
              </w:rPr>
              <w:t>投标人</w:t>
            </w:r>
            <w:r>
              <w:rPr>
                <w:rFonts w:ascii="宋体" w:hAnsi="宋体" w:cs="Helvetica"/>
                <w:bCs/>
                <w:color w:val="000000"/>
                <w:kern w:val="0"/>
                <w:szCs w:val="21"/>
                <w:lang w:val="zh-CN"/>
              </w:rPr>
              <w:t>证书</w:t>
            </w:r>
            <w:r>
              <w:rPr>
                <w:rFonts w:hint="eastAsia" w:ascii="宋体" w:hAnsi="宋体" w:cs="Helvetica"/>
                <w:bCs/>
                <w:color w:val="000000"/>
                <w:kern w:val="0"/>
                <w:szCs w:val="21"/>
                <w:lang w:val="zh-CN"/>
              </w:rPr>
              <w:t>真彩扫描打印件并</w:t>
            </w:r>
            <w:r>
              <w:rPr>
                <w:rFonts w:ascii="宋体" w:hAnsi="宋体" w:cs="Helvetica"/>
                <w:bCs/>
                <w:color w:val="000000"/>
                <w:kern w:val="0"/>
                <w:szCs w:val="21"/>
                <w:lang w:val="zh-CN"/>
              </w:rPr>
              <w:t>加盖制造商</w:t>
            </w:r>
            <w:r>
              <w:rPr>
                <w:rFonts w:hint="eastAsia" w:ascii="宋体" w:hAnsi="宋体" w:cs="Helvetica"/>
                <w:bCs/>
                <w:color w:val="000000"/>
                <w:kern w:val="0"/>
                <w:szCs w:val="21"/>
                <w:lang w:val="zh-CN"/>
              </w:rPr>
              <w:t>鲜章）</w:t>
            </w:r>
          </w:p>
        </w:tc>
      </w:tr>
      <w:tr>
        <w:tblPrEx>
          <w:tblCellMar>
            <w:top w:w="0" w:type="dxa"/>
            <w:left w:w="108" w:type="dxa"/>
            <w:bottom w:w="0" w:type="dxa"/>
            <w:right w:w="108" w:type="dxa"/>
          </w:tblCellMar>
        </w:tblPrEx>
        <w:trPr>
          <w:trHeight w:val="791" w:hRule="atLeast"/>
          <w:jc w:val="center"/>
        </w:trPr>
        <w:tc>
          <w:tcPr>
            <w:tcW w:w="680" w:type="dxa"/>
            <w:vMerge w:val="continue"/>
            <w:tcBorders>
              <w:left w:val="single" w:color="auto" w:sz="4" w:space="0"/>
              <w:bottom w:val="single" w:color="auto" w:sz="6" w:space="0"/>
              <w:right w:val="single" w:color="auto" w:sz="4" w:space="0"/>
            </w:tcBorders>
          </w:tcPr>
          <w:p>
            <w:pPr>
              <w:autoSpaceDE w:val="0"/>
              <w:autoSpaceDN w:val="0"/>
              <w:snapToGrid w:val="0"/>
              <w:spacing w:line="360" w:lineRule="exact"/>
              <w:rPr>
                <w:rFonts w:ascii="宋体" w:hAnsi="宋体" w:cs="Helvetica"/>
                <w:color w:val="000000"/>
                <w:kern w:val="0"/>
                <w:szCs w:val="21"/>
                <w:lang w:val="zh-CN"/>
              </w:rPr>
            </w:pPr>
          </w:p>
        </w:tc>
        <w:tc>
          <w:tcPr>
            <w:tcW w:w="747" w:type="dxa"/>
            <w:tcBorders>
              <w:top w:val="single" w:color="auto" w:sz="6" w:space="0"/>
              <w:left w:val="single" w:color="auto" w:sz="4"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售后</w:t>
            </w:r>
          </w:p>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服务</w:t>
            </w:r>
          </w:p>
        </w:tc>
        <w:tc>
          <w:tcPr>
            <w:tcW w:w="514"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rPr>
            </w:pPr>
            <w:r>
              <w:rPr>
                <w:rFonts w:hint="eastAsia" w:ascii="宋体" w:hAnsi="宋体" w:cs="Helvetica"/>
                <w:color w:val="000000"/>
                <w:kern w:val="0"/>
                <w:szCs w:val="21"/>
              </w:rPr>
              <w:t>12</w:t>
            </w:r>
          </w:p>
        </w:tc>
        <w:tc>
          <w:tcPr>
            <w:tcW w:w="760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cs="Helvetica"/>
                <w:color w:val="000000"/>
                <w:kern w:val="0"/>
                <w:szCs w:val="21"/>
                <w:lang w:val="zh-CN"/>
              </w:rPr>
            </w:pPr>
            <w:r>
              <w:rPr>
                <w:rFonts w:hint="eastAsia" w:ascii="宋体" w:hAnsi="宋体" w:cs="Helvetica"/>
                <w:color w:val="000000"/>
                <w:kern w:val="0"/>
                <w:szCs w:val="21"/>
                <w:lang w:val="zh-CN"/>
              </w:rPr>
              <w:t>1</w:t>
            </w:r>
            <w:r>
              <w:rPr>
                <w:rFonts w:hint="eastAsia" w:ascii="宋体" w:hAnsi="宋体" w:cs="Helvetica"/>
                <w:color w:val="000000"/>
                <w:kern w:val="0"/>
                <w:szCs w:val="21"/>
                <w:lang w:val="en-US" w:eastAsia="zh-CN"/>
              </w:rPr>
              <w:t>7</w:t>
            </w:r>
            <w:r>
              <w:rPr>
                <w:rFonts w:hint="eastAsia" w:ascii="宋体" w:hAnsi="宋体" w:cs="Helvetica"/>
                <w:color w:val="000000"/>
                <w:kern w:val="0"/>
                <w:szCs w:val="21"/>
                <w:lang w:val="zh-CN"/>
              </w:rPr>
              <w:t>、</w:t>
            </w:r>
            <w:r>
              <w:rPr>
                <w:rFonts w:ascii="宋体" w:hAnsi="宋体" w:cs="Helvetica"/>
                <w:color w:val="000000"/>
                <w:kern w:val="0"/>
                <w:szCs w:val="21"/>
                <w:lang w:val="zh-CN"/>
              </w:rPr>
              <w:t>所投“教学一体机（含OPS电脑）”产品在本项目质保期叁年要求基础上，每多提供壹年原厂质保得1.5分，满6分</w:t>
            </w:r>
            <w:r>
              <w:rPr>
                <w:rFonts w:hint="eastAsia" w:ascii="宋体" w:hAnsi="宋体" w:cs="Helvetica"/>
                <w:color w:val="000000"/>
                <w:kern w:val="0"/>
                <w:szCs w:val="21"/>
                <w:lang w:val="zh-CN"/>
              </w:rPr>
              <w:t>；（</w:t>
            </w:r>
            <w:r>
              <w:rPr>
                <w:rFonts w:ascii="宋体" w:hAnsi="宋体" w:cs="Helvetica"/>
                <w:color w:val="000000"/>
                <w:kern w:val="0"/>
                <w:szCs w:val="21"/>
                <w:lang w:val="zh-CN"/>
              </w:rPr>
              <w:t>须提供设备厂家原厂质保承诺函</w:t>
            </w:r>
            <w:r>
              <w:rPr>
                <w:rFonts w:hint="eastAsia" w:ascii="宋体" w:hAnsi="宋体" w:cs="Helvetica"/>
                <w:color w:val="000000"/>
                <w:kern w:val="0"/>
                <w:szCs w:val="21"/>
                <w:lang w:val="zh-CN"/>
              </w:rPr>
              <w:t>原件</w:t>
            </w:r>
            <w:r>
              <w:rPr>
                <w:rFonts w:ascii="宋体" w:hAnsi="宋体" w:cs="Helvetica"/>
                <w:color w:val="000000"/>
                <w:kern w:val="0"/>
                <w:szCs w:val="21"/>
                <w:lang w:val="zh-CN"/>
              </w:rPr>
              <w:t>并加盖设备厂商</w:t>
            </w:r>
            <w:r>
              <w:rPr>
                <w:rFonts w:hint="eastAsia" w:ascii="宋体" w:hAnsi="宋体" w:cs="Helvetica"/>
                <w:color w:val="000000"/>
                <w:kern w:val="0"/>
                <w:szCs w:val="21"/>
                <w:lang w:val="zh-CN"/>
              </w:rPr>
              <w:t>鲜章）</w:t>
            </w:r>
          </w:p>
          <w:p>
            <w:pPr>
              <w:spacing w:line="360" w:lineRule="exact"/>
              <w:rPr>
                <w:rFonts w:ascii="宋体" w:hAnsi="宋体" w:cs="Helvetica"/>
                <w:color w:val="000000"/>
                <w:kern w:val="0"/>
                <w:szCs w:val="21"/>
                <w:lang w:val="zh-CN"/>
              </w:rPr>
            </w:pPr>
            <w:r>
              <w:rPr>
                <w:rFonts w:ascii="宋体" w:hAnsi="宋体" w:cs="Helvetica"/>
                <w:color w:val="000000"/>
                <w:kern w:val="0"/>
                <w:szCs w:val="21"/>
                <w:lang w:val="zh-CN"/>
              </w:rPr>
              <w:t>1</w:t>
            </w:r>
            <w:r>
              <w:rPr>
                <w:rFonts w:hint="eastAsia" w:ascii="宋体" w:hAnsi="宋体" w:cs="Helvetica"/>
                <w:color w:val="000000"/>
                <w:kern w:val="0"/>
                <w:szCs w:val="21"/>
                <w:lang w:val="en-US" w:eastAsia="zh-CN"/>
              </w:rPr>
              <w:t>8</w:t>
            </w:r>
            <w:r>
              <w:rPr>
                <w:rFonts w:hint="eastAsia" w:ascii="宋体" w:hAnsi="宋体" w:cs="Helvetica"/>
                <w:color w:val="000000"/>
                <w:kern w:val="0"/>
                <w:szCs w:val="21"/>
                <w:lang w:val="zh-CN"/>
              </w:rPr>
              <w:t>、</w:t>
            </w:r>
            <w:r>
              <w:rPr>
                <w:rFonts w:hAnsi="宋体" w:cs="Helvetica"/>
                <w:color w:val="000000"/>
                <w:kern w:val="0"/>
                <w:szCs w:val="21"/>
                <w:lang w:val="zh-CN"/>
              </w:rPr>
              <w:t>投标方在本项目叁年基本运维基础上，每多提供壹年运维服务的1分，满分</w:t>
            </w:r>
            <w:r>
              <w:rPr>
                <w:rFonts w:hint="eastAsia" w:hAnsi="宋体" w:cs="Helvetica"/>
                <w:color w:val="000000"/>
                <w:kern w:val="0"/>
                <w:szCs w:val="21"/>
                <w:lang w:val="zh-CN"/>
              </w:rPr>
              <w:t>3</w:t>
            </w:r>
            <w:r>
              <w:rPr>
                <w:rFonts w:hAnsi="宋体" w:cs="Helvetica"/>
                <w:color w:val="000000"/>
                <w:kern w:val="0"/>
                <w:szCs w:val="21"/>
                <w:lang w:val="zh-CN"/>
              </w:rPr>
              <w:t>分</w:t>
            </w:r>
            <w:r>
              <w:rPr>
                <w:rFonts w:hint="eastAsia" w:hAnsi="宋体" w:cs="Helvetica"/>
                <w:color w:val="000000"/>
                <w:kern w:val="0"/>
                <w:szCs w:val="21"/>
                <w:lang w:val="zh-CN"/>
              </w:rPr>
              <w:t>；（</w:t>
            </w:r>
            <w:r>
              <w:rPr>
                <w:rFonts w:hAnsi="宋体" w:cs="Helvetica"/>
                <w:color w:val="000000"/>
                <w:kern w:val="0"/>
                <w:szCs w:val="21"/>
                <w:lang w:val="zh-CN"/>
              </w:rPr>
              <w:t>须提供</w:t>
            </w:r>
            <w:r>
              <w:rPr>
                <w:rFonts w:hint="eastAsia" w:hAnsi="宋体" w:cs="Helvetica"/>
                <w:color w:val="000000"/>
                <w:kern w:val="0"/>
                <w:szCs w:val="21"/>
                <w:lang w:val="zh-CN"/>
              </w:rPr>
              <w:t>投标人</w:t>
            </w:r>
            <w:r>
              <w:rPr>
                <w:rFonts w:hAnsi="宋体" w:cs="Helvetica"/>
                <w:color w:val="000000"/>
                <w:kern w:val="0"/>
                <w:szCs w:val="21"/>
                <w:lang w:val="zh-CN"/>
              </w:rPr>
              <w:t>承诺函</w:t>
            </w:r>
            <w:r>
              <w:rPr>
                <w:rFonts w:hint="eastAsia" w:hAnsi="宋体" w:cs="Helvetica"/>
                <w:color w:val="000000"/>
                <w:kern w:val="0"/>
                <w:szCs w:val="21"/>
                <w:lang w:val="zh-CN"/>
              </w:rPr>
              <w:t>原件</w:t>
            </w:r>
            <w:r>
              <w:rPr>
                <w:rFonts w:hAnsi="宋体" w:cs="Helvetica"/>
                <w:color w:val="000000"/>
                <w:kern w:val="0"/>
                <w:szCs w:val="21"/>
                <w:lang w:val="zh-CN"/>
              </w:rPr>
              <w:t>并加盖投标人</w:t>
            </w:r>
            <w:r>
              <w:rPr>
                <w:rFonts w:hint="eastAsia" w:hAnsi="宋体" w:cs="Helvetica"/>
                <w:color w:val="000000"/>
                <w:kern w:val="0"/>
                <w:szCs w:val="21"/>
                <w:lang w:val="zh-CN"/>
              </w:rPr>
              <w:t>鲜章）</w:t>
            </w:r>
          </w:p>
          <w:p>
            <w:pPr>
              <w:spacing w:line="360" w:lineRule="exact"/>
              <w:rPr>
                <w:rFonts w:hAnsi="宋体" w:cs="Helvetica"/>
                <w:color w:val="000000"/>
                <w:kern w:val="0"/>
                <w:szCs w:val="21"/>
                <w:lang w:val="zh-CN"/>
              </w:rPr>
            </w:pPr>
            <w:r>
              <w:rPr>
                <w:rFonts w:hint="eastAsia" w:ascii="宋体" w:hAnsi="宋体" w:cs="Helvetica"/>
                <w:color w:val="000000"/>
                <w:kern w:val="0"/>
                <w:szCs w:val="21"/>
                <w:lang w:val="zh-CN"/>
              </w:rPr>
              <w:t>1</w:t>
            </w:r>
            <w:r>
              <w:rPr>
                <w:rFonts w:hint="eastAsia" w:ascii="宋体" w:hAnsi="宋体" w:cs="Helvetica"/>
                <w:color w:val="000000"/>
                <w:kern w:val="0"/>
                <w:szCs w:val="21"/>
                <w:lang w:val="en-US" w:eastAsia="zh-CN"/>
              </w:rPr>
              <w:t>9</w:t>
            </w:r>
            <w:bookmarkStart w:id="267" w:name="_GoBack"/>
            <w:bookmarkEnd w:id="267"/>
            <w:r>
              <w:rPr>
                <w:rFonts w:hint="eastAsia" w:ascii="宋体" w:hAnsi="宋体" w:cs="Helvetica"/>
                <w:color w:val="000000"/>
                <w:kern w:val="0"/>
                <w:szCs w:val="21"/>
                <w:lang w:val="zh-CN"/>
              </w:rPr>
              <w:t>、设备厂家培训讲师具备教育信息化信息技术学科应用“国培计划”项目专家资格得3分；（须提供211重点师范类高校、省级或以上教育主管部门的证明材料复印件加盖设备厂家鲜章）</w:t>
            </w:r>
          </w:p>
        </w:tc>
      </w:tr>
    </w:tbl>
    <w:p>
      <w:pPr>
        <w:pStyle w:val="2"/>
        <w:ind w:firstLine="560" w:firstLineChars="200"/>
        <w:rPr>
          <w:rFonts w:hAnsi="宋体" w:eastAsia="宋体" w:cs="宋体"/>
          <w:bCs/>
          <w:color w:val="FF0000"/>
          <w:sz w:val="28"/>
          <w:szCs w:val="28"/>
        </w:rPr>
      </w:pPr>
    </w:p>
    <w:p>
      <w:pPr>
        <w:pStyle w:val="2"/>
        <w:ind w:firstLine="560" w:firstLineChars="200"/>
        <w:rPr>
          <w:rFonts w:hAnsi="宋体" w:eastAsia="宋体" w:cs="宋体"/>
          <w:bCs/>
          <w:color w:val="FF0000"/>
          <w:sz w:val="28"/>
          <w:szCs w:val="28"/>
        </w:rPr>
      </w:pPr>
      <w:r>
        <w:rPr>
          <w:rFonts w:hint="eastAsia" w:hAnsi="宋体" w:eastAsia="宋体" w:cs="宋体"/>
          <w:bCs/>
          <w:color w:val="FF0000"/>
          <w:sz w:val="28"/>
          <w:szCs w:val="28"/>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pStyle w:val="19"/>
        <w:rPr>
          <w:rFonts w:asciiTheme="minorHAnsi" w:hAnsiTheme="minorHAnsi" w:eastAsiaTheme="minorEastAsia" w:cstheme="minorBidi"/>
          <w:b w:val="0"/>
          <w:bCs w:val="0"/>
          <w:color w:val="auto"/>
          <w:kern w:val="2"/>
          <w:sz w:val="21"/>
          <w:szCs w:val="22"/>
        </w:rPr>
      </w:pPr>
    </w:p>
    <w:p/>
    <w:p/>
    <w:p/>
    <w:p>
      <w:pPr>
        <w:pStyle w:val="3"/>
        <w:numPr>
          <w:ilvl w:val="0"/>
          <w:numId w:val="1"/>
        </w:numPr>
        <w:jc w:val="center"/>
        <w:rPr>
          <w:rFonts w:ascii="黑体" w:hAnsi="黑体" w:eastAsia="黑体"/>
          <w:color w:val="000000" w:themeColor="text1"/>
          <w14:textFill>
            <w14:solidFill>
              <w14:schemeClr w14:val="tx1"/>
            </w14:solidFill>
          </w14:textFill>
        </w:rPr>
      </w:pPr>
      <w:bookmarkStart w:id="58" w:name="_Toc494721093"/>
      <w:bookmarkStart w:id="59" w:name="_Toc494664993"/>
      <w:bookmarkStart w:id="60" w:name="_Toc494745310"/>
      <w:bookmarkStart w:id="61" w:name="_Toc494665943"/>
      <w:bookmarkStart w:id="62" w:name="_Toc5740"/>
      <w:bookmarkStart w:id="63" w:name="_Toc494665546"/>
      <w:bookmarkStart w:id="64" w:name="_Toc494702263"/>
      <w:r>
        <w:rPr>
          <w:rFonts w:hint="eastAsia" w:ascii="黑体" w:hAnsi="黑体" w:eastAsia="黑体"/>
          <w:color w:val="000000" w:themeColor="text1"/>
          <w14:textFill>
            <w14:solidFill>
              <w14:schemeClr w14:val="tx1"/>
            </w14:solidFill>
          </w14:textFill>
        </w:rPr>
        <w:t>合同书格式（参考）</w:t>
      </w:r>
      <w:bookmarkEnd w:id="58"/>
      <w:bookmarkEnd w:id="59"/>
      <w:bookmarkEnd w:id="60"/>
      <w:bookmarkEnd w:id="61"/>
      <w:bookmarkEnd w:id="62"/>
      <w:bookmarkEnd w:id="63"/>
      <w:bookmarkEnd w:id="64"/>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color w:val="000000" w:themeColor="text1"/>
          <w:kern w:val="0"/>
          <w:sz w:val="36"/>
          <w:szCs w:val="36"/>
          <w14:textFill>
            <w14:solidFill>
              <w14:schemeClr w14:val="tx1"/>
            </w14:solidFill>
          </w14:textFill>
        </w:rPr>
      </w:pPr>
      <w:r>
        <w:rPr>
          <w:rFonts w:hint="eastAsia" w:ascii="宋体" w:hAnsi="宋体" w:eastAsia="宋体" w:cs="Times New Roman"/>
          <w:b/>
          <w:color w:val="000000" w:themeColor="text1"/>
          <w:kern w:val="0"/>
          <w:sz w:val="36"/>
          <w:szCs w:val="36"/>
          <w14:textFill>
            <w14:solidFill>
              <w14:schemeClr w14:val="tx1"/>
            </w14:solidFill>
          </w14:textFill>
        </w:rPr>
        <w:t>合   同   书</w:t>
      </w:r>
    </w:p>
    <w:p>
      <w:pPr>
        <w:spacing w:before="78" w:beforeLines="25"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项目名称：</w:t>
      </w:r>
    </w:p>
    <w:p>
      <w:pPr>
        <w:spacing w:before="78" w:beforeLines="25"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合同编号：</w:t>
      </w:r>
    </w:p>
    <w:p>
      <w:pPr>
        <w:spacing w:before="78" w:beforeLines="25"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签订日期：</w:t>
      </w:r>
    </w:p>
    <w:p>
      <w:pPr>
        <w:spacing w:before="78" w:beforeLines="25"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签订合同地点：</w:t>
      </w:r>
    </w:p>
    <w:p>
      <w:pPr>
        <w:spacing w:before="78" w:beforeLines="25" w:line="360" w:lineRule="auto"/>
        <w:ind w:firstLine="480" w:firstLineChars="200"/>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本合同由</w:t>
      </w:r>
      <w:r>
        <w:rPr>
          <w:rFonts w:hint="eastAsia" w:ascii="Helvetica" w:hAnsi="Helvetica" w:eastAsia="宋体" w:cs="Helvetica"/>
          <w:color w:val="000000" w:themeColor="text1"/>
          <w:kern w:val="0"/>
          <w:sz w:val="24"/>
          <w:szCs w:val="24"/>
          <w:u w:val="single"/>
          <w:lang w:val="zh-CN"/>
          <w14:textFill>
            <w14:solidFill>
              <w14:schemeClr w14:val="tx1"/>
            </w14:solidFill>
          </w14:textFill>
        </w:rPr>
        <w:t>（采购人）</w:t>
      </w:r>
      <w:r>
        <w:rPr>
          <w:rFonts w:hint="eastAsia" w:ascii="Helvetica" w:hAnsi="Helvetica" w:eastAsia="宋体" w:cs="Helvetica"/>
          <w:color w:val="000000" w:themeColor="text1"/>
          <w:kern w:val="0"/>
          <w:sz w:val="24"/>
          <w:szCs w:val="24"/>
          <w:lang w:val="zh-CN"/>
          <w14:textFill>
            <w14:solidFill>
              <w14:schemeClr w14:val="tx1"/>
            </w14:solidFill>
          </w14:textFill>
        </w:rPr>
        <w:t>（以下简称“甲方”）与</w:t>
      </w:r>
      <w:r>
        <w:rPr>
          <w:rFonts w:hint="eastAsia" w:ascii="Helvetica" w:hAnsi="Helvetica" w:eastAsia="宋体" w:cs="Helvetica"/>
          <w:color w:val="000000" w:themeColor="text1"/>
          <w:kern w:val="0"/>
          <w:sz w:val="24"/>
          <w:szCs w:val="24"/>
          <w:u w:val="single"/>
          <w:lang w:val="zh-CN"/>
          <w14:textFill>
            <w14:solidFill>
              <w14:schemeClr w14:val="tx1"/>
            </w14:solidFill>
          </w14:textFill>
        </w:rPr>
        <w:t>（中标人）</w:t>
      </w:r>
      <w:r>
        <w:rPr>
          <w:rFonts w:hint="eastAsia" w:ascii="Helvetica" w:hAnsi="Helvetica" w:eastAsia="宋体" w:cs="Helvetica"/>
          <w:color w:val="000000" w:themeColor="text1"/>
          <w:kern w:val="0"/>
          <w:sz w:val="24"/>
          <w:szCs w:val="24"/>
          <w:lang w:val="zh-CN"/>
          <w14:textFill>
            <w14:solidFill>
              <w14:schemeClr w14:val="tx1"/>
            </w14:solidFill>
          </w14:textFill>
        </w:rPr>
        <w:t>（以下简称“乙方”）签订。乙方以总金额万元人民币（用大写数字书写）向甲方提供如下货物（工程或服务）：</w:t>
      </w:r>
    </w:p>
    <w:p>
      <w:pPr>
        <w:spacing w:before="78" w:beforeLines="25" w:line="360" w:lineRule="auto"/>
        <w:ind w:firstLine="489" w:firstLineChars="204"/>
        <w:contextualSpacing/>
        <w:rPr>
          <w:rFonts w:ascii="宋体" w:hAnsi="宋体" w:eastAsia="宋体" w:cs="Times New Roman"/>
          <w:b/>
          <w:color w:val="000000" w:themeColor="text1"/>
          <w:kern w:val="0"/>
          <w:sz w:val="24"/>
          <w:szCs w:val="20"/>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经双方协商，同意按下列条文执行：</w:t>
      </w:r>
    </w:p>
    <w:p>
      <w:pPr>
        <w:numPr>
          <w:ilvl w:val="3"/>
          <w:numId w:val="55"/>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本合同甲、乙双方应遵守国家颁布的《中华人民共和国合同法》、《中华人民共和国政府采购法》，并各自履行应负的全部责任和义务。</w:t>
      </w:r>
    </w:p>
    <w:p>
      <w:pPr>
        <w:numPr>
          <w:ilvl w:val="3"/>
          <w:numId w:val="55"/>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甲方保证按合同条款规定的时间和方式付给乙方到期应付的合同款，并承担应负的责任和义务。</w:t>
      </w:r>
    </w:p>
    <w:p>
      <w:pPr>
        <w:numPr>
          <w:ilvl w:val="3"/>
          <w:numId w:val="55"/>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乙方保证按合同条款规定的内容和工期（服务期限）向甲方提供合格的货物（工程或服务），并承担应负的责任和义务。</w:t>
      </w:r>
    </w:p>
    <w:p>
      <w:pPr>
        <w:numPr>
          <w:ilvl w:val="3"/>
          <w:numId w:val="55"/>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合同文件。下列文件为本合同不可分割的部分：</w:t>
      </w:r>
    </w:p>
    <w:p>
      <w:pPr>
        <w:numPr>
          <w:ilvl w:val="0"/>
          <w:numId w:val="56"/>
        </w:numPr>
        <w:adjustRightInd w:val="0"/>
        <w:spacing w:before="78"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招标文件（项目编号：</w:t>
      </w:r>
      <w:r>
        <w:rPr>
          <w:rFonts w:hint="eastAsia" w:ascii="宋体" w:hAnsi="宋体" w:eastAsia="宋体" w:cs="Times New Roman"/>
          <w:color w:val="000000" w:themeColor="text1"/>
          <w:kern w:val="0"/>
          <w:sz w:val="24"/>
          <w:szCs w:val="20"/>
          <w:u w:val="single"/>
          <w:lang w:val="zh-CN"/>
          <w14:textFill>
            <w14:solidFill>
              <w14:schemeClr w14:val="tx1"/>
            </w14:solidFill>
          </w14:textFill>
        </w:rPr>
        <w:t>　　            　</w:t>
      </w:r>
      <w:r>
        <w:rPr>
          <w:rFonts w:hint="eastAsia" w:ascii="宋体" w:hAnsi="宋体" w:eastAsia="宋体" w:cs="Times New Roman"/>
          <w:color w:val="000000" w:themeColor="text1"/>
          <w:kern w:val="0"/>
          <w:sz w:val="24"/>
          <w:szCs w:val="20"/>
          <w:lang w:val="zh-CN"/>
          <w14:textFill>
            <w14:solidFill>
              <w14:schemeClr w14:val="tx1"/>
            </w14:solidFill>
          </w14:textFill>
        </w:rPr>
        <w:t>）；</w:t>
      </w:r>
    </w:p>
    <w:p>
      <w:pPr>
        <w:numPr>
          <w:ilvl w:val="0"/>
          <w:numId w:val="56"/>
        </w:numPr>
        <w:adjustRightInd w:val="0"/>
        <w:spacing w:before="78"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中标的投标文件；</w:t>
      </w:r>
    </w:p>
    <w:p>
      <w:pPr>
        <w:numPr>
          <w:ilvl w:val="0"/>
          <w:numId w:val="56"/>
        </w:numPr>
        <w:adjustRightInd w:val="0"/>
        <w:spacing w:before="78"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合同书；</w:t>
      </w:r>
    </w:p>
    <w:p>
      <w:pPr>
        <w:numPr>
          <w:ilvl w:val="0"/>
          <w:numId w:val="56"/>
        </w:numPr>
        <w:adjustRightInd w:val="0"/>
        <w:spacing w:before="78"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合同条款；</w:t>
      </w:r>
    </w:p>
    <w:p>
      <w:pPr>
        <w:numPr>
          <w:ilvl w:val="0"/>
          <w:numId w:val="56"/>
        </w:numPr>
        <w:adjustRightInd w:val="0"/>
        <w:spacing w:before="78"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集中采购机构发出的中标通知书；</w:t>
      </w:r>
    </w:p>
    <w:p>
      <w:pPr>
        <w:numPr>
          <w:ilvl w:val="0"/>
          <w:numId w:val="56"/>
        </w:numPr>
        <w:adjustRightInd w:val="0"/>
        <w:spacing w:before="78"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附件；</w:t>
      </w:r>
    </w:p>
    <w:p>
      <w:pPr>
        <w:numPr>
          <w:ilvl w:val="0"/>
          <w:numId w:val="57"/>
        </w:numPr>
        <w:spacing w:before="78" w:beforeLines="25" w:line="360" w:lineRule="auto"/>
        <w:ind w:left="1358" w:hanging="72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甲方</w:t>
      </w:r>
      <w:r>
        <w:rPr>
          <w:rFonts w:hint="eastAsia" w:ascii="宋体" w:hAnsi="宋体" w:eastAsia="宋体" w:cs="Times New Roman"/>
          <w:color w:val="000000" w:themeColor="text1"/>
          <w:sz w:val="24"/>
          <w:szCs w:val="20"/>
          <w:lang w:val="zh-CN"/>
          <w14:textFill>
            <w14:solidFill>
              <w14:schemeClr w14:val="tx1"/>
            </w14:solidFill>
          </w14:textFill>
        </w:rPr>
        <w:t>在招标期间发布的所有补充通知；</w:t>
      </w:r>
    </w:p>
    <w:p>
      <w:pPr>
        <w:numPr>
          <w:ilvl w:val="0"/>
          <w:numId w:val="57"/>
        </w:numPr>
        <w:spacing w:before="78" w:beforeLines="25" w:line="360" w:lineRule="auto"/>
        <w:ind w:left="1358" w:hanging="724"/>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乙方在投标期内补充的所有书面文件；</w:t>
      </w:r>
    </w:p>
    <w:p>
      <w:pPr>
        <w:numPr>
          <w:ilvl w:val="0"/>
          <w:numId w:val="57"/>
        </w:numPr>
        <w:spacing w:before="78" w:beforeLines="25" w:line="360" w:lineRule="auto"/>
        <w:ind w:left="1358" w:hanging="724"/>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乙方在投标时随同投标文件一起递送的资料及附图；</w:t>
      </w:r>
    </w:p>
    <w:p>
      <w:pPr>
        <w:numPr>
          <w:ilvl w:val="0"/>
          <w:numId w:val="57"/>
        </w:numPr>
        <w:spacing w:before="78" w:beforeLines="25" w:line="360" w:lineRule="auto"/>
        <w:ind w:left="1358" w:hanging="724"/>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在商洽本合同时，双方澄清、确认并共同签字的补充文件、技术协议。</w:t>
      </w:r>
    </w:p>
    <w:p>
      <w:pPr>
        <w:numPr>
          <w:ilvl w:val="3"/>
          <w:numId w:val="55"/>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合同范围和条件。本合同的范围和条件应与上述规定的合同文件内容相一致。</w:t>
      </w:r>
    </w:p>
    <w:p>
      <w:pPr>
        <w:numPr>
          <w:ilvl w:val="3"/>
          <w:numId w:val="55"/>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货物（工程或服务）及数量。本合同所提供的货物（工程或服务）及数量详见招标文件的要求及乙方投标文件中的承诺。</w:t>
      </w:r>
    </w:p>
    <w:p>
      <w:pPr>
        <w:numPr>
          <w:ilvl w:val="3"/>
          <w:numId w:val="55"/>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付款条件。本合同的付款条件按招标文件规定执行。</w:t>
      </w:r>
    </w:p>
    <w:p>
      <w:pPr>
        <w:numPr>
          <w:ilvl w:val="3"/>
          <w:numId w:val="55"/>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合同金额。合同总金额见合同书，分项价格在乙方的投标报价表中有明确规定。</w:t>
      </w:r>
    </w:p>
    <w:p>
      <w:pPr>
        <w:numPr>
          <w:ilvl w:val="3"/>
          <w:numId w:val="55"/>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工期和交货（服务）地点。本合同中货物（工程或服务）的工期、交货（服务）地点在招标文件中有明确规定。</w:t>
      </w:r>
    </w:p>
    <w:p>
      <w:pPr>
        <w:numPr>
          <w:ilvl w:val="3"/>
          <w:numId w:val="55"/>
        </w:numPr>
        <w:tabs>
          <w:tab w:val="left" w:pos="980"/>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合同生效。本合同经甲、乙双方授权代表签字和加盖公章（或合同专用章）后生效。如招标申请公证的，合同需经公证机构公证后生效。</w:t>
      </w:r>
    </w:p>
    <w:p>
      <w:pPr>
        <w:numPr>
          <w:ilvl w:val="3"/>
          <w:numId w:val="55"/>
        </w:numPr>
        <w:tabs>
          <w:tab w:val="left" w:pos="980"/>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合同的份数。本合同正本一式</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份，甲方执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份，乙方执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份；副本一式</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份，甲方执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份，乙方执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w:t>
      </w:r>
    </w:p>
    <w:p>
      <w:pPr>
        <w:numPr>
          <w:ilvl w:val="3"/>
          <w:numId w:val="55"/>
        </w:numPr>
        <w:tabs>
          <w:tab w:val="left" w:pos="980"/>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合同的失效。本合同在合同价款全部结清后失效。</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甲　　方：</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乙　　方：</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单位名称（盖章）：</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单位名称（盖章）：</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单位地址：</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单位地址：</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法人代表授权人(签字)：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法人代表授权人(签字)：</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联 系 人：</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联 系 人：</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电　　话：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电　　话：</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传　　真：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传　　真：</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邮政编码：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邮政编码：</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开户银行：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开户银行：</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帐　　号：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帐　　号：</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税　　号：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税　　号：</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1"/>
        </w:numPr>
        <w:jc w:val="center"/>
        <w:rPr>
          <w:rFonts w:ascii="黑体" w:hAnsi="黑体" w:eastAsia="黑体"/>
          <w:color w:val="000000" w:themeColor="text1"/>
          <w14:textFill>
            <w14:solidFill>
              <w14:schemeClr w14:val="tx1"/>
            </w14:solidFill>
          </w14:textFill>
        </w:rPr>
      </w:pPr>
      <w:bookmarkStart w:id="65" w:name="_Toc494702264"/>
      <w:bookmarkStart w:id="66" w:name="_Toc494721094"/>
      <w:bookmarkStart w:id="67" w:name="_Toc30816"/>
      <w:bookmarkStart w:id="68" w:name="_Toc494745311"/>
      <w:bookmarkStart w:id="69" w:name="_Toc494664994"/>
      <w:bookmarkStart w:id="70" w:name="_Toc494665547"/>
      <w:bookmarkStart w:id="71" w:name="_Toc494665944"/>
      <w:r>
        <w:rPr>
          <w:rFonts w:hint="eastAsia" w:ascii="黑体" w:hAnsi="黑体" w:eastAsia="黑体"/>
          <w:color w:val="000000" w:themeColor="text1"/>
          <w14:textFill>
            <w14:solidFill>
              <w14:schemeClr w14:val="tx1"/>
            </w14:solidFill>
          </w14:textFill>
        </w:rPr>
        <w:t>投标文件格式（参考）</w:t>
      </w:r>
      <w:bookmarkEnd w:id="65"/>
      <w:bookmarkEnd w:id="66"/>
      <w:bookmarkEnd w:id="67"/>
      <w:bookmarkEnd w:id="68"/>
      <w:bookmarkEnd w:id="69"/>
      <w:bookmarkEnd w:id="70"/>
      <w:bookmarkEnd w:id="71"/>
    </w:p>
    <w:p>
      <w:pPr>
        <w:spacing w:after="780" w:afterLines="250"/>
        <w:jc w:val="center"/>
        <w:rPr>
          <w:rFonts w:ascii="黑体" w:hAnsi="黑体" w:eastAsia="黑体"/>
          <w:b/>
          <w:color w:val="000000" w:themeColor="text1"/>
          <w:sz w:val="56"/>
          <w:szCs w:val="56"/>
          <w14:textFill>
            <w14:solidFill>
              <w14:schemeClr w14:val="tx1"/>
            </w14:solidFill>
          </w14:textFill>
        </w:rPr>
      </w:pPr>
      <w:r>
        <w:rPr>
          <w:rFonts w:hint="eastAsia" w:ascii="黑体" w:hAnsi="黑体" w:eastAsia="黑体"/>
          <w:b/>
          <w:color w:val="000000" w:themeColor="text1"/>
          <w:sz w:val="56"/>
          <w:szCs w:val="56"/>
          <w14:textFill>
            <w14:solidFill>
              <w14:schemeClr w14:val="tx1"/>
            </w14:solidFill>
          </w14:textFill>
        </w:rPr>
        <w:t>阳新县县级政府采购</w:t>
      </w:r>
    </w:p>
    <w:p>
      <w:pPr>
        <w:spacing w:after="624"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 标 文 件</w:t>
      </w:r>
    </w:p>
    <w:p>
      <w:pPr>
        <w:spacing w:after="624" w:afterLines="200"/>
        <w:jc w:val="center"/>
        <w:rPr>
          <w:rFonts w:ascii="黑体" w:hAnsi="黑体" w:eastAsia="黑体"/>
          <w:b/>
          <w:color w:val="000000" w:themeColor="text1"/>
          <w:sz w:val="144"/>
          <w:szCs w:val="144"/>
          <w14:textFill>
            <w14:solidFill>
              <w14:schemeClr w14:val="tx1"/>
            </w14:solidFill>
          </w14:textFill>
        </w:rPr>
      </w:pPr>
    </w:p>
    <w:p>
      <w:pPr>
        <w:pStyle w:val="4"/>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72" w:name="_Toc494665945"/>
      <w:bookmarkStart w:id="73" w:name="_Toc494665548"/>
      <w:bookmarkStart w:id="74" w:name="_Toc494702265"/>
      <w:bookmarkStart w:id="75" w:name="_Toc494745312"/>
      <w:bookmarkStart w:id="76" w:name="_Toc494664995"/>
      <w:bookmarkStart w:id="77" w:name="_Toc494721095"/>
      <w:bookmarkStart w:id="78" w:name="_Toc3405"/>
      <w:r>
        <w:rPr>
          <w:rFonts w:hint="eastAsia" w:cs="Times New Roman" w:asciiTheme="majorEastAsia" w:hAnsiTheme="majorEastAsia"/>
          <w:bCs w:val="0"/>
          <w:color w:val="000000" w:themeColor="text1"/>
          <w:sz w:val="44"/>
          <w:szCs w:val="44"/>
          <w:lang w:val="zh-CN"/>
          <w14:textFill>
            <w14:solidFill>
              <w14:schemeClr w14:val="tx1"/>
            </w14:solidFill>
          </w14:textFill>
        </w:rPr>
        <w:t>第一部分 资格证明文件</w:t>
      </w:r>
      <w:bookmarkEnd w:id="72"/>
      <w:bookmarkEnd w:id="73"/>
      <w:bookmarkEnd w:id="74"/>
      <w:bookmarkEnd w:id="75"/>
      <w:bookmarkEnd w:id="76"/>
      <w:bookmarkEnd w:id="77"/>
      <w:bookmarkEnd w:id="78"/>
    </w:p>
    <w:p>
      <w:pPr>
        <w:spacing w:line="360" w:lineRule="auto"/>
        <w:ind w:left="2051" w:leftChars="619" w:right="1299" w:rightChars="619" w:hanging="752" w:hangingChars="209"/>
        <w:rPr>
          <w:rFonts w:cs="Times New Roman" w:asciiTheme="minorEastAsia" w:hAnsiTheme="minorEastAsia"/>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采购内容：</w:t>
      </w:r>
    </w:p>
    <w:p>
      <w:pPr>
        <w:spacing w:line="360" w:lineRule="auto"/>
        <w:ind w:right="1287" w:rightChars="613"/>
        <w:jc w:val="center"/>
        <w:rPr>
          <w:rFonts w:cs="Times New Roman" w:asciiTheme="minorEastAsia" w:hAnsiTheme="minorEastAsia"/>
          <w:b/>
          <w:bCs/>
          <w:color w:val="000000" w:themeColor="text1"/>
          <w:sz w:val="96"/>
          <w:szCs w:val="96"/>
          <w14:textFill>
            <w14:solidFill>
              <w14:schemeClr w14:val="tx1"/>
            </w14:solidFill>
          </w14:textFill>
        </w:rPr>
      </w:pPr>
      <w:r>
        <w:rPr>
          <w:rFonts w:hint="eastAsia" w:cs="Times New Roman" w:asciiTheme="minorEastAsia" w:hAnsiTheme="minorEastAsia"/>
          <w:b/>
          <w:bCs/>
          <w:color w:val="000000" w:themeColor="text1"/>
          <w:sz w:val="96"/>
          <w:szCs w:val="96"/>
          <w14:textFill>
            <w14:solidFill>
              <w14:schemeClr w14:val="tx1"/>
            </w14:solidFill>
          </w14:textFill>
        </w:rPr>
        <w:t xml:space="preserve">   投标人（盖章）</w:t>
      </w:r>
    </w:p>
    <w:p>
      <w:pPr>
        <w:spacing w:line="360" w:lineRule="auto"/>
        <w:ind w:left="1971" w:leftChars="939" w:right="1287" w:rightChars="613" w:firstLine="1104" w:firstLineChars="345"/>
        <w:rPr>
          <w:rFonts w:cs="Times New Roman" w:asciiTheme="minorEastAsia" w:hAnsiTheme="minorEastAsia"/>
          <w:b/>
          <w:bCs/>
          <w:color w:val="000000" w:themeColor="text1"/>
          <w:sz w:val="32"/>
          <w:szCs w:val="32"/>
          <w14:textFill>
            <w14:solidFill>
              <w14:schemeClr w14:val="tx1"/>
            </w14:solidFill>
          </w14:textFill>
        </w:rPr>
      </w:pPr>
      <w:r>
        <w:rPr>
          <w:rFonts w:hint="eastAsia" w:cs="Times New Roman" w:asciiTheme="minorEastAsia" w:hAnsiTheme="minorEastAsia"/>
          <w:b/>
          <w:bCs/>
          <w:color w:val="000000" w:themeColor="text1"/>
          <w:sz w:val="32"/>
          <w:szCs w:val="32"/>
          <w14:textFill>
            <w14:solidFill>
              <w14:schemeClr w14:val="tx1"/>
            </w14:solidFill>
          </w14:textFill>
        </w:rPr>
        <w:t>投标人授权代表（签字）：</w:t>
      </w:r>
    </w:p>
    <w:p>
      <w:pPr>
        <w:spacing w:before="312" w:beforeLines="100" w:after="312" w:afterLines="100" w:line="360" w:lineRule="auto"/>
        <w:ind w:left="2256" w:leftChars="466" w:right="466" w:hanging="1278" w:hangingChars="355"/>
        <w:jc w:val="center"/>
        <w:rPr>
          <w:rFonts w:ascii="宋体" w:hAnsi="宋体"/>
          <w:b/>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t>二0二0</w:t>
      </w:r>
      <w:r>
        <w:rPr>
          <w:rFonts w:hint="eastAsia" w:ascii="宋体" w:hAnsi="宋体"/>
          <w:b/>
          <w:color w:val="000000" w:themeColor="text1"/>
          <w:sz w:val="36"/>
          <w:szCs w:val="36"/>
          <w14:textFill>
            <w14:solidFill>
              <w14:schemeClr w14:val="tx1"/>
            </w14:solidFill>
          </w14:textFill>
        </w:rPr>
        <w:t>年 月</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312" w:beforeLines="100" w:line="360" w:lineRule="auto"/>
        <w:jc w:val="left"/>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cs="Times New Roman"/>
          <w:b/>
          <w:color w:val="000000" w:themeColor="text1"/>
          <w:sz w:val="36"/>
          <w:szCs w:val="36"/>
          <w14:textFill>
            <w14:solidFill>
              <w14:schemeClr w14:val="tx1"/>
            </w14:solidFill>
          </w14:textFill>
        </w:rPr>
      </w:pPr>
      <w:bookmarkStart w:id="79" w:name="_Toc494664996"/>
      <w:bookmarkStart w:id="80" w:name="_Toc494665549"/>
      <w:bookmarkStart w:id="81" w:name="_Toc494665946"/>
      <w:bookmarkStart w:id="82" w:name="_Toc494745313"/>
      <w:bookmarkStart w:id="83" w:name="_Toc494721096"/>
      <w:bookmarkStart w:id="84" w:name="_Toc494702266"/>
      <w:r>
        <w:rPr>
          <w:rFonts w:hint="eastAsia" w:ascii="黑体" w:hAnsi="黑体" w:eastAsia="黑体" w:cs="Times New Roman"/>
          <w:b/>
          <w:color w:val="000000" w:themeColor="text1"/>
          <w:sz w:val="36"/>
          <w:szCs w:val="36"/>
          <w14:textFill>
            <w14:solidFill>
              <w14:schemeClr w14:val="tx1"/>
            </w14:solidFill>
          </w14:textFill>
        </w:rPr>
        <w:t>资格证明文件组成</w:t>
      </w:r>
      <w:bookmarkEnd w:id="79"/>
      <w:bookmarkEnd w:id="80"/>
      <w:bookmarkEnd w:id="81"/>
      <w:bookmarkEnd w:id="82"/>
      <w:bookmarkEnd w:id="83"/>
      <w:bookmarkEnd w:id="84"/>
    </w:p>
    <w:p>
      <w:pPr>
        <w:autoSpaceDE w:val="0"/>
        <w:autoSpaceDN w:val="0"/>
        <w:adjustRightInd w:val="0"/>
        <w:spacing w:before="156" w:beforeLines="50" w:after="156" w:afterLines="50" w:line="360" w:lineRule="auto"/>
        <w:ind w:firstLine="480" w:firstLineChars="20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由各投标人根据参考格式要求自行编写。目录清晰、内容详尽、易于理解和审查。具体内容应包括但不限于以下内容：</w:t>
      </w:r>
    </w:p>
    <w:p>
      <w:pPr>
        <w:numPr>
          <w:ilvl w:val="0"/>
          <w:numId w:val="58"/>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资格证明文件目录</w:t>
      </w:r>
      <w:r>
        <w:rPr>
          <w:rFonts w:hint="eastAsia" w:ascii="宋体" w:hAnsi="宋体" w:eastAsia="宋体" w:cs="Times New Roman"/>
          <w:b/>
          <w:color w:val="000000" w:themeColor="text1"/>
          <w:kern w:val="0"/>
          <w:sz w:val="24"/>
          <w:szCs w:val="32"/>
          <w14:textFill>
            <w14:solidFill>
              <w14:schemeClr w14:val="tx1"/>
            </w14:solidFill>
          </w14:textFill>
        </w:rPr>
        <w:t>（目录应涵盖下述所有资料，页码清晰以便查阅）</w:t>
      </w:r>
      <w:r>
        <w:rPr>
          <w:rFonts w:hint="eastAsia" w:ascii="宋体" w:hAnsi="宋体" w:eastAsia="宋体" w:cs="Times New Roman"/>
          <w:color w:val="000000" w:themeColor="text1"/>
          <w:kern w:val="0"/>
          <w:sz w:val="24"/>
          <w:szCs w:val="32"/>
          <w14:textFill>
            <w14:solidFill>
              <w14:schemeClr w14:val="tx1"/>
            </w14:solidFill>
          </w14:textFill>
        </w:rPr>
        <w:t>；</w:t>
      </w:r>
    </w:p>
    <w:p>
      <w:pPr>
        <w:numPr>
          <w:ilvl w:val="0"/>
          <w:numId w:val="58"/>
        </w:numPr>
        <w:autoSpaceDE w:val="0"/>
        <w:autoSpaceDN w:val="0"/>
        <w:adjustRightInd w:val="0"/>
        <w:spacing w:line="360" w:lineRule="auto"/>
        <w:ind w:left="490" w:hanging="370"/>
        <w:rPr>
          <w:rFonts w:ascii="宋体" w:hAnsi="宋体" w:eastAsia="宋体" w:cs="Times New Roman"/>
          <w:b/>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应具备《政府采购法》第二十二条第一款规定的条件，提供下列材料：</w:t>
      </w:r>
    </w:p>
    <w:p>
      <w:pPr>
        <w:pStyle w:val="21"/>
        <w:numPr>
          <w:ilvl w:val="0"/>
          <w:numId w:val="59"/>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法人或者其他组织的营业执照等证明文件，自然人的身份证明；</w:t>
      </w:r>
    </w:p>
    <w:p>
      <w:pPr>
        <w:pStyle w:val="21"/>
        <w:numPr>
          <w:ilvl w:val="0"/>
          <w:numId w:val="59"/>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财务状况报告，依法缴纳税收和社会保障资金的相关材料；</w:t>
      </w:r>
    </w:p>
    <w:p>
      <w:pPr>
        <w:pStyle w:val="21"/>
        <w:numPr>
          <w:ilvl w:val="0"/>
          <w:numId w:val="59"/>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具备履行合同所必需的设备和专业技术能力的证明材料；</w:t>
      </w:r>
    </w:p>
    <w:p>
      <w:pPr>
        <w:pStyle w:val="21"/>
        <w:numPr>
          <w:ilvl w:val="0"/>
          <w:numId w:val="59"/>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参加政府采购活动前3年内在经营活动中没有重大违法记录的书面声明；</w:t>
      </w:r>
    </w:p>
    <w:p>
      <w:pPr>
        <w:pStyle w:val="21"/>
        <w:numPr>
          <w:ilvl w:val="0"/>
          <w:numId w:val="59"/>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具备法律、行政法规规定的其他条件的证明材料；</w:t>
      </w:r>
    </w:p>
    <w:p>
      <w:pPr>
        <w:numPr>
          <w:ilvl w:val="0"/>
          <w:numId w:val="58"/>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未被“信用中国”网站(www.creditchina.gov.cn)列入失信被执行人、重大税收违法案件当事人名单、政府采购严重违法失信行为记录名单的书面申明及该网站查询结果页面截图；</w:t>
      </w:r>
    </w:p>
    <w:p>
      <w:pPr>
        <w:numPr>
          <w:ilvl w:val="0"/>
          <w:numId w:val="58"/>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招标文件第一章“投标人资格要求”中有特殊要求的，投标人应提供其符合特殊要求的证明材料或者情况说明；</w:t>
      </w:r>
    </w:p>
    <w:p>
      <w:pPr>
        <w:numPr>
          <w:ilvl w:val="0"/>
          <w:numId w:val="58"/>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不符合联合体投标相关规定和要求的（适用于接受联合体投标的项目）；</w:t>
      </w:r>
    </w:p>
    <w:p>
      <w:pPr>
        <w:numPr>
          <w:ilvl w:val="0"/>
          <w:numId w:val="58"/>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投标人认为需提供的其它相关资格证明材料。</w:t>
      </w:r>
    </w:p>
    <w:p>
      <w:pPr>
        <w:autoSpaceDE w:val="0"/>
        <w:autoSpaceDN w:val="0"/>
        <w:adjustRightInd w:val="0"/>
        <w:spacing w:line="400" w:lineRule="exact"/>
        <w:ind w:left="490"/>
        <w:rPr>
          <w:rFonts w:ascii="Calibri" w:hAnsi="宋体" w:eastAsia="宋体" w:cs="Times New Roman"/>
          <w:color w:val="000000" w:themeColor="text1"/>
          <w:sz w:val="24"/>
          <w:szCs w:val="24"/>
          <w14:textFill>
            <w14:solidFill>
              <w14:schemeClr w14:val="tx1"/>
            </w14:solidFill>
          </w14:textFill>
        </w:rPr>
      </w:pPr>
    </w:p>
    <w:p>
      <w:pPr>
        <w:autoSpaceDE w:val="0"/>
        <w:autoSpaceDN w:val="0"/>
        <w:adjustRightInd w:val="0"/>
        <w:spacing w:line="400" w:lineRule="exact"/>
        <w:ind w:left="490"/>
        <w:rPr>
          <w:rFonts w:ascii="Calibri" w:hAnsi="宋体" w:eastAsia="宋体" w:cs="Times New Roman"/>
          <w:color w:val="000000" w:themeColor="text1"/>
          <w:sz w:val="24"/>
          <w:szCs w:val="24"/>
          <w14:textFill>
            <w14:solidFill>
              <w14:schemeClr w14:val="tx1"/>
            </w14:solidFill>
          </w14:textFill>
        </w:rPr>
      </w:pPr>
    </w:p>
    <w:p>
      <w:pPr>
        <w:rPr>
          <w:color w:val="000000" w:themeColor="text1"/>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说明：资格证明文件正本应为清晰彩色影印件且加盖单位公章，否则</w:t>
      </w:r>
      <w:r>
        <w:rPr>
          <w:rFonts w:hint="eastAsia" w:ascii="Helvetica" w:hAnsi="Helvetica" w:eastAsia="宋体" w:cs="Helvetica"/>
          <w:color w:val="000000" w:themeColor="text1"/>
          <w:kern w:val="0"/>
          <w:sz w:val="24"/>
          <w:szCs w:val="24"/>
          <w14:textFill>
            <w14:solidFill>
              <w14:schemeClr w14:val="tx1"/>
            </w14:solidFill>
          </w14:textFill>
        </w:rPr>
        <w:t>按照</w:t>
      </w:r>
      <w:r>
        <w:rPr>
          <w:rFonts w:hint="eastAsia" w:ascii="Helvetica" w:hAnsi="Helvetica" w:eastAsia="宋体" w:cs="Helvetica"/>
          <w:b/>
          <w:color w:val="000000" w:themeColor="text1"/>
          <w:kern w:val="0"/>
          <w:sz w:val="24"/>
          <w:szCs w:val="24"/>
          <w14:textFill>
            <w14:solidFill>
              <w14:schemeClr w14:val="tx1"/>
            </w14:solidFill>
          </w14:textFill>
        </w:rPr>
        <w:t>无效投标处理</w:t>
      </w:r>
      <w:r>
        <w:rPr>
          <w:rFonts w:hint="eastAsia" w:ascii="宋体" w:hAnsi="宋体" w:eastAsia="宋体" w:cs="Times New Roman"/>
          <w:b/>
          <w:color w:val="000000" w:themeColor="text1"/>
          <w:sz w:val="24"/>
          <w:szCs w:val="24"/>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312" w:beforeLines="100" w:after="780" w:afterLines="250"/>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阳新县县级政府采购</w:t>
      </w:r>
    </w:p>
    <w:p>
      <w:pPr>
        <w:spacing w:after="624"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 标 文 件</w:t>
      </w:r>
    </w:p>
    <w:p>
      <w:pPr>
        <w:pStyle w:val="4"/>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85" w:name="_Toc494721097"/>
      <w:bookmarkStart w:id="86" w:name="_Toc494702267"/>
      <w:bookmarkStart w:id="87" w:name="_Toc494665947"/>
      <w:bookmarkStart w:id="88" w:name="_Toc494665550"/>
      <w:bookmarkStart w:id="89" w:name="_Toc494745314"/>
      <w:bookmarkStart w:id="90" w:name="_Toc494664997"/>
    </w:p>
    <w:p>
      <w:pPr>
        <w:pStyle w:val="4"/>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p>
    <w:p>
      <w:pPr>
        <w:pStyle w:val="4"/>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91" w:name="_Toc7956"/>
      <w:r>
        <w:rPr>
          <w:rFonts w:hint="eastAsia" w:cs="Times New Roman" w:asciiTheme="majorEastAsia" w:hAnsiTheme="majorEastAsia"/>
          <w:bCs w:val="0"/>
          <w:color w:val="000000" w:themeColor="text1"/>
          <w:sz w:val="44"/>
          <w:szCs w:val="44"/>
          <w:lang w:val="zh-CN"/>
          <w14:textFill>
            <w14:solidFill>
              <w14:schemeClr w14:val="tx1"/>
            </w14:solidFill>
          </w14:textFill>
        </w:rPr>
        <w:t>第二部分 商务文件</w:t>
      </w:r>
      <w:bookmarkEnd w:id="85"/>
      <w:bookmarkEnd w:id="86"/>
      <w:bookmarkEnd w:id="87"/>
      <w:bookmarkEnd w:id="88"/>
      <w:bookmarkEnd w:id="89"/>
      <w:bookmarkEnd w:id="90"/>
      <w:bookmarkEnd w:id="91"/>
    </w:p>
    <w:p>
      <w:pPr>
        <w:spacing w:line="360" w:lineRule="auto"/>
        <w:ind w:left="2051" w:leftChars="619" w:right="1299" w:rightChars="619" w:hanging="752" w:hangingChars="209"/>
        <w:rPr>
          <w:rFonts w:cs="Times New Roman" w:asciiTheme="minorEastAsia" w:hAnsiTheme="minorEastAsia"/>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采购内容：</w:t>
      </w:r>
    </w:p>
    <w:p>
      <w:pPr>
        <w:spacing w:line="360" w:lineRule="auto"/>
        <w:ind w:left="2057" w:leftChars="613" w:right="1287" w:rightChars="613" w:hanging="770" w:hangingChars="214"/>
        <w:rPr>
          <w:rFonts w:ascii="宋体" w:hAnsi="宋体" w:eastAsia="宋体" w:cs="Times New Roman"/>
          <w:color w:val="000000" w:themeColor="text1"/>
          <w:sz w:val="36"/>
          <w:szCs w:val="36"/>
          <w14:textFill>
            <w14:solidFill>
              <w14:schemeClr w14:val="tx1"/>
            </w14:solidFill>
          </w14:textFill>
        </w:rPr>
      </w:pPr>
    </w:p>
    <w:p>
      <w:pPr>
        <w:spacing w:line="360" w:lineRule="auto"/>
        <w:ind w:left="3341" w:leftChars="613" w:right="1287" w:rightChars="613" w:hanging="2054" w:hangingChars="214"/>
        <w:rPr>
          <w:rFonts w:cs="Times New Roman" w:asciiTheme="minorEastAsia" w:hAnsiTheme="minorEastAsia"/>
          <w:b/>
          <w:bCs/>
          <w:color w:val="000000" w:themeColor="text1"/>
          <w:sz w:val="96"/>
          <w:szCs w:val="96"/>
          <w14:textFill>
            <w14:solidFill>
              <w14:schemeClr w14:val="tx1"/>
            </w14:solidFill>
          </w14:textFill>
        </w:rPr>
      </w:pPr>
      <w:r>
        <w:rPr>
          <w:rFonts w:hint="eastAsia" w:cs="Times New Roman" w:asciiTheme="minorEastAsia" w:hAnsiTheme="minorEastAsia"/>
          <w:b/>
          <w:bCs/>
          <w:color w:val="000000" w:themeColor="text1"/>
          <w:sz w:val="96"/>
          <w:szCs w:val="96"/>
          <w14:textFill>
            <w14:solidFill>
              <w14:schemeClr w14:val="tx1"/>
            </w14:solidFill>
          </w14:textFill>
        </w:rPr>
        <w:t>投标人（盖章）</w:t>
      </w:r>
    </w:p>
    <w:p>
      <w:pPr>
        <w:spacing w:line="360" w:lineRule="auto"/>
        <w:ind w:left="1971" w:leftChars="613" w:right="1287" w:rightChars="613" w:hanging="684" w:hangingChars="214"/>
        <w:rPr>
          <w:rFonts w:cs="Times New Roman" w:asciiTheme="minorEastAsia" w:hAnsiTheme="minorEastAsia"/>
          <w:b/>
          <w:bCs/>
          <w:color w:val="000000" w:themeColor="text1"/>
          <w:sz w:val="32"/>
          <w:szCs w:val="32"/>
          <w14:textFill>
            <w14:solidFill>
              <w14:schemeClr w14:val="tx1"/>
            </w14:solidFill>
          </w14:textFill>
        </w:rPr>
      </w:pPr>
      <w:r>
        <w:rPr>
          <w:rFonts w:hint="eastAsia" w:cs="Times New Roman" w:asciiTheme="minorEastAsia" w:hAnsiTheme="minorEastAsia"/>
          <w:b/>
          <w:bCs/>
          <w:color w:val="000000" w:themeColor="text1"/>
          <w:sz w:val="32"/>
          <w:szCs w:val="32"/>
          <w14:textFill>
            <w14:solidFill>
              <w14:schemeClr w14:val="tx1"/>
            </w14:solidFill>
          </w14:textFill>
        </w:rPr>
        <w:t>投标人授权代表（签字）：</w:t>
      </w:r>
    </w:p>
    <w:p>
      <w:pPr>
        <w:spacing w:before="312" w:beforeLines="100" w:after="312" w:afterLines="100" w:line="360" w:lineRule="auto"/>
        <w:ind w:left="2256" w:leftChars="466" w:right="466" w:hanging="1278" w:hangingChars="355"/>
        <w:jc w:val="center"/>
        <w:rPr>
          <w:rFonts w:ascii="宋体" w:hAnsi="宋体"/>
          <w:b/>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t>二0二0</w:t>
      </w:r>
      <w:r>
        <w:rPr>
          <w:rFonts w:hint="eastAsia" w:ascii="宋体" w:hAnsi="宋体"/>
          <w:b/>
          <w:color w:val="000000" w:themeColor="text1"/>
          <w:sz w:val="36"/>
          <w:szCs w:val="36"/>
          <w14:textFill>
            <w14:solidFill>
              <w14:schemeClr w14:val="tx1"/>
            </w14:solidFill>
          </w14:textFill>
        </w:rPr>
        <w:t>年 月</w:t>
      </w:r>
    </w:p>
    <w:p>
      <w:pPr>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br w:type="page"/>
      </w:r>
    </w:p>
    <w:p>
      <w:pPr>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cs="Times New Roman"/>
          <w:b/>
          <w:color w:val="000000" w:themeColor="text1"/>
          <w:sz w:val="36"/>
          <w:szCs w:val="36"/>
          <w14:textFill>
            <w14:solidFill>
              <w14:schemeClr w14:val="tx1"/>
            </w14:solidFill>
          </w14:textFill>
        </w:rPr>
      </w:pPr>
      <w:bookmarkStart w:id="92" w:name="_Toc494745315"/>
      <w:bookmarkStart w:id="93" w:name="_Toc494721098"/>
      <w:bookmarkStart w:id="94" w:name="_Toc494665551"/>
      <w:bookmarkStart w:id="95" w:name="_Toc494702268"/>
      <w:bookmarkStart w:id="96" w:name="_Toc494665948"/>
      <w:bookmarkStart w:id="97" w:name="_Toc494664998"/>
      <w:r>
        <w:rPr>
          <w:rFonts w:hint="eastAsia" w:ascii="黑体" w:hAnsi="黑体" w:eastAsia="黑体" w:cs="Times New Roman"/>
          <w:b/>
          <w:color w:val="000000" w:themeColor="text1"/>
          <w:sz w:val="36"/>
          <w:szCs w:val="36"/>
          <w14:textFill>
            <w14:solidFill>
              <w14:schemeClr w14:val="tx1"/>
            </w14:solidFill>
          </w14:textFill>
        </w:rPr>
        <w:t>商务文件组成</w:t>
      </w:r>
      <w:bookmarkEnd w:id="92"/>
      <w:bookmarkEnd w:id="93"/>
      <w:bookmarkEnd w:id="94"/>
      <w:bookmarkEnd w:id="95"/>
      <w:bookmarkEnd w:id="96"/>
      <w:bookmarkEnd w:id="97"/>
    </w:p>
    <w:p>
      <w:pPr>
        <w:autoSpaceDE w:val="0"/>
        <w:autoSpaceDN w:val="0"/>
        <w:adjustRightInd w:val="0"/>
        <w:spacing w:before="156" w:beforeLines="50" w:after="156" w:afterLines="50" w:line="360" w:lineRule="auto"/>
        <w:ind w:firstLine="480" w:firstLineChars="20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由各投标人根据参考格式要求自行编写。目录清晰、内容详尽、易于理解和评审并富有建设性的商务方案在评标时具有优势。具体内容应包括但不限于以下内容：</w:t>
      </w:r>
    </w:p>
    <w:p>
      <w:pPr>
        <w:numPr>
          <w:ilvl w:val="0"/>
          <w:numId w:val="6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商务文件目录</w:t>
      </w:r>
      <w:r>
        <w:rPr>
          <w:rFonts w:hint="eastAsia" w:ascii="宋体" w:hAnsi="宋体" w:eastAsia="宋体" w:cs="Times New Roman"/>
          <w:b/>
          <w:color w:val="000000" w:themeColor="text1"/>
          <w:kern w:val="0"/>
          <w:sz w:val="24"/>
          <w:szCs w:val="32"/>
          <w14:textFill>
            <w14:solidFill>
              <w14:schemeClr w14:val="tx1"/>
            </w14:solidFill>
          </w14:textFill>
        </w:rPr>
        <w:t>（目录应涵盖下述所有资料，页码清晰以便查阅）</w:t>
      </w:r>
      <w:r>
        <w:rPr>
          <w:rFonts w:hint="eastAsia" w:ascii="宋体" w:hAnsi="宋体" w:eastAsia="宋体" w:cs="Times New Roman"/>
          <w:color w:val="000000" w:themeColor="text1"/>
          <w:kern w:val="0"/>
          <w:sz w:val="24"/>
          <w:szCs w:val="32"/>
          <w14:textFill>
            <w14:solidFill>
              <w14:schemeClr w14:val="tx1"/>
            </w14:solidFill>
          </w14:textFill>
        </w:rPr>
        <w:t>；</w:t>
      </w:r>
    </w:p>
    <w:p>
      <w:pPr>
        <w:numPr>
          <w:ilvl w:val="0"/>
          <w:numId w:val="6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投标书（附件一）；</w:t>
      </w:r>
    </w:p>
    <w:p>
      <w:pPr>
        <w:numPr>
          <w:ilvl w:val="0"/>
          <w:numId w:val="6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制造商中小企业声明函（附件二）</w:t>
      </w:r>
      <w:r>
        <w:rPr>
          <w:rFonts w:hint="eastAsia" w:ascii="宋体" w:hAnsi="宋体" w:eastAsia="宋体" w:cs="Times New Roman"/>
          <w:color w:val="000000" w:themeColor="text1"/>
          <w:kern w:val="0"/>
          <w:sz w:val="24"/>
          <w:szCs w:val="32"/>
          <w:highlight w:val="yellow"/>
          <w14:textFill>
            <w14:solidFill>
              <w14:schemeClr w14:val="tx1"/>
            </w14:solidFill>
          </w14:textFill>
        </w:rPr>
        <w:t>（如果有的话）</w:t>
      </w:r>
      <w:r>
        <w:rPr>
          <w:rFonts w:hint="eastAsia" w:ascii="宋体" w:hAnsi="宋体" w:eastAsia="宋体" w:cs="Times New Roman"/>
          <w:color w:val="000000" w:themeColor="text1"/>
          <w:kern w:val="0"/>
          <w:sz w:val="24"/>
          <w:szCs w:val="32"/>
          <w14:textFill>
            <w14:solidFill>
              <w14:schemeClr w14:val="tx1"/>
            </w14:solidFill>
          </w14:textFill>
        </w:rPr>
        <w:t>；</w:t>
      </w:r>
      <w:r>
        <w:rPr>
          <w:rFonts w:ascii="宋体" w:hAnsi="宋体" w:eastAsia="宋体" w:cs="Times New Roman"/>
          <w:color w:val="000000" w:themeColor="text1"/>
          <w:kern w:val="0"/>
          <w:sz w:val="24"/>
          <w:szCs w:val="32"/>
          <w14:textFill>
            <w14:solidFill>
              <w14:schemeClr w14:val="tx1"/>
            </w14:solidFill>
          </w14:textFill>
        </w:rPr>
        <w:t xml:space="preserve"> </w:t>
      </w:r>
    </w:p>
    <w:p>
      <w:pPr>
        <w:numPr>
          <w:ilvl w:val="0"/>
          <w:numId w:val="6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中小企业声明函（附件三）</w:t>
      </w:r>
      <w:r>
        <w:rPr>
          <w:rFonts w:hint="eastAsia" w:ascii="宋体" w:hAnsi="宋体" w:eastAsia="宋体" w:cs="Times New Roman"/>
          <w:color w:val="000000" w:themeColor="text1"/>
          <w:kern w:val="0"/>
          <w:sz w:val="24"/>
          <w:szCs w:val="32"/>
          <w:highlight w:val="yellow"/>
          <w14:textFill>
            <w14:solidFill>
              <w14:schemeClr w14:val="tx1"/>
            </w14:solidFill>
          </w14:textFill>
        </w:rPr>
        <w:t>（如果有的话）</w:t>
      </w:r>
      <w:r>
        <w:rPr>
          <w:rFonts w:hint="eastAsia" w:ascii="宋体" w:hAnsi="宋体" w:eastAsia="宋体" w:cs="Times New Roman"/>
          <w:color w:val="000000" w:themeColor="text1"/>
          <w:kern w:val="0"/>
          <w:sz w:val="24"/>
          <w:szCs w:val="32"/>
          <w14:textFill>
            <w14:solidFill>
              <w14:schemeClr w14:val="tx1"/>
            </w14:solidFill>
          </w14:textFill>
        </w:rPr>
        <w:t>；</w:t>
      </w:r>
    </w:p>
    <w:p>
      <w:pPr>
        <w:numPr>
          <w:ilvl w:val="0"/>
          <w:numId w:val="6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残疾人福利性单位声明函（附件四）</w:t>
      </w:r>
      <w:r>
        <w:rPr>
          <w:rFonts w:hint="eastAsia" w:ascii="宋体" w:hAnsi="宋体" w:eastAsia="宋体" w:cs="Times New Roman"/>
          <w:color w:val="000000" w:themeColor="text1"/>
          <w:kern w:val="0"/>
          <w:sz w:val="24"/>
          <w:szCs w:val="32"/>
          <w:highlight w:val="yellow"/>
          <w14:textFill>
            <w14:solidFill>
              <w14:schemeClr w14:val="tx1"/>
            </w14:solidFill>
          </w14:textFill>
        </w:rPr>
        <w:t>（如果有的话）；</w:t>
      </w:r>
    </w:p>
    <w:p>
      <w:pPr>
        <w:numPr>
          <w:ilvl w:val="0"/>
          <w:numId w:val="60"/>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开标一览表（附件五）；</w:t>
      </w:r>
    </w:p>
    <w:p>
      <w:pPr>
        <w:numPr>
          <w:ilvl w:val="0"/>
          <w:numId w:val="60"/>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投标报价明细表（附件六）；</w:t>
      </w:r>
    </w:p>
    <w:p>
      <w:pPr>
        <w:numPr>
          <w:ilvl w:val="0"/>
          <w:numId w:val="60"/>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小型和微型企业、监狱企业、残疾人福利性单位货物汇总表（附件七）</w:t>
      </w:r>
      <w:r>
        <w:rPr>
          <w:rFonts w:hint="eastAsia" w:ascii="宋体" w:hAnsi="宋体" w:eastAsia="宋体" w:cs="Times New Roman"/>
          <w:color w:val="000000" w:themeColor="text1"/>
          <w:kern w:val="0"/>
          <w:sz w:val="24"/>
          <w:szCs w:val="32"/>
          <w:highlight w:val="yellow"/>
          <w14:textFill>
            <w14:solidFill>
              <w14:schemeClr w14:val="tx1"/>
            </w14:solidFill>
          </w14:textFill>
        </w:rPr>
        <w:t>（如果有的话）</w:t>
      </w:r>
      <w:r>
        <w:rPr>
          <w:rFonts w:hint="eastAsia" w:ascii="宋体" w:hAnsi="宋体" w:eastAsia="宋体" w:cs="Courier New"/>
          <w:color w:val="000000" w:themeColor="text1"/>
          <w:sz w:val="24"/>
          <w:szCs w:val="24"/>
          <w14:textFill>
            <w14:solidFill>
              <w14:schemeClr w14:val="tx1"/>
            </w14:solidFill>
          </w14:textFill>
        </w:rPr>
        <w:t>；</w:t>
      </w:r>
    </w:p>
    <w:p>
      <w:pPr>
        <w:numPr>
          <w:ilvl w:val="0"/>
          <w:numId w:val="60"/>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投标货物、服务清单（附件八）；</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法定代表人授权书（附件九）；</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关于不存在招标文件第二章“十一 其他注意事项”中规定禁止情形的书面声明；</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投标人的资格声明（附件十）；</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项目负责人、技术负责人简历表（附件十一）；</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项目班子成员情况表（附件十二）；</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投标人类似项目业绩表（附件十三）；</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招标文件要求提供或投标人认为需提供的其它资料；</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符合性审查对照表（附件十四）；</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商务要求响应、偏离说明表（附件十五）；</w:t>
      </w:r>
    </w:p>
    <w:p>
      <w:pPr>
        <w:numPr>
          <w:ilvl w:val="0"/>
          <w:numId w:val="60"/>
        </w:numPr>
        <w:autoSpaceDE w:val="0"/>
        <w:autoSpaceDN w:val="0"/>
        <w:adjustRightInd w:val="0"/>
        <w:spacing w:line="360" w:lineRule="auto"/>
        <w:ind w:left="616" w:hanging="496"/>
        <w:rPr>
          <w:color w:val="000000" w:themeColor="text1"/>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商务要求“★”号条款响应、偏离说明表（附件十六）</w:t>
      </w:r>
    </w:p>
    <w:p>
      <w:pPr>
        <w:numPr>
          <w:ilvl w:val="0"/>
          <w:numId w:val="60"/>
        </w:numPr>
        <w:autoSpaceDE w:val="0"/>
        <w:autoSpaceDN w:val="0"/>
        <w:adjustRightInd w:val="0"/>
        <w:spacing w:line="360" w:lineRule="auto"/>
        <w:ind w:left="616" w:hanging="496"/>
        <w:rPr>
          <w:color w:val="000000" w:themeColor="text1"/>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商务评议对照表（附件十七）。</w:t>
      </w:r>
      <w:r>
        <w:rPr>
          <w:color w:val="000000" w:themeColor="text1"/>
          <w14:textFill>
            <w14:solidFill>
              <w14:schemeClr w14:val="tx1"/>
            </w14:solidFill>
          </w14:textFill>
        </w:rPr>
        <w:br w:type="page"/>
      </w:r>
    </w:p>
    <w:p>
      <w:pPr>
        <w:spacing w:before="312" w:beforeLines="100" w:after="780" w:afterLines="250"/>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阳新县县级政府采购</w:t>
      </w:r>
    </w:p>
    <w:p>
      <w:pPr>
        <w:spacing w:after="624"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 标 文 件</w:t>
      </w:r>
    </w:p>
    <w:p>
      <w:pPr>
        <w:pStyle w:val="4"/>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98" w:name="_Toc494745316"/>
      <w:bookmarkStart w:id="99" w:name="_Toc494721099"/>
      <w:bookmarkStart w:id="100" w:name="_Toc494664999"/>
      <w:bookmarkStart w:id="101" w:name="_Toc494665552"/>
      <w:bookmarkStart w:id="102" w:name="_Toc494665949"/>
      <w:bookmarkStart w:id="103" w:name="_Toc494702269"/>
    </w:p>
    <w:p>
      <w:pPr>
        <w:pStyle w:val="4"/>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p>
    <w:p>
      <w:pPr>
        <w:pStyle w:val="4"/>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104" w:name="_Toc13638"/>
      <w:r>
        <w:rPr>
          <w:rFonts w:hint="eastAsia" w:cs="Times New Roman" w:asciiTheme="majorEastAsia" w:hAnsiTheme="majorEastAsia"/>
          <w:bCs w:val="0"/>
          <w:color w:val="000000" w:themeColor="text1"/>
          <w:sz w:val="44"/>
          <w:szCs w:val="44"/>
          <w:lang w:val="zh-CN"/>
          <w14:textFill>
            <w14:solidFill>
              <w14:schemeClr w14:val="tx1"/>
            </w14:solidFill>
          </w14:textFill>
        </w:rPr>
        <w:t>第三部分 技术、服务文件</w:t>
      </w:r>
      <w:bookmarkEnd w:id="98"/>
      <w:bookmarkEnd w:id="99"/>
      <w:bookmarkEnd w:id="100"/>
      <w:bookmarkEnd w:id="101"/>
      <w:bookmarkEnd w:id="102"/>
      <w:bookmarkEnd w:id="103"/>
      <w:bookmarkEnd w:id="104"/>
    </w:p>
    <w:p>
      <w:pPr>
        <w:spacing w:line="360" w:lineRule="auto"/>
        <w:ind w:left="2051" w:leftChars="619" w:right="1299" w:rightChars="619" w:hanging="752" w:hangingChars="209"/>
        <w:rPr>
          <w:rFonts w:cs="Times New Roman" w:asciiTheme="minorEastAsia" w:hAnsiTheme="minorEastAsia"/>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采购内容：</w:t>
      </w:r>
    </w:p>
    <w:p>
      <w:pPr>
        <w:spacing w:line="360" w:lineRule="auto"/>
        <w:ind w:left="2057" w:leftChars="613" w:right="1287" w:rightChars="613" w:hanging="770" w:hangingChars="214"/>
        <w:rPr>
          <w:rFonts w:ascii="宋体" w:hAnsi="宋体" w:eastAsia="宋体" w:cs="Times New Roman"/>
          <w:color w:val="000000" w:themeColor="text1"/>
          <w:sz w:val="36"/>
          <w:szCs w:val="36"/>
          <w14:textFill>
            <w14:solidFill>
              <w14:schemeClr w14:val="tx1"/>
            </w14:solidFill>
          </w14:textFill>
        </w:rPr>
      </w:pPr>
    </w:p>
    <w:p>
      <w:pPr>
        <w:spacing w:line="360" w:lineRule="auto"/>
        <w:ind w:left="3341" w:leftChars="613" w:right="1287" w:rightChars="613" w:hanging="2054" w:hangingChars="214"/>
        <w:rPr>
          <w:rFonts w:cs="Times New Roman" w:asciiTheme="minorEastAsia" w:hAnsiTheme="minorEastAsia"/>
          <w:b/>
          <w:bCs/>
          <w:color w:val="000000" w:themeColor="text1"/>
          <w:sz w:val="96"/>
          <w:szCs w:val="96"/>
          <w14:textFill>
            <w14:solidFill>
              <w14:schemeClr w14:val="tx1"/>
            </w14:solidFill>
          </w14:textFill>
        </w:rPr>
      </w:pPr>
      <w:r>
        <w:rPr>
          <w:rFonts w:hint="eastAsia" w:cs="Times New Roman" w:asciiTheme="minorEastAsia" w:hAnsiTheme="minorEastAsia"/>
          <w:b/>
          <w:bCs/>
          <w:color w:val="000000" w:themeColor="text1"/>
          <w:sz w:val="96"/>
          <w:szCs w:val="96"/>
          <w14:textFill>
            <w14:solidFill>
              <w14:schemeClr w14:val="tx1"/>
            </w14:solidFill>
          </w14:textFill>
        </w:rPr>
        <w:t>投标人（盖章）</w:t>
      </w:r>
    </w:p>
    <w:p>
      <w:pPr>
        <w:spacing w:line="360" w:lineRule="auto"/>
        <w:ind w:left="1971" w:leftChars="613" w:right="1287" w:rightChars="613" w:hanging="684" w:hangingChars="214"/>
        <w:rPr>
          <w:rFonts w:cs="Times New Roman" w:asciiTheme="minorEastAsia" w:hAnsiTheme="minorEastAsia"/>
          <w:b/>
          <w:bCs/>
          <w:color w:val="000000" w:themeColor="text1"/>
          <w:sz w:val="32"/>
          <w:szCs w:val="32"/>
          <w14:textFill>
            <w14:solidFill>
              <w14:schemeClr w14:val="tx1"/>
            </w14:solidFill>
          </w14:textFill>
        </w:rPr>
      </w:pPr>
      <w:r>
        <w:rPr>
          <w:rFonts w:hint="eastAsia" w:cs="Times New Roman" w:asciiTheme="minorEastAsia" w:hAnsiTheme="minorEastAsia"/>
          <w:b/>
          <w:bCs/>
          <w:color w:val="000000" w:themeColor="text1"/>
          <w:sz w:val="32"/>
          <w:szCs w:val="32"/>
          <w14:textFill>
            <w14:solidFill>
              <w14:schemeClr w14:val="tx1"/>
            </w14:solidFill>
          </w14:textFill>
        </w:rPr>
        <w:t>投标人授权代表（签字）：</w:t>
      </w:r>
    </w:p>
    <w:p>
      <w:pPr>
        <w:spacing w:before="312" w:beforeLines="100" w:after="312" w:afterLines="100" w:line="360" w:lineRule="auto"/>
        <w:ind w:left="2256" w:leftChars="466" w:right="466" w:hanging="1278" w:hangingChars="355"/>
        <w:jc w:val="center"/>
        <w:rPr>
          <w:rFonts w:ascii="宋体" w:hAnsi="宋体"/>
          <w:b/>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t>二0二0</w:t>
      </w:r>
      <w:r>
        <w:rPr>
          <w:rFonts w:hint="eastAsia" w:ascii="宋体" w:hAnsi="宋体"/>
          <w:b/>
          <w:color w:val="000000" w:themeColor="text1"/>
          <w:sz w:val="36"/>
          <w:szCs w:val="36"/>
          <w14:textFill>
            <w14:solidFill>
              <w14:schemeClr w14:val="tx1"/>
            </w14:solidFill>
          </w14:textFill>
        </w:rPr>
        <w:t>年 月</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312" w:beforeLines="100" w:line="360" w:lineRule="auto"/>
        <w:jc w:val="left"/>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cs="Times New Roman"/>
          <w:b/>
          <w:color w:val="000000" w:themeColor="text1"/>
          <w:sz w:val="36"/>
          <w:szCs w:val="36"/>
          <w14:textFill>
            <w14:solidFill>
              <w14:schemeClr w14:val="tx1"/>
            </w14:solidFill>
          </w14:textFill>
        </w:rPr>
      </w:pPr>
      <w:bookmarkStart w:id="105" w:name="_Toc494665553"/>
      <w:bookmarkStart w:id="106" w:name="_Toc494721100"/>
      <w:bookmarkStart w:id="107" w:name="_Toc494665950"/>
      <w:bookmarkStart w:id="108" w:name="_Toc494702270"/>
      <w:bookmarkStart w:id="109" w:name="_Toc494665000"/>
      <w:bookmarkStart w:id="110" w:name="_Toc494745317"/>
      <w:r>
        <w:rPr>
          <w:rFonts w:hint="eastAsia" w:ascii="黑体" w:hAnsi="黑体" w:eastAsia="黑体" w:cs="Times New Roman"/>
          <w:b/>
          <w:bCs/>
          <w:color w:val="000000" w:themeColor="text1"/>
          <w:sz w:val="36"/>
          <w:szCs w:val="36"/>
          <w:lang w:val="zh-CN"/>
          <w14:textFill>
            <w14:solidFill>
              <w14:schemeClr w14:val="tx1"/>
            </w14:solidFill>
          </w14:textFill>
        </w:rPr>
        <w:t>技术</w:t>
      </w:r>
      <w:r>
        <w:rPr>
          <w:rFonts w:hint="eastAsia" w:ascii="黑体" w:hAnsi="黑体" w:eastAsia="黑体" w:cs="Times New Roman"/>
          <w:b/>
          <w:color w:val="000000" w:themeColor="text1"/>
          <w:sz w:val="36"/>
          <w:szCs w:val="36"/>
          <w14:textFill>
            <w14:solidFill>
              <w14:schemeClr w14:val="tx1"/>
            </w14:solidFill>
          </w14:textFill>
        </w:rPr>
        <w:t>、服务文件组成</w:t>
      </w:r>
      <w:bookmarkEnd w:id="105"/>
      <w:bookmarkEnd w:id="106"/>
      <w:bookmarkEnd w:id="107"/>
      <w:bookmarkEnd w:id="108"/>
      <w:bookmarkEnd w:id="109"/>
      <w:bookmarkEnd w:id="110"/>
    </w:p>
    <w:p>
      <w:pPr>
        <w:autoSpaceDE w:val="0"/>
        <w:autoSpaceDN w:val="0"/>
        <w:adjustRightInd w:val="0"/>
        <w:spacing w:before="156" w:beforeLines="50" w:after="156" w:afterLines="50" w:line="360" w:lineRule="auto"/>
        <w:ind w:firstLine="480" w:firstLineChars="20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由各投标人根据参考格式要求自行编写。目录清晰、内容详尽、易于理解和评审并富有建设性的技术、服务方案在评标时具有优势。具体内容应包括但不限于以下内容：</w:t>
      </w:r>
    </w:p>
    <w:p>
      <w:pPr>
        <w:numPr>
          <w:ilvl w:val="0"/>
          <w:numId w:val="61"/>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技术、服务文件目录（目录应涵盖下述所有资料，页码清晰以便查阅）；</w:t>
      </w:r>
    </w:p>
    <w:p>
      <w:pPr>
        <w:numPr>
          <w:ilvl w:val="0"/>
          <w:numId w:val="61"/>
        </w:numPr>
        <w:autoSpaceDE w:val="0"/>
        <w:autoSpaceDN w:val="0"/>
        <w:adjustRightInd w:val="0"/>
        <w:spacing w:line="360" w:lineRule="auto"/>
        <w:ind w:left="488" w:hanging="369"/>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投标货物（工程或服务）介绍，项目建设（服务）方案；</w:t>
      </w:r>
    </w:p>
    <w:p>
      <w:pPr>
        <w:numPr>
          <w:ilvl w:val="0"/>
          <w:numId w:val="61"/>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技术、服务要求响应、偏离说明表（附件十八）；</w:t>
      </w:r>
    </w:p>
    <w:p>
      <w:pPr>
        <w:numPr>
          <w:ilvl w:val="0"/>
          <w:numId w:val="61"/>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技术、服务要求“★”号条款响应、偏离说明表（附件十九）；</w:t>
      </w:r>
    </w:p>
    <w:p>
      <w:pPr>
        <w:numPr>
          <w:ilvl w:val="0"/>
          <w:numId w:val="61"/>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技术、服务评议对照表（附件二十）；</w:t>
      </w:r>
    </w:p>
    <w:p>
      <w:pPr>
        <w:numPr>
          <w:ilvl w:val="0"/>
          <w:numId w:val="61"/>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招标文件要求提供或投标人认为需提供的其它资料。</w:t>
      </w:r>
    </w:p>
    <w:p>
      <w:pPr>
        <w:autoSpaceDE w:val="0"/>
        <w:autoSpaceDN w:val="0"/>
        <w:adjustRightInd w:val="0"/>
        <w:spacing w:line="360" w:lineRule="auto"/>
        <w:rPr>
          <w:rFonts w:ascii="宋体" w:hAnsi="宋体" w:eastAsia="宋体" w:cs="Times New Roman"/>
          <w:color w:val="000000" w:themeColor="text1"/>
          <w:kern w:val="0"/>
          <w:sz w:val="24"/>
          <w:szCs w:val="32"/>
          <w14:textFill>
            <w14:solidFill>
              <w14:schemeClr w14:val="tx1"/>
            </w14:solidFill>
          </w14:textFill>
        </w:rPr>
      </w:pPr>
    </w:p>
    <w:p>
      <w:pPr>
        <w:autoSpaceDE w:val="0"/>
        <w:autoSpaceDN w:val="0"/>
        <w:adjustRightInd w:val="0"/>
        <w:spacing w:line="360" w:lineRule="auto"/>
        <w:ind w:left="715" w:leftChars="-6" w:hanging="727" w:hangingChars="303"/>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11" w:name="_Toc236473298"/>
      <w:bookmarkStart w:id="112" w:name="_Toc494745318"/>
      <w:bookmarkStart w:id="113" w:name="_Toc6282"/>
      <w:bookmarkStart w:id="114" w:name="_Toc494721101"/>
      <w:bookmarkStart w:id="115" w:name="_Toc494665554"/>
      <w:bookmarkStart w:id="116" w:name="_Toc494665951"/>
      <w:bookmarkStart w:id="117" w:name="_Toc494702271"/>
      <w:bookmarkStart w:id="118" w:name="_Toc238276242"/>
      <w:bookmarkStart w:id="119" w:name="_Toc494665001"/>
      <w:r>
        <w:rPr>
          <w:rFonts w:hint="eastAsia" w:ascii="宋体" w:hAnsi="宋体" w:eastAsia="宋体"/>
          <w:color w:val="000000" w:themeColor="text1"/>
          <w14:textFill>
            <w14:solidFill>
              <w14:schemeClr w14:val="tx1"/>
            </w14:solidFill>
          </w14:textFill>
        </w:rPr>
        <w:t>投标书</w:t>
      </w:r>
      <w:bookmarkEnd w:id="111"/>
      <w:bookmarkEnd w:id="112"/>
      <w:bookmarkEnd w:id="113"/>
      <w:bookmarkEnd w:id="114"/>
      <w:bookmarkEnd w:id="115"/>
      <w:bookmarkEnd w:id="116"/>
      <w:bookmarkEnd w:id="117"/>
      <w:bookmarkEnd w:id="118"/>
      <w:bookmarkEnd w:id="119"/>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依据贵方项目（项目编号：）招标的投标邀请，我方代表</w:t>
      </w:r>
      <w:r>
        <w:rPr>
          <w:rFonts w:hint="eastAsia" w:asciiTheme="minorEastAsia" w:hAnsiTheme="minorEastAsia"/>
          <w:color w:val="000000" w:themeColor="text1"/>
          <w:sz w:val="24"/>
          <w:szCs w:val="24"/>
          <w:u w:val="single"/>
          <w14:textFill>
            <w14:solidFill>
              <w14:schemeClr w14:val="tx1"/>
            </w14:solidFill>
          </w14:textFill>
        </w:rPr>
        <w:t>（姓名、职务）</w:t>
      </w:r>
      <w:r>
        <w:rPr>
          <w:rFonts w:hint="eastAsia" w:asciiTheme="minorEastAsia" w:hAnsiTheme="minorEastAsia"/>
          <w:color w:val="000000" w:themeColor="text1"/>
          <w:sz w:val="24"/>
          <w:szCs w:val="24"/>
          <w14:textFill>
            <w14:solidFill>
              <w14:schemeClr w14:val="tx1"/>
            </w14:solidFill>
          </w14:textFill>
        </w:rPr>
        <w:t>经正式授权并代表投标人</w:t>
      </w:r>
      <w:r>
        <w:rPr>
          <w:rFonts w:hint="eastAsia" w:asciiTheme="minorEastAsia" w:hAnsiTheme="minorEastAsia"/>
          <w:color w:val="000000" w:themeColor="text1"/>
          <w:sz w:val="24"/>
          <w:szCs w:val="24"/>
          <w:u w:val="single"/>
          <w14:textFill>
            <w14:solidFill>
              <w14:schemeClr w14:val="tx1"/>
            </w14:solidFill>
          </w14:textFill>
        </w:rPr>
        <w:t>（投标人全称 ）</w:t>
      </w:r>
      <w:r>
        <w:rPr>
          <w:rFonts w:hint="eastAsia" w:asciiTheme="minorEastAsia" w:hAnsiTheme="minorEastAsia"/>
          <w:color w:val="000000" w:themeColor="text1"/>
          <w:sz w:val="24"/>
          <w:szCs w:val="24"/>
          <w14:textFill>
            <w14:solidFill>
              <w14:schemeClr w14:val="tx1"/>
            </w14:solidFill>
          </w14:textFill>
        </w:rPr>
        <w:t>提交</w:t>
      </w:r>
      <w:r>
        <w:rPr>
          <w:rFonts w:hint="eastAsia" w:ascii="宋体" w:hAnsi="宋体"/>
          <w:color w:val="000000" w:themeColor="text1"/>
          <w:kern w:val="0"/>
          <w:sz w:val="24"/>
          <w14:textFill>
            <w14:solidFill>
              <w14:schemeClr w14:val="tx1"/>
            </w14:solidFill>
          </w14:textFill>
        </w:rPr>
        <w:t>“开标一览表”信封和下述文件正本份，副本份。</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1.资格证明文件； </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2.商务文件；</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3.技术、服务文件。</w:t>
      </w:r>
    </w:p>
    <w:p>
      <w:pPr>
        <w:spacing w:line="360" w:lineRule="auto"/>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在此，我方宣布同意如下：</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1．《开标一览表》中规定的应提交和交付的</w:t>
      </w:r>
      <w:r>
        <w:rPr>
          <w:rFonts w:hint="eastAsia" w:asciiTheme="minorEastAsia" w:hAnsiTheme="minorEastAsia"/>
          <w:color w:val="000000" w:themeColor="text1"/>
          <w:sz w:val="24"/>
          <w:szCs w:val="24"/>
          <w:u w:val="single"/>
          <w14:textFill>
            <w14:solidFill>
              <w14:schemeClr w14:val="tx1"/>
            </w14:solidFill>
          </w14:textFill>
        </w:rPr>
        <w:t xml:space="preserve">  （包号）  </w:t>
      </w:r>
      <w:r>
        <w:rPr>
          <w:rFonts w:hint="eastAsia" w:asciiTheme="minorEastAsia" w:hAnsiTheme="minorEastAsia"/>
          <w:color w:val="000000" w:themeColor="text1"/>
          <w:sz w:val="24"/>
          <w:szCs w:val="24"/>
          <w14:textFill>
            <w14:solidFill>
              <w14:schemeClr w14:val="tx1"/>
            </w14:solidFill>
          </w14:textFill>
        </w:rPr>
        <w:t>货物（工程或服务）投标总价为</w:t>
      </w:r>
      <w:r>
        <w:rPr>
          <w:rFonts w:hint="eastAsia" w:asciiTheme="minorEastAsia" w:hAnsiTheme="minorEastAsia"/>
          <w:color w:val="000000" w:themeColor="text1"/>
          <w:sz w:val="24"/>
          <w:szCs w:val="24"/>
          <w:u w:val="single"/>
          <w14:textFill>
            <w14:solidFill>
              <w14:schemeClr w14:val="tx1"/>
            </w14:solidFill>
          </w14:textFill>
        </w:rPr>
        <w:t>（注明币种，并用大写和小写表述投标总价）</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2．按招标文件的约定履行合同责任和义务；</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3．已详细审查全部招标文件，包括</w:t>
      </w:r>
      <w:r>
        <w:rPr>
          <w:rFonts w:hint="eastAsia" w:asciiTheme="minorEastAsia" w:hAnsiTheme="minorEastAsia"/>
          <w:color w:val="000000" w:themeColor="text1"/>
          <w:sz w:val="24"/>
          <w:szCs w:val="24"/>
          <w:u w:val="single"/>
          <w14:textFill>
            <w14:solidFill>
              <w14:schemeClr w14:val="tx1"/>
            </w14:solidFill>
          </w14:textFill>
        </w:rPr>
        <w:t>（修正或补充文件）（如果有的话）</w:t>
      </w:r>
      <w:r>
        <w:rPr>
          <w:rFonts w:hint="eastAsia" w:asciiTheme="minorEastAsia" w:hAnsiTheme="minorEastAsia"/>
          <w:color w:val="000000" w:themeColor="text1"/>
          <w:sz w:val="24"/>
          <w:szCs w:val="24"/>
          <w14:textFill>
            <w14:solidFill>
              <w14:schemeClr w14:val="tx1"/>
            </w14:solidFill>
          </w14:textFill>
        </w:rPr>
        <w:t>，对此无异议；</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4．投标有效期为自</w:t>
      </w:r>
      <w:r>
        <w:rPr>
          <w:rFonts w:hint="eastAsia" w:ascii="宋体" w:hAnsi="宋体"/>
          <w:color w:val="000000" w:themeColor="text1"/>
          <w:kern w:val="0"/>
          <w:sz w:val="24"/>
          <w14:textFill>
            <w14:solidFill>
              <w14:schemeClr w14:val="tx1"/>
            </w14:solidFill>
          </w14:textFill>
        </w:rPr>
        <w:t>递交投标文件截止之日</w:t>
      </w:r>
      <w:r>
        <w:rPr>
          <w:rFonts w:hint="eastAsia" w:asciiTheme="minorEastAsia" w:hAnsiTheme="minorEastAsia"/>
          <w:color w:val="000000" w:themeColor="text1"/>
          <w:sz w:val="24"/>
          <w:szCs w:val="24"/>
          <w14:textFill>
            <w14:solidFill>
              <w14:schemeClr w14:val="tx1"/>
            </w14:solidFill>
          </w14:textFill>
        </w:rPr>
        <w:t>起，共个日历日；</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5．接受招标文件关于不予退还投标保证金的约定；</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6．提供按照贵方可能要求的与投标有关的一切数据或资料；</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color w:val="000000" w:themeColor="text1"/>
          <w:kern w:val="0"/>
          <w:sz w:val="24"/>
          <w:szCs w:val="24"/>
          <w14:textFill>
            <w14:solidFill>
              <w14:schemeClr w14:val="tx1"/>
            </w14:solidFill>
          </w14:textFill>
        </w:rPr>
      </w:pP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投标人：</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地  址：</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电话/传真：</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电子邮件：</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投标人(公章)：</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投标人授权代表（签字）：</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日    期：</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开户银行：</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帐号/行号：</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20" w:name="_Toc9184"/>
      <w:bookmarkStart w:id="121" w:name="_Toc494665555"/>
      <w:bookmarkStart w:id="122" w:name="_Toc494721102"/>
      <w:bookmarkStart w:id="123" w:name="_Toc494745319"/>
      <w:bookmarkStart w:id="124" w:name="_Toc494665002"/>
      <w:bookmarkStart w:id="125" w:name="_Toc494665952"/>
      <w:bookmarkStart w:id="126" w:name="_Toc494702272"/>
      <w:r>
        <w:rPr>
          <w:rFonts w:hint="eastAsia" w:ascii="宋体" w:hAnsi="宋体" w:eastAsia="宋体"/>
          <w:color w:val="000000" w:themeColor="text1"/>
          <w14:textFill>
            <w14:solidFill>
              <w14:schemeClr w14:val="tx1"/>
            </w14:solidFill>
          </w14:textFill>
        </w:rPr>
        <w:t>制造商中小企业声明函</w:t>
      </w:r>
      <w:bookmarkEnd w:id="120"/>
      <w:bookmarkEnd w:id="121"/>
      <w:bookmarkEnd w:id="122"/>
      <w:bookmarkEnd w:id="123"/>
      <w:bookmarkEnd w:id="124"/>
      <w:bookmarkEnd w:id="125"/>
      <w:bookmarkEnd w:id="126"/>
    </w:p>
    <w:p>
      <w:pPr>
        <w:adjustRightInd w:val="0"/>
        <w:snapToGrid w:val="0"/>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制造商中小企业声明函</w:t>
      </w:r>
    </w:p>
    <w:p>
      <w:pPr>
        <w:adjustRightInd w:val="0"/>
        <w:snapToGrid w:val="0"/>
        <w:spacing w:before="156" w:beforeLines="50" w:after="156" w:afterLines="50"/>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（适用于货物类项目）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1.根据《工业和信息化部、国家统计局、国家发展和改革委员会、财政部关于印发中小企业划型标准规定的通知》（工信部联企业〔2011〕300号）规定的划分标准</w:t>
      </w:r>
      <w:r>
        <w:rPr>
          <w:rFonts w:hint="eastAsia" w:hAnsi="宋体"/>
          <w:color w:val="000000" w:themeColor="text1"/>
          <w:sz w:val="24"/>
          <w14:textFill>
            <w14:solidFill>
              <w14:schemeClr w14:val="tx1"/>
            </w14:solidFill>
          </w14:textFill>
        </w:rPr>
        <w:t>（详见《中小企业划型标准》）</w:t>
      </w:r>
      <w:r>
        <w:rPr>
          <w:rFonts w:hint="eastAsia" w:ascii="宋体" w:hAnsi="宋体" w:eastAsia="宋体" w:cs="Times New Roman"/>
          <w:color w:val="000000" w:themeColor="text1"/>
          <w:sz w:val="24"/>
          <w:szCs w:val="21"/>
          <w:lang w:val="zh-CN"/>
          <w14:textFill>
            <w14:solidFill>
              <w14:schemeClr w14:val="tx1"/>
            </w14:solidFill>
          </w14:textFill>
        </w:rPr>
        <w:t>，本公司为______（请填写：中型、小型、微型）企业。</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2.本公司授权</w:t>
      </w:r>
      <w:r>
        <w:rPr>
          <w:rFonts w:hint="eastAsia" w:ascii="宋体" w:hAnsi="宋体" w:eastAsia="宋体" w:cs="Times New Roman"/>
          <w:color w:val="000000" w:themeColor="text1"/>
          <w:sz w:val="24"/>
          <w:szCs w:val="21"/>
          <w:u w:val="single"/>
          <w:lang w:val="zh-CN"/>
          <w14:textFill>
            <w14:solidFill>
              <w14:schemeClr w14:val="tx1"/>
            </w14:solidFill>
          </w14:textFill>
        </w:rPr>
        <w:t xml:space="preserve">  （投标人）  </w:t>
      </w:r>
      <w:r>
        <w:rPr>
          <w:rFonts w:hint="eastAsia" w:ascii="宋体" w:hAnsi="宋体" w:eastAsia="宋体" w:cs="Times New Roman"/>
          <w:color w:val="000000" w:themeColor="text1"/>
          <w:sz w:val="24"/>
          <w:szCs w:val="21"/>
          <w:lang w:val="zh-CN"/>
          <w14:textFill>
            <w14:solidFill>
              <w14:schemeClr w14:val="tx1"/>
            </w14:solidFill>
          </w14:textFill>
        </w:rPr>
        <w:t>参加</w:t>
      </w:r>
      <w:r>
        <w:rPr>
          <w:rFonts w:hint="eastAsia" w:ascii="宋体" w:hAnsi="宋体" w:eastAsia="宋体" w:cs="Times New Roman"/>
          <w:color w:val="000000" w:themeColor="text1"/>
          <w:sz w:val="24"/>
          <w:szCs w:val="21"/>
          <w:u w:val="single"/>
          <w:lang w:val="zh-CN"/>
          <w14:textFill>
            <w14:solidFill>
              <w14:schemeClr w14:val="tx1"/>
            </w14:solidFill>
          </w14:textFill>
        </w:rPr>
        <w:t>（采购人）</w:t>
      </w:r>
      <w:r>
        <w:rPr>
          <w:rFonts w:hint="eastAsia" w:ascii="宋体" w:hAnsi="宋体" w:eastAsia="宋体" w:cs="Times New Roman"/>
          <w:color w:val="000000" w:themeColor="text1"/>
          <w:sz w:val="24"/>
          <w:szCs w:val="21"/>
          <w:lang w:val="zh-CN"/>
          <w14:textFill>
            <w14:solidFill>
              <w14:schemeClr w14:val="tx1"/>
            </w14:solidFill>
          </w14:textFill>
        </w:rPr>
        <w:t>的__项目（项目编号：_____）采购活动提供本企业制造的货物。本条所称货物不包括使用大型企业注册商标的货物。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lang w:val="zh-CN"/>
          <w14:textFill>
            <w14:solidFill>
              <w14:schemeClr w14:val="tx1"/>
            </w14:solidFill>
          </w14:textFill>
        </w:rPr>
        <w:t>3</w:t>
      </w:r>
      <w:r>
        <w:rPr>
          <w:rFonts w:hint="eastAsia" w:ascii="宋体" w:hAnsi="宋体" w:eastAsia="宋体" w:cs="Times New Roman"/>
          <w:bCs/>
          <w:color w:val="000000" w:themeColor="text1"/>
          <w:sz w:val="24"/>
          <w:szCs w:val="24"/>
          <w14:textFill>
            <w14:solidFill>
              <w14:schemeClr w14:val="tx1"/>
            </w14:solidFill>
          </w14:textFill>
        </w:rPr>
        <w:t>.由本公司制造的货物清单见下表：</w:t>
      </w:r>
    </w:p>
    <w:tbl>
      <w:tblPr>
        <w:tblStyle w:val="14"/>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ind w:left="-2" w:firstLine="2"/>
              <w:jc w:val="center"/>
              <w:rPr>
                <w:rFonts w:ascii="宋体" w:hAnsi="宋体"/>
                <w:color w:val="000000" w:themeColor="text1"/>
                <w:sz w:val="24"/>
                <w14:textFill>
                  <w14:solidFill>
                    <w14:schemeClr w14:val="tx1"/>
                  </w14:solidFill>
                </w14:textFill>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ind w:left="-2" w:firstLine="2"/>
              <w:jc w:val="center"/>
              <w:rPr>
                <w:rFonts w:ascii="宋体" w:hAnsi="宋体"/>
                <w:color w:val="000000" w:themeColor="text1"/>
                <w:sz w:val="24"/>
                <w14:textFill>
                  <w14:solidFill>
                    <w14:schemeClr w14:val="tx1"/>
                  </w14:solidFill>
                </w14:textFill>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r>
    </w:tbl>
    <w:p>
      <w:pPr>
        <w:spacing w:before="156" w:beforeLines="50"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本公司对上述声明的真实性负责。如有虚假，将依法承担相应责任。</w:t>
      </w:r>
    </w:p>
    <w:p>
      <w:pPr>
        <w:spacing w:line="360" w:lineRule="auto"/>
        <w:rPr>
          <w:rFonts w:ascii="宋体" w:hAnsi="宋体" w:eastAsia="宋体" w:cs="Times New Roman"/>
          <w:bCs/>
          <w:color w:val="000000" w:themeColor="text1"/>
          <w:sz w:val="24"/>
          <w:szCs w:val="24"/>
          <w14:textFill>
            <w14:solidFill>
              <w14:schemeClr w14:val="tx1"/>
            </w14:solidFill>
          </w14:textFill>
        </w:rPr>
      </w:pPr>
    </w:p>
    <w:p>
      <w:pPr>
        <w:pStyle w:val="6"/>
        <w:spacing w:line="360" w:lineRule="auto"/>
        <w:ind w:left="960" w:hanging="960" w:hangingChars="400"/>
        <w:jc w:val="left"/>
        <w:rPr>
          <w:rFonts w:hAnsi="宋体" w:cs="Corbel"/>
          <w:color w:val="000000" w:themeColor="text1"/>
          <w:sz w:val="24"/>
          <w14:textFill>
            <w14:solidFill>
              <w14:schemeClr w14:val="tx1"/>
            </w14:solidFill>
          </w14:textFill>
        </w:rPr>
      </w:pPr>
      <w:r>
        <w:rPr>
          <w:rFonts w:hint="eastAsia" w:hAnsi="宋体" w:eastAsia="宋体" w:cs="Times New Roman"/>
          <w:bCs/>
          <w:color w:val="000000" w:themeColor="text1"/>
          <w:sz w:val="24"/>
          <w:szCs w:val="24"/>
          <w14:textFill>
            <w14:solidFill>
              <w14:schemeClr w14:val="tx1"/>
            </w14:solidFill>
          </w14:textFill>
        </w:rPr>
        <w:t>说明：</w:t>
      </w:r>
      <w:r>
        <w:rPr>
          <w:rFonts w:hint="eastAsia" w:hAnsi="宋体" w:cs="Corbel"/>
          <w:color w:val="000000" w:themeColor="text1"/>
          <w:sz w:val="24"/>
          <w14:textFill>
            <w14:solidFill>
              <w14:schemeClr w14:val="tx1"/>
            </w14:solidFill>
          </w14:textFill>
        </w:rPr>
        <w:t>1、投标人所投货物为自己制造的，也应按本声明函格式填写。</w:t>
      </w:r>
    </w:p>
    <w:p>
      <w:pPr>
        <w:pStyle w:val="6"/>
        <w:spacing w:line="360" w:lineRule="auto"/>
        <w:ind w:left="958" w:leftChars="342" w:hanging="240" w:hangingChars="1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2、组成联合体的大中型企业和其他自然人、法人或者其他组织，与小型、微型企业之间不得存在投资关系。</w:t>
      </w:r>
    </w:p>
    <w:p>
      <w:pPr>
        <w:pStyle w:val="6"/>
        <w:spacing w:line="360" w:lineRule="auto"/>
        <w:ind w:left="958" w:leftChars="342" w:hanging="240" w:hangingChars="100"/>
        <w:jc w:val="left"/>
        <w:rPr>
          <w:rFonts w:hAnsi="宋体" w:eastAsia="宋体" w:cs="Times New Roman"/>
          <w:bCs/>
          <w:color w:val="000000" w:themeColor="text1"/>
          <w:sz w:val="24"/>
          <w:szCs w:val="24"/>
          <w14:textFill>
            <w14:solidFill>
              <w14:schemeClr w14:val="tx1"/>
            </w14:solidFill>
          </w14:textFill>
        </w:rPr>
      </w:pPr>
      <w:r>
        <w:rPr>
          <w:rFonts w:hint="eastAsia" w:hAnsi="宋体"/>
          <w:color w:val="000000" w:themeColor="text1"/>
          <w:sz w:val="24"/>
          <w14:textFill>
            <w14:solidFill>
              <w14:schemeClr w14:val="tx1"/>
            </w14:solidFill>
          </w14:textFill>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制造商法定代表人（</w:t>
      </w:r>
      <w:r>
        <w:rPr>
          <w:rFonts w:hint="eastAsia" w:ascii="宋体" w:hAnsi="宋体" w:eastAsia="宋体" w:cs="Times New Roman"/>
          <w:b/>
          <w:color w:val="000000" w:themeColor="text1"/>
          <w:sz w:val="24"/>
          <w:szCs w:val="21"/>
          <w:lang w:val="zh-CN"/>
          <w14:textFill>
            <w14:solidFill>
              <w14:schemeClr w14:val="tx1"/>
            </w14:solidFill>
          </w14:textFill>
        </w:rPr>
        <w:t>签字或盖章</w:t>
      </w:r>
      <w:r>
        <w:rPr>
          <w:rFonts w:hint="eastAsia" w:ascii="宋体" w:hAnsi="宋体" w:eastAsia="宋体" w:cs="Times New Roman"/>
          <w:b/>
          <w:bCs/>
          <w:color w:val="000000" w:themeColor="text1"/>
          <w:sz w:val="24"/>
          <w:szCs w:val="21"/>
          <w:lang w:val="zh-CN"/>
          <w14:textFill>
            <w14:solidFill>
              <w14:schemeClr w14:val="tx1"/>
            </w14:solidFill>
          </w14:textFill>
        </w:rPr>
        <w:t>）：</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日   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27" w:name="_Toc11879"/>
      <w:bookmarkStart w:id="128" w:name="_Toc494665953"/>
      <w:bookmarkStart w:id="129" w:name="_Toc494745320"/>
      <w:bookmarkStart w:id="130" w:name="_Toc494721103"/>
      <w:bookmarkStart w:id="131" w:name="_Toc456264006"/>
      <w:bookmarkStart w:id="132" w:name="_Toc494665003"/>
      <w:bookmarkStart w:id="133" w:name="_Toc494702273"/>
      <w:bookmarkStart w:id="134" w:name="_Toc494665556"/>
      <w:r>
        <w:rPr>
          <w:rFonts w:hint="eastAsia" w:ascii="宋体" w:hAnsi="宋体" w:eastAsia="宋体"/>
          <w:color w:val="000000" w:themeColor="text1"/>
          <w14:textFill>
            <w14:solidFill>
              <w14:schemeClr w14:val="tx1"/>
            </w14:solidFill>
          </w14:textFill>
        </w:rPr>
        <w:t>中小企业声明函</w:t>
      </w:r>
      <w:bookmarkEnd w:id="127"/>
      <w:bookmarkEnd w:id="128"/>
      <w:bookmarkEnd w:id="129"/>
      <w:bookmarkEnd w:id="130"/>
      <w:bookmarkEnd w:id="131"/>
      <w:bookmarkEnd w:id="132"/>
      <w:bookmarkEnd w:id="133"/>
      <w:bookmarkEnd w:id="134"/>
    </w:p>
    <w:p>
      <w:pPr>
        <w:adjustRightInd w:val="0"/>
        <w:snapToGrid w:val="0"/>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中小企业声明函</w:t>
      </w:r>
    </w:p>
    <w:p>
      <w:pPr>
        <w:adjustRightInd w:val="0"/>
        <w:snapToGrid w:val="0"/>
        <w:spacing w:before="156" w:beforeLines="50" w:after="156" w:afterLines="50"/>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（适用于工程类、服务类项目）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1.根据《工业和信息化部、国家统计局、国家发展和改革委员会、财政部关于印发中小企业划型标准规定的通知》（工信部联企业〔2011〕300号）规定的划分标准</w:t>
      </w:r>
      <w:r>
        <w:rPr>
          <w:rFonts w:hint="eastAsia" w:hAnsi="宋体"/>
          <w:color w:val="000000" w:themeColor="text1"/>
          <w:sz w:val="24"/>
          <w14:textFill>
            <w14:solidFill>
              <w14:schemeClr w14:val="tx1"/>
            </w14:solidFill>
          </w14:textFill>
        </w:rPr>
        <w:t>（详见《中小企业划型标准》）</w:t>
      </w:r>
      <w:r>
        <w:rPr>
          <w:rFonts w:hint="eastAsia" w:ascii="宋体" w:hAnsi="宋体" w:eastAsia="宋体" w:cs="Times New Roman"/>
          <w:color w:val="000000" w:themeColor="text1"/>
          <w:sz w:val="24"/>
          <w:szCs w:val="21"/>
          <w:lang w:val="zh-CN"/>
          <w14:textFill>
            <w14:solidFill>
              <w14:schemeClr w14:val="tx1"/>
            </w14:solidFill>
          </w14:textFill>
        </w:rPr>
        <w:t>，本公司为______（请填写：中型、小型、微型）企业。</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2.本公司参加_</w:t>
      </w:r>
      <w:r>
        <w:rPr>
          <w:rFonts w:hint="eastAsia" w:ascii="宋体" w:hAnsi="宋体" w:eastAsia="宋体" w:cs="Times New Roman"/>
          <w:color w:val="000000" w:themeColor="text1"/>
          <w:sz w:val="24"/>
          <w:szCs w:val="21"/>
          <w:u w:val="single"/>
          <w:lang w:val="zh-CN"/>
          <w14:textFill>
            <w14:solidFill>
              <w14:schemeClr w14:val="tx1"/>
            </w14:solidFill>
          </w14:textFill>
        </w:rPr>
        <w:t>_（采购人）</w:t>
      </w:r>
      <w:r>
        <w:rPr>
          <w:rFonts w:hint="eastAsia" w:ascii="宋体" w:hAnsi="宋体" w:eastAsia="宋体" w:cs="Times New Roman"/>
          <w:color w:val="000000" w:themeColor="text1"/>
          <w:sz w:val="24"/>
          <w:szCs w:val="21"/>
          <w:lang w:val="zh-CN"/>
          <w14:textFill>
            <w14:solidFill>
              <w14:schemeClr w14:val="tx1"/>
            </w14:solidFill>
          </w14:textFill>
        </w:rPr>
        <w:t>的__</w:t>
      </w:r>
      <w:r>
        <w:rPr>
          <w:rFonts w:hint="eastAsia" w:ascii="宋体" w:hAnsi="宋体" w:eastAsia="宋体" w:cs="Times New Roman"/>
          <w:color w:val="000000" w:themeColor="text1"/>
          <w:sz w:val="24"/>
          <w:szCs w:val="21"/>
          <w:u w:val="single"/>
          <w:lang w:val="zh-CN"/>
          <w14:textFill>
            <w14:solidFill>
              <w14:schemeClr w14:val="tx1"/>
            </w14:solidFill>
          </w14:textFill>
        </w:rPr>
        <w:t>__</w:t>
      </w:r>
      <w:r>
        <w:rPr>
          <w:rFonts w:hint="eastAsia" w:ascii="宋体" w:hAnsi="宋体" w:eastAsia="宋体" w:cs="Times New Roman"/>
          <w:color w:val="000000" w:themeColor="text1"/>
          <w:sz w:val="24"/>
          <w:szCs w:val="21"/>
          <w:lang w:val="zh-CN"/>
          <w14:textFill>
            <w14:solidFill>
              <w14:schemeClr w14:val="tx1"/>
            </w14:solidFill>
          </w14:textFill>
        </w:rPr>
        <w:t>项目（项目编号：______）采购活动由本企业承担工程（或提供服务）。</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本公司对上述声明的真实性负责。如有虚假，将依法承担相应责任。</w:t>
      </w:r>
    </w:p>
    <w:p>
      <w:pPr>
        <w:adjustRightInd w:val="0"/>
        <w:snapToGrid w:val="0"/>
        <w:spacing w:line="360" w:lineRule="auto"/>
        <w:rPr>
          <w:rFonts w:ascii="宋体" w:hAnsi="宋体" w:eastAsia="宋体" w:cs="Times New Roman"/>
          <w:color w:val="000000" w:themeColor="text1"/>
          <w:sz w:val="28"/>
          <w:szCs w:val="24"/>
          <w14:textFill>
            <w14:solidFill>
              <w14:schemeClr w14:val="tx1"/>
            </w14:solidFill>
          </w14:textFill>
        </w:rPr>
      </w:pPr>
    </w:p>
    <w:p>
      <w:pPr>
        <w:adjustRightInd w:val="0"/>
        <w:snapToGrid w:val="0"/>
        <w:spacing w:line="360" w:lineRule="auto"/>
        <w:rPr>
          <w:rFonts w:ascii="宋体" w:hAnsi="宋体" w:eastAsia="宋体" w:cs="Times New Roman"/>
          <w:color w:val="000000" w:themeColor="text1"/>
          <w:sz w:val="28"/>
          <w:szCs w:val="24"/>
          <w14:textFill>
            <w14:solidFill>
              <w14:schemeClr w14:val="tx1"/>
            </w14:solidFill>
          </w14:textFill>
        </w:rPr>
      </w:pPr>
    </w:p>
    <w:p>
      <w:pPr>
        <w:spacing w:line="360" w:lineRule="auto"/>
        <w:ind w:left="950" w:hanging="950" w:hangingChars="396"/>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2.以联合体方式参与本项目投标的供应商，应由联合体双方签字盖章。</w:t>
      </w:r>
    </w:p>
    <w:p>
      <w:pPr>
        <w:spacing w:line="360" w:lineRule="auto"/>
        <w:ind w:firstLine="480" w:firstLineChars="200"/>
        <w:jc w:val="left"/>
        <w:rPr>
          <w:rFonts w:ascii="宋体" w:hAnsi="宋体" w:eastAsia="宋体" w:cs="Times New Roman"/>
          <w:color w:val="000000" w:themeColor="text1"/>
          <w:sz w:val="24"/>
          <w:szCs w:val="21"/>
          <w:lang w:val="zh-CN"/>
          <w14:textFill>
            <w14:solidFill>
              <w14:schemeClr w14:val="tx1"/>
            </w14:solidFill>
          </w14:textFill>
        </w:rPr>
      </w:pPr>
    </w:p>
    <w:p>
      <w:pPr>
        <w:spacing w:line="360" w:lineRule="auto"/>
        <w:ind w:firstLine="480" w:firstLineChars="200"/>
        <w:jc w:val="left"/>
        <w:rPr>
          <w:rFonts w:ascii="宋体" w:hAnsi="宋体" w:eastAsia="宋体" w:cs="Times New Roman"/>
          <w:color w:val="000000" w:themeColor="text1"/>
          <w:sz w:val="24"/>
          <w:szCs w:val="21"/>
          <w:lang w:val="zh-CN"/>
          <w14:textFill>
            <w14:solidFill>
              <w14:schemeClr w14:val="tx1"/>
            </w14:solidFill>
          </w14:textFill>
        </w:rPr>
      </w:pPr>
    </w:p>
    <w:p>
      <w:pPr>
        <w:spacing w:line="360" w:lineRule="auto"/>
        <w:ind w:firstLine="480" w:firstLineChars="200"/>
        <w:jc w:val="left"/>
        <w:rPr>
          <w:rFonts w:ascii="宋体" w:hAnsi="宋体" w:eastAsia="宋体" w:cs="Times New Roman"/>
          <w:color w:val="000000" w:themeColor="text1"/>
          <w:sz w:val="24"/>
          <w:szCs w:val="21"/>
          <w:lang w:val="zh-CN"/>
          <w14:textFill>
            <w14:solidFill>
              <w14:schemeClr w14:val="tx1"/>
            </w14:solidFill>
          </w14:textFill>
        </w:rPr>
      </w:pP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投标时间：</w:t>
      </w:r>
    </w:p>
    <w:p>
      <w:pPr>
        <w:rPr>
          <w:color w:val="000000" w:themeColor="text1"/>
          <w14:textFill>
            <w14:solidFill>
              <w14:schemeClr w14:val="tx1"/>
            </w14:solidFill>
          </w14:textFill>
        </w:rPr>
        <w:sectPr>
          <w:headerReference r:id="rId7" w:type="default"/>
          <w:footerReference r:id="rId8" w:type="default"/>
          <w:pgSz w:w="11906" w:h="16838"/>
          <w:pgMar w:top="1134" w:right="1191" w:bottom="1134" w:left="1191" w:header="851" w:footer="624" w:gutter="0"/>
          <w:cols w:space="425" w:num="1"/>
          <w:docGrid w:type="linesAndChars" w:linePitch="312" w:charSpace="0"/>
        </w:sectPr>
      </w:pPr>
      <w:r>
        <w:rPr>
          <w:color w:val="000000" w:themeColor="text1"/>
          <w14:textFill>
            <w14:solidFill>
              <w14:schemeClr w14:val="tx1"/>
            </w14:solidFill>
          </w14:textFill>
        </w:rPr>
        <w:br w:type="page"/>
      </w:r>
    </w:p>
    <w:p>
      <w:pPr>
        <w:spacing w:line="240" w:lineRule="atLeast"/>
        <w:ind w:left="-48" w:leftChars="-23" w:right="-65" w:rightChars="-31"/>
        <w:jc w:val="center"/>
        <w:rPr>
          <w:rFonts w:ascii="宋体" w:hAnsi="宋体" w:eastAsia="宋体" w:cs="Times New Roman"/>
          <w:b/>
          <w:color w:val="000000" w:themeColor="text1"/>
          <w:sz w:val="30"/>
          <w:szCs w:val="30"/>
          <w:lang w:val="zh-CN"/>
          <w14:textFill>
            <w14:solidFill>
              <w14:schemeClr w14:val="tx1"/>
            </w14:solidFill>
          </w14:textFill>
        </w:rPr>
      </w:pPr>
      <w:bookmarkStart w:id="135" w:name="_Toc476153619"/>
      <w:r>
        <w:rPr>
          <w:rFonts w:hint="eastAsia" w:ascii="宋体" w:hAnsi="宋体" w:eastAsia="宋体" w:cs="Times New Roman"/>
          <w:b/>
          <w:color w:val="000000" w:themeColor="text1"/>
          <w:sz w:val="30"/>
          <w:szCs w:val="30"/>
          <w:lang w:val="zh-CN"/>
          <w14:textFill>
            <w14:solidFill>
              <w14:schemeClr w14:val="tx1"/>
            </w14:solidFill>
          </w14:textFill>
        </w:rPr>
        <w:t>中小企业划型标准</w:t>
      </w:r>
      <w:bookmarkEnd w:id="135"/>
    </w:p>
    <w:tbl>
      <w:tblPr>
        <w:tblStyle w:val="14"/>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color w:val="000000" w:themeColor="text1"/>
                <w:kern w:val="0"/>
                <w:szCs w:val="21"/>
                <w14:textFill>
                  <w14:solidFill>
                    <w14:schemeClr w14:val="tx1"/>
                  </w14:solidFill>
                </w14:textFill>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bl>
    <w:p>
      <w:pPr>
        <w:rPr>
          <w:color w:val="000000" w:themeColor="text1"/>
          <w14:textFill>
            <w14:solidFill>
              <w14:schemeClr w14:val="tx1"/>
            </w14:solidFill>
          </w14:textFill>
        </w:rPr>
        <w:sectPr>
          <w:pgSz w:w="16838" w:h="11906" w:orient="landscape"/>
          <w:pgMar w:top="1191" w:right="1134" w:bottom="1191" w:left="1134" w:header="851" w:footer="851" w:gutter="0"/>
          <w:cols w:space="425" w:num="1"/>
          <w:docGrid w:type="lines" w:linePitch="312" w:charSpace="0"/>
        </w:sect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36" w:name="_Toc25959"/>
      <w:bookmarkStart w:id="137" w:name="_Toc494721104"/>
      <w:bookmarkStart w:id="138" w:name="_Toc494665557"/>
      <w:bookmarkStart w:id="139" w:name="_Toc494745321"/>
      <w:bookmarkStart w:id="140" w:name="_Toc494702274"/>
      <w:bookmarkStart w:id="141" w:name="_Toc494665004"/>
      <w:bookmarkStart w:id="142" w:name="_Toc494665954"/>
      <w:r>
        <w:rPr>
          <w:rFonts w:hint="eastAsia" w:ascii="宋体" w:hAnsi="宋体" w:eastAsia="宋体"/>
          <w:color w:val="000000" w:themeColor="text1"/>
          <w14:textFill>
            <w14:solidFill>
              <w14:schemeClr w14:val="tx1"/>
            </w14:solidFill>
          </w14:textFill>
        </w:rPr>
        <w:t>残疾人福利性单位声明函</w:t>
      </w:r>
      <w:bookmarkEnd w:id="136"/>
      <w:bookmarkEnd w:id="137"/>
      <w:bookmarkEnd w:id="138"/>
      <w:bookmarkEnd w:id="139"/>
      <w:bookmarkEnd w:id="140"/>
      <w:bookmarkEnd w:id="141"/>
      <w:bookmarkEnd w:id="142"/>
    </w:p>
    <w:p>
      <w:pPr>
        <w:adjustRightInd w:val="0"/>
        <w:snapToGrid w:val="0"/>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残疾人福利性单位声明函</w:t>
      </w:r>
    </w:p>
    <w:p>
      <w:pPr>
        <w:adjustRightInd w:val="0"/>
        <w:snapToGrid w:val="0"/>
        <w:spacing w:before="156" w:beforeLines="50" w:after="156" w:afterLines="50"/>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（适用于货物类项目）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pStyle w:val="6"/>
        <w:spacing w:line="360" w:lineRule="auto"/>
        <w:ind w:firstLine="475" w:firstLineChars="198"/>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中国残疾人联合会关于促进残疾人就业政府采购政策的通知》（财库〔2017〕141号）的规定，本单位为符合条件的残疾人福利性单位（详见“残疾人福利性单位应当满足的条件”）。</w:t>
      </w:r>
    </w:p>
    <w:p>
      <w:pPr>
        <w:pStyle w:val="6"/>
        <w:spacing w:line="360" w:lineRule="auto"/>
        <w:ind w:firstLine="475" w:firstLineChars="198"/>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1.本单位授权</w:t>
      </w:r>
      <w:r>
        <w:rPr>
          <w:rFonts w:hint="eastAsia" w:hAnsi="宋体"/>
          <w:color w:val="000000" w:themeColor="text1"/>
          <w:sz w:val="24"/>
          <w:u w:val="single"/>
          <w14:textFill>
            <w14:solidFill>
              <w14:schemeClr w14:val="tx1"/>
            </w14:solidFill>
          </w14:textFill>
        </w:rPr>
        <w:t xml:space="preserve"> （投标人） </w:t>
      </w:r>
      <w:r>
        <w:rPr>
          <w:rFonts w:hint="eastAsia" w:hAnsi="宋体"/>
          <w:color w:val="000000" w:themeColor="text1"/>
          <w:sz w:val="24"/>
          <w14:textFill>
            <w14:solidFill>
              <w14:schemeClr w14:val="tx1"/>
            </w14:solidFill>
          </w14:textFill>
        </w:rPr>
        <w:t>参加_</w:t>
      </w:r>
      <w:r>
        <w:rPr>
          <w:rFonts w:hint="eastAsia" w:hAnsi="宋体"/>
          <w:color w:val="000000" w:themeColor="text1"/>
          <w:sz w:val="24"/>
          <w:u w:val="single"/>
          <w14:textFill>
            <w14:solidFill>
              <w14:schemeClr w14:val="tx1"/>
            </w14:solidFill>
          </w14:textFill>
        </w:rPr>
        <w:t>（采购人）</w:t>
      </w:r>
      <w:r>
        <w:rPr>
          <w:rFonts w:hint="eastAsia" w:hAnsi="宋体"/>
          <w:color w:val="000000" w:themeColor="text1"/>
          <w:sz w:val="24"/>
          <w14:textFill>
            <w14:solidFill>
              <w14:schemeClr w14:val="tx1"/>
            </w14:solidFill>
          </w14:textFill>
        </w:rPr>
        <w:t>的__</w:t>
      </w:r>
      <w:r>
        <w:rPr>
          <w:rFonts w:hint="eastAsia" w:hAnsi="宋体"/>
          <w:color w:val="000000" w:themeColor="text1"/>
          <w:sz w:val="24"/>
          <w:u w:val="single"/>
          <w14:textFill>
            <w14:solidFill>
              <w14:schemeClr w14:val="tx1"/>
            </w14:solidFill>
          </w14:textFill>
        </w:rPr>
        <w:t>_ _</w:t>
      </w:r>
      <w:r>
        <w:rPr>
          <w:rFonts w:hint="eastAsia" w:hAnsi="宋体"/>
          <w:color w:val="000000" w:themeColor="text1"/>
          <w:sz w:val="24"/>
          <w14:textFill>
            <w14:solidFill>
              <w14:schemeClr w14:val="tx1"/>
            </w14:solidFill>
          </w14:textFill>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zh-CN"/>
          <w14:textFill>
            <w14:solidFill>
              <w14:schemeClr w14:val="tx1"/>
            </w14:solidFill>
          </w14:textFill>
        </w:rPr>
        <w:t>2</w:t>
      </w:r>
      <w:r>
        <w:rPr>
          <w:rFonts w:hint="eastAsia" w:ascii="宋体" w:hAnsi="宋体"/>
          <w:bCs/>
          <w:color w:val="000000" w:themeColor="text1"/>
          <w:sz w:val="24"/>
          <w14:textFill>
            <w14:solidFill>
              <w14:schemeClr w14:val="tx1"/>
            </w14:solidFill>
          </w14:textFill>
        </w:rPr>
        <w:t>.由本单位制造的货物清单见下表：</w:t>
      </w:r>
    </w:p>
    <w:tbl>
      <w:tblPr>
        <w:tblStyle w:val="14"/>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ind w:left="-2" w:firstLine="2"/>
              <w:jc w:val="center"/>
              <w:rPr>
                <w:rFonts w:ascii="宋体" w:hAnsi="宋体"/>
                <w:color w:val="000000" w:themeColor="text1"/>
                <w:sz w:val="24"/>
                <w14:textFill>
                  <w14:solidFill>
                    <w14:schemeClr w14:val="tx1"/>
                  </w14:solidFill>
                </w14:textFill>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r>
    </w:tbl>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本单位对上述声明的真实性负责。如有虚假，将依法承担相应责任。</w:t>
      </w:r>
    </w:p>
    <w:p>
      <w:pPr>
        <w:spacing w:line="360" w:lineRule="auto"/>
        <w:rPr>
          <w:rFonts w:ascii="宋体" w:hAnsi="宋体" w:eastAsia="宋体" w:cs="Times New Roman"/>
          <w:bCs/>
          <w:color w:val="000000" w:themeColor="text1"/>
          <w:sz w:val="24"/>
          <w:szCs w:val="24"/>
          <w14:textFill>
            <w14:solidFill>
              <w14:schemeClr w14:val="tx1"/>
            </w14:solidFill>
          </w14:textFill>
        </w:rPr>
      </w:pPr>
    </w:p>
    <w:p>
      <w:pPr>
        <w:pStyle w:val="6"/>
        <w:spacing w:line="360" w:lineRule="auto"/>
        <w:jc w:val="left"/>
        <w:rPr>
          <w:rFonts w:hAnsi="宋体" w:cs="Corbel"/>
          <w:color w:val="000000" w:themeColor="text1"/>
          <w:sz w:val="24"/>
          <w14:textFill>
            <w14:solidFill>
              <w14:schemeClr w14:val="tx1"/>
            </w14:solidFill>
          </w14:textFill>
        </w:rPr>
      </w:pPr>
      <w:r>
        <w:rPr>
          <w:rFonts w:hint="eastAsia" w:hAnsi="宋体" w:eastAsia="宋体" w:cs="Times New Roman"/>
          <w:bCs/>
          <w:color w:val="000000" w:themeColor="text1"/>
          <w:sz w:val="24"/>
          <w:szCs w:val="24"/>
          <w14:textFill>
            <w14:solidFill>
              <w14:schemeClr w14:val="tx1"/>
            </w14:solidFill>
          </w14:textFill>
        </w:rPr>
        <w:t>说明：</w:t>
      </w:r>
      <w:r>
        <w:rPr>
          <w:rFonts w:hint="eastAsia" w:hAnsi="宋体" w:cs="Corbel"/>
          <w:color w:val="000000" w:themeColor="text1"/>
          <w:sz w:val="24"/>
          <w14:textFill>
            <w14:solidFill>
              <w14:schemeClr w14:val="tx1"/>
            </w14:solidFill>
          </w14:textFill>
        </w:rPr>
        <w:t>1、投标人所投货物为自己制造的，也应按本声明函格式填写。</w:t>
      </w:r>
    </w:p>
    <w:p>
      <w:pPr>
        <w:pStyle w:val="6"/>
        <w:spacing w:line="360" w:lineRule="auto"/>
        <w:ind w:left="1078" w:leftChars="342" w:hanging="360" w:hangingChars="15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2、组成联合体的大中型企业和其他自然人、法人或者其他组织，与残疾人福利性单位之间不得存在投资关系。</w:t>
      </w:r>
    </w:p>
    <w:p>
      <w:pPr>
        <w:pStyle w:val="6"/>
        <w:spacing w:line="360" w:lineRule="auto"/>
        <w:ind w:left="1078" w:leftChars="342" w:hanging="360" w:hangingChars="15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3、以联合体方式参与本项目投标的供应商，应由联合体双方签字盖章。</w:t>
      </w:r>
    </w:p>
    <w:p>
      <w:pPr>
        <w:spacing w:line="360" w:lineRule="auto"/>
        <w:rPr>
          <w:rFonts w:ascii="宋体" w:hAns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制造商法定代表人（</w:t>
      </w:r>
      <w:r>
        <w:rPr>
          <w:rFonts w:hint="eastAsia" w:ascii="宋体" w:hAnsi="宋体" w:eastAsia="宋体" w:cs="Times New Roman"/>
          <w:b/>
          <w:color w:val="000000" w:themeColor="text1"/>
          <w:sz w:val="24"/>
          <w:szCs w:val="21"/>
          <w:lang w:val="zh-CN"/>
          <w14:textFill>
            <w14:solidFill>
              <w14:schemeClr w14:val="tx1"/>
            </w14:solidFill>
          </w14:textFill>
        </w:rPr>
        <w:t>签字或盖章</w:t>
      </w:r>
      <w:r>
        <w:rPr>
          <w:rFonts w:hint="eastAsia" w:ascii="宋体" w:hAnsi="宋体" w:eastAsia="宋体" w:cs="Times New Roman"/>
          <w:b/>
          <w:bCs/>
          <w:color w:val="000000" w:themeColor="text1"/>
          <w:sz w:val="24"/>
          <w:szCs w:val="21"/>
          <w:lang w:val="zh-CN"/>
          <w14:textFill>
            <w14:solidFill>
              <w14:schemeClr w14:val="tx1"/>
            </w14:solidFill>
          </w14:textFill>
        </w:rPr>
        <w:t>）：</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日   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adjustRightInd w:val="0"/>
        <w:snapToGrid w:val="0"/>
        <w:jc w:val="center"/>
        <w:rPr>
          <w:rFonts w:ascii="宋体" w:hAnsi="宋体" w:eastAsia="宋体" w:cs="Times New Roman"/>
          <w:b/>
          <w:color w:val="000000" w:themeColor="text1"/>
          <w:sz w:val="30"/>
          <w:szCs w:val="30"/>
          <w:lang w:val="zh-CN"/>
          <w14:textFill>
            <w14:solidFill>
              <w14:schemeClr w14:val="tx1"/>
            </w14:solidFill>
          </w14:textFill>
        </w:rPr>
      </w:pPr>
    </w:p>
    <w:p>
      <w:pPr>
        <w:adjustRightInd w:val="0"/>
        <w:snapToGrid w:val="0"/>
        <w:spacing w:before="312" w:beforeLines="100"/>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残疾人福利性单位声明函</w:t>
      </w:r>
    </w:p>
    <w:p>
      <w:pPr>
        <w:adjustRightInd w:val="0"/>
        <w:snapToGrid w:val="0"/>
        <w:spacing w:before="156" w:beforeLines="50" w:after="156" w:afterLines="50"/>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（适用于工程类、服务类项目）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w:t>
      </w:r>
      <w:r>
        <w:rPr>
          <w:rFonts w:hint="eastAsia" w:hAnsi="宋体"/>
          <w:color w:val="000000" w:themeColor="text1"/>
          <w:sz w:val="24"/>
          <w14:textFill>
            <w14:solidFill>
              <w14:schemeClr w14:val="tx1"/>
            </w14:solidFill>
          </w14:textFill>
        </w:rPr>
        <w:t>（详见“残疾人福利性单位应当满足的条件”）</w:t>
      </w:r>
      <w:r>
        <w:rPr>
          <w:rFonts w:hint="eastAsia" w:ascii="宋体" w:hAnsi="宋体" w:eastAsia="宋体" w:cs="Times New Roman"/>
          <w:color w:val="000000" w:themeColor="text1"/>
          <w:sz w:val="24"/>
          <w:szCs w:val="24"/>
          <w14:textFill>
            <w14:solidFill>
              <w14:schemeClr w14:val="tx1"/>
            </w14:solidFill>
          </w14:textFill>
        </w:rPr>
        <w:t>，且本单位参加</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Times New Roman" w:hAnsi="宋体" w:eastAsia="宋体" w:cs="Times New Roman"/>
          <w:color w:val="000000" w:themeColor="text1"/>
          <w:sz w:val="24"/>
          <w:szCs w:val="24"/>
          <w:u w:val="single"/>
          <w14:textFill>
            <w14:solidFill>
              <w14:schemeClr w14:val="tx1"/>
            </w14:solidFill>
          </w14:textFill>
        </w:rPr>
        <w:t>采购</w:t>
      </w:r>
      <w:r>
        <w:rPr>
          <w:rFonts w:hint="eastAsia" w:ascii="宋体" w:hAnsi="宋体" w:eastAsia="宋体" w:cs="Times New Roman"/>
          <w:color w:val="000000" w:themeColor="text1"/>
          <w:sz w:val="24"/>
          <w:szCs w:val="24"/>
          <w:u w:val="single"/>
          <w14:textFill>
            <w14:solidFill>
              <w14:schemeClr w14:val="tx1"/>
            </w14:solidFill>
          </w14:textFill>
        </w:rPr>
        <w:t>人）</w:t>
      </w:r>
      <w:r>
        <w:rPr>
          <w:rFonts w:hint="eastAsia" w:ascii="Times New Roman" w:hAnsi="宋体" w:eastAsia="宋体" w:cs="Times New Roman"/>
          <w:color w:val="000000" w:themeColor="text1"/>
          <w:sz w:val="24"/>
          <w:szCs w:val="24"/>
          <w14:textFill>
            <w14:solidFill>
              <w14:schemeClr w14:val="tx1"/>
            </w14:solidFill>
          </w14:textFill>
        </w:rPr>
        <w:t>的</w:t>
      </w:r>
      <w:r>
        <w:rPr>
          <w:rFonts w:hint="eastAsia" w:cs="Times New Roman" w:asciiTheme="minorEastAsia" w:hAnsiTheme="minorEastAsia"/>
          <w:color w:val="000000" w:themeColor="text1"/>
          <w:sz w:val="24"/>
          <w:szCs w:val="24"/>
          <w:u w:val="single"/>
          <w14:textFill>
            <w14:solidFill>
              <w14:schemeClr w14:val="tx1"/>
            </w14:solidFill>
          </w14:textFill>
        </w:rPr>
        <w:t>__   _</w:t>
      </w:r>
      <w:r>
        <w:rPr>
          <w:rFonts w:hint="eastAsia" w:ascii="Times New Roman" w:hAnsi="宋体" w:eastAsia="宋体" w:cs="Times New Roman"/>
          <w:color w:val="000000" w:themeColor="text1"/>
          <w:sz w:val="24"/>
          <w:szCs w:val="24"/>
          <w14:textFill>
            <w14:solidFill>
              <w14:schemeClr w14:val="tx1"/>
            </w14:solidFill>
          </w14:textFill>
        </w:rPr>
        <w:t>项目（项目编号：______）</w:t>
      </w:r>
      <w:r>
        <w:rPr>
          <w:rFonts w:hint="eastAsia" w:ascii="宋体" w:hAnsi="宋体" w:eastAsia="宋体" w:cs="Times New Roman"/>
          <w:color w:val="000000" w:themeColor="text1"/>
          <w:sz w:val="24"/>
          <w:szCs w:val="24"/>
          <w14:textFill>
            <w14:solidFill>
              <w14:schemeClr w14:val="tx1"/>
            </w14:solidFill>
          </w14:textFill>
        </w:rPr>
        <w:t>采购活动由本单位承担工程（或提供服务）。</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本单位对上述声明的真实性负责。如有虚假，将依法承担相应责任。</w:t>
      </w: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ind w:left="1080" w:hanging="1080" w:hangingChars="450"/>
        <w:jc w:val="left"/>
        <w:rPr>
          <w:rFonts w:ascii="宋体" w:hAnsi="宋体" w:cs="Courier New"/>
          <w:color w:val="000000" w:themeColor="text1"/>
          <w:sz w:val="24"/>
          <w:szCs w:val="21"/>
          <w14:textFill>
            <w14:solidFill>
              <w14:schemeClr w14:val="tx1"/>
            </w14:solidFill>
          </w14:textFill>
        </w:rPr>
      </w:pPr>
      <w:r>
        <w:rPr>
          <w:rFonts w:hint="eastAsia" w:ascii="宋体" w:hAnsi="宋体" w:cs="Courier New"/>
          <w:color w:val="000000" w:themeColor="text1"/>
          <w:sz w:val="24"/>
          <w:szCs w:val="21"/>
          <w14:textFill>
            <w14:solidFill>
              <w14:schemeClr w14:val="tx1"/>
            </w14:solidFill>
          </w14:textFill>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cs="Courier New"/>
          <w:color w:val="000000" w:themeColor="text1"/>
          <w:sz w:val="24"/>
          <w:szCs w:val="21"/>
          <w14:textFill>
            <w14:solidFill>
              <w14:schemeClr w14:val="tx1"/>
            </w14:solidFill>
          </w14:textFill>
        </w:rPr>
        <w:t>2、以联合体方式参与本项目投标的供应商，应由联合体双方签字盖章。</w:t>
      </w: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ascii="Times New Roman" w:hAnsi="宋体" w:eastAsia="宋体" w:cs="Times New Roman"/>
          <w:bCs/>
          <w:color w:val="000000" w:themeColor="text1"/>
          <w:sz w:val="24"/>
          <w:szCs w:val="24"/>
          <w:u w:val="single"/>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日   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600" w:lineRule="exact"/>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享受政府采购支持政策的残疾人福利性单位应当同时满足以下条件：</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（二）依法与安置的每位残疾人签订了一年以上（含一年）的劳动合同或服务协议；</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43" w:name="_Toc494745322"/>
      <w:bookmarkStart w:id="144" w:name="_Toc494665955"/>
      <w:bookmarkStart w:id="145" w:name="_Toc494721105"/>
      <w:bookmarkStart w:id="146" w:name="_Toc494702275"/>
      <w:bookmarkStart w:id="147" w:name="_Toc494665558"/>
      <w:bookmarkStart w:id="148" w:name="_Toc26653"/>
      <w:bookmarkStart w:id="149" w:name="_Toc494665005"/>
      <w:bookmarkStart w:id="150" w:name="_Toc494577410"/>
      <w:r>
        <w:rPr>
          <w:rFonts w:hint="eastAsia" w:ascii="宋体" w:hAnsi="宋体" w:eastAsia="宋体"/>
          <w:color w:val="000000" w:themeColor="text1"/>
          <w14:textFill>
            <w14:solidFill>
              <w14:schemeClr w14:val="tx1"/>
            </w14:solidFill>
          </w14:textFill>
        </w:rPr>
        <w:t>开标一览表</w:t>
      </w:r>
      <w:bookmarkEnd w:id="143"/>
      <w:bookmarkEnd w:id="144"/>
      <w:bookmarkEnd w:id="145"/>
      <w:bookmarkEnd w:id="146"/>
      <w:bookmarkEnd w:id="147"/>
      <w:bookmarkEnd w:id="148"/>
      <w:bookmarkEnd w:id="149"/>
      <w:bookmarkEnd w:id="150"/>
    </w:p>
    <w:p>
      <w:pPr>
        <w:spacing w:line="360" w:lineRule="auto"/>
        <w:jc w:val="left"/>
        <w:rPr>
          <w:rFonts w:ascii="宋体" w:hAnsi="宋体" w:eastAsia="宋体" w:cs="Times New Roman"/>
          <w:b/>
          <w:color w:val="000000" w:themeColor="text1"/>
          <w:sz w:val="24"/>
          <w:szCs w:val="21"/>
          <w:u w:val="single"/>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投 标 人：</w:t>
      </w:r>
    </w:p>
    <w:p>
      <w:pPr>
        <w:spacing w:line="360" w:lineRule="auto"/>
        <w:jc w:val="left"/>
        <w:rPr>
          <w:rFonts w:ascii="宋体" w:hAnsi="宋体" w:eastAsia="宋体" w:cs="Times New Roman"/>
          <w:b/>
          <w:color w:val="000000" w:themeColor="text1"/>
          <w:sz w:val="24"/>
          <w:szCs w:val="21"/>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项目名称：</w:t>
      </w:r>
    </w:p>
    <w:p>
      <w:pPr>
        <w:spacing w:line="360" w:lineRule="auto"/>
        <w:jc w:val="left"/>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4"/>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小写：万元整（¥）</w:t>
            </w:r>
          </w:p>
          <w:p>
            <w:pPr>
              <w:spacing w:after="120" w:line="400" w:lineRule="atLeast"/>
              <w:ind w:left="205" w:leftChars="98" w:right="-65" w:rightChars="-3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大写：万 仟 佰 十 元 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项目工期</w:t>
            </w:r>
          </w:p>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000000" w:themeColor="text1"/>
                <w:sz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小型和微型企业、监狱企业、残疾人福利性单位价格扣除</w:t>
            </w:r>
            <w:r>
              <w:rPr>
                <w:rFonts w:hint="eastAsia" w:ascii="宋体" w:hAnsi="宋体" w:eastAsia="宋体" w:cs="Times New Roman"/>
                <w:color w:val="000000" w:themeColor="text1"/>
                <w:sz w:val="24"/>
                <w14:textFill>
                  <w14:solidFill>
                    <w14:schemeClr w14:val="tx1"/>
                  </w14:solidFill>
                </w14:textFill>
              </w:rPr>
              <w:t>合计（</w:t>
            </w:r>
            <w:r>
              <w:rPr>
                <w:rFonts w:hint="eastAsia" w:ascii="宋体" w:hAnsi="宋体" w:eastAsia="宋体" w:cs="宋体"/>
                <w:color w:val="000000" w:themeColor="text1"/>
                <w:kern w:val="0"/>
                <w:sz w:val="24"/>
                <w:szCs w:val="24"/>
                <w14:textFill>
                  <w14:solidFill>
                    <w14:schemeClr w14:val="tx1"/>
                  </w14:solidFill>
                </w14:textFill>
              </w:rPr>
              <w:t>大写</w:t>
            </w:r>
            <w:r>
              <w:rPr>
                <w:rFonts w:hint="eastAsia" w:ascii="宋体" w:hAnsi="宋体" w:eastAsia="宋体" w:cs="Times New Roman"/>
                <w:color w:val="000000" w:themeColor="text1"/>
                <w:sz w:val="24"/>
                <w14:textFill>
                  <w14:solidFill>
                    <w14:schemeClr w14:val="tx1"/>
                  </w14:solidFill>
                </w14:textFill>
              </w:rPr>
              <w:t>）：</w:t>
            </w:r>
          </w:p>
          <w:p>
            <w:pPr>
              <w:spacing w:line="276" w:lineRule="auto"/>
              <w:ind w:left="-48" w:leftChars="-23" w:right="-65" w:rightChars="-31"/>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万仟佰拾元整</w:t>
            </w:r>
            <w:r>
              <w:rPr>
                <w:rFonts w:hint="eastAsia" w:ascii="宋体" w:hAnsi="宋体" w:cs="宋体"/>
                <w:color w:val="000000" w:themeColor="text1"/>
                <w:kern w:val="0"/>
                <w:sz w:val="24"/>
                <w14:textFill>
                  <w14:solidFill>
                    <w14:schemeClr w14:val="tx1"/>
                  </w14:solidFill>
                </w14:textFill>
              </w:rPr>
              <w:t>（或以联合体投标的，</w:t>
            </w:r>
            <w:r>
              <w:rPr>
                <w:rFonts w:ascii="宋体" w:hAnsi="宋体"/>
                <w:bCs/>
                <w:color w:val="000000" w:themeColor="text1"/>
                <w:sz w:val="24"/>
                <w14:textFill>
                  <w14:solidFill>
                    <w14:schemeClr w14:val="tx1"/>
                  </w14:solidFill>
                </w14:textFill>
              </w:rPr>
              <w:t>联合协议中约定小型、微型企业的协议合同金额占到联合体协议合同总金额的</w:t>
            </w:r>
            <w:r>
              <w:rPr>
                <w:rFonts w:hint="eastAsia" w:ascii="宋体" w:hAnsi="宋体"/>
                <w:bCs/>
                <w:color w:val="000000" w:themeColor="text1"/>
                <w:sz w:val="24"/>
                <w14:textFill>
                  <w14:solidFill>
                    <w14:schemeClr w14:val="tx1"/>
                  </w14:solidFill>
                </w14:textFill>
              </w:rPr>
              <w:t>%）</w:t>
            </w:r>
          </w:p>
        </w:tc>
      </w:tr>
    </w:tbl>
    <w:p>
      <w:pPr>
        <w:spacing w:line="360" w:lineRule="auto"/>
        <w:ind w:left="1049" w:hanging="1048" w:hangingChars="43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说明：1．所有价格均用人民币表示，单位为万元。</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3．为方便开标时唱标，投标人应另附《开标一览表》及《交纳投标保证金的银行凭证》（如有交纳保证金要求的）各一份一并</w:t>
      </w:r>
      <w:r>
        <w:rPr>
          <w:rFonts w:hint="eastAsia" w:ascii="宋体" w:hAnsi="宋体" w:eastAsia="宋体" w:cs="Times New Roman"/>
          <w:color w:val="000000" w:themeColor="text1"/>
          <w:spacing w:val="-6"/>
          <w:kern w:val="0"/>
          <w:sz w:val="24"/>
          <w:szCs w:val="24"/>
          <w14:textFill>
            <w14:solidFill>
              <w14:schemeClr w14:val="tx1"/>
            </w14:solidFill>
          </w14:textFill>
        </w:rPr>
        <w:t>装入一个信封，单独密封提交</w:t>
      </w:r>
      <w:r>
        <w:rPr>
          <w:rFonts w:hint="eastAsia" w:ascii="宋体" w:hAnsi="宋体" w:eastAsia="宋体" w:cs="Times New Roman"/>
          <w:color w:val="000000" w:themeColor="text1"/>
          <w:sz w:val="24"/>
          <w:szCs w:val="24"/>
          <w14:textFill>
            <w14:solidFill>
              <w14:schemeClr w14:val="tx1"/>
            </w14:solidFill>
          </w14:textFill>
        </w:rPr>
        <w:t>，并在信封上标明“开标一览表”字样。未单独提交或单独提交的上述资料未按照招标文件规定的格式填写完整并签字、盖章</w:t>
      </w:r>
      <w:r>
        <w:rPr>
          <w:rFonts w:hint="eastAsia" w:ascii="宋体" w:hAnsi="宋体" w:eastAsia="宋体" w:cs="Times New Roman"/>
          <w:color w:val="000000" w:themeColor="text1"/>
          <w:sz w:val="24"/>
          <w:szCs w:val="20"/>
          <w:lang w:val="zh-CN"/>
          <w14:textFill>
            <w14:solidFill>
              <w14:schemeClr w14:val="tx1"/>
            </w14:solidFill>
          </w14:textFill>
        </w:rPr>
        <w:t>的集中采购机构</w:t>
      </w:r>
      <w:r>
        <w:rPr>
          <w:rFonts w:hint="eastAsia" w:ascii="宋体" w:hAnsi="宋体" w:eastAsia="宋体" w:cs="Times New Roman"/>
          <w:b/>
          <w:color w:val="000000" w:themeColor="text1"/>
          <w:sz w:val="24"/>
          <w:szCs w:val="20"/>
          <w:lang w:val="zh-CN"/>
          <w14:textFill>
            <w14:solidFill>
              <w14:schemeClr w14:val="tx1"/>
            </w14:solidFill>
          </w14:textFill>
        </w:rPr>
        <w:t>拒绝</w:t>
      </w:r>
      <w:r>
        <w:rPr>
          <w:rFonts w:hint="eastAsia" w:ascii="宋体" w:hAnsi="宋体" w:eastAsia="宋体" w:cs="Times New Roman"/>
          <w:color w:val="000000" w:themeColor="text1"/>
          <w:sz w:val="24"/>
          <w:szCs w:val="20"/>
          <w:lang w:val="zh-CN"/>
          <w14:textFill>
            <w14:solidFill>
              <w14:schemeClr w14:val="tx1"/>
            </w14:solidFill>
          </w14:textFill>
        </w:rPr>
        <w:t>其投标。</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 本表应按要求由投标人法人授权代表签字，并加盖投标单位公章，否则将被视为非响应性投标，将按照</w:t>
      </w:r>
      <w:r>
        <w:rPr>
          <w:rFonts w:hint="eastAsia" w:ascii="宋体" w:hAnsi="宋体" w:eastAsia="宋体" w:cs="Times New Roman"/>
          <w:b/>
          <w:color w:val="000000" w:themeColor="text1"/>
          <w:sz w:val="24"/>
          <w:szCs w:val="24"/>
          <w14:textFill>
            <w14:solidFill>
              <w14:schemeClr w14:val="tx1"/>
            </w14:solidFill>
          </w14:textFill>
        </w:rPr>
        <w:t>无效投标处理</w:t>
      </w:r>
      <w:r>
        <w:rPr>
          <w:rFonts w:hint="eastAsia" w:ascii="宋体" w:hAnsi="宋体" w:eastAsia="宋体" w:cs="Times New Roman"/>
          <w:color w:val="000000" w:themeColor="text1"/>
          <w:sz w:val="24"/>
          <w:szCs w:val="24"/>
          <w14:textFill>
            <w14:solidFill>
              <w14:schemeClr w14:val="tx1"/>
            </w14:solidFill>
          </w14:textFill>
        </w:rPr>
        <w:t>。</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51" w:name="_Toc494665006"/>
      <w:bookmarkStart w:id="152" w:name="_Toc494665956"/>
      <w:bookmarkStart w:id="153" w:name="_Toc494577411"/>
      <w:bookmarkStart w:id="154" w:name="_Toc494745323"/>
      <w:bookmarkStart w:id="155" w:name="_Toc494665559"/>
      <w:bookmarkStart w:id="156" w:name="_Toc9871"/>
      <w:bookmarkStart w:id="157" w:name="_Toc494721106"/>
      <w:bookmarkStart w:id="158" w:name="_Toc494702276"/>
      <w:r>
        <w:rPr>
          <w:rFonts w:hint="eastAsia" w:ascii="宋体" w:hAnsi="宋体" w:eastAsia="宋体"/>
          <w:color w:val="000000" w:themeColor="text1"/>
          <w14:textFill>
            <w14:solidFill>
              <w14:schemeClr w14:val="tx1"/>
            </w14:solidFill>
          </w14:textFill>
        </w:rPr>
        <w:t>投标报价明细表</w:t>
      </w:r>
      <w:bookmarkEnd w:id="151"/>
      <w:bookmarkEnd w:id="152"/>
      <w:bookmarkEnd w:id="153"/>
      <w:bookmarkEnd w:id="154"/>
      <w:bookmarkEnd w:id="155"/>
      <w:bookmarkEnd w:id="156"/>
      <w:bookmarkEnd w:id="157"/>
      <w:bookmarkEnd w:id="158"/>
    </w:p>
    <w:p>
      <w:pPr>
        <w:spacing w:line="360" w:lineRule="auto"/>
        <w:jc w:val="left"/>
        <w:rPr>
          <w:rFonts w:ascii="宋体" w:hAnsi="宋体" w:eastAsia="宋体" w:cs="Times New Roman"/>
          <w:b/>
          <w:color w:val="000000" w:themeColor="text1"/>
          <w:sz w:val="24"/>
          <w:szCs w:val="21"/>
          <w:u w:val="single"/>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投 标 人：</w:t>
      </w:r>
    </w:p>
    <w:p>
      <w:pPr>
        <w:spacing w:line="360" w:lineRule="auto"/>
        <w:jc w:val="left"/>
        <w:rPr>
          <w:rFonts w:ascii="宋体" w:hAnsi="宋体" w:eastAsia="宋体" w:cs="Times New Roman"/>
          <w:b/>
          <w:color w:val="000000" w:themeColor="text1"/>
          <w:sz w:val="24"/>
          <w:szCs w:val="21"/>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项目名称：</w:t>
      </w:r>
    </w:p>
    <w:p>
      <w:pPr>
        <w:spacing w:line="360" w:lineRule="auto"/>
        <w:jc w:val="left"/>
        <w:rPr>
          <w:rFonts w:ascii="宋体" w:hAnsi="宋体" w:eastAsia="宋体" w:cs="Times New Roman"/>
          <w:b/>
          <w:color w:val="000000" w:themeColor="text1"/>
          <w:sz w:val="24"/>
          <w:szCs w:val="21"/>
          <w:u w:val="single"/>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4"/>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r>
    </w:tbl>
    <w:p>
      <w:pPr>
        <w:spacing w:line="360" w:lineRule="auto"/>
        <w:ind w:left="1049" w:hanging="1048" w:hangingChars="43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说明：1．所有价格均用人民币表示，单位为元。</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2．报价明细表合计应与《开标一览表》中的投标总报价一致。</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3．未提供详细的货物（工程或服务）报价明细</w:t>
      </w:r>
      <w:r>
        <w:rPr>
          <w:rFonts w:hint="eastAsia" w:ascii="宋体" w:hAnsi="宋体" w:cs="Corbel"/>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导致的后果由投标人自行承担。</w:t>
      </w:r>
    </w:p>
    <w:p>
      <w:pPr>
        <w:spacing w:line="360" w:lineRule="auto"/>
        <w:ind w:left="950" w:hanging="950" w:hangingChars="396"/>
        <w:jc w:val="left"/>
        <w:rPr>
          <w:rFonts w:ascii="宋体" w:hAnsi="宋体" w:eastAsia="宋体" w:cs="Times New Roman"/>
          <w:color w:val="000000" w:themeColor="text1"/>
          <w:sz w:val="24"/>
          <w:szCs w:val="24"/>
          <w14:textFill>
            <w14:solidFill>
              <w14:schemeClr w14:val="tx1"/>
            </w14:solidFill>
          </w14:textFill>
        </w:rPr>
      </w:pPr>
    </w:p>
    <w:p>
      <w:pPr>
        <w:spacing w:line="360" w:lineRule="auto"/>
        <w:ind w:left="950" w:hanging="950" w:hangingChars="396"/>
        <w:jc w:val="left"/>
        <w:rPr>
          <w:rFonts w:ascii="宋体" w:hAnsi="宋体" w:eastAsia="宋体" w:cs="Times New Roman"/>
          <w:color w:val="000000" w:themeColor="text1"/>
          <w:sz w:val="24"/>
          <w:szCs w:val="24"/>
          <w14:textFill>
            <w14:solidFill>
              <w14:schemeClr w14:val="tx1"/>
            </w14:solidFill>
          </w14:textFill>
        </w:rPr>
      </w:pPr>
    </w:p>
    <w:p>
      <w:pPr>
        <w:spacing w:line="360" w:lineRule="auto"/>
        <w:ind w:left="950" w:hanging="950" w:hangingChars="396"/>
        <w:jc w:val="left"/>
        <w:rPr>
          <w:rFonts w:ascii="宋体" w:hAnsi="宋体" w:eastAsia="宋体" w:cs="Times New Roman"/>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288" w:hanging="1288"/>
        <w:rPr>
          <w:rFonts w:ascii="宋体" w:hAnsi="宋体" w:eastAsia="宋体"/>
          <w:color w:val="000000" w:themeColor="text1"/>
          <w:sz w:val="31"/>
          <w:szCs w:val="31"/>
          <w14:textFill>
            <w14:solidFill>
              <w14:schemeClr w14:val="tx1"/>
            </w14:solidFill>
          </w14:textFill>
        </w:rPr>
      </w:pPr>
      <w:bookmarkStart w:id="159" w:name="_Toc494702277"/>
      <w:bookmarkStart w:id="160" w:name="_Toc494745324"/>
      <w:bookmarkStart w:id="161" w:name="_Toc494665560"/>
      <w:bookmarkStart w:id="162" w:name="_Toc494721107"/>
      <w:bookmarkStart w:id="163" w:name="_Toc494665007"/>
      <w:bookmarkStart w:id="164" w:name="_Toc7786"/>
      <w:bookmarkStart w:id="165" w:name="_Toc494665957"/>
      <w:bookmarkStart w:id="166" w:name="_Toc494577412"/>
      <w:r>
        <w:rPr>
          <w:rFonts w:hint="eastAsia" w:ascii="宋体" w:hAnsi="宋体" w:eastAsia="宋体"/>
          <w:color w:val="000000" w:themeColor="text1"/>
          <w:sz w:val="31"/>
          <w:szCs w:val="31"/>
          <w14:textFill>
            <w14:solidFill>
              <w14:schemeClr w14:val="tx1"/>
            </w14:solidFill>
          </w14:textFill>
        </w:rPr>
        <w:t>小型和微型企业、监狱企业、残疾人福利性单位货物汇总表</w:t>
      </w:r>
      <w:bookmarkEnd w:id="159"/>
      <w:bookmarkEnd w:id="160"/>
      <w:bookmarkEnd w:id="161"/>
      <w:bookmarkEnd w:id="162"/>
      <w:bookmarkEnd w:id="163"/>
      <w:bookmarkEnd w:id="164"/>
      <w:bookmarkEnd w:id="165"/>
      <w:bookmarkEnd w:id="166"/>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4"/>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分项</w:t>
            </w:r>
          </w:p>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合计</w:t>
            </w:r>
          </w:p>
        </w:tc>
        <w:tc>
          <w:tcPr>
            <w:tcW w:w="2602" w:type="dxa"/>
            <w:gridSpan w:val="2"/>
            <w:shd w:val="clear" w:color="auto" w:fill="auto"/>
            <w:vAlign w:val="center"/>
          </w:tcPr>
          <w:p>
            <w:pPr>
              <w:spacing w:line="360" w:lineRule="auto"/>
              <w:jc w:val="left"/>
              <w:rPr>
                <w:rFonts w:ascii="宋体" w:hAnsi="宋体"/>
                <w:bCs/>
                <w:color w:val="000000" w:themeColor="text1"/>
                <w:sz w:val="24"/>
                <w14:textFill>
                  <w14:solidFill>
                    <w14:schemeClr w14:val="tx1"/>
                  </w14:solidFill>
                </w14:textFill>
              </w:rPr>
            </w:pPr>
          </w:p>
        </w:tc>
      </w:tr>
    </w:tbl>
    <w:p>
      <w:pPr>
        <w:spacing w:line="360" w:lineRule="auto"/>
        <w:ind w:left="1049" w:hanging="1048" w:hangingChars="43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所有价格均用人民币表示，单位为元。</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投标人提供的相关证明文件对应页码填写到上表“投标文件对应的页码”中。</w:t>
      </w:r>
      <w:r>
        <w:rPr>
          <w:rFonts w:hint="eastAsia" w:ascii="宋体" w:hAnsi="宋体" w:cs="Corbel"/>
          <w:color w:val="000000" w:themeColor="text1"/>
          <w:sz w:val="24"/>
          <w14:textFill>
            <w14:solidFill>
              <w14:schemeClr w14:val="tx1"/>
            </w14:solidFill>
          </w14:textFill>
        </w:rPr>
        <w:t>如未提供页码或内容页码完全不一致的，</w:t>
      </w:r>
      <w:r>
        <w:rPr>
          <w:rFonts w:hint="eastAsia" w:ascii="宋体" w:hAnsi="宋体"/>
          <w:color w:val="000000" w:themeColor="text1"/>
          <w:sz w:val="24"/>
          <w14:textFill>
            <w14:solidFill>
              <w14:schemeClr w14:val="tx1"/>
            </w14:solidFill>
          </w14:textFill>
        </w:rPr>
        <w:t>导致的后果由投标人自行承担。</w:t>
      </w: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67" w:name="_Toc494665008"/>
      <w:bookmarkStart w:id="168" w:name="_Toc494702278"/>
      <w:bookmarkStart w:id="169" w:name="_Toc494665561"/>
      <w:bookmarkStart w:id="170" w:name="_Toc18551"/>
      <w:bookmarkStart w:id="171" w:name="_Toc494745325"/>
      <w:bookmarkStart w:id="172" w:name="_Toc494665958"/>
      <w:bookmarkStart w:id="173" w:name="_Toc494721108"/>
      <w:r>
        <w:rPr>
          <w:rFonts w:hint="eastAsia" w:ascii="宋体" w:hAnsi="宋体" w:eastAsia="宋体"/>
          <w:color w:val="000000" w:themeColor="text1"/>
          <w14:textFill>
            <w14:solidFill>
              <w14:schemeClr w14:val="tx1"/>
            </w14:solidFill>
          </w14:textFill>
        </w:rPr>
        <w:t>投标货物（工程或服务）清单</w:t>
      </w:r>
      <w:bookmarkEnd w:id="167"/>
      <w:bookmarkEnd w:id="168"/>
      <w:bookmarkEnd w:id="169"/>
      <w:bookmarkEnd w:id="170"/>
      <w:bookmarkEnd w:id="171"/>
      <w:bookmarkEnd w:id="172"/>
      <w:bookmarkEnd w:id="173"/>
    </w:p>
    <w:p>
      <w:pPr>
        <w:adjustRightInd w:val="0"/>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 标 人：</w:t>
      </w:r>
    </w:p>
    <w:p>
      <w:pPr>
        <w:adjustRightInd w:val="0"/>
        <w:snapToGrid w:val="0"/>
        <w:spacing w:line="360" w:lineRule="auto"/>
        <w:rPr>
          <w:rFonts w:ascii="宋体"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4"/>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722" w:type="dxa"/>
            <w:tcBorders>
              <w:top w:val="single" w:color="auto" w:sz="4" w:space="0"/>
            </w:tcBorders>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tcBorders>
              <w:top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tcBorders>
              <w:top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tcBorders>
              <w:top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bl>
    <w:p>
      <w:pPr>
        <w:spacing w:line="360" w:lineRule="auto"/>
        <w:ind w:left="1078" w:hanging="1077" w:hangingChars="449"/>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2．各项货物（工程或服务）详细技术规格、参数及要求性能，应另页描述。</w:t>
      </w: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74" w:name="_Toc236473303"/>
      <w:bookmarkStart w:id="175" w:name="_Toc494665960"/>
      <w:bookmarkStart w:id="176" w:name="_Toc494702280"/>
      <w:bookmarkStart w:id="177" w:name="_Toc494665563"/>
      <w:bookmarkStart w:id="178" w:name="_Toc494745327"/>
      <w:bookmarkStart w:id="179" w:name="_Toc494721110"/>
      <w:bookmarkStart w:id="180" w:name="_Toc494665010"/>
      <w:bookmarkStart w:id="181" w:name="_Toc21481"/>
      <w:bookmarkStart w:id="182" w:name="_Toc238276247"/>
      <w:r>
        <w:rPr>
          <w:rFonts w:hint="eastAsia" w:ascii="宋体" w:hAnsi="宋体" w:eastAsia="宋体"/>
          <w:color w:val="000000" w:themeColor="text1"/>
          <w14:textFill>
            <w14:solidFill>
              <w14:schemeClr w14:val="tx1"/>
            </w14:solidFill>
          </w14:textFill>
        </w:rPr>
        <w:t>法定代表人授权书</w:t>
      </w:r>
      <w:bookmarkEnd w:id="174"/>
      <w:bookmarkEnd w:id="175"/>
      <w:bookmarkEnd w:id="176"/>
      <w:bookmarkEnd w:id="177"/>
      <w:bookmarkEnd w:id="178"/>
      <w:bookmarkEnd w:id="179"/>
      <w:bookmarkEnd w:id="180"/>
      <w:bookmarkEnd w:id="181"/>
      <w:bookmarkEnd w:id="182"/>
    </w:p>
    <w:p>
      <w:pPr>
        <w:spacing w:line="480" w:lineRule="auto"/>
        <w:rPr>
          <w:rFonts w:ascii="宋体" w:hAnsi="宋体" w:eastAsia="宋体" w:cs="Times New Roman"/>
          <w:b/>
          <w:color w:val="000000" w:themeColor="text1"/>
          <w:sz w:val="24"/>
          <w:szCs w:val="24"/>
          <w14:textFill>
            <w14:solidFill>
              <w14:schemeClr w14:val="tx1"/>
            </w14:solidFill>
          </w14:textFill>
        </w:rPr>
      </w:pPr>
      <w:r>
        <w:rPr>
          <w:rFonts w:hint="eastAsia"/>
          <w:b/>
          <w:color w:val="000000" w:themeColor="text1"/>
          <w:sz w:val="28"/>
          <w:szCs w:val="28"/>
          <w14:textFill>
            <w14:solidFill>
              <w14:schemeClr w14:val="tx1"/>
            </w14:solidFill>
          </w14:textFill>
        </w:rPr>
        <w:t>采购人（或代理公司）</w:t>
      </w:r>
      <w:r>
        <w:rPr>
          <w:rFonts w:hint="eastAsia" w:ascii="宋体" w:hAnsi="宋体" w:cs="Courier New"/>
          <w:b/>
          <w:color w:val="000000" w:themeColor="text1"/>
          <w:sz w:val="28"/>
          <w:szCs w:val="28"/>
          <w14:textFill>
            <w14:solidFill>
              <w14:schemeClr w14:val="tx1"/>
            </w14:solidFill>
          </w14:textFill>
        </w:rPr>
        <w:t>：</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兹授权</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同志为我单位参加贵方组织的</w:t>
      </w:r>
      <w:r>
        <w:rPr>
          <w:rFonts w:hint="eastAsia" w:ascii="Times New Roman" w:hAnsi="宋体" w:eastAsia="宋体" w:cs="Times New Roman"/>
          <w:color w:val="000000" w:themeColor="text1"/>
          <w:sz w:val="24"/>
          <w:szCs w:val="24"/>
          <w14:textFill>
            <w14:solidFill>
              <w14:schemeClr w14:val="tx1"/>
            </w14:solidFill>
          </w14:textFill>
        </w:rPr>
        <w:t>____项目（项目编号：______）</w:t>
      </w:r>
      <w:r>
        <w:rPr>
          <w:rFonts w:hint="eastAsia" w:ascii="宋体" w:hAnsi="宋体" w:eastAsia="宋体" w:cs="Times New Roman"/>
          <w:color w:val="000000" w:themeColor="text1"/>
          <w:sz w:val="24"/>
          <w:szCs w:val="24"/>
          <w14:textFill>
            <w14:solidFill>
              <w14:schemeClr w14:val="tx1"/>
            </w14:solidFill>
          </w14:textFill>
        </w:rPr>
        <w:t>采购活动的投标人授权代表，全权代表我公司处理在</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项目采购活动中的一切事宜。代理期限从</w:t>
      </w:r>
      <w:r>
        <w:rPr>
          <w:rFonts w:hint="eastAsia" w:ascii="Times New Roman" w:hAnsi="宋体" w:eastAsia="宋体" w:cs="Times New Roman"/>
          <w:color w:val="000000" w:themeColor="text1"/>
          <w:sz w:val="24"/>
          <w:szCs w:val="24"/>
          <w14:textFill>
            <w14:solidFill>
              <w14:schemeClr w14:val="tx1"/>
            </w14:solidFill>
          </w14:textFill>
        </w:rPr>
        <w:t>__</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Times New Roman" w:hAnsi="宋体" w:eastAsia="宋体" w:cs="Times New Roman"/>
          <w:color w:val="000000" w:themeColor="text1"/>
          <w:sz w:val="24"/>
          <w:szCs w:val="24"/>
          <w14:textFill>
            <w14:solidFill>
              <w14:schemeClr w14:val="tx1"/>
            </w14:solidFill>
          </w14:textFill>
        </w:rPr>
        <w:t>__</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Times New Roman" w:hAnsi="宋体" w:eastAsia="宋体" w:cs="Times New Roman"/>
          <w:color w:val="000000" w:themeColor="text1"/>
          <w:sz w:val="24"/>
          <w:szCs w:val="24"/>
          <w14:textFill>
            <w14:solidFill>
              <w14:schemeClr w14:val="tx1"/>
            </w14:solidFill>
          </w14:textFill>
        </w:rPr>
        <w:t>__</w:t>
      </w:r>
      <w:r>
        <w:rPr>
          <w:rFonts w:hint="eastAsia" w:ascii="宋体" w:hAnsi="宋体" w:eastAsia="宋体" w:cs="Times New Roman"/>
          <w:color w:val="000000" w:themeColor="text1"/>
          <w:sz w:val="24"/>
          <w:szCs w:val="24"/>
          <w14:textFill>
            <w14:solidFill>
              <w14:schemeClr w14:val="tx1"/>
            </w14:solidFill>
          </w14:textFill>
        </w:rPr>
        <w:t>日起至</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 xml:space="preserve">日止。 </w:t>
      </w:r>
    </w:p>
    <w:p>
      <w:pPr>
        <w:spacing w:line="360" w:lineRule="auto"/>
        <w:ind w:firstLine="540" w:firstLineChars="225"/>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被授权代表无转委托权。</w:t>
      </w:r>
    </w:p>
    <w:p>
      <w:pPr>
        <w:spacing w:line="360" w:lineRule="auto"/>
        <w:ind w:firstLine="540" w:firstLineChars="225"/>
        <w:rPr>
          <w:rFonts w:ascii="宋体" w:hAnsi="宋体" w:eastAsia="宋体" w:cs="Times New Roman"/>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授权单位（公章）：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法定代表人（签字或盖章）</w:t>
      </w:r>
      <w:r>
        <w:rPr>
          <w:rFonts w:hint="eastAsia" w:hAnsi="宋体"/>
          <w:b/>
          <w:bCs/>
          <w:color w:val="000000" w:themeColor="text1"/>
          <w:sz w:val="24"/>
          <w14:textFill>
            <w14:solidFill>
              <w14:schemeClr w14:val="tx1"/>
            </w14:solidFill>
          </w14:textFill>
        </w:rPr>
        <w:t>：</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签发日期：</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b/>
          <w:color w:val="000000" w:themeColor="text1"/>
          <w:sz w:val="24"/>
          <w:szCs w:val="21"/>
          <w:lang w:val="zh-CN"/>
          <w14:textFill>
            <w14:solidFill>
              <w14:schemeClr w14:val="tx1"/>
            </w14:solidFill>
          </w14:textFill>
        </w:rPr>
        <w:t>年</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b/>
          <w:color w:val="000000" w:themeColor="text1"/>
          <w:sz w:val="24"/>
          <w:szCs w:val="21"/>
          <w:lang w:val="zh-CN"/>
          <w14:textFill>
            <w14:solidFill>
              <w14:schemeClr w14:val="tx1"/>
            </w14:solidFill>
          </w14:textFill>
        </w:rPr>
        <w:t>月</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b/>
          <w:color w:val="000000" w:themeColor="text1"/>
          <w:sz w:val="24"/>
          <w:szCs w:val="21"/>
          <w:lang w:val="zh-CN"/>
          <w14:textFill>
            <w14:solidFill>
              <w14:schemeClr w14:val="tx1"/>
            </w14:solidFill>
          </w14:textFill>
        </w:rPr>
        <w:t>日</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附：</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投标人授权代表单位名称：</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职务： 性别：</w:t>
      </w: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身份证号码：</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w:t>
      </w:r>
    </w:p>
    <w:tbl>
      <w:tblPr>
        <w:tblStyle w:val="14"/>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粘贴被授权人身份证（清晰影印件）</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183" w:name="_Toc494665011"/>
      <w:bookmarkStart w:id="184" w:name="_Toc494702281"/>
      <w:bookmarkStart w:id="185" w:name="_Toc494745328"/>
      <w:bookmarkStart w:id="186" w:name="_Toc494665961"/>
      <w:bookmarkStart w:id="187" w:name="_Toc494665564"/>
      <w:bookmarkStart w:id="188" w:name="_Toc236473304"/>
      <w:bookmarkStart w:id="189" w:name="_Toc494721111"/>
      <w:bookmarkStart w:id="190" w:name="_Toc238276248"/>
      <w:bookmarkStart w:id="191" w:name="_Toc6517"/>
      <w:r>
        <w:rPr>
          <w:rFonts w:hint="eastAsia" w:ascii="宋体" w:hAnsi="宋体" w:eastAsia="宋体"/>
          <w:color w:val="000000" w:themeColor="text1"/>
          <w14:textFill>
            <w14:solidFill>
              <w14:schemeClr w14:val="tx1"/>
            </w14:solidFill>
          </w14:textFill>
        </w:rPr>
        <w:t>投标人的资格声明</w:t>
      </w:r>
      <w:bookmarkEnd w:id="183"/>
      <w:bookmarkEnd w:id="184"/>
      <w:bookmarkEnd w:id="185"/>
      <w:bookmarkEnd w:id="186"/>
      <w:bookmarkEnd w:id="187"/>
      <w:bookmarkEnd w:id="188"/>
      <w:bookmarkEnd w:id="189"/>
      <w:bookmarkEnd w:id="190"/>
      <w:bookmarkEnd w:id="191"/>
    </w:p>
    <w:p>
      <w:pPr>
        <w:spacing w:line="360" w:lineRule="auto"/>
        <w:ind w:left="1078" w:hanging="1077" w:hangingChars="449"/>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1．名称及基本情况：</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（1）投标人：</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（2）地址：     邮编：</w:t>
      </w:r>
    </w:p>
    <w:p>
      <w:pPr>
        <w:spacing w:line="360" w:lineRule="exact"/>
        <w:ind w:firstLine="840" w:firstLineChars="35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     传真：</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（3）成立或注册日期：</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（4）单位性质：</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（5）法定代表人或主要负责人：</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（6）员工人数：</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（7）注册资本：</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（8）实收资本：</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（9）上年末资产负债表：</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1）固定资产</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原   值：    净   值： </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2）流动资金：</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3）长期负债：</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4）短期负债：</w:t>
      </w:r>
    </w:p>
    <w:p>
      <w:pPr>
        <w:spacing w:line="3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2．与投标货物的生产、销售和服务有关的情况： </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（1）关于制造投标货物的设施及其它情况：</w:t>
      </w:r>
    </w:p>
    <w:tbl>
      <w:tblPr>
        <w:tblStyle w:val="14"/>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r>
    </w:tbl>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（2）投标人生产此投标货物的经验（包括年限、项目业主、额定能力、商业运营的起始日期等）：</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（3）销售、服务网点分布（可另行附表）：</w:t>
      </w:r>
    </w:p>
    <w:tbl>
      <w:tblPr>
        <w:tblStyle w:val="14"/>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r>
    </w:tbl>
    <w:p>
      <w:pPr>
        <w:spacing w:line="3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3．投标人认为需要声明的其它情况：                         </w:t>
      </w:r>
    </w:p>
    <w:p>
      <w:pPr>
        <w:spacing w:line="360" w:lineRule="exact"/>
        <w:ind w:firstLine="475" w:firstLineChars="198"/>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兹证明上述声明是真实的、正确，并提供了全部能提供的资料和数据，同意按照集中采购机构要求出示有关证明文件。                      </w:t>
      </w:r>
    </w:p>
    <w:p>
      <w:pPr>
        <w:spacing w:line="360" w:lineRule="auto"/>
        <w:ind w:left="504" w:leftChars="2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投标人</w:t>
      </w:r>
      <w:r>
        <w:rPr>
          <w:rFonts w:hint="eastAsia" w:ascii="Times New Roman" w:hAnsi="宋体" w:eastAsia="宋体" w:cs="Times New Roman"/>
          <w:b/>
          <w:color w:val="000000" w:themeColor="text1"/>
          <w:sz w:val="24"/>
          <w:szCs w:val="24"/>
          <w14:textFill>
            <w14:solidFill>
              <w14:schemeClr w14:val="tx1"/>
            </w14:solidFill>
          </w14:textFill>
        </w:rPr>
        <w:t>（公章）</w:t>
      </w:r>
      <w:r>
        <w:rPr>
          <w:rFonts w:hint="eastAsia" w:ascii="宋体" w:hAnsi="宋体" w:eastAsia="宋体" w:cs="Times New Roman"/>
          <w:b/>
          <w:color w:val="000000" w:themeColor="text1"/>
          <w:sz w:val="24"/>
          <w:szCs w:val="24"/>
          <w14:textFill>
            <w14:solidFill>
              <w14:schemeClr w14:val="tx1"/>
            </w14:solidFill>
          </w14:textFill>
        </w:rPr>
        <w:t>：</w:t>
      </w:r>
    </w:p>
    <w:p>
      <w:pPr>
        <w:spacing w:line="360" w:lineRule="auto"/>
        <w:ind w:left="504" w:leftChars="240"/>
        <w:rPr>
          <w:rFonts w:ascii="宋体" w:hAnsi="宋体" w:eastAsia="宋体" w:cs="Times New Roman"/>
          <w:b/>
          <w:color w:val="000000" w:themeColor="text1"/>
          <w:sz w:val="24"/>
          <w:szCs w:val="24"/>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法定代表人（签字或盖章）</w:t>
      </w:r>
      <w:r>
        <w:rPr>
          <w:rFonts w:hint="eastAsia" w:ascii="宋体" w:hAnsi="宋体" w:eastAsia="宋体" w:cs="Times New Roman"/>
          <w:b/>
          <w:color w:val="000000" w:themeColor="text1"/>
          <w:sz w:val="24"/>
          <w:szCs w:val="24"/>
          <w14:textFill>
            <w14:solidFill>
              <w14:schemeClr w14:val="tx1"/>
            </w14:solidFill>
          </w14:textFill>
        </w:rPr>
        <w:t>：</w:t>
      </w:r>
    </w:p>
    <w:p>
      <w:pPr>
        <w:spacing w:line="360" w:lineRule="auto"/>
        <w:ind w:left="504" w:leftChars="2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电    话：</w:t>
      </w:r>
    </w:p>
    <w:p>
      <w:pPr>
        <w:spacing w:line="360" w:lineRule="auto"/>
        <w:ind w:left="504" w:leftChars="240"/>
        <w:rPr>
          <w:rFonts w:ascii="宋体" w:hAnsi="宋体" w:eastAsia="宋体" w:cs="Times New Roman"/>
          <w:b/>
          <w:color w:val="000000" w:themeColor="text1"/>
          <w:sz w:val="24"/>
          <w:szCs w:val="24"/>
          <w:u w:val="single"/>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传    真：</w:t>
      </w:r>
    </w:p>
    <w:p>
      <w:pPr>
        <w:spacing w:line="360" w:lineRule="auto"/>
        <w:ind w:left="504" w:leftChars="2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日    期：年月 日</w:t>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192" w:name="_Toc494721112"/>
      <w:bookmarkStart w:id="193" w:name="_Toc494665012"/>
      <w:bookmarkStart w:id="194" w:name="_Toc494665962"/>
      <w:bookmarkStart w:id="195" w:name="_Toc494665565"/>
      <w:bookmarkStart w:id="196" w:name="_Toc494745329"/>
      <w:bookmarkStart w:id="197" w:name="_Toc494702282"/>
      <w:bookmarkStart w:id="198" w:name="_Toc17175"/>
      <w:r>
        <w:rPr>
          <w:rFonts w:hint="eastAsia" w:ascii="宋体" w:hAnsi="宋体" w:eastAsia="宋体"/>
          <w:color w:val="000000" w:themeColor="text1"/>
          <w14:textFill>
            <w14:solidFill>
              <w14:schemeClr w14:val="tx1"/>
            </w14:solidFill>
          </w14:textFill>
        </w:rPr>
        <w:t>项目负责人、技术负责人简历表</w:t>
      </w:r>
      <w:bookmarkEnd w:id="192"/>
      <w:bookmarkEnd w:id="193"/>
      <w:bookmarkEnd w:id="194"/>
      <w:bookmarkEnd w:id="195"/>
      <w:bookmarkEnd w:id="196"/>
      <w:bookmarkEnd w:id="197"/>
      <w:bookmarkEnd w:id="198"/>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4"/>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参加工作</w:t>
            </w:r>
          </w:p>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bl>
    <w:p>
      <w:pPr>
        <w:spacing w:line="360" w:lineRule="auto"/>
        <w:ind w:left="720" w:hanging="720" w:hangingChars="300"/>
        <w:jc w:val="left"/>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199" w:name="_Toc494745330"/>
      <w:bookmarkStart w:id="200" w:name="_Toc494702283"/>
      <w:bookmarkStart w:id="201" w:name="_Toc401"/>
      <w:bookmarkStart w:id="202" w:name="_Toc494665963"/>
      <w:bookmarkStart w:id="203" w:name="_Toc494665566"/>
      <w:bookmarkStart w:id="204" w:name="_Toc238276251"/>
      <w:bookmarkStart w:id="205" w:name="_Toc494721113"/>
      <w:bookmarkStart w:id="206" w:name="_Toc494665013"/>
      <w:bookmarkStart w:id="207" w:name="_Toc236473307"/>
      <w:r>
        <w:rPr>
          <w:rFonts w:hint="eastAsia" w:ascii="宋体" w:hAnsi="宋体" w:eastAsia="宋体"/>
          <w:color w:val="000000" w:themeColor="text1"/>
          <w14:textFill>
            <w14:solidFill>
              <w14:schemeClr w14:val="tx1"/>
            </w14:solidFill>
          </w14:textFill>
        </w:rPr>
        <w:t>项目班子成员情况表</w:t>
      </w:r>
      <w:bookmarkEnd w:id="199"/>
      <w:bookmarkEnd w:id="200"/>
      <w:bookmarkEnd w:id="201"/>
      <w:bookmarkEnd w:id="202"/>
      <w:bookmarkEnd w:id="203"/>
      <w:bookmarkEnd w:id="204"/>
      <w:bookmarkEnd w:id="205"/>
      <w:bookmarkEnd w:id="206"/>
      <w:bookmarkEnd w:id="207"/>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bl>
    <w:p>
      <w:pPr>
        <w:spacing w:line="360" w:lineRule="auto"/>
        <w:ind w:left="720" w:hanging="720" w:hangingChars="300"/>
        <w:jc w:val="left"/>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说明：投标文件正本应附完整的相关证明材料清晰影印件，</w:t>
      </w:r>
      <w:r>
        <w:rPr>
          <w:rFonts w:hint="eastAsia" w:ascii="宋体" w:hAnsi="宋体" w:eastAsia="宋体" w:cs="Corbel"/>
          <w:color w:val="000000" w:themeColor="text1"/>
          <w:sz w:val="24"/>
          <w:szCs w:val="21"/>
          <w:lang w:val="zh-CN"/>
          <w14:textFill>
            <w14:solidFill>
              <w14:schemeClr w14:val="tx1"/>
            </w14:solidFill>
          </w14:textFill>
        </w:rPr>
        <w:t>未按照要求详细完整填写此表，</w:t>
      </w:r>
      <w:r>
        <w:rPr>
          <w:rFonts w:hint="eastAsia" w:ascii="宋体" w:hAnsi="宋体" w:eastAsia="宋体" w:cs="Times New Roman"/>
          <w:color w:val="000000" w:themeColor="text1"/>
          <w:sz w:val="24"/>
          <w:szCs w:val="21"/>
          <w:lang w:val="zh-CN"/>
          <w14:textFill>
            <w14:solidFill>
              <w14:schemeClr w14:val="tx1"/>
            </w14:solidFill>
          </w14:textFill>
        </w:rPr>
        <w:t>导致的后果由投标人自行承担。</w:t>
      </w: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08" w:name="_Toc494665014"/>
      <w:bookmarkStart w:id="209" w:name="_Toc494721114"/>
      <w:bookmarkStart w:id="210" w:name="_Toc494665567"/>
      <w:bookmarkStart w:id="211" w:name="_Toc236473312"/>
      <w:bookmarkStart w:id="212" w:name="_Toc494665964"/>
      <w:bookmarkStart w:id="213" w:name="_Toc238276256"/>
      <w:bookmarkStart w:id="214" w:name="_Toc494702284"/>
      <w:bookmarkStart w:id="215" w:name="_Toc21872"/>
      <w:bookmarkStart w:id="216" w:name="_Toc494745331"/>
      <w:r>
        <w:rPr>
          <w:rFonts w:hint="eastAsia" w:ascii="宋体" w:hAnsi="宋体" w:eastAsia="宋体"/>
          <w:color w:val="000000" w:themeColor="text1"/>
          <w14:textFill>
            <w14:solidFill>
              <w14:schemeClr w14:val="tx1"/>
            </w14:solidFill>
          </w14:textFill>
        </w:rPr>
        <w:t>投标人类似项目业绩表</w:t>
      </w:r>
      <w:bookmarkEnd w:id="208"/>
      <w:bookmarkEnd w:id="209"/>
      <w:bookmarkEnd w:id="210"/>
      <w:bookmarkEnd w:id="211"/>
      <w:bookmarkEnd w:id="212"/>
      <w:bookmarkEnd w:id="213"/>
      <w:bookmarkEnd w:id="214"/>
      <w:bookmarkEnd w:id="215"/>
      <w:bookmarkEnd w:id="216"/>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4"/>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项目单位名称</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项目名称</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项目单位联系人姓名及联系方式</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项目金额</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项目负责人姓名</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项目时间</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项目内容</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说明：1．每个合同应单独附表，并附上相关证明材料，</w:t>
      </w:r>
      <w:r>
        <w:rPr>
          <w:rFonts w:hint="eastAsia" w:ascii="宋体" w:hAnsi="宋体" w:eastAsia="宋体" w:cs="Corbel"/>
          <w:color w:val="000000" w:themeColor="text1"/>
          <w:sz w:val="24"/>
          <w:szCs w:val="24"/>
          <w14:textFill>
            <w14:solidFill>
              <w14:schemeClr w14:val="tx1"/>
            </w14:solidFill>
          </w14:textFill>
        </w:rPr>
        <w:t>未按照要求详细完整填写此表，</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2．项目内容请详细说明所承担的具体工作内容等。</w:t>
      </w:r>
    </w:p>
    <w:p>
      <w:pPr>
        <w:spacing w:line="360" w:lineRule="auto"/>
        <w:ind w:firstLine="720" w:firstLineChars="300"/>
        <w:rPr>
          <w:rFonts w:ascii="宋体" w:hAnsi="宋体" w:eastAsia="宋体" w:cs="Times New Roman"/>
          <w:color w:val="000000" w:themeColor="text1"/>
          <w:sz w:val="24"/>
          <w:szCs w:val="24"/>
          <w14:textFill>
            <w14:solidFill>
              <w14:schemeClr w14:val="tx1"/>
            </w14:solidFill>
          </w14:textFill>
        </w:rPr>
      </w:pPr>
    </w:p>
    <w:p>
      <w:pPr>
        <w:spacing w:line="360" w:lineRule="auto"/>
        <w:ind w:firstLine="720" w:firstLineChars="300"/>
        <w:rPr>
          <w:rFonts w:ascii="宋体" w:hAnsi="宋体" w:eastAsia="宋体" w:cs="Times New Roman"/>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17" w:name="_Toc494721115"/>
      <w:bookmarkStart w:id="218" w:name="_Toc494665965"/>
      <w:bookmarkStart w:id="219" w:name="_Toc494702285"/>
      <w:bookmarkStart w:id="220" w:name="_Toc10144"/>
      <w:bookmarkStart w:id="221" w:name="_Toc494665568"/>
      <w:bookmarkStart w:id="222" w:name="_Toc494665015"/>
      <w:bookmarkStart w:id="223" w:name="_Toc494745332"/>
      <w:r>
        <w:rPr>
          <w:rFonts w:hint="eastAsia" w:ascii="宋体" w:hAnsi="宋体" w:eastAsia="宋体"/>
          <w:color w:val="000000" w:themeColor="text1"/>
          <w14:textFill>
            <w14:solidFill>
              <w14:schemeClr w14:val="tx1"/>
            </w14:solidFill>
          </w14:textFill>
        </w:rPr>
        <w:t>符合性审查对照表</w:t>
      </w:r>
      <w:bookmarkEnd w:id="217"/>
      <w:bookmarkEnd w:id="218"/>
      <w:bookmarkEnd w:id="219"/>
      <w:bookmarkEnd w:id="220"/>
      <w:bookmarkEnd w:id="221"/>
      <w:bookmarkEnd w:id="222"/>
      <w:bookmarkEnd w:id="223"/>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4"/>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3032"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w:t>
            </w:r>
            <w:r>
              <w:rPr>
                <w:rFonts w:hint="eastAsia" w:ascii="宋体" w:hAnsi="宋体" w:eastAsia="宋体" w:cs="Corbel"/>
                <w:color w:val="000000" w:themeColor="text1"/>
                <w:sz w:val="24"/>
                <w:szCs w:val="24"/>
                <w14:textFill>
                  <w14:solidFill>
                    <w14:schemeClr w14:val="tx1"/>
                  </w14:solidFill>
                </w14:textFill>
              </w:rPr>
              <w:t>符合性审查条款</w:t>
            </w:r>
          </w:p>
        </w:tc>
        <w:tc>
          <w:tcPr>
            <w:tcW w:w="2754"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02"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r>
        <w:rPr>
          <w:rFonts w:hint="eastAsia" w:ascii="宋体" w:hAnsi="宋体" w:eastAsia="宋体" w:cs="Corbel"/>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Corbel"/>
          <w:color w:val="000000" w:themeColor="text1"/>
          <w:sz w:val="24"/>
          <w:szCs w:val="24"/>
          <w14:textFill>
            <w14:solidFill>
              <w14:schemeClr w14:val="tx1"/>
            </w14:solidFill>
          </w14:textFill>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投标人</w:t>
      </w:r>
      <w:r>
        <w:rPr>
          <w:rFonts w:hint="eastAsia" w:ascii="宋体" w:hAnsi="宋体" w:eastAsia="宋体" w:cs="Corbel"/>
          <w:color w:val="000000" w:themeColor="text1"/>
          <w:sz w:val="24"/>
          <w:szCs w:val="24"/>
          <w14:textFill>
            <w14:solidFill>
              <w14:schemeClr w14:val="tx1"/>
            </w14:solidFill>
          </w14:textFill>
        </w:rPr>
        <w:t>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24" w:name="_Toc5271"/>
      <w:bookmarkStart w:id="225" w:name="_Toc494665569"/>
      <w:bookmarkStart w:id="226" w:name="_Toc494745333"/>
      <w:bookmarkStart w:id="227" w:name="_Toc494665966"/>
      <w:bookmarkStart w:id="228" w:name="_Toc494702286"/>
      <w:bookmarkStart w:id="229" w:name="_Toc494665016"/>
      <w:bookmarkStart w:id="230" w:name="_Toc494721116"/>
      <w:r>
        <w:rPr>
          <w:rFonts w:hint="eastAsia" w:ascii="宋体" w:hAnsi="宋体" w:eastAsia="宋体"/>
          <w:color w:val="000000" w:themeColor="text1"/>
          <w14:textFill>
            <w14:solidFill>
              <w14:schemeClr w14:val="tx1"/>
            </w14:solidFill>
          </w14:textFill>
        </w:rPr>
        <w:t>商务要求响应、偏离说明表</w:t>
      </w:r>
      <w:bookmarkEnd w:id="224"/>
      <w:bookmarkEnd w:id="225"/>
      <w:bookmarkEnd w:id="226"/>
      <w:bookmarkEnd w:id="227"/>
      <w:bookmarkEnd w:id="228"/>
      <w:bookmarkEnd w:id="229"/>
      <w:bookmarkEnd w:id="230"/>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4"/>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r>
        <w:rPr>
          <w:rFonts w:hint="eastAsia" w:ascii="宋体" w:hAnsi="宋体" w:eastAsia="宋体" w:cs="Corbel"/>
          <w:color w:val="000000" w:themeColor="text1"/>
          <w:sz w:val="24"/>
          <w:szCs w:val="24"/>
          <w14:textFill>
            <w14:solidFill>
              <w14:schemeClr w14:val="tx1"/>
            </w14:solidFill>
          </w14:textFill>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w:t>
      </w:r>
      <w:r>
        <w:rPr>
          <w:rFonts w:hint="eastAsia" w:ascii="宋体" w:hAnsi="宋体" w:eastAsia="宋体" w:cs="Times New Roman"/>
          <w:color w:val="000000" w:themeColor="text1"/>
          <w:sz w:val="24"/>
          <w:szCs w:val="24"/>
          <w14:textFill>
            <w14:solidFill>
              <w14:schemeClr w14:val="tx1"/>
            </w14:solidFill>
          </w14:textFill>
        </w:rPr>
        <w:t>提供</w:t>
      </w:r>
      <w:r>
        <w:rPr>
          <w:rFonts w:hint="eastAsia" w:ascii="宋体" w:hAnsi="宋体" w:eastAsia="宋体" w:cs="Corbel"/>
          <w:color w:val="000000" w:themeColor="text1"/>
          <w:sz w:val="24"/>
          <w:szCs w:val="24"/>
          <w14:textFill>
            <w14:solidFill>
              <w14:schemeClr w14:val="tx1"/>
            </w14:solidFill>
          </w14:textFill>
        </w:rPr>
        <w:t>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adjustRightInd w:val="0"/>
        <w:snapToGrid w:val="0"/>
        <w:spacing w:line="360" w:lineRule="auto"/>
        <w:ind w:left="781" w:leftChars="258" w:hanging="240" w:hangingChars="100"/>
        <w:rPr>
          <w:rFonts w:ascii="宋体" w:hAnsi="宋体" w:eastAsia="宋体" w:cs="Corbel"/>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31" w:name="_Toc494745334"/>
      <w:bookmarkStart w:id="232" w:name="_Toc494702287"/>
      <w:bookmarkStart w:id="233" w:name="_Toc494665017"/>
      <w:bookmarkStart w:id="234" w:name="_Toc494721117"/>
      <w:bookmarkStart w:id="235" w:name="_Toc494665967"/>
      <w:bookmarkStart w:id="236" w:name="_Toc31828"/>
      <w:bookmarkStart w:id="237" w:name="_Toc494665570"/>
      <w:r>
        <w:rPr>
          <w:rFonts w:hint="eastAsia" w:ascii="宋体" w:hAnsi="宋体" w:eastAsia="宋体"/>
          <w:color w:val="000000" w:themeColor="text1"/>
          <w14:textFill>
            <w14:solidFill>
              <w14:schemeClr w14:val="tx1"/>
            </w14:solidFill>
          </w14:textFill>
        </w:rPr>
        <w:t>商务要求“★”号条款响应、偏离说明表</w:t>
      </w:r>
      <w:bookmarkEnd w:id="231"/>
      <w:bookmarkEnd w:id="232"/>
      <w:bookmarkEnd w:id="233"/>
      <w:bookmarkEnd w:id="234"/>
      <w:bookmarkEnd w:id="235"/>
      <w:bookmarkEnd w:id="236"/>
      <w:bookmarkEnd w:id="237"/>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4"/>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w:t>
            </w:r>
            <w:r>
              <w:rPr>
                <w:rFonts w:hint="eastAsia" w:ascii="宋体" w:hAnsi="宋体" w:eastAsia="宋体" w:cs="Corbel"/>
                <w:color w:val="000000" w:themeColor="text1"/>
                <w:sz w:val="24"/>
                <w:szCs w:val="24"/>
                <w14:textFill>
                  <w14:solidFill>
                    <w14:schemeClr w14:val="tx1"/>
                  </w14:solidFill>
                </w14:textFill>
              </w:rPr>
              <w:t>商务要求“★”号条款</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38" w:name="_Toc494665571"/>
      <w:bookmarkStart w:id="239" w:name="_Toc494721118"/>
      <w:bookmarkStart w:id="240" w:name="_Toc494702288"/>
      <w:bookmarkStart w:id="241" w:name="_Toc494665018"/>
      <w:bookmarkStart w:id="242" w:name="_Toc28070"/>
      <w:bookmarkStart w:id="243" w:name="_Toc494665968"/>
      <w:bookmarkStart w:id="244" w:name="_Toc494745335"/>
      <w:r>
        <w:rPr>
          <w:rFonts w:hint="eastAsia" w:ascii="宋体" w:hAnsi="宋体" w:eastAsia="宋体"/>
          <w:color w:val="000000" w:themeColor="text1"/>
          <w14:textFill>
            <w14:solidFill>
              <w14:schemeClr w14:val="tx1"/>
            </w14:solidFill>
          </w14:textFill>
        </w:rPr>
        <w:t>商务评议对照表</w:t>
      </w:r>
      <w:bookmarkEnd w:id="238"/>
      <w:bookmarkEnd w:id="239"/>
      <w:bookmarkEnd w:id="240"/>
      <w:bookmarkEnd w:id="241"/>
      <w:bookmarkEnd w:id="242"/>
      <w:bookmarkEnd w:id="243"/>
      <w:bookmarkEnd w:id="244"/>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4"/>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848"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45" w:name="_Toc494702289"/>
      <w:bookmarkStart w:id="246" w:name="_Toc494721119"/>
      <w:bookmarkStart w:id="247" w:name="_Toc17092"/>
      <w:bookmarkStart w:id="248" w:name="_Toc494745336"/>
      <w:bookmarkStart w:id="249" w:name="_Toc494665969"/>
      <w:bookmarkStart w:id="250" w:name="_Toc494665572"/>
      <w:bookmarkStart w:id="251" w:name="_Toc494665019"/>
      <w:r>
        <w:rPr>
          <w:rFonts w:hint="eastAsia" w:ascii="宋体" w:hAnsi="宋体" w:eastAsia="宋体"/>
          <w:color w:val="000000" w:themeColor="text1"/>
          <w14:textFill>
            <w14:solidFill>
              <w14:schemeClr w14:val="tx1"/>
            </w14:solidFill>
          </w14:textFill>
        </w:rPr>
        <w:t>技术、服务要求响应、偏离说明表</w:t>
      </w:r>
      <w:bookmarkEnd w:id="245"/>
      <w:bookmarkEnd w:id="246"/>
      <w:bookmarkEnd w:id="247"/>
      <w:bookmarkEnd w:id="248"/>
      <w:bookmarkEnd w:id="249"/>
      <w:bookmarkEnd w:id="250"/>
      <w:bookmarkEnd w:id="251"/>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4"/>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3031"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52" w:name="_Toc494721120"/>
      <w:bookmarkStart w:id="253" w:name="_Toc494665020"/>
      <w:bookmarkStart w:id="254" w:name="_Toc494665970"/>
      <w:bookmarkStart w:id="255" w:name="_Toc494665573"/>
      <w:bookmarkStart w:id="256" w:name="_Toc494702290"/>
      <w:bookmarkStart w:id="257" w:name="_Toc494745337"/>
      <w:bookmarkStart w:id="258" w:name="_Toc8218"/>
      <w:bookmarkStart w:id="259" w:name="_Toc329859066"/>
      <w:r>
        <w:rPr>
          <w:rFonts w:hint="eastAsia" w:ascii="宋体" w:hAnsi="宋体" w:eastAsia="宋体"/>
          <w:color w:val="000000" w:themeColor="text1"/>
          <w14:textFill>
            <w14:solidFill>
              <w14:schemeClr w14:val="tx1"/>
            </w14:solidFill>
          </w14:textFill>
        </w:rPr>
        <w:t>技术、服务要求“★”号条款响应、偏离说明表</w:t>
      </w:r>
      <w:bookmarkEnd w:id="252"/>
      <w:bookmarkEnd w:id="253"/>
      <w:bookmarkEnd w:id="254"/>
      <w:bookmarkEnd w:id="255"/>
      <w:bookmarkEnd w:id="256"/>
      <w:bookmarkEnd w:id="257"/>
      <w:bookmarkEnd w:id="258"/>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4"/>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w:t>
            </w:r>
            <w:r>
              <w:rPr>
                <w:rFonts w:hint="eastAsia" w:ascii="宋体" w:hAnsi="宋体" w:eastAsia="宋体" w:cs="Corbel"/>
                <w:color w:val="000000" w:themeColor="text1"/>
                <w:sz w:val="24"/>
                <w:szCs w:val="24"/>
                <w14:textFill>
                  <w14:solidFill>
                    <w14:schemeClr w14:val="tx1"/>
                  </w14:solidFill>
                </w14:textFill>
              </w:rPr>
              <w:t>技术、服务要求“★”号条款</w:t>
            </w:r>
          </w:p>
        </w:tc>
        <w:tc>
          <w:tcPr>
            <w:tcW w:w="287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936" w:hanging="936" w:hangingChars="390"/>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说明：1．投标人应按招标文件第三章“项目技术、服务及商务要求”中技术、服务要求</w:t>
      </w:r>
      <w:r>
        <w:rPr>
          <w:rFonts w:hint="eastAsia" w:ascii="Times New Roman" w:hAnsi="宋体" w:eastAsia="宋体" w:cs="Times New Roman"/>
          <w:color w:val="000000" w:themeColor="text1"/>
          <w:sz w:val="24"/>
          <w:szCs w:val="24"/>
          <w14:textFill>
            <w14:solidFill>
              <w14:schemeClr w14:val="tx1"/>
            </w14:solidFill>
          </w14:textFill>
        </w:rPr>
        <w:t>“★”号</w:t>
      </w:r>
      <w:r>
        <w:rPr>
          <w:rFonts w:hint="eastAsia" w:ascii="宋体" w:hAnsi="宋体" w:eastAsia="宋体" w:cs="Corbel"/>
          <w:color w:val="000000" w:themeColor="text1"/>
          <w:sz w:val="24"/>
          <w:szCs w:val="24"/>
          <w14:textFill>
            <w14:solidFill>
              <w14:schemeClr w14:val="tx1"/>
            </w14:solidFill>
          </w14:textFill>
        </w:rPr>
        <w:t>条款进行逐项说明是否满足要求，如有偏离,投标人应详细说明。未按照要求填写此表或仅注明“符合”、“满足”的，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06" w:leftChars="306" w:hanging="364" w:hangingChars="152"/>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bookmarkEnd w:id="259"/>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60" w:name="_Toc494702291"/>
      <w:bookmarkStart w:id="261" w:name="_Toc494665574"/>
      <w:bookmarkStart w:id="262" w:name="_Toc494665971"/>
      <w:bookmarkStart w:id="263" w:name="_Toc494665021"/>
      <w:bookmarkStart w:id="264" w:name="_Toc494721121"/>
      <w:bookmarkStart w:id="265" w:name="_Toc494745338"/>
      <w:bookmarkStart w:id="266" w:name="_Toc10806"/>
      <w:r>
        <w:rPr>
          <w:rFonts w:hint="eastAsia" w:ascii="宋体" w:hAnsi="宋体" w:eastAsia="宋体"/>
          <w:color w:val="000000" w:themeColor="text1"/>
          <w14:textFill>
            <w14:solidFill>
              <w14:schemeClr w14:val="tx1"/>
            </w14:solidFill>
          </w14:textFill>
        </w:rPr>
        <w:t>技术、服务评议对照表</w:t>
      </w:r>
      <w:bookmarkEnd w:id="260"/>
      <w:bookmarkEnd w:id="261"/>
      <w:bookmarkEnd w:id="262"/>
      <w:bookmarkEnd w:id="263"/>
      <w:bookmarkEnd w:id="264"/>
      <w:bookmarkEnd w:id="265"/>
      <w:bookmarkEnd w:id="266"/>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4"/>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389"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983"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06" w:leftChars="306" w:hanging="364" w:hangingChars="152"/>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adjustRightInd w:val="0"/>
        <w:snapToGrid w:val="0"/>
        <w:spacing w:line="300" w:lineRule="auto"/>
        <w:ind w:left="720" w:hanging="720" w:hangingChars="300"/>
        <w:rPr>
          <w:rFonts w:ascii="宋体" w:hAnsi="宋体" w:eastAsia="宋体" w:cs="Corbel"/>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A00002BF" w:usb1="68C7FCFB" w:usb2="00000010" w:usb3="00000000" w:csb0="4002009F" w:csb1="DFD70000"/>
  </w:font>
  <w:font w:name="Corbel">
    <w:panose1 w:val="020B0503020204020204"/>
    <w:charset w:val="00"/>
    <w:family w:val="swiss"/>
    <w:pitch w:val="default"/>
    <w:sig w:usb0="A00002EF" w:usb1="4000A44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8"/>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61</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000000" w:themeColor="text1" w:sz="4" w:space="1"/>
      </w:pBdr>
      <w:tabs>
        <w:tab w:val="clear" w:pos="4153"/>
        <w:tab w:val="clear" w:pos="8306"/>
      </w:tabs>
      <w:ind w:right="-9" w:firstLine="630" w:firstLineChars="300"/>
    </w:pPr>
    <w:r>
      <w:rPr>
        <w:rFonts w:hint="eastAsia" w:ascii="宋体" w:hAnsi="宋体" w:eastAsia="宋体" w:cs="宋体"/>
        <w:kern w:val="0"/>
        <w:sz w:val="21"/>
        <w:szCs w:val="21"/>
        <w:u w:val="single"/>
      </w:rPr>
      <w:t>衡正国际工程咨询有限公司制</w:t>
    </w:r>
  </w:p>
  <w:p>
    <w:pPr>
      <w:pStyle w:val="8"/>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19</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79</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000000" w:themeColor="text1" w:sz="4" w:space="1"/>
      </w:pBdr>
      <w:tabs>
        <w:tab w:val="clear" w:pos="4153"/>
      </w:tabs>
      <w:jc w:val="left"/>
      <w:rPr>
        <w:b/>
      </w:rPr>
    </w:pPr>
    <w:r>
      <w:rPr>
        <w:rFonts w:hint="eastAsia"/>
        <w:b/>
        <w:sz w:val="21"/>
        <w:szCs w:val="21"/>
      </w:rPr>
      <w:t>项目名称：阳新县教育局2020年能力提升工程班班通教室设备采购项目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20089B"/>
    <w:multiLevelType w:val="singleLevel"/>
    <w:tmpl w:val="9C20089B"/>
    <w:lvl w:ilvl="0" w:tentative="0">
      <w:start w:val="2"/>
      <w:numFmt w:val="chineseCounting"/>
      <w:suff w:val="nothing"/>
      <w:lvlText w:val="%1、"/>
      <w:lvlJc w:val="left"/>
      <w:rPr>
        <w:rFonts w:hint="eastAsia"/>
      </w:rPr>
    </w:lvl>
  </w:abstractNum>
  <w:abstractNum w:abstractNumId="1">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0">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3">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4">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7">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9">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0">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2">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6">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0">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6">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7">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8">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40E059C"/>
    <w:multiLevelType w:val="multilevel"/>
    <w:tmpl w:val="440E059C"/>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2">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8">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9">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0">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2">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B81BFFD"/>
    <w:multiLevelType w:val="singleLevel"/>
    <w:tmpl w:val="6B81BFFD"/>
    <w:lvl w:ilvl="0" w:tentative="0">
      <w:start w:val="4"/>
      <w:numFmt w:val="chineseCounting"/>
      <w:suff w:val="nothing"/>
      <w:lvlText w:val="%1、"/>
      <w:lvlJc w:val="left"/>
      <w:rPr>
        <w:rFonts w:hint="eastAsia"/>
      </w:rPr>
    </w:lvl>
  </w:abstractNum>
  <w:abstractNum w:abstractNumId="55">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7">
    <w:nsid w:val="70E3794B"/>
    <w:multiLevelType w:val="singleLevel"/>
    <w:tmpl w:val="70E3794B"/>
    <w:lvl w:ilvl="0" w:tentative="0">
      <w:start w:val="1"/>
      <w:numFmt w:val="decimal"/>
      <w:suff w:val="nothing"/>
      <w:lvlText w:val="%1、"/>
      <w:lvlJc w:val="left"/>
    </w:lvl>
  </w:abstractNum>
  <w:abstractNum w:abstractNumId="58">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1">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2">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5">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2"/>
  </w:num>
  <w:num w:numId="2">
    <w:abstractNumId w:val="54"/>
  </w:num>
  <w:num w:numId="3">
    <w:abstractNumId w:val="30"/>
  </w:num>
  <w:num w:numId="4">
    <w:abstractNumId w:val="3"/>
  </w:num>
  <w:num w:numId="5">
    <w:abstractNumId w:val="38"/>
  </w:num>
  <w:num w:numId="6">
    <w:abstractNumId w:val="15"/>
  </w:num>
  <w:num w:numId="7">
    <w:abstractNumId w:val="6"/>
  </w:num>
  <w:num w:numId="8">
    <w:abstractNumId w:val="51"/>
  </w:num>
  <w:num w:numId="9">
    <w:abstractNumId w:val="32"/>
  </w:num>
  <w:num w:numId="10">
    <w:abstractNumId w:val="47"/>
  </w:num>
  <w:num w:numId="11">
    <w:abstractNumId w:val="29"/>
  </w:num>
  <w:num w:numId="12">
    <w:abstractNumId w:val="5"/>
  </w:num>
  <w:num w:numId="13">
    <w:abstractNumId w:val="22"/>
  </w:num>
  <w:num w:numId="14">
    <w:abstractNumId w:val="23"/>
  </w:num>
  <w:num w:numId="15">
    <w:abstractNumId w:val="9"/>
  </w:num>
  <w:num w:numId="16">
    <w:abstractNumId w:val="8"/>
  </w:num>
  <w:num w:numId="17">
    <w:abstractNumId w:val="62"/>
  </w:num>
  <w:num w:numId="18">
    <w:abstractNumId w:val="10"/>
  </w:num>
  <w:num w:numId="19">
    <w:abstractNumId w:val="28"/>
  </w:num>
  <w:num w:numId="20">
    <w:abstractNumId w:val="34"/>
  </w:num>
  <w:num w:numId="21">
    <w:abstractNumId w:val="37"/>
  </w:num>
  <w:num w:numId="22">
    <w:abstractNumId w:val="65"/>
  </w:num>
  <w:num w:numId="23">
    <w:abstractNumId w:val="45"/>
  </w:num>
  <w:num w:numId="24">
    <w:abstractNumId w:val="58"/>
  </w:num>
  <w:num w:numId="25">
    <w:abstractNumId w:val="63"/>
  </w:num>
  <w:num w:numId="26">
    <w:abstractNumId w:val="44"/>
  </w:num>
  <w:num w:numId="27">
    <w:abstractNumId w:val="7"/>
  </w:num>
  <w:num w:numId="28">
    <w:abstractNumId w:val="19"/>
  </w:num>
  <w:num w:numId="29">
    <w:abstractNumId w:val="59"/>
  </w:num>
  <w:num w:numId="30">
    <w:abstractNumId w:val="52"/>
  </w:num>
  <w:num w:numId="31">
    <w:abstractNumId w:val="36"/>
  </w:num>
  <w:num w:numId="32">
    <w:abstractNumId w:val="50"/>
  </w:num>
  <w:num w:numId="33">
    <w:abstractNumId w:val="24"/>
  </w:num>
  <w:num w:numId="34">
    <w:abstractNumId w:val="53"/>
  </w:num>
  <w:num w:numId="35">
    <w:abstractNumId w:val="2"/>
  </w:num>
  <w:num w:numId="36">
    <w:abstractNumId w:val="39"/>
  </w:num>
  <w:num w:numId="37">
    <w:abstractNumId w:val="0"/>
  </w:num>
  <w:num w:numId="38">
    <w:abstractNumId w:val="57"/>
  </w:num>
  <w:num w:numId="39">
    <w:abstractNumId w:val="46"/>
  </w:num>
  <w:num w:numId="40">
    <w:abstractNumId w:val="26"/>
  </w:num>
  <w:num w:numId="41">
    <w:abstractNumId w:val="43"/>
  </w:num>
  <w:num w:numId="42">
    <w:abstractNumId w:val="31"/>
  </w:num>
  <w:num w:numId="43">
    <w:abstractNumId w:val="40"/>
  </w:num>
  <w:num w:numId="44">
    <w:abstractNumId w:val="33"/>
  </w:num>
  <w:num w:numId="45">
    <w:abstractNumId w:val="17"/>
  </w:num>
  <w:num w:numId="46">
    <w:abstractNumId w:val="49"/>
  </w:num>
  <w:num w:numId="47">
    <w:abstractNumId w:val="66"/>
  </w:num>
  <w:num w:numId="48">
    <w:abstractNumId w:val="18"/>
  </w:num>
  <w:num w:numId="49">
    <w:abstractNumId w:val="16"/>
  </w:num>
  <w:num w:numId="50">
    <w:abstractNumId w:val="1"/>
  </w:num>
  <w:num w:numId="51">
    <w:abstractNumId w:val="48"/>
    <w:lvlOverride w:ilvl="0">
      <w:startOverride w:val="1"/>
    </w:lvlOverride>
  </w:num>
  <w:num w:numId="52">
    <w:abstractNumId w:val="13"/>
  </w:num>
  <w:num w:numId="53">
    <w:abstractNumId w:val="25"/>
  </w:num>
  <w:num w:numId="54">
    <w:abstractNumId w:val="64"/>
  </w:num>
  <w:num w:numId="55">
    <w:abstractNumId w:val="56"/>
  </w:num>
  <w:num w:numId="56">
    <w:abstractNumId w:val="41"/>
  </w:num>
  <w:num w:numId="57">
    <w:abstractNumId w:val="12"/>
  </w:num>
  <w:num w:numId="58">
    <w:abstractNumId w:val="21"/>
  </w:num>
  <w:num w:numId="59">
    <w:abstractNumId w:val="60"/>
  </w:num>
  <w:num w:numId="60">
    <w:abstractNumId w:val="35"/>
  </w:num>
  <w:num w:numId="61">
    <w:abstractNumId w:val="61"/>
  </w:num>
  <w:num w:numId="62">
    <w:abstractNumId w:val="11"/>
  </w:num>
  <w:num w:numId="63">
    <w:abstractNumId w:val="55"/>
  </w:num>
  <w:num w:numId="64">
    <w:abstractNumId w:val="20"/>
  </w:num>
  <w:num w:numId="65">
    <w:abstractNumId w:val="4"/>
  </w:num>
  <w:num w:numId="66">
    <w:abstractNumId w:val="14"/>
  </w:num>
  <w:num w:numId="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A5"/>
    <w:rsid w:val="000F77F5"/>
    <w:rsid w:val="00126DA5"/>
    <w:rsid w:val="001B310E"/>
    <w:rsid w:val="001E4BEC"/>
    <w:rsid w:val="005D45B3"/>
    <w:rsid w:val="007B1E80"/>
    <w:rsid w:val="007E207F"/>
    <w:rsid w:val="00864ED6"/>
    <w:rsid w:val="008D27DD"/>
    <w:rsid w:val="009213C1"/>
    <w:rsid w:val="00AE37ED"/>
    <w:rsid w:val="00B35620"/>
    <w:rsid w:val="00C47FD0"/>
    <w:rsid w:val="00C90D8E"/>
    <w:rsid w:val="00DA5956"/>
    <w:rsid w:val="00E371D6"/>
    <w:rsid w:val="00E47312"/>
    <w:rsid w:val="00F93BE4"/>
    <w:rsid w:val="00F95B5E"/>
    <w:rsid w:val="0A865150"/>
    <w:rsid w:val="13415968"/>
    <w:rsid w:val="1EFF3D2A"/>
    <w:rsid w:val="2CEF77C9"/>
    <w:rsid w:val="2E3A01F0"/>
    <w:rsid w:val="3AB030DF"/>
    <w:rsid w:val="47843E6F"/>
    <w:rsid w:val="4B0C191C"/>
    <w:rsid w:val="4B5A5226"/>
    <w:rsid w:val="531C4DB3"/>
    <w:rsid w:val="53AE2E32"/>
    <w:rsid w:val="581D02E7"/>
    <w:rsid w:val="599009CB"/>
    <w:rsid w:val="59BD0194"/>
    <w:rsid w:val="5A410953"/>
    <w:rsid w:val="5F327EA3"/>
    <w:rsid w:val="602F322D"/>
    <w:rsid w:val="61CE1DE7"/>
    <w:rsid w:val="757D7096"/>
    <w:rsid w:val="75A239D7"/>
    <w:rsid w:val="7B216215"/>
    <w:rsid w:val="7E1D2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sz w:val="24"/>
    </w:rPr>
  </w:style>
  <w:style w:type="paragraph" w:styleId="5">
    <w:name w:val="annotation text"/>
    <w:basedOn w:val="1"/>
    <w:qFormat/>
    <w:uiPriority w:val="99"/>
    <w:pPr>
      <w:jc w:val="left"/>
    </w:pPr>
    <w:rPr>
      <w:rFonts w:ascii="Times New Roman" w:hAnsi="Times New Roman"/>
      <w:kern w:val="0"/>
      <w:sz w:val="20"/>
      <w:szCs w:val="20"/>
    </w:rPr>
  </w:style>
  <w:style w:type="paragraph" w:styleId="6">
    <w:name w:val="Plain Text"/>
    <w:basedOn w:val="1"/>
    <w:qFormat/>
    <w:uiPriority w:val="0"/>
    <w:rPr>
      <w:rFonts w:ascii="宋体" w:hAnsi="Courier New" w:cs="Courier New"/>
      <w:szCs w:val="21"/>
    </w:rPr>
  </w:style>
  <w:style w:type="paragraph" w:styleId="7">
    <w:name w:val="Balloon Text"/>
    <w:basedOn w:val="1"/>
    <w:link w:val="26"/>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line="440" w:lineRule="exact"/>
      <w:jc w:val="left"/>
    </w:pPr>
    <w:rPr>
      <w:rFonts w:eastAsia="黑体"/>
      <w:b/>
      <w:kern w:val="0"/>
      <w:sz w:val="28"/>
    </w:rPr>
  </w:style>
  <w:style w:type="paragraph" w:styleId="11">
    <w:name w:val="toc 2"/>
    <w:basedOn w:val="12"/>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2">
    <w:name w:val="引用1"/>
    <w:basedOn w:val="1"/>
    <w:next w:val="1"/>
    <w:qFormat/>
    <w:uiPriority w:val="29"/>
    <w:rPr>
      <w:i/>
      <w:iCs/>
      <w:color w:val="000000" w:themeColor="text1"/>
      <w14:textFill>
        <w14:solidFill>
          <w14:schemeClr w14:val="tx1"/>
        </w14:solidFill>
      </w14:textFill>
    </w:r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paragraph" w:customStyle="1" w:styleId="1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styleId="20">
    <w:name w:val="List Paragraph"/>
    <w:basedOn w:val="1"/>
    <w:unhideWhenUsed/>
    <w:qFormat/>
    <w:uiPriority w:val="99"/>
    <w:pPr>
      <w:ind w:firstLine="420" w:firstLineChars="200"/>
    </w:pPr>
  </w:style>
  <w:style w:type="paragraph" w:customStyle="1" w:styleId="21">
    <w:name w:val="列出段落1"/>
    <w:basedOn w:val="1"/>
    <w:qFormat/>
    <w:uiPriority w:val="34"/>
    <w:pPr>
      <w:ind w:firstLine="420" w:firstLineChars="200"/>
    </w:pPr>
  </w:style>
  <w:style w:type="paragraph" w:customStyle="1" w:styleId="22">
    <w:name w:val="正文1"/>
    <w:qFormat/>
    <w:uiPriority w:val="0"/>
    <w:pPr>
      <w:widowControl w:val="0"/>
      <w:jc w:val="both"/>
    </w:pPr>
    <w:rPr>
      <w:rFonts w:ascii="Calibri" w:hAnsi="Calibri" w:eastAsia="宋体" w:cs="Times New Roman"/>
      <w:kern w:val="2"/>
      <w:sz w:val="21"/>
      <w:szCs w:val="21"/>
      <w:lang w:val="en-US" w:eastAsia="zh-CN" w:bidi="ar-SA"/>
    </w:rPr>
  </w:style>
  <w:style w:type="paragraph" w:customStyle="1" w:styleId="23">
    <w:name w:val="正文文本1"/>
    <w:basedOn w:val="1"/>
    <w:semiHidden/>
    <w:qFormat/>
    <w:uiPriority w:val="0"/>
    <w:rPr>
      <w:rFonts w:ascii="宋体" w:hAnsi="Calibri" w:eastAsia="宋体" w:cs="Times New Roman"/>
      <w:sz w:val="24"/>
      <w:szCs w:val="24"/>
    </w:rPr>
  </w:style>
  <w:style w:type="table" w:customStyle="1" w:styleId="24">
    <w:name w:val="Table Normal1"/>
    <w:semiHidden/>
    <w:qFormat/>
    <w:uiPriority w:val="0"/>
    <w:rPr>
      <w:rFonts w:eastAsia="Times New Roman"/>
    </w:rPr>
    <w:tblPr>
      <w:tblCellMar>
        <w:top w:w="0" w:type="dxa"/>
        <w:left w:w="108" w:type="dxa"/>
        <w:bottom w:w="0" w:type="dxa"/>
        <w:right w:w="108" w:type="dxa"/>
      </w:tblCellMar>
    </w:tblPr>
  </w:style>
  <w:style w:type="paragraph" w:customStyle="1" w:styleId="25">
    <w:name w:val="正文文本缩进1"/>
    <w:basedOn w:val="1"/>
    <w:semiHidden/>
    <w:qFormat/>
    <w:uiPriority w:val="0"/>
    <w:pPr>
      <w:spacing w:before="100" w:beforeAutospacing="1" w:after="120"/>
      <w:ind w:left="420" w:leftChars="200"/>
    </w:pPr>
    <w:rPr>
      <w:rFonts w:ascii="Calibri" w:hAnsi="Calibri" w:eastAsia="宋体" w:cs="Times New Roman"/>
      <w:sz w:val="24"/>
      <w:szCs w:val="24"/>
    </w:rPr>
  </w:style>
  <w:style w:type="character" w:customStyle="1" w:styleId="26">
    <w:name w:val="批注框文本 字符"/>
    <w:basedOn w:val="16"/>
    <w:link w:val="7"/>
    <w:qFormat/>
    <w:uiPriority w:val="0"/>
    <w:rPr>
      <w:rFonts w:asciiTheme="minorHAnsi" w:hAnsiTheme="minorHAnsi" w:eastAsiaTheme="minorEastAsia" w:cstheme="minorBidi"/>
      <w:kern w:val="2"/>
      <w:sz w:val="18"/>
      <w:szCs w:val="18"/>
    </w:rPr>
  </w:style>
  <w:style w:type="paragraph" w:customStyle="1" w:styleId="27">
    <w:name w:val="Table Paragraph"/>
    <w:basedOn w:val="1"/>
    <w:qFormat/>
    <w:uiPriority w:val="0"/>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7442</Words>
  <Characters>42423</Characters>
  <Lines>353</Lines>
  <Paragraphs>99</Paragraphs>
  <TotalTime>6</TotalTime>
  <ScaleCrop>false</ScaleCrop>
  <LinksUpToDate>false</LinksUpToDate>
  <CharactersWithSpaces>49766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2020-10-15T06:30:00Z</dcterms:created>
  <dc:creator>Administrator</dc:creator>
  <cp:lastModifiedBy>Administrator</cp:lastModifiedBy>
  <cp:lastPrinted>2020-10-15T06:49:00Z</cp:lastPrinted>
  <dcterms:modified xsi:type="dcterms:W3CDTF">2020-10-15T08:13:57Z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