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阳新县县级政府采购</w:t>
      </w:r>
    </w:p>
    <w:p>
      <w:pPr>
        <w:pStyle w:val="7"/>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rPr>
      </w:pPr>
      <w:r>
        <w:rPr>
          <w:rFonts w:hint="eastAsia"/>
          <w:bCs/>
          <w:color w:val="000000" w:themeColor="text1"/>
          <w:sz w:val="32"/>
          <w:szCs w:val="32"/>
        </w:rPr>
        <w:t>项目编号：131-2020CG-</w:t>
      </w:r>
      <w:r>
        <w:rPr>
          <w:rFonts w:hint="eastAsia"/>
          <w:bCs/>
          <w:color w:val="000000" w:themeColor="text1"/>
          <w:sz w:val="32"/>
          <w:szCs w:val="32"/>
          <w:lang w:val="en-US" w:eastAsia="zh-CN"/>
        </w:rPr>
        <w:t>188</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 购 人：</w:t>
      </w:r>
      <w:r>
        <w:rPr>
          <w:rFonts w:hint="eastAsia"/>
          <w:bCs/>
          <w:color w:val="000000" w:themeColor="text1"/>
          <w:sz w:val="32"/>
          <w:szCs w:val="32"/>
          <w:u w:val="single"/>
        </w:rPr>
        <w:t>阳新县人民医院</w:t>
      </w:r>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项目名称：</w:t>
      </w:r>
      <w:r>
        <w:rPr>
          <w:rFonts w:hint="eastAsia"/>
          <w:bCs/>
          <w:color w:val="000000" w:themeColor="text1"/>
          <w:sz w:val="32"/>
          <w:szCs w:val="32"/>
          <w:u w:val="single"/>
        </w:rPr>
        <w:t>阳新县人民医院</w:t>
      </w:r>
      <w:r>
        <w:rPr>
          <w:rFonts w:hint="eastAsia"/>
          <w:bCs/>
          <w:color w:val="000000" w:themeColor="text1"/>
          <w:sz w:val="32"/>
          <w:szCs w:val="32"/>
          <w:u w:val="single"/>
          <w:lang w:eastAsia="zh-CN"/>
        </w:rPr>
        <w:t>麻醉机</w:t>
      </w:r>
      <w:r>
        <w:rPr>
          <w:rFonts w:hint="eastAsia"/>
          <w:bCs/>
          <w:color w:val="000000" w:themeColor="text1"/>
          <w:sz w:val="32"/>
          <w:szCs w:val="32"/>
          <w:u w:val="single"/>
        </w:rPr>
        <w:t>采购项目</w:t>
      </w:r>
      <w:r>
        <w:rPr>
          <w:rFonts w:hint="eastAsia"/>
          <w:bCs/>
          <w:color w:val="000000" w:themeColor="text1"/>
          <w:sz w:val="32"/>
          <w:szCs w:val="32"/>
          <w:u w:val="single"/>
          <w:lang w:eastAsia="zh-CN"/>
        </w:rPr>
        <w:t>（</w:t>
      </w:r>
      <w:r>
        <w:rPr>
          <w:rFonts w:hint="eastAsia"/>
          <w:bCs/>
          <w:color w:val="000000" w:themeColor="text1"/>
          <w:sz w:val="32"/>
          <w:szCs w:val="32"/>
          <w:u w:val="single"/>
          <w:lang w:val="en-US" w:eastAsia="zh-CN"/>
        </w:rPr>
        <w:t>二次</w:t>
      </w:r>
      <w:r>
        <w:rPr>
          <w:rFonts w:hint="eastAsia"/>
          <w:bCs/>
          <w:color w:val="000000" w:themeColor="text1"/>
          <w:sz w:val="32"/>
          <w:szCs w:val="32"/>
          <w:u w:val="single"/>
          <w:lang w:eastAsia="zh-CN"/>
        </w:rPr>
        <w:t>）</w:t>
      </w:r>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bCs/>
          <w:color w:val="000000" w:themeColor="text1"/>
          <w:sz w:val="32"/>
          <w:szCs w:val="32"/>
          <w:u w:val="single"/>
          <w:lang w:eastAsia="zh-CN"/>
        </w:rPr>
        <w:t>麻醉机</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bCs/>
          <w:snapToGrid w:val="0"/>
          <w:color w:val="000000" w:themeColor="text1"/>
          <w:kern w:val="0"/>
          <w:position w:val="-98"/>
          <w:sz w:val="70"/>
          <w:szCs w:val="70"/>
        </w:rPr>
      </w:pPr>
      <w:r>
        <w:rPr>
          <w:rFonts w:hint="eastAsia"/>
          <w:bCs/>
          <w:snapToGrid w:val="0"/>
          <w:color w:val="000000" w:themeColor="text1"/>
          <w:kern w:val="0"/>
          <w:position w:val="-98"/>
          <w:sz w:val="70"/>
          <w:szCs w:val="70"/>
        </w:rPr>
        <w:t>武汉富纳工程咨询有限公司</w:t>
      </w:r>
    </w:p>
    <w:p>
      <w:pPr>
        <w:jc w:val="center"/>
        <w:rPr>
          <w:rFonts w:ascii="黑体" w:hAnsi="黑体" w:eastAsia="黑体"/>
          <w:b/>
          <w:color w:val="FF0000"/>
          <w:sz w:val="44"/>
        </w:rPr>
      </w:pPr>
      <w:r>
        <w:rPr>
          <w:rFonts w:hint="eastAsia"/>
          <w:color w:val="000000" w:themeColor="text1"/>
          <w:sz w:val="32"/>
          <w:szCs w:val="32"/>
        </w:rPr>
        <w:t>2020年</w:t>
      </w:r>
      <w:r>
        <w:rPr>
          <w:rFonts w:hint="eastAsia"/>
          <w:color w:val="000000" w:themeColor="text1"/>
          <w:sz w:val="32"/>
          <w:szCs w:val="32"/>
          <w:lang w:val="en-US" w:eastAsia="zh-CN"/>
        </w:rPr>
        <w:t>10</w:t>
      </w:r>
      <w:r>
        <w:rPr>
          <w:rFonts w:hint="eastAsia" w:asciiTheme="minorEastAsia" w:hAnsiTheme="minorEastAsia" w:cstheme="minorEastAsia"/>
          <w:bCs/>
          <w:sz w:val="32"/>
          <w:szCs w:val="32"/>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2"/>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2"/>
              <w:rFonts w:hint="eastAsia" w:ascii="黑体" w:hAnsi="黑体"/>
            </w:rPr>
            <w:t>第一章</w:t>
          </w:r>
          <w:r>
            <w:rPr>
              <w:rFonts w:eastAsiaTheme="minorEastAsia"/>
              <w:b w:val="0"/>
              <w:iCs w:val="0"/>
              <w:color w:val="auto"/>
              <w:kern w:val="2"/>
              <w:sz w:val="21"/>
            </w:rPr>
            <w:tab/>
          </w:r>
          <w:r>
            <w:rPr>
              <w:rStyle w:val="22"/>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2"/>
              <w:rFonts w:hint="eastAsia" w:ascii="黑体" w:hAnsi="黑体"/>
            </w:rPr>
            <w:t>第二章</w:t>
          </w:r>
          <w:r>
            <w:rPr>
              <w:rFonts w:eastAsiaTheme="minorEastAsia"/>
              <w:b w:val="0"/>
              <w:iCs w:val="0"/>
              <w:color w:val="auto"/>
              <w:kern w:val="2"/>
              <w:sz w:val="21"/>
            </w:rPr>
            <w:tab/>
          </w:r>
          <w:r>
            <w:rPr>
              <w:rStyle w:val="22"/>
              <w:rFonts w:hint="eastAsia" w:ascii="黑体" w:hAnsi="黑体"/>
            </w:rPr>
            <w:t>投标人须知</w:t>
          </w:r>
          <w:r>
            <w:tab/>
          </w:r>
          <w:r>
            <w:fldChar w:fldCharType="begin"/>
          </w:r>
          <w:r>
            <w:instrText xml:space="preserve"> PAGEREF _Toc495861518 \h </w:instrText>
          </w:r>
          <w:r>
            <w:fldChar w:fldCharType="separate"/>
          </w:r>
          <w:r>
            <w:t>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"_Toc495861519" </w:instrText>
          </w:r>
          <w:r>
            <w:fldChar w:fldCharType="separate"/>
          </w:r>
          <w:r>
            <w:rPr>
              <w:rStyle w:val="22"/>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"_Toc495861520"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"_Toc495861521"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"_Toc495861522" </w:instrText>
          </w:r>
          <w:r>
            <w:fldChar w:fldCharType="separate"/>
          </w:r>
          <w:r>
            <w:rPr>
              <w:rStyle w:val="22"/>
              <w:rFonts w:hint="eastAsia" w:cs="Times New Roman" w:asciiTheme="majorEastAsia" w:hAnsiTheme="majorEastAsia"/>
              <w:lang w:val="zh-CN"/>
            </w:rPr>
            <w:t>三、</w:t>
          </w:r>
          <w:r>
            <w:rPr>
              <w:rFonts w:asciiTheme="minorHAnsi" w:hAnsiTheme="minorHAnsi"/>
              <w:iCs w:val="0"/>
              <w:color w:val="auto"/>
              <w:kern w:val="2"/>
              <w:sz w:val="21"/>
            </w:rPr>
            <w:tab/>
          </w:r>
          <w:r>
            <w:rPr>
              <w:rStyle w:val="22"/>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10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"_Toc495861523" </w:instrText>
          </w:r>
          <w:r>
            <w:fldChar w:fldCharType="separate"/>
          </w:r>
          <w:r>
            <w:rPr>
              <w:rStyle w:val="22"/>
              <w:rFonts w:hint="eastAsia" w:cs="Times New Roman" w:asciiTheme="majorEastAsia" w:hAnsiTheme="majorEastAsia"/>
              <w:lang w:val="zh-CN"/>
            </w:rPr>
            <w:t>四、</w:t>
          </w:r>
          <w:r>
            <w:rPr>
              <w:rFonts w:asciiTheme="minorHAnsi" w:hAnsiTheme="minorHAnsi"/>
              <w:iCs w:val="0"/>
              <w:color w:val="auto"/>
              <w:kern w:val="2"/>
              <w:sz w:val="21"/>
            </w:rPr>
            <w:tab/>
          </w:r>
          <w:r>
            <w:rPr>
              <w:rStyle w:val="22"/>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"_Toc495861524" </w:instrText>
          </w:r>
          <w:r>
            <w:fldChar w:fldCharType="separate"/>
          </w:r>
          <w:r>
            <w:rPr>
              <w:rStyle w:val="22"/>
              <w:rFonts w:hint="eastAsia" w:cs="Times New Roman" w:asciiTheme="majorEastAsia" w:hAnsiTheme="majorEastAsia"/>
              <w:lang w:val="zh-CN"/>
            </w:rPr>
            <w:t>五、</w:t>
          </w:r>
          <w:r>
            <w:rPr>
              <w:rFonts w:asciiTheme="minorHAnsi" w:hAnsiTheme="minorHAnsi"/>
              <w:iCs w:val="0"/>
              <w:color w:val="auto"/>
              <w:kern w:val="2"/>
              <w:sz w:val="21"/>
            </w:rPr>
            <w:tab/>
          </w:r>
          <w:r>
            <w:rPr>
              <w:rStyle w:val="22"/>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"_Toc495861525" </w:instrText>
          </w:r>
          <w:r>
            <w:fldChar w:fldCharType="separate"/>
          </w:r>
          <w:r>
            <w:rPr>
              <w:rStyle w:val="22"/>
              <w:rFonts w:hint="eastAsia" w:cs="Times New Roman" w:asciiTheme="majorEastAsia" w:hAnsiTheme="majorEastAsia"/>
              <w:lang w:val="zh-CN"/>
            </w:rPr>
            <w:t>六、</w:t>
          </w:r>
          <w:r>
            <w:rPr>
              <w:rFonts w:asciiTheme="minorHAnsi" w:hAnsiTheme="minorHAnsi"/>
              <w:iCs w:val="0"/>
              <w:color w:val="auto"/>
              <w:kern w:val="2"/>
              <w:sz w:val="21"/>
            </w:rPr>
            <w:tab/>
          </w:r>
          <w:r>
            <w:rPr>
              <w:rStyle w:val="22"/>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"_Toc495861526" </w:instrText>
          </w:r>
          <w:r>
            <w:fldChar w:fldCharType="separate"/>
          </w:r>
          <w:r>
            <w:rPr>
              <w:rStyle w:val="22"/>
              <w:rFonts w:hint="eastAsia" w:cs="Times New Roman" w:asciiTheme="majorEastAsia" w:hAnsiTheme="majorEastAsia"/>
              <w:lang w:val="zh-CN"/>
            </w:rPr>
            <w:t>七、</w:t>
          </w:r>
          <w:r>
            <w:rPr>
              <w:rFonts w:asciiTheme="minorHAnsi" w:hAnsiTheme="minorHAnsi"/>
              <w:iCs w:val="0"/>
              <w:color w:val="auto"/>
              <w:kern w:val="2"/>
              <w:sz w:val="21"/>
            </w:rPr>
            <w:tab/>
          </w:r>
          <w:r>
            <w:rPr>
              <w:rStyle w:val="22"/>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"_Toc495861527" </w:instrText>
          </w:r>
          <w:r>
            <w:fldChar w:fldCharType="separate"/>
          </w:r>
          <w:r>
            <w:rPr>
              <w:rStyle w:val="22"/>
              <w:rFonts w:hint="eastAsia" w:cs="Times New Roman" w:asciiTheme="majorEastAsia" w:hAnsiTheme="majorEastAsia"/>
              <w:lang w:val="zh-CN"/>
            </w:rPr>
            <w:t>八、</w:t>
          </w:r>
          <w:r>
            <w:rPr>
              <w:rFonts w:asciiTheme="minorHAnsi" w:hAnsiTheme="minorHAnsi"/>
              <w:iCs w:val="0"/>
              <w:color w:val="auto"/>
              <w:kern w:val="2"/>
              <w:sz w:val="21"/>
            </w:rPr>
            <w:tab/>
          </w:r>
          <w:r>
            <w:rPr>
              <w:rStyle w:val="22"/>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"_Toc495861528" </w:instrText>
          </w:r>
          <w:r>
            <w:fldChar w:fldCharType="separate"/>
          </w:r>
          <w:r>
            <w:rPr>
              <w:rStyle w:val="22"/>
              <w:rFonts w:hint="eastAsia" w:cs="Times New Roman" w:asciiTheme="majorEastAsia" w:hAnsiTheme="majorEastAsia"/>
              <w:lang w:val="zh-CN"/>
            </w:rPr>
            <w:t>九、</w:t>
          </w:r>
          <w:r>
            <w:rPr>
              <w:rFonts w:asciiTheme="minorHAnsi" w:hAnsiTheme="minorHAnsi"/>
              <w:iCs w:val="0"/>
              <w:color w:val="auto"/>
              <w:kern w:val="2"/>
              <w:sz w:val="21"/>
            </w:rPr>
            <w:tab/>
          </w:r>
          <w:r>
            <w:rPr>
              <w:rStyle w:val="22"/>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"_Toc495861529" </w:instrText>
          </w:r>
          <w:r>
            <w:fldChar w:fldCharType="separate"/>
          </w:r>
          <w:r>
            <w:rPr>
              <w:rStyle w:val="22"/>
              <w:rFonts w:hint="eastAsia" w:cs="Times New Roman" w:asciiTheme="majorEastAsia" w:hAnsiTheme="majorEastAsia"/>
              <w:lang w:val="zh-CN"/>
            </w:rPr>
            <w:t>十、</w:t>
          </w:r>
          <w:r>
            <w:rPr>
              <w:rFonts w:asciiTheme="minorHAnsi" w:hAnsiTheme="minorHAnsi"/>
              <w:iCs w:val="0"/>
              <w:color w:val="auto"/>
              <w:kern w:val="2"/>
              <w:sz w:val="21"/>
            </w:rPr>
            <w:tab/>
          </w:r>
          <w:r>
            <w:rPr>
              <w:rStyle w:val="22"/>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"_Toc495861530" </w:instrText>
          </w:r>
          <w:r>
            <w:fldChar w:fldCharType="separate"/>
          </w:r>
          <w:r>
            <w:rPr>
              <w:rStyle w:val="22"/>
              <w:rFonts w:hint="eastAsia" w:cs="Times New Roman" w:asciiTheme="majorEastAsia" w:hAnsiTheme="majorEastAsia"/>
              <w:lang w:val="zh-CN"/>
            </w:rPr>
            <w:t>十一、</w:t>
          </w:r>
          <w:r>
            <w:rPr>
              <w:rFonts w:asciiTheme="minorHAnsi" w:hAnsiTheme="minorHAnsi"/>
              <w:iCs w:val="0"/>
              <w:color w:val="auto"/>
              <w:kern w:val="2"/>
              <w:sz w:val="21"/>
            </w:rPr>
            <w:tab/>
          </w:r>
          <w:r>
            <w:rPr>
              <w:rStyle w:val="22"/>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"_Toc495861531" </w:instrText>
          </w:r>
          <w:r>
            <w:fldChar w:fldCharType="separate"/>
          </w:r>
          <w:r>
            <w:rPr>
              <w:rStyle w:val="22"/>
              <w:rFonts w:hint="eastAsia" w:cs="Times New Roman" w:asciiTheme="majorEastAsia" w:hAnsiTheme="majorEastAsia"/>
              <w:lang w:val="zh-CN"/>
            </w:rPr>
            <w:t>十二、</w:t>
          </w:r>
          <w:r>
            <w:rPr>
              <w:rFonts w:asciiTheme="minorHAnsi" w:hAnsiTheme="minorHAnsi"/>
              <w:iCs w:val="0"/>
              <w:color w:val="auto"/>
              <w:kern w:val="2"/>
              <w:sz w:val="21"/>
            </w:rPr>
            <w:tab/>
          </w:r>
          <w:r>
            <w:rPr>
              <w:rStyle w:val="22"/>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20</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2"/>
              <w:rFonts w:hint="eastAsia" w:ascii="黑体" w:hAnsi="黑体"/>
            </w:rPr>
            <w:t>第三章</w:t>
          </w:r>
          <w:r>
            <w:rPr>
              <w:rFonts w:eastAsiaTheme="minorEastAsia"/>
              <w:b w:val="0"/>
              <w:iCs w:val="0"/>
              <w:color w:val="auto"/>
              <w:kern w:val="2"/>
              <w:sz w:val="21"/>
            </w:rPr>
            <w:tab/>
          </w:r>
          <w:r>
            <w:rPr>
              <w:rStyle w:val="22"/>
              <w:rFonts w:hint="eastAsia" w:ascii="黑体" w:hAnsi="黑体"/>
            </w:rPr>
            <w:t>项目技术、服务及商务要求</w:t>
          </w:r>
          <w:r>
            <w:tab/>
          </w:r>
          <w:r>
            <w:fldChar w:fldCharType="begin"/>
          </w:r>
          <w:r>
            <w:instrText xml:space="preserve"> PAGEREF _Toc495861532 \h </w:instrText>
          </w:r>
          <w:r>
            <w:fldChar w:fldCharType="separate"/>
          </w:r>
          <w:r>
            <w:t>21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"_Toc495861533"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t>21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"_Toc495861534"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概述及简介</w:t>
          </w:r>
          <w:r>
            <w:tab/>
          </w:r>
          <w:r>
            <w:fldChar w:fldCharType="begin"/>
          </w:r>
          <w:r>
            <w:instrText xml:space="preserve"> PAGEREF _Toc495861534 \h </w:instrText>
          </w:r>
          <w:r>
            <w:fldChar w:fldCharType="separate"/>
          </w:r>
          <w:r>
            <w:rPr>
              <w:b/>
            </w:rPr>
            <w:t>错误！未定义书签。</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"_Toc495861535" </w:instrText>
          </w:r>
          <w:r>
            <w:fldChar w:fldCharType="separate"/>
          </w:r>
          <w:r>
            <w:rPr>
              <w:rStyle w:val="22"/>
              <w:rFonts w:hint="eastAsia" w:cs="Times New Roman" w:asciiTheme="majorEastAsia" w:hAnsiTheme="majorEastAsia"/>
              <w:lang w:val="zh-CN"/>
            </w:rPr>
            <w:t>三、</w:t>
          </w:r>
          <w:r>
            <w:rPr>
              <w:rFonts w:asciiTheme="minorHAnsi" w:hAnsiTheme="minorHAnsi"/>
              <w:iCs w:val="0"/>
              <w:color w:val="auto"/>
              <w:kern w:val="2"/>
              <w:sz w:val="21"/>
            </w:rPr>
            <w:tab/>
          </w:r>
          <w:r>
            <w:rPr>
              <w:rStyle w:val="22"/>
              <w:rFonts w:hint="eastAsia" w:cs="Times New Roman" w:asciiTheme="majorEastAsia" w:hAnsiTheme="majorEastAsia"/>
              <w:lang w:val="zh-CN"/>
            </w:rPr>
            <w:t>国家相关行政主管部门颁布的强制标准、规范</w:t>
          </w:r>
          <w:r>
            <w:tab/>
          </w:r>
          <w:r>
            <w:fldChar w:fldCharType="begin"/>
          </w:r>
          <w:r>
            <w:instrText xml:space="preserve"> PAGEREF _Toc495861535 \h </w:instrText>
          </w:r>
          <w:r>
            <w:fldChar w:fldCharType="separate"/>
          </w:r>
          <w:r>
            <w:rPr>
              <w:b/>
            </w:rPr>
            <w:t>错误！未定义书签。</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"_Toc495861536" </w:instrText>
          </w:r>
          <w:r>
            <w:fldChar w:fldCharType="separate"/>
          </w:r>
          <w:r>
            <w:rPr>
              <w:rStyle w:val="22"/>
              <w:rFonts w:hint="eastAsia" w:cs="Times New Roman" w:asciiTheme="majorEastAsia" w:hAnsiTheme="majorEastAsia"/>
              <w:lang w:val="zh-CN"/>
            </w:rPr>
            <w:t>四、</w:t>
          </w:r>
          <w:r>
            <w:rPr>
              <w:rFonts w:asciiTheme="minorHAnsi" w:hAnsiTheme="minorHAnsi"/>
              <w:iCs w:val="0"/>
              <w:color w:val="auto"/>
              <w:kern w:val="2"/>
              <w:sz w:val="21"/>
            </w:rPr>
            <w:tab/>
          </w:r>
          <w:r>
            <w:rPr>
              <w:rStyle w:val="22"/>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t>21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"_Toc495861537" </w:instrText>
          </w:r>
          <w:r>
            <w:fldChar w:fldCharType="separate"/>
          </w:r>
          <w:r>
            <w:rPr>
              <w:rStyle w:val="22"/>
              <w:rFonts w:hint="eastAsia" w:cs="Times New Roman" w:asciiTheme="majorEastAsia" w:hAnsiTheme="majorEastAsia"/>
              <w:lang w:val="zh-CN"/>
            </w:rPr>
            <w:t>五、</w:t>
          </w:r>
          <w:r>
            <w:rPr>
              <w:rFonts w:asciiTheme="minorHAnsi" w:hAnsiTheme="minorHAnsi"/>
              <w:iCs w:val="0"/>
              <w:color w:val="auto"/>
              <w:kern w:val="2"/>
              <w:sz w:val="21"/>
            </w:rPr>
            <w:tab/>
          </w:r>
          <w:r>
            <w:rPr>
              <w:rStyle w:val="22"/>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t>25</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2"/>
              <w:rFonts w:hint="eastAsia" w:ascii="黑体" w:hAnsi="黑体"/>
            </w:rPr>
            <w:t>第四章</w:t>
          </w:r>
          <w:r>
            <w:rPr>
              <w:rFonts w:eastAsiaTheme="minorEastAsia"/>
              <w:b w:val="0"/>
              <w:iCs w:val="0"/>
              <w:color w:val="auto"/>
              <w:kern w:val="2"/>
              <w:sz w:val="21"/>
            </w:rPr>
            <w:tab/>
          </w:r>
          <w:r>
            <w:rPr>
              <w:rStyle w:val="22"/>
              <w:rFonts w:hint="eastAsia" w:ascii="黑体" w:hAnsi="黑体"/>
            </w:rPr>
            <w:t>资格审查方法及标准</w:t>
          </w:r>
          <w:r>
            <w:tab/>
          </w:r>
          <w:r>
            <w:fldChar w:fldCharType="begin"/>
          </w:r>
          <w:r>
            <w:instrText xml:space="preserve"> PAGEREF _Toc495861538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"_Toc495861539"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"_Toc495861540"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25</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2"/>
              <w:rFonts w:hint="eastAsia" w:ascii="黑体" w:hAnsi="黑体"/>
            </w:rPr>
            <w:t>第五章</w:t>
          </w:r>
          <w:r>
            <w:rPr>
              <w:rFonts w:eastAsiaTheme="minorEastAsia"/>
              <w:b w:val="0"/>
              <w:iCs w:val="0"/>
              <w:color w:val="auto"/>
              <w:kern w:val="2"/>
              <w:sz w:val="21"/>
            </w:rPr>
            <w:tab/>
          </w:r>
          <w:r>
            <w:rPr>
              <w:rStyle w:val="22"/>
              <w:rFonts w:hint="eastAsia" w:ascii="黑体" w:hAnsi="黑体"/>
            </w:rPr>
            <w:t>评标方法、程序及标准</w:t>
          </w:r>
          <w:r>
            <w:tab/>
          </w:r>
          <w:r>
            <w:fldChar w:fldCharType="begin"/>
          </w:r>
          <w:r>
            <w:instrText xml:space="preserve"> PAGEREF _Toc495861541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"_Toc495861542"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"_Toc495861543"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"_Toc495861544" </w:instrText>
          </w:r>
          <w:r>
            <w:fldChar w:fldCharType="separate"/>
          </w:r>
          <w:r>
            <w:rPr>
              <w:rStyle w:val="22"/>
              <w:rFonts w:hint="eastAsia" w:cs="Times New Roman" w:asciiTheme="majorEastAsia" w:hAnsiTheme="majorEastAsia"/>
              <w:lang w:val="zh-CN"/>
            </w:rPr>
            <w:t>三、</w:t>
          </w:r>
          <w:r>
            <w:rPr>
              <w:rFonts w:asciiTheme="minorHAnsi" w:hAnsiTheme="minorHAnsi"/>
              <w:iCs w:val="0"/>
              <w:color w:val="auto"/>
              <w:kern w:val="2"/>
              <w:sz w:val="21"/>
            </w:rPr>
            <w:tab/>
          </w:r>
          <w:r>
            <w:rPr>
              <w:rStyle w:val="22"/>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30</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2"/>
              <w:rFonts w:hint="eastAsia" w:ascii="黑体" w:hAnsi="黑体"/>
            </w:rPr>
            <w:t>第六章</w:t>
          </w:r>
          <w:r>
            <w:rPr>
              <w:rFonts w:eastAsiaTheme="minorEastAsia"/>
              <w:b w:val="0"/>
              <w:iCs w:val="0"/>
              <w:color w:val="auto"/>
              <w:kern w:val="2"/>
              <w:sz w:val="21"/>
            </w:rPr>
            <w:tab/>
          </w:r>
          <w:r>
            <w:rPr>
              <w:rStyle w:val="22"/>
              <w:rFonts w:hint="eastAsia" w:ascii="黑体" w:hAnsi="黑体"/>
            </w:rPr>
            <w:t>合同书格式（参考）</w:t>
          </w:r>
          <w:r>
            <w:tab/>
          </w:r>
          <w:r>
            <w:fldChar w:fldCharType="begin"/>
          </w:r>
          <w:r>
            <w:instrText xml:space="preserve"> PAGEREF _Toc495861545 \h </w:instrText>
          </w:r>
          <w:r>
            <w:fldChar w:fldCharType="separate"/>
          </w:r>
          <w:r>
            <w:t>33</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2"/>
              <w:rFonts w:hint="eastAsia" w:ascii="黑体" w:hAnsi="黑体"/>
            </w:rPr>
            <w:t>第七章</w:t>
          </w:r>
          <w:r>
            <w:rPr>
              <w:rFonts w:eastAsiaTheme="minorEastAsia"/>
              <w:b w:val="0"/>
              <w:iCs w:val="0"/>
              <w:color w:val="auto"/>
              <w:kern w:val="2"/>
              <w:sz w:val="21"/>
            </w:rPr>
            <w:tab/>
          </w:r>
          <w:r>
            <w:rPr>
              <w:rStyle w:val="22"/>
              <w:rFonts w:hint="eastAsia" w:ascii="黑体" w:hAnsi="黑体"/>
            </w:rPr>
            <w:t>投标文件格式（参考）</w:t>
          </w:r>
          <w:r>
            <w:tab/>
          </w:r>
          <w:r>
            <w:fldChar w:fldCharType="begin"/>
          </w:r>
          <w:r>
            <w:instrText xml:space="preserve"> PAGEREF _Toc495861546 \h </w:instrText>
          </w:r>
          <w:r>
            <w:fldChar w:fldCharType="separate"/>
          </w:r>
          <w:r>
            <w:t>35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"_Toc495861547" </w:instrText>
          </w:r>
          <w:r>
            <w:fldChar w:fldCharType="separate"/>
          </w:r>
          <w:r>
            <w:rPr>
              <w:rStyle w:val="22"/>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35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"_Toc495861548" </w:instrText>
          </w:r>
          <w:r>
            <w:fldChar w:fldCharType="separate"/>
          </w:r>
          <w:r>
            <w:rPr>
              <w:rStyle w:val="22"/>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37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"_Toc495861549" </w:instrText>
          </w:r>
          <w:r>
            <w:fldChar w:fldCharType="separate"/>
          </w:r>
          <w:r>
            <w:rPr>
              <w:rStyle w:val="22"/>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39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"_Toc495861550" </w:instrText>
          </w:r>
          <w:r>
            <w:fldChar w:fldCharType="separate"/>
          </w:r>
          <w:r>
            <w:rPr>
              <w:rStyle w:val="22"/>
              <w:rFonts w:hint="eastAsia" w:eastAsia="宋体"/>
            </w:rPr>
            <w:t>附件一、</w:t>
          </w:r>
          <w:r>
            <w:rPr>
              <w:rFonts w:asciiTheme="minorHAnsi" w:hAnsiTheme="minorHAnsi"/>
              <w:iCs w:val="0"/>
              <w:color w:val="auto"/>
              <w:kern w:val="2"/>
              <w:sz w:val="21"/>
            </w:rPr>
            <w:tab/>
          </w:r>
          <w:r>
            <w:rPr>
              <w:rStyle w:val="22"/>
              <w:rFonts w:hint="eastAsia" w:eastAsia="宋体"/>
            </w:rPr>
            <w:t>投标书</w:t>
          </w:r>
          <w:r>
            <w:tab/>
          </w:r>
          <w:r>
            <w:fldChar w:fldCharType="begin"/>
          </w:r>
          <w:r>
            <w:instrText xml:space="preserve"> PAGEREF _Toc495861550 \h </w:instrText>
          </w:r>
          <w:r>
            <w:fldChar w:fldCharType="separate"/>
          </w:r>
          <w:r>
            <w:t>41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"_Toc495861551" </w:instrText>
          </w:r>
          <w:r>
            <w:fldChar w:fldCharType="separate"/>
          </w:r>
          <w:r>
            <w:rPr>
              <w:rStyle w:val="22"/>
              <w:rFonts w:hint="eastAsia" w:eastAsia="宋体"/>
            </w:rPr>
            <w:t>附件二、</w:t>
          </w:r>
          <w:r>
            <w:rPr>
              <w:rFonts w:asciiTheme="minorHAnsi" w:hAnsiTheme="minorHAnsi"/>
              <w:iCs w:val="0"/>
              <w:color w:val="auto"/>
              <w:kern w:val="2"/>
              <w:sz w:val="21"/>
            </w:rPr>
            <w:tab/>
          </w:r>
          <w:r>
            <w:rPr>
              <w:rStyle w:val="22"/>
              <w:rFonts w:hint="eastAsia" w:eastAsia="宋体"/>
            </w:rPr>
            <w:t>制造商中小企业声明函</w:t>
          </w:r>
          <w:r>
            <w:tab/>
          </w:r>
          <w:r>
            <w:fldChar w:fldCharType="begin"/>
          </w:r>
          <w:r>
            <w:instrText xml:space="preserve"> PAGEREF _Toc495861551 \h </w:instrText>
          </w:r>
          <w:r>
            <w:fldChar w:fldCharType="separate"/>
          </w:r>
          <w:r>
            <w:t>42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"_Toc495861552" </w:instrText>
          </w:r>
          <w:r>
            <w:fldChar w:fldCharType="separate"/>
          </w:r>
          <w:r>
            <w:rPr>
              <w:rStyle w:val="22"/>
              <w:rFonts w:hint="eastAsia" w:eastAsia="宋体"/>
            </w:rPr>
            <w:t>附件三、</w:t>
          </w:r>
          <w:r>
            <w:rPr>
              <w:rFonts w:asciiTheme="minorHAnsi" w:hAnsiTheme="minorHAnsi"/>
              <w:iCs w:val="0"/>
              <w:color w:val="auto"/>
              <w:kern w:val="2"/>
              <w:sz w:val="21"/>
            </w:rPr>
            <w:tab/>
          </w:r>
          <w:r>
            <w:rPr>
              <w:rStyle w:val="22"/>
              <w:rFonts w:hint="eastAsia" w:eastAsia="宋体"/>
            </w:rPr>
            <w:t>中小企业声明函</w:t>
          </w:r>
          <w:r>
            <w:tab/>
          </w:r>
          <w:r>
            <w:fldChar w:fldCharType="begin"/>
          </w:r>
          <w:r>
            <w:instrText xml:space="preserve"> PAGEREF _Toc495861552 \h </w:instrText>
          </w:r>
          <w:r>
            <w:fldChar w:fldCharType="separate"/>
          </w:r>
          <w:r>
            <w:t>43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"_Toc495861553" </w:instrText>
          </w:r>
          <w:r>
            <w:fldChar w:fldCharType="separate"/>
          </w:r>
          <w:r>
            <w:rPr>
              <w:rStyle w:val="22"/>
              <w:rFonts w:hint="eastAsia" w:eastAsia="宋体"/>
            </w:rPr>
            <w:t>附件四、</w:t>
          </w:r>
          <w:r>
            <w:rPr>
              <w:rFonts w:asciiTheme="minorHAnsi" w:hAnsiTheme="minorHAnsi"/>
              <w:iCs w:val="0"/>
              <w:color w:val="auto"/>
              <w:kern w:val="2"/>
              <w:sz w:val="21"/>
            </w:rPr>
            <w:tab/>
          </w:r>
          <w:r>
            <w:rPr>
              <w:rStyle w:val="22"/>
              <w:rFonts w:hint="eastAsia" w:eastAsia="宋体"/>
            </w:rPr>
            <w:t>残疾人福利性单位声明函</w:t>
          </w:r>
          <w:r>
            <w:tab/>
          </w:r>
          <w:r>
            <w:fldChar w:fldCharType="begin"/>
          </w:r>
          <w:r>
            <w:instrText xml:space="preserve"> PAGEREF _Toc495861553 \h </w:instrText>
          </w:r>
          <w:r>
            <w:fldChar w:fldCharType="separate"/>
          </w:r>
          <w:r>
            <w:t>46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"_Toc495861554" </w:instrText>
          </w:r>
          <w:r>
            <w:fldChar w:fldCharType="separate"/>
          </w:r>
          <w:r>
            <w:rPr>
              <w:rStyle w:val="22"/>
              <w:rFonts w:hint="eastAsia" w:eastAsia="宋体"/>
            </w:rPr>
            <w:t>附件五、</w:t>
          </w:r>
          <w:r>
            <w:rPr>
              <w:rFonts w:asciiTheme="minorHAnsi" w:hAnsiTheme="minorHAnsi"/>
              <w:iCs w:val="0"/>
              <w:color w:val="auto"/>
              <w:kern w:val="2"/>
              <w:sz w:val="21"/>
            </w:rPr>
            <w:tab/>
          </w:r>
          <w:r>
            <w:rPr>
              <w:rStyle w:val="22"/>
              <w:rFonts w:hint="eastAsia" w:eastAsia="宋体"/>
            </w:rPr>
            <w:t>开标一览表</w:t>
          </w:r>
          <w:r>
            <w:tab/>
          </w:r>
          <w:r>
            <w:fldChar w:fldCharType="begin"/>
          </w:r>
          <w:r>
            <w:instrText xml:space="preserve"> PAGEREF _Toc495861554 \h </w:instrText>
          </w:r>
          <w:r>
            <w:fldChar w:fldCharType="separate"/>
          </w:r>
          <w:r>
            <w:t>49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"_Toc495861555" </w:instrText>
          </w:r>
          <w:r>
            <w:fldChar w:fldCharType="separate"/>
          </w:r>
          <w:r>
            <w:rPr>
              <w:rStyle w:val="22"/>
              <w:rFonts w:hint="eastAsia" w:eastAsia="宋体"/>
            </w:rPr>
            <w:t>附件六、</w:t>
          </w:r>
          <w:r>
            <w:rPr>
              <w:rFonts w:asciiTheme="minorHAnsi" w:hAnsiTheme="minorHAnsi"/>
              <w:iCs w:val="0"/>
              <w:color w:val="auto"/>
              <w:kern w:val="2"/>
              <w:sz w:val="21"/>
            </w:rPr>
            <w:tab/>
          </w:r>
          <w:r>
            <w:rPr>
              <w:rStyle w:val="22"/>
              <w:rFonts w:hint="eastAsia" w:eastAsia="宋体"/>
            </w:rPr>
            <w:t>投标报价明细表</w:t>
          </w:r>
          <w:r>
            <w:tab/>
          </w:r>
          <w:r>
            <w:fldChar w:fldCharType="begin"/>
          </w:r>
          <w:r>
            <w:instrText xml:space="preserve"> PAGEREF _Toc495861555 \h </w:instrText>
          </w:r>
          <w:r>
            <w:fldChar w:fldCharType="separate"/>
          </w:r>
          <w:r>
            <w:t>50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"_Toc495861556" </w:instrText>
          </w:r>
          <w:r>
            <w:fldChar w:fldCharType="separate"/>
          </w:r>
          <w:r>
            <w:rPr>
              <w:rStyle w:val="22"/>
              <w:rFonts w:hint="eastAsia" w:eastAsia="宋体"/>
            </w:rPr>
            <w:t>附件七、</w:t>
          </w:r>
          <w:r>
            <w:rPr>
              <w:rFonts w:asciiTheme="minorHAnsi" w:hAnsiTheme="minorHAnsi"/>
              <w:iCs w:val="0"/>
              <w:color w:val="auto"/>
              <w:kern w:val="2"/>
              <w:sz w:val="21"/>
            </w:rPr>
            <w:tab/>
          </w:r>
          <w:r>
            <w:rPr>
              <w:rStyle w:val="22"/>
              <w:rFonts w:hint="eastAsia" w:eastAsia="宋体"/>
            </w:rPr>
            <w:t>小型和微型企业、监狱企业、残疾人福利性单位货物汇总表</w:t>
          </w:r>
          <w:r>
            <w:tab/>
          </w:r>
          <w:r>
            <w:fldChar w:fldCharType="begin"/>
          </w:r>
          <w:r>
            <w:instrText xml:space="preserve"> PAGEREF _Toc495861556 \h </w:instrText>
          </w:r>
          <w:r>
            <w:fldChar w:fldCharType="separate"/>
          </w:r>
          <w:r>
            <w:t>51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"_Toc495861557" </w:instrText>
          </w:r>
          <w:r>
            <w:fldChar w:fldCharType="separate"/>
          </w:r>
          <w:r>
            <w:rPr>
              <w:rStyle w:val="22"/>
              <w:rFonts w:hint="eastAsia" w:eastAsia="宋体"/>
            </w:rPr>
            <w:t>附件八、</w:t>
          </w:r>
          <w:r>
            <w:rPr>
              <w:rFonts w:asciiTheme="minorHAnsi" w:hAnsiTheme="minorHAnsi"/>
              <w:iCs w:val="0"/>
              <w:color w:val="auto"/>
              <w:kern w:val="2"/>
              <w:sz w:val="21"/>
            </w:rPr>
            <w:tab/>
          </w:r>
          <w:r>
            <w:rPr>
              <w:rStyle w:val="22"/>
              <w:rFonts w:hint="eastAsia" w:eastAsia="宋体"/>
            </w:rPr>
            <w:t>投标货物（工程或服务）清单</w:t>
          </w:r>
          <w:r>
            <w:tab/>
          </w:r>
          <w:r>
            <w:fldChar w:fldCharType="begin"/>
          </w:r>
          <w:r>
            <w:instrText xml:space="preserve"> PAGEREF _Toc495861557 \h </w:instrText>
          </w:r>
          <w:r>
            <w:fldChar w:fldCharType="separate"/>
          </w:r>
          <w:r>
            <w:t>52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"_Toc495861558" </w:instrText>
          </w:r>
          <w:r>
            <w:fldChar w:fldCharType="separate"/>
          </w:r>
          <w:r>
            <w:rPr>
              <w:rStyle w:val="22"/>
              <w:rFonts w:hint="eastAsia" w:eastAsia="宋体"/>
            </w:rPr>
            <w:t>附件九、</w:t>
          </w:r>
          <w:r>
            <w:rPr>
              <w:rFonts w:asciiTheme="minorHAnsi" w:hAnsiTheme="minorHAnsi"/>
              <w:iCs w:val="0"/>
              <w:color w:val="auto"/>
              <w:kern w:val="2"/>
              <w:sz w:val="21"/>
            </w:rPr>
            <w:tab/>
          </w:r>
          <w:r>
            <w:rPr>
              <w:rStyle w:val="22"/>
              <w:rFonts w:hint="eastAsia" w:eastAsia="宋体"/>
            </w:rPr>
            <w:t>交纳投标保证金的银行凭证</w:t>
          </w:r>
          <w:r>
            <w:tab/>
          </w:r>
          <w:r>
            <w:fldChar w:fldCharType="begin"/>
          </w:r>
          <w:r>
            <w:instrText xml:space="preserve"> PAGEREF _Toc495861558 \h </w:instrText>
          </w:r>
          <w:r>
            <w:fldChar w:fldCharType="separate"/>
          </w:r>
          <w:r>
            <w:t>53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"_Toc495861559" </w:instrText>
          </w:r>
          <w:r>
            <w:fldChar w:fldCharType="separate"/>
          </w:r>
          <w:r>
            <w:rPr>
              <w:rStyle w:val="22"/>
              <w:rFonts w:hint="eastAsia" w:eastAsia="宋体"/>
            </w:rPr>
            <w:t>附件十、</w:t>
          </w:r>
          <w:r>
            <w:rPr>
              <w:rFonts w:asciiTheme="minorHAnsi" w:hAnsiTheme="minorHAnsi"/>
              <w:iCs w:val="0"/>
              <w:color w:val="auto"/>
              <w:kern w:val="2"/>
              <w:sz w:val="21"/>
            </w:rPr>
            <w:tab/>
          </w:r>
          <w:r>
            <w:rPr>
              <w:rStyle w:val="22"/>
              <w:rFonts w:hint="eastAsia" w:eastAsia="宋体"/>
            </w:rPr>
            <w:t>法定代表人授权书</w:t>
          </w:r>
          <w:r>
            <w:tab/>
          </w:r>
          <w:r>
            <w:fldChar w:fldCharType="begin"/>
          </w:r>
          <w:r>
            <w:instrText xml:space="preserve"> PAGEREF _Toc495861559 \h </w:instrText>
          </w:r>
          <w:r>
            <w:fldChar w:fldCharType="separate"/>
          </w:r>
          <w:r>
            <w:t>54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"_Toc495861560" </w:instrText>
          </w:r>
          <w:r>
            <w:fldChar w:fldCharType="separate"/>
          </w:r>
          <w:r>
            <w:rPr>
              <w:rStyle w:val="22"/>
              <w:rFonts w:hint="eastAsia" w:eastAsia="宋体"/>
            </w:rPr>
            <w:t>附件十一、</w:t>
          </w:r>
          <w:r>
            <w:rPr>
              <w:rFonts w:asciiTheme="minorHAnsi" w:hAnsiTheme="minorHAnsi"/>
              <w:iCs w:val="0"/>
              <w:color w:val="auto"/>
              <w:kern w:val="2"/>
              <w:sz w:val="21"/>
            </w:rPr>
            <w:tab/>
          </w:r>
          <w:r>
            <w:rPr>
              <w:rStyle w:val="22"/>
              <w:rFonts w:hint="eastAsia" w:eastAsia="宋体"/>
            </w:rPr>
            <w:t>投标人的资格声明</w:t>
          </w:r>
          <w:r>
            <w:tab/>
          </w:r>
          <w:r>
            <w:fldChar w:fldCharType="begin"/>
          </w:r>
          <w:r>
            <w:instrText xml:space="preserve"> PAGEREF _Toc495861560 \h </w:instrText>
          </w:r>
          <w:r>
            <w:fldChar w:fldCharType="separate"/>
          </w:r>
          <w:r>
            <w:t>55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"_Toc495861561" </w:instrText>
          </w:r>
          <w:r>
            <w:fldChar w:fldCharType="separate"/>
          </w:r>
          <w:r>
            <w:rPr>
              <w:rStyle w:val="22"/>
              <w:rFonts w:hint="eastAsia" w:eastAsia="宋体"/>
            </w:rPr>
            <w:t>附件十二、</w:t>
          </w:r>
          <w:r>
            <w:rPr>
              <w:rFonts w:asciiTheme="minorHAnsi" w:hAnsiTheme="minorHAnsi"/>
              <w:iCs w:val="0"/>
              <w:color w:val="auto"/>
              <w:kern w:val="2"/>
              <w:sz w:val="21"/>
            </w:rPr>
            <w:tab/>
          </w:r>
          <w:r>
            <w:rPr>
              <w:rStyle w:val="22"/>
              <w:rFonts w:hint="eastAsia" w:eastAsia="宋体"/>
            </w:rPr>
            <w:t>项目负责人、技术负责人简历表</w:t>
          </w:r>
          <w:r>
            <w:tab/>
          </w:r>
          <w:r>
            <w:fldChar w:fldCharType="begin"/>
          </w:r>
          <w:r>
            <w:instrText xml:space="preserve"> PAGEREF _Toc495861561 \h </w:instrText>
          </w:r>
          <w:r>
            <w:fldChar w:fldCharType="separate"/>
          </w:r>
          <w:r>
            <w:t>56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"_Toc495861562" </w:instrText>
          </w:r>
          <w:r>
            <w:fldChar w:fldCharType="separate"/>
          </w:r>
          <w:r>
            <w:rPr>
              <w:rStyle w:val="22"/>
              <w:rFonts w:hint="eastAsia" w:eastAsia="宋体"/>
            </w:rPr>
            <w:t>附件十三、</w:t>
          </w:r>
          <w:r>
            <w:rPr>
              <w:rFonts w:asciiTheme="minorHAnsi" w:hAnsiTheme="minorHAnsi"/>
              <w:iCs w:val="0"/>
              <w:color w:val="auto"/>
              <w:kern w:val="2"/>
              <w:sz w:val="21"/>
            </w:rPr>
            <w:tab/>
          </w:r>
          <w:r>
            <w:rPr>
              <w:rStyle w:val="22"/>
              <w:rFonts w:hint="eastAsia" w:eastAsia="宋体"/>
            </w:rPr>
            <w:t>项目班子成员情况表</w:t>
          </w:r>
          <w:r>
            <w:tab/>
          </w:r>
          <w:r>
            <w:fldChar w:fldCharType="begin"/>
          </w:r>
          <w:r>
            <w:instrText xml:space="preserve"> PAGEREF _Toc495861562 \h </w:instrText>
          </w:r>
          <w:r>
            <w:fldChar w:fldCharType="separate"/>
          </w:r>
          <w:r>
            <w:t>57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"_Toc495861563" </w:instrText>
          </w:r>
          <w:r>
            <w:fldChar w:fldCharType="separate"/>
          </w:r>
          <w:r>
            <w:rPr>
              <w:rStyle w:val="22"/>
              <w:rFonts w:hint="eastAsia" w:eastAsia="宋体"/>
            </w:rPr>
            <w:t>附件十四、</w:t>
          </w:r>
          <w:r>
            <w:rPr>
              <w:rFonts w:asciiTheme="minorHAnsi" w:hAnsiTheme="minorHAnsi"/>
              <w:iCs w:val="0"/>
              <w:color w:val="auto"/>
              <w:kern w:val="2"/>
              <w:sz w:val="21"/>
            </w:rPr>
            <w:tab/>
          </w:r>
          <w:r>
            <w:rPr>
              <w:rStyle w:val="22"/>
              <w:rFonts w:hint="eastAsia" w:eastAsia="宋体"/>
            </w:rPr>
            <w:t>投标人类似项目业绩表</w:t>
          </w:r>
          <w:r>
            <w:tab/>
          </w:r>
          <w:r>
            <w:fldChar w:fldCharType="begin"/>
          </w:r>
          <w:r>
            <w:instrText xml:space="preserve"> PAGEREF _Toc495861563 \h </w:instrText>
          </w:r>
          <w:r>
            <w:fldChar w:fldCharType="separate"/>
          </w:r>
          <w:r>
            <w:t>58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"_Toc495861564" </w:instrText>
          </w:r>
          <w:r>
            <w:fldChar w:fldCharType="separate"/>
          </w:r>
          <w:r>
            <w:rPr>
              <w:rStyle w:val="22"/>
              <w:rFonts w:hint="eastAsia" w:eastAsia="宋体"/>
            </w:rPr>
            <w:t>附件十五、</w:t>
          </w:r>
          <w:r>
            <w:rPr>
              <w:rFonts w:asciiTheme="minorHAnsi" w:hAnsiTheme="minorHAnsi"/>
              <w:iCs w:val="0"/>
              <w:color w:val="auto"/>
              <w:kern w:val="2"/>
              <w:sz w:val="21"/>
            </w:rPr>
            <w:tab/>
          </w:r>
          <w:r>
            <w:rPr>
              <w:rStyle w:val="22"/>
              <w:rFonts w:hint="eastAsia" w:eastAsia="宋体"/>
            </w:rPr>
            <w:t>符合性审查对照表</w:t>
          </w:r>
          <w:r>
            <w:tab/>
          </w:r>
          <w:r>
            <w:fldChar w:fldCharType="begin"/>
          </w:r>
          <w:r>
            <w:instrText xml:space="preserve"> PAGEREF _Toc495861564 \h </w:instrText>
          </w:r>
          <w:r>
            <w:fldChar w:fldCharType="separate"/>
          </w:r>
          <w:r>
            <w:t>59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"_Toc495861565" </w:instrText>
          </w:r>
          <w:r>
            <w:fldChar w:fldCharType="separate"/>
          </w:r>
          <w:r>
            <w:rPr>
              <w:rStyle w:val="22"/>
              <w:rFonts w:hint="eastAsia" w:eastAsia="宋体"/>
            </w:rPr>
            <w:t>附件十六、</w:t>
          </w:r>
          <w:r>
            <w:rPr>
              <w:rFonts w:asciiTheme="minorHAnsi" w:hAnsiTheme="minorHAnsi"/>
              <w:iCs w:val="0"/>
              <w:color w:val="auto"/>
              <w:kern w:val="2"/>
              <w:sz w:val="21"/>
            </w:rPr>
            <w:tab/>
          </w:r>
          <w:r>
            <w:rPr>
              <w:rStyle w:val="22"/>
              <w:rFonts w:hint="eastAsia" w:eastAsia="宋体"/>
            </w:rPr>
            <w:t>商务要求响应、偏离说明表</w:t>
          </w:r>
          <w:r>
            <w:tab/>
          </w:r>
          <w:r>
            <w:fldChar w:fldCharType="begin"/>
          </w:r>
          <w:r>
            <w:instrText xml:space="preserve"> PAGEREF _Toc495861565 \h </w:instrText>
          </w:r>
          <w:r>
            <w:fldChar w:fldCharType="separate"/>
          </w:r>
          <w:r>
            <w:t>60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"_Toc495861566" </w:instrText>
          </w:r>
          <w:r>
            <w:fldChar w:fldCharType="separate"/>
          </w:r>
          <w:r>
            <w:rPr>
              <w:rStyle w:val="22"/>
              <w:rFonts w:hint="eastAsia" w:eastAsia="宋体"/>
            </w:rPr>
            <w:t>附件十七、</w:t>
          </w:r>
          <w:r>
            <w:rPr>
              <w:rFonts w:asciiTheme="minorHAnsi" w:hAnsiTheme="minorHAnsi"/>
              <w:iCs w:val="0"/>
              <w:color w:val="auto"/>
              <w:kern w:val="2"/>
              <w:sz w:val="21"/>
            </w:rPr>
            <w:tab/>
          </w:r>
          <w:r>
            <w:rPr>
              <w:rStyle w:val="22"/>
              <w:rFonts w:hint="eastAsia" w:eastAsia="宋体"/>
            </w:rPr>
            <w:t>商务要求“★”号条款响应、偏离说明表</w:t>
          </w:r>
          <w:r>
            <w:tab/>
          </w:r>
          <w:r>
            <w:fldChar w:fldCharType="begin"/>
          </w:r>
          <w:r>
            <w:instrText xml:space="preserve"> PAGEREF _Toc495861566 \h </w:instrText>
          </w:r>
          <w:r>
            <w:fldChar w:fldCharType="separate"/>
          </w:r>
          <w:r>
            <w:t>61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"_Toc495861567" </w:instrText>
          </w:r>
          <w:r>
            <w:fldChar w:fldCharType="separate"/>
          </w:r>
          <w:r>
            <w:rPr>
              <w:rStyle w:val="22"/>
              <w:rFonts w:hint="eastAsia" w:eastAsia="宋体"/>
            </w:rPr>
            <w:t>附件十八、</w:t>
          </w:r>
          <w:r>
            <w:rPr>
              <w:rFonts w:asciiTheme="minorHAnsi" w:hAnsiTheme="minorHAnsi"/>
              <w:iCs w:val="0"/>
              <w:color w:val="auto"/>
              <w:kern w:val="2"/>
              <w:sz w:val="21"/>
            </w:rPr>
            <w:tab/>
          </w:r>
          <w:r>
            <w:rPr>
              <w:rStyle w:val="22"/>
              <w:rFonts w:hint="eastAsia" w:eastAsia="宋体"/>
            </w:rPr>
            <w:t>商务评议对照表</w:t>
          </w:r>
          <w:r>
            <w:tab/>
          </w:r>
          <w:r>
            <w:fldChar w:fldCharType="begin"/>
          </w:r>
          <w:r>
            <w:instrText xml:space="preserve"> PAGEREF _Toc495861567 \h </w:instrText>
          </w:r>
          <w:r>
            <w:fldChar w:fldCharType="separate"/>
          </w:r>
          <w:r>
            <w:t>62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"_Toc495861568" </w:instrText>
          </w:r>
          <w:r>
            <w:fldChar w:fldCharType="separate"/>
          </w:r>
          <w:r>
            <w:rPr>
              <w:rStyle w:val="22"/>
              <w:rFonts w:hint="eastAsia" w:eastAsia="宋体"/>
            </w:rPr>
            <w:t>附件十九、</w:t>
          </w:r>
          <w:r>
            <w:rPr>
              <w:rFonts w:asciiTheme="minorHAnsi" w:hAnsiTheme="minorHAnsi"/>
              <w:iCs w:val="0"/>
              <w:color w:val="auto"/>
              <w:kern w:val="2"/>
              <w:sz w:val="21"/>
            </w:rPr>
            <w:tab/>
          </w:r>
          <w:r>
            <w:rPr>
              <w:rStyle w:val="22"/>
              <w:rFonts w:hint="eastAsia" w:eastAsia="宋体"/>
            </w:rPr>
            <w:t>技术、服务要求响应、偏离说明表</w:t>
          </w:r>
          <w:r>
            <w:tab/>
          </w:r>
          <w:r>
            <w:fldChar w:fldCharType="begin"/>
          </w:r>
          <w:r>
            <w:instrText xml:space="preserve"> PAGEREF _Toc495861568 \h </w:instrText>
          </w:r>
          <w:r>
            <w:fldChar w:fldCharType="separate"/>
          </w:r>
          <w:r>
            <w:t>63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"_Toc495861569" </w:instrText>
          </w:r>
          <w:r>
            <w:fldChar w:fldCharType="separate"/>
          </w:r>
          <w:r>
            <w:rPr>
              <w:rStyle w:val="22"/>
              <w:rFonts w:hint="eastAsia" w:eastAsia="宋体"/>
            </w:rPr>
            <w:t>附件二十、</w:t>
          </w:r>
          <w:r>
            <w:rPr>
              <w:rFonts w:asciiTheme="minorHAnsi" w:hAnsiTheme="minorHAnsi"/>
              <w:iCs w:val="0"/>
              <w:color w:val="auto"/>
              <w:kern w:val="2"/>
              <w:sz w:val="21"/>
            </w:rPr>
            <w:tab/>
          </w:r>
          <w:r>
            <w:rPr>
              <w:rStyle w:val="22"/>
              <w:rFonts w:hint="eastAsia" w:eastAsia="宋体"/>
            </w:rPr>
            <w:t>技术、服务要求“★”号条款响应、偏离说明表</w:t>
          </w:r>
          <w:r>
            <w:tab/>
          </w:r>
          <w:r>
            <w:fldChar w:fldCharType="begin"/>
          </w:r>
          <w:r>
            <w:instrText xml:space="preserve"> PAGEREF _Toc495861569 \h </w:instrText>
          </w:r>
          <w:r>
            <w:fldChar w:fldCharType="separate"/>
          </w:r>
          <w:r>
            <w:t>64</w:t>
          </w:r>
          <w:r>
            <w:fldChar w:fldCharType="end"/>
          </w:r>
          <w:r>
            <w:fldChar w:fldCharType="end"/>
          </w:r>
        </w:p>
        <w:p>
          <w:pPr>
            <w:pStyle w:val="14"/>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2"/>
              <w:rFonts w:hint="eastAsia" w:eastAsia="宋体"/>
            </w:rPr>
            <w:t>附件二十一、</w:t>
          </w:r>
          <w:r>
            <w:rPr>
              <w:rFonts w:asciiTheme="minorHAnsi" w:hAnsiTheme="minorHAnsi"/>
              <w:iCs w:val="0"/>
              <w:color w:val="auto"/>
              <w:kern w:val="2"/>
              <w:sz w:val="21"/>
            </w:rPr>
            <w:tab/>
          </w:r>
          <w:r>
            <w:rPr>
              <w:rStyle w:val="22"/>
              <w:rFonts w:hint="eastAsia" w:eastAsia="宋体"/>
            </w:rPr>
            <w:t>技术、服务评议对照表</w:t>
          </w:r>
          <w:r>
            <w:tab/>
          </w:r>
          <w:r>
            <w:fldChar w:fldCharType="begin"/>
          </w:r>
          <w:r>
            <w:instrText xml:space="preserve"> PAGEREF _Toc495861570 \h </w:instrText>
          </w:r>
          <w:r>
            <w:fldChar w:fldCharType="separate"/>
          </w:r>
          <w:r>
            <w:t>65</w:t>
          </w:r>
          <w:r>
            <w:fldChar w:fldCharType="end"/>
          </w:r>
          <w:r>
            <w:fldChar w:fldCharType="end"/>
          </w:r>
        </w:p>
        <w:p>
          <w:pPr>
            <w:pStyle w:val="12"/>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p>
      <w:pPr>
        <w:spacing w:line="480" w:lineRule="auto"/>
        <w:ind w:firstLine="480" w:firstLineChars="200"/>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rPr>
        <w:t>依</w:t>
      </w:r>
      <w:r>
        <w:rPr>
          <w:rFonts w:hint="eastAsia" w:ascii="宋体" w:hAnsi="宋体" w:eastAsia="宋体" w:cs="Times New Roman"/>
          <w:color w:val="0C0C0C" w:themeColor="text1" w:themeTint="F2"/>
          <w:sz w:val="24"/>
          <w:szCs w:val="24"/>
          <w:highlight w:val="none"/>
        </w:rPr>
        <w:t xml:space="preserve">据 </w:t>
      </w:r>
      <w:r>
        <w:rPr>
          <w:rFonts w:hint="eastAsia" w:ascii="宋体" w:hAnsi="宋体" w:eastAsia="宋体" w:cs="Times New Roman"/>
          <w:color w:val="0C0C0C" w:themeColor="text1" w:themeTint="F2"/>
          <w:sz w:val="24"/>
          <w:szCs w:val="24"/>
          <w:highlight w:val="none"/>
          <w:u w:val="single"/>
        </w:rPr>
        <w:t>阳财采计备[2020]A</w:t>
      </w:r>
      <w:r>
        <w:rPr>
          <w:rFonts w:hint="eastAsia" w:ascii="宋体" w:hAnsi="宋体" w:eastAsia="宋体" w:cs="Times New Roman"/>
          <w:color w:val="0C0C0C" w:themeColor="text1" w:themeTint="F2"/>
          <w:sz w:val="24"/>
          <w:szCs w:val="24"/>
          <w:highlight w:val="none"/>
          <w:u w:val="single"/>
          <w:lang w:val="en-US" w:eastAsia="zh-CN"/>
        </w:rPr>
        <w:t>154</w:t>
      </w:r>
      <w:r>
        <w:rPr>
          <w:rFonts w:hint="eastAsia" w:ascii="宋体" w:hAnsi="宋体" w:eastAsia="宋体" w:cs="Times New Roman"/>
          <w:color w:val="0C0C0C" w:themeColor="text1" w:themeTint="F2"/>
          <w:sz w:val="24"/>
          <w:szCs w:val="24"/>
          <w:highlight w:val="none"/>
        </w:rPr>
        <w:t>的要求，</w:t>
      </w:r>
      <w:r>
        <w:rPr>
          <w:rFonts w:hint="eastAsia" w:ascii="宋体" w:hAnsi="宋体" w:eastAsia="宋体" w:cs="Times New Roman"/>
          <w:color w:val="0C0C0C" w:themeColor="text1" w:themeTint="F2"/>
          <w:sz w:val="24"/>
          <w:szCs w:val="24"/>
          <w:highlight w:val="none"/>
          <w:u w:val="single"/>
        </w:rPr>
        <w:t xml:space="preserve">武汉富纳工程咨询有限公司 </w:t>
      </w:r>
      <w:r>
        <w:rPr>
          <w:rFonts w:hint="eastAsia" w:ascii="宋体" w:hAnsi="宋体" w:eastAsia="宋体" w:cs="Times New Roman"/>
          <w:color w:val="0C0C0C" w:themeColor="text1" w:themeTint="F2"/>
          <w:sz w:val="24"/>
          <w:szCs w:val="24"/>
          <w:highlight w:val="none"/>
        </w:rPr>
        <w:t xml:space="preserve">受 </w:t>
      </w:r>
      <w:r>
        <w:rPr>
          <w:rFonts w:hint="eastAsia" w:ascii="宋体" w:hAnsi="宋体" w:eastAsia="宋体" w:cs="Times New Roman"/>
          <w:color w:val="0C0C0C" w:themeColor="text1" w:themeTint="F2"/>
          <w:sz w:val="24"/>
          <w:szCs w:val="24"/>
          <w:highlight w:val="none"/>
          <w:u w:val="single"/>
        </w:rPr>
        <w:t>阳新县人民医院</w:t>
      </w:r>
      <w:r>
        <w:rPr>
          <w:rFonts w:hint="eastAsia" w:ascii="宋体" w:hAnsi="宋体" w:eastAsia="宋体" w:cs="Times New Roman"/>
          <w:color w:val="0C0C0C" w:themeColor="text1" w:themeTint="F2"/>
          <w:sz w:val="24"/>
          <w:szCs w:val="24"/>
          <w:highlight w:val="none"/>
        </w:rPr>
        <w:t xml:space="preserve">委托，就 </w:t>
      </w:r>
      <w:r>
        <w:rPr>
          <w:rFonts w:hint="eastAsia" w:ascii="宋体" w:hAnsi="宋体" w:eastAsia="宋体" w:cs="Times New Roman"/>
          <w:color w:val="0C0C0C" w:themeColor="text1" w:themeTint="F2"/>
          <w:sz w:val="24"/>
          <w:szCs w:val="24"/>
          <w:highlight w:val="none"/>
          <w:u w:val="single"/>
        </w:rPr>
        <w:t>阳新县人民医院</w:t>
      </w:r>
      <w:r>
        <w:rPr>
          <w:rFonts w:hint="eastAsia" w:ascii="宋体" w:hAnsi="宋体" w:eastAsia="宋体" w:cs="Times New Roman"/>
          <w:color w:val="0C0C0C" w:themeColor="text1" w:themeTint="F2"/>
          <w:sz w:val="24"/>
          <w:szCs w:val="24"/>
          <w:highlight w:val="none"/>
          <w:u w:val="single"/>
          <w:lang w:eastAsia="zh-CN"/>
        </w:rPr>
        <w:t>麻醉机</w:t>
      </w:r>
      <w:r>
        <w:rPr>
          <w:rFonts w:hint="eastAsia" w:ascii="宋体" w:hAnsi="宋体" w:eastAsia="宋体" w:cs="Times New Roman"/>
          <w:color w:val="0C0C0C" w:themeColor="text1" w:themeTint="F2"/>
          <w:sz w:val="24"/>
          <w:szCs w:val="24"/>
          <w:highlight w:val="none"/>
          <w:u w:val="single"/>
        </w:rPr>
        <w:t xml:space="preserve">采购 </w:t>
      </w:r>
      <w:r>
        <w:rPr>
          <w:rFonts w:hint="eastAsia" w:ascii="宋体" w:hAnsi="宋体" w:eastAsia="宋体" w:cs="Times New Roman"/>
          <w:color w:val="0C0C0C" w:themeColor="text1" w:themeTint="F2"/>
          <w:sz w:val="24"/>
          <w:szCs w:val="24"/>
          <w:highlight w:val="none"/>
        </w:rPr>
        <w:t>项目</w:t>
      </w:r>
      <w:r>
        <w:rPr>
          <w:rFonts w:hint="eastAsia" w:ascii="宋体" w:hAnsi="宋体" w:eastAsia="宋体" w:cs="Times New Roman"/>
          <w:color w:val="0C0C0C" w:themeColor="text1" w:themeTint="F2"/>
          <w:sz w:val="24"/>
          <w:szCs w:val="24"/>
          <w:highlight w:val="none"/>
          <w:lang w:eastAsia="zh-CN"/>
        </w:rPr>
        <w:t>（</w:t>
      </w:r>
      <w:r>
        <w:rPr>
          <w:rFonts w:hint="eastAsia" w:ascii="宋体" w:hAnsi="宋体" w:eastAsia="宋体" w:cs="Times New Roman"/>
          <w:color w:val="0C0C0C" w:themeColor="text1" w:themeTint="F2"/>
          <w:sz w:val="24"/>
          <w:szCs w:val="24"/>
          <w:highlight w:val="none"/>
          <w:lang w:val="en-US" w:eastAsia="zh-CN"/>
        </w:rPr>
        <w:t>二次</w:t>
      </w:r>
      <w:r>
        <w:rPr>
          <w:rFonts w:hint="eastAsia" w:ascii="宋体" w:hAnsi="宋体" w:eastAsia="宋体" w:cs="Times New Roman"/>
          <w:color w:val="0C0C0C" w:themeColor="text1" w:themeTint="F2"/>
          <w:sz w:val="24"/>
          <w:szCs w:val="24"/>
          <w:highlight w:val="none"/>
          <w:lang w:eastAsia="zh-CN"/>
        </w:rPr>
        <w:t>）</w:t>
      </w:r>
      <w:r>
        <w:rPr>
          <w:rFonts w:hint="eastAsia" w:ascii="宋体" w:hAnsi="宋体" w:eastAsia="宋体" w:cs="Times New Roman"/>
          <w:color w:val="0C0C0C" w:themeColor="text1" w:themeTint="F2"/>
          <w:sz w:val="24"/>
          <w:szCs w:val="24"/>
          <w:highlight w:val="none"/>
        </w:rPr>
        <w:t>进行公开招标采购，欢迎符合条件的投标人投标。</w:t>
      </w:r>
    </w:p>
    <w:p>
      <w:pPr>
        <w:numPr>
          <w:ilvl w:val="0"/>
          <w:numId w:val="2"/>
        </w:numPr>
        <w:spacing w:line="360" w:lineRule="auto"/>
        <w:ind w:left="490" w:hanging="490"/>
        <w:rPr>
          <w:rFonts w:ascii="宋体" w:hAnsi="宋体" w:eastAsia="宋体" w:cs="Times New Roman"/>
          <w:b/>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项目编号：131-2020CG-</w:t>
      </w:r>
      <w:r>
        <w:rPr>
          <w:rFonts w:hint="eastAsia" w:ascii="宋体" w:hAnsi="宋体" w:eastAsia="宋体" w:cs="Times New Roman"/>
          <w:b/>
          <w:color w:val="0C0C0C" w:themeColor="text1" w:themeTint="F2"/>
          <w:sz w:val="24"/>
          <w:szCs w:val="24"/>
          <w:highlight w:val="none"/>
          <w:lang w:val="en-US" w:eastAsia="zh-CN"/>
        </w:rPr>
        <w:t>188</w:t>
      </w:r>
    </w:p>
    <w:p>
      <w:pPr>
        <w:numPr>
          <w:ilvl w:val="0"/>
          <w:numId w:val="2"/>
        </w:numPr>
        <w:spacing w:line="360" w:lineRule="auto"/>
        <w:ind w:left="490" w:hanging="490"/>
        <w:rPr>
          <w:rFonts w:ascii="宋体" w:hAnsi="宋体" w:eastAsia="宋体" w:cs="Times New Roman"/>
          <w:b/>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项目名称：</w:t>
      </w:r>
      <w:r>
        <w:rPr>
          <w:rFonts w:hint="eastAsia" w:ascii="宋体" w:hAnsi="宋体" w:eastAsia="宋体" w:cs="Times New Roman"/>
          <w:b w:val="0"/>
          <w:bCs w:val="0"/>
          <w:color w:val="0C0C0C" w:themeColor="text1" w:themeTint="F2"/>
          <w:sz w:val="24"/>
          <w:szCs w:val="24"/>
          <w:highlight w:val="none"/>
          <w:u w:val="single"/>
        </w:rPr>
        <w:t>阳新县人民医院</w:t>
      </w:r>
      <w:r>
        <w:rPr>
          <w:rFonts w:hint="eastAsia" w:ascii="宋体" w:hAnsi="宋体" w:eastAsia="宋体" w:cs="Times New Roman"/>
          <w:b w:val="0"/>
          <w:bCs w:val="0"/>
          <w:color w:val="0C0C0C" w:themeColor="text1" w:themeTint="F2"/>
          <w:sz w:val="24"/>
          <w:szCs w:val="24"/>
          <w:highlight w:val="none"/>
          <w:u w:val="single"/>
          <w:lang w:eastAsia="zh-CN"/>
        </w:rPr>
        <w:t>麻醉机</w:t>
      </w:r>
      <w:r>
        <w:rPr>
          <w:rFonts w:hint="eastAsia" w:ascii="宋体" w:hAnsi="宋体" w:eastAsia="宋体" w:cs="Times New Roman"/>
          <w:b w:val="0"/>
          <w:bCs w:val="0"/>
          <w:color w:val="0C0C0C" w:themeColor="text1" w:themeTint="F2"/>
          <w:sz w:val="24"/>
          <w:szCs w:val="24"/>
          <w:highlight w:val="none"/>
          <w:u w:val="single"/>
        </w:rPr>
        <w:t>采购项目</w:t>
      </w:r>
      <w:r>
        <w:rPr>
          <w:rFonts w:hint="eastAsia" w:ascii="宋体" w:hAnsi="宋体" w:eastAsia="宋体" w:cs="Times New Roman"/>
          <w:b w:val="0"/>
          <w:bCs w:val="0"/>
          <w:color w:val="0C0C0C" w:themeColor="text1" w:themeTint="F2"/>
          <w:sz w:val="24"/>
          <w:szCs w:val="24"/>
          <w:highlight w:val="none"/>
          <w:u w:val="single"/>
          <w:lang w:eastAsia="zh-CN"/>
        </w:rPr>
        <w:t>（</w:t>
      </w:r>
      <w:r>
        <w:rPr>
          <w:rFonts w:hint="eastAsia" w:ascii="宋体" w:hAnsi="宋体" w:eastAsia="宋体" w:cs="Times New Roman"/>
          <w:b w:val="0"/>
          <w:bCs w:val="0"/>
          <w:color w:val="0C0C0C" w:themeColor="text1" w:themeTint="F2"/>
          <w:sz w:val="24"/>
          <w:szCs w:val="24"/>
          <w:highlight w:val="none"/>
          <w:u w:val="single"/>
          <w:lang w:val="en-US" w:eastAsia="zh-CN"/>
        </w:rPr>
        <w:t>二次</w:t>
      </w:r>
      <w:r>
        <w:rPr>
          <w:rFonts w:hint="eastAsia" w:ascii="宋体" w:hAnsi="宋体" w:eastAsia="宋体" w:cs="Times New Roman"/>
          <w:b w:val="0"/>
          <w:bCs w:val="0"/>
          <w:color w:val="0C0C0C" w:themeColor="text1" w:themeTint="F2"/>
          <w:sz w:val="24"/>
          <w:szCs w:val="24"/>
          <w:highlight w:val="none"/>
          <w:u w:val="single"/>
          <w:lang w:eastAsia="zh-CN"/>
        </w:rPr>
        <w:t>）</w:t>
      </w:r>
    </w:p>
    <w:p>
      <w:pPr>
        <w:numPr>
          <w:ilvl w:val="0"/>
          <w:numId w:val="2"/>
        </w:numPr>
        <w:spacing w:line="360" w:lineRule="auto"/>
        <w:ind w:left="490" w:hanging="490"/>
        <w:rPr>
          <w:rFonts w:ascii="宋体" w:hAnsi="宋体" w:eastAsia="宋体" w:cs="Times New Roman"/>
          <w:color w:val="0C0C0C" w:themeColor="text1" w:themeTint="F2"/>
          <w:sz w:val="24"/>
          <w:szCs w:val="24"/>
        </w:rPr>
      </w:pPr>
      <w:r>
        <w:rPr>
          <w:rFonts w:hint="eastAsia" w:ascii="宋体" w:hAnsi="宋体" w:eastAsia="宋体" w:cs="Times New Roman"/>
          <w:b/>
          <w:color w:val="0C0C0C" w:themeColor="text1" w:themeTint="F2"/>
          <w:sz w:val="24"/>
          <w:szCs w:val="24"/>
          <w:highlight w:val="none"/>
        </w:rPr>
        <w:t>招标内容：</w:t>
      </w:r>
      <w:r>
        <w:rPr>
          <w:rFonts w:hint="eastAsia" w:ascii="宋体" w:hAnsi="宋体" w:eastAsia="宋体" w:cs="Times New Roman"/>
          <w:color w:val="0C0C0C" w:themeColor="text1" w:themeTint="F2"/>
          <w:sz w:val="24"/>
          <w:szCs w:val="24"/>
          <w:highlight w:val="none"/>
        </w:rPr>
        <w:t>本项目已办理进口</w:t>
      </w:r>
      <w:r>
        <w:rPr>
          <w:rFonts w:hint="eastAsia" w:ascii="宋体" w:hAnsi="宋体" w:eastAsia="宋体" w:cs="Times New Roman"/>
          <w:color w:val="0C0C0C" w:themeColor="text1" w:themeTint="F2"/>
          <w:sz w:val="24"/>
          <w:szCs w:val="24"/>
          <w:highlight w:val="none"/>
          <w:lang w:val="en-US" w:eastAsia="zh-CN"/>
        </w:rPr>
        <w:t>产品</w:t>
      </w:r>
      <w:r>
        <w:rPr>
          <w:rFonts w:hint="eastAsia" w:ascii="宋体" w:hAnsi="宋体" w:eastAsia="宋体" w:cs="Times New Roman"/>
          <w:color w:val="0C0C0C" w:themeColor="text1" w:themeTint="F2"/>
          <w:sz w:val="24"/>
          <w:szCs w:val="24"/>
          <w:highlight w:val="none"/>
        </w:rPr>
        <w:t>审批手续</w:t>
      </w:r>
      <w:r>
        <w:rPr>
          <w:rFonts w:hint="eastAsia" w:ascii="宋体" w:hAnsi="宋体" w:eastAsia="宋体" w:cs="Times New Roman"/>
          <w:color w:val="0C0C0C" w:themeColor="text1" w:themeTint="F2"/>
          <w:sz w:val="24"/>
          <w:szCs w:val="24"/>
        </w:rPr>
        <w:t>（详见招标文件《采购清单》）</w:t>
      </w:r>
    </w:p>
    <w:tbl>
      <w:tblPr>
        <w:tblStyle w:val="17"/>
        <w:tblW w:w="7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3165"/>
        <w:gridCol w:w="981"/>
        <w:gridCol w:w="121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5" w:type="dxa"/>
            <w:vAlign w:val="center"/>
          </w:tcPr>
          <w:p>
            <w:pPr>
              <w:pStyle w:val="2"/>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 号</w:t>
            </w:r>
          </w:p>
        </w:tc>
        <w:tc>
          <w:tcPr>
            <w:tcW w:w="3165" w:type="dxa"/>
            <w:vAlign w:val="center"/>
          </w:tcPr>
          <w:p>
            <w:pPr>
              <w:pStyle w:val="2"/>
              <w:spacing w:before="0" w:after="0"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设备名称</w:t>
            </w:r>
          </w:p>
        </w:tc>
        <w:tc>
          <w:tcPr>
            <w:tcW w:w="981" w:type="dxa"/>
            <w:vAlign w:val="center"/>
          </w:tcPr>
          <w:p>
            <w:pPr>
              <w:pStyle w:val="2"/>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1210" w:type="dxa"/>
            <w:vAlign w:val="center"/>
          </w:tcPr>
          <w:p>
            <w:pPr>
              <w:pStyle w:val="2"/>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1210" w:type="dxa"/>
            <w:vAlign w:val="center"/>
          </w:tcPr>
          <w:p>
            <w:pPr>
              <w:pStyle w:val="2"/>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9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316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麻醉机1</w:t>
            </w:r>
          </w:p>
        </w:tc>
        <w:tc>
          <w:tcPr>
            <w:tcW w:w="981"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2</w:t>
            </w:r>
          </w:p>
        </w:tc>
        <w:tc>
          <w:tcPr>
            <w:tcW w:w="1210"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台</w:t>
            </w:r>
          </w:p>
        </w:tc>
        <w:tc>
          <w:tcPr>
            <w:tcW w:w="1210" w:type="dxa"/>
            <w:vAlign w:val="center"/>
          </w:tcPr>
          <w:p>
            <w:pPr>
              <w:pStyle w:val="2"/>
              <w:spacing w:line="240" w:lineRule="auto"/>
              <w:jc w:val="center"/>
              <w:rPr>
                <w:rFonts w:hint="eastAsia" w:asciiTheme="minorEastAsia" w:hAnsiTheme="minorEastAsia" w:eastAsiaTheme="minorEastAsia" w:cstheme="minorEastAsia"/>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2</w:t>
            </w:r>
          </w:p>
        </w:tc>
        <w:tc>
          <w:tcPr>
            <w:tcW w:w="316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麻醉机2</w:t>
            </w:r>
          </w:p>
        </w:tc>
        <w:tc>
          <w:tcPr>
            <w:tcW w:w="981"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2</w:t>
            </w:r>
          </w:p>
        </w:tc>
        <w:tc>
          <w:tcPr>
            <w:tcW w:w="1210"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台</w:t>
            </w:r>
          </w:p>
        </w:tc>
        <w:tc>
          <w:tcPr>
            <w:tcW w:w="1210" w:type="dxa"/>
            <w:vAlign w:val="center"/>
          </w:tcPr>
          <w:p>
            <w:pPr>
              <w:pStyle w:val="2"/>
              <w:spacing w:line="240" w:lineRule="auto"/>
              <w:jc w:val="center"/>
              <w:rPr>
                <w:rFonts w:hint="eastAsia" w:asciiTheme="minorEastAsia" w:hAnsiTheme="minorEastAsia" w:eastAsiaTheme="minorEastAsia" w:cstheme="minorEastAsia"/>
                <w:b w:val="0"/>
                <w:bCs/>
                <w:sz w:val="24"/>
                <w:szCs w:val="24"/>
                <w:vertAlign w:val="baseline"/>
                <w:lang w:val="en-US" w:eastAsia="zh-CN"/>
              </w:rPr>
            </w:pPr>
          </w:p>
        </w:tc>
      </w:tr>
    </w:tbl>
    <w:p>
      <w:pPr>
        <w:numPr>
          <w:ilvl w:val="0"/>
          <w:numId w:val="0"/>
        </w:numPr>
        <w:spacing w:line="360" w:lineRule="auto"/>
        <w:ind w:leftChars="0"/>
        <w:rPr>
          <w:rFonts w:ascii="宋体" w:hAnsi="宋体" w:eastAsia="宋体" w:cs="Times New Roman"/>
          <w:color w:val="0C0C0C" w:themeColor="text1" w:themeTint="F2"/>
          <w:sz w:val="24"/>
          <w:szCs w:val="24"/>
        </w:rPr>
      </w:pPr>
    </w:p>
    <w:p>
      <w:pPr>
        <w:numPr>
          <w:ilvl w:val="0"/>
          <w:numId w:val="2"/>
        </w:numPr>
        <w:spacing w:line="360" w:lineRule="auto"/>
        <w:ind w:left="490" w:hanging="490"/>
        <w:rPr>
          <w:rFonts w:ascii="宋体" w:hAnsi="宋体" w:eastAsia="宋体" w:cs="Times New Roman"/>
          <w:color w:val="0C0C0C" w:themeColor="text1" w:themeTint="F2"/>
          <w:sz w:val="24"/>
          <w:szCs w:val="24"/>
        </w:rPr>
      </w:pPr>
      <w:r>
        <w:rPr>
          <w:rFonts w:hint="eastAsia" w:ascii="宋体" w:hAnsi="宋体" w:eastAsia="宋体" w:cs="Times New Roman"/>
          <w:b/>
          <w:color w:val="0C0C0C" w:themeColor="text1" w:themeTint="F2"/>
          <w:sz w:val="24"/>
          <w:szCs w:val="24"/>
        </w:rPr>
        <w:t>采购预算：</w:t>
      </w:r>
      <w:r>
        <w:rPr>
          <w:rFonts w:hint="eastAsia" w:ascii="宋体" w:hAnsi="宋体" w:eastAsia="宋体" w:cs="Times New Roman"/>
          <w:b w:val="0"/>
          <w:bCs/>
          <w:color w:val="0C0C0C" w:themeColor="text1" w:themeTint="F2"/>
          <w:sz w:val="24"/>
          <w:szCs w:val="24"/>
          <w:lang w:val="en-US" w:eastAsia="zh-CN"/>
        </w:rPr>
        <w:t>（超过此金额视为无效投标）</w:t>
      </w:r>
    </w:p>
    <w:p>
      <w:pPr>
        <w:numPr>
          <w:ilvl w:val="0"/>
          <w:numId w:val="0"/>
        </w:numPr>
        <w:spacing w:line="360" w:lineRule="auto"/>
        <w:ind w:leftChars="0" w:firstLine="1680" w:firstLineChars="700"/>
        <w:rPr>
          <w:rFonts w:ascii="宋体" w:hAnsi="宋体" w:eastAsia="宋体" w:cs="Times New Roman"/>
          <w:color w:val="0C0C0C" w:themeColor="text1" w:themeTint="F2"/>
          <w:sz w:val="24"/>
          <w:szCs w:val="24"/>
        </w:rPr>
      </w:pPr>
      <w:r>
        <w:rPr>
          <w:rFonts w:hint="eastAsia" w:ascii="宋体" w:hAnsi="宋体" w:eastAsia="宋体" w:cs="Times New Roman"/>
          <w:b w:val="0"/>
          <w:bCs/>
          <w:color w:val="0C0C0C" w:themeColor="text1" w:themeTint="F2"/>
          <w:sz w:val="24"/>
          <w:szCs w:val="24"/>
          <w:lang w:val="en-US" w:eastAsia="zh-CN"/>
        </w:rPr>
        <w:t>一包1:80万元；二</w:t>
      </w:r>
      <w:bookmarkStart w:id="283" w:name="_GoBack"/>
      <w:bookmarkEnd w:id="283"/>
      <w:r>
        <w:rPr>
          <w:rFonts w:hint="eastAsia" w:ascii="宋体" w:hAnsi="宋体" w:eastAsia="宋体" w:cs="Times New Roman"/>
          <w:b w:val="0"/>
          <w:bCs/>
          <w:color w:val="0C0C0C" w:themeColor="text1" w:themeTint="F2"/>
          <w:sz w:val="24"/>
          <w:szCs w:val="24"/>
          <w:lang w:val="en-US" w:eastAsia="zh-CN"/>
        </w:rPr>
        <w:t>包2:102万元；</w:t>
      </w:r>
    </w:p>
    <w:p>
      <w:pPr>
        <w:numPr>
          <w:ilvl w:val="0"/>
          <w:numId w:val="2"/>
        </w:numPr>
        <w:spacing w:line="360" w:lineRule="auto"/>
        <w:ind w:left="490" w:hanging="490"/>
        <w:rPr>
          <w:rFonts w:ascii="宋体" w:hAnsi="宋体" w:eastAsia="宋体" w:cs="Times New Roman"/>
          <w:color w:val="0C0C0C" w:themeColor="text1" w:themeTint="F2"/>
          <w:sz w:val="24"/>
          <w:szCs w:val="24"/>
        </w:rPr>
      </w:pPr>
      <w:r>
        <w:rPr>
          <w:rFonts w:hint="eastAsia" w:ascii="宋体" w:hAnsi="宋体" w:eastAsia="宋体" w:cs="Times New Roman"/>
          <w:b/>
          <w:color w:val="0C0C0C" w:themeColor="text1" w:themeTint="F2"/>
          <w:sz w:val="24"/>
          <w:szCs w:val="24"/>
        </w:rPr>
        <w:t>资金来源：</w:t>
      </w:r>
      <w:r>
        <w:rPr>
          <w:rFonts w:hint="eastAsia" w:ascii="宋体" w:hAnsi="宋体" w:eastAsia="宋体" w:cs="Times New Roman"/>
          <w:color w:val="0C0C0C" w:themeColor="text1" w:themeTint="F2"/>
          <w:sz w:val="24"/>
          <w:szCs w:val="24"/>
        </w:rPr>
        <w:t>自筹资金</w:t>
      </w:r>
    </w:p>
    <w:p>
      <w:pPr>
        <w:numPr>
          <w:ilvl w:val="0"/>
          <w:numId w:val="2"/>
        </w:numPr>
        <w:spacing w:line="360" w:lineRule="auto"/>
        <w:ind w:left="490" w:hanging="490"/>
        <w:rPr>
          <w:rFonts w:ascii="宋体" w:hAnsi="宋体" w:eastAsia="宋体" w:cs="Times New Roman"/>
          <w:color w:val="0C0C0C" w:themeColor="text1" w:themeTint="F2"/>
          <w:sz w:val="24"/>
          <w:szCs w:val="24"/>
        </w:rPr>
      </w:pPr>
      <w:r>
        <w:rPr>
          <w:rFonts w:hint="eastAsia" w:ascii="宋体" w:hAnsi="宋体" w:eastAsia="宋体" w:cs="Times New Roman"/>
          <w:b/>
          <w:color w:val="0C0C0C" w:themeColor="text1" w:themeTint="F2"/>
          <w:sz w:val="24"/>
          <w:szCs w:val="24"/>
        </w:rPr>
        <w:t>政府集中采购项目：否</w:t>
      </w:r>
    </w:p>
    <w:p>
      <w:pPr>
        <w:numPr>
          <w:ilvl w:val="0"/>
          <w:numId w:val="2"/>
        </w:numPr>
        <w:spacing w:line="360" w:lineRule="auto"/>
        <w:ind w:left="490" w:hanging="490"/>
        <w:rPr>
          <w:rFonts w:ascii="宋体" w:hAnsi="宋体" w:eastAsia="宋体" w:cs="Times New Roman"/>
          <w:b/>
          <w:color w:val="0C0C0C" w:themeColor="text1" w:themeTint="F2"/>
          <w:sz w:val="24"/>
          <w:szCs w:val="24"/>
        </w:rPr>
      </w:pPr>
      <w:r>
        <w:rPr>
          <w:rFonts w:hint="eastAsia" w:ascii="宋体" w:hAnsi="宋体" w:eastAsia="宋体" w:cs="Times New Roman"/>
          <w:b/>
          <w:color w:val="0C0C0C" w:themeColor="text1" w:themeTint="F2"/>
          <w:sz w:val="24"/>
          <w:szCs w:val="24"/>
        </w:rPr>
        <w:t>投标人资格要求：</w:t>
      </w:r>
      <w:r>
        <w:rPr>
          <w:rFonts w:hint="eastAsia" w:ascii="宋体" w:hAnsi="宋体" w:eastAsia="宋体" w:cs="Times New Roman"/>
          <w:b/>
          <w:color w:val="0C0C0C" w:themeColor="text1" w:themeTint="F2"/>
          <w:sz w:val="24"/>
          <w:szCs w:val="24"/>
          <w:lang w:eastAsia="zh-CN"/>
        </w:rPr>
        <w:t>（</w:t>
      </w:r>
      <w:r>
        <w:rPr>
          <w:rFonts w:hint="eastAsia" w:ascii="宋体" w:hAnsi="宋体" w:eastAsia="宋体" w:cs="Times New Roman"/>
          <w:b/>
          <w:color w:val="0C0C0C" w:themeColor="text1" w:themeTint="F2"/>
          <w:sz w:val="24"/>
          <w:szCs w:val="24"/>
          <w:lang w:val="en-US" w:eastAsia="zh-CN"/>
        </w:rPr>
        <w:t>包1/2</w:t>
      </w:r>
      <w:r>
        <w:rPr>
          <w:rFonts w:hint="eastAsia" w:ascii="宋体" w:hAnsi="宋体" w:eastAsia="宋体" w:cs="Times New Roman"/>
          <w:b/>
          <w:color w:val="0C0C0C" w:themeColor="text1" w:themeTint="F2"/>
          <w:sz w:val="24"/>
          <w:szCs w:val="24"/>
          <w:lang w:eastAsia="zh-CN"/>
        </w:rPr>
        <w:t>）</w:t>
      </w:r>
    </w:p>
    <w:p>
      <w:pPr>
        <w:numPr>
          <w:ilvl w:val="0"/>
          <w:numId w:val="3"/>
        </w:numPr>
        <w:tabs>
          <w:tab w:val="left" w:pos="896"/>
        </w:tabs>
        <w:spacing w:line="360" w:lineRule="auto"/>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投标人应具备《政府采购法》第二十二条第一款规定的条件；</w:t>
      </w:r>
    </w:p>
    <w:p>
      <w:pPr>
        <w:numPr>
          <w:ilvl w:val="0"/>
          <w:numId w:val="3"/>
        </w:numPr>
        <w:tabs>
          <w:tab w:val="left" w:pos="896"/>
        </w:tabs>
        <w:spacing w:line="360" w:lineRule="auto"/>
        <w:rPr>
          <w:rFonts w:ascii="宋体" w:hAnsi="宋体" w:eastAsia="宋体" w:cs="Times New Roman"/>
          <w:color w:val="0C0C0C" w:themeColor="text1" w:themeTint="F2"/>
          <w:sz w:val="24"/>
          <w:szCs w:val="24"/>
          <w:highlight w:val="none"/>
        </w:rPr>
      </w:pPr>
      <w:r>
        <w:rPr>
          <w:rFonts w:hint="eastAsia"/>
          <w:sz w:val="24"/>
        </w:rPr>
        <w:t>参加本次政府采购活动前三年内，在经营活动中没有重大违法记录并须提交《参加政府采购活动前3年内在经营活动中没有重大违法记录的书面声明</w:t>
      </w:r>
      <w:r>
        <w:rPr>
          <w:rFonts w:hint="eastAsia"/>
          <w:sz w:val="24"/>
          <w:highlight w:val="none"/>
        </w:rPr>
        <w:t>》，且必须未</w:t>
      </w:r>
      <w:r>
        <w:rPr>
          <w:rFonts w:hint="eastAsia" w:ascii="宋体" w:hAnsi="宋体"/>
          <w:color w:val="000000" w:themeColor="text1"/>
          <w:sz w:val="24"/>
          <w:highlight w:val="none"/>
        </w:rPr>
        <w:t>被</w:t>
      </w:r>
      <w:r>
        <w:rPr>
          <w:rFonts w:hint="eastAsia" w:ascii="宋体" w:hAnsi="宋体"/>
          <w:color w:val="000000" w:themeColor="text1"/>
          <w:sz w:val="24"/>
        </w:rPr>
        <w:t>列入"信用中国"网站(www.creditchina.gov.cn)失信被执行人、重大税收违法案件当事人名单和“中国政府采购”网站（</w:t>
      </w:r>
      <w:r>
        <w:rPr>
          <w:rFonts w:ascii="宋体" w:hAnsi="宋体"/>
          <w:color w:val="000000" w:themeColor="text1"/>
          <w:sz w:val="24"/>
        </w:rPr>
        <w:t>www.ccgp.gov.cn</w:t>
      </w:r>
      <w:r>
        <w:rPr>
          <w:rFonts w:hint="eastAsia" w:ascii="宋体" w:hAnsi="宋体"/>
          <w:color w:val="000000" w:themeColor="text1"/>
          <w:sz w:val="24"/>
        </w:rPr>
        <w:t>）政府采购严重违法失信</w:t>
      </w:r>
      <w:r>
        <w:rPr>
          <w:rFonts w:hint="eastAsia" w:ascii="宋体" w:hAnsi="宋体"/>
          <w:color w:val="000000" w:themeColor="text1"/>
          <w:sz w:val="24"/>
          <w:highlight w:val="none"/>
        </w:rPr>
        <w:t>行为记录名单</w:t>
      </w:r>
      <w:r>
        <w:rPr>
          <w:rFonts w:hint="eastAsia" w:ascii="宋体" w:hAnsi="宋体" w:eastAsia="宋体" w:cs="Times New Roman"/>
          <w:sz w:val="24"/>
          <w:szCs w:val="24"/>
          <w:highlight w:val="none"/>
        </w:rPr>
        <w:t>（须提供网站截图）</w:t>
      </w:r>
      <w:r>
        <w:rPr>
          <w:rFonts w:hint="eastAsia" w:ascii="宋体" w:hAnsi="宋体" w:eastAsia="宋体" w:cs="Times New Roman"/>
          <w:bCs/>
          <w:color w:val="0D0D0D"/>
          <w:sz w:val="24"/>
          <w:szCs w:val="24"/>
          <w:highlight w:val="none"/>
        </w:rPr>
        <w:t>；</w:t>
      </w:r>
    </w:p>
    <w:p>
      <w:pPr>
        <w:numPr>
          <w:ilvl w:val="0"/>
          <w:numId w:val="3"/>
        </w:numPr>
        <w:tabs>
          <w:tab w:val="left" w:pos="896"/>
        </w:tabs>
        <w:spacing w:line="360" w:lineRule="auto"/>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eastAsia="宋体" w:cs="Times New Roman"/>
          <w:bCs/>
          <w:color w:val="0C0C0C" w:themeColor="text1" w:themeTint="F2"/>
          <w:sz w:val="24"/>
          <w:szCs w:val="24"/>
          <w:highlight w:val="none"/>
          <w:lang w:val="en-US" w:eastAsia="zh-CN"/>
        </w:rPr>
        <w:t>特定条件：</w:t>
      </w:r>
    </w:p>
    <w:p>
      <w:pPr>
        <w:tabs>
          <w:tab w:val="left" w:pos="896"/>
        </w:tabs>
        <w:spacing w:line="360" w:lineRule="auto"/>
        <w:ind w:firstLine="480" w:firstLineChars="200"/>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（1）</w:t>
      </w:r>
      <w:r>
        <w:rPr>
          <w:rFonts w:hint="eastAsia" w:ascii="宋体" w:hAnsi="宋体" w:eastAsia="宋体" w:cs="Times New Roman"/>
          <w:color w:val="000000" w:themeColor="text1"/>
          <w:sz w:val="24"/>
          <w:szCs w:val="24"/>
          <w:highlight w:val="none"/>
        </w:rPr>
        <w:t>投标人须具有医疗器械生产或经营许可证；</w:t>
      </w:r>
    </w:p>
    <w:p>
      <w:pPr>
        <w:tabs>
          <w:tab w:val="left" w:pos="896"/>
        </w:tabs>
        <w:spacing w:line="360" w:lineRule="auto"/>
        <w:ind w:firstLine="480" w:firstLineChars="200"/>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（2）</w:t>
      </w:r>
      <w:r>
        <w:rPr>
          <w:rFonts w:hint="eastAsia" w:ascii="宋体" w:hAnsi="宋体" w:eastAsia="宋体" w:cs="Times New Roman"/>
          <w:bCs/>
          <w:color w:val="0D0D0D"/>
          <w:sz w:val="24"/>
          <w:szCs w:val="24"/>
          <w:highlight w:val="none"/>
        </w:rPr>
        <w:t>投标人须提供所投产品的</w:t>
      </w:r>
      <w:r>
        <w:rPr>
          <w:rFonts w:hint="eastAsia" w:ascii="宋体" w:hAnsi="宋体" w:eastAsia="宋体" w:cs="Times New Roman"/>
          <w:color w:val="000000" w:themeColor="text1"/>
          <w:sz w:val="24"/>
          <w:szCs w:val="24"/>
          <w:highlight w:val="none"/>
        </w:rPr>
        <w:t>医疗器械注册证；</w:t>
      </w:r>
    </w:p>
    <w:p>
      <w:pPr>
        <w:numPr>
          <w:ilvl w:val="0"/>
          <w:numId w:val="0"/>
        </w:numPr>
        <w:tabs>
          <w:tab w:val="left" w:pos="896"/>
        </w:tabs>
        <w:spacing w:line="360" w:lineRule="auto"/>
        <w:ind w:left="482" w:leftChars="0"/>
        <w:rPr>
          <w:highlight w:val="none"/>
        </w:rPr>
      </w:pPr>
      <w:r>
        <w:rPr>
          <w:rFonts w:hint="eastAsia" w:ascii="宋体" w:hAnsi="宋体" w:eastAsia="宋体" w:cs="Times New Roman"/>
          <w:color w:val="0C0C0C" w:themeColor="text1" w:themeTint="F2"/>
          <w:sz w:val="24"/>
          <w:szCs w:val="24"/>
          <w:highlight w:val="none"/>
          <w:lang w:val="en-US" w:eastAsia="zh-CN"/>
        </w:rPr>
        <w:t>（3）投</w:t>
      </w:r>
      <w:r>
        <w:rPr>
          <w:rFonts w:hint="default" w:ascii="宋体" w:hAnsi="宋体" w:eastAsia="宋体" w:cs="Times New Roman"/>
          <w:color w:val="0C0C0C" w:themeColor="text1" w:themeTint="F2"/>
          <w:sz w:val="24"/>
          <w:szCs w:val="24"/>
          <w:highlight w:val="none"/>
          <w:lang w:val="en-US" w:eastAsia="zh-CN"/>
        </w:rPr>
        <w:t>标人若是进口设备代理商的，应提供进口设备的</w:t>
      </w:r>
      <w:r>
        <w:rPr>
          <w:rFonts w:hint="eastAsia" w:ascii="宋体" w:hAnsi="宋体" w:eastAsia="宋体" w:cs="Times New Roman"/>
          <w:color w:val="0C0C0C" w:themeColor="text1" w:themeTint="F2"/>
          <w:sz w:val="24"/>
          <w:szCs w:val="24"/>
          <w:highlight w:val="none"/>
          <w:lang w:val="en-US" w:eastAsia="zh-CN"/>
        </w:rPr>
        <w:t>制造商</w:t>
      </w:r>
      <w:r>
        <w:rPr>
          <w:rFonts w:hint="default" w:ascii="宋体" w:hAnsi="宋体" w:eastAsia="宋体" w:cs="Times New Roman"/>
          <w:color w:val="0C0C0C" w:themeColor="text1" w:themeTint="F2"/>
          <w:sz w:val="24"/>
          <w:szCs w:val="24"/>
          <w:highlight w:val="none"/>
          <w:lang w:val="en-US" w:eastAsia="zh-CN"/>
        </w:rPr>
        <w:t>针对本项目的授权书</w:t>
      </w:r>
      <w:r>
        <w:rPr>
          <w:rFonts w:hint="eastAsia" w:ascii="宋体" w:hAnsi="宋体" w:eastAsia="宋体" w:cs="Times New Roman"/>
          <w:color w:val="0C0C0C" w:themeColor="text1" w:themeTint="F2"/>
          <w:sz w:val="24"/>
          <w:szCs w:val="24"/>
          <w:highlight w:val="none"/>
          <w:lang w:val="en-US" w:eastAsia="zh-CN"/>
        </w:rPr>
        <w:t>；</w:t>
      </w:r>
    </w:p>
    <w:p>
      <w:pPr>
        <w:numPr>
          <w:ilvl w:val="0"/>
          <w:numId w:val="3"/>
        </w:numPr>
        <w:tabs>
          <w:tab w:val="left" w:pos="896"/>
        </w:tabs>
        <w:spacing w:line="360" w:lineRule="auto"/>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本项目不接受联合体形式的投标。</w:t>
      </w:r>
    </w:p>
    <w:p>
      <w:pPr>
        <w:numPr>
          <w:ilvl w:val="0"/>
          <w:numId w:val="2"/>
        </w:numPr>
        <w:spacing w:line="360" w:lineRule="auto"/>
        <w:ind w:left="490" w:hanging="490"/>
        <w:rPr>
          <w:rFonts w:ascii="宋体" w:hAnsi="宋体" w:eastAsia="宋体" w:cs="宋体"/>
          <w:b/>
          <w:color w:val="0C0C0C" w:themeColor="text1" w:themeTint="F2"/>
          <w:kern w:val="0"/>
          <w:sz w:val="24"/>
          <w:szCs w:val="24"/>
          <w:highlight w:val="none"/>
        </w:rPr>
      </w:pPr>
      <w:r>
        <w:rPr>
          <w:rFonts w:hint="eastAsia" w:ascii="宋体" w:hAnsi="宋体" w:eastAsia="宋体" w:cs="宋体"/>
          <w:b/>
          <w:color w:val="0C0C0C" w:themeColor="text1" w:themeTint="F2"/>
          <w:kern w:val="0"/>
          <w:sz w:val="24"/>
          <w:szCs w:val="24"/>
          <w:highlight w:val="none"/>
        </w:rPr>
        <w:t>政府采购相关政策执行：</w:t>
      </w:r>
    </w:p>
    <w:p>
      <w:pPr>
        <w:tabs>
          <w:tab w:val="left" w:pos="896"/>
        </w:tabs>
        <w:spacing w:line="360" w:lineRule="auto"/>
        <w:ind w:firstLine="480" w:firstLineChars="200"/>
        <w:rPr>
          <w:rFonts w:ascii="宋体" w:hAnsi="宋体" w:eastAsia="宋体" w:cs="Times New Roman"/>
          <w:color w:val="0C0C0C" w:themeColor="text1" w:themeTint="F2"/>
          <w:sz w:val="24"/>
          <w:szCs w:val="24"/>
          <w:highlight w:val="none"/>
        </w:rPr>
      </w:pPr>
      <w:r>
        <w:rPr>
          <w:rFonts w:ascii="宋体" w:hAnsi="宋体" w:eastAsia="宋体" w:cs="Times New Roman"/>
          <w:color w:val="0C0C0C" w:themeColor="text1" w:themeTint="F2"/>
          <w:sz w:val="24"/>
          <w:szCs w:val="24"/>
          <w:highlight w:val="none"/>
        </w:rPr>
        <w:t>落实</w:t>
      </w:r>
      <w:r>
        <w:rPr>
          <w:rFonts w:hint="eastAsia" w:ascii="宋体" w:hAnsi="宋体" w:eastAsia="宋体" w:cs="Times New Roman"/>
          <w:color w:val="0C0C0C" w:themeColor="text1" w:themeTint="F2"/>
          <w:sz w:val="24"/>
          <w:szCs w:val="24"/>
          <w:highlight w:val="none"/>
        </w:rPr>
        <w:t>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hAnsi="宋体" w:eastAsia="宋体" w:cs="Times New Roman"/>
          <w:b/>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是否专门面向中小企业、监狱企业、残疾人福利性单位：否。</w:t>
      </w:r>
    </w:p>
    <w:p>
      <w:pPr>
        <w:numPr>
          <w:ilvl w:val="0"/>
          <w:numId w:val="2"/>
        </w:numPr>
        <w:spacing w:line="360" w:lineRule="auto"/>
        <w:ind w:left="490" w:hanging="490"/>
        <w:rPr>
          <w:rFonts w:ascii="宋体" w:hAnsi="宋体" w:eastAsia="宋体" w:cs="宋体"/>
          <w:b/>
          <w:color w:val="0C0C0C" w:themeColor="text1" w:themeTint="F2"/>
          <w:kern w:val="0"/>
          <w:sz w:val="24"/>
          <w:szCs w:val="24"/>
          <w:highlight w:val="none"/>
        </w:rPr>
      </w:pPr>
      <w:r>
        <w:rPr>
          <w:rFonts w:hint="eastAsia" w:ascii="宋体" w:hAnsi="宋体" w:eastAsia="宋体" w:cs="宋体"/>
          <w:b/>
          <w:color w:val="0C0C0C" w:themeColor="text1" w:themeTint="F2"/>
          <w:kern w:val="0"/>
          <w:sz w:val="24"/>
          <w:szCs w:val="24"/>
          <w:highlight w:val="none"/>
          <w:lang w:val="zh-CN"/>
        </w:rPr>
        <w:t>招标文件获取</w:t>
      </w:r>
      <w:r>
        <w:rPr>
          <w:rFonts w:hint="eastAsia" w:ascii="宋体" w:hAnsi="宋体" w:eastAsia="宋体" w:cs="宋体"/>
          <w:b/>
          <w:color w:val="0C0C0C" w:themeColor="text1" w:themeTint="F2"/>
          <w:kern w:val="0"/>
          <w:sz w:val="24"/>
          <w:szCs w:val="24"/>
          <w:highlight w:val="none"/>
        </w:rPr>
        <w:t>：</w:t>
      </w:r>
    </w:p>
    <w:p>
      <w:pPr>
        <w:widowControl/>
        <w:adjustRightInd w:val="0"/>
        <w:snapToGrid w:val="0"/>
        <w:spacing w:line="360" w:lineRule="auto"/>
        <w:ind w:firstLine="360" w:firstLineChars="150"/>
        <w:jc w:val="left"/>
        <w:rPr>
          <w:rFonts w:ascii="宋体" w:hAnsi="宋体" w:eastAsia="宋体" w:cs="Times New Roman"/>
          <w:b/>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本项目实行网上下载标书，招标文件与本招标公告同时在“湖北省政府采购网”、“黄石市公共资源交易信息网”及“阳新县人民政府网”发布（见招标文件下载），凡自愿参加本项目投标人，请于</w:t>
      </w:r>
      <w:r>
        <w:rPr>
          <w:rFonts w:hint="eastAsia" w:ascii="宋体" w:hAnsi="宋体" w:eastAsia="宋体" w:cs="Times New Roman"/>
          <w:color w:val="0C0C0C" w:themeColor="text1" w:themeTint="F2"/>
          <w:sz w:val="24"/>
          <w:szCs w:val="24"/>
          <w:highlight w:val="none"/>
          <w:u w:val="single"/>
        </w:rPr>
        <w:t>2020年</w:t>
      </w:r>
      <w:r>
        <w:rPr>
          <w:rFonts w:hint="eastAsia" w:ascii="宋体" w:hAnsi="宋体" w:eastAsia="宋体" w:cs="Times New Roman"/>
          <w:color w:val="0C0C0C" w:themeColor="text1" w:themeTint="F2"/>
          <w:sz w:val="24"/>
          <w:szCs w:val="24"/>
          <w:highlight w:val="none"/>
          <w:u w:val="single"/>
          <w:lang w:val="en-US" w:eastAsia="zh-CN"/>
        </w:rPr>
        <w:t>10</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16</w:t>
      </w:r>
      <w:r>
        <w:rPr>
          <w:rFonts w:hint="eastAsia" w:ascii="宋体" w:hAnsi="宋体" w:eastAsia="宋体" w:cs="Times New Roman"/>
          <w:color w:val="0C0C0C" w:themeColor="text1" w:themeTint="F2"/>
          <w:sz w:val="24"/>
          <w:szCs w:val="24"/>
          <w:highlight w:val="none"/>
          <w:u w:val="single"/>
        </w:rPr>
        <w:t>日至2020年</w:t>
      </w:r>
      <w:r>
        <w:rPr>
          <w:rFonts w:hint="eastAsia" w:ascii="宋体" w:hAnsi="宋体" w:eastAsia="宋体" w:cs="Times New Roman"/>
          <w:color w:val="0C0C0C" w:themeColor="text1" w:themeTint="F2"/>
          <w:sz w:val="24"/>
          <w:szCs w:val="24"/>
          <w:highlight w:val="none"/>
          <w:u w:val="single"/>
          <w:lang w:val="en-US" w:eastAsia="zh-CN"/>
        </w:rPr>
        <w:t>10</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22</w:t>
      </w:r>
      <w:r>
        <w:rPr>
          <w:rFonts w:hint="eastAsia" w:ascii="宋体" w:hAnsi="宋体" w:eastAsia="宋体" w:cs="Times New Roman"/>
          <w:color w:val="0C0C0C" w:themeColor="text1" w:themeTint="F2"/>
          <w:sz w:val="24"/>
          <w:szCs w:val="24"/>
          <w:highlight w:val="none"/>
          <w:u w:val="single"/>
        </w:rPr>
        <w:t>日</w:t>
      </w:r>
      <w:r>
        <w:rPr>
          <w:rFonts w:hint="eastAsia" w:ascii="宋体" w:hAnsi="宋体" w:eastAsia="宋体" w:cs="Times New Roman"/>
          <w:color w:val="0C0C0C" w:themeColor="text1" w:themeTint="F2"/>
          <w:sz w:val="24"/>
          <w:szCs w:val="24"/>
          <w:highlight w:val="none"/>
        </w:rPr>
        <w:t>前点击项目招标公告中的链接免费下载招标文件，并在投标截止时间前办理所有投标手续并同时递交投标文件。</w:t>
      </w:r>
    </w:p>
    <w:p>
      <w:pPr>
        <w:numPr>
          <w:ilvl w:val="0"/>
          <w:numId w:val="2"/>
        </w:numPr>
        <w:spacing w:line="360" w:lineRule="auto"/>
        <w:ind w:left="728" w:hanging="728"/>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b/>
          <w:color w:val="0C0C0C" w:themeColor="text1" w:themeTint="F2"/>
          <w:kern w:val="0"/>
          <w:sz w:val="24"/>
          <w:szCs w:val="24"/>
          <w:highlight w:val="none"/>
          <w:lang w:val="zh-CN"/>
        </w:rPr>
        <w:t>投标信息：</w:t>
      </w:r>
    </w:p>
    <w:p>
      <w:pPr>
        <w:spacing w:line="360" w:lineRule="auto"/>
        <w:ind w:firstLine="470" w:firstLineChars="196"/>
        <w:rPr>
          <w:rFonts w:ascii="宋体" w:hAnsi="宋体" w:eastAsia="宋体" w:cs="宋体"/>
          <w:b/>
          <w:color w:val="0C0C0C" w:themeColor="text1" w:themeTint="F2"/>
          <w:kern w:val="0"/>
          <w:sz w:val="24"/>
          <w:szCs w:val="24"/>
          <w:highlight w:val="none"/>
        </w:rPr>
      </w:pPr>
      <w:r>
        <w:rPr>
          <w:rFonts w:hint="eastAsia" w:ascii="宋体" w:hAnsi="宋体" w:eastAsia="宋体" w:cs="宋体"/>
          <w:color w:val="0C0C0C" w:themeColor="text1" w:themeTint="F2"/>
          <w:kern w:val="0"/>
          <w:sz w:val="24"/>
          <w:szCs w:val="24"/>
          <w:highlight w:val="none"/>
        </w:rPr>
        <w:t>投标文件递交截止时间：</w:t>
      </w:r>
      <w:r>
        <w:rPr>
          <w:rFonts w:hint="eastAsia" w:ascii="宋体" w:hAnsi="宋体" w:eastAsia="宋体" w:cs="宋体"/>
          <w:color w:val="0C0C0C" w:themeColor="text1" w:themeTint="F2"/>
          <w:kern w:val="0"/>
          <w:sz w:val="24"/>
          <w:szCs w:val="24"/>
          <w:highlight w:val="none"/>
          <w:u w:val="single"/>
        </w:rPr>
        <w:t>2020</w:t>
      </w:r>
      <w:r>
        <w:rPr>
          <w:rFonts w:hint="eastAsia" w:ascii="宋体" w:hAnsi="宋体" w:eastAsia="宋体" w:cs="Times New Roman"/>
          <w:color w:val="0C0C0C" w:themeColor="text1" w:themeTint="F2"/>
          <w:sz w:val="24"/>
          <w:szCs w:val="24"/>
          <w:highlight w:val="none"/>
          <w:u w:val="single"/>
        </w:rPr>
        <w:t>年</w:t>
      </w:r>
      <w:r>
        <w:rPr>
          <w:rFonts w:hint="eastAsia" w:ascii="宋体" w:hAnsi="宋体" w:eastAsia="宋体" w:cs="Times New Roman"/>
          <w:color w:val="0C0C0C" w:themeColor="text1" w:themeTint="F2"/>
          <w:sz w:val="24"/>
          <w:szCs w:val="24"/>
          <w:highlight w:val="none"/>
          <w:u w:val="single"/>
          <w:lang w:val="en-US" w:eastAsia="zh-CN"/>
        </w:rPr>
        <w:t>11</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5</w:t>
      </w:r>
      <w:r>
        <w:rPr>
          <w:rFonts w:hint="eastAsia" w:ascii="宋体" w:hAnsi="宋体" w:eastAsia="宋体" w:cs="Times New Roman"/>
          <w:color w:val="0C0C0C" w:themeColor="text1" w:themeTint="F2"/>
          <w:sz w:val="24"/>
          <w:szCs w:val="24"/>
          <w:highlight w:val="none"/>
          <w:u w:val="single"/>
        </w:rPr>
        <w:t>日</w:t>
      </w:r>
      <w:r>
        <w:rPr>
          <w:rFonts w:hint="eastAsia" w:ascii="宋体" w:hAnsi="宋体" w:eastAsia="宋体" w:cs="Times New Roman"/>
          <w:color w:val="0C0C0C" w:themeColor="text1" w:themeTint="F2"/>
          <w:sz w:val="24"/>
          <w:szCs w:val="24"/>
          <w:highlight w:val="none"/>
          <w:u w:val="single"/>
          <w:lang w:val="en-US" w:eastAsia="zh-CN"/>
        </w:rPr>
        <w:t>15</w:t>
      </w:r>
      <w:r>
        <w:rPr>
          <w:rFonts w:hint="eastAsia" w:ascii="宋体" w:hAnsi="宋体" w:eastAsia="宋体" w:cs="Times New Roman"/>
          <w:color w:val="0C0C0C" w:themeColor="text1" w:themeTint="F2"/>
          <w:sz w:val="24"/>
          <w:szCs w:val="24"/>
          <w:highlight w:val="none"/>
          <w:u w:val="single"/>
        </w:rPr>
        <w:t>时</w:t>
      </w:r>
      <w:r>
        <w:rPr>
          <w:rFonts w:hint="eastAsia" w:ascii="宋体" w:hAnsi="宋体" w:eastAsia="宋体" w:cs="Times New Roman"/>
          <w:color w:val="0C0C0C" w:themeColor="text1" w:themeTint="F2"/>
          <w:sz w:val="24"/>
          <w:szCs w:val="24"/>
          <w:highlight w:val="none"/>
          <w:u w:val="single"/>
          <w:lang w:val="en-US" w:eastAsia="zh-CN"/>
        </w:rPr>
        <w:t>00</w:t>
      </w:r>
      <w:r>
        <w:rPr>
          <w:rFonts w:hint="eastAsia" w:ascii="宋体" w:hAnsi="宋体" w:eastAsia="宋体" w:cs="Times New Roman"/>
          <w:color w:val="0C0C0C" w:themeColor="text1" w:themeTint="F2"/>
          <w:sz w:val="24"/>
          <w:szCs w:val="24"/>
          <w:highlight w:val="none"/>
          <w:u w:val="single"/>
        </w:rPr>
        <w:t>分</w:t>
      </w:r>
      <w:r>
        <w:rPr>
          <w:rFonts w:hint="eastAsia" w:ascii="宋体" w:hAnsi="宋体" w:eastAsia="宋体" w:cs="宋体"/>
          <w:color w:val="0C0C0C" w:themeColor="text1" w:themeTint="F2"/>
          <w:kern w:val="0"/>
          <w:sz w:val="24"/>
          <w:szCs w:val="24"/>
          <w:highlight w:val="none"/>
          <w:u w:val="single"/>
        </w:rPr>
        <w:t>（</w:t>
      </w:r>
      <w:r>
        <w:rPr>
          <w:rFonts w:hint="eastAsia" w:ascii="宋体" w:hAnsi="宋体" w:eastAsia="宋体" w:cs="宋体"/>
          <w:color w:val="0C0C0C" w:themeColor="text1" w:themeTint="F2"/>
          <w:kern w:val="0"/>
          <w:sz w:val="24"/>
          <w:szCs w:val="24"/>
          <w:highlight w:val="none"/>
          <w:u w:val="single"/>
          <w:lang w:val="en-US" w:eastAsia="zh-CN"/>
        </w:rPr>
        <w:t>14</w:t>
      </w:r>
      <w:r>
        <w:rPr>
          <w:rFonts w:hint="eastAsia" w:ascii="宋体" w:hAnsi="宋体" w:eastAsia="宋体" w:cs="宋体"/>
          <w:color w:val="0C0C0C" w:themeColor="text1" w:themeTint="F2"/>
          <w:kern w:val="0"/>
          <w:sz w:val="24"/>
          <w:szCs w:val="24"/>
          <w:highlight w:val="none"/>
          <w:u w:val="single"/>
        </w:rPr>
        <w:t>时</w:t>
      </w:r>
      <w:r>
        <w:rPr>
          <w:rFonts w:hint="eastAsia" w:ascii="宋体" w:hAnsi="宋体" w:eastAsia="宋体" w:cs="宋体"/>
          <w:color w:val="0C0C0C" w:themeColor="text1" w:themeTint="F2"/>
          <w:kern w:val="0"/>
          <w:sz w:val="24"/>
          <w:szCs w:val="24"/>
          <w:highlight w:val="none"/>
          <w:u w:val="single"/>
          <w:lang w:val="en-US" w:eastAsia="zh-CN"/>
        </w:rPr>
        <w:t>30</w:t>
      </w:r>
      <w:r>
        <w:rPr>
          <w:rFonts w:hint="eastAsia" w:ascii="宋体" w:hAnsi="宋体" w:eastAsia="宋体" w:cs="宋体"/>
          <w:color w:val="0C0C0C" w:themeColor="text1" w:themeTint="F2"/>
          <w:kern w:val="0"/>
          <w:sz w:val="24"/>
          <w:szCs w:val="24"/>
          <w:highlight w:val="none"/>
          <w:u w:val="single"/>
        </w:rPr>
        <w:t>分</w:t>
      </w:r>
      <w:r>
        <w:rPr>
          <w:rFonts w:hint="eastAsia" w:ascii="宋体" w:hAnsi="宋体" w:eastAsia="宋体" w:cs="宋体"/>
          <w:color w:val="0C0C0C" w:themeColor="text1" w:themeTint="F2"/>
          <w:kern w:val="0"/>
          <w:sz w:val="24"/>
          <w:szCs w:val="24"/>
          <w:highlight w:val="none"/>
        </w:rPr>
        <w:t>开始接收投标文件，拒收逾期送达或者未按招标文件要求密封的投标文件）</w:t>
      </w:r>
    </w:p>
    <w:p>
      <w:pPr>
        <w:widowControl/>
        <w:spacing w:line="360" w:lineRule="auto"/>
        <w:ind w:firstLine="470" w:firstLineChars="196"/>
        <w:jc w:val="left"/>
        <w:rPr>
          <w:rFonts w:ascii="宋体" w:hAnsi="宋体" w:eastAsia="宋体" w:cs="宋体"/>
          <w:color w:val="0C0C0C" w:themeColor="text1" w:themeTint="F2"/>
          <w:kern w:val="0"/>
          <w:sz w:val="24"/>
          <w:szCs w:val="24"/>
          <w:highlight w:val="none"/>
        </w:rPr>
      </w:pPr>
      <w:r>
        <w:rPr>
          <w:rFonts w:hint="eastAsia" w:ascii="宋体" w:hAnsi="宋体" w:eastAsia="宋体" w:cs="宋体"/>
          <w:color w:val="0C0C0C" w:themeColor="text1" w:themeTint="F2"/>
          <w:kern w:val="0"/>
          <w:sz w:val="24"/>
          <w:szCs w:val="24"/>
          <w:highlight w:val="none"/>
        </w:rPr>
        <w:t>投标文件递交地点：</w:t>
      </w:r>
      <w:r>
        <w:rPr>
          <w:rFonts w:hint="eastAsia" w:ascii="宋体" w:hAnsi="宋体"/>
          <w:kern w:val="0"/>
          <w:sz w:val="24"/>
          <w:szCs w:val="24"/>
          <w:highlight w:val="none"/>
        </w:rPr>
        <w:t>阳新县公共资源交易中心</w:t>
      </w:r>
      <w:r>
        <w:rPr>
          <w:rFonts w:hint="eastAsia" w:ascii="宋体" w:hAnsi="宋体"/>
          <w:kern w:val="0"/>
          <w:sz w:val="24"/>
          <w:szCs w:val="24"/>
          <w:highlight w:val="none"/>
          <w:lang w:val="en-US" w:eastAsia="zh-CN"/>
        </w:rPr>
        <w:t>一</w:t>
      </w:r>
      <w:r>
        <w:rPr>
          <w:rFonts w:hint="eastAsia" w:ascii="宋体" w:hAnsi="宋体" w:cs="宋体"/>
          <w:kern w:val="0"/>
          <w:sz w:val="24"/>
          <w:szCs w:val="24"/>
          <w:highlight w:val="none"/>
        </w:rPr>
        <w:t>楼开标大厅（阳新县熊家垴安置小区东侧）</w:t>
      </w:r>
    </w:p>
    <w:p>
      <w:pPr>
        <w:widowControl/>
        <w:spacing w:line="357" w:lineRule="atLeast"/>
        <w:ind w:firstLine="480" w:firstLineChars="200"/>
        <w:textAlignment w:val="baseline"/>
        <w:rPr>
          <w:rFonts w:ascii="宋体" w:hAnsi="宋体" w:eastAsia="宋体" w:cs="宋体"/>
          <w:color w:val="0C0C0C" w:themeColor="text1" w:themeTint="F2"/>
          <w:kern w:val="0"/>
          <w:sz w:val="24"/>
          <w:szCs w:val="24"/>
          <w:highlight w:val="none"/>
        </w:rPr>
      </w:pPr>
      <w:r>
        <w:rPr>
          <w:rFonts w:hint="eastAsia" w:ascii="Times New Roman" w:hAnsi="Times New Roman" w:eastAsia="宋体" w:cs="宋体"/>
          <w:color w:val="0C0C0C" w:themeColor="text1" w:themeTint="F2"/>
          <w:sz w:val="24"/>
          <w:szCs w:val="24"/>
          <w:highlight w:val="none"/>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b/>
          <w:color w:val="0C0C0C" w:themeColor="text1" w:themeTint="F2"/>
          <w:kern w:val="0"/>
          <w:sz w:val="24"/>
          <w:szCs w:val="24"/>
          <w:highlight w:val="none"/>
          <w:lang w:val="zh-CN"/>
        </w:rPr>
        <w:t>开标信息：</w:t>
      </w:r>
    </w:p>
    <w:p>
      <w:pPr>
        <w:spacing w:line="360" w:lineRule="auto"/>
        <w:ind w:firstLine="470" w:firstLineChars="196"/>
        <w:rPr>
          <w:rFonts w:ascii="宋体" w:hAnsi="宋体" w:eastAsia="宋体" w:cs="Times New Roman"/>
          <w:color w:val="0C0C0C" w:themeColor="text1" w:themeTint="F2"/>
          <w:sz w:val="24"/>
          <w:szCs w:val="24"/>
          <w:highlight w:val="none"/>
          <w:u w:val="single"/>
        </w:rPr>
      </w:pPr>
      <w:r>
        <w:rPr>
          <w:rFonts w:hint="eastAsia" w:ascii="宋体" w:hAnsi="宋体" w:eastAsia="宋体" w:cs="宋体"/>
          <w:color w:val="0C0C0C" w:themeColor="text1" w:themeTint="F2"/>
          <w:kern w:val="0"/>
          <w:sz w:val="24"/>
          <w:szCs w:val="24"/>
          <w:highlight w:val="none"/>
        </w:rPr>
        <w:t>开标时间：</w:t>
      </w:r>
      <w:r>
        <w:rPr>
          <w:rFonts w:hint="eastAsia" w:ascii="宋体" w:hAnsi="宋体" w:eastAsia="宋体" w:cs="宋体"/>
          <w:color w:val="0C0C0C" w:themeColor="text1" w:themeTint="F2"/>
          <w:kern w:val="0"/>
          <w:sz w:val="24"/>
          <w:szCs w:val="24"/>
          <w:highlight w:val="none"/>
          <w:u w:val="single"/>
        </w:rPr>
        <w:t>2020</w:t>
      </w:r>
      <w:r>
        <w:rPr>
          <w:rFonts w:hint="eastAsia" w:ascii="宋体" w:hAnsi="宋体" w:eastAsia="宋体" w:cs="Times New Roman"/>
          <w:color w:val="0C0C0C" w:themeColor="text1" w:themeTint="F2"/>
          <w:sz w:val="24"/>
          <w:szCs w:val="24"/>
          <w:highlight w:val="none"/>
          <w:u w:val="single"/>
        </w:rPr>
        <w:t>年</w:t>
      </w:r>
      <w:r>
        <w:rPr>
          <w:rFonts w:hint="eastAsia" w:ascii="宋体" w:hAnsi="宋体" w:eastAsia="宋体" w:cs="Times New Roman"/>
          <w:color w:val="0C0C0C" w:themeColor="text1" w:themeTint="F2"/>
          <w:sz w:val="24"/>
          <w:szCs w:val="24"/>
          <w:highlight w:val="none"/>
          <w:u w:val="single"/>
          <w:lang w:val="en-US" w:eastAsia="zh-CN"/>
        </w:rPr>
        <w:t>11</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5</w:t>
      </w:r>
      <w:r>
        <w:rPr>
          <w:rFonts w:hint="eastAsia" w:ascii="宋体" w:hAnsi="宋体" w:eastAsia="宋体" w:cs="Times New Roman"/>
          <w:color w:val="0C0C0C" w:themeColor="text1" w:themeTint="F2"/>
          <w:sz w:val="24"/>
          <w:szCs w:val="24"/>
          <w:highlight w:val="none"/>
          <w:u w:val="single"/>
        </w:rPr>
        <w:t>日</w:t>
      </w:r>
      <w:r>
        <w:rPr>
          <w:rFonts w:hint="eastAsia" w:ascii="宋体" w:hAnsi="宋体" w:eastAsia="宋体" w:cs="Times New Roman"/>
          <w:color w:val="0C0C0C" w:themeColor="text1" w:themeTint="F2"/>
          <w:sz w:val="24"/>
          <w:szCs w:val="24"/>
          <w:highlight w:val="none"/>
          <w:u w:val="single"/>
          <w:lang w:val="en-US" w:eastAsia="zh-CN"/>
        </w:rPr>
        <w:t>15</w:t>
      </w:r>
      <w:r>
        <w:rPr>
          <w:rFonts w:hint="eastAsia" w:ascii="宋体" w:hAnsi="宋体" w:eastAsia="宋体" w:cs="Times New Roman"/>
          <w:color w:val="0C0C0C" w:themeColor="text1" w:themeTint="F2"/>
          <w:sz w:val="24"/>
          <w:szCs w:val="24"/>
          <w:highlight w:val="none"/>
          <w:u w:val="single"/>
        </w:rPr>
        <w:t>时</w:t>
      </w:r>
      <w:r>
        <w:rPr>
          <w:rFonts w:hint="eastAsia" w:ascii="宋体" w:hAnsi="宋体" w:eastAsia="宋体" w:cs="Times New Roman"/>
          <w:color w:val="0C0C0C" w:themeColor="text1" w:themeTint="F2"/>
          <w:sz w:val="24"/>
          <w:szCs w:val="24"/>
          <w:highlight w:val="none"/>
          <w:u w:val="single"/>
          <w:lang w:val="en-US" w:eastAsia="zh-CN"/>
        </w:rPr>
        <w:t>00</w:t>
      </w:r>
      <w:r>
        <w:rPr>
          <w:rFonts w:hint="eastAsia" w:ascii="宋体" w:hAnsi="宋体" w:eastAsia="宋体" w:cs="Times New Roman"/>
          <w:color w:val="0C0C0C" w:themeColor="text1" w:themeTint="F2"/>
          <w:sz w:val="24"/>
          <w:szCs w:val="24"/>
          <w:highlight w:val="none"/>
          <w:u w:val="single"/>
        </w:rPr>
        <w:t>分</w:t>
      </w:r>
    </w:p>
    <w:p>
      <w:pPr>
        <w:spacing w:line="360" w:lineRule="auto"/>
        <w:ind w:firstLine="470" w:firstLineChars="196"/>
        <w:rPr>
          <w:rFonts w:ascii="宋体" w:hAnsi="宋体" w:eastAsia="宋体" w:cs="宋体"/>
          <w:color w:val="0C0C0C" w:themeColor="text1" w:themeTint="F2"/>
          <w:kern w:val="0"/>
          <w:sz w:val="24"/>
          <w:szCs w:val="24"/>
          <w:highlight w:val="none"/>
        </w:rPr>
      </w:pPr>
      <w:r>
        <w:rPr>
          <w:rFonts w:hint="eastAsia" w:ascii="宋体" w:hAnsi="宋体" w:eastAsia="宋体" w:cs="宋体"/>
          <w:color w:val="0C0C0C" w:themeColor="text1" w:themeTint="F2"/>
          <w:kern w:val="0"/>
          <w:sz w:val="24"/>
          <w:szCs w:val="24"/>
          <w:highlight w:val="none"/>
        </w:rPr>
        <w:t>开标地点：阳新县公共资源交易中心</w:t>
      </w:r>
      <w:r>
        <w:rPr>
          <w:rFonts w:hint="eastAsia" w:ascii="宋体" w:hAnsi="宋体" w:eastAsia="宋体" w:cs="宋体"/>
          <w:color w:val="0C0C0C" w:themeColor="text1" w:themeTint="F2"/>
          <w:kern w:val="0"/>
          <w:sz w:val="24"/>
          <w:szCs w:val="24"/>
          <w:highlight w:val="none"/>
          <w:lang w:val="en-US" w:eastAsia="zh-CN"/>
        </w:rPr>
        <w:t>一</w:t>
      </w:r>
      <w:r>
        <w:rPr>
          <w:rFonts w:hint="eastAsia" w:ascii="宋体" w:hAnsi="宋体" w:eastAsia="宋体" w:cs="宋体"/>
          <w:color w:val="0C0C0C" w:themeColor="text1" w:themeTint="F2"/>
          <w:kern w:val="0"/>
          <w:sz w:val="24"/>
          <w:szCs w:val="24"/>
          <w:highlight w:val="none"/>
        </w:rPr>
        <w:t>楼开标大厅（阳新县熊家垴安置小区东侧）</w:t>
      </w:r>
    </w:p>
    <w:p>
      <w:pPr>
        <w:numPr>
          <w:ilvl w:val="0"/>
          <w:numId w:val="2"/>
        </w:numPr>
        <w:spacing w:line="360" w:lineRule="auto"/>
        <w:ind w:left="728" w:hanging="728"/>
        <w:rPr>
          <w:rFonts w:ascii="宋体" w:hAnsi="宋体" w:eastAsia="宋体" w:cs="Times New Roman"/>
          <w:color w:val="0C0C0C" w:themeColor="text1" w:themeTint="F2"/>
          <w:sz w:val="24"/>
          <w:szCs w:val="24"/>
          <w:highlight w:val="none"/>
        </w:rPr>
      </w:pPr>
      <w:r>
        <w:rPr>
          <w:rFonts w:hint="eastAsia" w:ascii="宋体" w:hAnsi="宋体" w:eastAsia="宋体" w:cs="宋体"/>
          <w:b/>
          <w:color w:val="0C0C0C" w:themeColor="text1" w:themeTint="F2"/>
          <w:kern w:val="0"/>
          <w:sz w:val="24"/>
          <w:szCs w:val="24"/>
          <w:highlight w:val="none"/>
          <w:lang w:val="zh-CN"/>
        </w:rPr>
        <w:t>公告期限：</w:t>
      </w:r>
      <w:r>
        <w:rPr>
          <w:rFonts w:hint="eastAsia" w:ascii="宋体" w:hAnsi="宋体" w:eastAsia="宋体" w:cs="Times New Roman"/>
          <w:color w:val="0C0C0C" w:themeColor="text1" w:themeTint="F2"/>
          <w:sz w:val="24"/>
          <w:szCs w:val="24"/>
          <w:highlight w:val="none"/>
        </w:rPr>
        <w:t>自公告发布之日起5个工作日。</w:t>
      </w:r>
    </w:p>
    <w:p>
      <w:pPr>
        <w:numPr>
          <w:ilvl w:val="0"/>
          <w:numId w:val="2"/>
        </w:numPr>
        <w:spacing w:line="360" w:lineRule="auto"/>
        <w:ind w:left="728" w:hanging="728"/>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b/>
          <w:color w:val="0C0C0C" w:themeColor="text1" w:themeTint="F2"/>
          <w:kern w:val="0"/>
          <w:sz w:val="24"/>
          <w:szCs w:val="24"/>
          <w:highlight w:val="none"/>
          <w:lang w:val="zh-CN"/>
        </w:rPr>
        <w:t>质疑：</w:t>
      </w:r>
    </w:p>
    <w:p>
      <w:pPr>
        <w:spacing w:line="360" w:lineRule="auto"/>
        <w:ind w:firstLine="480" w:firstLineChars="200"/>
        <w:rPr>
          <w:rFonts w:ascii="宋体" w:hAnsi="宋体" w:eastAsia="宋体" w:cs="宋体"/>
          <w:b/>
          <w:color w:val="0C0C0C" w:themeColor="text1" w:themeTint="F2"/>
          <w:kern w:val="0"/>
          <w:sz w:val="24"/>
          <w:szCs w:val="24"/>
          <w:lang w:val="zh-CN"/>
        </w:rPr>
      </w:pPr>
      <w:r>
        <w:rPr>
          <w:rFonts w:hint="eastAsia" w:ascii="宋体" w:hAnsi="宋体" w:eastAsia="宋体" w:cs="宋体"/>
          <w:color w:val="0C0C0C" w:themeColor="text1" w:themeTint="F2"/>
          <w:kern w:val="0"/>
          <w:sz w:val="24"/>
          <w:szCs w:val="24"/>
          <w:lang w:val="zh-CN"/>
        </w:rPr>
        <w:t>投标人认为招标文件、招标过程和中标结果使自己的权益受到损害的，可以在知道或者应知其权益受到损害之日起7个工作日内，向提出</w:t>
      </w:r>
      <w:r>
        <w:rPr>
          <w:rFonts w:hint="eastAsia" w:cs="宋体"/>
          <w:color w:val="0C0C0C" w:themeColor="text1" w:themeTint="F2"/>
          <w:kern w:val="0"/>
          <w:sz w:val="24"/>
          <w:szCs w:val="24"/>
          <w:lang w:val="zh-CN"/>
        </w:rPr>
        <w:t>书面</w:t>
      </w:r>
      <w:r>
        <w:rPr>
          <w:rFonts w:hint="eastAsia" w:ascii="宋体" w:hAnsi="宋体" w:eastAsia="宋体" w:cs="宋体"/>
          <w:color w:val="0C0C0C" w:themeColor="text1" w:themeTint="F2"/>
          <w:kern w:val="0"/>
          <w:sz w:val="24"/>
          <w:szCs w:val="24"/>
          <w:lang w:val="zh-CN"/>
        </w:rPr>
        <w:t>质疑。</w:t>
      </w:r>
      <w:r>
        <w:rPr>
          <w:rFonts w:hint="eastAsia" w:ascii="宋体" w:hAnsi="宋体" w:eastAsia="宋体" w:cs="宋体"/>
          <w:color w:val="0C0C0C" w:themeColor="text1" w:themeTint="F2"/>
          <w:kern w:val="0"/>
          <w:sz w:val="24"/>
          <w:szCs w:val="24"/>
        </w:rPr>
        <w:t>质疑时请提交书面质疑函一份（法人代表签字、加盖单位公章。具体要求详见本招标文件“第二章 投标人须知”中的第八条之规定），并附相关证据材料。</w:t>
      </w:r>
    </w:p>
    <w:p>
      <w:pPr>
        <w:numPr>
          <w:ilvl w:val="0"/>
          <w:numId w:val="2"/>
        </w:numPr>
        <w:spacing w:line="360" w:lineRule="auto"/>
        <w:ind w:left="728" w:hanging="728"/>
        <w:rPr>
          <w:rFonts w:ascii="宋体" w:hAnsi="宋体" w:eastAsia="宋体" w:cs="宋体"/>
          <w:b/>
          <w:color w:val="0C0C0C" w:themeColor="text1" w:themeTint="F2"/>
          <w:kern w:val="0"/>
          <w:sz w:val="24"/>
          <w:szCs w:val="24"/>
          <w:lang w:val="zh-CN"/>
        </w:rPr>
      </w:pPr>
      <w:r>
        <w:rPr>
          <w:rFonts w:hint="eastAsia" w:ascii="宋体" w:hAnsi="宋体" w:eastAsia="宋体" w:cs="宋体"/>
          <w:b/>
          <w:color w:val="0C0C0C" w:themeColor="text1" w:themeTint="F2"/>
          <w:kern w:val="0"/>
          <w:sz w:val="24"/>
          <w:szCs w:val="24"/>
          <w:lang w:val="zh-CN"/>
        </w:rPr>
        <w:t>联系方式：</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采购代理机构：</w:t>
      </w:r>
      <w:r>
        <w:rPr>
          <w:rFonts w:hint="eastAsia" w:ascii="宋体" w:hAnsi="宋体" w:eastAsia="宋体" w:cs="宋体"/>
          <w:bCs/>
          <w:color w:val="0C0C0C" w:themeColor="text1" w:themeTint="F2"/>
          <w:kern w:val="0"/>
          <w:sz w:val="24"/>
          <w:szCs w:val="24"/>
          <w:u w:val="single"/>
        </w:rPr>
        <w:t>武汉富纳工程咨询有限公司</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 系 人：</w:t>
      </w:r>
      <w:r>
        <w:rPr>
          <w:rFonts w:hint="eastAsia" w:ascii="宋体" w:hAnsi="宋体" w:eastAsia="宋体" w:cs="宋体"/>
          <w:bCs/>
          <w:color w:val="0C0C0C" w:themeColor="text1" w:themeTint="F2"/>
          <w:kern w:val="0"/>
          <w:sz w:val="24"/>
          <w:szCs w:val="24"/>
          <w:u w:val="single"/>
        </w:rPr>
        <w:t>乐之琳、吴克亮</w:t>
      </w:r>
      <w:r>
        <w:rPr>
          <w:rFonts w:hint="eastAsia" w:ascii="宋体" w:hAnsi="宋体" w:eastAsia="宋体" w:cs="宋体"/>
          <w:bCs/>
          <w:color w:val="0C0C0C" w:themeColor="text1" w:themeTint="F2"/>
          <w:kern w:val="0"/>
          <w:sz w:val="24"/>
          <w:szCs w:val="24"/>
        </w:rPr>
        <w:t xml:space="preserve">   </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联系电话：</w:t>
      </w:r>
      <w:r>
        <w:rPr>
          <w:rFonts w:ascii="宋体" w:hAnsi="宋体" w:eastAsia="宋体" w:cs="宋体"/>
          <w:bCs/>
          <w:color w:val="0C0C0C" w:themeColor="text1" w:themeTint="F2"/>
          <w:kern w:val="0"/>
          <w:sz w:val="24"/>
          <w:szCs w:val="24"/>
          <w:u w:val="single"/>
        </w:rPr>
        <w:t>0714-7313868</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地    址：</w:t>
      </w:r>
      <w:r>
        <w:rPr>
          <w:rFonts w:hint="eastAsia" w:ascii="宋体" w:hAnsi="宋体" w:eastAsia="宋体" w:cs="宋体"/>
          <w:bCs/>
          <w:color w:val="0C0C0C" w:themeColor="text1" w:themeTint="F2"/>
          <w:kern w:val="0"/>
          <w:sz w:val="24"/>
          <w:szCs w:val="24"/>
          <w:u w:val="single"/>
        </w:rPr>
        <w:t>阳新县熊家垴小区1栋2903室</w:t>
      </w:r>
    </w:p>
    <w:p>
      <w:pPr>
        <w:widowControl/>
        <w:spacing w:line="360" w:lineRule="auto"/>
        <w:ind w:firstLine="480"/>
        <w:jc w:val="left"/>
        <w:rPr>
          <w:rFonts w:ascii="宋体" w:hAnsi="宋体" w:eastAsia="宋体" w:cs="宋体"/>
          <w:bCs/>
          <w:color w:val="0C0C0C" w:themeColor="text1" w:themeTint="F2"/>
          <w:kern w:val="0"/>
          <w:sz w:val="24"/>
          <w:szCs w:val="24"/>
        </w:rPr>
      </w:pP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采 购 人：</w:t>
      </w:r>
      <w:r>
        <w:rPr>
          <w:rFonts w:hint="eastAsia" w:ascii="宋体" w:hAnsi="宋体" w:eastAsia="宋体" w:cs="宋体"/>
          <w:bCs/>
          <w:color w:val="0C0C0C" w:themeColor="text1" w:themeTint="F2"/>
          <w:kern w:val="0"/>
          <w:sz w:val="24"/>
          <w:szCs w:val="24"/>
          <w:u w:val="single"/>
        </w:rPr>
        <w:t>阳新县人民医院</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 系 人：</w:t>
      </w:r>
      <w:r>
        <w:rPr>
          <w:rFonts w:hint="eastAsia" w:ascii="宋体" w:hAnsi="宋体" w:eastAsia="宋体" w:cs="宋体"/>
          <w:bCs/>
          <w:color w:val="0C0C0C" w:themeColor="text1" w:themeTint="F2"/>
          <w:kern w:val="0"/>
          <w:sz w:val="24"/>
          <w:szCs w:val="24"/>
          <w:u w:val="single"/>
        </w:rPr>
        <w:t>周理河</w:t>
      </w:r>
      <w:r>
        <w:rPr>
          <w:rFonts w:hint="eastAsia" w:ascii="宋体" w:hAnsi="宋体" w:eastAsia="宋体" w:cs="宋体"/>
          <w:bCs/>
          <w:color w:val="0C0C0C" w:themeColor="text1" w:themeTint="F2"/>
          <w:kern w:val="0"/>
          <w:sz w:val="24"/>
          <w:szCs w:val="24"/>
        </w:rPr>
        <w:t xml:space="preserve"> </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联系电话：</w:t>
      </w:r>
      <w:r>
        <w:rPr>
          <w:rFonts w:hint="eastAsia" w:ascii="宋体" w:hAnsi="宋体" w:eastAsia="宋体" w:cs="宋体"/>
          <w:bCs/>
          <w:color w:val="0C0C0C" w:themeColor="text1" w:themeTint="F2"/>
          <w:kern w:val="0"/>
          <w:sz w:val="24"/>
          <w:szCs w:val="24"/>
          <w:u w:val="single"/>
        </w:rPr>
        <w:t>0714-7314409</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地    址：</w:t>
      </w:r>
      <w:r>
        <w:rPr>
          <w:rFonts w:hint="eastAsia" w:ascii="宋体" w:hAnsi="宋体" w:eastAsia="宋体" w:cs="宋体"/>
          <w:bCs/>
          <w:color w:val="0C0C0C" w:themeColor="text1" w:themeTint="F2"/>
          <w:kern w:val="0"/>
          <w:sz w:val="24"/>
          <w:szCs w:val="24"/>
          <w:u w:val="single"/>
        </w:rPr>
        <w:t>阳新县兴国镇儒学路81号</w:t>
      </w:r>
    </w:p>
    <w:p>
      <w:pPr>
        <w:widowControl/>
        <w:spacing w:line="360" w:lineRule="auto"/>
        <w:jc w:val="left"/>
        <w:rPr>
          <w:rFonts w:ascii="宋体" w:hAnsi="宋体" w:eastAsia="宋体" w:cs="Times New Roman"/>
          <w:b/>
          <w:color w:val="0C0C0C" w:themeColor="text1" w:themeTint="F2"/>
          <w:sz w:val="28"/>
          <w:szCs w:val="28"/>
          <w:highlight w:val="none"/>
          <w:lang w:val="zh-CN"/>
        </w:rPr>
      </w:pPr>
      <w:r>
        <w:rPr>
          <w:rFonts w:hint="eastAsia" w:ascii="宋体" w:hAnsi="宋体" w:eastAsia="宋体" w:cs="Times New Roman"/>
          <w:b/>
          <w:color w:val="0C0C0C" w:themeColor="text1" w:themeTint="F2"/>
          <w:sz w:val="28"/>
          <w:szCs w:val="28"/>
          <w:lang w:val="zh-CN"/>
        </w:rPr>
        <w:t xml:space="preserve">                                 </w:t>
      </w:r>
      <w:r>
        <w:rPr>
          <w:rFonts w:hint="eastAsia" w:ascii="宋体" w:hAnsi="宋体" w:eastAsia="宋体" w:cs="Times New Roman"/>
          <w:b/>
          <w:color w:val="0C0C0C" w:themeColor="text1" w:themeTint="F2"/>
          <w:sz w:val="28"/>
          <w:szCs w:val="28"/>
          <w:highlight w:val="none"/>
          <w:lang w:val="zh-CN"/>
        </w:rPr>
        <w:t xml:space="preserve">       2020年</w:t>
      </w:r>
      <w:r>
        <w:rPr>
          <w:rFonts w:hint="eastAsia" w:ascii="宋体" w:hAnsi="宋体" w:eastAsia="宋体" w:cs="Times New Roman"/>
          <w:b/>
          <w:color w:val="0C0C0C" w:themeColor="text1" w:themeTint="F2"/>
          <w:sz w:val="28"/>
          <w:szCs w:val="28"/>
          <w:highlight w:val="none"/>
          <w:lang w:val="en-US" w:eastAsia="zh-CN"/>
        </w:rPr>
        <w:t>10</w:t>
      </w:r>
      <w:r>
        <w:rPr>
          <w:rFonts w:hint="eastAsia" w:ascii="宋体" w:hAnsi="宋体" w:eastAsia="宋体" w:cs="Times New Roman"/>
          <w:b/>
          <w:color w:val="0C0C0C" w:themeColor="text1" w:themeTint="F2"/>
          <w:sz w:val="28"/>
          <w:szCs w:val="28"/>
          <w:highlight w:val="none"/>
          <w:lang w:val="zh-CN"/>
        </w:rPr>
        <w:t>月</w:t>
      </w:r>
      <w:r>
        <w:rPr>
          <w:rFonts w:hint="eastAsia" w:ascii="宋体" w:hAnsi="宋体" w:eastAsia="宋体" w:cs="Times New Roman"/>
          <w:b/>
          <w:color w:val="0C0C0C" w:themeColor="text1" w:themeTint="F2"/>
          <w:sz w:val="28"/>
          <w:szCs w:val="28"/>
          <w:highlight w:val="none"/>
          <w:lang w:val="en-US" w:eastAsia="zh-CN"/>
        </w:rPr>
        <w:t>15</w:t>
      </w:r>
      <w:r>
        <w:rPr>
          <w:rFonts w:hint="eastAsia" w:ascii="宋体" w:hAnsi="宋体" w:eastAsia="宋体" w:cs="Times New Roman"/>
          <w:b/>
          <w:color w:val="0C0C0C" w:themeColor="text1" w:themeTint="F2"/>
          <w:sz w:val="28"/>
          <w:szCs w:val="28"/>
          <w:highlight w:val="none"/>
          <w:lang w:val="zh-CN"/>
        </w:rPr>
        <w:t>日</w:t>
      </w:r>
    </w:p>
    <w:p>
      <w:pPr>
        <w:widowControl/>
        <w:jc w:val="left"/>
        <w:rPr>
          <w:color w:val="0C0C0C" w:themeColor="text1" w:themeTint="F2"/>
          <w:highlight w:val="none"/>
        </w:rPr>
      </w:pPr>
      <w:r>
        <w:rPr>
          <w:color w:val="0C0C0C" w:themeColor="text1" w:themeTint="F2"/>
          <w:highlight w:val="none"/>
        </w:rPr>
        <w:br w:type="page"/>
      </w:r>
    </w:p>
    <w:p>
      <w:pPr>
        <w:pStyle w:val="3"/>
        <w:numPr>
          <w:ilvl w:val="0"/>
          <w:numId w:val="1"/>
        </w:numPr>
        <w:spacing w:before="240" w:after="120"/>
        <w:ind w:left="883" w:hanging="880" w:hangingChars="200"/>
        <w:jc w:val="center"/>
        <w:rPr>
          <w:rFonts w:ascii="黑体" w:hAnsi="黑体" w:eastAsia="黑体"/>
        </w:rPr>
      </w:pPr>
      <w:bookmarkStart w:id="1" w:name="_Toc495861518"/>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495861519"/>
      <w:r>
        <w:rPr>
          <w:rFonts w:cs="Times New Roman" w:asciiTheme="majorEastAsia" w:hAnsiTheme="majorEastAsia" w:eastAsiaTheme="majorEastAsia"/>
          <w:b/>
          <w:bCs/>
          <w:sz w:val="32"/>
          <w:szCs w:val="32"/>
          <w:lang w:val="zh-CN"/>
        </w:rPr>
        <w:t>投标须知前附表</w:t>
      </w:r>
      <w:bookmarkEnd w:id="2"/>
      <w:bookmarkEnd w:id="3"/>
    </w:p>
    <w:tbl>
      <w:tblPr>
        <w:tblStyle w:val="16"/>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131-2020CG-</w:t>
            </w:r>
            <w:r>
              <w:rPr>
                <w:rFonts w:hint="eastAsia" w:ascii="Times New Roman" w:hAnsi="Times New Roman" w:eastAsia="宋体" w:cs="Times New Roman"/>
                <w:color w:val="FF0000"/>
                <w:sz w:val="24"/>
                <w:szCs w:val="24"/>
                <w:highlight w:val="none"/>
                <w:lang w:val="en-US" w:eastAsia="zh-CN"/>
              </w:rPr>
              <w:t>188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color w:val="FF0000"/>
                <w:sz w:val="24"/>
                <w:szCs w:val="24"/>
              </w:rPr>
              <w:t>阳新县人民医院</w:t>
            </w:r>
            <w:r>
              <w:rPr>
                <w:rFonts w:hint="eastAsia" w:ascii="Times New Roman" w:hAnsi="Times New Roman" w:eastAsia="宋体" w:cs="Times New Roman"/>
                <w:color w:val="FF0000"/>
                <w:sz w:val="24"/>
                <w:szCs w:val="24"/>
                <w:lang w:eastAsia="zh-CN"/>
              </w:rPr>
              <w:t>麻醉机</w:t>
            </w:r>
            <w:r>
              <w:rPr>
                <w:rFonts w:hint="eastAsia" w:ascii="Times New Roman" w:hAnsi="Times New Roman" w:eastAsia="宋体" w:cs="Times New Roman"/>
                <w:color w:val="FF0000"/>
                <w:sz w:val="24"/>
                <w:szCs w:val="24"/>
              </w:rPr>
              <w:t>采购项目</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lang w:val="en-US" w:eastAsia="zh-CN"/>
              </w:rPr>
              <w:t>二次</w:t>
            </w:r>
            <w:r>
              <w:rPr>
                <w:rFonts w:hint="eastAsia" w:ascii="Times New Roman" w:hAnsi="Times New Roman" w:eastAsia="宋体" w:cs="Times New Roman"/>
                <w:color w:val="FF000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rPr>
            </w:pPr>
            <w:r>
              <w:rPr>
                <w:rFonts w:hint="eastAsia" w:ascii="宋体" w:hAnsi="宋体" w:eastAsia="宋体" w:cs="宋体"/>
                <w:color w:val="FF0000"/>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bCs/>
                <w:color w:val="FF0000"/>
                <w:kern w:val="0"/>
                <w:sz w:val="24"/>
                <w:szCs w:val="24"/>
                <w:u w:val="singl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kern w:val="0"/>
                <w:sz w:val="24"/>
                <w:szCs w:val="24"/>
              </w:rPr>
              <w:t>本项目为政府采购项目无须缴纳保证金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C0C0C" w:themeColor="text1" w:themeTint="F2"/>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5"/>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FF0000"/>
          <w:sz w:val="24"/>
          <w:szCs w:val="24"/>
          <w:lang w:val="zh-CN"/>
        </w:rPr>
        <w:t>阳新县政府采购办公室、阳新县公共资源交易监督管理局。</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C0C0C" w:themeColor="text1" w:themeTint="F2"/>
          <w:sz w:val="24"/>
          <w:szCs w:val="24"/>
          <w:u w:val="single"/>
        </w:rPr>
        <w:t>武汉富纳工程咨询有限公司</w:t>
      </w:r>
      <w:r>
        <w:rPr>
          <w:rFonts w:hint="eastAsia" w:cs="Times New Roman" w:asciiTheme="minorEastAsia" w:hAnsiTheme="minorEastAsia"/>
          <w:sz w:val="24"/>
          <w:szCs w:val="24"/>
          <w:lang w:val="zh-CN"/>
        </w:rPr>
        <w:t>。</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8"/>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10"/>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1"/>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8"/>
        <w:numPr>
          <w:ilvl w:val="0"/>
          <w:numId w:val="11"/>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38"/>
        <w:numPr>
          <w:ilvl w:val="0"/>
          <w:numId w:val="12"/>
        </w:numPr>
        <w:ind w:hanging="567"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6"/>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1.05pt;margin-top:8pt;height:68.5pt;width:111.1pt;z-index:251661312;mso-width-relative:page;mso-height-relative:page;" coordsize="21600,21600">
                  <v:path arrowok="t"/>
                  <v:fill focussize="0,0"/>
                  <v:stroke/>
                  <v:imagedata o:title=""/>
                  <o:lock v:ext="edit"/>
                </v:line>
              </w:pict>
            </w:r>
            <w:r>
              <w:rPr>
                <w:rFonts w:ascii="宋体" w:hAnsi="宋体" w:cs="宋体"/>
                <w:sz w:val="24"/>
                <w:szCs w:val="24"/>
              </w:rPr>
              <w:pict>
                <v:line id="Line 17" o:spid="_x0000_s1028" o:spt="20" style="position:absolute;left:0pt;flip:x y;margin-left:-5.15pt;margin-top:4.3pt;height:33.15pt;width:125.75pt;z-index:251662336;mso-width-relative:page;mso-height-relative:page;" coordsize="21600,21600">
                  <v:path arrowok="t"/>
                  <v:fill focussize="0,0"/>
                  <v:stroke/>
                  <v:imagedata o:title=""/>
                  <o:lock v:ext="edit"/>
                </v:line>
              </w:pict>
            </w:r>
            <w:r>
              <w:rPr>
                <w:rFonts w:ascii="宋体" w:hAnsi="宋体" w:cs="宋体"/>
                <w:sz w:val="24"/>
                <w:szCs w:val="24"/>
              </w:rPr>
              <w:pict>
                <v:line id="Line 15" o:spid="_x0000_s1026" o:spt="20" style="position:absolute;left:0pt;margin-left:-9pt;margin-top:-0.5pt;height:0pt;width:0.05pt;z-index:251660288;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8"/>
        <w:adjustRightInd w:val="0"/>
        <w:snapToGrid w:val="0"/>
        <w:spacing w:line="300" w:lineRule="auto"/>
        <w:ind w:left="420" w:firstLine="0" w:firstLineChars="0"/>
        <w:rPr>
          <w:rFonts w:ascii="宋体" w:hAnsi="宋体"/>
          <w:b/>
          <w:sz w:val="24"/>
          <w:szCs w:val="24"/>
        </w:rPr>
      </w:pPr>
    </w:p>
    <w:p>
      <w:pPr>
        <w:pStyle w:val="38"/>
        <w:numPr>
          <w:ilvl w:val="0"/>
          <w:numId w:val="12"/>
        </w:numPr>
        <w:ind w:hanging="567" w:firstLineChars="0"/>
        <w:rPr>
          <w:rFonts w:ascii="宋体" w:hAnsi="宋体"/>
          <w:b/>
          <w:sz w:val="24"/>
          <w:szCs w:val="24"/>
        </w:rPr>
      </w:pP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6" w:name="_Toc494561939"/>
      <w:bookmarkStart w:id="7" w:name="_Toc495861521"/>
      <w:bookmarkStart w:id="8" w:name="_Toc278891592"/>
      <w:bookmarkStart w:id="9" w:name="_Toc272247695"/>
      <w:r>
        <w:rPr>
          <w:rFonts w:hint="eastAsia" w:cs="Times New Roman" w:asciiTheme="majorEastAsia" w:hAnsiTheme="majorEastAsia"/>
          <w:bCs w:val="0"/>
          <w:lang w:val="zh-CN"/>
        </w:rPr>
        <w:t>招标文件</w:t>
      </w:r>
      <w:bookmarkEnd w:id="6"/>
      <w:bookmarkEnd w:id="7"/>
      <w:bookmarkEnd w:id="8"/>
      <w:bookmarkEnd w:id="9"/>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4"/>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5"/>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5"/>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5"/>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495861522"/>
      <w:bookmarkStart w:id="12" w:name="_Toc278891593"/>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6"/>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8"/>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8"/>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8"/>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9"/>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20"/>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7"/>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投标人应在投标文件中提供交纳保证金的凭证。</w:t>
      </w:r>
      <w:r>
        <w:rPr>
          <w:rFonts w:hint="eastAsia" w:cs="Times New Roman" w:asciiTheme="minorEastAsia" w:hAnsiTheme="minorEastAsia"/>
          <w:b/>
          <w:sz w:val="24"/>
          <w:szCs w:val="24"/>
          <w:lang w:val="zh-CN"/>
        </w:rPr>
        <w:t>同时参加多个分包的投标人，保证金应按照各包保证金要求分别交纳。</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投标人应在投标文件递交截至时间前</w:t>
      </w:r>
      <w:r>
        <w:rPr>
          <w:rFonts w:hint="eastAsia" w:cs="Times New Roman" w:asciiTheme="minorEastAsia" w:hAnsiTheme="minorEastAsia"/>
          <w:sz w:val="24"/>
          <w:szCs w:val="24"/>
          <w:lang w:val="zh-CN"/>
        </w:rPr>
        <w:t>，按规定将投标保证金汇入</w:t>
      </w:r>
      <w:r>
        <w:rPr>
          <w:rFonts w:hint="eastAsia" w:cs="Times New Roman" w:asciiTheme="minorEastAsia" w:hAnsiTheme="minorEastAsia"/>
          <w:color w:val="FF0000"/>
          <w:sz w:val="24"/>
          <w:szCs w:val="24"/>
          <w:lang w:val="zh-CN"/>
        </w:rPr>
        <w:t>阳新县公共资源交易中心</w:t>
      </w:r>
      <w:r>
        <w:rPr>
          <w:rFonts w:hint="eastAsia" w:cs="Times New Roman" w:asciiTheme="minorEastAsia" w:hAnsiTheme="minorEastAsia"/>
          <w:sz w:val="24"/>
          <w:szCs w:val="24"/>
          <w:lang w:val="zh-CN"/>
        </w:rPr>
        <w:t>专用账户。投标保证金应在投标有效期截止日后的</w:t>
      </w:r>
      <w:r>
        <w:rPr>
          <w:rFonts w:hint="eastAsia" w:cs="Times New Roman" w:asciiTheme="minorEastAsia" w:hAnsiTheme="minorEastAsia"/>
          <w:b/>
          <w:sz w:val="24"/>
          <w:szCs w:val="24"/>
          <w:lang w:val="zh-CN"/>
        </w:rPr>
        <w:t>30</w:t>
      </w:r>
      <w:r>
        <w:rPr>
          <w:rFonts w:hint="eastAsia" w:cs="Times New Roman" w:asciiTheme="minorEastAsia" w:hAnsiTheme="minorEastAsia"/>
          <w:sz w:val="24"/>
          <w:szCs w:val="24"/>
          <w:lang w:val="zh-CN"/>
        </w:rPr>
        <w:t>天期限内有效。</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投标保证金应按以下方式递交：</w:t>
      </w:r>
    </w:p>
    <w:p>
      <w:pPr>
        <w:numPr>
          <w:ilvl w:val="0"/>
          <w:numId w:val="22"/>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应以电汇或网上银行方式汇入保证金账户，不得以个人名义、不得以现金方式交纳。</w:t>
      </w:r>
    </w:p>
    <w:p>
      <w:pPr>
        <w:numPr>
          <w:ilvl w:val="0"/>
          <w:numId w:val="22"/>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到账时间以阳新县公共资源交易中心账户时间为准</w:t>
      </w:r>
      <w:r>
        <w:rPr>
          <w:rFonts w:hint="eastAsia" w:cs="Times New Roman" w:asciiTheme="minorEastAsia" w:hAnsiTheme="minorEastAsia"/>
          <w:sz w:val="24"/>
          <w:szCs w:val="24"/>
          <w:lang w:val="zh-CN"/>
        </w:rPr>
        <w:t>。</w:t>
      </w:r>
    </w:p>
    <w:p>
      <w:pPr>
        <w:numPr>
          <w:ilvl w:val="0"/>
          <w:numId w:val="22"/>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交款凭证备注中应说明项目编号及开标时间。</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未按招标文件要求递交投标保证金，或交纳保证金的账户名称与投标人名称不一致的按照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21"/>
        </w:numPr>
        <w:spacing w:line="360" w:lineRule="auto"/>
        <w:ind w:left="616" w:hanging="616"/>
        <w:rPr>
          <w:rFonts w:cs="Times New Roman" w:asciiTheme="minorEastAsia" w:hAnsiTheme="minorEastAsia"/>
          <w:sz w:val="24"/>
          <w:szCs w:val="24"/>
          <w:lang w:val="zh-CN"/>
        </w:rPr>
      </w:pP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将在自中标通知书发出之日起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个工作日内（如无质疑或投诉）不计利息原额退还未中标人的投标保证金；自政府采购合同签订之日起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个工作日内不计利息原额退还中标人的投标保证金。</w:t>
      </w:r>
    </w:p>
    <w:p>
      <w:pPr>
        <w:numPr>
          <w:ilvl w:val="0"/>
          <w:numId w:val="21"/>
        </w:numPr>
        <w:spacing w:line="360" w:lineRule="auto"/>
        <w:ind w:left="616" w:hanging="616"/>
        <w:rPr>
          <w:rFonts w:cs="Times New Roman" w:asciiTheme="minorEastAsia" w:hAnsiTheme="minorEastAsia"/>
          <w:sz w:val="24"/>
          <w:szCs w:val="24"/>
          <w:lang w:val="zh-CN"/>
        </w:rPr>
      </w:pPr>
      <w:r>
        <w:rPr>
          <w:rFonts w:cs="Helvetica" w:asciiTheme="minorEastAsia" w:hAnsiTheme="minorEastAsia"/>
          <w:kern w:val="0"/>
          <w:sz w:val="24"/>
          <w:szCs w:val="24"/>
          <w:lang w:val="zh-CN"/>
        </w:rPr>
        <w:t>投标人在投标截止时间前撤回已提交的投标文件的，</w:t>
      </w: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将在</w:t>
      </w:r>
      <w:r>
        <w:rPr>
          <w:rFonts w:cs="Helvetica" w:asciiTheme="minorEastAsia" w:hAnsiTheme="minorEastAsia"/>
          <w:kern w:val="0"/>
          <w:sz w:val="24"/>
          <w:szCs w:val="24"/>
          <w:lang w:val="zh-CN"/>
        </w:rPr>
        <w:t>自收到投标人书面撤回通知之日起5个工作日内，退还已收取的投标保证金，但因投标人自身原因导致无法及时退还的除外。</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投标保证金将直接退还至投标人交纳时的账户，不以现金方式退还。</w:t>
      </w:r>
    </w:p>
    <w:p>
      <w:pPr>
        <w:numPr>
          <w:ilvl w:val="0"/>
          <w:numId w:val="21"/>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投标人有下列情形之一的，其投标保证金不予退还：</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在投标文件有效期内撤销投标文件的；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在投标文件中提供虚假材料的；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中标后无正当理由拒绝签订政府采购合同的；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串通投标、恶意串通的；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法律、法规和招标文件中规定的其它不予退还投标保证金的情形。</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6"/>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7"/>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7"/>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7"/>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6"/>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6"/>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8"/>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kern w:val="0"/>
          <w:sz w:val="24"/>
          <w:szCs w:val="24"/>
          <w:lang w:val="zh-CN"/>
        </w:rPr>
        <w:t>规定的投标地点。</w:t>
      </w:r>
    </w:p>
    <w:p>
      <w:pPr>
        <w:numPr>
          <w:ilvl w:val="0"/>
          <w:numId w:val="28"/>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8"/>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FF0000"/>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9"/>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14" w:name="_Toc278891595"/>
      <w:bookmarkStart w:id="15" w:name="_Toc495861523"/>
      <w:bookmarkStart w:id="16" w:name="_Toc272247698"/>
      <w:bookmarkStart w:id="17" w:name="_Toc494561942"/>
      <w:r>
        <w:rPr>
          <w:rFonts w:hint="eastAsia" w:cs="Times New Roman" w:asciiTheme="majorEastAsia" w:hAnsiTheme="majorEastAsia"/>
          <w:bCs w:val="0"/>
          <w:lang w:val="zh-CN"/>
        </w:rPr>
        <w:t>开标与评标</w:t>
      </w:r>
      <w:bookmarkEnd w:id="14"/>
      <w:bookmarkEnd w:id="15"/>
      <w:bookmarkEnd w:id="16"/>
      <w:bookmarkEnd w:id="17"/>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30"/>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30"/>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FF0000"/>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3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color w:val="FF0000"/>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color w:val="FF0000"/>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31"/>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31"/>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32"/>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32"/>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32"/>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34"/>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5"/>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34"/>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18" w:name="_Toc495861524"/>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7"/>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7"/>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8"/>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8"/>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7"/>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7"/>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9"/>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24" w:name="_Toc495861526"/>
      <w:bookmarkStart w:id="25" w:name="_Toc494561945"/>
      <w:r>
        <w:rPr>
          <w:rFonts w:hint="eastAsia" w:cs="Times New Roman" w:asciiTheme="majorEastAsia" w:hAnsiTheme="majorEastAsia"/>
          <w:bCs w:val="0"/>
          <w:lang w:val="zh-CN"/>
        </w:rPr>
        <w:t>采购信息公告</w:t>
      </w:r>
      <w:bookmarkEnd w:id="24"/>
      <w:bookmarkEnd w:id="25"/>
    </w:p>
    <w:p>
      <w:pPr>
        <w:numPr>
          <w:ilvl w:val="0"/>
          <w:numId w:val="7"/>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40"/>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40"/>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40"/>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40"/>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26" w:name="_Toc495861527"/>
      <w:bookmarkStart w:id="27" w:name="_Toc494561946"/>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color w:val="FF0000"/>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41"/>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41"/>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41"/>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28" w:name="_Toc495861528"/>
      <w:bookmarkStart w:id="29" w:name="_Toc494561947"/>
      <w:r>
        <w:rPr>
          <w:rFonts w:hint="eastAsia" w:cs="Times New Roman" w:asciiTheme="majorEastAsia" w:hAnsiTheme="majorEastAsia"/>
          <w:bCs w:val="0"/>
          <w:lang w:val="zh-CN"/>
        </w:rPr>
        <w:t>相关条文解读</w:t>
      </w:r>
      <w:bookmarkEnd w:id="28"/>
      <w:bookmarkEnd w:id="29"/>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2"/>
        <w:numPr>
          <w:ilvl w:val="0"/>
          <w:numId w:val="6"/>
        </w:numPr>
        <w:spacing w:before="40" w:after="40" w:line="360" w:lineRule="auto"/>
        <w:ind w:left="658" w:hanging="658"/>
        <w:jc w:val="left"/>
        <w:rPr>
          <w:rFonts w:cs="Times New Roman" w:asciiTheme="majorEastAsia" w:hAnsiTheme="majorEastAsia"/>
          <w:bCs w:val="0"/>
          <w:lang w:val="zh-CN"/>
        </w:rPr>
      </w:pPr>
      <w:bookmarkStart w:id="30" w:name="_Toc495861529"/>
      <w:bookmarkStart w:id="31" w:name="_Toc494561948"/>
      <w:r>
        <w:rPr>
          <w:rFonts w:hint="eastAsia" w:cs="Times New Roman" w:asciiTheme="majorEastAsia" w:hAnsiTheme="majorEastAsia"/>
          <w:bCs w:val="0"/>
          <w:lang w:val="zh-CN"/>
        </w:rPr>
        <w:t>其他注意事项</w:t>
      </w:r>
      <w:bookmarkEnd w:id="30"/>
      <w:bookmarkEnd w:id="31"/>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2"/>
        <w:numPr>
          <w:ilvl w:val="0"/>
          <w:numId w:val="6"/>
        </w:numPr>
        <w:spacing w:before="40" w:after="40" w:line="360" w:lineRule="auto"/>
        <w:ind w:left="966" w:hanging="966"/>
        <w:jc w:val="left"/>
        <w:rPr>
          <w:rFonts w:cs="Times New Roman" w:asciiTheme="majorEastAsia" w:hAnsiTheme="majorEastAsia"/>
          <w:bCs w:val="0"/>
          <w:lang w:val="zh-CN"/>
        </w:rPr>
      </w:pPr>
      <w:bookmarkStart w:id="32" w:name="_Toc278891598"/>
      <w:bookmarkStart w:id="33" w:name="_Toc495861530"/>
      <w:bookmarkStart w:id="34" w:name="_Toc272247701"/>
      <w:bookmarkStart w:id="35" w:name="_Toc494561949"/>
      <w:r>
        <w:rPr>
          <w:rFonts w:hint="eastAsia" w:cs="Times New Roman" w:asciiTheme="majorEastAsia" w:hAnsiTheme="majorEastAsia"/>
          <w:bCs w:val="0"/>
          <w:lang w:val="zh-CN"/>
        </w:rPr>
        <w:t>适用法律</w:t>
      </w:r>
      <w:bookmarkEnd w:id="32"/>
      <w:bookmarkEnd w:id="33"/>
      <w:bookmarkEnd w:id="34"/>
      <w:bookmarkEnd w:id="35"/>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7"/>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2"/>
        <w:numPr>
          <w:ilvl w:val="0"/>
          <w:numId w:val="6"/>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272247702"/>
      <w:bookmarkStart w:id="38" w:name="_Toc278891599"/>
      <w:bookmarkStart w:id="39" w:name="_Toc495861531"/>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7"/>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pStyle w:val="2"/>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41" w:name="_Toc494561952"/>
      <w:bookmarkStart w:id="42" w:name="_Toc495861533"/>
      <w:bookmarkStart w:id="43" w:name="_Toc338065593"/>
      <w:bookmarkStart w:id="44" w:name="_Toc339378679"/>
      <w:r>
        <w:rPr>
          <w:rFonts w:hint="eastAsia" w:cs="Times New Roman" w:asciiTheme="majorEastAsia" w:hAnsiTheme="majorEastAsia"/>
          <w:bCs w:val="0"/>
          <w:sz w:val="30"/>
          <w:szCs w:val="30"/>
          <w:lang w:val="zh-CN"/>
        </w:rPr>
        <w:t>采购清单</w:t>
      </w:r>
      <w:bookmarkEnd w:id="41"/>
      <w:bookmarkEnd w:id="42"/>
    </w:p>
    <w:tbl>
      <w:tblPr>
        <w:tblStyle w:val="17"/>
        <w:tblW w:w="7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3165"/>
        <w:gridCol w:w="981"/>
        <w:gridCol w:w="121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1095" w:type="dxa"/>
            <w:vAlign w:val="center"/>
          </w:tcPr>
          <w:p>
            <w:pPr>
              <w:pStyle w:val="2"/>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 号</w:t>
            </w:r>
          </w:p>
        </w:tc>
        <w:tc>
          <w:tcPr>
            <w:tcW w:w="3165" w:type="dxa"/>
            <w:vAlign w:val="center"/>
          </w:tcPr>
          <w:p>
            <w:pPr>
              <w:pStyle w:val="2"/>
              <w:spacing w:before="0" w:after="0"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设备名称</w:t>
            </w:r>
          </w:p>
        </w:tc>
        <w:tc>
          <w:tcPr>
            <w:tcW w:w="981" w:type="dxa"/>
            <w:vAlign w:val="center"/>
          </w:tcPr>
          <w:p>
            <w:pPr>
              <w:pStyle w:val="2"/>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1210" w:type="dxa"/>
            <w:vAlign w:val="center"/>
          </w:tcPr>
          <w:p>
            <w:pPr>
              <w:pStyle w:val="2"/>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1210" w:type="dxa"/>
            <w:vAlign w:val="center"/>
          </w:tcPr>
          <w:p>
            <w:pPr>
              <w:pStyle w:val="2"/>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9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316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麻醉机1</w:t>
            </w:r>
          </w:p>
        </w:tc>
        <w:tc>
          <w:tcPr>
            <w:tcW w:w="981"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2</w:t>
            </w:r>
          </w:p>
        </w:tc>
        <w:tc>
          <w:tcPr>
            <w:tcW w:w="1210"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台</w:t>
            </w:r>
          </w:p>
        </w:tc>
        <w:tc>
          <w:tcPr>
            <w:tcW w:w="1210" w:type="dxa"/>
            <w:vAlign w:val="center"/>
          </w:tcPr>
          <w:p>
            <w:pPr>
              <w:pStyle w:val="2"/>
              <w:spacing w:line="240" w:lineRule="auto"/>
              <w:jc w:val="center"/>
              <w:rPr>
                <w:rFonts w:hint="eastAsia" w:asciiTheme="minorEastAsia" w:hAnsiTheme="minorEastAsia" w:eastAsiaTheme="minorEastAsia" w:cstheme="minorEastAsia"/>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2</w:t>
            </w:r>
          </w:p>
        </w:tc>
        <w:tc>
          <w:tcPr>
            <w:tcW w:w="3165"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麻醉机2</w:t>
            </w:r>
          </w:p>
        </w:tc>
        <w:tc>
          <w:tcPr>
            <w:tcW w:w="981"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2</w:t>
            </w:r>
          </w:p>
        </w:tc>
        <w:tc>
          <w:tcPr>
            <w:tcW w:w="1210" w:type="dxa"/>
            <w:vAlign w:val="center"/>
          </w:tcPr>
          <w:p>
            <w:pPr>
              <w:pStyle w:val="2"/>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台</w:t>
            </w:r>
          </w:p>
        </w:tc>
        <w:tc>
          <w:tcPr>
            <w:tcW w:w="1210" w:type="dxa"/>
            <w:vAlign w:val="center"/>
          </w:tcPr>
          <w:p>
            <w:pPr>
              <w:pStyle w:val="2"/>
              <w:spacing w:line="240" w:lineRule="auto"/>
              <w:jc w:val="center"/>
              <w:rPr>
                <w:rFonts w:hint="eastAsia" w:asciiTheme="minorEastAsia" w:hAnsiTheme="minorEastAsia" w:eastAsiaTheme="minorEastAsia" w:cstheme="minorEastAsia"/>
                <w:b w:val="0"/>
                <w:bCs/>
                <w:sz w:val="24"/>
                <w:szCs w:val="24"/>
                <w:vertAlign w:val="baseline"/>
                <w:lang w:val="en-US" w:eastAsia="zh-CN"/>
              </w:rPr>
            </w:pPr>
          </w:p>
        </w:tc>
      </w:tr>
    </w:tbl>
    <w:p>
      <w:pPr>
        <w:rPr>
          <w:lang w:val="zh-CN"/>
        </w:rPr>
      </w:pPr>
    </w:p>
    <w:bookmarkEnd w:id="43"/>
    <w:bookmarkEnd w:id="44"/>
    <w:p>
      <w:pPr>
        <w:pStyle w:val="2"/>
        <w:numPr>
          <w:ilvl w:val="0"/>
          <w:numId w:val="43"/>
        </w:numPr>
        <w:spacing w:before="0" w:after="0" w:line="360" w:lineRule="auto"/>
        <w:ind w:left="616" w:hanging="616"/>
        <w:jc w:val="left"/>
        <w:rPr>
          <w:rFonts w:hint="eastAsia" w:cs="Times New Roman" w:asciiTheme="majorEastAsia" w:hAnsiTheme="majorEastAsia"/>
          <w:bCs w:val="0"/>
          <w:sz w:val="30"/>
          <w:szCs w:val="30"/>
          <w:lang w:val="en-US" w:eastAsia="zh-CN"/>
        </w:rPr>
      </w:pPr>
      <w:bookmarkStart w:id="45" w:name="_Toc338065594"/>
      <w:bookmarkStart w:id="46" w:name="_Toc339378680"/>
      <w:r>
        <w:rPr>
          <w:rFonts w:hint="eastAsia" w:cs="Times New Roman" w:asciiTheme="majorEastAsia" w:hAnsiTheme="majorEastAsia"/>
          <w:bCs w:val="0"/>
          <w:sz w:val="30"/>
          <w:szCs w:val="30"/>
          <w:lang w:val="en-US" w:eastAsia="zh-CN"/>
        </w:rPr>
        <w:t>概述及简介</w:t>
      </w:r>
    </w:p>
    <w:p>
      <w:pPr>
        <w:spacing w:line="360" w:lineRule="auto"/>
        <w:ind w:firstLine="480" w:firstLineChars="200"/>
        <w:rPr>
          <w:rFonts w:hint="eastAsia" w:asciiTheme="minorEastAsia" w:hAnsi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麻醉机是一种专用医疗电子仪器设备，需具备系统性能稳定、故障率低、操作方便、功能性强等性能且能保证临床使用的安全性</w:t>
      </w:r>
      <w:r>
        <w:rPr>
          <w:rFonts w:hint="eastAsia" w:asciiTheme="minorEastAsia" w:hAnsiTheme="minorEastAsia" w:cstheme="minorEastAsia"/>
          <w:b w:val="0"/>
          <w:bCs/>
          <w:sz w:val="24"/>
          <w:szCs w:val="24"/>
          <w:lang w:val="en-US" w:eastAsia="zh-CN"/>
        </w:rPr>
        <w:t>。</w:t>
      </w:r>
    </w:p>
    <w:p>
      <w:pPr>
        <w:bidi w:val="0"/>
        <w:rPr>
          <w:rFonts w:hint="eastAsia"/>
          <w:lang w:val="en-US" w:eastAsia="zh-CN"/>
        </w:rPr>
      </w:pPr>
    </w:p>
    <w:p>
      <w:pPr>
        <w:pStyle w:val="2"/>
        <w:numPr>
          <w:ilvl w:val="0"/>
          <w:numId w:val="43"/>
        </w:numPr>
        <w:spacing w:before="0" w:after="0" w:line="360" w:lineRule="auto"/>
        <w:ind w:left="616" w:hanging="616"/>
        <w:jc w:val="left"/>
        <w:rPr>
          <w:rFonts w:hint="eastAsia" w:cs="Times New Roman" w:asciiTheme="majorEastAsia" w:hAnsiTheme="majorEastAsia"/>
          <w:bCs w:val="0"/>
          <w:sz w:val="30"/>
          <w:szCs w:val="30"/>
          <w:lang w:val="en-US" w:eastAsia="zh-CN"/>
        </w:rPr>
      </w:pPr>
      <w:r>
        <w:rPr>
          <w:rFonts w:hint="eastAsia" w:cs="Times New Roman" w:asciiTheme="majorEastAsia" w:hAnsiTheme="majorEastAsia"/>
          <w:bCs w:val="0"/>
          <w:sz w:val="30"/>
          <w:szCs w:val="30"/>
          <w:lang w:val="en-US" w:eastAsia="zh-CN"/>
        </w:rPr>
        <w:t>国家相关行政主管部门颁布的强制标准、规范：采购内容需执行的国家相关标准、行业标准、地方标准或者其他标准、规范。</w:t>
      </w:r>
    </w:p>
    <w:p>
      <w:pPr>
        <w:jc w:val="center"/>
        <w:rPr>
          <w:rFonts w:hint="eastAsia" w:cs="Times New Roman" w:asciiTheme="majorEastAsia" w:hAnsiTheme="majorEastAsia"/>
          <w:b/>
          <w:bCs/>
          <w:sz w:val="30"/>
          <w:szCs w:val="30"/>
          <w:lang w:val="en-US" w:eastAsia="zh-CN"/>
        </w:rPr>
      </w:pPr>
    </w:p>
    <w:p>
      <w:pPr>
        <w:jc w:val="cente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sz w:val="30"/>
          <w:szCs w:val="30"/>
          <w:lang w:val="en-US" w:eastAsia="zh-CN"/>
        </w:rPr>
        <w:t>包1</w:t>
      </w:r>
    </w:p>
    <w:bookmarkEnd w:id="45"/>
    <w:bookmarkEnd w:id="46"/>
    <w:p>
      <w:pPr>
        <w:pStyle w:val="2"/>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47" w:name="_Toc494561955"/>
      <w:bookmarkStart w:id="48" w:name="_Toc495861536"/>
      <w:r>
        <w:rPr>
          <w:rFonts w:hint="eastAsia" w:cs="Times New Roman" w:asciiTheme="majorEastAsia" w:hAnsiTheme="majorEastAsia"/>
          <w:bCs w:val="0"/>
          <w:sz w:val="30"/>
          <w:szCs w:val="30"/>
          <w:lang w:val="zh-CN"/>
        </w:rPr>
        <w:t>技术、服务要求</w:t>
      </w:r>
      <w:bookmarkEnd w:id="47"/>
      <w:bookmarkEnd w:id="48"/>
    </w:p>
    <w:p>
      <w:pPr>
        <w:numPr>
          <w:ilvl w:val="0"/>
          <w:numId w:val="44"/>
        </w:numPr>
        <w:tabs>
          <w:tab w:val="left" w:pos="1060"/>
          <w:tab w:val="left" w:pos="1260"/>
        </w:tabs>
        <w:spacing w:line="360" w:lineRule="auto"/>
        <w:ind w:left="0" w:leftChars="0" w:firstLine="420" w:firstLineChars="0"/>
        <w:jc w:val="left"/>
        <w:rPr>
          <w:rFonts w:ascii="宋体" w:cs="宋体"/>
          <w:szCs w:val="21"/>
        </w:rPr>
      </w:pPr>
      <w:r>
        <w:rPr>
          <w:rFonts w:hint="eastAsia" w:ascii="宋体" w:hAnsi="宋体" w:cs="宋体"/>
          <w:b/>
          <w:szCs w:val="21"/>
          <w:lang w:val="en-US" w:eastAsia="zh-CN"/>
        </w:rPr>
        <w:t xml:space="preserve">  </w:t>
      </w:r>
      <w:r>
        <w:rPr>
          <w:rFonts w:hint="eastAsia" w:ascii="宋体" w:hAnsi="宋体" w:cs="宋体"/>
          <w:b w:val="0"/>
          <w:bCs/>
          <w:szCs w:val="21"/>
        </w:rPr>
        <w:t>总体要求</w:t>
      </w:r>
      <w:r>
        <w:rPr>
          <w:rFonts w:hint="eastAsia" w:ascii="宋体" w:hAnsi="宋体" w:cs="宋体"/>
          <w:b w:val="0"/>
          <w:bCs/>
          <w:szCs w:val="21"/>
          <w:lang w:eastAsia="zh-CN"/>
        </w:rPr>
        <w:t>：</w:t>
      </w:r>
      <w:r>
        <w:rPr>
          <w:rFonts w:hint="eastAsia" w:ascii="宋体" w:hAnsi="宋体" w:cs="宋体"/>
          <w:szCs w:val="21"/>
        </w:rPr>
        <w:t>适</w:t>
      </w:r>
      <w:r>
        <w:rPr>
          <w:rFonts w:hint="eastAsia" w:ascii="宋体" w:hAnsi="宋体" w:cs="宋体"/>
          <w:szCs w:val="21"/>
          <w:lang w:val="en-US" w:eastAsia="zh-CN"/>
        </w:rPr>
        <w:t>用于</w:t>
      </w:r>
      <w:r>
        <w:rPr>
          <w:rFonts w:hint="eastAsia" w:ascii="宋体" w:hAnsi="宋体" w:cs="宋体"/>
          <w:szCs w:val="21"/>
        </w:rPr>
        <w:t>成人、儿童、新生儿</w:t>
      </w:r>
    </w:p>
    <w:p>
      <w:pPr>
        <w:numPr>
          <w:ilvl w:val="0"/>
          <w:numId w:val="44"/>
        </w:numPr>
        <w:tabs>
          <w:tab w:val="left" w:pos="1060"/>
          <w:tab w:val="left" w:pos="1260"/>
        </w:tabs>
        <w:spacing w:line="360" w:lineRule="auto"/>
        <w:ind w:left="0" w:leftChars="0" w:firstLine="420" w:firstLineChars="0"/>
        <w:jc w:val="left"/>
        <w:rPr>
          <w:rFonts w:hint="eastAsia" w:ascii="宋体" w:hAnsi="宋体" w:cs="宋体"/>
          <w:b w:val="0"/>
          <w:bCs/>
          <w:szCs w:val="21"/>
          <w:lang w:val="en-US" w:eastAsia="zh-CN"/>
        </w:rPr>
      </w:pPr>
      <w:r>
        <w:rPr>
          <w:rFonts w:hint="eastAsia" w:ascii="宋体" w:hAnsi="宋体" w:cs="宋体"/>
          <w:b w:val="0"/>
          <w:bCs/>
          <w:szCs w:val="21"/>
          <w:lang w:val="en-US" w:eastAsia="zh-CN"/>
        </w:rPr>
        <w:t xml:space="preserve">  一般要求</w:t>
      </w:r>
    </w:p>
    <w:p>
      <w:pPr>
        <w:numPr>
          <w:ilvl w:val="0"/>
          <w:numId w:val="45"/>
        </w:numPr>
        <w:spacing w:line="400" w:lineRule="exact"/>
        <w:ind w:left="0" w:leftChars="0" w:firstLine="403" w:firstLineChars="0"/>
        <w:rPr>
          <w:rFonts w:ascii="宋体" w:cs="宋体"/>
          <w:szCs w:val="21"/>
        </w:rPr>
      </w:pPr>
      <w:r>
        <w:rPr>
          <w:rFonts w:hint="eastAsia" w:ascii="宋体" w:hAnsi="宋体" w:cs="宋体"/>
          <w:b w:val="0"/>
          <w:bCs w:val="0"/>
          <w:szCs w:val="21"/>
        </w:rPr>
        <w:t>功能要求：</w:t>
      </w:r>
      <w:r>
        <w:rPr>
          <w:rFonts w:hint="eastAsia" w:ascii="宋体" w:hAnsi="宋体" w:cs="宋体"/>
          <w:szCs w:val="21"/>
        </w:rPr>
        <w:t>气动电控</w:t>
      </w:r>
    </w:p>
    <w:p>
      <w:pPr>
        <w:numPr>
          <w:ilvl w:val="0"/>
          <w:numId w:val="45"/>
        </w:numPr>
        <w:spacing w:line="400" w:lineRule="exact"/>
        <w:ind w:left="0" w:leftChars="0" w:firstLine="403" w:firstLineChars="0"/>
        <w:rPr>
          <w:rFonts w:hint="eastAsia" w:ascii="宋体" w:hAnsi="宋体" w:cs="宋体"/>
          <w:b w:val="0"/>
          <w:bCs w:val="0"/>
          <w:szCs w:val="21"/>
        </w:rPr>
      </w:pPr>
      <w:r>
        <w:rPr>
          <w:rFonts w:hint="eastAsia" w:ascii="宋体" w:hAnsi="宋体" w:cs="宋体"/>
          <w:b w:val="0"/>
          <w:bCs w:val="0"/>
          <w:szCs w:val="21"/>
        </w:rPr>
        <w:t>操作及使用要求：</w:t>
      </w:r>
    </w:p>
    <w:p>
      <w:pPr>
        <w:numPr>
          <w:ilvl w:val="0"/>
          <w:numId w:val="46"/>
        </w:numPr>
        <w:spacing w:line="400" w:lineRule="exact"/>
        <w:ind w:left="0" w:leftChars="0" w:firstLine="403" w:firstLineChars="0"/>
        <w:rPr>
          <w:rFonts w:ascii="宋体" w:cs="宋体"/>
          <w:szCs w:val="21"/>
        </w:rPr>
      </w:pPr>
      <w:r>
        <w:rPr>
          <w:sz w:val="21"/>
        </w:rPr>
        <w:pict>
          <v:shape id="_x0000_s1061" o:spid="_x0000_s1061" o:spt="202" type="#_x0000_t202" style="position:absolute;left:0pt;margin-left:-5.7pt;margin-top:1.4pt;height:20.35pt;width:22.5pt;z-index:251672576;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主机功能：≧</w:t>
      </w:r>
      <w:r>
        <w:rPr>
          <w:rFonts w:ascii="宋体" w:hAnsi="宋体" w:cs="宋体"/>
          <w:szCs w:val="21"/>
        </w:rPr>
        <w:t>12.1</w:t>
      </w:r>
      <w:r>
        <w:rPr>
          <w:rFonts w:hint="eastAsia" w:ascii="宋体" w:hAnsi="宋体" w:cs="宋体"/>
          <w:szCs w:val="21"/>
        </w:rPr>
        <w:t>寸彩色液晶触摸屏，操作简单便捷（提供相关证明文件）</w:t>
      </w:r>
      <w:r>
        <w:rPr>
          <w:rFonts w:hint="eastAsia" w:ascii="宋体" w:hAnsi="宋体" w:cs="宋体"/>
          <w:szCs w:val="21"/>
          <w:lang w:eastAsia="zh-CN"/>
        </w:rPr>
        <w:t>；</w:t>
      </w:r>
    </w:p>
    <w:p>
      <w:pPr>
        <w:numPr>
          <w:ilvl w:val="0"/>
          <w:numId w:val="46"/>
        </w:numPr>
        <w:spacing w:line="400" w:lineRule="exact"/>
        <w:ind w:left="1258" w:leftChars="191" w:hanging="857" w:firstLineChars="0"/>
        <w:rPr>
          <w:rFonts w:ascii="宋体" w:hAnsi="宋体" w:cs="宋体"/>
          <w:szCs w:val="21"/>
        </w:rPr>
      </w:pPr>
      <w:r>
        <w:rPr>
          <w:rFonts w:hint="eastAsia" w:ascii="宋体" w:hAnsi="宋体" w:cs="宋体"/>
          <w:szCs w:val="21"/>
        </w:rPr>
        <w:t>结构紧凑、可移动的多功能麻醉机，保证在狭小的工作环境下提供高品质的通气</w:t>
      </w:r>
      <w:r>
        <w:rPr>
          <w:rFonts w:hint="eastAsia" w:ascii="宋体" w:hAnsi="宋体" w:cs="宋体"/>
          <w:szCs w:val="21"/>
          <w:lang w:eastAsia="zh-CN"/>
        </w:rPr>
        <w:t>；</w:t>
      </w:r>
    </w:p>
    <w:p>
      <w:pPr>
        <w:numPr>
          <w:ilvl w:val="0"/>
          <w:numId w:val="46"/>
        </w:numPr>
        <w:spacing w:line="400" w:lineRule="exact"/>
        <w:ind w:left="1258" w:leftChars="191" w:hanging="857" w:firstLineChars="0"/>
        <w:rPr>
          <w:rFonts w:ascii="宋体" w:hAnsi="宋体" w:cs="宋体"/>
          <w:szCs w:val="21"/>
        </w:rPr>
      </w:pPr>
      <w:r>
        <w:rPr>
          <w:rFonts w:hint="eastAsia" w:ascii="宋体" w:hAnsi="宋体" w:cs="宋体"/>
          <w:szCs w:val="21"/>
        </w:rPr>
        <w:t>具备</w:t>
      </w:r>
      <w:r>
        <w:rPr>
          <w:rFonts w:ascii="宋体" w:hAnsi="宋体" w:cs="宋体"/>
          <w:szCs w:val="21"/>
        </w:rPr>
        <w:t>3</w:t>
      </w:r>
      <w:r>
        <w:rPr>
          <w:rFonts w:hint="eastAsia" w:ascii="宋体" w:hAnsi="宋体" w:cs="宋体"/>
          <w:szCs w:val="21"/>
        </w:rPr>
        <w:t>个大抽屉，可提升更大的储物空间</w:t>
      </w:r>
      <w:r>
        <w:rPr>
          <w:rFonts w:hint="eastAsia" w:ascii="宋体" w:hAnsi="宋体" w:cs="宋体"/>
          <w:szCs w:val="21"/>
          <w:lang w:eastAsia="zh-CN"/>
        </w:rPr>
        <w:t>；</w:t>
      </w:r>
    </w:p>
    <w:p>
      <w:pPr>
        <w:numPr>
          <w:ilvl w:val="0"/>
          <w:numId w:val="46"/>
        </w:numPr>
        <w:spacing w:line="400" w:lineRule="exact"/>
        <w:ind w:left="1258" w:leftChars="191" w:hanging="857" w:firstLineChars="0"/>
        <w:rPr>
          <w:rFonts w:ascii="宋体" w:hAnsi="宋体" w:cs="宋体"/>
          <w:szCs w:val="21"/>
        </w:rPr>
      </w:pPr>
      <w:r>
        <w:rPr>
          <w:sz w:val="21"/>
        </w:rPr>
        <w:pict>
          <v:shape id="_x0000_s1060" o:spid="_x0000_s1060" o:spt="202" type="#_x0000_t202" style="position:absolute;left:0pt;margin-left:-9.1pt;margin-top:0.65pt;height:19.4pt;width:25.35pt;z-index:251671552;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w:t>
      </w:r>
      <w:r>
        <w:rPr>
          <w:rFonts w:ascii="宋体" w:hAnsi="宋体" w:cs="宋体"/>
          <w:szCs w:val="21"/>
        </w:rPr>
        <w:t>6</w:t>
      </w:r>
      <w:r>
        <w:rPr>
          <w:rFonts w:hint="eastAsia" w:ascii="宋体" w:hAnsi="宋体" w:cs="宋体"/>
          <w:szCs w:val="21"/>
        </w:rPr>
        <w:t>管气体供应和监测：标配氧气、笑气和空气，具备高精度抗静电双管浮子流量计监测（提供相关证明文件）</w:t>
      </w:r>
      <w:r>
        <w:rPr>
          <w:rFonts w:hint="eastAsia" w:ascii="宋体" w:hAnsi="宋体" w:cs="宋体"/>
          <w:szCs w:val="21"/>
          <w:lang w:eastAsia="zh-CN"/>
        </w:rPr>
        <w:t>；</w:t>
      </w:r>
    </w:p>
    <w:p>
      <w:pPr>
        <w:numPr>
          <w:ilvl w:val="0"/>
          <w:numId w:val="46"/>
        </w:numPr>
        <w:spacing w:line="400" w:lineRule="exact"/>
        <w:ind w:left="1258" w:leftChars="191" w:hanging="857" w:firstLineChars="0"/>
        <w:rPr>
          <w:rFonts w:ascii="宋体" w:hAnsi="宋体" w:cs="宋体"/>
          <w:szCs w:val="21"/>
        </w:rPr>
      </w:pPr>
      <w:r>
        <w:rPr>
          <w:sz w:val="21"/>
        </w:rPr>
        <w:pict>
          <v:shape id="_x0000_s1059" o:spid="_x0000_s1059" o:spt="202" type="#_x0000_t202" style="position:absolute;left:0pt;margin-left:-8.1pt;margin-top:2.65pt;height:23.2pt;width:26.3pt;z-index:251670528;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高精度的压差式（非金属丝）流量传感器，双传感器不受水汽影响，使用寿命长，终身无需更换</w:t>
      </w:r>
      <w:r>
        <w:rPr>
          <w:rFonts w:hint="eastAsia" w:ascii="宋体" w:hAnsi="宋体" w:cs="宋体"/>
          <w:szCs w:val="21"/>
          <w:lang w:eastAsia="zh-CN"/>
        </w:rPr>
        <w:t>；</w:t>
      </w:r>
    </w:p>
    <w:p>
      <w:pPr>
        <w:numPr>
          <w:ilvl w:val="0"/>
          <w:numId w:val="46"/>
        </w:numPr>
        <w:spacing w:line="400" w:lineRule="exact"/>
        <w:ind w:left="1258" w:leftChars="191" w:hanging="857" w:firstLineChars="0"/>
        <w:rPr>
          <w:rFonts w:ascii="宋体" w:hAnsi="宋体" w:cs="宋体"/>
          <w:szCs w:val="21"/>
        </w:rPr>
      </w:pPr>
      <w:r>
        <w:rPr>
          <w:rFonts w:hint="eastAsia" w:ascii="宋体" w:hAnsi="宋体" w:cs="宋体"/>
          <w:szCs w:val="21"/>
        </w:rPr>
        <w:t>采用上升式风箱，小儿麻醉不用更换风箱，使用精确，使用时间长</w:t>
      </w:r>
      <w:r>
        <w:rPr>
          <w:rFonts w:hint="eastAsia" w:ascii="宋体" w:hAnsi="宋体" w:cs="宋体"/>
          <w:szCs w:val="21"/>
          <w:lang w:eastAsia="zh-CN"/>
        </w:rPr>
        <w:t>；</w:t>
      </w:r>
    </w:p>
    <w:p>
      <w:pPr>
        <w:numPr>
          <w:ilvl w:val="0"/>
          <w:numId w:val="46"/>
        </w:numPr>
        <w:spacing w:line="400" w:lineRule="exact"/>
        <w:ind w:left="1258" w:leftChars="191" w:hanging="857" w:firstLineChars="0"/>
        <w:rPr>
          <w:rFonts w:ascii="宋体" w:hAnsi="宋体" w:cs="宋体"/>
          <w:szCs w:val="21"/>
        </w:rPr>
      </w:pPr>
      <w:r>
        <w:rPr>
          <w:rFonts w:hint="eastAsia" w:ascii="宋体" w:hAnsi="宋体" w:cs="宋体"/>
          <w:szCs w:val="21"/>
        </w:rPr>
        <w:t>电源供应及监测：备用电池为所有部件提供至少</w:t>
      </w:r>
      <w:r>
        <w:rPr>
          <w:rFonts w:ascii="宋体" w:hAnsi="宋体" w:cs="宋体"/>
          <w:szCs w:val="21"/>
        </w:rPr>
        <w:t>60</w:t>
      </w:r>
      <w:r>
        <w:rPr>
          <w:rFonts w:hint="eastAsia" w:ascii="宋体" w:hAnsi="宋体" w:cs="宋体"/>
          <w:szCs w:val="21"/>
        </w:rPr>
        <w:t>分钟供电</w:t>
      </w:r>
      <w:r>
        <w:rPr>
          <w:rFonts w:hint="eastAsia" w:ascii="宋体" w:hAnsi="宋体" w:cs="宋体"/>
          <w:szCs w:val="21"/>
          <w:lang w:eastAsia="zh-CN"/>
        </w:rPr>
        <w:t>；</w:t>
      </w:r>
    </w:p>
    <w:p>
      <w:pPr>
        <w:numPr>
          <w:ilvl w:val="0"/>
          <w:numId w:val="45"/>
        </w:numPr>
        <w:spacing w:line="400" w:lineRule="exact"/>
        <w:ind w:left="0" w:leftChars="0" w:firstLine="403" w:firstLineChars="0"/>
        <w:rPr>
          <w:rFonts w:hint="eastAsia" w:ascii="宋体" w:hAnsi="宋体" w:cs="宋体"/>
          <w:b w:val="0"/>
          <w:bCs w:val="0"/>
          <w:szCs w:val="21"/>
        </w:rPr>
      </w:pPr>
      <w:r>
        <w:rPr>
          <w:rFonts w:hint="eastAsia" w:ascii="宋体" w:hAnsi="宋体" w:cs="宋体"/>
          <w:b w:val="0"/>
          <w:bCs w:val="0"/>
          <w:szCs w:val="21"/>
        </w:rPr>
        <w:t>新鲜气体混合系统要求：</w:t>
      </w:r>
    </w:p>
    <w:p>
      <w:pPr>
        <w:numPr>
          <w:ilvl w:val="0"/>
          <w:numId w:val="47"/>
        </w:numPr>
        <w:spacing w:line="400" w:lineRule="exact"/>
        <w:ind w:left="0" w:leftChars="0" w:firstLine="403" w:firstLineChars="0"/>
        <w:rPr>
          <w:rFonts w:ascii="宋体" w:cs="宋体"/>
          <w:szCs w:val="21"/>
        </w:rPr>
      </w:pPr>
      <w:r>
        <w:rPr>
          <w:rFonts w:hint="eastAsia" w:ascii="宋体" w:hAnsi="宋体" w:cs="宋体"/>
          <w:szCs w:val="21"/>
        </w:rPr>
        <w:t>具有快速充氧装置，最大能提供</w:t>
      </w:r>
      <w:r>
        <w:rPr>
          <w:rFonts w:ascii="宋体" w:hAnsi="宋体" w:cs="宋体"/>
          <w:szCs w:val="21"/>
        </w:rPr>
        <w:t>35-75L/min</w:t>
      </w:r>
      <w:r>
        <w:rPr>
          <w:rFonts w:hint="eastAsia" w:ascii="宋体" w:hAnsi="宋体" w:cs="宋体"/>
          <w:szCs w:val="21"/>
        </w:rPr>
        <w:t>的氧气流速</w:t>
      </w:r>
      <w:r>
        <w:rPr>
          <w:rFonts w:hint="eastAsia" w:ascii="宋体" w:hAnsi="宋体" w:cs="宋体"/>
          <w:szCs w:val="21"/>
          <w:lang w:eastAsia="zh-CN"/>
        </w:rPr>
        <w:t>；</w:t>
      </w:r>
    </w:p>
    <w:p>
      <w:pPr>
        <w:numPr>
          <w:ilvl w:val="0"/>
          <w:numId w:val="47"/>
        </w:numPr>
        <w:spacing w:line="400" w:lineRule="exact"/>
        <w:ind w:left="1058" w:leftChars="191" w:hanging="657" w:firstLineChars="0"/>
        <w:rPr>
          <w:rFonts w:hint="eastAsia" w:ascii="宋体" w:hAnsi="宋体" w:cs="宋体"/>
          <w:szCs w:val="21"/>
        </w:rPr>
      </w:pPr>
      <w:r>
        <w:rPr>
          <w:rFonts w:hint="eastAsia" w:ascii="宋体" w:hAnsi="宋体" w:cs="宋体"/>
          <w:szCs w:val="21"/>
        </w:rPr>
        <w:t>具备潮气量动态顺应性补偿，保证潮气量输送准确；具有新鲜气体隔离阀，保证潮气量精确输出</w:t>
      </w:r>
      <w:r>
        <w:rPr>
          <w:rFonts w:hint="eastAsia" w:ascii="宋体" w:hAnsi="宋体" w:cs="宋体"/>
          <w:szCs w:val="21"/>
          <w:lang w:eastAsia="zh-CN"/>
        </w:rPr>
        <w:t>；</w:t>
      </w:r>
    </w:p>
    <w:p>
      <w:pPr>
        <w:numPr>
          <w:ilvl w:val="0"/>
          <w:numId w:val="47"/>
        </w:numPr>
        <w:spacing w:line="400" w:lineRule="exact"/>
        <w:ind w:left="1058" w:leftChars="191" w:hanging="657" w:firstLineChars="0"/>
        <w:rPr>
          <w:rFonts w:hint="eastAsia" w:ascii="宋体" w:hAnsi="宋体" w:cs="宋体"/>
          <w:szCs w:val="21"/>
        </w:rPr>
      </w:pPr>
      <w:r>
        <w:rPr>
          <w:sz w:val="21"/>
        </w:rPr>
        <w:pict>
          <v:shape id="_x0000_s1058" o:spid="_x0000_s1058" o:spt="202" type="#_x0000_t202" style="position:absolute;left:0pt;margin-left:-9.5pt;margin-top:2.1pt;height:23.55pt;width:24.85pt;z-index:251669504;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吸收罐：旁通开关与吸收罐固定控制杆为同一开关，操作简便,保证操作时的回路气密性；便捷术中更换钠石灰，用于快速催醒病人；单罐体设计，总容量≥1.5L</w:t>
      </w:r>
      <w:r>
        <w:rPr>
          <w:rFonts w:hint="eastAsia" w:ascii="宋体" w:hAnsi="宋体" w:cs="宋体"/>
          <w:szCs w:val="21"/>
          <w:lang w:eastAsia="zh-CN"/>
        </w:rPr>
        <w:t>；</w:t>
      </w:r>
    </w:p>
    <w:p>
      <w:pPr>
        <w:numPr>
          <w:ilvl w:val="0"/>
          <w:numId w:val="47"/>
        </w:numPr>
        <w:spacing w:line="400" w:lineRule="exact"/>
        <w:ind w:left="1058" w:leftChars="191" w:hanging="657" w:firstLineChars="0"/>
        <w:rPr>
          <w:rFonts w:hint="eastAsia" w:ascii="宋体" w:hAnsi="宋体" w:cs="宋体"/>
          <w:szCs w:val="21"/>
        </w:rPr>
      </w:pPr>
      <w:r>
        <w:rPr>
          <w:rFonts w:hint="eastAsia" w:ascii="宋体" w:hAnsi="宋体" w:cs="宋体"/>
          <w:szCs w:val="21"/>
        </w:rPr>
        <w:t>挥发罐系统：具有激光标定刻度，具备完善的温度、流量和压力补偿功能和互锁装置，十年免校准，免维护，最大刻度250ml，支持安氟醚ENF、异氟醚ISO和七氟醚SEV；提供工作照亮功能</w:t>
      </w:r>
      <w:r>
        <w:rPr>
          <w:rFonts w:hint="eastAsia" w:ascii="宋体" w:hAnsi="宋体" w:cs="宋体"/>
          <w:szCs w:val="21"/>
          <w:lang w:eastAsia="zh-CN"/>
        </w:rPr>
        <w:t>；</w:t>
      </w:r>
    </w:p>
    <w:p>
      <w:pPr>
        <w:numPr>
          <w:ilvl w:val="0"/>
          <w:numId w:val="47"/>
        </w:numPr>
        <w:spacing w:line="400" w:lineRule="exact"/>
        <w:ind w:left="1058" w:leftChars="191" w:hanging="657" w:firstLineChars="0"/>
        <w:rPr>
          <w:rFonts w:hint="eastAsia" w:ascii="宋体" w:hAnsi="宋体" w:cs="宋体"/>
          <w:szCs w:val="21"/>
        </w:rPr>
      </w:pPr>
      <w:r>
        <w:rPr>
          <w:sz w:val="21"/>
        </w:rPr>
        <w:pict>
          <v:shape id="_x0000_s1057" o:spid="_x0000_s1057" o:spt="202" type="#_x0000_t202" style="position:absolute;left:0pt;margin-left:-7.65pt;margin-top:1.6pt;height:18.85pt;width:22pt;z-index:251668480;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标配双罐位，采用同品牌挥发罐</w:t>
      </w:r>
      <w:r>
        <w:rPr>
          <w:rFonts w:hint="eastAsia" w:ascii="宋体" w:hAnsi="宋体" w:cs="宋体"/>
          <w:szCs w:val="21"/>
          <w:lang w:eastAsia="zh-CN"/>
        </w:rPr>
        <w:t>；</w:t>
      </w:r>
    </w:p>
    <w:p>
      <w:pPr>
        <w:numPr>
          <w:ilvl w:val="0"/>
          <w:numId w:val="45"/>
        </w:numPr>
        <w:spacing w:line="400" w:lineRule="exact"/>
        <w:ind w:left="0" w:leftChars="0" w:firstLine="403" w:firstLineChars="0"/>
        <w:rPr>
          <w:rFonts w:hint="eastAsia" w:ascii="宋体" w:hAnsi="宋体" w:cs="宋体"/>
          <w:b w:val="0"/>
          <w:bCs w:val="0"/>
          <w:szCs w:val="21"/>
        </w:rPr>
      </w:pPr>
      <w:r>
        <w:rPr>
          <w:rFonts w:hint="eastAsia" w:ascii="宋体" w:hAnsi="宋体" w:cs="宋体"/>
          <w:b w:val="0"/>
          <w:bCs w:val="0"/>
          <w:szCs w:val="21"/>
        </w:rPr>
        <w:t>通气模块功能：</w:t>
      </w:r>
    </w:p>
    <w:p>
      <w:pPr>
        <w:numPr>
          <w:ilvl w:val="0"/>
          <w:numId w:val="48"/>
        </w:numPr>
        <w:spacing w:line="400" w:lineRule="exact"/>
        <w:ind w:left="1058" w:leftChars="200" w:hanging="638" w:firstLineChars="0"/>
        <w:rPr>
          <w:rFonts w:ascii="宋体" w:cs="宋体"/>
          <w:szCs w:val="21"/>
        </w:rPr>
      </w:pPr>
      <w:r>
        <w:rPr>
          <w:sz w:val="21"/>
        </w:rPr>
        <w:pict>
          <v:shape id="_x0000_s1056" o:spid="_x0000_s1056" o:spt="202" type="#_x0000_t202" style="position:absolute;left:0pt;margin-left:-7.15pt;margin-top:1.75pt;height:20.3pt;width:24.85pt;z-index:251667456;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color w:val="000000"/>
          <w:szCs w:val="21"/>
        </w:rPr>
        <w:t>呼吸</w:t>
      </w:r>
      <w:r>
        <w:rPr>
          <w:rFonts w:hint="eastAsia" w:ascii="宋体" w:hAnsi="宋体" w:cs="宋体"/>
          <w:szCs w:val="21"/>
        </w:rPr>
        <w:t>回路具有加热恒温装置：减少冷凝水，给吸入气体加温、保湿，让患者更加舒适（提供相关证明文件）</w:t>
      </w:r>
      <w:r>
        <w:rPr>
          <w:rFonts w:hint="eastAsia" w:ascii="宋体" w:hAnsi="宋体" w:cs="宋体"/>
          <w:szCs w:val="21"/>
          <w:lang w:eastAsia="zh-CN"/>
        </w:rPr>
        <w:t>；</w:t>
      </w:r>
    </w:p>
    <w:p>
      <w:pPr>
        <w:numPr>
          <w:ilvl w:val="0"/>
          <w:numId w:val="48"/>
        </w:numPr>
        <w:spacing w:line="400" w:lineRule="exact"/>
        <w:ind w:left="1058" w:leftChars="200" w:hanging="638" w:firstLineChars="0"/>
        <w:rPr>
          <w:rFonts w:ascii="宋体" w:hAnsi="宋体" w:cs="宋体"/>
          <w:szCs w:val="21"/>
        </w:rPr>
      </w:pPr>
      <w:r>
        <w:rPr>
          <w:sz w:val="21"/>
        </w:rPr>
        <w:pict>
          <v:shape id="_x0000_s1055" o:spid="_x0000_s1055" o:spt="202" type="#_x0000_t202" style="position:absolute;left:0pt;margin-left:-6.2pt;margin-top:1.75pt;height:19.85pt;width:20.55pt;z-index:251666432;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提供多种通气模式：容量控制通气模式（</w:t>
      </w:r>
      <w:r>
        <w:rPr>
          <w:rFonts w:ascii="宋体" w:hAnsi="宋体" w:cs="宋体"/>
          <w:szCs w:val="21"/>
        </w:rPr>
        <w:t>VCV</w:t>
      </w:r>
      <w:r>
        <w:rPr>
          <w:rFonts w:hint="eastAsia" w:ascii="宋体" w:hAnsi="宋体" w:cs="宋体"/>
          <w:szCs w:val="21"/>
        </w:rPr>
        <w:t>）</w:t>
      </w:r>
      <w:r>
        <w:rPr>
          <w:rFonts w:ascii="宋体" w:hAnsi="宋体" w:cs="宋体"/>
          <w:szCs w:val="21"/>
        </w:rPr>
        <w:t>,</w:t>
      </w:r>
      <w:r>
        <w:rPr>
          <w:rFonts w:hint="eastAsia" w:ascii="宋体" w:hAnsi="宋体" w:cs="宋体"/>
          <w:szCs w:val="21"/>
        </w:rPr>
        <w:t>压力控制通气模式（</w:t>
      </w:r>
      <w:r>
        <w:rPr>
          <w:rFonts w:ascii="宋体" w:hAnsi="宋体" w:cs="宋体"/>
          <w:szCs w:val="21"/>
        </w:rPr>
        <w:t>PCV),</w:t>
      </w:r>
      <w:r>
        <w:rPr>
          <w:rFonts w:hint="eastAsia" w:ascii="宋体" w:hAnsi="宋体" w:cs="宋体"/>
          <w:szCs w:val="21"/>
        </w:rPr>
        <w:t>手控</w:t>
      </w:r>
      <w:r>
        <w:rPr>
          <w:rFonts w:ascii="宋体" w:hAnsi="宋体" w:cs="宋体"/>
          <w:szCs w:val="21"/>
        </w:rPr>
        <w:t>/</w:t>
      </w:r>
      <w:r>
        <w:rPr>
          <w:rFonts w:hint="eastAsia" w:ascii="宋体" w:hAnsi="宋体" w:cs="宋体"/>
          <w:szCs w:val="21"/>
        </w:rPr>
        <w:t>自主呼吸模式（</w:t>
      </w:r>
      <w:r>
        <w:rPr>
          <w:rFonts w:ascii="宋体" w:hAnsi="宋体" w:cs="宋体"/>
          <w:szCs w:val="21"/>
        </w:rPr>
        <w:t>SPONT</w:t>
      </w:r>
      <w:r>
        <w:rPr>
          <w:rFonts w:hint="eastAsia" w:ascii="宋体" w:hAnsi="宋体" w:cs="宋体"/>
          <w:szCs w:val="21"/>
        </w:rPr>
        <w:t>），同步间隙指令通气模式（</w:t>
      </w:r>
      <w:r>
        <w:rPr>
          <w:rFonts w:ascii="宋体" w:hAnsi="宋体" w:cs="宋体"/>
          <w:szCs w:val="21"/>
        </w:rPr>
        <w:t>SIMV</w:t>
      </w:r>
      <w:r>
        <w:rPr>
          <w:rFonts w:hint="eastAsia" w:ascii="宋体" w:hAnsi="宋体" w:cs="宋体"/>
          <w:szCs w:val="21"/>
        </w:rPr>
        <w:t>），指令分钟通气量通气模式（</w:t>
      </w:r>
      <w:r>
        <w:rPr>
          <w:rFonts w:ascii="宋体" w:hAnsi="宋体" w:cs="宋体"/>
          <w:szCs w:val="21"/>
        </w:rPr>
        <w:t>SMMV</w:t>
      </w:r>
      <w:r>
        <w:rPr>
          <w:rFonts w:hint="eastAsia" w:ascii="宋体" w:hAnsi="宋体" w:cs="宋体"/>
          <w:szCs w:val="21"/>
        </w:rPr>
        <w:t>）和压力支持通气模式（</w:t>
      </w:r>
      <w:r>
        <w:rPr>
          <w:rFonts w:ascii="宋体" w:hAnsi="宋体" w:cs="宋体"/>
          <w:szCs w:val="21"/>
        </w:rPr>
        <w:t>PSV</w:t>
      </w:r>
      <w:r>
        <w:rPr>
          <w:rFonts w:hint="eastAsia" w:ascii="宋体" w:hAnsi="宋体" w:cs="宋体"/>
          <w:szCs w:val="21"/>
        </w:rPr>
        <w:t>）（提供相关证明文件）</w:t>
      </w:r>
      <w:r>
        <w:rPr>
          <w:rFonts w:hint="eastAsia" w:ascii="宋体" w:hAnsi="宋体" w:cs="宋体"/>
          <w:szCs w:val="21"/>
          <w:lang w:eastAsia="zh-CN"/>
        </w:rPr>
        <w:t>；</w:t>
      </w:r>
    </w:p>
    <w:p>
      <w:pPr>
        <w:numPr>
          <w:ilvl w:val="0"/>
          <w:numId w:val="45"/>
        </w:numPr>
        <w:spacing w:line="400" w:lineRule="exact"/>
        <w:ind w:left="0" w:leftChars="0" w:firstLine="403" w:firstLineChars="0"/>
        <w:rPr>
          <w:rFonts w:hint="eastAsia" w:ascii="宋体" w:hAnsi="宋体" w:cs="宋体"/>
          <w:b w:val="0"/>
          <w:bCs w:val="0"/>
          <w:szCs w:val="21"/>
        </w:rPr>
      </w:pPr>
      <w:r>
        <w:rPr>
          <w:rFonts w:hint="eastAsia" w:ascii="宋体" w:hAnsi="宋体" w:cs="宋体"/>
          <w:b w:val="0"/>
          <w:bCs w:val="0"/>
          <w:szCs w:val="21"/>
        </w:rPr>
        <w:t>通气呼吸机参数及设置范围：</w:t>
      </w:r>
    </w:p>
    <w:p>
      <w:pPr>
        <w:numPr>
          <w:ilvl w:val="0"/>
          <w:numId w:val="49"/>
        </w:numPr>
        <w:spacing w:line="400" w:lineRule="exact"/>
        <w:ind w:left="0" w:leftChars="0" w:firstLine="403" w:firstLineChars="0"/>
        <w:rPr>
          <w:rFonts w:ascii="宋体" w:cs="宋体"/>
          <w:szCs w:val="21"/>
        </w:rPr>
      </w:pPr>
      <w:r>
        <w:rPr>
          <w:sz w:val="21"/>
        </w:rPr>
        <w:pict>
          <v:shape id="_x0000_s1054" o:spid="_x0000_s1054" o:spt="202" type="#_x0000_t202" style="position:absolute;left:0pt;margin-left:-5.1pt;margin-top:1.4pt;height:21.2pt;width:21.4pt;z-index:251665408;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潮气量设定值：</w:t>
      </w:r>
      <w:r>
        <w:rPr>
          <w:rFonts w:ascii="宋体" w:hAnsi="宋体" w:cs="宋体"/>
          <w:szCs w:val="21"/>
        </w:rPr>
        <w:t>20 - 1600mL</w:t>
      </w:r>
      <w:r>
        <w:rPr>
          <w:rFonts w:hint="eastAsia" w:ascii="宋体" w:hAnsi="宋体" w:cs="宋体"/>
          <w:szCs w:val="21"/>
        </w:rPr>
        <w:t>（提供相关证明文件）</w:t>
      </w:r>
      <w:r>
        <w:rPr>
          <w:rFonts w:hint="eastAsia" w:ascii="宋体" w:hAnsi="宋体" w:cs="宋体"/>
          <w:szCs w:val="21"/>
          <w:lang w:eastAsia="zh-CN"/>
        </w:rPr>
        <w:t>；</w:t>
      </w:r>
    </w:p>
    <w:p>
      <w:pPr>
        <w:numPr>
          <w:ilvl w:val="0"/>
          <w:numId w:val="49"/>
        </w:numPr>
        <w:spacing w:line="400" w:lineRule="exact"/>
        <w:ind w:left="0" w:leftChars="0" w:firstLine="403" w:firstLineChars="0"/>
        <w:rPr>
          <w:rFonts w:ascii="宋体" w:hAnsi="宋体" w:cs="宋体"/>
          <w:szCs w:val="21"/>
        </w:rPr>
      </w:pPr>
      <w:r>
        <w:rPr>
          <w:rFonts w:ascii="宋体" w:hAnsi="宋体" w:cs="宋体"/>
          <w:szCs w:val="21"/>
        </w:rPr>
        <w:t>PEEP</w:t>
      </w:r>
      <w:r>
        <w:rPr>
          <w:rFonts w:hint="eastAsia" w:ascii="宋体" w:hAnsi="宋体" w:cs="宋体"/>
          <w:szCs w:val="21"/>
        </w:rPr>
        <w:t>设置范围：</w:t>
      </w:r>
      <w:r>
        <w:rPr>
          <w:rFonts w:ascii="宋体" w:hAnsi="宋体" w:cs="宋体"/>
          <w:szCs w:val="21"/>
        </w:rPr>
        <w:t>OFF,4-20cmH2O</w:t>
      </w:r>
      <w:r>
        <w:rPr>
          <w:rFonts w:hint="eastAsia" w:ascii="宋体" w:hAnsi="宋体" w:cs="宋体"/>
          <w:szCs w:val="21"/>
          <w:lang w:eastAsia="zh-CN"/>
        </w:rPr>
        <w:t>；</w:t>
      </w:r>
    </w:p>
    <w:p>
      <w:pPr>
        <w:numPr>
          <w:ilvl w:val="0"/>
          <w:numId w:val="49"/>
        </w:numPr>
        <w:spacing w:line="400" w:lineRule="exact"/>
        <w:ind w:left="0" w:leftChars="0" w:firstLine="403" w:firstLineChars="0"/>
        <w:rPr>
          <w:rFonts w:ascii="宋体" w:hAnsi="宋体" w:cs="宋体"/>
          <w:szCs w:val="21"/>
        </w:rPr>
      </w:pPr>
      <w:r>
        <w:rPr>
          <w:rFonts w:hint="eastAsia" w:ascii="宋体" w:hAnsi="宋体" w:cs="宋体"/>
          <w:szCs w:val="21"/>
        </w:rPr>
        <w:t>呼吸频率设置范围：</w:t>
      </w:r>
      <w:r>
        <w:rPr>
          <w:rFonts w:ascii="宋体" w:hAnsi="宋体" w:cs="宋体"/>
          <w:szCs w:val="21"/>
        </w:rPr>
        <w:t xml:space="preserve"> 4-100bpm</w:t>
      </w:r>
      <w:r>
        <w:rPr>
          <w:rFonts w:hint="eastAsia" w:ascii="宋体" w:hAnsi="宋体" w:cs="宋体"/>
          <w:szCs w:val="21"/>
          <w:lang w:eastAsia="zh-CN"/>
        </w:rPr>
        <w:t>；</w:t>
      </w:r>
    </w:p>
    <w:p>
      <w:pPr>
        <w:numPr>
          <w:ilvl w:val="0"/>
          <w:numId w:val="49"/>
        </w:numPr>
        <w:spacing w:line="400" w:lineRule="exact"/>
        <w:ind w:left="0" w:leftChars="0" w:firstLine="403" w:firstLineChars="0"/>
        <w:rPr>
          <w:rFonts w:ascii="宋体" w:hAnsi="宋体" w:cs="宋体"/>
          <w:szCs w:val="21"/>
        </w:rPr>
      </w:pPr>
      <w:r>
        <w:rPr>
          <w:sz w:val="21"/>
        </w:rPr>
        <w:pict>
          <v:shape id="_x0000_s1053" o:spid="_x0000_s1053" o:spt="202" type="#_x0000_t202" style="position:absolute;left:0pt;margin-left:-4.8pt;margin-top:2.35pt;height:21.2pt;width:20.55pt;z-index:251664384;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p/>
              </w:txbxContent>
            </v:textbox>
          </v:shape>
        </w:pict>
      </w:r>
      <w:r>
        <w:rPr>
          <w:rFonts w:hint="eastAsia" w:ascii="宋体" w:hAnsi="宋体" w:cs="宋体"/>
          <w:szCs w:val="21"/>
        </w:rPr>
        <w:t>吸呼比设置范围：</w:t>
      </w:r>
      <w:r>
        <w:rPr>
          <w:rFonts w:ascii="宋体" w:hAnsi="宋体" w:cs="宋体"/>
          <w:szCs w:val="21"/>
        </w:rPr>
        <w:t>5</w:t>
      </w:r>
      <w:r>
        <w:rPr>
          <w:rFonts w:hint="eastAsia" w:ascii="宋体" w:hAnsi="宋体" w:cs="宋体"/>
          <w:szCs w:val="21"/>
        </w:rPr>
        <w:t>：</w:t>
      </w:r>
      <w:r>
        <w:rPr>
          <w:rFonts w:ascii="宋体" w:hAnsi="宋体" w:cs="宋体"/>
          <w:szCs w:val="21"/>
        </w:rPr>
        <w:t>1 -1</w:t>
      </w:r>
      <w:r>
        <w:rPr>
          <w:rFonts w:hint="eastAsia" w:ascii="宋体" w:hAnsi="宋体" w:cs="宋体"/>
          <w:szCs w:val="21"/>
        </w:rPr>
        <w:t>：</w:t>
      </w:r>
      <w:r>
        <w:rPr>
          <w:rFonts w:ascii="宋体" w:hAnsi="宋体" w:cs="宋体"/>
          <w:szCs w:val="21"/>
        </w:rPr>
        <w:t>8</w:t>
      </w:r>
      <w:r>
        <w:rPr>
          <w:rFonts w:hint="eastAsia" w:ascii="宋体" w:hAnsi="宋体" w:cs="宋体"/>
          <w:szCs w:val="21"/>
          <w:lang w:eastAsia="zh-CN"/>
        </w:rPr>
        <w:t>；</w:t>
      </w:r>
    </w:p>
    <w:p>
      <w:pPr>
        <w:numPr>
          <w:ilvl w:val="0"/>
          <w:numId w:val="49"/>
        </w:numPr>
        <w:spacing w:line="400" w:lineRule="exact"/>
        <w:ind w:left="0" w:leftChars="0" w:firstLine="403" w:firstLineChars="0"/>
        <w:rPr>
          <w:rFonts w:ascii="宋体" w:hAnsi="宋体" w:cs="宋体"/>
          <w:szCs w:val="21"/>
        </w:rPr>
      </w:pPr>
      <w:r>
        <w:rPr>
          <w:rFonts w:hint="eastAsia" w:ascii="宋体" w:hAnsi="宋体" w:cs="宋体"/>
          <w:szCs w:val="21"/>
        </w:rPr>
        <w:t>压力限制</w:t>
      </w:r>
      <w:r>
        <w:rPr>
          <w:rFonts w:ascii="宋体" w:hAnsi="宋体" w:cs="宋体"/>
          <w:szCs w:val="21"/>
        </w:rPr>
        <w:t xml:space="preserve"> Pmax</w:t>
      </w:r>
      <w:r>
        <w:rPr>
          <w:rFonts w:hint="eastAsia" w:ascii="宋体" w:hAnsi="宋体" w:cs="宋体"/>
          <w:szCs w:val="21"/>
        </w:rPr>
        <w:t>设置范围</w:t>
      </w:r>
      <w:r>
        <w:rPr>
          <w:rFonts w:ascii="宋体" w:hAnsi="宋体" w:cs="宋体"/>
          <w:szCs w:val="21"/>
        </w:rPr>
        <w:t>: 5</w:t>
      </w:r>
      <w:r>
        <w:rPr>
          <w:rFonts w:hint="eastAsia" w:ascii="宋体" w:hAnsi="宋体" w:cs="宋体"/>
          <w:szCs w:val="21"/>
        </w:rPr>
        <w:t>－</w:t>
      </w:r>
      <w:r>
        <w:rPr>
          <w:rFonts w:ascii="宋体" w:hAnsi="宋体" w:cs="宋体"/>
          <w:szCs w:val="21"/>
        </w:rPr>
        <w:t>70 cmH2O</w:t>
      </w:r>
      <w:r>
        <w:rPr>
          <w:rFonts w:hint="eastAsia" w:ascii="宋体" w:hAnsi="宋体" w:cs="宋体"/>
          <w:szCs w:val="21"/>
          <w:lang w:eastAsia="zh-CN"/>
        </w:rPr>
        <w:t>；</w:t>
      </w:r>
    </w:p>
    <w:p>
      <w:pPr>
        <w:numPr>
          <w:ilvl w:val="0"/>
          <w:numId w:val="49"/>
        </w:numPr>
        <w:spacing w:line="400" w:lineRule="exact"/>
        <w:ind w:left="0" w:leftChars="0" w:firstLine="403" w:firstLineChars="0"/>
        <w:rPr>
          <w:rFonts w:ascii="宋体" w:hAnsi="宋体" w:cs="宋体"/>
          <w:szCs w:val="21"/>
        </w:rPr>
      </w:pPr>
      <w:r>
        <w:rPr>
          <w:rFonts w:hint="eastAsia" w:ascii="宋体" w:hAnsi="宋体" w:cs="宋体"/>
          <w:szCs w:val="21"/>
        </w:rPr>
        <w:t>吸气流速：</w:t>
      </w:r>
      <w:r>
        <w:rPr>
          <w:rFonts w:ascii="宋体" w:hAnsi="宋体" w:cs="宋体"/>
          <w:szCs w:val="21"/>
        </w:rPr>
        <w:t>2-75L/min</w:t>
      </w:r>
      <w:r>
        <w:rPr>
          <w:rFonts w:hint="eastAsia" w:ascii="宋体" w:hAnsi="宋体" w:cs="宋体"/>
          <w:szCs w:val="21"/>
          <w:lang w:eastAsia="zh-CN"/>
        </w:rPr>
        <w:t>；</w:t>
      </w:r>
    </w:p>
    <w:p>
      <w:pPr>
        <w:numPr>
          <w:ilvl w:val="0"/>
          <w:numId w:val="49"/>
        </w:numPr>
        <w:spacing w:line="400" w:lineRule="exact"/>
        <w:ind w:left="0" w:leftChars="0" w:firstLine="403" w:firstLineChars="0"/>
        <w:rPr>
          <w:rFonts w:ascii="宋体" w:hAnsi="宋体" w:cs="宋体"/>
          <w:szCs w:val="21"/>
        </w:rPr>
      </w:pPr>
      <w:r>
        <w:rPr>
          <w:rFonts w:hint="eastAsia" w:ascii="宋体" w:hAnsi="宋体" w:cs="宋体"/>
          <w:szCs w:val="21"/>
        </w:rPr>
        <w:t>吸气保持时间：可设置</w:t>
      </w:r>
      <w:r>
        <w:rPr>
          <w:rFonts w:ascii="宋体" w:hAnsi="宋体" w:cs="宋体"/>
          <w:szCs w:val="21"/>
        </w:rPr>
        <w:t>0-60%</w:t>
      </w:r>
      <w:r>
        <w:rPr>
          <w:rFonts w:hint="eastAsia" w:ascii="宋体" w:hAnsi="宋体" w:cs="宋体"/>
          <w:szCs w:val="21"/>
          <w:lang w:eastAsia="zh-CN"/>
        </w:rPr>
        <w:t>；</w:t>
      </w:r>
    </w:p>
    <w:p>
      <w:pPr>
        <w:numPr>
          <w:ilvl w:val="0"/>
          <w:numId w:val="45"/>
        </w:numPr>
        <w:spacing w:line="400" w:lineRule="exact"/>
        <w:ind w:left="0" w:leftChars="0" w:firstLine="403" w:firstLineChars="0"/>
        <w:rPr>
          <w:rFonts w:hint="eastAsia" w:ascii="宋体" w:hAnsi="宋体" w:cs="宋体"/>
          <w:b w:val="0"/>
          <w:bCs w:val="0"/>
          <w:szCs w:val="21"/>
        </w:rPr>
      </w:pPr>
      <w:r>
        <w:rPr>
          <w:rFonts w:hint="eastAsia" w:ascii="宋体" w:hAnsi="宋体" w:cs="宋体"/>
          <w:b w:val="0"/>
          <w:bCs w:val="0"/>
          <w:szCs w:val="21"/>
        </w:rPr>
        <w:t>报警显示和操作要求：</w:t>
      </w:r>
    </w:p>
    <w:p>
      <w:pPr>
        <w:numPr>
          <w:ilvl w:val="0"/>
          <w:numId w:val="50"/>
        </w:numPr>
        <w:spacing w:line="400" w:lineRule="exact"/>
        <w:ind w:left="0" w:leftChars="0" w:firstLine="403" w:firstLineChars="0"/>
        <w:rPr>
          <w:rFonts w:ascii="宋体" w:cs="宋体"/>
          <w:szCs w:val="21"/>
        </w:rPr>
      </w:pPr>
      <w:r>
        <w:rPr>
          <w:rFonts w:hint="eastAsia" w:ascii="宋体" w:hAnsi="宋体" w:cs="宋体"/>
          <w:szCs w:val="21"/>
        </w:rPr>
        <w:t>中文报警菜单，显示报警信息和报警限值，以便消除报警</w:t>
      </w:r>
      <w:r>
        <w:rPr>
          <w:rFonts w:hint="eastAsia" w:ascii="宋体" w:hAnsi="宋体" w:cs="宋体"/>
          <w:szCs w:val="21"/>
          <w:lang w:eastAsia="zh-CN"/>
        </w:rPr>
        <w:t>；</w:t>
      </w:r>
    </w:p>
    <w:p>
      <w:pPr>
        <w:numPr>
          <w:ilvl w:val="0"/>
          <w:numId w:val="50"/>
        </w:numPr>
        <w:spacing w:line="400" w:lineRule="exact"/>
        <w:ind w:left="1058" w:leftChars="200" w:hanging="638" w:firstLineChars="0"/>
        <w:rPr>
          <w:rFonts w:hint="eastAsia" w:ascii="宋体" w:hAnsi="宋体" w:cs="宋体"/>
          <w:szCs w:val="21"/>
        </w:rPr>
      </w:pPr>
      <w:r>
        <w:rPr>
          <w:rFonts w:hint="eastAsia" w:ascii="宋体" w:hAnsi="宋体" w:cs="宋体"/>
          <w:szCs w:val="21"/>
        </w:rPr>
        <w:t>完善的三级优先声、光报警，报警内容：气道压力报警、分钟通气量报警、管路脱落或阻塞报警、呼出气流控制阀故障报警等，完善的监测系统保证患者安全</w:t>
      </w:r>
      <w:r>
        <w:rPr>
          <w:rFonts w:hint="eastAsia" w:ascii="宋体" w:hAnsi="宋体" w:cs="宋体"/>
          <w:szCs w:val="21"/>
          <w:lang w:eastAsia="zh-CN"/>
        </w:rPr>
        <w:t>；</w:t>
      </w:r>
    </w:p>
    <w:p>
      <w:pPr>
        <w:numPr>
          <w:ilvl w:val="0"/>
          <w:numId w:val="45"/>
        </w:numPr>
        <w:spacing w:line="400" w:lineRule="exact"/>
        <w:ind w:left="1058" w:leftChars="200" w:hanging="638" w:firstLineChars="0"/>
        <w:rPr>
          <w:rFonts w:hint="eastAsia" w:ascii="宋体" w:hAnsi="宋体" w:cs="宋体"/>
          <w:b w:val="0"/>
          <w:bCs w:val="0"/>
          <w:szCs w:val="21"/>
        </w:rPr>
      </w:pPr>
      <w:r>
        <w:rPr>
          <w:sz w:val="21"/>
        </w:rPr>
        <w:pict>
          <v:shape id="_x0000_s1052" o:spid="_x0000_s1052" o:spt="202" type="#_x0000_t202" style="position:absolute;left:0pt;margin-left:-4.8pt;margin-top:0.55pt;height:20.75pt;width:20.65pt;z-index:251663360;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Fonts w:hint="eastAsia" w:ascii="宋体" w:hAnsi="宋体" w:cs="宋体"/>
          <w:b w:val="0"/>
          <w:bCs w:val="0"/>
          <w:szCs w:val="21"/>
        </w:rPr>
        <w:t>通讯数据：RS232通讯接口、VGA接口、USB接口、数据输出接口、打印机接口、肺流量计&amp;切换接口、氧电池接口等（提供相关证明文件）</w:t>
      </w:r>
      <w:r>
        <w:rPr>
          <w:rFonts w:hint="eastAsia" w:ascii="宋体" w:hAnsi="宋体" w:cs="宋体"/>
          <w:b w:val="0"/>
          <w:bCs w:val="0"/>
          <w:szCs w:val="21"/>
          <w:lang w:eastAsia="zh-CN"/>
        </w:rPr>
        <w:t>；</w:t>
      </w:r>
    </w:p>
    <w:p>
      <w:pPr>
        <w:rPr>
          <w:lang w:val="zh-CN"/>
        </w:rPr>
      </w:pPr>
    </w:p>
    <w:p>
      <w:pPr>
        <w:rPr>
          <w:lang w:val="zh-CN"/>
        </w:rPr>
      </w:pPr>
    </w:p>
    <w:p>
      <w:pPr>
        <w:jc w:val="center"/>
        <w:rPr>
          <w:b/>
          <w:color w:val="000000"/>
          <w:highlight w:val="none"/>
        </w:rPr>
      </w:pPr>
    </w:p>
    <w:p>
      <w:pPr>
        <w:jc w:val="center"/>
        <w:rPr>
          <w:sz w:val="24"/>
          <w:szCs w:val="24"/>
          <w:highlight w:val="none"/>
          <w:lang w:val="zh-CN"/>
        </w:rPr>
      </w:pPr>
      <w:r>
        <w:rPr>
          <w:rFonts w:hint="eastAsia" w:ascii="Calibri" w:hAnsi="Calibri" w:eastAsia="宋体" w:cs="Times New Roman"/>
          <w:b/>
          <w:color w:val="000000"/>
          <w:highlight w:val="none"/>
        </w:rPr>
        <w:t>以上技术要求中加注</w:t>
      </w:r>
      <w:r>
        <w:rPr>
          <w:rFonts w:hint="eastAsia" w:ascii="宋体" w:hAnsi="宋体" w:eastAsia="宋体" w:cs="Times New Roman"/>
          <w:b/>
          <w:color w:val="000000"/>
          <w:highlight w:val="none"/>
        </w:rPr>
        <w:t>“＊</w:t>
      </w:r>
      <w:r>
        <w:rPr>
          <w:rFonts w:hint="eastAsia" w:ascii="Calibri" w:hAnsi="Calibri" w:eastAsia="宋体" w:cs="Times New Roman"/>
          <w:b/>
          <w:color w:val="000000"/>
          <w:highlight w:val="none"/>
        </w:rPr>
        <w:t>”号标识的为重要技术参数，负偏离时作为评分因素考量。</w:t>
      </w:r>
    </w:p>
    <w:p>
      <w:pPr>
        <w:rPr>
          <w:sz w:val="24"/>
          <w:szCs w:val="24"/>
          <w:highlight w:val="none"/>
          <w:lang w:val="zh-CN"/>
        </w:rPr>
      </w:pPr>
    </w:p>
    <w:p>
      <w:pPr>
        <w:jc w:val="center"/>
        <w:rPr>
          <w:rFonts w:hint="eastAsia" w:asciiTheme="majorEastAsia" w:hAnsiTheme="majorEastAsia" w:eastAsiaTheme="majorEastAsia" w:cstheme="majorEastAsia"/>
          <w:b/>
          <w:bCs/>
          <w:sz w:val="30"/>
          <w:szCs w:val="30"/>
          <w:highlight w:val="none"/>
          <w:lang w:val="en-US" w:eastAsia="zh-CN"/>
        </w:rPr>
      </w:pPr>
    </w:p>
    <w:p>
      <w:pPr>
        <w:jc w:val="center"/>
        <w:rPr>
          <w:rFonts w:hint="eastAsia" w:asciiTheme="majorEastAsia" w:hAnsiTheme="majorEastAsia" w:eastAsiaTheme="majorEastAsia" w:cstheme="majorEastAsia"/>
          <w:b/>
          <w:bCs/>
          <w:sz w:val="30"/>
          <w:szCs w:val="30"/>
          <w:lang w:val="en-US" w:eastAsia="zh-CN"/>
        </w:rPr>
      </w:pPr>
    </w:p>
    <w:p>
      <w:pPr>
        <w:jc w:val="center"/>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包2</w:t>
      </w:r>
    </w:p>
    <w:p>
      <w:pPr>
        <w:pStyle w:val="2"/>
        <w:numPr>
          <w:ilvl w:val="0"/>
          <w:numId w:val="51"/>
        </w:numPr>
        <w:rPr>
          <w:rFonts w:hint="eastAsia" w:asciiTheme="majorEastAsia" w:hAnsiTheme="majorEastAsia" w:cstheme="majorEastAsia"/>
          <w:b/>
          <w:bCs/>
          <w:sz w:val="30"/>
          <w:szCs w:val="30"/>
          <w:lang w:val="en-US" w:eastAsia="zh-CN"/>
        </w:rPr>
      </w:pPr>
      <w:r>
        <w:rPr>
          <w:rFonts w:hint="eastAsia" w:asciiTheme="majorEastAsia" w:hAnsiTheme="majorEastAsia" w:cstheme="majorEastAsia"/>
          <w:b/>
          <w:bCs/>
          <w:sz w:val="30"/>
          <w:szCs w:val="30"/>
          <w:lang w:val="en-US" w:eastAsia="zh-CN"/>
        </w:rPr>
        <w:t>技术、服务要求</w:t>
      </w:r>
    </w:p>
    <w:p>
      <w:pPr>
        <w:numPr>
          <w:ilvl w:val="0"/>
          <w:numId w:val="52"/>
        </w:numPr>
        <w:tabs>
          <w:tab w:val="left" w:pos="630"/>
        </w:tabs>
        <w:spacing w:line="300" w:lineRule="auto"/>
        <w:ind w:left="0" w:leftChars="0" w:firstLine="400" w:firstLineChars="0"/>
        <w:rPr>
          <w:rFonts w:hint="eastAsia"/>
        </w:rPr>
      </w:pPr>
      <w:r>
        <w:rPr>
          <w:rFonts w:hint="eastAsia"/>
          <w:lang w:val="en-US" w:eastAsia="zh-CN"/>
        </w:rPr>
        <w:t xml:space="preserve">   </w:t>
      </w:r>
      <w:r>
        <w:rPr>
          <w:rFonts w:hint="eastAsia"/>
        </w:rPr>
        <w:t>设备用途：病人的全身麻醉，呼吸和麻醉气体监测，麻醉呼吸的管理</w:t>
      </w:r>
      <w:r>
        <w:rPr>
          <w:rFonts w:hint="eastAsia"/>
          <w:lang w:eastAsia="zh-CN"/>
        </w:rPr>
        <w:t>；</w:t>
      </w:r>
    </w:p>
    <w:p>
      <w:pPr>
        <w:numPr>
          <w:ilvl w:val="0"/>
          <w:numId w:val="52"/>
        </w:numPr>
        <w:tabs>
          <w:tab w:val="left" w:pos="630"/>
        </w:tabs>
        <w:spacing w:line="300" w:lineRule="auto"/>
        <w:ind w:left="0" w:leftChars="0" w:firstLine="400" w:firstLineChars="0"/>
        <w:rPr>
          <w:rFonts w:hint="eastAsia"/>
          <w:b w:val="0"/>
          <w:bCs w:val="0"/>
          <w:lang w:val="en-US" w:eastAsia="zh-CN"/>
        </w:rPr>
      </w:pPr>
      <w:r>
        <w:rPr>
          <w:sz w:val="21"/>
        </w:rPr>
        <w:pict>
          <v:shape id="_x0000_s1068" o:spid="_x0000_s1068" o:spt="202" type="#_x0000_t202" style="position:absolute;left:0pt;margin-left:-6.7pt;margin-top:16.25pt;height:22.2pt;width:19.1pt;z-index:251679744;mso-width-relative:page;mso-height-relative:page;" fillcolor="#FFFFFF" filled="t" stroked="f" coordsize="21600,21600">
            <v:path/>
            <v:fill on="t" color2="#FFFFFF" focussize="0,0"/>
            <v:stroke on="f"/>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w:r>
      <w:r>
        <w:rPr>
          <w:rFonts w:hint="eastAsia"/>
          <w:lang w:val="en-US" w:eastAsia="zh-CN"/>
        </w:rPr>
        <w:t xml:space="preserve">   主要规格和系统概述；</w:t>
      </w:r>
    </w:p>
    <w:p>
      <w:pPr>
        <w:numPr>
          <w:ilvl w:val="0"/>
          <w:numId w:val="53"/>
        </w:numPr>
        <w:bidi w:val="0"/>
      </w:pPr>
      <w:r>
        <w:rPr>
          <w:rFonts w:hint="eastAsia"/>
          <w:highlight w:val="none"/>
          <w:lang w:val="en-US" w:eastAsia="zh-CN"/>
        </w:rPr>
        <w:t xml:space="preserve"> </w:t>
      </w:r>
      <w:r>
        <w:rPr>
          <w:rFonts w:hint="eastAsia"/>
          <w:highlight w:val="none"/>
        </w:rPr>
        <w:t>一体化设计、最新一代的智能化全能麻醉工作站</w:t>
      </w:r>
      <w:r>
        <w:rPr>
          <w:rFonts w:hint="eastAsia"/>
          <w:highlight w:val="none"/>
          <w:lang w:eastAsia="zh-CN"/>
        </w:rPr>
        <w:t>；</w:t>
      </w:r>
    </w:p>
    <w:p>
      <w:pPr>
        <w:numPr>
          <w:ilvl w:val="0"/>
          <w:numId w:val="53"/>
        </w:numPr>
        <w:bidi w:val="0"/>
        <w:rPr>
          <w:rFonts w:hint="eastAsia"/>
          <w:lang w:val="en-US" w:eastAsia="zh-CN"/>
        </w:rPr>
      </w:pPr>
      <w:r>
        <w:rPr>
          <w:rFonts w:hint="eastAsia"/>
          <w:lang w:val="en-US" w:eastAsia="zh-CN"/>
        </w:rPr>
        <w:t xml:space="preserve"> 适用于成人、儿童和新生儿；</w:t>
      </w:r>
    </w:p>
    <w:p>
      <w:pPr>
        <w:numPr>
          <w:ilvl w:val="0"/>
          <w:numId w:val="53"/>
        </w:numPr>
        <w:bidi w:val="0"/>
        <w:rPr>
          <w:rFonts w:hint="eastAsia"/>
          <w:lang w:val="en-US" w:eastAsia="zh-CN"/>
        </w:rPr>
      </w:pPr>
      <w:r>
        <w:rPr>
          <w:rFonts w:hint="eastAsia"/>
          <w:lang w:val="en-US" w:eastAsia="zh-CN"/>
        </w:rPr>
        <w:t xml:space="preserve"> 全自动自检、自动定标，传感器自动校正；</w:t>
      </w:r>
    </w:p>
    <w:p>
      <w:pPr>
        <w:numPr>
          <w:ilvl w:val="0"/>
          <w:numId w:val="53"/>
        </w:numPr>
        <w:bidi w:val="0"/>
        <w:ind w:left="1058" w:leftChars="200" w:hanging="638" w:firstLineChars="0"/>
        <w:rPr>
          <w:rFonts w:hint="eastAsia"/>
          <w:lang w:val="en-US" w:eastAsia="zh-CN"/>
        </w:rPr>
      </w:pPr>
      <w:r>
        <w:rPr>
          <w:rFonts w:hint="eastAsia"/>
          <w:lang w:val="en-US" w:eastAsia="zh-CN"/>
        </w:rPr>
        <w:t xml:space="preserve"> 整机技术标准按麻醉工作站设计：所有参数、波形由一体化彩色大屏幕同屏显示，无须外接屏幕；</w:t>
      </w:r>
    </w:p>
    <w:p>
      <w:pPr>
        <w:numPr>
          <w:ilvl w:val="0"/>
          <w:numId w:val="52"/>
        </w:numPr>
        <w:tabs>
          <w:tab w:val="left" w:pos="630"/>
        </w:tabs>
        <w:spacing w:line="300" w:lineRule="auto"/>
        <w:ind w:left="0" w:leftChars="0" w:firstLine="400" w:firstLineChars="0"/>
        <w:rPr>
          <w:rFonts w:hint="eastAsia"/>
          <w:lang w:val="en-US" w:eastAsia="zh-CN"/>
        </w:rPr>
      </w:pPr>
      <w:r>
        <w:rPr>
          <w:rFonts w:hint="eastAsia"/>
          <w:lang w:val="en-US" w:eastAsia="zh-CN"/>
        </w:rPr>
        <w:t xml:space="preserve">   技术参数</w:t>
      </w:r>
    </w:p>
    <w:p>
      <w:pPr>
        <w:numPr>
          <w:ilvl w:val="0"/>
          <w:numId w:val="54"/>
        </w:numPr>
        <w:spacing w:line="240" w:lineRule="auto"/>
        <w:ind w:left="0" w:leftChars="0" w:firstLine="403" w:firstLineChars="0"/>
        <w:rPr>
          <w:rFonts w:hint="eastAsia" w:ascii="宋体" w:hAnsi="宋体"/>
          <w:szCs w:val="21"/>
        </w:rPr>
      </w:pPr>
      <w:r>
        <w:rPr>
          <w:sz w:val="21"/>
        </w:rPr>
        <w:pict>
          <v:shape id="_x0000_s1067" o:spid="_x0000_s1067" o:spt="202" type="#_x0000_t202" style="position:absolute;left:0pt;margin-left:-9.1pt;margin-top:15pt;height:20.75pt;width:27.25pt;z-index:251678720;mso-width-relative:page;mso-height-relative:page;" fillcolor="#FFFFFF" filled="t" stroked="f" coordsize="21600,21600">
            <v:path/>
            <v:fill on="t" color2="#FFFFFF" focussize="0,0"/>
            <v:stroke on="f"/>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w:r>
      <w:r>
        <w:rPr>
          <w:rFonts w:hint="eastAsia" w:ascii="宋体" w:hAnsi="宋体"/>
          <w:szCs w:val="21"/>
          <w:lang w:val="en-US" w:eastAsia="zh-CN"/>
        </w:rPr>
        <w:t xml:space="preserve"> </w:t>
      </w:r>
      <w:r>
        <w:rPr>
          <w:rFonts w:hint="eastAsia" w:ascii="宋体" w:hAnsi="宋体"/>
          <w:szCs w:val="21"/>
        </w:rPr>
        <w:t>气体输送系统</w:t>
      </w:r>
    </w:p>
    <w:p>
      <w:pPr>
        <w:numPr>
          <w:ilvl w:val="0"/>
          <w:numId w:val="55"/>
        </w:numPr>
        <w:tabs>
          <w:tab w:val="left" w:pos="1060"/>
          <w:tab w:val="clear" w:pos="0"/>
        </w:tabs>
        <w:spacing w:line="300" w:lineRule="auto"/>
        <w:ind w:left="1058" w:leftChars="200" w:hanging="638" w:firstLineChars="0"/>
        <w:rPr>
          <w:rStyle w:val="21"/>
          <w:rFonts w:hint="eastAsia"/>
          <w:b w:val="0"/>
          <w:bCs w:val="0"/>
          <w:sz w:val="21"/>
          <w:szCs w:val="21"/>
          <w:highlight w:val="none"/>
        </w:rPr>
      </w:pPr>
      <w:r>
        <w:rPr>
          <w:rStyle w:val="21"/>
          <w:rFonts w:hint="eastAsia"/>
          <w:b w:val="0"/>
          <w:bCs w:val="0"/>
          <w:sz w:val="21"/>
          <w:szCs w:val="21"/>
          <w:highlight w:val="none"/>
        </w:rPr>
        <w:t>电子新鲜气体混合器，笑氧混合或空氧混合</w:t>
      </w:r>
      <w:r>
        <w:rPr>
          <w:rStyle w:val="21"/>
          <w:rFonts w:hint="default"/>
          <w:b w:val="0"/>
          <w:bCs w:val="0"/>
          <w:sz w:val="21"/>
          <w:szCs w:val="21"/>
          <w:highlight w:val="none"/>
        </w:rPr>
        <w:t>，</w:t>
      </w:r>
      <w:r>
        <w:rPr>
          <w:rStyle w:val="21"/>
          <w:rFonts w:hint="eastAsia"/>
          <w:b w:val="0"/>
          <w:bCs w:val="0"/>
          <w:sz w:val="21"/>
          <w:szCs w:val="21"/>
          <w:highlight w:val="none"/>
        </w:rPr>
        <w:t>可直接设置混合气体总流量及氧浓度，新鲜气体总流量设置范围：</w:t>
      </w:r>
      <w:r>
        <w:rPr>
          <w:rStyle w:val="21"/>
          <w:b w:val="0"/>
          <w:bCs w:val="0"/>
          <w:sz w:val="21"/>
          <w:szCs w:val="21"/>
          <w:highlight w:val="none"/>
        </w:rPr>
        <w:t>0</w:t>
      </w:r>
      <w:r>
        <w:rPr>
          <w:rStyle w:val="21"/>
          <w:rFonts w:hint="eastAsia"/>
          <w:b w:val="0"/>
          <w:bCs w:val="0"/>
          <w:sz w:val="21"/>
          <w:szCs w:val="21"/>
          <w:highlight w:val="none"/>
        </w:rPr>
        <w:t>和0.2</w:t>
      </w:r>
      <w:r>
        <w:rPr>
          <w:rStyle w:val="21"/>
          <w:b w:val="0"/>
          <w:bCs w:val="0"/>
          <w:sz w:val="21"/>
          <w:szCs w:val="21"/>
          <w:highlight w:val="none"/>
        </w:rPr>
        <w:t>~18</w:t>
      </w:r>
      <w:r>
        <w:rPr>
          <w:rStyle w:val="21"/>
          <w:rFonts w:hint="eastAsia"/>
          <w:b w:val="0"/>
          <w:bCs w:val="0"/>
          <w:sz w:val="21"/>
          <w:szCs w:val="21"/>
          <w:highlight w:val="none"/>
        </w:rPr>
        <w:t>升/分；氧浓度设置范围：21-</w:t>
      </w:r>
      <w:r>
        <w:rPr>
          <w:rStyle w:val="21"/>
          <w:b w:val="0"/>
          <w:bCs w:val="0"/>
          <w:sz w:val="21"/>
          <w:szCs w:val="21"/>
          <w:highlight w:val="none"/>
        </w:rPr>
        <w:t>100</w:t>
      </w:r>
      <w:r>
        <w:rPr>
          <w:rStyle w:val="21"/>
          <w:rFonts w:hint="eastAsia"/>
          <w:b w:val="0"/>
          <w:bCs w:val="0"/>
          <w:sz w:val="21"/>
          <w:szCs w:val="21"/>
          <w:highlight w:val="none"/>
        </w:rPr>
        <w:t>%</w:t>
      </w:r>
      <w:r>
        <w:rPr>
          <w:rStyle w:val="21"/>
          <w:rFonts w:hint="eastAsia"/>
          <w:b w:val="0"/>
          <w:bCs w:val="0"/>
          <w:sz w:val="21"/>
          <w:szCs w:val="21"/>
          <w:highlight w:val="none"/>
          <w:lang w:eastAsia="zh-CN"/>
        </w:rPr>
        <w:t>；</w:t>
      </w:r>
    </w:p>
    <w:p>
      <w:pPr>
        <w:numPr>
          <w:ilvl w:val="0"/>
          <w:numId w:val="55"/>
        </w:numPr>
        <w:tabs>
          <w:tab w:val="left" w:pos="10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S-ORC笑氧保护装置，确保笑气（N2O）作为载气时，至少25%的氧浓度或不低于200毫升/分钟的氧流量；</w:t>
      </w:r>
    </w:p>
    <w:p>
      <w:pPr>
        <w:numPr>
          <w:ilvl w:val="0"/>
          <w:numId w:val="55"/>
        </w:numPr>
        <w:tabs>
          <w:tab w:val="left" w:pos="10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所有新鲜气体流量信息以虚拟流量计的形式显示在屏幕上；</w:t>
      </w:r>
    </w:p>
    <w:p>
      <w:pPr>
        <w:numPr>
          <w:ilvl w:val="0"/>
          <w:numId w:val="54"/>
        </w:numPr>
        <w:spacing w:line="240" w:lineRule="auto"/>
        <w:ind w:left="0" w:leftChars="0" w:firstLine="403" w:firstLineChars="0"/>
        <w:rPr>
          <w:rFonts w:hint="eastAsia" w:ascii="宋体" w:hAnsi="宋体"/>
          <w:szCs w:val="21"/>
          <w:highlight w:val="none"/>
          <w:lang w:val="en-US" w:eastAsia="zh-CN"/>
        </w:rPr>
      </w:pPr>
      <w:r>
        <w:rPr>
          <w:sz w:val="21"/>
        </w:rPr>
        <w:pict>
          <v:shape id="_x0000_s1066" o:spid="_x0000_s1066" o:spt="202" type="#_x0000_t202" style="position:absolute;left:0pt;margin-left:-4.25pt;margin-top:14.9pt;height:21.7pt;width:24.35pt;z-index:251677696;mso-width-relative:page;mso-height-relative:page;" fillcolor="#FFFFFF" filled="t" stroked="f" coordsize="21600,21600">
            <v:path/>
            <v:fill on="t" color2="#FFFFFF" focussize="0,0"/>
            <v:stroke on="f"/>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w:r>
      <w:r>
        <w:rPr>
          <w:rFonts w:hint="eastAsia" w:ascii="宋体" w:hAnsi="宋体"/>
          <w:szCs w:val="21"/>
          <w:highlight w:val="none"/>
          <w:lang w:val="en-US" w:eastAsia="zh-CN"/>
        </w:rPr>
        <w:t xml:space="preserve"> 麻醉呼吸机</w:t>
      </w:r>
    </w:p>
    <w:p>
      <w:pPr>
        <w:numPr>
          <w:ilvl w:val="0"/>
          <w:numId w:val="56"/>
        </w:numPr>
        <w:tabs>
          <w:tab w:val="left" w:pos="360"/>
        </w:tabs>
        <w:spacing w:line="300" w:lineRule="auto"/>
        <w:ind w:left="1058" w:leftChars="200" w:hanging="638" w:firstLineChars="0"/>
        <w:rPr>
          <w:rStyle w:val="21"/>
          <w:b w:val="0"/>
          <w:bCs w:val="0"/>
          <w:sz w:val="21"/>
          <w:szCs w:val="21"/>
          <w:highlight w:val="none"/>
        </w:rPr>
      </w:pPr>
      <w:r>
        <w:rPr>
          <w:sz w:val="21"/>
        </w:rPr>
        <w:pict>
          <v:shape id="_x0000_s1065" o:spid="_x0000_s1065" o:spt="202" type="#_x0000_t202" style="position:absolute;left:0pt;margin-left:-4.25pt;margin-top:37.9pt;height:22.15pt;width:21pt;z-index:251676672;mso-width-relative:page;mso-height-relative:page;" fillcolor="#FFFFFF" filled="t" stroked="f" coordsize="21600,21600">
            <v:path/>
            <v:fill on="t" color2="#FFFFFF" focussize="0,0"/>
            <v:stroke on="f"/>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w:r>
      <w:r>
        <w:rPr>
          <w:rStyle w:val="21"/>
          <w:rFonts w:hint="eastAsia"/>
          <w:b w:val="0"/>
          <w:bCs w:val="0"/>
          <w:sz w:val="21"/>
          <w:szCs w:val="21"/>
          <w:highlight w:val="none"/>
        </w:rPr>
        <w:t>电动电控呼吸机</w:t>
      </w:r>
      <w:r>
        <w:rPr>
          <w:rFonts w:hint="eastAsia" w:ascii="宋体" w:hAnsi="宋体" w:cs="宋体"/>
          <w:b w:val="0"/>
          <w:bCs w:val="0"/>
          <w:color w:val="000000"/>
          <w:sz w:val="21"/>
          <w:szCs w:val="21"/>
          <w:highlight w:val="none"/>
          <w:lang w:val="en-US" w:eastAsia="zh-CN"/>
        </w:rPr>
        <w:t>或气动电控呼吸机</w:t>
      </w:r>
      <w:r>
        <w:rPr>
          <w:rStyle w:val="21"/>
          <w:rFonts w:hint="eastAsia"/>
          <w:b w:val="0"/>
          <w:bCs w:val="0"/>
          <w:sz w:val="21"/>
          <w:szCs w:val="21"/>
          <w:highlight w:val="none"/>
        </w:rPr>
        <w:t>；在中央气源</w:t>
      </w:r>
      <w:r>
        <w:rPr>
          <w:rStyle w:val="21"/>
          <w:b w:val="0"/>
          <w:bCs w:val="0"/>
          <w:sz w:val="21"/>
          <w:szCs w:val="21"/>
          <w:highlight w:val="none"/>
        </w:rPr>
        <w:t>和钢瓶</w:t>
      </w:r>
      <w:r>
        <w:rPr>
          <w:rStyle w:val="21"/>
          <w:rFonts w:hint="eastAsia"/>
          <w:b w:val="0"/>
          <w:bCs w:val="0"/>
          <w:sz w:val="21"/>
          <w:szCs w:val="21"/>
          <w:highlight w:val="none"/>
        </w:rPr>
        <w:t>供气中断的情况下可抽取室内空气，</w:t>
      </w:r>
      <w:r>
        <w:rPr>
          <w:rStyle w:val="21"/>
          <w:b w:val="0"/>
          <w:bCs w:val="0"/>
          <w:sz w:val="21"/>
          <w:szCs w:val="21"/>
          <w:highlight w:val="none"/>
        </w:rPr>
        <w:t>呼吸机</w:t>
      </w:r>
      <w:r>
        <w:rPr>
          <w:rStyle w:val="21"/>
          <w:rFonts w:hint="eastAsia"/>
          <w:b w:val="0"/>
          <w:bCs w:val="0"/>
          <w:sz w:val="21"/>
          <w:szCs w:val="21"/>
          <w:highlight w:val="none"/>
        </w:rPr>
        <w:t>继续工作</w:t>
      </w:r>
      <w:r>
        <w:rPr>
          <w:rStyle w:val="21"/>
          <w:b w:val="0"/>
          <w:bCs w:val="0"/>
          <w:sz w:val="21"/>
          <w:szCs w:val="21"/>
          <w:highlight w:val="none"/>
        </w:rPr>
        <w:t>，保证病人安全</w:t>
      </w:r>
      <w:r>
        <w:rPr>
          <w:rStyle w:val="21"/>
          <w:rFonts w:hint="eastAsia"/>
          <w:b w:val="0"/>
          <w:bCs w:val="0"/>
          <w:sz w:val="21"/>
          <w:szCs w:val="21"/>
          <w:highlight w:val="none"/>
          <w:lang w:eastAsia="zh-CN"/>
        </w:rPr>
        <w:t>（</w:t>
      </w:r>
      <w:r>
        <w:rPr>
          <w:rStyle w:val="21"/>
          <w:rFonts w:hint="eastAsia"/>
          <w:b w:val="0"/>
          <w:bCs w:val="0"/>
          <w:sz w:val="21"/>
          <w:szCs w:val="21"/>
          <w:highlight w:val="none"/>
          <w:lang w:val="en-US" w:eastAsia="zh-CN"/>
        </w:rPr>
        <w:t>提供相关技术文件</w:t>
      </w:r>
      <w:r>
        <w:rPr>
          <w:rStyle w:val="21"/>
          <w:rFonts w:hint="eastAsia"/>
          <w:b w:val="0"/>
          <w:bCs w:val="0"/>
          <w:sz w:val="21"/>
          <w:szCs w:val="21"/>
          <w:highlight w:val="none"/>
          <w:lang w:eastAsia="zh-CN"/>
        </w:rPr>
        <w:t>）；</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采用新鲜气体隔离技术，确保潮气量输送不受新鲜气体流量变化的影响；</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通气模式：手动/自主、容量控制模式、压力控制模式、SIMV-VC、SIMV-PC、AutoFlow及SIMV-AutoFlow模式；</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AutoFlow结合了容量通气和压力通气模式的优点，根据病人顺应性自动调整吸气流速，保证在最小的气道压力下为病人输送设定的潮气量，避免了峰压；允许病人进行自主呼吸，并能与之保持同步；</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容量控制模式下潮气量设定范围: 20 - 1400 ml；</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吸气压力 Pinsp : (PEEP + 5) – 70 cmH2O（压力模式下）；</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呼吸频率: 3 - 100 次/分；</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吸气时间：0.2 – 6.7秒；</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吸呼比：5:1 - 1:99（源于频率和吸气时间）；</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最大吸气流速为150 L/min；</w:t>
      </w:r>
    </w:p>
    <w:p>
      <w:pPr>
        <w:numPr>
          <w:ilvl w:val="0"/>
          <w:numId w:val="57"/>
        </w:numPr>
        <w:tabs>
          <w:tab w:val="left" w:pos="360"/>
          <w:tab w:val="clear" w:pos="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同步容量和同步压力通气时流量触发可调节，流量触发 : 0.3 - 15 L/min；</w:t>
      </w:r>
    </w:p>
    <w:p>
      <w:pPr>
        <w:numPr>
          <w:ilvl w:val="0"/>
          <w:numId w:val="54"/>
        </w:numPr>
        <w:spacing w:line="240" w:lineRule="auto"/>
        <w:ind w:left="0" w:leftChars="0" w:firstLine="403" w:firstLineChars="0"/>
        <w:rPr>
          <w:rFonts w:hint="eastAsia" w:ascii="宋体" w:hAnsi="宋体"/>
          <w:szCs w:val="21"/>
          <w:lang w:val="en-US" w:eastAsia="zh-CN"/>
        </w:rPr>
      </w:pPr>
      <w:r>
        <w:rPr>
          <w:rFonts w:hint="eastAsia" w:ascii="宋体" w:hAnsi="宋体"/>
          <w:szCs w:val="21"/>
          <w:lang w:val="en-US" w:eastAsia="zh-CN"/>
        </w:rPr>
        <w:t xml:space="preserve"> 呼吸回路：</w:t>
      </w:r>
    </w:p>
    <w:p>
      <w:pPr>
        <w:numPr>
          <w:ilvl w:val="0"/>
          <w:numId w:val="58"/>
        </w:numPr>
        <w:tabs>
          <w:tab w:val="left" w:pos="360"/>
        </w:tabs>
        <w:spacing w:line="300" w:lineRule="auto"/>
        <w:ind w:left="0" w:leftChars="0" w:firstLine="403" w:firstLineChars="0"/>
        <w:rPr>
          <w:rStyle w:val="21"/>
          <w:b w:val="0"/>
          <w:bCs w:val="0"/>
          <w:sz w:val="21"/>
          <w:szCs w:val="21"/>
        </w:rPr>
      </w:pPr>
      <w:r>
        <w:rPr>
          <w:rStyle w:val="21"/>
          <w:rFonts w:hint="eastAsia"/>
          <w:b w:val="0"/>
          <w:bCs w:val="0"/>
          <w:sz w:val="21"/>
          <w:szCs w:val="21"/>
        </w:rPr>
        <w:t>集成呼吸回路，耐</w:t>
      </w:r>
      <w:r>
        <w:rPr>
          <w:rStyle w:val="21"/>
          <w:b w:val="0"/>
          <w:bCs w:val="0"/>
          <w:sz w:val="21"/>
          <w:szCs w:val="21"/>
        </w:rPr>
        <w:t>134</w:t>
      </w:r>
      <w:r>
        <w:rPr>
          <w:rStyle w:val="21"/>
          <w:rFonts w:hint="eastAsia"/>
          <w:b w:val="0"/>
          <w:bCs w:val="0"/>
          <w:sz w:val="21"/>
          <w:szCs w:val="21"/>
        </w:rPr>
        <w:t>℃高温高压消毒；所有回路模块不含橡胶</w:t>
      </w:r>
      <w:r>
        <w:rPr>
          <w:rStyle w:val="21"/>
          <w:rFonts w:hint="eastAsia"/>
          <w:b w:val="0"/>
          <w:bCs w:val="0"/>
          <w:sz w:val="21"/>
          <w:szCs w:val="21"/>
          <w:lang w:eastAsia="zh-CN"/>
        </w:rPr>
        <w:t>；</w:t>
      </w:r>
    </w:p>
    <w:p>
      <w:pPr>
        <w:numPr>
          <w:ilvl w:val="0"/>
          <w:numId w:val="58"/>
        </w:numPr>
        <w:tabs>
          <w:tab w:val="left" w:pos="360"/>
        </w:tabs>
        <w:spacing w:line="300" w:lineRule="auto"/>
        <w:ind w:left="0" w:leftChars="0" w:firstLine="403" w:firstLineChars="0"/>
        <w:rPr>
          <w:rStyle w:val="21"/>
          <w:rFonts w:hint="eastAsia" w:cs="Times New Roman"/>
          <w:b w:val="0"/>
          <w:bCs w:val="0"/>
          <w:sz w:val="21"/>
          <w:szCs w:val="21"/>
        </w:rPr>
      </w:pPr>
      <w:r>
        <w:rPr>
          <w:sz w:val="21"/>
        </w:rPr>
        <w:pict>
          <v:shape id="_x0000_s1064" o:spid="_x0000_s1064" o:spt="202" type="#_x0000_t202" style="position:absolute;left:0pt;margin-left:-3.8pt;margin-top:19.05pt;height:21.7pt;width:19.1pt;z-index:251675648;mso-width-relative:page;mso-height-relative:page;" fillcolor="#FFFFFF" filled="t" stroked="f" coordsize="21600,21600">
            <v:path/>
            <v:fill on="t" color2="#FFFFFF" focussize="0,0"/>
            <v:stroke on="f"/>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w:r>
      <w:r>
        <w:rPr>
          <w:rStyle w:val="21"/>
          <w:rFonts w:hint="eastAsia" w:cs="Times New Roman"/>
          <w:b w:val="0"/>
          <w:bCs w:val="0"/>
          <w:sz w:val="21"/>
          <w:szCs w:val="21"/>
        </w:rPr>
        <w:t>呼吸系统容量：机控通气时一般为4L（包括活塞容积和钠石灰罐1.5L）</w:t>
      </w:r>
      <w:r>
        <w:rPr>
          <w:rStyle w:val="21"/>
          <w:rFonts w:hint="eastAsia" w:cs="Times New Roman"/>
          <w:b w:val="0"/>
          <w:bCs w:val="0"/>
          <w:sz w:val="21"/>
          <w:szCs w:val="21"/>
          <w:lang w:eastAsia="zh-CN"/>
        </w:rPr>
        <w:t>；</w:t>
      </w:r>
    </w:p>
    <w:p>
      <w:pPr>
        <w:numPr>
          <w:ilvl w:val="0"/>
          <w:numId w:val="58"/>
        </w:numPr>
        <w:tabs>
          <w:tab w:val="left" w:pos="360"/>
        </w:tabs>
        <w:spacing w:line="300" w:lineRule="auto"/>
        <w:ind w:left="0" w:leftChars="0" w:firstLine="403" w:firstLineChars="0"/>
        <w:rPr>
          <w:rStyle w:val="21"/>
          <w:rFonts w:hint="eastAsia" w:cs="Times New Roman"/>
          <w:b w:val="0"/>
          <w:bCs w:val="0"/>
          <w:sz w:val="21"/>
          <w:szCs w:val="21"/>
        </w:rPr>
      </w:pPr>
      <w:r>
        <w:rPr>
          <w:rStyle w:val="21"/>
          <w:rFonts w:hint="eastAsia" w:cs="Times New Roman"/>
          <w:b w:val="0"/>
          <w:bCs w:val="0"/>
          <w:sz w:val="21"/>
          <w:szCs w:val="21"/>
        </w:rPr>
        <w:t>一体化的回路加热系统，防止呼吸回路积水</w:t>
      </w:r>
      <w:r>
        <w:rPr>
          <w:rStyle w:val="21"/>
          <w:rFonts w:hint="eastAsia"/>
          <w:b w:val="0"/>
          <w:bCs w:val="0"/>
          <w:sz w:val="21"/>
          <w:szCs w:val="21"/>
          <w:highlight w:val="none"/>
          <w:lang w:eastAsia="zh-CN"/>
        </w:rPr>
        <w:t>（</w:t>
      </w:r>
      <w:r>
        <w:rPr>
          <w:rStyle w:val="21"/>
          <w:rFonts w:hint="eastAsia"/>
          <w:b w:val="0"/>
          <w:bCs w:val="0"/>
          <w:sz w:val="21"/>
          <w:szCs w:val="21"/>
          <w:highlight w:val="none"/>
          <w:lang w:val="en-US" w:eastAsia="zh-CN"/>
        </w:rPr>
        <w:t>提供相关技术文件</w:t>
      </w:r>
      <w:r>
        <w:rPr>
          <w:rStyle w:val="21"/>
          <w:rFonts w:hint="eastAsia"/>
          <w:b w:val="0"/>
          <w:bCs w:val="0"/>
          <w:sz w:val="21"/>
          <w:szCs w:val="21"/>
          <w:highlight w:val="none"/>
          <w:lang w:eastAsia="zh-CN"/>
        </w:rPr>
        <w:t>）</w:t>
      </w:r>
      <w:r>
        <w:rPr>
          <w:rStyle w:val="21"/>
          <w:rFonts w:hint="eastAsia" w:cs="Times New Roman"/>
          <w:b w:val="0"/>
          <w:bCs w:val="0"/>
          <w:sz w:val="21"/>
          <w:szCs w:val="21"/>
        </w:rPr>
        <w:t>；</w:t>
      </w:r>
    </w:p>
    <w:p>
      <w:pPr>
        <w:numPr>
          <w:ilvl w:val="0"/>
          <w:numId w:val="58"/>
        </w:numPr>
        <w:tabs>
          <w:tab w:val="left" w:pos="360"/>
        </w:tabs>
        <w:spacing w:line="300" w:lineRule="auto"/>
        <w:ind w:left="0" w:leftChars="0" w:firstLine="403" w:firstLineChars="0"/>
        <w:rPr>
          <w:rStyle w:val="21"/>
          <w:rFonts w:hint="eastAsia" w:cs="Times New Roman"/>
          <w:b w:val="0"/>
          <w:bCs w:val="0"/>
          <w:sz w:val="21"/>
          <w:szCs w:val="21"/>
        </w:rPr>
      </w:pPr>
      <w:r>
        <w:rPr>
          <w:sz w:val="21"/>
        </w:rPr>
        <w:pict>
          <v:shape id="_x0000_s1063" o:spid="_x0000_s1063" o:spt="202" type="#_x0000_t202" style="position:absolute;left:0pt;margin-left:-6.2pt;margin-top:18.95pt;height:19.85pt;width:23.9pt;z-index:251674624;mso-width-relative:page;mso-height-relative:page;" fillcolor="#FFFFFF" filled="t" stroked="f" coordsize="21600,21600">
            <v:path/>
            <v:fill on="t" color2="#FFFFFF" focussize="0,0"/>
            <v:stroke on="f"/>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w:r>
      <w:r>
        <w:rPr>
          <w:rStyle w:val="21"/>
          <w:rFonts w:hint="eastAsia" w:cs="Times New Roman"/>
          <w:b w:val="0"/>
          <w:bCs w:val="0"/>
          <w:sz w:val="21"/>
          <w:szCs w:val="21"/>
        </w:rPr>
        <w:t>手动和机械通气无需手动切换，APL阀调节范围：5 - 70 hPa；</w:t>
      </w:r>
    </w:p>
    <w:p>
      <w:pPr>
        <w:numPr>
          <w:ilvl w:val="0"/>
          <w:numId w:val="58"/>
        </w:numPr>
        <w:tabs>
          <w:tab w:val="left" w:pos="360"/>
        </w:tabs>
        <w:spacing w:line="300" w:lineRule="auto"/>
        <w:ind w:left="1058" w:leftChars="191" w:hanging="657" w:firstLineChars="0"/>
        <w:rPr>
          <w:rStyle w:val="21"/>
          <w:rFonts w:hint="eastAsia" w:cs="Times New Roman"/>
          <w:b w:val="0"/>
          <w:bCs w:val="0"/>
          <w:sz w:val="21"/>
          <w:szCs w:val="21"/>
        </w:rPr>
      </w:pPr>
      <w:r>
        <w:rPr>
          <w:rStyle w:val="21"/>
          <w:rFonts w:hint="eastAsia" w:cs="Times New Roman"/>
          <w:b w:val="0"/>
          <w:bCs w:val="0"/>
          <w:sz w:val="21"/>
          <w:szCs w:val="21"/>
        </w:rPr>
        <w:t>标配5个高精度热丝式流量传感器，全自动标定；潮气量监测范围：0-9999ml</w:t>
      </w:r>
      <w:r>
        <w:rPr>
          <w:rStyle w:val="21"/>
          <w:rFonts w:hint="eastAsia"/>
          <w:b w:val="0"/>
          <w:bCs w:val="0"/>
          <w:sz w:val="21"/>
          <w:szCs w:val="21"/>
          <w:highlight w:val="none"/>
          <w:lang w:eastAsia="zh-CN"/>
        </w:rPr>
        <w:t>（</w:t>
      </w:r>
      <w:r>
        <w:rPr>
          <w:rStyle w:val="21"/>
          <w:rFonts w:hint="eastAsia"/>
          <w:b w:val="0"/>
          <w:bCs w:val="0"/>
          <w:sz w:val="21"/>
          <w:szCs w:val="21"/>
          <w:highlight w:val="none"/>
          <w:lang w:val="en-US" w:eastAsia="zh-CN"/>
        </w:rPr>
        <w:t>提供配置清单</w:t>
      </w:r>
      <w:r>
        <w:rPr>
          <w:rStyle w:val="21"/>
          <w:rFonts w:hint="eastAsia"/>
          <w:b w:val="0"/>
          <w:bCs w:val="0"/>
          <w:sz w:val="21"/>
          <w:szCs w:val="21"/>
          <w:highlight w:val="none"/>
          <w:lang w:eastAsia="zh-CN"/>
        </w:rPr>
        <w:t>）</w:t>
      </w:r>
      <w:r>
        <w:rPr>
          <w:rStyle w:val="21"/>
          <w:rFonts w:hint="eastAsia" w:cs="Times New Roman"/>
          <w:b w:val="0"/>
          <w:bCs w:val="0"/>
          <w:sz w:val="21"/>
          <w:szCs w:val="21"/>
          <w:lang w:eastAsia="zh-CN"/>
        </w:rPr>
        <w:t>；</w:t>
      </w:r>
    </w:p>
    <w:p>
      <w:pPr>
        <w:numPr>
          <w:ilvl w:val="0"/>
          <w:numId w:val="58"/>
        </w:numPr>
        <w:tabs>
          <w:tab w:val="left" w:pos="360"/>
        </w:tabs>
        <w:spacing w:line="300" w:lineRule="auto"/>
        <w:ind w:left="0" w:leftChars="0" w:firstLine="403" w:firstLineChars="0"/>
        <w:rPr>
          <w:rStyle w:val="21"/>
          <w:rFonts w:hint="eastAsia" w:cs="Times New Roman"/>
          <w:b w:val="0"/>
          <w:bCs w:val="0"/>
          <w:sz w:val="21"/>
          <w:szCs w:val="21"/>
        </w:rPr>
      </w:pPr>
      <w:r>
        <w:rPr>
          <w:rStyle w:val="21"/>
          <w:rFonts w:hint="eastAsia" w:cs="Times New Roman"/>
          <w:b w:val="0"/>
          <w:bCs w:val="0"/>
          <w:sz w:val="21"/>
          <w:szCs w:val="21"/>
        </w:rPr>
        <w:t>CO2吸收罐容量1.5升</w:t>
      </w:r>
      <w:r>
        <w:rPr>
          <w:rStyle w:val="21"/>
          <w:rFonts w:hint="eastAsia" w:cs="Times New Roman"/>
          <w:b w:val="0"/>
          <w:bCs w:val="0"/>
          <w:sz w:val="21"/>
          <w:szCs w:val="21"/>
          <w:lang w:eastAsia="zh-CN"/>
        </w:rPr>
        <w:t>；</w:t>
      </w:r>
    </w:p>
    <w:p>
      <w:pPr>
        <w:numPr>
          <w:ilvl w:val="0"/>
          <w:numId w:val="54"/>
        </w:numPr>
        <w:spacing w:line="240" w:lineRule="auto"/>
        <w:ind w:left="0" w:leftChars="0" w:firstLine="403" w:firstLineChars="0"/>
        <w:rPr>
          <w:rFonts w:hint="eastAsia" w:ascii="宋体" w:hAnsi="宋体"/>
          <w:szCs w:val="21"/>
          <w:highlight w:val="none"/>
          <w:lang w:val="en-US" w:eastAsia="zh-CN"/>
        </w:rPr>
      </w:pPr>
      <w:r>
        <w:rPr>
          <w:sz w:val="21"/>
        </w:rPr>
        <w:pict>
          <v:shape id="_x0000_s1062" o:spid="_x0000_s1062" o:spt="202" type="#_x0000_t202" style="position:absolute;left:0pt;margin-left:-3.85pt;margin-top:14.9pt;height:20.75pt;width:20.6pt;z-index:251673600;mso-width-relative:page;mso-height-relative:page;" fillcolor="#FFFFFF" filled="t" stroked="f" coordsize="21600,21600">
            <v:path/>
            <v:fill on="t" color2="#FFFFFF" focussize="0,0"/>
            <v:stroke on="f"/>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w:r>
      <w:r>
        <w:rPr>
          <w:rFonts w:hint="eastAsia" w:ascii="宋体" w:hAnsi="宋体"/>
          <w:szCs w:val="21"/>
          <w:highlight w:val="none"/>
          <w:lang w:val="en-US" w:eastAsia="zh-CN"/>
        </w:rPr>
        <w:t xml:space="preserve"> 麻醉气体挥发罐</w:t>
      </w:r>
    </w:p>
    <w:p>
      <w:pPr>
        <w:numPr>
          <w:ilvl w:val="0"/>
          <w:numId w:val="59"/>
        </w:numPr>
        <w:tabs>
          <w:tab w:val="left" w:pos="360"/>
        </w:tabs>
        <w:spacing w:line="300" w:lineRule="auto"/>
        <w:ind w:left="1058" w:leftChars="200" w:hanging="638" w:firstLineChars="0"/>
        <w:rPr>
          <w:rStyle w:val="21"/>
          <w:rFonts w:hint="eastAsia"/>
          <w:b w:val="0"/>
          <w:bCs w:val="0"/>
          <w:sz w:val="21"/>
          <w:szCs w:val="21"/>
          <w:highlight w:val="none"/>
        </w:rPr>
      </w:pPr>
      <w:r>
        <w:rPr>
          <w:rStyle w:val="21"/>
          <w:rFonts w:hint="eastAsia"/>
          <w:b w:val="0"/>
          <w:bCs w:val="0"/>
          <w:sz w:val="21"/>
          <w:szCs w:val="21"/>
          <w:highlight w:val="none"/>
        </w:rPr>
        <w:t>挥发罐与麻醉机主机为同一厂家生产</w:t>
      </w:r>
      <w:r>
        <w:rPr>
          <w:rStyle w:val="21"/>
          <w:rFonts w:hint="default"/>
          <w:b w:val="0"/>
          <w:bCs w:val="0"/>
          <w:sz w:val="21"/>
          <w:szCs w:val="21"/>
          <w:highlight w:val="none"/>
        </w:rPr>
        <w:t>，</w:t>
      </w:r>
      <w:r>
        <w:rPr>
          <w:rStyle w:val="21"/>
          <w:rFonts w:hint="eastAsia"/>
          <w:b w:val="0"/>
          <w:bCs w:val="0"/>
          <w:sz w:val="21"/>
          <w:szCs w:val="21"/>
          <w:highlight w:val="none"/>
        </w:rPr>
        <w:t>挥发罐，具有压力、流量、温度自动补偿；密闭</w:t>
      </w:r>
      <w:r>
        <w:rPr>
          <w:rStyle w:val="21"/>
          <w:b w:val="0"/>
          <w:bCs w:val="0"/>
          <w:sz w:val="21"/>
          <w:szCs w:val="21"/>
          <w:highlight w:val="none"/>
        </w:rPr>
        <w:t>性好，无需排空转运</w:t>
      </w:r>
      <w:r>
        <w:rPr>
          <w:rStyle w:val="21"/>
          <w:rFonts w:hint="eastAsia"/>
          <w:b w:val="0"/>
          <w:bCs w:val="0"/>
          <w:sz w:val="21"/>
          <w:szCs w:val="21"/>
          <w:highlight w:val="none"/>
          <w:lang w:eastAsia="zh-CN"/>
        </w:rPr>
        <w:t>（</w:t>
      </w:r>
      <w:r>
        <w:rPr>
          <w:rStyle w:val="21"/>
          <w:rFonts w:hint="eastAsia"/>
          <w:b w:val="0"/>
          <w:bCs w:val="0"/>
          <w:sz w:val="21"/>
          <w:szCs w:val="21"/>
          <w:highlight w:val="none"/>
          <w:lang w:val="en-US" w:eastAsia="zh-CN"/>
        </w:rPr>
        <w:t>提供相关技术文件和配置清单</w:t>
      </w:r>
      <w:r>
        <w:rPr>
          <w:rStyle w:val="21"/>
          <w:rFonts w:hint="eastAsia"/>
          <w:b w:val="0"/>
          <w:bCs w:val="0"/>
          <w:sz w:val="21"/>
          <w:szCs w:val="21"/>
          <w:highlight w:val="none"/>
          <w:lang w:eastAsia="zh-CN"/>
        </w:rPr>
        <w:t>）；</w:t>
      </w:r>
    </w:p>
    <w:p>
      <w:pPr>
        <w:numPr>
          <w:ilvl w:val="0"/>
          <w:numId w:val="59"/>
        </w:numPr>
        <w:tabs>
          <w:tab w:val="left" w:pos="36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双罐位，加药量≥300毫升；</w:t>
      </w:r>
    </w:p>
    <w:p>
      <w:pPr>
        <w:numPr>
          <w:ilvl w:val="0"/>
          <w:numId w:val="59"/>
        </w:numPr>
        <w:tabs>
          <w:tab w:val="left" w:pos="36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配置一个异氟醚或七氟醚挥发罐，可配原厂同品牌地氟醚挥发罐；</w:t>
      </w:r>
    </w:p>
    <w:p>
      <w:pPr>
        <w:numPr>
          <w:ilvl w:val="0"/>
          <w:numId w:val="59"/>
        </w:numPr>
        <w:tabs>
          <w:tab w:val="left" w:pos="36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只需出厂一次定标，终身免维护；</w:t>
      </w:r>
    </w:p>
    <w:p>
      <w:pPr>
        <w:numPr>
          <w:ilvl w:val="0"/>
          <w:numId w:val="59"/>
        </w:numPr>
        <w:tabs>
          <w:tab w:val="left" w:pos="360"/>
        </w:tabs>
        <w:spacing w:line="300" w:lineRule="auto"/>
        <w:ind w:left="1058" w:leftChars="200" w:hanging="638" w:firstLineChars="0"/>
        <w:rPr>
          <w:rFonts w:hint="eastAsia" w:ascii="宋体" w:hAnsi="宋体" w:cs="宋体"/>
          <w:b w:val="0"/>
          <w:bCs w:val="0"/>
          <w:color w:val="000000"/>
          <w:sz w:val="21"/>
          <w:szCs w:val="21"/>
          <w:highlight w:val="none"/>
          <w:lang w:val="zh-CN"/>
        </w:rPr>
      </w:pPr>
      <w:r>
        <w:rPr>
          <w:rFonts w:hint="eastAsia" w:ascii="宋体" w:hAnsi="宋体" w:cs="宋体"/>
          <w:b w:val="0"/>
          <w:bCs w:val="0"/>
          <w:color w:val="000000"/>
          <w:sz w:val="21"/>
          <w:szCs w:val="21"/>
          <w:highlight w:val="none"/>
          <w:lang w:val="zh-CN"/>
        </w:rPr>
        <w:t>能够满足低/微流量麻醉对挥发罐精确度的要求，流量补偿范围在200ml/min-15L/min之间；</w:t>
      </w:r>
    </w:p>
    <w:p>
      <w:pPr>
        <w:numPr>
          <w:ilvl w:val="0"/>
          <w:numId w:val="54"/>
        </w:numPr>
        <w:spacing w:line="240" w:lineRule="auto"/>
        <w:ind w:left="0" w:leftChars="0" w:firstLine="403" w:firstLineChars="0"/>
        <w:rPr>
          <w:rFonts w:hint="eastAsia" w:ascii="宋体" w:hAnsi="宋体"/>
          <w:szCs w:val="21"/>
          <w:lang w:val="en-US" w:eastAsia="zh-CN"/>
        </w:rPr>
      </w:pPr>
      <w:r>
        <w:rPr>
          <w:rFonts w:hint="eastAsia" w:ascii="宋体" w:hAnsi="宋体"/>
          <w:szCs w:val="21"/>
          <w:lang w:val="en-US" w:eastAsia="zh-CN"/>
        </w:rPr>
        <w:t xml:space="preserve"> 监测和报警；</w:t>
      </w:r>
    </w:p>
    <w:p>
      <w:pPr>
        <w:numPr>
          <w:ilvl w:val="0"/>
          <w:numId w:val="60"/>
        </w:numPr>
        <w:tabs>
          <w:tab w:val="left" w:pos="360"/>
        </w:tabs>
        <w:spacing w:line="300" w:lineRule="auto"/>
        <w:ind w:left="0" w:leftChars="0" w:firstLine="403" w:firstLineChars="0"/>
        <w:rPr>
          <w:rStyle w:val="21"/>
          <w:szCs w:val="21"/>
        </w:rPr>
      </w:pPr>
      <w:r>
        <w:rPr>
          <w:rStyle w:val="21"/>
          <w:rFonts w:hint="eastAsia"/>
          <w:szCs w:val="21"/>
        </w:rPr>
        <w:t>一体化内置式12寸彩色屏幕，显示所有通气和气体监测的数据；</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全自动的开机自检，用户可选择全或部分自检功能，既能保证安全的使用，又能保证紧急抢救时的快速启动</w:t>
      </w:r>
      <w:r>
        <w:rPr>
          <w:rStyle w:val="21"/>
          <w:rFonts w:hint="eastAsia" w:cs="Times New Roman"/>
          <w:szCs w:val="21"/>
          <w:lang w:eastAsia="zh-CN"/>
        </w:rPr>
        <w:t>；</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全自动的顺应性和泄漏测试，自动标定所有传感器；</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实时显示3道波形、图形趋势带缩放功能，最长趋势可达8小时；</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监测参数：吸入氧浓度、呼吸频率、潮气量、分钟通气量、气道压（峰压、平台压、平均压、PEEP）、系统顺应性和泄漏、病人顺应性、按年龄校正的MAC值等</w:t>
      </w:r>
      <w:r>
        <w:rPr>
          <w:rStyle w:val="21"/>
          <w:rFonts w:hint="eastAsia" w:cs="Times New Roman"/>
          <w:szCs w:val="21"/>
          <w:lang w:eastAsia="zh-CN"/>
        </w:rPr>
        <w:t>；</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压力监测范围：-20 – 99 cmH2O；潮气量监测范围：0 - 9999 mL</w:t>
      </w:r>
      <w:r>
        <w:rPr>
          <w:rStyle w:val="21"/>
          <w:rFonts w:hint="eastAsia" w:cs="Times New Roman"/>
          <w:szCs w:val="21"/>
          <w:lang w:eastAsia="zh-CN"/>
        </w:rPr>
        <w:t>；</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实时监测病人顺应性: 0 - 250 mL/hPa；</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一体化的气体监测：O2、N2O、CO2及五种麻醉气体吸入和呼出浓度，有病人顺应性监测；MAC值计算及年龄校正；</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容量计：容量和潮气量的条柱图</w:t>
      </w:r>
      <w:r>
        <w:rPr>
          <w:rStyle w:val="21"/>
          <w:rFonts w:hint="eastAsia" w:cs="Times New Roman"/>
          <w:szCs w:val="21"/>
          <w:lang w:eastAsia="zh-CN"/>
        </w:rPr>
        <w:t>；</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趋势及图表回顾：麻醉监测趋势图和麻醉档案日志簿</w:t>
      </w:r>
      <w:r>
        <w:rPr>
          <w:rStyle w:val="21"/>
          <w:rFonts w:hint="eastAsia" w:cs="Times New Roman"/>
          <w:szCs w:val="21"/>
          <w:lang w:eastAsia="zh-CN"/>
        </w:rPr>
        <w:t>；</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报警参数：氧浓度、潮气量、分钟通气量、窒息报警、气道压力报警等</w:t>
      </w:r>
      <w:r>
        <w:rPr>
          <w:rStyle w:val="21"/>
          <w:rFonts w:hint="eastAsia" w:cs="Times New Roman"/>
          <w:szCs w:val="21"/>
          <w:lang w:eastAsia="zh-CN"/>
        </w:rPr>
        <w:t>；</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氧浓度监测采用顺磁氧技术，无耗品</w:t>
      </w:r>
      <w:r>
        <w:rPr>
          <w:rStyle w:val="21"/>
          <w:rFonts w:hint="eastAsia" w:cs="Times New Roman"/>
          <w:szCs w:val="21"/>
          <w:lang w:eastAsia="zh-CN"/>
        </w:rPr>
        <w:t>；</w:t>
      </w:r>
    </w:p>
    <w:p>
      <w:pPr>
        <w:numPr>
          <w:ilvl w:val="0"/>
          <w:numId w:val="60"/>
        </w:numPr>
        <w:tabs>
          <w:tab w:val="left" w:pos="360"/>
        </w:tabs>
        <w:spacing w:line="300" w:lineRule="auto"/>
        <w:ind w:left="1058" w:leftChars="200" w:hanging="638" w:firstLineChars="0"/>
        <w:rPr>
          <w:rStyle w:val="21"/>
          <w:rFonts w:hint="eastAsia" w:cs="Times New Roman"/>
          <w:szCs w:val="21"/>
        </w:rPr>
      </w:pPr>
      <w:r>
        <w:rPr>
          <w:rStyle w:val="21"/>
          <w:rFonts w:hint="eastAsia" w:cs="Times New Roman"/>
          <w:szCs w:val="21"/>
        </w:rPr>
        <w:t>智能低MAC报警功能：自动激活麻药浓度报警，有效防止病人术中知晓</w:t>
      </w:r>
      <w:r>
        <w:rPr>
          <w:rStyle w:val="21"/>
          <w:rFonts w:hint="eastAsia" w:cs="Times New Roman"/>
          <w:szCs w:val="21"/>
          <w:lang w:eastAsia="zh-CN"/>
        </w:rPr>
        <w:t>；</w:t>
      </w:r>
    </w:p>
    <w:p>
      <w:pPr>
        <w:numPr>
          <w:ilvl w:val="0"/>
          <w:numId w:val="54"/>
        </w:numPr>
        <w:spacing w:line="240" w:lineRule="auto"/>
        <w:ind w:left="0" w:leftChars="0" w:firstLine="403" w:firstLineChars="0"/>
        <w:rPr>
          <w:rFonts w:hint="eastAsia" w:ascii="宋体" w:hAnsi="宋体"/>
          <w:szCs w:val="21"/>
          <w:lang w:val="en-US" w:eastAsia="zh-CN"/>
        </w:rPr>
      </w:pPr>
      <w:r>
        <w:rPr>
          <w:rFonts w:hint="eastAsia" w:ascii="宋体" w:hAnsi="宋体"/>
          <w:szCs w:val="21"/>
          <w:lang w:val="en-US" w:eastAsia="zh-CN"/>
        </w:rPr>
        <w:t xml:space="preserve"> 其它</w:t>
      </w:r>
    </w:p>
    <w:p>
      <w:pPr>
        <w:numPr>
          <w:ilvl w:val="0"/>
          <w:numId w:val="61"/>
        </w:numPr>
        <w:tabs>
          <w:tab w:val="left" w:pos="360"/>
        </w:tabs>
        <w:spacing w:line="300" w:lineRule="auto"/>
        <w:ind w:left="0" w:leftChars="0" w:firstLine="403" w:firstLineChars="0"/>
        <w:rPr>
          <w:rStyle w:val="21"/>
          <w:rFonts w:hint="eastAsia"/>
          <w:szCs w:val="21"/>
        </w:rPr>
      </w:pPr>
      <w:r>
        <w:rPr>
          <w:rStyle w:val="21"/>
          <w:rFonts w:hint="eastAsia"/>
          <w:szCs w:val="21"/>
        </w:rPr>
        <w:t>内置后备电池，使用时间最少30分钟，最长90分钟</w:t>
      </w:r>
      <w:r>
        <w:rPr>
          <w:rStyle w:val="21"/>
          <w:rFonts w:hint="eastAsia"/>
          <w:szCs w:val="21"/>
          <w:lang w:eastAsia="zh-CN"/>
        </w:rPr>
        <w:t>；</w:t>
      </w:r>
    </w:p>
    <w:p>
      <w:pPr>
        <w:numPr>
          <w:ilvl w:val="0"/>
          <w:numId w:val="61"/>
        </w:numPr>
        <w:tabs>
          <w:tab w:val="left" w:pos="360"/>
        </w:tabs>
        <w:spacing w:line="300" w:lineRule="auto"/>
        <w:ind w:left="0" w:leftChars="0" w:firstLine="403" w:firstLineChars="0"/>
        <w:rPr>
          <w:rStyle w:val="21"/>
          <w:rFonts w:hint="eastAsia" w:cs="Times New Roman"/>
          <w:szCs w:val="21"/>
        </w:rPr>
      </w:pPr>
      <w:r>
        <w:rPr>
          <w:rStyle w:val="21"/>
          <w:rFonts w:hint="eastAsia" w:cs="Times New Roman"/>
          <w:szCs w:val="21"/>
        </w:rPr>
        <w:t>电源：100-240伏特，50/60赫兹</w:t>
      </w:r>
      <w:r>
        <w:rPr>
          <w:rStyle w:val="21"/>
          <w:rFonts w:hint="eastAsia" w:cs="Times New Roman"/>
          <w:szCs w:val="21"/>
          <w:lang w:eastAsia="zh-CN"/>
        </w:rPr>
        <w:t>；</w:t>
      </w:r>
    </w:p>
    <w:p>
      <w:pPr>
        <w:numPr>
          <w:ilvl w:val="0"/>
          <w:numId w:val="61"/>
        </w:numPr>
        <w:tabs>
          <w:tab w:val="left" w:pos="360"/>
        </w:tabs>
        <w:spacing w:line="300" w:lineRule="auto"/>
        <w:ind w:left="0" w:leftChars="0" w:firstLine="403" w:firstLineChars="0"/>
        <w:rPr>
          <w:rStyle w:val="21"/>
          <w:rFonts w:hint="eastAsia" w:cs="Times New Roman"/>
          <w:szCs w:val="21"/>
        </w:rPr>
      </w:pPr>
      <w:r>
        <w:rPr>
          <w:rStyle w:val="21"/>
          <w:rFonts w:hint="eastAsia" w:cs="Times New Roman"/>
          <w:szCs w:val="21"/>
        </w:rPr>
        <w:t>传输协议：Medibus和Medibus X</w:t>
      </w:r>
      <w:r>
        <w:rPr>
          <w:rStyle w:val="21"/>
          <w:rFonts w:hint="eastAsia" w:cs="Times New Roman"/>
          <w:szCs w:val="21"/>
          <w:lang w:eastAsia="zh-CN"/>
        </w:rPr>
        <w:t>；</w:t>
      </w:r>
    </w:p>
    <w:p>
      <w:pPr>
        <w:numPr>
          <w:ilvl w:val="0"/>
          <w:numId w:val="61"/>
        </w:numPr>
        <w:tabs>
          <w:tab w:val="left" w:pos="360"/>
        </w:tabs>
        <w:spacing w:line="300" w:lineRule="auto"/>
        <w:ind w:left="0" w:leftChars="0" w:firstLine="403" w:firstLineChars="0"/>
        <w:rPr>
          <w:rStyle w:val="21"/>
          <w:rFonts w:hint="eastAsia" w:cs="Times New Roman"/>
          <w:szCs w:val="21"/>
        </w:rPr>
      </w:pPr>
      <w:r>
        <w:rPr>
          <w:rStyle w:val="21"/>
          <w:rFonts w:hint="eastAsia" w:cs="Times New Roman"/>
          <w:szCs w:val="21"/>
        </w:rPr>
        <w:t>标配2个RS232</w:t>
      </w:r>
      <w:r>
        <w:rPr>
          <w:rStyle w:val="21"/>
          <w:rFonts w:hint="eastAsia" w:cs="Times New Roman"/>
          <w:szCs w:val="21"/>
          <w:lang w:eastAsia="zh-CN"/>
        </w:rPr>
        <w:t>；</w:t>
      </w:r>
    </w:p>
    <w:p>
      <w:pPr>
        <w:numPr>
          <w:ilvl w:val="0"/>
          <w:numId w:val="0"/>
        </w:numPr>
        <w:rPr>
          <w:rFonts w:hint="eastAsia" w:ascii="Calibri" w:hAnsi="Calibri" w:eastAsia="宋体" w:cs="Times New Roman"/>
          <w:b/>
          <w:color w:val="000000"/>
          <w:highlight w:val="none"/>
        </w:rPr>
      </w:pPr>
    </w:p>
    <w:p>
      <w:pPr>
        <w:numPr>
          <w:ilvl w:val="0"/>
          <w:numId w:val="0"/>
        </w:numPr>
        <w:jc w:val="center"/>
        <w:rPr>
          <w:rFonts w:hint="default"/>
          <w:highlight w:val="none"/>
          <w:lang w:val="en-US" w:eastAsia="zh-CN"/>
        </w:rPr>
      </w:pPr>
      <w:r>
        <w:rPr>
          <w:rFonts w:hint="eastAsia" w:ascii="Calibri" w:hAnsi="Calibri" w:eastAsia="宋体" w:cs="Times New Roman"/>
          <w:b/>
          <w:color w:val="000000"/>
          <w:highlight w:val="none"/>
        </w:rPr>
        <w:t>以上技术要求中加注</w:t>
      </w:r>
      <w:r>
        <w:rPr>
          <w:rFonts w:hint="eastAsia" w:ascii="宋体" w:hAnsi="宋体" w:eastAsia="宋体" w:cs="Times New Roman"/>
          <w:b/>
          <w:color w:val="000000"/>
          <w:highlight w:val="none"/>
        </w:rPr>
        <w:t>“＊</w:t>
      </w:r>
      <w:r>
        <w:rPr>
          <w:rFonts w:hint="eastAsia" w:ascii="Calibri" w:hAnsi="Calibri" w:eastAsia="宋体" w:cs="Times New Roman"/>
          <w:b/>
          <w:color w:val="000000"/>
          <w:highlight w:val="none"/>
        </w:rPr>
        <w:t>”号标识的为重要技术参数，负偏离时作为评分因素考量。</w:t>
      </w:r>
    </w:p>
    <w:p>
      <w:pPr>
        <w:rPr>
          <w:rFonts w:cs="Times New Roman" w:asciiTheme="majorEastAsia" w:hAnsiTheme="majorEastAsia"/>
          <w:bCs w:val="0"/>
          <w:sz w:val="30"/>
          <w:szCs w:val="30"/>
          <w:highlight w:val="none"/>
          <w:lang w:val="zh-CN"/>
        </w:rPr>
      </w:pPr>
      <w:bookmarkStart w:id="49" w:name="_Toc494561956"/>
      <w:bookmarkStart w:id="50" w:name="_Toc495861537"/>
      <w:r>
        <w:rPr>
          <w:rFonts w:hint="eastAsia" w:cs="Times New Roman" w:asciiTheme="majorEastAsia" w:hAnsiTheme="majorEastAsia"/>
          <w:bCs w:val="0"/>
          <w:sz w:val="30"/>
          <w:szCs w:val="30"/>
          <w:highlight w:val="none"/>
          <w:lang w:val="zh-CN"/>
        </w:rPr>
        <w:br w:type="page"/>
      </w:r>
    </w:p>
    <w:p>
      <w:pPr>
        <w:pStyle w:val="2"/>
        <w:numPr>
          <w:ilvl w:val="0"/>
          <w:numId w:val="43"/>
        </w:numPr>
        <w:spacing w:before="0" w:after="0" w:line="360" w:lineRule="auto"/>
        <w:ind w:left="616" w:hanging="616"/>
        <w:jc w:val="left"/>
        <w:rPr>
          <w:rFonts w:cs="Times New Roman" w:asciiTheme="majorEastAsia" w:hAnsiTheme="majorEastAsia"/>
          <w:bCs w:val="0"/>
          <w:sz w:val="30"/>
          <w:szCs w:val="30"/>
          <w:highlight w:val="none"/>
          <w:lang w:val="zh-CN"/>
        </w:rPr>
      </w:pPr>
      <w:r>
        <w:rPr>
          <w:rFonts w:hint="eastAsia" w:cs="Times New Roman" w:asciiTheme="majorEastAsia" w:hAnsiTheme="majorEastAsia"/>
          <w:bCs w:val="0"/>
          <w:sz w:val="30"/>
          <w:szCs w:val="30"/>
          <w:highlight w:val="none"/>
          <w:lang w:val="zh-CN"/>
        </w:rPr>
        <w:t>商务要求</w:t>
      </w:r>
      <w:bookmarkEnd w:id="49"/>
      <w:bookmarkEnd w:id="50"/>
      <w:r>
        <w:rPr>
          <w:rFonts w:hint="eastAsia" w:cs="Times New Roman" w:asciiTheme="majorEastAsia" w:hAnsiTheme="majorEastAsia"/>
          <w:bCs w:val="0"/>
          <w:sz w:val="30"/>
          <w:szCs w:val="30"/>
          <w:highlight w:val="none"/>
          <w:lang w:val="zh-CN"/>
        </w:rPr>
        <w:t>（</w:t>
      </w:r>
      <w:r>
        <w:rPr>
          <w:rFonts w:hint="eastAsia" w:cs="Times New Roman" w:asciiTheme="majorEastAsia" w:hAnsiTheme="majorEastAsia"/>
          <w:bCs w:val="0"/>
          <w:sz w:val="30"/>
          <w:szCs w:val="30"/>
          <w:highlight w:val="none"/>
          <w:lang w:val="en-US" w:eastAsia="zh-CN"/>
        </w:rPr>
        <w:t>包1/2</w:t>
      </w:r>
      <w:r>
        <w:rPr>
          <w:rFonts w:hint="eastAsia" w:cs="Times New Roman" w:asciiTheme="majorEastAsia" w:hAnsiTheme="majorEastAsia"/>
          <w:bCs w:val="0"/>
          <w:sz w:val="30"/>
          <w:szCs w:val="30"/>
          <w:highlight w:val="none"/>
          <w:lang w:val="zh-CN"/>
        </w:rPr>
        <w:t>）</w:t>
      </w:r>
    </w:p>
    <w:p>
      <w:pPr>
        <w:pStyle w:val="38"/>
        <w:numPr>
          <w:ilvl w:val="0"/>
          <w:numId w:val="62"/>
        </w:numPr>
        <w:spacing w:line="360" w:lineRule="auto"/>
        <w:ind w:firstLineChars="0"/>
        <w:rPr>
          <w:sz w:val="24"/>
        </w:rPr>
      </w:pPr>
      <w:r>
        <w:rPr>
          <w:rFonts w:hint="eastAsia" w:cs="宋体" w:asciiTheme="minorEastAsia" w:hAnsiTheme="minorEastAsia"/>
          <w:b/>
          <w:color w:val="000000"/>
          <w:sz w:val="24"/>
          <w:szCs w:val="24"/>
          <w:highlight w:val="none"/>
        </w:rPr>
        <w:t>交货验收与工期：</w:t>
      </w:r>
      <w:r>
        <w:rPr>
          <w:rFonts w:ascii="宋体" w:hAnsi="宋体" w:eastAsia="宋体" w:cs="Times New Roman"/>
          <w:sz w:val="24"/>
          <w:highlight w:val="none"/>
        </w:rPr>
        <w:t>签定合同后按合同和招标、投标文件约定的要求和标准进行交货验收，交货期为签定合同后</w:t>
      </w:r>
      <w:r>
        <w:rPr>
          <w:rFonts w:hint="eastAsia" w:ascii="宋体" w:hAnsi="宋体" w:eastAsia="宋体" w:cs="Times New Roman"/>
          <w:b/>
          <w:color w:val="000000"/>
          <w:sz w:val="24"/>
          <w:highlight w:val="none"/>
        </w:rPr>
        <w:t>30</w:t>
      </w:r>
      <w:r>
        <w:rPr>
          <w:rFonts w:ascii="宋体" w:hAnsi="宋体" w:eastAsia="宋体" w:cs="Times New Roman"/>
          <w:b/>
          <w:color w:val="000000"/>
          <w:sz w:val="24"/>
          <w:highlight w:val="none"/>
        </w:rPr>
        <w:t>天内（日历日）</w:t>
      </w:r>
      <w:r>
        <w:rPr>
          <w:rFonts w:ascii="宋体" w:hAnsi="宋体" w:eastAsia="宋体" w:cs="Times New Roman"/>
          <w:color w:val="000000"/>
          <w:sz w:val="24"/>
          <w:highlight w:val="none"/>
        </w:rPr>
        <w:t>。“交货</w:t>
      </w:r>
      <w:r>
        <w:rPr>
          <w:rFonts w:ascii="宋体" w:hAnsi="宋体" w:eastAsia="宋体" w:cs="Times New Roman"/>
          <w:sz w:val="24"/>
          <w:highlight w:val="none"/>
        </w:rPr>
        <w:t>期”指所有货物</w:t>
      </w:r>
      <w:r>
        <w:rPr>
          <w:rFonts w:ascii="宋体" w:hAnsi="宋体" w:eastAsia="宋体" w:cs="Times New Roman"/>
          <w:sz w:val="24"/>
        </w:rPr>
        <w:t>运抵现场安装调试完毕后交付用户验收的日期。</w:t>
      </w:r>
    </w:p>
    <w:p>
      <w:pPr>
        <w:pStyle w:val="38"/>
        <w:numPr>
          <w:ilvl w:val="0"/>
          <w:numId w:val="62"/>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交货地点：阳新县人民医院指定地点。</w:t>
      </w:r>
    </w:p>
    <w:p>
      <w:pPr>
        <w:pStyle w:val="38"/>
        <w:numPr>
          <w:ilvl w:val="0"/>
          <w:numId w:val="62"/>
        </w:numPr>
        <w:spacing w:line="360" w:lineRule="auto"/>
        <w:ind w:firstLineChars="0"/>
        <w:rPr>
          <w:rFonts w:hint="default" w:cs="宋体" w:asciiTheme="minorEastAsia" w:hAnsiTheme="minorEastAsia"/>
          <w:b/>
          <w:color w:val="000000"/>
          <w:sz w:val="24"/>
          <w:szCs w:val="24"/>
          <w:highlight w:val="none"/>
          <w:lang w:val="en-US" w:eastAsia="zh-CN"/>
        </w:rPr>
      </w:pPr>
      <w:r>
        <w:rPr>
          <w:rFonts w:hint="eastAsia" w:cs="宋体" w:asciiTheme="minorEastAsia" w:hAnsiTheme="minorEastAsia"/>
          <w:b/>
          <w:color w:val="000000"/>
          <w:sz w:val="24"/>
          <w:szCs w:val="24"/>
          <w:highlight w:val="none"/>
        </w:rPr>
        <w:t>售后服务</w:t>
      </w:r>
      <w:r>
        <w:rPr>
          <w:rFonts w:hint="eastAsia" w:cs="宋体" w:asciiTheme="minorEastAsia" w:hAnsiTheme="minorEastAsia"/>
          <w:b/>
          <w:color w:val="000000"/>
          <w:sz w:val="24"/>
          <w:szCs w:val="24"/>
          <w:highlight w:val="none"/>
          <w:lang w:eastAsia="zh-CN"/>
        </w:rPr>
        <w:t>：</w:t>
      </w:r>
      <w:r>
        <w:rPr>
          <w:rFonts w:hint="eastAsia" w:cs="宋体" w:asciiTheme="minorEastAsia" w:hAnsiTheme="minorEastAsia"/>
          <w:b/>
          <w:color w:val="000000"/>
          <w:sz w:val="24"/>
          <w:szCs w:val="24"/>
          <w:highlight w:val="none"/>
          <w:lang w:val="en-US" w:eastAsia="zh-CN"/>
        </w:rPr>
        <w:t>质保期1年；厂家免费上门安装调试经验收合格。</w:t>
      </w:r>
    </w:p>
    <w:p>
      <w:pPr>
        <w:pStyle w:val="38"/>
        <w:numPr>
          <w:ilvl w:val="0"/>
          <w:numId w:val="62"/>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付款方式：安装调试合格后付</w:t>
      </w:r>
      <w:r>
        <w:rPr>
          <w:rFonts w:hint="eastAsia" w:cs="宋体" w:asciiTheme="minorEastAsia" w:hAnsiTheme="minorEastAsia"/>
          <w:b/>
          <w:color w:val="000000"/>
          <w:sz w:val="24"/>
          <w:szCs w:val="24"/>
          <w:highlight w:val="none"/>
          <w:lang w:val="en-US" w:eastAsia="zh-CN"/>
        </w:rPr>
        <w:t>9</w:t>
      </w:r>
      <w:r>
        <w:rPr>
          <w:rFonts w:hint="eastAsia" w:cs="宋体" w:asciiTheme="minorEastAsia" w:hAnsiTheme="minorEastAsia"/>
          <w:b/>
          <w:color w:val="000000"/>
          <w:sz w:val="24"/>
          <w:szCs w:val="24"/>
          <w:highlight w:val="none"/>
        </w:rPr>
        <w:t>0％，质保期满后付10％。</w:t>
      </w:r>
    </w:p>
    <w:p>
      <w:pPr>
        <w:pStyle w:val="38"/>
        <w:numPr>
          <w:ilvl w:val="0"/>
          <w:numId w:val="62"/>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其他要求：</w:t>
      </w:r>
    </w:p>
    <w:p>
      <w:pPr>
        <w:pStyle w:val="38"/>
        <w:numPr>
          <w:ilvl w:val="0"/>
          <w:numId w:val="63"/>
        </w:numPr>
        <w:tabs>
          <w:tab w:val="left" w:pos="426"/>
        </w:tabs>
        <w:spacing w:line="360" w:lineRule="auto"/>
        <w:ind w:firstLineChars="0"/>
        <w:rPr>
          <w:rFonts w:cs="宋体" w:asciiTheme="minorEastAsia" w:hAnsiTheme="minorEastAsia"/>
          <w:color w:val="000000"/>
          <w:sz w:val="24"/>
          <w:szCs w:val="24"/>
        </w:rPr>
      </w:pPr>
      <w:r>
        <w:rPr>
          <w:rFonts w:ascii="Calibri" w:hAnsi="宋体" w:eastAsia="宋体" w:cs="Times New Roman"/>
          <w:sz w:val="24"/>
          <w:szCs w:val="24"/>
          <w:highlight w:val="none"/>
        </w:rPr>
        <w:t>本项目采购预算控制总金额</w:t>
      </w:r>
      <w:r>
        <w:rPr>
          <w:rFonts w:hint="eastAsia" w:ascii="Calibri" w:hAnsi="宋体" w:eastAsia="宋体" w:cs="Times New Roman"/>
          <w:b/>
          <w:bCs/>
          <w:sz w:val="24"/>
          <w:szCs w:val="24"/>
          <w:highlight w:val="none"/>
          <w:lang w:val="en-US" w:eastAsia="zh-CN"/>
        </w:rPr>
        <w:t>包1</w:t>
      </w:r>
      <w:r>
        <w:rPr>
          <w:rFonts w:ascii="Calibri" w:hAnsi="宋体" w:eastAsia="宋体" w:cs="Times New Roman"/>
          <w:sz w:val="24"/>
          <w:szCs w:val="24"/>
          <w:highlight w:val="none"/>
        </w:rPr>
        <w:t>为</w:t>
      </w:r>
      <w:r>
        <w:rPr>
          <w:rFonts w:hint="eastAsia" w:ascii="Calibri" w:hAnsi="Calibri" w:eastAsia="宋体" w:cs="Times New Roman"/>
          <w:b/>
          <w:sz w:val="24"/>
          <w:szCs w:val="24"/>
          <w:highlight w:val="none"/>
          <w:lang w:val="en-US" w:eastAsia="zh-CN"/>
        </w:rPr>
        <w:t>80</w:t>
      </w:r>
      <w:r>
        <w:rPr>
          <w:rFonts w:ascii="Calibri" w:hAnsi="宋体" w:eastAsia="宋体" w:cs="Times New Roman"/>
          <w:sz w:val="24"/>
          <w:szCs w:val="24"/>
          <w:highlight w:val="none"/>
        </w:rPr>
        <w:t>万元</w:t>
      </w:r>
      <w:r>
        <w:rPr>
          <w:rFonts w:hint="eastAsia" w:hAnsi="宋体"/>
          <w:sz w:val="24"/>
          <w:szCs w:val="24"/>
          <w:highlight w:val="none"/>
        </w:rPr>
        <w:t>，</w:t>
      </w:r>
      <w:r>
        <w:rPr>
          <w:rFonts w:hint="eastAsia" w:ascii="Calibri" w:hAnsi="宋体" w:eastAsia="宋体" w:cs="Times New Roman"/>
          <w:b/>
          <w:bCs/>
          <w:sz w:val="24"/>
          <w:szCs w:val="24"/>
          <w:highlight w:val="none"/>
          <w:lang w:val="en-US" w:eastAsia="zh-CN"/>
        </w:rPr>
        <w:t>包2</w:t>
      </w:r>
      <w:r>
        <w:rPr>
          <w:rFonts w:ascii="Calibri" w:hAnsi="宋体" w:eastAsia="宋体" w:cs="Times New Roman"/>
          <w:sz w:val="24"/>
          <w:szCs w:val="24"/>
          <w:highlight w:val="none"/>
        </w:rPr>
        <w:t>为</w:t>
      </w:r>
      <w:r>
        <w:rPr>
          <w:rFonts w:hint="eastAsia" w:ascii="Calibri" w:hAnsi="Calibri" w:eastAsia="宋体" w:cs="Times New Roman"/>
          <w:b/>
          <w:sz w:val="24"/>
          <w:szCs w:val="24"/>
          <w:highlight w:val="none"/>
          <w:lang w:val="en-US" w:eastAsia="zh-CN"/>
        </w:rPr>
        <w:t>102</w:t>
      </w:r>
      <w:r>
        <w:rPr>
          <w:rFonts w:ascii="Calibri" w:hAnsi="宋体" w:eastAsia="宋体" w:cs="Times New Roman"/>
          <w:sz w:val="24"/>
          <w:szCs w:val="24"/>
          <w:highlight w:val="none"/>
        </w:rPr>
        <w:t>万元</w:t>
      </w:r>
      <w:r>
        <w:rPr>
          <w:rFonts w:hint="eastAsia" w:ascii="Calibri" w:hAnsi="宋体" w:eastAsia="宋体" w:cs="Times New Roman"/>
          <w:sz w:val="24"/>
          <w:szCs w:val="24"/>
          <w:highlight w:val="none"/>
          <w:lang w:eastAsia="zh-CN"/>
        </w:rPr>
        <w:t>，</w:t>
      </w:r>
      <w:r>
        <w:rPr>
          <w:rFonts w:ascii="Calibri" w:hAnsi="宋体" w:eastAsia="宋体" w:cs="Times New Roman"/>
          <w:sz w:val="24"/>
          <w:szCs w:val="24"/>
          <w:highlight w:val="none"/>
        </w:rPr>
        <w:t>超出预算控制金额将导</w:t>
      </w:r>
      <w:r>
        <w:rPr>
          <w:rFonts w:ascii="Calibri" w:hAnsi="宋体" w:eastAsia="宋体" w:cs="Times New Roman"/>
          <w:sz w:val="24"/>
          <w:szCs w:val="24"/>
        </w:rPr>
        <w:t>致其报价无效</w:t>
      </w:r>
      <w:r>
        <w:rPr>
          <w:rFonts w:hint="eastAsia" w:hAnsi="宋体"/>
          <w:sz w:val="24"/>
          <w:szCs w:val="24"/>
        </w:rPr>
        <w:t>。</w:t>
      </w:r>
    </w:p>
    <w:p>
      <w:pPr>
        <w:pStyle w:val="38"/>
        <w:numPr>
          <w:ilvl w:val="0"/>
          <w:numId w:val="63"/>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rPr>
        <w:t>投标人不得以低于成本的报价进行投标，低于成本价的将导致其投标无效。</w:t>
      </w:r>
    </w:p>
    <w:p>
      <w:pPr>
        <w:pStyle w:val="38"/>
        <w:numPr>
          <w:ilvl w:val="0"/>
          <w:numId w:val="63"/>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highlight w:val="none"/>
          <w:lang w:val="en-US" w:eastAsia="zh-CN"/>
        </w:rPr>
        <w:t>本</w:t>
      </w:r>
      <w:r>
        <w:rPr>
          <w:rFonts w:ascii="Calibri" w:hAnsi="宋体" w:eastAsia="宋体" w:cs="Times New Roman"/>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38"/>
        <w:numPr>
          <w:ilvl w:val="0"/>
          <w:numId w:val="63"/>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rPr>
        <w:t>本项目投标报价包含但不限于：设备价（包括硬件、软件）、运至合同指定地点的运输费、安装费（包括损耗、额外材料等）、保险费、安装、技术培训费、各种税费等。</w:t>
      </w:r>
    </w:p>
    <w:p>
      <w:pPr>
        <w:pStyle w:val="3"/>
        <w:numPr>
          <w:ilvl w:val="0"/>
          <w:numId w:val="1"/>
        </w:numPr>
        <w:jc w:val="center"/>
        <w:rPr>
          <w:rFonts w:ascii="黑体" w:hAnsi="黑体" w:eastAsia="黑体"/>
        </w:rPr>
      </w:pPr>
      <w:bookmarkStart w:id="51" w:name="_Toc495861538"/>
      <w:r>
        <w:rPr>
          <w:rFonts w:hint="eastAsia" w:ascii="黑体" w:hAnsi="黑体" w:eastAsia="黑体"/>
        </w:rPr>
        <w:t>资格审查方法及标准</w:t>
      </w:r>
      <w:bookmarkEnd w:id="51"/>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2"/>
        <w:numPr>
          <w:ilvl w:val="0"/>
          <w:numId w:val="64"/>
        </w:numPr>
        <w:spacing w:before="0" w:after="0" w:line="360" w:lineRule="auto"/>
        <w:ind w:left="616" w:hanging="616"/>
        <w:jc w:val="left"/>
        <w:rPr>
          <w:rFonts w:cs="Times New Roman" w:asciiTheme="majorEastAsia" w:hAnsiTheme="majorEastAsia"/>
          <w:bCs w:val="0"/>
          <w:sz w:val="30"/>
          <w:szCs w:val="30"/>
          <w:lang w:val="zh-CN"/>
        </w:rPr>
      </w:pPr>
      <w:bookmarkStart w:id="52" w:name="_Toc495861539"/>
      <w:bookmarkStart w:id="53" w:name="_Toc494561958"/>
      <w:r>
        <w:rPr>
          <w:rFonts w:hint="eastAsia" w:cs="Times New Roman" w:asciiTheme="majorEastAsia" w:hAnsiTheme="majorEastAsia"/>
          <w:bCs w:val="0"/>
          <w:sz w:val="30"/>
          <w:szCs w:val="30"/>
          <w:lang w:val="zh-CN"/>
        </w:rPr>
        <w:t>资格审查方法</w:t>
      </w:r>
      <w:bookmarkEnd w:id="52"/>
      <w:bookmarkEnd w:id="5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2"/>
        <w:numPr>
          <w:ilvl w:val="0"/>
          <w:numId w:val="64"/>
        </w:numPr>
        <w:spacing w:before="0" w:after="0" w:line="360" w:lineRule="auto"/>
        <w:ind w:left="616" w:hanging="616"/>
        <w:jc w:val="left"/>
        <w:rPr>
          <w:rFonts w:cs="Times New Roman" w:asciiTheme="majorEastAsia" w:hAnsiTheme="majorEastAsia"/>
          <w:bCs w:val="0"/>
          <w:sz w:val="30"/>
          <w:szCs w:val="30"/>
          <w:lang w:val="zh-CN"/>
        </w:rPr>
      </w:pPr>
      <w:bookmarkStart w:id="54" w:name="_Toc494561959"/>
      <w:bookmarkStart w:id="55" w:name="_Toc495861540"/>
      <w:r>
        <w:rPr>
          <w:rFonts w:hint="eastAsia" w:cs="Times New Roman" w:asciiTheme="majorEastAsia" w:hAnsiTheme="majorEastAsia"/>
          <w:bCs w:val="0"/>
          <w:sz w:val="30"/>
          <w:szCs w:val="30"/>
          <w:lang w:val="zh-CN"/>
        </w:rPr>
        <w:t>资格审查标准</w:t>
      </w:r>
      <w:bookmarkEnd w:id="54"/>
      <w:bookmarkEnd w:id="55"/>
    </w:p>
    <w:p>
      <w:pPr>
        <w:numPr>
          <w:ilvl w:val="0"/>
          <w:numId w:val="65"/>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27"/>
        <w:numPr>
          <w:ilvl w:val="0"/>
          <w:numId w:val="66"/>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应具备《政府采购法》第二十二条第一款规定的条件，</w:t>
      </w:r>
      <w:r>
        <w:rPr>
          <w:rFonts w:hint="eastAsia" w:hAnsi="宋体"/>
          <w:sz w:val="24"/>
          <w:szCs w:val="24"/>
          <w:highlight w:val="none"/>
        </w:rPr>
        <w:t>提供下列材料</w:t>
      </w:r>
      <w:r>
        <w:rPr>
          <w:rFonts w:hint="eastAsia" w:ascii="宋体" w:hAnsi="宋体" w:eastAsia="宋体" w:cs="Times New Roman"/>
          <w:sz w:val="24"/>
          <w:szCs w:val="24"/>
          <w:highlight w:val="none"/>
          <w:lang w:val="zh-CN"/>
        </w:rPr>
        <w:t>：</w:t>
      </w:r>
    </w:p>
    <w:p>
      <w:pPr>
        <w:pStyle w:val="27"/>
        <w:numPr>
          <w:ilvl w:val="0"/>
          <w:numId w:val="67"/>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法人或者其他组织的营业执照等证明文件，自然人的身份证明；</w:t>
      </w:r>
    </w:p>
    <w:p>
      <w:pPr>
        <w:pStyle w:val="27"/>
        <w:numPr>
          <w:ilvl w:val="0"/>
          <w:numId w:val="67"/>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财务状况报告，近六个月（20</w:t>
      </w:r>
      <w:r>
        <w:rPr>
          <w:rFonts w:hint="eastAsia" w:ascii="宋体" w:hAnsi="宋体" w:eastAsia="宋体" w:cs="Times New Roman"/>
          <w:sz w:val="24"/>
          <w:szCs w:val="24"/>
          <w:highlight w:val="none"/>
          <w:lang w:val="en-US" w:eastAsia="zh-CN"/>
        </w:rPr>
        <w:t>20</w:t>
      </w:r>
      <w:r>
        <w:rPr>
          <w:rFonts w:hint="eastAsia" w:ascii="宋体" w:hAnsi="宋体" w:eastAsia="宋体" w:cs="Times New Roman"/>
          <w:sz w:val="24"/>
          <w:szCs w:val="24"/>
          <w:highlight w:val="none"/>
          <w:lang w:val="zh-CN"/>
        </w:rPr>
        <w:t>年</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val="zh-CN"/>
        </w:rPr>
        <w:t>月~</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lang w:val="zh-CN"/>
        </w:rPr>
        <w:t>月）中任意一个月依法缴纳税收和社会保障资金的相关材料；</w:t>
      </w:r>
    </w:p>
    <w:p>
      <w:pPr>
        <w:pStyle w:val="27"/>
        <w:numPr>
          <w:ilvl w:val="0"/>
          <w:numId w:val="67"/>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具备履行合同所必需的设备和专业技术能力的证明材料；</w:t>
      </w:r>
    </w:p>
    <w:p>
      <w:pPr>
        <w:pStyle w:val="27"/>
        <w:numPr>
          <w:ilvl w:val="0"/>
          <w:numId w:val="67"/>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参加政府采购活动前3年内在经营活动中没有重大违法记录的书面声明；</w:t>
      </w:r>
    </w:p>
    <w:p>
      <w:pPr>
        <w:pStyle w:val="27"/>
        <w:numPr>
          <w:ilvl w:val="0"/>
          <w:numId w:val="67"/>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具备法律、行政法规规定的其他条件的证明材料。</w:t>
      </w:r>
    </w:p>
    <w:p>
      <w:pPr>
        <w:pStyle w:val="27"/>
        <w:numPr>
          <w:ilvl w:val="0"/>
          <w:numId w:val="66"/>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sz w:val="24"/>
        </w:rPr>
        <w:t>参加本次政府采购活动前三年内，在经营活动中没有重大违法记录并须提交《参加政府采购活动前3年内在经营活动中没有重大违法记录的书面声明</w:t>
      </w:r>
      <w:r>
        <w:rPr>
          <w:rFonts w:hint="eastAsia"/>
          <w:sz w:val="24"/>
          <w:highlight w:val="none"/>
        </w:rPr>
        <w:t>》，且必须未</w:t>
      </w:r>
      <w:r>
        <w:rPr>
          <w:rFonts w:hint="eastAsia" w:ascii="宋体" w:hAnsi="宋体"/>
          <w:color w:val="000000" w:themeColor="text1"/>
          <w:sz w:val="24"/>
          <w:highlight w:val="none"/>
        </w:rPr>
        <w:t>被</w:t>
      </w:r>
      <w:r>
        <w:rPr>
          <w:rFonts w:hint="eastAsia" w:ascii="宋体" w:hAnsi="宋体"/>
          <w:color w:val="000000" w:themeColor="text1"/>
          <w:sz w:val="24"/>
        </w:rPr>
        <w:t>列入"信用中国"网站(www.creditchina.gov.cn)失信被执行人、重大税收违法案件当事人名单和“中国政府采购”网站（</w:t>
      </w:r>
      <w:r>
        <w:rPr>
          <w:rFonts w:ascii="宋体" w:hAnsi="宋体"/>
          <w:color w:val="000000" w:themeColor="text1"/>
          <w:sz w:val="24"/>
        </w:rPr>
        <w:t>www.ccgp.gov.cn</w:t>
      </w:r>
      <w:r>
        <w:rPr>
          <w:rFonts w:hint="eastAsia" w:ascii="宋体" w:hAnsi="宋体"/>
          <w:color w:val="000000" w:themeColor="text1"/>
          <w:sz w:val="24"/>
        </w:rPr>
        <w:t>）政府采购严重违法失信行为记录名单</w:t>
      </w:r>
      <w:r>
        <w:rPr>
          <w:rFonts w:hint="eastAsia" w:ascii="宋体" w:hAnsi="宋体" w:eastAsia="宋体" w:cs="Times New Roman"/>
          <w:sz w:val="24"/>
          <w:szCs w:val="24"/>
          <w:highlight w:val="none"/>
        </w:rPr>
        <w:t>的网页截图。</w:t>
      </w:r>
    </w:p>
    <w:p>
      <w:pPr>
        <w:pStyle w:val="27"/>
        <w:numPr>
          <w:ilvl w:val="0"/>
          <w:numId w:val="6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27"/>
        <w:numPr>
          <w:ilvl w:val="0"/>
          <w:numId w:val="6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27"/>
        <w:numPr>
          <w:ilvl w:val="0"/>
          <w:numId w:val="6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27"/>
        <w:numPr>
          <w:ilvl w:val="0"/>
          <w:numId w:val="6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65"/>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7"/>
        <w:numPr>
          <w:ilvl w:val="0"/>
          <w:numId w:val="6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7"/>
        <w:numPr>
          <w:ilvl w:val="0"/>
          <w:numId w:val="6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7"/>
        <w:numPr>
          <w:ilvl w:val="0"/>
          <w:numId w:val="6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7"/>
        <w:numPr>
          <w:ilvl w:val="0"/>
          <w:numId w:val="6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56" w:name="_Toc495861541"/>
      <w:r>
        <w:rPr>
          <w:rFonts w:hint="eastAsia" w:ascii="黑体" w:hAnsi="黑体" w:eastAsia="黑体"/>
        </w:rPr>
        <w:t>评标方法、程序及标准</w:t>
      </w:r>
      <w:bookmarkEnd w:id="5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2"/>
        <w:numPr>
          <w:ilvl w:val="0"/>
          <w:numId w:val="69"/>
        </w:numPr>
        <w:spacing w:before="0" w:after="0" w:line="360" w:lineRule="auto"/>
        <w:ind w:left="616" w:hanging="616"/>
        <w:jc w:val="left"/>
        <w:rPr>
          <w:rFonts w:cs="Times New Roman" w:asciiTheme="majorEastAsia" w:hAnsiTheme="majorEastAsia"/>
          <w:bCs w:val="0"/>
          <w:sz w:val="30"/>
          <w:szCs w:val="30"/>
          <w:lang w:val="zh-CN"/>
        </w:rPr>
      </w:pPr>
      <w:bookmarkStart w:id="57" w:name="_Toc278891605"/>
      <w:bookmarkStart w:id="58" w:name="_Toc272247708"/>
      <w:bookmarkStart w:id="59" w:name="_Toc494561961"/>
      <w:bookmarkStart w:id="60" w:name="_Toc495861542"/>
      <w:r>
        <w:rPr>
          <w:rFonts w:hint="eastAsia" w:cs="Times New Roman" w:asciiTheme="majorEastAsia" w:hAnsiTheme="majorEastAsia"/>
          <w:bCs w:val="0"/>
          <w:sz w:val="30"/>
          <w:szCs w:val="30"/>
          <w:lang w:val="zh-CN"/>
        </w:rPr>
        <w:t>评标</w:t>
      </w:r>
      <w:bookmarkEnd w:id="57"/>
      <w:bookmarkEnd w:id="58"/>
      <w:r>
        <w:rPr>
          <w:rFonts w:hint="eastAsia" w:cs="Times New Roman" w:asciiTheme="majorEastAsia" w:hAnsiTheme="majorEastAsia"/>
          <w:bCs w:val="0"/>
          <w:sz w:val="30"/>
          <w:szCs w:val="30"/>
          <w:lang w:val="zh-CN"/>
        </w:rPr>
        <w:t>方法</w:t>
      </w:r>
      <w:bookmarkEnd w:id="59"/>
      <w:bookmarkEnd w:id="6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2"/>
        <w:numPr>
          <w:ilvl w:val="0"/>
          <w:numId w:val="69"/>
        </w:numPr>
        <w:spacing w:before="0" w:after="0" w:line="360" w:lineRule="auto"/>
        <w:ind w:left="616" w:hanging="616"/>
        <w:jc w:val="left"/>
        <w:rPr>
          <w:rFonts w:cs="Times New Roman" w:asciiTheme="majorEastAsia" w:hAnsiTheme="majorEastAsia"/>
          <w:bCs w:val="0"/>
          <w:sz w:val="30"/>
          <w:szCs w:val="30"/>
          <w:lang w:val="zh-CN"/>
        </w:rPr>
      </w:pPr>
      <w:bookmarkStart w:id="61" w:name="_Toc272247709"/>
      <w:bookmarkStart w:id="62" w:name="_Toc278891606"/>
      <w:bookmarkStart w:id="63" w:name="_Toc494561962"/>
      <w:bookmarkStart w:id="64" w:name="_Toc495861543"/>
      <w:r>
        <w:rPr>
          <w:rFonts w:hint="eastAsia" w:cs="Times New Roman" w:asciiTheme="majorEastAsia" w:hAnsiTheme="majorEastAsia"/>
          <w:bCs w:val="0"/>
          <w:sz w:val="30"/>
          <w:szCs w:val="30"/>
          <w:lang w:val="zh-CN"/>
        </w:rPr>
        <w:t>评标程序</w:t>
      </w:r>
      <w:bookmarkEnd w:id="61"/>
      <w:bookmarkEnd w:id="62"/>
      <w:r>
        <w:rPr>
          <w:rFonts w:hint="eastAsia" w:cs="Times New Roman" w:asciiTheme="majorEastAsia" w:hAnsiTheme="majorEastAsia"/>
          <w:bCs w:val="0"/>
          <w:sz w:val="30"/>
          <w:szCs w:val="30"/>
          <w:lang w:val="zh-CN"/>
        </w:rPr>
        <w:t>及标准</w:t>
      </w:r>
      <w:bookmarkEnd w:id="63"/>
      <w:bookmarkEnd w:id="6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70"/>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71"/>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71"/>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71"/>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70"/>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7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72"/>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72"/>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73"/>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73"/>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73"/>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73"/>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73"/>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73"/>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72"/>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70"/>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74"/>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74"/>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74"/>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75"/>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75"/>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76"/>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76"/>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76"/>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76"/>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76"/>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74"/>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77"/>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77"/>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74"/>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78"/>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78"/>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70"/>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7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7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7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7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7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numPr>
          <w:ilvl w:val="0"/>
          <w:numId w:val="69"/>
        </w:numPr>
        <w:spacing w:before="0" w:after="0" w:line="360" w:lineRule="auto"/>
        <w:ind w:left="616" w:hanging="616"/>
        <w:jc w:val="left"/>
        <w:rPr>
          <w:rFonts w:cs="Times New Roman" w:asciiTheme="majorEastAsia" w:hAnsiTheme="majorEastAsia"/>
          <w:bCs w:val="0"/>
          <w:sz w:val="30"/>
          <w:szCs w:val="30"/>
          <w:lang w:val="zh-CN"/>
        </w:rPr>
      </w:pPr>
      <w:bookmarkStart w:id="65" w:name="_Toc495861544"/>
      <w:bookmarkStart w:id="66" w:name="_Toc494561963"/>
      <w:r>
        <w:rPr>
          <w:rFonts w:hint="eastAsia" w:cs="Times New Roman" w:asciiTheme="majorEastAsia" w:hAnsiTheme="majorEastAsia"/>
          <w:bCs w:val="0"/>
          <w:sz w:val="30"/>
          <w:szCs w:val="30"/>
          <w:lang w:val="zh-CN"/>
        </w:rPr>
        <w:t>评审因素及评分标准</w:t>
      </w:r>
      <w:bookmarkEnd w:id="65"/>
      <w:bookmarkEnd w:id="66"/>
    </w:p>
    <w:p>
      <w:pPr>
        <w:jc w:val="center"/>
        <w:rPr>
          <w:rFonts w:hint="default" w:eastAsiaTheme="minorEastAsia"/>
          <w:b/>
          <w:bCs/>
          <w:lang w:val="en-US" w:eastAsia="zh-CN"/>
        </w:rPr>
      </w:pPr>
      <w:r>
        <w:rPr>
          <w:rFonts w:hint="eastAsia" w:cs="Times New Roman" w:asciiTheme="majorEastAsia" w:hAnsiTheme="majorEastAsia"/>
          <w:b/>
          <w:bCs/>
          <w:sz w:val="30"/>
          <w:szCs w:val="30"/>
          <w:lang w:val="en-US" w:eastAsia="zh-CN"/>
        </w:rPr>
        <w:t>包1</w:t>
      </w:r>
    </w:p>
    <w:tbl>
      <w:tblPr>
        <w:tblStyle w:val="1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51"/>
        <w:gridCol w:w="514"/>
        <w:gridCol w:w="62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shd w:val="pct10" w:color="auto" w:fill="auto"/>
            <w:vAlign w:val="center"/>
          </w:tcPr>
          <w:p>
            <w:pPr>
              <w:spacing w:line="240" w:lineRule="auto"/>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bCs/>
                <w:color w:val="000000" w:themeColor="text1"/>
                <w:sz w:val="28"/>
                <w:szCs w:val="28"/>
              </w:rPr>
              <w:t>商务评议</w:t>
            </w:r>
          </w:p>
        </w:tc>
        <w:tc>
          <w:tcPr>
            <w:tcW w:w="1351"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评审因素</w:t>
            </w:r>
          </w:p>
        </w:tc>
        <w:tc>
          <w:tcPr>
            <w:tcW w:w="514" w:type="dxa"/>
            <w:shd w:val="pct10" w:color="auto" w:fill="auto"/>
            <w:vAlign w:val="center"/>
          </w:tcPr>
          <w:p>
            <w:pPr>
              <w:spacing w:line="240" w:lineRule="auto"/>
              <w:ind w:left="-73" w:leftChars="-35" w:right="-79" w:rightChars="-38"/>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分值</w:t>
            </w:r>
          </w:p>
        </w:tc>
        <w:tc>
          <w:tcPr>
            <w:tcW w:w="6296"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评分标准</w:t>
            </w:r>
          </w:p>
        </w:tc>
        <w:tc>
          <w:tcPr>
            <w:tcW w:w="968"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jc w:val="center"/>
              <w:rPr>
                <w:rFonts w:ascii="宋体" w:hAnsi="宋体" w:eastAsia="宋体" w:cs="Times New Roman"/>
                <w:szCs w:val="21"/>
              </w:rPr>
            </w:pPr>
            <w:r>
              <w:rPr>
                <w:rFonts w:hint="eastAsia" w:ascii="宋体" w:hAnsi="宋体"/>
                <w:szCs w:val="21"/>
              </w:rPr>
              <w:t>投标</w:t>
            </w:r>
            <w:r>
              <w:rPr>
                <w:rFonts w:hint="eastAsia" w:ascii="宋体" w:hAnsi="宋体" w:eastAsia="宋体" w:cs="Times New Roman"/>
                <w:szCs w:val="21"/>
              </w:rPr>
              <w:t>文件的完整性</w:t>
            </w:r>
          </w:p>
        </w:tc>
        <w:tc>
          <w:tcPr>
            <w:tcW w:w="514" w:type="dxa"/>
            <w:vAlign w:val="center"/>
          </w:tcPr>
          <w:p>
            <w:pPr>
              <w:spacing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6296" w:type="dxa"/>
            <w:vAlign w:val="center"/>
          </w:tcPr>
          <w:p>
            <w:pPr>
              <w:spacing w:before="100" w:beforeAutospacing="1" w:after="100" w:afterAutospacing="1" w:line="240" w:lineRule="auto"/>
              <w:jc w:val="left"/>
              <w:rPr>
                <w:rFonts w:ascii="宋体" w:hAnsi="宋体" w:eastAsia="宋体" w:cs="Times New Roman"/>
                <w:szCs w:val="21"/>
              </w:rPr>
            </w:pPr>
            <w:r>
              <w:rPr>
                <w:rFonts w:hint="eastAsia" w:ascii="宋体" w:hAnsi="宋体"/>
                <w:kern w:val="0"/>
                <w:szCs w:val="21"/>
              </w:rPr>
              <w:t>投标</w:t>
            </w:r>
            <w:r>
              <w:rPr>
                <w:rFonts w:hint="eastAsia" w:ascii="宋体" w:hAnsi="宋体" w:eastAsia="宋体" w:cs="Times New Roman"/>
                <w:kern w:val="0"/>
                <w:szCs w:val="21"/>
              </w:rPr>
              <w:t>文件全面响应</w:t>
            </w:r>
            <w:r>
              <w:rPr>
                <w:rFonts w:hint="eastAsia" w:ascii="宋体" w:hAnsi="宋体"/>
                <w:kern w:val="0"/>
                <w:szCs w:val="21"/>
              </w:rPr>
              <w:t>招标</w:t>
            </w:r>
            <w:r>
              <w:rPr>
                <w:rFonts w:hint="eastAsia" w:ascii="宋体" w:hAnsi="宋体" w:eastAsia="宋体" w:cs="Times New Roman"/>
                <w:kern w:val="0"/>
                <w:szCs w:val="21"/>
              </w:rPr>
              <w:t>文件要求，编制完整、非活页装订，且有详细目录、连续页码、目录与有关材料装订顺序对应清晰、查阅方便得1分。编排杂乱无章、叙述答非所问、资料残缺不全、资料模糊不清、前后不一致等，每处扣</w:t>
            </w:r>
            <w:r>
              <w:rPr>
                <w:rFonts w:hint="eastAsia" w:ascii="宋体" w:hAnsi="宋体" w:eastAsia="宋体" w:cs="Times New Roman"/>
                <w:kern w:val="0"/>
                <w:szCs w:val="21"/>
                <w:lang w:val="en-US" w:eastAsia="zh-CN"/>
              </w:rPr>
              <w:t>0.5</w:t>
            </w:r>
            <w:r>
              <w:rPr>
                <w:rFonts w:hint="eastAsia" w:ascii="宋体" w:hAnsi="宋体" w:eastAsia="宋体" w:cs="Times New Roman"/>
                <w:kern w:val="0"/>
                <w:szCs w:val="21"/>
              </w:rPr>
              <w:t>分，扣完为止，活页装订不得分。</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质保期</w:t>
            </w:r>
          </w:p>
        </w:tc>
        <w:tc>
          <w:tcPr>
            <w:tcW w:w="514" w:type="dxa"/>
            <w:vAlign w:val="center"/>
          </w:tcPr>
          <w:p>
            <w:pPr>
              <w:spacing w:line="240" w:lineRule="auto"/>
              <w:jc w:val="center"/>
              <w:rPr>
                <w:rFonts w:hint="eastAsia" w:ascii="宋体" w:hAnsi="宋体" w:eastAsia="宋体" w:cs="Times New Roman"/>
                <w:b/>
                <w:color w:val="000000" w:themeColor="text1"/>
                <w:sz w:val="24"/>
                <w:lang w:eastAsia="zh-CN"/>
              </w:rPr>
            </w:pPr>
            <w:r>
              <w:rPr>
                <w:rFonts w:hint="eastAsia" w:ascii="宋体" w:hAnsi="宋体" w:eastAsia="宋体" w:cs="Times New Roman"/>
                <w:szCs w:val="21"/>
                <w:lang w:val="en-US" w:eastAsia="zh-CN"/>
              </w:rPr>
              <w:t>1</w:t>
            </w:r>
          </w:p>
        </w:tc>
        <w:tc>
          <w:tcPr>
            <w:tcW w:w="6296" w:type="dxa"/>
            <w:vAlign w:val="center"/>
          </w:tcPr>
          <w:p>
            <w:pPr>
              <w:spacing w:line="24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根据投标人对质保期的承诺，在满足招标文件要求的前提下，每增加1年得1分，此项最高得1分。（提供承诺书并加盖公章）</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类似成功案例</w:t>
            </w:r>
          </w:p>
        </w:tc>
        <w:tc>
          <w:tcPr>
            <w:tcW w:w="514" w:type="dxa"/>
            <w:vAlign w:val="center"/>
          </w:tcPr>
          <w:p>
            <w:pPr>
              <w:spacing w:line="240" w:lineRule="auto"/>
              <w:ind w:left="-48" w:leftChars="-23" w:right="-35" w:rightChars="-17"/>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2</w:t>
            </w:r>
          </w:p>
        </w:tc>
        <w:tc>
          <w:tcPr>
            <w:tcW w:w="6296" w:type="dxa"/>
            <w:vAlign w:val="center"/>
          </w:tcPr>
          <w:p>
            <w:pPr>
              <w:spacing w:line="24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根据投标人</w:t>
            </w:r>
            <w:r>
              <w:rPr>
                <w:rFonts w:hint="eastAsia" w:ascii="宋体" w:hAnsi="宋体" w:eastAsia="宋体" w:cs="Times New Roman"/>
                <w:color w:val="000000" w:themeColor="text1"/>
                <w:szCs w:val="21"/>
                <w:lang w:val="en-US" w:eastAsia="zh-CN"/>
              </w:rPr>
              <w:t>所投产品</w:t>
            </w:r>
            <w:r>
              <w:rPr>
                <w:rFonts w:hint="eastAsia" w:ascii="宋体" w:hAnsi="宋体" w:eastAsia="宋体" w:cs="Times New Roman"/>
                <w:color w:val="000000" w:themeColor="text1"/>
                <w:szCs w:val="21"/>
              </w:rPr>
              <w:t>（201</w:t>
            </w:r>
            <w:r>
              <w:rPr>
                <w:rFonts w:hint="eastAsia" w:ascii="宋体" w:hAnsi="宋体" w:eastAsia="宋体" w:cs="Times New Roman"/>
                <w:color w:val="000000" w:themeColor="text1"/>
                <w:szCs w:val="21"/>
                <w:lang w:val="en-US" w:eastAsia="zh-CN"/>
              </w:rPr>
              <w:t>7</w:t>
            </w:r>
            <w:r>
              <w:rPr>
                <w:rFonts w:hint="eastAsia" w:ascii="宋体" w:hAnsi="宋体" w:eastAsia="宋体" w:cs="Times New Roman"/>
                <w:color w:val="000000" w:themeColor="text1"/>
                <w:szCs w:val="21"/>
              </w:rPr>
              <w:t>年</w:t>
            </w:r>
            <w:r>
              <w:rPr>
                <w:rFonts w:hint="eastAsia" w:ascii="宋体" w:hAnsi="宋体" w:eastAsia="宋体" w:cs="Times New Roman"/>
                <w:color w:val="000000" w:themeColor="text1"/>
                <w:szCs w:val="21"/>
                <w:lang w:val="en-US" w:eastAsia="zh-CN"/>
              </w:rPr>
              <w:t>9</w:t>
            </w:r>
            <w:r>
              <w:rPr>
                <w:rFonts w:hint="eastAsia" w:ascii="宋体" w:hAnsi="宋体" w:eastAsia="宋体" w:cs="Times New Roman"/>
                <w:color w:val="000000" w:themeColor="text1"/>
                <w:szCs w:val="21"/>
              </w:rPr>
              <w:t>月至今）的类似成功案例进行评分，每提供一份得1分，最高得</w:t>
            </w:r>
            <w:r>
              <w:rPr>
                <w:rFonts w:hint="eastAsia" w:ascii="宋体" w:hAnsi="宋体" w:eastAsia="宋体" w:cs="Times New Roman"/>
                <w:color w:val="000000" w:themeColor="text1"/>
                <w:szCs w:val="21"/>
                <w:lang w:val="en-US" w:eastAsia="zh-CN"/>
              </w:rPr>
              <w:t>2</w:t>
            </w:r>
            <w:r>
              <w:rPr>
                <w:rFonts w:hint="eastAsia" w:ascii="宋体" w:hAnsi="宋体" w:eastAsia="宋体" w:cs="Times New Roman"/>
                <w:color w:val="000000" w:themeColor="text1"/>
                <w:szCs w:val="21"/>
              </w:rPr>
              <w:t>分。（提供合同或中标通知书复印件并加盖公章）</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jc w:val="center"/>
              <w:rPr>
                <w:rFonts w:ascii="宋体" w:hAnsi="宋体" w:eastAsia="宋体" w:cs="Times New Roman"/>
                <w:color w:val="000000" w:themeColor="text1"/>
                <w:szCs w:val="21"/>
              </w:rPr>
            </w:pPr>
            <w:r>
              <w:rPr>
                <w:rFonts w:hint="eastAsia" w:asciiTheme="minorEastAsia" w:hAnsiTheme="minorEastAsia" w:eastAsiaTheme="minorEastAsia" w:cstheme="minorEastAsia"/>
                <w:color w:val="000000" w:themeColor="text1"/>
                <w:sz w:val="21"/>
                <w:szCs w:val="21"/>
                <w:highlight w:val="none"/>
              </w:rPr>
              <w:t>交货期保障计划措施</w:t>
            </w:r>
          </w:p>
        </w:tc>
        <w:tc>
          <w:tcPr>
            <w:tcW w:w="514" w:type="dxa"/>
            <w:vAlign w:val="center"/>
          </w:tcPr>
          <w:p>
            <w:pPr>
              <w:spacing w:line="240" w:lineRule="auto"/>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4</w:t>
            </w:r>
          </w:p>
        </w:tc>
        <w:tc>
          <w:tcPr>
            <w:tcW w:w="6296" w:type="dxa"/>
            <w:vAlign w:val="center"/>
          </w:tcPr>
          <w:p>
            <w:pPr>
              <w:spacing w:line="240" w:lineRule="auto"/>
              <w:jc w:val="both"/>
              <w:rPr>
                <w:rFonts w:hint="eastAsia" w:ascii="宋体" w:hAnsi="宋体" w:cs="Times New Roman" w:eastAsiaTheme="minorEastAsia"/>
                <w:color w:val="000000" w:themeColor="text1"/>
                <w:szCs w:val="21"/>
                <w:lang w:eastAsia="zh-CN"/>
              </w:rPr>
            </w:pPr>
            <w:r>
              <w:rPr>
                <w:rFonts w:hint="eastAsia" w:asciiTheme="minorEastAsia" w:hAnsiTheme="minorEastAsia" w:eastAsiaTheme="minorEastAsia" w:cstheme="minorEastAsia"/>
                <w:color w:val="000000" w:themeColor="text1"/>
                <w:sz w:val="21"/>
                <w:szCs w:val="21"/>
                <w:highlight w:val="none"/>
              </w:rPr>
              <w:t>为确保交货期而采取的保障措施,计划最完善得</w:t>
            </w:r>
            <w:r>
              <w:rPr>
                <w:rFonts w:hint="eastAsia" w:asciiTheme="minorEastAsia" w:hAnsiTheme="minorEastAsia" w:eastAsiaTheme="minorEastAsia" w:cstheme="minorEastAsia"/>
                <w:color w:val="000000" w:themeColor="text1"/>
                <w:sz w:val="21"/>
                <w:szCs w:val="21"/>
                <w:highlight w:val="none"/>
                <w:lang w:val="en-US" w:eastAsia="zh-CN"/>
              </w:rPr>
              <w:t>3</w:t>
            </w:r>
            <w:r>
              <w:rPr>
                <w:rFonts w:hint="eastAsia" w:asciiTheme="minorEastAsia" w:hAnsiTheme="minorEastAsia" w:cstheme="minorEastAsia"/>
                <w:color w:val="000000" w:themeColor="text1"/>
                <w:sz w:val="21"/>
                <w:szCs w:val="21"/>
                <w:highlight w:val="none"/>
                <w:lang w:val="en-US" w:eastAsia="zh-CN"/>
              </w:rPr>
              <w:t>-4</w:t>
            </w:r>
            <w:r>
              <w:rPr>
                <w:rFonts w:hint="eastAsia" w:asciiTheme="minorEastAsia" w:hAnsiTheme="minorEastAsia" w:eastAsiaTheme="minorEastAsia" w:cstheme="minorEastAsia"/>
                <w:color w:val="000000" w:themeColor="text1"/>
                <w:sz w:val="21"/>
                <w:szCs w:val="21"/>
                <w:highlight w:val="none"/>
              </w:rPr>
              <w:t>分，计划较详细的得</w:t>
            </w:r>
            <w:r>
              <w:rPr>
                <w:rFonts w:hint="eastAsia" w:asciiTheme="minorEastAsia" w:hAnsi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分，计划较简单的</w:t>
            </w:r>
            <w:r>
              <w:rPr>
                <w:rFonts w:hint="eastAsia" w:asciiTheme="minorEastAsia" w:hAnsiTheme="minorEastAsia" w:cstheme="minorEastAsia"/>
                <w:color w:val="000000" w:themeColor="text1"/>
                <w:sz w:val="21"/>
                <w:szCs w:val="21"/>
                <w:highlight w:val="none"/>
                <w:lang w:val="en-US" w:eastAsia="zh-CN"/>
              </w:rPr>
              <w:t>0-0.5</w:t>
            </w:r>
            <w:r>
              <w:rPr>
                <w:rFonts w:hint="eastAsia" w:asciiTheme="minorEastAsia" w:hAnsiTheme="minorEastAsia" w:eastAsiaTheme="minorEastAsia" w:cstheme="minorEastAsia"/>
                <w:color w:val="000000" w:themeColor="text1"/>
                <w:sz w:val="21"/>
                <w:szCs w:val="21"/>
                <w:highlight w:val="none"/>
              </w:rPr>
              <w:t>分，未提供则不得分</w:t>
            </w:r>
            <w:r>
              <w:rPr>
                <w:rFonts w:hint="eastAsia" w:asciiTheme="minorEastAsia" w:hAnsiTheme="minorEastAsia" w:cstheme="minorEastAsia"/>
                <w:color w:val="000000" w:themeColor="text1"/>
                <w:sz w:val="21"/>
                <w:szCs w:val="21"/>
                <w:highlight w:val="none"/>
                <w:lang w:eastAsia="zh-CN"/>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jc w:val="center"/>
              <w:rPr>
                <w:rFonts w:ascii="宋体" w:hAnsi="宋体" w:eastAsia="宋体" w:cs="Times New Roman"/>
                <w:color w:val="000000" w:themeColor="text1"/>
                <w:szCs w:val="21"/>
              </w:rPr>
            </w:pPr>
            <w:r>
              <w:rPr>
                <w:rFonts w:hint="eastAsia" w:asciiTheme="minorEastAsia" w:hAnsiTheme="minorEastAsia" w:cstheme="minorEastAsia"/>
                <w:kern w:val="0"/>
                <w:sz w:val="21"/>
                <w:szCs w:val="21"/>
                <w:highlight w:val="none"/>
                <w:lang w:val="en-US" w:eastAsia="zh-CN"/>
              </w:rPr>
              <w:t>实施</w:t>
            </w:r>
            <w:r>
              <w:rPr>
                <w:rFonts w:hint="eastAsia" w:asciiTheme="minorEastAsia" w:hAnsiTheme="minorEastAsia" w:eastAsiaTheme="minorEastAsia" w:cstheme="minorEastAsia"/>
                <w:kern w:val="0"/>
                <w:sz w:val="21"/>
                <w:szCs w:val="21"/>
                <w:highlight w:val="none"/>
              </w:rPr>
              <w:t>方案</w:t>
            </w:r>
          </w:p>
        </w:tc>
        <w:tc>
          <w:tcPr>
            <w:tcW w:w="514" w:type="dxa"/>
            <w:vAlign w:val="center"/>
          </w:tcPr>
          <w:p>
            <w:pPr>
              <w:spacing w:line="240" w:lineRule="auto"/>
              <w:jc w:val="center"/>
              <w:rPr>
                <w:rFonts w:ascii="宋体" w:hAnsi="宋体" w:eastAsia="宋体" w:cs="Times New Roman"/>
                <w:color w:val="000000" w:themeColor="text1"/>
                <w:szCs w:val="21"/>
              </w:rPr>
            </w:pPr>
            <w:r>
              <w:rPr>
                <w:rFonts w:hint="eastAsia" w:asciiTheme="minorEastAsia" w:hAnsiTheme="minorEastAsia" w:cstheme="minorEastAsia"/>
                <w:color w:val="000000" w:themeColor="text1"/>
                <w:sz w:val="21"/>
                <w:szCs w:val="21"/>
                <w:highlight w:val="none"/>
                <w:lang w:val="en-US" w:eastAsia="zh-CN"/>
              </w:rPr>
              <w:t>4</w:t>
            </w:r>
          </w:p>
        </w:tc>
        <w:tc>
          <w:tcPr>
            <w:tcW w:w="6296" w:type="dxa"/>
            <w:vAlign w:val="center"/>
          </w:tcPr>
          <w:p>
            <w:pPr>
              <w:spacing w:line="240" w:lineRule="auto"/>
              <w:jc w:val="both"/>
              <w:rPr>
                <w:rFonts w:hint="eastAsia" w:ascii="宋体" w:hAnsi="宋体" w:cs="Times New Roman" w:eastAsiaTheme="minorEastAsia"/>
                <w:color w:val="000000" w:themeColor="text1"/>
                <w:szCs w:val="21"/>
                <w:lang w:eastAsia="zh-CN"/>
              </w:rPr>
            </w:pPr>
            <w:r>
              <w:rPr>
                <w:rFonts w:hint="eastAsia" w:asciiTheme="minorEastAsia" w:hAnsiTheme="minorEastAsia" w:eastAsiaTheme="minorEastAsia" w:cstheme="minorEastAsia"/>
                <w:color w:val="000000" w:themeColor="text1"/>
                <w:sz w:val="21"/>
                <w:szCs w:val="21"/>
                <w:highlight w:val="none"/>
              </w:rPr>
              <w:t>投标人提供的实施方案（包括安装、调试计划、验收方案）非常完整且合理、可操作性</w:t>
            </w:r>
            <w:r>
              <w:rPr>
                <w:rFonts w:hint="eastAsia" w:asciiTheme="minorEastAsia" w:hAnsiTheme="minorEastAsia" w:cstheme="minorEastAsia"/>
                <w:color w:val="000000" w:themeColor="text1"/>
                <w:sz w:val="21"/>
                <w:szCs w:val="21"/>
                <w:highlight w:val="none"/>
                <w:lang w:val="en-US" w:eastAsia="zh-CN"/>
              </w:rPr>
              <w:t>强</w:t>
            </w:r>
            <w:r>
              <w:rPr>
                <w:rFonts w:hint="eastAsia" w:asciiTheme="minorEastAsia" w:hAnsiTheme="minorEastAsia" w:eastAsiaTheme="minorEastAsia" w:cstheme="minorEastAsia"/>
                <w:color w:val="000000" w:themeColor="text1"/>
                <w:sz w:val="21"/>
                <w:szCs w:val="21"/>
                <w:highlight w:val="none"/>
              </w:rPr>
              <w:t>得</w:t>
            </w:r>
            <w:r>
              <w:rPr>
                <w:rFonts w:hint="eastAsia" w:asciiTheme="minorEastAsia" w:hAnsiTheme="minorEastAsia" w:cstheme="minorEastAsia"/>
                <w:color w:val="000000" w:themeColor="text1"/>
                <w:sz w:val="21"/>
                <w:szCs w:val="21"/>
                <w:highlight w:val="none"/>
                <w:lang w:val="en-US" w:eastAsia="zh-CN"/>
              </w:rPr>
              <w:t>3-4</w:t>
            </w:r>
            <w:r>
              <w:rPr>
                <w:rFonts w:hint="eastAsia" w:asciiTheme="minorEastAsia" w:hAnsiTheme="minorEastAsia" w:eastAsiaTheme="minorEastAsia" w:cstheme="minorEastAsia"/>
                <w:color w:val="000000" w:themeColor="text1"/>
                <w:sz w:val="21"/>
                <w:szCs w:val="21"/>
                <w:highlight w:val="none"/>
              </w:rPr>
              <w:t>分；</w:t>
            </w:r>
            <w:r>
              <w:rPr>
                <w:rFonts w:hint="eastAsia" w:asciiTheme="minorEastAsia" w:hAnsiTheme="minorEastAsia" w:cstheme="minorEastAsia"/>
                <w:color w:val="000000" w:themeColor="text1"/>
                <w:sz w:val="21"/>
                <w:szCs w:val="21"/>
                <w:highlight w:val="none"/>
                <w:lang w:val="en-US" w:eastAsia="zh-CN"/>
              </w:rPr>
              <w:t>方案</w:t>
            </w:r>
            <w:r>
              <w:rPr>
                <w:rFonts w:hint="eastAsia" w:asciiTheme="minorEastAsia" w:hAnsiTheme="minorEastAsia" w:eastAsiaTheme="minorEastAsia" w:cstheme="minorEastAsia"/>
                <w:color w:val="000000" w:themeColor="text1"/>
                <w:sz w:val="21"/>
                <w:szCs w:val="21"/>
                <w:highlight w:val="none"/>
              </w:rPr>
              <w:t>基本完整、有可操作性得</w:t>
            </w:r>
            <w:r>
              <w:rPr>
                <w:rFonts w:hint="eastAsia" w:asciiTheme="minorEastAsia" w:hAnsiTheme="minorEastAsia" w:cstheme="minorEastAsia"/>
                <w:color w:val="000000" w:themeColor="text1"/>
                <w:sz w:val="21"/>
                <w:szCs w:val="21"/>
                <w:highlight w:val="none"/>
                <w:lang w:val="en-US" w:eastAsia="zh-CN"/>
              </w:rPr>
              <w:t>1-2</w:t>
            </w:r>
            <w:r>
              <w:rPr>
                <w:rFonts w:hint="eastAsia" w:asciiTheme="minorEastAsia" w:hAnsiTheme="minorEastAsia" w:eastAsiaTheme="minorEastAsia" w:cstheme="minorEastAsia"/>
                <w:color w:val="000000" w:themeColor="text1"/>
                <w:sz w:val="21"/>
                <w:szCs w:val="21"/>
                <w:highlight w:val="none"/>
              </w:rPr>
              <w:t>分；</w:t>
            </w:r>
            <w:r>
              <w:rPr>
                <w:rFonts w:hint="eastAsia" w:asciiTheme="minorEastAsia" w:hAnsiTheme="minorEastAsia" w:cstheme="minorEastAsia"/>
                <w:color w:val="000000" w:themeColor="text1"/>
                <w:sz w:val="21"/>
                <w:szCs w:val="21"/>
                <w:highlight w:val="none"/>
                <w:lang w:val="en-US" w:eastAsia="zh-CN"/>
              </w:rPr>
              <w:t>方案</w:t>
            </w:r>
            <w:r>
              <w:rPr>
                <w:rFonts w:hint="eastAsia" w:asciiTheme="minorEastAsia" w:hAnsiTheme="minorEastAsia" w:eastAsiaTheme="minorEastAsia" w:cstheme="minorEastAsia"/>
                <w:color w:val="000000" w:themeColor="text1"/>
                <w:sz w:val="21"/>
                <w:szCs w:val="21"/>
                <w:highlight w:val="none"/>
              </w:rPr>
              <w:t>简单欠妥、可操作性不高得</w:t>
            </w:r>
            <w:r>
              <w:rPr>
                <w:rFonts w:hint="eastAsia" w:asciiTheme="minorEastAsia" w:hAnsiTheme="minorEastAsia" w:cstheme="minorEastAsia"/>
                <w:color w:val="000000" w:themeColor="text1"/>
                <w:sz w:val="21"/>
                <w:szCs w:val="21"/>
                <w:highlight w:val="none"/>
                <w:lang w:val="en-US" w:eastAsia="zh-CN"/>
              </w:rPr>
              <w:t>0-0.5</w:t>
            </w:r>
            <w:r>
              <w:rPr>
                <w:rFonts w:hint="eastAsia" w:asciiTheme="minorEastAsia" w:hAnsiTheme="minorEastAsia" w:eastAsiaTheme="minorEastAsia" w:cstheme="minorEastAsia"/>
                <w:color w:val="000000" w:themeColor="text1"/>
                <w:sz w:val="21"/>
                <w:szCs w:val="21"/>
                <w:highlight w:val="none"/>
              </w:rPr>
              <w:t>分，未提供则不得分</w:t>
            </w:r>
            <w:r>
              <w:rPr>
                <w:rFonts w:hint="eastAsia" w:asciiTheme="minorEastAsia" w:hAnsiTheme="minorEastAsia" w:cstheme="minorEastAsia"/>
                <w:color w:val="000000" w:themeColor="text1"/>
                <w:sz w:val="21"/>
                <w:szCs w:val="21"/>
                <w:highlight w:val="none"/>
                <w:lang w:eastAsia="zh-CN"/>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售后服务服务方案</w:t>
            </w:r>
          </w:p>
        </w:tc>
        <w:tc>
          <w:tcPr>
            <w:tcW w:w="514" w:type="dxa"/>
            <w:vAlign w:val="center"/>
          </w:tcPr>
          <w:p>
            <w:pPr>
              <w:spacing w:line="240" w:lineRule="auto"/>
              <w:ind w:left="-48" w:leftChars="-23" w:right="-35" w:rightChars="-17"/>
              <w:jc w:val="center"/>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val="en-US" w:eastAsia="zh-CN"/>
              </w:rPr>
              <w:t>4</w:t>
            </w:r>
          </w:p>
        </w:tc>
        <w:tc>
          <w:tcPr>
            <w:tcW w:w="6296" w:type="dxa"/>
            <w:vAlign w:val="center"/>
          </w:tcPr>
          <w:p>
            <w:pPr>
              <w:spacing w:line="240" w:lineRule="auto"/>
              <w:rPr>
                <w:rFonts w:ascii="宋体" w:hAnsi="宋体" w:eastAsia="宋体" w:cs="Times New Roman"/>
                <w:color w:val="000000" w:themeColor="text1"/>
                <w:sz w:val="24"/>
              </w:rPr>
            </w:pPr>
            <w:r>
              <w:rPr>
                <w:rFonts w:hint="eastAsia" w:ascii="宋体" w:hAnsi="宋体" w:eastAsia="宋体" w:cs="Times New Roman"/>
                <w:color w:val="000000" w:themeColor="text1"/>
                <w:szCs w:val="21"/>
              </w:rPr>
              <w:t>投标人提供的售后服务方案安排合理，维修响应速度快，针对性强得</w:t>
            </w:r>
            <w:r>
              <w:rPr>
                <w:rFonts w:hint="eastAsia" w:ascii="宋体" w:hAnsi="宋体" w:eastAsia="宋体" w:cs="Times New Roman"/>
                <w:color w:val="000000" w:themeColor="text1"/>
                <w:szCs w:val="21"/>
                <w:lang w:val="en-US" w:eastAsia="zh-CN"/>
              </w:rPr>
              <w:t>3</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val="en-US" w:eastAsia="zh-CN"/>
              </w:rPr>
              <w:t>4</w:t>
            </w:r>
            <w:r>
              <w:rPr>
                <w:rFonts w:hint="eastAsia" w:ascii="宋体" w:hAnsi="宋体" w:eastAsia="宋体" w:cs="Times New Roman"/>
                <w:color w:val="000000" w:themeColor="text1"/>
                <w:szCs w:val="21"/>
              </w:rPr>
              <w:t>分；方案基本合理，有一定针对性，有售后服务网点得</w:t>
            </w:r>
            <w:r>
              <w:rPr>
                <w:rFonts w:hint="eastAsia" w:ascii="宋体" w:hAnsi="宋体" w:eastAsia="宋体" w:cs="Times New Roman"/>
                <w:color w:val="000000" w:themeColor="text1"/>
                <w:szCs w:val="21"/>
                <w:lang w:val="en-US" w:eastAsia="zh-CN"/>
              </w:rPr>
              <w:t>1-2</w:t>
            </w:r>
            <w:r>
              <w:rPr>
                <w:rFonts w:hint="eastAsia" w:ascii="宋体" w:hAnsi="宋体" w:eastAsia="宋体" w:cs="Times New Roman"/>
                <w:color w:val="000000" w:themeColor="text1"/>
                <w:szCs w:val="21"/>
              </w:rPr>
              <w:t>分；方案简单，</w:t>
            </w:r>
            <w:r>
              <w:rPr>
                <w:rFonts w:hint="eastAsia" w:ascii="宋体" w:hAnsi="宋体" w:eastAsia="宋体" w:cs="Times New Roman"/>
                <w:color w:val="000000" w:themeColor="text1"/>
                <w:szCs w:val="21"/>
                <w:lang w:val="en-US" w:eastAsia="zh-CN"/>
              </w:rPr>
              <w:t>针对性不强</w:t>
            </w:r>
            <w:r>
              <w:rPr>
                <w:rFonts w:hint="eastAsia" w:ascii="宋体" w:hAnsi="宋体" w:eastAsia="宋体" w:cs="Times New Roman"/>
                <w:color w:val="000000" w:themeColor="text1"/>
                <w:szCs w:val="21"/>
              </w:rPr>
              <w:t>得</w:t>
            </w:r>
            <w:r>
              <w:rPr>
                <w:rFonts w:hint="eastAsia" w:ascii="宋体" w:hAnsi="宋体" w:eastAsia="宋体" w:cs="Times New Roman"/>
                <w:color w:val="000000" w:themeColor="text1"/>
                <w:szCs w:val="21"/>
                <w:lang w:val="en-US" w:eastAsia="zh-CN"/>
              </w:rPr>
              <w:t>0-0.5</w:t>
            </w:r>
            <w:r>
              <w:rPr>
                <w:rFonts w:hint="eastAsia" w:ascii="宋体" w:hAnsi="宋体" w:eastAsia="宋体" w:cs="Times New Roman"/>
                <w:color w:val="000000" w:themeColor="text1"/>
                <w:szCs w:val="21"/>
              </w:rPr>
              <w:t>分</w:t>
            </w:r>
            <w:r>
              <w:rPr>
                <w:rFonts w:hint="eastAsia" w:asciiTheme="minorEastAsia" w:hAnsiTheme="minorEastAsia" w:eastAsiaTheme="minorEastAsia" w:cstheme="minorEastAsia"/>
                <w:color w:val="000000" w:themeColor="text1"/>
                <w:sz w:val="21"/>
                <w:szCs w:val="21"/>
                <w:highlight w:val="none"/>
              </w:rPr>
              <w:t>，未提供则不得分</w:t>
            </w:r>
            <w:r>
              <w:rPr>
                <w:rFonts w:hint="eastAsia" w:ascii="宋体" w:hAnsi="宋体" w:eastAsia="宋体" w:cs="Times New Roman"/>
                <w:color w:val="000000" w:themeColor="text1"/>
                <w:szCs w:val="21"/>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b/>
                <w:color w:val="000000" w:themeColor="text1"/>
                <w:sz w:val="24"/>
                <w:szCs w:val="24"/>
              </w:rPr>
            </w:pPr>
            <w:r>
              <w:rPr>
                <w:rFonts w:hint="eastAsia" w:ascii="宋体" w:hAnsi="宋体" w:eastAsia="宋体" w:cs="Times New Roman"/>
                <w:color w:val="000000" w:themeColor="text1"/>
                <w:szCs w:val="21"/>
              </w:rPr>
              <w:t>培训方案</w:t>
            </w:r>
          </w:p>
        </w:tc>
        <w:tc>
          <w:tcPr>
            <w:tcW w:w="514" w:type="dxa"/>
            <w:vAlign w:val="center"/>
          </w:tcPr>
          <w:p>
            <w:pPr>
              <w:spacing w:line="240" w:lineRule="auto"/>
              <w:ind w:left="-48" w:leftChars="-23" w:right="-35" w:rightChars="-17"/>
              <w:jc w:val="center"/>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val="en-US" w:eastAsia="zh-CN"/>
              </w:rPr>
              <w:t>4</w:t>
            </w:r>
          </w:p>
        </w:tc>
        <w:tc>
          <w:tcPr>
            <w:tcW w:w="6296" w:type="dxa"/>
            <w:vAlign w:val="center"/>
          </w:tcPr>
          <w:p>
            <w:pPr>
              <w:spacing w:line="24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根据投标人提供的培训方案，从专业技术情况，培训计划是否合理、完善、有针对性等方面评分：方案内容完整、合理、针对性强得</w:t>
            </w:r>
            <w:r>
              <w:rPr>
                <w:rFonts w:hint="eastAsia" w:ascii="宋体" w:hAnsi="宋体" w:eastAsia="宋体" w:cs="Times New Roman"/>
                <w:color w:val="000000" w:themeColor="text1"/>
                <w:szCs w:val="21"/>
                <w:lang w:val="en-US" w:eastAsia="zh-CN"/>
              </w:rPr>
              <w:t>3-4</w:t>
            </w:r>
            <w:r>
              <w:rPr>
                <w:rFonts w:hint="eastAsia" w:ascii="宋体" w:hAnsi="宋体" w:eastAsia="宋体" w:cs="Times New Roman"/>
                <w:color w:val="000000" w:themeColor="text1"/>
                <w:szCs w:val="21"/>
              </w:rPr>
              <w:t>分；方案内容完整、计划可行符合项目需求得</w:t>
            </w:r>
            <w:r>
              <w:rPr>
                <w:rFonts w:hint="eastAsia" w:ascii="宋体" w:hAnsi="宋体" w:eastAsia="宋体" w:cs="Times New Roman"/>
                <w:color w:val="000000" w:themeColor="text1"/>
                <w:szCs w:val="21"/>
                <w:lang w:val="en-US" w:eastAsia="zh-CN"/>
              </w:rPr>
              <w:t>1-</w:t>
            </w:r>
            <w:r>
              <w:rPr>
                <w:rFonts w:hint="eastAsia" w:ascii="宋体" w:hAnsi="宋体" w:eastAsia="宋体" w:cs="Times New Roman"/>
                <w:color w:val="000000" w:themeColor="text1"/>
                <w:szCs w:val="21"/>
              </w:rPr>
              <w:t>2分；方案内容完整基本符合项目需求得</w:t>
            </w:r>
            <w:r>
              <w:rPr>
                <w:rFonts w:hint="eastAsia" w:ascii="宋体" w:hAnsi="宋体" w:eastAsia="宋体" w:cs="Times New Roman"/>
                <w:color w:val="000000" w:themeColor="text1"/>
                <w:szCs w:val="21"/>
                <w:lang w:val="en-US" w:eastAsia="zh-CN"/>
              </w:rPr>
              <w:t>0-0.5</w:t>
            </w:r>
            <w:r>
              <w:rPr>
                <w:rFonts w:hint="eastAsia" w:ascii="宋体" w:hAnsi="宋体" w:eastAsia="宋体" w:cs="Times New Roman"/>
                <w:color w:val="000000" w:themeColor="text1"/>
                <w:szCs w:val="21"/>
              </w:rPr>
              <w:t>分</w:t>
            </w:r>
            <w:r>
              <w:rPr>
                <w:rFonts w:hint="eastAsia" w:asciiTheme="minorEastAsia" w:hAnsiTheme="minorEastAsia" w:eastAsiaTheme="minorEastAsia" w:cstheme="minorEastAsia"/>
                <w:color w:val="000000" w:themeColor="text1"/>
                <w:sz w:val="21"/>
                <w:szCs w:val="21"/>
                <w:highlight w:val="none"/>
              </w:rPr>
              <w:t>，未提供则不得分</w:t>
            </w:r>
            <w:r>
              <w:rPr>
                <w:rFonts w:hint="eastAsia" w:ascii="宋体" w:hAnsi="宋体" w:eastAsia="宋体" w:cs="Times New Roman"/>
                <w:color w:val="000000" w:themeColor="text1"/>
                <w:szCs w:val="21"/>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240" w:lineRule="auto"/>
              <w:ind w:left="-48" w:leftChars="-23" w:right="-35" w:rightChars="-17"/>
              <w:jc w:val="center"/>
              <w:rPr>
                <w:rFonts w:ascii="宋体" w:hAnsi="宋体" w:eastAsia="宋体" w:cs="Times New Roman"/>
                <w:b/>
                <w:color w:val="FF0000"/>
                <w:sz w:val="24"/>
              </w:rPr>
            </w:pPr>
            <w:r>
              <w:rPr>
                <w:rFonts w:hint="eastAsia" w:ascii="宋体" w:hAnsi="宋体" w:eastAsia="宋体" w:cs="Times New Roman"/>
                <w:b/>
                <w:color w:val="FF0000"/>
                <w:sz w:val="24"/>
              </w:rPr>
              <w:t>商务分合计</w:t>
            </w:r>
          </w:p>
        </w:tc>
        <w:tc>
          <w:tcPr>
            <w:tcW w:w="7264" w:type="dxa"/>
            <w:gridSpan w:val="2"/>
            <w:vAlign w:val="center"/>
          </w:tcPr>
          <w:p>
            <w:pPr>
              <w:spacing w:line="240" w:lineRule="auto"/>
              <w:ind w:left="-65" w:leftChars="-31" w:right="-35" w:rightChars="-17"/>
              <w:jc w:val="center"/>
              <w:rPr>
                <w:rFonts w:hint="default" w:ascii="宋体" w:hAnsi="宋体" w:eastAsia="宋体" w:cs="Times New Roman"/>
                <w:b/>
                <w:color w:val="000000" w:themeColor="text1"/>
                <w:szCs w:val="21"/>
                <w:lang w:val="en-US" w:eastAsia="zh-CN"/>
              </w:rPr>
            </w:pPr>
            <w:r>
              <w:rPr>
                <w:rFonts w:hint="eastAsia" w:ascii="宋体" w:hAnsi="宋体" w:eastAsia="宋体" w:cs="Times New Roman"/>
                <w:b/>
                <w:color w:val="000000" w:themeColor="text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shd w:val="pct10" w:color="auto" w:fill="auto"/>
            <w:vAlign w:val="center"/>
          </w:tcPr>
          <w:p>
            <w:pPr>
              <w:tabs>
                <w:tab w:val="left" w:pos="322"/>
              </w:tabs>
              <w:spacing w:line="240" w:lineRule="auto"/>
              <w:ind w:left="-42" w:right="-42" w:rightChars="-20"/>
              <w:jc w:val="right"/>
              <w:rPr>
                <w:rFonts w:ascii="宋体" w:hAnsi="宋体" w:eastAsia="宋体" w:cs="Times New Roman"/>
                <w:b/>
                <w:color w:val="000000" w:themeColor="text1"/>
                <w:sz w:val="24"/>
                <w:szCs w:val="24"/>
              </w:rPr>
            </w:pPr>
            <w:r>
              <w:rPr>
                <w:rFonts w:hint="eastAsia" w:ascii="宋体" w:hAnsi="宋体" w:eastAsia="宋体" w:cs="Times New Roman"/>
                <w:b/>
                <w:bCs/>
                <w:color w:val="000000" w:themeColor="text1"/>
                <w:sz w:val="28"/>
                <w:szCs w:val="28"/>
              </w:rPr>
              <w:t>技术服务评议</w:t>
            </w:r>
          </w:p>
        </w:tc>
        <w:tc>
          <w:tcPr>
            <w:tcW w:w="1351" w:type="dxa"/>
            <w:shd w:val="pct10" w:color="auto" w:fill="auto"/>
            <w:vAlign w:val="center"/>
          </w:tcPr>
          <w:p>
            <w:pPr>
              <w:spacing w:line="240" w:lineRule="auto"/>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评审因素</w:t>
            </w:r>
          </w:p>
        </w:tc>
        <w:tc>
          <w:tcPr>
            <w:tcW w:w="514" w:type="dxa"/>
            <w:shd w:val="pct10" w:color="auto" w:fill="auto"/>
            <w:vAlign w:val="center"/>
          </w:tcPr>
          <w:p>
            <w:pPr>
              <w:spacing w:line="240" w:lineRule="auto"/>
              <w:ind w:left="-73" w:leftChars="-35" w:right="-79" w:rightChars="-38"/>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分值</w:t>
            </w:r>
          </w:p>
        </w:tc>
        <w:tc>
          <w:tcPr>
            <w:tcW w:w="6296" w:type="dxa"/>
            <w:shd w:val="pct10" w:color="auto" w:fill="auto"/>
            <w:vAlign w:val="center"/>
          </w:tcPr>
          <w:p>
            <w:pPr>
              <w:spacing w:line="240" w:lineRule="auto"/>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评分标准</w:t>
            </w:r>
          </w:p>
        </w:tc>
        <w:tc>
          <w:tcPr>
            <w:tcW w:w="968"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240" w:lineRule="auto"/>
              <w:ind w:left="-42" w:right="-42" w:rightChars="-2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rPr>
            </w:pPr>
            <w:r>
              <w:rPr>
                <w:rFonts w:ascii="宋体" w:hAnsi="宋体" w:eastAsia="宋体" w:cs="Times New Roman"/>
                <w:color w:val="000000"/>
                <w:szCs w:val="21"/>
              </w:rPr>
              <w:t>技术响应</w:t>
            </w:r>
          </w:p>
        </w:tc>
        <w:tc>
          <w:tcPr>
            <w:tcW w:w="514" w:type="dxa"/>
            <w:vAlign w:val="center"/>
          </w:tcPr>
          <w:p>
            <w:pPr>
              <w:spacing w:line="240" w:lineRule="auto"/>
              <w:ind w:left="-48" w:leftChars="-23" w:right="-35" w:rightChars="-17"/>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5</w:t>
            </w:r>
            <w:r>
              <w:rPr>
                <w:rFonts w:hint="eastAsia" w:ascii="宋体" w:hAnsi="宋体" w:eastAsia="宋体" w:cs="Times New Roman"/>
                <w:color w:val="000000" w:themeColor="text1"/>
                <w:szCs w:val="21"/>
              </w:rPr>
              <w:t>0</w:t>
            </w:r>
          </w:p>
        </w:tc>
        <w:tc>
          <w:tcPr>
            <w:tcW w:w="6296" w:type="dxa"/>
            <w:vAlign w:val="center"/>
          </w:tcPr>
          <w:p>
            <w:pPr>
              <w:spacing w:line="240" w:lineRule="auto"/>
              <w:rPr>
                <w:rFonts w:ascii="宋体" w:hAnsi="宋体"/>
                <w:b/>
                <w:szCs w:val="21"/>
              </w:rPr>
            </w:pPr>
            <w:r>
              <w:rPr>
                <w:rFonts w:hint="eastAsia" w:ascii="宋体" w:hAnsi="宋体"/>
                <w:szCs w:val="21"/>
              </w:rPr>
              <w:t>1.</w:t>
            </w:r>
            <w:r>
              <w:rPr>
                <w:rFonts w:ascii="宋体" w:hAnsi="宋体"/>
                <w:kern w:val="0"/>
                <w:szCs w:val="21"/>
              </w:rPr>
              <w:t>完全满足用户的要求，</w:t>
            </w:r>
            <w:r>
              <w:rPr>
                <w:rFonts w:hint="eastAsia" w:ascii="宋体" w:hAnsi="宋体"/>
                <w:kern w:val="0"/>
                <w:szCs w:val="21"/>
              </w:rPr>
              <w:t>或</w:t>
            </w:r>
            <w:r>
              <w:rPr>
                <w:rFonts w:ascii="宋体" w:hAnsi="宋体"/>
                <w:kern w:val="0"/>
                <w:szCs w:val="21"/>
              </w:rPr>
              <w:t>有优于用户</w:t>
            </w:r>
            <w:r>
              <w:rPr>
                <w:rFonts w:hint="eastAsia" w:ascii="宋体" w:hAnsi="宋体"/>
                <w:kern w:val="0"/>
                <w:szCs w:val="21"/>
              </w:rPr>
              <w:t>的</w:t>
            </w:r>
            <w:r>
              <w:rPr>
                <w:rFonts w:ascii="宋体" w:hAnsi="宋体"/>
                <w:kern w:val="0"/>
                <w:szCs w:val="21"/>
              </w:rPr>
              <w:t>技术参数</w:t>
            </w:r>
            <w:r>
              <w:rPr>
                <w:rFonts w:hint="eastAsia" w:ascii="宋体" w:hAnsi="宋体"/>
                <w:kern w:val="0"/>
                <w:szCs w:val="21"/>
              </w:rPr>
              <w:t>（投标人提供参数证明材料，如</w:t>
            </w:r>
            <w:r>
              <w:rPr>
                <w:rFonts w:hint="eastAsia" w:ascii="宋体" w:hAnsi="宋体" w:cs="宋体"/>
                <w:szCs w:val="21"/>
              </w:rPr>
              <w:t>产品彩页、官网网页截图以上其中一种</w:t>
            </w:r>
            <w:r>
              <w:rPr>
                <w:rFonts w:hint="eastAsia" w:ascii="宋体" w:hAnsi="宋体"/>
                <w:kern w:val="0"/>
                <w:szCs w:val="21"/>
              </w:rPr>
              <w:t>或官方检测机构出具的认证证书等，如投标人技术响应内容与产品彩页样本或检验报告不一致的本项得0分）</w:t>
            </w:r>
            <w:r>
              <w:rPr>
                <w:rFonts w:ascii="宋体" w:hAnsi="宋体"/>
                <w:kern w:val="0"/>
                <w:szCs w:val="21"/>
              </w:rPr>
              <w:t>，且能详细描述，综合评价最优</w:t>
            </w:r>
            <w:r>
              <w:rPr>
                <w:rFonts w:hint="eastAsia" w:ascii="宋体" w:hAnsi="宋体"/>
                <w:kern w:val="0"/>
                <w:szCs w:val="21"/>
              </w:rPr>
              <w:t>的得</w:t>
            </w:r>
            <w:r>
              <w:rPr>
                <w:rFonts w:hint="eastAsia" w:ascii="宋体" w:hAnsi="宋体"/>
                <w:kern w:val="0"/>
                <w:szCs w:val="21"/>
                <w:lang w:val="en-US" w:eastAsia="zh-CN"/>
              </w:rPr>
              <w:t>5</w:t>
            </w:r>
            <w:r>
              <w:rPr>
                <w:rFonts w:hint="eastAsia" w:ascii="宋体" w:hAnsi="宋体"/>
                <w:kern w:val="0"/>
                <w:szCs w:val="21"/>
              </w:rPr>
              <w:t>0分。</w:t>
            </w:r>
          </w:p>
          <w:p>
            <w:pPr>
              <w:spacing w:line="240" w:lineRule="auto"/>
              <w:rPr>
                <w:rFonts w:ascii="宋体" w:hAnsi="宋体" w:eastAsia="宋体" w:cs="Times New Roman"/>
                <w:color w:val="000000" w:themeColor="text1"/>
                <w:sz w:val="24"/>
              </w:rPr>
            </w:pPr>
            <w:r>
              <w:rPr>
                <w:rFonts w:hint="eastAsia" w:ascii="宋体" w:hAnsi="宋体"/>
                <w:szCs w:val="21"/>
              </w:rPr>
              <w:t>2.“</w:t>
            </w:r>
            <w:r>
              <w:rPr>
                <w:rFonts w:hint="eastAsia" w:ascii="宋体" w:hAnsi="宋体"/>
                <w:b/>
                <w:color w:val="000000"/>
                <w:szCs w:val="21"/>
              </w:rPr>
              <w:t>＊</w:t>
            </w:r>
            <w:r>
              <w:rPr>
                <w:rFonts w:hint="eastAsia" w:ascii="宋体" w:hAnsi="宋体"/>
                <w:szCs w:val="21"/>
              </w:rPr>
              <w:t>”号标识的条款，为重要技术参数，每一项负偏离，扣5分；其他参数，每一项负偏离，扣2分，扣完</w:t>
            </w:r>
            <w:r>
              <w:rPr>
                <w:rFonts w:hint="eastAsia" w:ascii="宋体" w:hAnsi="宋体"/>
                <w:szCs w:val="21"/>
                <w:lang w:val="en-US" w:eastAsia="zh-CN"/>
              </w:rPr>
              <w:t>5</w:t>
            </w:r>
            <w:r>
              <w:rPr>
                <w:rFonts w:hint="eastAsia" w:ascii="宋体" w:hAnsi="宋体"/>
                <w:szCs w:val="21"/>
              </w:rPr>
              <w:t>0分为止。</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240" w:lineRule="auto"/>
              <w:ind w:left="-48" w:leftChars="-23" w:right="-35" w:rightChars="-17"/>
              <w:jc w:val="center"/>
              <w:rPr>
                <w:rFonts w:ascii="宋体" w:hAnsi="宋体" w:eastAsia="宋体" w:cs="Times New Roman"/>
                <w:b/>
                <w:color w:val="FF0000"/>
                <w:sz w:val="24"/>
              </w:rPr>
            </w:pPr>
            <w:r>
              <w:rPr>
                <w:rFonts w:hint="eastAsia" w:ascii="宋体" w:hAnsi="宋体" w:eastAsia="宋体" w:cs="Times New Roman"/>
                <w:b/>
                <w:color w:val="FF0000"/>
                <w:sz w:val="24"/>
              </w:rPr>
              <w:t>技术分合计</w:t>
            </w:r>
          </w:p>
        </w:tc>
        <w:tc>
          <w:tcPr>
            <w:tcW w:w="7264" w:type="dxa"/>
            <w:gridSpan w:val="2"/>
            <w:vAlign w:val="center"/>
          </w:tcPr>
          <w:p>
            <w:pPr>
              <w:spacing w:line="240" w:lineRule="auto"/>
              <w:ind w:left="-65" w:leftChars="-31" w:right="-35" w:rightChars="-17"/>
              <w:jc w:val="center"/>
              <w:rPr>
                <w:rFonts w:hint="default" w:ascii="宋体" w:hAnsi="宋体" w:eastAsia="宋体" w:cs="Times New Roman"/>
                <w:b/>
                <w:color w:val="000000" w:themeColor="text1"/>
                <w:szCs w:val="21"/>
                <w:lang w:val="en-US" w:eastAsia="zh-CN"/>
              </w:rPr>
            </w:pPr>
            <w:r>
              <w:rPr>
                <w:rFonts w:hint="eastAsia" w:ascii="宋体" w:hAnsi="宋体" w:eastAsia="宋体" w:cs="Times New Roman"/>
                <w:b/>
                <w:color w:val="000000" w:themeColor="text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gridSpan w:val="2"/>
            <w:vAlign w:val="center"/>
          </w:tcPr>
          <w:p>
            <w:pPr>
              <w:spacing w:line="240" w:lineRule="auto"/>
              <w:ind w:left="-77" w:leftChars="-37" w:right="-86" w:rightChars="-41"/>
              <w:jc w:val="center"/>
              <w:rPr>
                <w:rFonts w:ascii="宋体" w:hAnsi="宋体" w:eastAsia="宋体" w:cs="Times New Roman"/>
                <w:b/>
                <w:bCs/>
                <w:color w:val="000000" w:themeColor="text1"/>
                <w:sz w:val="24"/>
                <w:szCs w:val="24"/>
              </w:rPr>
            </w:pPr>
            <w:r>
              <w:rPr>
                <w:rFonts w:hint="eastAsia" w:ascii="宋体" w:hAnsi="宋体" w:eastAsia="宋体" w:cs="Times New Roman"/>
                <w:b/>
                <w:bCs/>
                <w:color w:val="000000" w:themeColor="text1"/>
                <w:sz w:val="24"/>
                <w:szCs w:val="24"/>
              </w:rPr>
              <w:t>价格评议</w:t>
            </w:r>
          </w:p>
        </w:tc>
        <w:tc>
          <w:tcPr>
            <w:tcW w:w="514" w:type="dxa"/>
            <w:vAlign w:val="center"/>
          </w:tcPr>
          <w:p>
            <w:pPr>
              <w:spacing w:line="240" w:lineRule="auto"/>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30</w:t>
            </w:r>
          </w:p>
        </w:tc>
        <w:tc>
          <w:tcPr>
            <w:tcW w:w="7264" w:type="dxa"/>
            <w:gridSpan w:val="2"/>
            <w:vAlign w:val="center"/>
          </w:tcPr>
          <w:p>
            <w:pPr>
              <w:adjustRightInd w:val="0"/>
              <w:snapToGrid w:val="0"/>
              <w:spacing w:line="240" w:lineRule="auto"/>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计算时保留两位小数。为保证产品质量，投标报价低于采</w:t>
            </w:r>
            <w:r>
              <w:rPr>
                <w:rFonts w:hint="eastAsia" w:ascii="宋体" w:hAnsi="宋体" w:eastAsia="宋体" w:cs="Times New Roman"/>
                <w:b/>
                <w:color w:val="000000" w:themeColor="text1"/>
                <w:sz w:val="24"/>
                <w:szCs w:val="24"/>
                <w:highlight w:val="yellow"/>
              </w:rPr>
              <w:t>购预算</w:t>
            </w:r>
            <w:r>
              <w:rPr>
                <w:rFonts w:hint="eastAsia" w:ascii="宋体" w:hAnsi="宋体" w:eastAsia="宋体" w:cs="Times New Roman"/>
                <w:b/>
                <w:color w:val="000000" w:themeColor="text1"/>
                <w:sz w:val="24"/>
                <w:szCs w:val="24"/>
                <w:highlight w:val="yellow"/>
                <w:lang w:val="en-US" w:eastAsia="zh-CN"/>
              </w:rPr>
              <w:t>80</w:t>
            </w:r>
            <w:r>
              <w:rPr>
                <w:rFonts w:hint="eastAsia" w:ascii="宋体" w:hAnsi="宋体" w:eastAsia="宋体" w:cs="Times New Roman"/>
                <w:b/>
                <w:color w:val="000000" w:themeColor="text1"/>
                <w:sz w:val="24"/>
                <w:szCs w:val="24"/>
                <w:highlight w:val="yellow"/>
              </w:rPr>
              <w:t>%时</w:t>
            </w:r>
            <w:r>
              <w:rPr>
                <w:rFonts w:hint="eastAsia" w:ascii="宋体" w:hAnsi="宋体" w:eastAsia="宋体" w:cs="Times New Roman"/>
                <w:b/>
                <w:color w:val="000000" w:themeColor="text1"/>
                <w:sz w:val="24"/>
                <w:szCs w:val="24"/>
              </w:rPr>
              <w:t>评标委员会将对其报价进行成本分析，评标委员会认为报价低于成本价时将否决其投标。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240" w:lineRule="auto"/>
              <w:jc w:val="center"/>
              <w:rPr>
                <w:rFonts w:ascii="宋体" w:hAnsi="宋体" w:eastAsia="宋体" w:cs="Times New Roman"/>
                <w:b/>
                <w:color w:val="FF0000"/>
                <w:kern w:val="0"/>
                <w:sz w:val="24"/>
                <w:szCs w:val="24"/>
              </w:rPr>
            </w:pPr>
            <w:r>
              <w:rPr>
                <w:rFonts w:hint="eastAsia" w:ascii="宋体" w:hAnsi="宋体" w:eastAsia="宋体" w:cs="Times New Roman"/>
                <w:b/>
                <w:color w:val="FF0000"/>
                <w:kern w:val="0"/>
                <w:sz w:val="24"/>
                <w:szCs w:val="24"/>
              </w:rPr>
              <w:t>报价分合计</w:t>
            </w:r>
          </w:p>
        </w:tc>
        <w:tc>
          <w:tcPr>
            <w:tcW w:w="7264" w:type="dxa"/>
            <w:gridSpan w:val="2"/>
            <w:vAlign w:val="center"/>
          </w:tcPr>
          <w:p>
            <w:pPr>
              <w:adjustRightInd w:val="0"/>
              <w:snapToGrid w:val="0"/>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240" w:lineRule="auto"/>
              <w:jc w:val="center"/>
              <w:rPr>
                <w:rFonts w:ascii="宋体" w:hAnsi="宋体" w:eastAsia="宋体" w:cs="Times New Roman"/>
                <w:b/>
                <w:color w:val="FF0000"/>
                <w:kern w:val="0"/>
                <w:sz w:val="24"/>
                <w:szCs w:val="24"/>
              </w:rPr>
            </w:pPr>
            <w:r>
              <w:rPr>
                <w:rFonts w:hint="eastAsia" w:ascii="宋体" w:hAnsi="宋体" w:eastAsia="宋体" w:cs="Times New Roman"/>
                <w:b/>
                <w:color w:val="FF0000"/>
                <w:kern w:val="0"/>
                <w:sz w:val="24"/>
                <w:szCs w:val="24"/>
              </w:rPr>
              <w:t>得分总计</w:t>
            </w:r>
          </w:p>
        </w:tc>
        <w:tc>
          <w:tcPr>
            <w:tcW w:w="7264" w:type="dxa"/>
            <w:gridSpan w:val="2"/>
            <w:vAlign w:val="center"/>
          </w:tcPr>
          <w:p>
            <w:pPr>
              <w:adjustRightInd w:val="0"/>
              <w:snapToGrid w:val="0"/>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100</w:t>
            </w:r>
          </w:p>
        </w:tc>
      </w:tr>
    </w:tbl>
    <w:p/>
    <w:p>
      <w:r>
        <w:br w:type="page"/>
      </w:r>
    </w:p>
    <w:p>
      <w:pPr>
        <w:jc w:val="center"/>
        <w:rPr>
          <w:rFonts w:hint="eastAsia" w:cs="Times New Roman" w:asciiTheme="majorEastAsia" w:hAnsiTheme="majorEastAsia"/>
          <w:b/>
          <w:bCs/>
          <w:sz w:val="30"/>
          <w:szCs w:val="30"/>
          <w:lang w:val="en-US" w:eastAsia="zh-CN"/>
        </w:rPr>
      </w:pPr>
      <w:r>
        <w:rPr>
          <w:rFonts w:hint="eastAsia" w:cs="Times New Roman" w:asciiTheme="majorEastAsia" w:hAnsiTheme="majorEastAsia"/>
          <w:b/>
          <w:bCs/>
          <w:sz w:val="30"/>
          <w:szCs w:val="30"/>
          <w:lang w:val="en-US" w:eastAsia="zh-CN"/>
        </w:rPr>
        <w:t>包2</w:t>
      </w:r>
    </w:p>
    <w:tbl>
      <w:tblPr>
        <w:tblStyle w:val="1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51"/>
        <w:gridCol w:w="514"/>
        <w:gridCol w:w="62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11" w:type="dxa"/>
            <w:vMerge w:val="restart"/>
            <w:shd w:val="pct10" w:color="auto" w:fill="auto"/>
            <w:vAlign w:val="center"/>
          </w:tcPr>
          <w:p>
            <w:pPr>
              <w:spacing w:line="240" w:lineRule="auto"/>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bCs/>
                <w:color w:val="000000" w:themeColor="text1"/>
                <w:sz w:val="28"/>
                <w:szCs w:val="28"/>
              </w:rPr>
              <w:t>商务评议</w:t>
            </w:r>
          </w:p>
        </w:tc>
        <w:tc>
          <w:tcPr>
            <w:tcW w:w="1351"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评审因素</w:t>
            </w:r>
          </w:p>
        </w:tc>
        <w:tc>
          <w:tcPr>
            <w:tcW w:w="514" w:type="dxa"/>
            <w:shd w:val="pct10" w:color="auto" w:fill="auto"/>
            <w:vAlign w:val="center"/>
          </w:tcPr>
          <w:p>
            <w:pPr>
              <w:spacing w:line="240" w:lineRule="auto"/>
              <w:ind w:left="-73" w:leftChars="-35" w:right="-79" w:rightChars="-38"/>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分值</w:t>
            </w:r>
          </w:p>
        </w:tc>
        <w:tc>
          <w:tcPr>
            <w:tcW w:w="6296"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评分标准</w:t>
            </w:r>
          </w:p>
        </w:tc>
        <w:tc>
          <w:tcPr>
            <w:tcW w:w="968"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jc w:val="center"/>
              <w:rPr>
                <w:rFonts w:ascii="宋体" w:hAnsi="宋体" w:eastAsia="宋体" w:cs="Times New Roman"/>
                <w:szCs w:val="21"/>
              </w:rPr>
            </w:pPr>
            <w:r>
              <w:rPr>
                <w:rFonts w:hint="eastAsia" w:ascii="宋体" w:hAnsi="宋体"/>
                <w:szCs w:val="21"/>
              </w:rPr>
              <w:t>投标</w:t>
            </w:r>
            <w:r>
              <w:rPr>
                <w:rFonts w:hint="eastAsia" w:ascii="宋体" w:hAnsi="宋体" w:eastAsia="宋体" w:cs="Times New Roman"/>
                <w:szCs w:val="21"/>
              </w:rPr>
              <w:t>文件的完整性</w:t>
            </w:r>
          </w:p>
        </w:tc>
        <w:tc>
          <w:tcPr>
            <w:tcW w:w="514" w:type="dxa"/>
            <w:vAlign w:val="center"/>
          </w:tcPr>
          <w:p>
            <w:pPr>
              <w:spacing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6296" w:type="dxa"/>
            <w:vAlign w:val="center"/>
          </w:tcPr>
          <w:p>
            <w:pPr>
              <w:spacing w:before="100" w:beforeAutospacing="1" w:after="100" w:afterAutospacing="1" w:line="240" w:lineRule="auto"/>
              <w:jc w:val="left"/>
              <w:rPr>
                <w:rFonts w:ascii="宋体" w:hAnsi="宋体" w:eastAsia="宋体" w:cs="Times New Roman"/>
                <w:szCs w:val="21"/>
              </w:rPr>
            </w:pPr>
            <w:r>
              <w:rPr>
                <w:rFonts w:hint="eastAsia" w:ascii="宋体" w:hAnsi="宋体"/>
                <w:kern w:val="0"/>
                <w:szCs w:val="21"/>
              </w:rPr>
              <w:t>投标</w:t>
            </w:r>
            <w:r>
              <w:rPr>
                <w:rFonts w:hint="eastAsia" w:ascii="宋体" w:hAnsi="宋体" w:eastAsia="宋体" w:cs="Times New Roman"/>
                <w:kern w:val="0"/>
                <w:szCs w:val="21"/>
              </w:rPr>
              <w:t>文件全面响应</w:t>
            </w:r>
            <w:r>
              <w:rPr>
                <w:rFonts w:hint="eastAsia" w:ascii="宋体" w:hAnsi="宋体"/>
                <w:kern w:val="0"/>
                <w:szCs w:val="21"/>
              </w:rPr>
              <w:t>招标</w:t>
            </w:r>
            <w:r>
              <w:rPr>
                <w:rFonts w:hint="eastAsia" w:ascii="宋体" w:hAnsi="宋体" w:eastAsia="宋体" w:cs="Times New Roman"/>
                <w:kern w:val="0"/>
                <w:szCs w:val="21"/>
              </w:rPr>
              <w:t>文件要求，编制完整、非活页装订，且有详细目录、连续页码、目录与有关材料装订顺序对应清晰、查阅方便得</w:t>
            </w:r>
            <w:r>
              <w:rPr>
                <w:rFonts w:hint="eastAsia" w:ascii="宋体" w:hAnsi="宋体" w:eastAsia="宋体" w:cs="Times New Roman"/>
                <w:kern w:val="0"/>
                <w:szCs w:val="21"/>
                <w:lang w:val="en-US" w:eastAsia="zh-CN"/>
              </w:rPr>
              <w:t>3</w:t>
            </w:r>
            <w:r>
              <w:rPr>
                <w:rFonts w:hint="eastAsia" w:ascii="宋体" w:hAnsi="宋体" w:eastAsia="宋体" w:cs="Times New Roman"/>
                <w:kern w:val="0"/>
                <w:szCs w:val="21"/>
              </w:rPr>
              <w:t>分。编排杂乱无章、叙述答非所问、资料残缺不全、资料模糊不清、前后不一致等，每处扣</w:t>
            </w:r>
            <w:r>
              <w:rPr>
                <w:rFonts w:hint="eastAsia" w:ascii="宋体" w:hAnsi="宋体" w:eastAsia="宋体" w:cs="Times New Roman"/>
                <w:kern w:val="0"/>
                <w:szCs w:val="21"/>
                <w:lang w:val="en-US" w:eastAsia="zh-CN"/>
              </w:rPr>
              <w:t>1</w:t>
            </w:r>
            <w:r>
              <w:rPr>
                <w:rFonts w:hint="eastAsia" w:ascii="宋体" w:hAnsi="宋体" w:eastAsia="宋体" w:cs="Times New Roman"/>
                <w:kern w:val="0"/>
                <w:szCs w:val="21"/>
              </w:rPr>
              <w:t>分，扣完为止，活页装订不得分。</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质保期</w:t>
            </w:r>
          </w:p>
        </w:tc>
        <w:tc>
          <w:tcPr>
            <w:tcW w:w="514" w:type="dxa"/>
            <w:vAlign w:val="center"/>
          </w:tcPr>
          <w:p>
            <w:pPr>
              <w:spacing w:line="240" w:lineRule="auto"/>
              <w:jc w:val="center"/>
              <w:rPr>
                <w:rFonts w:hint="default" w:ascii="宋体" w:hAnsi="宋体" w:eastAsia="宋体" w:cs="Times New Roman"/>
                <w:b/>
                <w:color w:val="000000" w:themeColor="text1"/>
                <w:sz w:val="24"/>
                <w:lang w:val="en-US" w:eastAsia="zh-CN"/>
              </w:rPr>
            </w:pPr>
            <w:r>
              <w:rPr>
                <w:rFonts w:hint="eastAsia" w:ascii="宋体" w:hAnsi="宋体" w:eastAsia="宋体" w:cs="Times New Roman"/>
                <w:szCs w:val="21"/>
                <w:lang w:val="en-US" w:eastAsia="zh-CN"/>
              </w:rPr>
              <w:t>1</w:t>
            </w:r>
          </w:p>
        </w:tc>
        <w:tc>
          <w:tcPr>
            <w:tcW w:w="6296" w:type="dxa"/>
            <w:vAlign w:val="center"/>
          </w:tcPr>
          <w:p>
            <w:pPr>
              <w:spacing w:line="240" w:lineRule="auto"/>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根据投标人对质保期的承诺，在满足招标文件要求的前提下，每增加1年得1分，此项最高得1分。（提供承诺书并加盖公章）</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类似成功案例</w:t>
            </w:r>
          </w:p>
        </w:tc>
        <w:tc>
          <w:tcPr>
            <w:tcW w:w="514" w:type="dxa"/>
            <w:vAlign w:val="center"/>
          </w:tcPr>
          <w:p>
            <w:pPr>
              <w:spacing w:line="240" w:lineRule="auto"/>
              <w:ind w:left="-48" w:leftChars="-23" w:right="-35" w:rightChars="-17"/>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5</w:t>
            </w:r>
          </w:p>
        </w:tc>
        <w:tc>
          <w:tcPr>
            <w:tcW w:w="6296" w:type="dxa"/>
            <w:vAlign w:val="center"/>
          </w:tcPr>
          <w:p>
            <w:pPr>
              <w:spacing w:line="24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根据投标人</w:t>
            </w:r>
            <w:r>
              <w:rPr>
                <w:rFonts w:hint="eastAsia" w:ascii="宋体" w:hAnsi="宋体" w:eastAsia="宋体" w:cs="Times New Roman"/>
                <w:color w:val="000000" w:themeColor="text1"/>
                <w:szCs w:val="21"/>
                <w:lang w:val="en-US" w:eastAsia="zh-CN"/>
              </w:rPr>
              <w:t>所投产品</w:t>
            </w:r>
            <w:r>
              <w:rPr>
                <w:rFonts w:hint="eastAsia" w:ascii="宋体" w:hAnsi="宋体" w:eastAsia="宋体" w:cs="Times New Roman"/>
                <w:color w:val="000000" w:themeColor="text1"/>
                <w:szCs w:val="21"/>
              </w:rPr>
              <w:t>（201</w:t>
            </w:r>
            <w:r>
              <w:rPr>
                <w:rFonts w:hint="eastAsia" w:ascii="宋体" w:hAnsi="宋体" w:eastAsia="宋体" w:cs="Times New Roman"/>
                <w:color w:val="000000" w:themeColor="text1"/>
                <w:szCs w:val="21"/>
                <w:lang w:val="en-US" w:eastAsia="zh-CN"/>
              </w:rPr>
              <w:t>7</w:t>
            </w:r>
            <w:r>
              <w:rPr>
                <w:rFonts w:hint="eastAsia" w:ascii="宋体" w:hAnsi="宋体" w:eastAsia="宋体" w:cs="Times New Roman"/>
                <w:color w:val="000000" w:themeColor="text1"/>
                <w:szCs w:val="21"/>
              </w:rPr>
              <w:t>年</w:t>
            </w:r>
            <w:r>
              <w:rPr>
                <w:rFonts w:hint="eastAsia" w:ascii="宋体" w:hAnsi="宋体" w:eastAsia="宋体" w:cs="Times New Roman"/>
                <w:color w:val="000000" w:themeColor="text1"/>
                <w:szCs w:val="21"/>
                <w:lang w:val="en-US" w:eastAsia="zh-CN"/>
              </w:rPr>
              <w:t>9</w:t>
            </w:r>
            <w:r>
              <w:rPr>
                <w:rFonts w:hint="eastAsia" w:ascii="宋体" w:hAnsi="宋体" w:eastAsia="宋体" w:cs="Times New Roman"/>
                <w:color w:val="000000" w:themeColor="text1"/>
                <w:szCs w:val="21"/>
              </w:rPr>
              <w:t>月至今）的类似成功案例进行评分，每提供一份得1分，最高得</w:t>
            </w:r>
            <w:r>
              <w:rPr>
                <w:rFonts w:hint="eastAsia" w:ascii="宋体" w:hAnsi="宋体" w:eastAsia="宋体" w:cs="Times New Roman"/>
                <w:color w:val="000000" w:themeColor="text1"/>
                <w:szCs w:val="21"/>
                <w:lang w:val="en-US" w:eastAsia="zh-CN"/>
              </w:rPr>
              <w:t>5</w:t>
            </w:r>
            <w:r>
              <w:rPr>
                <w:rFonts w:hint="eastAsia" w:ascii="宋体" w:hAnsi="宋体" w:eastAsia="宋体" w:cs="Times New Roman"/>
                <w:color w:val="000000" w:themeColor="text1"/>
                <w:szCs w:val="21"/>
              </w:rPr>
              <w:t>分。（提供合同或中标通知书复印件并加盖公章</w:t>
            </w:r>
            <w:r>
              <w:rPr>
                <w:rFonts w:hint="eastAsia" w:ascii="宋体" w:hAnsi="宋体" w:eastAsia="宋体" w:cs="Times New Roman"/>
                <w:color w:val="000000" w:themeColor="text1"/>
                <w:szCs w:val="21"/>
                <w:lang w:eastAsia="zh-CN"/>
              </w:rPr>
              <w:t>，</w:t>
            </w:r>
            <w:r>
              <w:rPr>
                <w:rFonts w:hint="eastAsia" w:ascii="宋体" w:hAnsi="宋体" w:eastAsia="宋体" w:cs="Times New Roman"/>
                <w:color w:val="000000" w:themeColor="text1"/>
                <w:szCs w:val="21"/>
              </w:rPr>
              <w:t>需含相关产品关键页且清晰可见）</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jc w:val="center"/>
              <w:rPr>
                <w:rFonts w:ascii="宋体" w:hAnsi="宋体" w:eastAsia="宋体" w:cs="Times New Roman"/>
                <w:color w:val="000000" w:themeColor="text1"/>
                <w:szCs w:val="21"/>
              </w:rPr>
            </w:pPr>
            <w:r>
              <w:rPr>
                <w:rFonts w:hint="eastAsia" w:asciiTheme="minorEastAsia" w:hAnsiTheme="minorEastAsia" w:eastAsiaTheme="minorEastAsia" w:cstheme="minorEastAsia"/>
                <w:color w:val="000000" w:themeColor="text1"/>
                <w:sz w:val="21"/>
                <w:szCs w:val="21"/>
                <w:highlight w:val="none"/>
              </w:rPr>
              <w:t>交货期保障计划措施</w:t>
            </w:r>
          </w:p>
        </w:tc>
        <w:tc>
          <w:tcPr>
            <w:tcW w:w="514" w:type="dxa"/>
            <w:vAlign w:val="center"/>
          </w:tcPr>
          <w:p>
            <w:pPr>
              <w:spacing w:line="240" w:lineRule="auto"/>
              <w:jc w:val="center"/>
              <w:rPr>
                <w:rFonts w:ascii="宋体" w:hAnsi="宋体" w:eastAsia="宋体" w:cs="Times New Roman"/>
                <w:color w:val="000000" w:themeColor="text1"/>
                <w:szCs w:val="21"/>
              </w:rPr>
            </w:pPr>
            <w:r>
              <w:rPr>
                <w:rFonts w:hint="eastAsia" w:asciiTheme="minorEastAsia" w:hAnsiTheme="minorEastAsia" w:cstheme="minorEastAsia"/>
                <w:color w:val="000000" w:themeColor="text1"/>
                <w:sz w:val="21"/>
                <w:szCs w:val="21"/>
                <w:highlight w:val="none"/>
                <w:lang w:val="en-US" w:eastAsia="zh-CN"/>
              </w:rPr>
              <w:t>5</w:t>
            </w:r>
          </w:p>
        </w:tc>
        <w:tc>
          <w:tcPr>
            <w:tcW w:w="6296" w:type="dxa"/>
            <w:vAlign w:val="center"/>
          </w:tcPr>
          <w:p>
            <w:pPr>
              <w:spacing w:line="240" w:lineRule="auto"/>
              <w:jc w:val="both"/>
              <w:rPr>
                <w:rFonts w:hint="eastAsia" w:ascii="宋体" w:hAnsi="宋体" w:cs="Times New Roman" w:eastAsiaTheme="minorEastAsia"/>
                <w:color w:val="000000" w:themeColor="text1"/>
                <w:szCs w:val="21"/>
                <w:lang w:eastAsia="zh-CN"/>
              </w:rPr>
            </w:pPr>
            <w:r>
              <w:rPr>
                <w:rFonts w:hint="eastAsia" w:asciiTheme="minorEastAsia" w:hAnsiTheme="minorEastAsia" w:eastAsiaTheme="minorEastAsia" w:cstheme="minorEastAsia"/>
                <w:color w:val="000000" w:themeColor="text1"/>
                <w:sz w:val="21"/>
                <w:szCs w:val="21"/>
                <w:highlight w:val="none"/>
              </w:rPr>
              <w:t>为确保交货期而采取的保障措施,计划最完善得</w:t>
            </w:r>
            <w:r>
              <w:rPr>
                <w:rFonts w:hint="eastAsia" w:asciiTheme="minorEastAsia" w:hAnsiTheme="minorEastAsia" w:eastAsiaTheme="minorEastAsia" w:cstheme="minorEastAsia"/>
                <w:color w:val="000000" w:themeColor="text1"/>
                <w:sz w:val="21"/>
                <w:szCs w:val="21"/>
                <w:highlight w:val="none"/>
                <w:lang w:val="en-US" w:eastAsia="zh-CN"/>
              </w:rPr>
              <w:t>3</w:t>
            </w:r>
            <w:r>
              <w:rPr>
                <w:rFonts w:hint="eastAsia" w:asciiTheme="minorEastAsia" w:hAnsiTheme="minorEastAsia" w:cstheme="minorEastAsia"/>
                <w:color w:val="000000" w:themeColor="text1"/>
                <w:sz w:val="21"/>
                <w:szCs w:val="21"/>
                <w:highlight w:val="none"/>
                <w:lang w:val="en-US" w:eastAsia="zh-CN"/>
              </w:rPr>
              <w:t>-5</w:t>
            </w:r>
            <w:r>
              <w:rPr>
                <w:rFonts w:hint="eastAsia" w:asciiTheme="minorEastAsia" w:hAnsiTheme="minorEastAsia" w:eastAsiaTheme="minorEastAsia" w:cstheme="minorEastAsia"/>
                <w:color w:val="000000" w:themeColor="text1"/>
                <w:sz w:val="21"/>
                <w:szCs w:val="21"/>
                <w:highlight w:val="none"/>
              </w:rPr>
              <w:t>分，计划较详细的得</w:t>
            </w:r>
            <w:r>
              <w:rPr>
                <w:rFonts w:hint="eastAsia" w:asciiTheme="minorEastAsia" w:hAnsi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分，计划较简单的</w:t>
            </w:r>
            <w:r>
              <w:rPr>
                <w:rFonts w:hint="eastAsia" w:asciiTheme="minorEastAsia" w:hAnsiTheme="minorEastAsia" w:cstheme="minorEastAsia"/>
                <w:color w:val="000000" w:themeColor="text1"/>
                <w:sz w:val="21"/>
                <w:szCs w:val="21"/>
                <w:highlight w:val="none"/>
                <w:lang w:val="en-US" w:eastAsia="zh-CN"/>
              </w:rPr>
              <w:t>0-0.5</w:t>
            </w:r>
            <w:r>
              <w:rPr>
                <w:rFonts w:hint="eastAsia" w:asciiTheme="minorEastAsia" w:hAnsiTheme="minorEastAsia" w:eastAsiaTheme="minorEastAsia" w:cstheme="minorEastAsia"/>
                <w:color w:val="000000" w:themeColor="text1"/>
                <w:sz w:val="21"/>
                <w:szCs w:val="21"/>
                <w:highlight w:val="none"/>
              </w:rPr>
              <w:t>分，未提供则不得分</w:t>
            </w:r>
            <w:r>
              <w:rPr>
                <w:rFonts w:hint="eastAsia" w:asciiTheme="minorEastAsia" w:hAnsiTheme="minorEastAsia" w:cstheme="minorEastAsia"/>
                <w:color w:val="000000" w:themeColor="text1"/>
                <w:sz w:val="21"/>
                <w:szCs w:val="21"/>
                <w:highlight w:val="none"/>
                <w:lang w:eastAsia="zh-CN"/>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jc w:val="center"/>
              <w:rPr>
                <w:rFonts w:ascii="宋体" w:hAnsi="宋体" w:eastAsia="宋体" w:cs="Times New Roman"/>
                <w:color w:val="000000" w:themeColor="text1"/>
                <w:szCs w:val="21"/>
              </w:rPr>
            </w:pPr>
            <w:r>
              <w:rPr>
                <w:rFonts w:hint="eastAsia" w:asciiTheme="minorEastAsia" w:hAnsiTheme="minorEastAsia" w:cstheme="minorEastAsia"/>
                <w:kern w:val="0"/>
                <w:sz w:val="21"/>
                <w:szCs w:val="21"/>
                <w:highlight w:val="none"/>
                <w:lang w:val="en-US" w:eastAsia="zh-CN"/>
              </w:rPr>
              <w:t>实施</w:t>
            </w:r>
            <w:r>
              <w:rPr>
                <w:rFonts w:hint="eastAsia" w:asciiTheme="minorEastAsia" w:hAnsiTheme="minorEastAsia" w:eastAsiaTheme="minorEastAsia" w:cstheme="minorEastAsia"/>
                <w:kern w:val="0"/>
                <w:sz w:val="21"/>
                <w:szCs w:val="21"/>
                <w:highlight w:val="none"/>
              </w:rPr>
              <w:t>方案</w:t>
            </w:r>
          </w:p>
        </w:tc>
        <w:tc>
          <w:tcPr>
            <w:tcW w:w="514" w:type="dxa"/>
            <w:vAlign w:val="center"/>
          </w:tcPr>
          <w:p>
            <w:pPr>
              <w:spacing w:line="240" w:lineRule="auto"/>
              <w:jc w:val="center"/>
              <w:rPr>
                <w:rFonts w:ascii="宋体" w:hAnsi="宋体" w:eastAsia="宋体" w:cs="Times New Roman"/>
                <w:color w:val="000000" w:themeColor="text1"/>
                <w:szCs w:val="21"/>
              </w:rPr>
            </w:pPr>
            <w:r>
              <w:rPr>
                <w:rFonts w:hint="eastAsia" w:asciiTheme="minorEastAsia" w:hAnsiTheme="minorEastAsia" w:cstheme="minorEastAsia"/>
                <w:color w:val="000000" w:themeColor="text1"/>
                <w:sz w:val="21"/>
                <w:szCs w:val="21"/>
                <w:highlight w:val="none"/>
                <w:lang w:val="en-US" w:eastAsia="zh-CN"/>
              </w:rPr>
              <w:t>5</w:t>
            </w:r>
          </w:p>
        </w:tc>
        <w:tc>
          <w:tcPr>
            <w:tcW w:w="6296" w:type="dxa"/>
            <w:vAlign w:val="center"/>
          </w:tcPr>
          <w:p>
            <w:pPr>
              <w:spacing w:line="240" w:lineRule="auto"/>
              <w:jc w:val="both"/>
              <w:rPr>
                <w:rFonts w:hint="eastAsia" w:ascii="宋体" w:hAnsi="宋体" w:cs="Times New Roman" w:eastAsiaTheme="minorEastAsia"/>
                <w:color w:val="000000" w:themeColor="text1"/>
                <w:szCs w:val="21"/>
                <w:lang w:eastAsia="zh-CN"/>
              </w:rPr>
            </w:pPr>
            <w:r>
              <w:rPr>
                <w:rFonts w:hint="eastAsia" w:asciiTheme="minorEastAsia" w:hAnsiTheme="minorEastAsia" w:eastAsiaTheme="minorEastAsia" w:cstheme="minorEastAsia"/>
                <w:color w:val="000000" w:themeColor="text1"/>
                <w:sz w:val="21"/>
                <w:szCs w:val="21"/>
                <w:highlight w:val="none"/>
              </w:rPr>
              <w:t>投标人提供的实施方案（包括安装、调试计划、验收方案）非常完整且合理、可操作性</w:t>
            </w:r>
            <w:r>
              <w:rPr>
                <w:rFonts w:hint="eastAsia" w:asciiTheme="minorEastAsia" w:hAnsiTheme="minorEastAsia" w:cstheme="minorEastAsia"/>
                <w:color w:val="000000" w:themeColor="text1"/>
                <w:sz w:val="21"/>
                <w:szCs w:val="21"/>
                <w:highlight w:val="none"/>
                <w:lang w:val="en-US" w:eastAsia="zh-CN"/>
              </w:rPr>
              <w:t>强</w:t>
            </w:r>
            <w:r>
              <w:rPr>
                <w:rFonts w:hint="eastAsia" w:asciiTheme="minorEastAsia" w:hAnsiTheme="minorEastAsia" w:eastAsiaTheme="minorEastAsia" w:cstheme="minorEastAsia"/>
                <w:color w:val="000000" w:themeColor="text1"/>
                <w:sz w:val="21"/>
                <w:szCs w:val="21"/>
                <w:highlight w:val="none"/>
              </w:rPr>
              <w:t>得</w:t>
            </w:r>
            <w:r>
              <w:rPr>
                <w:rFonts w:hint="eastAsia" w:asciiTheme="minorEastAsia" w:hAnsiTheme="minorEastAsia" w:cstheme="minorEastAsia"/>
                <w:color w:val="000000" w:themeColor="text1"/>
                <w:sz w:val="21"/>
                <w:szCs w:val="21"/>
                <w:highlight w:val="none"/>
                <w:lang w:val="en-US" w:eastAsia="zh-CN"/>
              </w:rPr>
              <w:t>3-5</w:t>
            </w:r>
            <w:r>
              <w:rPr>
                <w:rFonts w:hint="eastAsia" w:asciiTheme="minorEastAsia" w:hAnsiTheme="minorEastAsia" w:eastAsiaTheme="minorEastAsia" w:cstheme="minorEastAsia"/>
                <w:color w:val="000000" w:themeColor="text1"/>
                <w:sz w:val="21"/>
                <w:szCs w:val="21"/>
                <w:highlight w:val="none"/>
              </w:rPr>
              <w:t>分；</w:t>
            </w:r>
            <w:r>
              <w:rPr>
                <w:rFonts w:hint="eastAsia" w:asciiTheme="minorEastAsia" w:hAnsiTheme="minorEastAsia" w:cstheme="minorEastAsia"/>
                <w:color w:val="000000" w:themeColor="text1"/>
                <w:sz w:val="21"/>
                <w:szCs w:val="21"/>
                <w:highlight w:val="none"/>
                <w:lang w:val="en-US" w:eastAsia="zh-CN"/>
              </w:rPr>
              <w:t>方案</w:t>
            </w:r>
            <w:r>
              <w:rPr>
                <w:rFonts w:hint="eastAsia" w:asciiTheme="minorEastAsia" w:hAnsiTheme="minorEastAsia" w:eastAsiaTheme="minorEastAsia" w:cstheme="minorEastAsia"/>
                <w:color w:val="000000" w:themeColor="text1"/>
                <w:sz w:val="21"/>
                <w:szCs w:val="21"/>
                <w:highlight w:val="none"/>
              </w:rPr>
              <w:t>基本完整、有可操作性得</w:t>
            </w:r>
            <w:r>
              <w:rPr>
                <w:rFonts w:hint="eastAsia" w:asciiTheme="minorEastAsia" w:hAnsiTheme="minorEastAsia" w:cstheme="minorEastAsia"/>
                <w:color w:val="000000" w:themeColor="text1"/>
                <w:sz w:val="21"/>
                <w:szCs w:val="21"/>
                <w:highlight w:val="none"/>
                <w:lang w:val="en-US" w:eastAsia="zh-CN"/>
              </w:rPr>
              <w:t>1-2</w:t>
            </w:r>
            <w:r>
              <w:rPr>
                <w:rFonts w:hint="eastAsia" w:asciiTheme="minorEastAsia" w:hAnsiTheme="minorEastAsia" w:eastAsiaTheme="minorEastAsia" w:cstheme="minorEastAsia"/>
                <w:color w:val="000000" w:themeColor="text1"/>
                <w:sz w:val="21"/>
                <w:szCs w:val="21"/>
                <w:highlight w:val="none"/>
              </w:rPr>
              <w:t>分；</w:t>
            </w:r>
            <w:r>
              <w:rPr>
                <w:rFonts w:hint="eastAsia" w:asciiTheme="minorEastAsia" w:hAnsiTheme="minorEastAsia" w:cstheme="minorEastAsia"/>
                <w:color w:val="000000" w:themeColor="text1"/>
                <w:sz w:val="21"/>
                <w:szCs w:val="21"/>
                <w:highlight w:val="none"/>
                <w:lang w:val="en-US" w:eastAsia="zh-CN"/>
              </w:rPr>
              <w:t>方案</w:t>
            </w:r>
            <w:r>
              <w:rPr>
                <w:rFonts w:hint="eastAsia" w:asciiTheme="minorEastAsia" w:hAnsiTheme="minorEastAsia" w:eastAsiaTheme="minorEastAsia" w:cstheme="minorEastAsia"/>
                <w:color w:val="000000" w:themeColor="text1"/>
                <w:sz w:val="21"/>
                <w:szCs w:val="21"/>
                <w:highlight w:val="none"/>
              </w:rPr>
              <w:t>简单欠妥、可操作性不高得</w:t>
            </w:r>
            <w:r>
              <w:rPr>
                <w:rFonts w:hint="eastAsia" w:asciiTheme="minorEastAsia" w:hAnsiTheme="minorEastAsia" w:cstheme="minorEastAsia"/>
                <w:color w:val="000000" w:themeColor="text1"/>
                <w:sz w:val="21"/>
                <w:szCs w:val="21"/>
                <w:highlight w:val="none"/>
                <w:lang w:val="en-US" w:eastAsia="zh-CN"/>
              </w:rPr>
              <w:t>0-0.5</w:t>
            </w:r>
            <w:r>
              <w:rPr>
                <w:rFonts w:hint="eastAsia" w:asciiTheme="minorEastAsia" w:hAnsiTheme="minorEastAsia" w:eastAsiaTheme="minorEastAsia" w:cstheme="minorEastAsia"/>
                <w:color w:val="000000" w:themeColor="text1"/>
                <w:sz w:val="21"/>
                <w:szCs w:val="21"/>
                <w:highlight w:val="none"/>
              </w:rPr>
              <w:t>分，未提供则不得分</w:t>
            </w:r>
            <w:r>
              <w:rPr>
                <w:rFonts w:hint="eastAsia" w:asciiTheme="minorEastAsia" w:hAnsiTheme="minorEastAsia" w:cstheme="minorEastAsia"/>
                <w:color w:val="000000" w:themeColor="text1"/>
                <w:sz w:val="21"/>
                <w:szCs w:val="21"/>
                <w:highlight w:val="none"/>
                <w:lang w:eastAsia="zh-CN"/>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售后服务服务方案</w:t>
            </w:r>
          </w:p>
        </w:tc>
        <w:tc>
          <w:tcPr>
            <w:tcW w:w="514" w:type="dxa"/>
            <w:vAlign w:val="center"/>
          </w:tcPr>
          <w:p>
            <w:pPr>
              <w:spacing w:line="240" w:lineRule="auto"/>
              <w:ind w:left="-48" w:leftChars="-23" w:right="-35" w:rightChars="-17"/>
              <w:jc w:val="center"/>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val="en-US" w:eastAsia="zh-CN"/>
              </w:rPr>
              <w:t>6</w:t>
            </w:r>
          </w:p>
        </w:tc>
        <w:tc>
          <w:tcPr>
            <w:tcW w:w="6296" w:type="dxa"/>
            <w:vAlign w:val="center"/>
          </w:tcPr>
          <w:p>
            <w:pPr>
              <w:spacing w:line="240" w:lineRule="auto"/>
              <w:rPr>
                <w:rFonts w:ascii="宋体" w:hAnsi="宋体" w:eastAsia="宋体" w:cs="Times New Roman"/>
                <w:color w:val="000000" w:themeColor="text1"/>
                <w:sz w:val="24"/>
              </w:rPr>
            </w:pPr>
            <w:r>
              <w:rPr>
                <w:rFonts w:hint="eastAsia" w:ascii="宋体" w:hAnsi="宋体" w:eastAsia="宋体" w:cs="Times New Roman"/>
                <w:color w:val="000000" w:themeColor="text1"/>
                <w:szCs w:val="21"/>
              </w:rPr>
              <w:t>投标人提供的售后服务方案安排合理，维修响应速度快，售后服务</w:t>
            </w:r>
            <w:r>
              <w:rPr>
                <w:rFonts w:hint="eastAsia" w:ascii="宋体" w:hAnsi="宋体" w:eastAsia="宋体" w:cs="Times New Roman"/>
                <w:color w:val="000000" w:themeColor="text1"/>
                <w:szCs w:val="21"/>
                <w:lang w:val="en-US" w:eastAsia="zh-CN"/>
              </w:rPr>
              <w:t>技术支持充分</w:t>
            </w:r>
            <w:r>
              <w:rPr>
                <w:rFonts w:hint="eastAsia" w:ascii="宋体" w:hAnsi="宋体" w:eastAsia="宋体" w:cs="Times New Roman"/>
                <w:color w:val="000000" w:themeColor="text1"/>
                <w:szCs w:val="21"/>
              </w:rPr>
              <w:t>，针对性强得</w:t>
            </w:r>
            <w:r>
              <w:rPr>
                <w:rFonts w:hint="eastAsia" w:ascii="宋体" w:hAnsi="宋体" w:eastAsia="宋体" w:cs="Times New Roman"/>
                <w:color w:val="000000" w:themeColor="text1"/>
                <w:szCs w:val="21"/>
                <w:lang w:val="en-US" w:eastAsia="zh-CN"/>
              </w:rPr>
              <w:t>4</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val="en-US" w:eastAsia="zh-CN"/>
              </w:rPr>
              <w:t>6</w:t>
            </w:r>
            <w:r>
              <w:rPr>
                <w:rFonts w:hint="eastAsia" w:ascii="宋体" w:hAnsi="宋体" w:eastAsia="宋体" w:cs="Times New Roman"/>
                <w:color w:val="000000" w:themeColor="text1"/>
                <w:szCs w:val="21"/>
              </w:rPr>
              <w:t>分；方案基本合理，有一定针对性，有</w:t>
            </w:r>
            <w:r>
              <w:rPr>
                <w:rFonts w:hint="eastAsia" w:ascii="宋体" w:hAnsi="宋体" w:eastAsia="宋体" w:cs="Times New Roman"/>
                <w:color w:val="000000" w:themeColor="text1"/>
                <w:szCs w:val="21"/>
                <w:lang w:val="en-US" w:eastAsia="zh-CN"/>
              </w:rPr>
              <w:t>技术支持</w:t>
            </w:r>
            <w:r>
              <w:rPr>
                <w:rFonts w:hint="eastAsia" w:ascii="宋体" w:hAnsi="宋体" w:eastAsia="宋体" w:cs="Times New Roman"/>
                <w:color w:val="000000" w:themeColor="text1"/>
                <w:szCs w:val="21"/>
              </w:rPr>
              <w:t>得</w:t>
            </w:r>
            <w:r>
              <w:rPr>
                <w:rFonts w:hint="eastAsia" w:ascii="宋体" w:hAnsi="宋体" w:eastAsia="宋体" w:cs="Times New Roman"/>
                <w:color w:val="000000" w:themeColor="text1"/>
                <w:szCs w:val="21"/>
                <w:lang w:val="en-US" w:eastAsia="zh-CN"/>
              </w:rPr>
              <w:t>2-3</w:t>
            </w:r>
            <w:r>
              <w:rPr>
                <w:rFonts w:hint="eastAsia" w:ascii="宋体" w:hAnsi="宋体" w:eastAsia="宋体" w:cs="Times New Roman"/>
                <w:color w:val="000000" w:themeColor="text1"/>
                <w:szCs w:val="21"/>
              </w:rPr>
              <w:t>分；方案简单得</w:t>
            </w:r>
            <w:r>
              <w:rPr>
                <w:rFonts w:hint="eastAsia" w:ascii="宋体" w:hAnsi="宋体" w:eastAsia="宋体" w:cs="Times New Roman"/>
                <w:color w:val="000000" w:themeColor="text1"/>
                <w:szCs w:val="21"/>
                <w:lang w:val="en-US" w:eastAsia="zh-CN"/>
              </w:rPr>
              <w:t>0-1</w:t>
            </w:r>
            <w:r>
              <w:rPr>
                <w:rFonts w:hint="eastAsia" w:ascii="宋体" w:hAnsi="宋体" w:eastAsia="宋体" w:cs="Times New Roman"/>
                <w:color w:val="000000" w:themeColor="text1"/>
                <w:szCs w:val="21"/>
              </w:rPr>
              <w:t>分</w:t>
            </w:r>
            <w:r>
              <w:rPr>
                <w:rFonts w:hint="eastAsia" w:asciiTheme="minorEastAsia" w:hAnsiTheme="minorEastAsia" w:eastAsiaTheme="minorEastAsia" w:cstheme="minorEastAsia"/>
                <w:color w:val="000000" w:themeColor="text1"/>
                <w:sz w:val="21"/>
                <w:szCs w:val="21"/>
                <w:highlight w:val="none"/>
              </w:rPr>
              <w:t>，未提供则不得分</w:t>
            </w:r>
            <w:r>
              <w:rPr>
                <w:rFonts w:hint="eastAsia" w:ascii="宋体" w:hAnsi="宋体" w:eastAsia="宋体" w:cs="Times New Roman"/>
                <w:color w:val="000000" w:themeColor="text1"/>
                <w:szCs w:val="21"/>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80"/>
              </w:numPr>
              <w:tabs>
                <w:tab w:val="left" w:pos="322"/>
              </w:tabs>
              <w:spacing w:line="240" w:lineRule="auto"/>
              <w:ind w:left="-42" w:right="-42" w:rightChars="-20" w:firstLine="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b/>
                <w:color w:val="000000" w:themeColor="text1"/>
                <w:sz w:val="24"/>
                <w:szCs w:val="24"/>
              </w:rPr>
            </w:pPr>
            <w:r>
              <w:rPr>
                <w:rFonts w:hint="eastAsia" w:ascii="宋体" w:hAnsi="宋体" w:eastAsia="宋体" w:cs="Times New Roman"/>
                <w:color w:val="000000" w:themeColor="text1"/>
                <w:szCs w:val="21"/>
              </w:rPr>
              <w:t>培训方案</w:t>
            </w:r>
          </w:p>
        </w:tc>
        <w:tc>
          <w:tcPr>
            <w:tcW w:w="514" w:type="dxa"/>
            <w:vAlign w:val="center"/>
          </w:tcPr>
          <w:p>
            <w:pPr>
              <w:spacing w:line="240" w:lineRule="auto"/>
              <w:ind w:left="-48" w:leftChars="-23" w:right="-35" w:rightChars="-17"/>
              <w:jc w:val="center"/>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val="en-US" w:eastAsia="zh-CN"/>
              </w:rPr>
              <w:t>5</w:t>
            </w:r>
          </w:p>
        </w:tc>
        <w:tc>
          <w:tcPr>
            <w:tcW w:w="6296" w:type="dxa"/>
            <w:vAlign w:val="center"/>
          </w:tcPr>
          <w:p>
            <w:pPr>
              <w:spacing w:line="24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根据投标人提供的培训方案，从专业技术情况，培训计划是否合理、完善、有针对性等方面评分：方案内容完整、合理、针对性强得</w:t>
            </w:r>
            <w:r>
              <w:rPr>
                <w:rFonts w:hint="eastAsia" w:ascii="宋体" w:hAnsi="宋体" w:eastAsia="宋体" w:cs="Times New Roman"/>
                <w:color w:val="000000" w:themeColor="text1"/>
                <w:szCs w:val="21"/>
                <w:lang w:val="en-US" w:eastAsia="zh-CN"/>
              </w:rPr>
              <w:t>3-5</w:t>
            </w:r>
            <w:r>
              <w:rPr>
                <w:rFonts w:hint="eastAsia" w:ascii="宋体" w:hAnsi="宋体" w:eastAsia="宋体" w:cs="Times New Roman"/>
                <w:color w:val="000000" w:themeColor="text1"/>
                <w:szCs w:val="21"/>
              </w:rPr>
              <w:t>分；方案内容完整、计划可行符合项目需求得</w:t>
            </w:r>
            <w:r>
              <w:rPr>
                <w:rFonts w:hint="eastAsia" w:ascii="宋体" w:hAnsi="宋体" w:eastAsia="宋体" w:cs="Times New Roman"/>
                <w:color w:val="000000" w:themeColor="text1"/>
                <w:szCs w:val="21"/>
                <w:lang w:val="en-US" w:eastAsia="zh-CN"/>
              </w:rPr>
              <w:t>1-</w:t>
            </w:r>
            <w:r>
              <w:rPr>
                <w:rFonts w:hint="eastAsia" w:ascii="宋体" w:hAnsi="宋体" w:eastAsia="宋体" w:cs="Times New Roman"/>
                <w:color w:val="000000" w:themeColor="text1"/>
                <w:szCs w:val="21"/>
              </w:rPr>
              <w:t>2分；方案内容完整基本符合项目需求得</w:t>
            </w:r>
            <w:r>
              <w:rPr>
                <w:rFonts w:hint="eastAsia" w:ascii="宋体" w:hAnsi="宋体" w:eastAsia="宋体" w:cs="Times New Roman"/>
                <w:color w:val="000000" w:themeColor="text1"/>
                <w:szCs w:val="21"/>
                <w:lang w:val="en-US" w:eastAsia="zh-CN"/>
              </w:rPr>
              <w:t>0-0.5</w:t>
            </w:r>
            <w:r>
              <w:rPr>
                <w:rFonts w:hint="eastAsia" w:ascii="宋体" w:hAnsi="宋体" w:eastAsia="宋体" w:cs="Times New Roman"/>
                <w:color w:val="000000" w:themeColor="text1"/>
                <w:szCs w:val="21"/>
              </w:rPr>
              <w:t>分</w:t>
            </w:r>
            <w:r>
              <w:rPr>
                <w:rFonts w:hint="eastAsia" w:asciiTheme="minorEastAsia" w:hAnsiTheme="minorEastAsia" w:eastAsiaTheme="minorEastAsia" w:cstheme="minorEastAsia"/>
                <w:color w:val="000000" w:themeColor="text1"/>
                <w:sz w:val="21"/>
                <w:szCs w:val="21"/>
                <w:highlight w:val="none"/>
              </w:rPr>
              <w:t>，未提供则不得分</w:t>
            </w:r>
            <w:r>
              <w:rPr>
                <w:rFonts w:hint="eastAsia" w:ascii="宋体" w:hAnsi="宋体" w:eastAsia="宋体" w:cs="Times New Roman"/>
                <w:color w:val="000000" w:themeColor="text1"/>
                <w:szCs w:val="21"/>
              </w:rPr>
              <w:t>。</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240" w:lineRule="auto"/>
              <w:ind w:left="-48" w:leftChars="-23" w:right="-35" w:rightChars="-17"/>
              <w:jc w:val="center"/>
              <w:rPr>
                <w:rFonts w:ascii="宋体" w:hAnsi="宋体" w:eastAsia="宋体" w:cs="Times New Roman"/>
                <w:b/>
                <w:color w:val="FF0000"/>
                <w:sz w:val="24"/>
              </w:rPr>
            </w:pPr>
            <w:r>
              <w:rPr>
                <w:rFonts w:hint="eastAsia" w:ascii="宋体" w:hAnsi="宋体" w:eastAsia="宋体" w:cs="Times New Roman"/>
                <w:b/>
                <w:color w:val="FF0000"/>
                <w:sz w:val="24"/>
              </w:rPr>
              <w:t>商务分合计</w:t>
            </w:r>
          </w:p>
        </w:tc>
        <w:tc>
          <w:tcPr>
            <w:tcW w:w="7264" w:type="dxa"/>
            <w:gridSpan w:val="2"/>
            <w:vAlign w:val="center"/>
          </w:tcPr>
          <w:p>
            <w:pPr>
              <w:spacing w:line="240" w:lineRule="auto"/>
              <w:ind w:left="-65" w:leftChars="-31" w:right="-35" w:rightChars="-17"/>
              <w:jc w:val="center"/>
              <w:rPr>
                <w:rFonts w:hint="default" w:ascii="宋体" w:hAnsi="宋体" w:eastAsia="宋体" w:cs="Times New Roman"/>
                <w:b/>
                <w:color w:val="000000" w:themeColor="text1"/>
                <w:szCs w:val="21"/>
                <w:lang w:val="en-US" w:eastAsia="zh-CN"/>
              </w:rPr>
            </w:pPr>
            <w:r>
              <w:rPr>
                <w:rFonts w:hint="eastAsia" w:ascii="宋体" w:hAnsi="宋体" w:eastAsia="宋体" w:cs="Times New Roman"/>
                <w:b/>
                <w:color w:val="000000" w:themeColor="text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shd w:val="pct10" w:color="auto" w:fill="auto"/>
            <w:vAlign w:val="center"/>
          </w:tcPr>
          <w:p>
            <w:pPr>
              <w:tabs>
                <w:tab w:val="left" w:pos="322"/>
              </w:tabs>
              <w:spacing w:line="240" w:lineRule="auto"/>
              <w:ind w:left="-42" w:right="-42" w:rightChars="-20"/>
              <w:jc w:val="right"/>
              <w:rPr>
                <w:rFonts w:ascii="宋体" w:hAnsi="宋体" w:eastAsia="宋体" w:cs="Times New Roman"/>
                <w:b/>
                <w:color w:val="000000" w:themeColor="text1"/>
                <w:sz w:val="24"/>
                <w:szCs w:val="24"/>
              </w:rPr>
            </w:pPr>
            <w:r>
              <w:rPr>
                <w:rFonts w:hint="eastAsia" w:ascii="宋体" w:hAnsi="宋体" w:eastAsia="宋体" w:cs="Times New Roman"/>
                <w:b/>
                <w:bCs/>
                <w:color w:val="000000" w:themeColor="text1"/>
                <w:sz w:val="24"/>
                <w:szCs w:val="24"/>
              </w:rPr>
              <w:t>技术服务评议</w:t>
            </w:r>
          </w:p>
        </w:tc>
        <w:tc>
          <w:tcPr>
            <w:tcW w:w="1351" w:type="dxa"/>
            <w:shd w:val="pct10" w:color="auto" w:fill="auto"/>
            <w:vAlign w:val="center"/>
          </w:tcPr>
          <w:p>
            <w:pPr>
              <w:spacing w:line="240" w:lineRule="auto"/>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评审因素</w:t>
            </w:r>
          </w:p>
        </w:tc>
        <w:tc>
          <w:tcPr>
            <w:tcW w:w="514" w:type="dxa"/>
            <w:shd w:val="pct10" w:color="auto" w:fill="auto"/>
            <w:vAlign w:val="center"/>
          </w:tcPr>
          <w:p>
            <w:pPr>
              <w:spacing w:line="240" w:lineRule="auto"/>
              <w:ind w:left="-73" w:leftChars="-35" w:right="-79" w:rightChars="-38"/>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分值</w:t>
            </w:r>
          </w:p>
        </w:tc>
        <w:tc>
          <w:tcPr>
            <w:tcW w:w="6296" w:type="dxa"/>
            <w:shd w:val="pct10" w:color="auto" w:fill="auto"/>
            <w:vAlign w:val="center"/>
          </w:tcPr>
          <w:p>
            <w:pPr>
              <w:spacing w:line="240" w:lineRule="auto"/>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评分标准</w:t>
            </w:r>
          </w:p>
        </w:tc>
        <w:tc>
          <w:tcPr>
            <w:tcW w:w="968" w:type="dxa"/>
            <w:shd w:val="pct10" w:color="auto" w:fill="auto"/>
            <w:vAlign w:val="center"/>
          </w:tcPr>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611" w:type="dxa"/>
            <w:vMerge w:val="continue"/>
            <w:vAlign w:val="center"/>
          </w:tcPr>
          <w:p>
            <w:pPr>
              <w:tabs>
                <w:tab w:val="left" w:pos="322"/>
              </w:tabs>
              <w:spacing w:line="240" w:lineRule="auto"/>
              <w:ind w:left="-42" w:right="-42" w:rightChars="-20"/>
              <w:jc w:val="right"/>
              <w:rPr>
                <w:rFonts w:ascii="宋体" w:hAnsi="宋体" w:eastAsia="宋体" w:cs="Times New Roman"/>
                <w:b/>
                <w:color w:val="000000" w:themeColor="text1"/>
                <w:sz w:val="24"/>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rPr>
            </w:pPr>
            <w:r>
              <w:rPr>
                <w:rFonts w:ascii="宋体" w:hAnsi="宋体" w:eastAsia="宋体" w:cs="Times New Roman"/>
                <w:color w:val="000000"/>
                <w:szCs w:val="21"/>
              </w:rPr>
              <w:t>技术响应</w:t>
            </w:r>
          </w:p>
        </w:tc>
        <w:tc>
          <w:tcPr>
            <w:tcW w:w="514" w:type="dxa"/>
            <w:vAlign w:val="center"/>
          </w:tcPr>
          <w:p>
            <w:pPr>
              <w:spacing w:line="240" w:lineRule="auto"/>
              <w:ind w:left="-48" w:leftChars="-23" w:right="-35" w:rightChars="-17"/>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4</w:t>
            </w:r>
            <w:r>
              <w:rPr>
                <w:rFonts w:hint="eastAsia" w:ascii="宋体" w:hAnsi="宋体" w:eastAsia="宋体" w:cs="Times New Roman"/>
                <w:color w:val="000000" w:themeColor="text1"/>
                <w:szCs w:val="21"/>
              </w:rPr>
              <w:t>0</w:t>
            </w:r>
          </w:p>
        </w:tc>
        <w:tc>
          <w:tcPr>
            <w:tcW w:w="6296" w:type="dxa"/>
            <w:vAlign w:val="center"/>
          </w:tcPr>
          <w:p>
            <w:pPr>
              <w:spacing w:line="240" w:lineRule="auto"/>
              <w:rPr>
                <w:rFonts w:ascii="宋体" w:hAnsi="宋体"/>
                <w:b/>
                <w:szCs w:val="21"/>
              </w:rPr>
            </w:pPr>
            <w:r>
              <w:rPr>
                <w:rFonts w:hint="eastAsia" w:ascii="宋体" w:hAnsi="宋体"/>
                <w:szCs w:val="21"/>
              </w:rPr>
              <w:t>1.</w:t>
            </w:r>
            <w:r>
              <w:rPr>
                <w:rFonts w:ascii="宋体" w:hAnsi="宋体"/>
                <w:kern w:val="0"/>
                <w:szCs w:val="21"/>
              </w:rPr>
              <w:t>完全满足用户的要求，</w:t>
            </w:r>
            <w:r>
              <w:rPr>
                <w:rFonts w:hint="eastAsia" w:ascii="宋体" w:hAnsi="宋体"/>
                <w:kern w:val="0"/>
                <w:szCs w:val="21"/>
              </w:rPr>
              <w:t>或</w:t>
            </w:r>
            <w:r>
              <w:rPr>
                <w:rFonts w:ascii="宋体" w:hAnsi="宋体"/>
                <w:kern w:val="0"/>
                <w:szCs w:val="21"/>
              </w:rPr>
              <w:t>有优于用户</w:t>
            </w:r>
            <w:r>
              <w:rPr>
                <w:rFonts w:hint="eastAsia" w:ascii="宋体" w:hAnsi="宋体"/>
                <w:kern w:val="0"/>
                <w:szCs w:val="21"/>
              </w:rPr>
              <w:t>的</w:t>
            </w:r>
            <w:r>
              <w:rPr>
                <w:rFonts w:ascii="宋体" w:hAnsi="宋体"/>
                <w:kern w:val="0"/>
                <w:szCs w:val="21"/>
              </w:rPr>
              <w:t>技术参数</w:t>
            </w:r>
            <w:r>
              <w:rPr>
                <w:rFonts w:hint="eastAsia" w:ascii="宋体" w:hAnsi="宋体"/>
                <w:kern w:val="0"/>
                <w:szCs w:val="21"/>
              </w:rPr>
              <w:t>（投标人提供参数证明材料，如</w:t>
            </w:r>
            <w:r>
              <w:rPr>
                <w:rFonts w:hint="eastAsia" w:ascii="宋体" w:hAnsi="宋体" w:cs="宋体"/>
                <w:szCs w:val="21"/>
              </w:rPr>
              <w:t>产品彩页、官网网页截图以上其中一种</w:t>
            </w:r>
            <w:r>
              <w:rPr>
                <w:rFonts w:hint="eastAsia" w:ascii="宋体" w:hAnsi="宋体"/>
                <w:kern w:val="0"/>
                <w:szCs w:val="21"/>
              </w:rPr>
              <w:t>或官方检测机构出具的认证证书等，如投标人技术响应内容与产品彩页样本或检验报告不一致的本项得0分）</w:t>
            </w:r>
            <w:r>
              <w:rPr>
                <w:rFonts w:ascii="宋体" w:hAnsi="宋体"/>
                <w:kern w:val="0"/>
                <w:szCs w:val="21"/>
              </w:rPr>
              <w:t>，且能详细描述，综合评价最优</w:t>
            </w:r>
            <w:r>
              <w:rPr>
                <w:rFonts w:hint="eastAsia" w:ascii="宋体" w:hAnsi="宋体"/>
                <w:kern w:val="0"/>
                <w:szCs w:val="21"/>
              </w:rPr>
              <w:t>的得</w:t>
            </w:r>
            <w:r>
              <w:rPr>
                <w:rFonts w:hint="eastAsia" w:ascii="宋体" w:hAnsi="宋体"/>
                <w:kern w:val="0"/>
                <w:szCs w:val="21"/>
                <w:lang w:val="en-US" w:eastAsia="zh-CN"/>
              </w:rPr>
              <w:t>4</w:t>
            </w:r>
            <w:r>
              <w:rPr>
                <w:rFonts w:hint="eastAsia" w:ascii="宋体" w:hAnsi="宋体"/>
                <w:kern w:val="0"/>
                <w:szCs w:val="21"/>
              </w:rPr>
              <w:t>0分。</w:t>
            </w:r>
          </w:p>
          <w:p>
            <w:pPr>
              <w:spacing w:line="240" w:lineRule="auto"/>
              <w:rPr>
                <w:rFonts w:ascii="宋体" w:hAnsi="宋体" w:eastAsia="宋体" w:cs="Times New Roman"/>
                <w:color w:val="000000" w:themeColor="text1"/>
                <w:sz w:val="24"/>
              </w:rPr>
            </w:pPr>
            <w:r>
              <w:rPr>
                <w:rFonts w:hint="eastAsia" w:ascii="宋体" w:hAnsi="宋体"/>
                <w:szCs w:val="21"/>
              </w:rPr>
              <w:t>2.“</w:t>
            </w:r>
            <w:r>
              <w:rPr>
                <w:rFonts w:hint="eastAsia" w:ascii="宋体" w:hAnsi="宋体"/>
                <w:b/>
                <w:color w:val="000000"/>
                <w:szCs w:val="21"/>
              </w:rPr>
              <w:t>＊</w:t>
            </w:r>
            <w:r>
              <w:rPr>
                <w:rFonts w:hint="eastAsia" w:ascii="宋体" w:hAnsi="宋体"/>
                <w:szCs w:val="21"/>
              </w:rPr>
              <w:t>”号标识的条款，为重要技术参数，每一项负偏离，扣5分；其他参数，每一项负偏离，扣2分，扣完</w:t>
            </w:r>
            <w:r>
              <w:rPr>
                <w:rFonts w:hint="eastAsia" w:ascii="宋体" w:hAnsi="宋体"/>
                <w:szCs w:val="21"/>
                <w:lang w:val="en-US" w:eastAsia="zh-CN"/>
              </w:rPr>
              <w:t>4</w:t>
            </w:r>
            <w:r>
              <w:rPr>
                <w:rFonts w:hint="eastAsia" w:ascii="宋体" w:hAnsi="宋体"/>
                <w:szCs w:val="21"/>
              </w:rPr>
              <w:t>0分为止。</w:t>
            </w:r>
          </w:p>
        </w:tc>
        <w:tc>
          <w:tcPr>
            <w:tcW w:w="968" w:type="dxa"/>
            <w:vAlign w:val="center"/>
          </w:tcPr>
          <w:p>
            <w:pPr>
              <w:spacing w:line="240" w:lineRule="auto"/>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240" w:lineRule="auto"/>
              <w:ind w:left="-48" w:leftChars="-23" w:right="-35" w:rightChars="-17"/>
              <w:jc w:val="center"/>
              <w:rPr>
                <w:rFonts w:ascii="宋体" w:hAnsi="宋体" w:eastAsia="宋体" w:cs="Times New Roman"/>
                <w:b/>
                <w:color w:val="FF0000"/>
                <w:sz w:val="24"/>
              </w:rPr>
            </w:pPr>
            <w:r>
              <w:rPr>
                <w:rFonts w:hint="eastAsia" w:ascii="宋体" w:hAnsi="宋体" w:eastAsia="宋体" w:cs="Times New Roman"/>
                <w:b/>
                <w:color w:val="FF0000"/>
                <w:sz w:val="24"/>
              </w:rPr>
              <w:t>技术分合计</w:t>
            </w:r>
          </w:p>
        </w:tc>
        <w:tc>
          <w:tcPr>
            <w:tcW w:w="7264" w:type="dxa"/>
            <w:gridSpan w:val="2"/>
            <w:vAlign w:val="center"/>
          </w:tcPr>
          <w:p>
            <w:pPr>
              <w:spacing w:line="240" w:lineRule="auto"/>
              <w:ind w:left="-65" w:leftChars="-31" w:right="-35" w:rightChars="-17"/>
              <w:jc w:val="center"/>
              <w:rPr>
                <w:rFonts w:hint="default" w:ascii="宋体" w:hAnsi="宋体" w:eastAsia="宋体" w:cs="Times New Roman"/>
                <w:b/>
                <w:color w:val="000000" w:themeColor="text1"/>
                <w:szCs w:val="21"/>
                <w:lang w:val="en-US" w:eastAsia="zh-CN"/>
              </w:rPr>
            </w:pPr>
            <w:r>
              <w:rPr>
                <w:rFonts w:hint="eastAsia" w:ascii="宋体" w:hAnsi="宋体" w:eastAsia="宋体" w:cs="Times New Roman"/>
                <w:b/>
                <w:color w:val="000000" w:themeColor="text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gridSpan w:val="2"/>
            <w:vAlign w:val="center"/>
          </w:tcPr>
          <w:p>
            <w:pPr>
              <w:spacing w:line="240" w:lineRule="auto"/>
              <w:ind w:left="-77" w:leftChars="-37" w:right="-86" w:rightChars="-41"/>
              <w:jc w:val="center"/>
              <w:rPr>
                <w:rFonts w:ascii="宋体" w:hAnsi="宋体" w:eastAsia="宋体" w:cs="Times New Roman"/>
                <w:b/>
                <w:bCs/>
                <w:color w:val="000000" w:themeColor="text1"/>
                <w:sz w:val="24"/>
                <w:szCs w:val="24"/>
              </w:rPr>
            </w:pPr>
            <w:r>
              <w:rPr>
                <w:rFonts w:hint="eastAsia" w:ascii="宋体" w:hAnsi="宋体" w:eastAsia="宋体" w:cs="Times New Roman"/>
                <w:b/>
                <w:bCs/>
                <w:color w:val="000000" w:themeColor="text1"/>
                <w:sz w:val="24"/>
                <w:szCs w:val="24"/>
              </w:rPr>
              <w:t>价格评议</w:t>
            </w:r>
          </w:p>
        </w:tc>
        <w:tc>
          <w:tcPr>
            <w:tcW w:w="514" w:type="dxa"/>
            <w:vAlign w:val="center"/>
          </w:tcPr>
          <w:p>
            <w:pPr>
              <w:spacing w:line="240" w:lineRule="auto"/>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30</w:t>
            </w:r>
          </w:p>
        </w:tc>
        <w:tc>
          <w:tcPr>
            <w:tcW w:w="7264" w:type="dxa"/>
            <w:gridSpan w:val="2"/>
            <w:vAlign w:val="center"/>
          </w:tcPr>
          <w:p>
            <w:pPr>
              <w:adjustRightInd w:val="0"/>
              <w:snapToGrid w:val="0"/>
              <w:spacing w:line="240" w:lineRule="auto"/>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计算时保留两位小数。为保证产品质量，投标报价低于采购预</w:t>
            </w:r>
            <w:r>
              <w:rPr>
                <w:rFonts w:hint="eastAsia" w:ascii="宋体" w:hAnsi="宋体" w:eastAsia="宋体" w:cs="Times New Roman"/>
                <w:b/>
                <w:color w:val="000000" w:themeColor="text1"/>
                <w:sz w:val="24"/>
                <w:szCs w:val="24"/>
                <w:highlight w:val="yellow"/>
              </w:rPr>
              <w:t>算</w:t>
            </w:r>
            <w:r>
              <w:rPr>
                <w:rFonts w:hint="eastAsia" w:ascii="宋体" w:hAnsi="宋体" w:eastAsia="宋体" w:cs="Times New Roman"/>
                <w:b/>
                <w:color w:val="000000" w:themeColor="text1"/>
                <w:sz w:val="24"/>
                <w:szCs w:val="24"/>
                <w:highlight w:val="yellow"/>
                <w:lang w:val="en-US" w:eastAsia="zh-CN"/>
              </w:rPr>
              <w:t>80</w:t>
            </w:r>
            <w:r>
              <w:rPr>
                <w:rFonts w:hint="eastAsia" w:ascii="宋体" w:hAnsi="宋体" w:eastAsia="宋体" w:cs="Times New Roman"/>
                <w:b/>
                <w:color w:val="000000" w:themeColor="text1"/>
                <w:sz w:val="24"/>
                <w:szCs w:val="24"/>
                <w:highlight w:val="yellow"/>
              </w:rPr>
              <w:t>%</w:t>
            </w:r>
            <w:r>
              <w:rPr>
                <w:rFonts w:hint="eastAsia" w:ascii="宋体" w:hAnsi="宋体" w:eastAsia="宋体" w:cs="Times New Roman"/>
                <w:b/>
                <w:color w:val="000000" w:themeColor="text1"/>
                <w:sz w:val="24"/>
                <w:szCs w:val="24"/>
              </w:rPr>
              <w:t>时评标委员会将对其报价进行成本分析，评标委员会认为报价低于成本价时将否决其投标。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240" w:lineRule="auto"/>
              <w:jc w:val="center"/>
              <w:rPr>
                <w:rFonts w:ascii="宋体" w:hAnsi="宋体" w:eastAsia="宋体" w:cs="Times New Roman"/>
                <w:b/>
                <w:color w:val="FF0000"/>
                <w:kern w:val="0"/>
                <w:sz w:val="24"/>
                <w:szCs w:val="24"/>
              </w:rPr>
            </w:pPr>
            <w:r>
              <w:rPr>
                <w:rFonts w:hint="eastAsia" w:ascii="宋体" w:hAnsi="宋体" w:eastAsia="宋体" w:cs="Times New Roman"/>
                <w:b/>
                <w:color w:val="FF0000"/>
                <w:kern w:val="0"/>
                <w:sz w:val="24"/>
                <w:szCs w:val="24"/>
              </w:rPr>
              <w:t>报价分合计</w:t>
            </w:r>
          </w:p>
        </w:tc>
        <w:tc>
          <w:tcPr>
            <w:tcW w:w="7264" w:type="dxa"/>
            <w:gridSpan w:val="2"/>
            <w:vAlign w:val="center"/>
          </w:tcPr>
          <w:p>
            <w:pPr>
              <w:adjustRightInd w:val="0"/>
              <w:snapToGrid w:val="0"/>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240" w:lineRule="auto"/>
              <w:jc w:val="center"/>
              <w:rPr>
                <w:rFonts w:ascii="宋体" w:hAnsi="宋体" w:eastAsia="宋体" w:cs="Times New Roman"/>
                <w:b/>
                <w:color w:val="FF0000"/>
                <w:kern w:val="0"/>
                <w:sz w:val="24"/>
                <w:szCs w:val="24"/>
              </w:rPr>
            </w:pPr>
            <w:r>
              <w:rPr>
                <w:rFonts w:hint="eastAsia" w:ascii="宋体" w:hAnsi="宋体" w:eastAsia="宋体" w:cs="Times New Roman"/>
                <w:b/>
                <w:color w:val="FF0000"/>
                <w:kern w:val="0"/>
                <w:sz w:val="24"/>
                <w:szCs w:val="24"/>
              </w:rPr>
              <w:t>得分总计</w:t>
            </w:r>
          </w:p>
        </w:tc>
        <w:tc>
          <w:tcPr>
            <w:tcW w:w="7264" w:type="dxa"/>
            <w:gridSpan w:val="2"/>
            <w:vAlign w:val="center"/>
          </w:tcPr>
          <w:p>
            <w:pPr>
              <w:adjustRightInd w:val="0"/>
              <w:snapToGrid w:val="0"/>
              <w:spacing w:line="24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100</w:t>
            </w:r>
          </w:p>
        </w:tc>
      </w:tr>
    </w:tbl>
    <w:p>
      <w:r>
        <w:br w:type="page"/>
      </w:r>
    </w:p>
    <w:p>
      <w:pPr>
        <w:pStyle w:val="3"/>
        <w:numPr>
          <w:ilvl w:val="0"/>
          <w:numId w:val="1"/>
        </w:numPr>
        <w:jc w:val="center"/>
        <w:rPr>
          <w:rFonts w:ascii="黑体" w:hAnsi="黑体" w:eastAsia="黑体"/>
        </w:rPr>
      </w:pPr>
      <w:bookmarkStart w:id="67" w:name="_Toc494665943"/>
      <w:bookmarkStart w:id="68" w:name="_Toc494702263"/>
      <w:bookmarkStart w:id="69" w:name="_Toc494721093"/>
      <w:bookmarkStart w:id="70" w:name="_Toc494665546"/>
      <w:bookmarkStart w:id="71" w:name="_Toc494664993"/>
      <w:bookmarkStart w:id="72" w:name="_Toc495861545"/>
      <w:bookmarkStart w:id="73" w:name="_Toc494745310"/>
      <w:r>
        <w:rPr>
          <w:rFonts w:hint="eastAsia" w:ascii="黑体" w:hAnsi="黑体" w:eastAsia="黑体"/>
        </w:rPr>
        <w:t>合同书格式（参考）</w:t>
      </w:r>
      <w:bookmarkEnd w:id="67"/>
      <w:bookmarkEnd w:id="68"/>
      <w:bookmarkEnd w:id="69"/>
      <w:bookmarkEnd w:id="70"/>
      <w:bookmarkEnd w:id="71"/>
      <w:bookmarkEnd w:id="72"/>
      <w:bookmarkEnd w:id="73"/>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82"/>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82"/>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82"/>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82"/>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82"/>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82"/>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83"/>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83"/>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83"/>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83"/>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81"/>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81"/>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81"/>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81"/>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74" w:name="_Toc494702264"/>
      <w:bookmarkStart w:id="75" w:name="_Toc494665944"/>
      <w:bookmarkStart w:id="76" w:name="_Toc494745311"/>
      <w:bookmarkStart w:id="77" w:name="_Toc494664994"/>
      <w:bookmarkStart w:id="78" w:name="_Toc494721094"/>
      <w:bookmarkStart w:id="79" w:name="_Toc495861546"/>
      <w:bookmarkStart w:id="80" w:name="_Toc494665547"/>
      <w:r>
        <w:rPr>
          <w:rFonts w:hint="eastAsia" w:ascii="黑体" w:hAnsi="黑体" w:eastAsia="黑体"/>
        </w:rPr>
        <w:t>投标文件格式（参考）</w:t>
      </w:r>
      <w:bookmarkEnd w:id="74"/>
      <w:bookmarkEnd w:id="75"/>
      <w:bookmarkEnd w:id="76"/>
      <w:bookmarkEnd w:id="77"/>
      <w:bookmarkEnd w:id="78"/>
      <w:bookmarkEnd w:id="79"/>
      <w:bookmarkEnd w:id="8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2"/>
        <w:spacing w:before="340" w:after="480" w:line="360" w:lineRule="auto"/>
        <w:jc w:val="center"/>
        <w:rPr>
          <w:rFonts w:cs="Times New Roman" w:asciiTheme="majorEastAsia" w:hAnsiTheme="majorEastAsia"/>
          <w:bCs w:val="0"/>
          <w:sz w:val="44"/>
          <w:szCs w:val="44"/>
          <w:lang w:val="zh-CN"/>
        </w:rPr>
      </w:pPr>
      <w:bookmarkStart w:id="81" w:name="_Toc494702265"/>
      <w:bookmarkStart w:id="82" w:name="_Toc494664995"/>
      <w:bookmarkStart w:id="83" w:name="_Toc494721095"/>
      <w:bookmarkStart w:id="84" w:name="_Toc494665548"/>
      <w:bookmarkStart w:id="85" w:name="_Toc494665945"/>
      <w:bookmarkStart w:id="86" w:name="_Toc494745312"/>
      <w:bookmarkStart w:id="87" w:name="_Toc495861547"/>
      <w:r>
        <w:rPr>
          <w:rFonts w:hint="eastAsia" w:cs="Times New Roman" w:asciiTheme="majorEastAsia" w:hAnsiTheme="majorEastAsia"/>
          <w:bCs w:val="0"/>
          <w:sz w:val="44"/>
          <w:szCs w:val="44"/>
          <w:lang w:val="zh-CN"/>
        </w:rPr>
        <w:t>第一部分 资格证明文件</w:t>
      </w:r>
      <w:bookmarkEnd w:id="81"/>
      <w:bookmarkEnd w:id="82"/>
      <w:bookmarkEnd w:id="83"/>
      <w:bookmarkEnd w:id="84"/>
      <w:bookmarkEnd w:id="85"/>
      <w:bookmarkEnd w:id="86"/>
      <w:bookmarkEnd w:id="87"/>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8" w:name="_Toc494745313"/>
      <w:bookmarkStart w:id="89" w:name="_Toc494664996"/>
      <w:bookmarkStart w:id="90" w:name="_Toc494721096"/>
      <w:bookmarkStart w:id="91" w:name="_Toc494665946"/>
      <w:bookmarkStart w:id="92" w:name="_Toc494665549"/>
      <w:bookmarkStart w:id="93" w:name="_Toc494702266"/>
      <w:r>
        <w:rPr>
          <w:rFonts w:hint="eastAsia" w:ascii="黑体" w:hAnsi="黑体" w:eastAsia="黑体" w:cs="Times New Roman"/>
          <w:b/>
          <w:sz w:val="36"/>
          <w:szCs w:val="36"/>
        </w:rPr>
        <w:t>资格证明文件组成</w:t>
      </w:r>
      <w:bookmarkEnd w:id="88"/>
      <w:bookmarkEnd w:id="89"/>
      <w:bookmarkEnd w:id="90"/>
      <w:bookmarkEnd w:id="91"/>
      <w:bookmarkEnd w:id="92"/>
      <w:bookmarkEnd w:id="93"/>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84"/>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84"/>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27"/>
        <w:numPr>
          <w:ilvl w:val="0"/>
          <w:numId w:val="8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7"/>
        <w:numPr>
          <w:ilvl w:val="0"/>
          <w:numId w:val="85"/>
        </w:numPr>
        <w:tabs>
          <w:tab w:val="left" w:pos="851"/>
        </w:tabs>
        <w:spacing w:line="360" w:lineRule="auto"/>
        <w:ind w:left="851" w:hanging="709" w:firstLineChars="0"/>
        <w:rPr>
          <w:rFonts w:ascii="宋体" w:hAnsi="宋体" w:eastAsia="宋体" w:cs="Times New Roman"/>
          <w:sz w:val="24"/>
          <w:szCs w:val="24"/>
          <w:highlight w:val="none"/>
          <w:lang w:val="zh-CN"/>
        </w:rPr>
      </w:pPr>
      <w:r>
        <w:rPr>
          <w:rFonts w:hint="eastAsia" w:ascii="宋体" w:hAnsi="宋体"/>
          <w:color w:val="000000"/>
          <w:sz w:val="24"/>
          <w:szCs w:val="24"/>
          <w:highlight w:val="none"/>
          <w:lang w:val="zh-CN"/>
        </w:rPr>
        <w:t>财务状况报告</w:t>
      </w:r>
      <w:r>
        <w:rPr>
          <w:rFonts w:hint="eastAsia" w:ascii="宋体" w:hAnsi="宋体" w:eastAsia="宋体" w:cs="Times New Roman"/>
          <w:sz w:val="24"/>
          <w:szCs w:val="24"/>
          <w:highlight w:val="none"/>
          <w:lang w:val="zh-CN"/>
        </w:rPr>
        <w:t>，近六个月（20</w:t>
      </w:r>
      <w:r>
        <w:rPr>
          <w:rFonts w:hint="eastAsia" w:ascii="宋体" w:hAnsi="宋体" w:eastAsia="宋体" w:cs="Times New Roman"/>
          <w:sz w:val="24"/>
          <w:szCs w:val="24"/>
          <w:highlight w:val="none"/>
          <w:lang w:val="en-US" w:eastAsia="zh-CN"/>
        </w:rPr>
        <w:t>20</w:t>
      </w:r>
      <w:r>
        <w:rPr>
          <w:rFonts w:hint="eastAsia" w:ascii="宋体" w:hAnsi="宋体" w:eastAsia="宋体" w:cs="Times New Roman"/>
          <w:sz w:val="24"/>
          <w:szCs w:val="24"/>
          <w:highlight w:val="none"/>
          <w:lang w:val="zh-CN"/>
        </w:rPr>
        <w:t>年</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val="zh-CN"/>
        </w:rPr>
        <w:t>月~</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lang w:val="zh-CN"/>
        </w:rPr>
        <w:t>月）中任意一个月依法缴纳税收和社会保障资金的相关材料；</w:t>
      </w:r>
    </w:p>
    <w:p>
      <w:pPr>
        <w:pStyle w:val="27"/>
        <w:numPr>
          <w:ilvl w:val="0"/>
          <w:numId w:val="8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7"/>
        <w:numPr>
          <w:ilvl w:val="0"/>
          <w:numId w:val="8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7"/>
        <w:numPr>
          <w:ilvl w:val="0"/>
          <w:numId w:val="8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84"/>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8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highlight w:val="none"/>
        </w:rPr>
        <w:t>招标文件第一章“投标人资格要求</w:t>
      </w:r>
      <w:r>
        <w:rPr>
          <w:rFonts w:hint="eastAsia" w:ascii="宋体" w:hAnsi="宋体" w:eastAsia="宋体" w:cs="Courier New"/>
          <w:color w:val="0D0D0D"/>
          <w:sz w:val="24"/>
          <w:szCs w:val="24"/>
        </w:rPr>
        <w:t>”中有特殊要求的，投标人应提供其符合特殊要求的证明材料或者情况说明；</w:t>
      </w:r>
    </w:p>
    <w:p>
      <w:pPr>
        <w:numPr>
          <w:ilvl w:val="0"/>
          <w:numId w:val="84"/>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8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2"/>
        <w:spacing w:before="340" w:after="480" w:line="360" w:lineRule="auto"/>
        <w:jc w:val="center"/>
        <w:rPr>
          <w:rFonts w:cs="Times New Roman" w:asciiTheme="majorEastAsia" w:hAnsiTheme="majorEastAsia"/>
          <w:bCs w:val="0"/>
          <w:sz w:val="44"/>
          <w:szCs w:val="44"/>
          <w:lang w:val="zh-CN"/>
        </w:rPr>
      </w:pPr>
      <w:bookmarkStart w:id="94" w:name="_Toc494702267"/>
      <w:bookmarkStart w:id="95" w:name="_Toc494665550"/>
      <w:bookmarkStart w:id="96" w:name="_Toc494721097"/>
      <w:bookmarkStart w:id="97" w:name="_Toc494665947"/>
      <w:bookmarkStart w:id="98" w:name="_Toc494745314"/>
      <w:bookmarkStart w:id="99" w:name="_Toc495861548"/>
      <w:bookmarkStart w:id="100" w:name="_Toc494664997"/>
    </w:p>
    <w:p>
      <w:pPr>
        <w:pStyle w:val="2"/>
        <w:spacing w:before="340" w:after="480" w:line="360" w:lineRule="auto"/>
        <w:jc w:val="center"/>
        <w:rPr>
          <w:rFonts w:cs="Times New Roman" w:asciiTheme="majorEastAsia" w:hAnsiTheme="majorEastAsia"/>
          <w:bCs w:val="0"/>
          <w:sz w:val="44"/>
          <w:szCs w:val="44"/>
          <w:lang w:val="zh-CN"/>
        </w:rPr>
      </w:pPr>
    </w:p>
    <w:p>
      <w:pPr>
        <w:pStyle w:val="2"/>
        <w:spacing w:before="340" w:after="480" w:line="360" w:lineRule="auto"/>
        <w:jc w:val="center"/>
        <w:rPr>
          <w:rFonts w:cs="Times New Roman" w:asciiTheme="majorEastAsia" w:hAnsiTheme="majorEastAsia"/>
          <w:bCs w:val="0"/>
          <w:sz w:val="44"/>
          <w:szCs w:val="44"/>
          <w:lang w:val="zh-CN"/>
        </w:rPr>
      </w:pPr>
    </w:p>
    <w:p>
      <w:pPr>
        <w:pStyle w:val="2"/>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94"/>
      <w:bookmarkEnd w:id="95"/>
      <w:bookmarkEnd w:id="96"/>
      <w:bookmarkEnd w:id="97"/>
      <w:bookmarkEnd w:id="98"/>
      <w:bookmarkEnd w:id="99"/>
      <w:bookmarkEnd w:id="100"/>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1" w:name="_Toc494721098"/>
      <w:bookmarkStart w:id="102" w:name="_Toc494664998"/>
      <w:bookmarkStart w:id="103" w:name="_Toc494745315"/>
      <w:bookmarkStart w:id="104" w:name="_Toc494665551"/>
      <w:bookmarkStart w:id="105" w:name="_Toc494702268"/>
      <w:bookmarkStart w:id="106" w:name="_Toc494665948"/>
      <w:r>
        <w:rPr>
          <w:rFonts w:hint="eastAsia" w:ascii="黑体" w:hAnsi="黑体" w:eastAsia="黑体" w:cs="Times New Roman"/>
          <w:b/>
          <w:sz w:val="36"/>
          <w:szCs w:val="36"/>
        </w:rPr>
        <w:t>商务文件组成</w:t>
      </w:r>
      <w:bookmarkEnd w:id="101"/>
      <w:bookmarkEnd w:id="102"/>
      <w:bookmarkEnd w:id="103"/>
      <w:bookmarkEnd w:id="104"/>
      <w:bookmarkEnd w:id="105"/>
      <w:bookmarkEnd w:id="106"/>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86"/>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86"/>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86"/>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86"/>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86"/>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8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8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8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8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8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2"/>
        <w:spacing w:before="340" w:after="480" w:line="360" w:lineRule="auto"/>
        <w:jc w:val="center"/>
        <w:rPr>
          <w:rFonts w:cs="Times New Roman" w:asciiTheme="majorEastAsia" w:hAnsiTheme="majorEastAsia"/>
          <w:bCs w:val="0"/>
          <w:sz w:val="44"/>
          <w:szCs w:val="44"/>
          <w:lang w:val="zh-CN"/>
        </w:rPr>
      </w:pPr>
      <w:bookmarkStart w:id="107" w:name="_Toc494664999"/>
      <w:bookmarkStart w:id="108" w:name="_Toc494721099"/>
      <w:bookmarkStart w:id="109" w:name="_Toc494665552"/>
      <w:bookmarkStart w:id="110" w:name="_Toc494702269"/>
      <w:bookmarkStart w:id="111" w:name="_Toc495861549"/>
      <w:bookmarkStart w:id="112" w:name="_Toc494665949"/>
      <w:bookmarkStart w:id="113" w:name="_Toc494745316"/>
    </w:p>
    <w:p>
      <w:pPr>
        <w:pStyle w:val="2"/>
        <w:spacing w:before="340" w:after="480" w:line="360" w:lineRule="auto"/>
        <w:jc w:val="center"/>
        <w:rPr>
          <w:rFonts w:cs="Times New Roman" w:asciiTheme="majorEastAsia" w:hAnsiTheme="majorEastAsia"/>
          <w:bCs w:val="0"/>
          <w:sz w:val="44"/>
          <w:szCs w:val="44"/>
          <w:lang w:val="zh-CN"/>
        </w:rPr>
      </w:pPr>
    </w:p>
    <w:p>
      <w:pPr>
        <w:pStyle w:val="2"/>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107"/>
      <w:bookmarkEnd w:id="108"/>
      <w:bookmarkEnd w:id="109"/>
      <w:bookmarkEnd w:id="110"/>
      <w:bookmarkEnd w:id="111"/>
      <w:bookmarkEnd w:id="112"/>
      <w:bookmarkEnd w:id="113"/>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4" w:name="_Toc494665000"/>
      <w:bookmarkStart w:id="115" w:name="_Toc494721100"/>
      <w:bookmarkStart w:id="116" w:name="_Toc494702270"/>
      <w:bookmarkStart w:id="117" w:name="_Toc494665950"/>
      <w:bookmarkStart w:id="118" w:name="_Toc494745317"/>
      <w:bookmarkStart w:id="119" w:name="_Toc494665553"/>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4"/>
      <w:bookmarkEnd w:id="115"/>
      <w:bookmarkEnd w:id="116"/>
      <w:bookmarkEnd w:id="117"/>
      <w:bookmarkEnd w:id="118"/>
      <w:bookmarkEnd w:id="119"/>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8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87"/>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8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8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8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8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20" w:name="_Toc494702271"/>
      <w:bookmarkStart w:id="121" w:name="_Toc494665951"/>
      <w:bookmarkStart w:id="122" w:name="_Toc494665001"/>
      <w:bookmarkStart w:id="123" w:name="_Toc495861550"/>
      <w:bookmarkStart w:id="124" w:name="_Toc494721101"/>
      <w:bookmarkStart w:id="125" w:name="_Toc494745318"/>
      <w:bookmarkStart w:id="126" w:name="_Toc494665554"/>
      <w:bookmarkStart w:id="127" w:name="_Toc236473298"/>
      <w:bookmarkStart w:id="128" w:name="_Toc238276242"/>
      <w:r>
        <w:rPr>
          <w:rFonts w:hint="eastAsia" w:ascii="宋体" w:hAnsi="宋体" w:eastAsia="宋体"/>
        </w:rPr>
        <w:t>投标书</w:t>
      </w:r>
      <w:bookmarkEnd w:id="120"/>
      <w:bookmarkEnd w:id="121"/>
      <w:bookmarkEnd w:id="122"/>
      <w:bookmarkEnd w:id="123"/>
      <w:bookmarkEnd w:id="124"/>
      <w:bookmarkEnd w:id="125"/>
      <w:bookmarkEnd w:id="126"/>
      <w:bookmarkEnd w:id="127"/>
      <w:bookmarkEnd w:id="128"/>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29" w:name="_Toc494665952"/>
      <w:bookmarkStart w:id="130" w:name="_Toc494665555"/>
      <w:bookmarkStart w:id="131" w:name="_Toc494721102"/>
      <w:bookmarkStart w:id="132" w:name="_Toc494665002"/>
      <w:bookmarkStart w:id="133" w:name="_Toc495861551"/>
      <w:bookmarkStart w:id="134" w:name="_Toc494745319"/>
      <w:bookmarkStart w:id="135" w:name="_Toc494702272"/>
      <w:r>
        <w:rPr>
          <w:rFonts w:hint="eastAsia" w:ascii="宋体" w:hAnsi="宋体" w:eastAsia="宋体"/>
        </w:rPr>
        <w:t>制造商中小企业声明函</w:t>
      </w:r>
      <w:bookmarkEnd w:id="129"/>
      <w:bookmarkEnd w:id="130"/>
      <w:bookmarkEnd w:id="131"/>
      <w:bookmarkEnd w:id="132"/>
      <w:bookmarkEnd w:id="133"/>
      <w:bookmarkEnd w:id="134"/>
      <w:bookmarkEnd w:id="135"/>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9"/>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9"/>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7"/>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7"/>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7"/>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36" w:name="_Toc494665003"/>
      <w:bookmarkStart w:id="137" w:name="_Toc494665953"/>
      <w:bookmarkStart w:id="138" w:name="_Toc494665556"/>
      <w:bookmarkStart w:id="139" w:name="_Toc495861552"/>
      <w:bookmarkStart w:id="140" w:name="_Toc456264006"/>
      <w:bookmarkStart w:id="141" w:name="_Toc494721103"/>
      <w:bookmarkStart w:id="142" w:name="_Toc494745320"/>
      <w:bookmarkStart w:id="143" w:name="_Toc494702273"/>
      <w:r>
        <w:rPr>
          <w:rFonts w:hint="eastAsia" w:ascii="宋体" w:hAnsi="宋体" w:eastAsia="宋体"/>
        </w:rPr>
        <w:t>中小企业声明函</w:t>
      </w:r>
      <w:bookmarkEnd w:id="136"/>
      <w:bookmarkEnd w:id="137"/>
      <w:bookmarkEnd w:id="138"/>
      <w:bookmarkEnd w:id="139"/>
      <w:bookmarkEnd w:id="140"/>
      <w:bookmarkEnd w:id="141"/>
      <w:bookmarkEnd w:id="142"/>
      <w:bookmarkEnd w:id="143"/>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44" w:name="_Toc476153619"/>
      <w:r>
        <w:rPr>
          <w:rFonts w:hint="eastAsia" w:ascii="宋体" w:hAnsi="宋体" w:eastAsia="宋体" w:cs="Times New Roman"/>
          <w:b/>
          <w:sz w:val="30"/>
          <w:szCs w:val="30"/>
          <w:lang w:val="zh-CN"/>
        </w:rPr>
        <w:t>中小企业划型标准</w:t>
      </w:r>
      <w:bookmarkEnd w:id="144"/>
    </w:p>
    <w:tbl>
      <w:tblPr>
        <w:tblStyle w:val="16"/>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r>
        <w:br w:type="page"/>
      </w:r>
    </w:p>
    <w:p>
      <w:pPr>
        <w:sectPr>
          <w:pgSz w:w="16838" w:h="11906" w:orient="landscape"/>
          <w:pgMar w:top="1191" w:right="1134" w:bottom="1191" w:left="1134" w:header="851" w:footer="851" w:gutter="0"/>
          <w:cols w:space="425" w:num="1"/>
          <w:docGrid w:type="lines" w:linePitch="312" w:charSpace="0"/>
        </w:sectPr>
      </w:pPr>
    </w:p>
    <w:p>
      <w:pPr>
        <w:pStyle w:val="2"/>
        <w:numPr>
          <w:ilvl w:val="0"/>
          <w:numId w:val="88"/>
        </w:numPr>
        <w:spacing w:before="100" w:beforeAutospacing="1" w:afterLines="50" w:line="360" w:lineRule="auto"/>
        <w:ind w:left="1288" w:hanging="1288"/>
        <w:rPr>
          <w:rFonts w:ascii="宋体" w:hAnsi="宋体" w:eastAsia="宋体"/>
        </w:rPr>
      </w:pPr>
      <w:bookmarkStart w:id="145" w:name="_Toc494665004"/>
      <w:bookmarkStart w:id="146" w:name="_Toc494745321"/>
      <w:bookmarkStart w:id="147" w:name="_Toc494665954"/>
      <w:bookmarkStart w:id="148" w:name="_Toc494665557"/>
      <w:bookmarkStart w:id="149" w:name="_Toc494702274"/>
      <w:bookmarkStart w:id="150" w:name="_Toc494721104"/>
      <w:bookmarkStart w:id="151" w:name="_Toc495861553"/>
      <w:r>
        <w:rPr>
          <w:rFonts w:hint="eastAsia" w:ascii="宋体" w:hAnsi="宋体" w:eastAsia="宋体"/>
        </w:rPr>
        <w:t>残疾人福利性单位声明函</w:t>
      </w:r>
      <w:bookmarkEnd w:id="145"/>
      <w:bookmarkEnd w:id="146"/>
      <w:bookmarkEnd w:id="147"/>
      <w:bookmarkEnd w:id="148"/>
      <w:bookmarkEnd w:id="149"/>
      <w:bookmarkEnd w:id="150"/>
      <w:bookmarkEnd w:id="151"/>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7"/>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7"/>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0"/>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7"/>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52" w:name="_Toc494745322"/>
      <w:bookmarkStart w:id="153" w:name="_Toc495861554"/>
      <w:bookmarkStart w:id="154" w:name="_Toc494721105"/>
      <w:bookmarkStart w:id="155" w:name="_Toc494702275"/>
      <w:bookmarkStart w:id="156" w:name="_Toc494665955"/>
      <w:bookmarkStart w:id="157" w:name="_Toc494665005"/>
      <w:bookmarkStart w:id="158" w:name="_Toc494665558"/>
      <w:bookmarkStart w:id="159" w:name="_Toc494577410"/>
      <w:r>
        <w:rPr>
          <w:rFonts w:hint="eastAsia" w:ascii="宋体" w:hAnsi="宋体" w:eastAsia="宋体"/>
        </w:rPr>
        <w:t>开标一览表</w:t>
      </w:r>
      <w:bookmarkEnd w:id="152"/>
      <w:bookmarkEnd w:id="153"/>
      <w:bookmarkEnd w:id="154"/>
      <w:bookmarkEnd w:id="155"/>
      <w:bookmarkEnd w:id="156"/>
      <w:bookmarkEnd w:id="157"/>
      <w:bookmarkEnd w:id="158"/>
      <w:bookmarkEnd w:id="15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60" w:name="_Toc494745323"/>
      <w:bookmarkStart w:id="161" w:name="_Toc494665956"/>
      <w:bookmarkStart w:id="162" w:name="_Toc494702276"/>
      <w:bookmarkStart w:id="163" w:name="_Toc494665006"/>
      <w:bookmarkStart w:id="164" w:name="_Toc495861555"/>
      <w:bookmarkStart w:id="165" w:name="_Toc494721106"/>
      <w:bookmarkStart w:id="166" w:name="_Toc494577411"/>
      <w:bookmarkStart w:id="167" w:name="_Toc494665559"/>
      <w:r>
        <w:rPr>
          <w:rFonts w:hint="eastAsia" w:ascii="宋体" w:hAnsi="宋体" w:eastAsia="宋体"/>
        </w:rPr>
        <w:t>投标报价明细表</w:t>
      </w:r>
      <w:bookmarkEnd w:id="160"/>
      <w:bookmarkEnd w:id="161"/>
      <w:bookmarkEnd w:id="162"/>
      <w:bookmarkEnd w:id="163"/>
      <w:bookmarkEnd w:id="164"/>
      <w:bookmarkEnd w:id="165"/>
      <w:bookmarkEnd w:id="166"/>
      <w:bookmarkEnd w:id="167"/>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9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288" w:hanging="1288"/>
        <w:rPr>
          <w:rFonts w:ascii="宋体" w:hAnsi="宋体" w:eastAsia="宋体"/>
          <w:sz w:val="31"/>
          <w:szCs w:val="31"/>
        </w:rPr>
      </w:pPr>
      <w:bookmarkStart w:id="168" w:name="_Toc494665957"/>
      <w:bookmarkStart w:id="169" w:name="_Toc494702277"/>
      <w:bookmarkStart w:id="170" w:name="_Toc494721107"/>
      <w:bookmarkStart w:id="171" w:name="_Toc494745324"/>
      <w:bookmarkStart w:id="172" w:name="_Toc494665007"/>
      <w:bookmarkStart w:id="173" w:name="_Toc494577412"/>
      <w:bookmarkStart w:id="174" w:name="_Toc494665560"/>
      <w:bookmarkStart w:id="175" w:name="_Toc495861556"/>
      <w:r>
        <w:rPr>
          <w:rFonts w:hint="eastAsia" w:ascii="宋体" w:hAnsi="宋体" w:eastAsia="宋体"/>
          <w:sz w:val="31"/>
          <w:szCs w:val="31"/>
        </w:rPr>
        <w:t>小型和微型企业、监狱企业、残疾人福利性单位货物汇总表</w:t>
      </w:r>
      <w:bookmarkEnd w:id="168"/>
      <w:bookmarkEnd w:id="169"/>
      <w:bookmarkEnd w:id="170"/>
      <w:bookmarkEnd w:id="171"/>
      <w:bookmarkEnd w:id="172"/>
      <w:bookmarkEnd w:id="173"/>
      <w:bookmarkEnd w:id="174"/>
      <w:bookmarkEnd w:id="1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76" w:name="_Toc494745325"/>
      <w:bookmarkStart w:id="177" w:name="_Toc494665958"/>
      <w:bookmarkStart w:id="178" w:name="_Toc494665561"/>
      <w:bookmarkStart w:id="179" w:name="_Toc495861557"/>
      <w:bookmarkStart w:id="180" w:name="_Toc494665008"/>
      <w:bookmarkStart w:id="181" w:name="_Toc494721108"/>
      <w:bookmarkStart w:id="182" w:name="_Toc494702278"/>
      <w:r>
        <w:rPr>
          <w:rFonts w:hint="eastAsia" w:ascii="宋体" w:hAnsi="宋体" w:eastAsia="宋体"/>
        </w:rPr>
        <w:t>投标货物（工程或服务）清单</w:t>
      </w:r>
      <w:bookmarkEnd w:id="176"/>
      <w:bookmarkEnd w:id="177"/>
      <w:bookmarkEnd w:id="178"/>
      <w:bookmarkEnd w:id="179"/>
      <w:bookmarkEnd w:id="180"/>
      <w:bookmarkEnd w:id="181"/>
      <w:bookmarkEnd w:id="182"/>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83" w:name="_Toc494702279"/>
      <w:bookmarkStart w:id="184" w:name="_Toc494665009"/>
      <w:bookmarkStart w:id="185" w:name="_Toc495861558"/>
      <w:bookmarkStart w:id="186" w:name="_Toc494745326"/>
      <w:bookmarkStart w:id="187" w:name="_Toc494665959"/>
      <w:bookmarkStart w:id="188" w:name="_Toc494665562"/>
      <w:bookmarkStart w:id="189" w:name="_Toc494721109"/>
      <w:r>
        <w:rPr>
          <w:rFonts w:hint="eastAsia" w:ascii="宋体" w:hAnsi="宋体" w:eastAsia="宋体"/>
        </w:rPr>
        <w:t>交纳投标保证金的银行凭证</w:t>
      </w:r>
      <w:bookmarkEnd w:id="183"/>
      <w:bookmarkEnd w:id="184"/>
      <w:bookmarkEnd w:id="185"/>
      <w:bookmarkEnd w:id="186"/>
      <w:bookmarkEnd w:id="187"/>
      <w:bookmarkEnd w:id="188"/>
      <w:bookmarkEnd w:id="189"/>
    </w:p>
    <w:p>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16"/>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6"/>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2"/>
        <w:numPr>
          <w:ilvl w:val="0"/>
          <w:numId w:val="88"/>
        </w:numPr>
        <w:spacing w:before="100" w:beforeAutospacing="1" w:afterLines="50" w:line="360" w:lineRule="auto"/>
        <w:ind w:left="1288" w:hanging="1288"/>
        <w:rPr>
          <w:rFonts w:ascii="宋体" w:hAnsi="宋体" w:eastAsia="宋体"/>
        </w:rPr>
      </w:pPr>
      <w:bookmarkStart w:id="190" w:name="_Toc238276247"/>
      <w:bookmarkStart w:id="191" w:name="_Toc236473303"/>
      <w:bookmarkStart w:id="192" w:name="_Toc494665960"/>
      <w:bookmarkStart w:id="193" w:name="_Toc494665010"/>
      <w:bookmarkStart w:id="194" w:name="_Toc494721110"/>
      <w:bookmarkStart w:id="195" w:name="_Toc494665563"/>
      <w:bookmarkStart w:id="196" w:name="_Toc495861559"/>
      <w:bookmarkStart w:id="197" w:name="_Toc494745327"/>
      <w:bookmarkStart w:id="198" w:name="_Toc494702280"/>
      <w:r>
        <w:rPr>
          <w:rFonts w:hint="eastAsia" w:ascii="宋体" w:hAnsi="宋体" w:eastAsia="宋体"/>
        </w:rPr>
        <w:t>法定代表人授权书</w:t>
      </w:r>
      <w:bookmarkEnd w:id="190"/>
      <w:bookmarkEnd w:id="191"/>
      <w:bookmarkEnd w:id="192"/>
      <w:bookmarkEnd w:id="193"/>
      <w:bookmarkEnd w:id="194"/>
      <w:bookmarkEnd w:id="195"/>
      <w:bookmarkEnd w:id="196"/>
      <w:bookmarkEnd w:id="197"/>
      <w:bookmarkEnd w:id="198"/>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6"/>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2"/>
        <w:numPr>
          <w:ilvl w:val="0"/>
          <w:numId w:val="88"/>
        </w:numPr>
        <w:spacing w:before="100" w:beforeAutospacing="1" w:afterLines="50" w:line="360" w:lineRule="auto"/>
        <w:ind w:left="1610" w:hanging="1610"/>
        <w:rPr>
          <w:rFonts w:ascii="宋体" w:hAnsi="宋体" w:eastAsia="宋体"/>
        </w:rPr>
      </w:pPr>
      <w:bookmarkStart w:id="199" w:name="_Toc494721111"/>
      <w:bookmarkStart w:id="200" w:name="_Toc494702281"/>
      <w:bookmarkStart w:id="201" w:name="_Toc238276248"/>
      <w:bookmarkStart w:id="202" w:name="_Toc494665961"/>
      <w:bookmarkStart w:id="203" w:name="_Toc495861560"/>
      <w:bookmarkStart w:id="204" w:name="_Toc236473304"/>
      <w:bookmarkStart w:id="205" w:name="_Toc494745328"/>
      <w:bookmarkStart w:id="206" w:name="_Toc494665564"/>
      <w:bookmarkStart w:id="207" w:name="_Toc494665011"/>
      <w:r>
        <w:rPr>
          <w:rFonts w:hint="eastAsia" w:ascii="宋体" w:hAnsi="宋体" w:eastAsia="宋体"/>
        </w:rPr>
        <w:t>投标人的资格声明</w:t>
      </w:r>
      <w:bookmarkEnd w:id="199"/>
      <w:bookmarkEnd w:id="200"/>
      <w:bookmarkEnd w:id="201"/>
      <w:bookmarkEnd w:id="202"/>
      <w:bookmarkEnd w:id="203"/>
      <w:bookmarkEnd w:id="204"/>
      <w:bookmarkEnd w:id="205"/>
      <w:bookmarkEnd w:id="206"/>
      <w:bookmarkEnd w:id="207"/>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6"/>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6"/>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2"/>
        <w:numPr>
          <w:ilvl w:val="0"/>
          <w:numId w:val="88"/>
        </w:numPr>
        <w:spacing w:before="100" w:beforeAutospacing="1" w:afterLines="50" w:line="360" w:lineRule="auto"/>
        <w:ind w:left="1610" w:hanging="1610"/>
        <w:rPr>
          <w:rFonts w:ascii="宋体" w:hAnsi="宋体" w:eastAsia="宋体"/>
        </w:rPr>
      </w:pPr>
      <w:bookmarkStart w:id="208" w:name="_Toc495861561"/>
      <w:bookmarkStart w:id="209" w:name="_Toc494665962"/>
      <w:bookmarkStart w:id="210" w:name="_Toc494702282"/>
      <w:bookmarkStart w:id="211" w:name="_Toc494745329"/>
      <w:bookmarkStart w:id="212" w:name="_Toc494665012"/>
      <w:bookmarkStart w:id="213" w:name="_Toc494721112"/>
      <w:bookmarkStart w:id="214" w:name="_Toc494665565"/>
      <w:r>
        <w:rPr>
          <w:rFonts w:hint="eastAsia" w:ascii="宋体" w:hAnsi="宋体" w:eastAsia="宋体"/>
        </w:rPr>
        <w:t>项目负责人、技术负责人简历表</w:t>
      </w:r>
      <w:bookmarkEnd w:id="208"/>
      <w:bookmarkEnd w:id="209"/>
      <w:bookmarkEnd w:id="210"/>
      <w:bookmarkEnd w:id="211"/>
      <w:bookmarkEnd w:id="212"/>
      <w:bookmarkEnd w:id="213"/>
      <w:bookmarkEnd w:id="21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15" w:name="_Toc495861562"/>
      <w:bookmarkStart w:id="216" w:name="_Toc494702283"/>
      <w:bookmarkStart w:id="217" w:name="_Toc494745330"/>
      <w:bookmarkStart w:id="218" w:name="_Toc494665963"/>
      <w:bookmarkStart w:id="219" w:name="_Toc238276251"/>
      <w:bookmarkStart w:id="220" w:name="_Toc236473307"/>
      <w:bookmarkStart w:id="221" w:name="_Toc494665566"/>
      <w:bookmarkStart w:id="222" w:name="_Toc494721113"/>
      <w:bookmarkStart w:id="223" w:name="_Toc494665013"/>
      <w:r>
        <w:rPr>
          <w:rFonts w:hint="eastAsia" w:ascii="宋体" w:hAnsi="宋体" w:eastAsia="宋体"/>
        </w:rPr>
        <w:t>项目班子成员情况表</w:t>
      </w:r>
      <w:bookmarkEnd w:id="215"/>
      <w:bookmarkEnd w:id="216"/>
      <w:bookmarkEnd w:id="217"/>
      <w:bookmarkEnd w:id="218"/>
      <w:bookmarkEnd w:id="219"/>
      <w:bookmarkEnd w:id="220"/>
      <w:bookmarkEnd w:id="221"/>
      <w:bookmarkEnd w:id="222"/>
      <w:bookmarkEnd w:id="22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24" w:name="_Toc494702284"/>
      <w:bookmarkStart w:id="225" w:name="_Toc495861563"/>
      <w:bookmarkStart w:id="226" w:name="_Toc494721114"/>
      <w:bookmarkStart w:id="227" w:name="_Toc494745331"/>
      <w:bookmarkStart w:id="228" w:name="_Toc236473312"/>
      <w:bookmarkStart w:id="229" w:name="_Toc494665567"/>
      <w:bookmarkStart w:id="230" w:name="_Toc494665964"/>
      <w:bookmarkStart w:id="231" w:name="_Toc238276256"/>
      <w:bookmarkStart w:id="232" w:name="_Toc494665014"/>
      <w:r>
        <w:rPr>
          <w:rFonts w:hint="eastAsia" w:ascii="宋体" w:hAnsi="宋体" w:eastAsia="宋体"/>
        </w:rPr>
        <w:t>投标人类似项目业绩表</w:t>
      </w:r>
      <w:bookmarkEnd w:id="224"/>
      <w:bookmarkEnd w:id="225"/>
      <w:bookmarkEnd w:id="226"/>
      <w:bookmarkEnd w:id="227"/>
      <w:bookmarkEnd w:id="228"/>
      <w:bookmarkEnd w:id="229"/>
      <w:bookmarkEnd w:id="230"/>
      <w:bookmarkEnd w:id="231"/>
      <w:bookmarkEnd w:id="23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33" w:name="_Toc495861564"/>
      <w:bookmarkStart w:id="234" w:name="_Toc494721115"/>
      <w:bookmarkStart w:id="235" w:name="_Toc494665568"/>
      <w:bookmarkStart w:id="236" w:name="_Toc494665965"/>
      <w:bookmarkStart w:id="237" w:name="_Toc494665015"/>
      <w:bookmarkStart w:id="238" w:name="_Toc494745332"/>
      <w:bookmarkStart w:id="239" w:name="_Toc494702285"/>
      <w:r>
        <w:rPr>
          <w:rFonts w:hint="eastAsia" w:ascii="宋体" w:hAnsi="宋体" w:eastAsia="宋体"/>
        </w:rPr>
        <w:t>符合性审查对照表</w:t>
      </w:r>
      <w:bookmarkEnd w:id="233"/>
      <w:bookmarkEnd w:id="234"/>
      <w:bookmarkEnd w:id="235"/>
      <w:bookmarkEnd w:id="236"/>
      <w:bookmarkEnd w:id="237"/>
      <w:bookmarkEnd w:id="238"/>
      <w:bookmarkEnd w:id="23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40" w:name="_Toc494721116"/>
      <w:bookmarkStart w:id="241" w:name="_Toc494745333"/>
      <w:bookmarkStart w:id="242" w:name="_Toc494665569"/>
      <w:bookmarkStart w:id="243" w:name="_Toc494702286"/>
      <w:bookmarkStart w:id="244" w:name="_Toc494665966"/>
      <w:bookmarkStart w:id="245" w:name="_Toc494665016"/>
      <w:bookmarkStart w:id="246" w:name="_Toc495861565"/>
      <w:r>
        <w:rPr>
          <w:rFonts w:hint="eastAsia" w:ascii="宋体" w:hAnsi="宋体" w:eastAsia="宋体"/>
        </w:rPr>
        <w:t>商务要求响应、偏离说明表</w:t>
      </w:r>
      <w:bookmarkEnd w:id="240"/>
      <w:bookmarkEnd w:id="241"/>
      <w:bookmarkEnd w:id="242"/>
      <w:bookmarkEnd w:id="243"/>
      <w:bookmarkEnd w:id="244"/>
      <w:bookmarkEnd w:id="245"/>
      <w:bookmarkEnd w:id="24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47" w:name="_Toc494721117"/>
      <w:bookmarkStart w:id="248" w:name="_Toc494665570"/>
      <w:bookmarkStart w:id="249" w:name="_Toc494665967"/>
      <w:bookmarkStart w:id="250" w:name="_Toc495861566"/>
      <w:bookmarkStart w:id="251" w:name="_Toc494665017"/>
      <w:bookmarkStart w:id="252" w:name="_Toc494745334"/>
      <w:bookmarkStart w:id="253" w:name="_Toc494702287"/>
      <w:r>
        <w:rPr>
          <w:rFonts w:hint="eastAsia" w:ascii="宋体" w:hAnsi="宋体" w:eastAsia="宋体"/>
        </w:rPr>
        <w:t>商务要求“★”号条款响应、偏离说明表</w:t>
      </w:r>
      <w:bookmarkEnd w:id="247"/>
      <w:bookmarkEnd w:id="248"/>
      <w:bookmarkEnd w:id="249"/>
      <w:bookmarkEnd w:id="250"/>
      <w:bookmarkEnd w:id="251"/>
      <w:bookmarkEnd w:id="252"/>
      <w:bookmarkEnd w:id="25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54" w:name="_Toc494665571"/>
      <w:bookmarkStart w:id="255" w:name="_Toc494745335"/>
      <w:bookmarkStart w:id="256" w:name="_Toc494721118"/>
      <w:bookmarkStart w:id="257" w:name="_Toc494665968"/>
      <w:bookmarkStart w:id="258" w:name="_Toc494665018"/>
      <w:bookmarkStart w:id="259" w:name="_Toc494702288"/>
      <w:bookmarkStart w:id="260" w:name="_Toc495861567"/>
      <w:r>
        <w:rPr>
          <w:rFonts w:hint="eastAsia" w:ascii="宋体" w:hAnsi="宋体" w:eastAsia="宋体"/>
        </w:rPr>
        <w:t>商务评议对照表</w:t>
      </w:r>
      <w:bookmarkEnd w:id="254"/>
      <w:bookmarkEnd w:id="255"/>
      <w:bookmarkEnd w:id="256"/>
      <w:bookmarkEnd w:id="257"/>
      <w:bookmarkEnd w:id="258"/>
      <w:bookmarkEnd w:id="259"/>
      <w:bookmarkEnd w:id="26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9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9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9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9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9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9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61" w:name="_Toc494665019"/>
      <w:bookmarkStart w:id="262" w:name="_Toc494721119"/>
      <w:bookmarkStart w:id="263" w:name="_Toc494702289"/>
      <w:bookmarkStart w:id="264" w:name="_Toc494665969"/>
      <w:bookmarkStart w:id="265" w:name="_Toc495861568"/>
      <w:bookmarkStart w:id="266" w:name="_Toc494745336"/>
      <w:bookmarkStart w:id="267" w:name="_Toc494665572"/>
      <w:r>
        <w:rPr>
          <w:rFonts w:hint="eastAsia" w:ascii="宋体" w:hAnsi="宋体" w:eastAsia="宋体"/>
        </w:rPr>
        <w:t>技术、服务要求响应、偏离说明表</w:t>
      </w:r>
      <w:bookmarkEnd w:id="261"/>
      <w:bookmarkEnd w:id="262"/>
      <w:bookmarkEnd w:id="263"/>
      <w:bookmarkEnd w:id="264"/>
      <w:bookmarkEnd w:id="265"/>
      <w:bookmarkEnd w:id="266"/>
      <w:bookmarkEnd w:id="26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68" w:name="_Toc494721120"/>
      <w:bookmarkStart w:id="269" w:name="_Toc494665970"/>
      <w:bookmarkStart w:id="270" w:name="_Toc495861569"/>
      <w:bookmarkStart w:id="271" w:name="_Toc494745337"/>
      <w:bookmarkStart w:id="272" w:name="_Toc494665020"/>
      <w:bookmarkStart w:id="273" w:name="_Toc494702290"/>
      <w:bookmarkStart w:id="274" w:name="_Toc494665573"/>
      <w:bookmarkStart w:id="275" w:name="_Toc329859066"/>
      <w:r>
        <w:rPr>
          <w:rFonts w:hint="eastAsia" w:ascii="宋体" w:hAnsi="宋体" w:eastAsia="宋体"/>
        </w:rPr>
        <w:t>技术、服务要求“★”号条款响应、偏离说明表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5"/>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2"/>
        <w:numPr>
          <w:ilvl w:val="0"/>
          <w:numId w:val="88"/>
        </w:numPr>
        <w:spacing w:before="100" w:beforeAutospacing="1" w:afterLines="50" w:line="360" w:lineRule="auto"/>
        <w:ind w:left="1610" w:hanging="1610"/>
        <w:rPr>
          <w:rFonts w:ascii="宋体" w:hAnsi="宋体" w:eastAsia="宋体"/>
        </w:rPr>
      </w:pPr>
      <w:bookmarkStart w:id="276" w:name="_Toc494665574"/>
      <w:bookmarkStart w:id="277" w:name="_Toc494665021"/>
      <w:bookmarkStart w:id="278" w:name="_Toc494665971"/>
      <w:bookmarkStart w:id="279" w:name="_Toc494745338"/>
      <w:bookmarkStart w:id="280" w:name="_Toc494702291"/>
      <w:bookmarkStart w:id="281" w:name="_Toc495861570"/>
      <w:bookmarkStart w:id="282" w:name="_Toc494721121"/>
      <w:r>
        <w:rPr>
          <w:rFonts w:hint="eastAsia" w:ascii="宋体" w:hAnsi="宋体" w:eastAsia="宋体"/>
        </w:rPr>
        <w:t>技术、服务评议对照表</w:t>
      </w:r>
      <w:bookmarkEnd w:id="276"/>
      <w:bookmarkEnd w:id="277"/>
      <w:bookmarkEnd w:id="278"/>
      <w:bookmarkEnd w:id="279"/>
      <w:bookmarkEnd w:id="280"/>
      <w:bookmarkEnd w:id="281"/>
      <w:bookmarkEnd w:id="28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9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9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9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9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9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9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0"/>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rPr>
      <w:t>武汉富纳工程咨询有限公司</w:t>
    </w:r>
    <w:r>
      <w:rPr>
        <w:rFonts w:hint="eastAsia" w:asciiTheme="minorEastAsia" w:hAnsiTheme="minorEastAsia"/>
      </w:rPr>
      <w:t>制</w:t>
    </w:r>
  </w:p>
  <w:p>
    <w:pPr>
      <w:pStyle w:val="10"/>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rPr>
      <w:t>阳新县人民医院</w:t>
    </w:r>
    <w:r>
      <w:rPr>
        <w:rFonts w:hint="eastAsia"/>
        <w:b/>
        <w:u w:val="single"/>
        <w:lang w:eastAsia="zh-CN"/>
      </w:rPr>
      <w:t>麻醉机</w:t>
    </w:r>
    <w:r>
      <w:rPr>
        <w:rFonts w:hint="eastAsia"/>
        <w:b/>
        <w:u w:val="single"/>
      </w:rPr>
      <w:t>采购项目</w:t>
    </w:r>
    <w:r>
      <w:rPr>
        <w:rFonts w:hint="eastAsia"/>
        <w:b/>
        <w:u w:val="single"/>
        <w:lang w:eastAsia="zh-CN"/>
      </w:rPr>
      <w:t>（</w:t>
    </w:r>
    <w:r>
      <w:rPr>
        <w:rFonts w:hint="eastAsia"/>
        <w:b/>
        <w:u w:val="single"/>
        <w:lang w:val="en-US" w:eastAsia="zh-CN"/>
      </w:rPr>
      <w:t>二次</w:t>
    </w:r>
    <w:r>
      <w:rPr>
        <w:rFonts w:hint="eastAsia"/>
        <w:b/>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6D073"/>
    <w:multiLevelType w:val="singleLevel"/>
    <w:tmpl w:val="8D66D073"/>
    <w:lvl w:ilvl="0" w:tentative="0">
      <w:start w:val="1"/>
      <w:numFmt w:val="decimal"/>
      <w:suff w:val="nothing"/>
      <w:lvlText w:val="2.%1．"/>
      <w:lvlJc w:val="left"/>
      <w:pPr>
        <w:ind w:left="0" w:firstLine="403"/>
      </w:pPr>
      <w:rPr>
        <w:rFonts w:hint="default"/>
      </w:rPr>
    </w:lvl>
  </w:abstractNum>
  <w:abstractNum w:abstractNumId="1">
    <w:nsid w:val="919819C8"/>
    <w:multiLevelType w:val="singleLevel"/>
    <w:tmpl w:val="919819C8"/>
    <w:lvl w:ilvl="0" w:tentative="0">
      <w:start w:val="1"/>
      <w:numFmt w:val="decimal"/>
      <w:suff w:val="nothing"/>
      <w:lvlText w:val="3.2.%1．"/>
      <w:lvlJc w:val="left"/>
      <w:pPr>
        <w:ind w:left="0" w:firstLine="403"/>
      </w:pPr>
      <w:rPr>
        <w:rFonts w:hint="default"/>
      </w:rPr>
    </w:lvl>
  </w:abstractNum>
  <w:abstractNum w:abstractNumId="2">
    <w:nsid w:val="A541BF43"/>
    <w:multiLevelType w:val="singleLevel"/>
    <w:tmpl w:val="A541BF43"/>
    <w:lvl w:ilvl="0" w:tentative="0">
      <w:start w:val="1"/>
      <w:numFmt w:val="decimal"/>
      <w:suff w:val="nothing"/>
      <w:lvlText w:val="%1．"/>
      <w:lvlJc w:val="left"/>
      <w:pPr>
        <w:ind w:left="0" w:firstLine="400"/>
      </w:pPr>
      <w:rPr>
        <w:rFonts w:hint="default"/>
      </w:rPr>
    </w:lvl>
  </w:abstractNum>
  <w:abstractNum w:abstractNumId="3">
    <w:nsid w:val="C4392726"/>
    <w:multiLevelType w:val="singleLevel"/>
    <w:tmpl w:val="C4392726"/>
    <w:lvl w:ilvl="0" w:tentative="0">
      <w:start w:val="1"/>
      <w:numFmt w:val="decimal"/>
      <w:suff w:val="nothing"/>
      <w:lvlText w:val="2.%1．"/>
      <w:lvlJc w:val="left"/>
      <w:pPr>
        <w:ind w:left="0" w:firstLine="403"/>
      </w:pPr>
      <w:rPr>
        <w:rFonts w:hint="default"/>
      </w:rPr>
    </w:lvl>
  </w:abstractNum>
  <w:abstractNum w:abstractNumId="4">
    <w:nsid w:val="D45056DC"/>
    <w:multiLevelType w:val="singleLevel"/>
    <w:tmpl w:val="D45056DC"/>
    <w:lvl w:ilvl="0" w:tentative="0">
      <w:start w:val="1"/>
      <w:numFmt w:val="decimal"/>
      <w:suff w:val="nothing"/>
      <w:lvlText w:val="2.3.%1．"/>
      <w:lvlJc w:val="left"/>
      <w:pPr>
        <w:ind w:left="0" w:firstLine="403"/>
      </w:pPr>
      <w:rPr>
        <w:rFonts w:hint="default"/>
      </w:rPr>
    </w:lvl>
  </w:abstractNum>
  <w:abstractNum w:abstractNumId="5">
    <w:nsid w:val="D9365F4A"/>
    <w:multiLevelType w:val="singleLevel"/>
    <w:tmpl w:val="D9365F4A"/>
    <w:lvl w:ilvl="0" w:tentative="0">
      <w:start w:val="1"/>
      <w:numFmt w:val="decimal"/>
      <w:suff w:val="nothing"/>
      <w:lvlText w:val="3.%1．"/>
      <w:lvlJc w:val="left"/>
      <w:pPr>
        <w:ind w:left="0" w:firstLine="403"/>
      </w:pPr>
      <w:rPr>
        <w:rFonts w:hint="default" w:ascii="Calibri" w:hAnsi="Calibri"/>
      </w:rPr>
    </w:lvl>
  </w:abstractNum>
  <w:abstractNum w:abstractNumId="6">
    <w:nsid w:val="F56E6D86"/>
    <w:multiLevelType w:val="singleLevel"/>
    <w:tmpl w:val="F56E6D86"/>
    <w:lvl w:ilvl="0" w:tentative="0">
      <w:start w:val="1"/>
      <w:numFmt w:val="decimal"/>
      <w:suff w:val="nothing"/>
      <w:lvlText w:val="2.2.%1．"/>
      <w:lvlJc w:val="left"/>
      <w:pPr>
        <w:ind w:left="0" w:firstLine="403"/>
      </w:pPr>
      <w:rPr>
        <w:rFonts w:hint="default"/>
      </w:rPr>
    </w:lvl>
  </w:abstractNum>
  <w:abstractNum w:abstractNumId="7">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8">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8">
    <w:nsid w:val="1052533D"/>
    <w:multiLevelType w:val="singleLevel"/>
    <w:tmpl w:val="1052533D"/>
    <w:lvl w:ilvl="0" w:tentative="0">
      <w:start w:val="1"/>
      <w:numFmt w:val="decimal"/>
      <w:suff w:val="nothing"/>
      <w:lvlText w:val="2.6.%1．"/>
      <w:lvlJc w:val="left"/>
      <w:pPr>
        <w:ind w:left="0" w:firstLine="403"/>
      </w:pPr>
      <w:rPr>
        <w:rFonts w:hint="default"/>
      </w:rPr>
    </w:lvl>
  </w:abstractNum>
  <w:abstractNum w:abstractNumId="19">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2">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3">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AFE4FEA"/>
    <w:multiLevelType w:val="singleLevel"/>
    <w:tmpl w:val="1AFE4FEA"/>
    <w:lvl w:ilvl="0" w:tentative="0">
      <w:start w:val="1"/>
      <w:numFmt w:val="decimal"/>
      <w:suff w:val="nothing"/>
      <w:lvlText w:val="3.3.%1．"/>
      <w:lvlJc w:val="left"/>
      <w:pPr>
        <w:ind w:left="0" w:firstLine="403"/>
      </w:pPr>
      <w:rPr>
        <w:rFonts w:hint="default" w:ascii="Calibri" w:hAnsi="Calibri"/>
      </w:rPr>
    </w:lvl>
  </w:abstractNum>
  <w:abstractNum w:abstractNumId="26">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7">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8">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9">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0">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1">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3">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9BDFFCD"/>
    <w:multiLevelType w:val="singleLevel"/>
    <w:tmpl w:val="29BDFFCD"/>
    <w:lvl w:ilvl="0" w:tentative="0">
      <w:start w:val="1"/>
      <w:numFmt w:val="decimal"/>
      <w:suff w:val="nothing"/>
      <w:lvlText w:val="2.5.%1．"/>
      <w:lvlJc w:val="left"/>
      <w:pPr>
        <w:ind w:left="0" w:firstLine="403"/>
      </w:pPr>
      <w:rPr>
        <w:rFonts w:hint="default"/>
      </w:rPr>
    </w:lvl>
  </w:abstractNum>
  <w:abstractNum w:abstractNumId="35">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C0161E3"/>
    <w:multiLevelType w:val="multilevel"/>
    <w:tmpl w:val="2C0161E3"/>
    <w:lvl w:ilvl="0" w:tentative="0">
      <w:start w:val="1"/>
      <w:numFmt w:val="decimal"/>
      <w:lvlText w:val="5.%1."/>
      <w:lvlJc w:val="left"/>
      <w:pPr>
        <w:ind w:left="420"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9">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F9E3029"/>
    <w:multiLevelType w:val="singleLevel"/>
    <w:tmpl w:val="2F9E3029"/>
    <w:lvl w:ilvl="0" w:tentative="0">
      <w:start w:val="4"/>
      <w:numFmt w:val="chineseCounting"/>
      <w:suff w:val="nothing"/>
      <w:lvlText w:val="%1、"/>
      <w:lvlJc w:val="left"/>
      <w:rPr>
        <w:rFonts w:hint="eastAsia"/>
      </w:rPr>
    </w:lvl>
  </w:abstractNum>
  <w:abstractNum w:abstractNumId="42">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4">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31F3613"/>
    <w:multiLevelType w:val="singleLevel"/>
    <w:tmpl w:val="331F3613"/>
    <w:lvl w:ilvl="0" w:tentative="0">
      <w:start w:val="1"/>
      <w:numFmt w:val="decimal"/>
      <w:suff w:val="nothing"/>
      <w:lvlText w:val="3.5.%1．"/>
      <w:lvlJc w:val="left"/>
      <w:pPr>
        <w:ind w:left="0" w:firstLine="403"/>
      </w:pPr>
      <w:rPr>
        <w:rFonts w:hint="default" w:ascii="Calibri" w:hAnsi="Calibri"/>
      </w:rPr>
    </w:lvl>
  </w:abstractNum>
  <w:abstractNum w:abstractNumId="46">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34A76D67"/>
    <w:multiLevelType w:val="singleLevel"/>
    <w:tmpl w:val="34A76D67"/>
    <w:lvl w:ilvl="0" w:tentative="0">
      <w:start w:val="1"/>
      <w:numFmt w:val="decimal"/>
      <w:suff w:val="nothing"/>
      <w:lvlText w:val="2.4.%1．"/>
      <w:lvlJc w:val="left"/>
      <w:pPr>
        <w:ind w:left="0" w:firstLine="403"/>
      </w:pPr>
      <w:rPr>
        <w:rFonts w:hint="default"/>
      </w:rPr>
    </w:lvl>
  </w:abstractNum>
  <w:abstractNum w:abstractNumId="48">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3BAB90E7"/>
    <w:multiLevelType w:val="singleLevel"/>
    <w:tmpl w:val="3BAB90E7"/>
    <w:lvl w:ilvl="0" w:tentative="0">
      <w:start w:val="1"/>
      <w:numFmt w:val="decimal"/>
      <w:suff w:val="nothing"/>
      <w:lvlText w:val="3.4.%1．"/>
      <w:lvlJc w:val="left"/>
      <w:pPr>
        <w:ind w:left="0" w:firstLine="403"/>
      </w:pPr>
      <w:rPr>
        <w:rFonts w:hint="default" w:ascii="Calibri" w:hAnsi="Calibri"/>
      </w:rPr>
    </w:lvl>
  </w:abstractNum>
  <w:abstractNum w:abstractNumId="52">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54">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5">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56">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8">
    <w:nsid w:val="4567563F"/>
    <w:multiLevelType w:val="multilevel"/>
    <w:tmpl w:val="4567563F"/>
    <w:lvl w:ilvl="0" w:tentative="0">
      <w:start w:val="1"/>
      <w:numFmt w:val="decimal"/>
      <w:lvlText w:val="17.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9">
    <w:nsid w:val="475A1545"/>
    <w:multiLevelType w:val="multilevel"/>
    <w:tmpl w:val="475A1545"/>
    <w:lvl w:ilvl="0" w:tentative="0">
      <w:start w:val="1"/>
      <w:numFmt w:val="decimal"/>
      <w:lvlText w:val="17.8.%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0">
    <w:nsid w:val="487B4930"/>
    <w:multiLevelType w:val="multilevel"/>
    <w:tmpl w:val="487B4930"/>
    <w:lvl w:ilvl="0" w:tentative="0">
      <w:start w:val="1"/>
      <w:numFmt w:val="decimal"/>
      <w:lvlText w:val="4.2.%1."/>
      <w:lvlJc w:val="left"/>
      <w:pPr>
        <w:ind w:left="567" w:hanging="420"/>
      </w:pPr>
      <w:rPr>
        <w:rFonts w:hint="default" w:eastAsia="仿宋_GB2312"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49C131F2"/>
    <w:multiLevelType w:val="multilevel"/>
    <w:tmpl w:val="49C131F2"/>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4B167378"/>
    <w:multiLevelType w:val="singleLevel"/>
    <w:tmpl w:val="4B167378"/>
    <w:lvl w:ilvl="0" w:tentative="0">
      <w:start w:val="1"/>
      <w:numFmt w:val="decimal"/>
      <w:suff w:val="nothing"/>
      <w:lvlText w:val="3.6.%1．"/>
      <w:lvlJc w:val="left"/>
      <w:pPr>
        <w:ind w:left="0" w:firstLine="403"/>
      </w:pPr>
      <w:rPr>
        <w:rFonts w:hint="default" w:ascii="Calibri" w:hAnsi="Calibri"/>
      </w:rPr>
    </w:lvl>
  </w:abstractNum>
  <w:abstractNum w:abstractNumId="63">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4">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6">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89C2C0F"/>
    <w:multiLevelType w:val="multilevel"/>
    <w:tmpl w:val="589C2C0F"/>
    <w:lvl w:ilvl="0" w:tentative="0">
      <w:start w:val="1"/>
      <w:numFmt w:val="decimal"/>
      <w:lvlText w:val="1.%1"/>
      <w:lvlJc w:val="left"/>
      <w:pPr>
        <w:ind w:left="704" w:hanging="420"/>
      </w:pPr>
      <w:rPr>
        <w:rFonts w:hint="default" w:ascii="宋体" w:hAnsi="宋体" w:eastAsia="宋体"/>
        <w:b/>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1">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2">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3">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4">
    <w:nsid w:val="5D8CE41A"/>
    <w:multiLevelType w:val="singleLevel"/>
    <w:tmpl w:val="5D8CE41A"/>
    <w:lvl w:ilvl="0" w:tentative="0">
      <w:start w:val="1"/>
      <w:numFmt w:val="decimal"/>
      <w:suff w:val="nothing"/>
      <w:lvlText w:val="3.2.%1．"/>
      <w:lvlJc w:val="left"/>
      <w:pPr>
        <w:tabs>
          <w:tab w:val="left" w:pos="0"/>
        </w:tabs>
        <w:ind w:left="0" w:firstLine="403"/>
      </w:pPr>
      <w:rPr>
        <w:rFonts w:hint="default" w:ascii="Calibri" w:hAnsi="Calibri"/>
      </w:rPr>
    </w:lvl>
  </w:abstractNum>
  <w:abstractNum w:abstractNumId="75">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76">
    <w:nsid w:val="60ADB57F"/>
    <w:multiLevelType w:val="singleLevel"/>
    <w:tmpl w:val="60ADB57F"/>
    <w:lvl w:ilvl="0" w:tentative="0">
      <w:start w:val="1"/>
      <w:numFmt w:val="decimal"/>
      <w:suff w:val="nothing"/>
      <w:lvlText w:val="3.1.%1．"/>
      <w:lvlJc w:val="left"/>
      <w:pPr>
        <w:tabs>
          <w:tab w:val="left" w:pos="0"/>
        </w:tabs>
        <w:ind w:left="0" w:firstLine="403"/>
      </w:pPr>
      <w:rPr>
        <w:rFonts w:hint="default" w:ascii="Calibri" w:hAnsi="Calibri"/>
      </w:rPr>
    </w:lvl>
  </w:abstractNum>
  <w:abstractNum w:abstractNumId="77">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9">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83">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86">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87">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90">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7D721AF5"/>
    <w:multiLevelType w:val="singleLevel"/>
    <w:tmpl w:val="7D721AF5"/>
    <w:lvl w:ilvl="0" w:tentative="0">
      <w:start w:val="1"/>
      <w:numFmt w:val="decimal"/>
      <w:suff w:val="nothing"/>
      <w:lvlText w:val="%1．"/>
      <w:lvlJc w:val="left"/>
      <w:pPr>
        <w:ind w:left="0" w:firstLine="400"/>
      </w:pPr>
      <w:rPr>
        <w:rFonts w:hint="default"/>
      </w:rPr>
    </w:lvl>
  </w:abstractNum>
  <w:abstractNum w:abstractNumId="92">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64"/>
  </w:num>
  <w:num w:numId="2">
    <w:abstractNumId w:val="9"/>
  </w:num>
  <w:num w:numId="3">
    <w:abstractNumId w:val="28"/>
  </w:num>
  <w:num w:numId="4">
    <w:abstractNumId w:val="44"/>
  </w:num>
  <w:num w:numId="5">
    <w:abstractNumId w:val="67"/>
  </w:num>
  <w:num w:numId="6">
    <w:abstractNumId w:val="10"/>
  </w:num>
  <w:num w:numId="7">
    <w:abstractNumId w:val="56"/>
  </w:num>
  <w:num w:numId="8">
    <w:abstractNumId w:val="24"/>
  </w:num>
  <w:num w:numId="9">
    <w:abstractNumId w:val="14"/>
  </w:num>
  <w:num w:numId="10">
    <w:abstractNumId w:val="78"/>
  </w:num>
  <w:num w:numId="11">
    <w:abstractNumId w:val="49"/>
  </w:num>
  <w:num w:numId="12">
    <w:abstractNumId w:val="60"/>
  </w:num>
  <w:num w:numId="13">
    <w:abstractNumId w:val="71"/>
  </w:num>
  <w:num w:numId="14">
    <w:abstractNumId w:val="43"/>
  </w:num>
  <w:num w:numId="15">
    <w:abstractNumId w:val="13"/>
  </w:num>
  <w:num w:numId="16">
    <w:abstractNumId w:val="33"/>
  </w:num>
  <w:num w:numId="17">
    <w:abstractNumId w:val="35"/>
  </w:num>
  <w:num w:numId="18">
    <w:abstractNumId w:val="17"/>
  </w:num>
  <w:num w:numId="19">
    <w:abstractNumId w:val="16"/>
  </w:num>
  <w:num w:numId="20">
    <w:abstractNumId w:val="87"/>
  </w:num>
  <w:num w:numId="21">
    <w:abstractNumId w:val="61"/>
  </w:num>
  <w:num w:numId="22">
    <w:abstractNumId w:val="58"/>
  </w:num>
  <w:num w:numId="23">
    <w:abstractNumId w:val="59"/>
  </w:num>
  <w:num w:numId="24">
    <w:abstractNumId w:val="19"/>
  </w:num>
  <w:num w:numId="25">
    <w:abstractNumId w:val="42"/>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90"/>
  </w:num>
  <w:num w:numId="30">
    <w:abstractNumId w:val="68"/>
  </w:num>
  <w:num w:numId="31">
    <w:abstractNumId w:val="83"/>
  </w:num>
  <w:num w:numId="32">
    <w:abstractNumId w:val="88"/>
  </w:num>
  <w:num w:numId="33">
    <w:abstractNumId w:val="66"/>
  </w:num>
  <w:num w:numId="34">
    <w:abstractNumId w:val="15"/>
  </w:num>
  <w:num w:numId="35">
    <w:abstractNumId w:val="30"/>
  </w:num>
  <w:num w:numId="36">
    <w:abstractNumId w:val="84"/>
  </w:num>
  <w:num w:numId="37">
    <w:abstractNumId w:val="79"/>
  </w:num>
  <w:num w:numId="38">
    <w:abstractNumId w:val="54"/>
  </w:num>
  <w:num w:numId="39">
    <w:abstractNumId w:val="77"/>
  </w:num>
  <w:num w:numId="40">
    <w:abstractNumId w:val="37"/>
  </w:num>
  <w:num w:numId="41">
    <w:abstractNumId w:val="80"/>
  </w:num>
  <w:num w:numId="42">
    <w:abstractNumId w:val="8"/>
  </w:num>
  <w:num w:numId="43">
    <w:abstractNumId w:val="46"/>
  </w:num>
  <w:num w:numId="44">
    <w:abstractNumId w:val="91"/>
  </w:num>
  <w:num w:numId="45">
    <w:abstractNumId w:val="0"/>
  </w:num>
  <w:num w:numId="46">
    <w:abstractNumId w:val="6"/>
  </w:num>
  <w:num w:numId="47">
    <w:abstractNumId w:val="4"/>
  </w:num>
  <w:num w:numId="48">
    <w:abstractNumId w:val="47"/>
  </w:num>
  <w:num w:numId="49">
    <w:abstractNumId w:val="34"/>
  </w:num>
  <w:num w:numId="50">
    <w:abstractNumId w:val="18"/>
  </w:num>
  <w:num w:numId="51">
    <w:abstractNumId w:val="41"/>
  </w:num>
  <w:num w:numId="52">
    <w:abstractNumId w:val="2"/>
  </w:num>
  <w:num w:numId="53">
    <w:abstractNumId w:val="3"/>
  </w:num>
  <w:num w:numId="54">
    <w:abstractNumId w:val="5"/>
  </w:num>
  <w:num w:numId="55">
    <w:abstractNumId w:val="76"/>
  </w:num>
  <w:num w:numId="56">
    <w:abstractNumId w:val="1"/>
  </w:num>
  <w:num w:numId="57">
    <w:abstractNumId w:val="74"/>
  </w:num>
  <w:num w:numId="58">
    <w:abstractNumId w:val="25"/>
  </w:num>
  <w:num w:numId="59">
    <w:abstractNumId w:val="51"/>
  </w:num>
  <w:num w:numId="60">
    <w:abstractNumId w:val="45"/>
  </w:num>
  <w:num w:numId="61">
    <w:abstractNumId w:val="62"/>
  </w:num>
  <w:num w:numId="62">
    <w:abstractNumId w:val="12"/>
  </w:num>
  <w:num w:numId="63">
    <w:abstractNumId w:val="36"/>
  </w:num>
  <w:num w:numId="64">
    <w:abstractNumId w:val="69"/>
  </w:num>
  <w:num w:numId="65">
    <w:abstractNumId w:val="39"/>
  </w:num>
  <w:num w:numId="66">
    <w:abstractNumId w:val="65"/>
  </w:num>
  <w:num w:numId="67">
    <w:abstractNumId w:val="48"/>
  </w:num>
  <w:num w:numId="68">
    <w:abstractNumId w:val="57"/>
  </w:num>
  <w:num w:numId="69">
    <w:abstractNumId w:val="50"/>
  </w:num>
  <w:num w:numId="70">
    <w:abstractNumId w:val="27"/>
  </w:num>
  <w:num w:numId="71">
    <w:abstractNumId w:val="73"/>
  </w:num>
  <w:num w:numId="72">
    <w:abstractNumId w:val="92"/>
  </w:num>
  <w:num w:numId="73">
    <w:abstractNumId w:val="29"/>
  </w:num>
  <w:num w:numId="74">
    <w:abstractNumId w:val="26"/>
  </w:num>
  <w:num w:numId="75">
    <w:abstractNumId w:val="7"/>
  </w:num>
  <w:num w:numId="76">
    <w:abstractNumId w:val="72"/>
    <w:lvlOverride w:ilvl="0">
      <w:startOverride w:val="1"/>
    </w:lvlOverride>
  </w:num>
  <w:num w:numId="77">
    <w:abstractNumId w:val="22"/>
  </w:num>
  <w:num w:numId="78">
    <w:abstractNumId w:val="38"/>
  </w:num>
  <w:num w:numId="79">
    <w:abstractNumId w:val="89"/>
  </w:num>
  <w:num w:numId="80">
    <w:abstractNumId w:val="70"/>
  </w:num>
  <w:num w:numId="81">
    <w:abstractNumId w:val="82"/>
  </w:num>
  <w:num w:numId="82">
    <w:abstractNumId w:val="63"/>
  </w:num>
  <w:num w:numId="83">
    <w:abstractNumId w:val="21"/>
  </w:num>
  <w:num w:numId="84">
    <w:abstractNumId w:val="32"/>
  </w:num>
  <w:num w:numId="85">
    <w:abstractNumId w:val="85"/>
  </w:num>
  <w:num w:numId="86">
    <w:abstractNumId w:val="53"/>
  </w:num>
  <w:num w:numId="87">
    <w:abstractNumId w:val="86"/>
  </w:num>
  <w:num w:numId="88">
    <w:abstractNumId w:val="20"/>
  </w:num>
  <w:num w:numId="89">
    <w:abstractNumId w:val="81"/>
  </w:num>
  <w:num w:numId="90">
    <w:abstractNumId w:val="31"/>
  </w:num>
  <w:num w:numId="91">
    <w:abstractNumId w:val="11"/>
  </w:num>
  <w:num w:numId="92">
    <w:abstractNumId w:val="23"/>
  </w:num>
  <w:num w:numId="9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22C84"/>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72F"/>
    <w:rsid w:val="00A0485B"/>
    <w:rsid w:val="00A05AF5"/>
    <w:rsid w:val="00A05FFB"/>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53E10"/>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56F2"/>
    <w:rsid w:val="00B96DE4"/>
    <w:rsid w:val="00BA438A"/>
    <w:rsid w:val="00BA4681"/>
    <w:rsid w:val="00BB5021"/>
    <w:rsid w:val="00BB78CC"/>
    <w:rsid w:val="00BC2268"/>
    <w:rsid w:val="00BC386C"/>
    <w:rsid w:val="00BC3AA1"/>
    <w:rsid w:val="00BC3C81"/>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929"/>
    <w:rsid w:val="00FF6E00"/>
    <w:rsid w:val="05895419"/>
    <w:rsid w:val="06885E79"/>
    <w:rsid w:val="07D5604F"/>
    <w:rsid w:val="07D74CD6"/>
    <w:rsid w:val="091C5000"/>
    <w:rsid w:val="0C88082C"/>
    <w:rsid w:val="0E9A247E"/>
    <w:rsid w:val="11923040"/>
    <w:rsid w:val="159A33B0"/>
    <w:rsid w:val="1FE47200"/>
    <w:rsid w:val="215B4166"/>
    <w:rsid w:val="26F855C1"/>
    <w:rsid w:val="28473707"/>
    <w:rsid w:val="2A681FCF"/>
    <w:rsid w:val="303212E7"/>
    <w:rsid w:val="31614F93"/>
    <w:rsid w:val="36ED71A0"/>
    <w:rsid w:val="392400DC"/>
    <w:rsid w:val="3A452A79"/>
    <w:rsid w:val="3CF002B3"/>
    <w:rsid w:val="3E691B13"/>
    <w:rsid w:val="41C32F69"/>
    <w:rsid w:val="47C61102"/>
    <w:rsid w:val="47CE23C6"/>
    <w:rsid w:val="50BC5E9C"/>
    <w:rsid w:val="544A0A53"/>
    <w:rsid w:val="5F01496B"/>
    <w:rsid w:val="63BF0F6A"/>
    <w:rsid w:val="6849040E"/>
    <w:rsid w:val="6D1E19C3"/>
    <w:rsid w:val="6D4025A2"/>
    <w:rsid w:val="713539A7"/>
    <w:rsid w:val="75C727E4"/>
    <w:rsid w:val="7BC0350F"/>
    <w:rsid w:val="7D883202"/>
    <w:rsid w:val="7E9C40C0"/>
    <w:rsid w:val="7F080737"/>
    <w:rsid w:val="7FCE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6"/>
    <w:qFormat/>
    <w:uiPriority w:val="0"/>
    <w:pPr>
      <w:ind w:firstLine="420"/>
    </w:pPr>
  </w:style>
  <w:style w:type="paragraph" w:styleId="5">
    <w:name w:val="annotation text"/>
    <w:basedOn w:val="1"/>
    <w:link w:val="30"/>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Plain Text"/>
    <w:basedOn w:val="1"/>
    <w:link w:val="33"/>
    <w:qFormat/>
    <w:uiPriority w:val="0"/>
    <w:rPr>
      <w:rFonts w:ascii="宋体" w:hAnsi="Courier New" w:cs="Courier New"/>
      <w:szCs w:val="21"/>
    </w:rPr>
  </w:style>
  <w:style w:type="paragraph" w:styleId="8">
    <w:name w:val="endnote text"/>
    <w:basedOn w:val="1"/>
    <w:link w:val="32"/>
    <w:unhideWhenUsed/>
    <w:qFormat/>
    <w:uiPriority w:val="99"/>
    <w:pPr>
      <w:snapToGrid w:val="0"/>
      <w:jc w:val="left"/>
    </w:pPr>
  </w:style>
  <w:style w:type="paragraph" w:styleId="9">
    <w:name w:val="Balloon Text"/>
    <w:basedOn w:val="1"/>
    <w:link w:val="26"/>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3"/>
    <w:next w:val="3"/>
    <w:unhideWhenUsed/>
    <w:qFormat/>
    <w:uiPriority w:val="39"/>
    <w:pPr>
      <w:widowControl/>
      <w:spacing w:line="440" w:lineRule="exact"/>
      <w:jc w:val="left"/>
    </w:pPr>
    <w:rPr>
      <w:rFonts w:eastAsia="黑体"/>
      <w:b/>
      <w:i w:val="0"/>
      <w:kern w:val="0"/>
      <w:sz w:val="28"/>
    </w:rPr>
  </w:style>
  <w:style w:type="paragraph" w:customStyle="1" w:styleId="13">
    <w:name w:val="引用1"/>
    <w:basedOn w:val="1"/>
    <w:next w:val="1"/>
    <w:link w:val="35"/>
    <w:qFormat/>
    <w:uiPriority w:val="29"/>
    <w:rPr>
      <w:i/>
      <w:iCs/>
      <w:color w:val="000000" w:themeColor="text1"/>
    </w:rPr>
  </w:style>
  <w:style w:type="paragraph" w:styleId="14">
    <w:name w:val="toc 2"/>
    <w:basedOn w:val="13"/>
    <w:next w:val="2"/>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5">
    <w:name w:val="annotation subject"/>
    <w:basedOn w:val="5"/>
    <w:next w:val="5"/>
    <w:link w:val="37"/>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rPr>
  </w:style>
  <w:style w:type="character" w:styleId="20">
    <w:name w:val="endnote reference"/>
    <w:basedOn w:val="18"/>
    <w:unhideWhenUsed/>
    <w:qFormat/>
    <w:uiPriority w:val="99"/>
    <w:rPr>
      <w:vertAlign w:val="superscript"/>
    </w:rPr>
  </w:style>
  <w:style w:type="character" w:styleId="21">
    <w:name w:val="page number"/>
    <w:qFormat/>
    <w:uiPriority w:val="0"/>
    <w:rPr>
      <w:rFonts w:cs="Times New Roman"/>
    </w:rPr>
  </w:style>
  <w:style w:type="character" w:styleId="22">
    <w:name w:val="Hyperlink"/>
    <w:basedOn w:val="18"/>
    <w:unhideWhenUsed/>
    <w:qFormat/>
    <w:uiPriority w:val="99"/>
    <w:rPr>
      <w:color w:val="0000FF" w:themeColor="hyperlink"/>
      <w:u w:val="single"/>
    </w:rPr>
  </w:style>
  <w:style w:type="character" w:styleId="23">
    <w:name w:val="annotation reference"/>
    <w:qFormat/>
    <w:uiPriority w:val="99"/>
    <w:rPr>
      <w:sz w:val="21"/>
    </w:rPr>
  </w:style>
  <w:style w:type="character" w:customStyle="1" w:styleId="24">
    <w:name w:val="页眉 Char"/>
    <w:basedOn w:val="18"/>
    <w:link w:val="11"/>
    <w:qFormat/>
    <w:uiPriority w:val="99"/>
    <w:rPr>
      <w:sz w:val="18"/>
      <w:szCs w:val="18"/>
    </w:rPr>
  </w:style>
  <w:style w:type="character" w:customStyle="1" w:styleId="25">
    <w:name w:val="页脚 Char"/>
    <w:basedOn w:val="18"/>
    <w:link w:val="10"/>
    <w:qFormat/>
    <w:uiPriority w:val="99"/>
    <w:rPr>
      <w:sz w:val="18"/>
      <w:szCs w:val="18"/>
    </w:rPr>
  </w:style>
  <w:style w:type="character" w:customStyle="1" w:styleId="26">
    <w:name w:val="批注框文本 Char"/>
    <w:basedOn w:val="18"/>
    <w:link w:val="9"/>
    <w:semiHidden/>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Char"/>
    <w:basedOn w:val="18"/>
    <w:link w:val="3"/>
    <w:qFormat/>
    <w:uiPriority w:val="9"/>
    <w:rPr>
      <w:b/>
      <w:bCs/>
      <w:kern w:val="44"/>
      <w:sz w:val="44"/>
      <w:szCs w:val="44"/>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文字 Char"/>
    <w:basedOn w:val="18"/>
    <w:link w:val="5"/>
    <w:qFormat/>
    <w:uiPriority w:val="99"/>
  </w:style>
  <w:style w:type="character" w:customStyle="1" w:styleId="31">
    <w:name w:val="标题 2 Char"/>
    <w:basedOn w:val="18"/>
    <w:link w:val="2"/>
    <w:qFormat/>
    <w:uiPriority w:val="9"/>
    <w:rPr>
      <w:rFonts w:asciiTheme="majorHAnsi" w:hAnsiTheme="majorHAnsi" w:eastAsiaTheme="majorEastAsia" w:cstheme="majorBidi"/>
      <w:b/>
      <w:bCs/>
      <w:sz w:val="32"/>
      <w:szCs w:val="32"/>
    </w:rPr>
  </w:style>
  <w:style w:type="character" w:customStyle="1" w:styleId="32">
    <w:name w:val="尾注文本 Char"/>
    <w:basedOn w:val="18"/>
    <w:link w:val="8"/>
    <w:semiHidden/>
    <w:qFormat/>
    <w:uiPriority w:val="99"/>
  </w:style>
  <w:style w:type="character" w:customStyle="1" w:styleId="33">
    <w:name w:val="纯文本 Char"/>
    <w:link w:val="7"/>
    <w:qFormat/>
    <w:uiPriority w:val="0"/>
    <w:rPr>
      <w:rFonts w:ascii="宋体" w:hAnsi="Courier New" w:cs="Courier New"/>
      <w:szCs w:val="21"/>
    </w:rPr>
  </w:style>
  <w:style w:type="character" w:customStyle="1" w:styleId="34">
    <w:name w:val="纯文本 Char1"/>
    <w:basedOn w:val="18"/>
    <w:semiHidden/>
    <w:qFormat/>
    <w:uiPriority w:val="99"/>
    <w:rPr>
      <w:rFonts w:ascii="宋体" w:hAnsi="Courier New" w:eastAsia="宋体" w:cs="Courier New"/>
      <w:szCs w:val="21"/>
    </w:rPr>
  </w:style>
  <w:style w:type="character" w:customStyle="1" w:styleId="35">
    <w:name w:val="引用 Char"/>
    <w:basedOn w:val="18"/>
    <w:link w:val="13"/>
    <w:qFormat/>
    <w:uiPriority w:val="29"/>
    <w:rPr>
      <w:i/>
      <w:iCs/>
      <w:color w:val="000000" w:themeColor="text1"/>
    </w:rPr>
  </w:style>
  <w:style w:type="character" w:customStyle="1" w:styleId="36">
    <w:name w:val="正文缩进 Char"/>
    <w:link w:val="4"/>
    <w:qFormat/>
    <w:uiPriority w:val="0"/>
  </w:style>
  <w:style w:type="character" w:customStyle="1" w:styleId="37">
    <w:name w:val="批注主题 Char"/>
    <w:basedOn w:val="30"/>
    <w:link w:val="15"/>
    <w:semiHidden/>
    <w:qFormat/>
    <w:uiPriority w:val="99"/>
    <w:rPr>
      <w:b/>
      <w:bCs/>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68"/>
    <customShpInfo spid="_x0000_s1067"/>
    <customShpInfo spid="_x0000_s1066"/>
    <customShpInfo spid="_x0000_s1065"/>
    <customShpInfo spid="_x0000_s1064"/>
    <customShpInfo spid="_x0000_s1063"/>
    <customShpInfo spid="_x0000_s106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8D5A3-0CC7-4EB9-A028-C421308CB22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6695</Words>
  <Characters>38162</Characters>
  <Lines>318</Lines>
  <Paragraphs>89</Paragraphs>
  <TotalTime>111</TotalTime>
  <ScaleCrop>false</ScaleCrop>
  <LinksUpToDate>false</LinksUpToDate>
  <CharactersWithSpaces>44768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Administrator</cp:lastModifiedBy>
  <cp:lastPrinted>2020-10-15T01:50:00Z</cp:lastPrinted>
  <dcterms:modified xsi:type="dcterms:W3CDTF">2020-10-15T09:16:36Z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