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14:textFill>
            <w14:solidFill>
              <w14:schemeClr w14:val="tx1"/>
            </w14:solidFill>
          </w14:textFill>
        </w:rPr>
      </w:pPr>
      <w:r>
        <w:rPr>
          <w:rFonts w:hint="eastAsia"/>
          <w:color w:val="000000" w:themeColor="text1"/>
          <w:w w:val="120"/>
          <w:sz w:val="52"/>
          <w:szCs w:val="52"/>
          <w14:textFill>
            <w14:solidFill>
              <w14:schemeClr w14:val="tx1"/>
            </w14:solidFill>
          </w14:textFill>
        </w:rPr>
        <w:t>阳新县县级政府采购</w:t>
      </w:r>
    </w:p>
    <w:p>
      <w:pPr>
        <w:pStyle w:val="10"/>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1600" w:firstLineChars="500"/>
        <w:rPr>
          <w:rFonts w:hint="default" w:eastAsiaTheme="minorEastAsia"/>
          <w:bCs/>
          <w:color w:val="000000" w:themeColor="text1"/>
          <w:sz w:val="32"/>
          <w:szCs w:val="32"/>
          <w:u w:val="single"/>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项目编号：</w:t>
      </w:r>
      <w:r>
        <w:rPr>
          <w:rFonts w:hint="eastAsia" w:ascii="宋体" w:hAnsi="宋体" w:eastAsia="宋体" w:cs="宋体"/>
          <w:bCs/>
          <w:color w:val="000000"/>
          <w:sz w:val="32"/>
          <w:szCs w:val="32"/>
          <w:u w:val="single"/>
          <w:lang w:val="en-US" w:eastAsia="zh-CN"/>
        </w:rPr>
        <w:t>131-2020CG-280</w:t>
      </w:r>
      <w:r>
        <w:rPr>
          <w:rFonts w:hint="eastAsia"/>
          <w:bCs/>
          <w:color w:val="000000"/>
          <w:sz w:val="32"/>
          <w:szCs w:val="32"/>
          <w:u w:val="single"/>
          <w:lang w:val="en-US" w:eastAsia="zh-CN"/>
        </w:rPr>
        <w:t xml:space="preserve">            </w:t>
      </w:r>
    </w:p>
    <w:p>
      <w:pPr>
        <w:spacing w:line="480" w:lineRule="auto"/>
        <w:ind w:firstLine="1600" w:firstLineChars="500"/>
        <w:rPr>
          <w:bCs/>
          <w:color w:val="000000" w:themeColor="text1"/>
          <w:sz w:val="32"/>
          <w:szCs w:val="32"/>
          <w:u w:val="single"/>
          <w14:textFill>
            <w14:solidFill>
              <w14:schemeClr w14:val="tx1"/>
            </w14:solidFill>
          </w14:textFill>
        </w:rPr>
      </w:pPr>
      <w:r>
        <w:rPr>
          <w:rFonts w:hint="eastAsia"/>
          <w:bCs/>
          <w:color w:val="000000" w:themeColor="text1"/>
          <w:sz w:val="32"/>
          <w:szCs w:val="32"/>
          <w14:textFill>
            <w14:solidFill>
              <w14:schemeClr w14:val="tx1"/>
            </w14:solidFill>
          </w14:textFill>
        </w:rPr>
        <w:t>采 购 人：</w:t>
      </w:r>
      <w:r>
        <w:rPr>
          <w:rFonts w:hint="eastAsia"/>
          <w:bCs/>
          <w:color w:val="000000" w:themeColor="text1"/>
          <w:sz w:val="32"/>
          <w:szCs w:val="32"/>
          <w:u w:val="single"/>
          <w:lang w:eastAsia="zh-CN"/>
          <w14:textFill>
            <w14:solidFill>
              <w14:schemeClr w14:val="tx1"/>
            </w14:solidFill>
          </w14:textFill>
        </w:rPr>
        <w:t>阳新县人民医院</w:t>
      </w:r>
      <w:r>
        <w:rPr>
          <w:rFonts w:hint="eastAsia"/>
          <w:bCs/>
          <w:color w:val="000000" w:themeColor="text1"/>
          <w:sz w:val="32"/>
          <w:szCs w:val="32"/>
          <w:u w:val="single"/>
          <w:lang w:val="en-US" w:eastAsia="zh-CN"/>
          <w14:textFill>
            <w14:solidFill>
              <w14:schemeClr w14:val="tx1"/>
            </w14:solidFill>
          </w14:textFill>
        </w:rPr>
        <w:t xml:space="preserve">               </w:t>
      </w:r>
    </w:p>
    <w:p>
      <w:pPr>
        <w:spacing w:line="480" w:lineRule="auto"/>
        <w:ind w:left="3156" w:leftChars="761" w:hanging="1558" w:hangingChars="487"/>
        <w:rPr>
          <w:rFonts w:hint="eastAsia" w:eastAsiaTheme="minorEastAsia"/>
          <w:bCs/>
          <w:color w:val="000000" w:themeColor="text1"/>
          <w:sz w:val="30"/>
          <w:szCs w:val="30"/>
          <w:u w:val="single"/>
          <w:lang w:eastAsia="zh-CN"/>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bCs/>
          <w:color w:val="000000" w:themeColor="text1"/>
          <w:spacing w:val="-6"/>
          <w:sz w:val="30"/>
          <w:szCs w:val="30"/>
          <w:u w:val="single"/>
          <w:lang w:eastAsia="zh-CN"/>
          <w14:textFill>
            <w14:solidFill>
              <w14:schemeClr w14:val="tx1"/>
            </w14:solidFill>
          </w14:textFill>
        </w:rPr>
        <w:t>阳新县人民医院宫腔镜设备采购项目</w:t>
      </w:r>
    </w:p>
    <w:p>
      <w:pPr>
        <w:spacing w:line="480" w:lineRule="auto"/>
        <w:ind w:firstLine="1600" w:firstLineChars="500"/>
        <w:rPr>
          <w:rFonts w:hint="eastAsia"/>
          <w:bCs/>
          <w:color w:val="000000" w:themeColor="text1"/>
          <w:sz w:val="32"/>
          <w:szCs w:val="32"/>
          <w:lang w:eastAsia="zh-CN"/>
          <w14:textFill>
            <w14:solidFill>
              <w14:schemeClr w14:val="tx1"/>
            </w14:solidFill>
          </w14:textFill>
        </w:rPr>
      </w:pPr>
      <w:r>
        <w:rPr>
          <w:rFonts w:hint="eastAsia"/>
          <w:bCs/>
          <w:color w:val="000000" w:themeColor="text1"/>
          <w:sz w:val="32"/>
          <w:szCs w:val="32"/>
          <w14:textFill>
            <w14:solidFill>
              <w14:schemeClr w14:val="tx1"/>
            </w14:solidFill>
          </w14:textFill>
        </w:rPr>
        <w:t>采购内容：</w:t>
      </w:r>
      <w:r>
        <w:rPr>
          <w:rFonts w:hint="eastAsia"/>
          <w:bCs/>
          <w:color w:val="000000" w:themeColor="text1"/>
          <w:spacing w:val="-6"/>
          <w:sz w:val="30"/>
          <w:szCs w:val="30"/>
          <w:u w:val="single"/>
          <w:lang w:eastAsia="zh-CN"/>
          <w14:textFill>
            <w14:solidFill>
              <w14:schemeClr w14:val="tx1"/>
            </w14:solidFill>
          </w14:textFill>
        </w:rPr>
        <w:t>宫腔镜设备采购项目</w:t>
      </w:r>
      <w:r>
        <w:rPr>
          <w:rFonts w:hint="eastAsia"/>
          <w:bCs/>
          <w:color w:val="000000" w:themeColor="text1"/>
          <w:spacing w:val="-6"/>
          <w:sz w:val="30"/>
          <w:szCs w:val="30"/>
          <w:u w:val="single"/>
          <w:lang w:val="en-US" w:eastAsia="zh-CN"/>
          <w14:textFill>
            <w14:solidFill>
              <w14:schemeClr w14:val="tx1"/>
            </w14:solidFill>
          </w14:textFill>
        </w:rPr>
        <w:t xml:space="preserve">                 </w:t>
      </w:r>
    </w:p>
    <w:p>
      <w:pPr>
        <w:adjustRightInd w:val="0"/>
        <w:snapToGrid w:val="0"/>
        <w:jc w:val="center"/>
        <w:rPr>
          <w:rFonts w:hint="eastAsia"/>
          <w:bCs/>
          <w:snapToGrid w:val="0"/>
          <w:color w:val="000000" w:themeColor="text1"/>
          <w:kern w:val="0"/>
          <w:position w:val="-98"/>
          <w:sz w:val="56"/>
          <w:szCs w:val="56"/>
          <w:lang w:eastAsia="zh-CN"/>
          <w14:textFill>
            <w14:solidFill>
              <w14:schemeClr w14:val="tx1"/>
            </w14:solidFill>
          </w14:textFill>
        </w:rPr>
      </w:pPr>
      <w:r>
        <w:rPr>
          <w:rFonts w:hint="eastAsia"/>
          <w:bCs/>
          <w:snapToGrid w:val="0"/>
          <w:color w:val="000000" w:themeColor="text1"/>
          <w:kern w:val="0"/>
          <w:position w:val="-98"/>
          <w:sz w:val="56"/>
          <w:szCs w:val="56"/>
          <w:lang w:eastAsia="zh-CN"/>
          <w14:textFill>
            <w14:solidFill>
              <w14:schemeClr w14:val="tx1"/>
            </w14:solidFill>
          </w14:textFill>
        </w:rPr>
        <w:t>咸宁市长宁招投标有限责任公司</w:t>
      </w:r>
    </w:p>
    <w:p>
      <w:pPr>
        <w:adjustRightInd w:val="0"/>
        <w:snapToGrid w:val="0"/>
        <w:jc w:val="center"/>
        <w:rPr>
          <w:rFonts w:hint="default"/>
          <w:bCs/>
          <w:snapToGrid w:val="0"/>
          <w:color w:val="000000" w:themeColor="text1"/>
          <w:kern w:val="0"/>
          <w:position w:val="-98"/>
          <w:sz w:val="56"/>
          <w:szCs w:val="56"/>
          <w:lang w:val="en-US" w:eastAsia="zh-CN"/>
          <w14:textFill>
            <w14:solidFill>
              <w14:schemeClr w14:val="tx1"/>
            </w14:solidFill>
          </w14:textFill>
        </w:r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r>
        <w:rPr>
          <w:rFonts w:hint="eastAsia"/>
          <w:bCs/>
          <w:snapToGrid w:val="0"/>
          <w:color w:val="000000" w:themeColor="text1"/>
          <w:kern w:val="0"/>
          <w:position w:val="-98"/>
          <w:sz w:val="48"/>
          <w:szCs w:val="48"/>
          <w:lang w:val="en-US" w:eastAsia="zh-CN"/>
          <w14:textFill>
            <w14:solidFill>
              <w14:schemeClr w14:val="tx1"/>
            </w14:solidFill>
          </w14:textFill>
        </w:rPr>
        <w:t>二0二0年十二月</w:t>
      </w:r>
    </w:p>
    <w:p>
      <w:pPr>
        <w:spacing w:beforeLines="100"/>
        <w:jc w:val="center"/>
        <w:rPr>
          <w:rFonts w:ascii="黑体" w:hAnsi="黑体" w:eastAsia="黑体"/>
          <w:sz w:val="44"/>
          <w:szCs w:val="44"/>
        </w:rPr>
      </w:pPr>
      <w:r>
        <w:rPr>
          <w:rFonts w:hint="eastAsia" w:ascii="黑体" w:hAnsi="黑体" w:eastAsia="黑体"/>
          <w:sz w:val="44"/>
          <w:szCs w:val="44"/>
        </w:rPr>
        <w:t>目   录</w:t>
      </w:r>
    </w:p>
    <w:sdt>
      <w:sdtPr>
        <w:rPr>
          <w:lang w:val="zh-CN"/>
        </w:rPr>
        <w:id w:val="1482579200"/>
      </w:sdtPr>
      <w:sdtEndPr>
        <w:rPr>
          <w:b w:val="0"/>
          <w:bCs/>
          <w:lang w:val="zh-CN"/>
        </w:rPr>
      </w:sdtEndPr>
      <w:sdtContent>
        <w:p>
          <w:pPr>
            <w:pStyle w:val="16"/>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"_Toc495861517" </w:instrText>
          </w:r>
          <w:r>
            <w:fldChar w:fldCharType="separate"/>
          </w:r>
          <w:r>
            <w:rPr>
              <w:rStyle w:val="28"/>
              <w:rFonts w:hint="eastAsia" w:ascii="黑体" w:hAnsi="黑体"/>
            </w:rPr>
            <w:t>第一章</w:t>
          </w:r>
          <w:r>
            <w:rPr>
              <w:rFonts w:eastAsiaTheme="minorEastAsia"/>
              <w:b w:val="0"/>
              <w:iCs w:val="0"/>
              <w:color w:val="auto"/>
              <w:kern w:val="2"/>
              <w:sz w:val="21"/>
            </w:rPr>
            <w:tab/>
          </w:r>
          <w:r>
            <w:rPr>
              <w:rStyle w:val="28"/>
              <w:rFonts w:hint="eastAsia" w:ascii="黑体" w:hAnsi="黑体"/>
            </w:rPr>
            <w:t>投标邀请书</w:t>
          </w:r>
          <w:r>
            <w:tab/>
          </w:r>
          <w:r>
            <w:fldChar w:fldCharType="begin"/>
          </w:r>
          <w:r>
            <w:instrText xml:space="preserve"> PAGEREF _Toc495861517 \h </w:instrText>
          </w:r>
          <w:r>
            <w:fldChar w:fldCharType="separate"/>
          </w:r>
          <w:r>
            <w:t>4</w:t>
          </w:r>
          <w:r>
            <w:fldChar w:fldCharType="end"/>
          </w:r>
          <w:r>
            <w:fldChar w:fldCharType="end"/>
          </w:r>
        </w:p>
        <w:p>
          <w:pPr>
            <w:pStyle w:val="16"/>
            <w:tabs>
              <w:tab w:val="left" w:pos="1260"/>
              <w:tab w:val="right" w:leader="dot" w:pos="9514"/>
            </w:tabs>
            <w:rPr>
              <w:rFonts w:eastAsiaTheme="minorEastAsia"/>
              <w:b w:val="0"/>
              <w:iCs w:val="0"/>
              <w:color w:val="auto"/>
              <w:kern w:val="2"/>
              <w:sz w:val="21"/>
            </w:rPr>
          </w:pPr>
          <w:r>
            <w:fldChar w:fldCharType="begin"/>
          </w:r>
          <w:r>
            <w:instrText xml:space="preserve"> HYPERLINK \l "_Toc495861518" </w:instrText>
          </w:r>
          <w:r>
            <w:fldChar w:fldCharType="separate"/>
          </w:r>
          <w:r>
            <w:rPr>
              <w:rStyle w:val="28"/>
              <w:rFonts w:hint="eastAsia" w:ascii="黑体" w:hAnsi="黑体"/>
            </w:rPr>
            <w:t>第二章</w:t>
          </w:r>
          <w:r>
            <w:rPr>
              <w:rFonts w:eastAsiaTheme="minorEastAsia"/>
              <w:b w:val="0"/>
              <w:iCs w:val="0"/>
              <w:color w:val="auto"/>
              <w:kern w:val="2"/>
              <w:sz w:val="21"/>
            </w:rPr>
            <w:tab/>
          </w:r>
          <w:r>
            <w:rPr>
              <w:rStyle w:val="28"/>
              <w:rFonts w:hint="eastAsia" w:ascii="黑体" w:hAnsi="黑体"/>
            </w:rPr>
            <w:t>投标人须知</w:t>
          </w:r>
          <w:r>
            <w:tab/>
          </w:r>
          <w:r>
            <w:fldChar w:fldCharType="begin"/>
          </w:r>
          <w:r>
            <w:instrText xml:space="preserve"> PAGEREF _Toc495861518 \h </w:instrText>
          </w:r>
          <w:r>
            <w:fldChar w:fldCharType="separate"/>
          </w:r>
          <w:r>
            <w:t>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"_Toc495861519" </w:instrText>
          </w:r>
          <w:r>
            <w:fldChar w:fldCharType="separate"/>
          </w:r>
          <w:r>
            <w:rPr>
              <w:rStyle w:val="28"/>
              <w:rFonts w:hint="eastAsia" w:cs="Times New Roman" w:asciiTheme="majorEastAsia" w:hAnsiTheme="majorEastAsia" w:eastAsiaTheme="majorEastAsia"/>
              <w:b/>
              <w:bCs/>
              <w:lang w:val="zh-CN"/>
            </w:rPr>
            <w:t>投标须知前附表</w:t>
          </w:r>
          <w:r>
            <w:tab/>
          </w:r>
          <w:r>
            <w:fldChar w:fldCharType="begin"/>
          </w:r>
          <w:r>
            <w:instrText xml:space="preserve"> PAGEREF _Toc495861519 \h </w:instrText>
          </w:r>
          <w:r>
            <w:fldChar w:fldCharType="separate"/>
          </w:r>
          <w:r>
            <w:t>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"_Toc495861520"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说明</w:t>
          </w:r>
          <w:r>
            <w:tab/>
          </w:r>
          <w:r>
            <w:t>……………………………………………………………………………………</w:t>
          </w:r>
          <w:r>
            <w:rPr>
              <w:rFonts w:hint="eastAsia"/>
            </w:rPr>
            <w:t>.</w:t>
          </w:r>
          <w:r>
            <w:rPr>
              <w:rFonts w:hint="eastAsia"/>
              <w:lang w:val="en-US" w:eastAsia="zh-CN"/>
            </w:rPr>
            <w:t xml:space="preserve"> </w:t>
          </w:r>
          <w:r>
            <w:fldChar w:fldCharType="begin"/>
          </w:r>
          <w:r>
            <w:instrText xml:space="preserve"> PAGEREF _Toc495861520 \h </w:instrText>
          </w:r>
          <w:r>
            <w:fldChar w:fldCharType="separate"/>
          </w:r>
          <w:r>
            <w:t>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"_Toc495861521"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招标文件</w:t>
          </w:r>
          <w:r>
            <w:tab/>
          </w:r>
          <w:r>
            <w:fldChar w:fldCharType="begin"/>
          </w:r>
          <w:r>
            <w:instrText xml:space="preserve"> PAGEREF _Toc495861521 \h </w:instrText>
          </w:r>
          <w:r>
            <w:fldChar w:fldCharType="separate"/>
          </w:r>
          <w:r>
            <w:t>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"_Toc495861522"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投标文件</w:t>
          </w:r>
          <w:r>
            <w:tab/>
          </w:r>
          <w:r>
            <w:fldChar w:fldCharType="begin"/>
          </w:r>
          <w:r>
            <w:instrText xml:space="preserve"> PAGEREF _Toc495861522 \h </w:instrText>
          </w:r>
          <w:r>
            <w:fldChar w:fldCharType="separate"/>
          </w:r>
          <w:r>
            <w:t>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"_Toc495861523" </w:instrText>
          </w:r>
          <w:r>
            <w:fldChar w:fldCharType="separate"/>
          </w:r>
          <w:r>
            <w:rPr>
              <w:rStyle w:val="28"/>
              <w:rFonts w:hint="eastAsia" w:cs="Times New Roman" w:asciiTheme="majorEastAsia" w:hAnsiTheme="majorEastAsia"/>
              <w:lang w:val="zh-CN"/>
            </w:rPr>
            <w:t>四、</w:t>
          </w:r>
          <w:r>
            <w:rPr>
              <w:rFonts w:asciiTheme="minorHAnsi" w:hAnsiTheme="minorHAnsi"/>
              <w:iCs w:val="0"/>
              <w:color w:val="auto"/>
              <w:kern w:val="2"/>
              <w:sz w:val="21"/>
            </w:rPr>
            <w:tab/>
          </w:r>
          <w:r>
            <w:rPr>
              <w:rStyle w:val="28"/>
              <w:rFonts w:hint="eastAsia" w:cs="Times New Roman" w:asciiTheme="majorEastAsia" w:hAnsiTheme="majorEastAsia"/>
              <w:lang w:val="zh-CN"/>
            </w:rPr>
            <w:t>开标与评标</w:t>
          </w:r>
          <w:r>
            <w:tab/>
          </w:r>
          <w:r>
            <w:fldChar w:fldCharType="begin"/>
          </w:r>
          <w:r>
            <w:instrText xml:space="preserve"> PAGEREF _Toc495861523 \h </w:instrText>
          </w:r>
          <w:r>
            <w:fldChar w:fldCharType="separate"/>
          </w:r>
          <w:r>
            <w:t>13</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"_Toc495861524" </w:instrText>
          </w:r>
          <w:r>
            <w:fldChar w:fldCharType="separate"/>
          </w:r>
          <w:r>
            <w:rPr>
              <w:rStyle w:val="28"/>
              <w:rFonts w:hint="eastAsia" w:cs="Times New Roman" w:asciiTheme="majorEastAsia" w:hAnsiTheme="majorEastAsia"/>
              <w:lang w:val="zh-CN"/>
            </w:rPr>
            <w:t>五、</w:t>
          </w:r>
          <w:r>
            <w:rPr>
              <w:rFonts w:asciiTheme="minorHAnsi" w:hAnsiTheme="minorHAnsi"/>
              <w:iCs w:val="0"/>
              <w:color w:val="auto"/>
              <w:kern w:val="2"/>
              <w:sz w:val="21"/>
            </w:rPr>
            <w:tab/>
          </w:r>
          <w:r>
            <w:rPr>
              <w:rStyle w:val="28"/>
              <w:rFonts w:hint="eastAsia" w:cs="Times New Roman" w:asciiTheme="majorEastAsia" w:hAnsiTheme="majorEastAsia"/>
              <w:lang w:val="zh-CN"/>
            </w:rPr>
            <w:t>投标人信用信息及查询</w:t>
          </w:r>
          <w:r>
            <w:tab/>
          </w:r>
          <w:r>
            <w:fldChar w:fldCharType="begin"/>
          </w:r>
          <w:r>
            <w:instrText xml:space="preserve"> PAGEREF _Toc495861524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"_Toc495861525" </w:instrText>
          </w:r>
          <w:r>
            <w:fldChar w:fldCharType="separate"/>
          </w:r>
          <w:r>
            <w:rPr>
              <w:rStyle w:val="28"/>
              <w:rFonts w:hint="eastAsia" w:cs="Times New Roman" w:asciiTheme="majorEastAsia" w:hAnsiTheme="majorEastAsia"/>
              <w:lang w:val="zh-CN"/>
            </w:rPr>
            <w:t>六、</w:t>
          </w:r>
          <w:r>
            <w:rPr>
              <w:rFonts w:asciiTheme="minorHAnsi" w:hAnsiTheme="minorHAnsi"/>
              <w:iCs w:val="0"/>
              <w:color w:val="auto"/>
              <w:kern w:val="2"/>
              <w:sz w:val="21"/>
            </w:rPr>
            <w:tab/>
          </w:r>
          <w:r>
            <w:rPr>
              <w:rStyle w:val="28"/>
              <w:rFonts w:hint="eastAsia" w:cs="Times New Roman" w:asciiTheme="majorEastAsia" w:hAnsiTheme="majorEastAsia"/>
              <w:lang w:val="zh-CN"/>
            </w:rPr>
            <w:t>中标与合同</w:t>
          </w:r>
          <w:r>
            <w:tab/>
          </w:r>
          <w:r>
            <w:fldChar w:fldCharType="begin"/>
          </w:r>
          <w:r>
            <w:instrText xml:space="preserve"> PAGEREF _Toc495861525 \h </w:instrText>
          </w:r>
          <w:r>
            <w:fldChar w:fldCharType="separate"/>
          </w:r>
          <w:r>
            <w:t>15</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"_Toc495861526" </w:instrText>
          </w:r>
          <w:r>
            <w:fldChar w:fldCharType="separate"/>
          </w:r>
          <w:r>
            <w:rPr>
              <w:rStyle w:val="28"/>
              <w:rFonts w:hint="eastAsia" w:cs="Times New Roman" w:asciiTheme="majorEastAsia" w:hAnsiTheme="majorEastAsia"/>
              <w:lang w:val="zh-CN"/>
            </w:rPr>
            <w:t>七、</w:t>
          </w:r>
          <w:r>
            <w:rPr>
              <w:rFonts w:asciiTheme="minorHAnsi" w:hAnsiTheme="minorHAnsi"/>
              <w:iCs w:val="0"/>
              <w:color w:val="auto"/>
              <w:kern w:val="2"/>
              <w:sz w:val="21"/>
            </w:rPr>
            <w:tab/>
          </w:r>
          <w:r>
            <w:rPr>
              <w:rStyle w:val="28"/>
              <w:rFonts w:hint="eastAsia" w:cs="Times New Roman" w:asciiTheme="majorEastAsia" w:hAnsiTheme="majorEastAsia"/>
              <w:lang w:val="zh-CN"/>
            </w:rPr>
            <w:t>采购信息公告</w:t>
          </w:r>
          <w:r>
            <w:tab/>
          </w:r>
          <w:r>
            <w:fldChar w:fldCharType="begin"/>
          </w:r>
          <w:r>
            <w:instrText xml:space="preserve"> PAGEREF _Toc495861526 \h </w:instrText>
          </w:r>
          <w:r>
            <w:fldChar w:fldCharType="separate"/>
          </w:r>
          <w:r>
            <w:t>16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"_Toc495861527" </w:instrText>
          </w:r>
          <w:r>
            <w:fldChar w:fldCharType="separate"/>
          </w:r>
          <w:r>
            <w:rPr>
              <w:rStyle w:val="28"/>
              <w:rFonts w:hint="eastAsia" w:cs="Times New Roman" w:asciiTheme="majorEastAsia" w:hAnsiTheme="majorEastAsia"/>
              <w:lang w:val="zh-CN"/>
            </w:rPr>
            <w:t>八、</w:t>
          </w:r>
          <w:r>
            <w:rPr>
              <w:rFonts w:asciiTheme="minorHAnsi" w:hAnsiTheme="minorHAnsi"/>
              <w:iCs w:val="0"/>
              <w:color w:val="auto"/>
              <w:kern w:val="2"/>
              <w:sz w:val="21"/>
            </w:rPr>
            <w:tab/>
          </w:r>
          <w:r>
            <w:rPr>
              <w:rStyle w:val="28"/>
              <w:rFonts w:hint="eastAsia" w:cs="Times New Roman" w:asciiTheme="majorEastAsia" w:hAnsiTheme="majorEastAsia"/>
              <w:lang w:val="zh-CN"/>
            </w:rPr>
            <w:t>质疑及提交</w:t>
          </w:r>
          <w:r>
            <w:tab/>
          </w:r>
          <w:r>
            <w:fldChar w:fldCharType="begin"/>
          </w:r>
          <w:r>
            <w:instrText xml:space="preserve"> PAGEREF _Toc495861527 \h </w:instrText>
          </w:r>
          <w:r>
            <w:fldChar w:fldCharType="separate"/>
          </w:r>
          <w:r>
            <w:t>17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"_Toc495861528" </w:instrText>
          </w:r>
          <w:r>
            <w:fldChar w:fldCharType="separate"/>
          </w:r>
          <w:r>
            <w:rPr>
              <w:rStyle w:val="28"/>
              <w:rFonts w:hint="eastAsia" w:cs="Times New Roman" w:asciiTheme="majorEastAsia" w:hAnsiTheme="majorEastAsia"/>
              <w:lang w:val="zh-CN"/>
            </w:rPr>
            <w:t>九、</w:t>
          </w:r>
          <w:r>
            <w:rPr>
              <w:rFonts w:asciiTheme="minorHAnsi" w:hAnsiTheme="minorHAnsi"/>
              <w:iCs w:val="0"/>
              <w:color w:val="auto"/>
              <w:kern w:val="2"/>
              <w:sz w:val="21"/>
            </w:rPr>
            <w:tab/>
          </w:r>
          <w:r>
            <w:rPr>
              <w:rStyle w:val="28"/>
              <w:rFonts w:hint="eastAsia" w:cs="Times New Roman" w:asciiTheme="majorEastAsia" w:hAnsiTheme="majorEastAsia"/>
              <w:lang w:val="zh-CN"/>
            </w:rPr>
            <w:t>相关条文解读</w:t>
          </w:r>
          <w:r>
            <w:tab/>
          </w:r>
          <w:r>
            <w:fldChar w:fldCharType="begin"/>
          </w:r>
          <w:r>
            <w:instrText xml:space="preserve"> PAGEREF _Toc495861528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"_Toc495861529" </w:instrText>
          </w:r>
          <w:r>
            <w:fldChar w:fldCharType="separate"/>
          </w:r>
          <w:r>
            <w:rPr>
              <w:rStyle w:val="28"/>
              <w:rFonts w:hint="eastAsia" w:cs="Times New Roman" w:asciiTheme="majorEastAsia" w:hAnsiTheme="majorEastAsia"/>
              <w:lang w:val="zh-CN"/>
            </w:rPr>
            <w:t>十、</w:t>
          </w:r>
          <w:r>
            <w:rPr>
              <w:rFonts w:asciiTheme="minorHAnsi" w:hAnsiTheme="minorHAnsi"/>
              <w:iCs w:val="0"/>
              <w:color w:val="auto"/>
              <w:kern w:val="2"/>
              <w:sz w:val="21"/>
            </w:rPr>
            <w:tab/>
          </w:r>
          <w:r>
            <w:rPr>
              <w:rStyle w:val="28"/>
              <w:rFonts w:hint="eastAsia" w:cs="Times New Roman" w:asciiTheme="majorEastAsia" w:hAnsiTheme="majorEastAsia"/>
              <w:lang w:val="zh-CN"/>
            </w:rPr>
            <w:t>其他注意事项</w:t>
          </w:r>
          <w:r>
            <w:tab/>
          </w:r>
          <w:r>
            <w:fldChar w:fldCharType="begin"/>
          </w:r>
          <w:r>
            <w:instrText xml:space="preserve"> PAGEREF _Toc495861529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"_Toc495861530" </w:instrText>
          </w:r>
          <w:r>
            <w:fldChar w:fldCharType="separate"/>
          </w:r>
          <w:r>
            <w:rPr>
              <w:rStyle w:val="28"/>
              <w:rFonts w:hint="eastAsia" w:cs="Times New Roman" w:asciiTheme="majorEastAsia" w:hAnsiTheme="majorEastAsia"/>
              <w:lang w:val="zh-CN"/>
            </w:rPr>
            <w:t>十一、</w:t>
          </w:r>
          <w:r>
            <w:rPr>
              <w:rFonts w:asciiTheme="minorHAnsi" w:hAnsiTheme="minorHAnsi"/>
              <w:iCs w:val="0"/>
              <w:color w:val="auto"/>
              <w:kern w:val="2"/>
              <w:sz w:val="21"/>
            </w:rPr>
            <w:tab/>
          </w:r>
          <w:r>
            <w:rPr>
              <w:rStyle w:val="28"/>
              <w:rFonts w:hint="eastAsia" w:cs="Times New Roman" w:asciiTheme="majorEastAsia" w:hAnsiTheme="majorEastAsia"/>
              <w:lang w:val="zh-CN"/>
            </w:rPr>
            <w:t>适用法律</w:t>
          </w:r>
          <w:r>
            <w:tab/>
          </w:r>
          <w:r>
            <w:fldChar w:fldCharType="begin"/>
          </w:r>
          <w:r>
            <w:instrText xml:space="preserve"> PAGEREF _Toc495861530 \h </w:instrText>
          </w:r>
          <w:r>
            <w:fldChar w:fldCharType="separate"/>
          </w:r>
          <w:r>
            <w:t>18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"_Toc495861531" </w:instrText>
          </w:r>
          <w:r>
            <w:fldChar w:fldCharType="separate"/>
          </w:r>
          <w:r>
            <w:rPr>
              <w:rStyle w:val="28"/>
              <w:rFonts w:hint="eastAsia" w:cs="Times New Roman" w:asciiTheme="majorEastAsia" w:hAnsiTheme="majorEastAsia"/>
              <w:lang w:val="zh-CN"/>
            </w:rPr>
            <w:t>十二、</w:t>
          </w:r>
          <w:r>
            <w:rPr>
              <w:rFonts w:asciiTheme="minorHAnsi" w:hAnsiTheme="minorHAnsi"/>
              <w:iCs w:val="0"/>
              <w:color w:val="auto"/>
              <w:kern w:val="2"/>
              <w:sz w:val="21"/>
            </w:rPr>
            <w:tab/>
          </w:r>
          <w:r>
            <w:rPr>
              <w:rStyle w:val="28"/>
              <w:rFonts w:hint="eastAsia" w:cs="Times New Roman" w:asciiTheme="majorEastAsia" w:hAnsiTheme="majorEastAsia"/>
              <w:lang w:val="zh-CN"/>
            </w:rPr>
            <w:t>招标文件的解释权</w:t>
          </w:r>
          <w:r>
            <w:tab/>
          </w:r>
          <w:r>
            <w:fldChar w:fldCharType="begin"/>
          </w:r>
          <w:r>
            <w:instrText xml:space="preserve"> PAGEREF _Toc495861531 \h </w:instrText>
          </w:r>
          <w:r>
            <w:fldChar w:fldCharType="separate"/>
          </w:r>
          <w:r>
            <w:t>18</w:t>
          </w:r>
          <w:r>
            <w:fldChar w:fldCharType="end"/>
          </w:r>
          <w:r>
            <w:fldChar w:fldCharType="end"/>
          </w:r>
        </w:p>
        <w:p>
          <w:pPr>
            <w:pStyle w:val="16"/>
            <w:tabs>
              <w:tab w:val="left" w:pos="1260"/>
              <w:tab w:val="right" w:leader="dot" w:pos="9514"/>
            </w:tabs>
            <w:rPr>
              <w:rFonts w:eastAsiaTheme="minorEastAsia"/>
              <w:b w:val="0"/>
              <w:iCs w:val="0"/>
              <w:color w:val="auto"/>
              <w:kern w:val="2"/>
              <w:sz w:val="21"/>
            </w:rPr>
          </w:pPr>
          <w:r>
            <w:fldChar w:fldCharType="begin"/>
          </w:r>
          <w:r>
            <w:instrText xml:space="preserve"> HYPERLINK \l "_Toc495861532" </w:instrText>
          </w:r>
          <w:r>
            <w:fldChar w:fldCharType="separate"/>
          </w:r>
          <w:r>
            <w:rPr>
              <w:rStyle w:val="28"/>
              <w:rFonts w:hint="eastAsia" w:ascii="黑体" w:hAnsi="黑体"/>
            </w:rPr>
            <w:t>第三章</w:t>
          </w:r>
          <w:r>
            <w:rPr>
              <w:rFonts w:eastAsiaTheme="minorEastAsia"/>
              <w:b w:val="0"/>
              <w:iCs w:val="0"/>
              <w:color w:val="auto"/>
              <w:kern w:val="2"/>
              <w:sz w:val="21"/>
            </w:rPr>
            <w:tab/>
          </w:r>
          <w:r>
            <w:rPr>
              <w:rStyle w:val="28"/>
              <w:rFonts w:hint="eastAsia" w:ascii="黑体" w:hAnsi="黑体"/>
            </w:rPr>
            <w:t>项目技术、服务及商务要求</w:t>
          </w:r>
          <w:r>
            <w:tab/>
          </w:r>
          <w:r>
            <w:fldChar w:fldCharType="begin"/>
          </w:r>
          <w:r>
            <w:instrText xml:space="preserve"> PAGEREF _Toc495861532 \h </w:instrText>
          </w:r>
          <w:r>
            <w:fldChar w:fldCharType="separate"/>
          </w:r>
          <w:r>
            <w:t>19</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"_Toc495861533"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采购清单</w:t>
          </w:r>
          <w:r>
            <w:tab/>
          </w:r>
          <w:r>
            <w:rPr>
              <w:rFonts w:hint="eastAsia"/>
              <w:lang w:val="en-US" w:eastAsia="zh-CN"/>
            </w:rPr>
            <w:t>1</w:t>
          </w:r>
          <w:r>
            <w:fldChar w:fldCharType="end"/>
          </w:r>
          <w:r>
            <w:rPr>
              <w:rFonts w:hint="eastAsia"/>
              <w:lang w:val="en-US" w:eastAsia="zh-CN"/>
            </w:rPr>
            <w:t>9</w:t>
          </w:r>
        </w:p>
        <w:p>
          <w:pPr>
            <w:pStyle w:val="17"/>
            <w:rPr>
              <w:rFonts w:asciiTheme="minorHAnsi" w:hAnsiTheme="minorHAnsi"/>
              <w:iCs w:val="0"/>
              <w:color w:val="auto"/>
              <w:kern w:val="2"/>
              <w:sz w:val="21"/>
            </w:rPr>
          </w:pPr>
          <w:r>
            <w:fldChar w:fldCharType="begin"/>
          </w:r>
          <w:r>
            <w:instrText xml:space="preserve"> HYPERLINK \l "_Toc495861536"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技术、服务要求</w:t>
          </w:r>
          <w:r>
            <w:tab/>
          </w:r>
          <w:r>
            <w:rPr>
              <w:rFonts w:hint="eastAsia"/>
              <w:lang w:val="en-US" w:eastAsia="zh-CN"/>
            </w:rPr>
            <w:t>1</w:t>
          </w:r>
          <w:r>
            <w:fldChar w:fldCharType="end"/>
          </w:r>
          <w:r>
            <w:rPr>
              <w:rFonts w:hint="eastAsia"/>
              <w:lang w:val="en-US" w:eastAsia="zh-CN"/>
            </w:rPr>
            <w:t>9</w:t>
          </w:r>
        </w:p>
        <w:p>
          <w:pPr>
            <w:pStyle w:val="17"/>
            <w:rPr>
              <w:rFonts w:asciiTheme="minorHAnsi" w:hAnsiTheme="minorHAnsi"/>
              <w:iCs w:val="0"/>
              <w:color w:val="auto"/>
              <w:kern w:val="2"/>
              <w:sz w:val="21"/>
            </w:rPr>
          </w:pPr>
          <w:r>
            <w:fldChar w:fldCharType="begin"/>
          </w:r>
          <w:r>
            <w:instrText xml:space="preserve"> HYPERLINK \l "_Toc495861537"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商务要求</w:t>
          </w:r>
          <w:r>
            <w:tab/>
          </w:r>
          <w:r>
            <w:rPr>
              <w:rFonts w:hint="eastAsia"/>
              <w:lang w:val="en-US" w:eastAsia="zh-CN"/>
            </w:rPr>
            <w:t>1</w:t>
          </w:r>
          <w:r>
            <w:fldChar w:fldCharType="end"/>
          </w:r>
          <w:r>
            <w:rPr>
              <w:rFonts w:hint="eastAsia"/>
              <w:lang w:val="en-US" w:eastAsia="zh-CN"/>
            </w:rPr>
            <w:t>9</w:t>
          </w:r>
        </w:p>
        <w:p>
          <w:pPr>
            <w:pStyle w:val="16"/>
            <w:tabs>
              <w:tab w:val="left" w:pos="1260"/>
              <w:tab w:val="right" w:leader="dot" w:pos="9514"/>
            </w:tabs>
            <w:rPr>
              <w:rFonts w:eastAsiaTheme="minorEastAsia"/>
              <w:b w:val="0"/>
              <w:iCs w:val="0"/>
              <w:color w:val="auto"/>
              <w:kern w:val="2"/>
              <w:sz w:val="21"/>
            </w:rPr>
          </w:pPr>
          <w:r>
            <w:fldChar w:fldCharType="begin"/>
          </w:r>
          <w:r>
            <w:instrText xml:space="preserve"> HYPERLINK \l "_Toc495861538" </w:instrText>
          </w:r>
          <w:r>
            <w:fldChar w:fldCharType="separate"/>
          </w:r>
          <w:r>
            <w:rPr>
              <w:rStyle w:val="28"/>
              <w:rFonts w:hint="eastAsia" w:ascii="黑体" w:hAnsi="黑体"/>
            </w:rPr>
            <w:t>第四章</w:t>
          </w:r>
          <w:r>
            <w:rPr>
              <w:rFonts w:eastAsiaTheme="minorEastAsia"/>
              <w:b w:val="0"/>
              <w:iCs w:val="0"/>
              <w:color w:val="auto"/>
              <w:kern w:val="2"/>
              <w:sz w:val="21"/>
            </w:rPr>
            <w:tab/>
          </w:r>
          <w:r>
            <w:rPr>
              <w:rStyle w:val="28"/>
              <w:rFonts w:hint="eastAsia" w:ascii="黑体" w:hAnsi="黑体"/>
            </w:rPr>
            <w:t>资格审查方法及标准</w:t>
          </w:r>
          <w:r>
            <w:tab/>
          </w:r>
          <w:r>
            <w:fldChar w:fldCharType="begin"/>
          </w:r>
          <w:r>
            <w:instrText xml:space="preserve"> PAGEREF _Toc495861538 \h </w:instrText>
          </w:r>
          <w:r>
            <w:fldChar w:fldCharType="separate"/>
          </w:r>
          <w:r>
            <w:t>24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"_Toc495861539"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资格审查方法</w:t>
          </w:r>
          <w:r>
            <w:tab/>
          </w:r>
          <w:r>
            <w:rPr>
              <w:rFonts w:hint="eastAsia"/>
              <w:lang w:val="en-US" w:eastAsia="zh-CN"/>
            </w:rPr>
            <w:t>2</w:t>
          </w:r>
          <w:r>
            <w:fldChar w:fldCharType="end"/>
          </w:r>
          <w:r>
            <w:rPr>
              <w:rFonts w:hint="eastAsia"/>
              <w:lang w:val="en-US" w:eastAsia="zh-CN"/>
            </w:rPr>
            <w:t>6</w:t>
          </w:r>
        </w:p>
        <w:p>
          <w:pPr>
            <w:pStyle w:val="17"/>
            <w:rPr>
              <w:rFonts w:asciiTheme="minorHAnsi" w:hAnsiTheme="minorHAnsi"/>
              <w:iCs w:val="0"/>
              <w:color w:val="auto"/>
              <w:kern w:val="2"/>
              <w:sz w:val="21"/>
            </w:rPr>
          </w:pPr>
          <w:r>
            <w:fldChar w:fldCharType="begin"/>
          </w:r>
          <w:r>
            <w:instrText xml:space="preserve"> HYPERLINK \l "_Toc495861540"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资格审查标准</w:t>
          </w:r>
          <w:r>
            <w:tab/>
          </w:r>
          <w:r>
            <w:rPr>
              <w:rFonts w:hint="eastAsia"/>
              <w:lang w:val="en-US" w:eastAsia="zh-CN"/>
            </w:rPr>
            <w:t>2</w:t>
          </w:r>
          <w:r>
            <w:fldChar w:fldCharType="end"/>
          </w:r>
          <w:r>
            <w:rPr>
              <w:rFonts w:hint="eastAsia"/>
              <w:lang w:val="en-US" w:eastAsia="zh-CN"/>
            </w:rPr>
            <w:t>6</w:t>
          </w:r>
        </w:p>
        <w:p>
          <w:pPr>
            <w:pStyle w:val="16"/>
            <w:tabs>
              <w:tab w:val="left" w:pos="1260"/>
              <w:tab w:val="right" w:leader="dot" w:pos="9514"/>
            </w:tabs>
            <w:rPr>
              <w:rFonts w:eastAsiaTheme="minorEastAsia"/>
              <w:b w:val="0"/>
              <w:iCs w:val="0"/>
              <w:color w:val="auto"/>
              <w:kern w:val="2"/>
              <w:sz w:val="21"/>
            </w:rPr>
          </w:pPr>
          <w:r>
            <w:fldChar w:fldCharType="begin"/>
          </w:r>
          <w:r>
            <w:instrText xml:space="preserve"> HYPERLINK \l "_Toc495861541" </w:instrText>
          </w:r>
          <w:r>
            <w:fldChar w:fldCharType="separate"/>
          </w:r>
          <w:r>
            <w:rPr>
              <w:rStyle w:val="28"/>
              <w:rFonts w:hint="eastAsia" w:ascii="黑体" w:hAnsi="黑体"/>
            </w:rPr>
            <w:t>第五章</w:t>
          </w:r>
          <w:r>
            <w:rPr>
              <w:rFonts w:eastAsiaTheme="minorEastAsia"/>
              <w:b w:val="0"/>
              <w:iCs w:val="0"/>
              <w:color w:val="auto"/>
              <w:kern w:val="2"/>
              <w:sz w:val="21"/>
            </w:rPr>
            <w:tab/>
          </w:r>
          <w:r>
            <w:rPr>
              <w:rStyle w:val="28"/>
              <w:rFonts w:hint="eastAsia" w:ascii="黑体" w:hAnsi="黑体"/>
            </w:rPr>
            <w:t>评标方法、程序及标准</w:t>
          </w:r>
          <w:r>
            <w:tab/>
          </w:r>
          <w:r>
            <w:fldChar w:fldCharType="begin"/>
          </w:r>
          <w:r>
            <w:instrText xml:space="preserve"> PAGEREF _Toc495861541 \h </w:instrText>
          </w:r>
          <w:r>
            <w:fldChar w:fldCharType="separate"/>
          </w:r>
          <w:r>
            <w:t>24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"_Toc495861542" </w:instrText>
          </w:r>
          <w:r>
            <w:fldChar w:fldCharType="separate"/>
          </w:r>
          <w:r>
            <w:rPr>
              <w:rStyle w:val="28"/>
              <w:rFonts w:hint="eastAsia" w:cs="Times New Roman" w:asciiTheme="majorEastAsia" w:hAnsiTheme="majorEastAsia"/>
              <w:lang w:val="zh-CN"/>
            </w:rPr>
            <w:t>一、</w:t>
          </w:r>
          <w:r>
            <w:rPr>
              <w:rFonts w:asciiTheme="minorHAnsi" w:hAnsiTheme="minorHAnsi"/>
              <w:iCs w:val="0"/>
              <w:color w:val="auto"/>
              <w:kern w:val="2"/>
              <w:sz w:val="21"/>
            </w:rPr>
            <w:tab/>
          </w:r>
          <w:r>
            <w:rPr>
              <w:rStyle w:val="28"/>
              <w:rFonts w:hint="eastAsia" w:cs="Times New Roman" w:asciiTheme="majorEastAsia" w:hAnsiTheme="majorEastAsia"/>
              <w:lang w:val="zh-CN"/>
            </w:rPr>
            <w:t>评标方法</w:t>
          </w:r>
          <w:r>
            <w:tab/>
          </w:r>
          <w:r>
            <w:fldChar w:fldCharType="begin"/>
          </w:r>
          <w:r>
            <w:instrText xml:space="preserve"> PAGEREF _Toc495861542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"_Toc495861543" </w:instrText>
          </w:r>
          <w:r>
            <w:fldChar w:fldCharType="separate"/>
          </w:r>
          <w:r>
            <w:rPr>
              <w:rStyle w:val="28"/>
              <w:rFonts w:hint="eastAsia" w:cs="Times New Roman" w:asciiTheme="majorEastAsia" w:hAnsiTheme="majorEastAsia"/>
              <w:lang w:val="zh-CN"/>
            </w:rPr>
            <w:t>二、</w:t>
          </w:r>
          <w:r>
            <w:rPr>
              <w:rFonts w:asciiTheme="minorHAnsi" w:hAnsiTheme="minorHAnsi"/>
              <w:iCs w:val="0"/>
              <w:color w:val="auto"/>
              <w:kern w:val="2"/>
              <w:sz w:val="21"/>
            </w:rPr>
            <w:tab/>
          </w:r>
          <w:r>
            <w:rPr>
              <w:rStyle w:val="28"/>
              <w:rFonts w:hint="eastAsia" w:cs="Times New Roman" w:asciiTheme="majorEastAsia" w:hAnsiTheme="majorEastAsia"/>
              <w:lang w:val="zh-CN"/>
            </w:rPr>
            <w:t>评标程序及标准</w:t>
          </w:r>
          <w:r>
            <w:tab/>
          </w:r>
          <w:r>
            <w:fldChar w:fldCharType="begin"/>
          </w:r>
          <w:r>
            <w:instrText xml:space="preserve"> PAGEREF _Toc495861543 \h </w:instrText>
          </w:r>
          <w:r>
            <w:fldChar w:fldCharType="separate"/>
          </w:r>
          <w:r>
            <w:t>27</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"_Toc495861544" </w:instrText>
          </w:r>
          <w:r>
            <w:fldChar w:fldCharType="separate"/>
          </w:r>
          <w:r>
            <w:rPr>
              <w:rStyle w:val="28"/>
              <w:rFonts w:hint="eastAsia" w:cs="Times New Roman" w:asciiTheme="majorEastAsia" w:hAnsiTheme="majorEastAsia"/>
              <w:lang w:val="zh-CN"/>
            </w:rPr>
            <w:t>三、</w:t>
          </w:r>
          <w:r>
            <w:rPr>
              <w:rFonts w:asciiTheme="minorHAnsi" w:hAnsiTheme="minorHAnsi"/>
              <w:iCs w:val="0"/>
              <w:color w:val="auto"/>
              <w:kern w:val="2"/>
              <w:sz w:val="21"/>
            </w:rPr>
            <w:tab/>
          </w:r>
          <w:r>
            <w:rPr>
              <w:rStyle w:val="28"/>
              <w:rFonts w:hint="eastAsia" w:cs="Times New Roman" w:asciiTheme="majorEastAsia" w:hAnsiTheme="majorEastAsia"/>
              <w:lang w:val="zh-CN"/>
            </w:rPr>
            <w:t>评审因素及评分标准</w:t>
          </w:r>
          <w:r>
            <w:tab/>
          </w:r>
          <w:r>
            <w:fldChar w:fldCharType="begin"/>
          </w:r>
          <w:r>
            <w:instrText xml:space="preserve"> PAGEREF _Toc495861544 \h </w:instrText>
          </w:r>
          <w:r>
            <w:fldChar w:fldCharType="separate"/>
          </w:r>
          <w:r>
            <w:t>31</w:t>
          </w:r>
          <w:r>
            <w:fldChar w:fldCharType="end"/>
          </w:r>
          <w:r>
            <w:fldChar w:fldCharType="end"/>
          </w:r>
        </w:p>
        <w:p>
          <w:pPr>
            <w:pStyle w:val="16"/>
            <w:tabs>
              <w:tab w:val="left" w:pos="1260"/>
              <w:tab w:val="right" w:leader="dot" w:pos="9514"/>
            </w:tabs>
            <w:rPr>
              <w:rFonts w:eastAsiaTheme="minorEastAsia"/>
              <w:b w:val="0"/>
              <w:iCs w:val="0"/>
              <w:color w:val="auto"/>
              <w:kern w:val="2"/>
              <w:sz w:val="21"/>
            </w:rPr>
          </w:pPr>
          <w:r>
            <w:fldChar w:fldCharType="begin"/>
          </w:r>
          <w:r>
            <w:instrText xml:space="preserve"> HYPERLINK \l "_Toc495861545" </w:instrText>
          </w:r>
          <w:r>
            <w:fldChar w:fldCharType="separate"/>
          </w:r>
          <w:r>
            <w:rPr>
              <w:rStyle w:val="28"/>
              <w:rFonts w:hint="eastAsia" w:ascii="黑体" w:hAnsi="黑体"/>
            </w:rPr>
            <w:t>第六章</w:t>
          </w:r>
          <w:r>
            <w:rPr>
              <w:rFonts w:eastAsiaTheme="minorEastAsia"/>
              <w:b w:val="0"/>
              <w:iCs w:val="0"/>
              <w:color w:val="auto"/>
              <w:kern w:val="2"/>
              <w:sz w:val="21"/>
            </w:rPr>
            <w:tab/>
          </w:r>
          <w:r>
            <w:rPr>
              <w:rStyle w:val="28"/>
              <w:rFonts w:hint="eastAsia" w:ascii="黑体" w:hAnsi="黑体"/>
            </w:rPr>
            <w:t>合同书格式（参考）</w:t>
          </w:r>
          <w:r>
            <w:tab/>
          </w:r>
          <w:r>
            <w:fldChar w:fldCharType="begin"/>
          </w:r>
          <w:r>
            <w:instrText xml:space="preserve"> PAGEREF _Toc495861545 \h </w:instrText>
          </w:r>
          <w:r>
            <w:fldChar w:fldCharType="separate"/>
          </w:r>
          <w:r>
            <w:t>32</w:t>
          </w:r>
          <w:r>
            <w:fldChar w:fldCharType="end"/>
          </w:r>
          <w:r>
            <w:fldChar w:fldCharType="end"/>
          </w:r>
        </w:p>
        <w:p>
          <w:pPr>
            <w:pStyle w:val="16"/>
            <w:tabs>
              <w:tab w:val="left" w:pos="1260"/>
              <w:tab w:val="right" w:leader="dot" w:pos="9514"/>
            </w:tabs>
            <w:rPr>
              <w:rFonts w:eastAsiaTheme="minorEastAsia"/>
              <w:b w:val="0"/>
              <w:iCs w:val="0"/>
              <w:color w:val="auto"/>
              <w:kern w:val="2"/>
              <w:sz w:val="21"/>
            </w:rPr>
          </w:pPr>
          <w:r>
            <w:fldChar w:fldCharType="begin"/>
          </w:r>
          <w:r>
            <w:instrText xml:space="preserve"> HYPERLINK \l "_Toc495861546" </w:instrText>
          </w:r>
          <w:r>
            <w:fldChar w:fldCharType="separate"/>
          </w:r>
          <w:r>
            <w:rPr>
              <w:rStyle w:val="28"/>
              <w:rFonts w:hint="eastAsia" w:ascii="黑体" w:hAnsi="黑体"/>
            </w:rPr>
            <w:t>第七章</w:t>
          </w:r>
          <w:r>
            <w:rPr>
              <w:rFonts w:eastAsiaTheme="minorEastAsia"/>
              <w:b w:val="0"/>
              <w:iCs w:val="0"/>
              <w:color w:val="auto"/>
              <w:kern w:val="2"/>
              <w:sz w:val="21"/>
            </w:rPr>
            <w:tab/>
          </w:r>
          <w:r>
            <w:rPr>
              <w:rStyle w:val="28"/>
              <w:rFonts w:hint="eastAsia" w:ascii="黑体" w:hAnsi="黑体"/>
            </w:rPr>
            <w:t>投标文件格式（参考）</w:t>
          </w:r>
          <w:r>
            <w:tab/>
          </w:r>
          <w:r>
            <w:fldChar w:fldCharType="begin"/>
          </w:r>
          <w:r>
            <w:instrText xml:space="preserve"> PAGEREF _Toc495861546 \h </w:instrText>
          </w:r>
          <w:r>
            <w:fldChar w:fldCharType="separate"/>
          </w:r>
          <w:r>
            <w:t>34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"_Toc495861547" </w:instrText>
          </w:r>
          <w:r>
            <w:fldChar w:fldCharType="separate"/>
          </w:r>
          <w:r>
            <w:rPr>
              <w:rStyle w:val="28"/>
              <w:rFonts w:hint="eastAsia" w:cs="Times New Roman" w:asciiTheme="majorEastAsia" w:hAnsiTheme="majorEastAsia"/>
              <w:lang w:val="zh-CN"/>
            </w:rPr>
            <w:t>第一部分资格证明文件</w:t>
          </w:r>
          <w:r>
            <w:tab/>
          </w:r>
          <w:r>
            <w:fldChar w:fldCharType="begin"/>
          </w:r>
          <w:r>
            <w:instrText xml:space="preserve"> PAGEREF _Toc495861547 \h </w:instrText>
          </w:r>
          <w:r>
            <w:fldChar w:fldCharType="separate"/>
          </w:r>
          <w:r>
            <w:t>34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"_Toc495861548" </w:instrText>
          </w:r>
          <w:r>
            <w:fldChar w:fldCharType="separate"/>
          </w:r>
          <w:r>
            <w:rPr>
              <w:rStyle w:val="28"/>
              <w:rFonts w:hint="eastAsia" w:cs="Times New Roman" w:asciiTheme="majorEastAsia" w:hAnsiTheme="majorEastAsia"/>
              <w:lang w:val="zh-CN"/>
            </w:rPr>
            <w:t>第二部分商务文件</w:t>
          </w:r>
          <w:r>
            <w:tab/>
          </w:r>
          <w:r>
            <w:fldChar w:fldCharType="begin"/>
          </w:r>
          <w:r>
            <w:instrText xml:space="preserve"> PAGEREF _Toc495861548 \h </w:instrText>
          </w:r>
          <w:r>
            <w:fldChar w:fldCharType="separate"/>
          </w:r>
          <w:r>
            <w:t>36</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"_Toc495861549" </w:instrText>
          </w:r>
          <w:r>
            <w:fldChar w:fldCharType="separate"/>
          </w:r>
          <w:r>
            <w:rPr>
              <w:rStyle w:val="28"/>
              <w:rFonts w:hint="eastAsia" w:cs="Times New Roman" w:asciiTheme="majorEastAsia" w:hAnsiTheme="majorEastAsia"/>
              <w:lang w:val="zh-CN"/>
            </w:rPr>
            <w:t>第三部分技术、服务文件</w:t>
          </w:r>
          <w:r>
            <w:tab/>
          </w:r>
          <w:r>
            <w:fldChar w:fldCharType="begin"/>
          </w:r>
          <w:r>
            <w:instrText xml:space="preserve"> PAGEREF _Toc495861549 \h </w:instrText>
          </w:r>
          <w:r>
            <w:fldChar w:fldCharType="separate"/>
          </w:r>
          <w:r>
            <w:t>38</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"_Toc495861550" </w:instrText>
          </w:r>
          <w:r>
            <w:fldChar w:fldCharType="separate"/>
          </w:r>
          <w:r>
            <w:rPr>
              <w:rStyle w:val="28"/>
              <w:rFonts w:hint="eastAsia" w:eastAsia="宋体"/>
            </w:rPr>
            <w:t>附件一、</w:t>
          </w:r>
          <w:r>
            <w:rPr>
              <w:rFonts w:asciiTheme="minorHAnsi" w:hAnsiTheme="minorHAnsi"/>
              <w:iCs w:val="0"/>
              <w:color w:val="auto"/>
              <w:kern w:val="2"/>
              <w:sz w:val="21"/>
            </w:rPr>
            <w:tab/>
          </w:r>
          <w:r>
            <w:rPr>
              <w:rStyle w:val="28"/>
              <w:rFonts w:hint="eastAsia" w:eastAsia="宋体"/>
            </w:rPr>
            <w:t>投标书</w:t>
          </w:r>
          <w:r>
            <w:tab/>
          </w:r>
          <w:r>
            <w:fldChar w:fldCharType="begin"/>
          </w:r>
          <w:r>
            <w:instrText xml:space="preserve"> PAGEREF _Toc495861550 \h </w:instrText>
          </w:r>
          <w:r>
            <w:fldChar w:fldCharType="separate"/>
          </w:r>
          <w:r>
            <w:t>40</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"_Toc495861551" </w:instrText>
          </w:r>
          <w:r>
            <w:fldChar w:fldCharType="separate"/>
          </w:r>
          <w:r>
            <w:rPr>
              <w:rStyle w:val="28"/>
              <w:rFonts w:hint="eastAsia" w:eastAsia="宋体"/>
            </w:rPr>
            <w:t>附件二、</w:t>
          </w:r>
          <w:r>
            <w:rPr>
              <w:rFonts w:asciiTheme="minorHAnsi" w:hAnsiTheme="minorHAnsi"/>
              <w:iCs w:val="0"/>
              <w:color w:val="auto"/>
              <w:kern w:val="2"/>
              <w:sz w:val="21"/>
            </w:rPr>
            <w:tab/>
          </w:r>
          <w:r>
            <w:rPr>
              <w:rStyle w:val="28"/>
              <w:rFonts w:hint="eastAsia" w:eastAsia="宋体"/>
            </w:rPr>
            <w:t>制造商中小企业声明函</w:t>
          </w:r>
          <w:r>
            <w:tab/>
          </w:r>
          <w:r>
            <w:fldChar w:fldCharType="begin"/>
          </w:r>
          <w:r>
            <w:instrText xml:space="preserve"> PAGEREF _Toc495861551 \h </w:instrText>
          </w:r>
          <w:r>
            <w:fldChar w:fldCharType="separate"/>
          </w:r>
          <w:r>
            <w:t>41</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"_Toc495861552" </w:instrText>
          </w:r>
          <w:r>
            <w:fldChar w:fldCharType="separate"/>
          </w:r>
          <w:r>
            <w:rPr>
              <w:rStyle w:val="28"/>
              <w:rFonts w:hint="eastAsia" w:eastAsia="宋体"/>
            </w:rPr>
            <w:t>附件三、</w:t>
          </w:r>
          <w:r>
            <w:rPr>
              <w:rFonts w:asciiTheme="minorHAnsi" w:hAnsiTheme="minorHAnsi"/>
              <w:iCs w:val="0"/>
              <w:color w:val="auto"/>
              <w:kern w:val="2"/>
              <w:sz w:val="21"/>
            </w:rPr>
            <w:tab/>
          </w:r>
          <w:r>
            <w:rPr>
              <w:rStyle w:val="28"/>
              <w:rFonts w:hint="eastAsia" w:eastAsia="宋体"/>
            </w:rPr>
            <w:t>中小企业声明函</w:t>
          </w:r>
          <w:r>
            <w:tab/>
          </w:r>
          <w:r>
            <w:fldChar w:fldCharType="begin"/>
          </w:r>
          <w:r>
            <w:instrText xml:space="preserve"> PAGEREF _Toc495861552 \h </w:instrText>
          </w:r>
          <w:r>
            <w:fldChar w:fldCharType="separate"/>
          </w:r>
          <w:r>
            <w:t>42</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"_Toc495861553" </w:instrText>
          </w:r>
          <w:r>
            <w:fldChar w:fldCharType="separate"/>
          </w:r>
          <w:r>
            <w:rPr>
              <w:rStyle w:val="28"/>
              <w:rFonts w:hint="eastAsia" w:eastAsia="宋体"/>
            </w:rPr>
            <w:t>附件四、</w:t>
          </w:r>
          <w:r>
            <w:rPr>
              <w:rFonts w:asciiTheme="minorHAnsi" w:hAnsiTheme="minorHAnsi"/>
              <w:iCs w:val="0"/>
              <w:color w:val="auto"/>
              <w:kern w:val="2"/>
              <w:sz w:val="21"/>
            </w:rPr>
            <w:tab/>
          </w:r>
          <w:r>
            <w:rPr>
              <w:rStyle w:val="28"/>
              <w:rFonts w:hint="eastAsia" w:eastAsia="宋体"/>
            </w:rPr>
            <w:t>残疾人福利性单位声明函</w:t>
          </w:r>
          <w:r>
            <w:tab/>
          </w:r>
          <w:r>
            <w:fldChar w:fldCharType="begin"/>
          </w:r>
          <w:r>
            <w:instrText xml:space="preserve"> PAGEREF _Toc495861553 \h </w:instrText>
          </w:r>
          <w:r>
            <w:fldChar w:fldCharType="separate"/>
          </w:r>
          <w:r>
            <w:t>44</w:t>
          </w:r>
          <w:r>
            <w:fldChar w:fldCharType="end"/>
          </w:r>
          <w:r>
            <w:fldChar w:fldCharType="end"/>
          </w:r>
        </w:p>
        <w:p>
          <w:pPr>
            <w:pStyle w:val="17"/>
            <w:rPr>
              <w:rFonts w:asciiTheme="minorHAnsi" w:hAnsiTheme="minorHAnsi"/>
              <w:iCs w:val="0"/>
              <w:color w:val="auto"/>
              <w:kern w:val="2"/>
              <w:sz w:val="21"/>
            </w:rPr>
          </w:pPr>
          <w:r>
            <w:fldChar w:fldCharType="begin"/>
          </w:r>
          <w:r>
            <w:instrText xml:space="preserve"> HYPERLINK \l "_Toc495861554" </w:instrText>
          </w:r>
          <w:r>
            <w:fldChar w:fldCharType="separate"/>
          </w:r>
          <w:r>
            <w:rPr>
              <w:rStyle w:val="28"/>
              <w:rFonts w:hint="eastAsia" w:eastAsia="宋体"/>
            </w:rPr>
            <w:t>附件五、</w:t>
          </w:r>
          <w:r>
            <w:rPr>
              <w:rFonts w:asciiTheme="minorHAnsi" w:hAnsiTheme="minorHAnsi"/>
              <w:iCs w:val="0"/>
              <w:color w:val="auto"/>
              <w:kern w:val="2"/>
              <w:sz w:val="21"/>
            </w:rPr>
            <w:tab/>
          </w:r>
          <w:r>
            <w:rPr>
              <w:rStyle w:val="28"/>
              <w:rFonts w:hint="eastAsia" w:eastAsia="宋体"/>
            </w:rPr>
            <w:t>开标一览表</w:t>
          </w:r>
          <w:r>
            <w:tab/>
          </w:r>
          <w:r>
            <w:rPr>
              <w:rFonts w:hint="eastAsia"/>
              <w:lang w:val="en-US" w:eastAsia="zh-CN"/>
            </w:rPr>
            <w:t>4</w:t>
          </w:r>
          <w:r>
            <w:fldChar w:fldCharType="end"/>
          </w:r>
          <w:r>
            <w:rPr>
              <w:rFonts w:hint="eastAsia"/>
              <w:lang w:val="en-US" w:eastAsia="zh-CN"/>
            </w:rPr>
            <w:t>7</w:t>
          </w:r>
        </w:p>
        <w:p>
          <w:pPr>
            <w:pStyle w:val="17"/>
            <w:rPr>
              <w:rFonts w:asciiTheme="minorHAnsi" w:hAnsiTheme="minorHAnsi"/>
              <w:iCs w:val="0"/>
              <w:color w:val="auto"/>
              <w:kern w:val="2"/>
              <w:sz w:val="21"/>
            </w:rPr>
          </w:pPr>
          <w:r>
            <w:fldChar w:fldCharType="begin"/>
          </w:r>
          <w:r>
            <w:instrText xml:space="preserve"> HYPERLINK \l "_Toc495861555" </w:instrText>
          </w:r>
          <w:r>
            <w:fldChar w:fldCharType="separate"/>
          </w:r>
          <w:r>
            <w:rPr>
              <w:rStyle w:val="28"/>
              <w:rFonts w:hint="eastAsia" w:eastAsia="宋体"/>
            </w:rPr>
            <w:t>附件六、</w:t>
          </w:r>
          <w:r>
            <w:rPr>
              <w:rFonts w:asciiTheme="minorHAnsi" w:hAnsiTheme="minorHAnsi"/>
              <w:iCs w:val="0"/>
              <w:color w:val="auto"/>
              <w:kern w:val="2"/>
              <w:sz w:val="21"/>
            </w:rPr>
            <w:tab/>
          </w:r>
          <w:r>
            <w:rPr>
              <w:rStyle w:val="28"/>
              <w:rFonts w:hint="eastAsia" w:eastAsia="宋体"/>
            </w:rPr>
            <w:t>投标报价明细表</w:t>
          </w:r>
          <w:r>
            <w:tab/>
          </w:r>
          <w:r>
            <w:rPr>
              <w:rFonts w:hint="eastAsia"/>
              <w:lang w:val="en-US" w:eastAsia="zh-CN"/>
            </w:rPr>
            <w:t>4</w:t>
          </w:r>
          <w:r>
            <w:fldChar w:fldCharType="end"/>
          </w:r>
          <w:r>
            <w:rPr>
              <w:rFonts w:hint="eastAsia"/>
              <w:lang w:val="en-US" w:eastAsia="zh-CN"/>
            </w:rPr>
            <w:t>8</w:t>
          </w:r>
        </w:p>
        <w:p>
          <w:pPr>
            <w:pStyle w:val="17"/>
            <w:rPr>
              <w:rFonts w:asciiTheme="minorHAnsi" w:hAnsiTheme="minorHAnsi"/>
              <w:iCs w:val="0"/>
              <w:color w:val="auto"/>
              <w:kern w:val="2"/>
              <w:sz w:val="21"/>
            </w:rPr>
          </w:pPr>
          <w:r>
            <w:fldChar w:fldCharType="begin"/>
          </w:r>
          <w:r>
            <w:instrText xml:space="preserve"> HYPERLINK \l "_Toc495861556" </w:instrText>
          </w:r>
          <w:r>
            <w:fldChar w:fldCharType="separate"/>
          </w:r>
          <w:r>
            <w:rPr>
              <w:rStyle w:val="28"/>
              <w:rFonts w:hint="eastAsia" w:eastAsia="宋体"/>
            </w:rPr>
            <w:t>附件七、</w:t>
          </w:r>
          <w:r>
            <w:rPr>
              <w:rFonts w:asciiTheme="minorHAnsi" w:hAnsiTheme="minorHAnsi"/>
              <w:iCs w:val="0"/>
              <w:color w:val="auto"/>
              <w:kern w:val="2"/>
              <w:sz w:val="21"/>
            </w:rPr>
            <w:tab/>
          </w:r>
          <w:r>
            <w:rPr>
              <w:rStyle w:val="28"/>
              <w:rFonts w:hint="eastAsia" w:eastAsia="宋体"/>
            </w:rPr>
            <w:t>小型和微型企业、监狱企业、残疾人福利性单位货物汇总表</w:t>
          </w:r>
          <w:r>
            <w:tab/>
          </w:r>
          <w:r>
            <w:rPr>
              <w:rFonts w:hint="eastAsia"/>
              <w:lang w:val="en-US" w:eastAsia="zh-CN"/>
            </w:rPr>
            <w:t>4</w:t>
          </w:r>
          <w:r>
            <w:fldChar w:fldCharType="end"/>
          </w:r>
          <w:r>
            <w:rPr>
              <w:rFonts w:hint="eastAsia"/>
              <w:lang w:val="en-US" w:eastAsia="zh-CN"/>
            </w:rPr>
            <w:t>9</w:t>
          </w:r>
        </w:p>
        <w:p>
          <w:pPr>
            <w:pStyle w:val="17"/>
            <w:rPr>
              <w:rFonts w:asciiTheme="minorHAnsi" w:hAnsiTheme="minorHAnsi"/>
              <w:iCs w:val="0"/>
              <w:color w:val="auto"/>
              <w:kern w:val="2"/>
              <w:sz w:val="21"/>
            </w:rPr>
          </w:pPr>
          <w:r>
            <w:fldChar w:fldCharType="begin"/>
          </w:r>
          <w:r>
            <w:instrText xml:space="preserve"> HYPERLINK \l "_Toc495861557" </w:instrText>
          </w:r>
          <w:r>
            <w:fldChar w:fldCharType="separate"/>
          </w:r>
          <w:r>
            <w:rPr>
              <w:rStyle w:val="28"/>
              <w:rFonts w:hint="eastAsia" w:eastAsia="宋体"/>
            </w:rPr>
            <w:t>附件八、</w:t>
          </w:r>
          <w:r>
            <w:rPr>
              <w:rFonts w:asciiTheme="minorHAnsi" w:hAnsiTheme="minorHAnsi"/>
              <w:iCs w:val="0"/>
              <w:color w:val="auto"/>
              <w:kern w:val="2"/>
              <w:sz w:val="21"/>
            </w:rPr>
            <w:tab/>
          </w:r>
          <w:r>
            <w:rPr>
              <w:rStyle w:val="28"/>
              <w:rFonts w:hint="eastAsia" w:eastAsia="宋体"/>
            </w:rPr>
            <w:t>投标货物（工程或服务）清单</w:t>
          </w:r>
          <w:r>
            <w:tab/>
          </w:r>
          <w:r>
            <w:rPr>
              <w:rFonts w:hint="eastAsia"/>
              <w:lang w:val="en-US" w:eastAsia="zh-CN"/>
            </w:rPr>
            <w:t>5</w:t>
          </w:r>
          <w:r>
            <w:fldChar w:fldCharType="end"/>
          </w:r>
          <w:r>
            <w:rPr>
              <w:rFonts w:hint="eastAsia"/>
              <w:lang w:val="en-US" w:eastAsia="zh-CN"/>
            </w:rPr>
            <w:t>0</w:t>
          </w:r>
        </w:p>
        <w:p>
          <w:pPr>
            <w:pStyle w:val="17"/>
            <w:rPr>
              <w:rFonts w:asciiTheme="minorHAnsi" w:hAnsiTheme="minorHAnsi"/>
              <w:iCs w:val="0"/>
              <w:color w:val="auto"/>
              <w:kern w:val="2"/>
              <w:sz w:val="21"/>
            </w:rPr>
          </w:pPr>
          <w:r>
            <w:fldChar w:fldCharType="begin"/>
          </w:r>
          <w:r>
            <w:instrText xml:space="preserve"> HYPERLINK \l "_Toc495861558" </w:instrText>
          </w:r>
          <w:r>
            <w:fldChar w:fldCharType="separate"/>
          </w:r>
          <w:r>
            <w:rPr>
              <w:rStyle w:val="28"/>
              <w:rFonts w:hint="eastAsia" w:eastAsia="宋体"/>
            </w:rPr>
            <w:t>附件九、</w:t>
          </w:r>
          <w:r>
            <w:rPr>
              <w:rFonts w:asciiTheme="minorHAnsi" w:hAnsiTheme="minorHAnsi"/>
              <w:iCs w:val="0"/>
              <w:color w:val="auto"/>
              <w:kern w:val="2"/>
              <w:sz w:val="21"/>
            </w:rPr>
            <w:tab/>
          </w:r>
          <w:r>
            <w:rPr>
              <w:rStyle w:val="28"/>
              <w:rFonts w:hint="eastAsia" w:eastAsia="宋体"/>
            </w:rPr>
            <w:t>交纳投标保证金的银行凭证</w:t>
          </w:r>
          <w:r>
            <w:tab/>
          </w:r>
          <w:r>
            <w:rPr>
              <w:rFonts w:hint="eastAsia"/>
              <w:lang w:val="en-US" w:eastAsia="zh-CN"/>
            </w:rPr>
            <w:t>5</w:t>
          </w:r>
          <w:r>
            <w:fldChar w:fldCharType="end"/>
          </w:r>
          <w:r>
            <w:rPr>
              <w:rFonts w:hint="eastAsia"/>
              <w:lang w:val="en-US" w:eastAsia="zh-CN"/>
            </w:rPr>
            <w:t>1</w:t>
          </w:r>
        </w:p>
        <w:p>
          <w:pPr>
            <w:pStyle w:val="17"/>
            <w:rPr>
              <w:rFonts w:asciiTheme="minorHAnsi" w:hAnsiTheme="minorHAnsi"/>
              <w:iCs w:val="0"/>
              <w:color w:val="auto"/>
              <w:kern w:val="2"/>
              <w:sz w:val="21"/>
            </w:rPr>
          </w:pPr>
          <w:r>
            <w:fldChar w:fldCharType="begin"/>
          </w:r>
          <w:r>
            <w:instrText xml:space="preserve"> HYPERLINK \l "_Toc495861559" </w:instrText>
          </w:r>
          <w:r>
            <w:fldChar w:fldCharType="separate"/>
          </w:r>
          <w:r>
            <w:rPr>
              <w:rStyle w:val="28"/>
              <w:rFonts w:hint="eastAsia" w:eastAsia="宋体"/>
            </w:rPr>
            <w:t>附件十、</w:t>
          </w:r>
          <w:r>
            <w:rPr>
              <w:rFonts w:asciiTheme="minorHAnsi" w:hAnsiTheme="minorHAnsi"/>
              <w:iCs w:val="0"/>
              <w:color w:val="auto"/>
              <w:kern w:val="2"/>
              <w:sz w:val="21"/>
            </w:rPr>
            <w:tab/>
          </w:r>
          <w:r>
            <w:rPr>
              <w:rStyle w:val="28"/>
              <w:rFonts w:hint="eastAsia" w:eastAsia="宋体"/>
            </w:rPr>
            <w:t>法定代表人授权书</w:t>
          </w:r>
          <w:r>
            <w:tab/>
          </w:r>
          <w:r>
            <w:rPr>
              <w:rFonts w:hint="eastAsia"/>
              <w:lang w:val="en-US" w:eastAsia="zh-CN"/>
            </w:rPr>
            <w:t>5</w:t>
          </w:r>
          <w:r>
            <w:fldChar w:fldCharType="end"/>
          </w:r>
          <w:r>
            <w:rPr>
              <w:rFonts w:hint="eastAsia"/>
              <w:lang w:val="en-US" w:eastAsia="zh-CN"/>
            </w:rPr>
            <w:t>2</w:t>
          </w:r>
        </w:p>
        <w:p>
          <w:pPr>
            <w:pStyle w:val="17"/>
            <w:rPr>
              <w:rFonts w:asciiTheme="minorHAnsi" w:hAnsiTheme="minorHAnsi"/>
              <w:iCs w:val="0"/>
              <w:color w:val="auto"/>
              <w:kern w:val="2"/>
              <w:sz w:val="21"/>
            </w:rPr>
          </w:pPr>
          <w:r>
            <w:fldChar w:fldCharType="begin"/>
          </w:r>
          <w:r>
            <w:instrText xml:space="preserve"> HYPERLINK \l "_Toc495861560" </w:instrText>
          </w:r>
          <w:r>
            <w:fldChar w:fldCharType="separate"/>
          </w:r>
          <w:r>
            <w:rPr>
              <w:rStyle w:val="28"/>
              <w:rFonts w:hint="eastAsia" w:eastAsia="宋体"/>
            </w:rPr>
            <w:t>附件十一、</w:t>
          </w:r>
          <w:r>
            <w:rPr>
              <w:rFonts w:asciiTheme="minorHAnsi" w:hAnsiTheme="minorHAnsi"/>
              <w:iCs w:val="0"/>
              <w:color w:val="auto"/>
              <w:kern w:val="2"/>
              <w:sz w:val="21"/>
            </w:rPr>
            <w:tab/>
          </w:r>
          <w:r>
            <w:rPr>
              <w:rStyle w:val="28"/>
              <w:rFonts w:hint="eastAsia" w:eastAsia="宋体"/>
            </w:rPr>
            <w:t>投标人的资格声明</w:t>
          </w:r>
          <w:r>
            <w:tab/>
          </w:r>
          <w:r>
            <w:rPr>
              <w:rFonts w:hint="eastAsia"/>
              <w:lang w:val="en-US" w:eastAsia="zh-CN"/>
            </w:rPr>
            <w:t>5</w:t>
          </w:r>
          <w:r>
            <w:fldChar w:fldCharType="end"/>
          </w:r>
          <w:r>
            <w:rPr>
              <w:rFonts w:hint="eastAsia"/>
              <w:lang w:val="en-US" w:eastAsia="zh-CN"/>
            </w:rPr>
            <w:t>3</w:t>
          </w:r>
        </w:p>
        <w:p>
          <w:pPr>
            <w:pStyle w:val="17"/>
            <w:rPr>
              <w:rFonts w:asciiTheme="minorHAnsi" w:hAnsiTheme="minorHAnsi"/>
              <w:iCs w:val="0"/>
              <w:color w:val="auto"/>
              <w:kern w:val="2"/>
              <w:sz w:val="21"/>
            </w:rPr>
          </w:pPr>
          <w:r>
            <w:fldChar w:fldCharType="begin"/>
          </w:r>
          <w:r>
            <w:instrText xml:space="preserve"> HYPERLINK \l "_Toc495861561" </w:instrText>
          </w:r>
          <w:r>
            <w:fldChar w:fldCharType="separate"/>
          </w:r>
          <w:r>
            <w:rPr>
              <w:rStyle w:val="28"/>
              <w:rFonts w:hint="eastAsia" w:eastAsia="宋体"/>
            </w:rPr>
            <w:t>附件十二、</w:t>
          </w:r>
          <w:r>
            <w:rPr>
              <w:rFonts w:asciiTheme="minorHAnsi" w:hAnsiTheme="minorHAnsi"/>
              <w:iCs w:val="0"/>
              <w:color w:val="auto"/>
              <w:kern w:val="2"/>
              <w:sz w:val="21"/>
            </w:rPr>
            <w:tab/>
          </w:r>
          <w:r>
            <w:rPr>
              <w:rStyle w:val="28"/>
              <w:rFonts w:hint="eastAsia" w:eastAsia="宋体"/>
            </w:rPr>
            <w:t>项目负责人、技术负责人简历表</w:t>
          </w:r>
          <w:r>
            <w:tab/>
          </w:r>
          <w:r>
            <w:rPr>
              <w:rFonts w:hint="eastAsia"/>
              <w:lang w:val="en-US" w:eastAsia="zh-CN"/>
            </w:rPr>
            <w:t>5</w:t>
          </w:r>
          <w:r>
            <w:fldChar w:fldCharType="end"/>
          </w:r>
          <w:r>
            <w:rPr>
              <w:rFonts w:hint="eastAsia"/>
              <w:lang w:val="en-US" w:eastAsia="zh-CN"/>
            </w:rPr>
            <w:t>4</w:t>
          </w:r>
        </w:p>
        <w:p>
          <w:pPr>
            <w:pStyle w:val="17"/>
            <w:rPr>
              <w:rFonts w:asciiTheme="minorHAnsi" w:hAnsiTheme="minorHAnsi"/>
              <w:iCs w:val="0"/>
              <w:color w:val="auto"/>
              <w:kern w:val="2"/>
              <w:sz w:val="21"/>
            </w:rPr>
          </w:pPr>
          <w:r>
            <w:fldChar w:fldCharType="begin"/>
          </w:r>
          <w:r>
            <w:instrText xml:space="preserve"> HYPERLINK \l "_Toc495861562" </w:instrText>
          </w:r>
          <w:r>
            <w:fldChar w:fldCharType="separate"/>
          </w:r>
          <w:r>
            <w:rPr>
              <w:rStyle w:val="28"/>
              <w:rFonts w:hint="eastAsia" w:eastAsia="宋体"/>
            </w:rPr>
            <w:t>附件十三、</w:t>
          </w:r>
          <w:r>
            <w:rPr>
              <w:rFonts w:asciiTheme="minorHAnsi" w:hAnsiTheme="minorHAnsi"/>
              <w:iCs w:val="0"/>
              <w:color w:val="auto"/>
              <w:kern w:val="2"/>
              <w:sz w:val="21"/>
            </w:rPr>
            <w:tab/>
          </w:r>
          <w:r>
            <w:rPr>
              <w:rStyle w:val="28"/>
              <w:rFonts w:hint="eastAsia" w:eastAsia="宋体"/>
            </w:rPr>
            <w:t>项目班子成员情况表</w:t>
          </w:r>
          <w:r>
            <w:tab/>
          </w:r>
          <w:r>
            <w:rPr>
              <w:rFonts w:hint="eastAsia"/>
              <w:lang w:val="en-US" w:eastAsia="zh-CN"/>
            </w:rPr>
            <w:t>5</w:t>
          </w:r>
          <w:r>
            <w:fldChar w:fldCharType="end"/>
          </w:r>
          <w:r>
            <w:rPr>
              <w:rFonts w:hint="eastAsia"/>
              <w:lang w:val="en-US" w:eastAsia="zh-CN"/>
            </w:rPr>
            <w:t>5</w:t>
          </w:r>
        </w:p>
        <w:p>
          <w:pPr>
            <w:pStyle w:val="17"/>
            <w:rPr>
              <w:rFonts w:asciiTheme="minorHAnsi" w:hAnsiTheme="minorHAnsi"/>
              <w:iCs w:val="0"/>
              <w:color w:val="auto"/>
              <w:kern w:val="2"/>
              <w:sz w:val="21"/>
            </w:rPr>
          </w:pPr>
          <w:r>
            <w:fldChar w:fldCharType="begin"/>
          </w:r>
          <w:r>
            <w:instrText xml:space="preserve"> HYPERLINK \l "_Toc495861563" </w:instrText>
          </w:r>
          <w:r>
            <w:fldChar w:fldCharType="separate"/>
          </w:r>
          <w:r>
            <w:rPr>
              <w:rStyle w:val="28"/>
              <w:rFonts w:hint="eastAsia" w:eastAsia="宋体"/>
            </w:rPr>
            <w:t>附件十四、</w:t>
          </w:r>
          <w:r>
            <w:rPr>
              <w:rFonts w:asciiTheme="minorHAnsi" w:hAnsiTheme="minorHAnsi"/>
              <w:iCs w:val="0"/>
              <w:color w:val="auto"/>
              <w:kern w:val="2"/>
              <w:sz w:val="21"/>
            </w:rPr>
            <w:tab/>
          </w:r>
          <w:r>
            <w:rPr>
              <w:rStyle w:val="28"/>
              <w:rFonts w:hint="eastAsia" w:eastAsia="宋体"/>
            </w:rPr>
            <w:t>投标人类似项目业绩表</w:t>
          </w:r>
          <w:r>
            <w:tab/>
          </w:r>
          <w:r>
            <w:rPr>
              <w:rFonts w:hint="eastAsia"/>
              <w:lang w:val="en-US" w:eastAsia="zh-CN"/>
            </w:rPr>
            <w:t>5</w:t>
          </w:r>
          <w:r>
            <w:fldChar w:fldCharType="end"/>
          </w:r>
          <w:r>
            <w:rPr>
              <w:rFonts w:hint="eastAsia"/>
              <w:lang w:val="en-US" w:eastAsia="zh-CN"/>
            </w:rPr>
            <w:t>6</w:t>
          </w:r>
        </w:p>
        <w:p>
          <w:pPr>
            <w:pStyle w:val="17"/>
            <w:rPr>
              <w:rFonts w:asciiTheme="minorHAnsi" w:hAnsiTheme="minorHAnsi"/>
              <w:iCs w:val="0"/>
              <w:color w:val="auto"/>
              <w:kern w:val="2"/>
              <w:sz w:val="21"/>
            </w:rPr>
          </w:pPr>
          <w:r>
            <w:fldChar w:fldCharType="begin"/>
          </w:r>
          <w:r>
            <w:instrText xml:space="preserve"> HYPERLINK \l "_Toc495861564" </w:instrText>
          </w:r>
          <w:r>
            <w:fldChar w:fldCharType="separate"/>
          </w:r>
          <w:r>
            <w:rPr>
              <w:rStyle w:val="28"/>
              <w:rFonts w:hint="eastAsia" w:eastAsia="宋体"/>
            </w:rPr>
            <w:t>附件十五、</w:t>
          </w:r>
          <w:r>
            <w:rPr>
              <w:rFonts w:asciiTheme="minorHAnsi" w:hAnsiTheme="minorHAnsi"/>
              <w:iCs w:val="0"/>
              <w:color w:val="auto"/>
              <w:kern w:val="2"/>
              <w:sz w:val="21"/>
            </w:rPr>
            <w:tab/>
          </w:r>
          <w:r>
            <w:rPr>
              <w:rStyle w:val="28"/>
              <w:rFonts w:hint="eastAsia" w:eastAsia="宋体"/>
            </w:rPr>
            <w:t>符合性审查对照表</w:t>
          </w:r>
          <w:r>
            <w:tab/>
          </w:r>
          <w:r>
            <w:rPr>
              <w:rFonts w:hint="eastAsia"/>
              <w:lang w:val="en-US" w:eastAsia="zh-CN"/>
            </w:rPr>
            <w:t>5</w:t>
          </w:r>
          <w:r>
            <w:fldChar w:fldCharType="end"/>
          </w:r>
          <w:r>
            <w:rPr>
              <w:rFonts w:hint="eastAsia"/>
              <w:lang w:val="en-US" w:eastAsia="zh-CN"/>
            </w:rPr>
            <w:t>7</w:t>
          </w:r>
        </w:p>
        <w:p>
          <w:pPr>
            <w:pStyle w:val="17"/>
            <w:rPr>
              <w:rFonts w:asciiTheme="minorHAnsi" w:hAnsiTheme="minorHAnsi"/>
              <w:iCs w:val="0"/>
              <w:color w:val="auto"/>
              <w:kern w:val="2"/>
              <w:sz w:val="21"/>
            </w:rPr>
          </w:pPr>
          <w:r>
            <w:fldChar w:fldCharType="begin"/>
          </w:r>
          <w:r>
            <w:instrText xml:space="preserve"> HYPERLINK \l "_Toc495861565" </w:instrText>
          </w:r>
          <w:r>
            <w:fldChar w:fldCharType="separate"/>
          </w:r>
          <w:r>
            <w:rPr>
              <w:rStyle w:val="28"/>
              <w:rFonts w:hint="eastAsia" w:eastAsia="宋体"/>
            </w:rPr>
            <w:t>附件十六、</w:t>
          </w:r>
          <w:r>
            <w:rPr>
              <w:rFonts w:asciiTheme="minorHAnsi" w:hAnsiTheme="minorHAnsi"/>
              <w:iCs w:val="0"/>
              <w:color w:val="auto"/>
              <w:kern w:val="2"/>
              <w:sz w:val="21"/>
            </w:rPr>
            <w:tab/>
          </w:r>
          <w:r>
            <w:rPr>
              <w:rStyle w:val="28"/>
              <w:rFonts w:hint="eastAsia" w:eastAsia="宋体"/>
            </w:rPr>
            <w:t>商务要求响应、偏离说明表</w:t>
          </w:r>
          <w:r>
            <w:tab/>
          </w:r>
          <w:r>
            <w:rPr>
              <w:rFonts w:hint="eastAsia"/>
              <w:lang w:val="en-US" w:eastAsia="zh-CN"/>
            </w:rPr>
            <w:t>5</w:t>
          </w:r>
          <w:r>
            <w:fldChar w:fldCharType="end"/>
          </w:r>
          <w:r>
            <w:rPr>
              <w:rFonts w:hint="eastAsia"/>
              <w:lang w:val="en-US" w:eastAsia="zh-CN"/>
            </w:rPr>
            <w:t>8</w:t>
          </w:r>
        </w:p>
        <w:p>
          <w:pPr>
            <w:pStyle w:val="17"/>
            <w:rPr>
              <w:rFonts w:asciiTheme="minorHAnsi" w:hAnsiTheme="minorHAnsi"/>
              <w:iCs w:val="0"/>
              <w:color w:val="auto"/>
              <w:kern w:val="2"/>
              <w:sz w:val="21"/>
            </w:rPr>
          </w:pPr>
          <w:r>
            <w:fldChar w:fldCharType="begin"/>
          </w:r>
          <w:r>
            <w:instrText xml:space="preserve"> HYPERLINK \l "_Toc495861566" </w:instrText>
          </w:r>
          <w:r>
            <w:fldChar w:fldCharType="separate"/>
          </w:r>
          <w:r>
            <w:rPr>
              <w:rStyle w:val="28"/>
              <w:rFonts w:hint="eastAsia" w:eastAsia="宋体"/>
            </w:rPr>
            <w:t>附件十七、</w:t>
          </w:r>
          <w:r>
            <w:rPr>
              <w:rFonts w:asciiTheme="minorHAnsi" w:hAnsiTheme="minorHAnsi"/>
              <w:iCs w:val="0"/>
              <w:color w:val="auto"/>
              <w:kern w:val="2"/>
              <w:sz w:val="21"/>
            </w:rPr>
            <w:tab/>
          </w:r>
          <w:r>
            <w:rPr>
              <w:rStyle w:val="28"/>
              <w:rFonts w:hint="eastAsia" w:eastAsia="宋体"/>
            </w:rPr>
            <w:t>商务要求“★”号条款响应、偏离说明表</w:t>
          </w:r>
          <w:r>
            <w:tab/>
          </w:r>
          <w:r>
            <w:rPr>
              <w:rFonts w:hint="eastAsia"/>
              <w:lang w:val="en-US" w:eastAsia="zh-CN"/>
            </w:rPr>
            <w:t>5</w:t>
          </w:r>
          <w:r>
            <w:fldChar w:fldCharType="end"/>
          </w:r>
          <w:r>
            <w:rPr>
              <w:rFonts w:hint="eastAsia"/>
              <w:lang w:val="en-US" w:eastAsia="zh-CN"/>
            </w:rPr>
            <w:t>9</w:t>
          </w:r>
        </w:p>
        <w:p>
          <w:pPr>
            <w:pStyle w:val="17"/>
            <w:rPr>
              <w:rFonts w:asciiTheme="minorHAnsi" w:hAnsiTheme="minorHAnsi"/>
              <w:iCs w:val="0"/>
              <w:color w:val="auto"/>
              <w:kern w:val="2"/>
              <w:sz w:val="21"/>
            </w:rPr>
          </w:pPr>
          <w:r>
            <w:fldChar w:fldCharType="begin"/>
          </w:r>
          <w:r>
            <w:instrText xml:space="preserve"> HYPERLINK \l "_Toc495861567" </w:instrText>
          </w:r>
          <w:r>
            <w:fldChar w:fldCharType="separate"/>
          </w:r>
          <w:r>
            <w:rPr>
              <w:rStyle w:val="28"/>
              <w:rFonts w:hint="eastAsia" w:eastAsia="宋体"/>
            </w:rPr>
            <w:t>附件十八、</w:t>
          </w:r>
          <w:r>
            <w:rPr>
              <w:rFonts w:asciiTheme="minorHAnsi" w:hAnsiTheme="minorHAnsi"/>
              <w:iCs w:val="0"/>
              <w:color w:val="auto"/>
              <w:kern w:val="2"/>
              <w:sz w:val="21"/>
            </w:rPr>
            <w:tab/>
          </w:r>
          <w:r>
            <w:rPr>
              <w:rStyle w:val="28"/>
              <w:rFonts w:hint="eastAsia" w:eastAsia="宋体"/>
            </w:rPr>
            <w:t>商务评议对照表</w:t>
          </w:r>
          <w:r>
            <w:tab/>
          </w:r>
          <w:r>
            <w:rPr>
              <w:rFonts w:hint="eastAsia"/>
              <w:lang w:val="en-US" w:eastAsia="zh-CN"/>
            </w:rPr>
            <w:t>6</w:t>
          </w:r>
          <w:r>
            <w:fldChar w:fldCharType="end"/>
          </w:r>
          <w:r>
            <w:rPr>
              <w:rFonts w:hint="eastAsia"/>
              <w:lang w:val="en-US" w:eastAsia="zh-CN"/>
            </w:rPr>
            <w:t>0</w:t>
          </w:r>
        </w:p>
        <w:p>
          <w:pPr>
            <w:pStyle w:val="17"/>
            <w:rPr>
              <w:rFonts w:asciiTheme="minorHAnsi" w:hAnsiTheme="minorHAnsi"/>
              <w:iCs w:val="0"/>
              <w:color w:val="auto"/>
              <w:kern w:val="2"/>
              <w:sz w:val="21"/>
            </w:rPr>
          </w:pPr>
          <w:r>
            <w:fldChar w:fldCharType="begin"/>
          </w:r>
          <w:r>
            <w:instrText xml:space="preserve"> HYPERLINK \l "_Toc495861568" </w:instrText>
          </w:r>
          <w:r>
            <w:fldChar w:fldCharType="separate"/>
          </w:r>
          <w:r>
            <w:rPr>
              <w:rStyle w:val="28"/>
              <w:rFonts w:hint="eastAsia" w:eastAsia="宋体"/>
            </w:rPr>
            <w:t>附件十九、</w:t>
          </w:r>
          <w:r>
            <w:rPr>
              <w:rFonts w:asciiTheme="minorHAnsi" w:hAnsiTheme="minorHAnsi"/>
              <w:iCs w:val="0"/>
              <w:color w:val="auto"/>
              <w:kern w:val="2"/>
              <w:sz w:val="21"/>
            </w:rPr>
            <w:tab/>
          </w:r>
          <w:r>
            <w:rPr>
              <w:rStyle w:val="28"/>
              <w:rFonts w:hint="eastAsia" w:eastAsia="宋体"/>
            </w:rPr>
            <w:t>技术、服务要求响应、偏离说明表</w:t>
          </w:r>
          <w:r>
            <w:tab/>
          </w:r>
          <w:r>
            <w:rPr>
              <w:rFonts w:hint="eastAsia"/>
              <w:lang w:val="en-US" w:eastAsia="zh-CN"/>
            </w:rPr>
            <w:t>6</w:t>
          </w:r>
          <w:r>
            <w:fldChar w:fldCharType="end"/>
          </w:r>
          <w:r>
            <w:rPr>
              <w:rFonts w:hint="eastAsia"/>
              <w:lang w:val="en-US" w:eastAsia="zh-CN"/>
            </w:rPr>
            <w:t>1</w:t>
          </w:r>
        </w:p>
        <w:p>
          <w:pPr>
            <w:pStyle w:val="17"/>
            <w:rPr>
              <w:rFonts w:asciiTheme="minorHAnsi" w:hAnsiTheme="minorHAnsi"/>
              <w:iCs w:val="0"/>
              <w:color w:val="auto"/>
              <w:kern w:val="2"/>
              <w:sz w:val="21"/>
            </w:rPr>
          </w:pPr>
          <w:r>
            <w:fldChar w:fldCharType="begin"/>
          </w:r>
          <w:r>
            <w:instrText xml:space="preserve"> HYPERLINK \l "_Toc495861569" </w:instrText>
          </w:r>
          <w:r>
            <w:fldChar w:fldCharType="separate"/>
          </w:r>
          <w:r>
            <w:rPr>
              <w:rStyle w:val="28"/>
              <w:rFonts w:hint="eastAsia" w:eastAsia="宋体"/>
            </w:rPr>
            <w:t>附件二十、</w:t>
          </w:r>
          <w:r>
            <w:rPr>
              <w:rFonts w:asciiTheme="minorHAnsi" w:hAnsiTheme="minorHAnsi"/>
              <w:iCs w:val="0"/>
              <w:color w:val="auto"/>
              <w:kern w:val="2"/>
              <w:sz w:val="21"/>
            </w:rPr>
            <w:tab/>
          </w:r>
          <w:r>
            <w:rPr>
              <w:rStyle w:val="28"/>
              <w:rFonts w:hint="eastAsia" w:eastAsia="宋体"/>
            </w:rPr>
            <w:t>技术、服务要求“★”号条款响应、偏离说明表</w:t>
          </w:r>
          <w:r>
            <w:tab/>
          </w:r>
          <w:r>
            <w:rPr>
              <w:rFonts w:hint="eastAsia"/>
              <w:lang w:val="en-US" w:eastAsia="zh-CN"/>
            </w:rPr>
            <w:t>6</w:t>
          </w:r>
          <w:r>
            <w:fldChar w:fldCharType="end"/>
          </w:r>
          <w:r>
            <w:rPr>
              <w:rFonts w:hint="eastAsia"/>
              <w:lang w:val="en-US" w:eastAsia="zh-CN"/>
            </w:rPr>
            <w:t>2</w:t>
          </w:r>
        </w:p>
        <w:p>
          <w:pPr>
            <w:pStyle w:val="17"/>
            <w:tabs>
              <w:tab w:val="left" w:pos="1870"/>
            </w:tabs>
            <w:rPr>
              <w:rFonts w:asciiTheme="minorHAnsi" w:hAnsiTheme="minorHAnsi"/>
              <w:iCs w:val="0"/>
              <w:color w:val="auto"/>
              <w:kern w:val="2"/>
              <w:sz w:val="21"/>
            </w:rPr>
          </w:pPr>
          <w:r>
            <w:fldChar w:fldCharType="begin"/>
          </w:r>
          <w:r>
            <w:instrText xml:space="preserve"> HYPERLINK \l "_Toc495861570" </w:instrText>
          </w:r>
          <w:r>
            <w:fldChar w:fldCharType="separate"/>
          </w:r>
          <w:r>
            <w:rPr>
              <w:rStyle w:val="28"/>
              <w:rFonts w:hint="eastAsia" w:eastAsia="宋体"/>
            </w:rPr>
            <w:t>附件二十一、</w:t>
          </w:r>
          <w:r>
            <w:rPr>
              <w:rFonts w:asciiTheme="minorHAnsi" w:hAnsiTheme="minorHAnsi"/>
              <w:iCs w:val="0"/>
              <w:color w:val="auto"/>
              <w:kern w:val="2"/>
              <w:sz w:val="21"/>
            </w:rPr>
            <w:tab/>
          </w:r>
          <w:r>
            <w:rPr>
              <w:rStyle w:val="28"/>
              <w:rFonts w:hint="eastAsia" w:eastAsia="宋体"/>
            </w:rPr>
            <w:t>技术、服务评议对照表</w:t>
          </w:r>
          <w:r>
            <w:tab/>
          </w:r>
          <w:r>
            <w:fldChar w:fldCharType="begin"/>
          </w:r>
          <w:r>
            <w:instrText xml:space="preserve"> PAGEREF _Toc495861570 \h </w:instrText>
          </w:r>
          <w:r>
            <w:fldChar w:fldCharType="separate"/>
          </w:r>
          <w:r>
            <w:t>63</w:t>
          </w:r>
          <w:r>
            <w:fldChar w:fldCharType="end"/>
          </w:r>
          <w:r>
            <w:fldChar w:fldCharType="end"/>
          </w:r>
        </w:p>
        <w:p>
          <w:pPr>
            <w:pStyle w:val="16"/>
            <w:tabs>
              <w:tab w:val="left" w:pos="1260"/>
              <w:tab w:val="right" w:leader="dot" w:pos="9514"/>
            </w:tabs>
          </w:pPr>
          <w:r>
            <w:fldChar w:fldCharType="end"/>
          </w:r>
          <w:r>
            <w:rPr>
              <w:b w:val="0"/>
              <w:bCs/>
              <w:lang w:val="zh-CN"/>
            </w:rPr>
            <w:tab/>
          </w:r>
        </w:p>
      </w:sdtContent>
    </w:sdt>
    <w:p>
      <w:r>
        <w:br w:type="page"/>
      </w:r>
    </w:p>
    <w:p>
      <w:pPr>
        <w:pStyle w:val="3"/>
        <w:numPr>
          <w:ilvl w:val="0"/>
          <w:numId w:val="1"/>
        </w:numPr>
        <w:spacing w:before="240" w:after="120"/>
        <w:ind w:left="883" w:hanging="880" w:hangingChars="200"/>
        <w:jc w:val="center"/>
        <w:rPr>
          <w:rFonts w:ascii="黑体" w:hAnsi="黑体" w:eastAsia="黑体"/>
        </w:rPr>
      </w:pPr>
      <w:bookmarkStart w:id="0" w:name="_Toc495861517"/>
      <w:r>
        <w:rPr>
          <w:rFonts w:hint="eastAsia" w:ascii="黑体" w:hAnsi="黑体" w:eastAsia="黑体"/>
        </w:rPr>
        <w:t>投标邀请书</w:t>
      </w:r>
      <w:bookmarkEnd w:id="0"/>
    </w:p>
    <w:p>
      <w:pPr>
        <w:pStyle w:val="19"/>
        <w:keepNext w:val="0"/>
        <w:keepLines w:val="0"/>
        <w:widowControl/>
        <w:suppressLineNumbers w:val="0"/>
        <w:pBdr>
          <w:top w:val="single" w:color="auto" w:sz="6" w:space="0"/>
          <w:left w:val="single" w:color="auto" w:sz="6" w:space="3"/>
          <w:bottom w:val="single" w:color="auto" w:sz="6" w:space="0"/>
          <w:right w:val="single" w:color="auto" w:sz="6" w:space="3"/>
        </w:pBdr>
        <w:spacing w:before="0" w:beforeAutospacing="0" w:after="0" w:afterAutospacing="0" w:line="360" w:lineRule="auto"/>
        <w:ind w:right="0" w:firstLine="480" w:firstLineChars="200"/>
        <w:rPr>
          <w:color w:val="auto"/>
        </w:rPr>
      </w:pPr>
      <w:bookmarkStart w:id="1" w:name="_Toc495861518"/>
      <w:r>
        <w:rPr>
          <w:rFonts w:hint="eastAsia" w:ascii="宋体" w:hAnsi="宋体" w:cs="宋体"/>
          <w:color w:val="auto"/>
          <w:sz w:val="24"/>
          <w:szCs w:val="24"/>
          <w:shd w:val="clear" w:fill="FFFFFF"/>
          <w:lang w:eastAsia="zh-CN"/>
        </w:rPr>
        <w:t>阳新县人民医院宫腔镜设备采购项目</w:t>
      </w:r>
      <w:r>
        <w:rPr>
          <w:rFonts w:hint="eastAsia" w:ascii="宋体" w:hAnsi="宋体" w:eastAsia="宋体" w:cs="宋体"/>
          <w:color w:val="auto"/>
          <w:sz w:val="24"/>
          <w:szCs w:val="24"/>
          <w:shd w:val="clear" w:fill="FFFFFF"/>
        </w:rPr>
        <w:t>的潜在投标人应在</w:t>
      </w:r>
      <w:r>
        <w:rPr>
          <w:rFonts w:hint="eastAsia" w:ascii="宋体" w:hAnsi="宋体" w:eastAsia="宋体" w:cs="宋体"/>
          <w:color w:val="auto"/>
          <w:spacing w:val="0"/>
          <w:sz w:val="24"/>
          <w:szCs w:val="24"/>
          <w:shd w:val="clear" w:fill="FFFFFF"/>
        </w:rPr>
        <w:t>“湖北省政府采购网”、“黄石市公共资源交易信息网”及“阳新县人民政府网”</w:t>
      </w:r>
      <w:r>
        <w:rPr>
          <w:rFonts w:hint="eastAsia" w:ascii="宋体" w:hAnsi="宋体" w:eastAsia="宋体" w:cs="宋体"/>
          <w:color w:val="auto"/>
          <w:sz w:val="24"/>
          <w:szCs w:val="24"/>
          <w:shd w:val="clear" w:fill="FFFFFF"/>
        </w:rPr>
        <w:t>获取招标文件，并于</w:t>
      </w:r>
      <w:r>
        <w:rPr>
          <w:rFonts w:hint="eastAsia" w:ascii="宋体" w:hAnsi="宋体" w:eastAsia="宋体" w:cs="宋体"/>
          <w:color w:val="auto"/>
          <w:spacing w:val="0"/>
          <w:sz w:val="24"/>
          <w:szCs w:val="24"/>
          <w:u w:val="single"/>
          <w:shd w:val="clear" w:fill="FFFFFF"/>
        </w:rPr>
        <w:t>2020</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shd w:val="clear" w:fill="FFFFFF"/>
        </w:rPr>
        <w:t>年</w:t>
      </w:r>
      <w:r>
        <w:rPr>
          <w:rFonts w:hint="eastAsia" w:ascii="宋体" w:hAnsi="宋体" w:eastAsia="宋体" w:cs="宋体"/>
          <w:color w:val="auto"/>
          <w:spacing w:val="0"/>
          <w:sz w:val="24"/>
          <w:szCs w:val="24"/>
          <w:u w:val="single"/>
          <w:shd w:val="clear" w:fill="FFFFFF"/>
          <w:lang w:val="en-US" w:eastAsia="zh-CN"/>
        </w:rPr>
        <w:t xml:space="preserve"> 12</w:t>
      </w:r>
      <w:r>
        <w:rPr>
          <w:rFonts w:hint="eastAsia" w:ascii="宋体" w:hAnsi="宋体" w:eastAsia="宋体" w:cs="宋体"/>
          <w:color w:val="auto"/>
          <w:spacing w:val="0"/>
          <w:sz w:val="24"/>
          <w:szCs w:val="24"/>
          <w:shd w:val="clear" w:fill="FFFFFF"/>
        </w:rPr>
        <w:t>月</w:t>
      </w:r>
      <w:r>
        <w:rPr>
          <w:rFonts w:hint="eastAsia" w:ascii="宋体" w:hAnsi="宋体" w:eastAsia="宋体" w:cs="宋体"/>
          <w:color w:val="auto"/>
          <w:spacing w:val="0"/>
          <w:sz w:val="24"/>
          <w:szCs w:val="24"/>
          <w:u w:val="single"/>
          <w:shd w:val="clear" w:fill="FFFFFF"/>
          <w:lang w:val="en-US" w:eastAsia="zh-CN"/>
        </w:rPr>
        <w:t>31</w:t>
      </w:r>
      <w:r>
        <w:rPr>
          <w:rFonts w:hint="eastAsia" w:ascii="宋体" w:hAnsi="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u w:val="single"/>
          <w:shd w:val="clear" w:fill="FFFFFF"/>
          <w:lang w:val="en-US" w:eastAsia="zh-CN"/>
        </w:rPr>
        <w:t xml:space="preserve"> </w:t>
      </w:r>
      <w:r>
        <w:rPr>
          <w:rFonts w:hint="eastAsia" w:ascii="宋体" w:hAnsi="宋体" w:eastAsia="宋体" w:cs="宋体"/>
          <w:color w:val="auto"/>
          <w:spacing w:val="0"/>
          <w:sz w:val="24"/>
          <w:szCs w:val="24"/>
          <w:shd w:val="clear" w:fill="FFFFFF"/>
          <w:lang w:val="en-US" w:eastAsia="zh-CN"/>
        </w:rPr>
        <w:t xml:space="preserve">    日</w:t>
      </w:r>
      <w:r>
        <w:rPr>
          <w:rFonts w:hint="eastAsia" w:ascii="宋体" w:hAnsi="宋体" w:eastAsia="宋体" w:cs="宋体"/>
          <w:color w:val="auto"/>
          <w:spacing w:val="0"/>
          <w:sz w:val="24"/>
          <w:szCs w:val="24"/>
          <w:u w:val="single"/>
          <w:shd w:val="clear" w:fill="FFFFFF"/>
          <w:lang w:val="en-US" w:eastAsia="zh-CN"/>
        </w:rPr>
        <w:t>9</w:t>
      </w:r>
      <w:r>
        <w:rPr>
          <w:rFonts w:hint="eastAsia" w:ascii="宋体" w:hAnsi="宋体" w:eastAsia="宋体" w:cs="宋体"/>
          <w:color w:val="auto"/>
          <w:spacing w:val="0"/>
          <w:sz w:val="24"/>
          <w:szCs w:val="24"/>
          <w:shd w:val="clear" w:fill="FFFFFF"/>
          <w:lang w:val="en-US" w:eastAsia="zh-CN"/>
        </w:rPr>
        <w:t>点</w:t>
      </w:r>
      <w:r>
        <w:rPr>
          <w:rFonts w:hint="eastAsia" w:ascii="宋体" w:hAnsi="宋体" w:eastAsia="宋体" w:cs="宋体"/>
          <w:color w:val="auto"/>
          <w:spacing w:val="0"/>
          <w:sz w:val="24"/>
          <w:szCs w:val="24"/>
          <w:u w:val="single"/>
          <w:shd w:val="clear" w:fill="FFFFFF"/>
          <w:lang w:val="en-US" w:eastAsia="zh-CN"/>
        </w:rPr>
        <w:t xml:space="preserve"> 00</w:t>
      </w:r>
      <w:r>
        <w:rPr>
          <w:rFonts w:hint="eastAsia" w:ascii="宋体" w:hAnsi="宋体" w:eastAsia="宋体" w:cs="宋体"/>
          <w:color w:val="auto"/>
          <w:spacing w:val="0"/>
          <w:sz w:val="24"/>
          <w:szCs w:val="24"/>
          <w:shd w:val="clear" w:fill="FFFFFF"/>
        </w:rPr>
        <w:t>分(</w:t>
      </w:r>
      <w:r>
        <w:rPr>
          <w:rFonts w:hint="eastAsia" w:ascii="宋体" w:hAnsi="宋体" w:eastAsia="宋体" w:cs="宋体"/>
          <w:color w:val="auto"/>
          <w:sz w:val="24"/>
          <w:szCs w:val="24"/>
          <w:shd w:val="clear" w:fill="FFFFFF"/>
        </w:rPr>
        <w:t>北京时间）前递交投标文件。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4"/>
          <w:rFonts w:hint="eastAsia" w:ascii="宋体" w:hAnsi="宋体" w:eastAsia="宋体" w:cs="宋体"/>
          <w:color w:val="auto"/>
          <w:sz w:val="24"/>
          <w:szCs w:val="24"/>
          <w:shd w:val="clear" w:fill="FFFFFF"/>
        </w:rPr>
        <w:t>一、项目基本情况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eastAsia="宋体"/>
          <w:color w:val="auto"/>
          <w:lang w:val="en-US" w:eastAsia="zh-CN"/>
        </w:rPr>
      </w:pPr>
      <w:r>
        <w:rPr>
          <w:rFonts w:hint="eastAsia" w:ascii="宋体" w:hAnsi="宋体" w:eastAsia="宋体" w:cs="宋体"/>
          <w:color w:val="auto"/>
          <w:sz w:val="24"/>
          <w:szCs w:val="24"/>
          <w:shd w:val="clear" w:fill="FFFFFF"/>
        </w:rPr>
        <w:t>项目编号：131-2020CG-</w:t>
      </w:r>
      <w:r>
        <w:rPr>
          <w:rFonts w:hint="eastAsia" w:ascii="宋体" w:hAnsi="宋体" w:cs="宋体"/>
          <w:color w:val="auto"/>
          <w:sz w:val="24"/>
          <w:szCs w:val="24"/>
          <w:u w:val="single"/>
          <w:shd w:val="clear" w:fill="FFFFFF"/>
          <w:lang w:val="en-US" w:eastAsia="zh-CN"/>
        </w:rPr>
        <w:t>280</w:t>
      </w:r>
      <w:r>
        <w:rPr>
          <w:rFonts w:hint="eastAsia" w:ascii="宋体" w:hAnsi="宋体" w:eastAsia="宋体" w:cs="宋体"/>
          <w:i w:val="0"/>
          <w:caps w:val="0"/>
          <w:color w:val="auto"/>
          <w:spacing w:val="0"/>
          <w:kern w:val="0"/>
          <w:sz w:val="24"/>
          <w:szCs w:val="24"/>
          <w:u w:val="none"/>
          <w:shd w:val="clear" w:fill="FFFFFF"/>
          <w:lang w:val="en-US" w:eastAsia="zh-CN" w:bidi="ar"/>
        </w:rPr>
        <w:t>（政府采购备案号：阳财采计备[2020]</w:t>
      </w:r>
      <w:r>
        <w:rPr>
          <w:rFonts w:hint="eastAsia" w:ascii="宋体" w:hAnsi="宋体" w:eastAsia="宋体" w:cs="宋体"/>
          <w:i w:val="0"/>
          <w:caps w:val="0"/>
          <w:color w:val="auto"/>
          <w:spacing w:val="0"/>
          <w:kern w:val="0"/>
          <w:sz w:val="24"/>
          <w:szCs w:val="24"/>
          <w:u w:val="single"/>
          <w:shd w:val="clear" w:fill="FFFFFF"/>
          <w:lang w:val="en-US" w:eastAsia="zh-CN" w:bidi="ar"/>
        </w:rPr>
        <w:t xml:space="preserve"> A227 </w:t>
      </w:r>
      <w:r>
        <w:rPr>
          <w:rFonts w:hint="eastAsia" w:ascii="宋体" w:hAnsi="宋体" w:eastAsia="宋体" w:cs="宋体"/>
          <w:i w:val="0"/>
          <w:caps w:val="0"/>
          <w:color w:val="auto"/>
          <w:spacing w:val="0"/>
          <w:kern w:val="0"/>
          <w:sz w:val="24"/>
          <w:szCs w:val="24"/>
          <w:u w:val="none"/>
          <w:shd w:val="clear" w:fill="FFFFFF"/>
          <w:lang w:val="en-US" w:eastAsia="zh-CN" w:bidi="ar"/>
        </w:rPr>
        <w:t>号）</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eastAsia="宋体"/>
          <w:color w:val="auto"/>
          <w:lang w:eastAsia="zh-CN"/>
        </w:rPr>
      </w:pPr>
      <w:r>
        <w:rPr>
          <w:rFonts w:hint="eastAsia" w:ascii="宋体" w:hAnsi="宋体" w:eastAsia="宋体" w:cs="宋体"/>
          <w:color w:val="auto"/>
          <w:sz w:val="24"/>
          <w:szCs w:val="24"/>
          <w:shd w:val="clear" w:fill="FFFFFF"/>
        </w:rPr>
        <w:t>项目名称：</w:t>
      </w:r>
      <w:r>
        <w:rPr>
          <w:rFonts w:hint="eastAsia" w:ascii="宋体" w:hAnsi="宋体" w:cs="宋体"/>
          <w:color w:val="auto"/>
          <w:sz w:val="24"/>
          <w:szCs w:val="24"/>
          <w:shd w:val="clear" w:fill="FFFFFF"/>
          <w:lang w:eastAsia="zh-CN"/>
        </w:rPr>
        <w:t>阳新县人民医院宫腔镜设备采购项目</w:t>
      </w:r>
    </w:p>
    <w:p>
      <w:pPr>
        <w:pStyle w:val="19"/>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pacing w:val="-20"/>
          <w:sz w:val="24"/>
          <w:szCs w:val="24"/>
          <w:shd w:val="clear" w:fill="FFFFFF"/>
          <w:lang w:val="en-US" w:eastAsia="zh-CN"/>
        </w:rPr>
      </w:pPr>
      <w:r>
        <w:rPr>
          <w:rFonts w:hint="eastAsia" w:ascii="宋体" w:hAnsi="宋体" w:eastAsia="宋体" w:cs="宋体"/>
          <w:color w:val="auto"/>
          <w:sz w:val="24"/>
          <w:szCs w:val="24"/>
          <w:shd w:val="clear" w:fill="FFFFFF"/>
        </w:rPr>
        <w:t>预算金额：</w:t>
      </w:r>
      <w:r>
        <w:rPr>
          <w:rFonts w:hint="eastAsia" w:ascii="宋体" w:hAnsi="宋体" w:cs="宋体"/>
          <w:color w:val="auto"/>
          <w:spacing w:val="-11"/>
          <w:sz w:val="24"/>
          <w:szCs w:val="24"/>
          <w:shd w:val="clear" w:fill="FFFFFF"/>
          <w:lang w:val="en-US" w:eastAsia="zh-CN"/>
        </w:rPr>
        <w:t>68万元</w:t>
      </w:r>
    </w:p>
    <w:p>
      <w:pPr>
        <w:pStyle w:val="19"/>
        <w:keepNext w:val="0"/>
        <w:keepLines w:val="0"/>
        <w:widowControl/>
        <w:suppressLineNumbers w:val="0"/>
        <w:spacing w:before="0" w:beforeAutospacing="0" w:after="0" w:afterAutospacing="0" w:line="360" w:lineRule="auto"/>
        <w:ind w:left="0" w:right="0" w:firstLine="480"/>
        <w:rPr>
          <w:color w:val="auto"/>
          <w:spacing w:val="0"/>
        </w:rPr>
      </w:pPr>
      <w:r>
        <w:rPr>
          <w:rFonts w:hint="eastAsia" w:ascii="宋体" w:hAnsi="宋体" w:eastAsia="宋体" w:cs="宋体"/>
          <w:color w:val="auto"/>
          <w:sz w:val="24"/>
          <w:szCs w:val="24"/>
          <w:shd w:val="clear" w:fill="FFFFFF"/>
        </w:rPr>
        <w:t>采购需求：</w:t>
      </w:r>
      <w:r>
        <w:rPr>
          <w:rFonts w:hint="eastAsia" w:ascii="宋体" w:hAnsi="宋体" w:cs="宋体"/>
          <w:color w:val="auto"/>
          <w:sz w:val="24"/>
          <w:szCs w:val="24"/>
          <w:shd w:val="clear" w:fill="FFFFFF"/>
          <w:lang w:eastAsia="zh-CN"/>
        </w:rPr>
        <w:t>宫腔镜设备采购</w:t>
      </w:r>
      <w:r>
        <w:rPr>
          <w:rFonts w:hint="eastAsia" w:ascii="宋体" w:hAnsi="宋体" w:eastAsia="宋体" w:cs="宋体"/>
          <w:color w:val="0C0C0C"/>
          <w:spacing w:val="0"/>
          <w:sz w:val="24"/>
          <w:szCs w:val="24"/>
          <w:shd w:val="clear" w:fill="FFFFFF"/>
        </w:rPr>
        <w:t>（</w:t>
      </w:r>
      <w:r>
        <w:rPr>
          <w:rFonts w:hint="eastAsia" w:ascii="宋体" w:hAnsi="宋体" w:cs="宋体"/>
          <w:i w:val="0"/>
          <w:caps w:val="0"/>
          <w:color w:val="auto"/>
          <w:spacing w:val="0"/>
          <w:kern w:val="0"/>
          <w:sz w:val="24"/>
          <w:szCs w:val="24"/>
          <w:u w:val="none"/>
          <w:shd w:val="clear" w:color="auto" w:fill="FFFFFF"/>
          <w:lang w:val="en-US" w:eastAsia="zh-CN" w:bidi="ar"/>
        </w:rPr>
        <w:t>详见招标文件第三章</w:t>
      </w:r>
      <w:r>
        <w:rPr>
          <w:rFonts w:hint="eastAsia" w:ascii="宋体" w:hAnsi="宋体" w:eastAsia="宋体" w:cs="宋体"/>
          <w:color w:val="0C0C0C"/>
          <w:spacing w:val="0"/>
          <w:sz w:val="24"/>
          <w:szCs w:val="24"/>
          <w:shd w:val="clear" w:fill="FFFFFF"/>
        </w:rPr>
        <w:t>）</w:t>
      </w:r>
      <w:r>
        <w:rPr>
          <w:rFonts w:hint="eastAsia" w:ascii="宋体" w:hAnsi="宋体" w:cs="宋体"/>
          <w:color w:val="auto"/>
          <w:spacing w:val="0"/>
          <w:sz w:val="24"/>
          <w:szCs w:val="24"/>
          <w:shd w:val="clear" w:fill="FFFFFF"/>
          <w:lang w:eastAsia="zh-CN"/>
        </w:rPr>
        <w:t>，</w:t>
      </w:r>
      <w:r>
        <w:rPr>
          <w:rFonts w:hint="eastAsia" w:ascii="宋体" w:hAnsi="宋体" w:cs="宋体"/>
          <w:color w:val="auto"/>
          <w:sz w:val="24"/>
          <w:szCs w:val="24"/>
          <w:shd w:val="clear" w:fill="FFFFFF"/>
          <w:lang w:eastAsia="zh-CN"/>
        </w:rPr>
        <w:t>宫腔镜设备采购</w:t>
      </w:r>
      <w:r>
        <w:rPr>
          <w:rFonts w:hint="eastAsia" w:ascii="宋体" w:hAnsi="宋体" w:eastAsia="宋体" w:cs="宋体"/>
          <w:color w:val="0C0C0C"/>
          <w:spacing w:val="0"/>
          <w:sz w:val="24"/>
          <w:szCs w:val="24"/>
          <w:shd w:val="clear" w:fill="FFFFFF"/>
        </w:rPr>
        <w:t>已办理进口产品审批手续</w:t>
      </w:r>
      <w:r>
        <w:rPr>
          <w:rFonts w:hint="eastAsia" w:ascii="宋体" w:hAnsi="宋体" w:eastAsia="宋体" w:cs="宋体"/>
          <w:color w:val="0C0C0C"/>
          <w:spacing w:val="0"/>
          <w:sz w:val="24"/>
          <w:szCs w:val="24"/>
          <w:shd w:val="clear" w:fill="FFFFFF"/>
          <w:lang w:val="en-US" w:eastAsia="zh-CN"/>
        </w:rPr>
        <w:t>。</w:t>
      </w:r>
    </w:p>
    <w:p>
      <w:pPr>
        <w:spacing w:line="480" w:lineRule="exact"/>
        <w:ind w:firstLine="480" w:firstLineChars="200"/>
        <w:rPr>
          <w:rFonts w:hint="eastAsia" w:ascii="宋体" w:hAnsi="宋体" w:eastAsia="宋体" w:cs="宋体"/>
          <w:sz w:val="24"/>
          <w:szCs w:val="24"/>
          <w:u w:val="none"/>
          <w:lang w:val="en-US" w:eastAsia="zh-CN"/>
        </w:rPr>
      </w:pPr>
      <w:r>
        <w:rPr>
          <w:rFonts w:hint="eastAsia" w:ascii="宋体" w:hAnsi="宋体" w:eastAsia="宋体" w:cs="宋体"/>
          <w:color w:val="auto"/>
          <w:sz w:val="24"/>
          <w:szCs w:val="24"/>
          <w:shd w:val="clear" w:fill="FFFFFF"/>
        </w:rPr>
        <w:t>合同履行期限：</w:t>
      </w:r>
      <w:r>
        <w:rPr>
          <w:rFonts w:hint="eastAsia" w:ascii="宋体" w:hAnsi="宋体" w:eastAsia="宋体" w:cs="宋体"/>
          <w:color w:val="auto"/>
          <w:kern w:val="0"/>
          <w:sz w:val="24"/>
          <w:szCs w:val="24"/>
          <w:shd w:val="clear" w:fill="FFFFFF"/>
          <w:lang w:val="en-US" w:eastAsia="zh-CN" w:bidi="ar"/>
        </w:rPr>
        <w:t>合同签定生效后30个工作日内完成交货及安装调试。</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本项目不接受联合体投标。</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4"/>
          <w:rFonts w:hint="eastAsia" w:ascii="宋体" w:hAnsi="宋体" w:eastAsia="宋体" w:cs="宋体"/>
          <w:color w:val="auto"/>
          <w:sz w:val="24"/>
          <w:szCs w:val="24"/>
          <w:shd w:val="clear" w:fill="FFFFFF"/>
        </w:rPr>
        <w:t>二、申请人的资格要求：</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1、应具备《政府采购法》第二十二条第一款规定的条件；</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numPr>
          <w:ilvl w:val="0"/>
          <w:numId w:val="0"/>
        </w:numPr>
        <w:tabs>
          <w:tab w:val="left" w:pos="896"/>
        </w:tabs>
        <w:spacing w:line="360" w:lineRule="auto"/>
        <w:ind w:left="482" w:leftChars="0"/>
        <w:rPr>
          <w:rFonts w:hint="eastAsia" w:ascii="宋体" w:hAnsi="宋体" w:eastAsia="宋体" w:cs="Times New Roman"/>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highlight w:val="none"/>
          <w:lang w:val="en-US" w:eastAsia="zh-CN"/>
          <w14:textFill>
            <w14:solidFill>
              <w14:schemeClr w14:val="tx1">
                <w14:lumMod w14:val="95000"/>
                <w14:lumOff w14:val="5000"/>
              </w14:schemeClr>
            </w14:solidFill>
          </w14:textFill>
        </w:rPr>
        <w:t>3、</w:t>
      </w:r>
      <w:r>
        <w:rPr>
          <w:rFonts w:hint="eastAsia" w:ascii="宋体" w:hAnsi="宋体" w:eastAsia="宋体" w:cs="Times New Roman"/>
          <w:bCs/>
          <w:color w:val="0D0D0D" w:themeColor="text1" w:themeTint="F2"/>
          <w:sz w:val="24"/>
          <w:szCs w:val="24"/>
          <w:highlight w:val="none"/>
          <w:lang w:val="en-US" w:eastAsia="zh-CN"/>
          <w14:textFill>
            <w14:solidFill>
              <w14:schemeClr w14:val="tx1">
                <w14:lumMod w14:val="95000"/>
                <w14:lumOff w14:val="5000"/>
              </w14:schemeClr>
            </w14:solidFill>
          </w14:textFill>
        </w:rPr>
        <w:t>特定条件：</w:t>
      </w:r>
    </w:p>
    <w:p>
      <w:pPr>
        <w:pStyle w:val="19"/>
        <w:keepNext w:val="0"/>
        <w:keepLines w:val="0"/>
        <w:widowControl/>
        <w:suppressLineNumbers w:val="0"/>
        <w:spacing w:before="0" w:beforeAutospacing="0" w:after="0" w:afterAutospacing="0" w:line="360" w:lineRule="auto"/>
        <w:ind w:right="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（1）投标人须具有医疗器械生产或经营许可证；</w:t>
      </w:r>
    </w:p>
    <w:p>
      <w:pPr>
        <w:pStyle w:val="19"/>
        <w:keepNext w:val="0"/>
        <w:keepLines w:val="0"/>
        <w:widowControl/>
        <w:suppressLineNumbers w:val="0"/>
        <w:spacing w:before="0" w:beforeAutospacing="0" w:after="0" w:afterAutospacing="0" w:line="360" w:lineRule="auto"/>
        <w:ind w:right="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（2）投标人须提供所投产品的医疗器械注册证；</w:t>
      </w:r>
    </w:p>
    <w:p>
      <w:pPr>
        <w:pStyle w:val="19"/>
        <w:keepNext w:val="0"/>
        <w:keepLines w:val="0"/>
        <w:widowControl/>
        <w:suppressLineNumbers w:val="0"/>
        <w:spacing w:before="0" w:beforeAutospacing="0" w:after="0" w:afterAutospacing="0" w:line="360" w:lineRule="auto"/>
        <w:ind w:right="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rPr>
        <w:t>（3）所投产品为进口产品的，需提供制造商或中国总代理针对本项目</w:t>
      </w:r>
      <w:r>
        <w:rPr>
          <w:rFonts w:hint="eastAsia" w:ascii="宋体" w:hAnsi="宋体" w:cs="宋体"/>
          <w:color w:val="auto"/>
          <w:sz w:val="24"/>
          <w:szCs w:val="24"/>
          <w:shd w:val="clear" w:fill="FFFFFF"/>
          <w:lang w:eastAsia="zh-CN"/>
        </w:rPr>
        <w:t>的唯一</w:t>
      </w:r>
      <w:r>
        <w:rPr>
          <w:rFonts w:hint="eastAsia" w:ascii="宋体" w:hAnsi="宋体" w:eastAsia="宋体" w:cs="宋体"/>
          <w:color w:val="auto"/>
          <w:sz w:val="24"/>
          <w:szCs w:val="24"/>
          <w:shd w:val="clear" w:fill="FFFFFF"/>
        </w:rPr>
        <w:t>有效授权书原件。</w:t>
      </w:r>
    </w:p>
    <w:p>
      <w:pPr>
        <w:numPr>
          <w:ilvl w:val="0"/>
          <w:numId w:val="0"/>
        </w:numPr>
        <w:tabs>
          <w:tab w:val="left" w:pos="896"/>
        </w:tabs>
        <w:spacing w:line="360" w:lineRule="auto"/>
        <w:ind w:left="482" w:leftChars="0"/>
        <w:rPr>
          <w:rFonts w:hint="eastAsia" w:ascii="宋体" w:hAnsi="宋体" w:eastAsia="宋体" w:cs="Times New Roman"/>
          <w:bCs/>
          <w:color w:val="0D0D0D" w:themeColor="text1" w:themeTint="F2"/>
          <w:sz w:val="24"/>
          <w:szCs w:val="24"/>
          <w:highlight w:val="none"/>
          <w:lang w:val="en-US" w:eastAsia="zh-CN"/>
          <w14:textFill>
            <w14:solidFill>
              <w14:schemeClr w14:val="tx1">
                <w14:lumMod w14:val="95000"/>
                <w14:lumOff w14:val="5000"/>
              </w14:schemeClr>
            </w14:solidFill>
          </w14:textFill>
        </w:rPr>
      </w:pPr>
      <w:r>
        <w:rPr>
          <w:rFonts w:hint="eastAsia" w:ascii="宋体" w:hAnsi="宋体" w:cs="Times New Roman"/>
          <w:bCs/>
          <w:color w:val="0D0D0D" w:themeColor="text1" w:themeTint="F2"/>
          <w:sz w:val="24"/>
          <w:szCs w:val="24"/>
          <w:highlight w:val="none"/>
          <w:lang w:val="en-US" w:eastAsia="zh-CN"/>
          <w14:textFill>
            <w14:solidFill>
              <w14:schemeClr w14:val="tx1">
                <w14:lumMod w14:val="95000"/>
                <w14:lumOff w14:val="5000"/>
              </w14:schemeClr>
            </w14:solidFill>
          </w14:textFill>
        </w:rPr>
        <w:t>4、</w:t>
      </w:r>
      <w:r>
        <w:rPr>
          <w:rFonts w:hint="eastAsia" w:ascii="宋体" w:hAnsi="宋体" w:eastAsia="宋体" w:cs="Times New Roman"/>
          <w:bCs/>
          <w:color w:val="0D0D0D" w:themeColor="text1" w:themeTint="F2"/>
          <w:sz w:val="24"/>
          <w:szCs w:val="24"/>
          <w:highlight w:val="none"/>
          <w:lang w:val="en-US" w:eastAsia="zh-CN"/>
          <w14:textFill>
            <w14:solidFill>
              <w14:schemeClr w14:val="tx1">
                <w14:lumMod w14:val="95000"/>
                <w14:lumOff w14:val="5000"/>
              </w14:schemeClr>
            </w14:solidFill>
          </w14:textFill>
        </w:rPr>
        <w:t>本项目不接受联合体形式的投标。</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color w:val="auto"/>
        </w:rPr>
      </w:pPr>
      <w:r>
        <w:rPr>
          <w:rStyle w:val="24"/>
          <w:rFonts w:hint="eastAsia" w:ascii="宋体" w:hAnsi="宋体" w:eastAsia="宋体" w:cs="宋体"/>
          <w:color w:val="auto"/>
          <w:sz w:val="24"/>
          <w:szCs w:val="24"/>
          <w:shd w:val="clear" w:fill="FFFFFF"/>
        </w:rPr>
        <w:t>三、获取招标文件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时间：</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 xml:space="preserve">12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4 </w:t>
      </w:r>
      <w:r>
        <w:rPr>
          <w:rFonts w:hint="eastAsia" w:ascii="宋体" w:hAnsi="宋体" w:eastAsia="宋体" w:cs="宋体"/>
          <w:color w:val="auto"/>
          <w:sz w:val="24"/>
          <w:szCs w:val="24"/>
          <w:shd w:val="clear" w:fill="FFFFFF"/>
        </w:rPr>
        <w:t>日至</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12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11 </w:t>
      </w:r>
      <w:r>
        <w:rPr>
          <w:rFonts w:hint="eastAsia" w:ascii="宋体" w:hAnsi="宋体" w:eastAsia="宋体" w:cs="宋体"/>
          <w:color w:val="auto"/>
          <w:sz w:val="24"/>
          <w:szCs w:val="24"/>
          <w:shd w:val="clear" w:fill="FFFFFF"/>
        </w:rPr>
        <w:t>日17:30(北京时间)</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textAlignment w:val="auto"/>
        <w:rPr>
          <w:color w:val="auto"/>
        </w:rPr>
      </w:pPr>
      <w:r>
        <w:rPr>
          <w:rFonts w:hint="eastAsia" w:ascii="宋体" w:hAnsi="宋体" w:eastAsia="宋体" w:cs="宋体"/>
          <w:color w:val="auto"/>
          <w:sz w:val="24"/>
          <w:szCs w:val="24"/>
          <w:shd w:val="clear" w:fill="FFFFFF"/>
        </w:rPr>
        <w:t>招标文件下载：见附件</w:t>
      </w:r>
    </w:p>
    <w:p>
      <w:pPr>
        <w:pStyle w:val="1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00" w:lineRule="exact"/>
        <w:ind w:left="0" w:right="0" w:firstLine="420"/>
        <w:textAlignment w:val="auto"/>
        <w:rPr>
          <w:rStyle w:val="24"/>
          <w:rFonts w:hint="eastAsia" w:ascii="宋体" w:hAnsi="宋体" w:eastAsia="宋体" w:cs="宋体"/>
          <w:color w:val="auto"/>
          <w:sz w:val="24"/>
          <w:szCs w:val="24"/>
          <w:shd w:val="clear" w:fill="FFFFFF"/>
        </w:rPr>
      </w:pPr>
      <w:r>
        <w:rPr>
          <w:rStyle w:val="24"/>
          <w:rFonts w:hint="eastAsia" w:ascii="宋体" w:hAnsi="宋体" w:eastAsia="宋体" w:cs="宋体"/>
          <w:color w:val="auto"/>
          <w:sz w:val="24"/>
          <w:szCs w:val="24"/>
          <w:shd w:val="clear" w:fill="FFFFFF"/>
        </w:rPr>
        <w:t>提交投标文件截止时间、开标时间和地点</w:t>
      </w:r>
    </w:p>
    <w:p>
      <w:pPr>
        <w:pStyle w:val="19"/>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b w:val="0"/>
          <w:sz w:val="24"/>
          <w:szCs w:val="24"/>
        </w:rPr>
        <w:t>提交投标文件截止时间、开标时间</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u w:val="single"/>
          <w:shd w:val="clear" w:fill="FFFFFF"/>
        </w:rPr>
        <w:t>2020</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年</w:t>
      </w:r>
      <w:r>
        <w:rPr>
          <w:rFonts w:hint="eastAsia" w:ascii="宋体" w:hAnsi="宋体" w:eastAsia="宋体" w:cs="宋体"/>
          <w:color w:val="auto"/>
          <w:sz w:val="24"/>
          <w:szCs w:val="24"/>
          <w:u w:val="single"/>
          <w:shd w:val="clear" w:fill="FFFFFF"/>
          <w:lang w:val="en-US" w:eastAsia="zh-CN"/>
        </w:rPr>
        <w:t xml:space="preserve"> 12 </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u w:val="single"/>
          <w:shd w:val="clear" w:fill="FFFFFF"/>
          <w:lang w:val="en-US" w:eastAsia="zh-CN"/>
        </w:rPr>
        <w:t xml:space="preserve"> 31</w:t>
      </w:r>
      <w:r>
        <w:rPr>
          <w:rFonts w:hint="eastAsia" w:ascii="宋体" w:hAnsi="宋体" w:eastAsia="宋体" w:cs="宋体"/>
          <w:color w:val="auto"/>
          <w:sz w:val="24"/>
          <w:szCs w:val="24"/>
          <w:shd w:val="clear" w:fill="FFFFFF"/>
        </w:rPr>
        <w:t>日</w:t>
      </w:r>
      <w:r>
        <w:rPr>
          <w:rFonts w:hint="eastAsia" w:ascii="宋体" w:hAnsi="宋体" w:cs="宋体"/>
          <w:color w:val="auto"/>
          <w:sz w:val="24"/>
          <w:szCs w:val="24"/>
          <w:u w:val="single"/>
          <w:shd w:val="clear" w:fill="FFFFFF"/>
          <w:lang w:val="en-US" w:eastAsia="zh-CN"/>
        </w:rPr>
        <w:t xml:space="preserve"> 9 </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u w:val="single"/>
          <w:shd w:val="clear" w:fill="FFFFFF"/>
          <w:lang w:val="en-US" w:eastAsia="zh-CN"/>
        </w:rPr>
        <w:t xml:space="preserve"> 00</w:t>
      </w:r>
      <w:r>
        <w:rPr>
          <w:rFonts w:hint="eastAsia" w:ascii="宋体" w:hAnsi="宋体" w:eastAsia="宋体" w:cs="宋体"/>
          <w:color w:val="auto"/>
          <w:sz w:val="24"/>
          <w:szCs w:val="24"/>
          <w:shd w:val="clear" w:fill="FFFFFF"/>
          <w:lang w:val="en-US" w:eastAsia="zh-CN"/>
        </w:rPr>
        <w:t>分</w:t>
      </w:r>
      <w:r>
        <w:rPr>
          <w:rFonts w:hint="eastAsia" w:ascii="宋体" w:hAnsi="宋体" w:eastAsia="宋体" w:cs="宋体"/>
          <w:color w:val="auto"/>
          <w:sz w:val="24"/>
          <w:szCs w:val="24"/>
          <w:shd w:val="clear" w:fill="FFFFFF"/>
        </w:rPr>
        <w:t>（</w:t>
      </w:r>
      <w:r>
        <w:rPr>
          <w:rFonts w:hint="eastAsia" w:ascii="宋体" w:hAnsi="宋体" w:eastAsia="宋体" w:cs="宋体"/>
          <w:color w:val="auto"/>
          <w:sz w:val="24"/>
          <w:szCs w:val="24"/>
          <w:shd w:val="clear" w:fill="FFFFFF"/>
          <w:lang w:val="en-US" w:eastAsia="zh-CN"/>
        </w:rPr>
        <w:t>8</w:t>
      </w:r>
      <w:r>
        <w:rPr>
          <w:rFonts w:hint="eastAsia" w:ascii="宋体" w:hAnsi="宋体" w:eastAsia="宋体" w:cs="宋体"/>
          <w:color w:val="auto"/>
          <w:sz w:val="24"/>
          <w:szCs w:val="24"/>
          <w:shd w:val="clear" w:fill="FFFFFF"/>
        </w:rPr>
        <w:t>时</w:t>
      </w:r>
      <w:r>
        <w:rPr>
          <w:rFonts w:hint="eastAsia" w:ascii="宋体" w:hAnsi="宋体" w:eastAsia="宋体" w:cs="宋体"/>
          <w:color w:val="auto"/>
          <w:sz w:val="24"/>
          <w:szCs w:val="24"/>
          <w:shd w:val="clear" w:fill="FFFFFF"/>
          <w:lang w:val="en-US" w:eastAsia="zh-CN"/>
        </w:rPr>
        <w:t>30</w:t>
      </w:r>
      <w:r>
        <w:rPr>
          <w:rFonts w:hint="eastAsia" w:ascii="宋体" w:hAnsi="宋体" w:eastAsia="宋体" w:cs="宋体"/>
          <w:color w:val="auto"/>
          <w:sz w:val="24"/>
          <w:szCs w:val="24"/>
          <w:shd w:val="clear" w:fill="FFFFFF"/>
        </w:rPr>
        <w:t>分</w:t>
      </w:r>
      <w:r>
        <w:rPr>
          <w:rFonts w:hint="eastAsia" w:ascii="宋体" w:hAnsi="宋体" w:eastAsia="宋体" w:cs="宋体"/>
          <w:color w:val="auto"/>
          <w:sz w:val="24"/>
          <w:szCs w:val="24"/>
          <w:shd w:val="clear" w:fill="FFFFFF"/>
          <w:lang w:val="en-US" w:eastAsia="zh-CN"/>
        </w:rPr>
        <w:t>)</w:t>
      </w:r>
      <w:r>
        <w:rPr>
          <w:rFonts w:hint="eastAsia" w:ascii="宋体" w:hAnsi="宋体" w:eastAsia="宋体" w:cs="宋体"/>
          <w:color w:val="auto"/>
          <w:sz w:val="24"/>
          <w:szCs w:val="24"/>
          <w:shd w:val="clear" w:fill="FFFFFF"/>
        </w:rPr>
        <w:t>开始接收投标文件，拒收逾期送达或者未按招标文件要求密封的投标文件）</w:t>
      </w:r>
    </w:p>
    <w:p>
      <w:pPr>
        <w:pStyle w:val="19"/>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b w:val="0"/>
          <w:sz w:val="24"/>
          <w:szCs w:val="24"/>
        </w:rPr>
        <w:t>提交投标文件地点</w:t>
      </w:r>
      <w:r>
        <w:rPr>
          <w:rFonts w:hint="eastAsia" w:ascii="宋体" w:hAnsi="宋体" w:eastAsia="宋体" w:cs="宋体"/>
          <w:color w:val="auto"/>
          <w:sz w:val="24"/>
          <w:szCs w:val="24"/>
          <w:shd w:val="clear" w:fill="FFFFFF"/>
        </w:rPr>
        <w:t>：阳新县公共资源交易中心</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cs="宋体"/>
          <w:color w:val="auto"/>
          <w:sz w:val="24"/>
          <w:szCs w:val="24"/>
          <w:u w:val="single"/>
          <w:shd w:val="clear" w:fill="FFFFFF"/>
          <w:lang w:val="en-US" w:eastAsia="zh-CN"/>
        </w:rPr>
        <w:t>二</w:t>
      </w:r>
      <w:r>
        <w:rPr>
          <w:rFonts w:hint="eastAsia" w:ascii="宋体" w:hAnsi="宋体" w:eastAsia="宋体" w:cs="宋体"/>
          <w:color w:val="auto"/>
          <w:sz w:val="24"/>
          <w:szCs w:val="24"/>
          <w:u w:val="single"/>
          <w:shd w:val="clear" w:fill="FFFFFF"/>
          <w:lang w:val="en-US" w:eastAsia="zh-CN"/>
        </w:rPr>
        <w:t xml:space="preserve"> </w:t>
      </w:r>
      <w:r>
        <w:rPr>
          <w:rFonts w:hint="eastAsia" w:ascii="宋体" w:hAnsi="宋体" w:eastAsia="宋体" w:cs="宋体"/>
          <w:color w:val="auto"/>
          <w:sz w:val="24"/>
          <w:szCs w:val="24"/>
          <w:shd w:val="clear" w:fill="FFFFFF"/>
        </w:rPr>
        <w:t>楼开标大厅（阳新县熊家垴安置小区东侧）</w:t>
      </w:r>
    </w:p>
    <w:p>
      <w:pPr>
        <w:pStyle w:val="19"/>
        <w:keepNext w:val="0"/>
        <w:keepLines w:val="0"/>
        <w:widowControl/>
        <w:suppressLineNumbers w:val="0"/>
        <w:spacing w:before="0" w:beforeAutospacing="0" w:after="0" w:afterAutospacing="0" w:line="360" w:lineRule="auto"/>
        <w:ind w:left="0" w:right="0" w:firstLine="420"/>
        <w:rPr>
          <w:color w:val="auto"/>
        </w:rPr>
      </w:pPr>
      <w:r>
        <w:rPr>
          <w:rStyle w:val="24"/>
          <w:rFonts w:hint="eastAsia" w:ascii="宋体" w:hAnsi="宋体" w:eastAsia="宋体" w:cs="宋体"/>
          <w:color w:val="auto"/>
          <w:sz w:val="24"/>
          <w:szCs w:val="24"/>
          <w:shd w:val="clear" w:fill="FFFFFF"/>
        </w:rPr>
        <w:t>五、公告期限</w:t>
      </w:r>
    </w:p>
    <w:p>
      <w:pPr>
        <w:pStyle w:val="19"/>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rPr>
        <w:t>自本公告发布之日起5个工作日。</w:t>
      </w:r>
    </w:p>
    <w:p>
      <w:pPr>
        <w:pStyle w:val="19"/>
        <w:keepNext w:val="0"/>
        <w:keepLines w:val="0"/>
        <w:widowControl/>
        <w:suppressLineNumbers w:val="0"/>
        <w:spacing w:before="0" w:beforeAutospacing="0" w:after="0" w:afterAutospacing="0" w:line="360" w:lineRule="auto"/>
        <w:ind w:left="0" w:right="0" w:firstLine="420"/>
        <w:rPr>
          <w:color w:val="auto"/>
        </w:rPr>
      </w:pPr>
      <w:r>
        <w:rPr>
          <w:rStyle w:val="24"/>
          <w:rFonts w:hint="eastAsia" w:ascii="宋体" w:hAnsi="宋体" w:eastAsia="宋体" w:cs="宋体"/>
          <w:color w:val="auto"/>
          <w:sz w:val="24"/>
          <w:szCs w:val="24"/>
          <w:shd w:val="clear" w:fill="FFFFFF"/>
        </w:rPr>
        <w:t>六、其他补充事宜</w:t>
      </w:r>
    </w:p>
    <w:p>
      <w:pPr>
        <w:pStyle w:val="19"/>
        <w:keepNext w:val="0"/>
        <w:keepLines w:val="0"/>
        <w:widowControl/>
        <w:suppressLineNumbers w:val="0"/>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fill="FFFFFF"/>
          <w:lang w:val="en-US" w:eastAsia="zh-CN"/>
        </w:rPr>
        <w:t>1、</w:t>
      </w:r>
      <w:r>
        <w:rPr>
          <w:rFonts w:hint="eastAsia" w:ascii="宋体" w:hAnsi="宋体" w:eastAsia="宋体" w:cs="宋体"/>
          <w:color w:val="auto"/>
          <w:sz w:val="24"/>
          <w:szCs w:val="24"/>
          <w:shd w:val="clear" w:fill="FFFFFF"/>
        </w:rPr>
        <w:t>落实政府采购强制、优先采购节能产品政策；政府采购优先采购环保产品政策；政府采购促进中小企业发展（监狱企业、残疾人福利性单位视同小微企业）等政策。</w:t>
      </w:r>
    </w:p>
    <w:p>
      <w:pPr>
        <w:pStyle w:val="19"/>
        <w:keepNext w:val="0"/>
        <w:keepLines w:val="0"/>
        <w:widowControl/>
        <w:suppressLineNumbers w:val="0"/>
        <w:spacing w:before="0" w:beforeAutospacing="0" w:after="0" w:afterAutospacing="0" w:line="360" w:lineRule="auto"/>
        <w:ind w:left="0" w:right="0" w:firstLine="480"/>
        <w:rPr>
          <w:rFonts w:hint="eastAsia" w:ascii="宋体" w:hAnsi="宋体" w:eastAsia="宋体" w:cs="宋体"/>
          <w:color w:val="auto"/>
          <w:sz w:val="24"/>
          <w:szCs w:val="24"/>
          <w:shd w:val="clear" w:fill="FFFFFF"/>
        </w:rPr>
      </w:pPr>
      <w:r>
        <w:rPr>
          <w:rFonts w:hint="eastAsia" w:ascii="宋体" w:hAnsi="宋体" w:eastAsia="宋体" w:cs="宋体"/>
          <w:color w:val="auto"/>
          <w:sz w:val="24"/>
          <w:szCs w:val="24"/>
          <w:shd w:val="clear" w:fill="FFFFFF"/>
          <w:lang w:val="en-US" w:eastAsia="zh-CN"/>
        </w:rPr>
        <w:t>2、</w:t>
      </w:r>
      <w:r>
        <w:rPr>
          <w:rFonts w:hint="eastAsia" w:ascii="宋体" w:hAnsi="宋体" w:eastAsia="宋体" w:cs="宋体"/>
          <w:color w:val="auto"/>
          <w:sz w:val="24"/>
          <w:szCs w:val="24"/>
          <w:shd w:val="clear" w:fill="FFFFFF"/>
        </w:rPr>
        <w:t>是否专门面向中小企业、监狱企业、残疾人福利性单位：否。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kern w:val="0"/>
          <w:sz w:val="24"/>
          <w:szCs w:val="24"/>
        </w:rPr>
        <w:t>质疑时请提交书面质疑函一份（法人代表签字、加盖单位公章。具体要求详见本招标文件“第二章 投标人须知”中的第八条之规定），并附相关证据材料。</w:t>
      </w:r>
    </w:p>
    <w:p>
      <w:pPr>
        <w:pStyle w:val="19"/>
        <w:keepNext w:val="0"/>
        <w:keepLines w:val="0"/>
        <w:widowControl/>
        <w:suppressLineNumbers w:val="0"/>
        <w:spacing w:before="0" w:beforeAutospacing="0" w:after="0" w:afterAutospacing="0" w:line="360" w:lineRule="auto"/>
        <w:ind w:left="0" w:right="0" w:firstLine="420"/>
        <w:rPr>
          <w:color w:val="auto"/>
        </w:rPr>
      </w:pPr>
      <w:r>
        <w:rPr>
          <w:rStyle w:val="24"/>
          <w:rFonts w:hint="eastAsia" w:ascii="宋体" w:hAnsi="宋体" w:eastAsia="宋体" w:cs="宋体"/>
          <w:color w:val="auto"/>
          <w:sz w:val="24"/>
          <w:szCs w:val="24"/>
          <w:shd w:val="clear" w:fill="FFFFFF"/>
        </w:rPr>
        <w:t>七、对本次招标提出询问，请按以下方式联系。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1.采购人信息</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名    称：阳新县人民医院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地    址：阳新县兴国镇儒学路81号 </w:t>
      </w:r>
    </w:p>
    <w:p>
      <w:pPr>
        <w:spacing w:line="360" w:lineRule="auto"/>
        <w:ind w:firstLine="480" w:firstLineChars="200"/>
        <w:rPr>
          <w:rFonts w:hint="eastAsia"/>
        </w:rPr>
      </w:pPr>
      <w:r>
        <w:rPr>
          <w:rFonts w:hint="eastAsia" w:ascii="宋体" w:hAnsi="宋体" w:cs="宋体"/>
          <w:sz w:val="24"/>
          <w:szCs w:val="24"/>
        </w:rPr>
        <w:t>联 系 人:周理河</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联系方式：13669042989</w:t>
      </w:r>
      <w:bookmarkStart w:id="2" w:name="_Toc28359009"/>
      <w:bookmarkStart w:id="3" w:name="_Toc28359086"/>
    </w:p>
    <w:p>
      <w:pPr>
        <w:spacing w:line="360" w:lineRule="auto"/>
        <w:ind w:firstLine="480" w:firstLineChars="200"/>
        <w:rPr>
          <w:rFonts w:hint="eastAsia" w:ascii="宋体" w:hAnsi="宋体" w:cs="宋体"/>
          <w:sz w:val="24"/>
          <w:szCs w:val="24"/>
        </w:rPr>
      </w:pPr>
      <w:r>
        <w:rPr>
          <w:rFonts w:hint="eastAsia" w:ascii="宋体" w:hAnsi="宋体" w:cs="宋体"/>
          <w:sz w:val="24"/>
          <w:szCs w:val="24"/>
        </w:rPr>
        <w:t>2.采购代理机构信息</w:t>
      </w:r>
      <w:bookmarkEnd w:id="2"/>
      <w:bookmarkEnd w:id="3"/>
    </w:p>
    <w:p>
      <w:pPr>
        <w:spacing w:line="360" w:lineRule="auto"/>
        <w:ind w:firstLine="480" w:firstLineChars="200"/>
        <w:rPr>
          <w:rFonts w:hint="eastAsia" w:ascii="宋体" w:hAnsi="宋体" w:cs="宋体"/>
          <w:sz w:val="24"/>
          <w:szCs w:val="24"/>
        </w:rPr>
      </w:pPr>
      <w:r>
        <w:rPr>
          <w:rFonts w:hint="eastAsia" w:ascii="宋体" w:hAnsi="宋体" w:cs="宋体"/>
          <w:sz w:val="24"/>
          <w:szCs w:val="24"/>
        </w:rPr>
        <w:t>名    称：咸宁市长宁招投标有限责任公司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地    址： 阳新县兴国大道120号京海大厦2505室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联 系 人:王小丽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联系方式：</w:t>
      </w:r>
      <w:bookmarkStart w:id="4" w:name="_Toc28359010"/>
      <w:bookmarkStart w:id="5" w:name="_Toc28359087"/>
      <w:r>
        <w:rPr>
          <w:rFonts w:hint="eastAsia" w:ascii="宋体" w:hAnsi="宋体" w:cs="宋体"/>
          <w:sz w:val="24"/>
          <w:szCs w:val="24"/>
        </w:rPr>
        <w:t xml:space="preserve">13872117488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w:t>
      </w:r>
      <w:bookmarkEnd w:id="4"/>
      <w:bookmarkEnd w:id="5"/>
      <w:r>
        <w:rPr>
          <w:rFonts w:hint="eastAsia" w:ascii="宋体" w:hAnsi="宋体" w:cs="宋体"/>
          <w:sz w:val="24"/>
          <w:szCs w:val="24"/>
        </w:rPr>
        <w:t>综合监督机构:阳新县政务服务和大数据管理局公共资源交易监督管理股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电    话：0714-7319782</w:t>
      </w:r>
    </w:p>
    <w:p>
      <w:pPr>
        <w:spacing w:line="360" w:lineRule="auto"/>
        <w:ind w:firstLine="6000" w:firstLineChars="2500"/>
        <w:rPr>
          <w:rFonts w:hint="eastAsia" w:ascii="宋体" w:hAnsi="宋体" w:cs="宋体"/>
          <w:sz w:val="24"/>
          <w:szCs w:val="24"/>
        </w:rPr>
      </w:pPr>
      <w:r>
        <w:rPr>
          <w:rFonts w:hint="eastAsia" w:ascii="宋体" w:hAnsi="宋体" w:cs="宋体"/>
          <w:sz w:val="24"/>
          <w:szCs w:val="24"/>
        </w:rPr>
        <w:t>咸宁市长宁招投标有限责任公司</w:t>
      </w:r>
    </w:p>
    <w:p>
      <w:pPr>
        <w:wordWrap w:val="0"/>
        <w:spacing w:line="360" w:lineRule="auto"/>
        <w:ind w:firstLine="480" w:firstLineChars="200"/>
        <w:jc w:val="center"/>
        <w:rPr>
          <w:rFonts w:hint="eastAsia" w:ascii="宋体" w:hAnsi="宋体" w:cs="宋体"/>
          <w:color w:val="auto"/>
          <w:sz w:val="24"/>
          <w:szCs w:val="24"/>
        </w:rPr>
      </w:pPr>
      <w:r>
        <w:rPr>
          <w:rFonts w:hint="eastAsia" w:ascii="宋体" w:hAnsi="宋体" w:cs="宋体"/>
          <w:color w:val="FF0000"/>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2020年</w:t>
      </w:r>
      <w:r>
        <w:rPr>
          <w:rFonts w:hint="eastAsia" w:ascii="宋体" w:hAnsi="宋体" w:cs="宋体"/>
          <w:color w:val="auto"/>
          <w:sz w:val="24"/>
          <w:szCs w:val="24"/>
          <w:lang w:val="en-US" w:eastAsia="zh-CN"/>
        </w:rPr>
        <w:t xml:space="preserve"> 12</w:t>
      </w:r>
      <w:r>
        <w:rPr>
          <w:rFonts w:hint="eastAsia" w:ascii="宋体" w:hAnsi="宋体" w:cs="宋体"/>
          <w:color w:val="auto"/>
          <w:sz w:val="24"/>
          <w:szCs w:val="24"/>
        </w:rPr>
        <w:t xml:space="preserve"> 月</w:t>
      </w:r>
      <w:r>
        <w:rPr>
          <w:rFonts w:hint="eastAsia" w:ascii="宋体" w:hAnsi="宋体" w:cs="宋体"/>
          <w:color w:val="auto"/>
          <w:sz w:val="24"/>
          <w:szCs w:val="24"/>
          <w:lang w:val="en-US" w:eastAsia="zh-CN"/>
        </w:rPr>
        <w:t xml:space="preserve"> 4</w:t>
      </w:r>
      <w:r>
        <w:rPr>
          <w:rFonts w:hint="eastAsia" w:ascii="宋体" w:hAnsi="宋体" w:cs="宋体"/>
          <w:color w:val="auto"/>
          <w:sz w:val="24"/>
          <w:szCs w:val="24"/>
        </w:rPr>
        <w:t xml:space="preserve"> </w:t>
      </w:r>
      <w:r>
        <w:rPr>
          <w:rFonts w:hint="eastAsia" w:ascii="宋体" w:hAnsi="宋体" w:cs="宋体"/>
          <w:color w:val="auto"/>
          <w:sz w:val="24"/>
          <w:szCs w:val="24"/>
          <w:lang w:eastAsia="zh-CN"/>
        </w:rPr>
        <w:t>日</w:t>
      </w:r>
    </w:p>
    <w:p>
      <w:pPr>
        <w:pStyle w:val="3"/>
        <w:numPr>
          <w:ilvl w:val="0"/>
          <w:numId w:val="1"/>
        </w:numPr>
        <w:spacing w:before="240" w:after="120"/>
        <w:ind w:left="883" w:hanging="880" w:hangingChars="200"/>
        <w:jc w:val="center"/>
        <w:rPr>
          <w:rFonts w:ascii="黑体" w:hAnsi="黑体" w:eastAsia="黑体"/>
          <w:highlight w:val="none"/>
        </w:rPr>
      </w:pPr>
      <w:r>
        <w:rPr>
          <w:rFonts w:hint="eastAsia" w:ascii="黑体" w:hAnsi="黑体" w:eastAsia="黑体"/>
          <w:highlight w:val="none"/>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highlight w:val="none"/>
          <w:lang w:val="zh-CN"/>
        </w:rPr>
      </w:pPr>
      <w:bookmarkStart w:id="6" w:name="_Toc495861519"/>
      <w:bookmarkStart w:id="7" w:name="_Toc494561937"/>
      <w:r>
        <w:rPr>
          <w:rFonts w:cs="Times New Roman" w:asciiTheme="majorEastAsia" w:hAnsiTheme="majorEastAsia" w:eastAsiaTheme="majorEastAsia"/>
          <w:b/>
          <w:bCs/>
          <w:sz w:val="32"/>
          <w:szCs w:val="32"/>
          <w:highlight w:val="none"/>
          <w:lang w:val="zh-CN"/>
        </w:rPr>
        <w:t>投标须知前附表</w:t>
      </w:r>
      <w:bookmarkEnd w:id="6"/>
      <w:bookmarkEnd w:id="7"/>
    </w:p>
    <w:tbl>
      <w:tblPr>
        <w:tblStyle w:val="21"/>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highlight w:val="none"/>
              </w:rPr>
            </w:pPr>
            <w:r>
              <w:rPr>
                <w:rFonts w:ascii="宋体" w:hAnsi="宋体" w:eastAsia="宋体" w:cs="Times New Roman"/>
                <w:b/>
                <w:sz w:val="24"/>
                <w:szCs w:val="24"/>
                <w:highlight w:val="none"/>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highlight w:val="none"/>
              </w:rPr>
            </w:pPr>
            <w:r>
              <w:rPr>
                <w:rFonts w:hint="eastAsia" w:ascii="Times New Roman" w:hAnsi="宋体" w:eastAsia="宋体" w:cs="Times New Roman"/>
                <w:b/>
                <w:sz w:val="24"/>
                <w:szCs w:val="24"/>
                <w:highlight w:val="none"/>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highlight w:val="none"/>
              </w:rPr>
            </w:pPr>
            <w:r>
              <w:rPr>
                <w:rFonts w:ascii="Times New Roman" w:hAnsi="宋体" w:eastAsia="宋体" w:cs="Times New Roman"/>
                <w:b/>
                <w:sz w:val="24"/>
                <w:szCs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highlight w:val="none"/>
              </w:rPr>
            </w:pPr>
            <w:r>
              <w:rPr>
                <w:rFonts w:ascii="Times New Roman" w:hAnsi="宋体" w:eastAsia="宋体" w:cs="Times New Roman"/>
                <w:color w:val="auto"/>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rPr>
                <w:rFonts w:hint="default" w:ascii="Times New Roman" w:hAnsi="Times New Roman" w:eastAsia="宋体" w:cs="Times New Roman"/>
                <w:color w:val="auto"/>
                <w:sz w:val="24"/>
                <w:szCs w:val="24"/>
                <w:highlight w:val="none"/>
                <w:lang w:val="en-US"/>
              </w:rPr>
            </w:pPr>
            <w:r>
              <w:rPr>
                <w:rFonts w:hint="eastAsia" w:ascii="Times New Roman" w:hAnsi="Times New Roman" w:eastAsia="宋体" w:cs="Times New Roman"/>
                <w:color w:val="auto"/>
                <w:sz w:val="24"/>
                <w:szCs w:val="24"/>
                <w:highlight w:val="none"/>
                <w:lang w:val="en-US" w:eastAsia="zh-CN"/>
              </w:rPr>
              <w:t>131-2020CG-280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项目名称</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宋体" w:cs="Times New Roman"/>
                <w:color w:val="FF0000"/>
                <w:sz w:val="24"/>
                <w:szCs w:val="24"/>
                <w:highlight w:val="none"/>
                <w:lang w:eastAsia="zh-CN"/>
              </w:rPr>
            </w:pPr>
            <w:r>
              <w:rPr>
                <w:rFonts w:hint="eastAsia" w:ascii="Times New Roman" w:hAnsi="Times New Roman" w:eastAsia="宋体" w:cs="Times New Roman"/>
                <w:color w:val="auto"/>
                <w:sz w:val="24"/>
                <w:szCs w:val="24"/>
                <w:highlight w:val="none"/>
                <w:lang w:eastAsia="zh-CN"/>
              </w:rPr>
              <w:t>阳新县人民医院宫腔镜设备采购项目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0D0D0D"/>
                <w:kern w:val="0"/>
                <w:sz w:val="24"/>
                <w:szCs w:val="24"/>
                <w:highlight w:val="none"/>
              </w:rPr>
            </w:pPr>
            <w:r>
              <w:rPr>
                <w:rFonts w:hint="eastAsia" w:ascii="宋体" w:hAnsi="宋体" w:eastAsia="宋体" w:cs="宋体"/>
                <w:color w:val="auto"/>
                <w:kern w:val="0"/>
                <w:sz w:val="24"/>
                <w:szCs w:val="24"/>
                <w:highlight w:val="none"/>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宋体" w:hAnsi="宋体" w:eastAsia="宋体" w:cs="宋体"/>
                <w:bCs/>
                <w:color w:val="auto"/>
                <w:kern w:val="0"/>
                <w:sz w:val="24"/>
                <w:szCs w:val="24"/>
                <w:highlight w:val="none"/>
                <w:u w:val="none"/>
              </w:rPr>
              <w:t>阳新县</w:t>
            </w:r>
            <w:r>
              <w:rPr>
                <w:rFonts w:hint="eastAsia" w:ascii="宋体" w:hAnsi="宋体" w:eastAsia="宋体" w:cs="宋体"/>
                <w:bCs/>
                <w:color w:val="auto"/>
                <w:kern w:val="0"/>
                <w:sz w:val="24"/>
                <w:szCs w:val="24"/>
                <w:highlight w:val="none"/>
                <w:u w:val="none"/>
                <w:lang w:eastAsia="zh-CN"/>
              </w:rPr>
              <w:t>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FF0000"/>
                <w:kern w:val="0"/>
                <w:sz w:val="24"/>
                <w:szCs w:val="24"/>
                <w:highlight w:val="none"/>
              </w:rPr>
            </w:pPr>
            <w:r>
              <w:rPr>
                <w:rFonts w:hint="eastAsia" w:ascii="Times New Roman" w:hAnsi="宋体"/>
                <w:b/>
                <w:bCs/>
                <w:color w:val="000000"/>
                <w:sz w:val="24"/>
                <w:szCs w:val="24"/>
              </w:rPr>
              <w:t>本项目无须递交投标保证金，该文件涉及投标保证金的部分都将不作任何要求。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保证金</w:t>
            </w:r>
            <w:r>
              <w:rPr>
                <w:rFonts w:hint="eastAsia" w:ascii="Times New Roman" w:hAnsi="宋体" w:eastAsia="宋体" w:cs="Times New Roman"/>
                <w:sz w:val="24"/>
                <w:szCs w:val="24"/>
                <w:highlight w:val="none"/>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kern w:val="0"/>
                <w:sz w:val="24"/>
                <w:szCs w:val="24"/>
                <w:highlight w:val="none"/>
              </w:rPr>
            </w:pPr>
            <w:r>
              <w:rPr>
                <w:rFonts w:hint="eastAsia" w:ascii="宋体" w:hAnsi="宋体" w:eastAsia="宋体" w:cs="宋体"/>
                <w:color w:val="0D0D0D" w:themeColor="text1" w:themeTint="F2"/>
                <w:kern w:val="0"/>
                <w:sz w:val="24"/>
                <w:szCs w:val="24"/>
                <w:highlight w:val="none"/>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正本</w:t>
            </w:r>
            <w:r>
              <w:rPr>
                <w:rFonts w:hint="eastAsia" w:ascii="Times New Roman" w:hAnsi="Times New Roman" w:eastAsia="宋体" w:cs="Times New Roman"/>
                <w:color w:val="0D0D0D"/>
                <w:sz w:val="24"/>
                <w:szCs w:val="24"/>
                <w:highlight w:val="none"/>
              </w:rPr>
              <w:t>一</w:t>
            </w:r>
            <w:r>
              <w:rPr>
                <w:rFonts w:ascii="Times New Roman" w:hAnsi="Times New Roman" w:eastAsia="宋体" w:cs="Times New Roman"/>
                <w:color w:val="0D0D0D"/>
                <w:sz w:val="24"/>
                <w:szCs w:val="24"/>
                <w:highlight w:val="none"/>
              </w:rPr>
              <w:t>份</w:t>
            </w:r>
            <w:r>
              <w:rPr>
                <w:rFonts w:hint="eastAsia" w:ascii="Times New Roman" w:hAnsi="Times New Roman" w:eastAsia="宋体" w:cs="Times New Roman"/>
                <w:color w:val="0D0D0D"/>
                <w:sz w:val="24"/>
                <w:szCs w:val="24"/>
                <w:highlight w:val="none"/>
              </w:rPr>
              <w:t>，</w:t>
            </w:r>
            <w:r>
              <w:rPr>
                <w:rFonts w:ascii="Times New Roman" w:hAnsi="Times New Roman" w:eastAsia="宋体" w:cs="Times New Roman"/>
                <w:color w:val="0D0D0D"/>
                <w:sz w:val="24"/>
                <w:szCs w:val="24"/>
                <w:highlight w:val="none"/>
              </w:rPr>
              <w:t>副本</w:t>
            </w:r>
            <w:r>
              <w:rPr>
                <w:rFonts w:hint="eastAsia" w:ascii="Times New Roman" w:hAnsi="Times New Roman" w:eastAsia="宋体" w:cs="Times New Roman"/>
                <w:color w:val="0D0D0D"/>
                <w:sz w:val="24"/>
                <w:szCs w:val="24"/>
                <w:highlight w:val="none"/>
              </w:rPr>
              <w:t>四</w:t>
            </w:r>
            <w:r>
              <w:rPr>
                <w:rFonts w:ascii="Times New Roman" w:hAnsi="Times New Roman" w:eastAsia="宋体" w:cs="Times New Roman"/>
                <w:color w:val="0D0D0D"/>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宋体" w:hAnsi="宋体" w:eastAsia="宋体" w:cs="宋体"/>
                <w:color w:val="0D0D0D"/>
                <w:kern w:val="0"/>
                <w:sz w:val="24"/>
                <w:szCs w:val="24"/>
                <w:highlight w:val="none"/>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FF0000"/>
                <w:sz w:val="24"/>
                <w:szCs w:val="24"/>
                <w:highlight w:val="none"/>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开标时间</w:t>
            </w:r>
            <w:r>
              <w:rPr>
                <w:rFonts w:hint="eastAsia" w:ascii="Times New Roman" w:hAnsi="宋体" w:eastAsia="宋体" w:cs="Times New Roman"/>
                <w:sz w:val="24"/>
                <w:szCs w:val="24"/>
                <w:highlight w:val="none"/>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highlight w:val="none"/>
              </w:rPr>
            </w:pPr>
            <w:r>
              <w:rPr>
                <w:rFonts w:ascii="Times New Roman" w:hAnsi="宋体" w:eastAsia="宋体" w:cs="Times New Roman"/>
                <w:sz w:val="24"/>
                <w:szCs w:val="24"/>
                <w:highlight w:val="none"/>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不提交</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宋体" w:hAnsi="宋体" w:eastAsia="宋体" w:cs="宋体"/>
                <w:color w:val="000000"/>
                <w:sz w:val="24"/>
                <w:szCs w:val="24"/>
                <w:highlight w:val="none"/>
              </w:rPr>
              <w:t>现</w:t>
            </w:r>
            <w:r>
              <w:rPr>
                <w:rFonts w:hint="eastAsia" w:ascii="宋体" w:hAnsi="宋体" w:eastAsia="宋体" w:cs="宋体"/>
                <w:sz w:val="24"/>
                <w:szCs w:val="24"/>
                <w:highlight w:val="none"/>
              </w:rPr>
              <w:t>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不组织</w:t>
            </w:r>
          </w:p>
          <w:p>
            <w:pPr>
              <w:ind w:right="-105" w:rightChars="-50"/>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highlight w:val="none"/>
              </w:rPr>
            </w:pPr>
            <w:r>
              <w:rPr>
                <w:rFonts w:hint="eastAsia" w:ascii="Times New Roman" w:hAnsi="宋体" w:eastAsia="宋体" w:cs="Times New Roman"/>
                <w:color w:val="0D0D0D"/>
                <w:sz w:val="24"/>
                <w:szCs w:val="24"/>
                <w:highlight w:val="none"/>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不允许</w:t>
            </w:r>
          </w:p>
          <w:p>
            <w:pPr>
              <w:rPr>
                <w:rFonts w:ascii="Times New Roman" w:hAnsi="Times New Roman" w:eastAsia="宋体" w:cs="Times New Roman"/>
                <w:color w:val="0D0D0D"/>
                <w:sz w:val="24"/>
                <w:szCs w:val="24"/>
                <w:highlight w:val="none"/>
              </w:rPr>
            </w:pPr>
            <w:r>
              <w:rPr>
                <w:rFonts w:hint="eastAsia" w:ascii="Times New Roman" w:hAnsi="Times New Roman" w:eastAsia="宋体" w:cs="Times New Roman"/>
                <w:color w:val="0D0D0D"/>
                <w:sz w:val="24"/>
                <w:szCs w:val="24"/>
                <w:highlight w:val="none"/>
              </w:rPr>
              <w:t>详见第三章“</w:t>
            </w:r>
            <w:r>
              <w:rPr>
                <w:rFonts w:hint="eastAsia" w:ascii="宋体" w:hAnsi="宋体" w:eastAsia="宋体" w:cs="Times New Roman"/>
                <w:color w:val="0D0D0D"/>
                <w:sz w:val="24"/>
                <w:szCs w:val="24"/>
                <w:highlight w:val="none"/>
              </w:rPr>
              <w:t>项目技术、服务及商务要求</w:t>
            </w:r>
            <w:r>
              <w:rPr>
                <w:rFonts w:hint="eastAsia" w:ascii="Times New Roman" w:hAnsi="Times New Roman" w:eastAsia="宋体" w:cs="Times New Roman"/>
                <w:color w:val="0D0D0D"/>
                <w:sz w:val="24"/>
                <w:szCs w:val="24"/>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ascii="Times New Roman" w:hAnsi="宋体" w:eastAsia="宋体" w:cs="Times New Roman"/>
                <w:sz w:val="24"/>
                <w:szCs w:val="24"/>
                <w:highlight w:val="none"/>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0D0D0D"/>
                <w:sz w:val="24"/>
                <w:szCs w:val="24"/>
                <w:highlight w:val="none"/>
              </w:rPr>
            </w:pPr>
            <w:r>
              <w:rPr>
                <w:rFonts w:ascii="Times New Roman" w:hAnsi="Times New Roman" w:eastAsia="宋体" w:cs="Times New Roman"/>
                <w:color w:val="0D0D0D"/>
                <w:sz w:val="24"/>
                <w:szCs w:val="24"/>
                <w:highlight w:val="none"/>
              </w:rPr>
              <w:t>综合评分法</w:t>
            </w:r>
          </w:p>
          <w:p>
            <w:pPr>
              <w:rPr>
                <w:rFonts w:ascii="Times New Roman" w:hAnsi="Times New Roman" w:eastAsia="宋体" w:cs="Times New Roman"/>
                <w:color w:val="0D0D0D"/>
                <w:sz w:val="24"/>
                <w:szCs w:val="24"/>
                <w:highlight w:val="none"/>
                <w:lang w:val="zh-CN"/>
              </w:rPr>
            </w:pPr>
            <w:r>
              <w:rPr>
                <w:rFonts w:hint="eastAsia" w:ascii="Times New Roman" w:hAnsi="Times New Roman" w:eastAsia="宋体" w:cs="Times New Roman"/>
                <w:color w:val="0D0D0D"/>
                <w:sz w:val="24"/>
                <w:szCs w:val="24"/>
                <w:highlight w:val="none"/>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FF0000"/>
                <w:sz w:val="24"/>
                <w:szCs w:val="24"/>
                <w:highlight w:val="none"/>
              </w:rPr>
            </w:pPr>
            <w:r>
              <w:rPr>
                <w:rFonts w:hint="eastAsia" w:ascii="Times New Roman" w:hAnsi="Times New Roman" w:eastAsia="宋体" w:cs="Times New Roman"/>
                <w:color w:val="FF0000"/>
                <w:sz w:val="24"/>
                <w:szCs w:val="24"/>
                <w:highlight w:val="none"/>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none"/>
              </w:rPr>
            </w:pPr>
            <w:r>
              <w:rPr>
                <w:rFonts w:hint="eastAsia" w:ascii="Times New Roman" w:hAnsi="宋体" w:eastAsia="宋体" w:cs="Times New Roman"/>
                <w:sz w:val="24"/>
                <w:szCs w:val="24"/>
                <w:highlight w:val="none"/>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0D0D0D"/>
                <w:sz w:val="24"/>
                <w:szCs w:val="24"/>
                <w:highlight w:val="none"/>
              </w:rPr>
            </w:pPr>
            <w:r>
              <w:rPr>
                <w:rFonts w:hint="eastAsia" w:cs="Times New Roman" w:asciiTheme="minorEastAsia" w:hAnsiTheme="minorEastAsia"/>
                <w:color w:val="0D0D0D"/>
                <w:sz w:val="24"/>
                <w:szCs w:val="24"/>
                <w:highlight w:val="none"/>
              </w:rPr>
              <w:t>详见本章“质疑及提交”要求</w:t>
            </w:r>
          </w:p>
        </w:tc>
      </w:tr>
    </w:tbl>
    <w:p>
      <w:pPr>
        <w:keepNext/>
        <w:keepLines/>
        <w:numPr>
          <w:ilvl w:val="0"/>
          <w:numId w:val="4"/>
        </w:numPr>
        <w:spacing w:before="100" w:beforeAutospacing="1" w:after="100" w:afterAutospacing="1" w:line="360" w:lineRule="auto"/>
        <w:ind w:left="482" w:hanging="480" w:hangingChars="150"/>
        <w:outlineLvl w:val="1"/>
        <w:rPr>
          <w:rFonts w:ascii="黑体" w:hAnsi="黑体" w:eastAsia="黑体" w:cs="Times New Roman"/>
          <w:b/>
          <w:bCs/>
          <w:sz w:val="32"/>
          <w:szCs w:val="32"/>
          <w:highlight w:val="none"/>
          <w:lang w:val="zh-CN"/>
        </w:rPr>
      </w:pPr>
      <w:bookmarkStart w:id="8" w:name="_Toc494561938"/>
      <w:r>
        <w:rPr>
          <w:rFonts w:ascii="黑体" w:hAnsi="黑体" w:eastAsia="黑体" w:cs="Times New Roman"/>
          <w:b/>
          <w:bCs/>
          <w:sz w:val="32"/>
          <w:szCs w:val="32"/>
          <w:highlight w:val="none"/>
          <w:lang w:val="zh-CN"/>
        </w:rPr>
        <w:br w:type="page"/>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9" w:name="_Toc495861520"/>
      <w:r>
        <w:rPr>
          <w:rFonts w:hint="eastAsia" w:cs="Times New Roman" w:asciiTheme="majorEastAsia" w:hAnsiTheme="majorEastAsia"/>
          <w:bCs w:val="0"/>
          <w:lang w:val="zh-CN"/>
        </w:rPr>
        <w:t>说  明</w:t>
      </w:r>
      <w:bookmarkEnd w:id="8"/>
      <w:bookmarkEnd w:id="9"/>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ascii="宋体" w:hAnsi="宋体" w:eastAsia="宋体" w:cs="Times New Roman"/>
          <w:b/>
          <w:color w:val="0D0D0D" w:themeColor="text1" w:themeTint="F2"/>
          <w:sz w:val="24"/>
          <w:szCs w:val="24"/>
          <w:u w:val="single"/>
          <w:lang w:eastAsia="zh-CN"/>
          <w14:textFill>
            <w14:solidFill>
              <w14:schemeClr w14:val="tx1">
                <w14:lumMod w14:val="95000"/>
                <w14:lumOff w14:val="5000"/>
              </w14:schemeClr>
            </w14:solidFill>
          </w14:textFill>
        </w:rPr>
        <w:t>咸宁市长宁招投标有限责任公司</w:t>
      </w:r>
      <w:r>
        <w:rPr>
          <w:rFonts w:hint="eastAsia" w:cs="Times New Roman" w:asciiTheme="minorEastAsia" w:hAnsiTheme="minorEastAsia"/>
          <w:sz w:val="24"/>
          <w:szCs w:val="24"/>
          <w:lang w:val="zh-CN"/>
        </w:rPr>
        <w:t>。</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7"/>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9"/>
        </w:numPr>
        <w:spacing w:line="360" w:lineRule="auto"/>
        <w:ind w:left="854"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招标文件中没有提及招标货物来源地的，根据《政府采购法》及相关规定均应是本国货物，另有规定的除外。</w:t>
      </w:r>
    </w:p>
    <w:p>
      <w:pPr>
        <w:numPr>
          <w:ilvl w:val="0"/>
          <w:numId w:val="9"/>
        </w:numPr>
        <w:spacing w:line="360" w:lineRule="auto"/>
        <w:ind w:left="854"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8"/>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8"/>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D0D0D" w:themeColor="text1" w:themeTint="F2"/>
          <w:sz w:val="24"/>
          <w:szCs w:val="24"/>
          <w:lang w:val="zh-CN"/>
          <w14:textFill>
            <w14:solidFill>
              <w14:schemeClr w14:val="tx1">
                <w14:lumMod w14:val="95000"/>
                <w14:lumOff w14:val="5000"/>
              </w14:schemeClr>
            </w14:solidFill>
          </w14:textFill>
        </w:rPr>
        <w:t>是指：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除货物和工程（含本章3.2条所述工程及《招标投标法》所定义工程）以外的其他政府采购对象,包括政府自身需要的服务和政府向社会公众提供的公共服务。</w:t>
      </w:r>
    </w:p>
    <w:p>
      <w:pPr>
        <w:numPr>
          <w:ilvl w:val="0"/>
          <w:numId w:val="8"/>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keepNext w:val="0"/>
        <w:keepLines w:val="0"/>
        <w:pageBreakBefore w:val="0"/>
        <w:widowControl w:val="0"/>
        <w:numPr>
          <w:ilvl w:val="0"/>
          <w:numId w:val="10"/>
        </w:numPr>
        <w:kinsoku/>
        <w:wordWrap/>
        <w:overflowPunct/>
        <w:topLinePunct w:val="0"/>
        <w:autoSpaceDE/>
        <w:autoSpaceDN/>
        <w:bidi w:val="0"/>
        <w:spacing w:line="440" w:lineRule="exact"/>
        <w:ind w:left="476" w:hanging="476"/>
        <w:textAlignment w:val="auto"/>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44"/>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firstLineChars="0"/>
        <w:textAlignment w:val="auto"/>
        <w:rPr>
          <w:rFonts w:ascii="宋体" w:hAnsi="宋体"/>
          <w:bCs/>
          <w:sz w:val="24"/>
          <w:szCs w:val="24"/>
        </w:rPr>
      </w:pPr>
      <w:r>
        <w:rPr>
          <w:rFonts w:hint="eastAsia" w:ascii="宋体" w:hAnsi="宋体"/>
          <w:sz w:val="24"/>
          <w:szCs w:val="24"/>
        </w:rPr>
        <w:t>采购代理服务费</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r>
        <w:rPr>
          <w:rFonts w:hint="eastAsia" w:ascii="宋体" w:hAnsi="宋体"/>
          <w:b/>
          <w:sz w:val="24"/>
          <w:szCs w:val="24"/>
          <w:lang w:val="en-US" w:eastAsia="zh-CN"/>
        </w:rPr>
        <w:t>4.2.1</w:t>
      </w:r>
      <w:r>
        <w:rPr>
          <w:rFonts w:hint="eastAsia" w:ascii="宋体" w:hAnsi="宋体"/>
          <w:b/>
          <w:sz w:val="24"/>
          <w:szCs w:val="24"/>
        </w:rPr>
        <w:t>经过采购代理机构与采购人协议，规定由中标单位支付。采购代理服务费收费标准如下：</w:t>
      </w:r>
    </w:p>
    <w:p>
      <w:pPr>
        <w:pStyle w:val="44"/>
        <w:keepNext w:val="0"/>
        <w:keepLines w:val="0"/>
        <w:pageBreakBefore w:val="0"/>
        <w:widowControl w:val="0"/>
        <w:numPr>
          <w:ilvl w:val="0"/>
          <w:numId w:val="0"/>
        </w:numPr>
        <w:kinsoku/>
        <w:wordWrap/>
        <w:overflowPunct/>
        <w:topLinePunct w:val="0"/>
        <w:autoSpaceDE/>
        <w:autoSpaceDN/>
        <w:bidi w:val="0"/>
        <w:spacing w:line="440" w:lineRule="exact"/>
        <w:ind w:leftChars="0"/>
        <w:textAlignment w:val="auto"/>
        <w:rPr>
          <w:rFonts w:hint="eastAsia" w:ascii="宋体" w:hAnsi="宋体"/>
          <w:b/>
          <w:sz w:val="24"/>
          <w:szCs w:val="24"/>
        </w:rPr>
      </w:pPr>
    </w:p>
    <w:tbl>
      <w:tblPr>
        <w:tblStyle w:val="21"/>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Line 16"/>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6" o:spid="_x0000_s1026" o:spt="20" style="position:absolute;left:0pt;flip:x y;margin-left:-1.05pt;margin-top:8pt;height:68.5pt;width:111.1pt;z-index:251661312;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Gc6zR&#10;AAAACQEAAA8AAAAAAAAAAQAgAAAAIgAAAGRycy9kb3ducmV2LnhtbFBLAQIUABQAAAAIAIdO4kC2&#10;DvWT7gEAAPMDAAAOAAAAAAAAAAEAIAAAACA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3"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flip:x y;margin-left:-5.15pt;margin-top:4.3pt;height:33.15pt;width:125.75pt;z-index:251662336;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4uAobV&#10;AAAACAEAAA8AAAAAAAAAAQAgAAAAIgAAAGRycy9kb3ducmV2LnhtbFBLAQIUABQAAAAIAIdO4kB8&#10;jt2F6gEAAPMDAAAOAAAAAAAAAAEAIAAAACQBAABkcnMvZTJvRG9jLnhtbFBLBQYAAAAABgAGAFkB&#10;AACA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uR037VAAAACQEAAA8AAAAAAAAAAQAg&#10;AAAAIgAAAGRycy9kb3ducmV2LnhtbFBLAQIUABQAAAAIAIdO4kDNgef12AEAANYDAAAOAAAAAAAA&#10;AAEAIAAAACQBAABkcnMvZTJvRG9jLnhtbFBLBQYAAAAABgAGAFkBAABuBQAAAAA=&#10;">
                      <v:fill on="f" focussize="0,0"/>
                      <v:stroke color="#000000" joinstyle="round"/>
                      <v:imagedata o:title=""/>
                      <o:lock v:ext="edit" aspectratio="f"/>
                    </v:line>
                  </w:pict>
                </mc:Fallback>
              </mc:AlternateConten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1</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w:t>
            </w:r>
            <w:r>
              <w:rPr>
                <w:rFonts w:hint="eastAsia" w:ascii="宋体" w:hAnsi="宋体" w:cs="宋体"/>
                <w:sz w:val="24"/>
                <w:szCs w:val="24"/>
                <w:lang w:val="en-US" w:eastAsia="zh-CN"/>
              </w:rPr>
              <w:t>8</w:t>
            </w:r>
            <w:r>
              <w:rPr>
                <w:rFonts w:hint="eastAsia" w:ascii="宋体" w:hAnsi="宋体" w:cs="宋体"/>
                <w:sz w:val="24"/>
                <w:szCs w:val="24"/>
              </w:rPr>
              <w:t>%</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44"/>
        <w:adjustRightInd w:val="0"/>
        <w:snapToGrid w:val="0"/>
        <w:spacing w:line="300" w:lineRule="auto"/>
        <w:ind w:left="420" w:firstLine="0" w:firstLineChars="0"/>
        <w:rPr>
          <w:rFonts w:ascii="宋体" w:hAnsi="宋体"/>
          <w:b/>
          <w:sz w:val="24"/>
          <w:szCs w:val="24"/>
        </w:rPr>
      </w:pPr>
    </w:p>
    <w:p>
      <w:pPr>
        <w:pStyle w:val="4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ascii="宋体" w:hAnsi="宋体"/>
          <w:b/>
          <w:sz w:val="24"/>
          <w:szCs w:val="24"/>
        </w:rPr>
      </w:pPr>
      <w:r>
        <w:rPr>
          <w:rFonts w:hint="eastAsia" w:ascii="宋体" w:hAnsi="宋体"/>
          <w:b/>
          <w:sz w:val="24"/>
          <w:szCs w:val="24"/>
          <w:lang w:val="en-US" w:eastAsia="zh-CN"/>
        </w:rPr>
        <w:t>4.2.2</w:t>
      </w:r>
      <w:r>
        <w:rPr>
          <w:rFonts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0" w:name="_Toc494561939"/>
      <w:bookmarkStart w:id="11" w:name="_Toc278891592"/>
      <w:bookmarkStart w:id="12" w:name="_Toc495861521"/>
      <w:bookmarkStart w:id="13" w:name="_Toc272247695"/>
      <w:r>
        <w:rPr>
          <w:rFonts w:hint="eastAsia" w:cs="Times New Roman" w:asciiTheme="majorEastAsia" w:hAnsiTheme="majorEastAsia"/>
          <w:bCs w:val="0"/>
          <w:lang w:val="zh-CN"/>
        </w:rPr>
        <w:t>招标文件</w:t>
      </w:r>
      <w:bookmarkEnd w:id="10"/>
      <w:bookmarkEnd w:id="11"/>
      <w:bookmarkEnd w:id="12"/>
      <w:bookmarkEnd w:id="13"/>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项目技术、服务及商务要求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2"/>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6"/>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3"/>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4" w:name="_Toc495861522"/>
      <w:bookmarkStart w:id="15" w:name="_Toc278891593"/>
      <w:bookmarkStart w:id="16" w:name="_Toc494561940"/>
      <w:bookmarkStart w:id="17" w:name="_Toc272247696"/>
      <w:r>
        <w:rPr>
          <w:rFonts w:hint="eastAsia" w:cs="Times New Roman" w:asciiTheme="majorEastAsia" w:hAnsiTheme="majorEastAsia"/>
          <w:bCs w:val="0"/>
          <w:lang w:val="zh-CN"/>
        </w:rPr>
        <w:t>投标文件</w:t>
      </w:r>
      <w:bookmarkEnd w:id="14"/>
      <w:bookmarkEnd w:id="15"/>
      <w:bookmarkEnd w:id="16"/>
      <w:bookmarkEnd w:id="17"/>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6"/>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4"/>
        </w:numPr>
        <w:spacing w:line="360" w:lineRule="auto"/>
        <w:ind w:left="616" w:hanging="616"/>
        <w:rPr>
          <w:rFonts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pP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，将依法承担相应责任。投标人应自觉接受采购代理机构对其中任何资料进一步核实的要求。</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spacing w:line="360" w:lineRule="auto"/>
        <w:ind w:left="566" w:hanging="564" w:hangingChars="235"/>
        <w:rPr>
          <w:rFonts w:ascii="宋体" w:hAnsi="宋体" w:eastAsia="宋体" w:cs="Times New Roman"/>
          <w:b/>
          <w:sz w:val="24"/>
          <w:szCs w:val="20"/>
        </w:rPr>
      </w:pPr>
      <w:r>
        <w:rPr>
          <w:rFonts w:hint="eastAsia" w:cs="Times New Roman" w:asciiTheme="minorEastAsia" w:hAnsiTheme="minorEastAsia"/>
          <w:b/>
          <w:sz w:val="24"/>
          <w:szCs w:val="24"/>
        </w:rPr>
        <w:t>11.7</w:t>
      </w: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6"/>
        </w:numPr>
        <w:spacing w:line="360" w:lineRule="auto"/>
        <w:ind w:left="980" w:hanging="854"/>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6"/>
        </w:numPr>
        <w:spacing w:line="360" w:lineRule="auto"/>
        <w:ind w:left="980" w:hanging="854"/>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6"/>
        </w:numPr>
        <w:spacing w:line="360" w:lineRule="auto"/>
        <w:ind w:left="980" w:hanging="854"/>
        <w:rPr>
          <w:rFonts w:cs="Courier New" w:asciiTheme="minorEastAsia" w:hAnsiTheme="minorEastAsia"/>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5"/>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两个及以上投标人可以组成一个联合体，以一个投标人的身份共同参与投标。</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以联合体形式参加政府采购活动的，联合体各方不得再单独参加或者与其他投标人另外组成联合体参加同一合同项下的政府采购活动。</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签订采购合同，</w:t>
      </w:r>
      <w:r>
        <w:rPr>
          <w:rFonts w:hint="eastAsia" w:ascii="宋体" w:hAnsi="宋体"/>
          <w:color w:val="0D0D0D" w:themeColor="text1" w:themeTint="F2"/>
          <w:sz w:val="24"/>
          <w14:textFill>
            <w14:solidFill>
              <w14:schemeClr w14:val="tx1">
                <w14:lumMod w14:val="95000"/>
                <w14:lumOff w14:val="5000"/>
              </w14:schemeClr>
            </w14:solidFill>
          </w14:textFill>
        </w:rPr>
        <w:t>就采购合同约定的事项对采购人承担连带责任，</w:t>
      </w:r>
      <w:r>
        <w:rPr>
          <w:rFonts w:hint="eastAsia" w:cs="Times New Roman" w:asciiTheme="minorEastAsia" w:hAnsiTheme="minorEastAsia"/>
          <w:color w:val="0D0D0D" w:themeColor="text1" w:themeTint="F2"/>
          <w:sz w:val="24"/>
          <w:szCs w:val="24"/>
          <w:lang w:val="zh-CN"/>
          <w14:textFill>
            <w14:solidFill>
              <w14:schemeClr w14:val="tx1">
                <w14:lumMod w14:val="95000"/>
                <w14:lumOff w14:val="5000"/>
              </w14:schemeClr>
            </w14:solidFill>
          </w14:textFill>
        </w:rPr>
        <w:t>联合体主体单位负主要</w:t>
      </w:r>
      <w:r>
        <w:rPr>
          <w:rFonts w:hint="eastAsia" w:cs="Times New Roman" w:asciiTheme="minorEastAsia" w:hAnsiTheme="minorEastAsia"/>
          <w:sz w:val="24"/>
          <w:szCs w:val="24"/>
          <w:lang w:val="zh-CN"/>
        </w:rPr>
        <w:t>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联合体中有同类资质的投标人按照联合体分工承担相同工作的，应当按照资质等级较低的投标人确定资质等级。</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7"/>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8"/>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6"/>
        </w:numPr>
        <w:spacing w:line="360" w:lineRule="auto"/>
        <w:ind w:left="560" w:hanging="560"/>
        <w:rPr>
          <w:rFonts w:ascii="宋体" w:hAnsi="宋体"/>
          <w:b/>
          <w:bCs/>
          <w:color w:val="000000"/>
          <w:sz w:val="24"/>
          <w:szCs w:val="24"/>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sz w:val="24"/>
          <w:szCs w:val="24"/>
          <w:lang w:val="zh-CN"/>
        </w:rPr>
        <w:t>（交纳金额及账户信息详见本章“投标须知前附表”中规定）。</w:t>
      </w:r>
      <w:r>
        <w:rPr>
          <w:rFonts w:hint="eastAsia" w:ascii="宋体" w:hAnsi="宋体"/>
          <w:b/>
          <w:bCs/>
          <w:color w:val="000000"/>
          <w:sz w:val="24"/>
          <w:szCs w:val="24"/>
          <w:lang w:val="zh-CN"/>
        </w:rPr>
        <w:t>本项目不收取投标保证金。</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sz w:val="24"/>
          <w:szCs w:val="24"/>
          <w:lang w:val="zh-CN"/>
        </w:rPr>
        <w:t>无效投标处理。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6"/>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20"/>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cs="Times New Roman" w:asciiTheme="minorEastAsia" w:hAnsiTheme="minorEastAsia"/>
          <w:b/>
          <w:sz w:val="24"/>
          <w:szCs w:val="24"/>
          <w:lang w:val="zh-CN"/>
        </w:rPr>
        <w:t>如</w:t>
      </w:r>
      <w:r>
        <w:rPr>
          <w:rFonts w:hint="eastAsia" w:cs="Helvetica" w:asciiTheme="minorEastAsia" w:hAnsiTheme="minorEastAsia"/>
          <w:b/>
          <w:kern w:val="0"/>
          <w:sz w:val="24"/>
          <w:szCs w:val="24"/>
          <w:lang w:val="zh-CN"/>
        </w:rPr>
        <w:t>采购人已组织过项目资格预审的，投标人无需再提交资格证明文件</w:t>
      </w:r>
      <w:r>
        <w:rPr>
          <w:rFonts w:hint="eastAsia" w:ascii="宋体" w:hAnsi="宋体" w:eastAsia="宋体" w:cs="Times New Roman"/>
          <w:sz w:val="24"/>
          <w:szCs w:val="20"/>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商务文件正本1份、副本4份，密封在“商务文件”封包内，封包上注明“第二部分 商务文件”；</w:t>
      </w:r>
    </w:p>
    <w:p>
      <w:pPr>
        <w:numPr>
          <w:ilvl w:val="0"/>
          <w:numId w:val="22"/>
        </w:numPr>
        <w:spacing w:line="360" w:lineRule="auto"/>
        <w:ind w:left="981" w:hanging="981"/>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技术、服务文件正本1份、副本4份，密封在“技术、服务文件”封包内，封包上注明“第三部分 技术、服务文件”。</w:t>
      </w:r>
    </w:p>
    <w:p>
      <w:pPr>
        <w:numPr>
          <w:ilvl w:val="0"/>
          <w:numId w:val="21"/>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，并在信封上注明“开标一览表”字样。未单独提交或单独提交的上述资料未按照招标文件规定的格式填写完整并签字、盖章的招标代理机构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numPr>
          <w:ilvl w:val="0"/>
          <w:numId w:val="21"/>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spacing w:line="360" w:lineRule="auto"/>
        <w:rPr>
          <w:rFonts w:ascii="宋体" w:hAnsi="宋体" w:eastAsia="宋体" w:cs="Times New Roman"/>
          <w:b/>
          <w:sz w:val="24"/>
          <w:szCs w:val="20"/>
          <w:lang w:val="zh-CN"/>
        </w:rPr>
      </w:pPr>
      <w:r>
        <w:rPr>
          <w:rFonts w:hint="eastAsia" w:ascii="宋体" w:hAnsi="宋体" w:eastAsia="宋体" w:cs="Times New Roman"/>
          <w:sz w:val="24"/>
          <w:szCs w:val="20"/>
        </w:rPr>
        <w:t>20.4</w:t>
      </w:r>
      <w:r>
        <w:rPr>
          <w:rFonts w:hint="eastAsia" w:ascii="宋体" w:hAnsi="宋体" w:eastAsia="宋体" w:cs="Times New Roman"/>
          <w:sz w:val="24"/>
          <w:szCs w:val="20"/>
          <w:lang w:val="zh-CN"/>
        </w:rPr>
        <w:t>未按要求密封、标记或存在错误，招标代理机构对其误投或提前启封概不负责。</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auto"/>
          <w:kern w:val="0"/>
          <w:sz w:val="24"/>
          <w:szCs w:val="24"/>
          <w:lang w:val="zh-CN"/>
        </w:rPr>
        <w:t>采购代理机构规定的投标地点。</w:t>
      </w:r>
    </w:p>
    <w:p>
      <w:pPr>
        <w:numPr>
          <w:ilvl w:val="0"/>
          <w:numId w:val="23"/>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采购代理机构</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3"/>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auto"/>
          <w:kern w:val="0"/>
          <w:sz w:val="24"/>
          <w:szCs w:val="24"/>
          <w:lang w:val="zh-CN"/>
        </w:rPr>
        <w:t>采购代理机构</w:t>
      </w:r>
      <w:r>
        <w:rPr>
          <w:rFonts w:ascii="Helvetica" w:hAnsi="Helvetica" w:eastAsia="宋体" w:cs="Helvetica"/>
          <w:color w:val="auto"/>
          <w:kern w:val="0"/>
          <w:sz w:val="24"/>
          <w:szCs w:val="24"/>
          <w:lang w:val="zh-CN"/>
        </w:rPr>
        <w:t>收</w:t>
      </w:r>
      <w:r>
        <w:rPr>
          <w:rFonts w:ascii="Helvetica" w:hAnsi="Helvetica" w:eastAsia="宋体" w:cs="Helvetica"/>
          <w:kern w:val="0"/>
          <w:sz w:val="24"/>
          <w:szCs w:val="24"/>
          <w:lang w:val="zh-CN"/>
        </w:rPr>
        <w:t>到投标文件后，应当如实记载投标文件的送达时间和密封情况，签收保存，并向投标人出具签收回执。</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4"/>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投标有效期内投标人不得撤销其投标文件，否则按照本章“投标保证金”的规定其投标保证金不予退还。</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18" w:name="_Toc272247698"/>
      <w:bookmarkStart w:id="19" w:name="_Toc278891595"/>
      <w:bookmarkStart w:id="20" w:name="_Toc494561942"/>
      <w:bookmarkStart w:id="21" w:name="_Toc495861523"/>
      <w:r>
        <w:rPr>
          <w:rFonts w:hint="eastAsia" w:cs="Times New Roman" w:asciiTheme="majorEastAsia" w:hAnsiTheme="majorEastAsia"/>
          <w:bCs w:val="0"/>
          <w:lang w:val="zh-CN"/>
        </w:rPr>
        <w:t>开标与评标</w:t>
      </w:r>
      <w:bookmarkEnd w:id="18"/>
      <w:bookmarkEnd w:id="19"/>
      <w:bookmarkEnd w:id="20"/>
      <w:bookmarkEnd w:id="2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5"/>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sz w:val="24"/>
          <w:szCs w:val="20"/>
          <w:lang w:val="zh-CN"/>
        </w:rPr>
        <w:t>，否则视同认可开标结果。</w:t>
      </w:r>
    </w:p>
    <w:p>
      <w:pPr>
        <w:numPr>
          <w:ilvl w:val="0"/>
          <w:numId w:val="25"/>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投标人法定代表人或其授权代表应携带有效法人身份证明（法人身份证明书或法人授权委托书）及有效身份证参加项目开标会，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sz w:val="24"/>
          <w:szCs w:val="20"/>
          <w:lang w:val="zh-CN"/>
        </w:rPr>
        <w:t>开标时，由投标人或其推选的代表检查投标文件的密封情况，经确</w:t>
      </w:r>
      <w:r>
        <w:rPr>
          <w:rFonts w:hint="eastAsia" w:ascii="宋体" w:hAnsi="宋体" w:eastAsia="宋体" w:cs="Times New Roman"/>
          <w:color w:val="auto"/>
          <w:sz w:val="24"/>
          <w:szCs w:val="20"/>
          <w:lang w:val="zh-CN"/>
        </w:rPr>
        <w:t>认无误后由</w:t>
      </w:r>
      <w:r>
        <w:rPr>
          <w:rFonts w:hint="eastAsia" w:ascii="Helvetica" w:hAnsi="Helvetica" w:eastAsia="宋体" w:cs="Helvetica"/>
          <w:color w:val="auto"/>
          <w:kern w:val="0"/>
          <w:sz w:val="24"/>
          <w:szCs w:val="24"/>
          <w:lang w:val="zh-CN"/>
        </w:rPr>
        <w:t>采购代理机构</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5"/>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auto"/>
          <w:kern w:val="0"/>
          <w:sz w:val="24"/>
          <w:szCs w:val="24"/>
          <w:lang w:val="zh-CN"/>
        </w:rPr>
        <w:t>采购代理机构</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w:t>
      </w:r>
      <w:r>
        <w:rPr>
          <w:rFonts w:ascii="宋体" w:hAnsi="宋体" w:eastAsia="宋体" w:cs="Times New Roman"/>
          <w:sz w:val="24"/>
          <w:szCs w:val="20"/>
          <w:lang w:val="zh-CN"/>
        </w:rPr>
        <w:t>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sz w:val="24"/>
          <w:szCs w:val="20"/>
          <w:lang w:val="zh-CN"/>
        </w:rPr>
        <w:t>投标人代表对开标过程和开标记录有疑义，</w:t>
      </w:r>
      <w:r>
        <w:rPr>
          <w:rFonts w:ascii="宋体" w:hAnsi="宋体" w:eastAsia="宋体" w:cs="Times New Roman"/>
          <w:color w:val="auto"/>
          <w:sz w:val="24"/>
          <w:szCs w:val="20"/>
          <w:lang w:val="zh-CN"/>
        </w:rPr>
        <w:t>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6"/>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7"/>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8"/>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8"/>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9"/>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30"/>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30"/>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9"/>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2" w:name="_Toc495861524"/>
      <w:bookmarkStart w:id="23" w:name="_Toc494561943"/>
      <w:r>
        <w:rPr>
          <w:rFonts w:hint="eastAsia" w:cs="Times New Roman" w:asciiTheme="majorEastAsia" w:hAnsiTheme="majorEastAsia"/>
          <w:bCs w:val="0"/>
          <w:lang w:val="zh-CN"/>
        </w:rPr>
        <w:t>投标人信用信息及查询</w:t>
      </w:r>
      <w:bookmarkEnd w:id="22"/>
      <w:bookmarkEnd w:id="23"/>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列入失信被执行人、重大税收违法案件当事人名单、政府采购严重违法失信行为记录名单的投标人，采购人、采购代理机构</w:t>
      </w:r>
      <w:r>
        <w:rPr>
          <w:rFonts w:hint="eastAsia" w:cs="Helvetica" w:asciiTheme="minorEastAsia" w:hAnsiTheme="minorEastAsia"/>
          <w:b/>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两个及以上自然人、法人或者其他组织组成联合体，以一个投标人的身份共同参加政府采购活动的，应当对所有联合体成员进行信用记录查询，联合体成员存在不良信用记录的，视同联合体存在不良信用信息。</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1"/>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w:t>
      </w:r>
      <w:r>
        <w:rPr>
          <w:rFonts w:hint="eastAsia" w:cs="Helvetica" w:asciiTheme="minorEastAsia" w:hAnsiTheme="minorEastAsia"/>
          <w:color w:val="auto"/>
          <w:kern w:val="0"/>
          <w:sz w:val="24"/>
          <w:szCs w:val="24"/>
          <w:lang w:val="zh-CN"/>
        </w:rPr>
        <w:t>下，</w:t>
      </w:r>
      <w:r>
        <w:rPr>
          <w:rFonts w:hint="eastAsia" w:ascii="Helvetica" w:hAnsi="Helvetica" w:eastAsia="宋体" w:cs="Helvetica"/>
          <w:color w:val="auto"/>
          <w:kern w:val="0"/>
          <w:sz w:val="24"/>
          <w:szCs w:val="24"/>
          <w:lang w:val="zh-CN"/>
        </w:rPr>
        <w:t>采购代理机构</w:t>
      </w:r>
      <w:r>
        <w:rPr>
          <w:rFonts w:hint="eastAsia" w:cs="Helvetica" w:asciiTheme="minorEastAsia" w:hAnsiTheme="minorEastAsia"/>
          <w:color w:val="auto"/>
          <w:kern w:val="0"/>
          <w:sz w:val="24"/>
          <w:szCs w:val="24"/>
          <w:lang w:val="zh-CN"/>
        </w:rPr>
        <w:t>工作</w:t>
      </w:r>
      <w:r>
        <w:rPr>
          <w:rFonts w:hint="eastAsia" w:cs="Helvetica" w:asciiTheme="minorEastAsia" w:hAnsiTheme="minorEastAsia"/>
          <w:kern w:val="0"/>
          <w:sz w:val="24"/>
          <w:szCs w:val="24"/>
          <w:lang w:val="zh-CN"/>
        </w:rPr>
        <w:t>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r>
        <w:rPr>
          <w:rFonts w:hint="eastAsia" w:cs="Helvetica" w:asciiTheme="minorEastAsia" w:hAnsiTheme="minorEastAsia"/>
          <w:kern w:val="0"/>
          <w:sz w:val="24"/>
          <w:szCs w:val="24"/>
          <w:lang w:val="zh-CN"/>
        </w:rPr>
        <w:t>。</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4" w:name="_Toc495861525"/>
      <w:bookmarkStart w:id="25" w:name="_Toc494561944"/>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4"/>
      <w:bookmarkEnd w:id="25"/>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2"/>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3"/>
        </w:numPr>
        <w:spacing w:line="360" w:lineRule="auto"/>
        <w:ind w:left="980" w:hanging="98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2"/>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2"/>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2"/>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4"/>
        </w:numPr>
        <w:spacing w:line="360" w:lineRule="auto"/>
        <w:ind w:left="616" w:hanging="616"/>
        <w:rPr>
          <w:rFonts w:ascii="宋体" w:hAnsi="宋体" w:eastAsia="宋体" w:cs="Times New Roman"/>
          <w:sz w:val="24"/>
          <w:szCs w:val="20"/>
          <w:lang w:val="zh-CN"/>
        </w:rPr>
      </w:pPr>
      <w:bookmarkStart w:id="26" w:name="_Toc272247700"/>
      <w:bookmarkStart w:id="27" w:name="_Toc278891597"/>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4"/>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28" w:name="_Toc495861526"/>
      <w:bookmarkStart w:id="29" w:name="_Toc494561945"/>
      <w:r>
        <w:rPr>
          <w:rFonts w:hint="eastAsia" w:cs="Times New Roman" w:asciiTheme="majorEastAsia" w:hAnsiTheme="majorEastAsia"/>
          <w:bCs w:val="0"/>
          <w:lang w:val="zh-CN"/>
        </w:rPr>
        <w:t>采购信息公告</w:t>
      </w:r>
      <w:bookmarkEnd w:id="28"/>
      <w:bookmarkEnd w:id="29"/>
    </w:p>
    <w:p>
      <w:pPr>
        <w:numPr>
          <w:ilvl w:val="0"/>
          <w:numId w:val="6"/>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5"/>
        </w:numPr>
        <w:tabs>
          <w:tab w:val="left" w:pos="616"/>
        </w:tabs>
        <w:spacing w:line="360" w:lineRule="auto"/>
        <w:ind w:left="616" w:hanging="616"/>
        <w:rPr>
          <w:rFonts w:cs="Helvetica" w:asciiTheme="minorEastAsia" w:hAnsiTheme="minorEastAsia"/>
          <w:b/>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5"/>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0" w:name="_Toc495861527"/>
      <w:bookmarkStart w:id="31" w:name="_Toc494561946"/>
      <w:r>
        <w:rPr>
          <w:rFonts w:hint="eastAsia" w:cs="Times New Roman" w:asciiTheme="majorEastAsia" w:hAnsiTheme="majorEastAsia"/>
          <w:bCs w:val="0"/>
          <w:lang w:val="zh-CN"/>
        </w:rPr>
        <w:t>质疑</w:t>
      </w:r>
      <w:bookmarkEnd w:id="26"/>
      <w:bookmarkEnd w:id="27"/>
      <w:r>
        <w:rPr>
          <w:rFonts w:hint="eastAsia" w:cs="Times New Roman" w:asciiTheme="majorEastAsia" w:hAnsiTheme="majorEastAsia"/>
          <w:bCs w:val="0"/>
          <w:lang w:val="zh-CN"/>
        </w:rPr>
        <w:t>及提交</w:t>
      </w:r>
      <w:bookmarkEnd w:id="30"/>
      <w:bookmarkEnd w:id="31"/>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w:t>
      </w:r>
      <w:r>
        <w:rPr>
          <w:rFonts w:hint="eastAsia" w:ascii="宋体" w:hAnsi="宋体" w:eastAsia="宋体" w:cs="Times New Roman"/>
          <w:color w:val="auto"/>
          <w:sz w:val="24"/>
          <w:szCs w:val="20"/>
          <w:lang w:val="zh-CN"/>
        </w:rPr>
        <w:t>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6"/>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7"/>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6"/>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sz w:val="24"/>
          <w:szCs w:val="20"/>
          <w:lang w:val="zh-CN"/>
        </w:rPr>
        <w:t>投标人未按本章“质疑及提交”规定的时限、内容及方式进行质疑的，</w:t>
      </w:r>
      <w:r>
        <w:rPr>
          <w:rFonts w:hint="eastAsia" w:ascii="宋体" w:hAnsi="宋体" w:eastAsia="宋体" w:cs="Times New Roman"/>
          <w:color w:val="auto"/>
          <w:sz w:val="24"/>
          <w:szCs w:val="20"/>
          <w:lang w:val="zh-CN"/>
        </w:rPr>
        <w:t>采购人（或代理公司）不予受理。</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2" w:name="_Toc494561947"/>
      <w:bookmarkStart w:id="33" w:name="_Toc495861528"/>
      <w:r>
        <w:rPr>
          <w:rFonts w:hint="eastAsia" w:cs="Times New Roman" w:asciiTheme="majorEastAsia" w:hAnsiTheme="majorEastAsia"/>
          <w:bCs w:val="0"/>
          <w:lang w:val="zh-CN"/>
        </w:rPr>
        <w:t>相关条文解读</w:t>
      </w:r>
      <w:bookmarkEnd w:id="32"/>
      <w:bookmarkEnd w:id="33"/>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政府采购法第二十二条第一款第五项所称重大违法记录，是指投标人因违法经营受到刑事处罚或者责令停产停业、吊销许可证或者执照、较大数额罚款等行政处罚。</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各级人民政府财政部门依法对参加政府采购活动的投标人作出的禁止参加政府采购活动等行政处罚决定在全国范围内生效。</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投标人在参加政府采购活动前3年内因违法经营被禁止在一定期限内参加政府采购活动，期限届满的，可以参加政府采购活动。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根据财政部《政府采购法实施条例》释义中关于投标人资格条件的解释，对于银行、保险、石油石化、电力、电信等有行业特殊情况的，采购人和采购代理机构允许其分支机构参与投标。</w:t>
      </w:r>
    </w:p>
    <w:p>
      <w:pPr>
        <w:pStyle w:val="4"/>
        <w:numPr>
          <w:ilvl w:val="0"/>
          <w:numId w:val="5"/>
        </w:numPr>
        <w:spacing w:before="40" w:after="40" w:line="360" w:lineRule="auto"/>
        <w:ind w:left="658" w:hanging="658"/>
        <w:jc w:val="left"/>
        <w:rPr>
          <w:rFonts w:cs="Times New Roman" w:asciiTheme="majorEastAsia" w:hAnsiTheme="majorEastAsia"/>
          <w:bCs w:val="0"/>
          <w:lang w:val="zh-CN"/>
        </w:rPr>
      </w:pPr>
      <w:bookmarkStart w:id="34" w:name="_Toc494561948"/>
      <w:bookmarkStart w:id="35" w:name="_Toc495861529"/>
      <w:r>
        <w:rPr>
          <w:rFonts w:hint="eastAsia" w:cs="Times New Roman" w:asciiTheme="majorEastAsia" w:hAnsiTheme="majorEastAsia"/>
          <w:bCs w:val="0"/>
          <w:lang w:val="zh-CN"/>
        </w:rPr>
        <w:t>其他注意事项</w:t>
      </w:r>
      <w:bookmarkEnd w:id="34"/>
      <w:bookmarkEnd w:id="35"/>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单位负责人为同一人或者存在直接控股、管理关系的不同投标人，不得参加同一合同项下的政府采购活动。</w:t>
      </w:r>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除单一来源采购项目外，为采购项目提供整体设计、规范编制或者项目管理、监理、检测等服务的投标人，不得再参加该采购项目的其他采购活动。</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36" w:name="_Toc272247701"/>
      <w:bookmarkStart w:id="37" w:name="_Toc494561949"/>
      <w:bookmarkStart w:id="38" w:name="_Toc278891598"/>
      <w:bookmarkStart w:id="39" w:name="_Toc495861530"/>
      <w:r>
        <w:rPr>
          <w:rFonts w:hint="eastAsia" w:cs="Times New Roman" w:asciiTheme="majorEastAsia" w:hAnsiTheme="majorEastAsia"/>
          <w:bCs w:val="0"/>
          <w:lang w:val="zh-CN"/>
        </w:rPr>
        <w:t>适用法律</w:t>
      </w:r>
      <w:bookmarkEnd w:id="36"/>
      <w:bookmarkEnd w:id="37"/>
      <w:bookmarkEnd w:id="38"/>
      <w:bookmarkEnd w:id="39"/>
    </w:p>
    <w:p>
      <w:pPr>
        <w:numPr>
          <w:ilvl w:val="0"/>
          <w:numId w:val="6"/>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6"/>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4"/>
        <w:numPr>
          <w:ilvl w:val="0"/>
          <w:numId w:val="5"/>
        </w:numPr>
        <w:spacing w:before="40" w:after="40" w:line="360" w:lineRule="auto"/>
        <w:ind w:left="966" w:hanging="966"/>
        <w:jc w:val="left"/>
        <w:rPr>
          <w:rFonts w:cs="Times New Roman" w:asciiTheme="majorEastAsia" w:hAnsiTheme="majorEastAsia"/>
          <w:bCs w:val="0"/>
          <w:lang w:val="zh-CN"/>
        </w:rPr>
      </w:pPr>
      <w:bookmarkStart w:id="40" w:name="_Toc494561950"/>
      <w:bookmarkStart w:id="41" w:name="_Toc495861531"/>
      <w:bookmarkStart w:id="42" w:name="_Toc272247702"/>
      <w:bookmarkStart w:id="43" w:name="_Toc278891599"/>
      <w:r>
        <w:rPr>
          <w:rFonts w:hint="eastAsia" w:cs="Times New Roman" w:asciiTheme="majorEastAsia" w:hAnsiTheme="majorEastAsia"/>
          <w:bCs w:val="0"/>
          <w:lang w:val="zh-CN"/>
        </w:rPr>
        <w:t>招标文件的解释权</w:t>
      </w:r>
      <w:bookmarkEnd w:id="40"/>
      <w:bookmarkEnd w:id="41"/>
      <w:bookmarkEnd w:id="42"/>
      <w:bookmarkEnd w:id="43"/>
    </w:p>
    <w:p>
      <w:pPr>
        <w:numPr>
          <w:ilvl w:val="0"/>
          <w:numId w:val="6"/>
        </w:numPr>
        <w:spacing w:line="360" w:lineRule="auto"/>
        <w:ind w:left="560" w:hanging="560"/>
      </w:pPr>
      <w:r>
        <w:rPr>
          <w:rFonts w:hint="eastAsia" w:ascii="宋体" w:hAnsi="宋体" w:eastAsia="宋体" w:cs="Times New Roman"/>
          <w:sz w:val="24"/>
          <w:szCs w:val="20"/>
          <w:lang w:val="zh-CN"/>
        </w:rPr>
        <w:t>招标文件的最终解释</w:t>
      </w:r>
      <w:r>
        <w:rPr>
          <w:rFonts w:hint="eastAsia" w:ascii="宋体" w:hAnsi="宋体" w:eastAsia="宋体" w:cs="Times New Roman"/>
          <w:color w:val="auto"/>
          <w:sz w:val="24"/>
          <w:szCs w:val="20"/>
          <w:lang w:val="zh-CN"/>
        </w:rPr>
        <w:t>权为采购人、采购代理机构</w:t>
      </w:r>
      <w:r>
        <w:rPr>
          <w:rFonts w:hint="eastAsia" w:ascii="宋体" w:hAnsi="宋体" w:eastAsia="宋体" w:cs="Times New Roman"/>
          <w:sz w:val="24"/>
          <w:szCs w:val="20"/>
          <w:lang w:val="zh-CN"/>
        </w:rPr>
        <w:t>所有。</w:t>
      </w:r>
      <w:r>
        <w:br w:type="page"/>
      </w:r>
    </w:p>
    <w:p>
      <w:pPr>
        <w:pStyle w:val="3"/>
        <w:numPr>
          <w:ilvl w:val="0"/>
          <w:numId w:val="1"/>
        </w:numPr>
        <w:jc w:val="center"/>
        <w:rPr>
          <w:rFonts w:ascii="黑体" w:hAnsi="黑体" w:eastAsia="黑体"/>
        </w:rPr>
      </w:pPr>
      <w:bookmarkStart w:id="44" w:name="_Toc495861532"/>
      <w:r>
        <w:rPr>
          <w:rFonts w:hint="eastAsia" w:ascii="黑体" w:hAnsi="黑体" w:eastAsia="黑体"/>
        </w:rPr>
        <w:t>项目技术、服务及商务要求</w:t>
      </w:r>
      <w:bookmarkEnd w:id="44"/>
    </w:p>
    <w:p>
      <w:pPr>
        <w:jc w:val="center"/>
        <w:rPr>
          <w:rFonts w:hint="eastAsia" w:ascii="宋体" w:hAnsi="宋体"/>
          <w:b/>
          <w:bCs/>
          <w:sz w:val="36"/>
          <w:szCs w:val="36"/>
          <w:lang w:val="en-US" w:eastAsia="zh-CN"/>
        </w:rPr>
      </w:pPr>
      <w:r>
        <w:rPr>
          <w:rFonts w:hint="eastAsia" w:ascii="宋体" w:hAnsi="宋体"/>
          <w:b/>
          <w:bCs/>
          <w:sz w:val="36"/>
          <w:szCs w:val="36"/>
          <w:lang w:val="en-US" w:eastAsia="zh-CN"/>
        </w:rPr>
        <w:t>宫腔检查镜及宫腔等离子电切镜技术参数</w:t>
      </w:r>
    </w:p>
    <w:p>
      <w:pPr>
        <w:rPr>
          <w:rFonts w:hint="eastAsia" w:ascii="宋体" w:hAnsi="宋体"/>
          <w:b/>
          <w:sz w:val="28"/>
          <w:szCs w:val="28"/>
          <w:lang w:val="en-US" w:eastAsia="zh-CN"/>
        </w:rPr>
      </w:pPr>
    </w:p>
    <w:p>
      <w:pPr>
        <w:rPr>
          <w:rFonts w:hint="eastAsia" w:ascii="宋体" w:hAnsi="宋体"/>
          <w:b/>
          <w:sz w:val="28"/>
          <w:szCs w:val="28"/>
          <w:lang w:val="en-US" w:eastAsia="zh-CN"/>
        </w:rPr>
      </w:pPr>
      <w:r>
        <w:rPr>
          <w:rFonts w:hint="eastAsia" w:ascii="宋体" w:hAnsi="宋体"/>
          <w:b/>
          <w:sz w:val="28"/>
          <w:szCs w:val="28"/>
          <w:lang w:val="en-US" w:eastAsia="zh-CN"/>
        </w:rPr>
        <w:t>一、总体要求：</w:t>
      </w:r>
    </w:p>
    <w:p>
      <w:pPr>
        <w:spacing w:line="360" w:lineRule="auto"/>
        <w:rPr>
          <w:rFonts w:hint="eastAsia" w:ascii="宋体" w:hAnsi="宋体"/>
          <w:sz w:val="28"/>
          <w:szCs w:val="28"/>
          <w:lang w:val="en-US" w:eastAsia="zh-CN"/>
        </w:rPr>
      </w:pPr>
      <w:r>
        <w:rPr>
          <w:rFonts w:hint="eastAsia" w:ascii="宋体" w:hAnsi="宋体"/>
          <w:sz w:val="28"/>
          <w:szCs w:val="28"/>
          <w:lang w:val="en-US" w:eastAsia="zh-CN"/>
        </w:rPr>
        <w:t>1、湖北地区设有厂家办事处，以保障完善的售后服务；</w:t>
      </w:r>
    </w:p>
    <w:p>
      <w:pPr>
        <w:spacing w:line="360" w:lineRule="auto"/>
        <w:rPr>
          <w:rFonts w:hint="default" w:ascii="宋体" w:hAnsi="宋体"/>
          <w:sz w:val="28"/>
          <w:szCs w:val="28"/>
          <w:lang w:val="en-US" w:eastAsia="zh-CN"/>
        </w:rPr>
      </w:pPr>
      <w:r>
        <w:rPr>
          <w:rFonts w:hint="eastAsia" w:ascii="宋体" w:hAnsi="宋体"/>
          <w:sz w:val="28"/>
          <w:szCs w:val="28"/>
        </w:rPr>
        <w:t>*</w:t>
      </w:r>
      <w:r>
        <w:rPr>
          <w:rFonts w:hint="eastAsia" w:ascii="宋体" w:hAnsi="宋体"/>
          <w:sz w:val="28"/>
          <w:szCs w:val="28"/>
          <w:lang w:val="en-US" w:eastAsia="zh-CN"/>
        </w:rPr>
        <w:t>2、要求全套设备为同一品牌，匹配性最佳，使用质量及售后服务有保障；</w:t>
      </w:r>
    </w:p>
    <w:p>
      <w:pPr>
        <w:rPr>
          <w:rFonts w:hint="eastAsia" w:ascii="宋体" w:hAnsi="宋体" w:eastAsia="宋体"/>
          <w:b/>
          <w:sz w:val="28"/>
          <w:szCs w:val="28"/>
          <w:lang w:eastAsia="zh-CN"/>
        </w:rPr>
      </w:pPr>
      <w:r>
        <w:rPr>
          <w:rFonts w:hint="eastAsia" w:ascii="宋体" w:hAnsi="宋体"/>
          <w:b/>
          <w:sz w:val="28"/>
          <w:szCs w:val="28"/>
          <w:lang w:eastAsia="zh-CN"/>
        </w:rPr>
        <w:t>二、</w:t>
      </w:r>
      <w:r>
        <w:rPr>
          <w:rFonts w:hint="eastAsia" w:ascii="宋体" w:hAnsi="宋体"/>
          <w:b/>
          <w:sz w:val="28"/>
          <w:szCs w:val="28"/>
        </w:rPr>
        <w:t>高频电刀及等离子发生器装置</w:t>
      </w:r>
      <w:r>
        <w:rPr>
          <w:rFonts w:hint="eastAsia" w:ascii="宋体" w:hAnsi="宋体"/>
          <w:b/>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1、具备单极、双极等离子和单双极混合输出方式</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2、可兼容现有市场主流电刀厂商的单极和双极器械，整合现有器械</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3、具备触摸屏操作功能，操作更直观，简便</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4、可根据不同组织的阻抗自动调节功率输出，输出更理想的能量</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5、可持续进行等离子激发，提高手术效率</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6、电压的可适应范围为：100–120 V / 220–240 V</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*7、最大输入功率≥1500 VA</w:t>
      </w:r>
      <w:r>
        <w:rPr>
          <w:rFonts w:hint="eastAsia" w:ascii="宋体" w:hAnsi="宋体"/>
          <w:sz w:val="28"/>
          <w:szCs w:val="28"/>
          <w:lang w:eastAsia="zh-CN"/>
        </w:rPr>
        <w:t>；</w:t>
      </w:r>
    </w:p>
    <w:p>
      <w:pPr>
        <w:spacing w:line="360" w:lineRule="auto"/>
        <w:rPr>
          <w:rFonts w:hint="eastAsia" w:ascii="宋体" w:hAnsi="宋体" w:eastAsia="宋体"/>
          <w:sz w:val="28"/>
          <w:szCs w:val="28"/>
          <w:lang w:val="en-US" w:eastAsia="zh-CN"/>
        </w:rPr>
      </w:pPr>
      <w:r>
        <w:rPr>
          <w:rFonts w:hint="eastAsia" w:ascii="宋体" w:hAnsi="宋体"/>
          <w:sz w:val="28"/>
          <w:szCs w:val="28"/>
        </w:rPr>
        <w:t>*8、</w:t>
      </w:r>
      <w:r>
        <w:rPr>
          <w:rFonts w:hint="eastAsia" w:ascii="宋体" w:hAnsi="宋体"/>
          <w:sz w:val="28"/>
          <w:szCs w:val="28"/>
          <w:lang w:eastAsia="zh-CN"/>
        </w:rPr>
        <w:t>输出功率：</w:t>
      </w:r>
      <w:r>
        <w:rPr>
          <w:rFonts w:hint="eastAsia" w:ascii="宋体" w:hAnsi="宋体"/>
          <w:sz w:val="28"/>
          <w:szCs w:val="28"/>
          <w:lang w:val="en-US" w:eastAsia="zh-CN"/>
        </w:rPr>
        <w:t>生理盐水下</w:t>
      </w:r>
      <w:r>
        <w:rPr>
          <w:rFonts w:hint="eastAsia" w:ascii="宋体" w:hAnsi="宋体"/>
          <w:sz w:val="28"/>
          <w:szCs w:val="28"/>
          <w:lang w:eastAsia="zh-CN"/>
        </w:rPr>
        <w:t>等离子电切最大功率</w:t>
      </w:r>
      <w:r>
        <w:rPr>
          <w:rFonts w:hint="eastAsia" w:ascii="宋体" w:hAnsi="宋体"/>
          <w:sz w:val="28"/>
          <w:szCs w:val="28"/>
        </w:rPr>
        <w:t>≥320W</w:t>
      </w:r>
      <w:r>
        <w:rPr>
          <w:rFonts w:hint="eastAsia" w:ascii="宋体" w:hAnsi="宋体"/>
          <w:sz w:val="28"/>
          <w:szCs w:val="28"/>
          <w:lang w:eastAsia="zh-CN"/>
        </w:rPr>
        <w:t>，</w:t>
      </w:r>
      <w:r>
        <w:rPr>
          <w:rFonts w:hint="eastAsia" w:ascii="宋体" w:hAnsi="宋体"/>
          <w:sz w:val="28"/>
          <w:szCs w:val="28"/>
          <w:lang w:val="en-US" w:eastAsia="zh-CN"/>
        </w:rPr>
        <w:t>生理盐水下</w:t>
      </w:r>
      <w:r>
        <w:rPr>
          <w:rFonts w:hint="eastAsia" w:ascii="宋体" w:hAnsi="宋体"/>
          <w:sz w:val="28"/>
          <w:szCs w:val="28"/>
          <w:lang w:eastAsia="zh-CN"/>
        </w:rPr>
        <w:t>等离子电凝最大功率</w:t>
      </w:r>
      <w:r>
        <w:rPr>
          <w:rFonts w:hint="eastAsia" w:ascii="宋体" w:hAnsi="宋体"/>
          <w:sz w:val="28"/>
          <w:szCs w:val="28"/>
        </w:rPr>
        <w:t>≥</w:t>
      </w:r>
      <w:r>
        <w:rPr>
          <w:rFonts w:hint="eastAsia" w:ascii="宋体" w:hAnsi="宋体"/>
          <w:sz w:val="28"/>
          <w:szCs w:val="28"/>
          <w:lang w:val="en-US" w:eastAsia="zh-CN"/>
        </w:rPr>
        <w:t>200</w:t>
      </w:r>
      <w:r>
        <w:rPr>
          <w:rFonts w:hint="eastAsia" w:ascii="宋体" w:hAnsi="宋体"/>
          <w:sz w:val="28"/>
          <w:szCs w:val="28"/>
        </w:rPr>
        <w:t>W</w:t>
      </w:r>
      <w:r>
        <w:rPr>
          <w:rFonts w:hint="eastAsia" w:ascii="宋体" w:hAnsi="宋体"/>
          <w:sz w:val="28"/>
          <w:szCs w:val="28"/>
          <w:lang w:eastAsia="zh-CN"/>
        </w:rPr>
        <w:t>；</w:t>
      </w:r>
      <w:r>
        <w:rPr>
          <w:rFonts w:hint="eastAsia" w:ascii="宋体" w:hAnsi="宋体"/>
          <w:sz w:val="28"/>
          <w:szCs w:val="28"/>
          <w:lang w:val="en-US" w:eastAsia="zh-CN"/>
        </w:rPr>
        <w:t>单级电切</w:t>
      </w:r>
      <w:r>
        <w:rPr>
          <w:rFonts w:hint="eastAsia" w:ascii="宋体" w:hAnsi="宋体"/>
          <w:sz w:val="28"/>
          <w:szCs w:val="28"/>
          <w:lang w:eastAsia="zh-CN"/>
        </w:rPr>
        <w:t>最大功率</w:t>
      </w:r>
      <w:r>
        <w:rPr>
          <w:rFonts w:hint="eastAsia" w:ascii="宋体" w:hAnsi="宋体"/>
          <w:sz w:val="28"/>
          <w:szCs w:val="28"/>
        </w:rPr>
        <w:t>≥3</w:t>
      </w:r>
      <w:r>
        <w:rPr>
          <w:rFonts w:hint="eastAsia" w:ascii="宋体" w:hAnsi="宋体"/>
          <w:sz w:val="28"/>
          <w:szCs w:val="28"/>
          <w:lang w:val="en-US" w:eastAsia="zh-CN"/>
        </w:rPr>
        <w:t>0</w:t>
      </w:r>
      <w:r>
        <w:rPr>
          <w:rFonts w:hint="eastAsia" w:ascii="宋体" w:hAnsi="宋体"/>
          <w:sz w:val="28"/>
          <w:szCs w:val="28"/>
        </w:rPr>
        <w:t>0W</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*9、</w:t>
      </w:r>
      <w:r>
        <w:rPr>
          <w:rFonts w:hint="eastAsia" w:ascii="宋体" w:hAnsi="宋体"/>
          <w:sz w:val="28"/>
          <w:szCs w:val="28"/>
          <w:lang w:val="en-US" w:eastAsia="zh-CN"/>
        </w:rPr>
        <w:t>输出高频</w:t>
      </w:r>
      <w:r>
        <w:rPr>
          <w:rFonts w:hint="eastAsia" w:ascii="宋体" w:hAnsi="宋体"/>
          <w:sz w:val="28"/>
          <w:szCs w:val="28"/>
        </w:rPr>
        <w:t>≥430 kHz</w:t>
      </w:r>
      <w:r>
        <w:rPr>
          <w:rFonts w:hint="eastAsia" w:ascii="宋体" w:hAnsi="宋体"/>
          <w:sz w:val="28"/>
          <w:szCs w:val="28"/>
          <w:lang w:eastAsia="zh-CN"/>
        </w:rPr>
        <w:t>；</w:t>
      </w:r>
    </w:p>
    <w:p>
      <w:pPr>
        <w:spacing w:line="360" w:lineRule="auto"/>
        <w:rPr>
          <w:rFonts w:hint="default" w:ascii="宋体" w:hAnsi="宋体" w:eastAsia="宋体"/>
          <w:sz w:val="28"/>
          <w:szCs w:val="28"/>
          <w:lang w:val="en-US" w:eastAsia="zh-CN"/>
        </w:rPr>
      </w:pPr>
      <w:r>
        <w:rPr>
          <w:rFonts w:hint="eastAsia" w:ascii="宋体" w:hAnsi="宋体"/>
          <w:sz w:val="28"/>
          <w:szCs w:val="28"/>
          <w:lang w:val="en-US" w:eastAsia="zh-CN"/>
        </w:rPr>
        <w:t>*</w:t>
      </w:r>
      <w:r>
        <w:rPr>
          <w:rFonts w:hint="eastAsia" w:ascii="宋体" w:hAnsi="宋体"/>
          <w:sz w:val="28"/>
          <w:szCs w:val="28"/>
        </w:rPr>
        <w:t>10、通用插口支持即插即用，具备器械识别功能</w:t>
      </w:r>
      <w:r>
        <w:rPr>
          <w:rFonts w:hint="eastAsia" w:ascii="宋体" w:hAnsi="宋体"/>
          <w:sz w:val="28"/>
          <w:szCs w:val="28"/>
          <w:lang w:eastAsia="zh-CN"/>
        </w:rPr>
        <w:t>，</w:t>
      </w:r>
      <w:r>
        <w:rPr>
          <w:rFonts w:hint="eastAsia" w:ascii="宋体" w:hAnsi="宋体"/>
          <w:sz w:val="28"/>
          <w:szCs w:val="28"/>
          <w:lang w:val="en-US" w:eastAsia="zh-CN"/>
        </w:rPr>
        <w:t>和同品牌气腹机配合使用，可以实现自动排烟功能。</w:t>
      </w:r>
    </w:p>
    <w:p>
      <w:pPr>
        <w:spacing w:line="360" w:lineRule="auto"/>
        <w:rPr>
          <w:rFonts w:hint="eastAsia" w:ascii="宋体" w:hAnsi="宋体" w:eastAsia="宋体"/>
          <w:sz w:val="28"/>
          <w:szCs w:val="28"/>
          <w:lang w:eastAsia="zh-CN"/>
        </w:rPr>
      </w:pPr>
      <w:r>
        <w:rPr>
          <w:rFonts w:hint="eastAsia" w:ascii="宋体" w:hAnsi="宋体"/>
          <w:sz w:val="28"/>
          <w:szCs w:val="28"/>
        </w:rPr>
        <w:t>11、具备自动生理盐水检测，不会错误使用灌流液，保证病人安全</w:t>
      </w:r>
      <w:r>
        <w:rPr>
          <w:rFonts w:hint="eastAsia" w:ascii="宋体" w:hAnsi="宋体"/>
          <w:sz w:val="28"/>
          <w:szCs w:val="28"/>
          <w:lang w:eastAsia="zh-CN"/>
        </w:rPr>
        <w:t>；</w:t>
      </w:r>
    </w:p>
    <w:p>
      <w:pPr>
        <w:spacing w:line="360" w:lineRule="auto"/>
        <w:rPr>
          <w:rFonts w:hint="default" w:ascii="宋体" w:hAnsi="宋体" w:eastAsia="宋体"/>
          <w:sz w:val="28"/>
          <w:szCs w:val="28"/>
          <w:lang w:val="en-US" w:eastAsia="zh-CN"/>
        </w:rPr>
      </w:pPr>
      <w:r>
        <w:rPr>
          <w:rFonts w:hint="eastAsia" w:ascii="宋体" w:hAnsi="宋体"/>
          <w:sz w:val="28"/>
          <w:szCs w:val="28"/>
          <w:lang w:val="en-US" w:eastAsia="zh-CN"/>
        </w:rPr>
        <w:t>*</w:t>
      </w:r>
      <w:r>
        <w:rPr>
          <w:rFonts w:hint="eastAsia" w:ascii="宋体" w:hAnsi="宋体"/>
          <w:sz w:val="28"/>
          <w:szCs w:val="28"/>
        </w:rPr>
        <w:t>12、可用于开放式腹腔镜下和内镜下（如：泌尿等离子电切术，妇科宫腔等离子电切术，消化内镜下ESD，EMR，ERCP等）手术</w:t>
      </w:r>
      <w:r>
        <w:rPr>
          <w:rFonts w:hint="eastAsia" w:ascii="宋体" w:hAnsi="宋体"/>
          <w:sz w:val="28"/>
          <w:szCs w:val="28"/>
          <w:lang w:eastAsia="zh-CN"/>
        </w:rPr>
        <w:t>，</w:t>
      </w:r>
      <w:r>
        <w:rPr>
          <w:rFonts w:hint="eastAsia" w:ascii="宋体" w:hAnsi="宋体"/>
          <w:sz w:val="28"/>
          <w:szCs w:val="28"/>
          <w:lang w:val="en-US" w:eastAsia="zh-CN"/>
        </w:rPr>
        <w:t>可以升级为超声刀系统。</w:t>
      </w:r>
    </w:p>
    <w:p>
      <w:pPr>
        <w:spacing w:line="360" w:lineRule="auto"/>
        <w:rPr>
          <w:rFonts w:hint="eastAsia" w:ascii="宋体" w:hAnsi="宋体" w:eastAsia="宋体"/>
          <w:sz w:val="28"/>
          <w:szCs w:val="28"/>
          <w:lang w:val="en-US" w:eastAsia="zh-CN"/>
        </w:rPr>
      </w:pPr>
      <w:r>
        <w:rPr>
          <w:rFonts w:hint="eastAsia" w:ascii="宋体" w:hAnsi="宋体"/>
          <w:sz w:val="28"/>
          <w:szCs w:val="28"/>
        </w:rPr>
        <w:t>13、具备6组以上数据存储功能，方便术者调出常用设置</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14、可兼容一体化手术室集控设备</w:t>
      </w:r>
      <w:r>
        <w:rPr>
          <w:rFonts w:hint="eastAsia" w:ascii="宋体" w:hAnsi="宋体"/>
          <w:sz w:val="28"/>
          <w:szCs w:val="28"/>
          <w:lang w:eastAsia="zh-CN"/>
        </w:rPr>
        <w:t>；</w:t>
      </w:r>
    </w:p>
    <w:p>
      <w:pPr>
        <w:spacing w:line="360" w:lineRule="auto"/>
        <w:rPr>
          <w:rFonts w:hint="eastAsia" w:ascii="宋体" w:hAnsi="宋体"/>
          <w:sz w:val="28"/>
          <w:szCs w:val="28"/>
          <w:lang w:eastAsia="zh-CN"/>
        </w:rPr>
      </w:pPr>
      <w:r>
        <w:rPr>
          <w:rFonts w:hint="eastAsia" w:ascii="宋体" w:hAnsi="宋体"/>
          <w:sz w:val="28"/>
          <w:szCs w:val="28"/>
        </w:rPr>
        <w:t>15、脚踏开关可直接用水清洗，具有全密封设计</w:t>
      </w:r>
      <w:r>
        <w:rPr>
          <w:rFonts w:hint="eastAsia" w:ascii="宋体" w:hAnsi="宋体"/>
          <w:sz w:val="28"/>
          <w:szCs w:val="28"/>
          <w:lang w:eastAsia="zh-CN"/>
        </w:rPr>
        <w:t>；</w:t>
      </w:r>
    </w:p>
    <w:p>
      <w:pPr>
        <w:spacing w:line="360" w:lineRule="auto"/>
        <w:rPr>
          <w:rFonts w:hint="default" w:ascii="宋体" w:hAnsi="宋体" w:eastAsia="宋体"/>
          <w:sz w:val="28"/>
          <w:szCs w:val="28"/>
          <w:lang w:val="en-US" w:eastAsia="zh-CN"/>
        </w:rPr>
      </w:pPr>
      <w:r>
        <w:rPr>
          <w:rFonts w:hint="default" w:ascii="宋体" w:hAnsi="宋体"/>
          <w:sz w:val="28"/>
          <w:szCs w:val="28"/>
          <w:lang w:val="en-US" w:eastAsia="zh-CN"/>
        </w:rPr>
        <w:t>16</w:t>
      </w:r>
      <w:r>
        <w:rPr>
          <w:rFonts w:hint="eastAsia" w:ascii="宋体" w:hAnsi="宋体"/>
          <w:sz w:val="28"/>
          <w:szCs w:val="28"/>
        </w:rPr>
        <w:t>、</w:t>
      </w:r>
      <w:r>
        <w:rPr>
          <w:rFonts w:hint="eastAsia" w:ascii="宋体" w:hAnsi="宋体"/>
          <w:sz w:val="28"/>
          <w:szCs w:val="28"/>
          <w:lang w:eastAsia="zh-CN"/>
        </w:rPr>
        <w:t>安全等级：</w:t>
      </w:r>
      <w:r>
        <w:rPr>
          <w:rFonts w:hint="eastAsia" w:ascii="宋体" w:hAnsi="宋体"/>
          <w:sz w:val="28"/>
          <w:szCs w:val="28"/>
          <w:lang w:val="en-US" w:eastAsia="zh-CN"/>
        </w:rPr>
        <w:t>CF级</w:t>
      </w:r>
    </w:p>
    <w:p>
      <w:pPr>
        <w:spacing w:line="360" w:lineRule="auto"/>
        <w:rPr>
          <w:rFonts w:hint="eastAsia" w:ascii="宋体" w:hAnsi="宋体" w:eastAsia="宋体"/>
          <w:b/>
          <w:sz w:val="28"/>
          <w:szCs w:val="28"/>
          <w:lang w:eastAsia="zh-CN"/>
        </w:rPr>
      </w:pPr>
      <w:r>
        <w:rPr>
          <w:rFonts w:hint="eastAsia" w:ascii="宋体" w:hAnsi="宋体"/>
          <w:b/>
          <w:sz w:val="28"/>
          <w:szCs w:val="28"/>
          <w:lang w:eastAsia="zh-CN"/>
        </w:rPr>
        <w:t>三</w:t>
      </w:r>
      <w:r>
        <w:rPr>
          <w:rFonts w:hint="eastAsia" w:ascii="宋体" w:hAnsi="宋体"/>
          <w:b/>
          <w:sz w:val="28"/>
          <w:szCs w:val="28"/>
        </w:rPr>
        <w:t>、宫腔等离子电切镜系统</w:t>
      </w:r>
      <w:r>
        <w:rPr>
          <w:rFonts w:hint="eastAsia" w:ascii="宋体" w:hAnsi="宋体"/>
          <w:b/>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1、高清光学视管，图像质量清晰</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2、具备插入部旋转功能</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3、双旋阀，灌流方便</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4、盐水中切割，无</w:t>
      </w:r>
      <w:r>
        <w:rPr>
          <w:rFonts w:hint="eastAsia" w:ascii="宋体" w:hAnsi="宋体"/>
          <w:sz w:val="28"/>
          <w:szCs w:val="28"/>
          <w:lang w:eastAsia="zh-CN"/>
        </w:rPr>
        <w:t>水中毒症状</w:t>
      </w:r>
      <w:r>
        <w:rPr>
          <w:rFonts w:hint="eastAsia" w:ascii="宋体" w:hAnsi="宋体"/>
          <w:sz w:val="28"/>
          <w:szCs w:val="28"/>
        </w:rPr>
        <w:t>，可进行长时间电切</w:t>
      </w:r>
      <w:r>
        <w:rPr>
          <w:rFonts w:hint="eastAsia" w:ascii="宋体" w:hAnsi="宋体"/>
          <w:sz w:val="28"/>
          <w:szCs w:val="28"/>
          <w:lang w:eastAsia="zh-CN"/>
        </w:rPr>
        <w:t>；</w:t>
      </w:r>
    </w:p>
    <w:p>
      <w:pPr>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、心脏起搏器安全</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lang w:val="en-US" w:eastAsia="zh-CN"/>
        </w:rPr>
        <w:t>6</w:t>
      </w:r>
      <w:r>
        <w:rPr>
          <w:rFonts w:hint="eastAsia" w:ascii="宋体" w:hAnsi="宋体"/>
          <w:sz w:val="28"/>
          <w:szCs w:val="28"/>
        </w:rPr>
        <w:t>、无组织黏附，无须清理，切割更加顺畅</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lang w:val="en-US" w:eastAsia="zh-CN"/>
        </w:rPr>
        <w:t>7</w:t>
      </w:r>
      <w:r>
        <w:rPr>
          <w:rFonts w:hint="eastAsia" w:ascii="宋体" w:hAnsi="宋体"/>
          <w:sz w:val="28"/>
          <w:szCs w:val="28"/>
        </w:rPr>
        <w:t>、具有组织损伤深度小，无碳化，利于病理检查</w:t>
      </w:r>
      <w:r>
        <w:rPr>
          <w:rFonts w:hint="eastAsia" w:ascii="宋体" w:hAnsi="宋体"/>
          <w:sz w:val="28"/>
          <w:szCs w:val="28"/>
          <w:lang w:eastAsia="zh-CN"/>
        </w:rPr>
        <w:t>；</w:t>
      </w:r>
    </w:p>
    <w:p>
      <w:pPr>
        <w:spacing w:line="360" w:lineRule="auto"/>
        <w:rPr>
          <w:rFonts w:hint="eastAsia" w:ascii="宋体" w:hAnsi="宋体" w:eastAsia="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、具有切割时创面干净，组织识别更加准确</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lang w:val="en-US" w:eastAsia="zh-CN"/>
        </w:rPr>
        <w:t>9</w:t>
      </w:r>
      <w:r>
        <w:rPr>
          <w:rFonts w:hint="eastAsia" w:ascii="宋体" w:hAnsi="宋体"/>
          <w:sz w:val="28"/>
          <w:szCs w:val="28"/>
        </w:rPr>
        <w:t>、双极电流，精确凝血</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0</w:t>
      </w:r>
      <w:r>
        <w:rPr>
          <w:rFonts w:hint="eastAsia" w:ascii="宋体" w:hAnsi="宋体"/>
          <w:sz w:val="28"/>
          <w:szCs w:val="28"/>
        </w:rPr>
        <w:t>、工作部长度达到190mm以上</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、可进行高温高压灭菌处理</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、电切镜重量不超过250g</w:t>
      </w:r>
      <w:r>
        <w:rPr>
          <w:rFonts w:hint="eastAsia" w:ascii="宋体" w:hAnsi="宋体"/>
          <w:sz w:val="28"/>
          <w:szCs w:val="28"/>
          <w:lang w:eastAsia="zh-CN"/>
        </w:rPr>
        <w:t>；</w:t>
      </w:r>
    </w:p>
    <w:p>
      <w:pPr>
        <w:spacing w:line="360" w:lineRule="auto"/>
        <w:rPr>
          <w:rFonts w:hint="eastAsia" w:ascii="宋体" w:hAnsi="宋体" w:eastAsia="宋体"/>
          <w:sz w:val="28"/>
          <w:szCs w:val="28"/>
          <w:lang w:eastAsia="zh-CN"/>
        </w:rPr>
      </w:pPr>
      <w:r>
        <w:rPr>
          <w:rFonts w:hint="eastAsia" w:ascii="宋体" w:hAnsi="宋体"/>
          <w:sz w:val="28"/>
          <w:szCs w:val="28"/>
        </w:rPr>
        <w:t>1</w:t>
      </w:r>
      <w:r>
        <w:rPr>
          <w:rFonts w:hint="eastAsia" w:ascii="宋体" w:hAnsi="宋体"/>
          <w:sz w:val="28"/>
          <w:szCs w:val="28"/>
          <w:lang w:val="en-US" w:eastAsia="zh-CN"/>
        </w:rPr>
        <w:t>3</w:t>
      </w:r>
      <w:r>
        <w:rPr>
          <w:rFonts w:hint="eastAsia" w:ascii="宋体" w:hAnsi="宋体"/>
          <w:sz w:val="28"/>
          <w:szCs w:val="28"/>
        </w:rPr>
        <w:t>、镜头：外径≤4mm</w:t>
      </w:r>
      <w:r>
        <w:rPr>
          <w:rFonts w:hint="eastAsia" w:ascii="宋体" w:hAnsi="宋体"/>
          <w:sz w:val="28"/>
          <w:szCs w:val="28"/>
          <w:lang w:eastAsia="zh-CN"/>
        </w:rPr>
        <w:t>；</w:t>
      </w:r>
    </w:p>
    <w:p>
      <w:pPr>
        <w:spacing w:line="360" w:lineRule="auto"/>
        <w:rPr>
          <w:rFonts w:hint="eastAsia" w:ascii="宋体" w:hAnsi="宋体" w:eastAsia="宋体"/>
          <w:b/>
          <w:sz w:val="28"/>
          <w:szCs w:val="28"/>
          <w:lang w:eastAsia="zh-CN"/>
        </w:rPr>
      </w:pPr>
      <w:r>
        <w:rPr>
          <w:rFonts w:hint="eastAsia" w:ascii="宋体" w:hAnsi="宋体"/>
          <w:sz w:val="28"/>
          <w:szCs w:val="28"/>
        </w:rPr>
        <w:t>1</w:t>
      </w:r>
      <w:r>
        <w:rPr>
          <w:rFonts w:hint="eastAsia" w:ascii="宋体" w:hAnsi="宋体"/>
          <w:sz w:val="28"/>
          <w:szCs w:val="28"/>
          <w:lang w:val="en-US" w:eastAsia="zh-CN"/>
        </w:rPr>
        <w:t>4</w:t>
      </w:r>
      <w:r>
        <w:rPr>
          <w:rFonts w:hint="eastAsia" w:ascii="宋体" w:hAnsi="宋体"/>
          <w:sz w:val="28"/>
          <w:szCs w:val="28"/>
        </w:rPr>
        <w:t>、视野角度：12°</w:t>
      </w:r>
      <w:r>
        <w:rPr>
          <w:rFonts w:hint="eastAsia" w:ascii="宋体" w:hAnsi="宋体"/>
          <w:sz w:val="28"/>
          <w:szCs w:val="28"/>
          <w:lang w:eastAsia="zh-CN"/>
        </w:rPr>
        <w:t>；</w:t>
      </w:r>
    </w:p>
    <w:p>
      <w:pPr>
        <w:spacing w:line="360" w:lineRule="auto"/>
        <w:rPr>
          <w:rFonts w:ascii="宋体" w:hAnsi="宋体"/>
          <w:b/>
          <w:sz w:val="28"/>
          <w:szCs w:val="28"/>
        </w:rPr>
      </w:pPr>
      <w:r>
        <w:rPr>
          <w:rFonts w:hint="eastAsia" w:ascii="宋体" w:hAnsi="宋体"/>
          <w:b/>
          <w:sz w:val="28"/>
          <w:szCs w:val="28"/>
          <w:lang w:eastAsia="zh-CN"/>
        </w:rPr>
        <w:t>四</w:t>
      </w:r>
      <w:r>
        <w:rPr>
          <w:rFonts w:hint="eastAsia" w:ascii="宋体" w:hAnsi="宋体"/>
          <w:b/>
          <w:sz w:val="28"/>
          <w:szCs w:val="28"/>
        </w:rPr>
        <w:t>、宫腔检查镜系统</w:t>
      </w:r>
    </w:p>
    <w:p>
      <w:pPr>
        <w:spacing w:line="360" w:lineRule="auto"/>
        <w:rPr>
          <w:rFonts w:ascii="宋体" w:hAnsi="宋体"/>
          <w:sz w:val="28"/>
          <w:szCs w:val="28"/>
        </w:rPr>
      </w:pPr>
      <w:r>
        <w:rPr>
          <w:rFonts w:hint="eastAsia" w:ascii="宋体" w:hAnsi="宋体"/>
          <w:sz w:val="28"/>
          <w:szCs w:val="28"/>
        </w:rPr>
        <w:t>1、镜头：外径≤3mm；</w:t>
      </w:r>
    </w:p>
    <w:p>
      <w:pPr>
        <w:spacing w:line="360" w:lineRule="auto"/>
        <w:rPr>
          <w:rFonts w:hint="eastAsia" w:ascii="宋体" w:hAnsi="宋体" w:eastAsia="宋体"/>
          <w:sz w:val="28"/>
          <w:szCs w:val="28"/>
          <w:lang w:eastAsia="zh-CN"/>
        </w:rPr>
      </w:pPr>
      <w:r>
        <w:rPr>
          <w:rFonts w:hint="eastAsia" w:ascii="宋体" w:hAnsi="宋体"/>
          <w:sz w:val="28"/>
          <w:szCs w:val="28"/>
        </w:rPr>
        <w:t>2、视野角度：30°</w:t>
      </w:r>
      <w:r>
        <w:rPr>
          <w:rFonts w:hint="eastAsia" w:ascii="宋体" w:hAnsi="宋体"/>
          <w:sz w:val="28"/>
          <w:szCs w:val="28"/>
          <w:lang w:eastAsia="zh-CN"/>
        </w:rPr>
        <w:t>；</w:t>
      </w:r>
    </w:p>
    <w:p>
      <w:pPr>
        <w:spacing w:line="360" w:lineRule="auto"/>
        <w:rPr>
          <w:rFonts w:ascii="宋体" w:hAnsi="宋体"/>
          <w:sz w:val="28"/>
          <w:szCs w:val="28"/>
        </w:rPr>
      </w:pPr>
      <w:r>
        <w:rPr>
          <w:rFonts w:ascii="宋体" w:hAnsi="宋体"/>
          <w:sz w:val="28"/>
          <w:szCs w:val="28"/>
        </w:rPr>
        <w:t>3</w:t>
      </w:r>
      <w:r>
        <w:rPr>
          <w:rFonts w:hint="eastAsia" w:ascii="宋体" w:hAnsi="宋体"/>
          <w:sz w:val="28"/>
          <w:szCs w:val="28"/>
        </w:rPr>
        <w:t>、可高温高压灭菌；</w:t>
      </w:r>
    </w:p>
    <w:p>
      <w:pPr>
        <w:spacing w:line="360" w:lineRule="auto"/>
        <w:rPr>
          <w:rFonts w:ascii="宋体" w:hAnsi="宋体"/>
          <w:sz w:val="28"/>
          <w:szCs w:val="28"/>
        </w:rPr>
      </w:pPr>
      <w:r>
        <w:rPr>
          <w:rFonts w:hint="eastAsia" w:ascii="宋体" w:hAnsi="宋体"/>
          <w:sz w:val="28"/>
          <w:szCs w:val="28"/>
        </w:rPr>
        <w:t>4、镜头有防刻划蓝宝石设计；</w:t>
      </w:r>
    </w:p>
    <w:p>
      <w:pPr>
        <w:spacing w:line="360" w:lineRule="auto"/>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、镜头与管鞘连接部为卡扣式设计，方便插拔，无需旋转锁紧；</w:t>
      </w:r>
    </w:p>
    <w:p>
      <w:pPr>
        <w:pStyle w:val="8"/>
        <w:spacing w:line="360" w:lineRule="auto"/>
        <w:ind w:firstLine="0" w:firstLineChars="0"/>
        <w:jc w:val="left"/>
        <w:rPr>
          <w:rFonts w:hint="eastAsia" w:ascii="宋体" w:hAnsi="宋体"/>
          <w:sz w:val="28"/>
          <w:szCs w:val="28"/>
          <w:lang w:eastAsia="zh-CN"/>
        </w:rPr>
      </w:pPr>
      <w:r>
        <w:rPr>
          <w:rFonts w:hint="eastAsia" w:ascii="宋体" w:hAnsi="宋体"/>
          <w:sz w:val="28"/>
          <w:szCs w:val="28"/>
        </w:rPr>
        <w:t>*</w:t>
      </w:r>
      <w:r>
        <w:rPr>
          <w:rFonts w:hint="eastAsia" w:ascii="宋体" w:hAnsi="宋体"/>
          <w:sz w:val="28"/>
          <w:szCs w:val="28"/>
          <w:lang w:val="en-US" w:eastAsia="zh-CN"/>
        </w:rPr>
        <w:t>6</w:t>
      </w:r>
      <w:r>
        <w:rPr>
          <w:rFonts w:hint="eastAsia" w:ascii="宋体" w:hAnsi="宋体"/>
          <w:sz w:val="28"/>
          <w:szCs w:val="28"/>
        </w:rPr>
        <w:t>、</w:t>
      </w:r>
      <w:r>
        <w:rPr>
          <w:rFonts w:hint="eastAsia" w:ascii="宋体" w:hAnsi="宋体"/>
          <w:sz w:val="28"/>
          <w:szCs w:val="28"/>
          <w:lang w:eastAsia="zh-CN"/>
        </w:rPr>
        <w:t>单管鞘持续灌流，操作方便；</w:t>
      </w:r>
    </w:p>
    <w:p>
      <w:pPr>
        <w:jc w:val="both"/>
        <w:rPr>
          <w:rFonts w:hint="eastAsia" w:eastAsia="宋体"/>
          <w:b/>
          <w:sz w:val="32"/>
          <w:szCs w:val="32"/>
          <w:lang w:eastAsia="zh-CN"/>
        </w:rPr>
      </w:pPr>
      <w:r>
        <w:rPr>
          <w:rFonts w:hint="eastAsia"/>
          <w:b/>
          <w:sz w:val="32"/>
          <w:szCs w:val="32"/>
          <w:lang w:eastAsia="zh-CN"/>
        </w:rPr>
        <w:t>五</w:t>
      </w:r>
      <w:r>
        <w:rPr>
          <w:rFonts w:hint="eastAsia" w:ascii="宋体" w:hAnsi="宋体"/>
          <w:b/>
          <w:sz w:val="28"/>
          <w:szCs w:val="28"/>
        </w:rPr>
        <w:t>、</w:t>
      </w:r>
      <w:r>
        <w:rPr>
          <w:rFonts w:hint="eastAsia"/>
          <w:b/>
          <w:sz w:val="32"/>
          <w:szCs w:val="32"/>
        </w:rPr>
        <w:t>具体配置</w:t>
      </w:r>
      <w:r>
        <w:rPr>
          <w:rFonts w:hint="eastAsia"/>
          <w:b/>
          <w:sz w:val="32"/>
          <w:szCs w:val="32"/>
          <w:lang w:eastAsia="zh-CN"/>
        </w:rPr>
        <w:t>方案</w:t>
      </w:r>
    </w:p>
    <w:tbl>
      <w:tblPr>
        <w:tblStyle w:val="21"/>
        <w:tblW w:w="785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6"/>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
                <w:bCs/>
                <w:sz w:val="28"/>
                <w:szCs w:val="28"/>
              </w:rPr>
            </w:pPr>
            <w:r>
              <w:rPr>
                <w:rFonts w:hint="eastAsia" w:ascii="宋体" w:hAnsi="宋体"/>
                <w:b/>
                <w:bCs/>
                <w:sz w:val="28"/>
                <w:szCs w:val="28"/>
              </w:rPr>
              <w:t>名称</w:t>
            </w:r>
          </w:p>
        </w:tc>
        <w:tc>
          <w:tcPr>
            <w:tcW w:w="1853" w:type="dxa"/>
            <w:vAlign w:val="bottom"/>
          </w:tcPr>
          <w:p>
            <w:pPr>
              <w:spacing w:line="360" w:lineRule="auto"/>
              <w:jc w:val="center"/>
              <w:rPr>
                <w:rFonts w:ascii="宋体" w:hAnsi="宋体"/>
                <w:b/>
                <w:bCs/>
                <w:sz w:val="28"/>
                <w:szCs w:val="28"/>
              </w:rPr>
            </w:pPr>
            <w:r>
              <w:rPr>
                <w:rFonts w:hint="eastAsia" w:ascii="宋体" w:hAnsi="宋体"/>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Cs/>
                <w:sz w:val="28"/>
                <w:szCs w:val="28"/>
              </w:rPr>
            </w:pPr>
            <w:r>
              <w:rPr>
                <w:rFonts w:hint="eastAsia" w:ascii="宋体" w:hAnsi="宋体"/>
                <w:bCs/>
                <w:sz w:val="28"/>
                <w:szCs w:val="28"/>
              </w:rPr>
              <w:t>宫腔等离子电切镜 12°，4mm</w:t>
            </w:r>
          </w:p>
        </w:tc>
        <w:tc>
          <w:tcPr>
            <w:tcW w:w="1853" w:type="dxa"/>
            <w:vAlign w:val="center"/>
          </w:tcPr>
          <w:p>
            <w:pPr>
              <w:jc w:val="center"/>
              <w:rPr>
                <w:rFonts w:hint="default" w:eastAsia="宋体"/>
                <w:lang w:val="en-US" w:eastAsia="zh-CN"/>
              </w:rP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hint="eastAsia" w:ascii="宋体" w:hAnsi="宋体"/>
                <w:bCs/>
                <w:sz w:val="28"/>
                <w:szCs w:val="28"/>
              </w:rPr>
            </w:pPr>
            <w:r>
              <w:rPr>
                <w:rFonts w:hint="eastAsia" w:ascii="宋体" w:hAnsi="宋体"/>
                <w:bCs/>
                <w:sz w:val="28"/>
                <w:szCs w:val="28"/>
              </w:rPr>
              <w:t>内管鞘</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hint="eastAsia" w:ascii="宋体" w:hAnsi="宋体"/>
                <w:bCs/>
                <w:sz w:val="28"/>
                <w:szCs w:val="28"/>
              </w:rPr>
            </w:pPr>
            <w:r>
              <w:rPr>
                <w:rFonts w:hint="eastAsia" w:ascii="宋体" w:hAnsi="宋体"/>
                <w:bCs/>
                <w:sz w:val="28"/>
                <w:szCs w:val="28"/>
              </w:rPr>
              <w:t>外管鞘</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hint="eastAsia" w:ascii="宋体" w:hAnsi="宋体"/>
                <w:bCs/>
                <w:sz w:val="28"/>
                <w:szCs w:val="28"/>
              </w:rPr>
            </w:pPr>
            <w:r>
              <w:rPr>
                <w:rFonts w:hint="eastAsia" w:ascii="宋体" w:hAnsi="宋体"/>
                <w:bCs/>
                <w:sz w:val="28"/>
                <w:szCs w:val="28"/>
              </w:rPr>
              <w:t>宫腔检查镜 30°，3mm</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hint="eastAsia" w:ascii="宋体" w:hAnsi="宋体"/>
                <w:bCs/>
                <w:sz w:val="28"/>
                <w:szCs w:val="28"/>
              </w:rPr>
            </w:pPr>
            <w:r>
              <w:rPr>
                <w:rFonts w:hint="eastAsia" w:ascii="宋体" w:hAnsi="宋体"/>
                <w:bCs/>
                <w:sz w:val="28"/>
                <w:szCs w:val="28"/>
              </w:rPr>
              <w:t>4.5mm管鞘</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Cs/>
                <w:sz w:val="28"/>
                <w:szCs w:val="28"/>
              </w:rPr>
            </w:pPr>
            <w:r>
              <w:rPr>
                <w:rFonts w:hint="eastAsia" w:ascii="宋体" w:hAnsi="宋体"/>
                <w:bCs/>
                <w:sz w:val="28"/>
                <w:szCs w:val="28"/>
              </w:rPr>
              <w:t>被动式工作把手</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center"/>
          </w:tcPr>
          <w:p>
            <w:pPr>
              <w:spacing w:line="360" w:lineRule="auto"/>
              <w:rPr>
                <w:rFonts w:ascii="宋体" w:hAnsi="宋体"/>
                <w:bCs/>
                <w:sz w:val="28"/>
                <w:szCs w:val="28"/>
              </w:rPr>
            </w:pPr>
            <w:r>
              <w:rPr>
                <w:rFonts w:hint="eastAsia" w:ascii="宋体" w:hAnsi="宋体"/>
                <w:bCs/>
                <w:sz w:val="28"/>
                <w:szCs w:val="28"/>
              </w:rPr>
              <w:t>高频切除电极，环形</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Cs/>
                <w:sz w:val="28"/>
                <w:szCs w:val="28"/>
              </w:rPr>
            </w:pPr>
            <w:r>
              <w:rPr>
                <w:rFonts w:hint="eastAsia" w:ascii="宋体" w:hAnsi="宋体"/>
                <w:bCs/>
                <w:sz w:val="28"/>
                <w:szCs w:val="28"/>
              </w:rPr>
              <w:t>高频切除电极，滚球型</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Cs/>
                <w:sz w:val="28"/>
                <w:szCs w:val="28"/>
              </w:rPr>
            </w:pPr>
            <w:r>
              <w:rPr>
                <w:rFonts w:hint="eastAsia" w:ascii="宋体" w:hAnsi="宋体"/>
                <w:bCs/>
                <w:sz w:val="28"/>
                <w:szCs w:val="28"/>
              </w:rPr>
              <w:t>高频切除电极，针型</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Cs/>
                <w:sz w:val="28"/>
                <w:szCs w:val="28"/>
              </w:rPr>
            </w:pPr>
            <w:r>
              <w:rPr>
                <w:rFonts w:hint="eastAsia" w:ascii="宋体" w:hAnsi="宋体"/>
                <w:bCs/>
                <w:sz w:val="28"/>
                <w:szCs w:val="28"/>
              </w:rPr>
              <w:t>高频电刀及等离子发生器</w:t>
            </w:r>
          </w:p>
        </w:tc>
        <w:tc>
          <w:tcPr>
            <w:tcW w:w="1853" w:type="dxa"/>
            <w:vAlign w:val="center"/>
          </w:tcPr>
          <w:p>
            <w:pPr>
              <w:jc w:val="center"/>
            </w:pPr>
            <w:r>
              <w:rPr>
                <w:rFonts w:hint="eastAsia" w:ascii="宋体" w:hAnsi="宋体"/>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006" w:type="dxa"/>
            <w:vAlign w:val="bottom"/>
          </w:tcPr>
          <w:p>
            <w:pPr>
              <w:spacing w:line="360" w:lineRule="auto"/>
              <w:rPr>
                <w:rFonts w:ascii="宋体" w:hAnsi="宋体"/>
                <w:bCs/>
                <w:sz w:val="28"/>
                <w:szCs w:val="28"/>
              </w:rPr>
            </w:pPr>
            <w:r>
              <w:rPr>
                <w:rFonts w:hint="eastAsia" w:ascii="宋体" w:hAnsi="宋体"/>
                <w:bCs/>
                <w:sz w:val="28"/>
                <w:szCs w:val="28"/>
              </w:rPr>
              <w:t>生理盐水电缆线</w:t>
            </w:r>
          </w:p>
        </w:tc>
        <w:tc>
          <w:tcPr>
            <w:tcW w:w="1853" w:type="dxa"/>
            <w:vAlign w:val="center"/>
          </w:tcPr>
          <w:p>
            <w:pPr>
              <w:jc w:val="center"/>
            </w:pPr>
            <w:r>
              <w:rPr>
                <w:rFonts w:hint="eastAsia" w:ascii="宋体" w:hAnsi="宋体"/>
                <w:bCs/>
                <w:sz w:val="28"/>
                <w:szCs w:val="28"/>
              </w:rPr>
              <w:t>1</w:t>
            </w:r>
          </w:p>
        </w:tc>
      </w:tr>
    </w:tbl>
    <w:p>
      <w:pPr>
        <w:jc w:val="both"/>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其他要求：</w:t>
      </w:r>
    </w:p>
    <w:p>
      <w:pPr>
        <w:spacing w:line="480" w:lineRule="exact"/>
        <w:rPr>
          <w:rFonts w:hint="eastAsia" w:ascii="宋体" w:hAnsi="宋体" w:cs="宋体"/>
          <w:bCs/>
          <w:color w:val="000000"/>
          <w:sz w:val="28"/>
          <w:szCs w:val="28"/>
          <w:shd w:val="clear" w:color="auto" w:fill="FFFFFF"/>
        </w:rPr>
      </w:pPr>
      <w:r>
        <w:rPr>
          <w:rFonts w:hint="eastAsia" w:ascii="宋体" w:hAnsi="宋体" w:cs="宋体"/>
          <w:bCs/>
          <w:color w:val="000000"/>
          <w:sz w:val="28"/>
          <w:szCs w:val="28"/>
          <w:shd w:val="clear" w:color="auto" w:fill="FFFFFF"/>
        </w:rPr>
        <w:t>1、交付使用时间及地点</w:t>
      </w:r>
    </w:p>
    <w:p>
      <w:pPr>
        <w:spacing w:line="480" w:lineRule="exact"/>
        <w:ind w:firstLine="280" w:firstLineChars="100"/>
        <w:rPr>
          <w:rFonts w:ascii="宋体" w:hAnsi="宋体" w:cs="宋体"/>
          <w:bCs/>
          <w:color w:val="auto"/>
          <w:sz w:val="28"/>
          <w:szCs w:val="28"/>
          <w:shd w:val="clear" w:color="auto" w:fill="FFFFFF"/>
        </w:rPr>
      </w:pPr>
      <w:r>
        <w:rPr>
          <w:rFonts w:hint="eastAsia" w:ascii="宋体" w:hAnsi="宋体" w:cs="宋体"/>
          <w:bCs/>
          <w:sz w:val="28"/>
          <w:szCs w:val="28"/>
          <w:shd w:val="clear" w:color="auto" w:fill="FFFFFF"/>
        </w:rPr>
        <w:t>1.1交付时间：</w:t>
      </w:r>
      <w:r>
        <w:rPr>
          <w:rFonts w:hint="eastAsia" w:ascii="宋体" w:hAnsi="宋体" w:cs="宋体"/>
          <w:bCs/>
          <w:color w:val="auto"/>
          <w:sz w:val="28"/>
          <w:szCs w:val="28"/>
          <w:shd w:val="clear" w:color="auto" w:fill="FFFFFF"/>
        </w:rPr>
        <w:t>合同签定生效后30个工作日内完成交货及安装调试。</w:t>
      </w:r>
    </w:p>
    <w:p>
      <w:pPr>
        <w:spacing w:line="480" w:lineRule="exact"/>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 xml:space="preserve"> </w:t>
      </w:r>
      <w:r>
        <w:rPr>
          <w:rFonts w:hint="eastAsia" w:ascii="宋体" w:hAnsi="宋体" w:cs="宋体"/>
          <w:bCs/>
          <w:sz w:val="28"/>
          <w:szCs w:val="28"/>
          <w:shd w:val="clear" w:color="auto" w:fill="FFFFFF"/>
          <w:lang w:val="en-US" w:eastAsia="zh-CN"/>
        </w:rPr>
        <w:t xml:space="preserve"> </w:t>
      </w:r>
      <w:r>
        <w:rPr>
          <w:rFonts w:hint="eastAsia" w:ascii="宋体" w:hAnsi="宋体" w:cs="宋体"/>
          <w:bCs/>
          <w:sz w:val="28"/>
          <w:szCs w:val="28"/>
          <w:shd w:val="clear" w:color="auto" w:fill="FFFFFF"/>
        </w:rPr>
        <w:t>1.2交付地点：阳新县人民医院</w:t>
      </w:r>
    </w:p>
    <w:p>
      <w:pPr>
        <w:spacing w:line="480" w:lineRule="exact"/>
        <w:rPr>
          <w:rFonts w:ascii="宋体" w:hAnsi="宋体" w:cs="宋体"/>
          <w:bCs/>
          <w:sz w:val="28"/>
          <w:szCs w:val="28"/>
          <w:shd w:val="clear" w:color="auto" w:fill="FFFFFF"/>
        </w:rPr>
      </w:pPr>
      <w:r>
        <w:rPr>
          <w:rFonts w:hint="eastAsia" w:ascii="宋体" w:hAnsi="宋体" w:cs="宋体"/>
          <w:bCs/>
          <w:sz w:val="28"/>
          <w:szCs w:val="28"/>
          <w:shd w:val="clear" w:color="auto" w:fill="FFFFFF"/>
        </w:rPr>
        <w:t>2、质保期：一年</w:t>
      </w:r>
    </w:p>
    <w:p>
      <w:pPr>
        <w:spacing w:line="480" w:lineRule="exact"/>
        <w:rPr>
          <w:rFonts w:hint="eastAsia" w:ascii="宋体" w:hAnsi="宋体" w:cs="宋体"/>
          <w:color w:val="auto"/>
          <w:sz w:val="28"/>
          <w:szCs w:val="28"/>
        </w:rPr>
      </w:pPr>
      <w:r>
        <w:rPr>
          <w:rFonts w:hint="eastAsia" w:ascii="宋体" w:hAnsi="宋体" w:cs="宋体"/>
          <w:bCs/>
          <w:sz w:val="28"/>
          <w:szCs w:val="28"/>
          <w:shd w:val="clear" w:color="auto" w:fill="FFFFFF"/>
        </w:rPr>
        <w:t>3、付款方式：</w:t>
      </w:r>
      <w:r>
        <w:rPr>
          <w:rFonts w:hint="eastAsia" w:ascii="宋体" w:hAnsi="宋体" w:cs="宋体"/>
          <w:color w:val="auto"/>
          <w:sz w:val="28"/>
          <w:szCs w:val="28"/>
        </w:rPr>
        <w:t>设备安装验收合格后付90%，质保期满后付余款10%。</w:t>
      </w:r>
    </w:p>
    <w:p>
      <w:pPr>
        <w:spacing w:line="480" w:lineRule="exact"/>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4、验收</w:t>
      </w:r>
    </w:p>
    <w:p>
      <w:pPr>
        <w:spacing w:line="480" w:lineRule="exact"/>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 xml:space="preserve">   4.1由采购单位和投标人代表按投标文件和合同要求对货物参数规格、数量等进行验收。</w:t>
      </w:r>
    </w:p>
    <w:p>
      <w:pPr>
        <w:spacing w:line="480" w:lineRule="exact"/>
        <w:rPr>
          <w:rFonts w:hint="eastAsia" w:ascii="宋体" w:hAnsi="宋体" w:cs="宋体"/>
          <w:bCs/>
          <w:sz w:val="28"/>
          <w:szCs w:val="28"/>
          <w:shd w:val="clear" w:color="auto" w:fill="FFFFFF"/>
        </w:rPr>
      </w:pPr>
      <w:r>
        <w:rPr>
          <w:rFonts w:hint="eastAsia" w:ascii="宋体" w:hAnsi="宋体" w:cs="宋体"/>
          <w:bCs/>
          <w:sz w:val="28"/>
          <w:szCs w:val="28"/>
          <w:shd w:val="clear" w:color="auto" w:fill="FFFFFF"/>
        </w:rPr>
        <w:t xml:space="preserve">   4.2调试完毕且经运行测试通过后，由采购单位和投标人代表对设备进行测试验收。</w:t>
      </w:r>
    </w:p>
    <w:p>
      <w:pPr>
        <w:pStyle w:val="16"/>
        <w:rPr>
          <w:rFonts w:hint="eastAsia"/>
          <w:b w:val="0"/>
          <w:sz w:val="28"/>
          <w:szCs w:val="28"/>
        </w:rPr>
      </w:pPr>
      <w:r>
        <w:rPr>
          <w:rFonts w:hint="eastAsia" w:ascii="宋体" w:hAnsi="宋体" w:eastAsia="宋体" w:cs="宋体"/>
          <w:bCs/>
          <w:sz w:val="28"/>
          <w:szCs w:val="28"/>
          <w:shd w:val="clear" w:color="auto" w:fill="FFFFFF"/>
        </w:rPr>
        <w:t xml:space="preserve">   </w:t>
      </w:r>
      <w:r>
        <w:rPr>
          <w:rFonts w:hint="eastAsia" w:ascii="宋体" w:hAnsi="宋体" w:eastAsia="宋体" w:cs="宋体"/>
          <w:b w:val="0"/>
          <w:bCs/>
          <w:kern w:val="2"/>
          <w:sz w:val="28"/>
          <w:szCs w:val="28"/>
          <w:shd w:val="clear" w:color="auto" w:fill="FFFFFF"/>
        </w:rPr>
        <w:t>4.3</w:t>
      </w:r>
      <w:r>
        <w:rPr>
          <w:rFonts w:hint="eastAsia" w:ascii="宋体" w:hAnsi="宋体" w:eastAsia="宋体" w:cs="宋体"/>
          <w:b w:val="0"/>
          <w:sz w:val="28"/>
          <w:szCs w:val="28"/>
          <w:shd w:val="clear" w:color="auto" w:fill="FFFFFF"/>
        </w:rPr>
        <w:t>测试验收过程中如发现系统设备的参数指标或功能不符合投标文件和合同要求，采购单位有权拒绝签收，由此造成的一切经济损失及违约责任由投标人承担</w:t>
      </w:r>
      <w:r>
        <w:rPr>
          <w:rFonts w:hint="eastAsia" w:ascii="宋体" w:hAnsi="宋体" w:eastAsia="宋体" w:cs="宋体"/>
          <w:b w:val="0"/>
          <w:sz w:val="28"/>
          <w:szCs w:val="28"/>
          <w:shd w:val="clear" w:color="auto" w:fill="FFFFFF"/>
          <w:lang w:eastAsia="zh-CN"/>
        </w:rPr>
        <w:t>。</w:t>
      </w:r>
    </w:p>
    <w:p>
      <w:pPr>
        <w:rPr>
          <w:rFonts w:ascii="宋体" w:hAnsi="宋体" w:cs="宋体"/>
          <w:bCs/>
          <w:color w:val="000000"/>
          <w:sz w:val="28"/>
          <w:szCs w:val="28"/>
          <w:highlight w:val="yellow"/>
          <w:shd w:val="clear" w:color="auto" w:fill="FFFFFF"/>
          <w:lang w:val="zh-CN"/>
        </w:rPr>
      </w:pPr>
    </w:p>
    <w:p>
      <w:pPr>
        <w:pStyle w:val="8"/>
        <w:spacing w:line="360" w:lineRule="auto"/>
        <w:ind w:firstLine="0" w:firstLineChars="0"/>
        <w:jc w:val="left"/>
        <w:rPr>
          <w:rFonts w:hint="eastAsia" w:ascii="宋体" w:hAnsi="宋体"/>
          <w:sz w:val="28"/>
          <w:szCs w:val="28"/>
          <w:lang w:val="en-US" w:eastAsia="zh-CN"/>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pStyle w:val="44"/>
        <w:keepNext w:val="0"/>
        <w:keepLines w:val="0"/>
        <w:pageBreakBefore w:val="0"/>
        <w:widowControl w:val="0"/>
        <w:numPr>
          <w:ilvl w:val="0"/>
          <w:numId w:val="0"/>
        </w:numPr>
        <w:tabs>
          <w:tab w:val="left" w:pos="426"/>
        </w:tabs>
        <w:kinsoku/>
        <w:wordWrap/>
        <w:overflowPunct/>
        <w:topLinePunct w:val="0"/>
        <w:autoSpaceDE/>
        <w:autoSpaceDN/>
        <w:bidi w:val="0"/>
        <w:adjustRightInd/>
        <w:snapToGrid/>
        <w:spacing w:line="440" w:lineRule="exact"/>
        <w:ind w:leftChars="0"/>
        <w:textAlignment w:val="auto"/>
        <w:rPr>
          <w:rFonts w:hint="eastAsia" w:ascii="宋体" w:hAnsi="宋体" w:eastAsia="宋体" w:cs="宋体"/>
          <w:sz w:val="24"/>
          <w:szCs w:val="24"/>
          <w:highlight w:val="none"/>
        </w:rPr>
      </w:pPr>
    </w:p>
    <w:p>
      <w:pPr>
        <w:widowControl/>
        <w:jc w:val="center"/>
        <w:rPr>
          <w:rFonts w:ascii="Calibri" w:hAnsi="宋体" w:eastAsia="宋体" w:cs="Times New Roman"/>
          <w:sz w:val="24"/>
          <w:szCs w:val="24"/>
        </w:rPr>
      </w:pPr>
    </w:p>
    <w:p>
      <w:pPr>
        <w:pStyle w:val="3"/>
        <w:numPr>
          <w:ilvl w:val="0"/>
          <w:numId w:val="1"/>
        </w:numPr>
        <w:jc w:val="center"/>
        <w:rPr>
          <w:rFonts w:ascii="黑体" w:hAnsi="黑体" w:eastAsia="黑体"/>
        </w:rPr>
      </w:pPr>
      <w:bookmarkStart w:id="45" w:name="_Toc495861538"/>
      <w:r>
        <w:rPr>
          <w:rFonts w:hint="eastAsia" w:ascii="黑体" w:hAnsi="黑体" w:eastAsia="黑体"/>
        </w:rPr>
        <w:t>资格审查方法及标准</w:t>
      </w:r>
      <w:bookmarkEnd w:id="45"/>
    </w:p>
    <w:p>
      <w:pPr>
        <w:spacing w:line="360" w:lineRule="auto"/>
        <w:ind w:firstLine="420"/>
        <w:rPr>
          <w:rFonts w:hint="eastAsia" w:ascii="宋体" w:hAnsi="宋体" w:eastAsia="宋体" w:cs="宋体"/>
          <w:bCs/>
          <w:sz w:val="24"/>
          <w:szCs w:val="20"/>
        </w:rPr>
      </w:pPr>
      <w:bookmarkStart w:id="46" w:name="_Toc495861541"/>
      <w:r>
        <w:rPr>
          <w:rFonts w:hint="eastAsia" w:ascii="宋体" w:hAnsi="宋体" w:eastAsia="宋体" w:cs="宋体"/>
          <w:bCs/>
          <w:sz w:val="24"/>
          <w:szCs w:val="20"/>
        </w:rPr>
        <w:t>根据《政府采购法》、《政府采购法实施条例》、《政府采购货物和服务招标投标管理办法》等相关法律法规确定以下资格审查方法及标准。</w:t>
      </w:r>
    </w:p>
    <w:p>
      <w:pPr>
        <w:pStyle w:val="4"/>
        <w:numPr>
          <w:ilvl w:val="0"/>
          <w:numId w:val="38"/>
        </w:numPr>
        <w:spacing w:before="0" w:after="0" w:line="360" w:lineRule="auto"/>
        <w:ind w:left="616" w:hanging="616"/>
        <w:jc w:val="left"/>
        <w:rPr>
          <w:rFonts w:hint="eastAsia" w:ascii="宋体" w:hAnsi="宋体" w:eastAsia="宋体" w:cs="宋体"/>
          <w:bCs w:val="0"/>
          <w:sz w:val="30"/>
          <w:szCs w:val="30"/>
        </w:rPr>
      </w:pPr>
      <w:bookmarkStart w:id="47" w:name="_Toc511894514"/>
      <w:bookmarkStart w:id="48" w:name="_Toc494561958"/>
      <w:bookmarkStart w:id="49" w:name="_Toc18092"/>
      <w:r>
        <w:rPr>
          <w:rFonts w:hint="eastAsia" w:ascii="宋体" w:hAnsi="宋体" w:eastAsia="宋体" w:cs="宋体"/>
          <w:bCs w:val="0"/>
          <w:sz w:val="30"/>
          <w:szCs w:val="30"/>
        </w:rPr>
        <w:t>资格审查方法</w:t>
      </w:r>
      <w:bookmarkEnd w:id="47"/>
      <w:bookmarkEnd w:id="48"/>
      <w:bookmarkEnd w:id="49"/>
    </w:p>
    <w:p>
      <w:pPr>
        <w:spacing w:line="360" w:lineRule="auto"/>
        <w:ind w:firstLine="420"/>
        <w:rPr>
          <w:rFonts w:hint="eastAsia" w:ascii="宋体" w:hAnsi="宋体" w:eastAsia="宋体" w:cs="宋体"/>
          <w:bCs/>
          <w:sz w:val="24"/>
          <w:szCs w:val="20"/>
        </w:rPr>
      </w:pPr>
      <w:r>
        <w:rPr>
          <w:rFonts w:hint="eastAsia" w:ascii="宋体" w:hAnsi="宋体" w:eastAsia="宋体" w:cs="宋体"/>
          <w:bCs/>
          <w:sz w:val="24"/>
          <w:szCs w:val="20"/>
        </w:rPr>
        <w:t>公开招标采购项目开标结束后，采购人</w:t>
      </w:r>
      <w:r>
        <w:rPr>
          <w:rFonts w:hint="eastAsia" w:ascii="宋体" w:hAnsi="宋体" w:eastAsia="宋体" w:cs="宋体"/>
          <w:bCs/>
          <w:sz w:val="24"/>
          <w:szCs w:val="20"/>
          <w:lang w:eastAsia="zh-CN"/>
        </w:rPr>
        <w:t>、采购代理公司</w:t>
      </w:r>
      <w:r>
        <w:rPr>
          <w:rFonts w:hint="eastAsia" w:ascii="宋体" w:hAnsi="宋体" w:eastAsia="宋体" w:cs="宋体"/>
          <w:bCs/>
          <w:sz w:val="24"/>
          <w:szCs w:val="20"/>
        </w:rPr>
        <w:t>成立资格审查小组，依据法律、法规及招标文件的规定，对投标人的资格进行审查，以确定投标人资格是否合格。</w:t>
      </w:r>
    </w:p>
    <w:p>
      <w:pPr>
        <w:pStyle w:val="4"/>
        <w:numPr>
          <w:ilvl w:val="0"/>
          <w:numId w:val="38"/>
        </w:numPr>
        <w:spacing w:before="0" w:after="0" w:line="360" w:lineRule="auto"/>
        <w:ind w:left="616" w:hanging="616"/>
        <w:jc w:val="left"/>
        <w:rPr>
          <w:rFonts w:hint="eastAsia" w:ascii="宋体" w:hAnsi="宋体" w:eastAsia="宋体" w:cs="宋体"/>
          <w:bCs w:val="0"/>
          <w:sz w:val="30"/>
          <w:szCs w:val="30"/>
        </w:rPr>
      </w:pPr>
      <w:bookmarkStart w:id="50" w:name="_Toc511894515"/>
      <w:bookmarkStart w:id="51" w:name="_Toc494561959"/>
      <w:bookmarkStart w:id="52" w:name="_Toc7531"/>
      <w:r>
        <w:rPr>
          <w:rFonts w:hint="eastAsia" w:ascii="宋体" w:hAnsi="宋体" w:eastAsia="宋体" w:cs="宋体"/>
          <w:bCs w:val="0"/>
          <w:sz w:val="30"/>
          <w:szCs w:val="30"/>
        </w:rPr>
        <w:t>资格审查标准</w:t>
      </w:r>
      <w:bookmarkEnd w:id="50"/>
      <w:bookmarkEnd w:id="51"/>
      <w:bookmarkEnd w:id="52"/>
    </w:p>
    <w:p>
      <w:pPr>
        <w:numPr>
          <w:ilvl w:val="0"/>
          <w:numId w:val="39"/>
        </w:numPr>
        <w:tabs>
          <w:tab w:val="left" w:pos="1098"/>
        </w:tabs>
        <w:spacing w:line="360" w:lineRule="auto"/>
        <w:ind w:left="14" w:firstLine="238"/>
        <w:rPr>
          <w:rFonts w:hint="eastAsia" w:ascii="宋体" w:hAnsi="宋体" w:eastAsia="宋体" w:cs="宋体"/>
          <w:b/>
          <w:sz w:val="24"/>
          <w:szCs w:val="24"/>
        </w:rPr>
      </w:pPr>
      <w:r>
        <w:rPr>
          <w:rFonts w:hint="eastAsia" w:ascii="宋体" w:hAnsi="宋体" w:eastAsia="宋体" w:cs="宋体"/>
          <w:b/>
          <w:sz w:val="24"/>
          <w:szCs w:val="24"/>
        </w:rPr>
        <w:t>资格证明文件审查</w:t>
      </w:r>
    </w:p>
    <w:p>
      <w:pPr>
        <w:tabs>
          <w:tab w:val="left" w:pos="616"/>
        </w:tabs>
        <w:spacing w:line="360" w:lineRule="auto"/>
        <w:ind w:firstLine="420"/>
        <w:rPr>
          <w:rFonts w:hint="eastAsia" w:ascii="宋体" w:hAnsi="宋体" w:eastAsia="宋体" w:cs="宋体"/>
          <w:b/>
          <w:kern w:val="0"/>
          <w:sz w:val="24"/>
          <w:szCs w:val="24"/>
        </w:rPr>
      </w:pPr>
      <w:r>
        <w:rPr>
          <w:rFonts w:hint="eastAsia" w:ascii="宋体" w:hAnsi="宋体" w:eastAsia="宋体" w:cs="宋体"/>
          <w:kern w:val="0"/>
          <w:sz w:val="24"/>
          <w:szCs w:val="24"/>
        </w:rPr>
        <w:t>所递交的资格证明文件出现不符合下列情形之一或不足以证明其符合下列情形之一的，应视为资格审查不合格，并按照</w:t>
      </w:r>
      <w:r>
        <w:rPr>
          <w:rFonts w:hint="eastAsia" w:ascii="宋体" w:hAnsi="宋体" w:eastAsia="宋体" w:cs="宋体"/>
          <w:b/>
          <w:kern w:val="0"/>
          <w:sz w:val="24"/>
          <w:szCs w:val="24"/>
        </w:rPr>
        <w:t>无效投标处理：</w:t>
      </w:r>
    </w:p>
    <w:p>
      <w:pPr>
        <w:pStyle w:val="44"/>
        <w:numPr>
          <w:ilvl w:val="0"/>
          <w:numId w:val="40"/>
        </w:numPr>
        <w:spacing w:line="360" w:lineRule="auto"/>
        <w:ind w:left="840" w:hanging="364" w:firstLineChars="0"/>
        <w:rPr>
          <w:rFonts w:hint="eastAsia" w:ascii="宋体" w:hAnsi="宋体" w:eastAsia="宋体" w:cs="宋体"/>
          <w:b/>
          <w:sz w:val="24"/>
          <w:szCs w:val="24"/>
        </w:rPr>
      </w:pPr>
      <w:r>
        <w:rPr>
          <w:rFonts w:hint="eastAsia" w:ascii="宋体" w:hAnsi="宋体" w:eastAsia="宋体" w:cs="宋体"/>
          <w:b/>
          <w:sz w:val="24"/>
          <w:szCs w:val="24"/>
        </w:rPr>
        <w:t>应具备《政府采购法》第二十二条第一款规定的条件，提供下列材料：</w:t>
      </w:r>
    </w:p>
    <w:p>
      <w:pPr>
        <w:pStyle w:val="44"/>
        <w:numPr>
          <w:ilvl w:val="0"/>
          <w:numId w:val="41"/>
        </w:numPr>
        <w:spacing w:line="360" w:lineRule="auto"/>
        <w:ind w:left="958" w:hanging="482" w:firstLineChars="0"/>
        <w:rPr>
          <w:rFonts w:hint="eastAsia" w:ascii="宋体" w:hAnsi="宋体" w:eastAsia="宋体" w:cs="宋体"/>
          <w:sz w:val="24"/>
          <w:szCs w:val="24"/>
        </w:rPr>
      </w:pPr>
      <w:r>
        <w:rPr>
          <w:rFonts w:hint="eastAsia" w:ascii="宋体" w:hAnsi="宋体" w:eastAsia="宋体" w:cs="宋体"/>
          <w:sz w:val="24"/>
          <w:szCs w:val="24"/>
        </w:rPr>
        <w:t>法人或者其他组织的营业执照等证明文件，自然人的身份证明（投标人根据自身情况提供对应的证明材料）：</w:t>
      </w:r>
    </w:p>
    <w:p>
      <w:pPr>
        <w:numPr>
          <w:ilvl w:val="0"/>
          <w:numId w:val="42"/>
        </w:numPr>
        <w:spacing w:line="360" w:lineRule="auto"/>
        <w:ind w:left="1321" w:hanging="720"/>
        <w:rPr>
          <w:rFonts w:hint="eastAsia" w:ascii="宋体" w:hAnsi="宋体" w:eastAsia="宋体" w:cs="宋体"/>
          <w:b/>
          <w:sz w:val="24"/>
          <w:szCs w:val="20"/>
        </w:rPr>
      </w:pPr>
      <w:r>
        <w:rPr>
          <w:rFonts w:hint="eastAsia" w:ascii="宋体" w:hAnsi="宋体" w:eastAsia="宋体" w:cs="宋体"/>
          <w:b/>
          <w:sz w:val="24"/>
          <w:szCs w:val="20"/>
        </w:rPr>
        <w:t>法人</w:t>
      </w:r>
    </w:p>
    <w:p>
      <w:pPr>
        <w:pStyle w:val="44"/>
        <w:numPr>
          <w:ilvl w:val="1"/>
          <w:numId w:val="43"/>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b/>
          <w:sz w:val="24"/>
          <w:szCs w:val="24"/>
        </w:rPr>
        <w:t>企业法人（包括合伙企业）：</w:t>
      </w:r>
      <w:r>
        <w:rPr>
          <w:rFonts w:hint="eastAsia" w:ascii="宋体" w:hAnsi="宋体" w:eastAsia="宋体" w:cs="宋体"/>
          <w:sz w:val="24"/>
          <w:szCs w:val="24"/>
        </w:rPr>
        <w:t>提供工商部门注册的有效“企业法人营业执照”或“营业执照”；</w:t>
      </w:r>
    </w:p>
    <w:p>
      <w:pPr>
        <w:pStyle w:val="44"/>
        <w:numPr>
          <w:ilvl w:val="1"/>
          <w:numId w:val="43"/>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b/>
          <w:sz w:val="24"/>
          <w:szCs w:val="24"/>
        </w:rPr>
        <w:t>事业单位法人：</w:t>
      </w:r>
      <w:r>
        <w:rPr>
          <w:rFonts w:hint="eastAsia" w:ascii="宋体" w:hAnsi="宋体" w:eastAsia="宋体" w:cs="宋体"/>
          <w:sz w:val="24"/>
          <w:szCs w:val="24"/>
        </w:rPr>
        <w:t>提供有效的“事业单位法人证书”。</w:t>
      </w:r>
    </w:p>
    <w:p>
      <w:pPr>
        <w:numPr>
          <w:ilvl w:val="0"/>
          <w:numId w:val="42"/>
        </w:numPr>
        <w:spacing w:line="360" w:lineRule="auto"/>
        <w:ind w:left="1321" w:hanging="720"/>
        <w:rPr>
          <w:rFonts w:hint="eastAsia" w:ascii="宋体" w:hAnsi="宋体" w:eastAsia="宋体" w:cs="宋体"/>
          <w:b/>
          <w:sz w:val="24"/>
          <w:szCs w:val="20"/>
        </w:rPr>
      </w:pPr>
      <w:r>
        <w:rPr>
          <w:rFonts w:hint="eastAsia" w:ascii="宋体" w:hAnsi="宋体" w:eastAsia="宋体" w:cs="宋体"/>
          <w:b/>
          <w:sz w:val="24"/>
          <w:szCs w:val="20"/>
        </w:rPr>
        <w:t>其他组织</w:t>
      </w:r>
    </w:p>
    <w:p>
      <w:pPr>
        <w:pStyle w:val="44"/>
        <w:numPr>
          <w:ilvl w:val="0"/>
          <w:numId w:val="44"/>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b/>
          <w:sz w:val="24"/>
          <w:szCs w:val="24"/>
        </w:rPr>
        <w:t>非企业专业服务机构：</w:t>
      </w:r>
      <w:r>
        <w:rPr>
          <w:rFonts w:hint="eastAsia" w:ascii="宋体" w:hAnsi="宋体" w:eastAsia="宋体" w:cs="宋体"/>
          <w:sz w:val="24"/>
          <w:szCs w:val="24"/>
        </w:rPr>
        <w:t>提供执业许可证等证明文件；</w:t>
      </w:r>
    </w:p>
    <w:p>
      <w:pPr>
        <w:pStyle w:val="44"/>
        <w:numPr>
          <w:ilvl w:val="0"/>
          <w:numId w:val="44"/>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b/>
          <w:sz w:val="24"/>
          <w:szCs w:val="24"/>
        </w:rPr>
        <w:t>个体工商户：</w:t>
      </w:r>
      <w:r>
        <w:rPr>
          <w:rFonts w:hint="eastAsia" w:ascii="宋体" w:hAnsi="宋体" w:eastAsia="宋体" w:cs="宋体"/>
          <w:sz w:val="24"/>
          <w:szCs w:val="24"/>
        </w:rPr>
        <w:t>提供有效的“个体工商户营业执照”。</w:t>
      </w:r>
    </w:p>
    <w:p>
      <w:pPr>
        <w:numPr>
          <w:ilvl w:val="0"/>
          <w:numId w:val="42"/>
        </w:numPr>
        <w:spacing w:line="360" w:lineRule="auto"/>
        <w:ind w:left="1321" w:hanging="720"/>
        <w:rPr>
          <w:rFonts w:hint="eastAsia" w:ascii="宋体" w:hAnsi="宋体" w:eastAsia="宋体" w:cs="宋体"/>
          <w:sz w:val="24"/>
          <w:szCs w:val="20"/>
        </w:rPr>
      </w:pPr>
      <w:r>
        <w:rPr>
          <w:rFonts w:hint="eastAsia" w:ascii="宋体" w:hAnsi="宋体" w:eastAsia="宋体" w:cs="宋体"/>
          <w:b/>
          <w:sz w:val="24"/>
          <w:szCs w:val="20"/>
        </w:rPr>
        <w:t>自然人：</w:t>
      </w:r>
      <w:r>
        <w:rPr>
          <w:rFonts w:hint="eastAsia" w:ascii="宋体" w:hAnsi="宋体" w:eastAsia="宋体" w:cs="宋体"/>
          <w:sz w:val="24"/>
          <w:szCs w:val="20"/>
        </w:rPr>
        <w:t>提供有效的自然人身份证明。（仅限中国公民）</w:t>
      </w:r>
    </w:p>
    <w:p>
      <w:pPr>
        <w:pStyle w:val="44"/>
        <w:numPr>
          <w:ilvl w:val="0"/>
          <w:numId w:val="41"/>
        </w:numPr>
        <w:spacing w:line="360" w:lineRule="auto"/>
        <w:ind w:left="958" w:hanging="482" w:firstLineChars="0"/>
        <w:rPr>
          <w:rFonts w:hint="eastAsia" w:ascii="宋体" w:hAnsi="宋体" w:eastAsia="宋体" w:cs="宋体"/>
          <w:sz w:val="24"/>
          <w:szCs w:val="24"/>
        </w:rPr>
      </w:pPr>
      <w:r>
        <w:rPr>
          <w:rFonts w:hint="eastAsia" w:ascii="宋体" w:hAnsi="宋体" w:eastAsia="宋体" w:cs="宋体"/>
          <w:sz w:val="24"/>
          <w:szCs w:val="24"/>
        </w:rPr>
        <w:t>财务状况报告，依法缴纳税收和社会保障资金的相关材料（投标人根据自身情况提供对应的证明材料）：</w:t>
      </w:r>
    </w:p>
    <w:p>
      <w:pPr>
        <w:numPr>
          <w:ilvl w:val="0"/>
          <w:numId w:val="45"/>
        </w:numPr>
        <w:spacing w:line="360" w:lineRule="auto"/>
        <w:ind w:left="1321" w:hanging="720"/>
        <w:rPr>
          <w:rFonts w:hint="eastAsia" w:ascii="宋体" w:hAnsi="宋体" w:eastAsia="宋体" w:cs="宋体"/>
          <w:b/>
          <w:sz w:val="24"/>
          <w:szCs w:val="20"/>
        </w:rPr>
      </w:pPr>
      <w:r>
        <w:rPr>
          <w:rFonts w:hint="eastAsia" w:ascii="宋体" w:hAnsi="宋体" w:eastAsia="宋体" w:cs="宋体"/>
          <w:b/>
          <w:sz w:val="24"/>
          <w:szCs w:val="20"/>
        </w:rPr>
        <w:t>财务状况报告</w:t>
      </w:r>
    </w:p>
    <w:p>
      <w:pPr>
        <w:pStyle w:val="44"/>
        <w:numPr>
          <w:ilvl w:val="0"/>
          <w:numId w:val="46"/>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b/>
          <w:sz w:val="24"/>
          <w:szCs w:val="24"/>
        </w:rPr>
        <w:t>法人：</w:t>
      </w:r>
      <w:r>
        <w:rPr>
          <w:rFonts w:hint="eastAsia" w:ascii="宋体" w:hAnsi="宋体" w:eastAsia="宋体" w:cs="宋体"/>
          <w:sz w:val="24"/>
          <w:szCs w:val="24"/>
        </w:rPr>
        <w:t>提供经第三方审计的财务报告（完整的财务报告，包括“四表一注”，即资产负债表、利润表、现金流量表、所有者权益变动表及其附注），或其基本开户银行出具的资信证明；</w:t>
      </w:r>
    </w:p>
    <w:p>
      <w:pPr>
        <w:pStyle w:val="44"/>
        <w:numPr>
          <w:ilvl w:val="0"/>
          <w:numId w:val="46"/>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b/>
          <w:sz w:val="24"/>
          <w:szCs w:val="24"/>
        </w:rPr>
        <w:t>部分其他组织和自然人：</w:t>
      </w:r>
      <w:r>
        <w:rPr>
          <w:rFonts w:hint="eastAsia" w:ascii="宋体" w:hAnsi="宋体" w:eastAsia="宋体" w:cs="宋体"/>
          <w:sz w:val="24"/>
          <w:szCs w:val="24"/>
        </w:rPr>
        <w:t>没有经第三方审计的财务报告的，可以提供银行出具的资信证明；</w:t>
      </w:r>
    </w:p>
    <w:p>
      <w:pPr>
        <w:pStyle w:val="44"/>
        <w:numPr>
          <w:ilvl w:val="0"/>
          <w:numId w:val="46"/>
        </w:numPr>
        <w:spacing w:line="360" w:lineRule="auto"/>
        <w:ind w:left="1435" w:hanging="482" w:firstLineChars="0"/>
        <w:rPr>
          <w:rFonts w:hint="eastAsia" w:ascii="宋体" w:hAnsi="宋体" w:eastAsia="宋体" w:cs="宋体"/>
          <w:sz w:val="24"/>
          <w:szCs w:val="24"/>
        </w:rPr>
      </w:pPr>
      <w:r>
        <w:rPr>
          <w:rFonts w:hint="eastAsia" w:ascii="宋体" w:hAnsi="宋体" w:eastAsia="宋体" w:cs="宋体"/>
          <w:sz w:val="24"/>
          <w:szCs w:val="24"/>
        </w:rPr>
        <w:t>投标人没有经第三方审计的财务报告和资信证明时，也可以提供财政部门认可的政府采购专业担保机构出具的投标担保函。</w:t>
      </w:r>
    </w:p>
    <w:p>
      <w:pPr>
        <w:numPr>
          <w:ilvl w:val="0"/>
          <w:numId w:val="45"/>
        </w:numPr>
        <w:spacing w:line="360" w:lineRule="auto"/>
        <w:ind w:left="1321" w:hanging="720"/>
        <w:rPr>
          <w:rFonts w:hint="eastAsia" w:ascii="宋体" w:hAnsi="宋体" w:eastAsia="宋体" w:cs="宋体"/>
          <w:b/>
          <w:sz w:val="24"/>
          <w:szCs w:val="20"/>
        </w:rPr>
      </w:pPr>
      <w:r>
        <w:rPr>
          <w:rFonts w:hint="eastAsia" w:ascii="宋体" w:hAnsi="宋体" w:eastAsia="宋体" w:cs="宋体"/>
          <w:b/>
          <w:sz w:val="24"/>
          <w:szCs w:val="20"/>
        </w:rPr>
        <w:t>依法缴纳税收和社会保障资金的证明材料</w:t>
      </w:r>
    </w:p>
    <w:p>
      <w:pPr>
        <w:pStyle w:val="44"/>
        <w:numPr>
          <w:ilvl w:val="0"/>
          <w:numId w:val="47"/>
        </w:numPr>
        <w:spacing w:line="360" w:lineRule="auto"/>
        <w:ind w:left="1441" w:hanging="488" w:firstLineChars="0"/>
        <w:rPr>
          <w:rFonts w:hint="eastAsia" w:ascii="宋体" w:hAnsi="宋体" w:eastAsia="宋体" w:cs="宋体"/>
          <w:sz w:val="24"/>
          <w:szCs w:val="24"/>
        </w:rPr>
      </w:pPr>
      <w:r>
        <w:rPr>
          <w:rFonts w:hint="eastAsia" w:ascii="宋体" w:hAnsi="宋体" w:eastAsia="宋体" w:cs="宋体"/>
          <w:sz w:val="24"/>
          <w:szCs w:val="24"/>
        </w:rPr>
        <w:t>法人</w:t>
      </w:r>
    </w:p>
    <w:p>
      <w:pPr>
        <w:pStyle w:val="44"/>
        <w:numPr>
          <w:ilvl w:val="0"/>
          <w:numId w:val="48"/>
        </w:numPr>
        <w:spacing w:line="360" w:lineRule="auto"/>
        <w:ind w:left="1571" w:hanging="369" w:firstLineChars="0"/>
        <w:rPr>
          <w:rFonts w:hint="eastAsia" w:ascii="宋体" w:hAnsi="宋体" w:eastAsia="宋体" w:cs="宋体"/>
          <w:kern w:val="0"/>
          <w:sz w:val="24"/>
          <w:szCs w:val="24"/>
        </w:rPr>
      </w:pPr>
      <w:r>
        <w:rPr>
          <w:rFonts w:hint="eastAsia" w:ascii="宋体" w:hAnsi="宋体" w:eastAsia="宋体" w:cs="宋体"/>
          <w:kern w:val="0"/>
          <w:sz w:val="24"/>
          <w:szCs w:val="24"/>
        </w:rPr>
        <w:t>税务登记证（国税、地税或多证合一）；</w:t>
      </w:r>
    </w:p>
    <w:p>
      <w:pPr>
        <w:pStyle w:val="44"/>
        <w:numPr>
          <w:ilvl w:val="0"/>
          <w:numId w:val="48"/>
        </w:numPr>
        <w:spacing w:line="360" w:lineRule="auto"/>
        <w:ind w:left="1571" w:hanging="369" w:firstLineChars="0"/>
        <w:rPr>
          <w:rFonts w:hint="eastAsia" w:ascii="宋体" w:hAnsi="宋体" w:eastAsia="宋体" w:cs="宋体"/>
          <w:kern w:val="0"/>
          <w:sz w:val="24"/>
          <w:szCs w:val="24"/>
        </w:rPr>
      </w:pPr>
      <w:r>
        <w:rPr>
          <w:rFonts w:hint="eastAsia" w:ascii="宋体" w:hAnsi="宋体" w:eastAsia="宋体" w:cs="宋体"/>
          <w:kern w:val="0"/>
          <w:sz w:val="24"/>
          <w:szCs w:val="24"/>
        </w:rPr>
        <w:t>参加政府采购活动前一段时间内缴纳增值税、营业税和企业所得税的凭据；</w:t>
      </w:r>
    </w:p>
    <w:p>
      <w:pPr>
        <w:pStyle w:val="44"/>
        <w:numPr>
          <w:ilvl w:val="0"/>
          <w:numId w:val="48"/>
        </w:numPr>
        <w:spacing w:line="360" w:lineRule="auto"/>
        <w:ind w:left="1571" w:hanging="369" w:firstLineChars="0"/>
        <w:rPr>
          <w:rFonts w:hint="eastAsia" w:ascii="宋体" w:hAnsi="宋体" w:eastAsia="宋体" w:cs="宋体"/>
          <w:kern w:val="0"/>
          <w:sz w:val="24"/>
          <w:szCs w:val="24"/>
        </w:rPr>
      </w:pPr>
      <w:r>
        <w:rPr>
          <w:rFonts w:hint="eastAsia" w:ascii="宋体" w:hAnsi="宋体" w:eastAsia="宋体" w:cs="宋体"/>
          <w:kern w:val="0"/>
          <w:sz w:val="24"/>
          <w:szCs w:val="24"/>
        </w:rPr>
        <w:t>社会保险登记证（或多证合一）；</w:t>
      </w:r>
    </w:p>
    <w:p>
      <w:pPr>
        <w:pStyle w:val="44"/>
        <w:numPr>
          <w:ilvl w:val="0"/>
          <w:numId w:val="48"/>
        </w:numPr>
        <w:spacing w:line="360" w:lineRule="auto"/>
        <w:ind w:left="1571" w:hanging="369" w:firstLineChars="0"/>
        <w:rPr>
          <w:rFonts w:hint="eastAsia" w:ascii="宋体" w:hAnsi="宋体" w:eastAsia="宋体" w:cs="宋体"/>
          <w:kern w:val="0"/>
          <w:sz w:val="24"/>
          <w:szCs w:val="24"/>
        </w:rPr>
      </w:pPr>
      <w:r>
        <w:rPr>
          <w:rFonts w:hint="eastAsia" w:ascii="宋体" w:hAnsi="宋体" w:eastAsia="宋体" w:cs="宋体"/>
          <w:kern w:val="0"/>
          <w:sz w:val="24"/>
          <w:szCs w:val="24"/>
        </w:rPr>
        <w:t>参加政府采购活动前一段时间内缴纳社会保险的凭据（专用收据或社会保险缴纳清单）。</w:t>
      </w:r>
    </w:p>
    <w:p>
      <w:pPr>
        <w:pStyle w:val="44"/>
        <w:numPr>
          <w:ilvl w:val="0"/>
          <w:numId w:val="47"/>
        </w:numPr>
        <w:spacing w:line="360" w:lineRule="auto"/>
        <w:ind w:left="1441" w:hanging="488" w:firstLineChars="0"/>
        <w:rPr>
          <w:rFonts w:hint="eastAsia" w:ascii="宋体" w:hAnsi="宋体" w:eastAsia="宋体" w:cs="宋体"/>
          <w:sz w:val="24"/>
          <w:szCs w:val="24"/>
        </w:rPr>
      </w:pPr>
      <w:r>
        <w:rPr>
          <w:rFonts w:hint="eastAsia" w:ascii="宋体" w:hAnsi="宋体" w:eastAsia="宋体" w:cs="宋体"/>
          <w:sz w:val="24"/>
          <w:szCs w:val="24"/>
        </w:rPr>
        <w:t>其他组织和自然人</w:t>
      </w:r>
    </w:p>
    <w:p>
      <w:pPr>
        <w:pStyle w:val="44"/>
        <w:numPr>
          <w:ilvl w:val="0"/>
          <w:numId w:val="49"/>
        </w:numPr>
        <w:spacing w:line="360" w:lineRule="auto"/>
        <w:ind w:left="1571" w:hanging="369" w:firstLineChars="0"/>
        <w:rPr>
          <w:rFonts w:hint="eastAsia" w:ascii="宋体" w:hAnsi="宋体" w:eastAsia="宋体" w:cs="宋体"/>
          <w:kern w:val="0"/>
          <w:sz w:val="24"/>
          <w:szCs w:val="24"/>
        </w:rPr>
      </w:pPr>
      <w:r>
        <w:rPr>
          <w:rFonts w:hint="eastAsia" w:ascii="宋体" w:hAnsi="宋体" w:eastAsia="宋体" w:cs="宋体"/>
          <w:kern w:val="0"/>
          <w:sz w:val="24"/>
          <w:szCs w:val="24"/>
        </w:rPr>
        <w:t>参加政府采购活动前一段时间内缴纳税收的凭据；</w:t>
      </w:r>
    </w:p>
    <w:p>
      <w:pPr>
        <w:pStyle w:val="44"/>
        <w:numPr>
          <w:ilvl w:val="0"/>
          <w:numId w:val="49"/>
        </w:numPr>
        <w:spacing w:line="360" w:lineRule="auto"/>
        <w:ind w:left="1571" w:hanging="369" w:firstLineChars="0"/>
        <w:rPr>
          <w:rFonts w:hint="eastAsia" w:ascii="宋体" w:hAnsi="宋体" w:eastAsia="宋体" w:cs="宋体"/>
          <w:kern w:val="0"/>
          <w:sz w:val="24"/>
          <w:szCs w:val="24"/>
        </w:rPr>
      </w:pPr>
      <w:r>
        <w:rPr>
          <w:rFonts w:hint="eastAsia" w:ascii="宋体" w:hAnsi="宋体" w:eastAsia="宋体" w:cs="宋体"/>
          <w:kern w:val="0"/>
          <w:sz w:val="24"/>
          <w:szCs w:val="24"/>
        </w:rPr>
        <w:t>参加政府采购活动前一段时间内缴纳社会保险的凭据(专用收据或社会保险缴纳清单)。</w:t>
      </w:r>
    </w:p>
    <w:p>
      <w:pPr>
        <w:pStyle w:val="44"/>
        <w:numPr>
          <w:ilvl w:val="0"/>
          <w:numId w:val="47"/>
        </w:numPr>
        <w:spacing w:line="360" w:lineRule="auto"/>
        <w:ind w:left="1441" w:hanging="488" w:firstLineChars="0"/>
        <w:rPr>
          <w:rFonts w:hint="eastAsia" w:ascii="宋体" w:hAnsi="宋体" w:eastAsia="宋体" w:cs="宋体"/>
          <w:sz w:val="24"/>
          <w:szCs w:val="24"/>
        </w:rPr>
      </w:pPr>
      <w:r>
        <w:rPr>
          <w:rFonts w:hint="eastAsia" w:ascii="宋体" w:hAnsi="宋体" w:eastAsia="宋体" w:cs="宋体"/>
          <w:sz w:val="24"/>
          <w:szCs w:val="24"/>
        </w:rPr>
        <w:t>依法免税或不需要缴纳社会保险资金的投标人</w:t>
      </w:r>
    </w:p>
    <w:p>
      <w:pPr>
        <w:pStyle w:val="44"/>
        <w:spacing w:line="360" w:lineRule="auto"/>
        <w:ind w:left="1441" w:firstLine="0" w:firstLineChars="0"/>
        <w:rPr>
          <w:rFonts w:hint="eastAsia" w:ascii="宋体" w:hAnsi="宋体" w:eastAsia="宋体" w:cs="宋体"/>
          <w:sz w:val="24"/>
          <w:szCs w:val="24"/>
        </w:rPr>
      </w:pPr>
      <w:r>
        <w:rPr>
          <w:rFonts w:hint="eastAsia" w:ascii="宋体" w:hAnsi="宋体" w:eastAsia="宋体" w:cs="宋体"/>
          <w:sz w:val="24"/>
          <w:szCs w:val="24"/>
        </w:rPr>
        <w:t>提供其依法免税或不需要缴纳社会保险资金的相关证明文件。</w:t>
      </w:r>
    </w:p>
    <w:p>
      <w:pPr>
        <w:pStyle w:val="44"/>
        <w:numPr>
          <w:ilvl w:val="0"/>
          <w:numId w:val="41"/>
        </w:numPr>
        <w:spacing w:line="360" w:lineRule="auto"/>
        <w:ind w:left="958" w:hanging="482" w:firstLineChars="0"/>
        <w:rPr>
          <w:rFonts w:hint="eastAsia" w:ascii="宋体" w:hAnsi="宋体" w:eastAsia="宋体" w:cs="宋体"/>
          <w:sz w:val="24"/>
          <w:szCs w:val="24"/>
        </w:rPr>
      </w:pPr>
      <w:r>
        <w:rPr>
          <w:rFonts w:hint="eastAsia" w:ascii="宋体" w:hAnsi="宋体" w:eastAsia="宋体" w:cs="宋体"/>
          <w:sz w:val="24"/>
          <w:szCs w:val="24"/>
        </w:rPr>
        <w:t>具备履行合同所必需的设备和专业技术能力的证明材料：</w:t>
      </w:r>
    </w:p>
    <w:p>
      <w:pPr>
        <w:numPr>
          <w:ilvl w:val="0"/>
          <w:numId w:val="50"/>
        </w:numPr>
        <w:spacing w:line="360" w:lineRule="auto"/>
        <w:ind w:left="1321" w:hanging="720"/>
        <w:rPr>
          <w:rFonts w:hint="eastAsia" w:ascii="宋体" w:hAnsi="宋体" w:eastAsia="宋体" w:cs="宋体"/>
          <w:b/>
          <w:sz w:val="24"/>
          <w:szCs w:val="20"/>
        </w:rPr>
      </w:pPr>
      <w:r>
        <w:rPr>
          <w:rFonts w:hint="eastAsia" w:ascii="宋体" w:hAnsi="宋体" w:eastAsia="宋体" w:cs="宋体"/>
          <w:sz w:val="24"/>
          <w:szCs w:val="20"/>
        </w:rPr>
        <w:t>提供具备足够数量的设施设备的证明材料；</w:t>
      </w:r>
    </w:p>
    <w:p>
      <w:pPr>
        <w:numPr>
          <w:ilvl w:val="0"/>
          <w:numId w:val="50"/>
        </w:numPr>
        <w:spacing w:line="360" w:lineRule="auto"/>
        <w:ind w:left="1321" w:hanging="720"/>
        <w:rPr>
          <w:rFonts w:hint="eastAsia" w:ascii="宋体" w:hAnsi="宋体" w:eastAsia="宋体" w:cs="宋体"/>
          <w:sz w:val="24"/>
          <w:szCs w:val="20"/>
        </w:rPr>
      </w:pPr>
      <w:r>
        <w:rPr>
          <w:rFonts w:hint="eastAsia" w:ascii="宋体" w:hAnsi="宋体" w:eastAsia="宋体" w:cs="宋体"/>
          <w:sz w:val="24"/>
          <w:szCs w:val="20"/>
        </w:rPr>
        <w:t>提供具备足够数量的技术人员的证明材料。</w:t>
      </w:r>
    </w:p>
    <w:p>
      <w:pPr>
        <w:pStyle w:val="44"/>
        <w:numPr>
          <w:ilvl w:val="0"/>
          <w:numId w:val="41"/>
        </w:numPr>
        <w:spacing w:line="360" w:lineRule="auto"/>
        <w:ind w:left="958" w:hanging="482" w:firstLineChars="0"/>
        <w:rPr>
          <w:rFonts w:hint="eastAsia" w:ascii="宋体" w:hAnsi="宋体" w:eastAsia="宋体" w:cs="宋体"/>
          <w:sz w:val="24"/>
          <w:szCs w:val="24"/>
        </w:rPr>
      </w:pPr>
      <w:r>
        <w:rPr>
          <w:rFonts w:hint="eastAsia" w:ascii="宋体" w:hAnsi="宋体" w:eastAsia="宋体" w:cs="宋体"/>
          <w:sz w:val="24"/>
          <w:szCs w:val="24"/>
        </w:rPr>
        <w:t>参加政府采购活动前3年内在经营活动中没有重大违法记录的书面声明：</w:t>
      </w:r>
    </w:p>
    <w:p>
      <w:pPr>
        <w:numPr>
          <w:ilvl w:val="0"/>
          <w:numId w:val="51"/>
        </w:numPr>
        <w:spacing w:line="360" w:lineRule="auto"/>
        <w:ind w:left="1321" w:hanging="720"/>
        <w:rPr>
          <w:rFonts w:hint="eastAsia" w:ascii="宋体" w:hAnsi="宋体" w:eastAsia="宋体" w:cs="宋体"/>
          <w:sz w:val="24"/>
          <w:szCs w:val="20"/>
        </w:rPr>
      </w:pPr>
      <w:r>
        <w:rPr>
          <w:rFonts w:hint="eastAsia" w:ascii="宋体" w:hAnsi="宋体" w:eastAsia="宋体" w:cs="宋体"/>
          <w:sz w:val="24"/>
          <w:szCs w:val="20"/>
        </w:rPr>
        <w:t>应严格按照附件格式提交“参加政府采购活动前三年内在经营活动中没有重大违法记录的书面声明函”；</w:t>
      </w:r>
    </w:p>
    <w:p>
      <w:pPr>
        <w:numPr>
          <w:ilvl w:val="0"/>
          <w:numId w:val="51"/>
        </w:numPr>
        <w:spacing w:line="360" w:lineRule="auto"/>
        <w:ind w:left="1321" w:hanging="720"/>
        <w:rPr>
          <w:rFonts w:hint="eastAsia" w:ascii="宋体" w:hAnsi="宋体" w:eastAsia="宋体" w:cs="宋体"/>
          <w:sz w:val="24"/>
          <w:szCs w:val="20"/>
        </w:rPr>
      </w:pPr>
      <w:r>
        <w:rPr>
          <w:rFonts w:hint="eastAsia" w:ascii="宋体" w:hAnsi="宋体" w:eastAsia="宋体" w:cs="宋体"/>
          <w:sz w:val="24"/>
          <w:szCs w:val="20"/>
        </w:rPr>
        <w:t>政府采购法第二十二条第一款第五项所称重大违法记录，是指供应商因违法经营受到刑事处罚或者责令停产停业、吊销许可证或者执照、较大数额罚款等行政处罚；</w:t>
      </w:r>
    </w:p>
    <w:p>
      <w:pPr>
        <w:numPr>
          <w:ilvl w:val="0"/>
          <w:numId w:val="51"/>
        </w:numPr>
        <w:spacing w:line="360" w:lineRule="auto"/>
        <w:ind w:left="1321" w:hanging="720"/>
        <w:rPr>
          <w:rFonts w:hint="eastAsia" w:ascii="宋体" w:hAnsi="宋体" w:eastAsia="宋体" w:cs="宋体"/>
          <w:sz w:val="24"/>
          <w:szCs w:val="20"/>
        </w:rPr>
      </w:pPr>
      <w:r>
        <w:rPr>
          <w:rFonts w:hint="eastAsia" w:ascii="宋体" w:hAnsi="宋体" w:eastAsia="宋体" w:cs="宋体"/>
          <w:sz w:val="24"/>
          <w:szCs w:val="20"/>
        </w:rPr>
        <w:t>按照财政部《关于规范政府采购行政处罚有关问题的通知》的规定，各级人民政府财政部门依法对参加政府采购活动的供应商作出的禁止参加政府采购活动等行政处罚决定在全国范围内生效。</w:t>
      </w:r>
    </w:p>
    <w:p>
      <w:pPr>
        <w:pStyle w:val="44"/>
        <w:numPr>
          <w:ilvl w:val="0"/>
          <w:numId w:val="41"/>
        </w:numPr>
        <w:spacing w:line="360" w:lineRule="auto"/>
        <w:ind w:left="958" w:hanging="482" w:firstLineChars="0"/>
        <w:rPr>
          <w:rFonts w:hint="eastAsia" w:ascii="宋体" w:hAnsi="宋体" w:eastAsia="宋体" w:cs="宋体"/>
          <w:sz w:val="24"/>
          <w:szCs w:val="24"/>
        </w:rPr>
      </w:pPr>
      <w:r>
        <w:rPr>
          <w:rFonts w:hint="eastAsia" w:ascii="宋体" w:hAnsi="宋体" w:eastAsia="宋体" w:cs="宋体"/>
          <w:sz w:val="24"/>
          <w:szCs w:val="24"/>
        </w:rPr>
        <w:t>具备法律、行政法规规定的其他条件的证明材料：</w:t>
      </w:r>
    </w:p>
    <w:p>
      <w:pPr>
        <w:numPr>
          <w:ilvl w:val="0"/>
          <w:numId w:val="52"/>
        </w:numPr>
        <w:spacing w:line="360" w:lineRule="auto"/>
        <w:ind w:left="1321" w:hanging="720"/>
        <w:rPr>
          <w:rFonts w:hint="eastAsia" w:ascii="宋体" w:hAnsi="宋体" w:eastAsia="宋体" w:cs="宋体"/>
          <w:sz w:val="24"/>
          <w:szCs w:val="20"/>
        </w:rPr>
      </w:pPr>
      <w:r>
        <w:rPr>
          <w:rFonts w:hint="eastAsia" w:ascii="宋体" w:hAnsi="宋体" w:eastAsia="宋体" w:cs="宋体"/>
          <w:sz w:val="24"/>
          <w:szCs w:val="20"/>
        </w:rPr>
        <w:t>国家对生产和销售相关产品或提供相关服务有专门法律、行政法规规定的，则必须提供取得国家有关主管部门行政许可的证明材料。</w:t>
      </w:r>
    </w:p>
    <w:p>
      <w:pPr>
        <w:pStyle w:val="44"/>
        <w:numPr>
          <w:ilvl w:val="0"/>
          <w:numId w:val="40"/>
        </w:numPr>
        <w:spacing w:line="360" w:lineRule="auto"/>
        <w:ind w:left="840" w:hanging="364" w:firstLineChars="0"/>
        <w:rPr>
          <w:rFonts w:hint="eastAsia" w:ascii="宋体" w:hAnsi="宋体" w:eastAsia="宋体" w:cs="宋体"/>
          <w:sz w:val="24"/>
          <w:szCs w:val="24"/>
        </w:rPr>
      </w:pPr>
      <w:r>
        <w:rPr>
          <w:rFonts w:hint="eastAsia" w:ascii="宋体" w:hAnsi="宋体" w:eastAsia="宋体" w:cs="宋体"/>
          <w:b/>
          <w:sz w:val="24"/>
          <w:szCs w:val="24"/>
        </w:rPr>
        <w:t>未被“信用中国”网站(www.creditchina.gov.cn)列入失信被执行人、重大税收违法案件当事人名单，未被“中国政府采购网”(www.ccgp.gov.cn)列入政府采购严重违法失信行为记录名单的书面申明及该网站查询结果页面截图；</w:t>
      </w:r>
    </w:p>
    <w:p>
      <w:pPr>
        <w:pStyle w:val="44"/>
        <w:numPr>
          <w:ilvl w:val="0"/>
          <w:numId w:val="40"/>
        </w:numPr>
        <w:spacing w:line="360" w:lineRule="auto"/>
        <w:ind w:left="840" w:hanging="364" w:firstLineChars="0"/>
        <w:rPr>
          <w:rFonts w:hint="eastAsia" w:ascii="宋体" w:hAnsi="宋体" w:eastAsia="宋体" w:cs="宋体"/>
          <w:b/>
          <w:sz w:val="24"/>
          <w:szCs w:val="24"/>
        </w:rPr>
      </w:pPr>
      <w:r>
        <w:rPr>
          <w:rFonts w:hint="eastAsia" w:ascii="宋体" w:hAnsi="宋体" w:eastAsia="宋体" w:cs="宋体"/>
          <w:b/>
          <w:sz w:val="24"/>
          <w:szCs w:val="24"/>
        </w:rPr>
        <w:t>招标文件第一章“投标人资格要求”中有特殊要求的，投标人应提供其符合特殊要求的证明材料或者情况说明；</w:t>
      </w:r>
    </w:p>
    <w:p>
      <w:pPr>
        <w:pStyle w:val="44"/>
        <w:numPr>
          <w:ilvl w:val="0"/>
          <w:numId w:val="40"/>
        </w:numPr>
        <w:spacing w:line="360" w:lineRule="auto"/>
        <w:ind w:left="840" w:hanging="364" w:firstLineChars="0"/>
        <w:rPr>
          <w:rFonts w:hint="eastAsia" w:ascii="宋体" w:hAnsi="宋体" w:eastAsia="宋体" w:cs="宋体"/>
          <w:b/>
          <w:sz w:val="24"/>
          <w:szCs w:val="24"/>
        </w:rPr>
      </w:pPr>
      <w:r>
        <w:rPr>
          <w:rFonts w:hint="eastAsia" w:ascii="宋体" w:hAnsi="宋体" w:eastAsia="宋体" w:cs="宋体"/>
          <w:b/>
          <w:sz w:val="24"/>
          <w:szCs w:val="24"/>
        </w:rPr>
        <w:t>不符合联合体投标相关规定和要求的；</w:t>
      </w:r>
    </w:p>
    <w:p>
      <w:pPr>
        <w:pStyle w:val="44"/>
        <w:numPr>
          <w:ilvl w:val="0"/>
          <w:numId w:val="40"/>
        </w:numPr>
        <w:spacing w:line="360" w:lineRule="auto"/>
        <w:ind w:left="840" w:hanging="364" w:firstLineChars="0"/>
        <w:rPr>
          <w:rFonts w:hint="eastAsia" w:ascii="宋体" w:hAnsi="宋体" w:eastAsia="宋体" w:cs="宋体"/>
          <w:b/>
          <w:sz w:val="24"/>
          <w:szCs w:val="24"/>
        </w:rPr>
      </w:pPr>
      <w:r>
        <w:rPr>
          <w:rFonts w:hint="eastAsia" w:ascii="宋体" w:hAnsi="宋体" w:eastAsia="宋体" w:cs="宋体"/>
          <w:b/>
          <w:sz w:val="24"/>
          <w:szCs w:val="24"/>
        </w:rPr>
        <w:t>投标人认为需提供的其它相关资格证明材料；</w:t>
      </w:r>
    </w:p>
    <w:p>
      <w:pPr>
        <w:pStyle w:val="44"/>
        <w:numPr>
          <w:ilvl w:val="0"/>
          <w:numId w:val="40"/>
        </w:numPr>
        <w:spacing w:line="360" w:lineRule="auto"/>
        <w:ind w:left="964" w:hanging="488" w:firstLineChars="0"/>
        <w:rPr>
          <w:rFonts w:hint="eastAsia" w:ascii="宋体" w:hAnsi="宋体" w:eastAsia="宋体" w:cs="宋体"/>
          <w:b/>
          <w:sz w:val="24"/>
          <w:szCs w:val="24"/>
        </w:rPr>
      </w:pPr>
      <w:r>
        <w:rPr>
          <w:rFonts w:hint="eastAsia" w:ascii="宋体" w:hAnsi="宋体" w:eastAsia="宋体" w:cs="宋体"/>
          <w:b/>
          <w:sz w:val="24"/>
          <w:szCs w:val="24"/>
        </w:rPr>
        <w:t>资格证明文件正本应为清晰彩色影印件且加盖单位公章。</w:t>
      </w:r>
    </w:p>
    <w:p>
      <w:pPr>
        <w:numPr>
          <w:ilvl w:val="0"/>
          <w:numId w:val="39"/>
        </w:numPr>
        <w:tabs>
          <w:tab w:val="left" w:pos="1098"/>
        </w:tabs>
        <w:spacing w:line="360" w:lineRule="auto"/>
        <w:ind w:left="14" w:firstLine="238"/>
        <w:rPr>
          <w:rFonts w:hint="eastAsia" w:ascii="宋体" w:hAnsi="宋体" w:eastAsia="宋体" w:cs="宋体"/>
          <w:b/>
          <w:sz w:val="24"/>
          <w:szCs w:val="24"/>
        </w:rPr>
      </w:pPr>
      <w:r>
        <w:rPr>
          <w:rFonts w:hint="eastAsia" w:ascii="宋体" w:hAnsi="宋体" w:eastAsia="宋体" w:cs="宋体"/>
          <w:b/>
          <w:sz w:val="24"/>
          <w:szCs w:val="24"/>
        </w:rPr>
        <w:t>确定资格审查合格投标人</w:t>
      </w:r>
    </w:p>
    <w:p>
      <w:pPr>
        <w:pStyle w:val="44"/>
        <w:numPr>
          <w:ilvl w:val="0"/>
          <w:numId w:val="53"/>
        </w:numPr>
        <w:spacing w:line="360" w:lineRule="auto"/>
        <w:ind w:left="840" w:hanging="364" w:firstLineChars="0"/>
        <w:rPr>
          <w:rFonts w:hint="eastAsia" w:ascii="宋体" w:hAnsi="宋体" w:eastAsia="宋体" w:cs="宋体"/>
          <w:sz w:val="24"/>
          <w:szCs w:val="24"/>
        </w:rPr>
      </w:pPr>
      <w:r>
        <w:rPr>
          <w:rFonts w:hint="eastAsia" w:ascii="宋体" w:hAnsi="宋体" w:eastAsia="宋体" w:cs="宋体"/>
          <w:sz w:val="24"/>
          <w:szCs w:val="24"/>
        </w:rPr>
        <w:t>资格审查小组按照本章“资格审查方法及标准”，对各投标人资格证明文件进行审查。资格审查小组依据对各投标人资格证明文件的审查结果，确定资格审查合格的投标人，并形成书面的资格审查报告。</w:t>
      </w:r>
    </w:p>
    <w:p>
      <w:pPr>
        <w:pStyle w:val="44"/>
        <w:numPr>
          <w:ilvl w:val="0"/>
          <w:numId w:val="53"/>
        </w:numPr>
        <w:spacing w:line="360" w:lineRule="auto"/>
        <w:ind w:left="840" w:hanging="364" w:firstLineChars="0"/>
        <w:rPr>
          <w:rFonts w:hint="eastAsia" w:ascii="宋体" w:hAnsi="宋体" w:eastAsia="宋体" w:cs="宋体"/>
          <w:sz w:val="24"/>
          <w:szCs w:val="24"/>
        </w:rPr>
      </w:pPr>
      <w:r>
        <w:rPr>
          <w:rFonts w:hint="eastAsia" w:ascii="宋体" w:hAnsi="宋体" w:eastAsia="宋体" w:cs="宋体"/>
          <w:sz w:val="24"/>
          <w:szCs w:val="24"/>
        </w:rPr>
        <w:t>资格审查合格投标人不足3家的，不进行评标。</w:t>
      </w:r>
    </w:p>
    <w:p>
      <w:pPr>
        <w:pStyle w:val="44"/>
        <w:numPr>
          <w:ilvl w:val="0"/>
          <w:numId w:val="53"/>
        </w:numPr>
        <w:spacing w:line="360" w:lineRule="auto"/>
        <w:ind w:left="840" w:hanging="364" w:firstLineChars="0"/>
        <w:rPr>
          <w:rFonts w:hint="eastAsia" w:ascii="宋体" w:hAnsi="宋体" w:eastAsia="宋体" w:cs="宋体"/>
          <w:sz w:val="24"/>
          <w:szCs w:val="24"/>
        </w:rPr>
      </w:pPr>
      <w:r>
        <w:rPr>
          <w:rFonts w:hint="eastAsia" w:ascii="宋体" w:hAnsi="宋体" w:eastAsia="宋体" w:cs="宋体"/>
          <w:sz w:val="24"/>
          <w:szCs w:val="24"/>
        </w:rPr>
        <w:t>资格审查未通过的投标人可在结果公告质疑有效期内按公告中的联系方式获知本单位的资格审查情况。</w:t>
      </w:r>
    </w:p>
    <w:p>
      <w:pPr>
        <w:pStyle w:val="44"/>
        <w:numPr>
          <w:ilvl w:val="0"/>
          <w:numId w:val="53"/>
        </w:numPr>
        <w:spacing w:line="360" w:lineRule="auto"/>
        <w:ind w:left="840" w:hanging="364" w:firstLineChars="0"/>
        <w:rPr>
          <w:rFonts w:hint="eastAsia" w:ascii="宋体" w:hAnsi="宋体" w:eastAsia="宋体" w:cs="宋体"/>
          <w:b/>
          <w:sz w:val="24"/>
          <w:szCs w:val="24"/>
        </w:rPr>
      </w:pPr>
      <w:r>
        <w:rPr>
          <w:rFonts w:hint="eastAsia" w:ascii="宋体" w:hAnsi="宋体" w:eastAsia="宋体" w:cs="宋体"/>
          <w:sz w:val="24"/>
          <w:szCs w:val="24"/>
        </w:rPr>
        <w:t>采购人已进行资格预审的，不再进行资格审查。未通过资格预审的投标人采购代理机构</w:t>
      </w:r>
      <w:r>
        <w:rPr>
          <w:rFonts w:hint="eastAsia" w:ascii="宋体" w:hAnsi="宋体" w:eastAsia="宋体" w:cs="宋体"/>
          <w:b/>
          <w:sz w:val="24"/>
          <w:szCs w:val="24"/>
        </w:rPr>
        <w:t>拒绝</w:t>
      </w:r>
      <w:r>
        <w:rPr>
          <w:rFonts w:hint="eastAsia" w:ascii="宋体" w:hAnsi="宋体" w:eastAsia="宋体" w:cs="宋体"/>
          <w:sz w:val="24"/>
          <w:szCs w:val="24"/>
        </w:rPr>
        <w:t>其投标。</w:t>
      </w: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44"/>
        <w:widowControl w:val="0"/>
        <w:numPr>
          <w:ilvl w:val="0"/>
          <w:numId w:val="0"/>
        </w:numPr>
        <w:spacing w:line="360" w:lineRule="auto"/>
        <w:jc w:val="both"/>
        <w:rPr>
          <w:rFonts w:hint="eastAsia" w:ascii="宋体" w:hAnsi="宋体" w:eastAsia="宋体" w:cs="宋体"/>
          <w:sz w:val="24"/>
          <w:szCs w:val="24"/>
        </w:rPr>
      </w:pPr>
    </w:p>
    <w:p>
      <w:pPr>
        <w:pStyle w:val="3"/>
        <w:numPr>
          <w:ilvl w:val="0"/>
          <w:numId w:val="1"/>
        </w:numPr>
        <w:jc w:val="center"/>
        <w:rPr>
          <w:rFonts w:ascii="黑体" w:hAnsi="黑体" w:eastAsia="黑体"/>
        </w:rPr>
      </w:pPr>
      <w:r>
        <w:rPr>
          <w:rFonts w:hint="eastAsia" w:ascii="黑体" w:hAnsi="黑体" w:eastAsia="黑体"/>
        </w:rPr>
        <w:t>评标方法、程序及标准</w:t>
      </w:r>
      <w:bookmarkEnd w:id="4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3" w:name="_Toc278891605"/>
      <w:bookmarkStart w:id="54" w:name="_Toc272247708"/>
      <w:bookmarkStart w:id="55" w:name="_Toc495861542"/>
      <w:bookmarkStart w:id="56" w:name="_Toc494561961"/>
      <w:r>
        <w:rPr>
          <w:rFonts w:hint="eastAsia" w:cs="Times New Roman" w:asciiTheme="majorEastAsia" w:hAnsiTheme="majorEastAsia"/>
          <w:bCs w:val="0"/>
          <w:sz w:val="30"/>
          <w:szCs w:val="30"/>
          <w:lang w:val="zh-CN"/>
        </w:rPr>
        <w:t>评标</w:t>
      </w:r>
      <w:bookmarkEnd w:id="53"/>
      <w:bookmarkEnd w:id="54"/>
      <w:r>
        <w:rPr>
          <w:rFonts w:hint="eastAsia" w:cs="Times New Roman" w:asciiTheme="majorEastAsia" w:hAnsiTheme="majorEastAsia"/>
          <w:bCs w:val="0"/>
          <w:sz w:val="30"/>
          <w:szCs w:val="30"/>
          <w:lang w:val="zh-CN"/>
        </w:rPr>
        <w:t>方法</w:t>
      </w:r>
      <w:bookmarkEnd w:id="55"/>
      <w:bookmarkEnd w:id="56"/>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57" w:name="_Toc278891606"/>
      <w:bookmarkStart w:id="58" w:name="_Toc272247709"/>
      <w:bookmarkStart w:id="59" w:name="_Toc494561962"/>
      <w:bookmarkStart w:id="60" w:name="_Toc495861543"/>
      <w:r>
        <w:rPr>
          <w:rFonts w:hint="eastAsia" w:cs="Times New Roman" w:asciiTheme="majorEastAsia" w:hAnsiTheme="majorEastAsia"/>
          <w:bCs w:val="0"/>
          <w:sz w:val="30"/>
          <w:szCs w:val="30"/>
          <w:lang w:val="zh-CN"/>
        </w:rPr>
        <w:t>评标程序</w:t>
      </w:r>
      <w:bookmarkEnd w:id="57"/>
      <w:bookmarkEnd w:id="58"/>
      <w:r>
        <w:rPr>
          <w:rFonts w:hint="eastAsia" w:cs="Times New Roman" w:asciiTheme="majorEastAsia" w:hAnsiTheme="majorEastAsia"/>
          <w:bCs w:val="0"/>
          <w:sz w:val="30"/>
          <w:szCs w:val="30"/>
          <w:lang w:val="zh-CN"/>
        </w:rPr>
        <w:t>及标准</w:t>
      </w:r>
      <w:bookmarkEnd w:id="59"/>
      <w:bookmarkEnd w:id="60"/>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55"/>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bCs/>
          <w:sz w:val="24"/>
          <w:szCs w:val="20"/>
          <w:lang w:val="zh-CN"/>
        </w:rPr>
        <w:t>无效投标处理</w:t>
      </w:r>
      <w:r>
        <w:rPr>
          <w:rFonts w:hint="eastAsia" w:ascii="宋体" w:hAnsi="宋体" w:eastAsia="宋体" w:cs="Times New Roman"/>
          <w:bCs/>
          <w:sz w:val="24"/>
          <w:szCs w:val="20"/>
          <w:lang w:val="zh-CN"/>
        </w:rPr>
        <w:t>：</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投标保证金的交纳不符合招标文件要求的；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56"/>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56"/>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未按要求提供招标文件第二章“十一 其他注意事项”中规定的书面声明的；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56"/>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57"/>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57"/>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57"/>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58"/>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b/>
          <w:color w:val="0D0D0D"/>
          <w:sz w:val="24"/>
          <w:szCs w:val="24"/>
          <w:lang w:val="zh-CN"/>
        </w:rPr>
        <w:t>无效</w:t>
      </w:r>
      <w:r>
        <w:rPr>
          <w:rFonts w:hint="eastAsia" w:ascii="宋体" w:hAnsi="宋体" w:eastAsia="宋体" w:cs="Times New Roman"/>
          <w:b/>
          <w:color w:val="0D0D0D"/>
          <w:sz w:val="24"/>
          <w:szCs w:val="24"/>
          <w:lang w:val="zh-CN"/>
        </w:rPr>
        <w:t>投标处理</w:t>
      </w:r>
      <w:r>
        <w:rPr>
          <w:rFonts w:ascii="宋体" w:hAnsi="宋体" w:eastAsia="宋体" w:cs="Times New Roman"/>
          <w:color w:val="0D0D0D"/>
          <w:sz w:val="24"/>
          <w:szCs w:val="24"/>
          <w:lang w:val="zh-CN"/>
        </w:rPr>
        <w:t>。</w:t>
      </w:r>
    </w:p>
    <w:p>
      <w:pPr>
        <w:numPr>
          <w:ilvl w:val="0"/>
          <w:numId w:val="57"/>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0"/>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kern w:val="0"/>
          <w:sz w:val="24"/>
          <w:szCs w:val="24"/>
          <w:lang w:val="zh-CN"/>
        </w:rPr>
        <w:t>无效投标处理</w:t>
      </w:r>
      <w:r>
        <w:rPr>
          <w:rFonts w:ascii="宋体" w:hAnsi="宋体" w:eastAsia="宋体" w:cs="Helvetica"/>
          <w:kern w:val="0"/>
          <w:sz w:val="24"/>
          <w:szCs w:val="24"/>
          <w:lang w:val="zh-CN"/>
        </w:rPr>
        <w:t>。</w:t>
      </w:r>
    </w:p>
    <w:p>
      <w:pPr>
        <w:numPr>
          <w:ilvl w:val="0"/>
          <w:numId w:val="60"/>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1"/>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2"/>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应当根据采购项目技术构成、产品价格比重等合理确定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采购清单中作“相同〈或同一〉品牌”实质性要求的产品，视为一个核心产品</w:t>
      </w:r>
      <w:r>
        <w:rPr>
          <w:rFonts w:hint="eastAsia" w:ascii="Helvetica" w:hAnsi="Helvetica" w:eastAsia="宋体" w:cs="Helvetica"/>
          <w:kern w:val="0"/>
          <w:sz w:val="24"/>
          <w:szCs w:val="24"/>
          <w:lang w:val="zh-CN"/>
        </w:rPr>
        <w:t>）</w:t>
      </w:r>
      <w:r>
        <w:rPr>
          <w:rFonts w:hint="eastAsia" w:ascii="Helvetica" w:hAnsi="Helvetica" w:eastAsia="宋体" w:cs="Helvetica"/>
          <w:color w:val="0D0D0D"/>
          <w:kern w:val="0"/>
          <w:sz w:val="24"/>
          <w:szCs w:val="24"/>
          <w:lang w:val="zh-CN"/>
        </w:rPr>
        <w:t>，</w:t>
      </w:r>
      <w:r>
        <w:rPr>
          <w:rFonts w:ascii="Helvetica" w:hAnsi="Helvetica" w:eastAsia="宋体" w:cs="Helvetica"/>
          <w:kern w:val="0"/>
          <w:sz w:val="24"/>
          <w:szCs w:val="24"/>
          <w:lang w:val="zh-CN"/>
        </w:rPr>
        <w:t>并</w:t>
      </w:r>
      <w:r>
        <w:rPr>
          <w:rFonts w:hint="eastAsia" w:ascii="Helvetica" w:hAnsi="Helvetica" w:eastAsia="宋体" w:cs="Helvetica"/>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59"/>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63"/>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55"/>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pStyle w:val="16"/>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16"/>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16"/>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16"/>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16"/>
        <w:rPr>
          <w:rFonts w:hint="eastAsia" w:ascii="Helvetica" w:hAnsi="Helvetica" w:eastAsia="宋体" w:cs="Helvetica"/>
          <w:kern w:val="0"/>
          <w:sz w:val="24"/>
          <w:szCs w:val="24"/>
          <w:lang w:val="zh-CN"/>
        </w:rPr>
      </w:pPr>
    </w:p>
    <w:p>
      <w:pPr>
        <w:rPr>
          <w:rFonts w:hint="eastAsia" w:ascii="Helvetica" w:hAnsi="Helvetica" w:eastAsia="宋体" w:cs="Helvetica"/>
          <w:kern w:val="0"/>
          <w:sz w:val="24"/>
          <w:szCs w:val="24"/>
          <w:lang w:val="zh-CN"/>
        </w:rPr>
      </w:pPr>
    </w:p>
    <w:p>
      <w:pPr>
        <w:pStyle w:val="16"/>
        <w:rPr>
          <w:lang w:val="zh-CN"/>
        </w:rPr>
      </w:pPr>
    </w:p>
    <w:p>
      <w:pPr>
        <w:rPr>
          <w:lang w:val="zh-CN"/>
        </w:rPr>
      </w:pPr>
    </w:p>
    <w:p>
      <w:pPr>
        <w:pStyle w:val="4"/>
        <w:numPr>
          <w:ilvl w:val="0"/>
          <w:numId w:val="54"/>
        </w:numPr>
        <w:spacing w:before="0" w:after="0" w:line="360" w:lineRule="auto"/>
        <w:ind w:left="616" w:hanging="616"/>
        <w:jc w:val="left"/>
        <w:rPr>
          <w:rFonts w:cs="Times New Roman" w:asciiTheme="majorEastAsia" w:hAnsiTheme="majorEastAsia"/>
          <w:bCs w:val="0"/>
          <w:sz w:val="30"/>
          <w:szCs w:val="30"/>
          <w:lang w:val="zh-CN"/>
        </w:rPr>
      </w:pPr>
      <w:bookmarkStart w:id="61" w:name="_Toc494561963"/>
      <w:bookmarkStart w:id="62" w:name="_Toc495861544"/>
      <w:r>
        <w:rPr>
          <w:rFonts w:hint="eastAsia" w:cs="Times New Roman" w:asciiTheme="majorEastAsia" w:hAnsiTheme="majorEastAsia"/>
          <w:bCs w:val="0"/>
          <w:sz w:val="30"/>
          <w:szCs w:val="30"/>
          <w:lang w:val="zh-CN"/>
        </w:rPr>
        <w:t>评审因素及评分标准</w:t>
      </w:r>
      <w:bookmarkEnd w:id="61"/>
      <w:bookmarkEnd w:id="62"/>
    </w:p>
    <w:tbl>
      <w:tblPr>
        <w:tblStyle w:val="21"/>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6777"/>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6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分值细则</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价格 评议</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c>
          <w:tcPr>
            <w:tcW w:w="8190" w:type="dxa"/>
            <w:gridSpan w:val="2"/>
            <w:tcBorders>
              <w:top w:val="single" w:color="auto" w:sz="4" w:space="0"/>
              <w:left w:val="single" w:color="auto" w:sz="4" w:space="0"/>
              <w:bottom w:val="single" w:color="auto" w:sz="4" w:space="0"/>
              <w:right w:val="single" w:color="auto" w:sz="4" w:space="0"/>
            </w:tcBorders>
            <w:vAlign w:val="center"/>
          </w:tcPr>
          <w:p>
            <w:pPr>
              <w:pStyle w:val="45"/>
              <w:ind w:firstLine="0" w:firstLineChars="0"/>
              <w:rPr>
                <w:rFonts w:hint="eastAsia" w:ascii="宋体" w:hAnsi="宋体" w:eastAsia="宋体" w:cs="宋体"/>
                <w:sz w:val="24"/>
                <w:szCs w:val="24"/>
                <w:highlight w:val="none"/>
              </w:rPr>
            </w:pPr>
            <w:r>
              <w:rPr>
                <w:rFonts w:hint="eastAsia" w:ascii="宋体" w:hAnsi="宋体" w:eastAsia="宋体" w:cs="宋体"/>
                <w:color w:val="auto"/>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投标报价)×价格分。计算时保留两位小数。为保证产品质量，投标报价低于采购预算80%时，评标委员会将对其进行成本分析，评标委员会认为报价低于成本价时将否决其投标。</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1" w:type="dxa"/>
            <w:tcBorders>
              <w:top w:val="single" w:color="auto" w:sz="4" w:space="0"/>
              <w:left w:val="single" w:color="auto" w:sz="4" w:space="0"/>
              <w:right w:val="single" w:color="auto" w:sz="4" w:space="0"/>
            </w:tcBorders>
            <w:vAlign w:val="center"/>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eastAsia="zh-CN"/>
              </w:rPr>
              <w:t>议</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设备技术参数响应</w:t>
            </w:r>
          </w:p>
        </w:tc>
        <w:tc>
          <w:tcPr>
            <w:tcW w:w="6777"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完全满足用户的要求，或有优于用户的技术参数（投标人需提供所投产品的彩页样本或检验报告，如投标人技术响应内容与产品彩页样本或检验报告不一致的本项得0分），且能详细描述，综合评价最优的得</w:t>
            </w:r>
            <w:r>
              <w:rPr>
                <w:rFonts w:hint="eastAsia" w:asciiTheme="minorEastAsia" w:hAnsiTheme="minorEastAsia" w:eastAsiaTheme="minorEastAsia" w:cstheme="minorEastAsia"/>
                <w:kern w:val="0"/>
                <w:sz w:val="24"/>
                <w:szCs w:val="24"/>
                <w:highlight w:val="none"/>
                <w:lang w:val="en-US" w:eastAsia="zh-CN"/>
              </w:rPr>
              <w:t>50</w:t>
            </w:r>
            <w:r>
              <w:rPr>
                <w:rFonts w:hint="eastAsia" w:asciiTheme="minorEastAsia" w:hAnsiTheme="minorEastAsia" w:eastAsiaTheme="minorEastAsia" w:cstheme="minorEastAsia"/>
                <w:kern w:val="0"/>
                <w:sz w:val="24"/>
                <w:szCs w:val="24"/>
                <w:highlight w:val="none"/>
              </w:rPr>
              <w:t>分。</w:t>
            </w:r>
          </w:p>
          <w:p>
            <w:pPr>
              <w:numPr>
                <w:ilvl w:val="0"/>
                <w:numId w:val="0"/>
              </w:numPr>
              <w:jc w:val="left"/>
              <w:rPr>
                <w:rFonts w:hint="eastAsia" w:ascii="宋体" w:hAnsi="宋体" w:eastAsia="宋体" w:cs="宋体"/>
                <w:bCs/>
                <w:color w:val="auto"/>
                <w:sz w:val="24"/>
                <w:szCs w:val="24"/>
                <w:highlight w:val="none"/>
                <w:lang w:val="en-US" w:eastAsia="zh-CN"/>
              </w:rPr>
            </w:pPr>
            <w:r>
              <w:rPr>
                <w:rFonts w:hint="eastAsia" w:asciiTheme="minorEastAsia" w:hAnsiTheme="minorEastAsia" w:eastAsiaTheme="minorEastAsia" w:cstheme="minorEastAsia"/>
                <w:sz w:val="24"/>
                <w:szCs w:val="24"/>
                <w:highlight w:val="none"/>
              </w:rPr>
              <w:t>2.“</w:t>
            </w:r>
            <w:r>
              <w:rPr>
                <w:rFonts w:hint="eastAsia" w:ascii="宋体" w:hAnsi="宋体" w:eastAsia="宋体" w:cs="宋体"/>
                <w:b/>
                <w:color w:val="000000"/>
                <w:sz w:val="24"/>
                <w:szCs w:val="24"/>
                <w:highlight w:val="none"/>
              </w:rPr>
              <w:t>★</w:t>
            </w:r>
            <w:r>
              <w:rPr>
                <w:rFonts w:hint="eastAsia" w:asciiTheme="minorEastAsia" w:hAnsiTheme="minorEastAsia" w:eastAsiaTheme="minorEastAsia" w:cstheme="minorEastAsia"/>
                <w:sz w:val="24"/>
                <w:szCs w:val="24"/>
                <w:highlight w:val="none"/>
              </w:rPr>
              <w:t>”号标识的条款，为重要技术参数，每一项负偏离，扣</w:t>
            </w:r>
            <w:r>
              <w:rPr>
                <w:rFonts w:hint="eastAsia" w:asciiTheme="minorEastAsia" w:hAnsi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分；其他参数，每一项负偏离，扣</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r>
              <w:rPr>
                <w:rFonts w:hint="eastAsia" w:asciiTheme="minorEastAsia" w:hAnsiTheme="minorEastAsia" w:cstheme="minorEastAsia"/>
                <w:sz w:val="24"/>
                <w:szCs w:val="24"/>
                <w:highlight w:val="none"/>
                <w:lang w:eastAsia="zh-CN"/>
              </w:rPr>
              <w:t>累计</w:t>
            </w:r>
            <w:r>
              <w:rPr>
                <w:rFonts w:hint="eastAsia" w:asciiTheme="minorEastAsia" w:hAnsiTheme="minorEastAsia" w:eastAsiaTheme="minorEastAsia" w:cstheme="minorEastAsia"/>
                <w:sz w:val="24"/>
                <w:szCs w:val="24"/>
                <w:highlight w:val="none"/>
              </w:rPr>
              <w:t>扣完</w:t>
            </w:r>
            <w:r>
              <w:rPr>
                <w:rFonts w:hint="eastAsia" w:asciiTheme="minorEastAsia" w:hAnsiTheme="minorEastAsia" w:eastAsiaTheme="minorEastAsia" w:cstheme="minorEastAsia"/>
                <w:sz w:val="24"/>
                <w:szCs w:val="24"/>
                <w:highlight w:val="none"/>
                <w:lang w:val="en-US" w:eastAsia="zh-CN"/>
              </w:rPr>
              <w:t>50</w:t>
            </w:r>
            <w:r>
              <w:rPr>
                <w:rFonts w:hint="eastAsia" w:asciiTheme="minorEastAsia" w:hAnsiTheme="minorEastAsia" w:eastAsiaTheme="minorEastAsia" w:cstheme="minorEastAsia"/>
                <w:sz w:val="24"/>
                <w:szCs w:val="24"/>
                <w:highlight w:val="none"/>
              </w:rPr>
              <w:t>分为止。</w:t>
            </w:r>
          </w:p>
        </w:tc>
        <w:tc>
          <w:tcPr>
            <w:tcW w:w="81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restart"/>
            <w:tcBorders>
              <w:top w:val="single" w:color="auto" w:sz="4" w:space="0"/>
              <w:left w:val="single" w:color="auto" w:sz="4" w:space="0"/>
              <w:right w:val="single" w:color="auto" w:sz="4" w:space="0"/>
            </w:tcBorders>
            <w:vAlign w:val="center"/>
          </w:tcPr>
          <w:p>
            <w:pPr>
              <w:widowControl/>
              <w:ind w:left="240" w:hanging="240" w:hanging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商</w:t>
            </w:r>
            <w:r>
              <w:rPr>
                <w:rFonts w:hint="eastAsia" w:ascii="宋体" w:hAnsi="宋体" w:eastAsia="宋体" w:cs="宋体"/>
                <w:color w:val="auto"/>
                <w:sz w:val="24"/>
                <w:szCs w:val="24"/>
                <w:highlight w:val="none"/>
                <w:lang w:eastAsia="zh-CN"/>
              </w:rPr>
              <w:t>务</w:t>
            </w:r>
          </w:p>
          <w:p>
            <w:pPr>
              <w:widowControl/>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w:t>
            </w:r>
          </w:p>
          <w:p>
            <w:pPr>
              <w:widowControl/>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投标文件编制规范</w:t>
            </w:r>
          </w:p>
        </w:tc>
        <w:tc>
          <w:tcPr>
            <w:tcW w:w="6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cs="宋体"/>
                <w:kern w:val="0"/>
                <w:sz w:val="24"/>
                <w:szCs w:val="24"/>
              </w:rPr>
            </w:pPr>
            <w:r>
              <w:rPr>
                <w:rFonts w:hint="eastAsia" w:asciiTheme="minorEastAsia" w:hAnsiTheme="minorEastAsia" w:eastAsiaTheme="minorEastAsia" w:cstheme="minorEastAsia"/>
                <w:kern w:val="0"/>
                <w:sz w:val="24"/>
                <w:szCs w:val="24"/>
                <w:highlight w:val="none"/>
              </w:rPr>
              <w:t>投标文件全面响应招标文件要求，编制完整、非活页装订，且有详细目录、连续页码、目录与有关材料装订顺序对应清晰、查阅方便得</w:t>
            </w:r>
            <w:r>
              <w:rPr>
                <w:rFonts w:hint="eastAsia" w:asciiTheme="minorEastAsia" w:hAnsiTheme="minorEastAsia" w:cstheme="minorEastAsia"/>
                <w:kern w:val="0"/>
                <w:sz w:val="24"/>
                <w:szCs w:val="24"/>
                <w:highlight w:val="none"/>
                <w:lang w:val="en-US" w:eastAsia="zh-CN"/>
              </w:rPr>
              <w:t>2</w:t>
            </w:r>
            <w:r>
              <w:rPr>
                <w:rFonts w:hint="eastAsia" w:asciiTheme="minorEastAsia" w:hAnsiTheme="minorEastAsia" w:eastAsiaTheme="minorEastAsia" w:cstheme="minorEastAsia"/>
                <w:kern w:val="0"/>
                <w:sz w:val="24"/>
                <w:szCs w:val="24"/>
                <w:highlight w:val="none"/>
              </w:rPr>
              <w:t>分。编排杂乱无章、叙述答非所问、资料残缺不全、资料模糊不清、前后不一致等，每处扣</w:t>
            </w:r>
            <w:r>
              <w:rPr>
                <w:rFonts w:hint="eastAsia" w:asciiTheme="minorEastAsia" w:hAnsiTheme="minorEastAsia" w:eastAsiaTheme="minorEastAsia" w:cstheme="minorEastAsia"/>
                <w:kern w:val="0"/>
                <w:sz w:val="24"/>
                <w:szCs w:val="24"/>
                <w:highlight w:val="none"/>
                <w:lang w:val="en-US" w:eastAsia="zh-CN"/>
              </w:rPr>
              <w:t>1</w:t>
            </w:r>
            <w:r>
              <w:rPr>
                <w:rFonts w:hint="eastAsia" w:asciiTheme="minorEastAsia" w:hAnsiTheme="minorEastAsia" w:eastAsiaTheme="minorEastAsia" w:cstheme="minorEastAsia"/>
                <w:kern w:val="0"/>
                <w:sz w:val="24"/>
                <w:szCs w:val="24"/>
                <w:highlight w:val="none"/>
              </w:rPr>
              <w:t>分，扣完为止，活页装订不得分。</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761"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类似成功案例</w:t>
            </w:r>
          </w:p>
        </w:tc>
        <w:tc>
          <w:tcPr>
            <w:tcW w:w="6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根据投标人</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（201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年</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12</w:t>
            </w:r>
            <w:bookmarkStart w:id="279" w:name="_GoBack"/>
            <w:bookmarkEnd w:id="279"/>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月至今）的类似成功案例进行评分，每提供一份得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分。（提供合同</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中标通知书复印件并加盖公章）</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color w:val="auto"/>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售后服务服务方案</w:t>
            </w:r>
          </w:p>
        </w:tc>
        <w:tc>
          <w:tcPr>
            <w:tcW w:w="6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投标人提供的售后服务方案安排合理，备品备件供应措施合理，售后服务网点分布广，针对性强得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分；方案基本合理，有一定针对性，有售后服务网点得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分；方案简单，售后服务网点较少得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1"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Cs/>
                <w:color w:val="auto"/>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培训方案</w:t>
            </w:r>
          </w:p>
        </w:tc>
        <w:tc>
          <w:tcPr>
            <w:tcW w:w="6777" w:type="dxa"/>
            <w:tcBorders>
              <w:top w:val="single" w:color="auto" w:sz="4" w:space="0"/>
              <w:left w:val="single" w:color="auto" w:sz="4" w:space="0"/>
              <w:right w:val="single" w:color="auto" w:sz="4" w:space="0"/>
            </w:tcBorders>
            <w:vAlign w:val="center"/>
          </w:tcPr>
          <w:p>
            <w:pPr>
              <w:keepNext w:val="0"/>
              <w:keepLines w:val="0"/>
              <w:widowControl/>
              <w:suppressLineNumbers w:val="0"/>
              <w:jc w:val="left"/>
              <w:rPr>
                <w:rFonts w:hint="eastAsia" w:ascii="宋体" w:hAnsi="宋体" w:cs="宋体" w:eastAsiaTheme="minorEastAsia"/>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投标人提供的培训方案</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包括</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专业技术情况</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培训计划等方面</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内容完整、合理、针对性强得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分；方案内容完整、计划可行符合项目需求得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分；方案内容完整基本符合项目需求得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w:t>
            </w:r>
          </w:p>
        </w:tc>
        <w:tc>
          <w:tcPr>
            <w:tcW w:w="811"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1"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413"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交货期保障计划措施</w:t>
            </w:r>
          </w:p>
        </w:tc>
        <w:tc>
          <w:tcPr>
            <w:tcW w:w="6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为确保交货期而采取的保障措施,计划最完善得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分，计划较详细的得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分，计划较简单的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分，未提供则不得分。</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1"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sz w:val="24"/>
                <w:szCs w:val="24"/>
                <w:highlight w:val="none"/>
              </w:rPr>
            </w:pPr>
          </w:p>
        </w:tc>
        <w:tc>
          <w:tcPr>
            <w:tcW w:w="1413" w:type="dxa"/>
            <w:tcBorders>
              <w:left w:val="single" w:color="auto" w:sz="4" w:space="0"/>
              <w:right w:val="single" w:color="auto" w:sz="4" w:space="0"/>
            </w:tcBorders>
            <w:vAlign w:val="center"/>
          </w:tcPr>
          <w:p>
            <w:pPr>
              <w:widowControl/>
              <w:jc w:val="left"/>
              <w:rPr>
                <w:rFonts w:hint="eastAsia" w:ascii="宋体" w:hAnsi="宋体" w:eastAsia="宋体" w:cs="宋体"/>
                <w:bCs/>
                <w:color w:val="auto"/>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实施</w:t>
            </w:r>
            <w:r>
              <w:rPr>
                <w:rFonts w:hint="eastAsia" w:asciiTheme="minorEastAsia" w:hAnsiTheme="minorEastAsia" w:eastAsiaTheme="minorEastAsia" w:cstheme="minorEastAsia"/>
                <w:kern w:val="0"/>
                <w:sz w:val="24"/>
                <w:szCs w:val="24"/>
                <w:highlight w:val="none"/>
              </w:rPr>
              <w:t>方案</w:t>
            </w:r>
          </w:p>
        </w:tc>
        <w:tc>
          <w:tcPr>
            <w:tcW w:w="677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投标人提供的实施方案（包括安装、调试计划、验收方案）非常完整且合理、可操作性</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强</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基本完整、有可操作性得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方案</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简单欠妥、可操作性不高得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1分，未提供则不得分。</w:t>
            </w:r>
            <w:r>
              <w:rPr>
                <w:rFonts w:hint="eastAsia" w:ascii="宋体" w:hAnsi="宋体" w:eastAsia="宋体" w:cs="宋体"/>
                <w:color w:val="auto"/>
                <w:kern w:val="0"/>
                <w:sz w:val="24"/>
                <w:szCs w:val="24"/>
                <w:highlight w:val="none"/>
                <w:lang w:val="en-US" w:eastAsia="zh-CN" w:bidi="ar"/>
              </w:rPr>
              <w:t xml:space="preserve"> </w:t>
            </w:r>
          </w:p>
        </w:tc>
        <w:tc>
          <w:tcPr>
            <w:tcW w:w="811"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3分</w:t>
            </w:r>
          </w:p>
        </w:tc>
      </w:tr>
    </w:tbl>
    <w:p/>
    <w:p>
      <w:r>
        <w:br w:type="page"/>
      </w:r>
    </w:p>
    <w:p>
      <w:pPr>
        <w:pStyle w:val="3"/>
        <w:numPr>
          <w:ilvl w:val="0"/>
          <w:numId w:val="1"/>
        </w:numPr>
        <w:jc w:val="center"/>
        <w:rPr>
          <w:rFonts w:ascii="黑体" w:hAnsi="黑体" w:eastAsia="黑体"/>
        </w:rPr>
      </w:pPr>
      <w:bookmarkStart w:id="63" w:name="_Toc494721093"/>
      <w:bookmarkStart w:id="64" w:name="_Toc495861545"/>
      <w:bookmarkStart w:id="65" w:name="_Toc494665546"/>
      <w:bookmarkStart w:id="66" w:name="_Toc494702263"/>
      <w:bookmarkStart w:id="67" w:name="_Toc494745310"/>
      <w:bookmarkStart w:id="68" w:name="_Toc494664993"/>
      <w:bookmarkStart w:id="69" w:name="_Toc494665943"/>
      <w:r>
        <w:rPr>
          <w:rFonts w:hint="eastAsia" w:ascii="黑体" w:hAnsi="黑体" w:eastAsia="黑体"/>
        </w:rPr>
        <w:t>合同书格式（参考）</w:t>
      </w:r>
      <w:bookmarkEnd w:id="63"/>
      <w:bookmarkEnd w:id="64"/>
      <w:bookmarkEnd w:id="65"/>
      <w:bookmarkEnd w:id="66"/>
      <w:bookmarkEnd w:id="67"/>
      <w:bookmarkEnd w:id="68"/>
      <w:bookmarkEnd w:id="69"/>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66"/>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67"/>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67"/>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65"/>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65"/>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3"/>
        <w:numPr>
          <w:ilvl w:val="0"/>
          <w:numId w:val="1"/>
        </w:numPr>
        <w:jc w:val="center"/>
        <w:rPr>
          <w:rFonts w:ascii="黑体" w:hAnsi="黑体" w:eastAsia="黑体"/>
        </w:rPr>
      </w:pPr>
      <w:bookmarkStart w:id="70" w:name="_Toc494745311"/>
      <w:bookmarkStart w:id="71" w:name="_Toc495861546"/>
      <w:bookmarkStart w:id="72" w:name="_Toc494721094"/>
      <w:bookmarkStart w:id="73" w:name="_Toc494665944"/>
      <w:bookmarkStart w:id="74" w:name="_Toc494702264"/>
      <w:bookmarkStart w:id="75" w:name="_Toc494664994"/>
      <w:bookmarkStart w:id="76" w:name="_Toc494665547"/>
      <w:r>
        <w:rPr>
          <w:rFonts w:hint="eastAsia" w:ascii="黑体" w:hAnsi="黑体" w:eastAsia="黑体"/>
        </w:rPr>
        <w:t>投标文件格式（参考）</w:t>
      </w:r>
      <w:bookmarkEnd w:id="70"/>
      <w:bookmarkEnd w:id="71"/>
      <w:bookmarkEnd w:id="72"/>
      <w:bookmarkEnd w:id="73"/>
      <w:bookmarkEnd w:id="74"/>
      <w:bookmarkEnd w:id="75"/>
      <w:bookmarkEnd w:id="76"/>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4"/>
        <w:spacing w:before="340" w:after="480" w:line="360" w:lineRule="auto"/>
        <w:jc w:val="center"/>
        <w:rPr>
          <w:rFonts w:cs="Times New Roman" w:asciiTheme="majorEastAsia" w:hAnsiTheme="majorEastAsia"/>
          <w:bCs w:val="0"/>
          <w:sz w:val="44"/>
          <w:szCs w:val="44"/>
          <w:lang w:val="zh-CN"/>
        </w:rPr>
      </w:pPr>
      <w:bookmarkStart w:id="77" w:name="_Toc495861547"/>
      <w:bookmarkStart w:id="78" w:name="_Toc494702265"/>
      <w:bookmarkStart w:id="79" w:name="_Toc494721095"/>
      <w:bookmarkStart w:id="80" w:name="_Toc494745312"/>
      <w:bookmarkStart w:id="81" w:name="_Toc494665945"/>
      <w:bookmarkStart w:id="82" w:name="_Toc494664995"/>
      <w:bookmarkStart w:id="83" w:name="_Toc494665548"/>
      <w:r>
        <w:rPr>
          <w:rFonts w:hint="eastAsia" w:cs="Times New Roman" w:asciiTheme="majorEastAsia" w:hAnsiTheme="majorEastAsia"/>
          <w:bCs w:val="0"/>
          <w:sz w:val="44"/>
          <w:szCs w:val="44"/>
          <w:lang w:val="zh-CN"/>
        </w:rPr>
        <w:t>第一部分 资格证明文件</w:t>
      </w:r>
      <w:bookmarkEnd w:id="77"/>
      <w:bookmarkEnd w:id="78"/>
      <w:bookmarkEnd w:id="79"/>
      <w:bookmarkEnd w:id="80"/>
      <w:bookmarkEnd w:id="81"/>
      <w:bookmarkEnd w:id="82"/>
      <w:bookmarkEnd w:id="8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84" w:name="_Toc494664996"/>
      <w:bookmarkStart w:id="85" w:name="_Toc494745313"/>
      <w:bookmarkStart w:id="86" w:name="_Toc494665946"/>
      <w:bookmarkStart w:id="87" w:name="_Toc494721096"/>
      <w:bookmarkStart w:id="88" w:name="_Toc494665549"/>
      <w:bookmarkStart w:id="89" w:name="_Toc494702266"/>
      <w:r>
        <w:rPr>
          <w:rFonts w:hint="eastAsia" w:ascii="黑体" w:hAnsi="黑体" w:eastAsia="黑体" w:cs="Times New Roman"/>
          <w:b/>
          <w:sz w:val="36"/>
          <w:szCs w:val="36"/>
        </w:rPr>
        <w:t>资格证明文件组成</w:t>
      </w:r>
      <w:bookmarkEnd w:id="84"/>
      <w:bookmarkEnd w:id="85"/>
      <w:bookmarkEnd w:id="86"/>
      <w:bookmarkEnd w:id="87"/>
      <w:bookmarkEnd w:id="88"/>
      <w:bookmarkEnd w:id="8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68"/>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68"/>
        </w:numPr>
        <w:autoSpaceDE w:val="0"/>
        <w:autoSpaceDN w:val="0"/>
        <w:adjustRightInd w:val="0"/>
        <w:spacing w:line="360" w:lineRule="auto"/>
        <w:ind w:left="490" w:hanging="370"/>
        <w:rPr>
          <w:rFonts w:ascii="宋体" w:hAnsi="宋体" w:eastAsia="宋体" w:cs="Times New Roman"/>
          <w:b/>
          <w:color w:val="0D0D0D" w:themeColor="text1" w:themeTint="F2"/>
          <w:kern w:val="0"/>
          <w:sz w:val="24"/>
          <w:szCs w:val="32"/>
          <w14:textFill>
            <w14:solidFill>
              <w14:schemeClr w14:val="tx1">
                <w14:lumMod w14:val="95000"/>
                <w14:lumOff w14:val="5000"/>
              </w14:schemeClr>
            </w14:solidFill>
          </w14:textFill>
        </w:rPr>
      </w:pPr>
      <w:r>
        <w:rPr>
          <w:rFonts w:hint="eastAsia" w:ascii="宋体" w:hAnsi="宋体"/>
          <w:color w:val="0D0D0D" w:themeColor="text1" w:themeTint="F2"/>
          <w:kern w:val="0"/>
          <w:sz w:val="24"/>
          <w:szCs w:val="32"/>
          <w14:textFill>
            <w14:solidFill>
              <w14:schemeClr w14:val="tx1">
                <w14:lumMod w14:val="95000"/>
                <w14:lumOff w14:val="5000"/>
              </w14:schemeClr>
            </w14:solidFill>
          </w14:textFill>
        </w:rPr>
        <w:t>应具备《政府采购法》第二十二条第一款规定的条件，提供下列材料：</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color w:val="000000"/>
          <w:sz w:val="24"/>
          <w:szCs w:val="24"/>
          <w:lang w:val="zh-CN"/>
        </w:rPr>
        <w:t>财务状况报告，依法缴纳税收和社会保障资金的相关材料；</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33"/>
        <w:numPr>
          <w:ilvl w:val="0"/>
          <w:numId w:val="69"/>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highlight w:val="none"/>
        </w:rPr>
      </w:pPr>
      <w:r>
        <w:rPr>
          <w:rFonts w:hint="eastAsia" w:ascii="宋体" w:hAnsi="宋体" w:eastAsia="宋体" w:cs="Courier New"/>
          <w:color w:val="0D0D0D"/>
          <w:sz w:val="24"/>
          <w:szCs w:val="24"/>
          <w:highlight w:val="none"/>
        </w:rPr>
        <w:t>未被“信用中国”网站(www.creditchina.gov.cn)列入失信被执行人、重大税收违法案件当事人名单</w:t>
      </w:r>
      <w:r>
        <w:rPr>
          <w:rFonts w:hint="eastAsia" w:ascii="宋体" w:hAnsi="宋体" w:eastAsia="宋体" w:cs="Times New Roman"/>
          <w:sz w:val="24"/>
          <w:szCs w:val="24"/>
          <w:highlight w:val="none"/>
        </w:rPr>
        <w:t>和“中国政府采购”网站（www.ccgp.gov.cn）政府采购严重违法失信行为记录名单的网页截图</w:t>
      </w:r>
      <w:r>
        <w:rPr>
          <w:rFonts w:hint="eastAsia" w:ascii="宋体" w:hAnsi="宋体" w:eastAsia="宋体" w:cs="Courier New"/>
          <w:color w:val="0D0D0D"/>
          <w:sz w:val="24"/>
          <w:szCs w:val="24"/>
          <w:highlight w:val="none"/>
        </w:rPr>
        <w:t>；</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68"/>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68"/>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w:t>
      </w:r>
      <w:r>
        <w:rPr>
          <w:rFonts w:hint="eastAsia" w:ascii="Helvetica" w:hAnsi="Helvetica" w:eastAsia="宋体" w:cs="Helvetica"/>
          <w:b/>
          <w:kern w:val="0"/>
          <w:sz w:val="24"/>
          <w:szCs w:val="24"/>
        </w:rPr>
        <w:t>无效投标处理</w:t>
      </w:r>
      <w:r>
        <w:rPr>
          <w:rFonts w:hint="eastAsia" w:ascii="宋体" w:hAnsi="宋体" w:eastAsia="宋体" w:cs="Times New Roman"/>
          <w:b/>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90" w:name="_Toc495861548"/>
      <w:bookmarkStart w:id="91" w:name="_Toc494721097"/>
      <w:bookmarkStart w:id="92" w:name="_Toc494665550"/>
      <w:bookmarkStart w:id="93" w:name="_Toc494664997"/>
      <w:bookmarkStart w:id="94" w:name="_Toc494745314"/>
      <w:bookmarkStart w:id="95" w:name="_Toc494665947"/>
      <w:bookmarkStart w:id="96" w:name="_Toc494702267"/>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第二部分 商务文件</w:t>
      </w:r>
      <w:bookmarkEnd w:id="90"/>
      <w:bookmarkEnd w:id="91"/>
      <w:bookmarkEnd w:id="92"/>
      <w:bookmarkEnd w:id="93"/>
      <w:bookmarkEnd w:id="94"/>
      <w:bookmarkEnd w:id="95"/>
      <w:bookmarkEnd w:id="9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7" w:name="_Toc494665948"/>
      <w:bookmarkStart w:id="98" w:name="_Toc494745315"/>
      <w:bookmarkStart w:id="99" w:name="_Toc494702268"/>
      <w:bookmarkStart w:id="100" w:name="_Toc494664998"/>
      <w:bookmarkStart w:id="101" w:name="_Toc494665551"/>
      <w:bookmarkStart w:id="102" w:name="_Toc494721098"/>
      <w:r>
        <w:rPr>
          <w:rFonts w:hint="eastAsia" w:ascii="黑体" w:hAnsi="黑体" w:eastAsia="黑体" w:cs="Times New Roman"/>
          <w:b/>
          <w:sz w:val="36"/>
          <w:szCs w:val="36"/>
        </w:rPr>
        <w:t>商务文件组成</w:t>
      </w:r>
      <w:bookmarkEnd w:id="97"/>
      <w:bookmarkEnd w:id="98"/>
      <w:bookmarkEnd w:id="99"/>
      <w:bookmarkEnd w:id="100"/>
      <w:bookmarkEnd w:id="101"/>
      <w:bookmarkEnd w:id="102"/>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7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70"/>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70"/>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70"/>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交纳投标保证金的银行凭证（附件九，适用招标文件有交纳要求的应当提供）；</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法定代表人授权书（附件十）；</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投标人的资格声明（附件十一）；</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项目负责人、技术负责人简历表（附件十二）；</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项目班子成员情况表（附件十三）；</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投标人类似项目业绩表（附件十四）；</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符合性审查对照表（附件十五）；</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商务要求响应、偏离说明表（附件十六）；</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商务要求“★”号条款响应、偏离说明表（附件十七）</w:t>
      </w:r>
    </w:p>
    <w:p>
      <w:pPr>
        <w:numPr>
          <w:ilvl w:val="0"/>
          <w:numId w:val="70"/>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商务评议对照表（附件十八）。</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4"/>
        <w:spacing w:before="340" w:after="480" w:line="360" w:lineRule="auto"/>
        <w:jc w:val="center"/>
        <w:rPr>
          <w:rFonts w:cs="Times New Roman" w:asciiTheme="majorEastAsia" w:hAnsiTheme="majorEastAsia"/>
          <w:bCs w:val="0"/>
          <w:sz w:val="44"/>
          <w:szCs w:val="44"/>
          <w:lang w:val="zh-CN"/>
        </w:rPr>
      </w:pPr>
      <w:bookmarkStart w:id="103" w:name="_Toc494665949"/>
      <w:bookmarkStart w:id="104" w:name="_Toc494702269"/>
      <w:bookmarkStart w:id="105" w:name="_Toc494664999"/>
      <w:bookmarkStart w:id="106" w:name="_Toc495861549"/>
      <w:bookmarkStart w:id="107" w:name="_Toc494665552"/>
      <w:bookmarkStart w:id="108" w:name="_Toc494745316"/>
      <w:bookmarkStart w:id="109" w:name="_Toc494721099"/>
    </w:p>
    <w:p>
      <w:pPr>
        <w:pStyle w:val="4"/>
        <w:spacing w:before="340" w:after="480" w:line="360" w:lineRule="auto"/>
        <w:jc w:val="center"/>
        <w:rPr>
          <w:rFonts w:cs="Times New Roman" w:asciiTheme="majorEastAsia" w:hAnsiTheme="majorEastAsia"/>
          <w:bCs w:val="0"/>
          <w:sz w:val="44"/>
          <w:szCs w:val="44"/>
          <w:lang w:val="zh-CN"/>
        </w:rPr>
      </w:pPr>
    </w:p>
    <w:p>
      <w:pPr>
        <w:pStyle w:val="4"/>
        <w:spacing w:before="340" w:after="480" w:line="360" w:lineRule="auto"/>
        <w:jc w:val="center"/>
        <w:rPr>
          <w:rFonts w:cs="Times New Roman" w:asciiTheme="majorEastAsia" w:hAnsiTheme="majorEastAsia"/>
          <w:bCs w:val="0"/>
          <w:sz w:val="44"/>
          <w:szCs w:val="44"/>
          <w:lang w:val="zh-CN"/>
        </w:rPr>
      </w:pPr>
      <w:r>
        <w:rPr>
          <w:rFonts w:hint="eastAsia" w:cs="Times New Roman" w:asciiTheme="majorEastAsia" w:hAnsiTheme="majorEastAsia"/>
          <w:bCs w:val="0"/>
          <w:sz w:val="44"/>
          <w:szCs w:val="44"/>
          <w:lang w:val="zh-CN"/>
        </w:rPr>
        <w:t>第三部分 技术、服务文件</w:t>
      </w:r>
      <w:bookmarkEnd w:id="103"/>
      <w:bookmarkEnd w:id="104"/>
      <w:bookmarkEnd w:id="105"/>
      <w:bookmarkEnd w:id="106"/>
      <w:bookmarkEnd w:id="107"/>
      <w:bookmarkEnd w:id="108"/>
      <w:bookmarkEnd w:id="109"/>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二0一</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0" w:name="_Toc494665553"/>
      <w:bookmarkStart w:id="111" w:name="_Toc494665950"/>
      <w:bookmarkStart w:id="112" w:name="_Toc494721100"/>
      <w:bookmarkStart w:id="113" w:name="_Toc494745317"/>
      <w:bookmarkStart w:id="114" w:name="_Toc494665000"/>
      <w:bookmarkStart w:id="115" w:name="_Toc494702270"/>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0"/>
      <w:bookmarkEnd w:id="111"/>
      <w:bookmarkEnd w:id="112"/>
      <w:bookmarkEnd w:id="113"/>
      <w:bookmarkEnd w:id="114"/>
      <w:bookmarkEnd w:id="115"/>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71"/>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技术、服务要求响应、偏离说明表（附件十九）；</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技术、服务要求“★”号条款响应、偏离说明表（附件二十）；</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技术、服务评议对照表（附件二十一）；</w:t>
      </w:r>
    </w:p>
    <w:p>
      <w:pPr>
        <w:numPr>
          <w:ilvl w:val="0"/>
          <w:numId w:val="7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16" w:name="_Toc494665001"/>
      <w:bookmarkStart w:id="117" w:name="_Toc494745318"/>
      <w:bookmarkStart w:id="118" w:name="_Toc494665554"/>
      <w:bookmarkStart w:id="119" w:name="_Toc494721101"/>
      <w:bookmarkStart w:id="120" w:name="_Toc238276242"/>
      <w:bookmarkStart w:id="121" w:name="_Toc494665951"/>
      <w:bookmarkStart w:id="122" w:name="_Toc494702271"/>
      <w:bookmarkStart w:id="123" w:name="_Toc495861550"/>
      <w:bookmarkStart w:id="124" w:name="_Toc236473298"/>
      <w:r>
        <w:rPr>
          <w:rFonts w:hint="eastAsia" w:ascii="宋体" w:hAnsi="宋体" w:eastAsia="宋体"/>
        </w:rPr>
        <w:t>投标书</w:t>
      </w:r>
      <w:bookmarkEnd w:id="116"/>
      <w:bookmarkEnd w:id="117"/>
      <w:bookmarkEnd w:id="118"/>
      <w:bookmarkEnd w:id="119"/>
      <w:bookmarkEnd w:id="120"/>
      <w:bookmarkEnd w:id="121"/>
      <w:bookmarkEnd w:id="122"/>
      <w:bookmarkEnd w:id="123"/>
      <w:bookmarkEnd w:id="124"/>
    </w:p>
    <w:p>
      <w:pPr>
        <w:spacing w:line="360" w:lineRule="auto"/>
        <w:rPr>
          <w:b/>
          <w:sz w:val="28"/>
          <w:szCs w:val="28"/>
        </w:rPr>
      </w:pPr>
      <w:r>
        <w:rPr>
          <w:rFonts w:hint="eastAsia"/>
          <w:b/>
          <w:sz w:val="28"/>
          <w:szCs w:val="28"/>
        </w:rPr>
        <w:t>采购</w:t>
      </w:r>
      <w:r>
        <w:rPr>
          <w:rFonts w:hint="eastAsia"/>
          <w:b/>
          <w:color w:val="auto"/>
          <w:sz w:val="28"/>
          <w:szCs w:val="28"/>
        </w:rPr>
        <w:t>人（或采购代理公司）</w:t>
      </w:r>
      <w:r>
        <w:rPr>
          <w:rFonts w:hint="eastAsia"/>
          <w:b/>
          <w:sz w:val="28"/>
          <w:szCs w:val="28"/>
        </w:rPr>
        <w:t>：</w:t>
      </w:r>
    </w:p>
    <w:p>
      <w:pPr>
        <w:spacing w:line="360" w:lineRule="auto"/>
        <w:ind w:firstLine="480" w:firstLineChars="200"/>
        <w:rPr>
          <w:rFonts w:asciiTheme="minorEastAsia" w:hAnsi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依据贵方___</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 xml:space="preserve">  _</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项目（项目编号：_____）招标的投标邀请，我方代表</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（姓名、职务）</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经正式授权并代表投标人</w:t>
      </w:r>
      <w:r>
        <w:rPr>
          <w:rFonts w:hint="eastAsia" w:asciiTheme="minorEastAsia" w:hAnsiTheme="minorEastAsia"/>
          <w:color w:val="0D0D0D" w:themeColor="text1" w:themeTint="F2"/>
          <w:sz w:val="24"/>
          <w:szCs w:val="24"/>
          <w:u w:val="single"/>
          <w14:textFill>
            <w14:solidFill>
              <w14:schemeClr w14:val="tx1">
                <w14:lumMod w14:val="95000"/>
                <w14:lumOff w14:val="5000"/>
              </w14:schemeClr>
            </w14:solidFill>
          </w14:textFill>
        </w:rPr>
        <w:t>（投标人全称 ）</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提交</w:t>
      </w:r>
      <w:r>
        <w:rPr>
          <w:rFonts w:hint="eastAsia" w:ascii="宋体" w:hAnsi="宋体"/>
          <w:color w:val="0D0D0D" w:themeColor="text1" w:themeTint="F2"/>
          <w:kern w:val="0"/>
          <w:sz w:val="24"/>
          <w14:textFill>
            <w14:solidFill>
              <w14:schemeClr w14:val="tx1">
                <w14:lumMod w14:val="95000"/>
                <w14:lumOff w14:val="5000"/>
              </w14:schemeClr>
            </w14:solidFill>
          </w14:textFill>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kern w:val="0"/>
          <w:sz w:val="24"/>
          <w:szCs w:val="24"/>
          <w14:textFill>
            <w14:solidFill>
              <w14:schemeClr w14:val="tx1">
                <w14:lumMod w14:val="95000"/>
                <w14:lumOff w14:val="5000"/>
              </w14:schemeClr>
            </w14:solidFill>
          </w14:textFill>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自</w:t>
      </w:r>
      <w:r>
        <w:rPr>
          <w:rFonts w:hint="eastAsia" w:ascii="宋体" w:hAnsi="宋体"/>
          <w:color w:val="0D0D0D" w:themeColor="text1" w:themeTint="F2"/>
          <w:kern w:val="0"/>
          <w:sz w:val="24"/>
          <w14:textFill>
            <w14:solidFill>
              <w14:schemeClr w14:val="tx1">
                <w14:lumMod w14:val="95000"/>
                <w14:lumOff w14:val="5000"/>
              </w14:schemeClr>
            </w14:solidFill>
          </w14:textFill>
        </w:rPr>
        <w:t>递交投标文件截止之日</w:t>
      </w:r>
      <w:r>
        <w:rPr>
          <w:rFonts w:hint="eastAsia" w:asciiTheme="minorEastAsia" w:hAnsiTheme="minorEastAsia"/>
          <w:color w:val="0D0D0D" w:themeColor="text1" w:themeTint="F2"/>
          <w:sz w:val="24"/>
          <w:szCs w:val="24"/>
          <w14:textFill>
            <w14:solidFill>
              <w14:schemeClr w14:val="tx1">
                <w14:lumMod w14:val="95000"/>
                <w14:lumOff w14:val="5000"/>
              </w14:schemeClr>
            </w14:solidFill>
          </w14:textFill>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5．接受招标文件关于不予退还投标保证金的约定；</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25" w:name="_Toc494665002"/>
      <w:bookmarkStart w:id="126" w:name="_Toc494745319"/>
      <w:bookmarkStart w:id="127" w:name="_Toc494665555"/>
      <w:bookmarkStart w:id="128" w:name="_Toc494665952"/>
      <w:bookmarkStart w:id="129" w:name="_Toc495861551"/>
      <w:bookmarkStart w:id="130" w:name="_Toc494702272"/>
      <w:bookmarkStart w:id="131" w:name="_Toc494721102"/>
      <w:r>
        <w:rPr>
          <w:rFonts w:hint="eastAsia" w:ascii="宋体" w:hAnsi="宋体" w:eastAsia="宋体"/>
        </w:rPr>
        <w:t>制造商中小企业声明函</w:t>
      </w:r>
      <w:bookmarkEnd w:id="125"/>
      <w:bookmarkEnd w:id="126"/>
      <w:bookmarkEnd w:id="127"/>
      <w:bookmarkEnd w:id="128"/>
      <w:bookmarkEnd w:id="129"/>
      <w:bookmarkEnd w:id="130"/>
      <w:bookmarkEnd w:id="131"/>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3"/>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10"/>
        <w:spacing w:line="360" w:lineRule="auto"/>
        <w:ind w:left="960" w:hanging="960" w:hangingChars="400"/>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D0D0D" w:themeColor="text1" w:themeTint="F2"/>
          <w:sz w:val="24"/>
          <w14:textFill>
            <w14:solidFill>
              <w14:schemeClr w14:val="tx1">
                <w14:lumMod w14:val="95000"/>
                <w14:lumOff w14:val="5000"/>
              </w14:schemeClr>
            </w14:solidFill>
          </w14:textFill>
        </w:rPr>
        <w:t>货物为自己制造的，也应按本声明函格式填写。</w:t>
      </w:r>
    </w:p>
    <w:p>
      <w:pPr>
        <w:pStyle w:val="10"/>
        <w:spacing w:line="360" w:lineRule="auto"/>
        <w:ind w:left="958" w:leftChars="342" w:hanging="240" w:hangingChars="10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2、组成联合体的大中型企业和其他自然人、法人或者其他组织，与小型、微型企业之间不得存在投资关系。</w:t>
      </w:r>
    </w:p>
    <w:p>
      <w:pPr>
        <w:pStyle w:val="10"/>
        <w:spacing w:line="360" w:lineRule="auto"/>
        <w:ind w:left="958" w:leftChars="342" w:hanging="240" w:hangingChars="100"/>
        <w:jc w:val="left"/>
        <w:rPr>
          <w:rFonts w:hAnsi="宋体" w:eastAsia="宋体" w:cs="Times New Roman"/>
          <w:bCs/>
          <w:color w:val="0D0D0D" w:themeColor="text1" w:themeTint="F2"/>
          <w:sz w:val="24"/>
          <w:szCs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32" w:name="_Toc495861552"/>
      <w:bookmarkStart w:id="133" w:name="_Toc494665003"/>
      <w:bookmarkStart w:id="134" w:name="_Toc494745320"/>
      <w:bookmarkStart w:id="135" w:name="_Toc456264006"/>
      <w:bookmarkStart w:id="136" w:name="_Toc494702273"/>
      <w:bookmarkStart w:id="137" w:name="_Toc494721103"/>
      <w:bookmarkStart w:id="138" w:name="_Toc494665556"/>
      <w:bookmarkStart w:id="139" w:name="_Toc494665953"/>
      <w:r>
        <w:rPr>
          <w:rFonts w:hint="eastAsia" w:ascii="宋体" w:hAnsi="宋体" w:eastAsia="宋体"/>
        </w:rPr>
        <w:t>中小企业声明函</w:t>
      </w:r>
      <w:bookmarkEnd w:id="132"/>
      <w:bookmarkEnd w:id="133"/>
      <w:bookmarkEnd w:id="134"/>
      <w:bookmarkEnd w:id="135"/>
      <w:bookmarkEnd w:id="136"/>
      <w:bookmarkEnd w:id="137"/>
      <w:bookmarkEnd w:id="138"/>
      <w:bookmarkEnd w:id="139"/>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）规定的划分标准</w:t>
      </w:r>
      <w:r>
        <w:rPr>
          <w:rFonts w:hint="eastAsia" w:hAnsi="宋体"/>
          <w:color w:val="0D0D0D" w:themeColor="text1" w:themeTint="F2"/>
          <w:sz w:val="24"/>
          <w14:textFill>
            <w14:solidFill>
              <w14:schemeClr w14:val="tx1">
                <w14:lumMod w14:val="95000"/>
                <w14:lumOff w14:val="5000"/>
              </w14:schemeClr>
            </w14:solidFill>
          </w14:textFill>
        </w:rPr>
        <w:t>（详见《中小企业划型标准》）</w:t>
      </w:r>
      <w:r>
        <w:rPr>
          <w:rFonts w:hint="eastAsia" w:ascii="宋体" w:hAnsi="宋体" w:eastAsia="宋体" w:cs="Times New Roman"/>
          <w:color w:val="0D0D0D" w:themeColor="text1" w:themeTint="F2"/>
          <w:sz w:val="24"/>
          <w:szCs w:val="21"/>
          <w:lang w:val="zh-CN"/>
          <w14:textFill>
            <w14:solidFill>
              <w14:schemeClr w14:val="tx1">
                <w14:lumMod w14:val="95000"/>
                <w14:lumOff w14:val="5000"/>
              </w14:schemeClr>
            </w14:solidFill>
          </w14:textFill>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2.以联合体方式参与本项目投标的投标人，应由联合体双方签字盖章。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right="-65" w:rightChars="-31"/>
        <w:jc w:val="center"/>
        <w:rPr>
          <w:rFonts w:ascii="宋体" w:hAnsi="宋体" w:eastAsia="宋体" w:cs="Times New Roman"/>
          <w:b/>
          <w:sz w:val="30"/>
          <w:szCs w:val="30"/>
          <w:lang w:val="zh-CN"/>
        </w:rPr>
      </w:pPr>
      <w:bookmarkStart w:id="140" w:name="_Toc476153619"/>
      <w:r>
        <w:rPr>
          <w:rFonts w:hint="eastAsia" w:ascii="宋体" w:hAnsi="宋体" w:eastAsia="宋体" w:cs="Times New Roman"/>
          <w:b/>
          <w:sz w:val="30"/>
          <w:szCs w:val="30"/>
          <w:lang w:val="zh-CN"/>
        </w:rPr>
        <w:t>中小企业划型标准</w:t>
      </w:r>
      <w:bookmarkEnd w:id="140"/>
    </w:p>
    <w:tbl>
      <w:tblPr>
        <w:tblStyle w:val="21"/>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4"/>
        <w:numPr>
          <w:ilvl w:val="0"/>
          <w:numId w:val="72"/>
        </w:numPr>
        <w:spacing w:before="100" w:beforeAutospacing="1" w:afterLines="50" w:line="360" w:lineRule="auto"/>
        <w:ind w:left="1288" w:hanging="1288"/>
        <w:rPr>
          <w:rFonts w:ascii="宋体" w:hAnsi="宋体" w:eastAsia="宋体"/>
        </w:rPr>
      </w:pPr>
      <w:bookmarkStart w:id="141" w:name="_Toc494721104"/>
      <w:bookmarkStart w:id="142" w:name="_Toc494745321"/>
      <w:bookmarkStart w:id="143" w:name="_Toc494665557"/>
      <w:bookmarkStart w:id="144" w:name="_Toc494665004"/>
      <w:bookmarkStart w:id="145" w:name="_Toc494665954"/>
      <w:bookmarkStart w:id="146" w:name="_Toc494702274"/>
      <w:bookmarkStart w:id="147" w:name="_Toc495861553"/>
      <w:r>
        <w:rPr>
          <w:rFonts w:hint="eastAsia" w:ascii="宋体" w:hAnsi="宋体" w:eastAsia="宋体"/>
        </w:rPr>
        <w:t>残疾人福利性单位声明函</w:t>
      </w:r>
      <w:bookmarkEnd w:id="141"/>
      <w:bookmarkEnd w:id="142"/>
      <w:bookmarkEnd w:id="143"/>
      <w:bookmarkEnd w:id="144"/>
      <w:bookmarkEnd w:id="145"/>
      <w:bookmarkEnd w:id="146"/>
      <w:bookmarkEnd w:id="147"/>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auto"/>
          <w:sz w:val="28"/>
          <w:szCs w:val="28"/>
        </w:rPr>
        <w:t>（或采购代理公司）</w:t>
      </w:r>
      <w:r>
        <w:rPr>
          <w:rFonts w:hint="eastAsia"/>
          <w:b/>
          <w:sz w:val="28"/>
          <w:szCs w:val="28"/>
        </w:rPr>
        <w:t>：</w:t>
      </w:r>
    </w:p>
    <w:p>
      <w:pPr>
        <w:pStyle w:val="10"/>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D0D0D" w:themeColor="text1" w:themeTint="F2"/>
          <w:sz w:val="24"/>
          <w14:textFill>
            <w14:solidFill>
              <w14:schemeClr w14:val="tx1">
                <w14:lumMod w14:val="95000"/>
                <w14:lumOff w14:val="5000"/>
              </w14:schemeClr>
            </w14:solidFill>
          </w14:textFill>
        </w:rPr>
        <w:t>单位为符合条件的残疾人福利性单位（详见“残疾人福利性单位应当满足的条件”）。</w:t>
      </w:r>
    </w:p>
    <w:p>
      <w:pPr>
        <w:pStyle w:val="10"/>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4"/>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D0D0D" w:themeColor="text1" w:themeTint="F2"/>
          <w:sz w:val="24"/>
          <w:szCs w:val="24"/>
          <w14:textFill>
            <w14:solidFill>
              <w14:schemeClr w14:val="tx1">
                <w14:lumMod w14:val="95000"/>
                <w14:lumOff w14:val="5000"/>
              </w14:schemeClr>
            </w14:solidFill>
          </w14:textFill>
        </w:rPr>
      </w:pPr>
    </w:p>
    <w:p>
      <w:pPr>
        <w:pStyle w:val="10"/>
        <w:spacing w:line="360" w:lineRule="auto"/>
        <w:jc w:val="left"/>
        <w:rPr>
          <w:rFonts w:hAnsi="宋体" w:cs="Corbel"/>
          <w:color w:val="0D0D0D" w:themeColor="text1" w:themeTint="F2"/>
          <w:sz w:val="24"/>
          <w14:textFill>
            <w14:solidFill>
              <w14:schemeClr w14:val="tx1">
                <w14:lumMod w14:val="95000"/>
                <w14:lumOff w14:val="5000"/>
              </w14:schemeClr>
            </w14:solidFill>
          </w14:textFill>
        </w:rPr>
      </w:pPr>
      <w:r>
        <w:rPr>
          <w:rFonts w:hint="eastAsia" w:hAnsi="宋体" w:eastAsia="宋体" w:cs="Times New Roman"/>
          <w:bCs/>
          <w:color w:val="0D0D0D" w:themeColor="text1" w:themeTint="F2"/>
          <w:sz w:val="24"/>
          <w:szCs w:val="24"/>
          <w14:textFill>
            <w14:solidFill>
              <w14:schemeClr w14:val="tx1">
                <w14:lumMod w14:val="95000"/>
                <w14:lumOff w14:val="5000"/>
              </w14:schemeClr>
            </w14:solidFill>
          </w14:textFill>
        </w:rPr>
        <w:t>说明：</w:t>
      </w:r>
      <w:r>
        <w:rPr>
          <w:rFonts w:hint="eastAsia" w:hAnsi="宋体" w:cs="Corbel"/>
          <w:color w:val="0D0D0D" w:themeColor="text1" w:themeTint="F2"/>
          <w:sz w:val="24"/>
          <w14:textFill>
            <w14:solidFill>
              <w14:schemeClr w14:val="tx1">
                <w14:lumMod w14:val="95000"/>
                <w14:lumOff w14:val="5000"/>
              </w14:schemeClr>
            </w14:solidFill>
          </w14:textFill>
        </w:rPr>
        <w:t>1、投标人所投货物为自己制造的，也应按本声明函格式填写。</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2、组成联合体的大中型企业和其他自然人、法人或者其他组织，与残疾人福利性单位之间不得存在投资关系。</w:t>
      </w:r>
    </w:p>
    <w:p>
      <w:pPr>
        <w:pStyle w:val="10"/>
        <w:spacing w:line="360" w:lineRule="auto"/>
        <w:ind w:left="1078" w:leftChars="342" w:hanging="360" w:hangingChars="150"/>
        <w:jc w:val="left"/>
        <w:rPr>
          <w:rFonts w:hAnsi="宋体"/>
          <w:color w:val="0D0D0D" w:themeColor="text1" w:themeTint="F2"/>
          <w:sz w:val="24"/>
          <w14:textFill>
            <w14:solidFill>
              <w14:schemeClr w14:val="tx1">
                <w14:lumMod w14:val="95000"/>
                <w14:lumOff w14:val="5000"/>
              </w14:schemeClr>
            </w14:solidFill>
          </w14:textFill>
        </w:rPr>
      </w:pPr>
      <w:r>
        <w:rPr>
          <w:rFonts w:hint="eastAsia" w:hAnsi="宋体"/>
          <w:color w:val="0D0D0D" w:themeColor="text1" w:themeTint="F2"/>
          <w:sz w:val="24"/>
          <w14:textFill>
            <w14:solidFill>
              <w14:schemeClr w14:val="tx1">
                <w14:lumMod w14:val="95000"/>
                <w14:lumOff w14:val="5000"/>
              </w14:schemeClr>
            </w14:solidFill>
          </w14:textFill>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color w:val="auto"/>
          <w:sz w:val="28"/>
          <w:szCs w:val="28"/>
        </w:rPr>
      </w:pPr>
      <w:r>
        <w:rPr>
          <w:rFonts w:hint="eastAsia"/>
          <w:b/>
          <w:sz w:val="28"/>
          <w:szCs w:val="28"/>
        </w:rPr>
        <w:t>采</w:t>
      </w:r>
      <w:r>
        <w:rPr>
          <w:rFonts w:hint="eastAsia"/>
          <w:b/>
          <w:color w:val="auto"/>
          <w:sz w:val="28"/>
          <w:szCs w:val="28"/>
        </w:rPr>
        <w:t>购人（或采购代理公司）：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部 民政部 中国残疾人联合会关于促进残疾人就业政府采购政策的通知》（财库〔2017〕141号）的规定，本单位为符合条件的残疾人福利性单位</w:t>
      </w:r>
      <w:r>
        <w:rPr>
          <w:rFonts w:hint="eastAsia" w:hAnsi="宋体"/>
          <w:color w:val="0D0D0D" w:themeColor="text1" w:themeTint="F2"/>
          <w:sz w:val="24"/>
          <w14:textFill>
            <w14:solidFill>
              <w14:schemeClr w14:val="tx1">
                <w14:lumMod w14:val="95000"/>
                <w14:lumOff w14:val="5000"/>
              </w14:schemeClr>
            </w14:solidFill>
          </w14:textFill>
        </w:rPr>
        <w:t>（详见“残疾人福利性单位应当满足的条件”）</w:t>
      </w:r>
      <w:r>
        <w:rPr>
          <w:rFonts w:hint="eastAsia" w:ascii="宋体" w:hAnsi="宋体" w:eastAsia="宋体" w:cs="Times New Roman"/>
          <w:color w:val="0D0D0D" w:themeColor="text1" w:themeTint="F2"/>
          <w:sz w:val="24"/>
          <w:szCs w:val="24"/>
          <w14:textFill>
            <w14:solidFill>
              <w14:schemeClr w14:val="tx1">
                <w14:lumMod w14:val="95000"/>
                <w14:lumOff w14:val="5000"/>
              </w14:schemeClr>
            </w14:solidFill>
          </w14:textFill>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D0D0D" w:themeColor="text1" w:themeTint="F2"/>
          <w:sz w:val="24"/>
          <w:szCs w:val="21"/>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宋体" w:hAnsi="宋体" w:cs="Courier New"/>
          <w:color w:val="0D0D0D" w:themeColor="text1" w:themeTint="F2"/>
          <w:sz w:val="24"/>
          <w:szCs w:val="21"/>
          <w14:textFill>
            <w14:solidFill>
              <w14:schemeClr w14:val="tx1">
                <w14:lumMod w14:val="95000"/>
                <w14:lumOff w14:val="5000"/>
              </w14:schemeClr>
            </w14:solidFill>
          </w14:textFill>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48" w:name="_Toc494745322"/>
      <w:bookmarkStart w:id="149" w:name="_Toc495861554"/>
      <w:bookmarkStart w:id="150" w:name="_Toc494665558"/>
      <w:bookmarkStart w:id="151" w:name="_Toc494665005"/>
      <w:bookmarkStart w:id="152" w:name="_Toc494721105"/>
      <w:bookmarkStart w:id="153" w:name="_Toc494702275"/>
      <w:bookmarkStart w:id="154" w:name="_Toc494665955"/>
      <w:bookmarkStart w:id="155" w:name="_Toc494577410"/>
      <w:r>
        <w:rPr>
          <w:rFonts w:hint="eastAsia" w:ascii="宋体" w:hAnsi="宋体" w:eastAsia="宋体"/>
        </w:rPr>
        <w:t>开标一览表</w:t>
      </w:r>
      <w:bookmarkEnd w:id="148"/>
      <w:bookmarkEnd w:id="149"/>
      <w:bookmarkEnd w:id="150"/>
      <w:bookmarkEnd w:id="151"/>
      <w:bookmarkEnd w:id="152"/>
      <w:bookmarkEnd w:id="153"/>
      <w:bookmarkEnd w:id="154"/>
      <w:bookmarkEnd w:id="155"/>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项目工期</w:t>
            </w:r>
          </w:p>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3．为方便开标时唱标，投标人应另附《开标一览表》及《交纳投标保证金的银行凭证》（如有交纳保证金要求的）各一份一并</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56" w:name="_Toc495861555"/>
      <w:bookmarkStart w:id="157" w:name="_Toc494721106"/>
      <w:bookmarkStart w:id="158" w:name="_Toc494702276"/>
      <w:bookmarkStart w:id="159" w:name="_Toc494665956"/>
      <w:bookmarkStart w:id="160" w:name="_Toc494665559"/>
      <w:bookmarkStart w:id="161" w:name="_Toc494745323"/>
      <w:bookmarkStart w:id="162" w:name="_Toc494577411"/>
      <w:bookmarkStart w:id="163" w:name="_Toc494665006"/>
      <w:r>
        <w:rPr>
          <w:rFonts w:hint="eastAsia" w:ascii="宋体" w:hAnsi="宋体" w:eastAsia="宋体"/>
        </w:rPr>
        <w:t>投标报价明细表</w:t>
      </w:r>
      <w:bookmarkEnd w:id="156"/>
      <w:bookmarkEnd w:id="157"/>
      <w:bookmarkEnd w:id="158"/>
      <w:bookmarkEnd w:id="159"/>
      <w:bookmarkEnd w:id="160"/>
      <w:bookmarkEnd w:id="161"/>
      <w:bookmarkEnd w:id="162"/>
      <w:bookmarkEnd w:id="163"/>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D0D0D" w:themeColor="text1" w:themeTint="F2"/>
                <w:sz w:val="24"/>
                <w14:textFill>
                  <w14:solidFill>
                    <w14:schemeClr w14:val="tx1">
                      <w14:lumMod w14:val="95000"/>
                      <w14:lumOff w14:val="5000"/>
                    </w14:schemeClr>
                  </w14:solidFill>
                </w14:textFill>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75"/>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sz w:val="31"/>
          <w:szCs w:val="31"/>
        </w:rPr>
      </w:pPr>
      <w:bookmarkStart w:id="164" w:name="_Toc494702277"/>
      <w:bookmarkStart w:id="165" w:name="_Toc494721107"/>
      <w:bookmarkStart w:id="166" w:name="_Toc494745324"/>
      <w:bookmarkStart w:id="167" w:name="_Toc494665560"/>
      <w:bookmarkStart w:id="168" w:name="_Toc494665957"/>
      <w:bookmarkStart w:id="169" w:name="_Toc494665007"/>
      <w:bookmarkStart w:id="170" w:name="_Toc494577412"/>
      <w:bookmarkStart w:id="171" w:name="_Toc495861556"/>
      <w:r>
        <w:rPr>
          <w:rFonts w:hint="eastAsia" w:ascii="宋体" w:hAnsi="宋体" w:eastAsia="宋体"/>
          <w:sz w:val="31"/>
          <w:szCs w:val="31"/>
        </w:rPr>
        <w:t>小型和微型企业、监狱企业、残疾人福利性单位货物汇总表</w:t>
      </w:r>
      <w:bookmarkEnd w:id="164"/>
      <w:bookmarkEnd w:id="165"/>
      <w:bookmarkEnd w:id="166"/>
      <w:bookmarkEnd w:id="167"/>
      <w:bookmarkEnd w:id="168"/>
      <w:bookmarkEnd w:id="169"/>
      <w:bookmarkEnd w:id="170"/>
      <w:bookmarkEnd w:id="171"/>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72" w:name="_Toc494665561"/>
      <w:bookmarkStart w:id="173" w:name="_Toc494665008"/>
      <w:bookmarkStart w:id="174" w:name="_Toc495861557"/>
      <w:bookmarkStart w:id="175" w:name="_Toc494721108"/>
      <w:bookmarkStart w:id="176" w:name="_Toc494702278"/>
      <w:bookmarkStart w:id="177" w:name="_Toc494665958"/>
      <w:bookmarkStart w:id="178" w:name="_Toc494745325"/>
      <w:r>
        <w:rPr>
          <w:rFonts w:hint="eastAsia" w:ascii="宋体" w:hAnsi="宋体" w:eastAsia="宋体"/>
        </w:rPr>
        <w:t>投标货物（工程或服务）清单</w:t>
      </w:r>
      <w:bookmarkEnd w:id="172"/>
      <w:bookmarkEnd w:id="173"/>
      <w:bookmarkEnd w:id="174"/>
      <w:bookmarkEnd w:id="175"/>
      <w:bookmarkEnd w:id="176"/>
      <w:bookmarkEnd w:id="177"/>
      <w:bookmarkEnd w:id="178"/>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79" w:name="_Toc494702279"/>
      <w:bookmarkStart w:id="180" w:name="_Toc494721109"/>
      <w:bookmarkStart w:id="181" w:name="_Toc494665959"/>
      <w:bookmarkStart w:id="182" w:name="_Toc494745326"/>
      <w:bookmarkStart w:id="183" w:name="_Toc494665562"/>
      <w:bookmarkStart w:id="184" w:name="_Toc495861558"/>
      <w:bookmarkStart w:id="185" w:name="_Toc494665009"/>
      <w:r>
        <w:rPr>
          <w:rFonts w:hint="eastAsia" w:ascii="宋体" w:hAnsi="宋体" w:eastAsia="宋体"/>
        </w:rPr>
        <w:t>交纳投标保证金的银行凭证</w:t>
      </w:r>
      <w:bookmarkEnd w:id="179"/>
      <w:bookmarkEnd w:id="180"/>
      <w:bookmarkEnd w:id="181"/>
      <w:bookmarkEnd w:id="182"/>
      <w:bookmarkEnd w:id="183"/>
      <w:bookmarkEnd w:id="184"/>
      <w:bookmarkEnd w:id="185"/>
    </w:p>
    <w:p>
      <w:pPr>
        <w:spacing w:line="480" w:lineRule="auto"/>
        <w:rPr>
          <w:rFonts w:ascii="宋体" w:hAnsi="宋体" w:cs="Courier New"/>
          <w:b/>
          <w:color w:val="auto"/>
          <w:sz w:val="28"/>
          <w:szCs w:val="28"/>
        </w:rPr>
      </w:pPr>
      <w:r>
        <w:rPr>
          <w:rFonts w:hint="eastAsia"/>
          <w:b/>
          <w:sz w:val="28"/>
          <w:szCs w:val="28"/>
        </w:rPr>
        <w:t>采购人</w:t>
      </w:r>
      <w:r>
        <w:rPr>
          <w:rFonts w:hint="eastAsia"/>
          <w:b/>
          <w:color w:val="auto"/>
          <w:sz w:val="28"/>
          <w:szCs w:val="28"/>
        </w:rPr>
        <w:t>（或代理公司）</w:t>
      </w:r>
      <w:r>
        <w:rPr>
          <w:rFonts w:hint="eastAsia" w:ascii="宋体" w:hAnsi="宋体" w:cs="Courier New"/>
          <w:b/>
          <w:color w:val="auto"/>
          <w:sz w:val="28"/>
          <w:szCs w:val="28"/>
        </w:rPr>
        <w:t>：</w:t>
      </w:r>
    </w:p>
    <w:p>
      <w:pPr>
        <w:spacing w:line="360" w:lineRule="auto"/>
        <w:ind w:firstLine="489" w:firstLineChars="204"/>
        <w:jc w:val="left"/>
        <w:rPr>
          <w:rFonts w:ascii="宋体" w:hAnsi="宋体" w:eastAsia="宋体" w:cs="Times New Roman"/>
          <w:sz w:val="24"/>
          <w:szCs w:val="21"/>
          <w:lang w:val="zh-CN"/>
        </w:rPr>
      </w:pPr>
      <w:r>
        <w:rPr>
          <w:rFonts w:hint="eastAsia" w:ascii="宋体" w:hAnsi="宋体" w:eastAsia="宋体" w:cs="Times New Roman"/>
          <w:sz w:val="24"/>
          <w:szCs w:val="21"/>
          <w:u w:val="single"/>
          <w:lang w:val="zh-CN"/>
        </w:rPr>
        <w:t xml:space="preserve">  （投标人全称）  </w:t>
      </w:r>
      <w:r>
        <w:rPr>
          <w:rFonts w:hint="eastAsia" w:ascii="宋体" w:hAnsi="宋体" w:eastAsia="宋体" w:cs="Times New Roman"/>
          <w:sz w:val="24"/>
          <w:szCs w:val="21"/>
          <w:lang w:val="zh-CN"/>
        </w:rPr>
        <w:t>参加贵方组织的</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_）的政府采购活动。按招标文件的规定，已递交人民币（大写）</w:t>
      </w:r>
      <w:r>
        <w:rPr>
          <w:rFonts w:hint="eastAsia" w:ascii="宋体" w:hAnsi="宋体" w:eastAsia="宋体" w:cs="Times New Roman"/>
          <w:color w:val="0D0D0D"/>
          <w:sz w:val="24"/>
          <w:szCs w:val="21"/>
          <w:lang w:val="zh-CN"/>
        </w:rPr>
        <w:t>__</w:t>
      </w:r>
      <w:r>
        <w:rPr>
          <w:rFonts w:hint="eastAsia" w:ascii="宋体" w:hAnsi="宋体" w:eastAsia="宋体" w:cs="Times New Roman"/>
          <w:color w:val="0D0D0D"/>
          <w:sz w:val="24"/>
          <w:szCs w:val="21"/>
          <w:u w:val="single"/>
          <w:lang w:val="zh-CN"/>
        </w:rPr>
        <w:t>__</w:t>
      </w:r>
      <w:r>
        <w:rPr>
          <w:rFonts w:hint="eastAsia" w:ascii="宋体" w:hAnsi="宋体" w:eastAsia="宋体" w:cs="Times New Roman"/>
          <w:sz w:val="24"/>
          <w:szCs w:val="21"/>
          <w:lang w:val="zh-CN"/>
        </w:rPr>
        <w:t>万元的投标保证金。</w:t>
      </w:r>
    </w:p>
    <w:tbl>
      <w:tblPr>
        <w:tblStyle w:val="21"/>
        <w:tblW w:w="95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85"/>
        <w:gridCol w:w="2160"/>
        <w:gridCol w:w="1440"/>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restart"/>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投标人</w:t>
            </w: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全  称</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地  址</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邮  编</w:t>
            </w:r>
          </w:p>
        </w:tc>
        <w:tc>
          <w:tcPr>
            <w:tcW w:w="7123" w:type="dxa"/>
            <w:gridSpan w:val="3"/>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 系 人</w:t>
            </w:r>
          </w:p>
        </w:tc>
        <w:tc>
          <w:tcPr>
            <w:tcW w:w="2160" w:type="dxa"/>
            <w:vAlign w:val="center"/>
          </w:tcPr>
          <w:p>
            <w:pPr>
              <w:widowControl/>
              <w:spacing w:line="360" w:lineRule="auto"/>
              <w:jc w:val="left"/>
              <w:rPr>
                <w:rFonts w:ascii="宋体" w:hAnsi="宋体" w:eastAsia="宋体" w:cs="宋体"/>
                <w:kern w:val="0"/>
                <w:sz w:val="24"/>
                <w:szCs w:val="21"/>
              </w:rPr>
            </w:pPr>
          </w:p>
        </w:tc>
        <w:tc>
          <w:tcPr>
            <w:tcW w:w="1440"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联系电话</w:t>
            </w:r>
          </w:p>
        </w:tc>
        <w:tc>
          <w:tcPr>
            <w:tcW w:w="3523" w:type="dxa"/>
            <w:vAlign w:val="center"/>
          </w:tcPr>
          <w:p>
            <w:pPr>
              <w:widowControl/>
              <w:spacing w:line="360" w:lineRule="auto"/>
              <w:jc w:val="left"/>
              <w:rPr>
                <w:rFonts w:ascii="宋体" w:hAnsi="宋体" w:eastAsia="宋体" w:cs="宋体"/>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开 户 银 行</w:t>
            </w:r>
          </w:p>
        </w:tc>
        <w:tc>
          <w:tcPr>
            <w:tcW w:w="7123" w:type="dxa"/>
            <w:gridSpan w:val="3"/>
            <w:vAlign w:val="center"/>
          </w:tcPr>
          <w:p>
            <w:pPr>
              <w:widowControl/>
              <w:spacing w:line="360" w:lineRule="auto"/>
              <w:jc w:val="left"/>
              <w:rPr>
                <w:rFonts w:ascii="宋体" w:hAnsi="宋体" w:eastAsia="宋体" w:cs="Arial"/>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40" w:type="dxa"/>
            <w:vMerge w:val="continue"/>
            <w:vAlign w:val="center"/>
          </w:tcPr>
          <w:p>
            <w:pPr>
              <w:widowControl/>
              <w:spacing w:line="360" w:lineRule="auto"/>
              <w:jc w:val="left"/>
              <w:rPr>
                <w:rFonts w:ascii="宋体" w:hAnsi="宋体" w:eastAsia="宋体" w:cs="宋体"/>
                <w:kern w:val="0"/>
                <w:sz w:val="24"/>
                <w:szCs w:val="21"/>
              </w:rPr>
            </w:pPr>
          </w:p>
        </w:tc>
        <w:tc>
          <w:tcPr>
            <w:tcW w:w="1885" w:type="dxa"/>
            <w:vAlign w:val="center"/>
          </w:tcPr>
          <w:p>
            <w:pPr>
              <w:widowControl/>
              <w:spacing w:line="360" w:lineRule="auto"/>
              <w:jc w:val="center"/>
              <w:rPr>
                <w:rFonts w:ascii="宋体" w:hAnsi="宋体" w:eastAsia="宋体" w:cs="宋体"/>
                <w:kern w:val="0"/>
                <w:sz w:val="24"/>
                <w:szCs w:val="21"/>
              </w:rPr>
            </w:pPr>
            <w:r>
              <w:rPr>
                <w:rFonts w:hint="eastAsia" w:ascii="宋体" w:hAnsi="宋体" w:eastAsia="宋体" w:cs="宋体"/>
                <w:kern w:val="0"/>
                <w:sz w:val="24"/>
                <w:szCs w:val="21"/>
              </w:rPr>
              <w:t>帐  号</w:t>
            </w:r>
          </w:p>
        </w:tc>
        <w:tc>
          <w:tcPr>
            <w:tcW w:w="7123" w:type="dxa"/>
            <w:gridSpan w:val="3"/>
            <w:vAlign w:val="center"/>
          </w:tcPr>
          <w:p>
            <w:pPr>
              <w:widowControl/>
              <w:spacing w:line="360" w:lineRule="auto"/>
              <w:jc w:val="left"/>
              <w:rPr>
                <w:rFonts w:ascii="宋体" w:hAnsi="宋体" w:eastAsia="宋体" w:cs="Arial"/>
                <w:kern w:val="0"/>
                <w:sz w:val="24"/>
                <w:szCs w:val="21"/>
              </w:rPr>
            </w:pPr>
          </w:p>
        </w:tc>
      </w:tr>
    </w:tbl>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tbl>
      <w:tblPr>
        <w:tblStyle w:val="21"/>
        <w:tblW w:w="954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9547" w:type="dxa"/>
          </w:tcPr>
          <w:p>
            <w:pPr>
              <w:spacing w:line="360" w:lineRule="auto"/>
              <w:rPr>
                <w:rFonts w:ascii="宋体" w:hAnsi="宋体" w:eastAsia="宋体" w:cs="Times New Roman"/>
                <w:sz w:val="24"/>
                <w:szCs w:val="24"/>
              </w:rPr>
            </w:pPr>
            <w:r>
              <w:rPr>
                <w:rFonts w:hint="eastAsia" w:ascii="宋体" w:hAnsi="宋体" w:eastAsia="宋体" w:cs="Times New Roman"/>
                <w:sz w:val="24"/>
                <w:szCs w:val="24"/>
              </w:rPr>
              <w:t>粘贴转帐、电汇或网上银行凭证（清晰影印件）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10" w:leftChars="38" w:hanging="31" w:hangingChars="13"/>
              <w:rPr>
                <w:rFonts w:ascii="宋体" w:hAnsi="宋体" w:eastAsia="宋体" w:cs="Times New Roman"/>
                <w:b/>
                <w:sz w:val="24"/>
                <w:szCs w:val="20"/>
                <w:lang w:val="zh-CN"/>
              </w:rPr>
            </w:pPr>
            <w:r>
              <w:rPr>
                <w:rFonts w:hint="eastAsia" w:ascii="宋体" w:hAnsi="宋体" w:eastAsia="宋体" w:cs="Times New Roman"/>
                <w:sz w:val="24"/>
                <w:szCs w:val="20"/>
                <w:lang w:val="zh-CN"/>
              </w:rPr>
              <w:t>注：在交款凭证备注中说明项目编号及开标时间</w:t>
            </w:r>
          </w:p>
        </w:tc>
      </w:tr>
    </w:tbl>
    <w:p>
      <w:pPr>
        <w:spacing w:line="360" w:lineRule="auto"/>
        <w:ind w:left="720" w:hanging="720" w:hangingChars="300"/>
        <w:jc w:val="left"/>
        <w:rPr>
          <w:rFonts w:ascii="宋体" w:hAnsi="宋体" w:eastAsia="宋体" w:cs="Times New Roman"/>
          <w:sz w:val="24"/>
          <w:szCs w:val="24"/>
        </w:rPr>
      </w:pPr>
      <w:r>
        <w:rPr>
          <w:rFonts w:hint="eastAsia" w:ascii="宋体" w:hAnsi="宋体" w:eastAsia="宋体" w:cs="Times New Roman"/>
          <w:sz w:val="24"/>
          <w:szCs w:val="24"/>
        </w:rPr>
        <w:t>说明：投标人应认真填写银行信息，与转帐或电汇银行凭证的相关信息一致，集中采购机构将依据此凭证信息查退投标保证金。</w:t>
      </w:r>
    </w:p>
    <w:p>
      <w:r>
        <w:br w:type="page"/>
      </w:r>
    </w:p>
    <w:p>
      <w:pPr>
        <w:pStyle w:val="4"/>
        <w:numPr>
          <w:ilvl w:val="0"/>
          <w:numId w:val="72"/>
        </w:numPr>
        <w:spacing w:before="100" w:beforeAutospacing="1" w:afterLines="50" w:line="360" w:lineRule="auto"/>
        <w:ind w:left="1288" w:hanging="1288"/>
        <w:rPr>
          <w:rFonts w:ascii="宋体" w:hAnsi="宋体" w:eastAsia="宋体"/>
        </w:rPr>
      </w:pPr>
      <w:bookmarkStart w:id="186" w:name="_Toc236473303"/>
      <w:bookmarkStart w:id="187" w:name="_Toc494665010"/>
      <w:bookmarkStart w:id="188" w:name="_Toc494702280"/>
      <w:bookmarkStart w:id="189" w:name="_Toc238276247"/>
      <w:bookmarkStart w:id="190" w:name="_Toc494665563"/>
      <w:bookmarkStart w:id="191" w:name="_Toc494745327"/>
      <w:bookmarkStart w:id="192" w:name="_Toc495861559"/>
      <w:bookmarkStart w:id="193" w:name="_Toc494665960"/>
      <w:bookmarkStart w:id="194" w:name="_Toc494721110"/>
      <w:r>
        <w:rPr>
          <w:rFonts w:hint="eastAsia" w:ascii="宋体" w:hAnsi="宋体" w:eastAsia="宋体"/>
        </w:rPr>
        <w:t>法定代表人授权书</w:t>
      </w:r>
      <w:bookmarkEnd w:id="186"/>
      <w:bookmarkEnd w:id="187"/>
      <w:bookmarkEnd w:id="188"/>
      <w:bookmarkEnd w:id="189"/>
      <w:bookmarkEnd w:id="190"/>
      <w:bookmarkEnd w:id="191"/>
      <w:bookmarkEnd w:id="192"/>
      <w:bookmarkEnd w:id="193"/>
      <w:bookmarkEnd w:id="194"/>
    </w:p>
    <w:p>
      <w:pPr>
        <w:spacing w:line="480" w:lineRule="auto"/>
        <w:rPr>
          <w:rFonts w:ascii="宋体" w:hAnsi="宋体" w:eastAsia="宋体" w:cs="Times New Roman"/>
          <w:b/>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21"/>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4"/>
        <w:numPr>
          <w:ilvl w:val="0"/>
          <w:numId w:val="72"/>
        </w:numPr>
        <w:spacing w:before="100" w:beforeAutospacing="1" w:afterLines="50" w:line="360" w:lineRule="auto"/>
        <w:ind w:left="1610" w:hanging="1610"/>
        <w:rPr>
          <w:rFonts w:ascii="宋体" w:hAnsi="宋体" w:eastAsia="宋体"/>
        </w:rPr>
      </w:pPr>
      <w:bookmarkStart w:id="195" w:name="_Toc494665564"/>
      <w:bookmarkStart w:id="196" w:name="_Toc494745328"/>
      <w:bookmarkStart w:id="197" w:name="_Toc236473304"/>
      <w:bookmarkStart w:id="198" w:name="_Toc494665011"/>
      <w:bookmarkStart w:id="199" w:name="_Toc494665961"/>
      <w:bookmarkStart w:id="200" w:name="_Toc494702281"/>
      <w:bookmarkStart w:id="201" w:name="_Toc495861560"/>
      <w:bookmarkStart w:id="202" w:name="_Toc494721111"/>
      <w:bookmarkStart w:id="203" w:name="_Toc238276248"/>
      <w:r>
        <w:rPr>
          <w:rFonts w:hint="eastAsia" w:ascii="宋体" w:hAnsi="宋体" w:eastAsia="宋体"/>
        </w:rPr>
        <w:t>投标人的资格声明</w:t>
      </w:r>
      <w:bookmarkEnd w:id="195"/>
      <w:bookmarkEnd w:id="196"/>
      <w:bookmarkEnd w:id="197"/>
      <w:bookmarkEnd w:id="198"/>
      <w:bookmarkEnd w:id="199"/>
      <w:bookmarkEnd w:id="200"/>
      <w:bookmarkEnd w:id="201"/>
      <w:bookmarkEnd w:id="202"/>
      <w:bookmarkEnd w:id="203"/>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21"/>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4"/>
        <w:numPr>
          <w:ilvl w:val="0"/>
          <w:numId w:val="72"/>
        </w:numPr>
        <w:spacing w:before="100" w:beforeAutospacing="1" w:afterLines="50" w:line="360" w:lineRule="auto"/>
        <w:ind w:left="1610" w:hanging="1610"/>
        <w:rPr>
          <w:rFonts w:ascii="宋体" w:hAnsi="宋体" w:eastAsia="宋体"/>
        </w:rPr>
      </w:pPr>
      <w:bookmarkStart w:id="204" w:name="_Toc494665565"/>
      <w:bookmarkStart w:id="205" w:name="_Toc494721112"/>
      <w:bookmarkStart w:id="206" w:name="_Toc494665012"/>
      <w:bookmarkStart w:id="207" w:name="_Toc494702282"/>
      <w:bookmarkStart w:id="208" w:name="_Toc495861561"/>
      <w:bookmarkStart w:id="209" w:name="_Toc494745329"/>
      <w:bookmarkStart w:id="210" w:name="_Toc494665962"/>
      <w:r>
        <w:rPr>
          <w:rFonts w:hint="eastAsia" w:ascii="宋体" w:hAnsi="宋体" w:eastAsia="宋体"/>
        </w:rPr>
        <w:t>项目负责人、技术负责人简历表</w:t>
      </w:r>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11" w:name="_Toc495861562"/>
      <w:bookmarkStart w:id="212" w:name="_Toc494721113"/>
      <w:bookmarkStart w:id="213" w:name="_Toc494665963"/>
      <w:bookmarkStart w:id="214" w:name="_Toc494745330"/>
      <w:bookmarkStart w:id="215" w:name="_Toc494665566"/>
      <w:bookmarkStart w:id="216" w:name="_Toc236473307"/>
      <w:bookmarkStart w:id="217" w:name="_Toc238276251"/>
      <w:bookmarkStart w:id="218" w:name="_Toc494665013"/>
      <w:bookmarkStart w:id="219" w:name="_Toc494702283"/>
      <w:r>
        <w:rPr>
          <w:rFonts w:hint="eastAsia" w:ascii="宋体" w:hAnsi="宋体" w:eastAsia="宋体"/>
        </w:rPr>
        <w:t>项目班子成员情况表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20" w:name="_Toc494702284"/>
      <w:bookmarkStart w:id="221" w:name="_Toc494665567"/>
      <w:bookmarkStart w:id="222" w:name="_Toc238276256"/>
      <w:bookmarkStart w:id="223" w:name="_Toc236473312"/>
      <w:bookmarkStart w:id="224" w:name="_Toc495861563"/>
      <w:bookmarkStart w:id="225" w:name="_Toc494665014"/>
      <w:bookmarkStart w:id="226" w:name="_Toc494721114"/>
      <w:bookmarkStart w:id="227" w:name="_Toc494665964"/>
      <w:bookmarkStart w:id="228" w:name="_Toc494745331"/>
      <w:r>
        <w:rPr>
          <w:rFonts w:hint="eastAsia" w:ascii="宋体" w:hAnsi="宋体" w:eastAsia="宋体"/>
        </w:rPr>
        <w:t>投标人类似项目业绩表</w:t>
      </w:r>
      <w:bookmarkEnd w:id="220"/>
      <w:bookmarkEnd w:id="221"/>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29" w:name="_Toc494665015"/>
      <w:bookmarkStart w:id="230" w:name="_Toc494665568"/>
      <w:bookmarkStart w:id="231" w:name="_Toc494665965"/>
      <w:bookmarkStart w:id="232" w:name="_Toc495861564"/>
      <w:bookmarkStart w:id="233" w:name="_Toc494721115"/>
      <w:bookmarkStart w:id="234" w:name="_Toc494702285"/>
      <w:bookmarkStart w:id="235" w:name="_Toc494745332"/>
      <w:r>
        <w:rPr>
          <w:rFonts w:hint="eastAsia" w:ascii="宋体" w:hAnsi="宋体" w:eastAsia="宋体"/>
        </w:rPr>
        <w:t>符合性审查对照表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36" w:name="_Toc494665569"/>
      <w:bookmarkStart w:id="237" w:name="_Toc494665966"/>
      <w:bookmarkStart w:id="238" w:name="_Toc494702286"/>
      <w:bookmarkStart w:id="239" w:name="_Toc494721116"/>
      <w:bookmarkStart w:id="240" w:name="_Toc494745333"/>
      <w:bookmarkStart w:id="241" w:name="_Toc495861565"/>
      <w:bookmarkStart w:id="242" w:name="_Toc494665016"/>
      <w:r>
        <w:rPr>
          <w:rFonts w:hint="eastAsia" w:ascii="宋体" w:hAnsi="宋体" w:eastAsia="宋体"/>
        </w:rPr>
        <w:t>商务要求响应、偏离说明表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43" w:name="_Toc494665017"/>
      <w:bookmarkStart w:id="244" w:name="_Toc495861566"/>
      <w:bookmarkStart w:id="245" w:name="_Toc494702287"/>
      <w:bookmarkStart w:id="246" w:name="_Toc494721117"/>
      <w:bookmarkStart w:id="247" w:name="_Toc494745334"/>
      <w:bookmarkStart w:id="248" w:name="_Toc494665967"/>
      <w:bookmarkStart w:id="249" w:name="_Toc494665570"/>
      <w:r>
        <w:rPr>
          <w:rFonts w:hint="eastAsia" w:ascii="宋体" w:hAnsi="宋体" w:eastAsia="宋体"/>
        </w:rPr>
        <w:t>商务要求“★”号条款响应、偏离说明表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50" w:name="_Toc495861567"/>
      <w:bookmarkStart w:id="251" w:name="_Toc494721118"/>
      <w:bookmarkStart w:id="252" w:name="_Toc494665018"/>
      <w:bookmarkStart w:id="253" w:name="_Toc494665571"/>
      <w:bookmarkStart w:id="254" w:name="_Toc494745335"/>
      <w:bookmarkStart w:id="255" w:name="_Toc494702288"/>
      <w:bookmarkStart w:id="256" w:name="_Toc494665968"/>
      <w:r>
        <w:rPr>
          <w:rFonts w:hint="eastAsia" w:ascii="宋体" w:hAnsi="宋体" w:eastAsia="宋体"/>
        </w:rPr>
        <w:t>商务评议对照表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76"/>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57" w:name="_Toc494665969"/>
      <w:bookmarkStart w:id="258" w:name="_Toc494665019"/>
      <w:bookmarkStart w:id="259" w:name="_Toc494745336"/>
      <w:bookmarkStart w:id="260" w:name="_Toc494702289"/>
      <w:bookmarkStart w:id="261" w:name="_Toc495861568"/>
      <w:bookmarkStart w:id="262" w:name="_Toc494665572"/>
      <w:bookmarkStart w:id="263" w:name="_Toc494721119"/>
      <w:r>
        <w:rPr>
          <w:rFonts w:hint="eastAsia" w:ascii="宋体" w:hAnsi="宋体" w:eastAsia="宋体"/>
        </w:rPr>
        <w:t>技术、服务要求响应、偏离说明表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64" w:name="_Toc494665573"/>
      <w:bookmarkStart w:id="265" w:name="_Toc494721120"/>
      <w:bookmarkStart w:id="266" w:name="_Toc494745337"/>
      <w:bookmarkStart w:id="267" w:name="_Toc494665020"/>
      <w:bookmarkStart w:id="268" w:name="_Toc494665970"/>
      <w:bookmarkStart w:id="269" w:name="_Toc494702290"/>
      <w:bookmarkStart w:id="270" w:name="_Toc495861569"/>
      <w:bookmarkStart w:id="271" w:name="_Toc329859066"/>
      <w:r>
        <w:rPr>
          <w:rFonts w:hint="eastAsia" w:ascii="宋体" w:hAnsi="宋体" w:eastAsia="宋体"/>
        </w:rPr>
        <w:t>技术、服务要求“★”号条款响应、偏离说明表</w:t>
      </w:r>
      <w:bookmarkEnd w:id="264"/>
      <w:bookmarkEnd w:id="265"/>
      <w:bookmarkEnd w:id="266"/>
      <w:bookmarkEnd w:id="267"/>
      <w:bookmarkEnd w:id="268"/>
      <w:bookmarkEnd w:id="269"/>
      <w:bookmarkEnd w:id="27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说明：1．投标人应按招标文件第三章“项目技术、服务及商务要求”中技术、服务要求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71"/>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4"/>
        <w:numPr>
          <w:ilvl w:val="0"/>
          <w:numId w:val="72"/>
        </w:numPr>
        <w:spacing w:before="100" w:beforeAutospacing="1" w:afterLines="50" w:line="360" w:lineRule="auto"/>
        <w:ind w:left="1610" w:hanging="1610"/>
        <w:rPr>
          <w:rFonts w:ascii="宋体" w:hAnsi="宋体" w:eastAsia="宋体"/>
        </w:rPr>
      </w:pPr>
      <w:bookmarkStart w:id="272" w:name="_Toc494665574"/>
      <w:bookmarkStart w:id="273" w:name="_Toc495861570"/>
      <w:bookmarkStart w:id="274" w:name="_Toc494721121"/>
      <w:bookmarkStart w:id="275" w:name="_Toc494665971"/>
      <w:bookmarkStart w:id="276" w:name="_Toc494745338"/>
      <w:bookmarkStart w:id="277" w:name="_Toc494665021"/>
      <w:bookmarkStart w:id="278" w:name="_Toc494702291"/>
      <w:r>
        <w:rPr>
          <w:rFonts w:hint="eastAsia" w:ascii="宋体" w:hAnsi="宋体" w:eastAsia="宋体"/>
        </w:rPr>
        <w:t>技术、服务评议对照表</w:t>
      </w:r>
      <w:bookmarkEnd w:id="272"/>
      <w:bookmarkEnd w:id="273"/>
      <w:bookmarkEnd w:id="274"/>
      <w:bookmarkEnd w:id="275"/>
      <w:bookmarkEnd w:id="276"/>
      <w:bookmarkEnd w:id="277"/>
      <w:bookmarkEnd w:id="2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21"/>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77"/>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4"/>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w:t>
    </w:r>
    <w:r>
      <w:rPr>
        <w:rFonts w:hint="eastAsia" w:asciiTheme="minorEastAsia" w:hAnsiTheme="minorEastAsia"/>
        <w:u w:val="single"/>
        <w:lang w:eastAsia="zh-CN"/>
      </w:rPr>
      <w:t>咸宁市长宁招投标有限责任公司</w:t>
    </w:r>
    <w:r>
      <w:rPr>
        <w:rFonts w:hint="eastAsia" w:asciiTheme="minorEastAsia" w:hAnsiTheme="minorEastAsia"/>
      </w:rPr>
      <w:t>制</w:t>
    </w:r>
  </w:p>
  <w:p>
    <w:pPr>
      <w:pStyle w:val="14"/>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33</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73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000000" w:themeColor="text1" w:sz="0" w:space="1"/>
      </w:pBdr>
      <w:tabs>
        <w:tab w:val="clear" w:pos="4153"/>
      </w:tabs>
      <w:jc w:val="left"/>
      <w:rPr>
        <w:rFonts w:hint="default" w:eastAsiaTheme="minorEastAsia"/>
        <w:b/>
        <w:u w:val="single"/>
        <w:lang w:val="en-US" w:eastAsia="zh-CN"/>
      </w:rPr>
    </w:pPr>
    <w:r>
      <w:rPr>
        <w:rFonts w:hint="eastAsia"/>
        <w:b/>
        <w:u w:val="single"/>
      </w:rPr>
      <w:t>项目名称</w:t>
    </w:r>
    <w:r>
      <w:rPr>
        <w:rFonts w:hint="eastAsia" w:asciiTheme="minorEastAsia" w:hAnsiTheme="minorEastAsia"/>
        <w:b/>
        <w:u w:val="single"/>
      </w:rPr>
      <w:t>：</w:t>
    </w:r>
    <w:r>
      <w:rPr>
        <w:rFonts w:hint="eastAsia"/>
        <w:b/>
        <w:u w:val="single"/>
        <w:lang w:eastAsia="zh-CN"/>
      </w:rPr>
      <w:t>阳新县人民医院宫腔镜设备采购项目</w:t>
    </w:r>
    <w:r>
      <w:rPr>
        <w:rFonts w:hint="eastAsia"/>
        <w:b/>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0000001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
    <w:nsid w:val="00000020"/>
    <w:multiLevelType w:val="multilevel"/>
    <w:tmpl w:val="00000020"/>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21"/>
    <w:multiLevelType w:val="multilevel"/>
    <w:tmpl w:val="00000021"/>
    <w:lvl w:ilvl="0" w:tentative="0">
      <w:start w:val="1"/>
      <w:numFmt w:val="decimal"/>
      <w:lvlText w:val="1.1.%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3">
    <w:nsid w:val="0000002C"/>
    <w:multiLevelType w:val="multilevel"/>
    <w:tmpl w:val="0000002C"/>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34"/>
    <w:multiLevelType w:val="multilevel"/>
    <w:tmpl w:val="00000034"/>
    <w:lvl w:ilvl="0" w:tentative="0">
      <w:start w:val="1"/>
      <w:numFmt w:val="decimal"/>
      <w:lvlText w:val="1.3.%1 "/>
      <w:lvlJc w:val="left"/>
      <w:pPr>
        <w:ind w:left="988" w:hanging="420"/>
      </w:pPr>
      <w:rPr>
        <w:rFonts w:hint="default" w:ascii="楷体" w:hAnsi="楷体" w:eastAsia="楷体"/>
        <w:b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0000057"/>
    <w:multiLevelType w:val="multilevel"/>
    <w:tmpl w:val="00000057"/>
    <w:lvl w:ilvl="0" w:tentative="0">
      <w:start w:val="1"/>
      <w:numFmt w:val="decimal"/>
      <w:lvlText w:val="(%1) "/>
      <w:lvlJc w:val="left"/>
      <w:pPr>
        <w:ind w:left="84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58"/>
    <w:multiLevelType w:val="multilevel"/>
    <w:tmpl w:val="00000058"/>
    <w:lvl w:ilvl="0" w:tentative="0">
      <w:start w:val="1"/>
      <w:numFmt w:val="decimal"/>
      <w:lvlText w:val="%1. "/>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00005C"/>
    <w:multiLevelType w:val="multilevel"/>
    <w:tmpl w:val="0000005C"/>
    <w:lvl w:ilvl="0" w:tentative="0">
      <w:start w:val="1"/>
      <w:numFmt w:val="chineseCountingThousand"/>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0000061"/>
    <w:multiLevelType w:val="multilevel"/>
    <w:tmpl w:val="00000061"/>
    <w:lvl w:ilvl="0" w:tentative="0">
      <w:start w:val="1"/>
      <w:numFmt w:val="decimal"/>
      <w:lvlText w:val="1.5.%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9">
    <w:nsid w:val="00000063"/>
    <w:multiLevelType w:val="multilevel"/>
    <w:tmpl w:val="00000063"/>
    <w:lvl w:ilvl="0" w:tentative="0">
      <w:start w:val="1"/>
      <w:numFmt w:val="decimal"/>
      <w:lvlText w:val="1.4.%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0">
    <w:nsid w:val="0000006E"/>
    <w:multiLevelType w:val="multilevel"/>
    <w:tmpl w:val="0000006E"/>
    <w:lvl w:ilvl="0" w:tentative="0">
      <w:start w:val="1"/>
      <w:numFmt w:val="decimal"/>
      <w:lvlText w:val="%1 "/>
      <w:lvlJc w:val="left"/>
      <w:pPr>
        <w:ind w:left="643" w:hanging="420"/>
      </w:pPr>
      <w:rPr>
        <w:rFonts w:hint="default" w:ascii="楷体" w:hAnsi="楷体" w:eastAsia="楷体"/>
        <w:b w:val="0"/>
        <w:strike w:val="0"/>
        <w:color w:val="auto"/>
      </w:rPr>
    </w:lvl>
    <w:lvl w:ilvl="1" w:tentative="0">
      <w:start w:val="1"/>
      <w:numFmt w:val="decimal"/>
      <w:lvlText w:val="(%2) "/>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7A"/>
    <w:multiLevelType w:val="multilevel"/>
    <w:tmpl w:val="0000007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7C"/>
    <w:multiLevelType w:val="multilevel"/>
    <w:tmpl w:val="0000007C"/>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0000086"/>
    <w:multiLevelType w:val="multilevel"/>
    <w:tmpl w:val="00000086"/>
    <w:lvl w:ilvl="0" w:tentative="0">
      <w:start w:val="1"/>
      <w:numFmt w:val="decimal"/>
      <w:lvlText w:val="1.2.%1 "/>
      <w:lvlJc w:val="left"/>
      <w:pPr>
        <w:ind w:left="1413" w:hanging="420"/>
      </w:pPr>
      <w:rPr>
        <w:rFonts w:hint="default" w:ascii="楷体" w:hAnsi="楷体" w:eastAsia="楷体"/>
        <w:b w:val="0"/>
        <w:strike w:val="0"/>
        <w:color w:val="auto"/>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14">
    <w:nsid w:val="00000088"/>
    <w:multiLevelType w:val="multilevel"/>
    <w:tmpl w:val="00000088"/>
    <w:lvl w:ilvl="0" w:tentative="0">
      <w:start w:val="1"/>
      <w:numFmt w:val="lowerLetter"/>
      <w:lvlText w:val="%1. "/>
      <w:lvlJc w:val="left"/>
      <w:pPr>
        <w:ind w:left="1980" w:hanging="420"/>
      </w:pPr>
      <w:rPr>
        <w:rFonts w:hint="eastAsia" w:ascii="宋体" w:hAnsi="宋体" w:eastAsia="宋体"/>
      </w:rPr>
    </w:lvl>
    <w:lvl w:ilvl="1" w:tentative="0">
      <w:start w:val="1"/>
      <w:numFmt w:val="lowerLetter"/>
      <w:lvlText w:val="%2)"/>
      <w:lvlJc w:val="left"/>
      <w:pPr>
        <w:ind w:left="1980" w:hanging="420"/>
      </w:pPr>
    </w:lvl>
    <w:lvl w:ilvl="2" w:tentative="0">
      <w:start w:val="1"/>
      <w:numFmt w:val="lowerRoman"/>
      <w:lvlText w:val="%3."/>
      <w:lvlJc w:val="right"/>
      <w:pPr>
        <w:ind w:left="2400" w:hanging="420"/>
      </w:pPr>
    </w:lvl>
    <w:lvl w:ilvl="3" w:tentative="0">
      <w:start w:val="1"/>
      <w:numFmt w:val="decimal"/>
      <w:lvlText w:val="%4."/>
      <w:lvlJc w:val="left"/>
      <w:pPr>
        <w:ind w:left="2820" w:hanging="420"/>
      </w:pPr>
    </w:lvl>
    <w:lvl w:ilvl="4" w:tentative="0">
      <w:start w:val="1"/>
      <w:numFmt w:val="lowerLetter"/>
      <w:lvlText w:val="%5)"/>
      <w:lvlJc w:val="left"/>
      <w:pPr>
        <w:ind w:left="3240" w:hanging="420"/>
      </w:pPr>
    </w:lvl>
    <w:lvl w:ilvl="5" w:tentative="0">
      <w:start w:val="1"/>
      <w:numFmt w:val="lowerRoman"/>
      <w:lvlText w:val="%6."/>
      <w:lvlJc w:val="right"/>
      <w:pPr>
        <w:ind w:left="3660" w:hanging="420"/>
      </w:pPr>
    </w:lvl>
    <w:lvl w:ilvl="6" w:tentative="0">
      <w:start w:val="1"/>
      <w:numFmt w:val="decimal"/>
      <w:lvlText w:val="%7."/>
      <w:lvlJc w:val="left"/>
      <w:pPr>
        <w:ind w:left="4080" w:hanging="420"/>
      </w:pPr>
    </w:lvl>
    <w:lvl w:ilvl="7" w:tentative="0">
      <w:start w:val="1"/>
      <w:numFmt w:val="lowerLetter"/>
      <w:lvlText w:val="%8)"/>
      <w:lvlJc w:val="left"/>
      <w:pPr>
        <w:ind w:left="4500" w:hanging="420"/>
      </w:pPr>
    </w:lvl>
    <w:lvl w:ilvl="8" w:tentative="0">
      <w:start w:val="1"/>
      <w:numFmt w:val="lowerRoman"/>
      <w:lvlText w:val="%9."/>
      <w:lvlJc w:val="right"/>
      <w:pPr>
        <w:ind w:left="4920" w:hanging="420"/>
      </w:pPr>
    </w:lvl>
  </w:abstractNum>
  <w:abstractNum w:abstractNumId="15">
    <w:nsid w:val="00000090"/>
    <w:multiLevelType w:val="multilevel"/>
    <w:tmpl w:val="00000090"/>
    <w:lvl w:ilvl="0" w:tentative="0">
      <w:start w:val="1"/>
      <w:numFmt w:val="decimal"/>
      <w:lvlText w:val="%1. "/>
      <w:lvlJc w:val="left"/>
      <w:pPr>
        <w:ind w:left="1130" w:hanging="420"/>
      </w:pPr>
      <w:rPr>
        <w:rFonts w:hint="eastAsia"/>
        <w:b/>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7">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1">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5">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8">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9">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2">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3">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4">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5">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7">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4">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49">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0">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1">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3">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8">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59">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0">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61">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3">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B81BFFD"/>
    <w:multiLevelType w:val="singleLevel"/>
    <w:tmpl w:val="6B81BFFD"/>
    <w:lvl w:ilvl="0" w:tentative="0">
      <w:start w:val="4"/>
      <w:numFmt w:val="chineseCounting"/>
      <w:suff w:val="nothing"/>
      <w:lvlText w:val="%1、"/>
      <w:lvlJc w:val="left"/>
      <w:rPr>
        <w:rFonts w:hint="eastAsia"/>
      </w:rPr>
    </w:lvl>
  </w:abstractNum>
  <w:abstractNum w:abstractNumId="66">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68">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71">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72">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75">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3"/>
  </w:num>
  <w:num w:numId="2">
    <w:abstractNumId w:val="65"/>
  </w:num>
  <w:num w:numId="3">
    <w:abstractNumId w:val="44"/>
  </w:num>
  <w:num w:numId="4">
    <w:abstractNumId w:val="55"/>
  </w:num>
  <w:num w:numId="5">
    <w:abstractNumId w:val="18"/>
  </w:num>
  <w:num w:numId="6">
    <w:abstractNumId w:val="51"/>
  </w:num>
  <w:num w:numId="7">
    <w:abstractNumId w:val="30"/>
  </w:num>
  <w:num w:numId="8">
    <w:abstractNumId w:val="21"/>
  </w:num>
  <w:num w:numId="9">
    <w:abstractNumId w:val="62"/>
  </w:num>
  <w:num w:numId="10">
    <w:abstractNumId w:val="45"/>
  </w:num>
  <w:num w:numId="11">
    <w:abstractNumId w:val="57"/>
  </w:num>
  <w:num w:numId="12">
    <w:abstractNumId w:val="43"/>
  </w:num>
  <w:num w:numId="13">
    <w:abstractNumId w:val="20"/>
  </w:num>
  <w:num w:numId="14">
    <w:abstractNumId w:val="37"/>
  </w:num>
  <w:num w:numId="15">
    <w:abstractNumId w:val="38"/>
  </w:num>
  <w:num w:numId="16">
    <w:abstractNumId w:val="24"/>
  </w:num>
  <w:num w:numId="17">
    <w:abstractNumId w:val="23"/>
  </w:num>
  <w:num w:numId="18">
    <w:abstractNumId w:val="72"/>
  </w:num>
  <w:num w:numId="19">
    <w:abstractNumId w:val="25"/>
  </w:num>
  <w:num w:numId="20">
    <w:abstractNumId w:val="42"/>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75"/>
  </w:num>
  <w:num w:numId="25">
    <w:abstractNumId w:val="56"/>
  </w:num>
  <w:num w:numId="26">
    <w:abstractNumId w:val="68"/>
  </w:num>
  <w:num w:numId="27">
    <w:abstractNumId w:val="73"/>
  </w:num>
  <w:num w:numId="28">
    <w:abstractNumId w:val="54"/>
  </w:num>
  <w:num w:numId="29">
    <w:abstractNumId w:val="22"/>
  </w:num>
  <w:num w:numId="30">
    <w:abstractNumId w:val="34"/>
  </w:num>
  <w:num w:numId="31">
    <w:abstractNumId w:val="69"/>
  </w:num>
  <w:num w:numId="32">
    <w:abstractNumId w:val="63"/>
  </w:num>
  <w:num w:numId="33">
    <w:abstractNumId w:val="49"/>
  </w:num>
  <w:num w:numId="34">
    <w:abstractNumId w:val="61"/>
  </w:num>
  <w:num w:numId="35">
    <w:abstractNumId w:val="39"/>
  </w:num>
  <w:num w:numId="36">
    <w:abstractNumId w:val="64"/>
  </w:num>
  <w:num w:numId="37">
    <w:abstractNumId w:val="17"/>
  </w:num>
  <w:num w:numId="38">
    <w:abstractNumId w:val="11"/>
  </w:num>
  <w:num w:numId="39">
    <w:abstractNumId w:val="7"/>
  </w:num>
  <w:num w:numId="40">
    <w:abstractNumId w:val="6"/>
  </w:num>
  <w:num w:numId="41">
    <w:abstractNumId w:val="12"/>
  </w:num>
  <w:num w:numId="42">
    <w:abstractNumId w:val="2"/>
  </w:num>
  <w:num w:numId="43">
    <w:abstractNumId w:val="10"/>
  </w:num>
  <w:num w:numId="44">
    <w:abstractNumId w:val="3"/>
  </w:num>
  <w:num w:numId="45">
    <w:abstractNumId w:val="13"/>
  </w:num>
  <w:num w:numId="46">
    <w:abstractNumId w:val="1"/>
  </w:num>
  <w:num w:numId="47">
    <w:abstractNumId w:val="5"/>
  </w:num>
  <w:num w:numId="48">
    <w:abstractNumId w:val="0"/>
  </w:num>
  <w:num w:numId="49">
    <w:abstractNumId w:val="14"/>
  </w:num>
  <w:num w:numId="50">
    <w:abstractNumId w:val="4"/>
  </w:num>
  <w:num w:numId="51">
    <w:abstractNumId w:val="9"/>
  </w:num>
  <w:num w:numId="52">
    <w:abstractNumId w:val="8"/>
  </w:num>
  <w:num w:numId="53">
    <w:abstractNumId w:val="15"/>
  </w:num>
  <w:num w:numId="54">
    <w:abstractNumId w:val="46"/>
  </w:num>
  <w:num w:numId="55">
    <w:abstractNumId w:val="32"/>
  </w:num>
  <w:num w:numId="56">
    <w:abstractNumId w:val="59"/>
  </w:num>
  <w:num w:numId="57">
    <w:abstractNumId w:val="76"/>
  </w:num>
  <w:num w:numId="58">
    <w:abstractNumId w:val="33"/>
  </w:num>
  <w:num w:numId="59">
    <w:abstractNumId w:val="31"/>
  </w:num>
  <w:num w:numId="60">
    <w:abstractNumId w:val="16"/>
  </w:num>
  <w:num w:numId="61">
    <w:abstractNumId w:val="58"/>
    <w:lvlOverride w:ilvl="0">
      <w:startOverride w:val="1"/>
    </w:lvlOverride>
  </w:num>
  <w:num w:numId="62">
    <w:abstractNumId w:val="28"/>
  </w:num>
  <w:num w:numId="63">
    <w:abstractNumId w:val="40"/>
  </w:num>
  <w:num w:numId="64">
    <w:abstractNumId w:val="74"/>
  </w:num>
  <w:num w:numId="65">
    <w:abstractNumId w:val="67"/>
  </w:num>
  <w:num w:numId="66">
    <w:abstractNumId w:val="52"/>
  </w:num>
  <w:num w:numId="67">
    <w:abstractNumId w:val="27"/>
  </w:num>
  <w:num w:numId="68">
    <w:abstractNumId w:val="36"/>
  </w:num>
  <w:num w:numId="69">
    <w:abstractNumId w:val="70"/>
  </w:num>
  <w:num w:numId="70">
    <w:abstractNumId w:val="48"/>
  </w:num>
  <w:num w:numId="71">
    <w:abstractNumId w:val="71"/>
  </w:num>
  <w:num w:numId="72">
    <w:abstractNumId w:val="26"/>
  </w:num>
  <w:num w:numId="73">
    <w:abstractNumId w:val="66"/>
  </w:num>
  <w:num w:numId="74">
    <w:abstractNumId w:val="35"/>
  </w:num>
  <w:num w:numId="75">
    <w:abstractNumId w:val="19"/>
  </w:num>
  <w:num w:numId="76">
    <w:abstractNumId w:val="29"/>
  </w:num>
  <w:num w:numId="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15"/>
    <w:rsid w:val="00002D40"/>
    <w:rsid w:val="00016562"/>
    <w:rsid w:val="00017BE8"/>
    <w:rsid w:val="00020344"/>
    <w:rsid w:val="00033032"/>
    <w:rsid w:val="00036A8C"/>
    <w:rsid w:val="00040B72"/>
    <w:rsid w:val="00042640"/>
    <w:rsid w:val="00046CAA"/>
    <w:rsid w:val="000658A4"/>
    <w:rsid w:val="00075213"/>
    <w:rsid w:val="0007595C"/>
    <w:rsid w:val="00077E85"/>
    <w:rsid w:val="000812D6"/>
    <w:rsid w:val="00081EFC"/>
    <w:rsid w:val="000855FE"/>
    <w:rsid w:val="0008587E"/>
    <w:rsid w:val="00092450"/>
    <w:rsid w:val="00095415"/>
    <w:rsid w:val="000B1EA5"/>
    <w:rsid w:val="000B3053"/>
    <w:rsid w:val="000B42CE"/>
    <w:rsid w:val="000C1DBB"/>
    <w:rsid w:val="000C2224"/>
    <w:rsid w:val="000C46E9"/>
    <w:rsid w:val="000D274B"/>
    <w:rsid w:val="000E0271"/>
    <w:rsid w:val="000E36E2"/>
    <w:rsid w:val="000E4686"/>
    <w:rsid w:val="000F64E0"/>
    <w:rsid w:val="00100585"/>
    <w:rsid w:val="00102CDB"/>
    <w:rsid w:val="00105BC5"/>
    <w:rsid w:val="00107608"/>
    <w:rsid w:val="00122C84"/>
    <w:rsid w:val="00131900"/>
    <w:rsid w:val="00133220"/>
    <w:rsid w:val="001338E8"/>
    <w:rsid w:val="001641C9"/>
    <w:rsid w:val="00173975"/>
    <w:rsid w:val="00177C62"/>
    <w:rsid w:val="00185E9A"/>
    <w:rsid w:val="001A0AB1"/>
    <w:rsid w:val="001A1335"/>
    <w:rsid w:val="001A2B2A"/>
    <w:rsid w:val="001A54E8"/>
    <w:rsid w:val="001B03BB"/>
    <w:rsid w:val="001B38CD"/>
    <w:rsid w:val="001B6C3D"/>
    <w:rsid w:val="001C1A58"/>
    <w:rsid w:val="001C7B23"/>
    <w:rsid w:val="001D2460"/>
    <w:rsid w:val="001D3EE7"/>
    <w:rsid w:val="001D4BF5"/>
    <w:rsid w:val="001D6085"/>
    <w:rsid w:val="001D7598"/>
    <w:rsid w:val="001E157C"/>
    <w:rsid w:val="001E5D69"/>
    <w:rsid w:val="001E7CEA"/>
    <w:rsid w:val="001F002C"/>
    <w:rsid w:val="002002B5"/>
    <w:rsid w:val="00211625"/>
    <w:rsid w:val="00220470"/>
    <w:rsid w:val="00222B0D"/>
    <w:rsid w:val="00223408"/>
    <w:rsid w:val="002234E8"/>
    <w:rsid w:val="002334D5"/>
    <w:rsid w:val="00236772"/>
    <w:rsid w:val="002426EA"/>
    <w:rsid w:val="002446C6"/>
    <w:rsid w:val="0026342E"/>
    <w:rsid w:val="00265D6A"/>
    <w:rsid w:val="00273CC3"/>
    <w:rsid w:val="00276CFD"/>
    <w:rsid w:val="002774C0"/>
    <w:rsid w:val="00277541"/>
    <w:rsid w:val="00282BB3"/>
    <w:rsid w:val="00293211"/>
    <w:rsid w:val="002949F9"/>
    <w:rsid w:val="00295F64"/>
    <w:rsid w:val="002B3F35"/>
    <w:rsid w:val="002B5D25"/>
    <w:rsid w:val="002B7581"/>
    <w:rsid w:val="002C38E4"/>
    <w:rsid w:val="002C7FA6"/>
    <w:rsid w:val="002D07BB"/>
    <w:rsid w:val="002D3BCA"/>
    <w:rsid w:val="002D412B"/>
    <w:rsid w:val="002E09C6"/>
    <w:rsid w:val="002E2DBD"/>
    <w:rsid w:val="002E46D6"/>
    <w:rsid w:val="002F7703"/>
    <w:rsid w:val="003108ED"/>
    <w:rsid w:val="00310B7E"/>
    <w:rsid w:val="00310F98"/>
    <w:rsid w:val="00314B08"/>
    <w:rsid w:val="00315B2B"/>
    <w:rsid w:val="00316026"/>
    <w:rsid w:val="00320ACF"/>
    <w:rsid w:val="00323F1C"/>
    <w:rsid w:val="00333225"/>
    <w:rsid w:val="0033323B"/>
    <w:rsid w:val="00344E95"/>
    <w:rsid w:val="00352AE1"/>
    <w:rsid w:val="00353542"/>
    <w:rsid w:val="003540BC"/>
    <w:rsid w:val="00360712"/>
    <w:rsid w:val="0036309F"/>
    <w:rsid w:val="0036474B"/>
    <w:rsid w:val="003661C8"/>
    <w:rsid w:val="00366E30"/>
    <w:rsid w:val="00377B5F"/>
    <w:rsid w:val="003821F4"/>
    <w:rsid w:val="00383221"/>
    <w:rsid w:val="00386E0E"/>
    <w:rsid w:val="00393E94"/>
    <w:rsid w:val="003A1DED"/>
    <w:rsid w:val="003B0D5A"/>
    <w:rsid w:val="003B4F8E"/>
    <w:rsid w:val="003B718F"/>
    <w:rsid w:val="003B7A0D"/>
    <w:rsid w:val="003C2008"/>
    <w:rsid w:val="003C2241"/>
    <w:rsid w:val="003C6083"/>
    <w:rsid w:val="003D1759"/>
    <w:rsid w:val="003D5E80"/>
    <w:rsid w:val="003E0B35"/>
    <w:rsid w:val="003E5643"/>
    <w:rsid w:val="003F076C"/>
    <w:rsid w:val="003F2B92"/>
    <w:rsid w:val="003F3007"/>
    <w:rsid w:val="0040329E"/>
    <w:rsid w:val="0040679C"/>
    <w:rsid w:val="00406BC4"/>
    <w:rsid w:val="004110F8"/>
    <w:rsid w:val="00413D71"/>
    <w:rsid w:val="00414A80"/>
    <w:rsid w:val="004161BA"/>
    <w:rsid w:val="0042169F"/>
    <w:rsid w:val="004349F3"/>
    <w:rsid w:val="0043503C"/>
    <w:rsid w:val="00436CC2"/>
    <w:rsid w:val="004475F1"/>
    <w:rsid w:val="00451751"/>
    <w:rsid w:val="00456E3D"/>
    <w:rsid w:val="00457308"/>
    <w:rsid w:val="004605F3"/>
    <w:rsid w:val="00461DFE"/>
    <w:rsid w:val="00476E59"/>
    <w:rsid w:val="00484C57"/>
    <w:rsid w:val="004871A8"/>
    <w:rsid w:val="004912A5"/>
    <w:rsid w:val="004A4F81"/>
    <w:rsid w:val="004B0CC2"/>
    <w:rsid w:val="004B118F"/>
    <w:rsid w:val="004B4BED"/>
    <w:rsid w:val="004C1027"/>
    <w:rsid w:val="004C214B"/>
    <w:rsid w:val="004C62F7"/>
    <w:rsid w:val="004C750B"/>
    <w:rsid w:val="004D548F"/>
    <w:rsid w:val="004E00F2"/>
    <w:rsid w:val="004E3B18"/>
    <w:rsid w:val="004E40B4"/>
    <w:rsid w:val="004E48AF"/>
    <w:rsid w:val="004E5A44"/>
    <w:rsid w:val="004F21F4"/>
    <w:rsid w:val="004F3B73"/>
    <w:rsid w:val="004F43AD"/>
    <w:rsid w:val="005025B6"/>
    <w:rsid w:val="00511E96"/>
    <w:rsid w:val="0051229B"/>
    <w:rsid w:val="005130B9"/>
    <w:rsid w:val="0051781B"/>
    <w:rsid w:val="00522A02"/>
    <w:rsid w:val="00522D80"/>
    <w:rsid w:val="00525A93"/>
    <w:rsid w:val="005343DA"/>
    <w:rsid w:val="005437D7"/>
    <w:rsid w:val="005445A9"/>
    <w:rsid w:val="00545B0F"/>
    <w:rsid w:val="00545EDA"/>
    <w:rsid w:val="00552BFE"/>
    <w:rsid w:val="00556850"/>
    <w:rsid w:val="00557511"/>
    <w:rsid w:val="00560FA5"/>
    <w:rsid w:val="00566563"/>
    <w:rsid w:val="00573437"/>
    <w:rsid w:val="0057573F"/>
    <w:rsid w:val="00580FFF"/>
    <w:rsid w:val="005813AA"/>
    <w:rsid w:val="0058585A"/>
    <w:rsid w:val="005865A5"/>
    <w:rsid w:val="005967BA"/>
    <w:rsid w:val="005A58A0"/>
    <w:rsid w:val="005A7923"/>
    <w:rsid w:val="005A7CA7"/>
    <w:rsid w:val="005B12FC"/>
    <w:rsid w:val="005B3EB5"/>
    <w:rsid w:val="005B6D3E"/>
    <w:rsid w:val="005B713A"/>
    <w:rsid w:val="005C31D8"/>
    <w:rsid w:val="005D6632"/>
    <w:rsid w:val="005D6D24"/>
    <w:rsid w:val="005E2664"/>
    <w:rsid w:val="005E3CD4"/>
    <w:rsid w:val="005F1528"/>
    <w:rsid w:val="005F1588"/>
    <w:rsid w:val="005F2449"/>
    <w:rsid w:val="00601112"/>
    <w:rsid w:val="00601990"/>
    <w:rsid w:val="00605C0D"/>
    <w:rsid w:val="00614821"/>
    <w:rsid w:val="00617E7B"/>
    <w:rsid w:val="00623CBB"/>
    <w:rsid w:val="006302AC"/>
    <w:rsid w:val="0063362D"/>
    <w:rsid w:val="00640D44"/>
    <w:rsid w:val="006440C5"/>
    <w:rsid w:val="0064700C"/>
    <w:rsid w:val="00651541"/>
    <w:rsid w:val="00663B35"/>
    <w:rsid w:val="00666B23"/>
    <w:rsid w:val="0067786F"/>
    <w:rsid w:val="00680A96"/>
    <w:rsid w:val="006854AE"/>
    <w:rsid w:val="00690659"/>
    <w:rsid w:val="006A2B14"/>
    <w:rsid w:val="006A6A07"/>
    <w:rsid w:val="006A6C1D"/>
    <w:rsid w:val="006A6C51"/>
    <w:rsid w:val="006A7A3D"/>
    <w:rsid w:val="006C00CA"/>
    <w:rsid w:val="006C0B5F"/>
    <w:rsid w:val="006C0B7B"/>
    <w:rsid w:val="006C1AF1"/>
    <w:rsid w:val="006C6FDC"/>
    <w:rsid w:val="006D1D6E"/>
    <w:rsid w:val="006F0D07"/>
    <w:rsid w:val="00702F6F"/>
    <w:rsid w:val="007135DD"/>
    <w:rsid w:val="007158A1"/>
    <w:rsid w:val="00715E44"/>
    <w:rsid w:val="00722075"/>
    <w:rsid w:val="00723103"/>
    <w:rsid w:val="00725899"/>
    <w:rsid w:val="00725F67"/>
    <w:rsid w:val="007308BA"/>
    <w:rsid w:val="007318D6"/>
    <w:rsid w:val="00731B1A"/>
    <w:rsid w:val="00732E91"/>
    <w:rsid w:val="00737211"/>
    <w:rsid w:val="00742DD3"/>
    <w:rsid w:val="007575FF"/>
    <w:rsid w:val="0077270B"/>
    <w:rsid w:val="00773A2C"/>
    <w:rsid w:val="00774EB7"/>
    <w:rsid w:val="00775A96"/>
    <w:rsid w:val="00780DBA"/>
    <w:rsid w:val="00782541"/>
    <w:rsid w:val="00784AEB"/>
    <w:rsid w:val="00784ED7"/>
    <w:rsid w:val="00786E84"/>
    <w:rsid w:val="00787DAB"/>
    <w:rsid w:val="007A27DA"/>
    <w:rsid w:val="007A2D91"/>
    <w:rsid w:val="007A427D"/>
    <w:rsid w:val="007A4F23"/>
    <w:rsid w:val="007A6B84"/>
    <w:rsid w:val="007A6F5F"/>
    <w:rsid w:val="007C0DA7"/>
    <w:rsid w:val="007C132C"/>
    <w:rsid w:val="007C1D03"/>
    <w:rsid w:val="007D053D"/>
    <w:rsid w:val="007D72CF"/>
    <w:rsid w:val="007E3D3C"/>
    <w:rsid w:val="007F504A"/>
    <w:rsid w:val="007F6863"/>
    <w:rsid w:val="007F6F97"/>
    <w:rsid w:val="00802536"/>
    <w:rsid w:val="00804419"/>
    <w:rsid w:val="0081114F"/>
    <w:rsid w:val="008166C4"/>
    <w:rsid w:val="00816910"/>
    <w:rsid w:val="00820E08"/>
    <w:rsid w:val="00821E3D"/>
    <w:rsid w:val="0082486D"/>
    <w:rsid w:val="00835FDE"/>
    <w:rsid w:val="008456E3"/>
    <w:rsid w:val="00845DF8"/>
    <w:rsid w:val="00852604"/>
    <w:rsid w:val="00863EDD"/>
    <w:rsid w:val="00866FCC"/>
    <w:rsid w:val="00876E59"/>
    <w:rsid w:val="00877211"/>
    <w:rsid w:val="0088586B"/>
    <w:rsid w:val="008879F9"/>
    <w:rsid w:val="008906B3"/>
    <w:rsid w:val="008966BE"/>
    <w:rsid w:val="008A30BA"/>
    <w:rsid w:val="008B4F32"/>
    <w:rsid w:val="008B5601"/>
    <w:rsid w:val="008B6529"/>
    <w:rsid w:val="008C23E3"/>
    <w:rsid w:val="008D35F1"/>
    <w:rsid w:val="008D3612"/>
    <w:rsid w:val="008D5777"/>
    <w:rsid w:val="008D7D59"/>
    <w:rsid w:val="008E2203"/>
    <w:rsid w:val="008F1B81"/>
    <w:rsid w:val="008F3383"/>
    <w:rsid w:val="009020C7"/>
    <w:rsid w:val="0090240A"/>
    <w:rsid w:val="00903A2D"/>
    <w:rsid w:val="00907388"/>
    <w:rsid w:val="00914F14"/>
    <w:rsid w:val="009166FD"/>
    <w:rsid w:val="00930734"/>
    <w:rsid w:val="009334F9"/>
    <w:rsid w:val="00933750"/>
    <w:rsid w:val="00935E05"/>
    <w:rsid w:val="0093723A"/>
    <w:rsid w:val="009402E6"/>
    <w:rsid w:val="00943F98"/>
    <w:rsid w:val="00947542"/>
    <w:rsid w:val="00954A2F"/>
    <w:rsid w:val="00955AC9"/>
    <w:rsid w:val="00956AAC"/>
    <w:rsid w:val="00967D22"/>
    <w:rsid w:val="0097080D"/>
    <w:rsid w:val="009714FE"/>
    <w:rsid w:val="00973398"/>
    <w:rsid w:val="00982AD3"/>
    <w:rsid w:val="009849C0"/>
    <w:rsid w:val="00985CFC"/>
    <w:rsid w:val="0098774A"/>
    <w:rsid w:val="00990D0C"/>
    <w:rsid w:val="009944A9"/>
    <w:rsid w:val="00996DEE"/>
    <w:rsid w:val="009A0C8D"/>
    <w:rsid w:val="009B11C0"/>
    <w:rsid w:val="009B3048"/>
    <w:rsid w:val="009B3424"/>
    <w:rsid w:val="009D33F8"/>
    <w:rsid w:val="009D36C0"/>
    <w:rsid w:val="009E04AF"/>
    <w:rsid w:val="009E2B86"/>
    <w:rsid w:val="009E6D3C"/>
    <w:rsid w:val="009F522E"/>
    <w:rsid w:val="009F5327"/>
    <w:rsid w:val="00A013C3"/>
    <w:rsid w:val="00A0172F"/>
    <w:rsid w:val="00A0485B"/>
    <w:rsid w:val="00A05AF5"/>
    <w:rsid w:val="00A0777C"/>
    <w:rsid w:val="00A116CE"/>
    <w:rsid w:val="00A1585C"/>
    <w:rsid w:val="00A16E33"/>
    <w:rsid w:val="00A27BC0"/>
    <w:rsid w:val="00A30AE5"/>
    <w:rsid w:val="00A30DFD"/>
    <w:rsid w:val="00A33A80"/>
    <w:rsid w:val="00A3568F"/>
    <w:rsid w:val="00A36FFA"/>
    <w:rsid w:val="00A40BC9"/>
    <w:rsid w:val="00A46DEF"/>
    <w:rsid w:val="00A5026C"/>
    <w:rsid w:val="00A51D8F"/>
    <w:rsid w:val="00A52A2B"/>
    <w:rsid w:val="00A62860"/>
    <w:rsid w:val="00A678FB"/>
    <w:rsid w:val="00A813D2"/>
    <w:rsid w:val="00A837A7"/>
    <w:rsid w:val="00A879DB"/>
    <w:rsid w:val="00A92A55"/>
    <w:rsid w:val="00AB2B17"/>
    <w:rsid w:val="00AB3343"/>
    <w:rsid w:val="00AC1ADB"/>
    <w:rsid w:val="00AC399F"/>
    <w:rsid w:val="00AC584B"/>
    <w:rsid w:val="00AD18FC"/>
    <w:rsid w:val="00AD52A3"/>
    <w:rsid w:val="00AD634F"/>
    <w:rsid w:val="00AE02A5"/>
    <w:rsid w:val="00AF18BF"/>
    <w:rsid w:val="00B002B6"/>
    <w:rsid w:val="00B0070A"/>
    <w:rsid w:val="00B161F2"/>
    <w:rsid w:val="00B20FD9"/>
    <w:rsid w:val="00B36D9B"/>
    <w:rsid w:val="00B37F1F"/>
    <w:rsid w:val="00B4413E"/>
    <w:rsid w:val="00B52520"/>
    <w:rsid w:val="00B67CCB"/>
    <w:rsid w:val="00B73233"/>
    <w:rsid w:val="00B73CD6"/>
    <w:rsid w:val="00B80369"/>
    <w:rsid w:val="00B84A3B"/>
    <w:rsid w:val="00B93416"/>
    <w:rsid w:val="00B956F2"/>
    <w:rsid w:val="00B96DE4"/>
    <w:rsid w:val="00BA438A"/>
    <w:rsid w:val="00BA4681"/>
    <w:rsid w:val="00BB5021"/>
    <w:rsid w:val="00BB78CC"/>
    <w:rsid w:val="00BC2268"/>
    <w:rsid w:val="00BC386C"/>
    <w:rsid w:val="00BC3AA1"/>
    <w:rsid w:val="00BC3C81"/>
    <w:rsid w:val="00BC6967"/>
    <w:rsid w:val="00BD0C54"/>
    <w:rsid w:val="00BD2144"/>
    <w:rsid w:val="00BD62C1"/>
    <w:rsid w:val="00BD681B"/>
    <w:rsid w:val="00BE3563"/>
    <w:rsid w:val="00BF5732"/>
    <w:rsid w:val="00C0257A"/>
    <w:rsid w:val="00C040D1"/>
    <w:rsid w:val="00C05B9A"/>
    <w:rsid w:val="00C139A6"/>
    <w:rsid w:val="00C1592E"/>
    <w:rsid w:val="00C37FEA"/>
    <w:rsid w:val="00C4038F"/>
    <w:rsid w:val="00C404FE"/>
    <w:rsid w:val="00C43620"/>
    <w:rsid w:val="00C469B0"/>
    <w:rsid w:val="00C52140"/>
    <w:rsid w:val="00C64D3E"/>
    <w:rsid w:val="00C6612A"/>
    <w:rsid w:val="00C6643D"/>
    <w:rsid w:val="00C6680F"/>
    <w:rsid w:val="00C66ACC"/>
    <w:rsid w:val="00C72415"/>
    <w:rsid w:val="00C77E82"/>
    <w:rsid w:val="00C8468C"/>
    <w:rsid w:val="00C90E37"/>
    <w:rsid w:val="00C9289E"/>
    <w:rsid w:val="00C92F51"/>
    <w:rsid w:val="00CA0EE5"/>
    <w:rsid w:val="00CA0F95"/>
    <w:rsid w:val="00CB10F9"/>
    <w:rsid w:val="00CB3DF8"/>
    <w:rsid w:val="00CB413B"/>
    <w:rsid w:val="00CE2A32"/>
    <w:rsid w:val="00CF76A5"/>
    <w:rsid w:val="00D04EB4"/>
    <w:rsid w:val="00D123DC"/>
    <w:rsid w:val="00D13A17"/>
    <w:rsid w:val="00D14987"/>
    <w:rsid w:val="00D14E3A"/>
    <w:rsid w:val="00D204F5"/>
    <w:rsid w:val="00D32F66"/>
    <w:rsid w:val="00D47930"/>
    <w:rsid w:val="00D5042D"/>
    <w:rsid w:val="00D64AB9"/>
    <w:rsid w:val="00D65037"/>
    <w:rsid w:val="00D7177A"/>
    <w:rsid w:val="00D90694"/>
    <w:rsid w:val="00D9318A"/>
    <w:rsid w:val="00D94CD4"/>
    <w:rsid w:val="00DA4143"/>
    <w:rsid w:val="00DB00B6"/>
    <w:rsid w:val="00DB3C8A"/>
    <w:rsid w:val="00DB45E8"/>
    <w:rsid w:val="00DB6984"/>
    <w:rsid w:val="00DC0D68"/>
    <w:rsid w:val="00DC4938"/>
    <w:rsid w:val="00DD25CD"/>
    <w:rsid w:val="00DD6657"/>
    <w:rsid w:val="00DD69C1"/>
    <w:rsid w:val="00DE4A9E"/>
    <w:rsid w:val="00DF77F1"/>
    <w:rsid w:val="00E02B75"/>
    <w:rsid w:val="00E05B42"/>
    <w:rsid w:val="00E14D3C"/>
    <w:rsid w:val="00E15A50"/>
    <w:rsid w:val="00E22388"/>
    <w:rsid w:val="00E23510"/>
    <w:rsid w:val="00E2369D"/>
    <w:rsid w:val="00E32C21"/>
    <w:rsid w:val="00E34D2C"/>
    <w:rsid w:val="00E3763E"/>
    <w:rsid w:val="00E41743"/>
    <w:rsid w:val="00E45675"/>
    <w:rsid w:val="00E46441"/>
    <w:rsid w:val="00E516C0"/>
    <w:rsid w:val="00E54453"/>
    <w:rsid w:val="00E54FFA"/>
    <w:rsid w:val="00E71EB0"/>
    <w:rsid w:val="00E76F1B"/>
    <w:rsid w:val="00E85CC4"/>
    <w:rsid w:val="00E951DF"/>
    <w:rsid w:val="00E971BC"/>
    <w:rsid w:val="00EA0C6D"/>
    <w:rsid w:val="00EB1E3A"/>
    <w:rsid w:val="00EB4033"/>
    <w:rsid w:val="00EB482A"/>
    <w:rsid w:val="00ED0545"/>
    <w:rsid w:val="00ED53B7"/>
    <w:rsid w:val="00EE3C83"/>
    <w:rsid w:val="00EE715C"/>
    <w:rsid w:val="00EF7BF0"/>
    <w:rsid w:val="00F04B4C"/>
    <w:rsid w:val="00F05FC4"/>
    <w:rsid w:val="00F152FA"/>
    <w:rsid w:val="00F17360"/>
    <w:rsid w:val="00F22E40"/>
    <w:rsid w:val="00F242DA"/>
    <w:rsid w:val="00F24BF3"/>
    <w:rsid w:val="00F25A4D"/>
    <w:rsid w:val="00F30B5D"/>
    <w:rsid w:val="00F36746"/>
    <w:rsid w:val="00F403DB"/>
    <w:rsid w:val="00F42684"/>
    <w:rsid w:val="00F47226"/>
    <w:rsid w:val="00F54AE6"/>
    <w:rsid w:val="00F5567D"/>
    <w:rsid w:val="00F56CC3"/>
    <w:rsid w:val="00F63420"/>
    <w:rsid w:val="00F71D83"/>
    <w:rsid w:val="00F7567B"/>
    <w:rsid w:val="00F95486"/>
    <w:rsid w:val="00FB2B31"/>
    <w:rsid w:val="00FC2E73"/>
    <w:rsid w:val="00FC492E"/>
    <w:rsid w:val="00FD11DF"/>
    <w:rsid w:val="00FD30DA"/>
    <w:rsid w:val="00FD44A8"/>
    <w:rsid w:val="00FE2024"/>
    <w:rsid w:val="00FE51C1"/>
    <w:rsid w:val="00FE74BE"/>
    <w:rsid w:val="00FF0213"/>
    <w:rsid w:val="00FF328A"/>
    <w:rsid w:val="00FF37FD"/>
    <w:rsid w:val="00FF3C6D"/>
    <w:rsid w:val="00FF4FBA"/>
    <w:rsid w:val="00FF6E00"/>
    <w:rsid w:val="03A73CF4"/>
    <w:rsid w:val="04753635"/>
    <w:rsid w:val="0485486A"/>
    <w:rsid w:val="04FF50B4"/>
    <w:rsid w:val="05321762"/>
    <w:rsid w:val="07877318"/>
    <w:rsid w:val="091E3D8C"/>
    <w:rsid w:val="094044AB"/>
    <w:rsid w:val="0A6722A5"/>
    <w:rsid w:val="0B400D75"/>
    <w:rsid w:val="0B875F29"/>
    <w:rsid w:val="0BA2092A"/>
    <w:rsid w:val="0D6F5C11"/>
    <w:rsid w:val="0E3E4F5B"/>
    <w:rsid w:val="0ED170E7"/>
    <w:rsid w:val="0EF80799"/>
    <w:rsid w:val="0F094BCA"/>
    <w:rsid w:val="0F1858A5"/>
    <w:rsid w:val="10E27459"/>
    <w:rsid w:val="10E55AF8"/>
    <w:rsid w:val="11923040"/>
    <w:rsid w:val="11957B06"/>
    <w:rsid w:val="14A94CF4"/>
    <w:rsid w:val="159A33B0"/>
    <w:rsid w:val="165758CE"/>
    <w:rsid w:val="167F0D15"/>
    <w:rsid w:val="18CA29D4"/>
    <w:rsid w:val="192A3F46"/>
    <w:rsid w:val="196041C6"/>
    <w:rsid w:val="1D32168A"/>
    <w:rsid w:val="1FFE0638"/>
    <w:rsid w:val="21301669"/>
    <w:rsid w:val="22AD30BD"/>
    <w:rsid w:val="22E72707"/>
    <w:rsid w:val="236061AB"/>
    <w:rsid w:val="250F3E38"/>
    <w:rsid w:val="26F855C1"/>
    <w:rsid w:val="288276C8"/>
    <w:rsid w:val="28EC18A1"/>
    <w:rsid w:val="295E2013"/>
    <w:rsid w:val="2965017D"/>
    <w:rsid w:val="29665DA8"/>
    <w:rsid w:val="2C312DD5"/>
    <w:rsid w:val="2FA50DEE"/>
    <w:rsid w:val="304A6516"/>
    <w:rsid w:val="3050657B"/>
    <w:rsid w:val="30E3700C"/>
    <w:rsid w:val="31614F93"/>
    <w:rsid w:val="31FC5DB5"/>
    <w:rsid w:val="350B2553"/>
    <w:rsid w:val="35697647"/>
    <w:rsid w:val="357150CF"/>
    <w:rsid w:val="35766703"/>
    <w:rsid w:val="365A1F4A"/>
    <w:rsid w:val="38763433"/>
    <w:rsid w:val="3D955D30"/>
    <w:rsid w:val="404F533F"/>
    <w:rsid w:val="41C32F69"/>
    <w:rsid w:val="4213428A"/>
    <w:rsid w:val="43980A55"/>
    <w:rsid w:val="44950120"/>
    <w:rsid w:val="45805AFC"/>
    <w:rsid w:val="46373737"/>
    <w:rsid w:val="493A18C5"/>
    <w:rsid w:val="4C2D33F0"/>
    <w:rsid w:val="4CC7282C"/>
    <w:rsid w:val="4CEB4BB9"/>
    <w:rsid w:val="4D131BDF"/>
    <w:rsid w:val="4DFE18C8"/>
    <w:rsid w:val="4F10670E"/>
    <w:rsid w:val="515163A5"/>
    <w:rsid w:val="517A21E4"/>
    <w:rsid w:val="51C24008"/>
    <w:rsid w:val="527F3B83"/>
    <w:rsid w:val="542C0EF6"/>
    <w:rsid w:val="55952FB0"/>
    <w:rsid w:val="56084B13"/>
    <w:rsid w:val="56325AC1"/>
    <w:rsid w:val="56854657"/>
    <w:rsid w:val="57821B6F"/>
    <w:rsid w:val="59357D5B"/>
    <w:rsid w:val="5AF23BE2"/>
    <w:rsid w:val="5D160DA1"/>
    <w:rsid w:val="5DC96A80"/>
    <w:rsid w:val="5F01496B"/>
    <w:rsid w:val="615B2B13"/>
    <w:rsid w:val="61FC1355"/>
    <w:rsid w:val="625D4F5F"/>
    <w:rsid w:val="628C48D0"/>
    <w:rsid w:val="63BF1EF6"/>
    <w:rsid w:val="668C644E"/>
    <w:rsid w:val="66B572F8"/>
    <w:rsid w:val="670E6162"/>
    <w:rsid w:val="68713C99"/>
    <w:rsid w:val="69222A26"/>
    <w:rsid w:val="6AAE3B87"/>
    <w:rsid w:val="6C254A9B"/>
    <w:rsid w:val="6D001766"/>
    <w:rsid w:val="6D1E19C3"/>
    <w:rsid w:val="6DEA08AB"/>
    <w:rsid w:val="70B92143"/>
    <w:rsid w:val="73E73F3A"/>
    <w:rsid w:val="79B135CD"/>
    <w:rsid w:val="7BC0350F"/>
    <w:rsid w:val="7C202697"/>
    <w:rsid w:val="7D883202"/>
    <w:rsid w:val="7E1827B3"/>
    <w:rsid w:val="7E4C13EE"/>
    <w:rsid w:val="7E833E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link w:val="42"/>
    <w:qFormat/>
    <w:uiPriority w:val="0"/>
    <w:pPr>
      <w:ind w:firstLine="420"/>
    </w:pPr>
  </w:style>
  <w:style w:type="paragraph" w:styleId="7">
    <w:name w:val="annotation text"/>
    <w:basedOn w:val="1"/>
    <w:link w:val="36"/>
    <w:unhideWhenUsed/>
    <w:qFormat/>
    <w:uiPriority w:val="99"/>
    <w:pPr>
      <w:jc w:val="left"/>
    </w:pPr>
  </w:style>
  <w:style w:type="paragraph" w:styleId="8">
    <w:name w:val="Body Text Indent"/>
    <w:basedOn w:val="1"/>
    <w:qFormat/>
    <w:uiPriority w:val="0"/>
    <w:pPr>
      <w:spacing w:line="360" w:lineRule="auto"/>
      <w:ind w:left="720" w:hanging="720" w:hangingChars="300"/>
    </w:pPr>
    <w:rPr>
      <w:sz w:val="24"/>
      <w:szCs w:val="20"/>
    </w:rPr>
  </w:style>
  <w:style w:type="paragraph" w:styleId="9">
    <w:name w:val="toc 3"/>
    <w:basedOn w:val="1"/>
    <w:next w:val="1"/>
    <w:unhideWhenUsed/>
    <w:qFormat/>
    <w:uiPriority w:val="39"/>
    <w:pPr>
      <w:widowControl/>
      <w:spacing w:after="100" w:line="276" w:lineRule="auto"/>
      <w:ind w:left="440"/>
      <w:jc w:val="left"/>
    </w:pPr>
    <w:rPr>
      <w:kern w:val="0"/>
      <w:sz w:val="22"/>
    </w:rPr>
  </w:style>
  <w:style w:type="paragraph" w:styleId="10">
    <w:name w:val="Plain Text"/>
    <w:basedOn w:val="1"/>
    <w:link w:val="39"/>
    <w:qFormat/>
    <w:uiPriority w:val="0"/>
    <w:rPr>
      <w:rFonts w:ascii="宋体" w:hAnsi="Courier New" w:cs="Courier New"/>
      <w:szCs w:val="21"/>
    </w:rPr>
  </w:style>
  <w:style w:type="paragraph" w:styleId="11">
    <w:name w:val="Date"/>
    <w:basedOn w:val="1"/>
    <w:next w:val="1"/>
    <w:qFormat/>
    <w:uiPriority w:val="0"/>
    <w:rPr>
      <w:szCs w:val="20"/>
    </w:rPr>
  </w:style>
  <w:style w:type="paragraph" w:styleId="12">
    <w:name w:val="endnote text"/>
    <w:basedOn w:val="1"/>
    <w:link w:val="38"/>
    <w:unhideWhenUsed/>
    <w:qFormat/>
    <w:uiPriority w:val="99"/>
    <w:pPr>
      <w:snapToGrid w:val="0"/>
      <w:jc w:val="left"/>
    </w:pPr>
  </w:style>
  <w:style w:type="paragraph" w:styleId="13">
    <w:name w:val="Balloon Text"/>
    <w:basedOn w:val="1"/>
    <w:link w:val="32"/>
    <w:unhideWhenUsed/>
    <w:qFormat/>
    <w:uiPriority w:val="99"/>
    <w:rPr>
      <w:sz w:val="18"/>
      <w:szCs w:val="18"/>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line="440" w:lineRule="exact"/>
      <w:jc w:val="left"/>
    </w:pPr>
    <w:rPr>
      <w:rFonts w:eastAsia="黑体"/>
      <w:b/>
      <w:kern w:val="0"/>
      <w:sz w:val="28"/>
    </w:rPr>
  </w:style>
  <w:style w:type="paragraph" w:styleId="17">
    <w:name w:val="toc 2"/>
    <w:basedOn w:val="18"/>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8">
    <w:name w:val="引用1"/>
    <w:basedOn w:val="1"/>
    <w:next w:val="1"/>
    <w:link w:val="41"/>
    <w:qFormat/>
    <w:uiPriority w:val="29"/>
    <w:rPr>
      <w:i/>
      <w:iCs/>
      <w:color w:val="000000" w:themeColor="text1"/>
      <w14:textFill>
        <w14:solidFill>
          <w14:schemeClr w14:val="tx1"/>
        </w14:solidFill>
      </w14:textFill>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7"/>
    <w:next w:val="7"/>
    <w:link w:val="43"/>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rPr>
  </w:style>
  <w:style w:type="character" w:styleId="25">
    <w:name w:val="endnote reference"/>
    <w:basedOn w:val="23"/>
    <w:unhideWhenUsed/>
    <w:qFormat/>
    <w:uiPriority w:val="99"/>
    <w:rPr>
      <w:vertAlign w:val="superscript"/>
    </w:rPr>
  </w:style>
  <w:style w:type="character" w:styleId="26">
    <w:name w:val="page number"/>
    <w:basedOn w:val="23"/>
    <w:qFormat/>
    <w:uiPriority w:val="0"/>
    <w:rPr>
      <w:rFonts w:ascii="Calibri" w:hAnsi="Calibri" w:eastAsia="宋体" w:cs="Times New Roman"/>
    </w:rPr>
  </w:style>
  <w:style w:type="character" w:styleId="27">
    <w:name w:val="Emphasis"/>
    <w:basedOn w:val="23"/>
    <w:qFormat/>
    <w:uiPriority w:val="0"/>
    <w:rPr>
      <w:color w:val="CC0000"/>
    </w:rPr>
  </w:style>
  <w:style w:type="character" w:styleId="28">
    <w:name w:val="Hyperlink"/>
    <w:basedOn w:val="23"/>
    <w:unhideWhenUsed/>
    <w:qFormat/>
    <w:uiPriority w:val="99"/>
    <w:rPr>
      <w:color w:val="0000FF" w:themeColor="hyperlink"/>
      <w:u w:val="single"/>
      <w14:textFill>
        <w14:solidFill>
          <w14:schemeClr w14:val="hlink"/>
        </w14:solidFill>
      </w14:textFill>
    </w:rPr>
  </w:style>
  <w:style w:type="character" w:styleId="29">
    <w:name w:val="annotation reference"/>
    <w:qFormat/>
    <w:uiPriority w:val="99"/>
    <w:rPr>
      <w:sz w:val="21"/>
    </w:rPr>
  </w:style>
  <w:style w:type="character" w:customStyle="1" w:styleId="30">
    <w:name w:val="页眉 Char"/>
    <w:basedOn w:val="23"/>
    <w:link w:val="15"/>
    <w:qFormat/>
    <w:uiPriority w:val="99"/>
    <w:rPr>
      <w:sz w:val="18"/>
      <w:szCs w:val="18"/>
    </w:rPr>
  </w:style>
  <w:style w:type="character" w:customStyle="1" w:styleId="31">
    <w:name w:val="页脚 Char"/>
    <w:basedOn w:val="23"/>
    <w:link w:val="14"/>
    <w:qFormat/>
    <w:uiPriority w:val="99"/>
    <w:rPr>
      <w:sz w:val="18"/>
      <w:szCs w:val="18"/>
    </w:rPr>
  </w:style>
  <w:style w:type="character" w:customStyle="1" w:styleId="32">
    <w:name w:val="批注框文本 Char"/>
    <w:basedOn w:val="23"/>
    <w:link w:val="13"/>
    <w:semiHidden/>
    <w:qFormat/>
    <w:uiPriority w:val="99"/>
    <w:rPr>
      <w:sz w:val="18"/>
      <w:szCs w:val="18"/>
    </w:rPr>
  </w:style>
  <w:style w:type="paragraph" w:customStyle="1" w:styleId="33">
    <w:name w:val="列出段落1"/>
    <w:basedOn w:val="1"/>
    <w:qFormat/>
    <w:uiPriority w:val="34"/>
    <w:pPr>
      <w:ind w:firstLine="420" w:firstLineChars="200"/>
    </w:pPr>
  </w:style>
  <w:style w:type="character" w:customStyle="1" w:styleId="34">
    <w:name w:val="标题 1 Char"/>
    <w:basedOn w:val="23"/>
    <w:link w:val="3"/>
    <w:qFormat/>
    <w:uiPriority w:val="9"/>
    <w:rPr>
      <w:b/>
      <w:bCs/>
      <w:kern w:val="44"/>
      <w:sz w:val="44"/>
      <w:szCs w:val="44"/>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文字 Char"/>
    <w:basedOn w:val="23"/>
    <w:link w:val="7"/>
    <w:qFormat/>
    <w:uiPriority w:val="99"/>
  </w:style>
  <w:style w:type="character" w:customStyle="1" w:styleId="37">
    <w:name w:val="标题 2 Char"/>
    <w:basedOn w:val="23"/>
    <w:link w:val="4"/>
    <w:qFormat/>
    <w:uiPriority w:val="9"/>
    <w:rPr>
      <w:rFonts w:asciiTheme="majorHAnsi" w:hAnsiTheme="majorHAnsi" w:eastAsiaTheme="majorEastAsia" w:cstheme="majorBidi"/>
      <w:b/>
      <w:bCs/>
      <w:sz w:val="32"/>
      <w:szCs w:val="32"/>
    </w:rPr>
  </w:style>
  <w:style w:type="character" w:customStyle="1" w:styleId="38">
    <w:name w:val="尾注文本 Char"/>
    <w:basedOn w:val="23"/>
    <w:link w:val="12"/>
    <w:semiHidden/>
    <w:qFormat/>
    <w:uiPriority w:val="99"/>
  </w:style>
  <w:style w:type="character" w:customStyle="1" w:styleId="39">
    <w:name w:val="纯文本 Char"/>
    <w:link w:val="10"/>
    <w:qFormat/>
    <w:uiPriority w:val="0"/>
    <w:rPr>
      <w:rFonts w:ascii="宋体" w:hAnsi="Courier New" w:cs="Courier New"/>
      <w:szCs w:val="21"/>
    </w:rPr>
  </w:style>
  <w:style w:type="character" w:customStyle="1" w:styleId="40">
    <w:name w:val="纯文本 Char1"/>
    <w:basedOn w:val="23"/>
    <w:semiHidden/>
    <w:qFormat/>
    <w:uiPriority w:val="99"/>
    <w:rPr>
      <w:rFonts w:ascii="宋体" w:hAnsi="Courier New" w:eastAsia="宋体" w:cs="Courier New"/>
      <w:szCs w:val="21"/>
    </w:rPr>
  </w:style>
  <w:style w:type="character" w:customStyle="1" w:styleId="41">
    <w:name w:val="引用 Char"/>
    <w:basedOn w:val="23"/>
    <w:link w:val="18"/>
    <w:qFormat/>
    <w:uiPriority w:val="29"/>
    <w:rPr>
      <w:i/>
      <w:iCs/>
      <w:color w:val="000000" w:themeColor="text1"/>
      <w14:textFill>
        <w14:solidFill>
          <w14:schemeClr w14:val="tx1"/>
        </w14:solidFill>
      </w14:textFill>
    </w:rPr>
  </w:style>
  <w:style w:type="character" w:customStyle="1" w:styleId="42">
    <w:name w:val="正文缩进 Char"/>
    <w:link w:val="6"/>
    <w:qFormat/>
    <w:uiPriority w:val="0"/>
  </w:style>
  <w:style w:type="character" w:customStyle="1" w:styleId="43">
    <w:name w:val="批注主题 Char"/>
    <w:basedOn w:val="36"/>
    <w:link w:val="20"/>
    <w:semiHidden/>
    <w:qFormat/>
    <w:uiPriority w:val="99"/>
    <w:rPr>
      <w:b/>
      <w:bCs/>
    </w:rPr>
  </w:style>
  <w:style w:type="paragraph" w:styleId="44">
    <w:name w:val="List Paragraph"/>
    <w:basedOn w:val="1"/>
    <w:unhideWhenUsed/>
    <w:qFormat/>
    <w:uiPriority w:val="99"/>
    <w:pPr>
      <w:ind w:firstLine="420" w:firstLineChars="200"/>
    </w:pPr>
  </w:style>
  <w:style w:type="paragraph" w:customStyle="1" w:styleId="45">
    <w:name w:val="列出段落3"/>
    <w:basedOn w:val="1"/>
    <w:qFormat/>
    <w:uiPriority w:val="0"/>
    <w:pPr>
      <w:ind w:firstLine="420" w:firstLineChars="200"/>
    </w:pPr>
  </w:style>
  <w:style w:type="paragraph" w:customStyle="1" w:styleId="4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47">
    <w:name w:val="正文（缩进）"/>
    <w:basedOn w:val="1"/>
    <w:qFormat/>
    <w:uiPriority w:val="0"/>
    <w:pPr>
      <w:spacing w:beforeLines="50" w:afterLines="50" w:line="360" w:lineRule="auto"/>
      <w:ind w:firstLine="480" w:firstLineChars="200"/>
    </w:pPr>
    <w:rPr>
      <w:sz w:val="24"/>
    </w:rPr>
  </w:style>
  <w:style w:type="paragraph" w:customStyle="1" w:styleId="48">
    <w:name w:val="_Style 2"/>
    <w:basedOn w:val="1"/>
    <w:qFormat/>
    <w:uiPriority w:val="0"/>
    <w:pPr>
      <w:spacing w:before="0" w:beforeLines="0" w:after="0" w:afterLines="0" w:line="240" w:lineRule="auto"/>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E78A5-AC87-4CD3-97F1-243E8649722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6694</Words>
  <Characters>38162</Characters>
  <Lines>318</Lines>
  <Paragraphs>89</Paragraphs>
  <TotalTime>3</TotalTime>
  <ScaleCrop>false</ScaleCrop>
  <LinksUpToDate>false</LinksUpToDate>
  <CharactersWithSpaces>44767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2020-08-05T08:29:00Z</dcterms:created>
  <dc:creator>502-2</dc:creator>
  <cp:lastModifiedBy>Administrator</cp:lastModifiedBy>
  <cp:lastPrinted>2020-11-23T03:49:00Z</cp:lastPrinted>
  <dcterms:modified xsi:type="dcterms:W3CDTF">2020-12-04T03:43:38Z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