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bookmarkStart w:id="273" w:name="_GoBack"/>
      <w:bookmarkEnd w:id="273"/>
      <w:r>
        <w:rPr>
          <w:rFonts w:hint="eastAsia"/>
          <w:color w:val="000000" w:themeColor="text1"/>
          <w:w w:val="120"/>
          <w:sz w:val="52"/>
          <w:szCs w:val="52"/>
        </w:rPr>
        <w:t>阳新县县级政府采购</w:t>
      </w:r>
    </w:p>
    <w:p>
      <w:pPr>
        <w:pStyle w:val="2"/>
      </w:pPr>
    </w:p>
    <w:p>
      <w:pPr>
        <w:pStyle w:val="11"/>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960" w:firstLineChars="300"/>
        <w:rPr>
          <w:bCs/>
          <w:color w:val="000000" w:themeColor="text1"/>
          <w:sz w:val="32"/>
          <w:szCs w:val="32"/>
        </w:rPr>
      </w:pPr>
      <w:r>
        <w:rPr>
          <w:rFonts w:hint="eastAsia"/>
          <w:bCs/>
          <w:color w:val="000000" w:themeColor="text1"/>
          <w:sz w:val="32"/>
          <w:szCs w:val="32"/>
        </w:rPr>
        <w:t>项目编号：</w:t>
      </w:r>
      <w:r>
        <w:rPr>
          <w:rFonts w:hint="eastAsia"/>
          <w:bCs/>
          <w:color w:val="000000" w:themeColor="text1"/>
          <w:sz w:val="32"/>
          <w:szCs w:val="32"/>
          <w:lang w:eastAsia="zh-CN"/>
        </w:rPr>
        <w:t>131-2020CG-</w:t>
      </w:r>
      <w:r>
        <w:rPr>
          <w:rFonts w:hint="eastAsia"/>
          <w:bCs/>
          <w:color w:val="000000" w:themeColor="text1"/>
          <w:sz w:val="32"/>
          <w:szCs w:val="32"/>
          <w:lang w:val="en-US" w:eastAsia="zh-CN"/>
        </w:rPr>
        <w:t>283</w:t>
      </w:r>
      <w:r>
        <w:rPr>
          <w:rFonts w:hint="eastAsia"/>
          <w:bCs/>
          <w:color w:val="000000" w:themeColor="text1"/>
          <w:sz w:val="32"/>
          <w:szCs w:val="32"/>
        </w:rPr>
        <w:t xml:space="preserve">   </w:t>
      </w:r>
    </w:p>
    <w:p>
      <w:pPr>
        <w:spacing w:line="480" w:lineRule="auto"/>
        <w:ind w:firstLine="960" w:firstLineChars="300"/>
        <w:rPr>
          <w:bCs/>
          <w:color w:val="000000" w:themeColor="text1"/>
          <w:sz w:val="32"/>
          <w:szCs w:val="32"/>
        </w:rPr>
      </w:pPr>
      <w:r>
        <w:rPr>
          <w:rFonts w:hint="eastAsia"/>
          <w:bCs/>
          <w:color w:val="000000" w:themeColor="text1"/>
          <w:sz w:val="32"/>
          <w:szCs w:val="32"/>
        </w:rPr>
        <w:t>采 购 人：阳新县人民医院</w:t>
      </w:r>
    </w:p>
    <w:p>
      <w:pPr>
        <w:spacing w:line="480" w:lineRule="auto"/>
        <w:ind w:left="2558" w:leftChars="456" w:hanging="1600" w:hangingChars="500"/>
        <w:rPr>
          <w:rFonts w:hint="eastAsia" w:eastAsiaTheme="minorEastAsia"/>
          <w:bCs/>
          <w:color w:val="000000" w:themeColor="text1"/>
          <w:sz w:val="30"/>
          <w:szCs w:val="30"/>
          <w:lang w:eastAsia="zh-CN"/>
        </w:rPr>
      </w:pPr>
      <w:r>
        <w:rPr>
          <w:rFonts w:hint="eastAsia"/>
          <w:bCs/>
          <w:color w:val="000000" w:themeColor="text1"/>
          <w:sz w:val="32"/>
          <w:szCs w:val="32"/>
        </w:rPr>
        <w:t>项目名称：</w:t>
      </w:r>
      <w:r>
        <w:rPr>
          <w:rFonts w:hint="eastAsia"/>
          <w:bCs/>
          <w:color w:val="000000" w:themeColor="text1"/>
          <w:spacing w:val="-6"/>
          <w:sz w:val="30"/>
          <w:szCs w:val="30"/>
          <w:lang w:eastAsia="zh-CN"/>
        </w:rPr>
        <w:t>阳新县人民医院城东新院区超声科人工智能高端彩色多普勒超声诊断仪采购项目</w:t>
      </w:r>
    </w:p>
    <w:p>
      <w:pPr>
        <w:spacing w:line="480" w:lineRule="auto"/>
        <w:ind w:firstLine="960" w:firstLineChars="3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z w:val="32"/>
          <w:szCs w:val="32"/>
          <w:lang w:eastAsia="zh-CN"/>
        </w:rPr>
        <w:t>人工智能高端彩色多普勒超声诊断仪采购</w:t>
      </w:r>
    </w:p>
    <w:p>
      <w:pPr>
        <w:tabs>
          <w:tab w:val="center" w:pos="4762"/>
          <w:tab w:val="left" w:pos="8453"/>
        </w:tabs>
        <w:adjustRightInd w:val="0"/>
        <w:snapToGrid w:val="0"/>
        <w:jc w:val="left"/>
        <w:rPr>
          <w:bCs/>
          <w:snapToGrid w:val="0"/>
          <w:color w:val="000000" w:themeColor="text1"/>
          <w:kern w:val="0"/>
          <w:position w:val="-98"/>
          <w:sz w:val="56"/>
          <w:szCs w:val="56"/>
        </w:rPr>
      </w:pPr>
      <w:r>
        <w:rPr>
          <w:bCs/>
          <w:snapToGrid w:val="0"/>
          <w:color w:val="000000" w:themeColor="text1"/>
          <w:kern w:val="0"/>
          <w:position w:val="-98"/>
          <w:sz w:val="56"/>
          <w:szCs w:val="56"/>
        </w:rPr>
        <w:tab/>
      </w:r>
      <w:r>
        <w:rPr>
          <w:rFonts w:hint="eastAsia"/>
          <w:bCs/>
          <w:snapToGrid w:val="0"/>
          <w:color w:val="000000" w:themeColor="text1"/>
          <w:kern w:val="0"/>
          <w:position w:val="-98"/>
          <w:sz w:val="56"/>
          <w:szCs w:val="56"/>
          <w:lang w:eastAsia="zh-CN"/>
        </w:rPr>
        <w:t>立信大华工程咨询有限责任公司</w:t>
      </w:r>
      <w:r>
        <w:rPr>
          <w:bCs/>
          <w:snapToGrid w:val="0"/>
          <w:color w:val="000000" w:themeColor="text1"/>
          <w:kern w:val="0"/>
          <w:position w:val="-98"/>
          <w:sz w:val="56"/>
          <w:szCs w:val="56"/>
        </w:rPr>
        <w:tab/>
      </w:r>
    </w:p>
    <w:p>
      <w:pPr>
        <w:adjustRightInd w:val="0"/>
        <w:snapToGrid w:val="0"/>
        <w:jc w:val="center"/>
        <w:rPr>
          <w:bCs/>
          <w:snapToGrid w:val="0"/>
          <w:color w:val="000000" w:themeColor="text1"/>
          <w:kern w:val="0"/>
          <w:position w:val="-98"/>
          <w:sz w:val="56"/>
          <w:szCs w:val="56"/>
        </w:rPr>
        <w:sectPr>
          <w:headerReference r:id="rId3" w:type="default"/>
          <w:footerReference r:id="rId5" w:type="default"/>
          <w:headerReference r:id="rId4" w:type="even"/>
          <w:footerReference r:id="rId6" w:type="even"/>
          <w:pgSz w:w="11906" w:h="16838"/>
          <w:pgMar w:top="2835" w:right="1191" w:bottom="1134" w:left="1191" w:header="680" w:footer="680" w:gutter="0"/>
          <w:cols w:space="425" w:num="1"/>
          <w:docGrid w:type="lines" w:linePitch="312" w:charSpace="0"/>
        </w:sectPr>
      </w:pPr>
      <w:r>
        <w:rPr>
          <w:rFonts w:hint="eastAsia"/>
          <w:bCs/>
          <w:snapToGrid w:val="0"/>
          <w:color w:val="000000" w:themeColor="text1"/>
          <w:kern w:val="0"/>
          <w:position w:val="-98"/>
          <w:sz w:val="48"/>
          <w:szCs w:val="48"/>
        </w:rPr>
        <w:t>2020年1</w:t>
      </w:r>
      <w:r>
        <w:rPr>
          <w:rFonts w:hint="eastAsia"/>
          <w:bCs/>
          <w:snapToGrid w:val="0"/>
          <w:color w:val="000000" w:themeColor="text1"/>
          <w:kern w:val="0"/>
          <w:position w:val="-98"/>
          <w:sz w:val="48"/>
          <w:szCs w:val="48"/>
          <w:lang w:val="en-US" w:eastAsia="zh-CN"/>
        </w:rPr>
        <w:t>2</w:t>
      </w:r>
      <w:r>
        <w:rPr>
          <w:rFonts w:hint="eastAsia"/>
          <w:bCs/>
          <w:snapToGrid w:val="0"/>
          <w:color w:val="000000" w:themeColor="text1"/>
          <w:kern w:val="0"/>
          <w:position w:val="-98"/>
          <w:sz w:val="48"/>
          <w:szCs w:val="48"/>
        </w:rPr>
        <w:t>月</w:t>
      </w: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
            <w:tabs>
              <w:tab w:val="left" w:pos="1260"/>
              <w:tab w:val="right" w:leader="dot" w:pos="9514"/>
            </w:tabs>
            <w:rPr>
              <w:rFonts w:eastAsiaTheme="minorEastAsia"/>
              <w:b w:val="0"/>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7"/>
              <w:rFonts w:hint="eastAsia" w:ascii="黑体" w:hAnsi="黑体"/>
            </w:rPr>
            <w:t>第一章</w:t>
          </w:r>
          <w:r>
            <w:rPr>
              <w:rFonts w:eastAsiaTheme="minorEastAsia"/>
              <w:b w:val="0"/>
              <w:kern w:val="2"/>
              <w:sz w:val="21"/>
            </w:rPr>
            <w:tab/>
          </w:r>
          <w:r>
            <w:rPr>
              <w:rStyle w:val="27"/>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2"/>
            <w:tabs>
              <w:tab w:val="left" w:pos="1260"/>
              <w:tab w:val="right" w:leader="dot" w:pos="9514"/>
            </w:tabs>
            <w:rPr>
              <w:rFonts w:eastAsiaTheme="minorEastAsia"/>
              <w:b w:val="0"/>
              <w:kern w:val="2"/>
              <w:sz w:val="21"/>
            </w:rPr>
          </w:pPr>
          <w:r>
            <w:fldChar w:fldCharType="begin"/>
          </w:r>
          <w:r>
            <w:instrText xml:space="preserve"> HYPERLINK \l "_Toc495861518" </w:instrText>
          </w:r>
          <w:r>
            <w:fldChar w:fldCharType="separate"/>
          </w:r>
          <w:r>
            <w:rPr>
              <w:rStyle w:val="27"/>
              <w:rFonts w:hint="eastAsia" w:ascii="黑体" w:hAnsi="黑体"/>
            </w:rPr>
            <w:t>第二章</w:t>
          </w:r>
          <w:r>
            <w:rPr>
              <w:rFonts w:eastAsiaTheme="minorEastAsia"/>
              <w:b w:val="0"/>
              <w:kern w:val="2"/>
              <w:sz w:val="21"/>
            </w:rPr>
            <w:tab/>
          </w:r>
          <w:r>
            <w:rPr>
              <w:rStyle w:val="27"/>
              <w:rFonts w:hint="eastAsia" w:ascii="黑体" w:hAnsi="黑体"/>
            </w:rPr>
            <w:t>投标人须知</w:t>
          </w:r>
          <w:r>
            <w:tab/>
          </w:r>
          <w:r>
            <w:fldChar w:fldCharType="begin"/>
          </w:r>
          <w:r>
            <w:instrText xml:space="preserve"> PAGEREF _Toc495861518 \h </w:instrText>
          </w:r>
          <w:r>
            <w:fldChar w:fldCharType="separate"/>
          </w:r>
          <w:r>
            <w:t>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"_Toc495861519" </w:instrText>
          </w:r>
          <w:r>
            <w:fldChar w:fldCharType="separate"/>
          </w:r>
          <w:r>
            <w:rPr>
              <w:rStyle w:val="27"/>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7"/>
          </w:pPr>
          <w:r>
            <w:fldChar w:fldCharType="begin"/>
          </w:r>
          <w:r>
            <w:instrText xml:space="preserve"> HYPERLINK \l "_Toc495861520" </w:instrText>
          </w:r>
          <w:r>
            <w:fldChar w:fldCharType="separate"/>
          </w:r>
          <w:r>
            <w:rPr>
              <w:rFonts w:hint="eastAsia"/>
            </w:rPr>
            <w:t>一、</w:t>
          </w:r>
          <w:r>
            <w:tab/>
          </w:r>
          <w:r>
            <w:rPr>
              <w:rFonts w:hint="eastAsia"/>
            </w:rPr>
            <w:t>说明</w:t>
          </w:r>
          <w:r>
            <w:t>………………………………………………………………………………………</w:t>
          </w:r>
          <w:r>
            <w:rPr>
              <w:rFonts w:hint="eastAsia"/>
            </w:rPr>
            <w:tab/>
          </w:r>
          <w:r>
            <w:fldChar w:fldCharType="begin"/>
          </w:r>
          <w:r>
            <w:instrText xml:space="preserve"> PAGEREF _Toc495861520 \h </w:instrText>
          </w:r>
          <w:r>
            <w:fldChar w:fldCharType="separate"/>
          </w:r>
          <w:r>
            <w:t>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"_Toc495861521"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"_Toc495861522" </w:instrText>
          </w:r>
          <w:r>
            <w:fldChar w:fldCharType="separate"/>
          </w:r>
          <w:r>
            <w:rPr>
              <w:rStyle w:val="27"/>
              <w:rFonts w:hint="eastAsia" w:cs="Times New Roman" w:asciiTheme="majorEastAsia" w:hAnsiTheme="majorEastAsia"/>
              <w:lang w:val="zh-CN"/>
            </w:rPr>
            <w:t>三、</w:t>
          </w:r>
          <w:r>
            <w:rPr>
              <w:rFonts w:asciiTheme="minorHAnsi" w:hAnsiTheme="minorHAnsi"/>
              <w:iCs w:val="0"/>
              <w:color w:val="auto"/>
              <w:kern w:val="2"/>
              <w:sz w:val="21"/>
            </w:rPr>
            <w:tab/>
          </w:r>
          <w:r>
            <w:rPr>
              <w:rStyle w:val="27"/>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"_Toc495861523" </w:instrText>
          </w:r>
          <w:r>
            <w:fldChar w:fldCharType="separate"/>
          </w:r>
          <w:r>
            <w:rPr>
              <w:rStyle w:val="27"/>
              <w:rFonts w:hint="eastAsia" w:cs="Times New Roman" w:asciiTheme="majorEastAsia" w:hAnsiTheme="majorEastAsia"/>
              <w:lang w:val="zh-CN"/>
            </w:rPr>
            <w:t>四、</w:t>
          </w:r>
          <w:r>
            <w:rPr>
              <w:rFonts w:asciiTheme="minorHAnsi" w:hAnsiTheme="minorHAnsi"/>
              <w:iCs w:val="0"/>
              <w:color w:val="auto"/>
              <w:kern w:val="2"/>
              <w:sz w:val="21"/>
            </w:rPr>
            <w:tab/>
          </w:r>
          <w:r>
            <w:rPr>
              <w:rStyle w:val="27"/>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"_Toc495861524" </w:instrText>
          </w:r>
          <w:r>
            <w:fldChar w:fldCharType="separate"/>
          </w:r>
          <w:r>
            <w:rPr>
              <w:rStyle w:val="27"/>
              <w:rFonts w:hint="eastAsia" w:cs="Times New Roman" w:asciiTheme="majorEastAsia" w:hAnsiTheme="majorEastAsia"/>
              <w:lang w:val="zh-CN"/>
            </w:rPr>
            <w:t>五、</w:t>
          </w:r>
          <w:r>
            <w:rPr>
              <w:rFonts w:asciiTheme="minorHAnsi" w:hAnsiTheme="minorHAnsi"/>
              <w:iCs w:val="0"/>
              <w:color w:val="auto"/>
              <w:kern w:val="2"/>
              <w:sz w:val="21"/>
            </w:rPr>
            <w:tab/>
          </w:r>
          <w:r>
            <w:rPr>
              <w:rStyle w:val="27"/>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"_Toc495861525" </w:instrText>
          </w:r>
          <w:r>
            <w:fldChar w:fldCharType="separate"/>
          </w:r>
          <w:r>
            <w:rPr>
              <w:rStyle w:val="27"/>
              <w:rFonts w:hint="eastAsia" w:cs="Times New Roman" w:asciiTheme="majorEastAsia" w:hAnsiTheme="majorEastAsia"/>
              <w:lang w:val="zh-CN"/>
            </w:rPr>
            <w:t>六、</w:t>
          </w:r>
          <w:r>
            <w:rPr>
              <w:rFonts w:asciiTheme="minorHAnsi" w:hAnsiTheme="minorHAnsi"/>
              <w:iCs w:val="0"/>
              <w:color w:val="auto"/>
              <w:kern w:val="2"/>
              <w:sz w:val="21"/>
            </w:rPr>
            <w:tab/>
          </w:r>
          <w:r>
            <w:rPr>
              <w:rStyle w:val="27"/>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"_Toc495861526" </w:instrText>
          </w:r>
          <w:r>
            <w:fldChar w:fldCharType="separate"/>
          </w:r>
          <w:r>
            <w:rPr>
              <w:rStyle w:val="27"/>
              <w:rFonts w:hint="eastAsia" w:cs="Times New Roman" w:asciiTheme="majorEastAsia" w:hAnsiTheme="majorEastAsia"/>
              <w:lang w:val="zh-CN"/>
            </w:rPr>
            <w:t>七、</w:t>
          </w:r>
          <w:r>
            <w:rPr>
              <w:rFonts w:asciiTheme="minorHAnsi" w:hAnsiTheme="minorHAnsi"/>
              <w:iCs w:val="0"/>
              <w:color w:val="auto"/>
              <w:kern w:val="2"/>
              <w:sz w:val="21"/>
            </w:rPr>
            <w:tab/>
          </w:r>
          <w:r>
            <w:rPr>
              <w:rStyle w:val="27"/>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"_Toc495861527" </w:instrText>
          </w:r>
          <w:r>
            <w:fldChar w:fldCharType="separate"/>
          </w:r>
          <w:r>
            <w:rPr>
              <w:rStyle w:val="27"/>
              <w:rFonts w:hint="eastAsia" w:cs="Times New Roman" w:asciiTheme="majorEastAsia" w:hAnsiTheme="majorEastAsia"/>
              <w:lang w:val="zh-CN"/>
            </w:rPr>
            <w:t>八、</w:t>
          </w:r>
          <w:r>
            <w:rPr>
              <w:rFonts w:asciiTheme="minorHAnsi" w:hAnsiTheme="minorHAnsi"/>
              <w:iCs w:val="0"/>
              <w:color w:val="auto"/>
              <w:kern w:val="2"/>
              <w:sz w:val="21"/>
            </w:rPr>
            <w:tab/>
          </w:r>
          <w:r>
            <w:rPr>
              <w:rStyle w:val="27"/>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"_Toc495861528" </w:instrText>
          </w:r>
          <w:r>
            <w:fldChar w:fldCharType="separate"/>
          </w:r>
          <w:r>
            <w:rPr>
              <w:rStyle w:val="27"/>
              <w:rFonts w:hint="eastAsia" w:cs="Times New Roman" w:asciiTheme="majorEastAsia" w:hAnsiTheme="majorEastAsia"/>
              <w:lang w:val="zh-CN"/>
            </w:rPr>
            <w:t>九、</w:t>
          </w:r>
          <w:r>
            <w:rPr>
              <w:rFonts w:asciiTheme="minorHAnsi" w:hAnsiTheme="minorHAnsi"/>
              <w:iCs w:val="0"/>
              <w:color w:val="auto"/>
              <w:kern w:val="2"/>
              <w:sz w:val="21"/>
            </w:rPr>
            <w:tab/>
          </w:r>
          <w:r>
            <w:rPr>
              <w:rStyle w:val="27"/>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"_Toc495861529" </w:instrText>
          </w:r>
          <w:r>
            <w:fldChar w:fldCharType="separate"/>
          </w:r>
          <w:r>
            <w:rPr>
              <w:rStyle w:val="27"/>
              <w:rFonts w:hint="eastAsia" w:cs="Times New Roman" w:asciiTheme="majorEastAsia" w:hAnsiTheme="majorEastAsia"/>
              <w:lang w:val="zh-CN"/>
            </w:rPr>
            <w:t>十、</w:t>
          </w:r>
          <w:r>
            <w:rPr>
              <w:rFonts w:asciiTheme="minorHAnsi" w:hAnsiTheme="minorHAnsi"/>
              <w:iCs w:val="0"/>
              <w:color w:val="auto"/>
              <w:kern w:val="2"/>
              <w:sz w:val="21"/>
            </w:rPr>
            <w:tab/>
          </w:r>
          <w:r>
            <w:rPr>
              <w:rStyle w:val="27"/>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"_Toc495861530" </w:instrText>
          </w:r>
          <w:r>
            <w:fldChar w:fldCharType="separate"/>
          </w:r>
          <w:r>
            <w:rPr>
              <w:rStyle w:val="27"/>
              <w:rFonts w:hint="eastAsia" w:cs="Times New Roman" w:asciiTheme="majorEastAsia" w:hAnsiTheme="majorEastAsia"/>
              <w:lang w:val="zh-CN"/>
            </w:rPr>
            <w:t>十一、</w:t>
          </w:r>
          <w:r>
            <w:rPr>
              <w:rFonts w:asciiTheme="minorHAnsi" w:hAnsiTheme="minorHAnsi"/>
              <w:iCs w:val="0"/>
              <w:color w:val="auto"/>
              <w:kern w:val="2"/>
              <w:sz w:val="21"/>
            </w:rPr>
            <w:tab/>
          </w:r>
          <w:r>
            <w:rPr>
              <w:rStyle w:val="27"/>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"_Toc495861531" </w:instrText>
          </w:r>
          <w:r>
            <w:fldChar w:fldCharType="separate"/>
          </w:r>
          <w:r>
            <w:rPr>
              <w:rStyle w:val="27"/>
              <w:rFonts w:hint="eastAsia" w:cs="Times New Roman" w:asciiTheme="majorEastAsia" w:hAnsiTheme="majorEastAsia"/>
              <w:lang w:val="zh-CN"/>
            </w:rPr>
            <w:t>十二、</w:t>
          </w:r>
          <w:r>
            <w:rPr>
              <w:rFonts w:asciiTheme="minorHAnsi" w:hAnsiTheme="minorHAnsi"/>
              <w:iCs w:val="0"/>
              <w:color w:val="auto"/>
              <w:kern w:val="2"/>
              <w:sz w:val="21"/>
            </w:rPr>
            <w:tab/>
          </w:r>
          <w:r>
            <w:rPr>
              <w:rStyle w:val="27"/>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18</w:t>
          </w:r>
          <w:r>
            <w:fldChar w:fldCharType="end"/>
          </w:r>
          <w:r>
            <w:fldChar w:fldCharType="end"/>
          </w:r>
        </w:p>
        <w:p>
          <w:pPr>
            <w:pStyle w:val="2"/>
            <w:tabs>
              <w:tab w:val="left" w:pos="1260"/>
              <w:tab w:val="right" w:leader="dot" w:pos="9514"/>
            </w:tabs>
            <w:rPr>
              <w:rFonts w:eastAsiaTheme="minorEastAsia"/>
              <w:b w:val="0"/>
              <w:kern w:val="2"/>
              <w:sz w:val="21"/>
            </w:rPr>
          </w:pPr>
          <w:r>
            <w:fldChar w:fldCharType="begin"/>
          </w:r>
          <w:r>
            <w:instrText xml:space="preserve"> HYPERLINK \l "_Toc495861532" </w:instrText>
          </w:r>
          <w:r>
            <w:fldChar w:fldCharType="separate"/>
          </w:r>
          <w:r>
            <w:rPr>
              <w:rStyle w:val="27"/>
              <w:rFonts w:hint="eastAsia" w:ascii="黑体" w:hAnsi="黑体"/>
            </w:rPr>
            <w:t>第三章</w:t>
          </w:r>
          <w:r>
            <w:rPr>
              <w:rFonts w:eastAsiaTheme="minorEastAsia"/>
              <w:b w:val="0"/>
              <w:kern w:val="2"/>
              <w:sz w:val="21"/>
            </w:rPr>
            <w:tab/>
          </w:r>
          <w:r>
            <w:rPr>
              <w:rStyle w:val="27"/>
              <w:rFonts w:hint="eastAsia" w:ascii="黑体" w:hAnsi="黑体"/>
            </w:rPr>
            <w:t>项目技术、服务及商务要求</w:t>
          </w:r>
          <w:r>
            <w:tab/>
          </w:r>
          <w:r>
            <w:fldChar w:fldCharType="begin"/>
          </w:r>
          <w:r>
            <w:instrText xml:space="preserve"> PAGEREF _Toc495861532 \h </w:instrText>
          </w:r>
          <w:r>
            <w:fldChar w:fldCharType="separate"/>
          </w:r>
          <w:r>
            <w:t>19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"_Toc495861533"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采购清单</w:t>
          </w:r>
          <w:r>
            <w:tab/>
          </w:r>
          <w:r>
            <w:rPr>
              <w:rFonts w:hint="eastAsia"/>
            </w:rPr>
            <w:t>19</w:t>
          </w:r>
          <w:r>
            <w:rPr>
              <w:rFonts w:hint="eastAsia"/>
            </w:rPr>
            <w:fldChar w:fldCharType="end"/>
          </w:r>
        </w:p>
        <w:p>
          <w:pPr>
            <w:pStyle w:val="17"/>
            <w:rPr>
              <w:rFonts w:asciiTheme="minorHAnsi" w:hAnsiTheme="minorHAnsi"/>
              <w:iCs w:val="0"/>
              <w:color w:val="auto"/>
              <w:kern w:val="2"/>
              <w:sz w:val="21"/>
            </w:rPr>
          </w:pPr>
          <w:r>
            <w:fldChar w:fldCharType="begin"/>
          </w:r>
          <w:r>
            <w:instrText xml:space="preserve"> HYPERLINK \l "_Toc495861536"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技术、服务要求</w:t>
          </w:r>
          <w:r>
            <w:tab/>
          </w:r>
          <w:r>
            <w:rPr>
              <w:rFonts w:hint="eastAsia"/>
            </w:rPr>
            <w:t>19</w:t>
          </w:r>
          <w:r>
            <w:rPr>
              <w:rFonts w:hint="eastAsia"/>
            </w:rPr>
            <w:fldChar w:fldCharType="end"/>
          </w:r>
        </w:p>
        <w:p>
          <w:pPr>
            <w:pStyle w:val="17"/>
            <w:rPr>
              <w:rFonts w:asciiTheme="minorHAnsi" w:hAnsiTheme="minorHAnsi"/>
              <w:iCs w:val="0"/>
              <w:color w:val="auto"/>
              <w:kern w:val="2"/>
              <w:sz w:val="21"/>
            </w:rPr>
          </w:pPr>
          <w:r>
            <w:fldChar w:fldCharType="begin"/>
          </w:r>
          <w:r>
            <w:instrText xml:space="preserve"> HYPERLINK \l "_Toc495861537" </w:instrText>
          </w:r>
          <w:r>
            <w:fldChar w:fldCharType="separate"/>
          </w:r>
          <w:r>
            <w:rPr>
              <w:rStyle w:val="27"/>
              <w:rFonts w:hint="eastAsia" w:cs="Times New Roman" w:asciiTheme="majorEastAsia" w:hAnsiTheme="majorEastAsia"/>
              <w:lang w:val="zh-CN"/>
            </w:rPr>
            <w:t>三、</w:t>
          </w:r>
          <w:r>
            <w:rPr>
              <w:rFonts w:asciiTheme="minorHAnsi" w:hAnsiTheme="minorHAnsi"/>
              <w:iCs w:val="0"/>
              <w:color w:val="auto"/>
              <w:kern w:val="2"/>
              <w:sz w:val="21"/>
            </w:rPr>
            <w:tab/>
          </w:r>
          <w:r>
            <w:rPr>
              <w:rStyle w:val="27"/>
              <w:rFonts w:hint="eastAsia" w:cs="Times New Roman" w:asciiTheme="majorEastAsia" w:hAnsiTheme="majorEastAsia"/>
              <w:lang w:val="zh-CN"/>
            </w:rPr>
            <w:t>商务要求</w:t>
          </w:r>
          <w:r>
            <w:tab/>
          </w:r>
          <w:r>
            <w:rPr>
              <w:rFonts w:hint="eastAsia"/>
            </w:rPr>
            <w:t>23</w:t>
          </w:r>
          <w:r>
            <w:rPr>
              <w:rFonts w:hint="eastAsia"/>
            </w:rPr>
            <w:fldChar w:fldCharType="end"/>
          </w:r>
        </w:p>
        <w:p>
          <w:pPr>
            <w:pStyle w:val="2"/>
            <w:tabs>
              <w:tab w:val="left" w:pos="1260"/>
              <w:tab w:val="right" w:leader="dot" w:pos="9514"/>
            </w:tabs>
            <w:rPr>
              <w:rFonts w:eastAsiaTheme="minorEastAsia"/>
              <w:b w:val="0"/>
              <w:kern w:val="2"/>
              <w:sz w:val="21"/>
            </w:rPr>
          </w:pPr>
          <w:r>
            <w:fldChar w:fldCharType="begin"/>
          </w:r>
          <w:r>
            <w:instrText xml:space="preserve"> HYPERLINK \l "_Toc495861538" </w:instrText>
          </w:r>
          <w:r>
            <w:fldChar w:fldCharType="separate"/>
          </w:r>
          <w:r>
            <w:rPr>
              <w:rStyle w:val="27"/>
              <w:rFonts w:hint="eastAsia" w:ascii="黑体" w:hAnsi="黑体"/>
            </w:rPr>
            <w:t>第四章</w:t>
          </w:r>
          <w:r>
            <w:rPr>
              <w:rFonts w:eastAsiaTheme="minorEastAsia"/>
              <w:b w:val="0"/>
              <w:kern w:val="2"/>
              <w:sz w:val="21"/>
            </w:rPr>
            <w:tab/>
          </w:r>
          <w:r>
            <w:rPr>
              <w:rStyle w:val="27"/>
              <w:rFonts w:hint="eastAsia" w:ascii="黑体" w:hAnsi="黑体"/>
            </w:rPr>
            <w:t>资格审查方法及标准</w:t>
          </w:r>
          <w:r>
            <w:tab/>
          </w:r>
          <w:r>
            <w:fldChar w:fldCharType="begin"/>
          </w:r>
          <w:r>
            <w:instrText xml:space="preserve"> PAGEREF _Toc495861538 \h </w:instrText>
          </w:r>
          <w:r>
            <w:fldChar w:fldCharType="separate"/>
          </w:r>
          <w:r>
            <w:t>24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"_Toc495861539"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"_Toc495861540"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24</w:t>
          </w:r>
          <w:r>
            <w:fldChar w:fldCharType="end"/>
          </w:r>
          <w:r>
            <w:fldChar w:fldCharType="end"/>
          </w:r>
        </w:p>
        <w:p>
          <w:pPr>
            <w:pStyle w:val="2"/>
            <w:tabs>
              <w:tab w:val="left" w:pos="1260"/>
              <w:tab w:val="right" w:leader="dot" w:pos="9514"/>
            </w:tabs>
            <w:rPr>
              <w:rFonts w:eastAsiaTheme="minorEastAsia"/>
              <w:b w:val="0"/>
              <w:kern w:val="2"/>
              <w:sz w:val="21"/>
            </w:rPr>
          </w:pPr>
          <w:r>
            <w:fldChar w:fldCharType="begin"/>
          </w:r>
          <w:r>
            <w:instrText xml:space="preserve"> HYPERLINK \l "_Toc495861541" </w:instrText>
          </w:r>
          <w:r>
            <w:fldChar w:fldCharType="separate"/>
          </w:r>
          <w:r>
            <w:rPr>
              <w:rStyle w:val="27"/>
              <w:rFonts w:hint="eastAsia" w:ascii="黑体" w:hAnsi="黑体"/>
            </w:rPr>
            <w:t>第五章</w:t>
          </w:r>
          <w:r>
            <w:rPr>
              <w:rFonts w:eastAsiaTheme="minorEastAsia"/>
              <w:b w:val="0"/>
              <w:kern w:val="2"/>
              <w:sz w:val="21"/>
            </w:rPr>
            <w:tab/>
          </w:r>
          <w:r>
            <w:rPr>
              <w:rStyle w:val="27"/>
              <w:rFonts w:hint="eastAsia" w:ascii="黑体" w:hAnsi="黑体"/>
            </w:rPr>
            <w:t>评标方法、程序及标准</w:t>
          </w:r>
          <w:r>
            <w:tab/>
          </w:r>
          <w:r>
            <w:fldChar w:fldCharType="begin"/>
          </w:r>
          <w:r>
            <w:instrText xml:space="preserve"> PAGEREF _Toc495861541 \h </w:instrText>
          </w:r>
          <w:r>
            <w:fldChar w:fldCharType="separate"/>
          </w:r>
          <w:r>
            <w:t>26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"_Toc495861542"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"_Toc495861543"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"_Toc495861544" </w:instrText>
          </w:r>
          <w:r>
            <w:fldChar w:fldCharType="separate"/>
          </w:r>
          <w:r>
            <w:rPr>
              <w:rStyle w:val="27"/>
              <w:rFonts w:hint="eastAsia" w:cs="Times New Roman" w:asciiTheme="majorEastAsia" w:hAnsiTheme="majorEastAsia"/>
              <w:lang w:val="zh-CN"/>
            </w:rPr>
            <w:t>三、</w:t>
          </w:r>
          <w:r>
            <w:rPr>
              <w:rFonts w:asciiTheme="minorHAnsi" w:hAnsiTheme="minorHAnsi"/>
              <w:iCs w:val="0"/>
              <w:color w:val="auto"/>
              <w:kern w:val="2"/>
              <w:sz w:val="21"/>
            </w:rPr>
            <w:tab/>
          </w:r>
          <w:r>
            <w:rPr>
              <w:rStyle w:val="27"/>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30</w:t>
          </w:r>
          <w:r>
            <w:fldChar w:fldCharType="end"/>
          </w:r>
          <w:r>
            <w:fldChar w:fldCharType="end"/>
          </w:r>
        </w:p>
        <w:p>
          <w:pPr>
            <w:pStyle w:val="2"/>
            <w:tabs>
              <w:tab w:val="left" w:pos="1260"/>
              <w:tab w:val="right" w:leader="dot" w:pos="9514"/>
            </w:tabs>
            <w:rPr>
              <w:rFonts w:eastAsiaTheme="minorEastAsia"/>
              <w:b w:val="0"/>
              <w:kern w:val="2"/>
              <w:sz w:val="21"/>
            </w:rPr>
          </w:pPr>
          <w:r>
            <w:fldChar w:fldCharType="begin"/>
          </w:r>
          <w:r>
            <w:instrText xml:space="preserve"> HYPERLINK \l "_Toc495861545" </w:instrText>
          </w:r>
          <w:r>
            <w:fldChar w:fldCharType="separate"/>
          </w:r>
          <w:r>
            <w:rPr>
              <w:rStyle w:val="27"/>
              <w:rFonts w:hint="eastAsia" w:ascii="黑体" w:hAnsi="黑体"/>
            </w:rPr>
            <w:t>第六章</w:t>
          </w:r>
          <w:r>
            <w:rPr>
              <w:rFonts w:eastAsiaTheme="minorEastAsia"/>
              <w:b w:val="0"/>
              <w:kern w:val="2"/>
              <w:sz w:val="21"/>
            </w:rPr>
            <w:tab/>
          </w:r>
          <w:r>
            <w:rPr>
              <w:rStyle w:val="27"/>
              <w:rFonts w:hint="eastAsia" w:ascii="黑体" w:hAnsi="黑体"/>
            </w:rPr>
            <w:t>合同书格式（参考）</w:t>
          </w:r>
          <w:r>
            <w:tab/>
          </w:r>
          <w:r>
            <w:fldChar w:fldCharType="begin"/>
          </w:r>
          <w:r>
            <w:instrText xml:space="preserve"> PAGEREF _Toc495861545 \h </w:instrText>
          </w:r>
          <w:r>
            <w:fldChar w:fldCharType="separate"/>
          </w:r>
          <w:r>
            <w:t>32</w:t>
          </w:r>
          <w:r>
            <w:fldChar w:fldCharType="end"/>
          </w:r>
          <w:r>
            <w:fldChar w:fldCharType="end"/>
          </w:r>
        </w:p>
        <w:p>
          <w:pPr>
            <w:pStyle w:val="2"/>
            <w:tabs>
              <w:tab w:val="left" w:pos="1260"/>
              <w:tab w:val="right" w:leader="dot" w:pos="9514"/>
            </w:tabs>
            <w:rPr>
              <w:rFonts w:eastAsiaTheme="minorEastAsia"/>
              <w:b w:val="0"/>
              <w:kern w:val="2"/>
              <w:sz w:val="21"/>
            </w:rPr>
          </w:pPr>
          <w:r>
            <w:fldChar w:fldCharType="begin"/>
          </w:r>
          <w:r>
            <w:instrText xml:space="preserve"> HYPERLINK \l "_Toc495861546" </w:instrText>
          </w:r>
          <w:r>
            <w:fldChar w:fldCharType="separate"/>
          </w:r>
          <w:r>
            <w:rPr>
              <w:rStyle w:val="27"/>
              <w:rFonts w:hint="eastAsia" w:ascii="黑体" w:hAnsi="黑体"/>
            </w:rPr>
            <w:t>第七章</w:t>
          </w:r>
          <w:r>
            <w:rPr>
              <w:rFonts w:eastAsiaTheme="minorEastAsia"/>
              <w:b w:val="0"/>
              <w:kern w:val="2"/>
              <w:sz w:val="21"/>
            </w:rPr>
            <w:tab/>
          </w:r>
          <w:r>
            <w:rPr>
              <w:rStyle w:val="27"/>
              <w:rFonts w:hint="eastAsia" w:ascii="黑体" w:hAnsi="黑体"/>
            </w:rPr>
            <w:t>投标文件格式（参考）</w:t>
          </w:r>
          <w:r>
            <w:tab/>
          </w:r>
          <w:r>
            <w:fldChar w:fldCharType="begin"/>
          </w:r>
          <w:r>
            <w:instrText xml:space="preserve"> PAGEREF _Toc495861546 \h </w:instrText>
          </w:r>
          <w:r>
            <w:fldChar w:fldCharType="separate"/>
          </w:r>
          <w:r>
            <w:t>34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"_Toc495861547" </w:instrText>
          </w:r>
          <w:r>
            <w:fldChar w:fldCharType="separate"/>
          </w:r>
          <w:r>
            <w:rPr>
              <w:rStyle w:val="27"/>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"_Toc495861548" </w:instrText>
          </w:r>
          <w:r>
            <w:fldChar w:fldCharType="separate"/>
          </w:r>
          <w:r>
            <w:rPr>
              <w:rStyle w:val="27"/>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"_Toc495861549" </w:instrText>
          </w:r>
          <w:r>
            <w:fldChar w:fldCharType="separate"/>
          </w:r>
          <w:r>
            <w:rPr>
              <w:rStyle w:val="27"/>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38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"_Toc495861550" </w:instrText>
          </w:r>
          <w:r>
            <w:fldChar w:fldCharType="separate"/>
          </w:r>
          <w:r>
            <w:rPr>
              <w:rStyle w:val="27"/>
              <w:rFonts w:hint="eastAsia" w:eastAsia="宋体"/>
            </w:rPr>
            <w:t>附件一、</w:t>
          </w:r>
          <w:r>
            <w:rPr>
              <w:rFonts w:asciiTheme="minorHAnsi" w:hAnsiTheme="minorHAnsi"/>
              <w:iCs w:val="0"/>
              <w:color w:val="auto"/>
              <w:kern w:val="2"/>
              <w:sz w:val="21"/>
            </w:rPr>
            <w:tab/>
          </w:r>
          <w:r>
            <w:rPr>
              <w:rStyle w:val="27"/>
              <w:rFonts w:hint="eastAsia" w:eastAsia="宋体"/>
            </w:rPr>
            <w:t>投标书</w:t>
          </w:r>
          <w:r>
            <w:tab/>
          </w:r>
          <w:r>
            <w:fldChar w:fldCharType="begin"/>
          </w:r>
          <w:r>
            <w:instrText xml:space="preserve"> PAGEREF _Toc495861550 \h </w:instrText>
          </w:r>
          <w:r>
            <w:fldChar w:fldCharType="separate"/>
          </w:r>
          <w:r>
            <w:t>40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"_Toc495861551" </w:instrText>
          </w:r>
          <w:r>
            <w:fldChar w:fldCharType="separate"/>
          </w:r>
          <w:r>
            <w:rPr>
              <w:rStyle w:val="27"/>
              <w:rFonts w:hint="eastAsia" w:eastAsia="宋体"/>
            </w:rPr>
            <w:t>附件二、</w:t>
          </w:r>
          <w:r>
            <w:rPr>
              <w:rFonts w:asciiTheme="minorHAnsi" w:hAnsiTheme="minorHAnsi"/>
              <w:iCs w:val="0"/>
              <w:color w:val="auto"/>
              <w:kern w:val="2"/>
              <w:sz w:val="21"/>
            </w:rPr>
            <w:tab/>
          </w:r>
          <w:r>
            <w:rPr>
              <w:rStyle w:val="27"/>
              <w:rFonts w:hint="eastAsia" w:eastAsia="宋体"/>
            </w:rPr>
            <w:t>制造商中小企业声明函</w:t>
          </w:r>
          <w:r>
            <w:tab/>
          </w:r>
          <w:r>
            <w:fldChar w:fldCharType="begin"/>
          </w:r>
          <w:r>
            <w:instrText xml:space="preserve"> PAGEREF _Toc495861551 \h </w:instrText>
          </w:r>
          <w:r>
            <w:fldChar w:fldCharType="separate"/>
          </w:r>
          <w:r>
            <w:t>41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"_Toc495861552" </w:instrText>
          </w:r>
          <w:r>
            <w:fldChar w:fldCharType="separate"/>
          </w:r>
          <w:r>
            <w:rPr>
              <w:rStyle w:val="27"/>
              <w:rFonts w:hint="eastAsia" w:eastAsia="宋体"/>
            </w:rPr>
            <w:t>附件三、</w:t>
          </w:r>
          <w:r>
            <w:rPr>
              <w:rFonts w:asciiTheme="minorHAnsi" w:hAnsiTheme="minorHAnsi"/>
              <w:iCs w:val="0"/>
              <w:color w:val="auto"/>
              <w:kern w:val="2"/>
              <w:sz w:val="21"/>
            </w:rPr>
            <w:tab/>
          </w:r>
          <w:r>
            <w:rPr>
              <w:rStyle w:val="27"/>
              <w:rFonts w:hint="eastAsia" w:eastAsia="宋体"/>
            </w:rPr>
            <w:t>中小企业声明函</w:t>
          </w:r>
          <w:r>
            <w:tab/>
          </w:r>
          <w:r>
            <w:fldChar w:fldCharType="begin"/>
          </w:r>
          <w:r>
            <w:instrText xml:space="preserve"> PAGEREF _Toc495861552 \h </w:instrText>
          </w:r>
          <w:r>
            <w:fldChar w:fldCharType="separate"/>
          </w:r>
          <w:r>
            <w:t>42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"_Toc495861553" </w:instrText>
          </w:r>
          <w:r>
            <w:fldChar w:fldCharType="separate"/>
          </w:r>
          <w:r>
            <w:rPr>
              <w:rStyle w:val="27"/>
              <w:rFonts w:hint="eastAsia" w:eastAsia="宋体"/>
            </w:rPr>
            <w:t>附件四、</w:t>
          </w:r>
          <w:r>
            <w:rPr>
              <w:rFonts w:asciiTheme="minorHAnsi" w:hAnsiTheme="minorHAnsi"/>
              <w:iCs w:val="0"/>
              <w:color w:val="auto"/>
              <w:kern w:val="2"/>
              <w:sz w:val="21"/>
            </w:rPr>
            <w:tab/>
          </w:r>
          <w:r>
            <w:rPr>
              <w:rStyle w:val="27"/>
              <w:rFonts w:hint="eastAsia" w:eastAsia="宋体"/>
            </w:rPr>
            <w:t>残疾人福利性单位声明函</w:t>
          </w:r>
          <w:r>
            <w:tab/>
          </w:r>
          <w:r>
            <w:fldChar w:fldCharType="begin"/>
          </w:r>
          <w:r>
            <w:instrText xml:space="preserve"> PAGEREF _Toc495861553 \h </w:instrText>
          </w:r>
          <w:r>
            <w:fldChar w:fldCharType="separate"/>
          </w:r>
          <w:r>
            <w:t>44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"_Toc495861554" </w:instrText>
          </w:r>
          <w:r>
            <w:fldChar w:fldCharType="separate"/>
          </w:r>
          <w:r>
            <w:rPr>
              <w:rStyle w:val="27"/>
              <w:rFonts w:hint="eastAsia" w:eastAsia="宋体"/>
            </w:rPr>
            <w:t>附件五、</w:t>
          </w:r>
          <w:r>
            <w:rPr>
              <w:rFonts w:asciiTheme="minorHAnsi" w:hAnsiTheme="minorHAnsi"/>
              <w:iCs w:val="0"/>
              <w:color w:val="auto"/>
              <w:kern w:val="2"/>
              <w:sz w:val="21"/>
            </w:rPr>
            <w:tab/>
          </w:r>
          <w:r>
            <w:rPr>
              <w:rStyle w:val="27"/>
              <w:rFonts w:hint="eastAsia" w:eastAsia="宋体"/>
            </w:rPr>
            <w:t>开标一览表</w:t>
          </w:r>
          <w:r>
            <w:tab/>
          </w:r>
          <w:r>
            <w:fldChar w:fldCharType="begin"/>
          </w:r>
          <w:r>
            <w:instrText xml:space="preserve"> PAGEREF _Toc495861554 \h </w:instrText>
          </w:r>
          <w:r>
            <w:fldChar w:fldCharType="separate"/>
          </w:r>
          <w:r>
            <w:t>47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"_Toc495861555" </w:instrText>
          </w:r>
          <w:r>
            <w:fldChar w:fldCharType="separate"/>
          </w:r>
          <w:r>
            <w:rPr>
              <w:rStyle w:val="27"/>
              <w:rFonts w:hint="eastAsia" w:eastAsia="宋体"/>
            </w:rPr>
            <w:t>附件六、</w:t>
          </w:r>
          <w:r>
            <w:rPr>
              <w:rFonts w:asciiTheme="minorHAnsi" w:hAnsiTheme="minorHAnsi"/>
              <w:iCs w:val="0"/>
              <w:color w:val="auto"/>
              <w:kern w:val="2"/>
              <w:sz w:val="21"/>
            </w:rPr>
            <w:tab/>
          </w:r>
          <w:r>
            <w:rPr>
              <w:rStyle w:val="27"/>
              <w:rFonts w:hint="eastAsia" w:eastAsia="宋体"/>
            </w:rPr>
            <w:t>投标报价明细表</w:t>
          </w:r>
          <w:r>
            <w:tab/>
          </w:r>
          <w:r>
            <w:fldChar w:fldCharType="begin"/>
          </w:r>
          <w:r>
            <w:instrText xml:space="preserve"> PAGEREF _Toc495861555 \h </w:instrText>
          </w:r>
          <w:r>
            <w:fldChar w:fldCharType="separate"/>
          </w:r>
          <w:r>
            <w:t>48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"_Toc495861556" </w:instrText>
          </w:r>
          <w:r>
            <w:fldChar w:fldCharType="separate"/>
          </w:r>
          <w:r>
            <w:rPr>
              <w:rStyle w:val="27"/>
              <w:rFonts w:hint="eastAsia" w:eastAsia="宋体"/>
            </w:rPr>
            <w:t>附件七、</w:t>
          </w:r>
          <w:r>
            <w:rPr>
              <w:rFonts w:asciiTheme="minorHAnsi" w:hAnsiTheme="minorHAnsi"/>
              <w:iCs w:val="0"/>
              <w:color w:val="auto"/>
              <w:kern w:val="2"/>
              <w:sz w:val="21"/>
            </w:rPr>
            <w:tab/>
          </w:r>
          <w:r>
            <w:rPr>
              <w:rStyle w:val="27"/>
              <w:rFonts w:hint="eastAsia" w:eastAsia="宋体"/>
            </w:rPr>
            <w:t>小型和微型企业、监狱企业、残疾人福利性单位货物汇总表</w:t>
          </w:r>
          <w:r>
            <w:tab/>
          </w:r>
          <w:r>
            <w:fldChar w:fldCharType="begin"/>
          </w:r>
          <w:r>
            <w:instrText xml:space="preserve"> PAGEREF _Toc495861556 \h </w:instrText>
          </w:r>
          <w:r>
            <w:fldChar w:fldCharType="separate"/>
          </w:r>
          <w:r>
            <w:t>49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"_Toc495861557" </w:instrText>
          </w:r>
          <w:r>
            <w:fldChar w:fldCharType="separate"/>
          </w:r>
          <w:r>
            <w:rPr>
              <w:rStyle w:val="27"/>
              <w:rFonts w:hint="eastAsia" w:eastAsia="宋体"/>
            </w:rPr>
            <w:t>附件八、</w:t>
          </w:r>
          <w:r>
            <w:rPr>
              <w:rFonts w:asciiTheme="minorHAnsi" w:hAnsiTheme="minorHAnsi"/>
              <w:iCs w:val="0"/>
              <w:color w:val="auto"/>
              <w:kern w:val="2"/>
              <w:sz w:val="21"/>
            </w:rPr>
            <w:tab/>
          </w:r>
          <w:r>
            <w:rPr>
              <w:rStyle w:val="27"/>
              <w:rFonts w:hint="eastAsia" w:eastAsia="宋体"/>
            </w:rPr>
            <w:t>投标货物（工程或服务）清单</w:t>
          </w:r>
          <w:r>
            <w:tab/>
          </w:r>
          <w:r>
            <w:fldChar w:fldCharType="begin"/>
          </w:r>
          <w:r>
            <w:instrText xml:space="preserve"> PAGEREF _Toc495861557 \h </w:instrText>
          </w:r>
          <w:r>
            <w:fldChar w:fldCharType="separate"/>
          </w:r>
          <w:r>
            <w:t>50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"_Toc495861558" </w:instrText>
          </w:r>
          <w:r>
            <w:fldChar w:fldCharType="separate"/>
          </w:r>
          <w:r>
            <w:rPr>
              <w:rStyle w:val="27"/>
              <w:rFonts w:hint="eastAsia" w:eastAsia="宋体"/>
            </w:rPr>
            <w:t>附件九、</w:t>
          </w:r>
          <w:r>
            <w:rPr>
              <w:rFonts w:asciiTheme="minorHAnsi" w:hAnsiTheme="minorHAnsi"/>
              <w:iCs w:val="0"/>
              <w:color w:val="auto"/>
              <w:kern w:val="2"/>
              <w:sz w:val="21"/>
            </w:rPr>
            <w:tab/>
          </w:r>
          <w:r>
            <w:rPr>
              <w:rStyle w:val="27"/>
              <w:rFonts w:hint="eastAsia" w:eastAsia="宋体"/>
            </w:rPr>
            <w:t>交纳投标保证金的银行凭证</w:t>
          </w:r>
          <w:r>
            <w:tab/>
          </w:r>
          <w:r>
            <w:fldChar w:fldCharType="begin"/>
          </w:r>
          <w:r>
            <w:instrText xml:space="preserve"> PAGEREF _Toc495861558 \h </w:instrText>
          </w:r>
          <w:r>
            <w:fldChar w:fldCharType="separate"/>
          </w:r>
          <w:r>
            <w:t>51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"_Toc495861559" </w:instrText>
          </w:r>
          <w:r>
            <w:fldChar w:fldCharType="separate"/>
          </w:r>
          <w:r>
            <w:rPr>
              <w:rStyle w:val="27"/>
              <w:rFonts w:hint="eastAsia" w:eastAsia="宋体"/>
            </w:rPr>
            <w:t>附件十、</w:t>
          </w:r>
          <w:r>
            <w:rPr>
              <w:rFonts w:asciiTheme="minorHAnsi" w:hAnsiTheme="minorHAnsi"/>
              <w:iCs w:val="0"/>
              <w:color w:val="auto"/>
              <w:kern w:val="2"/>
              <w:sz w:val="21"/>
            </w:rPr>
            <w:tab/>
          </w:r>
          <w:r>
            <w:rPr>
              <w:rStyle w:val="27"/>
              <w:rFonts w:hint="eastAsia" w:eastAsia="宋体"/>
            </w:rPr>
            <w:t>法定代表人授权书</w:t>
          </w:r>
          <w:r>
            <w:tab/>
          </w:r>
          <w:r>
            <w:fldChar w:fldCharType="begin"/>
          </w:r>
          <w:r>
            <w:instrText xml:space="preserve"> PAGEREF _Toc495861559 \h </w:instrText>
          </w:r>
          <w:r>
            <w:fldChar w:fldCharType="separate"/>
          </w:r>
          <w:r>
            <w:t>52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"_Toc495861560" </w:instrText>
          </w:r>
          <w:r>
            <w:fldChar w:fldCharType="separate"/>
          </w:r>
          <w:r>
            <w:rPr>
              <w:rStyle w:val="27"/>
              <w:rFonts w:hint="eastAsia" w:eastAsia="宋体"/>
            </w:rPr>
            <w:t>附件十一、</w:t>
          </w:r>
          <w:r>
            <w:rPr>
              <w:rFonts w:asciiTheme="minorHAnsi" w:hAnsiTheme="minorHAnsi"/>
              <w:iCs w:val="0"/>
              <w:color w:val="auto"/>
              <w:kern w:val="2"/>
              <w:sz w:val="21"/>
            </w:rPr>
            <w:tab/>
          </w:r>
          <w:r>
            <w:rPr>
              <w:rStyle w:val="27"/>
              <w:rFonts w:hint="eastAsia" w:eastAsia="宋体"/>
            </w:rPr>
            <w:t>投标人的资格声明</w:t>
          </w:r>
          <w:r>
            <w:tab/>
          </w:r>
          <w:r>
            <w:fldChar w:fldCharType="begin"/>
          </w:r>
          <w:r>
            <w:instrText xml:space="preserve"> PAGEREF _Toc495861560 \h </w:instrText>
          </w:r>
          <w:r>
            <w:fldChar w:fldCharType="separate"/>
          </w:r>
          <w:r>
            <w:t>53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"_Toc495861561" </w:instrText>
          </w:r>
          <w:r>
            <w:fldChar w:fldCharType="separate"/>
          </w:r>
          <w:r>
            <w:rPr>
              <w:rStyle w:val="27"/>
              <w:rFonts w:hint="eastAsia" w:eastAsia="宋体"/>
            </w:rPr>
            <w:t>附件十二、</w:t>
          </w:r>
          <w:r>
            <w:rPr>
              <w:rFonts w:asciiTheme="minorHAnsi" w:hAnsiTheme="minorHAnsi"/>
              <w:iCs w:val="0"/>
              <w:color w:val="auto"/>
              <w:kern w:val="2"/>
              <w:sz w:val="21"/>
            </w:rPr>
            <w:tab/>
          </w:r>
          <w:r>
            <w:rPr>
              <w:rStyle w:val="27"/>
              <w:rFonts w:hint="eastAsia" w:eastAsia="宋体"/>
            </w:rPr>
            <w:t>项目负责人、技术负责人简历表</w:t>
          </w:r>
          <w:r>
            <w:tab/>
          </w:r>
          <w:r>
            <w:fldChar w:fldCharType="begin"/>
          </w:r>
          <w:r>
            <w:instrText xml:space="preserve"> PAGEREF _Toc495861561 \h </w:instrText>
          </w:r>
          <w:r>
            <w:fldChar w:fldCharType="separate"/>
          </w:r>
          <w:r>
            <w:t>54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"_Toc495861562" </w:instrText>
          </w:r>
          <w:r>
            <w:fldChar w:fldCharType="separate"/>
          </w:r>
          <w:r>
            <w:rPr>
              <w:rStyle w:val="27"/>
              <w:rFonts w:hint="eastAsia" w:eastAsia="宋体"/>
            </w:rPr>
            <w:t>附件十三、</w:t>
          </w:r>
          <w:r>
            <w:rPr>
              <w:rFonts w:asciiTheme="minorHAnsi" w:hAnsiTheme="minorHAnsi"/>
              <w:iCs w:val="0"/>
              <w:color w:val="auto"/>
              <w:kern w:val="2"/>
              <w:sz w:val="21"/>
            </w:rPr>
            <w:tab/>
          </w:r>
          <w:r>
            <w:rPr>
              <w:rStyle w:val="27"/>
              <w:rFonts w:hint="eastAsia" w:eastAsia="宋体"/>
            </w:rPr>
            <w:t>项目班子成员情况表</w:t>
          </w:r>
          <w:r>
            <w:tab/>
          </w:r>
          <w:r>
            <w:fldChar w:fldCharType="begin"/>
          </w:r>
          <w:r>
            <w:instrText xml:space="preserve"> PAGEREF _Toc495861562 \h </w:instrText>
          </w:r>
          <w:r>
            <w:fldChar w:fldCharType="separate"/>
          </w:r>
          <w:r>
            <w:t>55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"_Toc495861563" </w:instrText>
          </w:r>
          <w:r>
            <w:fldChar w:fldCharType="separate"/>
          </w:r>
          <w:r>
            <w:rPr>
              <w:rStyle w:val="27"/>
              <w:rFonts w:hint="eastAsia" w:eastAsia="宋体"/>
            </w:rPr>
            <w:t>附件十四、</w:t>
          </w:r>
          <w:r>
            <w:rPr>
              <w:rFonts w:asciiTheme="minorHAnsi" w:hAnsiTheme="minorHAnsi"/>
              <w:iCs w:val="0"/>
              <w:color w:val="auto"/>
              <w:kern w:val="2"/>
              <w:sz w:val="21"/>
            </w:rPr>
            <w:tab/>
          </w:r>
          <w:r>
            <w:rPr>
              <w:rStyle w:val="27"/>
              <w:rFonts w:hint="eastAsia" w:eastAsia="宋体"/>
            </w:rPr>
            <w:t>投标人类似项目业绩表</w:t>
          </w:r>
          <w:r>
            <w:tab/>
          </w:r>
          <w:r>
            <w:fldChar w:fldCharType="begin"/>
          </w:r>
          <w:r>
            <w:instrText xml:space="preserve"> PAGEREF _Toc495861563 \h </w:instrText>
          </w:r>
          <w:r>
            <w:fldChar w:fldCharType="separate"/>
          </w:r>
          <w:r>
            <w:t>56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"_Toc495861564" </w:instrText>
          </w:r>
          <w:r>
            <w:fldChar w:fldCharType="separate"/>
          </w:r>
          <w:r>
            <w:rPr>
              <w:rStyle w:val="27"/>
              <w:rFonts w:hint="eastAsia" w:eastAsia="宋体"/>
            </w:rPr>
            <w:t>附件十五、</w:t>
          </w:r>
          <w:r>
            <w:rPr>
              <w:rFonts w:asciiTheme="minorHAnsi" w:hAnsiTheme="minorHAnsi"/>
              <w:iCs w:val="0"/>
              <w:color w:val="auto"/>
              <w:kern w:val="2"/>
              <w:sz w:val="21"/>
            </w:rPr>
            <w:tab/>
          </w:r>
          <w:r>
            <w:rPr>
              <w:rStyle w:val="27"/>
              <w:rFonts w:hint="eastAsia" w:eastAsia="宋体"/>
            </w:rPr>
            <w:t>符合性审查对照表</w:t>
          </w:r>
          <w:r>
            <w:tab/>
          </w:r>
          <w:r>
            <w:fldChar w:fldCharType="begin"/>
          </w:r>
          <w:r>
            <w:instrText xml:space="preserve"> PAGEREF _Toc495861564 \h </w:instrText>
          </w:r>
          <w:r>
            <w:fldChar w:fldCharType="separate"/>
          </w:r>
          <w:r>
            <w:t>57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"_Toc495861565" </w:instrText>
          </w:r>
          <w:r>
            <w:fldChar w:fldCharType="separate"/>
          </w:r>
          <w:r>
            <w:rPr>
              <w:rStyle w:val="27"/>
              <w:rFonts w:hint="eastAsia" w:eastAsia="宋体"/>
            </w:rPr>
            <w:t>附件十六、</w:t>
          </w:r>
          <w:r>
            <w:rPr>
              <w:rFonts w:asciiTheme="minorHAnsi" w:hAnsiTheme="minorHAnsi"/>
              <w:iCs w:val="0"/>
              <w:color w:val="auto"/>
              <w:kern w:val="2"/>
              <w:sz w:val="21"/>
            </w:rPr>
            <w:tab/>
          </w:r>
          <w:r>
            <w:rPr>
              <w:rStyle w:val="27"/>
              <w:rFonts w:hint="eastAsia" w:eastAsia="宋体"/>
            </w:rPr>
            <w:t>商务要求响应、偏离说明表</w:t>
          </w:r>
          <w:r>
            <w:tab/>
          </w:r>
          <w:r>
            <w:fldChar w:fldCharType="begin"/>
          </w:r>
          <w:r>
            <w:instrText xml:space="preserve"> PAGEREF _Toc495861565 \h </w:instrText>
          </w:r>
          <w:r>
            <w:fldChar w:fldCharType="separate"/>
          </w:r>
          <w:r>
            <w:t>58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"_Toc495861566" </w:instrText>
          </w:r>
          <w:r>
            <w:fldChar w:fldCharType="separate"/>
          </w:r>
          <w:r>
            <w:rPr>
              <w:rStyle w:val="27"/>
              <w:rFonts w:hint="eastAsia" w:eastAsia="宋体"/>
            </w:rPr>
            <w:t>附件十七、</w:t>
          </w:r>
          <w:r>
            <w:rPr>
              <w:rFonts w:asciiTheme="minorHAnsi" w:hAnsiTheme="minorHAnsi"/>
              <w:iCs w:val="0"/>
              <w:color w:val="auto"/>
              <w:kern w:val="2"/>
              <w:sz w:val="21"/>
            </w:rPr>
            <w:tab/>
          </w:r>
          <w:r>
            <w:rPr>
              <w:rStyle w:val="27"/>
              <w:rFonts w:hint="eastAsia" w:eastAsia="宋体"/>
            </w:rPr>
            <w:t>商务要求“★”号条款响应、偏离说明表</w:t>
          </w:r>
          <w:r>
            <w:tab/>
          </w:r>
          <w:r>
            <w:fldChar w:fldCharType="begin"/>
          </w:r>
          <w:r>
            <w:instrText xml:space="preserve"> PAGEREF _Toc495861566 \h </w:instrText>
          </w:r>
          <w:r>
            <w:fldChar w:fldCharType="separate"/>
          </w:r>
          <w:r>
            <w:t>59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"_Toc495861567" </w:instrText>
          </w:r>
          <w:r>
            <w:fldChar w:fldCharType="separate"/>
          </w:r>
          <w:r>
            <w:rPr>
              <w:rStyle w:val="27"/>
              <w:rFonts w:hint="eastAsia" w:eastAsia="宋体"/>
            </w:rPr>
            <w:t>附件十八、</w:t>
          </w:r>
          <w:r>
            <w:rPr>
              <w:rFonts w:asciiTheme="minorHAnsi" w:hAnsiTheme="minorHAnsi"/>
              <w:iCs w:val="0"/>
              <w:color w:val="auto"/>
              <w:kern w:val="2"/>
              <w:sz w:val="21"/>
            </w:rPr>
            <w:tab/>
          </w:r>
          <w:r>
            <w:rPr>
              <w:rStyle w:val="27"/>
              <w:rFonts w:hint="eastAsia" w:eastAsia="宋体"/>
            </w:rPr>
            <w:t>商务评议对照表</w:t>
          </w:r>
          <w:r>
            <w:tab/>
          </w:r>
          <w:r>
            <w:fldChar w:fldCharType="begin"/>
          </w:r>
          <w:r>
            <w:instrText xml:space="preserve"> PAGEREF _Toc495861567 \h </w:instrText>
          </w:r>
          <w:r>
            <w:fldChar w:fldCharType="separate"/>
          </w:r>
          <w:r>
            <w:t>60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"_Toc495861568" </w:instrText>
          </w:r>
          <w:r>
            <w:fldChar w:fldCharType="separate"/>
          </w:r>
          <w:r>
            <w:rPr>
              <w:rStyle w:val="27"/>
              <w:rFonts w:hint="eastAsia" w:eastAsia="宋体"/>
            </w:rPr>
            <w:t>附件十九、</w:t>
          </w:r>
          <w:r>
            <w:rPr>
              <w:rFonts w:asciiTheme="minorHAnsi" w:hAnsiTheme="minorHAnsi"/>
              <w:iCs w:val="0"/>
              <w:color w:val="auto"/>
              <w:kern w:val="2"/>
              <w:sz w:val="21"/>
            </w:rPr>
            <w:tab/>
          </w:r>
          <w:r>
            <w:rPr>
              <w:rStyle w:val="27"/>
              <w:rFonts w:hint="eastAsia" w:eastAsia="宋体"/>
            </w:rPr>
            <w:t>技术、服务要求响应、偏离说明表</w:t>
          </w:r>
          <w:r>
            <w:tab/>
          </w:r>
          <w:r>
            <w:fldChar w:fldCharType="begin"/>
          </w:r>
          <w:r>
            <w:instrText xml:space="preserve"> PAGEREF _Toc495861568 \h </w:instrText>
          </w:r>
          <w:r>
            <w:fldChar w:fldCharType="separate"/>
          </w:r>
          <w:r>
            <w:t>61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"_Toc495861569" </w:instrText>
          </w:r>
          <w:r>
            <w:fldChar w:fldCharType="separate"/>
          </w:r>
          <w:r>
            <w:rPr>
              <w:rStyle w:val="27"/>
              <w:rFonts w:hint="eastAsia" w:eastAsia="宋体"/>
            </w:rPr>
            <w:t>附件二十、</w:t>
          </w:r>
          <w:r>
            <w:rPr>
              <w:rFonts w:asciiTheme="minorHAnsi" w:hAnsiTheme="minorHAnsi"/>
              <w:iCs w:val="0"/>
              <w:color w:val="auto"/>
              <w:kern w:val="2"/>
              <w:sz w:val="21"/>
            </w:rPr>
            <w:tab/>
          </w:r>
          <w:r>
            <w:rPr>
              <w:rStyle w:val="27"/>
              <w:rFonts w:hint="eastAsia" w:eastAsia="宋体"/>
            </w:rPr>
            <w:t>技术、服务要求“★”号条款响应、偏离说明表</w:t>
          </w:r>
          <w:r>
            <w:tab/>
          </w:r>
          <w:r>
            <w:fldChar w:fldCharType="begin"/>
          </w:r>
          <w:r>
            <w:instrText xml:space="preserve"> PAGEREF _Toc495861569 \h </w:instrText>
          </w:r>
          <w:r>
            <w:fldChar w:fldCharType="separate"/>
          </w:r>
          <w:r>
            <w:t>62</w:t>
          </w:r>
          <w:r>
            <w:fldChar w:fldCharType="end"/>
          </w:r>
          <w:r>
            <w:fldChar w:fldCharType="end"/>
          </w:r>
        </w:p>
        <w:p>
          <w:pPr>
            <w:pStyle w:val="17"/>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7"/>
              <w:rFonts w:hint="eastAsia" w:eastAsia="宋体"/>
            </w:rPr>
            <w:t>附件二十一、</w:t>
          </w:r>
          <w:r>
            <w:rPr>
              <w:rFonts w:asciiTheme="minorHAnsi" w:hAnsiTheme="minorHAnsi"/>
              <w:iCs w:val="0"/>
              <w:color w:val="auto"/>
              <w:kern w:val="2"/>
              <w:sz w:val="21"/>
            </w:rPr>
            <w:tab/>
          </w:r>
          <w:r>
            <w:rPr>
              <w:rStyle w:val="27"/>
              <w:rFonts w:hint="eastAsia" w:eastAsia="宋体"/>
            </w:rPr>
            <w:t>技术、服务评议对照表</w:t>
          </w:r>
          <w:r>
            <w:tab/>
          </w:r>
          <w:r>
            <w:fldChar w:fldCharType="begin"/>
          </w:r>
          <w:r>
            <w:instrText xml:space="preserve"> PAGEREF _Toc495861570 \h </w:instrText>
          </w:r>
          <w:r>
            <w:fldChar w:fldCharType="separate"/>
          </w:r>
          <w:r>
            <w:t>63</w:t>
          </w:r>
          <w:r>
            <w:fldChar w:fldCharType="end"/>
          </w:r>
          <w:r>
            <w:fldChar w:fldCharType="end"/>
          </w:r>
        </w:p>
        <w:p>
          <w:pPr>
            <w:pStyle w:val="2"/>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bookmarkStart w:id="1" w:name="_Toc495861518"/>
      <w:r>
        <w:rPr>
          <w:rFonts w:hint="eastAsia"/>
          <w:b/>
          <w:bCs/>
          <w:sz w:val="36"/>
          <w:szCs w:val="44"/>
          <w:lang w:eastAsia="zh-CN"/>
        </w:rPr>
        <w:t>阳新县人民医院城东新院区超声科人工智能高端彩色多普勒超声诊断仪采购项目</w:t>
      </w:r>
      <w:r>
        <w:rPr>
          <w:b/>
          <w:bCs/>
          <w:sz w:val="36"/>
          <w:szCs w:val="44"/>
        </w:rPr>
        <w:t>招标公告</w:t>
      </w:r>
    </w:p>
    <w:p>
      <w:pPr>
        <w:pStyle w:val="19"/>
        <w:widowControl/>
        <w:pBdr>
          <w:top w:val="single" w:color="auto" w:sz="6" w:space="0"/>
          <w:left w:val="single" w:color="auto" w:sz="6" w:space="3"/>
          <w:bottom w:val="single" w:color="auto" w:sz="6" w:space="0"/>
          <w:right w:val="single" w:color="auto" w:sz="6" w:space="3"/>
        </w:pBdr>
        <w:spacing w:beforeAutospacing="0" w:afterAutospacing="0" w:line="360" w:lineRule="auto"/>
        <w:ind w:firstLine="720"/>
      </w:pPr>
      <w:r>
        <w:rPr>
          <w:rFonts w:hint="eastAsia" w:ascii="宋体" w:hAnsi="宋体" w:eastAsia="宋体" w:cs="宋体"/>
          <w:szCs w:val="24"/>
          <w:shd w:val="clear" w:color="auto" w:fill="FFFFFF"/>
          <w:lang w:eastAsia="zh-CN"/>
        </w:rPr>
        <w:t>阳新县人民医院城东新院区超声科人工智能高端彩色多普勒超声诊断仪采购项目</w:t>
      </w:r>
      <w:r>
        <w:rPr>
          <w:rFonts w:hint="eastAsia" w:ascii="宋体" w:hAnsi="宋体" w:eastAsia="宋体" w:cs="宋体"/>
          <w:szCs w:val="24"/>
          <w:shd w:val="clear" w:color="auto" w:fill="FFFFFF"/>
        </w:rPr>
        <w:t>的潜在投标人应在“湖北省政府采购网”、“黄石市公共资源交易信息网”及“阳新县人民政府网”获取招标文件，并于</w:t>
      </w:r>
      <w:r>
        <w:rPr>
          <w:rFonts w:hint="eastAsia" w:ascii="宋体" w:hAnsi="宋体" w:eastAsia="宋体" w:cs="宋体"/>
          <w:szCs w:val="24"/>
          <w:u w:val="single"/>
          <w:shd w:val="clear" w:color="auto" w:fill="FFFFFF"/>
          <w:lang w:val="en-US" w:eastAsia="zh-CN"/>
        </w:rPr>
        <w:t>2021</w:t>
      </w:r>
      <w:r>
        <w:rPr>
          <w:rFonts w:hint="eastAsia" w:ascii="宋体" w:hAnsi="宋体" w:eastAsia="宋体" w:cs="宋体"/>
          <w:szCs w:val="24"/>
          <w:shd w:val="clear" w:color="auto" w:fill="FFFFFF"/>
        </w:rPr>
        <w:t>年</w:t>
      </w:r>
      <w:r>
        <w:rPr>
          <w:rFonts w:hint="eastAsia" w:ascii="宋体" w:hAnsi="宋体" w:eastAsia="宋体" w:cs="宋体"/>
          <w:szCs w:val="24"/>
          <w:u w:val="single"/>
          <w:shd w:val="clear" w:color="auto" w:fill="FFFFFF"/>
          <w:lang w:val="en-US" w:eastAsia="zh-CN"/>
        </w:rPr>
        <w:t xml:space="preserve"> 1 </w:t>
      </w:r>
      <w:r>
        <w:rPr>
          <w:rFonts w:hint="eastAsia" w:ascii="宋体" w:hAnsi="宋体" w:eastAsia="宋体" w:cs="宋体"/>
          <w:szCs w:val="24"/>
          <w:shd w:val="clear" w:color="auto" w:fill="FFFFFF"/>
        </w:rPr>
        <w:t>月</w:t>
      </w:r>
      <w:r>
        <w:rPr>
          <w:rFonts w:hint="eastAsia" w:ascii="宋体" w:hAnsi="宋体" w:cs="宋体"/>
          <w:szCs w:val="24"/>
          <w:u w:val="single"/>
          <w:shd w:val="clear" w:color="auto" w:fill="FFFFFF"/>
        </w:rPr>
        <w:t xml:space="preserve"> </w:t>
      </w:r>
      <w:r>
        <w:rPr>
          <w:rFonts w:hint="eastAsia" w:ascii="宋体" w:hAnsi="宋体" w:cs="宋体"/>
          <w:szCs w:val="24"/>
          <w:u w:val="single"/>
          <w:shd w:val="clear" w:color="auto" w:fill="FFFFFF"/>
          <w:lang w:val="en-US" w:eastAsia="zh-CN"/>
        </w:rPr>
        <w:t xml:space="preserve"> 5  </w:t>
      </w:r>
      <w:r>
        <w:rPr>
          <w:rFonts w:hint="eastAsia" w:ascii="宋体" w:hAnsi="宋体" w:eastAsia="宋体" w:cs="宋体"/>
          <w:szCs w:val="24"/>
          <w:shd w:val="clear" w:color="auto" w:fill="FFFFFF"/>
        </w:rPr>
        <w:t>日</w:t>
      </w:r>
      <w:r>
        <w:rPr>
          <w:rFonts w:hint="eastAsia" w:ascii="宋体" w:hAnsi="宋体" w:eastAsia="宋体" w:cs="宋体"/>
          <w:szCs w:val="24"/>
          <w:u w:val="single"/>
          <w:shd w:val="clear" w:color="auto" w:fill="FFFFFF"/>
          <w:lang w:val="en-US" w:eastAsia="zh-CN"/>
        </w:rPr>
        <w:t xml:space="preserve"> 09</w:t>
      </w:r>
      <w:r>
        <w:rPr>
          <w:rFonts w:hint="eastAsia" w:ascii="宋体" w:hAnsi="宋体" w:cs="宋体"/>
          <w:szCs w:val="24"/>
          <w:u w:val="single"/>
          <w:shd w:val="clear" w:color="auto" w:fill="FFFFFF"/>
        </w:rPr>
        <w:t xml:space="preserve"> </w:t>
      </w:r>
      <w:r>
        <w:rPr>
          <w:rFonts w:hint="eastAsia" w:ascii="宋体" w:hAnsi="宋体" w:eastAsia="宋体" w:cs="宋体"/>
          <w:szCs w:val="24"/>
          <w:shd w:val="clear" w:color="auto" w:fill="FFFFFF"/>
        </w:rPr>
        <w:t>时00分(北京时间）前递交投标文件。</w:t>
      </w:r>
    </w:p>
    <w:p>
      <w:pPr>
        <w:pStyle w:val="19"/>
        <w:widowControl/>
        <w:spacing w:beforeAutospacing="0" w:afterAutospacing="0" w:line="500" w:lineRule="exact"/>
        <w:ind w:firstLine="420"/>
      </w:pPr>
      <w:r>
        <w:rPr>
          <w:rStyle w:val="25"/>
          <w:rFonts w:hint="eastAsia" w:ascii="宋体" w:hAnsi="宋体" w:eastAsia="宋体" w:cs="宋体"/>
          <w:szCs w:val="24"/>
          <w:shd w:val="clear" w:color="auto" w:fill="FFFFFF"/>
        </w:rPr>
        <w:t>一、项目基本情况</w:t>
      </w:r>
    </w:p>
    <w:p>
      <w:pPr>
        <w:spacing w:line="500" w:lineRule="exact"/>
        <w:ind w:firstLine="480" w:firstLineChars="200"/>
        <w:rPr>
          <w:rFonts w:eastAsia="宋体"/>
        </w:rPr>
      </w:pPr>
      <w:r>
        <w:rPr>
          <w:rFonts w:hint="eastAsia" w:ascii="宋体" w:hAnsi="宋体" w:eastAsia="宋体" w:cs="宋体"/>
          <w:sz w:val="24"/>
          <w:szCs w:val="24"/>
          <w:shd w:val="clear" w:color="auto" w:fill="FFFFFF"/>
        </w:rPr>
        <w:t>项目编号：</w:t>
      </w:r>
      <w:r>
        <w:rPr>
          <w:rFonts w:hint="eastAsia" w:ascii="宋体" w:hAnsi="宋体" w:eastAsia="宋体" w:cs="宋体"/>
          <w:sz w:val="24"/>
          <w:szCs w:val="24"/>
          <w:shd w:val="clear" w:color="auto" w:fill="FFFFFF"/>
          <w:lang w:eastAsia="zh-CN"/>
        </w:rPr>
        <w:t>131-2020CG-</w:t>
      </w:r>
      <w:r>
        <w:rPr>
          <w:rFonts w:hint="eastAsia" w:ascii="宋体" w:hAnsi="宋体" w:eastAsia="宋体" w:cs="宋体"/>
          <w:sz w:val="24"/>
          <w:szCs w:val="24"/>
          <w:shd w:val="clear" w:color="auto" w:fill="FFFFFF"/>
          <w:lang w:val="en-US" w:eastAsia="zh-CN"/>
        </w:rPr>
        <w:t>283</w:t>
      </w:r>
      <w:r>
        <w:rPr>
          <w:rFonts w:hint="eastAsia" w:ascii="宋体" w:hAnsi="宋体" w:eastAsia="宋体" w:cs="宋体"/>
          <w:kern w:val="0"/>
          <w:sz w:val="24"/>
          <w:szCs w:val="24"/>
          <w:shd w:val="clear" w:color="auto" w:fill="FFFFFF"/>
        </w:rPr>
        <w:t>（政府采购备案号：阳财采计备[2020</w:t>
      </w:r>
      <w:r>
        <w:rPr>
          <w:rFonts w:hint="eastAsia" w:ascii="宋体" w:hAnsi="宋体" w:eastAsia="宋体" w:cs="宋体"/>
          <w:kern w:val="0"/>
          <w:sz w:val="24"/>
          <w:szCs w:val="24"/>
          <w:highlight w:val="none"/>
          <w:shd w:val="clear" w:color="auto" w:fill="FFFFFF"/>
        </w:rPr>
        <w:t>]</w:t>
      </w:r>
      <w:r>
        <w:rPr>
          <w:rFonts w:hint="eastAsia" w:ascii="宋体" w:hAnsi="宋体" w:eastAsia="宋体" w:cs="宋体"/>
          <w:kern w:val="0"/>
          <w:sz w:val="24"/>
          <w:szCs w:val="24"/>
          <w:highlight w:val="none"/>
          <w:shd w:val="clear" w:color="auto" w:fill="FFFFFF"/>
          <w:lang w:val="en-US" w:eastAsia="zh-CN"/>
        </w:rPr>
        <w:t>A226</w:t>
      </w:r>
      <w:r>
        <w:rPr>
          <w:rFonts w:hint="eastAsia" w:ascii="宋体" w:hAnsi="宋体" w:eastAsia="宋体" w:cs="宋体"/>
          <w:kern w:val="0"/>
          <w:sz w:val="24"/>
          <w:szCs w:val="24"/>
          <w:highlight w:val="none"/>
          <w:shd w:val="clear" w:color="auto" w:fill="FFFFFF"/>
        </w:rPr>
        <w:t>号</w:t>
      </w:r>
      <w:r>
        <w:rPr>
          <w:rFonts w:hint="eastAsia" w:ascii="宋体" w:hAnsi="宋体" w:eastAsia="宋体" w:cs="宋体"/>
          <w:kern w:val="0"/>
          <w:sz w:val="24"/>
          <w:szCs w:val="24"/>
          <w:shd w:val="clear" w:color="auto" w:fill="FFFFFF"/>
        </w:rPr>
        <w:t>）</w:t>
      </w:r>
    </w:p>
    <w:p>
      <w:pPr>
        <w:pStyle w:val="19"/>
        <w:widowControl/>
        <w:spacing w:beforeAutospacing="0" w:afterAutospacing="0" w:line="500" w:lineRule="exact"/>
        <w:ind w:firstLine="480"/>
        <w:rPr>
          <w:rFonts w:hint="eastAsia" w:eastAsia="宋体"/>
          <w:lang w:eastAsia="zh-CN"/>
        </w:rPr>
      </w:pPr>
      <w:r>
        <w:rPr>
          <w:rFonts w:hint="eastAsia" w:ascii="宋体" w:hAnsi="宋体" w:eastAsia="宋体" w:cs="宋体"/>
          <w:szCs w:val="24"/>
          <w:shd w:val="clear" w:color="auto" w:fill="FFFFFF"/>
        </w:rPr>
        <w:t>项目名称：</w:t>
      </w:r>
      <w:r>
        <w:rPr>
          <w:rFonts w:hint="eastAsia" w:ascii="宋体" w:hAnsi="宋体" w:eastAsia="宋体" w:cs="宋体"/>
          <w:szCs w:val="24"/>
          <w:shd w:val="clear" w:color="auto" w:fill="FFFFFF"/>
          <w:lang w:eastAsia="zh-CN"/>
        </w:rPr>
        <w:t>阳新县人民医院城东新院区超声科人工智能高端彩色多普勒超声诊断仪采购项目</w:t>
      </w:r>
    </w:p>
    <w:p>
      <w:pPr>
        <w:pStyle w:val="19"/>
        <w:widowControl/>
        <w:spacing w:beforeAutospacing="0" w:afterAutospacing="0" w:line="360" w:lineRule="auto"/>
        <w:ind w:firstLine="480"/>
        <w:rPr>
          <w:rFonts w:ascii="宋体" w:hAnsi="宋体" w:eastAsia="宋体" w:cs="宋体"/>
          <w:spacing w:val="-20"/>
          <w:szCs w:val="24"/>
          <w:shd w:val="clear" w:color="auto" w:fill="FFFFFF"/>
        </w:rPr>
      </w:pPr>
      <w:r>
        <w:rPr>
          <w:rFonts w:hint="eastAsia" w:ascii="宋体" w:hAnsi="宋体" w:eastAsia="宋体" w:cs="宋体"/>
          <w:szCs w:val="24"/>
          <w:shd w:val="clear" w:color="auto" w:fill="FFFFFF"/>
        </w:rPr>
        <w:t>预算金额：</w:t>
      </w:r>
      <w:r>
        <w:rPr>
          <w:rFonts w:hint="eastAsia" w:ascii="宋体" w:hAnsi="宋体" w:eastAsia="宋体" w:cs="宋体"/>
          <w:spacing w:val="-11"/>
          <w:szCs w:val="24"/>
          <w:shd w:val="clear" w:color="auto" w:fill="FFFFFF"/>
          <w:lang w:val="en-US" w:eastAsia="zh-CN"/>
        </w:rPr>
        <w:t>265</w:t>
      </w:r>
      <w:r>
        <w:rPr>
          <w:rFonts w:hint="eastAsia" w:ascii="宋体" w:hAnsi="宋体" w:eastAsia="宋体" w:cs="宋体"/>
          <w:spacing w:val="-11"/>
          <w:szCs w:val="24"/>
          <w:shd w:val="clear" w:color="auto" w:fill="FFFFFF"/>
        </w:rPr>
        <w:t>万元</w:t>
      </w:r>
    </w:p>
    <w:p>
      <w:pPr>
        <w:pStyle w:val="19"/>
        <w:widowControl/>
        <w:spacing w:beforeAutospacing="0" w:afterAutospacing="0" w:line="360" w:lineRule="auto"/>
        <w:ind w:firstLine="480"/>
        <w:rPr>
          <w:rFonts w:hint="eastAsia" w:ascii="宋体" w:hAnsi="宋体" w:eastAsia="宋体" w:cs="宋体"/>
          <w:color w:val="0C0C0C"/>
          <w:spacing w:val="-11"/>
          <w:szCs w:val="24"/>
          <w:shd w:val="clear" w:color="auto" w:fill="FFFFFF"/>
        </w:rPr>
      </w:pPr>
      <w:r>
        <w:rPr>
          <w:rFonts w:hint="eastAsia" w:ascii="宋体" w:hAnsi="宋体" w:eastAsia="宋体" w:cs="宋体"/>
          <w:szCs w:val="24"/>
          <w:shd w:val="clear" w:color="auto" w:fill="FFFFFF"/>
        </w:rPr>
        <w:t>采购需求：</w:t>
      </w:r>
      <w:r>
        <w:rPr>
          <w:rFonts w:hint="eastAsia" w:ascii="宋体" w:hAnsi="宋体" w:eastAsia="宋体" w:cs="宋体"/>
          <w:spacing w:val="-11"/>
          <w:szCs w:val="24"/>
          <w:shd w:val="clear" w:color="auto" w:fill="FFFFFF"/>
          <w:lang w:eastAsia="zh-CN"/>
        </w:rPr>
        <w:t>人工智能高端彩色多普勒超声诊断仪采购</w:t>
      </w:r>
      <w:r>
        <w:rPr>
          <w:rFonts w:hint="eastAsia" w:ascii="宋体" w:hAnsi="宋体" w:eastAsia="宋体" w:cs="宋体"/>
          <w:color w:val="0C0C0C"/>
          <w:spacing w:val="-11"/>
          <w:szCs w:val="24"/>
          <w:shd w:val="clear" w:color="auto" w:fill="FFFFFF"/>
        </w:rPr>
        <w:t>（</w:t>
      </w:r>
      <w:r>
        <w:rPr>
          <w:rFonts w:hint="eastAsia" w:ascii="宋体" w:hAnsi="宋体" w:cs="宋体"/>
          <w:spacing w:val="-11"/>
          <w:szCs w:val="24"/>
          <w:shd w:val="clear" w:color="auto" w:fill="FFFFFF"/>
        </w:rPr>
        <w:t>详见招标文件第三章</w:t>
      </w:r>
      <w:r>
        <w:rPr>
          <w:rFonts w:hint="eastAsia" w:ascii="宋体" w:hAnsi="宋体" w:eastAsia="宋体" w:cs="宋体"/>
          <w:color w:val="0C0C0C"/>
          <w:spacing w:val="-11"/>
          <w:szCs w:val="24"/>
          <w:shd w:val="clear" w:color="auto" w:fill="FFFFFF"/>
        </w:rPr>
        <w:t>）</w:t>
      </w:r>
      <w:r>
        <w:rPr>
          <w:rFonts w:hint="eastAsia" w:ascii="宋体" w:hAnsi="宋体" w:cs="宋体"/>
          <w:spacing w:val="-11"/>
          <w:szCs w:val="24"/>
          <w:shd w:val="clear" w:color="auto" w:fill="FFFFFF"/>
        </w:rPr>
        <w:t>，</w:t>
      </w:r>
      <w:r>
        <w:rPr>
          <w:rFonts w:hint="eastAsia" w:ascii="宋体" w:hAnsi="宋体" w:cs="宋体"/>
          <w:color w:val="0C0C0C"/>
          <w:spacing w:val="-11"/>
          <w:szCs w:val="24"/>
          <w:shd w:val="clear" w:color="auto" w:fill="FFFFFF"/>
          <w:lang w:eastAsia="zh-CN"/>
        </w:rPr>
        <w:t>本项目</w:t>
      </w:r>
      <w:r>
        <w:rPr>
          <w:rFonts w:hint="eastAsia" w:ascii="宋体" w:hAnsi="宋体" w:eastAsia="宋体" w:cs="宋体"/>
          <w:color w:val="0C0C0C"/>
          <w:spacing w:val="-11"/>
          <w:szCs w:val="24"/>
          <w:shd w:val="clear" w:color="auto" w:fill="FFFFFF"/>
        </w:rPr>
        <w:t>已办理进口产品审批手续。</w:t>
      </w:r>
    </w:p>
    <w:p>
      <w:pPr>
        <w:pStyle w:val="19"/>
        <w:widowControl/>
        <w:spacing w:beforeAutospacing="0" w:afterAutospacing="0" w:line="500" w:lineRule="exact"/>
        <w:ind w:firstLine="480"/>
        <w:rPr>
          <w:rFonts w:eastAsia="宋体"/>
        </w:rPr>
      </w:pPr>
      <w:r>
        <w:rPr>
          <w:rFonts w:hint="eastAsia" w:ascii="宋体" w:hAnsi="宋体" w:eastAsia="宋体" w:cs="宋体"/>
          <w:szCs w:val="24"/>
          <w:shd w:val="clear" w:color="auto" w:fill="FFFFFF"/>
        </w:rPr>
        <w:t>合同履行期限：</w:t>
      </w:r>
      <w:r>
        <w:rPr>
          <w:rFonts w:hint="eastAsia" w:ascii="宋体" w:hAnsi="宋体" w:eastAsia="宋体" w:cs="宋体"/>
          <w:szCs w:val="24"/>
        </w:rPr>
        <w:t>合同签定</w:t>
      </w:r>
      <w:r>
        <w:rPr>
          <w:rFonts w:hint="eastAsia" w:ascii="宋体" w:hAnsi="宋体" w:eastAsia="宋体" w:cs="宋体"/>
          <w:szCs w:val="24"/>
          <w:highlight w:val="none"/>
        </w:rPr>
        <w:t>后</w:t>
      </w:r>
      <w:r>
        <w:rPr>
          <w:rFonts w:hint="eastAsia" w:ascii="宋体" w:hAnsi="宋体" w:cs="宋体"/>
          <w:szCs w:val="24"/>
          <w:highlight w:val="none"/>
        </w:rPr>
        <w:t>30</w:t>
      </w:r>
      <w:r>
        <w:rPr>
          <w:rFonts w:hint="eastAsia" w:ascii="宋体" w:hAnsi="宋体" w:eastAsia="宋体" w:cs="宋体"/>
          <w:szCs w:val="24"/>
          <w:highlight w:val="none"/>
        </w:rPr>
        <w:t>日</w:t>
      </w:r>
      <w:r>
        <w:rPr>
          <w:rFonts w:hint="eastAsia" w:ascii="宋体" w:hAnsi="宋体" w:eastAsia="宋体" w:cs="宋体"/>
          <w:szCs w:val="24"/>
        </w:rPr>
        <w:t>历天内</w:t>
      </w:r>
    </w:p>
    <w:p>
      <w:pPr>
        <w:pStyle w:val="19"/>
        <w:widowControl/>
        <w:spacing w:beforeAutospacing="0" w:afterAutospacing="0" w:line="500" w:lineRule="exact"/>
        <w:ind w:firstLine="480"/>
      </w:pPr>
      <w:r>
        <w:rPr>
          <w:rFonts w:hint="eastAsia" w:ascii="宋体" w:hAnsi="宋体" w:eastAsia="宋体" w:cs="宋体"/>
          <w:szCs w:val="24"/>
          <w:shd w:val="clear" w:color="auto" w:fill="FFFFFF"/>
        </w:rPr>
        <w:t>本项目不接受联合体投标。</w:t>
      </w:r>
    </w:p>
    <w:p>
      <w:pPr>
        <w:pStyle w:val="19"/>
        <w:widowControl/>
        <w:spacing w:beforeAutospacing="0" w:afterAutospacing="0" w:line="500" w:lineRule="exact"/>
        <w:ind w:firstLine="420"/>
      </w:pPr>
      <w:r>
        <w:rPr>
          <w:rStyle w:val="25"/>
          <w:rFonts w:hint="eastAsia" w:ascii="宋体" w:hAnsi="宋体" w:eastAsia="宋体" w:cs="宋体"/>
          <w:szCs w:val="24"/>
          <w:shd w:val="clear" w:color="auto" w:fill="FFFFFF"/>
        </w:rPr>
        <w:t>二、申请人的资格要求：</w:t>
      </w:r>
    </w:p>
    <w:p>
      <w:pPr>
        <w:pStyle w:val="19"/>
        <w:widowControl/>
        <w:spacing w:beforeAutospacing="0" w:afterAutospacing="0" w:line="500" w:lineRule="exact"/>
        <w:ind w:firstLine="480"/>
      </w:pPr>
      <w:r>
        <w:rPr>
          <w:rFonts w:hint="eastAsia" w:ascii="宋体" w:hAnsi="宋体" w:eastAsia="宋体" w:cs="宋体"/>
          <w:szCs w:val="24"/>
          <w:shd w:val="clear" w:color="auto" w:fill="FFFFFF"/>
        </w:rPr>
        <w:t>1、应具备《政府采购法》第二十二条第一款规定的条件；</w:t>
      </w:r>
    </w:p>
    <w:p>
      <w:pPr>
        <w:pStyle w:val="19"/>
        <w:widowControl/>
        <w:spacing w:beforeAutospacing="0" w:afterAutospacing="0" w:line="500" w:lineRule="exact"/>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tabs>
          <w:tab w:val="left" w:pos="896"/>
        </w:tabs>
        <w:spacing w:line="360" w:lineRule="auto"/>
        <w:ind w:left="482"/>
        <w:rPr>
          <w:rFonts w:ascii="宋体" w:hAnsi="宋体" w:eastAsia="宋体" w:cs="Times New Roman"/>
          <w:bCs/>
          <w:color w:val="0C0C0C" w:themeColor="text1" w:themeTint="F2"/>
          <w:sz w:val="24"/>
          <w:szCs w:val="24"/>
        </w:rPr>
      </w:pPr>
      <w:r>
        <w:rPr>
          <w:rFonts w:hint="eastAsia" w:ascii="宋体" w:hAnsi="宋体" w:cs="Times New Roman"/>
          <w:bCs/>
          <w:color w:val="0C0C0C" w:themeColor="text1" w:themeTint="F2"/>
          <w:sz w:val="24"/>
          <w:szCs w:val="24"/>
        </w:rPr>
        <w:t>3、</w:t>
      </w:r>
      <w:r>
        <w:rPr>
          <w:rFonts w:hint="eastAsia" w:ascii="宋体" w:hAnsi="宋体" w:eastAsia="宋体" w:cs="Times New Roman"/>
          <w:bCs/>
          <w:color w:val="0C0C0C" w:themeColor="text1" w:themeTint="F2"/>
          <w:sz w:val="24"/>
          <w:szCs w:val="24"/>
        </w:rPr>
        <w:t>特定条件：</w:t>
      </w:r>
    </w:p>
    <w:p>
      <w:pPr>
        <w:adjustRightInd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tabs>
          <w:tab w:val="left" w:pos="896"/>
        </w:tabs>
        <w:spacing w:line="360" w:lineRule="auto"/>
        <w:ind w:left="482"/>
        <w:rPr>
          <w:rFonts w:ascii="宋体" w:hAnsi="宋体" w:eastAsia="宋体" w:cs="Times New Roman"/>
          <w:bCs/>
          <w:color w:val="0C0C0C" w:themeColor="text1" w:themeTint="F2"/>
          <w:sz w:val="24"/>
          <w:szCs w:val="24"/>
        </w:rPr>
      </w:pPr>
      <w:r>
        <w:rPr>
          <w:rFonts w:hint="eastAsia" w:ascii="宋体" w:hAnsi="宋体" w:cs="Times New Roman"/>
          <w:bCs/>
          <w:color w:val="0C0C0C" w:themeColor="text1" w:themeTint="F2"/>
          <w:sz w:val="24"/>
          <w:szCs w:val="24"/>
        </w:rPr>
        <w:t>4、</w:t>
      </w:r>
      <w:r>
        <w:rPr>
          <w:rFonts w:hint="eastAsia" w:ascii="宋体" w:hAnsi="宋体" w:eastAsia="宋体" w:cs="Times New Roman"/>
          <w:bCs/>
          <w:color w:val="0C0C0C" w:themeColor="text1" w:themeTint="F2"/>
          <w:sz w:val="24"/>
          <w:szCs w:val="24"/>
        </w:rPr>
        <w:t>本项目不接受联合体形式的投标。</w:t>
      </w:r>
    </w:p>
    <w:p>
      <w:pPr>
        <w:pStyle w:val="19"/>
        <w:widowControl/>
        <w:spacing w:beforeAutospacing="0" w:afterAutospacing="0" w:line="500" w:lineRule="exact"/>
        <w:ind w:firstLine="420"/>
      </w:pPr>
      <w:r>
        <w:rPr>
          <w:rStyle w:val="25"/>
          <w:rFonts w:hint="eastAsia" w:ascii="宋体" w:hAnsi="宋体" w:eastAsia="宋体" w:cs="宋体"/>
          <w:szCs w:val="24"/>
          <w:shd w:val="clear" w:color="auto" w:fill="FFFFFF"/>
        </w:rPr>
        <w:t>三、获取招标文件</w:t>
      </w:r>
    </w:p>
    <w:p>
      <w:pPr>
        <w:pStyle w:val="19"/>
        <w:widowControl/>
        <w:spacing w:beforeAutospacing="0" w:afterAutospacing="0" w:line="500" w:lineRule="exact"/>
        <w:ind w:firstLine="480"/>
      </w:pPr>
      <w:r>
        <w:rPr>
          <w:rFonts w:hint="eastAsia" w:ascii="宋体" w:hAnsi="宋体" w:eastAsia="宋体" w:cs="宋体"/>
          <w:szCs w:val="24"/>
          <w:shd w:val="clear" w:color="auto" w:fill="FFFFFF"/>
        </w:rPr>
        <w:t>时间：</w:t>
      </w:r>
      <w:r>
        <w:rPr>
          <w:rFonts w:hint="eastAsia" w:ascii="宋体" w:hAnsi="宋体" w:eastAsia="宋体" w:cs="宋体"/>
          <w:color w:val="FF0000"/>
          <w:szCs w:val="24"/>
          <w:shd w:val="clear" w:color="auto" w:fill="FFFFFF"/>
        </w:rPr>
        <w:t>202</w:t>
      </w:r>
      <w:r>
        <w:rPr>
          <w:rFonts w:hint="eastAsia" w:ascii="宋体" w:hAnsi="宋体" w:eastAsia="宋体" w:cs="宋体"/>
          <w:color w:val="FF0000"/>
          <w:szCs w:val="24"/>
          <w:shd w:val="clear" w:color="auto" w:fill="FFFFFF"/>
          <w:lang w:val="en-US" w:eastAsia="zh-CN"/>
        </w:rPr>
        <w:t>0</w:t>
      </w:r>
      <w:r>
        <w:rPr>
          <w:rFonts w:hint="eastAsia" w:ascii="宋体" w:hAnsi="宋体" w:eastAsia="宋体" w:cs="宋体"/>
          <w:color w:val="FF0000"/>
          <w:szCs w:val="24"/>
          <w:shd w:val="clear" w:color="auto" w:fill="FFFFFF"/>
        </w:rPr>
        <w:t>年</w:t>
      </w:r>
      <w:r>
        <w:rPr>
          <w:rFonts w:hint="eastAsia" w:ascii="宋体" w:hAnsi="宋体" w:eastAsia="宋体" w:cs="宋体"/>
          <w:color w:val="FF0000"/>
          <w:szCs w:val="24"/>
          <w:shd w:val="clear" w:color="auto" w:fill="FFFFFF"/>
          <w:lang w:val="en-US" w:eastAsia="zh-CN"/>
        </w:rPr>
        <w:t>12</w:t>
      </w:r>
      <w:r>
        <w:rPr>
          <w:rFonts w:hint="eastAsia" w:ascii="宋体" w:hAnsi="宋体" w:eastAsia="宋体" w:cs="宋体"/>
          <w:color w:val="FF0000"/>
          <w:szCs w:val="24"/>
          <w:shd w:val="clear" w:color="auto" w:fill="FFFFFF"/>
        </w:rPr>
        <w:t>月</w:t>
      </w:r>
      <w:r>
        <w:rPr>
          <w:rFonts w:hint="eastAsia" w:ascii="宋体" w:hAnsi="宋体" w:eastAsia="宋体" w:cs="宋体"/>
          <w:color w:val="FF0000"/>
          <w:szCs w:val="24"/>
          <w:shd w:val="clear" w:color="auto" w:fill="FFFFFF"/>
          <w:lang w:val="en-US" w:eastAsia="zh-CN"/>
        </w:rPr>
        <w:t>4</w:t>
      </w:r>
      <w:r>
        <w:rPr>
          <w:rFonts w:hint="eastAsia" w:ascii="宋体" w:hAnsi="宋体" w:eastAsia="宋体" w:cs="宋体"/>
          <w:color w:val="FF0000"/>
          <w:szCs w:val="24"/>
          <w:shd w:val="clear" w:color="auto" w:fill="FFFFFF"/>
        </w:rPr>
        <w:t>日至2020年</w:t>
      </w:r>
      <w:r>
        <w:rPr>
          <w:rFonts w:hint="eastAsia" w:ascii="宋体" w:hAnsi="宋体" w:eastAsia="宋体" w:cs="宋体"/>
          <w:color w:val="FF0000"/>
          <w:szCs w:val="24"/>
          <w:shd w:val="clear" w:color="auto" w:fill="FFFFFF"/>
          <w:lang w:val="en-US" w:eastAsia="zh-CN"/>
        </w:rPr>
        <w:t xml:space="preserve">12 </w:t>
      </w:r>
      <w:r>
        <w:rPr>
          <w:rFonts w:hint="eastAsia" w:ascii="宋体" w:hAnsi="宋体" w:eastAsia="宋体" w:cs="宋体"/>
          <w:color w:val="FF0000"/>
          <w:szCs w:val="24"/>
          <w:shd w:val="clear" w:color="auto" w:fill="FFFFFF"/>
        </w:rPr>
        <w:t>月</w:t>
      </w:r>
      <w:r>
        <w:rPr>
          <w:rFonts w:hint="eastAsia" w:ascii="宋体" w:hAnsi="宋体" w:eastAsia="宋体" w:cs="宋体"/>
          <w:color w:val="FF0000"/>
          <w:szCs w:val="24"/>
          <w:shd w:val="clear" w:color="auto" w:fill="FFFFFF"/>
          <w:lang w:val="en-US" w:eastAsia="zh-CN"/>
        </w:rPr>
        <w:t>11</w:t>
      </w:r>
      <w:r>
        <w:rPr>
          <w:rFonts w:hint="eastAsia" w:ascii="宋体" w:hAnsi="宋体" w:eastAsia="宋体" w:cs="宋体"/>
          <w:color w:val="FF0000"/>
          <w:szCs w:val="24"/>
          <w:shd w:val="clear" w:color="auto" w:fill="FFFFFF"/>
        </w:rPr>
        <w:t>日17:30</w:t>
      </w:r>
      <w:r>
        <w:rPr>
          <w:rFonts w:hint="eastAsia" w:ascii="宋体" w:hAnsi="宋体" w:eastAsia="宋体" w:cs="宋体"/>
          <w:szCs w:val="24"/>
          <w:shd w:val="clear" w:color="auto" w:fill="FFFFFF"/>
        </w:rPr>
        <w:t>(北京时间)</w:t>
      </w:r>
    </w:p>
    <w:p>
      <w:pPr>
        <w:pStyle w:val="19"/>
        <w:widowControl/>
        <w:spacing w:beforeAutospacing="0" w:afterAutospacing="0" w:line="500" w:lineRule="exact"/>
        <w:ind w:firstLine="480"/>
      </w:pPr>
      <w:r>
        <w:rPr>
          <w:rFonts w:hint="eastAsia" w:ascii="宋体" w:hAnsi="宋体" w:eastAsia="宋体" w:cs="宋体"/>
          <w:szCs w:val="24"/>
          <w:shd w:val="clear" w:color="auto" w:fill="FFFFFF"/>
        </w:rPr>
        <w:t>招标文件下载：见附件</w:t>
      </w:r>
    </w:p>
    <w:p>
      <w:pPr>
        <w:pStyle w:val="19"/>
        <w:widowControl/>
        <w:numPr>
          <w:ilvl w:val="0"/>
          <w:numId w:val="2"/>
        </w:numPr>
        <w:spacing w:beforeAutospacing="0" w:afterAutospacing="0" w:line="500" w:lineRule="exact"/>
        <w:ind w:firstLine="420"/>
        <w:rPr>
          <w:rStyle w:val="25"/>
          <w:rFonts w:ascii="宋体" w:hAnsi="宋体" w:eastAsia="宋体" w:cs="宋体"/>
          <w:szCs w:val="24"/>
          <w:shd w:val="clear" w:color="auto" w:fill="FFFFFF"/>
        </w:rPr>
      </w:pPr>
      <w:r>
        <w:rPr>
          <w:rStyle w:val="25"/>
          <w:rFonts w:hint="eastAsia" w:ascii="宋体" w:hAnsi="宋体" w:eastAsia="宋体" w:cs="宋体"/>
          <w:szCs w:val="24"/>
          <w:shd w:val="clear" w:color="auto" w:fill="FFFFFF"/>
        </w:rPr>
        <w:t>提交投标文件截止时间、开标时间和地点</w:t>
      </w:r>
    </w:p>
    <w:p>
      <w:pPr>
        <w:pStyle w:val="19"/>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rPr>
        <w:t>提交投标文件截止时间、开标时间</w:t>
      </w:r>
      <w:r>
        <w:rPr>
          <w:rFonts w:hint="eastAsia" w:ascii="宋体" w:hAnsi="宋体" w:eastAsia="宋体" w:cs="宋体"/>
          <w:szCs w:val="24"/>
          <w:shd w:val="clear" w:color="auto" w:fill="FFFFFF"/>
        </w:rPr>
        <w:t>：</w:t>
      </w:r>
      <w:r>
        <w:rPr>
          <w:rFonts w:hint="eastAsia" w:ascii="宋体" w:hAnsi="宋体" w:eastAsia="宋体" w:cs="宋体"/>
          <w:color w:val="FF0000"/>
          <w:szCs w:val="24"/>
          <w:shd w:val="clear" w:color="auto" w:fill="FFFFFF"/>
          <w:lang w:val="en-US" w:eastAsia="zh-CN"/>
        </w:rPr>
        <w:t>2021</w:t>
      </w:r>
      <w:r>
        <w:rPr>
          <w:rFonts w:hint="eastAsia" w:ascii="宋体" w:hAnsi="宋体" w:eastAsia="宋体" w:cs="宋体"/>
          <w:color w:val="FF0000"/>
          <w:szCs w:val="24"/>
          <w:shd w:val="clear" w:color="auto" w:fill="FFFFFF"/>
        </w:rPr>
        <w:t>年</w:t>
      </w:r>
      <w:r>
        <w:rPr>
          <w:rFonts w:hint="eastAsia" w:ascii="宋体" w:hAnsi="宋体" w:eastAsia="宋体" w:cs="宋体"/>
          <w:color w:val="FF0000"/>
          <w:szCs w:val="24"/>
          <w:shd w:val="clear" w:color="auto" w:fill="FFFFFF"/>
          <w:lang w:val="en-US" w:eastAsia="zh-CN"/>
        </w:rPr>
        <w:t xml:space="preserve"> 1 </w:t>
      </w:r>
      <w:r>
        <w:rPr>
          <w:rFonts w:hint="eastAsia" w:ascii="宋体" w:hAnsi="宋体" w:eastAsia="宋体" w:cs="宋体"/>
          <w:color w:val="FF0000"/>
          <w:szCs w:val="24"/>
          <w:shd w:val="clear" w:color="auto" w:fill="FFFFFF"/>
        </w:rPr>
        <w:t>月</w:t>
      </w:r>
      <w:r>
        <w:rPr>
          <w:rFonts w:hint="eastAsia" w:ascii="宋体" w:hAnsi="宋体" w:eastAsia="宋体" w:cs="宋体"/>
          <w:color w:val="FF0000"/>
          <w:szCs w:val="24"/>
          <w:shd w:val="clear" w:color="auto" w:fill="FFFFFF"/>
          <w:lang w:val="en-US" w:eastAsia="zh-CN"/>
        </w:rPr>
        <w:t xml:space="preserve"> 5 </w:t>
      </w:r>
      <w:r>
        <w:rPr>
          <w:rFonts w:hint="eastAsia" w:ascii="宋体" w:hAnsi="宋体" w:eastAsia="宋体" w:cs="宋体"/>
          <w:color w:val="FF0000"/>
          <w:szCs w:val="24"/>
          <w:shd w:val="clear" w:color="auto" w:fill="FFFFFF"/>
        </w:rPr>
        <w:t>日</w:t>
      </w:r>
      <w:r>
        <w:rPr>
          <w:rFonts w:hint="eastAsia" w:ascii="宋体" w:hAnsi="宋体" w:eastAsia="宋体" w:cs="宋体"/>
          <w:color w:val="FF0000"/>
          <w:szCs w:val="24"/>
          <w:shd w:val="clear" w:color="auto" w:fill="FFFFFF"/>
          <w:lang w:val="en-US" w:eastAsia="zh-CN"/>
        </w:rPr>
        <w:t xml:space="preserve"> 09 </w:t>
      </w:r>
      <w:r>
        <w:rPr>
          <w:rFonts w:hint="eastAsia" w:ascii="宋体" w:hAnsi="宋体" w:eastAsia="宋体" w:cs="宋体"/>
          <w:color w:val="FF0000"/>
          <w:szCs w:val="24"/>
          <w:shd w:val="clear" w:color="auto" w:fill="FFFFFF"/>
        </w:rPr>
        <w:t>时00分</w:t>
      </w:r>
      <w:r>
        <w:rPr>
          <w:rFonts w:hint="eastAsia" w:ascii="宋体" w:hAnsi="宋体" w:eastAsia="宋体" w:cs="宋体"/>
          <w:szCs w:val="24"/>
          <w:shd w:val="clear" w:color="auto" w:fill="FFFFFF"/>
        </w:rPr>
        <w:t>（</w:t>
      </w:r>
      <w:r>
        <w:rPr>
          <w:rFonts w:hint="eastAsia" w:ascii="宋体" w:hAnsi="宋体" w:cs="宋体"/>
          <w:szCs w:val="24"/>
          <w:shd w:val="clear" w:color="auto" w:fill="FFFFFF"/>
        </w:rPr>
        <w:t>提前半小时</w:t>
      </w:r>
      <w:r>
        <w:rPr>
          <w:rFonts w:hint="eastAsia" w:ascii="宋体" w:hAnsi="宋体" w:eastAsia="宋体" w:cs="宋体"/>
          <w:szCs w:val="24"/>
          <w:shd w:val="clear" w:color="auto" w:fill="FFFFFF"/>
        </w:rPr>
        <w:t>开始接收投标文件，拒收逾期送达或者未按招标文件要求密封的投标文件）</w:t>
      </w:r>
    </w:p>
    <w:p>
      <w:pPr>
        <w:pStyle w:val="19"/>
        <w:widowControl/>
        <w:spacing w:beforeAutospacing="0" w:afterAutospacing="0" w:line="360" w:lineRule="auto"/>
        <w:ind w:firstLine="480"/>
      </w:pPr>
      <w:r>
        <w:rPr>
          <w:rFonts w:hint="eastAsia" w:ascii="宋体" w:hAnsi="宋体" w:eastAsia="宋体" w:cs="宋体"/>
          <w:szCs w:val="24"/>
        </w:rPr>
        <w:t>提交投标文件地点</w:t>
      </w:r>
      <w:r>
        <w:rPr>
          <w:rFonts w:hint="eastAsia" w:ascii="宋体" w:hAnsi="宋体" w:eastAsia="宋体" w:cs="宋体"/>
          <w:szCs w:val="24"/>
          <w:shd w:val="clear" w:color="auto" w:fill="FFFFFF"/>
        </w:rPr>
        <w:t>：阳新县公共资源交易中心</w:t>
      </w:r>
      <w:r>
        <w:rPr>
          <w:rFonts w:hint="eastAsia" w:ascii="宋体" w:hAnsi="宋体" w:eastAsia="宋体" w:cs="宋体"/>
          <w:szCs w:val="24"/>
          <w:highlight w:val="yellow"/>
          <w:u w:val="single"/>
          <w:shd w:val="clear" w:color="auto" w:fill="FFFFFF"/>
          <w:lang w:val="en-US" w:eastAsia="zh-CN"/>
        </w:rPr>
        <w:t xml:space="preserve"> 二 </w:t>
      </w:r>
      <w:r>
        <w:rPr>
          <w:rFonts w:hint="eastAsia" w:ascii="宋体" w:hAnsi="宋体" w:eastAsia="宋体" w:cs="宋体"/>
          <w:szCs w:val="24"/>
          <w:highlight w:val="yellow"/>
          <w:shd w:val="clear" w:color="auto" w:fill="FFFFFF"/>
        </w:rPr>
        <w:t>楼</w:t>
      </w:r>
      <w:r>
        <w:rPr>
          <w:rFonts w:hint="eastAsia" w:ascii="宋体" w:hAnsi="宋体" w:eastAsia="宋体" w:cs="宋体"/>
          <w:szCs w:val="24"/>
          <w:shd w:val="clear" w:color="auto" w:fill="FFFFFF"/>
        </w:rPr>
        <w:t>开标大厅（阳新县熊家垴安置小区东侧）</w:t>
      </w:r>
    </w:p>
    <w:p>
      <w:pPr>
        <w:pStyle w:val="19"/>
        <w:widowControl/>
        <w:spacing w:beforeAutospacing="0" w:afterAutospacing="0" w:line="360" w:lineRule="auto"/>
        <w:ind w:firstLine="420"/>
      </w:pPr>
      <w:r>
        <w:rPr>
          <w:rStyle w:val="25"/>
          <w:rFonts w:hint="eastAsia" w:ascii="宋体" w:hAnsi="宋体" w:eastAsia="宋体" w:cs="宋体"/>
          <w:szCs w:val="24"/>
          <w:shd w:val="clear" w:color="auto" w:fill="FFFFFF"/>
        </w:rPr>
        <w:t>五、公告期限</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自本公告发布之日起5个工作日。</w:t>
      </w:r>
    </w:p>
    <w:p>
      <w:pPr>
        <w:pStyle w:val="19"/>
        <w:widowControl/>
        <w:spacing w:beforeAutospacing="0" w:afterAutospacing="0" w:line="360" w:lineRule="auto"/>
        <w:ind w:firstLine="420"/>
      </w:pPr>
      <w:r>
        <w:rPr>
          <w:rStyle w:val="25"/>
          <w:rFonts w:hint="eastAsia" w:ascii="宋体" w:hAnsi="宋体" w:eastAsia="宋体" w:cs="宋体"/>
          <w:szCs w:val="24"/>
          <w:shd w:val="clear" w:color="auto" w:fill="FFFFFF"/>
        </w:rPr>
        <w:t>六、其他补充事宜</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1、落实政府采购强制、优先采购节能产品政策；政府采购优先采购环保产品政策；政府采购促进中小企业发展（监狱企业、残疾人福利性单位视同小微企业）等政策。</w:t>
      </w:r>
    </w:p>
    <w:p>
      <w:pPr>
        <w:pStyle w:val="19"/>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2、是否专门面向中小企业、监狱企业、残疾人福利性单位：否。</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9"/>
        <w:widowControl/>
        <w:spacing w:beforeAutospacing="0" w:afterAutospacing="0" w:line="360" w:lineRule="auto"/>
        <w:ind w:firstLine="420"/>
      </w:pPr>
      <w:r>
        <w:rPr>
          <w:rStyle w:val="25"/>
          <w:rFonts w:hint="eastAsia" w:ascii="宋体" w:hAnsi="宋体" w:eastAsia="宋体" w:cs="宋体"/>
          <w:szCs w:val="24"/>
          <w:shd w:val="clear" w:color="auto" w:fill="FFFFFF"/>
        </w:rPr>
        <w:t>七、对本次招标提出询问，请按以下方式联系。</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1.采购人信息</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名   称：</w:t>
      </w:r>
      <w:r>
        <w:rPr>
          <w:rFonts w:hint="eastAsia" w:ascii="宋体" w:hAnsi="宋体" w:eastAsia="宋体" w:cs="宋体"/>
          <w:color w:val="000000"/>
          <w:szCs w:val="24"/>
        </w:rPr>
        <w:t>阳新县人民医院</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地   址：</w:t>
      </w:r>
      <w:r>
        <w:rPr>
          <w:rFonts w:hint="eastAsia" w:ascii="宋体" w:hAnsi="宋体" w:eastAsia="宋体" w:cs="宋体"/>
          <w:bCs/>
        </w:rPr>
        <w:t>阳新县兴国镇儒学垴路81号</w:t>
      </w:r>
    </w:p>
    <w:p>
      <w:pPr>
        <w:pStyle w:val="19"/>
        <w:widowControl/>
        <w:spacing w:beforeAutospacing="0" w:afterAutospacing="0" w:line="360" w:lineRule="auto"/>
        <w:ind w:firstLine="480"/>
        <w:rPr>
          <w:rFonts w:eastAsia="宋体"/>
        </w:rPr>
      </w:pPr>
      <w:r>
        <w:rPr>
          <w:rFonts w:hint="eastAsia" w:ascii="宋体" w:hAnsi="宋体" w:eastAsia="宋体" w:cs="宋体"/>
          <w:szCs w:val="24"/>
          <w:shd w:val="clear" w:color="auto" w:fill="FFFFFF"/>
        </w:rPr>
        <w:t>联系方式：</w:t>
      </w:r>
      <w:r>
        <w:rPr>
          <w:rFonts w:hint="eastAsia" w:ascii="宋体" w:hAnsi="宋体" w:eastAsia="宋体" w:cs="宋体"/>
          <w:bCs/>
          <w:color w:val="000000" w:themeColor="text1"/>
          <w:szCs w:val="24"/>
        </w:rPr>
        <w:t>0714-7314409</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2.采购代理机构信息</w:t>
      </w:r>
    </w:p>
    <w:p>
      <w:pPr>
        <w:pStyle w:val="19"/>
        <w:widowControl/>
        <w:spacing w:beforeAutospacing="0" w:afterAutospacing="0" w:line="360" w:lineRule="auto"/>
        <w:ind w:firstLine="480"/>
        <w:rPr>
          <w:rFonts w:hint="eastAsia" w:eastAsia="宋体"/>
          <w:lang w:eastAsia="zh-CN"/>
        </w:rPr>
      </w:pPr>
      <w:r>
        <w:rPr>
          <w:rFonts w:hint="eastAsia" w:ascii="宋体" w:hAnsi="宋体" w:eastAsia="宋体" w:cs="宋体"/>
          <w:szCs w:val="24"/>
          <w:shd w:val="clear" w:color="auto" w:fill="FFFFFF"/>
        </w:rPr>
        <w:t>名   称：</w:t>
      </w:r>
      <w:r>
        <w:rPr>
          <w:rFonts w:hint="eastAsia" w:ascii="宋体" w:hAnsi="宋体" w:eastAsia="宋体" w:cs="宋体"/>
          <w:color w:val="000000"/>
          <w:szCs w:val="24"/>
          <w:lang w:eastAsia="zh-CN"/>
        </w:rPr>
        <w:t>立信大华工程咨询有限责任公司</w:t>
      </w:r>
    </w:p>
    <w:p>
      <w:pPr>
        <w:pStyle w:val="19"/>
        <w:widowControl/>
        <w:spacing w:beforeAutospacing="0" w:afterAutospacing="0" w:line="360" w:lineRule="auto"/>
        <w:ind w:firstLine="480"/>
        <w:rPr>
          <w:rFonts w:hint="eastAsia" w:eastAsia="宋体"/>
          <w:lang w:eastAsia="zh-CN"/>
        </w:rPr>
      </w:pPr>
      <w:r>
        <w:rPr>
          <w:rFonts w:hint="eastAsia" w:ascii="宋体" w:hAnsi="宋体" w:eastAsia="宋体" w:cs="宋体"/>
          <w:szCs w:val="24"/>
          <w:shd w:val="clear" w:color="auto" w:fill="FFFFFF"/>
        </w:rPr>
        <w:t>地   址：</w:t>
      </w:r>
      <w:r>
        <w:rPr>
          <w:rFonts w:hint="eastAsia" w:ascii="宋体" w:hAnsi="宋体" w:eastAsia="宋体" w:cs="宋体"/>
          <w:color w:val="000000"/>
          <w:szCs w:val="24"/>
          <w:lang w:eastAsia="zh-CN"/>
        </w:rPr>
        <w:t>阳新县财政局隔壁中国平安后面二单元301室</w:t>
      </w:r>
    </w:p>
    <w:p>
      <w:pPr>
        <w:pStyle w:val="19"/>
        <w:widowControl/>
        <w:spacing w:beforeAutospacing="0" w:afterAutospacing="0" w:line="360" w:lineRule="auto"/>
        <w:ind w:firstLine="480"/>
        <w:rPr>
          <w:rFonts w:hint="eastAsia" w:eastAsia="宋体"/>
          <w:lang w:eastAsia="zh-CN"/>
        </w:rPr>
      </w:pPr>
      <w:r>
        <w:rPr>
          <w:rFonts w:hint="eastAsia" w:ascii="宋体" w:hAnsi="宋体" w:eastAsia="宋体" w:cs="宋体"/>
          <w:szCs w:val="24"/>
          <w:shd w:val="clear" w:color="auto" w:fill="FFFFFF"/>
        </w:rPr>
        <w:t>联系方式：</w:t>
      </w:r>
      <w:r>
        <w:rPr>
          <w:rFonts w:hint="eastAsia" w:ascii="宋体" w:hAnsi="宋体" w:eastAsia="宋体" w:cs="宋体"/>
          <w:color w:val="000000"/>
          <w:szCs w:val="24"/>
          <w:lang w:eastAsia="zh-CN"/>
        </w:rPr>
        <w:t>15347299507</w:t>
      </w:r>
    </w:p>
    <w:p>
      <w:pPr>
        <w:pStyle w:val="19"/>
        <w:widowControl/>
        <w:spacing w:beforeAutospacing="0" w:afterAutospacing="0" w:line="360" w:lineRule="auto"/>
        <w:ind w:firstLine="480"/>
      </w:pPr>
      <w:r>
        <w:rPr>
          <w:rFonts w:hint="eastAsia" w:ascii="宋体" w:hAnsi="宋体" w:eastAsia="宋体" w:cs="宋体"/>
          <w:szCs w:val="24"/>
          <w:shd w:val="clear" w:color="auto" w:fill="FFFFFF"/>
        </w:rPr>
        <w:t>3.项目联系方式</w:t>
      </w:r>
    </w:p>
    <w:p>
      <w:pPr>
        <w:pStyle w:val="19"/>
        <w:widowControl/>
        <w:spacing w:beforeAutospacing="0" w:afterAutospacing="0" w:line="360" w:lineRule="auto"/>
        <w:ind w:firstLine="480"/>
        <w:rPr>
          <w:rFonts w:hint="eastAsia" w:eastAsia="宋体"/>
          <w:lang w:eastAsia="zh-CN"/>
        </w:rPr>
      </w:pPr>
      <w:r>
        <w:rPr>
          <w:rFonts w:hint="eastAsia" w:ascii="宋体" w:hAnsi="宋体" w:eastAsia="宋体" w:cs="宋体"/>
          <w:szCs w:val="24"/>
          <w:shd w:val="clear" w:color="auto" w:fill="FFFFFF"/>
        </w:rPr>
        <w:t>项目联系人：</w:t>
      </w:r>
      <w:r>
        <w:rPr>
          <w:rFonts w:hint="eastAsia" w:ascii="宋体" w:hAnsi="宋体" w:eastAsia="宋体" w:cs="宋体"/>
          <w:bCs/>
          <w:szCs w:val="24"/>
          <w:shd w:val="clear" w:color="auto" w:fill="FFFFFF"/>
          <w:lang w:eastAsia="zh-CN"/>
        </w:rPr>
        <w:t>李红云</w:t>
      </w:r>
      <w:r>
        <w:rPr>
          <w:rFonts w:hint="eastAsia" w:ascii="宋体" w:hAnsi="宋体" w:eastAsia="宋体" w:cs="宋体"/>
          <w:szCs w:val="24"/>
          <w:shd w:val="clear" w:color="auto" w:fill="FFFFFF"/>
        </w:rPr>
        <w:t>  电 话：</w:t>
      </w:r>
      <w:r>
        <w:rPr>
          <w:rFonts w:hint="eastAsia" w:ascii="宋体" w:hAnsi="宋体" w:eastAsia="宋体" w:cs="宋体"/>
          <w:color w:val="000000"/>
          <w:szCs w:val="24"/>
          <w:lang w:eastAsia="zh-CN"/>
        </w:rPr>
        <w:t>15347299507</w:t>
      </w:r>
    </w:p>
    <w:p>
      <w:pPr>
        <w:pStyle w:val="19"/>
        <w:widowControl/>
        <w:spacing w:beforeAutospacing="0" w:afterAutospacing="0" w:line="360" w:lineRule="auto"/>
        <w:ind w:firstLine="480"/>
        <w:jc w:val="right"/>
        <w:rPr>
          <w:rFonts w:hint="eastAsia" w:eastAsiaTheme="minorEastAsia"/>
          <w:lang w:eastAsia="zh-CN"/>
        </w:rPr>
      </w:pPr>
      <w:r>
        <w:rPr>
          <w:rFonts w:hint="eastAsia" w:ascii="宋体" w:hAnsi="宋体" w:cs="宋体"/>
          <w:szCs w:val="24"/>
          <w:shd w:val="clear" w:color="auto" w:fill="FFFFFF"/>
          <w:lang w:eastAsia="zh-CN"/>
        </w:rPr>
        <w:t>立信大华工程咨询有限责任公司</w:t>
      </w:r>
    </w:p>
    <w:p>
      <w:pPr>
        <w:pStyle w:val="19"/>
        <w:widowControl/>
        <w:spacing w:beforeAutospacing="0" w:afterAutospacing="0" w:line="360" w:lineRule="auto"/>
        <w:ind w:firstLine="480"/>
        <w:jc w:val="right"/>
      </w:pPr>
      <w:r>
        <w:rPr>
          <w:rFonts w:hint="eastAsia" w:ascii="宋体" w:hAnsi="宋体" w:eastAsia="宋体" w:cs="宋体"/>
          <w:szCs w:val="24"/>
          <w:shd w:val="clear" w:color="auto" w:fill="FFFFFF"/>
        </w:rPr>
        <w:t>2020年</w:t>
      </w:r>
      <w:r>
        <w:rPr>
          <w:rFonts w:hint="eastAsia" w:ascii="宋体" w:hAnsi="宋体" w:eastAsia="宋体" w:cs="宋体"/>
          <w:szCs w:val="24"/>
          <w:shd w:val="clear" w:color="auto" w:fill="FFFFFF"/>
          <w:lang w:val="en-US" w:eastAsia="zh-CN"/>
        </w:rPr>
        <w:t>12</w:t>
      </w:r>
      <w:r>
        <w:rPr>
          <w:rFonts w:hint="eastAsia" w:ascii="宋体" w:hAnsi="宋体" w:eastAsia="宋体" w:cs="宋体"/>
          <w:szCs w:val="24"/>
          <w:shd w:val="clear" w:color="auto" w:fill="FFFFFF"/>
        </w:rPr>
        <w:t>月</w:t>
      </w:r>
      <w:r>
        <w:rPr>
          <w:rFonts w:hint="eastAsia" w:ascii="宋体" w:hAnsi="宋体" w:eastAsia="宋体" w:cs="宋体"/>
          <w:szCs w:val="24"/>
          <w:shd w:val="clear" w:color="auto" w:fill="FFFFFF"/>
          <w:lang w:val="en-US" w:eastAsia="zh-CN"/>
        </w:rPr>
        <w:t xml:space="preserve"> 04 </w:t>
      </w:r>
      <w:r>
        <w:rPr>
          <w:rFonts w:hint="eastAsia" w:ascii="宋体" w:hAnsi="宋体" w:eastAsia="宋体" w:cs="宋体"/>
          <w:szCs w:val="24"/>
          <w:shd w:val="clear" w:color="auto" w:fill="FFFFFF"/>
        </w:rPr>
        <w:t>日</w:t>
      </w:r>
    </w:p>
    <w:p>
      <w:pPr>
        <w:pStyle w:val="3"/>
        <w:numPr>
          <w:ilvl w:val="0"/>
          <w:numId w:val="1"/>
        </w:numPr>
        <w:spacing w:before="240" w:after="120"/>
        <w:ind w:left="883" w:hanging="880" w:hangingChars="200"/>
        <w:jc w:val="center"/>
        <w:rPr>
          <w:rFonts w:ascii="黑体" w:hAnsi="黑体" w:eastAsia="黑体"/>
        </w:rPr>
      </w:pPr>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495861519"/>
      <w:r>
        <w:rPr>
          <w:rFonts w:cs="Times New Roman" w:asciiTheme="majorEastAsia" w:hAnsiTheme="majorEastAsia" w:eastAsiaTheme="majorEastAsia"/>
          <w:b/>
          <w:bCs/>
          <w:sz w:val="32"/>
          <w:szCs w:val="32"/>
          <w:lang w:val="zh-CN"/>
        </w:rPr>
        <w:t>投标须知前附表</w:t>
      </w:r>
      <w:bookmarkEnd w:id="2"/>
      <w:bookmarkEnd w:id="3"/>
    </w:p>
    <w:tbl>
      <w:tblPr>
        <w:tblStyle w:val="22"/>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 xml:space="preserve">131-2020CG- </w:t>
            </w:r>
            <w:r>
              <w:rPr>
                <w:rFonts w:hint="eastAsia" w:ascii="Times New Roman" w:hAnsi="Times New Roman" w:eastAsia="宋体" w:cs="Times New Roman"/>
                <w:sz w:val="24"/>
                <w:szCs w:val="24"/>
                <w:lang w:val="en-US" w:eastAsia="zh-CN"/>
              </w:rPr>
              <w:t>283</w:t>
            </w:r>
            <w:r>
              <w:rPr>
                <w:rFonts w:hint="eastAsia" w:ascii="Times New Roman" w:hAnsi="Times New Roman" w:eastAsia="宋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sz w:val="24"/>
                <w:szCs w:val="24"/>
                <w:lang w:eastAsia="zh-CN"/>
              </w:rPr>
              <w:t>阳新县人民医院城东新院区超声科人工智能高端彩色多普勒超声诊断仪采购项目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D0D0D"/>
                <w:kern w:val="0"/>
                <w:sz w:val="24"/>
                <w:szCs w:val="24"/>
                <w:lang w:eastAsia="zh-CN"/>
              </w:rPr>
            </w:pPr>
            <w:r>
              <w:rPr>
                <w:rFonts w:hint="eastAsia" w:ascii="宋体" w:hAnsi="宋体" w:eastAsia="宋体" w:cs="宋体"/>
                <w:color w:val="0D0D0D"/>
                <w:kern w:val="0"/>
                <w:sz w:val="24"/>
                <w:szCs w:val="24"/>
                <w:lang w:eastAsia="zh-CN"/>
              </w:rPr>
              <w:t>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bCs/>
                <w:kern w:val="0"/>
                <w:sz w:val="24"/>
                <w:szCs w:val="24"/>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C0C0C" w:themeColor="text1" w:themeTint="F2"/>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FF0000"/>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不提交</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不组织</w:t>
            </w:r>
          </w:p>
          <w:p>
            <w:pPr>
              <w:ind w:right="-105" w:rightChars="-50"/>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4"/>
        <w:numPr>
          <w:ilvl w:val="0"/>
          <w:numId w:val="5"/>
        </w:numPr>
        <w:spacing w:before="12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cs="Times New Roman" w:asciiTheme="minorEastAsia" w:hAnsiTheme="minorEastAsia"/>
          <w:sz w:val="24"/>
          <w:szCs w:val="24"/>
          <w:u w:val="single"/>
          <w:lang w:val="zh-CN"/>
        </w:rPr>
        <w:t>立信大华工程咨询有限责任公司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440" w:lineRule="exact"/>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3"/>
        <w:numPr>
          <w:ilvl w:val="0"/>
          <w:numId w:val="10"/>
        </w:numPr>
        <w:adjustRightInd w:val="0"/>
        <w:snapToGrid w:val="0"/>
        <w:spacing w:line="440" w:lineRule="exact"/>
        <w:ind w:firstLineChars="0"/>
        <w:rPr>
          <w:rFonts w:ascii="宋体" w:hAnsi="宋体"/>
          <w:bCs/>
          <w:sz w:val="24"/>
          <w:szCs w:val="24"/>
        </w:rPr>
      </w:pPr>
      <w:r>
        <w:rPr>
          <w:rFonts w:hint="eastAsia" w:ascii="宋体" w:hAnsi="宋体"/>
          <w:sz w:val="24"/>
          <w:szCs w:val="24"/>
        </w:rPr>
        <w:t>采购代理服务费</w:t>
      </w:r>
    </w:p>
    <w:p>
      <w:pPr>
        <w:pStyle w:val="43"/>
        <w:spacing w:line="440" w:lineRule="exact"/>
        <w:ind w:firstLine="0" w:firstLineChars="0"/>
        <w:rPr>
          <w:rFonts w:ascii="宋体" w:hAnsi="宋体"/>
          <w:b/>
          <w:sz w:val="24"/>
          <w:szCs w:val="24"/>
        </w:rPr>
      </w:pPr>
      <w:r>
        <w:rPr>
          <w:rFonts w:hint="eastAsia" w:ascii="宋体" w:hAnsi="宋体"/>
          <w:b/>
          <w:sz w:val="24"/>
          <w:szCs w:val="24"/>
        </w:rPr>
        <w:t>4.2.1经过采购代理机构与采购人协议，规定由中标单位支付。采购代理服务费收费标准如下：</w:t>
      </w:r>
    </w:p>
    <w:p>
      <w:pPr>
        <w:pStyle w:val="43"/>
        <w:spacing w:line="440" w:lineRule="exact"/>
        <w:ind w:firstLine="0" w:firstLineChars="0"/>
        <w:rPr>
          <w:rFonts w:ascii="宋体" w:hAnsi="宋体"/>
          <w:b/>
          <w:sz w:val="24"/>
          <w:szCs w:val="24"/>
        </w:rPr>
      </w:pPr>
    </w:p>
    <w:tbl>
      <w:tblPr>
        <w:tblStyle w:val="22"/>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504950" cy="869950"/>
                      <wp:effectExtent l="2540" t="3810" r="16510" b="21590"/>
                      <wp:wrapNone/>
                      <wp:docPr id="2" name="Line 16"/>
                      <wp:cNvGraphicFramePr/>
                      <a:graphic xmlns:a="http://schemas.openxmlformats.org/drawingml/2006/main">
                        <a:graphicData uri="http://schemas.microsoft.com/office/word/2010/wordprocessingShape">
                          <wps:wsp>
                            <wps:cNvSpPr/>
                            <wps:spPr>
                              <a:xfrm flipH="1" flipV="1">
                                <a:off x="0" y="0"/>
                                <a:ext cx="150495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8.5pt;z-index:251661312;mso-width-relative:page;mso-height-relative:page;" filled="f" stroked="t" coordsize="21600,21600" o:gfxdata="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L9LK0gAAAAkB&#10;AAAPAAAAAAAAAAEAIAAAACIAAABkcnMvZG93bnJldi54bWxQSwECFAAUAAAACACHTuJALfw4hugB&#10;AADzAwAADgAAAAAAAAABACAAAAAhAQAAZHJzL2Uyb0RvYy54bWxQSwUGAAAAAAYABgBZAQAAewUA&#10;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57020" cy="361950"/>
                      <wp:effectExtent l="1270" t="4445" r="3810" b="14605"/>
                      <wp:wrapNone/>
                      <wp:docPr id="3" name="Line 17"/>
                      <wp:cNvGraphicFramePr/>
                      <a:graphic xmlns:a="http://schemas.openxmlformats.org/drawingml/2006/main">
                        <a:graphicData uri="http://schemas.microsoft.com/office/word/2010/wordprocessingShape">
                          <wps:wsp>
                            <wps:cNvSpPr/>
                            <wps:spPr>
                              <a:xfrm flipH="1" flipV="1">
                                <a:off x="0" y="0"/>
                                <a:ext cx="1557020" cy="361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28.5pt;width:122.6pt;z-index:251662336;mso-width-relative:page;mso-height-relative:page;" filled="f" stroked="t" coordsize="21600,21600" o:gfxdata="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X7&#10;MrvVAAAACAEAAA8AAAAAAAAAAQAgAAAAIgAAAGRycy9kb3ducmV2LnhtbFBLAQIUABQAAAAIAIdO&#10;4kDLf4NM7QEAAPMDAAAOAAAAAAAAAAEAIAAAACQBAABkcnMvZTJvRG9jLnhtbFBLBQYAAAAABgAG&#10;AFkBAACD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HTt2dYBAADW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JongQpPDhu+KPxKBarIs0xUssRz/EpXXbE&#10;ZuF56pMrf2YgTlXO81VOPGWh+PDu40oK9XLevF6KifI3DE4Uo5OWE1bx4PBImRNx6EtIyWG9OHby&#10;82pZ4IBHrudWs+kil01+qHcpWKMfjLXlBqVh98UmcYDS9voVOoz7V1hJsgUap7jqmgZiRNBfvRb5&#10;HFkQz+9AlhIcaiks8rMpFgNCm8HYWyI5tfVcQVF00rBYu6DPLP8+JjOMrMSiVlk83O5a72U0yzz9&#10;ua9Ir89x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kdN+1QAAAAkBAAAPAAAAAAAAAAEAIAAA&#10;ACIAAABkcnMvZG93bnJldi54bWxQSwECFAAUAAAACACHTuJAHHTt2dYBAADWAwAADgAAAAAAAAAB&#10;ACAAAAAkAQAAZHJzL2Uyb0RvYy54bWxQSwUGAAAAAAYABgBZAQAAbAU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0.96%</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3"/>
        <w:adjustRightInd w:val="0"/>
        <w:snapToGrid w:val="0"/>
        <w:spacing w:line="300" w:lineRule="auto"/>
        <w:ind w:left="420" w:firstLine="0" w:firstLineChars="0"/>
        <w:rPr>
          <w:rFonts w:ascii="宋体" w:hAnsi="宋体"/>
          <w:b/>
          <w:sz w:val="24"/>
          <w:szCs w:val="24"/>
        </w:rPr>
      </w:pPr>
    </w:p>
    <w:p>
      <w:pPr>
        <w:pStyle w:val="43"/>
        <w:spacing w:line="440" w:lineRule="exact"/>
        <w:ind w:firstLine="0" w:firstLineChars="0"/>
        <w:rPr>
          <w:rFonts w:ascii="宋体" w:hAnsi="宋体"/>
          <w:b/>
          <w:sz w:val="24"/>
          <w:szCs w:val="24"/>
        </w:rPr>
      </w:pPr>
      <w:r>
        <w:rPr>
          <w:rFonts w:hint="eastAsia" w:ascii="宋体" w:hAnsi="宋体"/>
          <w:b/>
          <w:sz w:val="24"/>
          <w:szCs w:val="24"/>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495861521"/>
      <w:bookmarkStart w:id="7" w:name="_Toc272247695"/>
      <w:bookmarkStart w:id="8" w:name="_Toc278891592"/>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272247696"/>
      <w:bookmarkStart w:id="12" w:name="_Toc494561940"/>
      <w:bookmarkStart w:id="13" w:name="_Toc495861522"/>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w:t>
      </w:r>
      <w:r>
        <w:rPr>
          <w:rFonts w:hint="eastAsia" w:ascii="宋体" w:hAnsi="宋体"/>
          <w:b/>
          <w:bCs/>
          <w:color w:val="000000"/>
          <w:sz w:val="24"/>
          <w:szCs w:val="24"/>
          <w:lang w:val="zh-CN"/>
        </w:rPr>
        <w:t>本项目不收取投标保证金</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投标人应在不迟于投标邀请书中规定的投标截止日期和时间将投标文件密封递交至采购代理机构规定的投标地点。</w:t>
      </w:r>
    </w:p>
    <w:p>
      <w:pPr>
        <w:numPr>
          <w:ilvl w:val="0"/>
          <w:numId w:val="23"/>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278891595"/>
      <w:bookmarkStart w:id="16" w:name="_Toc494561942"/>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495861526"/>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5861527"/>
      <w:bookmarkStart w:id="27" w:name="_Toc49456194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495861529"/>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4561949"/>
      <w:bookmarkStart w:id="34" w:name="_Toc278891598"/>
      <w:bookmarkStart w:id="35" w:name="_Toc495861530"/>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495861531"/>
      <w:bookmarkStart w:id="38" w:name="_Toc27224770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3"/>
        <w:numPr>
          <w:ilvl w:val="0"/>
          <w:numId w:val="1"/>
        </w:numPr>
        <w:jc w:val="center"/>
        <w:rPr>
          <w:rFonts w:ascii="黑体" w:hAnsi="黑体" w:eastAsia="黑体"/>
          <w:highlight w:val="none"/>
        </w:rPr>
      </w:pPr>
      <w:bookmarkStart w:id="40" w:name="_Toc495861532"/>
      <w:r>
        <w:rPr>
          <w:rFonts w:hint="eastAsia" w:ascii="黑体" w:hAnsi="黑体" w:eastAsia="黑体"/>
          <w:highlight w:val="none"/>
        </w:rPr>
        <w:t>项目技术、服务及商务要求</w:t>
      </w:r>
      <w:bookmarkEnd w:id="40"/>
    </w:p>
    <w:p>
      <w:pPr>
        <w:pStyle w:val="46"/>
        <w:spacing w:before="156" w:after="156"/>
        <w:ind w:firstLine="0" w:firstLineChars="0"/>
        <w:rPr>
          <w:rFonts w:eastAsia="宋体"/>
          <w:b/>
          <w:bCs/>
          <w:sz w:val="28"/>
          <w:szCs w:val="28"/>
          <w:highlight w:val="none"/>
        </w:rPr>
      </w:pPr>
      <w:r>
        <w:rPr>
          <w:rFonts w:hint="eastAsia"/>
          <w:b/>
          <w:bCs/>
          <w:sz w:val="28"/>
          <w:szCs w:val="28"/>
          <w:highlight w:val="none"/>
        </w:rPr>
        <w:t>一、采购清单</w:t>
      </w:r>
    </w:p>
    <w:tbl>
      <w:tblPr>
        <w:tblStyle w:val="22"/>
        <w:tblW w:w="8758" w:type="dxa"/>
        <w:jc w:val="center"/>
        <w:tblLayout w:type="fixed"/>
        <w:tblCellMar>
          <w:top w:w="0" w:type="dxa"/>
          <w:left w:w="108" w:type="dxa"/>
          <w:bottom w:w="0" w:type="dxa"/>
          <w:right w:w="108" w:type="dxa"/>
        </w:tblCellMar>
      </w:tblPr>
      <w:tblGrid>
        <w:gridCol w:w="1479"/>
        <w:gridCol w:w="5502"/>
        <w:gridCol w:w="1777"/>
      </w:tblGrid>
      <w:tr>
        <w:tblPrEx>
          <w:tblCellMar>
            <w:top w:w="0" w:type="dxa"/>
            <w:left w:w="108" w:type="dxa"/>
            <w:bottom w:w="0" w:type="dxa"/>
            <w:right w:w="108" w:type="dxa"/>
          </w:tblCellMar>
        </w:tblPrEx>
        <w:trPr>
          <w:trHeight w:val="508" w:hRule="atLeast"/>
          <w:tblHeader/>
          <w:jc w:val="center"/>
        </w:trPr>
        <w:tc>
          <w:tcPr>
            <w:tcW w:w="1479" w:type="dxa"/>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5502" w:type="dxa"/>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名称</w:t>
            </w:r>
          </w:p>
        </w:tc>
        <w:tc>
          <w:tcPr>
            <w:tcW w:w="1777" w:type="dxa"/>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r>
      <w:tr>
        <w:tblPrEx>
          <w:tblCellMar>
            <w:top w:w="0" w:type="dxa"/>
            <w:left w:w="108" w:type="dxa"/>
            <w:bottom w:w="0" w:type="dxa"/>
            <w:right w:w="108" w:type="dxa"/>
          </w:tblCellMar>
        </w:tblPrEx>
        <w:trPr>
          <w:trHeight w:val="412"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5502" w:type="dxa"/>
            <w:tcBorders>
              <w:top w:val="single" w:color="auto" w:sz="8" w:space="0"/>
              <w:left w:val="single" w:color="auto" w:sz="4" w:space="0"/>
              <w:bottom w:val="single" w:color="auto" w:sz="8" w:space="0"/>
              <w:right w:val="single" w:color="auto" w:sz="4" w:space="0"/>
            </w:tcBorders>
            <w:vAlign w:val="center"/>
          </w:tcPr>
          <w:p>
            <w:pPr>
              <w:widowControl/>
              <w:tabs>
                <w:tab w:val="center" w:pos="2434"/>
                <w:tab w:val="left" w:pos="3209"/>
              </w:tabs>
              <w:jc w:val="left"/>
              <w:textAlignment w:val="center"/>
              <w:rPr>
                <w:rFonts w:hint="eastAsia"/>
                <w:lang w:val="en-US" w:eastAsia="zh-CN"/>
              </w:rPr>
            </w:pPr>
            <w:r>
              <w:rPr>
                <w:rFonts w:hint="eastAsia"/>
                <w:lang w:val="en-US" w:eastAsia="zh-CN"/>
              </w:rPr>
              <w:tab/>
            </w:r>
            <w:r>
              <w:rPr>
                <w:rFonts w:hint="eastAsia"/>
                <w:b/>
                <w:bCs/>
                <w:sz w:val="22"/>
                <w:szCs w:val="22"/>
                <w:lang w:eastAsia="zh-CN"/>
              </w:rPr>
              <w:t>高端智能彩色多普勒超声诊断仪</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1套</w:t>
            </w:r>
          </w:p>
        </w:tc>
      </w:tr>
    </w:tbl>
    <w:p>
      <w:pPr>
        <w:spacing w:line="240" w:lineRule="auto"/>
        <w:rPr>
          <w:rFonts w:hAnsi="宋体" w:eastAsia="宋体"/>
          <w:b/>
          <w:bCs/>
          <w:sz w:val="84"/>
          <w:szCs w:val="84"/>
          <w:highlight w:val="none"/>
        </w:rPr>
      </w:pPr>
      <w:r>
        <w:rPr>
          <w:rFonts w:hint="eastAsia" w:hAnsi="宋体"/>
          <w:b/>
          <w:bCs/>
          <w:sz w:val="32"/>
          <w:szCs w:val="32"/>
          <w:highlight w:val="none"/>
        </w:rPr>
        <w:t>二、技术参数</w:t>
      </w:r>
    </w:p>
    <w:p>
      <w:pPr>
        <w:widowControl/>
        <w:overflowPunct w:val="0"/>
        <w:autoSpaceDE w:val="0"/>
        <w:autoSpaceDN w:val="0"/>
        <w:adjustRightInd w:val="0"/>
        <w:ind w:right="-180"/>
        <w:jc w:val="center"/>
        <w:textAlignment w:val="baseline"/>
        <w:rPr>
          <w:rFonts w:hint="eastAsia" w:ascii="微软雅黑" w:hAnsi="微软雅黑" w:eastAsia="微软雅黑" w:cs="微软雅黑"/>
          <w:b/>
          <w:sz w:val="30"/>
          <w:szCs w:val="30"/>
        </w:rPr>
      </w:pPr>
      <w:r>
        <w:rPr>
          <w:rFonts w:hint="eastAsia" w:ascii="微软雅黑" w:hAnsi="微软雅黑" w:eastAsia="微软雅黑" w:cs="微软雅黑"/>
          <w:b/>
          <w:sz w:val="30"/>
          <w:szCs w:val="30"/>
        </w:rPr>
        <w:t>高端智能彩色多普勒超声诊断仪技术规格</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一、名    称：高端智能彩色多普勒超声诊断仪</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二、数    量：一套</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三、设备用途：</w:t>
      </w:r>
      <w:r>
        <w:rPr>
          <w:rFonts w:hint="eastAsia" w:asciiTheme="minorEastAsia" w:hAnsiTheme="minorEastAsia" w:eastAsiaTheme="minorEastAsia" w:cstheme="minorEastAsia"/>
          <w:sz w:val="21"/>
          <w:szCs w:val="21"/>
          <w:lang w:eastAsia="zh-CN"/>
        </w:rPr>
        <w:t>腹部、妇产科、泌尿科、生殖、小器官、心脏、血管、肌肉骨骼、TCD、新生儿、儿科、介入治疗等各科系病例诊断、疑难病例会诊和科研教学等极具价值的顶级超声系统，投标设备必须为各厂家最高档的专业机。</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四、主要规格及系统概述：</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 彩色超声诊断仪：</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 原装进口全数字化超声成像系统，由制造商品牌所在国生产</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1.2 主机计算机系统为Windows操作系统 </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 显示器：≥23英寸显示器，显示器可以上下左右活动、仰俯等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 具备≥13英寸彩色LED触摸控制屏，触摸屏幕可直接进行各种功能操作。触摸屏可以进行感应式位置调整</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 全新复合波束形成器，获取更多有效信息，提供高品质图像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 二维灰阶成像及分析单元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 M型显示及分析单元，解剖M型技术，可360度任意旋转M型取样线角度，方便准确的进行测量。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 彩色多普勒显示及分析单元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 能量多普勒显示及分析单元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1.10 脉冲多普勒显示及分析单元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1.11连续多普勒显示及分析单元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1.12组织多普勒显示及分析单元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1.13方向性彩色多普勒能量图</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1.14谐波成像技术，包括：组织谐波成像技术、脉冲反向谐波成像、智能谐波成像技术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1.15系统最大动态范围：≥360dB</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1.16双幅实时动态显示功能，同屏显示二维及彩色血流的实时图像，不降低帧频，不降低图像质量。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1.17 一键优化功能：通过一键操作，迅速优化二维、彩色、多普勒频谱图像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1.18图标指示功能，可任意选择剪贴板中存储的影像，进行回放、调节、测量、分析和诊断</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1.19 智能化图像优化技术：消除斑点噪声伪像，增强边缘显示，显著提高图像分辨率和对比度，逐级可调，可调级别≥6级，以满足不同组织对图像不同要求，支持所有探头，并可结合其他图像优化技术同时使用</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1.20具备精细血流成像技术，最大限度减少多普勒角度依赖，可更好的显示低速血流灌注</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1.21空间复合成像，可实现曲别针实验，应用于2D/彩色血流模式下，最多15级可调。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1.22 具备梯形成像功能</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1.23 主机一体式耦合剂加热器，温度可多级调节</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1.24 具备凸阵扩展功能,可用于二维及彩色血流，多级可调（CA1-7，70-80度）</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★1.25具备多国语言包括中文菜单、中文文本输入（提供图片证明）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1.26具备超声声速匹配技术，可根据不同检查模式调整声速速度，并可预设保存</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★1.27具备智能自动多普勒技术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1.27．1一键自动调整取样框角度、位置、取样门位置、取样门角度等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1.27．2具备血流自动追踪技术，可跟随探头的移动实时追踪血管位置，自动调整彩色图像（包括取样框角度、位置等）自动优化频谱测量以保证测量值的准确性</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1.28具备二维声束独立偏转功能</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1.29弹性成像可搭载于线阵及凸阵探头。</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1.29.1实时甲状腺弹性成像及分析技术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1.29.1.1具备实时甲状腺弹性分布图</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1.29.1.2可对甲状腺弹性的均匀度进行量化分析，用于开展甲状腺弥漫性病变分级及甲状腺结节的辅助评估等工作。</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1.29.1.3具备标尺指示功能，可同时实现压力质控及时间质控。</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1.29.1.4无需人工加压，自动显示灰阶、彩色、反转等多种显示方式。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1.29.2实时乳腺弹性成像及分析技术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1.29.2.1具备实时乳腺弹性分布图</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★1.29.2.2可对乳腺弹性进行量化分析，可实现一键测量脂肪与病灶的应变值及应变比值，用于开展乳腺分级及乳腺肿瘤的辅助评估等科研工作。</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1.29.2.3自动显示灰阶、彩色、反转等多种显示方式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1.29.2.4具备标尺指示功能，可实现压力质控。</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★1.30</w:t>
      </w:r>
      <w:r>
        <w:rPr>
          <w:rFonts w:hint="eastAsia" w:asciiTheme="minorEastAsia" w:hAnsiTheme="minorEastAsia" w:eastAsiaTheme="minorEastAsia" w:cstheme="minorEastAsia"/>
          <w:b/>
          <w:bCs/>
          <w:sz w:val="21"/>
          <w:szCs w:val="21"/>
          <w:lang w:eastAsia="zh-CN"/>
        </w:rPr>
        <w:t xml:space="preserve"> 乳腺智能探测分析技术：可自动识别乳腺肿物的多种参数，一秒钟对乳腺肿物进行良、恶性评估，给出结论，在机实现符合BI-RADS分类标准的数据及报告。</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1.30.1感兴趣区定位，自动或手动识别肿物的边界及位置，并进行编辑</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1.30．2通过自动计算，准确获取并显示肿物基本所需的测量数值，包含距离体表深度、长度、厚度、面积等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1.30．3通过自动计算，准确获取并显示肿物基本所需的各种声学参数，包含形状、边界、纵横比、回声均匀度、后方声学改变等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1.30．4内置BI-RADS分类诊断模型，并自动予以匹配</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1.30．5可任意添加分析及检查图片到报告系统。</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★1.31</w:t>
      </w:r>
      <w:r>
        <w:rPr>
          <w:rFonts w:hint="eastAsia" w:asciiTheme="minorEastAsia" w:hAnsiTheme="minorEastAsia" w:eastAsiaTheme="minorEastAsia" w:cstheme="minorEastAsia"/>
          <w:b/>
          <w:bCs/>
          <w:sz w:val="21"/>
          <w:szCs w:val="21"/>
          <w:lang w:eastAsia="zh-CN"/>
        </w:rPr>
        <w:t>甲状腺智能探测分析技术</w:t>
      </w:r>
      <w:r>
        <w:rPr>
          <w:rFonts w:hint="eastAsia" w:asciiTheme="minorEastAsia" w:hAnsiTheme="minorEastAsia" w:eastAsiaTheme="minorEastAsia" w:cstheme="minorEastAsia"/>
          <w:sz w:val="21"/>
          <w:szCs w:val="21"/>
          <w:lang w:eastAsia="zh-CN"/>
        </w:rPr>
        <w:t>：可自动识别甲状腺肿物的多种参数，1秒钟对乳腺肿物进行良、恶性评估，给出结论，在机实现符合TI-RADS分类标准的数据及报告。</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1.31.1感兴趣区定位，自动或手动识别肿物的边界及位置，并进行编辑</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1.31．2通过自动计算，准确获取并显示肿物基本所需的测量数值，包含距离体表深度、长度、厚度、面积等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1.31．3通过自动计算，准确获取并显示肿物基本所需的各种声学参数，包含组织成分、回声均匀度、形状、边界、纵横比等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1.31．4内置TI-RADS分类诊断模型，并自动予以匹配（可手动编辑）</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1.32造影成像，具备双幅造影图像及基波图像同屏对比，具备双造影计时器</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1.32.1具备双幅造影图像及基波图像同屏对比，可独立调节造影及对比图像参数</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1.32．2具备微血管造影成像技术，可清晰显示组织内微小血管的灌注及走行，可早期评价病变的恶变倾向及治疗效果</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1.32.3具备时间曲线强度定量分析技术，拟合曲线方式≥13种</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1.32.4支持造影爆破技术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1.32.5支持前后存储，在机造影连续储存时间≥8min</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1.32．6具备定量组织追踪技术，实时追踪被定量组织，消除因患者呼吸、运动等产生的组织位移，使超声造影定量分析更加准确</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1.32.7支持斑点噪声抑制</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1.32.8造影模式下支持测量放大镜，提高造影灌注后病灶大小精确测量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 测量和分析部分</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 一般测量：距离、周长、面积、体积、角度、百分比、曲线长度及不规则面积等</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2.1.1测量放大镜：可实时同步无失真放大测量取样区域，同屏双区域显示（非图像放大后测量，实现图像跟随测量光标实时放大，测量光标中心点与放大镜中心点实时同步），提高测量数据获取的精确性，不影响观察测量区域与周边组织位置关系（提供动态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2.2 腹部测量与分析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2.3 产科测量与分析，具备胎儿体重孕龄评估，生长曲线显示</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2.4 妇科测量与分析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 颈动脉测量与分析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2.6 心脏测量与分析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2.7 泌尿科测量与分析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2.8 胎儿心脏测量与分析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2.9 上下肢动脉、上下肢静脉测量与分析</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★2.10小儿髋关节测量：通过测量可直接在屏幕上显示相应的髋关节分型，并可测量股骨头覆盖率</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3. 探头规格</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3.1 频率：所有探头均为超宽频变频电子探头，支持频带发射与接收</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 支持3D成像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w:t>
      </w:r>
      <w:r>
        <w:rPr>
          <w:rFonts w:hint="eastAsia" w:asciiTheme="minorEastAsia" w:hAnsiTheme="minorEastAsia" w:eastAsiaTheme="minorEastAsia" w:cstheme="minorEastAsia"/>
          <w:b/>
          <w:bCs/>
          <w:sz w:val="21"/>
          <w:szCs w:val="21"/>
          <w:lang w:eastAsia="zh-CN"/>
        </w:rPr>
        <w:t>探头规格:</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3.3.1性能：超宽频带变频探头，频段或频率数字双重显示模式，探头在二维模式下中心频率最大可选择≥6种；</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多普勒频率可最大选择≥2种；</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中心频率的变频频段及频率具体数字均可在屏幕上可视可调，必须具备单晶体探头技术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3.3.2类型：电子相控阵，电子凸阵，电子线阵</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★3.3.3单晶体凸阵：1-7MHz，基波成像的中心频率个数≥3个，谐波成像的中心频率个数≥3个，可视可调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3.3.4浅表线阵：3-12MHz，基波成像的中心频率个数≥3个，谐波成像的中心频率个数≥3个，可视可调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3.3.5血管线阵：2-9MHz，基波成像的中心频率个数≥3个，谐波成像的中心频率个数≥3个，可视可调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3.3.6 腔内凸阵：3-12MHz，基波成像的中心频率个数≥3个，谐波成像的中心频率个数≥3个，可视可调</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3.4探头接口：探头接口≥5个，同时激活探头接口≥4个，均为最新的无针式探头接口，具备防尘盖板，探头接口大小一致，2D及3D探头接口通用，腹部探头穿刺架一个，腔内探头穿刺架一个</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4. 输入/输出信号：</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4.1 输入：S-VHS、VHS 、USB2.0、DICOM、外部音频</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4.2 输出：DVI、S-VHS、VHS、VGA、音频输出、USB2.0、DICOM 3.0、DICOM SR</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★4.3 主机内置一体化USB接口≥6个(提供图片证明)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5. 二维成像主要参数</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 扫描速率：相控阵探头，全视野，18cm深度时，帧速度≥65帧/秒</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85度角，18cm深度时，帧速度≥68帧/秒</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5.2 扫描线：每帧线密度≥1024超声线</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5.3 声束聚焦：发射≥8段，接收自动连续聚焦</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5.4系统处理通道≥3000000，多路信号并行处理</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5.5 数字技术：接收数字式声束形成器，连续动态聚焦，可变孔径及动态变迹</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5.6 回放重现：2D灰阶图像回放≥12700帧</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5.7预设条件：针对不同的检查脏器，预置最佳化图像的检查条件，减少操作时的调节，及常用所需</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的外部调节及组合调节</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5.8增益调节：B、B/M、C、D可独立调节</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★5.9数码TGC≥10段增益补偿调节</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5.10最大显示深度≥30cm，最小显示深度≤2cm</w:t>
      </w:r>
      <w:r>
        <w:rPr>
          <w:rFonts w:hint="eastAsia" w:asciiTheme="minorEastAsia" w:hAnsiTheme="minorEastAsia" w:eastAsiaTheme="minorEastAsia" w:cstheme="minorEastAsia"/>
          <w:sz w:val="21"/>
          <w:szCs w:val="21"/>
          <w:lang w:val="en-US" w:eastAsia="zh-CN"/>
        </w:rPr>
        <w:t xml:space="preserve"> </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val="en-US"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6. 频谱多普勒</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6.1方式：脉冲波多普勒（PW）、高脉冲重复频率（HPRF）、连续波多普勒（CW）</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6.2最大测量速度：（无角度纠正时）</w:t>
      </w:r>
    </w:p>
    <w:p>
      <w:pPr>
        <w:widowControl/>
        <w:overflowPunct w:val="0"/>
        <w:autoSpaceDE w:val="0"/>
        <w:autoSpaceDN w:val="0"/>
        <w:adjustRightInd w:val="0"/>
        <w:ind w:right="-180" w:firstLine="1680" w:firstLineChars="8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PW：血流速度≥10.6m/s（提供图片证明）</w:t>
      </w:r>
    </w:p>
    <w:p>
      <w:pPr>
        <w:widowControl/>
        <w:overflowPunct w:val="0"/>
        <w:autoSpaceDE w:val="0"/>
        <w:autoSpaceDN w:val="0"/>
        <w:adjustRightInd w:val="0"/>
        <w:ind w:right="-180" w:firstLine="1680" w:firstLineChars="8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CW：血流速度≥18.5m/s（提供图片证明）</w:t>
      </w:r>
    </w:p>
    <w:p>
      <w:pPr>
        <w:widowControl/>
        <w:overflowPunct w:val="0"/>
        <w:autoSpaceDE w:val="0"/>
        <w:autoSpaceDN w:val="0"/>
        <w:adjustRightInd w:val="0"/>
        <w:ind w:right="-180" w:firstLine="1680" w:firstLineChars="8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最大测量速度：（角度纠正时）           </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PW：血流速度≥40m/s（提供图片证明）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CW：血流速度≥51m/s（提供图片证明）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6.3最低测量速度：≤6mm/s</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6.4显示方式：B/D、B/C/D</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6.5多普勒电影回放：≥8192线</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6.6零位移动：≥8级</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★6.7取样宽度及位置范围：多级可调，最小取样宽度0.5mm，最大20mm（提供图片证明）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6.8实时多普勒频谱自动包络并完成频谱测量计算</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6.9实时三同步功能</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7.彩色多普勒</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7.1彩色优化技术：提高帧频、提高彩色灵敏度</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7.2显示方式：速度方差显示、能量显示、速度显示、方差显示</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7.3显示控制：零位移动、黑/白与彩色比较、彩色对比</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7.4显示位置调整：线阵扫描感兴趣的图像范围：-20°～+20°</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7.5彩色标尺显示：基线居中时，标尺显示最低血流测量速度≤0.8cm/s</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7.6彩色显示帧频：相控阵探头，最大角度（89度），18cm深时，彩色显示帧频≥13帧/s。（提供图片证明）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彩色显示帧频：相控阵探头，85度时，18cm深时，彩色显示帧频≥14帧/s。（提供图片证明）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7.7彩色显示帧频：腹部凸阵探头，最大角度，18cm深时，彩色显示帧频≥7帧/s。（提供图片证明）</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 xml:space="preserve">8.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eastAsia="zh-CN"/>
        </w:rPr>
        <w:t>EZ Exam</w:t>
      </w:r>
    </w:p>
    <w:p>
      <w:pPr>
        <w:widowControl/>
        <w:overflowPunct w:val="0"/>
        <w:autoSpaceDE w:val="0"/>
        <w:autoSpaceDN w:val="0"/>
        <w:adjustRightInd w:val="0"/>
        <w:ind w:right="-180" w:firstLine="420"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让经常用到的许多操作步骤定制成一个标准化流程，可以规范化管理操作，提高工作效率</w:t>
      </w:r>
    </w:p>
    <w:p>
      <w:pPr>
        <w:widowControl/>
        <w:numPr>
          <w:ilvl w:val="0"/>
          <w:numId w:val="38"/>
        </w:numPr>
        <w:overflowPunct w:val="0"/>
        <w:autoSpaceDE w:val="0"/>
        <w:autoSpaceDN w:val="0"/>
        <w:adjustRightInd w:val="0"/>
        <w:ind w:right="-180"/>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eastAsia="zh-CN"/>
        </w:rPr>
        <w:t>超声图像及病案管理系统：</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数字化SSD固态硬盘容量≥500GB，可永久存储动、静态图像，屏幕可显示硬盘容量数据信息</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动态图像、静态图像以PC通用格式直接存储，无需特殊软件即能在普通PC机上直接观看图像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9.3 具备图像存储与（电影）回放重现单元，可使用USB 2.0闪盘及移动硬盘存储图像</w:t>
      </w:r>
    </w:p>
    <w:p>
      <w:pPr>
        <w:widowControl/>
        <w:overflowPunct w:val="0"/>
        <w:autoSpaceDE w:val="0"/>
        <w:autoSpaceDN w:val="0"/>
        <w:adjustRightInd w:val="0"/>
        <w:ind w:right="-18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9.4</w:t>
      </w:r>
      <w:r>
        <w:rPr>
          <w:rFonts w:hint="eastAsia" w:asciiTheme="minorEastAsia" w:hAnsiTheme="minorEastAsia" w:eastAsiaTheme="minorEastAsia" w:cstheme="minorEastAsia"/>
          <w:sz w:val="21"/>
          <w:szCs w:val="21"/>
          <w:lang w:val="en-US" w:eastAsia="zh-CN"/>
        </w:rPr>
        <w:t xml:space="preserve"> 超声</w:t>
      </w:r>
      <w:r>
        <w:rPr>
          <w:rFonts w:hint="eastAsia" w:asciiTheme="minorEastAsia" w:hAnsiTheme="minorEastAsia" w:eastAsiaTheme="minorEastAsia" w:cstheme="minorEastAsia"/>
          <w:sz w:val="21"/>
          <w:szCs w:val="21"/>
          <w:lang w:eastAsia="zh-CN"/>
        </w:rPr>
        <w:t>工作站一套、高清采集卡</w:t>
      </w:r>
      <w:r>
        <w:rPr>
          <w:rFonts w:hint="eastAsia" w:asciiTheme="minorEastAsia" w:hAnsiTheme="minorEastAsia" w:eastAsiaTheme="minorEastAsia" w:cstheme="minorEastAsia"/>
          <w:sz w:val="21"/>
          <w:szCs w:val="21"/>
          <w:lang w:val="en-US" w:eastAsia="zh-CN"/>
        </w:rPr>
        <w:t>一套</w:t>
      </w:r>
    </w:p>
    <w:p>
      <w:pPr>
        <w:widowControl/>
        <w:overflowPunct w:val="0"/>
        <w:autoSpaceDE w:val="0"/>
        <w:autoSpaceDN w:val="0"/>
        <w:adjustRightInd w:val="0"/>
        <w:ind w:right="-180"/>
        <w:textAlignment w:val="baseline"/>
        <w:rPr>
          <w:rFonts w:hint="eastAsia"/>
          <w:sz w:val="20"/>
          <w:szCs w:val="22"/>
          <w:lang w:eastAsia="zh-CN"/>
        </w:rPr>
      </w:pPr>
    </w:p>
    <w:p>
      <w:pPr>
        <w:spacing w:line="480" w:lineRule="exact"/>
        <w:jc w:val="left"/>
        <w:rPr>
          <w:rFonts w:ascii="宋体" w:hAnsi="宋体"/>
          <w:b/>
          <w:bCs/>
          <w:sz w:val="28"/>
          <w:szCs w:val="28"/>
          <w:highlight w:val="none"/>
        </w:rPr>
      </w:pPr>
      <w:r>
        <w:rPr>
          <w:rFonts w:hint="eastAsia" w:ascii="华文中宋" w:hAnsi="华文中宋" w:eastAsia="华文中宋"/>
          <w:b/>
          <w:bCs/>
          <w:sz w:val="28"/>
          <w:szCs w:val="32"/>
          <w:highlight w:val="none"/>
        </w:rPr>
        <w:t>注</w:t>
      </w:r>
      <w:r>
        <w:rPr>
          <w:rFonts w:hint="eastAsia" w:ascii="宋体" w:hAnsi="宋体"/>
          <w:b/>
          <w:bCs/>
          <w:sz w:val="28"/>
          <w:szCs w:val="28"/>
          <w:highlight w:val="none"/>
        </w:rPr>
        <w:t>：标注“</w:t>
      </w:r>
      <w:r>
        <w:rPr>
          <w:rFonts w:ascii="宋体" w:hAnsi="宋体"/>
          <w:b/>
          <w:bCs/>
          <w:sz w:val="28"/>
          <w:szCs w:val="28"/>
          <w:highlight w:val="none"/>
        </w:rPr>
        <w:t>★</w:t>
      </w:r>
      <w:r>
        <w:rPr>
          <w:rFonts w:hint="eastAsia" w:ascii="宋体" w:hAnsi="宋体"/>
          <w:b/>
          <w:bCs/>
          <w:sz w:val="28"/>
          <w:szCs w:val="28"/>
          <w:highlight w:val="none"/>
        </w:rPr>
        <w:t>”号的参数为关键性技术参数指标。</w:t>
      </w:r>
    </w:p>
    <w:p>
      <w:pPr>
        <w:rPr>
          <w:rFonts w:hint="eastAsia"/>
        </w:rPr>
      </w:pPr>
    </w:p>
    <w:p>
      <w:pPr>
        <w:spacing w:line="480" w:lineRule="exact"/>
        <w:jc w:val="left"/>
        <w:rPr>
          <w:rFonts w:ascii="黑体" w:hAnsi="黑体" w:eastAsia="黑体" w:cs="黑体"/>
          <w:b/>
          <w:bCs/>
          <w:sz w:val="32"/>
          <w:szCs w:val="32"/>
          <w:highlight w:val="none"/>
        </w:rPr>
      </w:pPr>
      <w:r>
        <w:rPr>
          <w:rFonts w:hint="eastAsia" w:ascii="黑体" w:hAnsi="黑体" w:eastAsia="黑体" w:cs="黑体"/>
          <w:b/>
          <w:bCs/>
          <w:sz w:val="32"/>
          <w:szCs w:val="32"/>
          <w:highlight w:val="none"/>
        </w:rPr>
        <w:t>三、商务要求</w:t>
      </w:r>
      <w:r>
        <w:rPr>
          <w:rFonts w:hint="eastAsia" w:ascii="宋体" w:hAnsi="宋体"/>
          <w:b/>
          <w:bCs/>
          <w:sz w:val="28"/>
          <w:szCs w:val="28"/>
          <w:highlight w:val="none"/>
        </w:rPr>
        <w:t>：</w:t>
      </w:r>
    </w:p>
    <w:p>
      <w:pPr>
        <w:pStyle w:val="43"/>
        <w:tabs>
          <w:tab w:val="left" w:pos="426"/>
        </w:tabs>
        <w:spacing w:line="420" w:lineRule="exact"/>
        <w:ind w:left="360" w:hanging="360" w:hangingChars="150"/>
        <w:rPr>
          <w:rFonts w:ascii="宋体" w:hAnsi="宋体" w:eastAsia="宋体" w:cs="宋体"/>
          <w:sz w:val="24"/>
          <w:szCs w:val="24"/>
          <w:highlight w:val="none"/>
        </w:rPr>
      </w:pPr>
      <w:r>
        <w:rPr>
          <w:rFonts w:hint="eastAsia" w:ascii="宋体" w:hAnsi="宋体" w:eastAsia="宋体" w:cs="宋体"/>
          <w:sz w:val="24"/>
          <w:szCs w:val="24"/>
          <w:highlight w:val="none"/>
        </w:rPr>
        <w:t>1、本项目采购预算控制总金额为</w:t>
      </w:r>
      <w:r>
        <w:rPr>
          <w:rFonts w:hint="eastAsia" w:ascii="宋体" w:hAnsi="宋体" w:eastAsia="宋体" w:cs="宋体"/>
          <w:b/>
          <w:bCs/>
          <w:sz w:val="24"/>
          <w:szCs w:val="24"/>
          <w:highlight w:val="none"/>
          <w:lang w:eastAsia="zh-CN"/>
        </w:rPr>
        <w:t>265</w:t>
      </w:r>
      <w:r>
        <w:rPr>
          <w:rFonts w:hint="eastAsia" w:ascii="宋体" w:hAnsi="宋体" w:eastAsia="宋体" w:cs="宋体"/>
          <w:b/>
          <w:bCs/>
          <w:sz w:val="24"/>
          <w:szCs w:val="24"/>
          <w:highlight w:val="none"/>
        </w:rPr>
        <w:t>万元</w:t>
      </w:r>
      <w:r>
        <w:rPr>
          <w:rFonts w:hint="eastAsia" w:ascii="宋体" w:hAnsi="宋体" w:eastAsia="宋体" w:cs="宋体"/>
          <w:sz w:val="24"/>
          <w:szCs w:val="24"/>
          <w:highlight w:val="none"/>
        </w:rPr>
        <w:t>，超出预算控制金额将导致其报价无效。</w:t>
      </w:r>
    </w:p>
    <w:p>
      <w:pPr>
        <w:pStyle w:val="43"/>
        <w:tabs>
          <w:tab w:val="left" w:pos="426"/>
        </w:tabs>
        <w:spacing w:line="42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2、投标人不得以低于成本的报价进行投标，低于成本价的将导致其投标无效。</w:t>
      </w:r>
    </w:p>
    <w:p>
      <w:pPr>
        <w:spacing w:line="420" w:lineRule="exact"/>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3、交付使用时间及地点：</w:t>
      </w:r>
    </w:p>
    <w:p>
      <w:pPr>
        <w:spacing w:line="420" w:lineRule="exact"/>
        <w:ind w:firstLine="360" w:firstLineChars="150"/>
        <w:rPr>
          <w:rFonts w:ascii="宋体" w:hAnsi="宋体" w:eastAsia="宋体" w:cs="宋体"/>
          <w:bCs/>
          <w:sz w:val="24"/>
          <w:szCs w:val="24"/>
          <w:highlight w:val="none"/>
          <w:shd w:val="clear" w:color="auto" w:fill="FFFFFF"/>
        </w:rPr>
      </w:pPr>
      <w:r>
        <w:rPr>
          <w:rFonts w:hint="eastAsia" w:ascii="宋体" w:hAnsi="宋体" w:eastAsia="宋体" w:cs="宋体"/>
          <w:bCs/>
          <w:sz w:val="24"/>
          <w:szCs w:val="24"/>
          <w:highlight w:val="none"/>
          <w:shd w:val="clear" w:color="auto" w:fill="FFFFFF"/>
        </w:rPr>
        <w:t>交付时间：</w:t>
      </w:r>
      <w:r>
        <w:rPr>
          <w:rFonts w:hint="eastAsia" w:ascii="宋体" w:hAnsi="宋体" w:cs="宋体"/>
          <w:bCs/>
          <w:sz w:val="24"/>
          <w:szCs w:val="24"/>
          <w:highlight w:val="none"/>
          <w:shd w:val="clear" w:color="auto" w:fill="FFFFFF"/>
        </w:rPr>
        <w:t>合同签定生效后30日内完成交货、安装调试及验收。</w:t>
      </w:r>
    </w:p>
    <w:p>
      <w:pPr>
        <w:spacing w:line="420" w:lineRule="exact"/>
        <w:rPr>
          <w:rFonts w:ascii="宋体" w:hAnsi="宋体" w:eastAsia="宋体" w:cs="宋体"/>
          <w:bCs/>
          <w:sz w:val="24"/>
          <w:szCs w:val="24"/>
          <w:highlight w:val="none"/>
          <w:shd w:val="clear" w:color="auto" w:fill="FFFFFF"/>
        </w:rPr>
      </w:pPr>
      <w:r>
        <w:rPr>
          <w:rFonts w:hint="eastAsia" w:ascii="宋体" w:hAnsi="宋体" w:eastAsia="宋体" w:cs="宋体"/>
          <w:bCs/>
          <w:sz w:val="24"/>
          <w:szCs w:val="24"/>
          <w:highlight w:val="none"/>
          <w:shd w:val="clear" w:color="auto" w:fill="FFFFFF"/>
        </w:rPr>
        <w:t xml:space="preserve">   交付地点：</w:t>
      </w:r>
      <w:r>
        <w:rPr>
          <w:rFonts w:hint="eastAsia" w:ascii="宋体" w:hAnsi="宋体" w:cs="宋体"/>
          <w:bCs/>
          <w:sz w:val="24"/>
          <w:szCs w:val="24"/>
          <w:highlight w:val="none"/>
          <w:shd w:val="clear" w:color="auto" w:fill="FFFFFF"/>
        </w:rPr>
        <w:t>阳新县人民医院指定地点</w:t>
      </w:r>
    </w:p>
    <w:p>
      <w:pPr>
        <w:spacing w:line="420" w:lineRule="exact"/>
        <w:rPr>
          <w:rFonts w:ascii="宋体" w:hAnsi="宋体" w:cs="宋体"/>
          <w:color w:val="000000"/>
          <w:sz w:val="24"/>
          <w:szCs w:val="24"/>
          <w:highlight w:val="none"/>
        </w:rPr>
      </w:pPr>
      <w:r>
        <w:rPr>
          <w:rFonts w:hint="eastAsia" w:ascii="宋体" w:hAnsi="宋体" w:eastAsia="宋体" w:cs="宋体"/>
          <w:bCs/>
          <w:sz w:val="24"/>
          <w:szCs w:val="24"/>
          <w:highlight w:val="none"/>
          <w:shd w:val="clear" w:color="auto" w:fill="FFFFFF"/>
        </w:rPr>
        <w:t>4、付款方式：</w:t>
      </w:r>
      <w:r>
        <w:rPr>
          <w:rFonts w:hint="eastAsia" w:ascii="宋体" w:hAnsi="宋体" w:eastAsia="宋体" w:cs="宋体"/>
          <w:bCs/>
          <w:color w:val="000000"/>
          <w:sz w:val="24"/>
          <w:szCs w:val="24"/>
          <w:highlight w:val="none"/>
        </w:rPr>
        <w:t>验收合格后付全款的90%，余下10%质保期结束后付清</w:t>
      </w:r>
      <w:r>
        <w:rPr>
          <w:rFonts w:hint="eastAsia" w:ascii="宋体" w:hAnsi="宋体" w:eastAsia="宋体" w:cs="宋体"/>
          <w:b/>
          <w:color w:val="000000"/>
          <w:sz w:val="24"/>
          <w:szCs w:val="24"/>
          <w:highlight w:val="none"/>
        </w:rPr>
        <w:t>。</w:t>
      </w:r>
    </w:p>
    <w:p>
      <w:pPr>
        <w:spacing w:line="420" w:lineRule="exact"/>
        <w:rPr>
          <w:rFonts w:ascii="宋体" w:hAnsi="宋体" w:cs="宋体"/>
          <w:color w:val="000000"/>
          <w:sz w:val="24"/>
          <w:szCs w:val="24"/>
          <w:highlight w:val="none"/>
        </w:rPr>
      </w:pPr>
      <w:r>
        <w:rPr>
          <w:rFonts w:hint="eastAsia" w:ascii="宋体" w:hAnsi="宋体" w:cs="宋体"/>
          <w:color w:val="000000"/>
          <w:sz w:val="24"/>
          <w:szCs w:val="24"/>
          <w:highlight w:val="none"/>
        </w:rPr>
        <w:t>5、售后服务</w:t>
      </w:r>
    </w:p>
    <w:p>
      <w:pPr>
        <w:spacing w:line="420" w:lineRule="exact"/>
        <w:rPr>
          <w:rFonts w:ascii="宋体" w:hAnsi="宋体" w:cs="宋体"/>
          <w:color w:val="000000"/>
          <w:sz w:val="24"/>
          <w:szCs w:val="24"/>
          <w:highlight w:val="none"/>
        </w:rPr>
      </w:pPr>
      <w:r>
        <w:rPr>
          <w:rFonts w:hint="eastAsia" w:ascii="宋体" w:hAnsi="宋体" w:eastAsia="宋体" w:cs="宋体"/>
          <w:sz w:val="24"/>
          <w:szCs w:val="24"/>
          <w:highlight w:val="none"/>
        </w:rPr>
        <w:t>（1） 仪器故障要求2小时内应答，12小时形成解决方案</w:t>
      </w:r>
      <w:r>
        <w:rPr>
          <w:rFonts w:hint="eastAsia" w:ascii="宋体" w:hAnsi="宋体" w:cs="宋体"/>
          <w:sz w:val="24"/>
          <w:szCs w:val="24"/>
          <w:highlight w:val="none"/>
        </w:rPr>
        <w:t>。</w:t>
      </w:r>
    </w:p>
    <w:p>
      <w:pPr>
        <w:pStyle w:val="43"/>
        <w:spacing w:line="440" w:lineRule="exact"/>
        <w:ind w:left="720" w:hanging="720" w:hangingChars="300"/>
        <w:rPr>
          <w:rFonts w:ascii="宋体" w:hAnsi="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rPr>
        <w:t xml:space="preserve"> </w:t>
      </w:r>
      <w:r>
        <w:rPr>
          <w:rFonts w:hint="eastAsia" w:ascii="宋体" w:hAnsi="宋体" w:eastAsia="宋体" w:cs="宋体"/>
          <w:sz w:val="24"/>
          <w:szCs w:val="24"/>
          <w:highlight w:val="none"/>
        </w:rPr>
        <w:t>投标人需在湖北省设有售后服务机构和设施，并配备受过专业培训的售后服务人员，</w:t>
      </w:r>
      <w:r>
        <w:rPr>
          <w:rFonts w:hint="eastAsia" w:ascii="宋体" w:hAnsi="宋体"/>
          <w:sz w:val="24"/>
          <w:szCs w:val="24"/>
          <w:highlight w:val="none"/>
        </w:rPr>
        <w:t>有办事处和固定维修点可以进行A级修理，提供省内详细地址和电话，</w:t>
      </w:r>
      <w:r>
        <w:rPr>
          <w:rFonts w:hint="eastAsia" w:ascii="宋体" w:hAnsi="宋体" w:cs="宋体"/>
          <w:sz w:val="24"/>
          <w:szCs w:val="24"/>
          <w:highlight w:val="none"/>
        </w:rPr>
        <w:t>能及时提供备用机。</w:t>
      </w:r>
    </w:p>
    <w:p>
      <w:pPr>
        <w:pStyle w:val="43"/>
        <w:spacing w:line="440" w:lineRule="exact"/>
        <w:ind w:firstLine="0" w:firstLineChars="0"/>
        <w:rPr>
          <w:rFonts w:ascii="宋体" w:hAnsi="宋体" w:eastAsia="宋体" w:cs="宋体"/>
          <w:b/>
          <w:color w:val="000000"/>
          <w:sz w:val="24"/>
          <w:szCs w:val="24"/>
          <w:highlight w:val="none"/>
        </w:rPr>
      </w:pPr>
      <w:r>
        <w:rPr>
          <w:rFonts w:hint="eastAsia" w:ascii="宋体" w:hAnsi="宋体"/>
          <w:sz w:val="24"/>
          <w:szCs w:val="24"/>
          <w:highlight w:val="none"/>
        </w:rPr>
        <w:t xml:space="preserve">（3） </w:t>
      </w:r>
      <w:r>
        <w:rPr>
          <w:rFonts w:hint="eastAsia" w:ascii="宋体" w:hAnsi="宋体" w:eastAsia="宋体" w:cs="宋体"/>
          <w:sz w:val="24"/>
          <w:szCs w:val="24"/>
          <w:highlight w:val="none"/>
        </w:rPr>
        <w:t>现场培训：投标人提供现场技术培训，保证使用人员能够正确操作设备的各项功能。</w:t>
      </w:r>
    </w:p>
    <w:p>
      <w:pPr>
        <w:spacing w:line="420" w:lineRule="exact"/>
        <w:ind w:left="600" w:hanging="600" w:hangingChars="250"/>
        <w:rPr>
          <w:rFonts w:ascii="宋体" w:hAnsi="宋体" w:cs="宋体"/>
          <w:color w:val="000000"/>
          <w:sz w:val="24"/>
          <w:szCs w:val="24"/>
          <w:highlight w:val="none"/>
        </w:rPr>
      </w:pPr>
      <w:r>
        <w:rPr>
          <w:rFonts w:hint="eastAsia" w:ascii="宋体" w:hAnsi="宋体" w:cs="宋体"/>
          <w:color w:val="000000"/>
          <w:sz w:val="24"/>
          <w:szCs w:val="24"/>
          <w:highlight w:val="none"/>
        </w:rPr>
        <w:t>（4）质保期：二年，</w:t>
      </w:r>
      <w:r>
        <w:rPr>
          <w:rFonts w:hint="eastAsia" w:ascii="宋体" w:hAnsi="宋体" w:cs="宋体"/>
          <w:bCs/>
          <w:color w:val="000000"/>
          <w:sz w:val="24"/>
          <w:szCs w:val="24"/>
          <w:highlight w:val="none"/>
        </w:rPr>
        <w:t>质保期内出现质量问题免费维修，出现人为问题提供免费人工服务；制造商能提供专业工程师安装及维修服务。</w:t>
      </w:r>
    </w:p>
    <w:p>
      <w:pPr>
        <w:spacing w:line="420" w:lineRule="exact"/>
        <w:rPr>
          <w:rFonts w:ascii="宋体" w:hAnsi="宋体" w:eastAsia="宋体" w:cs="宋体"/>
          <w:bCs/>
          <w:sz w:val="24"/>
          <w:szCs w:val="24"/>
          <w:highlight w:val="none"/>
          <w:shd w:val="clear" w:color="auto" w:fill="FFFFFF"/>
        </w:rPr>
      </w:pPr>
      <w:r>
        <w:rPr>
          <w:rFonts w:hint="eastAsia" w:ascii="宋体" w:hAnsi="宋体" w:eastAsia="宋体" w:cs="宋体"/>
          <w:bCs/>
          <w:sz w:val="24"/>
          <w:szCs w:val="24"/>
          <w:highlight w:val="none"/>
          <w:shd w:val="clear" w:color="auto" w:fill="FFFFFF"/>
        </w:rPr>
        <w:t>6、验收</w:t>
      </w:r>
    </w:p>
    <w:p>
      <w:pPr>
        <w:spacing w:line="420" w:lineRule="exact"/>
        <w:rPr>
          <w:rFonts w:ascii="宋体" w:hAnsi="宋体" w:eastAsia="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r>
        <w:rPr>
          <w:rFonts w:hint="eastAsia" w:ascii="宋体" w:hAnsi="宋体" w:eastAsia="宋体" w:cs="宋体"/>
          <w:bCs/>
          <w:sz w:val="24"/>
          <w:szCs w:val="24"/>
          <w:highlight w:val="none"/>
          <w:shd w:val="clear" w:color="auto" w:fill="FFFFFF"/>
        </w:rPr>
        <w:t>由采购单位和投标人代表按投标文件和合同要求对货物参数规格、数量等进行验收。</w:t>
      </w:r>
    </w:p>
    <w:p>
      <w:pPr>
        <w:spacing w:line="420" w:lineRule="exact"/>
        <w:ind w:left="600" w:hanging="600" w:hangingChars="250"/>
        <w:rPr>
          <w:rFonts w:ascii="宋体" w:hAnsi="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（2）测试验收过程中如发现</w:t>
      </w:r>
      <w:r>
        <w:rPr>
          <w:rFonts w:hint="eastAsia" w:ascii="宋体" w:hAnsi="宋体" w:cs="宋体"/>
          <w:sz w:val="24"/>
          <w:szCs w:val="24"/>
          <w:highlight w:val="none"/>
          <w:shd w:val="clear" w:color="auto" w:fill="FFFFFF"/>
        </w:rPr>
        <w:t>产品</w:t>
      </w:r>
      <w:r>
        <w:rPr>
          <w:rFonts w:hint="eastAsia" w:ascii="宋体" w:hAnsi="宋体" w:eastAsia="宋体" w:cs="宋体"/>
          <w:sz w:val="24"/>
          <w:szCs w:val="24"/>
          <w:highlight w:val="none"/>
          <w:shd w:val="clear" w:color="auto" w:fill="FFFFFF"/>
        </w:rPr>
        <w:t>参数指标或功能不符合投标文件和合同要求，采购单位有权拒绝签收，由此造成的一切经济损失及违约责任由投标人承担</w:t>
      </w:r>
      <w:r>
        <w:rPr>
          <w:rFonts w:hint="eastAsia" w:ascii="宋体" w:hAnsi="宋体" w:cs="宋体"/>
          <w:sz w:val="24"/>
          <w:szCs w:val="24"/>
          <w:highlight w:val="none"/>
          <w:shd w:val="clear" w:color="auto" w:fill="FFFFFF"/>
        </w:rPr>
        <w:t>。</w:t>
      </w:r>
    </w:p>
    <w:p>
      <w:pPr>
        <w:pStyle w:val="2"/>
        <w:rPr>
          <w:highlight w:val="none"/>
        </w:rPr>
      </w:pPr>
    </w:p>
    <w:p/>
    <w:p>
      <w:pPr>
        <w:pStyle w:val="2"/>
      </w:pPr>
    </w:p>
    <w:p/>
    <w:p>
      <w:pPr>
        <w:pStyle w:val="2"/>
      </w:pPr>
    </w:p>
    <w:p/>
    <w:p>
      <w:pPr>
        <w:pStyle w:val="2"/>
      </w:pPr>
    </w:p>
    <w:p/>
    <w:p>
      <w:pPr>
        <w:pStyle w:val="2"/>
      </w:pPr>
    </w:p>
    <w:p/>
    <w:p>
      <w:pPr>
        <w:pStyle w:val="2"/>
      </w:pPr>
    </w:p>
    <w:p/>
    <w:p>
      <w:pPr>
        <w:pStyle w:val="2"/>
        <w:rPr>
          <w:sz w:val="40"/>
          <w:szCs w:val="32"/>
        </w:rPr>
      </w:pPr>
    </w:p>
    <w:p>
      <w:pPr>
        <w:pStyle w:val="3"/>
        <w:numPr>
          <w:ilvl w:val="0"/>
          <w:numId w:val="1"/>
        </w:numPr>
        <w:jc w:val="center"/>
        <w:rPr>
          <w:rFonts w:ascii="黑体" w:hAnsi="黑体" w:eastAsia="黑体"/>
        </w:rPr>
      </w:pPr>
      <w:bookmarkStart w:id="41" w:name="_Toc495861538"/>
      <w:r>
        <w:rPr>
          <w:rFonts w:hint="eastAsia" w:ascii="黑体" w:hAnsi="黑体" w:eastAsia="黑体"/>
        </w:rPr>
        <w:t>资格审查方法及标准</w:t>
      </w:r>
      <w:bookmarkEnd w:id="41"/>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2" w:name="_Toc495861539"/>
      <w:bookmarkStart w:id="43" w:name="_Toc494561958"/>
      <w:r>
        <w:rPr>
          <w:rFonts w:hint="eastAsia" w:cs="Times New Roman" w:asciiTheme="majorEastAsia" w:hAnsiTheme="majorEastAsia"/>
          <w:bCs w:val="0"/>
          <w:sz w:val="30"/>
          <w:szCs w:val="30"/>
          <w:lang w:val="zh-CN"/>
        </w:rPr>
        <w:t>资格审查方法</w:t>
      </w:r>
      <w:bookmarkEnd w:id="42"/>
      <w:bookmarkEnd w:id="4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4" w:name="_Toc494561959"/>
      <w:bookmarkStart w:id="45" w:name="_Toc495861540"/>
      <w:r>
        <w:rPr>
          <w:rFonts w:hint="eastAsia" w:cs="Times New Roman" w:asciiTheme="majorEastAsia" w:hAnsiTheme="majorEastAsia"/>
          <w:bCs w:val="0"/>
          <w:sz w:val="30"/>
          <w:szCs w:val="30"/>
          <w:lang w:val="zh-CN"/>
        </w:rPr>
        <w:t>资格审查标准</w:t>
      </w:r>
      <w:bookmarkEnd w:id="44"/>
      <w:bookmarkEnd w:id="45"/>
    </w:p>
    <w:p>
      <w:pPr>
        <w:numPr>
          <w:ilvl w:val="0"/>
          <w:numId w:val="40"/>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2"/>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2"/>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2"/>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2"/>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2"/>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2"/>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2"/>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2"/>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2"/>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32"/>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tabs>
          <w:tab w:val="left" w:pos="616"/>
        </w:tabs>
        <w:spacing w:line="360" w:lineRule="auto"/>
        <w:ind w:left="252"/>
        <w:rPr>
          <w:rFonts w:ascii="宋体" w:hAnsi="宋体" w:eastAsia="宋体" w:cs="Times New Roman"/>
          <w:b/>
          <w:sz w:val="24"/>
          <w:szCs w:val="24"/>
          <w:lang w:val="zh-CN"/>
        </w:rPr>
      </w:pPr>
      <w:r>
        <w:rPr>
          <w:rFonts w:hint="eastAsia" w:ascii="宋体" w:hAnsi="宋体"/>
          <w:color w:val="000000"/>
          <w:sz w:val="24"/>
          <w:szCs w:val="24"/>
        </w:rPr>
        <w:t xml:space="preserve">1.6 </w:t>
      </w:r>
      <w:r>
        <w:rPr>
          <w:rFonts w:hint="eastAsia" w:ascii="宋体" w:hAnsi="宋体"/>
          <w:color w:val="000000"/>
          <w:sz w:val="24"/>
          <w:szCs w:val="24"/>
          <w:lang w:val="zh-CN"/>
        </w:rPr>
        <w:t>资格证明文件正本应为清晰彩色影印件且加盖单位公章。</w:t>
      </w:r>
    </w:p>
    <w:p>
      <w:pPr>
        <w:numPr>
          <w:ilvl w:val="0"/>
          <w:numId w:val="40"/>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2"/>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2"/>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2"/>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2"/>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46" w:name="_Toc495861541"/>
      <w:r>
        <w:rPr>
          <w:rFonts w:hint="eastAsia" w:ascii="黑体" w:hAnsi="黑体" w:eastAsia="黑体"/>
        </w:rPr>
        <w:t>评标方法、程序及标准</w:t>
      </w:r>
      <w:bookmarkEnd w:id="4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47" w:name="_Toc272247708"/>
      <w:bookmarkStart w:id="48" w:name="_Toc278891605"/>
      <w:bookmarkStart w:id="49" w:name="_Toc494561961"/>
      <w:bookmarkStart w:id="50" w:name="_Toc495861542"/>
      <w:r>
        <w:rPr>
          <w:rFonts w:hint="eastAsia" w:cs="Times New Roman" w:asciiTheme="majorEastAsia" w:hAnsiTheme="majorEastAsia"/>
          <w:bCs w:val="0"/>
          <w:sz w:val="30"/>
          <w:szCs w:val="30"/>
          <w:lang w:val="zh-CN"/>
        </w:rPr>
        <w:t>评标</w:t>
      </w:r>
      <w:bookmarkEnd w:id="47"/>
      <w:bookmarkEnd w:id="48"/>
      <w:r>
        <w:rPr>
          <w:rFonts w:hint="eastAsia" w:cs="Times New Roman" w:asciiTheme="majorEastAsia" w:hAnsiTheme="majorEastAsia"/>
          <w:bCs w:val="0"/>
          <w:sz w:val="30"/>
          <w:szCs w:val="30"/>
          <w:lang w:val="zh-CN"/>
        </w:rPr>
        <w:t>方法</w:t>
      </w:r>
      <w:bookmarkEnd w:id="49"/>
      <w:bookmarkEnd w:id="5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51" w:name="_Toc278891606"/>
      <w:bookmarkStart w:id="52" w:name="_Toc272247709"/>
      <w:bookmarkStart w:id="53" w:name="_Toc495861543"/>
      <w:bookmarkStart w:id="54" w:name="_Toc494561962"/>
      <w:r>
        <w:rPr>
          <w:rFonts w:hint="eastAsia" w:cs="Times New Roman" w:asciiTheme="majorEastAsia" w:hAnsiTheme="majorEastAsia"/>
          <w:bCs w:val="0"/>
          <w:sz w:val="30"/>
          <w:szCs w:val="30"/>
          <w:lang w:val="zh-CN"/>
        </w:rPr>
        <w:t>评标程序</w:t>
      </w:r>
      <w:bookmarkEnd w:id="51"/>
      <w:bookmarkEnd w:id="52"/>
      <w:r>
        <w:rPr>
          <w:rFonts w:hint="eastAsia" w:cs="Times New Roman" w:asciiTheme="majorEastAsia" w:hAnsiTheme="majorEastAsia"/>
          <w:bCs w:val="0"/>
          <w:sz w:val="30"/>
          <w:szCs w:val="30"/>
          <w:lang w:val="zh-CN"/>
        </w:rPr>
        <w:t>及标准</w:t>
      </w:r>
      <w:bookmarkEnd w:id="53"/>
      <w:bookmarkEnd w:id="5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5"/>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6"/>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未按要求提供《符合性审查对照表》、《商务要求响应、偏离说明表》、《商务要求“</w:t>
      </w:r>
      <w:r>
        <w:rPr>
          <w:rFonts w:hint="eastAsia" w:ascii="Times New Roman" w:hAnsi="Times New Roman"/>
          <w:color w:val="000000"/>
          <w:sz w:val="24"/>
          <w:szCs w:val="24"/>
        </w:rPr>
        <w:t>★</w:t>
      </w:r>
      <w:r>
        <w:rPr>
          <w:rFonts w:hint="eastAsia" w:ascii="Times New Roman" w:hAnsi="宋体" w:eastAsia="宋体" w:cs="Times New Roman"/>
          <w:color w:val="000000" w:themeColor="text1"/>
          <w:sz w:val="24"/>
          <w:szCs w:val="24"/>
          <w:lang w:val="zh-CN"/>
        </w:rPr>
        <w:t>”号条款响应、偏离说明表》、《商务评议对照表》和《技术、服务要求响应、偏离说明表》、《技术、服务要求“</w:t>
      </w:r>
      <w:r>
        <w:rPr>
          <w:rFonts w:hint="eastAsia" w:ascii="Times New Roman" w:hAnsi="Times New Roman"/>
          <w:color w:val="000000"/>
          <w:sz w:val="24"/>
          <w:szCs w:val="24"/>
        </w:rPr>
        <w:t>★</w:t>
      </w:r>
      <w:r>
        <w:rPr>
          <w:rFonts w:hint="eastAsia" w:ascii="Times New Roman" w:hAnsi="宋体" w:eastAsia="宋体" w:cs="Times New Roman"/>
          <w:color w:val="000000" w:themeColor="text1"/>
          <w:sz w:val="24"/>
          <w:szCs w:val="24"/>
          <w:lang w:val="zh-CN"/>
        </w:rPr>
        <w:t>”号条款响应、偏离说明表》、《技术、服务评议对照表》的；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7"/>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0"/>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5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rPr>
          <w:rFonts w:ascii="Helvetica" w:hAnsi="Helvetica" w:eastAsia="宋体" w:cs="Helvetica"/>
          <w:sz w:val="24"/>
          <w:szCs w:val="24"/>
          <w:lang w:val="zh-CN"/>
        </w:rPr>
      </w:pPr>
    </w:p>
    <w:p>
      <w:pPr>
        <w:rPr>
          <w:rFonts w:ascii="Helvetica" w:hAnsi="Helvetica" w:eastAsia="宋体" w:cs="Helvetica"/>
          <w:kern w:val="0"/>
          <w:sz w:val="24"/>
          <w:szCs w:val="24"/>
          <w:lang w:val="zh-CN"/>
        </w:rPr>
      </w:pPr>
    </w:p>
    <w:p>
      <w:pPr>
        <w:pStyle w:val="2"/>
        <w:rPr>
          <w:rFonts w:ascii="Helvetica" w:hAnsi="Helvetica" w:eastAsia="宋体" w:cs="Helvetica"/>
          <w:sz w:val="24"/>
          <w:szCs w:val="24"/>
          <w:lang w:val="zh-CN"/>
        </w:rPr>
      </w:pPr>
    </w:p>
    <w:p>
      <w:pPr>
        <w:rPr>
          <w:rFonts w:ascii="Helvetica" w:hAnsi="Helvetica" w:eastAsia="宋体" w:cs="Helvetica"/>
          <w:kern w:val="0"/>
          <w:sz w:val="24"/>
          <w:szCs w:val="24"/>
          <w:lang w:val="zh-CN"/>
        </w:rPr>
      </w:pPr>
    </w:p>
    <w:p>
      <w:pPr>
        <w:pStyle w:val="2"/>
        <w:rPr>
          <w:rFonts w:ascii="Helvetica" w:hAnsi="Helvetica" w:eastAsia="宋体" w:cs="Helvetica"/>
          <w:sz w:val="24"/>
          <w:szCs w:val="24"/>
          <w:lang w:val="zh-CN"/>
        </w:rPr>
      </w:pPr>
    </w:p>
    <w:p>
      <w:pPr>
        <w:rPr>
          <w:rFonts w:ascii="Helvetica" w:hAnsi="Helvetica" w:eastAsia="宋体" w:cs="Helvetica"/>
          <w:kern w:val="0"/>
          <w:sz w:val="24"/>
          <w:szCs w:val="24"/>
          <w:lang w:val="zh-CN"/>
        </w:rPr>
      </w:pP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55" w:name="_Toc494561963"/>
      <w:bookmarkStart w:id="56" w:name="_Toc495861544"/>
      <w:r>
        <w:rPr>
          <w:rFonts w:hint="eastAsia" w:cs="Times New Roman" w:asciiTheme="majorEastAsia" w:hAnsiTheme="majorEastAsia"/>
          <w:bCs w:val="0"/>
          <w:sz w:val="30"/>
          <w:szCs w:val="30"/>
          <w:lang w:val="zh-CN"/>
        </w:rPr>
        <w:t>评审因素及评分标准</w:t>
      </w:r>
      <w:bookmarkEnd w:id="55"/>
      <w:bookmarkEnd w:id="56"/>
    </w:p>
    <w:tbl>
      <w:tblPr>
        <w:tblStyle w:val="22"/>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ascii="宋体" w:hAnsi="宋体" w:eastAsia="宋体" w:cs="宋体"/>
                <w:bCs/>
                <w:sz w:val="24"/>
                <w:szCs w:val="24"/>
              </w:rPr>
            </w:pPr>
            <w:r>
              <w:rPr>
                <w:rFonts w:hint="eastAsia" w:ascii="宋体" w:hAnsi="宋体" w:eastAsia="宋体" w:cs="宋体"/>
                <w:bCs/>
                <w:sz w:val="24"/>
                <w:szCs w:val="24"/>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价格 评议30分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4"/>
              <w:ind w:firstLine="0" w:firstLineChars="0"/>
              <w:rPr>
                <w:rFonts w:ascii="宋体" w:hAnsi="宋体" w:eastAsia="宋体" w:cs="宋体"/>
                <w:sz w:val="24"/>
                <w:szCs w:val="24"/>
              </w:rPr>
            </w:pPr>
            <w:r>
              <w:rPr>
                <w:rFonts w:hint="eastAsia" w:ascii="宋体" w:hAnsi="宋体" w:eastAsia="宋体" w:cs="宋体"/>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技术服务评议</w:t>
            </w:r>
          </w:p>
          <w:p>
            <w:pPr>
              <w:spacing w:line="360" w:lineRule="auto"/>
              <w:jc w:val="center"/>
              <w:rPr>
                <w:rFonts w:ascii="宋体" w:hAnsi="宋体" w:eastAsia="宋体" w:cs="宋体"/>
                <w:sz w:val="24"/>
                <w:szCs w:val="24"/>
              </w:rPr>
            </w:pPr>
            <w:r>
              <w:rPr>
                <w:rFonts w:hint="eastAsia" w:ascii="宋体" w:hAnsi="宋体" w:eastAsia="宋体" w:cs="宋体"/>
                <w:sz w:val="24"/>
                <w:szCs w:val="24"/>
              </w:rPr>
              <w:t>50分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s="宋体"/>
                <w:bCs/>
                <w:sz w:val="24"/>
                <w:szCs w:val="24"/>
              </w:rPr>
            </w:pPr>
            <w:r>
              <w:rPr>
                <w:rFonts w:hint="eastAsia" w:ascii="宋体" w:hAnsi="宋体" w:eastAsia="宋体" w:cs="宋体"/>
                <w:bCs/>
                <w:sz w:val="24"/>
                <w:szCs w:val="24"/>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cstheme="minorEastAsia"/>
                <w:b/>
                <w:sz w:val="24"/>
                <w:szCs w:val="24"/>
              </w:rPr>
            </w:pPr>
            <w:r>
              <w:rPr>
                <w:rFonts w:hint="eastAsia" w:asciiTheme="minorEastAsia" w:hAnsiTheme="minorEastAsia" w:cstheme="minorEastAsia"/>
                <w:sz w:val="24"/>
                <w:szCs w:val="24"/>
              </w:rPr>
              <w:t>1.</w:t>
            </w:r>
            <w:r>
              <w:rPr>
                <w:rFonts w:hint="eastAsia" w:asciiTheme="minorEastAsia" w:hAnsiTheme="minorEastAsia" w:cstheme="minorEastAsia"/>
                <w:kern w:val="0"/>
                <w:sz w:val="24"/>
                <w:szCs w:val="24"/>
              </w:rPr>
              <w:t>完全满足用户的要求，或有优于用户的技术参数（投标人需提供所投产品的彩页样本或检验报告，如投标人技术响应内容与产品彩页样本或检验报告不一致的本项得0分），且能详细描述，综合评价最优的得50分。</w:t>
            </w:r>
          </w:p>
          <w:p>
            <w:pPr>
              <w:jc w:val="left"/>
              <w:rPr>
                <w:rFonts w:ascii="宋体" w:hAnsi="宋体" w:eastAsia="宋体" w:cs="宋体"/>
                <w:bCs/>
                <w:sz w:val="24"/>
                <w:szCs w:val="24"/>
              </w:rPr>
            </w:pPr>
            <w:r>
              <w:rPr>
                <w:rFonts w:hint="eastAsia" w:asciiTheme="minorEastAsia" w:hAnsiTheme="minorEastAsia" w:cstheme="minorEastAsia"/>
                <w:sz w:val="24"/>
                <w:szCs w:val="24"/>
              </w:rPr>
              <w:t>2.“</w:t>
            </w:r>
            <w:r>
              <w:rPr>
                <w:rFonts w:hint="eastAsia" w:ascii="宋体" w:hAnsi="宋体" w:eastAsia="宋体" w:cs="宋体"/>
                <w:b/>
                <w:color w:val="000000"/>
                <w:sz w:val="24"/>
                <w:szCs w:val="24"/>
              </w:rPr>
              <w:t>★</w:t>
            </w:r>
            <w:r>
              <w:rPr>
                <w:rFonts w:hint="eastAsia" w:asciiTheme="minorEastAsia" w:hAnsiTheme="minorEastAsia" w:cstheme="minorEastAsia"/>
                <w:sz w:val="24"/>
                <w:szCs w:val="24"/>
              </w:rPr>
              <w:t>”号标识的条款，为重要技术参数，每一项负偏离，扣5分；其他参数，每一项负偏离，扣2分，累计扣完50分为止。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ascii="宋体" w:hAnsi="宋体" w:eastAsia="宋体" w:cs="宋体"/>
                <w:sz w:val="24"/>
                <w:szCs w:val="24"/>
              </w:rPr>
            </w:pPr>
            <w:r>
              <w:rPr>
                <w:rFonts w:hint="eastAsia" w:ascii="宋体" w:hAnsi="宋体" w:eastAsia="宋体" w:cs="宋体"/>
                <w:sz w:val="24"/>
                <w:szCs w:val="24"/>
              </w:rPr>
              <w:t>商务</w:t>
            </w:r>
          </w:p>
          <w:p>
            <w:pPr>
              <w:widowControl/>
              <w:ind w:left="240" w:hanging="240" w:hangingChars="100"/>
              <w:jc w:val="center"/>
              <w:rPr>
                <w:rFonts w:ascii="宋体" w:hAnsi="宋体" w:eastAsia="宋体" w:cs="宋体"/>
                <w:sz w:val="24"/>
                <w:szCs w:val="24"/>
              </w:rPr>
            </w:pPr>
            <w:r>
              <w:rPr>
                <w:rFonts w:hint="eastAsia" w:ascii="宋体" w:hAnsi="宋体" w:eastAsia="宋体" w:cs="宋体"/>
                <w:sz w:val="24"/>
                <w:szCs w:val="24"/>
              </w:rPr>
              <w:t>及</w:t>
            </w:r>
          </w:p>
          <w:p>
            <w:pPr>
              <w:widowControl/>
              <w:jc w:val="left"/>
              <w:rPr>
                <w:rFonts w:ascii="宋体" w:hAnsi="宋体" w:eastAsia="宋体" w:cs="宋体"/>
                <w:sz w:val="24"/>
                <w:szCs w:val="24"/>
              </w:rPr>
            </w:pPr>
            <w:r>
              <w:rPr>
                <w:rFonts w:hint="eastAsia" w:ascii="宋体" w:hAnsi="宋体" w:eastAsia="宋体" w:cs="宋体"/>
                <w:sz w:val="24"/>
                <w:szCs w:val="24"/>
              </w:rPr>
              <w:t>售后</w:t>
            </w:r>
          </w:p>
          <w:p>
            <w:pPr>
              <w:widowControl/>
              <w:jc w:val="left"/>
              <w:rPr>
                <w:rFonts w:ascii="宋体" w:hAnsi="宋体" w:eastAsia="宋体" w:cs="宋体"/>
                <w:sz w:val="24"/>
                <w:szCs w:val="24"/>
              </w:rPr>
            </w:pPr>
            <w:r>
              <w:rPr>
                <w:rFonts w:hint="eastAsia" w:ascii="宋体" w:hAnsi="宋体" w:eastAsia="宋体" w:cs="宋体"/>
                <w:sz w:val="24"/>
                <w:szCs w:val="24"/>
              </w:rPr>
              <w:t>20分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Cs/>
                <w:sz w:val="24"/>
                <w:szCs w:val="24"/>
              </w:rPr>
            </w:pPr>
            <w:r>
              <w:rPr>
                <w:rFonts w:hint="eastAsia" w:ascii="宋体" w:hAnsi="宋体" w:eastAsia="宋体" w:cs="宋体"/>
                <w:bCs/>
                <w:sz w:val="24"/>
                <w:szCs w:val="24"/>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Theme="minorEastAsia" w:hAnsiTheme="minorEastAsia" w:cstheme="minorEastAsia"/>
                <w:kern w:val="0"/>
                <w:sz w:val="24"/>
                <w:szCs w:val="24"/>
              </w:rPr>
              <w:t>投标文件全面响应招标文件要求，编制完整、非活页装订，且有详细目录、连续页码、目录与有关材料装订顺序对应清晰、查阅方便得2分。编排杂乱无章、叙述答非所问、资料残缺不全、资料模糊不清、前后不一致等，每处扣1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61" w:type="dxa"/>
            <w:vMerge w:val="continue"/>
            <w:tcBorders>
              <w:left w:val="single" w:color="auto" w:sz="4" w:space="0"/>
              <w:right w:val="single" w:color="auto" w:sz="4" w:space="0"/>
            </w:tcBorders>
            <w:noWrap/>
            <w:vAlign w:val="center"/>
          </w:tcPr>
          <w:p>
            <w:pPr>
              <w:widowControl/>
              <w:jc w:val="left"/>
              <w:rPr>
                <w:rFonts w:ascii="宋体" w:hAnsi="宋体" w:eastAsia="宋体" w:cs="宋体"/>
                <w:sz w:val="24"/>
                <w:szCs w:val="24"/>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sz w:val="24"/>
                <w:szCs w:val="24"/>
              </w:rPr>
            </w:pPr>
            <w:r>
              <w:rPr>
                <w:rFonts w:hint="eastAsia" w:asciiTheme="minorEastAsia" w:hAnsiTheme="minorEastAsia" w:cstheme="minorEastAsia"/>
                <w:color w:val="000000" w:themeColor="text1"/>
                <w:sz w:val="24"/>
                <w:szCs w:val="24"/>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Theme="minorEastAsia" w:hAnsiTheme="minorEastAsia" w:cstheme="minorEastAsia"/>
                <w:color w:val="000000" w:themeColor="text1"/>
                <w:sz w:val="24"/>
                <w:szCs w:val="24"/>
              </w:rPr>
              <w:t>根据投标人提供（2017年</w:t>
            </w:r>
            <w:r>
              <w:rPr>
                <w:rFonts w:hint="eastAsia" w:asciiTheme="minorEastAsia" w:hAnsiTheme="minorEastAsia" w:cstheme="minorEastAsia"/>
                <w:color w:val="000000" w:themeColor="text1"/>
                <w:sz w:val="24"/>
                <w:szCs w:val="24"/>
                <w:lang w:val="en-US" w:eastAsia="zh-CN"/>
              </w:rPr>
              <w:t>12</w:t>
            </w:r>
            <w:r>
              <w:rPr>
                <w:rFonts w:hint="eastAsia" w:asciiTheme="minorEastAsia" w:hAnsiTheme="minorEastAsia" w:cstheme="minorEastAsia"/>
                <w:color w:val="000000" w:themeColor="text1"/>
                <w:sz w:val="24"/>
                <w:szCs w:val="24"/>
              </w:rPr>
              <w:t>月至今）的类似成功案例进行评分，每提供一份得0.5分，最高得2分。（提供合同、中标通知书复印件并加盖公章）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61" w:type="dxa"/>
            <w:vMerge w:val="continue"/>
            <w:tcBorders>
              <w:left w:val="single" w:color="auto" w:sz="4" w:space="0"/>
              <w:right w:val="single" w:color="auto" w:sz="4" w:space="0"/>
            </w:tcBorders>
            <w:noWrap/>
            <w:vAlign w:val="center"/>
          </w:tcPr>
          <w:p>
            <w:pPr>
              <w:widowControl/>
              <w:jc w:val="left"/>
              <w:rPr>
                <w:rFonts w:ascii="宋体" w:hAnsi="宋体" w:eastAsia="宋体" w:cs="宋体"/>
                <w:sz w:val="24"/>
                <w:szCs w:val="24"/>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Cs/>
                <w:sz w:val="24"/>
                <w:szCs w:val="24"/>
              </w:rPr>
            </w:pPr>
            <w:r>
              <w:rPr>
                <w:rFonts w:hint="eastAsia" w:asciiTheme="minorEastAsia" w:hAnsiTheme="minorEastAsia" w:cstheme="minorEastAsia"/>
                <w:color w:val="000000" w:themeColor="text1"/>
                <w:sz w:val="24"/>
                <w:szCs w:val="24"/>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Theme="minorEastAsia" w:hAnsiTheme="minorEastAsia" w:cstheme="minorEastAsia"/>
                <w:color w:val="000000" w:themeColor="text1"/>
                <w:sz w:val="24"/>
                <w:szCs w:val="24"/>
              </w:rPr>
              <w:t>投标人提供的售后服务方案安排合理，备品备件供应措施合理，售后服务网点分布广，针对性强得4-5分；方案基本合理，有一定针对性，有售后服务网点得2-3分；方案简单，售后服务网点较少得0-1分。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61" w:type="dxa"/>
            <w:vMerge w:val="continue"/>
            <w:tcBorders>
              <w:left w:val="single" w:color="auto" w:sz="4" w:space="0"/>
              <w:right w:val="single" w:color="auto" w:sz="4" w:space="0"/>
            </w:tcBorders>
            <w:noWrap/>
            <w:vAlign w:val="center"/>
          </w:tcPr>
          <w:p>
            <w:pPr>
              <w:widowControl/>
              <w:jc w:val="left"/>
              <w:rPr>
                <w:rFonts w:ascii="宋体" w:hAnsi="宋体" w:eastAsia="宋体" w:cs="宋体"/>
                <w:sz w:val="24"/>
                <w:szCs w:val="24"/>
              </w:rPr>
            </w:pPr>
          </w:p>
        </w:tc>
        <w:tc>
          <w:tcPr>
            <w:tcW w:w="1413" w:type="dxa"/>
            <w:tcBorders>
              <w:top w:val="single" w:color="auto" w:sz="4" w:space="0"/>
              <w:left w:val="single" w:color="auto" w:sz="4" w:space="0"/>
              <w:right w:val="single" w:color="auto" w:sz="4" w:space="0"/>
            </w:tcBorders>
            <w:noWrap/>
            <w:vAlign w:val="center"/>
          </w:tcPr>
          <w:p>
            <w:pPr>
              <w:widowControl/>
              <w:jc w:val="left"/>
              <w:rPr>
                <w:rFonts w:ascii="宋体" w:hAnsi="宋体" w:eastAsia="宋体" w:cs="宋体"/>
                <w:bCs/>
                <w:sz w:val="24"/>
                <w:szCs w:val="24"/>
              </w:rPr>
            </w:pPr>
            <w:r>
              <w:rPr>
                <w:rFonts w:hint="eastAsia" w:asciiTheme="minorEastAsia" w:hAnsiTheme="minorEastAsia" w:cstheme="minorEastAsia"/>
                <w:color w:val="000000" w:themeColor="text1"/>
                <w:sz w:val="24"/>
                <w:szCs w:val="24"/>
              </w:rPr>
              <w:t>培训方案</w:t>
            </w:r>
          </w:p>
        </w:tc>
        <w:tc>
          <w:tcPr>
            <w:tcW w:w="6777" w:type="dxa"/>
            <w:tcBorders>
              <w:top w:val="single" w:color="auto" w:sz="4" w:space="0"/>
              <w:left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Theme="minorEastAsia" w:hAnsiTheme="minorEastAsia" w:cstheme="minorEastAsia"/>
                <w:color w:val="000000" w:themeColor="text1"/>
                <w:sz w:val="24"/>
                <w:szCs w:val="24"/>
              </w:rPr>
              <w:t>投标人提供的培训方案（包括专业技术情况、培训计划等方面）内容完整、合理、针对性强得4-5分；方案内容完整、计划可行符合项目需求得2-3分；方案内容完整基本符合项目需求得0-1分。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ascii="宋体" w:hAnsi="宋体" w:eastAsia="宋体" w:cs="宋体"/>
                <w:sz w:val="24"/>
                <w:szCs w:val="24"/>
              </w:rPr>
            </w:pPr>
          </w:p>
        </w:tc>
        <w:tc>
          <w:tcPr>
            <w:tcW w:w="1413" w:type="dxa"/>
            <w:tcBorders>
              <w:top w:val="single" w:color="auto" w:sz="4" w:space="0"/>
              <w:left w:val="single" w:color="auto" w:sz="4" w:space="0"/>
              <w:right w:val="single" w:color="auto" w:sz="4" w:space="0"/>
            </w:tcBorders>
            <w:noWrap/>
            <w:vAlign w:val="center"/>
          </w:tcPr>
          <w:p>
            <w:pPr>
              <w:widowControl/>
              <w:jc w:val="left"/>
              <w:rPr>
                <w:rFonts w:ascii="宋体" w:hAnsi="宋体" w:eastAsia="宋体" w:cs="宋体"/>
                <w:bCs/>
                <w:kern w:val="0"/>
                <w:sz w:val="24"/>
                <w:szCs w:val="24"/>
              </w:rPr>
            </w:pPr>
            <w:r>
              <w:rPr>
                <w:rFonts w:hint="eastAsia" w:asciiTheme="minorEastAsia" w:hAnsiTheme="minorEastAsia" w:cstheme="minorEastAsia"/>
                <w:color w:val="000000" w:themeColor="text1"/>
                <w:spacing w:val="-6"/>
                <w:sz w:val="24"/>
                <w:szCs w:val="24"/>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Theme="minorEastAsia" w:hAnsiTheme="minorEastAsia" w:cstheme="minorEastAsia"/>
                <w:color w:val="000000" w:themeColor="text1"/>
                <w:sz w:val="24"/>
                <w:szCs w:val="24"/>
              </w:rPr>
              <w:t>为确保交货期而采取的保障措施,计划最完善得3分，计划较详细的得2分，计划较简单的1分，未提供则不得分。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61" w:type="dxa"/>
            <w:vMerge w:val="continue"/>
            <w:tcBorders>
              <w:left w:val="single" w:color="auto" w:sz="4" w:space="0"/>
              <w:right w:val="single" w:color="auto" w:sz="4" w:space="0"/>
            </w:tcBorders>
            <w:noWrap/>
            <w:vAlign w:val="center"/>
          </w:tcPr>
          <w:p>
            <w:pPr>
              <w:widowControl/>
              <w:jc w:val="left"/>
              <w:rPr>
                <w:rFonts w:ascii="宋体" w:hAnsi="宋体" w:eastAsia="宋体" w:cs="宋体"/>
                <w:sz w:val="24"/>
                <w:szCs w:val="24"/>
              </w:rPr>
            </w:pPr>
          </w:p>
        </w:tc>
        <w:tc>
          <w:tcPr>
            <w:tcW w:w="1413" w:type="dxa"/>
            <w:tcBorders>
              <w:left w:val="single" w:color="auto" w:sz="4" w:space="0"/>
              <w:right w:val="single" w:color="auto" w:sz="4" w:space="0"/>
            </w:tcBorders>
            <w:noWrap/>
            <w:vAlign w:val="center"/>
          </w:tcPr>
          <w:p>
            <w:pPr>
              <w:widowControl/>
              <w:jc w:val="left"/>
              <w:rPr>
                <w:rFonts w:ascii="宋体" w:hAnsi="宋体" w:eastAsia="宋体" w:cs="宋体"/>
                <w:bCs/>
                <w:kern w:val="0"/>
                <w:sz w:val="24"/>
                <w:szCs w:val="24"/>
              </w:rPr>
            </w:pPr>
            <w:r>
              <w:rPr>
                <w:rFonts w:hint="eastAsia" w:asciiTheme="minorEastAsia" w:hAnsiTheme="minorEastAsia" w:cstheme="minorEastAsia"/>
                <w:kern w:val="0"/>
                <w:sz w:val="24"/>
                <w:szCs w:val="24"/>
              </w:rPr>
              <w:t>实施方案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Theme="minorEastAsia" w:hAnsiTheme="minorEastAsia" w:cstheme="minorEastAsia"/>
                <w:color w:val="000000" w:themeColor="text1"/>
                <w:sz w:val="24"/>
                <w:szCs w:val="24"/>
              </w:rPr>
              <w:t>投标人提供的实施方案（包括安装、调试计划、验收方案）非常完整且合理、可操作性强得3分；方案基本完整、有可操作性得2分；方案简单欠妥、可操作性不高得1分，未提供则不得分。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cs="宋体"/>
                <w:sz w:val="24"/>
                <w:szCs w:val="24"/>
              </w:rPr>
              <w:t>3分</w:t>
            </w:r>
          </w:p>
        </w:tc>
      </w:tr>
    </w:tbl>
    <w:p/>
    <w:p>
      <w:r>
        <w:br w:type="page"/>
      </w:r>
    </w:p>
    <w:p>
      <w:pPr>
        <w:pStyle w:val="3"/>
        <w:numPr>
          <w:ilvl w:val="0"/>
          <w:numId w:val="1"/>
        </w:numPr>
        <w:jc w:val="center"/>
        <w:rPr>
          <w:rFonts w:ascii="黑体" w:hAnsi="黑体" w:eastAsia="黑体"/>
        </w:rPr>
      </w:pPr>
      <w:bookmarkStart w:id="57" w:name="_Toc494664993"/>
      <w:bookmarkStart w:id="58" w:name="_Toc494665943"/>
      <w:bookmarkStart w:id="59" w:name="_Toc494745310"/>
      <w:bookmarkStart w:id="60" w:name="_Toc494665546"/>
      <w:bookmarkStart w:id="61" w:name="_Toc494702263"/>
      <w:bookmarkStart w:id="62" w:name="_Toc494721093"/>
      <w:bookmarkStart w:id="63" w:name="_Toc495861545"/>
      <w:r>
        <w:rPr>
          <w:rFonts w:hint="eastAsia" w:ascii="黑体" w:hAnsi="黑体" w:eastAsia="黑体"/>
        </w:rPr>
        <w:t>合同书格式（参考）</w:t>
      </w:r>
      <w:bookmarkEnd w:id="57"/>
      <w:bookmarkEnd w:id="58"/>
      <w:bookmarkEnd w:id="59"/>
      <w:bookmarkEnd w:id="60"/>
      <w:bookmarkEnd w:id="61"/>
      <w:bookmarkEnd w:id="62"/>
      <w:bookmarkEnd w:id="63"/>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7"/>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64" w:name="_Toc494702264"/>
      <w:bookmarkStart w:id="65" w:name="_Toc494664994"/>
      <w:bookmarkStart w:id="66" w:name="_Toc494721094"/>
      <w:bookmarkStart w:id="67" w:name="_Toc494665944"/>
      <w:bookmarkStart w:id="68" w:name="_Toc495861546"/>
      <w:bookmarkStart w:id="69" w:name="_Toc494745311"/>
      <w:bookmarkStart w:id="70" w:name="_Toc494665547"/>
      <w:r>
        <w:rPr>
          <w:rFonts w:hint="eastAsia" w:ascii="黑体" w:hAnsi="黑体" w:eastAsia="黑体"/>
        </w:rPr>
        <w:t>投标文件格式（参考）</w:t>
      </w:r>
      <w:bookmarkEnd w:id="64"/>
      <w:bookmarkEnd w:id="65"/>
      <w:bookmarkEnd w:id="66"/>
      <w:bookmarkEnd w:id="67"/>
      <w:bookmarkEnd w:id="68"/>
      <w:bookmarkEnd w:id="69"/>
      <w:bookmarkEnd w:id="7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71" w:name="_Toc495861547"/>
      <w:bookmarkStart w:id="72" w:name="_Toc494702265"/>
      <w:bookmarkStart w:id="73" w:name="_Toc494721095"/>
      <w:bookmarkStart w:id="74" w:name="_Toc494745312"/>
      <w:bookmarkStart w:id="75" w:name="_Toc494665945"/>
      <w:bookmarkStart w:id="76" w:name="_Toc494664995"/>
      <w:bookmarkStart w:id="77" w:name="_Toc494665548"/>
      <w:r>
        <w:rPr>
          <w:rFonts w:hint="eastAsia" w:cs="Times New Roman" w:asciiTheme="majorEastAsia" w:hAnsiTheme="majorEastAsia"/>
          <w:bCs w:val="0"/>
          <w:sz w:val="44"/>
          <w:szCs w:val="44"/>
          <w:lang w:val="zh-CN"/>
        </w:rPr>
        <w:t>第一部分 资格证明文件</w:t>
      </w:r>
      <w:bookmarkEnd w:id="71"/>
      <w:bookmarkEnd w:id="72"/>
      <w:bookmarkEnd w:id="73"/>
      <w:bookmarkEnd w:id="74"/>
      <w:bookmarkEnd w:id="75"/>
      <w:bookmarkEnd w:id="76"/>
      <w:bookmarkEnd w:id="77"/>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78" w:name="_Toc494664996"/>
      <w:bookmarkStart w:id="79" w:name="_Toc494665549"/>
      <w:bookmarkStart w:id="80" w:name="_Toc494665946"/>
      <w:bookmarkStart w:id="81" w:name="_Toc494745313"/>
      <w:bookmarkStart w:id="82" w:name="_Toc494702266"/>
      <w:bookmarkStart w:id="83" w:name="_Toc494721096"/>
      <w:r>
        <w:rPr>
          <w:rFonts w:hint="eastAsia" w:ascii="黑体" w:hAnsi="黑体" w:eastAsia="黑体" w:cs="Times New Roman"/>
          <w:b/>
          <w:sz w:val="36"/>
          <w:szCs w:val="36"/>
        </w:rPr>
        <w:t>资格证明文件组成</w:t>
      </w:r>
      <w:bookmarkEnd w:id="78"/>
      <w:bookmarkEnd w:id="79"/>
      <w:bookmarkEnd w:id="80"/>
      <w:bookmarkEnd w:id="81"/>
      <w:bookmarkEnd w:id="82"/>
      <w:bookmarkEnd w:id="83"/>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32"/>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2"/>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2"/>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2"/>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2"/>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w:t>
      </w:r>
      <w:r>
        <w:rPr>
          <w:rFonts w:hint="eastAsia" w:ascii="宋体" w:hAnsi="宋体" w:eastAsia="宋体" w:cs="Times New Roman"/>
          <w:sz w:val="24"/>
          <w:szCs w:val="24"/>
        </w:rPr>
        <w:t>和“中国政府采购”网站（www.ccgp.gov.cn）政府采购严重违法失信行为记录名单的网页截图</w:t>
      </w:r>
      <w:r>
        <w:rPr>
          <w:rFonts w:hint="eastAsia" w:ascii="宋体" w:hAnsi="宋体" w:eastAsia="宋体" w:cs="Courier New"/>
          <w:color w:val="0D0D0D"/>
          <w:sz w:val="24"/>
          <w:szCs w:val="24"/>
        </w:rPr>
        <w:t>；</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84" w:name="_Toc495861548"/>
      <w:bookmarkStart w:id="85" w:name="_Toc494721097"/>
      <w:bookmarkStart w:id="86" w:name="_Toc494665550"/>
      <w:bookmarkStart w:id="87" w:name="_Toc494664997"/>
      <w:bookmarkStart w:id="88" w:name="_Toc494745314"/>
      <w:bookmarkStart w:id="89" w:name="_Toc494665947"/>
      <w:bookmarkStart w:id="90" w:name="_Toc49470226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84"/>
      <w:bookmarkEnd w:id="85"/>
      <w:bookmarkEnd w:id="86"/>
      <w:bookmarkEnd w:id="87"/>
      <w:bookmarkEnd w:id="88"/>
      <w:bookmarkEnd w:id="89"/>
      <w:bookmarkEnd w:id="90"/>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1" w:name="_Toc494664998"/>
      <w:bookmarkStart w:id="92" w:name="_Toc494665551"/>
      <w:bookmarkStart w:id="93" w:name="_Toc494721098"/>
      <w:bookmarkStart w:id="94" w:name="_Toc494745315"/>
      <w:bookmarkStart w:id="95" w:name="_Toc494702268"/>
      <w:bookmarkStart w:id="96" w:name="_Toc494665948"/>
      <w:r>
        <w:rPr>
          <w:rFonts w:hint="eastAsia" w:ascii="黑体" w:hAnsi="黑体" w:eastAsia="黑体" w:cs="Times New Roman"/>
          <w:b/>
          <w:sz w:val="36"/>
          <w:szCs w:val="36"/>
        </w:rPr>
        <w:t>商务文件组成</w:t>
      </w:r>
      <w:bookmarkEnd w:id="91"/>
      <w:bookmarkEnd w:id="92"/>
      <w:bookmarkEnd w:id="93"/>
      <w:bookmarkEnd w:id="94"/>
      <w:bookmarkEnd w:id="95"/>
      <w:bookmarkEnd w:id="9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7" w:name="_Toc494665949"/>
      <w:bookmarkStart w:id="98" w:name="_Toc494702269"/>
      <w:bookmarkStart w:id="99" w:name="_Toc494664999"/>
      <w:bookmarkStart w:id="100" w:name="_Toc495861549"/>
      <w:bookmarkStart w:id="101" w:name="_Toc494665552"/>
      <w:bookmarkStart w:id="102" w:name="_Toc494745316"/>
      <w:bookmarkStart w:id="103" w:name="_Toc49472109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4" w:name="_Toc494665000"/>
      <w:bookmarkStart w:id="105" w:name="_Toc494721100"/>
      <w:bookmarkStart w:id="106" w:name="_Toc494702270"/>
      <w:bookmarkStart w:id="107" w:name="_Toc494745317"/>
      <w:bookmarkStart w:id="108" w:name="_Toc494665553"/>
      <w:bookmarkStart w:id="109" w:name="_Toc49466595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04"/>
      <w:bookmarkEnd w:id="105"/>
      <w:bookmarkEnd w:id="106"/>
      <w:bookmarkEnd w:id="107"/>
      <w:bookmarkEnd w:id="108"/>
      <w:bookmarkEnd w:id="10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10" w:name="_Toc494665001"/>
      <w:bookmarkStart w:id="111" w:name="_Toc494745318"/>
      <w:bookmarkStart w:id="112" w:name="_Toc494665554"/>
      <w:bookmarkStart w:id="113" w:name="_Toc494721101"/>
      <w:bookmarkStart w:id="114" w:name="_Toc238276242"/>
      <w:bookmarkStart w:id="115" w:name="_Toc494665951"/>
      <w:bookmarkStart w:id="116" w:name="_Toc494702271"/>
      <w:bookmarkStart w:id="117" w:name="_Toc495861550"/>
      <w:bookmarkStart w:id="118" w:name="_Toc236473298"/>
      <w:r>
        <w:rPr>
          <w:rFonts w:hint="eastAsia" w:ascii="宋体" w:hAnsi="宋体" w:eastAsia="宋体"/>
        </w:rPr>
        <w:t>投标书</w:t>
      </w:r>
      <w:bookmarkEnd w:id="110"/>
      <w:bookmarkEnd w:id="111"/>
      <w:bookmarkEnd w:id="112"/>
      <w:bookmarkEnd w:id="113"/>
      <w:bookmarkEnd w:id="114"/>
      <w:bookmarkEnd w:id="115"/>
      <w:bookmarkEnd w:id="116"/>
      <w:bookmarkEnd w:id="117"/>
      <w:bookmarkEnd w:id="118"/>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19" w:name="_Toc494665002"/>
      <w:bookmarkStart w:id="120" w:name="_Toc494745319"/>
      <w:bookmarkStart w:id="121" w:name="_Toc494665555"/>
      <w:bookmarkStart w:id="122" w:name="_Toc494665952"/>
      <w:bookmarkStart w:id="123" w:name="_Toc495861551"/>
      <w:bookmarkStart w:id="124" w:name="_Toc494702272"/>
      <w:bookmarkStart w:id="125" w:name="_Toc494721102"/>
      <w:r>
        <w:rPr>
          <w:rFonts w:hint="eastAsia" w:ascii="宋体" w:hAnsi="宋体" w:eastAsia="宋体"/>
        </w:rPr>
        <w:t>制造商中小企业声明函</w:t>
      </w:r>
      <w:bookmarkEnd w:id="119"/>
      <w:bookmarkEnd w:id="120"/>
      <w:bookmarkEnd w:id="121"/>
      <w:bookmarkEnd w:id="122"/>
      <w:bookmarkEnd w:id="123"/>
      <w:bookmarkEnd w:id="124"/>
      <w:bookmarkEnd w:id="12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11"/>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11"/>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11"/>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26" w:name="_Toc494665953"/>
      <w:bookmarkStart w:id="127" w:name="_Toc495861552"/>
      <w:bookmarkStart w:id="128" w:name="_Toc494665003"/>
      <w:bookmarkStart w:id="129" w:name="_Toc494745320"/>
      <w:bookmarkStart w:id="130" w:name="_Toc456264006"/>
      <w:bookmarkStart w:id="131" w:name="_Toc494702273"/>
      <w:bookmarkStart w:id="132" w:name="_Toc494721103"/>
      <w:bookmarkStart w:id="133" w:name="_Toc494665556"/>
      <w:r>
        <w:rPr>
          <w:rFonts w:hint="eastAsia" w:ascii="宋体" w:hAnsi="宋体" w:eastAsia="宋体"/>
        </w:rPr>
        <w:t>中小企业声明函</w:t>
      </w:r>
      <w:bookmarkEnd w:id="126"/>
      <w:bookmarkEnd w:id="127"/>
      <w:bookmarkEnd w:id="128"/>
      <w:bookmarkEnd w:id="129"/>
      <w:bookmarkEnd w:id="130"/>
      <w:bookmarkEnd w:id="131"/>
      <w:bookmarkEnd w:id="132"/>
      <w:bookmarkEnd w:id="13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794"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34" w:name="_Toc476153619"/>
      <w:r>
        <w:rPr>
          <w:rFonts w:hint="eastAsia" w:ascii="宋体" w:hAnsi="宋体" w:eastAsia="宋体" w:cs="Times New Roman"/>
          <w:b/>
          <w:sz w:val="30"/>
          <w:szCs w:val="30"/>
          <w:lang w:val="zh-CN"/>
        </w:rPr>
        <w:t>中小企业划型标准</w:t>
      </w:r>
      <w:bookmarkEnd w:id="134"/>
    </w:p>
    <w:tbl>
      <w:tblPr>
        <w:tblStyle w:val="22"/>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2"/>
        </w:numPr>
        <w:spacing w:before="100" w:beforeAutospacing="1" w:afterLines="50" w:line="360" w:lineRule="auto"/>
        <w:ind w:left="1288" w:hanging="1288"/>
        <w:rPr>
          <w:rFonts w:ascii="宋体" w:hAnsi="宋体" w:eastAsia="宋体"/>
        </w:rPr>
      </w:pPr>
      <w:bookmarkStart w:id="135" w:name="_Toc495861553"/>
      <w:bookmarkStart w:id="136" w:name="_Toc494702274"/>
      <w:bookmarkStart w:id="137" w:name="_Toc494665954"/>
      <w:bookmarkStart w:id="138" w:name="_Toc494665004"/>
      <w:bookmarkStart w:id="139" w:name="_Toc494665557"/>
      <w:bookmarkStart w:id="140" w:name="_Toc494745321"/>
      <w:bookmarkStart w:id="141" w:name="_Toc494721104"/>
      <w:r>
        <w:rPr>
          <w:rFonts w:hint="eastAsia" w:ascii="宋体" w:hAnsi="宋体" w:eastAsia="宋体"/>
        </w:rPr>
        <w:t>残疾人福利性单位声明函</w:t>
      </w:r>
      <w:bookmarkEnd w:id="135"/>
      <w:bookmarkEnd w:id="136"/>
      <w:bookmarkEnd w:id="137"/>
      <w:bookmarkEnd w:id="138"/>
      <w:bookmarkEnd w:id="139"/>
      <w:bookmarkEnd w:id="140"/>
      <w:bookmarkEnd w:id="14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pStyle w:val="11"/>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11"/>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11"/>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11"/>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42" w:name="_Toc494745322"/>
      <w:bookmarkStart w:id="143" w:name="_Toc495861554"/>
      <w:bookmarkStart w:id="144" w:name="_Toc494665955"/>
      <w:bookmarkStart w:id="145" w:name="_Toc494665005"/>
      <w:bookmarkStart w:id="146" w:name="_Toc494702275"/>
      <w:bookmarkStart w:id="147" w:name="_Toc494721105"/>
      <w:bookmarkStart w:id="148" w:name="_Toc494665558"/>
      <w:bookmarkStart w:id="149" w:name="_Toc494577410"/>
      <w:r>
        <w:rPr>
          <w:rFonts w:hint="eastAsia" w:ascii="宋体" w:hAnsi="宋体" w:eastAsia="宋体"/>
        </w:rPr>
        <w:t>开标一览表</w:t>
      </w:r>
      <w:bookmarkEnd w:id="142"/>
      <w:bookmarkEnd w:id="143"/>
      <w:bookmarkEnd w:id="144"/>
      <w:bookmarkEnd w:id="145"/>
      <w:bookmarkEnd w:id="146"/>
      <w:bookmarkEnd w:id="147"/>
      <w:bookmarkEnd w:id="148"/>
      <w:bookmarkEnd w:id="14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50" w:name="_Toc495861555"/>
      <w:bookmarkStart w:id="151" w:name="_Toc494721106"/>
      <w:bookmarkStart w:id="152" w:name="_Toc494702276"/>
      <w:bookmarkStart w:id="153" w:name="_Toc494665956"/>
      <w:bookmarkStart w:id="154" w:name="_Toc494665559"/>
      <w:bookmarkStart w:id="155" w:name="_Toc494745323"/>
      <w:bookmarkStart w:id="156" w:name="_Toc494577411"/>
      <w:bookmarkStart w:id="157" w:name="_Toc494665006"/>
      <w:r>
        <w:rPr>
          <w:rFonts w:hint="eastAsia" w:ascii="宋体" w:hAnsi="宋体" w:eastAsia="宋体"/>
        </w:rPr>
        <w:t>投标报价明细表</w:t>
      </w:r>
      <w:bookmarkEnd w:id="150"/>
      <w:bookmarkEnd w:id="151"/>
      <w:bookmarkEnd w:id="152"/>
      <w:bookmarkEnd w:id="153"/>
      <w:bookmarkEnd w:id="154"/>
      <w:bookmarkEnd w:id="155"/>
      <w:bookmarkEnd w:id="156"/>
      <w:bookmarkEnd w:id="15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288" w:hanging="1288"/>
        <w:rPr>
          <w:rFonts w:ascii="宋体" w:hAnsi="宋体" w:eastAsia="宋体"/>
          <w:sz w:val="31"/>
          <w:szCs w:val="31"/>
        </w:rPr>
      </w:pPr>
      <w:bookmarkStart w:id="158" w:name="_Toc494665957"/>
      <w:bookmarkStart w:id="159" w:name="_Toc494665007"/>
      <w:bookmarkStart w:id="160" w:name="_Toc494577412"/>
      <w:bookmarkStart w:id="161" w:name="_Toc494721107"/>
      <w:bookmarkStart w:id="162" w:name="_Toc494702277"/>
      <w:bookmarkStart w:id="163" w:name="_Toc494665560"/>
      <w:bookmarkStart w:id="164" w:name="_Toc495861556"/>
      <w:bookmarkStart w:id="165" w:name="_Toc494745324"/>
      <w:r>
        <w:rPr>
          <w:rFonts w:hint="eastAsia" w:ascii="宋体" w:hAnsi="宋体" w:eastAsia="宋体"/>
          <w:sz w:val="31"/>
          <w:szCs w:val="31"/>
        </w:rPr>
        <w:t>小型和微型企业、监狱企业、残疾人福利性单位货物汇总表</w:t>
      </w:r>
      <w:bookmarkEnd w:id="158"/>
      <w:bookmarkEnd w:id="159"/>
      <w:bookmarkEnd w:id="160"/>
      <w:bookmarkEnd w:id="161"/>
      <w:bookmarkEnd w:id="162"/>
      <w:bookmarkEnd w:id="163"/>
      <w:bookmarkEnd w:id="164"/>
      <w:bookmarkEnd w:id="16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66" w:name="_Toc494665008"/>
      <w:bookmarkStart w:id="167" w:name="_Toc494745325"/>
      <w:bookmarkStart w:id="168" w:name="_Toc494721108"/>
      <w:bookmarkStart w:id="169" w:name="_Toc495861557"/>
      <w:bookmarkStart w:id="170" w:name="_Toc494665958"/>
      <w:bookmarkStart w:id="171" w:name="_Toc494702278"/>
      <w:bookmarkStart w:id="172" w:name="_Toc494665561"/>
      <w:r>
        <w:rPr>
          <w:rFonts w:hint="eastAsia" w:ascii="宋体" w:hAnsi="宋体" w:eastAsia="宋体"/>
        </w:rPr>
        <w:t>投标货物（工程或服务）清单</w:t>
      </w:r>
      <w:bookmarkEnd w:id="166"/>
      <w:bookmarkEnd w:id="167"/>
      <w:bookmarkEnd w:id="168"/>
      <w:bookmarkEnd w:id="169"/>
      <w:bookmarkEnd w:id="170"/>
      <w:bookmarkEnd w:id="171"/>
      <w:bookmarkEnd w:id="172"/>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73" w:name="_Toc494665959"/>
      <w:bookmarkStart w:id="174" w:name="_Toc494721109"/>
      <w:bookmarkStart w:id="175" w:name="_Toc494665562"/>
      <w:bookmarkStart w:id="176" w:name="_Toc494702279"/>
      <w:bookmarkStart w:id="177" w:name="_Toc494745326"/>
      <w:bookmarkStart w:id="178" w:name="_Toc495861558"/>
      <w:bookmarkStart w:id="179" w:name="_Toc494665009"/>
      <w:r>
        <w:rPr>
          <w:rFonts w:hint="eastAsia" w:ascii="宋体" w:hAnsi="宋体" w:eastAsia="宋体"/>
        </w:rPr>
        <w:t>交纳投标保证金的银行凭证</w:t>
      </w:r>
      <w:bookmarkEnd w:id="173"/>
      <w:bookmarkEnd w:id="174"/>
      <w:bookmarkEnd w:id="175"/>
      <w:bookmarkEnd w:id="176"/>
      <w:bookmarkEnd w:id="177"/>
      <w:bookmarkEnd w:id="178"/>
      <w:bookmarkEnd w:id="179"/>
    </w:p>
    <w:p>
      <w:pPr>
        <w:spacing w:line="480" w:lineRule="auto"/>
        <w:rPr>
          <w:rFonts w:ascii="宋体" w:hAnsi="宋体" w:cs="Courier New"/>
          <w:b/>
          <w:sz w:val="28"/>
          <w:szCs w:val="28"/>
        </w:rPr>
      </w:pPr>
      <w:r>
        <w:rPr>
          <w:rFonts w:hint="eastAsia"/>
          <w:b/>
          <w:sz w:val="28"/>
          <w:szCs w:val="28"/>
        </w:rPr>
        <w:t>采购人（或代理公司）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2"/>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2"/>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80" w:name="_Toc236473303"/>
      <w:bookmarkStart w:id="181" w:name="_Toc494665010"/>
      <w:bookmarkStart w:id="182" w:name="_Toc494702280"/>
      <w:bookmarkStart w:id="183" w:name="_Toc238276247"/>
      <w:bookmarkStart w:id="184" w:name="_Toc494665563"/>
      <w:bookmarkStart w:id="185" w:name="_Toc494745327"/>
      <w:bookmarkStart w:id="186" w:name="_Toc495861559"/>
      <w:bookmarkStart w:id="187" w:name="_Toc494665960"/>
      <w:bookmarkStart w:id="188" w:name="_Toc494721110"/>
      <w:r>
        <w:rPr>
          <w:rFonts w:hint="eastAsia" w:ascii="宋体" w:hAnsi="宋体" w:eastAsia="宋体"/>
        </w:rPr>
        <w:t>法定代表人授权书</w:t>
      </w:r>
      <w:bookmarkEnd w:id="180"/>
      <w:bookmarkEnd w:id="181"/>
      <w:bookmarkEnd w:id="182"/>
      <w:bookmarkEnd w:id="183"/>
      <w:bookmarkEnd w:id="184"/>
      <w:bookmarkEnd w:id="185"/>
      <w:bookmarkEnd w:id="186"/>
      <w:bookmarkEnd w:id="187"/>
      <w:bookmarkEnd w:id="188"/>
    </w:p>
    <w:p>
      <w:pPr>
        <w:spacing w:line="480" w:lineRule="auto"/>
        <w:rPr>
          <w:rFonts w:ascii="宋体" w:hAnsi="宋体" w:eastAsia="宋体" w:cs="Times New Roman"/>
          <w:b/>
          <w:sz w:val="24"/>
          <w:szCs w:val="24"/>
        </w:rPr>
      </w:pPr>
      <w:r>
        <w:rPr>
          <w:rFonts w:hint="eastAsia"/>
          <w:b/>
          <w:sz w:val="28"/>
          <w:szCs w:val="28"/>
        </w:rPr>
        <w:t>采购人（或代理公司）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62"/>
        </w:numPr>
        <w:spacing w:before="100" w:beforeAutospacing="1" w:afterLines="50" w:line="360" w:lineRule="auto"/>
        <w:ind w:left="1610" w:hanging="1610"/>
        <w:rPr>
          <w:rFonts w:ascii="宋体" w:hAnsi="宋体" w:eastAsia="宋体"/>
        </w:rPr>
      </w:pPr>
      <w:bookmarkStart w:id="189" w:name="_Toc494665564"/>
      <w:bookmarkStart w:id="190" w:name="_Toc494745328"/>
      <w:bookmarkStart w:id="191" w:name="_Toc236473304"/>
      <w:bookmarkStart w:id="192" w:name="_Toc494665011"/>
      <w:bookmarkStart w:id="193" w:name="_Toc494665961"/>
      <w:bookmarkStart w:id="194" w:name="_Toc494702281"/>
      <w:bookmarkStart w:id="195" w:name="_Toc495861560"/>
      <w:bookmarkStart w:id="196" w:name="_Toc494721111"/>
      <w:bookmarkStart w:id="197" w:name="_Toc238276248"/>
      <w:r>
        <w:rPr>
          <w:rFonts w:hint="eastAsia" w:ascii="宋体" w:hAnsi="宋体" w:eastAsia="宋体"/>
        </w:rPr>
        <w:t>投标人的资格声明</w:t>
      </w:r>
      <w:bookmarkEnd w:id="189"/>
      <w:bookmarkEnd w:id="190"/>
      <w:bookmarkEnd w:id="191"/>
      <w:bookmarkEnd w:id="192"/>
      <w:bookmarkEnd w:id="193"/>
      <w:bookmarkEnd w:id="194"/>
      <w:bookmarkEnd w:id="195"/>
      <w:bookmarkEnd w:id="196"/>
      <w:bookmarkEnd w:id="197"/>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2"/>
        </w:numPr>
        <w:spacing w:before="100" w:beforeAutospacing="1" w:afterLines="50" w:line="360" w:lineRule="auto"/>
        <w:ind w:left="1610" w:hanging="1610"/>
        <w:rPr>
          <w:rFonts w:ascii="宋体" w:hAnsi="宋体" w:eastAsia="宋体"/>
        </w:rPr>
      </w:pPr>
      <w:bookmarkStart w:id="198" w:name="_Toc494665565"/>
      <w:bookmarkStart w:id="199" w:name="_Toc494721112"/>
      <w:bookmarkStart w:id="200" w:name="_Toc494665012"/>
      <w:bookmarkStart w:id="201" w:name="_Toc494702282"/>
      <w:bookmarkStart w:id="202" w:name="_Toc495861561"/>
      <w:bookmarkStart w:id="203" w:name="_Toc494745329"/>
      <w:bookmarkStart w:id="204" w:name="_Toc494665962"/>
      <w:r>
        <w:rPr>
          <w:rFonts w:hint="eastAsia" w:ascii="宋体" w:hAnsi="宋体" w:eastAsia="宋体"/>
        </w:rPr>
        <w:t>项目负责人、技术负责人简历表</w:t>
      </w:r>
      <w:bookmarkEnd w:id="198"/>
      <w:bookmarkEnd w:id="199"/>
      <w:bookmarkEnd w:id="200"/>
      <w:bookmarkEnd w:id="201"/>
      <w:bookmarkEnd w:id="202"/>
      <w:bookmarkEnd w:id="203"/>
      <w:bookmarkEnd w:id="20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05" w:name="_Toc495861562"/>
      <w:bookmarkStart w:id="206" w:name="_Toc236473307"/>
      <w:bookmarkStart w:id="207" w:name="_Toc238276251"/>
      <w:bookmarkStart w:id="208" w:name="_Toc494665013"/>
      <w:bookmarkStart w:id="209" w:name="_Toc494665963"/>
      <w:bookmarkStart w:id="210" w:name="_Toc494702283"/>
      <w:bookmarkStart w:id="211" w:name="_Toc494721113"/>
      <w:bookmarkStart w:id="212" w:name="_Toc494745330"/>
      <w:bookmarkStart w:id="213" w:name="_Toc494665566"/>
      <w:r>
        <w:rPr>
          <w:rFonts w:hint="eastAsia" w:ascii="宋体" w:hAnsi="宋体" w:eastAsia="宋体"/>
        </w:rPr>
        <w:t>项目班子成员情况表</w:t>
      </w:r>
      <w:bookmarkEnd w:id="205"/>
      <w:bookmarkEnd w:id="206"/>
      <w:bookmarkEnd w:id="207"/>
      <w:bookmarkEnd w:id="208"/>
      <w:bookmarkEnd w:id="209"/>
      <w:bookmarkEnd w:id="210"/>
      <w:bookmarkEnd w:id="211"/>
      <w:bookmarkEnd w:id="212"/>
      <w:bookmarkEnd w:id="21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14" w:name="_Toc236473312"/>
      <w:bookmarkStart w:id="215" w:name="_Toc238276256"/>
      <w:bookmarkStart w:id="216" w:name="_Toc494665567"/>
      <w:bookmarkStart w:id="217" w:name="_Toc494702284"/>
      <w:bookmarkStart w:id="218" w:name="_Toc494665014"/>
      <w:bookmarkStart w:id="219" w:name="_Toc494721114"/>
      <w:bookmarkStart w:id="220" w:name="_Toc495861563"/>
      <w:bookmarkStart w:id="221" w:name="_Toc494745331"/>
      <w:bookmarkStart w:id="222" w:name="_Toc494665964"/>
      <w:r>
        <w:rPr>
          <w:rFonts w:hint="eastAsia" w:ascii="宋体" w:hAnsi="宋体" w:eastAsia="宋体"/>
        </w:rPr>
        <w:t>投标人类似项目业绩表</w:t>
      </w:r>
      <w:bookmarkEnd w:id="214"/>
      <w:bookmarkEnd w:id="215"/>
      <w:bookmarkEnd w:id="216"/>
      <w:bookmarkEnd w:id="217"/>
      <w:bookmarkEnd w:id="218"/>
      <w:bookmarkEnd w:id="219"/>
      <w:bookmarkEnd w:id="220"/>
      <w:bookmarkEnd w:id="221"/>
      <w:bookmarkEnd w:id="22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23" w:name="_Toc494721115"/>
      <w:bookmarkStart w:id="224" w:name="_Toc495861564"/>
      <w:bookmarkStart w:id="225" w:name="_Toc494702285"/>
      <w:bookmarkStart w:id="226" w:name="_Toc494665965"/>
      <w:bookmarkStart w:id="227" w:name="_Toc494665568"/>
      <w:bookmarkStart w:id="228" w:name="_Toc494665015"/>
      <w:bookmarkStart w:id="229" w:name="_Toc494745332"/>
      <w:r>
        <w:rPr>
          <w:rFonts w:hint="eastAsia" w:ascii="宋体" w:hAnsi="宋体" w:eastAsia="宋体"/>
        </w:rPr>
        <w:t>符合性审查对照表</w:t>
      </w:r>
      <w:bookmarkEnd w:id="223"/>
      <w:bookmarkEnd w:id="224"/>
      <w:bookmarkEnd w:id="225"/>
      <w:bookmarkEnd w:id="226"/>
      <w:bookmarkEnd w:id="227"/>
      <w:bookmarkEnd w:id="228"/>
      <w:bookmarkEnd w:id="22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30" w:name="_Toc494665016"/>
      <w:bookmarkStart w:id="231" w:name="_Toc494721116"/>
      <w:bookmarkStart w:id="232" w:name="_Toc495861565"/>
      <w:bookmarkStart w:id="233" w:name="_Toc494745333"/>
      <w:bookmarkStart w:id="234" w:name="_Toc494665569"/>
      <w:bookmarkStart w:id="235" w:name="_Toc494665966"/>
      <w:bookmarkStart w:id="236" w:name="_Toc494702286"/>
      <w:r>
        <w:rPr>
          <w:rFonts w:hint="eastAsia" w:ascii="宋体" w:hAnsi="宋体" w:eastAsia="宋体"/>
        </w:rPr>
        <w:t>商务要求响应、偏离说明表</w:t>
      </w:r>
      <w:bookmarkEnd w:id="230"/>
      <w:bookmarkEnd w:id="231"/>
      <w:bookmarkEnd w:id="232"/>
      <w:bookmarkEnd w:id="233"/>
      <w:bookmarkEnd w:id="234"/>
      <w:bookmarkEnd w:id="235"/>
      <w:bookmarkEnd w:id="23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37" w:name="_Toc494721117"/>
      <w:bookmarkStart w:id="238" w:name="_Toc494665967"/>
      <w:bookmarkStart w:id="239" w:name="_Toc494665570"/>
      <w:bookmarkStart w:id="240" w:name="_Toc495861566"/>
      <w:bookmarkStart w:id="241" w:name="_Toc494702287"/>
      <w:bookmarkStart w:id="242" w:name="_Toc494665017"/>
      <w:bookmarkStart w:id="243" w:name="_Toc494745334"/>
      <w:r>
        <w:rPr>
          <w:rFonts w:hint="eastAsia" w:ascii="宋体" w:hAnsi="宋体" w:eastAsia="宋体"/>
        </w:rPr>
        <w:t>商务要求“★”号条款响应、偏离说明表</w:t>
      </w:r>
      <w:bookmarkEnd w:id="237"/>
      <w:bookmarkEnd w:id="238"/>
      <w:bookmarkEnd w:id="239"/>
      <w:bookmarkEnd w:id="240"/>
      <w:bookmarkEnd w:id="241"/>
      <w:bookmarkEnd w:id="242"/>
      <w:bookmarkEnd w:id="24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44" w:name="_Toc494665571"/>
      <w:bookmarkStart w:id="245" w:name="_Toc495861567"/>
      <w:bookmarkStart w:id="246" w:name="_Toc494702288"/>
      <w:bookmarkStart w:id="247" w:name="_Toc494665968"/>
      <w:bookmarkStart w:id="248" w:name="_Toc494745335"/>
      <w:bookmarkStart w:id="249" w:name="_Toc494721118"/>
      <w:bookmarkStart w:id="250" w:name="_Toc494665018"/>
      <w:r>
        <w:rPr>
          <w:rFonts w:hint="eastAsia" w:ascii="宋体" w:hAnsi="宋体" w:eastAsia="宋体"/>
        </w:rPr>
        <w:t>商务评议对照表</w:t>
      </w:r>
      <w:bookmarkEnd w:id="244"/>
      <w:bookmarkEnd w:id="245"/>
      <w:bookmarkEnd w:id="246"/>
      <w:bookmarkEnd w:id="247"/>
      <w:bookmarkEnd w:id="248"/>
      <w:bookmarkEnd w:id="249"/>
      <w:bookmarkEnd w:id="25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51" w:name="_Toc494665019"/>
      <w:bookmarkStart w:id="252" w:name="_Toc494702289"/>
      <w:bookmarkStart w:id="253" w:name="_Toc494665969"/>
      <w:bookmarkStart w:id="254" w:name="_Toc495861568"/>
      <w:bookmarkStart w:id="255" w:name="_Toc494721119"/>
      <w:bookmarkStart w:id="256" w:name="_Toc494745336"/>
      <w:bookmarkStart w:id="257" w:name="_Toc494665572"/>
      <w:r>
        <w:rPr>
          <w:rFonts w:hint="eastAsia" w:ascii="宋体" w:hAnsi="宋体" w:eastAsia="宋体"/>
        </w:rPr>
        <w:t>技术、服务要求响应、偏离说明表</w:t>
      </w:r>
      <w:bookmarkEnd w:id="251"/>
      <w:bookmarkEnd w:id="252"/>
      <w:bookmarkEnd w:id="253"/>
      <w:bookmarkEnd w:id="254"/>
      <w:bookmarkEnd w:id="255"/>
      <w:bookmarkEnd w:id="256"/>
      <w:bookmarkEnd w:id="25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58" w:name="_Toc494665573"/>
      <w:bookmarkStart w:id="259" w:name="_Toc494665970"/>
      <w:bookmarkStart w:id="260" w:name="_Toc494721120"/>
      <w:bookmarkStart w:id="261" w:name="_Toc494665020"/>
      <w:bookmarkStart w:id="262" w:name="_Toc494745337"/>
      <w:bookmarkStart w:id="263" w:name="_Toc495861569"/>
      <w:bookmarkStart w:id="264" w:name="_Toc494702290"/>
      <w:bookmarkStart w:id="265" w:name="_Toc329859066"/>
      <w:r>
        <w:rPr>
          <w:rFonts w:hint="eastAsia" w:ascii="宋体" w:hAnsi="宋体" w:eastAsia="宋体"/>
        </w:rPr>
        <w:t>技术、服务要求“★”号条款响应、偏离说明表</w:t>
      </w:r>
      <w:bookmarkEnd w:id="258"/>
      <w:bookmarkEnd w:id="259"/>
      <w:bookmarkEnd w:id="260"/>
      <w:bookmarkEnd w:id="261"/>
      <w:bookmarkEnd w:id="262"/>
      <w:bookmarkEnd w:id="263"/>
      <w:bookmarkEnd w:id="26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6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66" w:name="_Toc494665574"/>
      <w:bookmarkStart w:id="267" w:name="_Toc494721121"/>
      <w:bookmarkStart w:id="268" w:name="_Toc495861570"/>
      <w:bookmarkStart w:id="269" w:name="_Toc494665971"/>
      <w:bookmarkStart w:id="270" w:name="_Toc494745338"/>
      <w:bookmarkStart w:id="271" w:name="_Toc494665021"/>
      <w:bookmarkStart w:id="272" w:name="_Toc494702291"/>
      <w:r>
        <w:rPr>
          <w:rFonts w:hint="eastAsia" w:ascii="宋体" w:hAnsi="宋体" w:eastAsia="宋体"/>
        </w:rPr>
        <w:t>技术、服务评议对照表</w:t>
      </w:r>
      <w:bookmarkEnd w:id="266"/>
      <w:bookmarkEnd w:id="267"/>
      <w:bookmarkEnd w:id="268"/>
      <w:bookmarkEnd w:id="269"/>
      <w:bookmarkEnd w:id="270"/>
      <w:bookmarkEnd w:id="271"/>
      <w:bookmarkEnd w:id="27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5"/>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themeColor="text1" w:sz="4" w:space="1"/>
      </w:pBdr>
      <w:tabs>
        <w:tab w:val="clear" w:pos="4153"/>
        <w:tab w:val="clear" w:pos="8306"/>
      </w:tabs>
      <w:ind w:right="-9" w:firstLine="360" w:firstLineChars="200"/>
      <w:jc w:val="right"/>
    </w:pPr>
    <w:r>
      <w:rPr>
        <w:rFonts w:hint="eastAsia" w:asciiTheme="minorEastAsia" w:hAnsiTheme="minorEastAsia"/>
        <w:u w:val="single"/>
        <w:lang w:eastAsia="zh-CN"/>
      </w:rPr>
      <w:t>立信大华工程咨询有限责任公司</w:t>
    </w:r>
    <w:r>
      <w:rPr>
        <w:rFonts w:hint="eastAsia" w:asciiTheme="minorEastAsia" w:hAnsiTheme="minorEastAsia"/>
      </w:rPr>
      <w:t>制</w:t>
    </w:r>
  </w:p>
  <w:p>
    <w:pPr>
      <w:pStyle w:val="15"/>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41</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62</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eastAsia" w:eastAsiaTheme="minorEastAsia"/>
        <w:lang w:eastAsia="zh-CN"/>
      </w:rPr>
    </w:pPr>
    <w:r>
      <w:rPr>
        <w:rFonts w:hint="eastAsia"/>
        <w:bCs/>
        <w:color w:val="000000" w:themeColor="text1"/>
        <w:spacing w:val="-6"/>
        <w:lang w:eastAsia="zh-CN"/>
      </w:rPr>
      <w:t>阳新县人民医院城东新院区超声科人工智能高端彩色多普勒超声诊断仪采购项目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96958"/>
    <w:multiLevelType w:val="singleLevel"/>
    <w:tmpl w:val="D3A96958"/>
    <w:lvl w:ilvl="0" w:tentative="0">
      <w:start w:val="9"/>
      <w:numFmt w:val="decimal"/>
      <w:suff w:val="space"/>
      <w:lvlText w:val="%1."/>
      <w:lvlJc w:val="left"/>
    </w:lvl>
  </w:abstractNum>
  <w:abstractNum w:abstractNumId="1">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9">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0">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2">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6">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0">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6">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7">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1">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0">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51">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3">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B81BFFD"/>
    <w:multiLevelType w:val="singleLevel"/>
    <w:tmpl w:val="6B81BFFD"/>
    <w:lvl w:ilvl="0" w:tentative="0">
      <w:start w:val="4"/>
      <w:numFmt w:val="chineseCounting"/>
      <w:suff w:val="nothing"/>
      <w:lvlText w:val="%1、"/>
      <w:lvlJc w:val="left"/>
      <w:rPr>
        <w:rFonts w:hint="eastAsia"/>
      </w:rPr>
    </w:lvl>
  </w:abstractNum>
  <w:abstractNum w:abstractNumId="56">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8">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1">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2">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5">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1"/>
  </w:num>
  <w:num w:numId="2">
    <w:abstractNumId w:val="55"/>
  </w:num>
  <w:num w:numId="3">
    <w:abstractNumId w:val="30"/>
  </w:num>
  <w:num w:numId="4">
    <w:abstractNumId w:val="44"/>
  </w:num>
  <w:num w:numId="5">
    <w:abstractNumId w:val="3"/>
  </w:num>
  <w:num w:numId="6">
    <w:abstractNumId w:val="38"/>
  </w:num>
  <w:num w:numId="7">
    <w:abstractNumId w:val="15"/>
  </w:num>
  <w:num w:numId="8">
    <w:abstractNumId w:val="6"/>
  </w:num>
  <w:num w:numId="9">
    <w:abstractNumId w:val="52"/>
  </w:num>
  <w:num w:numId="10">
    <w:abstractNumId w:val="32"/>
  </w:num>
  <w:num w:numId="11">
    <w:abstractNumId w:val="47"/>
  </w:num>
  <w:num w:numId="12">
    <w:abstractNumId w:val="29"/>
  </w:num>
  <w:num w:numId="13">
    <w:abstractNumId w:val="5"/>
  </w:num>
  <w:num w:numId="14">
    <w:abstractNumId w:val="22"/>
  </w:num>
  <w:num w:numId="15">
    <w:abstractNumId w:val="23"/>
  </w:num>
  <w:num w:numId="16">
    <w:abstractNumId w:val="9"/>
  </w:num>
  <w:num w:numId="17">
    <w:abstractNumId w:val="8"/>
  </w:num>
  <w:num w:numId="18">
    <w:abstractNumId w:val="62"/>
  </w:num>
  <w:num w:numId="19">
    <w:abstractNumId w:val="10"/>
  </w:num>
  <w:num w:numId="20">
    <w:abstractNumId w:val="28"/>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65"/>
  </w:num>
  <w:num w:numId="25">
    <w:abstractNumId w:val="45"/>
  </w:num>
  <w:num w:numId="26">
    <w:abstractNumId w:val="58"/>
  </w:num>
  <w:num w:numId="27">
    <w:abstractNumId w:val="63"/>
  </w:num>
  <w:num w:numId="28">
    <w:abstractNumId w:val="43"/>
  </w:num>
  <w:num w:numId="29">
    <w:abstractNumId w:val="7"/>
  </w:num>
  <w:num w:numId="30">
    <w:abstractNumId w:val="19"/>
  </w:num>
  <w:num w:numId="31">
    <w:abstractNumId w:val="59"/>
  </w:num>
  <w:num w:numId="32">
    <w:abstractNumId w:val="53"/>
  </w:num>
  <w:num w:numId="33">
    <w:abstractNumId w:val="36"/>
  </w:num>
  <w:num w:numId="34">
    <w:abstractNumId w:val="51"/>
  </w:num>
  <w:num w:numId="35">
    <w:abstractNumId w:val="24"/>
  </w:num>
  <w:num w:numId="36">
    <w:abstractNumId w:val="54"/>
  </w:num>
  <w:num w:numId="37">
    <w:abstractNumId w:val="2"/>
  </w:num>
  <w:num w:numId="38">
    <w:abstractNumId w:val="0"/>
  </w:num>
  <w:num w:numId="39">
    <w:abstractNumId w:val="46"/>
  </w:num>
  <w:num w:numId="40">
    <w:abstractNumId w:val="26"/>
  </w:num>
  <w:num w:numId="41">
    <w:abstractNumId w:val="42"/>
  </w:num>
  <w:num w:numId="42">
    <w:abstractNumId w:val="31"/>
  </w:num>
  <w:num w:numId="43">
    <w:abstractNumId w:val="39"/>
  </w:num>
  <w:num w:numId="44">
    <w:abstractNumId w:val="33"/>
  </w:num>
  <w:num w:numId="45">
    <w:abstractNumId w:val="17"/>
  </w:num>
  <w:num w:numId="46">
    <w:abstractNumId w:val="49"/>
  </w:num>
  <w:num w:numId="47">
    <w:abstractNumId w:val="66"/>
  </w:num>
  <w:num w:numId="48">
    <w:abstractNumId w:val="18"/>
  </w:num>
  <w:num w:numId="49">
    <w:abstractNumId w:val="16"/>
  </w:num>
  <w:num w:numId="50">
    <w:abstractNumId w:val="1"/>
  </w:num>
  <w:num w:numId="51">
    <w:abstractNumId w:val="48"/>
    <w:lvlOverride w:ilvl="0">
      <w:startOverride w:val="1"/>
    </w:lvlOverride>
  </w:num>
  <w:num w:numId="52">
    <w:abstractNumId w:val="13"/>
  </w:num>
  <w:num w:numId="53">
    <w:abstractNumId w:val="25"/>
  </w:num>
  <w:num w:numId="54">
    <w:abstractNumId w:val="64"/>
  </w:num>
  <w:num w:numId="55">
    <w:abstractNumId w:val="57"/>
  </w:num>
  <w:num w:numId="56">
    <w:abstractNumId w:val="40"/>
  </w:num>
  <w:num w:numId="57">
    <w:abstractNumId w:val="12"/>
  </w:num>
  <w:num w:numId="58">
    <w:abstractNumId w:val="21"/>
  </w:num>
  <w:num w:numId="59">
    <w:abstractNumId w:val="60"/>
  </w:num>
  <w:num w:numId="60">
    <w:abstractNumId w:val="35"/>
  </w:num>
  <w:num w:numId="61">
    <w:abstractNumId w:val="61"/>
  </w:num>
  <w:num w:numId="62">
    <w:abstractNumId w:val="11"/>
  </w:num>
  <w:num w:numId="63">
    <w:abstractNumId w:val="56"/>
  </w:num>
  <w:num w:numId="64">
    <w:abstractNumId w:val="20"/>
  </w:num>
  <w:num w:numId="65">
    <w:abstractNumId w:val="4"/>
  </w:num>
  <w:num w:numId="66">
    <w:abstractNumId w:val="14"/>
  </w:num>
  <w:num w:numId="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068A2"/>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86DC3"/>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3691F"/>
    <w:rsid w:val="001641C9"/>
    <w:rsid w:val="00173975"/>
    <w:rsid w:val="00177C62"/>
    <w:rsid w:val="00185E9A"/>
    <w:rsid w:val="001A0AB1"/>
    <w:rsid w:val="001A1335"/>
    <w:rsid w:val="001A2B2A"/>
    <w:rsid w:val="001A54E8"/>
    <w:rsid w:val="001B03BB"/>
    <w:rsid w:val="001B38CD"/>
    <w:rsid w:val="001B6C3D"/>
    <w:rsid w:val="001B7441"/>
    <w:rsid w:val="001C1A58"/>
    <w:rsid w:val="001C7B23"/>
    <w:rsid w:val="001D2460"/>
    <w:rsid w:val="001D3EE7"/>
    <w:rsid w:val="001D4BF5"/>
    <w:rsid w:val="001D4EAB"/>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968E3"/>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3E1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338A"/>
    <w:rsid w:val="00484C57"/>
    <w:rsid w:val="004871A8"/>
    <w:rsid w:val="004912A5"/>
    <w:rsid w:val="004A4F81"/>
    <w:rsid w:val="004B0CC2"/>
    <w:rsid w:val="004B118F"/>
    <w:rsid w:val="004B22DE"/>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05290"/>
    <w:rsid w:val="00511E96"/>
    <w:rsid w:val="0051229B"/>
    <w:rsid w:val="005130B9"/>
    <w:rsid w:val="0051781B"/>
    <w:rsid w:val="005226FC"/>
    <w:rsid w:val="00522A02"/>
    <w:rsid w:val="00522D80"/>
    <w:rsid w:val="00525A93"/>
    <w:rsid w:val="005343DA"/>
    <w:rsid w:val="005437D7"/>
    <w:rsid w:val="005445A9"/>
    <w:rsid w:val="00545B0F"/>
    <w:rsid w:val="00545EDA"/>
    <w:rsid w:val="00552BFE"/>
    <w:rsid w:val="005561FB"/>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8A1"/>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13DA"/>
    <w:rsid w:val="006440C5"/>
    <w:rsid w:val="00646F35"/>
    <w:rsid w:val="0064700C"/>
    <w:rsid w:val="00651541"/>
    <w:rsid w:val="00663B35"/>
    <w:rsid w:val="00666B23"/>
    <w:rsid w:val="0067786F"/>
    <w:rsid w:val="00680A96"/>
    <w:rsid w:val="006854AE"/>
    <w:rsid w:val="00690659"/>
    <w:rsid w:val="00695EF6"/>
    <w:rsid w:val="006A2B14"/>
    <w:rsid w:val="006A55F4"/>
    <w:rsid w:val="006A6A07"/>
    <w:rsid w:val="006A6C1D"/>
    <w:rsid w:val="006A6C51"/>
    <w:rsid w:val="006A7A3D"/>
    <w:rsid w:val="006C00CA"/>
    <w:rsid w:val="006C0B5F"/>
    <w:rsid w:val="006C0B7B"/>
    <w:rsid w:val="006C1AF1"/>
    <w:rsid w:val="006C6FDC"/>
    <w:rsid w:val="006D0229"/>
    <w:rsid w:val="006D1D6E"/>
    <w:rsid w:val="006F0D07"/>
    <w:rsid w:val="006F49EE"/>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14BE"/>
    <w:rsid w:val="007E3D3C"/>
    <w:rsid w:val="007F504A"/>
    <w:rsid w:val="007F6863"/>
    <w:rsid w:val="007F6F97"/>
    <w:rsid w:val="00802536"/>
    <w:rsid w:val="00804419"/>
    <w:rsid w:val="0081114F"/>
    <w:rsid w:val="008166C4"/>
    <w:rsid w:val="00816910"/>
    <w:rsid w:val="00820E08"/>
    <w:rsid w:val="00821E3D"/>
    <w:rsid w:val="0082486D"/>
    <w:rsid w:val="008258AD"/>
    <w:rsid w:val="00835FDE"/>
    <w:rsid w:val="008456E3"/>
    <w:rsid w:val="00845DF8"/>
    <w:rsid w:val="00852604"/>
    <w:rsid w:val="00863EDD"/>
    <w:rsid w:val="00866FCC"/>
    <w:rsid w:val="00876E59"/>
    <w:rsid w:val="00877211"/>
    <w:rsid w:val="0088586B"/>
    <w:rsid w:val="008879F9"/>
    <w:rsid w:val="008906B3"/>
    <w:rsid w:val="008966BE"/>
    <w:rsid w:val="008A30BA"/>
    <w:rsid w:val="008A5E04"/>
    <w:rsid w:val="008B0002"/>
    <w:rsid w:val="008B4F32"/>
    <w:rsid w:val="008B5601"/>
    <w:rsid w:val="008B6529"/>
    <w:rsid w:val="008C23E3"/>
    <w:rsid w:val="008D35F1"/>
    <w:rsid w:val="008D3612"/>
    <w:rsid w:val="008D5777"/>
    <w:rsid w:val="008D7D59"/>
    <w:rsid w:val="008E2203"/>
    <w:rsid w:val="008F1B81"/>
    <w:rsid w:val="008F3383"/>
    <w:rsid w:val="008F520A"/>
    <w:rsid w:val="009020C7"/>
    <w:rsid w:val="0090240A"/>
    <w:rsid w:val="00903A2D"/>
    <w:rsid w:val="00905F6A"/>
    <w:rsid w:val="00907388"/>
    <w:rsid w:val="00914F14"/>
    <w:rsid w:val="009166FD"/>
    <w:rsid w:val="009231EA"/>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1EA6"/>
    <w:rsid w:val="009921F4"/>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07ED3"/>
    <w:rsid w:val="00A116CE"/>
    <w:rsid w:val="00A1585C"/>
    <w:rsid w:val="00A16E33"/>
    <w:rsid w:val="00A27BC0"/>
    <w:rsid w:val="00A30AE5"/>
    <w:rsid w:val="00A30DFD"/>
    <w:rsid w:val="00A33A80"/>
    <w:rsid w:val="00A3568F"/>
    <w:rsid w:val="00A36FFA"/>
    <w:rsid w:val="00A40BC9"/>
    <w:rsid w:val="00A46DEF"/>
    <w:rsid w:val="00A47519"/>
    <w:rsid w:val="00A5026C"/>
    <w:rsid w:val="00A51D8F"/>
    <w:rsid w:val="00A52A2B"/>
    <w:rsid w:val="00A55199"/>
    <w:rsid w:val="00A62860"/>
    <w:rsid w:val="00A678FB"/>
    <w:rsid w:val="00A813D2"/>
    <w:rsid w:val="00A837A7"/>
    <w:rsid w:val="00A879DB"/>
    <w:rsid w:val="00A92A55"/>
    <w:rsid w:val="00AB2B17"/>
    <w:rsid w:val="00AB3343"/>
    <w:rsid w:val="00AC1ADB"/>
    <w:rsid w:val="00AC1BB4"/>
    <w:rsid w:val="00AC399F"/>
    <w:rsid w:val="00AC584B"/>
    <w:rsid w:val="00AD18FC"/>
    <w:rsid w:val="00AD52A3"/>
    <w:rsid w:val="00AD634F"/>
    <w:rsid w:val="00AE02A5"/>
    <w:rsid w:val="00AF18BF"/>
    <w:rsid w:val="00B002B6"/>
    <w:rsid w:val="00B0070A"/>
    <w:rsid w:val="00B0696E"/>
    <w:rsid w:val="00B161F2"/>
    <w:rsid w:val="00B20FD9"/>
    <w:rsid w:val="00B36D9B"/>
    <w:rsid w:val="00B37F1F"/>
    <w:rsid w:val="00B4413E"/>
    <w:rsid w:val="00B52520"/>
    <w:rsid w:val="00B67CCB"/>
    <w:rsid w:val="00B73233"/>
    <w:rsid w:val="00B73CD6"/>
    <w:rsid w:val="00B77184"/>
    <w:rsid w:val="00B80369"/>
    <w:rsid w:val="00B81B2F"/>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3506"/>
    <w:rsid w:val="00C040D1"/>
    <w:rsid w:val="00C05B9A"/>
    <w:rsid w:val="00C139A6"/>
    <w:rsid w:val="00C1592E"/>
    <w:rsid w:val="00C23D6F"/>
    <w:rsid w:val="00C363B3"/>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D3FFE"/>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73220"/>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E6F9B"/>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A4623"/>
    <w:rsid w:val="00EB004F"/>
    <w:rsid w:val="00EB16ED"/>
    <w:rsid w:val="00EB1E3A"/>
    <w:rsid w:val="00EB4033"/>
    <w:rsid w:val="00EB482A"/>
    <w:rsid w:val="00ED0545"/>
    <w:rsid w:val="00ED53B7"/>
    <w:rsid w:val="00EE35EF"/>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A08C8"/>
    <w:rsid w:val="00FB2B31"/>
    <w:rsid w:val="00FC140A"/>
    <w:rsid w:val="00FC2E73"/>
    <w:rsid w:val="00FC492E"/>
    <w:rsid w:val="00FD11DF"/>
    <w:rsid w:val="00FD30DA"/>
    <w:rsid w:val="00FD44A8"/>
    <w:rsid w:val="00FE2024"/>
    <w:rsid w:val="00FE51C1"/>
    <w:rsid w:val="00FE74BE"/>
    <w:rsid w:val="00FF0213"/>
    <w:rsid w:val="00FF328A"/>
    <w:rsid w:val="00FF37FD"/>
    <w:rsid w:val="00FF3C6D"/>
    <w:rsid w:val="00FF4FBA"/>
    <w:rsid w:val="00FF6E00"/>
    <w:rsid w:val="01115148"/>
    <w:rsid w:val="01251FE4"/>
    <w:rsid w:val="01A73836"/>
    <w:rsid w:val="023307B1"/>
    <w:rsid w:val="02A64011"/>
    <w:rsid w:val="02E41163"/>
    <w:rsid w:val="03A73CF4"/>
    <w:rsid w:val="04753635"/>
    <w:rsid w:val="05321762"/>
    <w:rsid w:val="05993D0E"/>
    <w:rsid w:val="06350E0F"/>
    <w:rsid w:val="07414B3D"/>
    <w:rsid w:val="07F9497A"/>
    <w:rsid w:val="091E3D8C"/>
    <w:rsid w:val="0A6133D3"/>
    <w:rsid w:val="0A6722A5"/>
    <w:rsid w:val="0AA67147"/>
    <w:rsid w:val="0B0452F6"/>
    <w:rsid w:val="0B400D75"/>
    <w:rsid w:val="0B7D1B5D"/>
    <w:rsid w:val="0B9F2AC0"/>
    <w:rsid w:val="0BA2092A"/>
    <w:rsid w:val="0C9751A5"/>
    <w:rsid w:val="0CFD439F"/>
    <w:rsid w:val="0D6B6F0C"/>
    <w:rsid w:val="0D6F5C11"/>
    <w:rsid w:val="0DD618E8"/>
    <w:rsid w:val="0E3E4F5B"/>
    <w:rsid w:val="0EF80799"/>
    <w:rsid w:val="0F094BCA"/>
    <w:rsid w:val="0F1858A5"/>
    <w:rsid w:val="0F7F4D20"/>
    <w:rsid w:val="0FA60940"/>
    <w:rsid w:val="0FCC2AB2"/>
    <w:rsid w:val="1014394B"/>
    <w:rsid w:val="10E27459"/>
    <w:rsid w:val="10E55AF8"/>
    <w:rsid w:val="11923040"/>
    <w:rsid w:val="11957B06"/>
    <w:rsid w:val="120E6168"/>
    <w:rsid w:val="12E108CB"/>
    <w:rsid w:val="12E45A5C"/>
    <w:rsid w:val="14A94CF4"/>
    <w:rsid w:val="151E770B"/>
    <w:rsid w:val="1534555F"/>
    <w:rsid w:val="1567566A"/>
    <w:rsid w:val="159A33B0"/>
    <w:rsid w:val="15C30F60"/>
    <w:rsid w:val="16052EA2"/>
    <w:rsid w:val="167F0D15"/>
    <w:rsid w:val="174E5EF1"/>
    <w:rsid w:val="1754101C"/>
    <w:rsid w:val="18BC7588"/>
    <w:rsid w:val="18CA29D4"/>
    <w:rsid w:val="196041C6"/>
    <w:rsid w:val="1A273064"/>
    <w:rsid w:val="1A736E76"/>
    <w:rsid w:val="1D99528D"/>
    <w:rsid w:val="1E2B1B0C"/>
    <w:rsid w:val="1E4808CC"/>
    <w:rsid w:val="1F11676B"/>
    <w:rsid w:val="1FA31B2E"/>
    <w:rsid w:val="201F757A"/>
    <w:rsid w:val="20C0638A"/>
    <w:rsid w:val="21301669"/>
    <w:rsid w:val="21C304A2"/>
    <w:rsid w:val="22365F3A"/>
    <w:rsid w:val="22AD30BD"/>
    <w:rsid w:val="22E72707"/>
    <w:rsid w:val="23393D40"/>
    <w:rsid w:val="236061AB"/>
    <w:rsid w:val="24384373"/>
    <w:rsid w:val="26182F62"/>
    <w:rsid w:val="2652762E"/>
    <w:rsid w:val="26AD65D4"/>
    <w:rsid w:val="26F855C1"/>
    <w:rsid w:val="27CD3014"/>
    <w:rsid w:val="28473A24"/>
    <w:rsid w:val="288276C8"/>
    <w:rsid w:val="28EC18A1"/>
    <w:rsid w:val="295E2013"/>
    <w:rsid w:val="2965017D"/>
    <w:rsid w:val="29E87A3C"/>
    <w:rsid w:val="2A686013"/>
    <w:rsid w:val="2C207B9A"/>
    <w:rsid w:val="2C312DD5"/>
    <w:rsid w:val="2CA90C93"/>
    <w:rsid w:val="2CC65BC5"/>
    <w:rsid w:val="2E1D728B"/>
    <w:rsid w:val="2EF54C56"/>
    <w:rsid w:val="304A6516"/>
    <w:rsid w:val="3050657B"/>
    <w:rsid w:val="30627E0A"/>
    <w:rsid w:val="30BD21AC"/>
    <w:rsid w:val="31130BB0"/>
    <w:rsid w:val="31614F93"/>
    <w:rsid w:val="3163718C"/>
    <w:rsid w:val="31E22B88"/>
    <w:rsid w:val="31FC5DB5"/>
    <w:rsid w:val="32C1528E"/>
    <w:rsid w:val="32E37D31"/>
    <w:rsid w:val="32E93611"/>
    <w:rsid w:val="332460AB"/>
    <w:rsid w:val="33AB0B82"/>
    <w:rsid w:val="342769DA"/>
    <w:rsid w:val="346B15AF"/>
    <w:rsid w:val="346F586C"/>
    <w:rsid w:val="350B2553"/>
    <w:rsid w:val="35697647"/>
    <w:rsid w:val="365A1F4A"/>
    <w:rsid w:val="36E36DED"/>
    <w:rsid w:val="379D5A37"/>
    <w:rsid w:val="37A35665"/>
    <w:rsid w:val="382858A0"/>
    <w:rsid w:val="39F04D08"/>
    <w:rsid w:val="3A4E1D3E"/>
    <w:rsid w:val="3B423075"/>
    <w:rsid w:val="3B4F20CC"/>
    <w:rsid w:val="3B531777"/>
    <w:rsid w:val="3D922B8E"/>
    <w:rsid w:val="3D955D30"/>
    <w:rsid w:val="3DF42481"/>
    <w:rsid w:val="3E673528"/>
    <w:rsid w:val="3EAA4F94"/>
    <w:rsid w:val="3EE7522B"/>
    <w:rsid w:val="3FE85E16"/>
    <w:rsid w:val="404F533F"/>
    <w:rsid w:val="406D50CF"/>
    <w:rsid w:val="40F00AF8"/>
    <w:rsid w:val="4106647B"/>
    <w:rsid w:val="41C32F69"/>
    <w:rsid w:val="4213428A"/>
    <w:rsid w:val="44950120"/>
    <w:rsid w:val="44B801AA"/>
    <w:rsid w:val="457D2D67"/>
    <w:rsid w:val="45805AFC"/>
    <w:rsid w:val="45910EB7"/>
    <w:rsid w:val="46C66822"/>
    <w:rsid w:val="47E37805"/>
    <w:rsid w:val="486F245C"/>
    <w:rsid w:val="490B5AEC"/>
    <w:rsid w:val="493A18C5"/>
    <w:rsid w:val="494B0053"/>
    <w:rsid w:val="4B310E45"/>
    <w:rsid w:val="4BA33A63"/>
    <w:rsid w:val="4C205DA1"/>
    <w:rsid w:val="4C2D33F0"/>
    <w:rsid w:val="4C5A25C1"/>
    <w:rsid w:val="4CB5011E"/>
    <w:rsid w:val="4CB707FF"/>
    <w:rsid w:val="4CEB4BB9"/>
    <w:rsid w:val="4DB06410"/>
    <w:rsid w:val="4F10670E"/>
    <w:rsid w:val="4F506FAA"/>
    <w:rsid w:val="4F7F38D0"/>
    <w:rsid w:val="517A21E4"/>
    <w:rsid w:val="51C24008"/>
    <w:rsid w:val="527F3B83"/>
    <w:rsid w:val="53562893"/>
    <w:rsid w:val="53933BC1"/>
    <w:rsid w:val="53F07459"/>
    <w:rsid w:val="53F313D3"/>
    <w:rsid w:val="54F014B9"/>
    <w:rsid w:val="556D1245"/>
    <w:rsid w:val="55EC258A"/>
    <w:rsid w:val="56281695"/>
    <w:rsid w:val="56854657"/>
    <w:rsid w:val="56C03072"/>
    <w:rsid w:val="584528F6"/>
    <w:rsid w:val="58DB0D21"/>
    <w:rsid w:val="58DC181F"/>
    <w:rsid w:val="5961542C"/>
    <w:rsid w:val="5A042563"/>
    <w:rsid w:val="5B2F7AA6"/>
    <w:rsid w:val="5B404C1F"/>
    <w:rsid w:val="5B874910"/>
    <w:rsid w:val="5C4D1FF3"/>
    <w:rsid w:val="5D160DA1"/>
    <w:rsid w:val="5D557E6C"/>
    <w:rsid w:val="5D9103E3"/>
    <w:rsid w:val="5DC96A80"/>
    <w:rsid w:val="5E4C388F"/>
    <w:rsid w:val="5EAA44A3"/>
    <w:rsid w:val="5F01496B"/>
    <w:rsid w:val="5F1D7259"/>
    <w:rsid w:val="60480552"/>
    <w:rsid w:val="60D060E5"/>
    <w:rsid w:val="615B2B13"/>
    <w:rsid w:val="61FC1355"/>
    <w:rsid w:val="625D4F5F"/>
    <w:rsid w:val="627D2841"/>
    <w:rsid w:val="628C48D0"/>
    <w:rsid w:val="62920F30"/>
    <w:rsid w:val="62C727FA"/>
    <w:rsid w:val="63BF1EF6"/>
    <w:rsid w:val="64704269"/>
    <w:rsid w:val="668C644E"/>
    <w:rsid w:val="6736144D"/>
    <w:rsid w:val="675438BC"/>
    <w:rsid w:val="68713C99"/>
    <w:rsid w:val="68DF2FCE"/>
    <w:rsid w:val="690B5F09"/>
    <w:rsid w:val="69222A26"/>
    <w:rsid w:val="695D0CFC"/>
    <w:rsid w:val="69B05F79"/>
    <w:rsid w:val="6A19729D"/>
    <w:rsid w:val="6ADE5F61"/>
    <w:rsid w:val="6CA63B41"/>
    <w:rsid w:val="6D001766"/>
    <w:rsid w:val="6D1E19C3"/>
    <w:rsid w:val="6D5C3768"/>
    <w:rsid w:val="6DEA08AB"/>
    <w:rsid w:val="6E8476C0"/>
    <w:rsid w:val="717609B4"/>
    <w:rsid w:val="71C932BC"/>
    <w:rsid w:val="72734B2D"/>
    <w:rsid w:val="72F70FD5"/>
    <w:rsid w:val="73BE3EAF"/>
    <w:rsid w:val="74201A89"/>
    <w:rsid w:val="74BE5A9A"/>
    <w:rsid w:val="75513A62"/>
    <w:rsid w:val="756022D8"/>
    <w:rsid w:val="76D309FD"/>
    <w:rsid w:val="7707629E"/>
    <w:rsid w:val="7959031D"/>
    <w:rsid w:val="7BAD2EF1"/>
    <w:rsid w:val="7BC0350F"/>
    <w:rsid w:val="7BC074B9"/>
    <w:rsid w:val="7BFF385D"/>
    <w:rsid w:val="7C202697"/>
    <w:rsid w:val="7C3D64CD"/>
    <w:rsid w:val="7CA46709"/>
    <w:rsid w:val="7CB15353"/>
    <w:rsid w:val="7CC027FA"/>
    <w:rsid w:val="7D49280E"/>
    <w:rsid w:val="7D883202"/>
    <w:rsid w:val="7D9064B3"/>
    <w:rsid w:val="7DDD5917"/>
    <w:rsid w:val="7E2A2D2C"/>
    <w:rsid w:val="7E4C13EE"/>
    <w:rsid w:val="7E5E040A"/>
    <w:rsid w:val="7EAC2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6">
    <w:name w:val="Normal Indent"/>
    <w:basedOn w:val="1"/>
    <w:link w:val="41"/>
    <w:qFormat/>
    <w:uiPriority w:val="0"/>
    <w:pPr>
      <w:ind w:firstLine="420"/>
    </w:pPr>
  </w:style>
  <w:style w:type="paragraph" w:styleId="7">
    <w:name w:val="annotation text"/>
    <w:basedOn w:val="1"/>
    <w:link w:val="35"/>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720" w:hanging="720" w:hangingChars="300"/>
    </w:pPr>
    <w:rPr>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38"/>
    <w:qFormat/>
    <w:uiPriority w:val="0"/>
    <w:rPr>
      <w:rFonts w:ascii="宋体" w:hAnsi="Courier New" w:cs="Courier New"/>
      <w:szCs w:val="21"/>
    </w:rPr>
  </w:style>
  <w:style w:type="paragraph" w:styleId="12">
    <w:name w:val="Date"/>
    <w:basedOn w:val="1"/>
    <w:next w:val="1"/>
    <w:qFormat/>
    <w:uiPriority w:val="0"/>
    <w:rPr>
      <w:szCs w:val="20"/>
    </w:rPr>
  </w:style>
  <w:style w:type="paragraph" w:styleId="13">
    <w:name w:val="endnote text"/>
    <w:basedOn w:val="1"/>
    <w:link w:val="37"/>
    <w:unhideWhenUsed/>
    <w:qFormat/>
    <w:uiPriority w:val="99"/>
    <w:pPr>
      <w:snapToGrid w:val="0"/>
      <w:jc w:val="left"/>
    </w:pPr>
  </w:style>
  <w:style w:type="paragraph" w:styleId="14">
    <w:name w:val="Balloon Text"/>
    <w:basedOn w:val="1"/>
    <w:link w:val="31"/>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8"/>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8">
    <w:name w:val="引用1"/>
    <w:basedOn w:val="1"/>
    <w:next w:val="1"/>
    <w:link w:val="40"/>
    <w:qFormat/>
    <w:uiPriority w:val="29"/>
    <w:rPr>
      <w:i/>
      <w:iCs/>
      <w:color w:val="000000" w:themeColor="text1"/>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21">
    <w:name w:val="annotation subject"/>
    <w:basedOn w:val="7"/>
    <w:next w:val="7"/>
    <w:link w:val="42"/>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ndnote reference"/>
    <w:basedOn w:val="24"/>
    <w:unhideWhenUsed/>
    <w:qFormat/>
    <w:uiPriority w:val="99"/>
    <w:rPr>
      <w:vertAlign w:val="superscript"/>
    </w:rPr>
  </w:style>
  <w:style w:type="character" w:styleId="27">
    <w:name w:val="Hyperlink"/>
    <w:basedOn w:val="24"/>
    <w:unhideWhenUsed/>
    <w:qFormat/>
    <w:uiPriority w:val="99"/>
    <w:rPr>
      <w:color w:val="0000FF" w:themeColor="hyperlink"/>
      <w:u w:val="single"/>
    </w:rPr>
  </w:style>
  <w:style w:type="character" w:styleId="28">
    <w:name w:val="annotation reference"/>
    <w:qFormat/>
    <w:uiPriority w:val="99"/>
    <w:rPr>
      <w:sz w:val="21"/>
    </w:rPr>
  </w:style>
  <w:style w:type="character" w:customStyle="1" w:styleId="29">
    <w:name w:val="页眉 Char"/>
    <w:basedOn w:val="24"/>
    <w:link w:val="16"/>
    <w:qFormat/>
    <w:uiPriority w:val="99"/>
    <w:rPr>
      <w:sz w:val="18"/>
      <w:szCs w:val="18"/>
    </w:rPr>
  </w:style>
  <w:style w:type="character" w:customStyle="1" w:styleId="30">
    <w:name w:val="页脚 Char"/>
    <w:basedOn w:val="24"/>
    <w:link w:val="15"/>
    <w:qFormat/>
    <w:uiPriority w:val="99"/>
    <w:rPr>
      <w:sz w:val="18"/>
      <w:szCs w:val="18"/>
    </w:rPr>
  </w:style>
  <w:style w:type="character" w:customStyle="1" w:styleId="31">
    <w:name w:val="批注框文本 Char"/>
    <w:basedOn w:val="24"/>
    <w:link w:val="14"/>
    <w:semiHidden/>
    <w:qFormat/>
    <w:uiPriority w:val="99"/>
    <w:rPr>
      <w:sz w:val="18"/>
      <w:szCs w:val="18"/>
    </w:rPr>
  </w:style>
  <w:style w:type="paragraph" w:customStyle="1" w:styleId="32">
    <w:name w:val="列出段落1"/>
    <w:basedOn w:val="1"/>
    <w:qFormat/>
    <w:uiPriority w:val="34"/>
    <w:pPr>
      <w:ind w:firstLine="420" w:firstLineChars="200"/>
    </w:pPr>
  </w:style>
  <w:style w:type="character" w:customStyle="1" w:styleId="33">
    <w:name w:val="标题 1 Char"/>
    <w:basedOn w:val="24"/>
    <w:link w:val="3"/>
    <w:qFormat/>
    <w:uiPriority w:val="9"/>
    <w:rPr>
      <w:b/>
      <w:bCs/>
      <w:kern w:val="44"/>
      <w:sz w:val="44"/>
      <w:szCs w:val="44"/>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文字 Char"/>
    <w:basedOn w:val="24"/>
    <w:link w:val="7"/>
    <w:qFormat/>
    <w:uiPriority w:val="99"/>
  </w:style>
  <w:style w:type="character" w:customStyle="1" w:styleId="36">
    <w:name w:val="标题 2 Char"/>
    <w:basedOn w:val="24"/>
    <w:link w:val="4"/>
    <w:qFormat/>
    <w:uiPriority w:val="9"/>
    <w:rPr>
      <w:rFonts w:asciiTheme="majorHAnsi" w:hAnsiTheme="majorHAnsi" w:eastAsiaTheme="majorEastAsia" w:cstheme="majorBidi"/>
      <w:b/>
      <w:bCs/>
      <w:sz w:val="32"/>
      <w:szCs w:val="32"/>
    </w:rPr>
  </w:style>
  <w:style w:type="character" w:customStyle="1" w:styleId="37">
    <w:name w:val="尾注文本 Char"/>
    <w:basedOn w:val="24"/>
    <w:link w:val="13"/>
    <w:semiHidden/>
    <w:qFormat/>
    <w:uiPriority w:val="99"/>
  </w:style>
  <w:style w:type="character" w:customStyle="1" w:styleId="38">
    <w:name w:val="纯文本 Char"/>
    <w:link w:val="11"/>
    <w:qFormat/>
    <w:uiPriority w:val="0"/>
    <w:rPr>
      <w:rFonts w:ascii="宋体" w:hAnsi="Courier New" w:cs="Courier New"/>
      <w:szCs w:val="21"/>
    </w:rPr>
  </w:style>
  <w:style w:type="character" w:customStyle="1" w:styleId="39">
    <w:name w:val="纯文本 Char1"/>
    <w:basedOn w:val="24"/>
    <w:semiHidden/>
    <w:qFormat/>
    <w:uiPriority w:val="99"/>
    <w:rPr>
      <w:rFonts w:ascii="宋体" w:hAnsi="Courier New" w:eastAsia="宋体" w:cs="Courier New"/>
      <w:szCs w:val="21"/>
    </w:rPr>
  </w:style>
  <w:style w:type="character" w:customStyle="1" w:styleId="40">
    <w:name w:val="引用 Char"/>
    <w:basedOn w:val="24"/>
    <w:link w:val="18"/>
    <w:qFormat/>
    <w:uiPriority w:val="29"/>
    <w:rPr>
      <w:i/>
      <w:iCs/>
      <w:color w:val="000000" w:themeColor="text1"/>
    </w:rPr>
  </w:style>
  <w:style w:type="character" w:customStyle="1" w:styleId="41">
    <w:name w:val="正文缩进 Char"/>
    <w:link w:val="6"/>
    <w:qFormat/>
    <w:uiPriority w:val="0"/>
  </w:style>
  <w:style w:type="character" w:customStyle="1" w:styleId="42">
    <w:name w:val="批注主题 Char"/>
    <w:basedOn w:val="35"/>
    <w:link w:val="21"/>
    <w:semiHidden/>
    <w:qFormat/>
    <w:uiPriority w:val="99"/>
    <w:rPr>
      <w:b/>
      <w:bCs/>
    </w:rPr>
  </w:style>
  <w:style w:type="paragraph" w:styleId="43">
    <w:name w:val="List Paragraph"/>
    <w:basedOn w:val="1"/>
    <w:unhideWhenUsed/>
    <w:qFormat/>
    <w:uiPriority w:val="99"/>
    <w:pPr>
      <w:ind w:firstLine="420" w:firstLineChars="200"/>
    </w:pPr>
  </w:style>
  <w:style w:type="paragraph" w:customStyle="1" w:styleId="44">
    <w:name w:val="列出段落3"/>
    <w:basedOn w:val="1"/>
    <w:qFormat/>
    <w:uiPriority w:val="0"/>
    <w:pPr>
      <w:ind w:firstLine="420" w:firstLineChars="200"/>
    </w:p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6">
    <w:name w:val="正文（缩进）"/>
    <w:basedOn w:val="1"/>
    <w:qFormat/>
    <w:uiPriority w:val="0"/>
    <w:pPr>
      <w:spacing w:beforeLines="50" w:afterLines="50" w:line="360" w:lineRule="auto"/>
      <w:ind w:firstLine="480" w:firstLineChars="200"/>
    </w:pPr>
    <w:rPr>
      <w:sz w:val="24"/>
    </w:rPr>
  </w:style>
  <w:style w:type="paragraph" w:customStyle="1" w:styleId="47">
    <w:name w:val="_Style 2"/>
    <w:basedOn w:val="1"/>
    <w:qFormat/>
    <w:uiPriority w:val="0"/>
    <w:rPr>
      <w:sz w:val="20"/>
      <w:szCs w:val="20"/>
    </w:rPr>
  </w:style>
  <w:style w:type="character" w:customStyle="1" w:styleId="48">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EBD44-80DF-48B0-A195-3AC37CEE9C6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5472</Words>
  <Characters>31192</Characters>
  <Lines>259</Lines>
  <Paragraphs>73</Paragraphs>
  <TotalTime>8</TotalTime>
  <ScaleCrop>false</ScaleCrop>
  <LinksUpToDate>false</LinksUpToDate>
  <CharactersWithSpaces>36591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2020-10-14T03:20:00Z</cp:lastPrinted>
  <dcterms:modified xsi:type="dcterms:W3CDTF">2020-12-04T08:21:02Z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